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0"/>
        </w:numPr>
        <w:overflowPunct w:val="0"/>
        <w:spacing w:after="360"/>
        <w:outlineLvl w:val="0"/>
        <w:rPr>
          <w:rFonts w:ascii="宋体" w:hAnsi="宋体" w:eastAsia="宋体"/>
          <w:b/>
          <w:bCs w:val="0"/>
          <w:color w:val="auto"/>
          <w:highlight w:val="none"/>
        </w:rPr>
      </w:pPr>
      <w:bookmarkStart w:id="0" w:name="_Toc154347289"/>
      <w:bookmarkStart w:id="1" w:name="_Toc13414"/>
      <w:bookmarkStart w:id="2" w:name="_Toc148539491"/>
      <w:bookmarkStart w:id="3" w:name="_Toc191151244"/>
      <w:bookmarkStart w:id="4" w:name="_Toc2002588741"/>
      <w:bookmarkStart w:id="5" w:name="_Toc467830313"/>
      <w:bookmarkStart w:id="6" w:name="_Toc63623501"/>
      <w:bookmarkStart w:id="7" w:name="_Toc191150461"/>
      <w:bookmarkStart w:id="8" w:name="_Toc191151462"/>
      <w:bookmarkStart w:id="9" w:name="_Toc191907887"/>
      <w:r>
        <w:rPr>
          <w:rFonts w:hint="eastAsia" w:ascii="宋体" w:hAnsi="宋体" w:eastAsia="宋体"/>
          <w:b/>
          <w:bCs w:val="0"/>
          <w:color w:val="auto"/>
          <w:highlight w:val="none"/>
          <w:lang w:val="en-US" w:eastAsia="zh-CN"/>
        </w:rPr>
        <w:t xml:space="preserve">第一章   </w:t>
      </w:r>
      <w:r>
        <w:rPr>
          <w:rFonts w:hint="eastAsia" w:ascii="宋体" w:hAnsi="宋体" w:eastAsia="宋体"/>
          <w:b/>
          <w:bCs w:val="0"/>
          <w:color w:val="auto"/>
          <w:highlight w:val="none"/>
        </w:rPr>
        <w:t>采购公告</w:t>
      </w:r>
      <w:bookmarkEnd w:id="0"/>
      <w:bookmarkEnd w:id="1"/>
      <w:bookmarkEnd w:id="2"/>
      <w:r>
        <w:rPr>
          <w:rFonts w:hint="eastAsia" w:ascii="宋体" w:hAnsi="宋体" w:eastAsia="宋体"/>
          <w:b/>
          <w:bCs w:val="0"/>
          <w:color w:val="auto"/>
          <w:highlight w:val="none"/>
        </w:rPr>
        <w:t>（适用于公开采购）</w:t>
      </w:r>
      <w:bookmarkEnd w:id="3"/>
      <w:bookmarkEnd w:id="4"/>
      <w:bookmarkEnd w:id="5"/>
      <w:bookmarkEnd w:id="6"/>
      <w:bookmarkEnd w:id="7"/>
      <w:bookmarkEnd w:id="8"/>
      <w:bookmarkEnd w:id="9"/>
    </w:p>
    <w:p>
      <w:pPr>
        <w:pStyle w:val="9"/>
        <w:overflowPunct w:val="0"/>
        <w:spacing w:before="156"/>
        <w:rPr>
          <w:rFonts w:hint="eastAsia" w:ascii="宋体" w:hAnsi="宋体" w:eastAsia="宋体"/>
          <w:color w:val="auto"/>
          <w:sz w:val="24"/>
          <w:szCs w:val="24"/>
          <w:highlight w:val="none"/>
        </w:rPr>
      </w:pPr>
      <w:bookmarkStart w:id="10" w:name="_Toc154347290"/>
      <w:bookmarkStart w:id="11" w:name="_Toc489693601"/>
      <w:bookmarkStart w:id="12" w:name="_Toc480553654"/>
      <w:bookmarkStart w:id="13" w:name="_Toc9523"/>
      <w:bookmarkStart w:id="14" w:name="_Toc148539492"/>
      <w:bookmarkStart w:id="15" w:name="_Toc32286"/>
      <w:r>
        <w:rPr>
          <w:rFonts w:hint="eastAsia" w:ascii="宋体" w:hAnsi="宋体" w:eastAsia="宋体"/>
          <w:color w:val="auto"/>
          <w:highlight w:val="none"/>
          <w:lang w:val="en-US" w:eastAsia="zh-CN"/>
        </w:rPr>
        <w:t>中核二四西北分公司喀什华电两个联营配套新能源项目风机基础土石方及道路交通工程专业分包常规询比采购公告</w:t>
      </w:r>
    </w:p>
    <w:bookmarkEnd w:id="10"/>
    <w:bookmarkEnd w:id="11"/>
    <w:bookmarkEnd w:id="12"/>
    <w:bookmarkEnd w:id="13"/>
    <w:bookmarkEnd w:id="14"/>
    <w:bookmarkEnd w:id="15"/>
    <w:p>
      <w:pPr>
        <w:pStyle w:val="10"/>
        <w:numPr>
          <w:ilvl w:val="-1"/>
          <w:numId w:val="0"/>
        </w:numPr>
        <w:overflowPunct w:val="0"/>
        <w:spacing w:before="240" w:after="120" w:line="360" w:lineRule="auto"/>
        <w:ind w:firstLine="420" w:firstLineChars="200"/>
        <w:outlineLvl w:val="9"/>
        <w:rPr>
          <w:rFonts w:hint="eastAsia" w:ascii="宋体" w:hAnsi="宋体" w:eastAsia="宋体" w:cs="宋体"/>
          <w:b w:val="0"/>
          <w:bCs/>
          <w:color w:val="auto"/>
          <w:sz w:val="21"/>
          <w:szCs w:val="21"/>
          <w:highlight w:val="none"/>
          <w:u w:val="none"/>
          <w:lang w:val="en-US" w:eastAsia="zh-CN"/>
        </w:rPr>
      </w:pPr>
      <w:bookmarkStart w:id="16" w:name="_Toc191151246"/>
      <w:bookmarkStart w:id="17" w:name="_Toc191151464"/>
      <w:bookmarkStart w:id="18" w:name="_Toc194335746"/>
      <w:bookmarkStart w:id="19" w:name="_Toc191150463"/>
      <w:bookmarkStart w:id="20" w:name="_Toc191907889"/>
      <w:bookmarkStart w:id="21" w:name="_Toc111391188"/>
      <w:bookmarkStart w:id="22" w:name="_Toc11180"/>
      <w:bookmarkStart w:id="23" w:name="_Toc148539493"/>
      <w:bookmarkStart w:id="24" w:name="_Toc480553655"/>
      <w:bookmarkStart w:id="25" w:name="_Toc489693602"/>
      <w:bookmarkStart w:id="26" w:name="_Toc4674"/>
      <w:bookmarkStart w:id="27" w:name="_Toc154347291"/>
      <w:bookmarkStart w:id="28" w:name="_Toc1946849538"/>
      <w:r>
        <w:rPr>
          <w:rFonts w:hint="eastAsia" w:ascii="宋体" w:hAnsi="宋体" w:eastAsia="宋体" w:cs="宋体"/>
          <w:b w:val="0"/>
          <w:bCs/>
          <w:color w:val="auto"/>
          <w:sz w:val="21"/>
          <w:szCs w:val="21"/>
          <w:highlight w:val="none"/>
          <w:u w:val="none"/>
          <w:lang w:val="en-US" w:eastAsia="zh-CN"/>
        </w:rPr>
        <w:t>本次采购项目：</w:t>
      </w:r>
      <w:r>
        <w:rPr>
          <w:rFonts w:hint="eastAsia" w:ascii="宋体" w:hAnsi="宋体" w:eastAsia="宋体" w:cs="Times New Roman"/>
          <w:bCs/>
          <w:color w:val="auto"/>
          <w:kern w:val="0"/>
          <w:sz w:val="21"/>
          <w:szCs w:val="28"/>
          <w:highlight w:val="none"/>
          <w:u w:val="single"/>
          <w:lang w:val="en-US" w:eastAsia="zh-CN" w:bidi="ar-SA"/>
        </w:rPr>
        <w:t>中国核建中核二四西北分公司喀什华电两个联营配套新能源项目风机基础土石方及道路交通工程专业分包</w:t>
      </w:r>
      <w:r>
        <w:rPr>
          <w:rFonts w:hint="eastAsia" w:ascii="宋体" w:hAnsi="宋体" w:eastAsia="宋体" w:cs="宋体"/>
          <w:b w:val="0"/>
          <w:bCs/>
          <w:color w:val="auto"/>
          <w:sz w:val="21"/>
          <w:szCs w:val="21"/>
          <w:highlight w:val="none"/>
          <w:u w:val="none"/>
          <w:lang w:val="en-US" w:eastAsia="zh-CN"/>
        </w:rPr>
        <w:t>，采购需求单位为：</w:t>
      </w:r>
      <w:r>
        <w:rPr>
          <w:rFonts w:hint="eastAsia" w:ascii="宋体" w:hAnsi="宋体" w:eastAsia="宋体" w:cs="宋体"/>
          <w:color w:val="auto"/>
          <w:sz w:val="22"/>
          <w:szCs w:val="22"/>
          <w:highlight w:val="none"/>
          <w:u w:val="single"/>
          <w:lang w:eastAsia="zh-CN"/>
        </w:rPr>
        <w:t>中国核工业</w:t>
      </w:r>
      <w:r>
        <w:rPr>
          <w:rFonts w:hint="eastAsia" w:ascii="宋体" w:hAnsi="宋体" w:eastAsia="宋体" w:cs="宋体"/>
          <w:color w:val="auto"/>
          <w:sz w:val="22"/>
          <w:szCs w:val="22"/>
          <w:highlight w:val="none"/>
          <w:u w:val="single"/>
          <w:lang w:val="en-US" w:eastAsia="zh-CN"/>
        </w:rPr>
        <w:t>二四建设</w:t>
      </w:r>
      <w:r>
        <w:rPr>
          <w:rFonts w:hint="eastAsia" w:ascii="宋体" w:hAnsi="宋体" w:eastAsia="宋体" w:cs="宋体"/>
          <w:color w:val="auto"/>
          <w:sz w:val="22"/>
          <w:szCs w:val="22"/>
          <w:highlight w:val="none"/>
          <w:u w:val="single"/>
          <w:lang w:eastAsia="zh-CN"/>
        </w:rPr>
        <w:t>有限公司</w:t>
      </w:r>
      <w:r>
        <w:rPr>
          <w:rFonts w:hint="eastAsia" w:ascii="宋体" w:hAnsi="宋体" w:eastAsia="宋体" w:cs="宋体"/>
          <w:b w:val="0"/>
          <w:bCs/>
          <w:color w:val="auto"/>
          <w:sz w:val="21"/>
          <w:szCs w:val="21"/>
          <w:highlight w:val="none"/>
          <w:u w:val="none"/>
          <w:lang w:val="en-US" w:eastAsia="zh-CN"/>
        </w:rPr>
        <w:t>，本项目已具备采购条件，由采购实施单位：</w:t>
      </w:r>
      <w:r>
        <w:rPr>
          <w:rFonts w:hint="eastAsia" w:ascii="宋体" w:hAnsi="宋体" w:eastAsia="宋体" w:cs="宋体"/>
          <w:b w:val="0"/>
          <w:bCs/>
          <w:color w:val="auto"/>
          <w:sz w:val="21"/>
          <w:szCs w:val="21"/>
          <w:highlight w:val="none"/>
          <w:u w:val="single"/>
          <w:lang w:val="en-US" w:eastAsia="zh-CN"/>
        </w:rPr>
        <w:t xml:space="preserve"> 中国核工业建设股份有限公司 </w:t>
      </w:r>
      <w:r>
        <w:rPr>
          <w:rFonts w:hint="eastAsia" w:ascii="宋体" w:hAnsi="宋体" w:eastAsia="宋体" w:cs="宋体"/>
          <w:b w:val="0"/>
          <w:bCs/>
          <w:color w:val="auto"/>
          <w:sz w:val="21"/>
          <w:szCs w:val="21"/>
          <w:highlight w:val="none"/>
          <w:u w:val="none"/>
          <w:lang w:val="en-US" w:eastAsia="zh-CN"/>
        </w:rPr>
        <w:t xml:space="preserve"> 组织实施采购，由采购需求单位根据采购结果签订采购合同/协议。现诚邀愿意承接该项目的潜在供应商参加本次采购活动。</w:t>
      </w:r>
    </w:p>
    <w:p>
      <w:pPr>
        <w:pStyle w:val="10"/>
        <w:numPr>
          <w:ilvl w:val="0"/>
          <w:numId w:val="5"/>
        </w:numPr>
        <w:overflowPunct w:val="0"/>
        <w:spacing w:before="240" w:after="120"/>
        <w:outlineLvl w:val="1"/>
        <w:rPr>
          <w:rFonts w:ascii="宋体" w:hAnsi="宋体" w:eastAsia="宋体"/>
          <w:b/>
          <w:color w:val="auto"/>
          <w:highlight w:val="none"/>
        </w:rPr>
      </w:pPr>
      <w:bookmarkStart w:id="29" w:name="_Toc1834200284"/>
      <w:r>
        <w:rPr>
          <w:rFonts w:hint="eastAsia" w:ascii="宋体" w:hAnsi="宋体" w:eastAsia="宋体"/>
          <w:b/>
          <w:color w:val="auto"/>
          <w:highlight w:val="none"/>
        </w:rPr>
        <w:t>采购项目简介</w:t>
      </w:r>
      <w:bookmarkEnd w:id="16"/>
      <w:bookmarkEnd w:id="17"/>
      <w:bookmarkEnd w:id="18"/>
      <w:bookmarkEnd w:id="19"/>
      <w:bookmarkEnd w:id="20"/>
      <w:bookmarkEnd w:id="29"/>
    </w:p>
    <w:p>
      <w:pPr>
        <w:pStyle w:val="12"/>
        <w:keepNext w:val="0"/>
        <w:keepLines w:val="0"/>
        <w:pageBreakBefore w:val="0"/>
        <w:numPr>
          <w:ilvl w:val="-1"/>
          <w:numId w:val="0"/>
        </w:numPr>
        <w:kinsoku/>
        <w:overflowPunct w:val="0"/>
        <w:topLinePunct w:val="0"/>
        <w:autoSpaceDE/>
        <w:autoSpaceDN/>
        <w:bidi w:val="0"/>
        <w:spacing w:before="0" w:beforeLines="0" w:after="0" w:afterLines="0" w:line="360" w:lineRule="auto"/>
        <w:ind w:leftChars="0" w:firstLine="420" w:firstLineChars="200"/>
        <w:textAlignment w:val="auto"/>
        <w:rPr>
          <w:rFonts w:ascii="宋体" w:hAnsi="宋体" w:eastAsia="宋体"/>
          <w:color w:val="auto"/>
          <w:highlight w:val="none"/>
        </w:rPr>
      </w:pPr>
      <w:r>
        <w:rPr>
          <w:rFonts w:hint="eastAsia" w:ascii="宋体" w:hAnsi="宋体" w:eastAsia="宋体"/>
          <w:color w:val="auto"/>
          <w:highlight w:val="none"/>
        </w:rPr>
        <w:t>采购项目名称：</w:t>
      </w:r>
      <w:r>
        <w:rPr>
          <w:rFonts w:hint="eastAsia" w:ascii="宋体" w:hAnsi="宋体" w:eastAsia="宋体" w:cs="宋体"/>
          <w:bCs w:val="0"/>
          <w:color w:val="auto"/>
          <w:kern w:val="0"/>
          <w:sz w:val="22"/>
          <w:szCs w:val="22"/>
          <w:highlight w:val="none"/>
          <w:u w:val="single"/>
          <w:lang w:val="en-US" w:eastAsia="zh-CN" w:bidi="ar-SA"/>
        </w:rPr>
        <w:t>中核二四西北分公司喀什华电两个联营配套新能源项目风机基础土石方及道路交通工程专业分包询比常规采购</w:t>
      </w:r>
    </w:p>
    <w:p>
      <w:pPr>
        <w:pStyle w:val="12"/>
        <w:overflowPunct w:val="0"/>
        <w:spacing w:before="120" w:after="120"/>
        <w:ind w:firstLine="210"/>
        <w:rPr>
          <w:rFonts w:ascii="宋体" w:hAnsi="宋体" w:eastAsia="宋体"/>
          <w:color w:val="auto"/>
          <w:highlight w:val="none"/>
        </w:rPr>
      </w:pPr>
      <w:r>
        <w:rPr>
          <w:rFonts w:hint="eastAsia" w:ascii="宋体" w:hAnsi="宋体" w:eastAsia="宋体"/>
          <w:color w:val="auto"/>
          <w:highlight w:val="none"/>
          <w:lang w:eastAsia="zh-CN"/>
        </w:rPr>
        <w:t>采购实施单位</w:t>
      </w:r>
      <w:r>
        <w:rPr>
          <w:rFonts w:hint="eastAsia" w:ascii="宋体" w:hAnsi="宋体" w:eastAsia="宋体"/>
          <w:color w:val="auto"/>
          <w:highlight w:val="none"/>
        </w:rPr>
        <w:t>：</w:t>
      </w:r>
      <w:r>
        <w:rPr>
          <w:rFonts w:hint="eastAsia" w:ascii="宋体" w:hAnsi="宋体" w:eastAsia="宋体"/>
          <w:color w:val="auto"/>
          <w:highlight w:val="none"/>
          <w:u w:val="single"/>
        </w:rPr>
        <w:t>　</w:t>
      </w:r>
      <w:r>
        <w:rPr>
          <w:rFonts w:hint="eastAsia" w:ascii="宋体" w:hAnsi="宋体" w:eastAsia="宋体" w:cs="宋体"/>
          <w:b w:val="0"/>
          <w:bCs/>
          <w:color w:val="auto"/>
          <w:sz w:val="21"/>
          <w:szCs w:val="21"/>
          <w:highlight w:val="none"/>
          <w:u w:val="single"/>
          <w:lang w:val="en-US" w:eastAsia="zh-CN"/>
        </w:rPr>
        <w:t>中国核工业建设股份有限公司　；</w:t>
      </w:r>
    </w:p>
    <w:p>
      <w:pPr>
        <w:pStyle w:val="12"/>
        <w:overflowPunct w:val="0"/>
        <w:spacing w:before="120" w:after="120"/>
        <w:ind w:firstLine="210"/>
        <w:rPr>
          <w:rFonts w:ascii="宋体" w:hAnsi="宋体" w:eastAsia="宋体"/>
          <w:color w:val="auto"/>
          <w:highlight w:val="none"/>
        </w:rPr>
      </w:pPr>
      <w:r>
        <w:rPr>
          <w:rFonts w:hint="eastAsia" w:ascii="宋体" w:hAnsi="宋体" w:eastAsia="宋体"/>
          <w:color w:val="auto"/>
          <w:highlight w:val="none"/>
        </w:rPr>
        <w:t>采购项目资金落实情况：</w:t>
      </w:r>
      <w:r>
        <w:rPr>
          <w:rFonts w:hint="eastAsia" w:ascii="宋体" w:hAnsi="宋体" w:eastAsia="宋体"/>
          <w:color w:val="auto"/>
          <w:highlight w:val="none"/>
          <w:u w:val="single"/>
        </w:rPr>
        <w:t>已落实；</w:t>
      </w:r>
    </w:p>
    <w:p>
      <w:pPr>
        <w:pStyle w:val="12"/>
        <w:keepNext w:val="0"/>
        <w:keepLines w:val="0"/>
        <w:pageBreakBefore w:val="0"/>
        <w:numPr>
          <w:ilvl w:val="1"/>
          <w:numId w:val="0"/>
        </w:numPr>
        <w:kinsoku/>
        <w:overflowPunct w:val="0"/>
        <w:topLinePunct w:val="0"/>
        <w:autoSpaceDE/>
        <w:autoSpaceDN/>
        <w:bidi w:val="0"/>
        <w:spacing w:before="0" w:beforeLines="0" w:after="0" w:afterLines="0" w:line="360" w:lineRule="auto"/>
        <w:ind w:left="0" w:leftChars="0" w:firstLine="420" w:firstLineChars="200"/>
        <w:textAlignment w:val="auto"/>
        <w:rPr>
          <w:rFonts w:ascii="宋体" w:hAnsi="宋体" w:eastAsia="宋体"/>
          <w:color w:val="auto"/>
          <w:highlight w:val="none"/>
        </w:rPr>
      </w:pPr>
      <w:r>
        <w:rPr>
          <w:rFonts w:hint="eastAsia" w:ascii="宋体" w:hAnsi="宋体" w:eastAsia="宋体"/>
          <w:color w:val="auto"/>
          <w:highlight w:val="none"/>
        </w:rPr>
        <w:t>采购项目概况：</w:t>
      </w:r>
      <w:r>
        <w:rPr>
          <w:rFonts w:hint="eastAsia" w:ascii="宋体" w:hAnsi="宋体" w:eastAsia="宋体"/>
          <w:color w:val="auto"/>
          <w:highlight w:val="none"/>
          <w:u w:val="single"/>
        </w:rPr>
        <w:t>属于《总包合同》中约定承包范围内的所有</w:t>
      </w:r>
      <w:r>
        <w:rPr>
          <w:rFonts w:hint="eastAsia" w:ascii="宋体" w:hAnsi="宋体" w:eastAsia="宋体"/>
          <w:color w:val="auto"/>
          <w:highlight w:val="none"/>
          <w:u w:val="single"/>
          <w:lang w:val="en-US" w:eastAsia="zh-CN"/>
        </w:rPr>
        <w:t>风电机组土石方工程、风电机组出线土石方工程；场内道路、检修道路、过水道路土石方工程；风电机组安装平台土石方工程</w:t>
      </w:r>
    </w:p>
    <w:p>
      <w:pPr>
        <w:pStyle w:val="12"/>
        <w:overflowPunct w:val="0"/>
        <w:spacing w:before="120" w:after="120"/>
        <w:ind w:firstLine="210"/>
        <w:rPr>
          <w:rFonts w:ascii="宋体" w:hAnsi="宋体" w:eastAsia="宋体"/>
          <w:color w:val="auto"/>
          <w:highlight w:val="none"/>
        </w:rPr>
      </w:pPr>
      <w:r>
        <w:rPr>
          <w:rFonts w:hint="eastAsia" w:ascii="宋体" w:hAnsi="宋体" w:eastAsia="宋体"/>
          <w:color w:val="auto"/>
          <w:highlight w:val="none"/>
        </w:rPr>
        <w:t>采购方式：</w:t>
      </w:r>
      <w:r>
        <w:rPr>
          <w:rFonts w:hint="eastAsia" w:ascii="宋体" w:hAnsi="宋体" w:eastAsia="宋体"/>
          <w:color w:val="auto"/>
          <w:highlight w:val="none"/>
          <w:u w:val="single"/>
        </w:rPr>
        <w:t>公开询比；</w:t>
      </w:r>
    </w:p>
    <w:p>
      <w:pPr>
        <w:pStyle w:val="12"/>
        <w:overflowPunct w:val="0"/>
        <w:spacing w:before="120" w:after="120"/>
        <w:ind w:firstLine="210"/>
        <w:rPr>
          <w:rFonts w:ascii="宋体" w:hAnsi="宋体" w:eastAsia="宋体"/>
          <w:color w:val="auto"/>
          <w:highlight w:val="none"/>
        </w:rPr>
      </w:pPr>
      <w:r>
        <w:rPr>
          <w:rFonts w:hint="eastAsia" w:ascii="宋体" w:hAnsi="宋体" w:eastAsia="宋体"/>
          <w:color w:val="auto"/>
          <w:highlight w:val="none"/>
        </w:rPr>
        <w:t>成交供应商数量：</w:t>
      </w:r>
      <w:r>
        <w:rPr>
          <w:rFonts w:hint="eastAsia" w:ascii="宋体" w:hAnsi="宋体" w:eastAsia="宋体"/>
          <w:color w:val="auto"/>
          <w:highlight w:val="none"/>
          <w:u w:val="single"/>
          <w:lang w:eastAsia="zh-CN"/>
        </w:rPr>
        <w:t>☑</w:t>
      </w:r>
      <w:r>
        <w:rPr>
          <w:rFonts w:hint="default" w:ascii="宋体" w:hAnsi="宋体" w:eastAsia="宋体"/>
          <w:color w:val="auto"/>
          <w:highlight w:val="none"/>
          <w:u w:val="single"/>
          <w:lang w:val="en-US" w:eastAsia="zh-CN"/>
        </w:rPr>
        <w:t>2</w:t>
      </w:r>
      <w:r>
        <w:rPr>
          <w:rFonts w:hint="eastAsia" w:ascii="宋体" w:hAnsi="宋体" w:eastAsia="宋体"/>
          <w:color w:val="auto"/>
          <w:highlight w:val="none"/>
          <w:u w:val="single"/>
        </w:rPr>
        <w:t>家</w:t>
      </w:r>
      <w:r>
        <w:rPr>
          <w:rFonts w:hint="default" w:ascii="宋体" w:hAnsi="宋体" w:eastAsia="宋体"/>
          <w:color w:val="auto"/>
          <w:highlight w:val="none"/>
          <w:u w:val="single"/>
          <w:lang w:val="en-US"/>
        </w:rPr>
        <w:t>.</w:t>
      </w:r>
      <w:r>
        <w:rPr>
          <w:rFonts w:hint="eastAsia" w:ascii="宋体" w:hAnsi="宋体" w:eastAsia="宋体"/>
          <w:color w:val="auto"/>
          <w:highlight w:val="none"/>
          <w:u w:val="single"/>
          <w:lang w:val="en-US" w:eastAsia="zh-CN"/>
        </w:rPr>
        <w:t>一标段1家，二标段1家</w:t>
      </w:r>
      <w:r>
        <w:rPr>
          <w:rFonts w:hint="eastAsia" w:ascii="宋体" w:hAnsi="宋体" w:eastAsia="宋体"/>
          <w:color w:val="auto"/>
          <w:highlight w:val="none"/>
          <w:u w:val="single"/>
        </w:rPr>
        <w:t>；</w:t>
      </w:r>
    </w:p>
    <w:p>
      <w:pPr>
        <w:pStyle w:val="10"/>
        <w:overflowPunct w:val="0"/>
        <w:spacing w:before="240" w:after="120"/>
        <w:outlineLvl w:val="1"/>
        <w:rPr>
          <w:rFonts w:ascii="宋体" w:hAnsi="宋体" w:eastAsia="宋体"/>
          <w:b/>
          <w:color w:val="auto"/>
          <w:highlight w:val="none"/>
        </w:rPr>
      </w:pPr>
      <w:bookmarkStart w:id="30" w:name="_Toc22913206"/>
      <w:bookmarkStart w:id="31" w:name="_Toc191907890"/>
      <w:bookmarkStart w:id="32" w:name="_Toc194335747"/>
      <w:bookmarkStart w:id="33" w:name="_Toc85693712"/>
      <w:bookmarkStart w:id="34" w:name="_Toc191150464"/>
      <w:bookmarkStart w:id="35" w:name="_Toc34985216"/>
      <w:bookmarkStart w:id="36" w:name="_Toc191151465"/>
      <w:bookmarkStart w:id="37" w:name="_Toc191151247"/>
      <w:r>
        <w:rPr>
          <w:rFonts w:ascii="宋体" w:hAnsi="宋体" w:eastAsia="宋体"/>
          <w:b/>
          <w:color w:val="auto"/>
          <w:highlight w:val="none"/>
        </w:rPr>
        <w:t>采购范围及相关要求</w:t>
      </w:r>
      <w:bookmarkEnd w:id="30"/>
      <w:bookmarkEnd w:id="31"/>
      <w:bookmarkEnd w:id="32"/>
      <w:bookmarkEnd w:id="33"/>
      <w:bookmarkEnd w:id="34"/>
      <w:bookmarkEnd w:id="35"/>
      <w:bookmarkEnd w:id="36"/>
      <w:bookmarkEnd w:id="37"/>
    </w:p>
    <w:p>
      <w:pPr>
        <w:pStyle w:val="13"/>
        <w:keepNext w:val="0"/>
        <w:keepLines w:val="0"/>
        <w:pageBreakBefore w:val="0"/>
        <w:widowControl/>
        <w:numPr>
          <w:ilvl w:val="-1"/>
          <w:numId w:val="0"/>
        </w:numPr>
        <w:kinsoku/>
        <w:wordWrap w:val="0"/>
        <w:overflowPunct/>
        <w:topLinePunct w:val="0"/>
        <w:autoSpaceDE/>
        <w:autoSpaceDN/>
        <w:bidi w:val="0"/>
        <w:adjustRightInd/>
        <w:snapToGrid/>
        <w:spacing w:before="0" w:beforeLines="0" w:after="0" w:afterLines="0" w:line="360" w:lineRule="auto"/>
        <w:ind w:left="0" w:firstLine="422" w:firstLineChars="200"/>
        <w:textAlignment w:val="auto"/>
        <w:rPr>
          <w:rFonts w:hint="eastAsia" w:ascii="宋体" w:hAnsi="宋体" w:eastAsia="宋体" w:cs="Times New Roman"/>
          <w:b w:val="0"/>
          <w:bCs/>
          <w:color w:val="auto"/>
          <w:kern w:val="0"/>
          <w:sz w:val="21"/>
          <w:szCs w:val="28"/>
          <w:highlight w:val="none"/>
          <w:u w:val="single"/>
          <w:lang w:val="en-US" w:eastAsia="zh-CN" w:bidi="ar-SA"/>
        </w:rPr>
      </w:pPr>
      <w:bookmarkStart w:id="38" w:name="_Hlk72917662"/>
      <w:r>
        <w:rPr>
          <w:rFonts w:hint="eastAsia" w:ascii="宋体" w:hAnsi="宋体" w:eastAsia="宋体"/>
          <w:color w:val="auto"/>
          <w:highlight w:val="none"/>
        </w:rPr>
        <w:t>采购范围：</w:t>
      </w:r>
      <w:r>
        <w:rPr>
          <w:rFonts w:hint="eastAsia" w:ascii="宋体" w:hAnsi="宋体" w:eastAsia="宋体" w:cs="Times New Roman"/>
          <w:b w:val="0"/>
          <w:bCs/>
          <w:color w:val="auto"/>
          <w:kern w:val="0"/>
          <w:sz w:val="21"/>
          <w:szCs w:val="28"/>
          <w:highlight w:val="none"/>
          <w:u w:val="single"/>
          <w:lang w:val="en-US" w:eastAsia="zh-CN" w:bidi="ar-SA"/>
        </w:rPr>
        <w:t>2.1.1招标人与业主签订的《华电喀什两个联营264万千瓦风电项目施工（一标段）建设项目总承包合同》（以下简称：总承包合同）中约定招标人对该工程承包（施工图纸及工程量清单）范围内的风机基坑59基，附属道路54.2公里；其中（一标段）包含：基坑（A1-6至A1-26，A2-27至A2-28，A3-53至A3-59）共计30基，附属道路约27.8km，升压站场平土石方、设备基础土石方；二标段：基坑（A1-1至A1-5，A2-29至A2-47，A3-48至A3-52）共计29基，附属道路约26.4km。</w:t>
      </w:r>
    </w:p>
    <w:p>
      <w:pPr>
        <w:pStyle w:val="13"/>
        <w:keepNext w:val="0"/>
        <w:keepLines w:val="0"/>
        <w:pageBreakBefore w:val="0"/>
        <w:widowControl/>
        <w:numPr>
          <w:ilvl w:val="-1"/>
          <w:numId w:val="0"/>
        </w:numPr>
        <w:kinsoku/>
        <w:wordWrap w:val="0"/>
        <w:overflowPunct/>
        <w:topLinePunct w:val="0"/>
        <w:autoSpaceDE/>
        <w:autoSpaceDN/>
        <w:bidi w:val="0"/>
        <w:adjustRightInd/>
        <w:snapToGrid/>
        <w:spacing w:before="0" w:beforeLines="0" w:after="0" w:afterLines="0" w:line="360" w:lineRule="auto"/>
        <w:ind w:left="0" w:firstLine="420" w:firstLineChars="200"/>
        <w:textAlignment w:val="auto"/>
        <w:rPr>
          <w:rFonts w:hint="default" w:ascii="宋体" w:hAnsi="宋体" w:eastAsia="宋体" w:cs="宋体"/>
          <w:b w:val="0"/>
          <w:color w:val="auto"/>
          <w:szCs w:val="21"/>
          <w:highlight w:val="none"/>
          <w:lang w:val="en-US" w:eastAsia="zh-CN"/>
        </w:rPr>
      </w:pPr>
      <w:r>
        <w:rPr>
          <w:rFonts w:hint="eastAsia" w:ascii="宋体" w:hAnsi="宋体" w:eastAsia="宋体" w:cs="Times New Roman"/>
          <w:b w:val="0"/>
          <w:bCs/>
          <w:color w:val="auto"/>
          <w:kern w:val="0"/>
          <w:sz w:val="21"/>
          <w:szCs w:val="28"/>
          <w:highlight w:val="none"/>
          <w:u w:val="single"/>
          <w:lang w:val="en-US" w:eastAsia="zh-CN" w:bidi="ar-SA"/>
        </w:rPr>
        <w:t>2.1.2施工范围包括但不限于场区内风电机组基础、场内道路土石方、风电机组安装平台土石方工程的土方开挖、倒运、土方回填，施工区域内的场地平整，回填土方的分层夯实碾压、试验检测、土方运输，各类排污、清洁、渣土、土方回填后的场地平整和场地清理，办理各项证件、对外协调以及跟本工程有关的所有费用的缴纳等工作，施工期间，满足工程所在地相关治污减霾等环保要求。</w:t>
      </w:r>
    </w:p>
    <w:p>
      <w:pPr>
        <w:pStyle w:val="12"/>
        <w:overflowPunct w:val="0"/>
        <w:spacing w:before="120" w:after="120"/>
        <w:ind w:firstLine="210"/>
        <w:rPr>
          <w:rFonts w:ascii="宋体" w:hAnsi="宋体" w:eastAsia="宋体"/>
          <w:color w:val="auto"/>
          <w:highlight w:val="none"/>
        </w:rPr>
      </w:pPr>
      <w:r>
        <w:rPr>
          <w:rFonts w:hint="eastAsia" w:ascii="宋体" w:hAnsi="宋体" w:eastAsia="宋体"/>
          <w:color w:val="auto"/>
          <w:highlight w:val="none"/>
        </w:rPr>
        <w:t>计划工期：</w:t>
      </w:r>
      <w:r>
        <w:rPr>
          <w:rFonts w:hint="eastAsia" w:ascii="宋体" w:hAnsi="宋体" w:eastAsia="宋体" w:cs="Times New Roman"/>
          <w:b w:val="0"/>
          <w:bCs/>
          <w:color w:val="auto"/>
          <w:kern w:val="0"/>
          <w:sz w:val="21"/>
          <w:szCs w:val="28"/>
          <w:highlight w:val="none"/>
          <w:u w:val="single"/>
          <w:lang w:val="en-US" w:eastAsia="zh-CN" w:bidi="ar-SA"/>
        </w:rPr>
        <w:t xml:space="preserve"> 90日历天（以采购方批准开工报告为准）；</w:t>
      </w:r>
    </w:p>
    <w:p>
      <w:pPr>
        <w:pStyle w:val="12"/>
        <w:overflowPunct w:val="0"/>
        <w:spacing w:before="120" w:after="120"/>
        <w:ind w:firstLine="210"/>
        <w:rPr>
          <w:rFonts w:ascii="宋体" w:hAnsi="宋体" w:eastAsia="宋体"/>
          <w:color w:val="auto"/>
          <w:highlight w:val="none"/>
        </w:rPr>
      </w:pPr>
      <w:r>
        <w:rPr>
          <w:rFonts w:hint="eastAsia" w:ascii="宋体" w:hAnsi="宋体" w:eastAsia="宋体"/>
          <w:color w:val="auto"/>
          <w:highlight w:val="none"/>
        </w:rPr>
        <w:t>建设地点：</w:t>
      </w:r>
      <w:r>
        <w:rPr>
          <w:rFonts w:hint="eastAsia" w:ascii="宋体" w:hAnsi="宋体" w:eastAsia="宋体" w:cs="Times New Roman"/>
          <w:b w:val="0"/>
          <w:bCs/>
          <w:color w:val="auto"/>
          <w:kern w:val="0"/>
          <w:sz w:val="21"/>
          <w:szCs w:val="28"/>
          <w:highlight w:val="none"/>
          <w:u w:val="single"/>
          <w:lang w:val="en-US" w:eastAsia="zh-CN" w:bidi="ar-SA"/>
        </w:rPr>
        <w:t xml:space="preserve"> 新疆维吾尔自治区哈密三塘湖镇；</w:t>
      </w:r>
    </w:p>
    <w:p>
      <w:pPr>
        <w:pStyle w:val="12"/>
        <w:overflowPunct w:val="0"/>
        <w:spacing w:before="120" w:after="120"/>
        <w:ind w:firstLine="210"/>
        <w:rPr>
          <w:rFonts w:ascii="宋体" w:hAnsi="宋体" w:eastAsia="宋体"/>
          <w:color w:val="auto"/>
          <w:highlight w:val="none"/>
          <w:u w:val="single"/>
        </w:rPr>
      </w:pPr>
      <w:r>
        <w:rPr>
          <w:rFonts w:hint="eastAsia" w:ascii="宋体" w:hAnsi="宋体" w:eastAsia="宋体"/>
          <w:color w:val="auto"/>
          <w:highlight w:val="none"/>
        </w:rPr>
        <w:t>质量要求：</w:t>
      </w:r>
      <w:r>
        <w:rPr>
          <w:rFonts w:hint="eastAsia" w:ascii="宋体" w:hAnsi="宋体" w:eastAsia="宋体"/>
          <w:color w:val="auto"/>
          <w:highlight w:val="none"/>
          <w:u w:val="single"/>
        </w:rPr>
        <w:t>　</w:t>
      </w:r>
      <w:r>
        <w:rPr>
          <w:rFonts w:hint="eastAsia" w:asciiTheme="majorEastAsia" w:hAnsiTheme="majorEastAsia" w:eastAsiaTheme="majorEastAsia" w:cstheme="majorEastAsia"/>
          <w:color w:val="auto"/>
          <w:szCs w:val="21"/>
          <w:highlight w:val="none"/>
          <w:u w:val="single"/>
          <w:lang w:eastAsia="zh-CN"/>
        </w:rPr>
        <w:t>□</w:t>
      </w:r>
      <w:r>
        <w:rPr>
          <w:rFonts w:hint="eastAsia" w:asciiTheme="majorEastAsia" w:hAnsiTheme="majorEastAsia" w:eastAsiaTheme="majorEastAsia" w:cstheme="majorEastAsia"/>
          <w:color w:val="auto"/>
          <w:szCs w:val="21"/>
          <w:highlight w:val="none"/>
          <w:u w:val="single"/>
        </w:rPr>
        <w:t>合格；</w:t>
      </w:r>
      <w:r>
        <w:rPr>
          <w:rFonts w:hint="eastAsia" w:asciiTheme="majorEastAsia" w:hAnsiTheme="majorEastAsia" w:eastAsiaTheme="majorEastAsia" w:cstheme="majorEastAsia"/>
          <w:color w:val="auto"/>
          <w:szCs w:val="21"/>
          <w:highlight w:val="none"/>
          <w:u w:val="single"/>
          <w:lang w:eastAsia="zh-CN"/>
        </w:rPr>
        <w:t>☑</w:t>
      </w:r>
      <w:r>
        <w:rPr>
          <w:rFonts w:hint="eastAsia" w:asciiTheme="majorEastAsia" w:hAnsiTheme="majorEastAsia" w:eastAsiaTheme="majorEastAsia" w:cstheme="majorEastAsia"/>
          <w:color w:val="auto"/>
          <w:szCs w:val="21"/>
          <w:highlight w:val="none"/>
          <w:u w:val="single"/>
        </w:rPr>
        <w:t>一次性验收合格；</w:t>
      </w:r>
      <w:r>
        <w:rPr>
          <w:rFonts w:hint="eastAsia" w:asciiTheme="majorEastAsia" w:hAnsiTheme="majorEastAsia" w:eastAsiaTheme="majorEastAsia" w:cstheme="majorEastAsia"/>
          <w:color w:val="auto"/>
          <w:szCs w:val="21"/>
          <w:highlight w:val="none"/>
          <w:u w:val="single"/>
          <w:lang w:eastAsia="zh-CN"/>
        </w:rPr>
        <w:t>□</w:t>
      </w:r>
      <w:r>
        <w:rPr>
          <w:rFonts w:hint="eastAsia" w:asciiTheme="majorEastAsia" w:hAnsiTheme="majorEastAsia" w:eastAsiaTheme="majorEastAsia" w:cstheme="majorEastAsia"/>
          <w:color w:val="auto"/>
          <w:szCs w:val="21"/>
          <w:highlight w:val="none"/>
          <w:u w:val="single"/>
        </w:rPr>
        <w:t>创优</w:t>
      </w:r>
      <w:r>
        <w:rPr>
          <w:rFonts w:hint="eastAsia" w:ascii="宋体" w:hAnsi="宋体" w:eastAsia="宋体"/>
          <w:color w:val="auto"/>
          <w:highlight w:val="none"/>
          <w:u w:val="single"/>
        </w:rPr>
        <w:t>；</w:t>
      </w:r>
      <w:r>
        <w:rPr>
          <w:rFonts w:hint="eastAsia" w:asciiTheme="majorEastAsia" w:hAnsiTheme="majorEastAsia" w:eastAsiaTheme="majorEastAsia" w:cstheme="majorEastAsia"/>
          <w:color w:val="auto"/>
          <w:szCs w:val="21"/>
          <w:highlight w:val="none"/>
          <w:u w:val="single"/>
          <w:lang w:eastAsia="zh-CN"/>
        </w:rPr>
        <w:t>□</w:t>
      </w:r>
      <w:r>
        <w:rPr>
          <w:rFonts w:hint="eastAsia" w:asciiTheme="majorEastAsia" w:hAnsiTheme="majorEastAsia" w:eastAsiaTheme="majorEastAsia" w:cstheme="majorEastAsia"/>
          <w:color w:val="auto"/>
          <w:szCs w:val="21"/>
          <w:highlight w:val="none"/>
          <w:u w:val="single"/>
          <w:lang w:val="en-US" w:eastAsia="zh-CN"/>
        </w:rPr>
        <w:t>其他：</w:t>
      </w:r>
    </w:p>
    <w:p>
      <w:pPr>
        <w:pStyle w:val="15"/>
        <w:keepNext w:val="0"/>
        <w:keepLines w:val="0"/>
        <w:pageBreakBefore w:val="0"/>
        <w:kinsoku/>
        <w:topLinePunct w:val="0"/>
        <w:autoSpaceDE/>
        <w:autoSpaceDN/>
        <w:bidi w:val="0"/>
        <w:spacing w:line="360" w:lineRule="auto"/>
        <w:ind w:left="0" w:leftChars="0"/>
        <w:textAlignment w:val="auto"/>
        <w:rPr>
          <w:rFonts w:hint="eastAsia" w:ascii="宋体" w:hAnsi="宋体" w:eastAsia="宋体" w:cs="Times New Roman"/>
          <w:b w:val="0"/>
          <w:bCs/>
          <w:color w:val="auto"/>
          <w:kern w:val="0"/>
          <w:sz w:val="21"/>
          <w:szCs w:val="28"/>
          <w:highlight w:val="none"/>
          <w:u w:val="single"/>
          <w:lang w:val="en-US" w:eastAsia="zh-CN" w:bidi="ar-SA"/>
        </w:rPr>
      </w:pPr>
      <w:r>
        <w:rPr>
          <w:rFonts w:hint="eastAsia" w:ascii="宋体" w:hAnsi="宋体" w:eastAsia="宋体" w:cs="Times New Roman"/>
          <w:b w:val="0"/>
          <w:bCs/>
          <w:color w:val="auto"/>
          <w:kern w:val="0"/>
          <w:sz w:val="21"/>
          <w:szCs w:val="28"/>
          <w:highlight w:val="none"/>
          <w:u w:val="single"/>
          <w:lang w:val="en-US" w:eastAsia="zh-CN" w:bidi="ar-SA"/>
        </w:rPr>
        <w:t>（1）本工程质量必须符合国家、新疆维吾尔自治区及工程所在地的有关工程质量验收标准，标准不一致的按最高标准执行。</w:t>
      </w:r>
    </w:p>
    <w:p>
      <w:pPr>
        <w:pStyle w:val="13"/>
        <w:numPr>
          <w:ilvl w:val="1"/>
          <w:numId w:val="0"/>
        </w:numPr>
        <w:ind w:firstLine="420" w:firstLineChars="200"/>
        <w:rPr>
          <w:rFonts w:hint="eastAsia" w:ascii="宋体" w:hAnsi="宋体" w:eastAsia="宋体" w:cs="Times New Roman"/>
          <w:b w:val="0"/>
          <w:bCs/>
          <w:color w:val="auto"/>
          <w:kern w:val="0"/>
          <w:sz w:val="21"/>
          <w:szCs w:val="28"/>
          <w:highlight w:val="none"/>
          <w:u w:val="single"/>
          <w:lang w:val="en-US" w:eastAsia="zh-CN" w:bidi="ar-SA"/>
        </w:rPr>
      </w:pPr>
      <w:r>
        <w:rPr>
          <w:rFonts w:hint="eastAsia" w:ascii="宋体" w:hAnsi="宋体" w:eastAsia="宋体" w:cs="Times New Roman"/>
          <w:b w:val="0"/>
          <w:bCs/>
          <w:color w:val="auto"/>
          <w:kern w:val="0"/>
          <w:sz w:val="21"/>
          <w:szCs w:val="28"/>
          <w:highlight w:val="none"/>
          <w:u w:val="single"/>
          <w:lang w:val="en-US" w:eastAsia="zh-CN" w:bidi="ar-SA"/>
        </w:rPr>
        <w:t>（2）符合设计图纸要求。</w:t>
      </w:r>
    </w:p>
    <w:bookmarkEnd w:id="21"/>
    <w:bookmarkEnd w:id="22"/>
    <w:bookmarkEnd w:id="23"/>
    <w:bookmarkEnd w:id="24"/>
    <w:bookmarkEnd w:id="25"/>
    <w:bookmarkEnd w:id="26"/>
    <w:bookmarkEnd w:id="27"/>
    <w:bookmarkEnd w:id="28"/>
    <w:bookmarkEnd w:id="38"/>
    <w:p>
      <w:pPr>
        <w:pStyle w:val="10"/>
        <w:overflowPunct w:val="0"/>
        <w:spacing w:before="240" w:after="120"/>
        <w:outlineLvl w:val="1"/>
        <w:rPr>
          <w:rFonts w:ascii="宋体" w:hAnsi="宋体" w:eastAsia="宋体"/>
          <w:b/>
          <w:color w:val="auto"/>
          <w:highlight w:val="none"/>
        </w:rPr>
      </w:pPr>
      <w:bookmarkStart w:id="39" w:name="_Toc795224280"/>
      <w:bookmarkStart w:id="40" w:name="_Toc191150466"/>
      <w:bookmarkStart w:id="41" w:name="_Toc191907893"/>
      <w:bookmarkStart w:id="42" w:name="_Toc194335750"/>
      <w:bookmarkStart w:id="43" w:name="_Toc191151467"/>
      <w:bookmarkStart w:id="44" w:name="_Toc191151249"/>
      <w:bookmarkStart w:id="45" w:name="_Toc148539495"/>
      <w:bookmarkStart w:id="46" w:name="_Toc489693605"/>
      <w:bookmarkStart w:id="47" w:name="_Toc480553658"/>
      <w:bookmarkStart w:id="48" w:name="_Toc1173416255"/>
      <w:bookmarkStart w:id="49" w:name="_Toc3360"/>
      <w:bookmarkStart w:id="50" w:name="_Toc25560"/>
      <w:bookmarkStart w:id="51" w:name="_Toc5381"/>
      <w:bookmarkStart w:id="52" w:name="_Toc154347293"/>
      <w:bookmarkStart w:id="53" w:name="_Toc562621155"/>
      <w:bookmarkStart w:id="54" w:name="_Toc16612"/>
      <w:r>
        <w:rPr>
          <w:rFonts w:hint="eastAsia" w:ascii="宋体" w:hAnsi="宋体" w:eastAsia="宋体"/>
          <w:b/>
          <w:color w:val="auto"/>
          <w:highlight w:val="none"/>
        </w:rPr>
        <w:t>供应商资格要求</w:t>
      </w:r>
      <w:bookmarkEnd w:id="39"/>
      <w:bookmarkEnd w:id="40"/>
      <w:bookmarkEnd w:id="41"/>
      <w:bookmarkEnd w:id="42"/>
      <w:bookmarkEnd w:id="43"/>
      <w:bookmarkEnd w:id="44"/>
      <w:r>
        <w:rPr>
          <w:rFonts w:hint="eastAsia" w:ascii="宋体" w:hAnsi="宋体" w:eastAsia="宋体"/>
          <w:b/>
          <w:color w:val="auto"/>
          <w:highlight w:val="none"/>
        </w:rPr>
        <w:t xml:space="preserve">  </w:t>
      </w:r>
    </w:p>
    <w:p>
      <w:pPr>
        <w:pStyle w:val="12"/>
        <w:overflowPunct w:val="0"/>
        <w:spacing w:before="120" w:after="120"/>
        <w:ind w:firstLine="210"/>
        <w:rPr>
          <w:rFonts w:ascii="宋体" w:hAnsi="宋体" w:eastAsia="宋体"/>
          <w:color w:val="auto"/>
          <w:highlight w:val="none"/>
        </w:rPr>
      </w:pPr>
      <w:r>
        <w:rPr>
          <w:rFonts w:ascii="宋体" w:hAnsi="宋体" w:eastAsia="宋体"/>
          <w:color w:val="auto"/>
          <w:highlight w:val="none"/>
        </w:rPr>
        <w:t>供应商应依法设立且具备承担本采购项目的资质条件、能力和信誉</w:t>
      </w:r>
      <w:r>
        <w:rPr>
          <w:rFonts w:hint="eastAsia" w:ascii="宋体" w:hAnsi="宋体" w:eastAsia="宋体"/>
          <w:color w:val="auto"/>
          <w:highlight w:val="none"/>
        </w:rPr>
        <w:t>：</w:t>
      </w:r>
    </w:p>
    <w:p>
      <w:pPr>
        <w:pStyle w:val="16"/>
        <w:keepNext w:val="0"/>
        <w:keepLines w:val="0"/>
        <w:pageBreakBefore w:val="0"/>
        <w:widowControl/>
        <w:numPr>
          <w:ilvl w:val="0"/>
          <w:numId w:val="6"/>
        </w:numPr>
        <w:kinsoku/>
        <w:wordWrap/>
        <w:overflowPunct/>
        <w:topLinePunct w:val="0"/>
        <w:autoSpaceDE/>
        <w:autoSpaceDN/>
        <w:bidi w:val="0"/>
        <w:adjustRightInd w:val="0"/>
        <w:snapToGrid w:val="0"/>
        <w:ind w:left="0" w:leftChars="0" w:firstLine="420" w:firstLineChars="0"/>
        <w:textAlignment w:val="auto"/>
        <w:rPr>
          <w:rFonts w:hint="eastAsia" w:ascii="宋体" w:hAnsi="宋体" w:eastAsia="宋体"/>
          <w:color w:val="auto"/>
          <w:highlight w:val="none"/>
          <w:u w:val="single"/>
        </w:rPr>
      </w:pPr>
      <w:r>
        <w:rPr>
          <w:rFonts w:hint="eastAsia" w:ascii="宋体" w:hAnsi="宋体" w:eastAsia="宋体"/>
          <w:color w:val="auto"/>
          <w:highlight w:val="none"/>
        </w:rPr>
        <w:t>基本要求：</w:t>
      </w:r>
      <w:r>
        <w:rPr>
          <w:rFonts w:hint="eastAsia" w:ascii="宋体" w:hAnsi="宋体" w:eastAsia="宋体"/>
          <w:color w:val="auto"/>
          <w:highlight w:val="none"/>
          <w:u w:val="single"/>
        </w:rPr>
        <w:t>提供有效的营业执照（或事业</w:t>
      </w:r>
      <w:r>
        <w:rPr>
          <w:rFonts w:hint="eastAsia" w:ascii="宋体" w:hAnsi="宋体" w:eastAsia="宋体"/>
          <w:color w:val="auto"/>
          <w:highlight w:val="none"/>
          <w:u w:val="single"/>
          <w:lang w:val="en-US" w:eastAsia="zh-CN"/>
        </w:rPr>
        <w:t>单位法人证书</w:t>
      </w:r>
      <w:r>
        <w:rPr>
          <w:rFonts w:hint="eastAsia" w:ascii="宋体" w:hAnsi="宋体" w:eastAsia="宋体"/>
          <w:color w:val="auto"/>
          <w:highlight w:val="none"/>
          <w:u w:val="single"/>
        </w:rPr>
        <w:t>）；</w:t>
      </w:r>
    </w:p>
    <w:p>
      <w:pPr>
        <w:pStyle w:val="16"/>
        <w:keepNext w:val="0"/>
        <w:keepLines w:val="0"/>
        <w:pageBreakBefore w:val="0"/>
        <w:widowControl/>
        <w:kinsoku/>
        <w:wordWrap/>
        <w:overflowPunct/>
        <w:topLinePunct w:val="0"/>
        <w:autoSpaceDE/>
        <w:autoSpaceDN/>
        <w:bidi w:val="0"/>
        <w:adjustRightInd w:val="0"/>
        <w:snapToGrid w:val="0"/>
        <w:ind w:left="0" w:leftChars="0" w:firstLine="420" w:firstLineChars="0"/>
        <w:textAlignment w:val="auto"/>
        <w:rPr>
          <w:rFonts w:ascii="宋体" w:hAnsi="宋体" w:eastAsia="宋体"/>
          <w:color w:val="auto"/>
          <w:highlight w:val="none"/>
        </w:rPr>
      </w:pPr>
      <w:r>
        <w:rPr>
          <w:rFonts w:hint="eastAsia" w:ascii="宋体" w:hAnsi="宋体" w:eastAsia="宋体"/>
          <w:color w:val="auto"/>
          <w:highlight w:val="none"/>
        </w:rPr>
        <w:t>安全要求：</w:t>
      </w:r>
      <w:r>
        <w:rPr>
          <w:rFonts w:hint="eastAsia" w:ascii="宋体" w:hAnsi="宋体" w:eastAsia="宋体"/>
          <w:color w:val="auto"/>
          <w:highlight w:val="none"/>
          <w:u w:val="single"/>
        </w:rPr>
        <w:t>提供有效的安全生产许可证</w:t>
      </w:r>
      <w:r>
        <w:rPr>
          <w:rFonts w:hint="eastAsia" w:ascii="宋体" w:hAnsi="宋体" w:eastAsia="宋体"/>
          <w:color w:val="auto"/>
          <w:highlight w:val="none"/>
          <w:u w:val="single"/>
          <w:lang w:val="en-US" w:eastAsia="zh-CN"/>
        </w:rPr>
        <w:t xml:space="preserve">； </w:t>
      </w:r>
    </w:p>
    <w:p>
      <w:pPr>
        <w:pStyle w:val="16"/>
        <w:keepNext w:val="0"/>
        <w:keepLines w:val="0"/>
        <w:pageBreakBefore w:val="0"/>
        <w:kinsoku/>
        <w:wordWrap/>
        <w:topLinePunct w:val="0"/>
        <w:autoSpaceDE/>
        <w:autoSpaceDN/>
        <w:bidi w:val="0"/>
        <w:snapToGrid w:val="0"/>
        <w:spacing w:line="380" w:lineRule="exact"/>
        <w:ind w:left="420" w:leftChars="200"/>
        <w:textAlignment w:val="auto"/>
        <w:rPr>
          <w:rFonts w:ascii="宋体" w:hAnsi="宋体" w:eastAsia="宋体" w:cs="宋体"/>
          <w:i w:val="0"/>
          <w:iCs w:val="0"/>
          <w:color w:val="auto"/>
          <w:highlight w:val="none"/>
        </w:rPr>
      </w:pPr>
      <w:r>
        <w:rPr>
          <w:rFonts w:hint="eastAsia" w:ascii="宋体" w:hAnsi="宋体" w:eastAsia="宋体"/>
          <w:i w:val="0"/>
          <w:iCs w:val="0"/>
          <w:color w:val="auto"/>
          <w:highlight w:val="none"/>
        </w:rPr>
        <w:t>承担本项目的主要人员要求：拟派项目经理在确定</w:t>
      </w:r>
      <w:r>
        <w:rPr>
          <w:rFonts w:hint="eastAsia" w:ascii="宋体" w:hAnsi="宋体" w:eastAsia="宋体"/>
          <w:i w:val="0"/>
          <w:iCs w:val="0"/>
          <w:color w:val="auto"/>
          <w:highlight w:val="none"/>
          <w:lang w:val="en-US" w:eastAsia="zh-CN"/>
        </w:rPr>
        <w:t>成交</w:t>
      </w:r>
      <w:r>
        <w:rPr>
          <w:rFonts w:hint="eastAsia" w:ascii="宋体" w:hAnsi="宋体" w:eastAsia="宋体"/>
          <w:i w:val="0"/>
          <w:iCs w:val="0"/>
          <w:color w:val="auto"/>
          <w:highlight w:val="none"/>
        </w:rPr>
        <w:t>人时不得担任其他在施建设工程项目的项目经理。</w:t>
      </w:r>
    </w:p>
    <w:p>
      <w:pPr>
        <w:pStyle w:val="16"/>
        <w:keepNext w:val="0"/>
        <w:keepLines w:val="0"/>
        <w:pageBreakBefore w:val="0"/>
        <w:numPr>
          <w:ilvl w:val="-1"/>
          <w:numId w:val="0"/>
        </w:numPr>
        <w:kinsoku/>
        <w:wordWrap/>
        <w:topLinePunct w:val="0"/>
        <w:autoSpaceDE/>
        <w:autoSpaceDN/>
        <w:bidi w:val="0"/>
        <w:snapToGrid w:val="0"/>
        <w:spacing w:line="380" w:lineRule="exact"/>
        <w:ind w:left="420" w:leftChars="200" w:firstLine="420" w:firstLineChars="200"/>
        <w:textAlignment w:val="auto"/>
        <w:rPr>
          <w:rFonts w:ascii="宋体" w:hAnsi="宋体" w:eastAsia="宋体"/>
          <w:color w:val="auto"/>
          <w:highlight w:val="none"/>
        </w:rPr>
      </w:pPr>
      <w:r>
        <w:rPr>
          <w:rFonts w:hint="eastAsia" w:ascii="宋体" w:hAnsi="宋体" w:eastAsia="宋体" w:cs="宋体"/>
          <w:i w:val="0"/>
          <w:iCs w:val="0"/>
          <w:color w:val="auto"/>
          <w:highlight w:val="none"/>
          <w:u w:val="single"/>
        </w:rPr>
        <w:t>项目组成员（</w:t>
      </w:r>
      <w:r>
        <w:rPr>
          <w:rFonts w:hint="eastAsia" w:ascii="宋体" w:hAnsi="宋体" w:eastAsia="宋体" w:cs="宋体"/>
          <w:i w:val="0"/>
          <w:iCs w:val="0"/>
          <w:color w:val="auto"/>
          <w:highlight w:val="none"/>
          <w:u w:val="single"/>
          <w:lang w:val="en-US" w:eastAsia="zh-CN"/>
        </w:rPr>
        <w:t>项目经理、</w:t>
      </w:r>
      <w:r>
        <w:rPr>
          <w:rFonts w:hint="eastAsia" w:ascii="宋体" w:hAnsi="宋体" w:eastAsia="宋体" w:cs="宋体"/>
          <w:i w:val="0"/>
          <w:iCs w:val="0"/>
          <w:color w:val="auto"/>
          <w:highlight w:val="none"/>
          <w:u w:val="single"/>
        </w:rPr>
        <w:t>安全员）</w:t>
      </w:r>
      <w:r>
        <w:rPr>
          <w:rFonts w:hint="eastAsia" w:ascii="宋体" w:hAnsi="宋体" w:eastAsia="宋体" w:cs="宋体"/>
          <w:i w:val="0"/>
          <w:iCs w:val="0"/>
          <w:color w:val="auto"/>
          <w:sz w:val="21"/>
          <w:szCs w:val="21"/>
          <w:highlight w:val="none"/>
          <w:u w:val="single"/>
        </w:rPr>
        <w:t>一年及以上劳动合同或</w:t>
      </w:r>
      <w:r>
        <w:rPr>
          <w:rFonts w:hint="eastAsia" w:ascii="宋体" w:hAnsi="宋体" w:eastAsia="宋体" w:cs="宋体"/>
          <w:i w:val="0"/>
          <w:iCs w:val="0"/>
          <w:color w:val="auto"/>
          <w:sz w:val="21"/>
          <w:szCs w:val="21"/>
          <w:highlight w:val="none"/>
          <w:u w:val="single"/>
          <w:lang w:val="en-US" w:eastAsia="zh-CN"/>
        </w:rPr>
        <w:t>三个月及以上</w:t>
      </w:r>
      <w:r>
        <w:rPr>
          <w:rFonts w:hint="eastAsia" w:ascii="宋体" w:hAnsi="宋体" w:eastAsia="宋体" w:cs="宋体"/>
          <w:i w:val="0"/>
          <w:iCs w:val="0"/>
          <w:color w:val="auto"/>
          <w:sz w:val="21"/>
          <w:szCs w:val="21"/>
          <w:highlight w:val="none"/>
          <w:u w:val="single"/>
        </w:rPr>
        <w:t>社会养老保险证明，</w:t>
      </w:r>
      <w:r>
        <w:rPr>
          <w:rFonts w:hint="eastAsia" w:ascii="宋体" w:hAnsi="宋体" w:eastAsia="宋体" w:cs="宋体"/>
          <w:i w:val="0"/>
          <w:iCs w:val="0"/>
          <w:color w:val="auto"/>
          <w:highlight w:val="none"/>
          <w:u w:val="single"/>
          <w:lang w:val="en-US" w:eastAsia="zh-CN"/>
        </w:rPr>
        <w:t>拟派安全员安全专业</w:t>
      </w:r>
      <w:r>
        <w:rPr>
          <w:rFonts w:hint="eastAsia" w:ascii="宋体" w:hAnsi="宋体" w:eastAsia="宋体" w:cs="宋体"/>
          <w:i w:val="0"/>
          <w:iCs w:val="0"/>
          <w:color w:val="auto"/>
          <w:highlight w:val="none"/>
          <w:u w:val="single"/>
        </w:rPr>
        <w:t>证书</w:t>
      </w:r>
      <w:r>
        <w:rPr>
          <w:rFonts w:hint="eastAsia" w:ascii="宋体" w:hAnsi="宋体" w:eastAsia="宋体" w:cs="宋体"/>
          <w:i w:val="0"/>
          <w:iCs w:val="0"/>
          <w:color w:val="auto"/>
          <w:highlight w:val="none"/>
          <w:u w:val="single"/>
          <w:lang w:eastAsia="zh-CN"/>
        </w:rPr>
        <w:t>；</w:t>
      </w:r>
    </w:p>
    <w:p>
      <w:pPr>
        <w:pStyle w:val="16"/>
        <w:keepNext w:val="0"/>
        <w:keepLines w:val="0"/>
        <w:pageBreakBefore w:val="0"/>
        <w:widowControl/>
        <w:kinsoku/>
        <w:wordWrap/>
        <w:overflowPunct/>
        <w:topLinePunct w:val="0"/>
        <w:autoSpaceDE/>
        <w:autoSpaceDN/>
        <w:bidi w:val="0"/>
        <w:adjustRightInd w:val="0"/>
        <w:snapToGrid w:val="0"/>
        <w:ind w:left="0" w:leftChars="0" w:firstLine="420" w:firstLineChars="0"/>
        <w:textAlignment w:val="auto"/>
        <w:rPr>
          <w:rFonts w:ascii="宋体" w:hAnsi="宋体" w:eastAsia="宋体"/>
          <w:i w:val="0"/>
          <w:iCs w:val="0"/>
          <w:color w:val="auto"/>
          <w:highlight w:val="none"/>
        </w:rPr>
      </w:pPr>
      <w:r>
        <w:rPr>
          <w:rFonts w:ascii="宋体" w:hAnsi="宋体" w:eastAsia="宋体"/>
          <w:i w:val="0"/>
          <w:iCs w:val="0"/>
          <w:color w:val="auto"/>
          <w:highlight w:val="none"/>
        </w:rPr>
        <w:t>信誉要求：</w:t>
      </w:r>
      <w:r>
        <w:rPr>
          <w:rFonts w:hint="eastAsia" w:ascii="宋体" w:hAnsi="宋体" w:eastAsia="宋体"/>
          <w:i w:val="0"/>
          <w:iCs w:val="0"/>
          <w:color w:val="auto"/>
          <w:highlight w:val="none"/>
        </w:rPr>
        <w:t>应当无不良施工记录等违法行为，且无下列不良状况或不良信用记录：①在国家企业信用信息公示系统（www.gsxt.gov.cn）中列为严重违法失信企业名单；②在“中国执行信息公开网”网站中被列入失信被执行人名单；③在全国建筑市场监管公共服务平台查询企业或项目经理处于禁止投标期限内；④在国家税务总局（http://www.chinatax.gov.cn/）中被列入重大税收违法失信案件信息公布栏</w:t>
      </w:r>
      <w:r>
        <w:rPr>
          <w:rFonts w:hint="eastAsia" w:ascii="宋体" w:hAnsi="宋体" w:eastAsia="宋体"/>
          <w:i w:val="0"/>
          <w:iCs w:val="0"/>
          <w:color w:val="auto"/>
          <w:highlight w:val="none"/>
          <w:lang w:eastAsia="zh-CN"/>
        </w:rPr>
        <w:t>；</w:t>
      </w:r>
      <w:r>
        <w:rPr>
          <w:rFonts w:hint="eastAsia" w:ascii="宋体" w:hAnsi="宋体" w:eastAsia="宋体"/>
          <w:i w:val="0"/>
          <w:iCs w:val="0"/>
          <w:color w:val="auto"/>
          <w:highlight w:val="none"/>
        </w:rPr>
        <w:t>（</w:t>
      </w:r>
      <w:r>
        <w:rPr>
          <w:rFonts w:hint="eastAsia" w:ascii="宋体" w:hAnsi="宋体" w:eastAsia="宋体" w:cs="宋体"/>
          <w:color w:val="auto"/>
          <w:highlight w:val="none"/>
          <w:u w:val="single"/>
        </w:rPr>
        <w:t>不强制应答报价人提供查询截图，若提供，仅作为参考，采购人保留查证的权力）</w:t>
      </w:r>
    </w:p>
    <w:p>
      <w:pPr>
        <w:pStyle w:val="16"/>
        <w:keepNext w:val="0"/>
        <w:keepLines w:val="0"/>
        <w:pageBreakBefore w:val="0"/>
        <w:widowControl/>
        <w:kinsoku/>
        <w:wordWrap/>
        <w:overflowPunct/>
        <w:topLinePunct w:val="0"/>
        <w:autoSpaceDE/>
        <w:autoSpaceDN/>
        <w:bidi w:val="0"/>
        <w:adjustRightInd w:val="0"/>
        <w:snapToGrid w:val="0"/>
        <w:ind w:left="0" w:leftChars="0" w:firstLine="420" w:firstLineChars="0"/>
        <w:textAlignment w:val="auto"/>
        <w:rPr>
          <w:rFonts w:ascii="宋体" w:hAnsi="宋体" w:eastAsia="宋体"/>
          <w:color w:val="auto"/>
          <w:highlight w:val="none"/>
        </w:rPr>
      </w:pPr>
      <w:r>
        <w:rPr>
          <w:rFonts w:ascii="宋体" w:hAnsi="宋体" w:eastAsia="宋体"/>
          <w:color w:val="auto"/>
          <w:highlight w:val="none"/>
        </w:rPr>
        <w:t>其他要求</w:t>
      </w:r>
      <w:r>
        <w:rPr>
          <w:rFonts w:hint="eastAsia" w:ascii="宋体" w:hAnsi="宋体" w:eastAsia="宋体"/>
          <w:color w:val="auto"/>
          <w:highlight w:val="none"/>
          <w:u w:val="single"/>
          <w:lang w:val="en-US" w:eastAsia="zh-CN"/>
        </w:rPr>
        <w:t xml:space="preserve">  /  ；</w:t>
      </w:r>
    </w:p>
    <w:p>
      <w:pPr>
        <w:pStyle w:val="12"/>
        <w:overflowPunct w:val="0"/>
        <w:spacing w:before="120" w:after="120"/>
        <w:ind w:firstLine="210"/>
        <w:rPr>
          <w:rFonts w:ascii="宋体" w:hAnsi="宋体" w:eastAsia="宋体"/>
          <w:color w:val="auto"/>
          <w:highlight w:val="none"/>
        </w:rPr>
      </w:pPr>
      <w:r>
        <w:rPr>
          <w:rFonts w:ascii="宋体" w:hAnsi="宋体" w:eastAsia="宋体"/>
          <w:color w:val="auto"/>
          <w:highlight w:val="none"/>
        </w:rPr>
        <w:t>供应商不得存在下列情形之一</w:t>
      </w:r>
      <w:r>
        <w:rPr>
          <w:rFonts w:hint="eastAsia" w:ascii="宋体" w:hAnsi="宋体" w:eastAsia="宋体"/>
          <w:color w:val="auto"/>
          <w:highlight w:val="none"/>
        </w:rPr>
        <w:t>：</w:t>
      </w:r>
    </w:p>
    <w:p>
      <w:pPr>
        <w:pStyle w:val="16"/>
        <w:numPr>
          <w:ilvl w:val="0"/>
          <w:numId w:val="7"/>
        </w:numPr>
        <w:wordWrap/>
        <w:snapToGrid w:val="0"/>
        <w:ind w:left="0" w:firstLine="420" w:firstLineChars="200"/>
        <w:rPr>
          <w:rFonts w:ascii="宋体" w:hAnsi="宋体" w:eastAsia="宋体"/>
          <w:color w:val="auto"/>
          <w:highlight w:val="none"/>
        </w:rPr>
      </w:pPr>
      <w:r>
        <w:rPr>
          <w:rFonts w:hint="eastAsia" w:ascii="宋体" w:hAnsi="宋体" w:eastAsia="宋体"/>
          <w:color w:val="auto"/>
          <w:highlight w:val="none"/>
        </w:rPr>
        <w:t>不同供应商之间的单位负责人为同一人，或者存在直接控股、管理关系；</w:t>
      </w:r>
    </w:p>
    <w:p>
      <w:pPr>
        <w:pStyle w:val="16"/>
        <w:numPr>
          <w:ilvl w:val="0"/>
          <w:numId w:val="7"/>
        </w:numPr>
        <w:wordWrap/>
        <w:snapToGrid w:val="0"/>
        <w:ind w:left="0" w:firstLine="420" w:firstLineChars="200"/>
        <w:rPr>
          <w:rFonts w:ascii="宋体" w:hAnsi="宋体" w:eastAsia="宋体"/>
          <w:color w:val="auto"/>
          <w:highlight w:val="none"/>
        </w:rPr>
      </w:pPr>
      <w:r>
        <w:rPr>
          <w:rFonts w:ascii="宋体" w:hAnsi="宋体" w:eastAsia="宋体"/>
          <w:color w:val="auto"/>
          <w:highlight w:val="none"/>
        </w:rPr>
        <w:t>处于被责令停产停业、暂扣或者吊销执照、暂扣或者吊销许可证、吊销资质证书状态；</w:t>
      </w:r>
    </w:p>
    <w:p>
      <w:pPr>
        <w:pStyle w:val="16"/>
        <w:numPr>
          <w:ilvl w:val="0"/>
          <w:numId w:val="7"/>
        </w:numPr>
        <w:wordWrap/>
        <w:snapToGrid w:val="0"/>
        <w:ind w:left="0" w:firstLine="420" w:firstLineChars="200"/>
        <w:rPr>
          <w:rFonts w:ascii="宋体" w:hAnsi="宋体" w:eastAsia="宋体"/>
          <w:color w:val="auto"/>
          <w:highlight w:val="none"/>
        </w:rPr>
      </w:pPr>
      <w:r>
        <w:rPr>
          <w:rFonts w:ascii="宋体" w:hAnsi="宋体" w:eastAsia="宋体"/>
          <w:color w:val="auto"/>
          <w:highlight w:val="none"/>
        </w:rPr>
        <w:t>被本项目所在地省级以上行业主管部门依法暂停或者取消</w:t>
      </w:r>
      <w:r>
        <w:rPr>
          <w:rFonts w:hint="eastAsia" w:ascii="宋体" w:hAnsi="宋体" w:eastAsia="宋体"/>
          <w:color w:val="auto"/>
          <w:highlight w:val="none"/>
        </w:rPr>
        <w:t>报价</w:t>
      </w:r>
      <w:r>
        <w:rPr>
          <w:rFonts w:ascii="宋体" w:hAnsi="宋体" w:eastAsia="宋体"/>
          <w:color w:val="auto"/>
          <w:highlight w:val="none"/>
        </w:rPr>
        <w:t>资格</w:t>
      </w:r>
      <w:r>
        <w:rPr>
          <w:rFonts w:hint="eastAsia" w:ascii="宋体" w:hAnsi="宋体" w:eastAsia="宋体"/>
          <w:color w:val="auto"/>
          <w:highlight w:val="none"/>
        </w:rPr>
        <w:t>；</w:t>
      </w:r>
    </w:p>
    <w:p>
      <w:pPr>
        <w:pStyle w:val="16"/>
        <w:numPr>
          <w:ilvl w:val="0"/>
          <w:numId w:val="7"/>
        </w:numPr>
        <w:wordWrap/>
        <w:snapToGrid w:val="0"/>
        <w:ind w:left="0" w:firstLine="420" w:firstLineChars="200"/>
        <w:rPr>
          <w:rFonts w:ascii="宋体" w:hAnsi="宋体" w:eastAsia="宋体"/>
          <w:color w:val="auto"/>
          <w:highlight w:val="none"/>
        </w:rPr>
      </w:pPr>
      <w:r>
        <w:rPr>
          <w:rFonts w:ascii="宋体" w:hAnsi="宋体" w:eastAsia="宋体"/>
          <w:color w:val="auto"/>
          <w:highlight w:val="none"/>
        </w:rPr>
        <w:t>进入清算程序，或被宣告破产，或其他丧失履约能力的情形；</w:t>
      </w:r>
    </w:p>
    <w:p>
      <w:pPr>
        <w:pStyle w:val="16"/>
        <w:numPr>
          <w:ilvl w:val="0"/>
          <w:numId w:val="7"/>
        </w:numPr>
        <w:wordWrap/>
        <w:snapToGrid w:val="0"/>
        <w:ind w:left="0" w:firstLine="420" w:firstLineChars="200"/>
        <w:rPr>
          <w:rFonts w:ascii="宋体" w:hAnsi="宋体" w:eastAsia="宋体"/>
          <w:color w:val="auto"/>
          <w:highlight w:val="none"/>
        </w:rPr>
      </w:pPr>
      <w:r>
        <w:rPr>
          <w:rFonts w:ascii="宋体" w:hAnsi="宋体" w:eastAsia="宋体"/>
          <w:color w:val="auto"/>
          <w:highlight w:val="none"/>
        </w:rPr>
        <w:t>根据</w:t>
      </w:r>
      <w:r>
        <w:rPr>
          <w:rFonts w:hint="eastAsia" w:ascii="宋体" w:hAnsi="宋体" w:eastAsia="宋体"/>
          <w:color w:val="auto"/>
          <w:highlight w:val="none"/>
        </w:rPr>
        <w:t>中国核工业集团</w:t>
      </w:r>
      <w:r>
        <w:rPr>
          <w:rFonts w:ascii="宋体" w:hAnsi="宋体" w:eastAsia="宋体"/>
          <w:color w:val="auto"/>
          <w:highlight w:val="none"/>
        </w:rPr>
        <w:t>供应商管理要求，被禁止参与采购活动且处于有效期</w:t>
      </w:r>
      <w:r>
        <w:rPr>
          <w:rFonts w:hint="eastAsia" w:ascii="宋体" w:hAnsi="宋体" w:eastAsia="宋体"/>
          <w:color w:val="auto"/>
          <w:highlight w:val="none"/>
        </w:rPr>
        <w:t>；</w:t>
      </w:r>
    </w:p>
    <w:p>
      <w:pPr>
        <w:pStyle w:val="16"/>
        <w:numPr>
          <w:ilvl w:val="0"/>
          <w:numId w:val="7"/>
        </w:numPr>
        <w:wordWrap/>
        <w:snapToGrid w:val="0"/>
        <w:ind w:left="0" w:firstLine="420" w:firstLineChars="200"/>
        <w:rPr>
          <w:rFonts w:ascii="宋体" w:hAnsi="宋体" w:eastAsia="宋体"/>
          <w:i w:val="0"/>
          <w:iCs w:val="0"/>
          <w:color w:val="auto"/>
          <w:highlight w:val="none"/>
        </w:rPr>
      </w:pPr>
      <w:r>
        <w:rPr>
          <w:rFonts w:hint="eastAsia" w:ascii="宋体" w:hAnsi="宋体" w:eastAsia="宋体"/>
          <w:color w:val="auto"/>
          <w:highlight w:val="none"/>
        </w:rPr>
        <w:t>供应商处于</w:t>
      </w:r>
      <w:r>
        <w:rPr>
          <w:rFonts w:hint="eastAsia" w:ascii="宋体" w:hAnsi="宋体" w:eastAsia="宋体" w:cs="Times New Roman"/>
          <w:color w:val="auto"/>
          <w:highlight w:val="none"/>
        </w:rPr>
        <w:t>中国核工业集团有限公司、中国核工业建设股份有限公司供应商黑名单或灰名单，且处于有效期内</w:t>
      </w:r>
      <w:r>
        <w:rPr>
          <w:rFonts w:hint="eastAsia" w:ascii="宋体" w:hAnsi="宋体" w:eastAsia="宋体"/>
          <w:color w:val="auto"/>
          <w:highlight w:val="none"/>
        </w:rPr>
        <w:t>；</w:t>
      </w:r>
    </w:p>
    <w:p>
      <w:pPr>
        <w:pStyle w:val="16"/>
        <w:numPr>
          <w:ilvl w:val="0"/>
          <w:numId w:val="7"/>
        </w:numPr>
        <w:wordWrap/>
        <w:snapToGrid w:val="0"/>
        <w:ind w:left="0" w:firstLine="420" w:firstLineChars="200"/>
        <w:rPr>
          <w:rFonts w:ascii="宋体" w:hAnsi="宋体" w:eastAsia="宋体"/>
          <w:i w:val="0"/>
          <w:iCs w:val="0"/>
          <w:color w:val="auto"/>
          <w:highlight w:val="none"/>
        </w:rPr>
      </w:pPr>
      <w:r>
        <w:rPr>
          <w:rFonts w:hint="eastAsia" w:ascii="宋体" w:hAnsi="宋体" w:eastAsia="宋体"/>
          <w:i w:val="0"/>
          <w:iCs w:val="0"/>
          <w:color w:val="auto"/>
          <w:highlight w:val="none"/>
          <w:lang w:eastAsia="zh-CN"/>
        </w:rPr>
        <w:t>国务院国资委、国家核安全局、国家能源局、中央军委装备发展部、国防科工局等国家行政或行业主管部门、军队采购网等发布的属于严重及以上行为情形的；</w:t>
      </w:r>
      <w:r>
        <w:rPr>
          <w:rFonts w:hint="eastAsia" w:ascii="宋体" w:hAnsi="宋体" w:eastAsia="宋体"/>
          <w:i w:val="0"/>
          <w:iCs w:val="0"/>
          <w:color w:val="auto"/>
          <w:highlight w:val="none"/>
          <w:lang w:val="en-US" w:eastAsia="zh-CN"/>
        </w:rPr>
        <w:t xml:space="preserve"> </w:t>
      </w:r>
    </w:p>
    <w:p>
      <w:pPr>
        <w:pStyle w:val="16"/>
        <w:numPr>
          <w:ilvl w:val="0"/>
          <w:numId w:val="7"/>
        </w:numPr>
        <w:wordWrap/>
        <w:snapToGrid w:val="0"/>
        <w:ind w:left="0" w:firstLine="420" w:firstLineChars="200"/>
        <w:rPr>
          <w:rFonts w:ascii="宋体" w:hAnsi="宋体" w:eastAsia="宋体"/>
          <w:color w:val="auto"/>
          <w:highlight w:val="none"/>
        </w:rPr>
      </w:pPr>
      <w:r>
        <w:rPr>
          <w:rFonts w:hint="eastAsia" w:ascii="宋体" w:hAnsi="宋体" w:eastAsia="宋体"/>
          <w:color w:val="auto"/>
          <w:highlight w:val="none"/>
        </w:rPr>
        <w:t>近三年有骗取中标或严重违约，有经鉴定部门认定的因其产品引起的重大及以上质量事故或重大及以上安全事故的；</w:t>
      </w:r>
    </w:p>
    <w:p>
      <w:pPr>
        <w:pStyle w:val="16"/>
        <w:numPr>
          <w:ilvl w:val="0"/>
          <w:numId w:val="7"/>
        </w:numPr>
        <w:wordWrap/>
        <w:snapToGrid w:val="0"/>
        <w:ind w:left="0" w:firstLine="420" w:firstLineChars="200"/>
        <w:rPr>
          <w:rFonts w:ascii="宋体" w:hAnsi="宋体" w:eastAsia="宋体"/>
          <w:color w:val="auto"/>
          <w:highlight w:val="none"/>
        </w:rPr>
      </w:pPr>
      <w:r>
        <w:rPr>
          <w:rFonts w:hint="eastAsia" w:ascii="宋体" w:hAnsi="宋体" w:eastAsia="宋体"/>
          <w:color w:val="auto"/>
          <w:highlight w:val="none"/>
        </w:rPr>
        <w:t>供应商在中国核工业集团电子采购平台的报名、下载文件、报价等环节实施过程中，如出现IP地址硬件特征码或MAC地址一致</w:t>
      </w:r>
      <w:r>
        <w:rPr>
          <w:rFonts w:hint="eastAsia" w:ascii="宋体" w:hAnsi="宋体" w:eastAsia="宋体"/>
          <w:color w:val="auto"/>
          <w:highlight w:val="none"/>
          <w:lang w:eastAsia="zh-CN"/>
        </w:rPr>
        <w:t>或</w:t>
      </w:r>
      <w:r>
        <w:rPr>
          <w:rFonts w:hint="eastAsia" w:ascii="宋体" w:hAnsi="宋体" w:eastAsia="宋体"/>
          <w:color w:val="auto"/>
          <w:highlight w:val="none"/>
        </w:rPr>
        <w:t>参与项目的联系人及其联系方式一致的等异常情况时，</w:t>
      </w:r>
      <w:r>
        <w:rPr>
          <w:rFonts w:hint="eastAsia" w:ascii="宋体" w:hAnsi="宋体" w:eastAsia="宋体"/>
          <w:color w:val="auto"/>
          <w:highlight w:val="none"/>
          <w:lang w:eastAsia="zh-CN"/>
        </w:rPr>
        <w:t>采购实施单位</w:t>
      </w:r>
      <w:r>
        <w:rPr>
          <w:rFonts w:hint="eastAsia" w:ascii="宋体" w:hAnsi="宋体" w:eastAsia="宋体"/>
          <w:color w:val="auto"/>
          <w:highlight w:val="none"/>
        </w:rPr>
        <w:t>将视情况决定对IP地址硬件特征码或MAC地址出现异常或参与项目的联系人及其联系方式一致的供应商进行调查或直接采取处理措施。</w:t>
      </w:r>
      <w:r>
        <w:rPr>
          <w:rFonts w:hint="eastAsia" w:ascii="宋体" w:hAnsi="宋体" w:eastAsia="宋体"/>
          <w:color w:val="auto"/>
          <w:highlight w:val="none"/>
          <w:lang w:eastAsia="zh-CN"/>
        </w:rPr>
        <w:t>采购实施单位</w:t>
      </w:r>
      <w:r>
        <w:rPr>
          <w:rFonts w:hint="eastAsia" w:ascii="宋体" w:hAnsi="宋体" w:eastAsia="宋体"/>
          <w:color w:val="auto"/>
          <w:highlight w:val="none"/>
        </w:rPr>
        <w:t>如进行调查的，供应商有义务配合调查并按要求做出回应，如供应商未按</w:t>
      </w:r>
      <w:r>
        <w:rPr>
          <w:rFonts w:hint="eastAsia" w:ascii="宋体" w:hAnsi="宋体" w:eastAsia="宋体"/>
          <w:color w:val="auto"/>
          <w:highlight w:val="none"/>
          <w:lang w:eastAsia="zh-CN"/>
        </w:rPr>
        <w:t>采购实施单位</w:t>
      </w:r>
      <w:r>
        <w:rPr>
          <w:rFonts w:hint="eastAsia" w:ascii="宋体" w:hAnsi="宋体" w:eastAsia="宋体"/>
          <w:color w:val="auto"/>
          <w:highlight w:val="none"/>
        </w:rPr>
        <w:t>要求及时回应的，则</w:t>
      </w:r>
      <w:r>
        <w:rPr>
          <w:rFonts w:hint="eastAsia" w:ascii="宋体" w:hAnsi="宋体" w:eastAsia="宋体"/>
          <w:color w:val="auto"/>
          <w:highlight w:val="none"/>
          <w:lang w:eastAsia="zh-CN"/>
        </w:rPr>
        <w:t>采购实施单位</w:t>
      </w:r>
      <w:r>
        <w:rPr>
          <w:rFonts w:hint="eastAsia" w:ascii="宋体" w:hAnsi="宋体" w:eastAsia="宋体"/>
          <w:color w:val="auto"/>
          <w:highlight w:val="none"/>
        </w:rPr>
        <w:t>有权根据已知资料和情况做出相关处理决定。</w:t>
      </w:r>
    </w:p>
    <w:p>
      <w:pPr>
        <w:pStyle w:val="12"/>
        <w:spacing w:before="120" w:after="120"/>
        <w:ind w:firstLine="210"/>
        <w:rPr>
          <w:rFonts w:ascii="宋体" w:hAnsi="宋体" w:eastAsia="宋体"/>
          <w:color w:val="auto"/>
          <w:highlight w:val="none"/>
        </w:rPr>
      </w:pPr>
      <w:r>
        <w:rPr>
          <w:rFonts w:ascii="宋体" w:hAnsi="宋体" w:eastAsia="宋体"/>
          <w:color w:val="auto"/>
          <w:highlight w:val="none"/>
        </w:rPr>
        <w:t>本次采购</w:t>
      </w:r>
      <w:r>
        <w:rPr>
          <w:rFonts w:hint="eastAsia" w:ascii="宋体" w:hAnsi="宋体" w:eastAsia="宋体"/>
          <w:color w:val="auto"/>
          <w:highlight w:val="none"/>
          <w:u w:val="single"/>
        </w:rPr>
        <w:t>□</w:t>
      </w:r>
      <w:r>
        <w:rPr>
          <w:rFonts w:ascii="宋体" w:hAnsi="宋体" w:eastAsia="宋体"/>
          <w:color w:val="auto"/>
          <w:highlight w:val="none"/>
          <w:u w:val="single"/>
        </w:rPr>
        <w:t>接受</w:t>
      </w:r>
      <w:r>
        <w:rPr>
          <w:rFonts w:hint="eastAsia" w:ascii="宋体" w:hAnsi="宋体" w:eastAsia="宋体"/>
          <w:color w:val="auto"/>
          <w:highlight w:val="none"/>
          <w:u w:val="single"/>
          <w:lang w:eastAsia="zh-CN"/>
        </w:rPr>
        <w:t>☑</w:t>
      </w:r>
      <w:r>
        <w:rPr>
          <w:rFonts w:hint="eastAsia" w:ascii="宋体" w:hAnsi="宋体" w:eastAsia="宋体"/>
          <w:color w:val="auto"/>
          <w:highlight w:val="none"/>
          <w:u w:val="single"/>
        </w:rPr>
        <w:t>不</w:t>
      </w:r>
      <w:r>
        <w:rPr>
          <w:rFonts w:ascii="宋体" w:hAnsi="宋体" w:eastAsia="宋体"/>
          <w:color w:val="auto"/>
          <w:highlight w:val="none"/>
          <w:u w:val="single"/>
        </w:rPr>
        <w:t>接受</w:t>
      </w:r>
      <w:r>
        <w:rPr>
          <w:rFonts w:ascii="宋体" w:hAnsi="宋体" w:eastAsia="宋体"/>
          <w:color w:val="auto"/>
          <w:highlight w:val="none"/>
        </w:rPr>
        <w:t>联合体</w:t>
      </w:r>
      <w:r>
        <w:rPr>
          <w:rFonts w:hint="eastAsia" w:ascii="宋体" w:hAnsi="宋体" w:eastAsia="宋体"/>
          <w:color w:val="auto"/>
          <w:highlight w:val="none"/>
        </w:rPr>
        <w:t>应答</w:t>
      </w:r>
      <w:r>
        <w:rPr>
          <w:rFonts w:ascii="宋体" w:hAnsi="宋体" w:eastAsia="宋体"/>
          <w:color w:val="auto"/>
          <w:highlight w:val="none"/>
        </w:rPr>
        <w:t>。</w:t>
      </w:r>
    </w:p>
    <w:bookmarkEnd w:id="45"/>
    <w:bookmarkEnd w:id="46"/>
    <w:bookmarkEnd w:id="47"/>
    <w:bookmarkEnd w:id="48"/>
    <w:bookmarkEnd w:id="49"/>
    <w:bookmarkEnd w:id="50"/>
    <w:bookmarkEnd w:id="51"/>
    <w:bookmarkEnd w:id="52"/>
    <w:bookmarkEnd w:id="53"/>
    <w:bookmarkEnd w:id="54"/>
    <w:p>
      <w:pPr>
        <w:pStyle w:val="10"/>
        <w:overflowPunct w:val="0"/>
        <w:spacing w:before="240" w:after="120"/>
        <w:outlineLvl w:val="1"/>
        <w:rPr>
          <w:rFonts w:ascii="宋体" w:hAnsi="宋体" w:eastAsia="宋体"/>
          <w:b/>
          <w:color w:val="auto"/>
          <w:highlight w:val="none"/>
        </w:rPr>
      </w:pPr>
      <w:bookmarkStart w:id="55" w:name="_Toc191151250"/>
      <w:bookmarkStart w:id="56" w:name="_Toc191907894"/>
      <w:bookmarkStart w:id="57" w:name="_Toc294050377"/>
      <w:bookmarkStart w:id="58" w:name="_Toc191151468"/>
      <w:bookmarkStart w:id="59" w:name="_Toc194335751"/>
      <w:bookmarkStart w:id="60" w:name="_Toc191150467"/>
      <w:bookmarkStart w:id="61" w:name="_Toc1335232685"/>
      <w:bookmarkStart w:id="62" w:name="_Toc154347294"/>
      <w:bookmarkStart w:id="63" w:name="_Toc1343444709"/>
      <w:bookmarkStart w:id="64" w:name="_Toc148539496"/>
      <w:bookmarkStart w:id="65" w:name="_Toc26115"/>
      <w:r>
        <w:rPr>
          <w:rFonts w:ascii="宋体" w:hAnsi="宋体" w:eastAsia="宋体"/>
          <w:b/>
          <w:color w:val="auto"/>
          <w:highlight w:val="none"/>
        </w:rPr>
        <w:t>文件的获取</w:t>
      </w:r>
      <w:bookmarkEnd w:id="55"/>
      <w:bookmarkEnd w:id="56"/>
      <w:bookmarkEnd w:id="57"/>
      <w:bookmarkEnd w:id="58"/>
      <w:bookmarkEnd w:id="59"/>
      <w:bookmarkEnd w:id="60"/>
    </w:p>
    <w:p>
      <w:pPr>
        <w:pStyle w:val="12"/>
        <w:overflowPunct w:val="0"/>
        <w:spacing w:before="120" w:after="120"/>
        <w:ind w:firstLine="210"/>
        <w:outlineLvl w:val="9"/>
        <w:rPr>
          <w:rFonts w:ascii="宋体" w:hAnsi="宋体" w:eastAsia="宋体"/>
          <w:color w:val="auto"/>
          <w:highlight w:val="none"/>
        </w:rPr>
      </w:pPr>
      <w:r>
        <w:rPr>
          <w:rFonts w:hint="eastAsia" w:ascii="宋体" w:hAnsi="宋体" w:eastAsia="宋体"/>
          <w:color w:val="auto"/>
          <w:highlight w:val="none"/>
        </w:rPr>
        <w:t>采购文件售价</w:t>
      </w:r>
    </w:p>
    <w:p>
      <w:pPr>
        <w:pStyle w:val="15"/>
        <w:rPr>
          <w:rFonts w:hint="eastAsia" w:ascii="宋体" w:hAnsi="宋体" w:eastAsia="宋体" w:cs="Times New Roman"/>
          <w:color w:val="auto"/>
          <w:highlight w:val="none"/>
        </w:rPr>
      </w:pPr>
      <w:r>
        <w:rPr>
          <w:rFonts w:hint="eastAsia" w:ascii="宋体" w:hAnsi="宋体" w:eastAsia="宋体" w:cs="Times New Roman"/>
          <w:color w:val="auto"/>
          <w:highlight w:val="none"/>
        </w:rPr>
        <w:t>每</w:t>
      </w:r>
      <w:r>
        <w:rPr>
          <w:rFonts w:hint="eastAsia" w:ascii="宋体" w:hAnsi="宋体" w:eastAsia="宋体" w:cs="Times New Roman"/>
          <w:color w:val="auto"/>
          <w:highlight w:val="none"/>
          <w:lang w:val="en-US" w:eastAsia="zh-CN"/>
        </w:rPr>
        <w:t>个标段每</w:t>
      </w:r>
      <w:r>
        <w:rPr>
          <w:rFonts w:hint="eastAsia" w:ascii="宋体" w:hAnsi="宋体" w:eastAsia="宋体" w:cs="Times New Roman"/>
          <w:color w:val="auto"/>
          <w:highlight w:val="none"/>
        </w:rPr>
        <w:t>套采购文件售价人民币</w:t>
      </w:r>
      <w:r>
        <w:rPr>
          <w:rFonts w:hint="eastAsia" w:ascii="宋体" w:hAnsi="宋体" w:eastAsia="宋体" w:cs="Times New Roman"/>
          <w:color w:val="auto"/>
          <w:highlight w:val="none"/>
          <w:lang w:val="en-US" w:eastAsia="zh-CN"/>
        </w:rPr>
        <w:t xml:space="preserve"> 200.00 </w:t>
      </w:r>
      <w:r>
        <w:rPr>
          <w:rFonts w:hint="eastAsia" w:ascii="宋体" w:hAnsi="宋体" w:eastAsia="宋体" w:cs="Times New Roman"/>
          <w:color w:val="auto"/>
          <w:highlight w:val="none"/>
        </w:rPr>
        <w:t>元整</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除因采购人原因导致采购终止外，</w:t>
      </w:r>
      <w:r>
        <w:rPr>
          <w:rFonts w:hint="eastAsia" w:ascii="宋体" w:hAnsi="宋体" w:eastAsia="宋体" w:cs="Times New Roman"/>
          <w:color w:val="auto"/>
          <w:highlight w:val="none"/>
        </w:rPr>
        <w:t>售后款项不予退还</w:t>
      </w:r>
      <w:r>
        <w:rPr>
          <w:rFonts w:hint="eastAsia" w:ascii="宋体" w:hAnsi="宋体" w:eastAsia="宋体" w:cs="Times New Roman"/>
          <w:color w:val="auto"/>
          <w:highlight w:val="none"/>
          <w:lang w:eastAsia="zh-CN"/>
        </w:rPr>
        <w:t>）。</w:t>
      </w:r>
    </w:p>
    <w:p>
      <w:pPr>
        <w:pStyle w:val="15"/>
        <w:rPr>
          <w:rFonts w:hint="eastAsia" w:ascii="宋体" w:hAnsi="宋体" w:eastAsia="宋体" w:cs="Times New Roman"/>
          <w:color w:val="auto"/>
          <w:highlight w:val="none"/>
        </w:rPr>
      </w:pPr>
      <w:r>
        <w:rPr>
          <w:rFonts w:hint="eastAsia" w:ascii="宋体" w:hAnsi="宋体" w:eastAsia="宋体" w:cs="Times New Roman"/>
          <w:color w:val="auto"/>
          <w:highlight w:val="none"/>
          <w:lang w:eastAsia="zh-CN"/>
        </w:rPr>
        <w:t>采购实施单位</w:t>
      </w:r>
      <w:r>
        <w:rPr>
          <w:rFonts w:hint="eastAsia" w:ascii="宋体" w:hAnsi="宋体" w:eastAsia="宋体" w:cs="Times New Roman"/>
          <w:color w:val="auto"/>
          <w:highlight w:val="none"/>
        </w:rPr>
        <w:t>收款银行名称：中国工商银行上海市分行第二营业部</w:t>
      </w:r>
    </w:p>
    <w:p>
      <w:pPr>
        <w:pStyle w:val="15"/>
        <w:rPr>
          <w:rFonts w:hint="eastAsia" w:ascii="宋体" w:hAnsi="宋体" w:eastAsia="宋体" w:cs="Times New Roman"/>
          <w:color w:val="auto"/>
          <w:highlight w:val="none"/>
        </w:rPr>
      </w:pPr>
      <w:r>
        <w:rPr>
          <w:rFonts w:hint="eastAsia" w:ascii="宋体" w:hAnsi="宋体" w:eastAsia="宋体" w:cs="Times New Roman"/>
          <w:color w:val="auto"/>
          <w:highlight w:val="none"/>
        </w:rPr>
        <w:t>开户单位：中国核工业建设股份有限公司</w:t>
      </w:r>
    </w:p>
    <w:p>
      <w:pPr>
        <w:pStyle w:val="15"/>
        <w:rPr>
          <w:rFonts w:hint="eastAsia" w:ascii="宋体" w:hAnsi="宋体" w:eastAsia="宋体" w:cs="Times New Roman"/>
          <w:color w:val="auto"/>
          <w:highlight w:val="none"/>
        </w:rPr>
      </w:pPr>
      <w:r>
        <w:rPr>
          <w:rFonts w:hint="eastAsia" w:ascii="宋体" w:hAnsi="宋体" w:eastAsia="宋体" w:cs="Times New Roman"/>
          <w:color w:val="auto"/>
          <w:highlight w:val="none"/>
        </w:rPr>
        <w:t>收款账号：1001 1907 1900 4867 917</w:t>
      </w:r>
    </w:p>
    <w:p>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应答供应商须在汇款单上注明：</w:t>
      </w:r>
      <w:r>
        <w:rPr>
          <w:rFonts w:hint="eastAsia" w:ascii="宋体" w:hAnsi="宋体" w:eastAsia="宋体" w:cs="Times New Roman"/>
          <w:color w:val="auto"/>
          <w:highlight w:val="none"/>
        </w:rPr>
        <w:t>“</w:t>
      </w:r>
      <w:r>
        <w:rPr>
          <w:rFonts w:hint="eastAsia" w:ascii="宋体" w:hAnsi="宋体" w:eastAsia="宋体"/>
          <w:color w:val="auto"/>
          <w:highlight w:val="none"/>
          <w:u w:val="single"/>
        </w:rPr>
        <w:t>GC-GKXJ-25-12</w:t>
      </w:r>
      <w:r>
        <w:rPr>
          <w:rFonts w:hint="eastAsia" w:ascii="宋体" w:hAnsi="宋体" w:eastAsia="宋体"/>
          <w:color w:val="auto"/>
          <w:highlight w:val="none"/>
          <w:u w:val="single"/>
          <w:lang w:val="en-US" w:eastAsia="zh-CN"/>
        </w:rPr>
        <w:t>737</w:t>
      </w:r>
      <w:r>
        <w:rPr>
          <w:rFonts w:ascii="宋体" w:hAnsi="宋体" w:eastAsia="宋体"/>
          <w:color w:val="auto"/>
          <w:highlight w:val="none"/>
          <w:u w:val="single"/>
        </w:rPr>
        <w:t xml:space="preserve"> </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w:t>
      </w:r>
      <w:r>
        <w:rPr>
          <w:rFonts w:hint="eastAsia"/>
          <w:color w:val="auto"/>
          <w:sz w:val="24"/>
          <w:szCs w:val="24"/>
          <w:highlight w:val="none"/>
        </w:rPr>
        <w:t>（</w:t>
      </w:r>
      <w:r>
        <w:rPr>
          <w:rFonts w:hint="eastAsia" w:ascii="宋体" w:hAnsi="宋体" w:eastAsia="宋体"/>
          <w:color w:val="auto"/>
          <w:highlight w:val="none"/>
        </w:rPr>
        <w:t>未按要求备注视为未缴纳）</w:t>
      </w:r>
    </w:p>
    <w:p>
      <w:pPr>
        <w:pStyle w:val="15"/>
        <w:spacing w:line="360" w:lineRule="auto"/>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缴纳方式：公对公银行转账方式（不接受私人转账和其它形式缴纳）。</w:t>
      </w:r>
    </w:p>
    <w:p>
      <w:pPr>
        <w:pStyle w:val="12"/>
        <w:overflowPunct w:val="0"/>
        <w:spacing w:before="120" w:after="120"/>
        <w:ind w:firstLine="210"/>
        <w:outlineLvl w:val="9"/>
        <w:rPr>
          <w:rFonts w:ascii="宋体" w:hAnsi="宋体" w:eastAsia="宋体"/>
          <w:color w:val="auto"/>
          <w:highlight w:val="none"/>
        </w:rPr>
      </w:pPr>
      <w:r>
        <w:rPr>
          <w:rFonts w:hint="eastAsia" w:ascii="宋体" w:hAnsi="宋体" w:eastAsia="宋体"/>
          <w:color w:val="auto"/>
          <w:highlight w:val="none"/>
        </w:rPr>
        <w:t>发售时间</w:t>
      </w:r>
    </w:p>
    <w:p>
      <w:pPr>
        <w:pStyle w:val="15"/>
        <w:rPr>
          <w:rFonts w:hint="default" w:ascii="宋体" w:hAnsi="宋体" w:eastAsia="宋体"/>
          <w:color w:val="auto"/>
          <w:highlight w:val="none"/>
          <w:lang w:val="en-US" w:eastAsia="zh-CN"/>
        </w:rPr>
      </w:pPr>
      <w:r>
        <w:rPr>
          <w:rFonts w:ascii="宋体" w:hAnsi="宋体" w:eastAsia="宋体"/>
          <w:color w:val="auto"/>
          <w:highlight w:val="none"/>
        </w:rPr>
        <w:t>北京时间</w:t>
      </w:r>
      <w:r>
        <w:rPr>
          <w:rFonts w:hint="eastAsia" w:ascii="宋体" w:hAnsi="宋体" w:eastAsia="宋体"/>
          <w:color w:val="auto"/>
          <w:highlight w:val="none"/>
        </w:rPr>
        <w:t>：</w:t>
      </w:r>
      <w:r>
        <w:rPr>
          <w:rFonts w:ascii="宋体" w:hAnsi="宋体" w:eastAsia="宋体"/>
          <w:color w:val="auto"/>
          <w:highlight w:val="none"/>
          <w:u w:val="single"/>
        </w:rPr>
        <w:t>　</w:t>
      </w:r>
      <w:r>
        <w:rPr>
          <w:rFonts w:hint="eastAsia" w:ascii="宋体" w:hAnsi="宋体" w:eastAsia="宋体"/>
          <w:color w:val="auto"/>
          <w:highlight w:val="none"/>
          <w:u w:val="single"/>
          <w:lang w:val="en-US" w:eastAsia="zh-CN"/>
        </w:rPr>
        <w:t>2025</w:t>
      </w:r>
      <w:r>
        <w:rPr>
          <w:rFonts w:ascii="宋体" w:hAnsi="宋体" w:eastAsia="宋体"/>
          <w:color w:val="auto"/>
          <w:highlight w:val="none"/>
          <w:u w:val="single"/>
        </w:rPr>
        <w:t>　</w:t>
      </w:r>
      <w:r>
        <w:rPr>
          <w:rFonts w:ascii="宋体" w:hAnsi="宋体" w:eastAsia="宋体"/>
          <w:color w:val="auto"/>
          <w:highlight w:val="none"/>
        </w:rPr>
        <w:t>年</w:t>
      </w:r>
      <w:r>
        <w:rPr>
          <w:rFonts w:ascii="宋体" w:hAnsi="宋体" w:eastAsia="宋体"/>
          <w:color w:val="auto"/>
          <w:highlight w:val="none"/>
          <w:u w:val="single"/>
        </w:rPr>
        <w:t>　</w:t>
      </w:r>
      <w:r>
        <w:rPr>
          <w:rFonts w:hint="eastAsia" w:ascii="宋体" w:hAnsi="宋体" w:eastAsia="宋体"/>
          <w:color w:val="auto"/>
          <w:highlight w:val="none"/>
          <w:u w:val="single"/>
          <w:lang w:val="en-US" w:eastAsia="zh-CN"/>
        </w:rPr>
        <w:t xml:space="preserve"> 8</w:t>
      </w:r>
      <w:r>
        <w:rPr>
          <w:rFonts w:ascii="宋体" w:hAnsi="宋体" w:eastAsia="宋体"/>
          <w:color w:val="auto"/>
          <w:highlight w:val="none"/>
          <w:u w:val="single"/>
        </w:rPr>
        <w:t>　</w:t>
      </w:r>
      <w:r>
        <w:rPr>
          <w:rFonts w:ascii="宋体" w:hAnsi="宋体" w:eastAsia="宋体"/>
          <w:color w:val="auto"/>
          <w:highlight w:val="none"/>
        </w:rPr>
        <w:t>月</w:t>
      </w:r>
      <w:r>
        <w:rPr>
          <w:rFonts w:ascii="宋体" w:hAnsi="宋体" w:eastAsia="宋体"/>
          <w:color w:val="auto"/>
          <w:highlight w:val="none"/>
          <w:u w:val="single"/>
        </w:rPr>
        <w:t>　</w:t>
      </w:r>
      <w:r>
        <w:rPr>
          <w:rFonts w:hint="eastAsia" w:ascii="宋体" w:hAnsi="宋体" w:eastAsia="宋体"/>
          <w:color w:val="auto"/>
          <w:highlight w:val="none"/>
          <w:u w:val="single"/>
          <w:lang w:val="en-US" w:eastAsia="zh-CN"/>
        </w:rPr>
        <w:t>1</w:t>
      </w:r>
      <w:r>
        <w:rPr>
          <w:rFonts w:ascii="宋体" w:hAnsi="宋体" w:eastAsia="宋体"/>
          <w:color w:val="auto"/>
          <w:highlight w:val="none"/>
          <w:u w:val="single"/>
        </w:rPr>
        <w:t>　</w:t>
      </w:r>
      <w:r>
        <w:rPr>
          <w:rFonts w:ascii="宋体" w:hAnsi="宋体" w:eastAsia="宋体"/>
          <w:color w:val="auto"/>
          <w:highlight w:val="none"/>
        </w:rPr>
        <w:t>日—</w:t>
      </w:r>
      <w:r>
        <w:rPr>
          <w:rFonts w:ascii="宋体" w:hAnsi="宋体" w:eastAsia="宋体"/>
          <w:color w:val="auto"/>
          <w:highlight w:val="none"/>
          <w:u w:val="single"/>
        </w:rPr>
        <w:t>　</w:t>
      </w:r>
      <w:r>
        <w:rPr>
          <w:rFonts w:hint="eastAsia" w:ascii="宋体" w:hAnsi="宋体" w:eastAsia="宋体"/>
          <w:color w:val="auto"/>
          <w:highlight w:val="none"/>
          <w:u w:val="single"/>
          <w:lang w:val="en-US" w:eastAsia="zh-CN"/>
        </w:rPr>
        <w:t>2025</w:t>
      </w:r>
      <w:r>
        <w:rPr>
          <w:rFonts w:ascii="宋体" w:hAnsi="宋体" w:eastAsia="宋体"/>
          <w:color w:val="auto"/>
          <w:highlight w:val="none"/>
          <w:u w:val="single"/>
        </w:rPr>
        <w:t>　</w:t>
      </w:r>
      <w:r>
        <w:rPr>
          <w:rFonts w:ascii="宋体" w:hAnsi="宋体" w:eastAsia="宋体"/>
          <w:color w:val="auto"/>
          <w:highlight w:val="none"/>
        </w:rPr>
        <w:t>年</w:t>
      </w:r>
      <w:r>
        <w:rPr>
          <w:rFonts w:ascii="宋体" w:hAnsi="宋体" w:eastAsia="宋体"/>
          <w:color w:val="auto"/>
          <w:highlight w:val="none"/>
          <w:u w:val="single"/>
        </w:rPr>
        <w:t>　</w:t>
      </w:r>
      <w:r>
        <w:rPr>
          <w:rFonts w:hint="eastAsia" w:ascii="宋体" w:hAnsi="宋体" w:eastAsia="宋体"/>
          <w:color w:val="auto"/>
          <w:highlight w:val="none"/>
          <w:u w:val="single"/>
          <w:lang w:val="en-US" w:eastAsia="zh-CN"/>
        </w:rPr>
        <w:t>8</w:t>
      </w:r>
      <w:r>
        <w:rPr>
          <w:rFonts w:ascii="宋体" w:hAnsi="宋体" w:eastAsia="宋体"/>
          <w:color w:val="auto"/>
          <w:highlight w:val="none"/>
          <w:u w:val="single"/>
        </w:rPr>
        <w:t>　</w:t>
      </w:r>
      <w:r>
        <w:rPr>
          <w:rFonts w:ascii="宋体" w:hAnsi="宋体" w:eastAsia="宋体"/>
          <w:color w:val="auto"/>
          <w:highlight w:val="none"/>
        </w:rPr>
        <w:t>月</w:t>
      </w:r>
      <w:r>
        <w:rPr>
          <w:rFonts w:hint="eastAsia" w:ascii="宋体" w:hAnsi="宋体" w:eastAsia="宋体"/>
          <w:color w:val="auto"/>
          <w:highlight w:val="none"/>
          <w:u w:val="single"/>
          <w:lang w:val="en-US" w:eastAsia="zh-CN"/>
        </w:rPr>
        <w:t xml:space="preserve"> 5</w:t>
      </w:r>
      <w:r>
        <w:rPr>
          <w:rFonts w:ascii="宋体" w:hAnsi="宋体" w:eastAsia="宋体"/>
          <w:color w:val="auto"/>
          <w:highlight w:val="none"/>
          <w:u w:val="single"/>
        </w:rPr>
        <w:t>　</w:t>
      </w:r>
      <w:r>
        <w:rPr>
          <w:rFonts w:ascii="宋体" w:hAnsi="宋体" w:eastAsia="宋体"/>
          <w:color w:val="auto"/>
          <w:highlight w:val="none"/>
        </w:rPr>
        <w:t>日</w:t>
      </w:r>
      <w:r>
        <w:rPr>
          <w:rFonts w:ascii="宋体" w:hAnsi="宋体" w:eastAsia="宋体"/>
          <w:color w:val="auto"/>
          <w:highlight w:val="none"/>
          <w:u w:val="single"/>
        </w:rPr>
        <w:t>　</w:t>
      </w:r>
      <w:r>
        <w:rPr>
          <w:rFonts w:hint="eastAsia" w:ascii="宋体" w:hAnsi="宋体" w:eastAsia="宋体"/>
          <w:color w:val="auto"/>
          <w:highlight w:val="none"/>
          <w:u w:val="single"/>
          <w:lang w:val="en-US" w:eastAsia="zh-CN"/>
        </w:rPr>
        <w:t>00</w:t>
      </w:r>
      <w:r>
        <w:rPr>
          <w:rFonts w:ascii="宋体" w:hAnsi="宋体" w:eastAsia="宋体"/>
          <w:color w:val="auto"/>
          <w:highlight w:val="none"/>
          <w:u w:val="single"/>
        </w:rPr>
        <w:t>　</w:t>
      </w:r>
      <w:r>
        <w:rPr>
          <w:rFonts w:ascii="宋体" w:hAnsi="宋体" w:eastAsia="宋体"/>
          <w:color w:val="auto"/>
          <w:highlight w:val="none"/>
        </w:rPr>
        <w:t>：</w:t>
      </w:r>
      <w:r>
        <w:rPr>
          <w:rFonts w:hint="eastAsia" w:ascii="宋体" w:hAnsi="宋体" w:eastAsia="宋体"/>
          <w:color w:val="auto"/>
          <w:highlight w:val="none"/>
          <w:u w:val="single"/>
          <w:lang w:val="en-US" w:eastAsia="zh-CN"/>
        </w:rPr>
        <w:t xml:space="preserve">00 </w:t>
      </w:r>
      <w:r>
        <w:rPr>
          <w:rFonts w:hint="eastAsia" w:ascii="宋体" w:hAnsi="宋体" w:eastAsia="宋体"/>
          <w:color w:val="auto"/>
          <w:highlight w:val="none"/>
          <w:u w:val="none"/>
          <w:lang w:eastAsia="zh-CN"/>
        </w:rPr>
        <w:t>（</w:t>
      </w:r>
      <w:r>
        <w:rPr>
          <w:rFonts w:hint="eastAsia" w:ascii="宋体" w:hAnsi="宋体" w:eastAsia="宋体"/>
          <w:color w:val="auto"/>
          <w:highlight w:val="none"/>
          <w:u w:val="none"/>
          <w:lang w:val="en-US" w:eastAsia="zh-CN"/>
        </w:rPr>
        <w:t>以</w:t>
      </w:r>
      <w:r>
        <w:rPr>
          <w:rFonts w:hint="eastAsia" w:ascii="宋体" w:hAnsi="宋体" w:eastAsia="宋体"/>
          <w:color w:val="auto"/>
          <w:highlight w:val="none"/>
          <w:u w:val="none"/>
        </w:rPr>
        <w:t>中</w:t>
      </w:r>
      <w:r>
        <w:rPr>
          <w:rFonts w:hint="eastAsia" w:ascii="宋体" w:hAnsi="宋体" w:eastAsia="宋体"/>
          <w:color w:val="auto"/>
          <w:highlight w:val="none"/>
        </w:rPr>
        <w:t>国核工业集团电子采购平台</w:t>
      </w:r>
      <w:r>
        <w:rPr>
          <w:rFonts w:hint="eastAsia" w:ascii="宋体" w:hAnsi="宋体" w:eastAsia="宋体"/>
          <w:color w:val="auto"/>
          <w:highlight w:val="none"/>
          <w:lang w:val="en-US" w:eastAsia="zh-CN"/>
        </w:rPr>
        <w:t>发布时间</w:t>
      </w:r>
      <w:r>
        <w:rPr>
          <w:rFonts w:hint="eastAsia" w:ascii="宋体" w:hAnsi="宋体" w:eastAsia="宋体"/>
          <w:color w:val="auto"/>
          <w:highlight w:val="none"/>
          <w:u w:val="none"/>
          <w:lang w:val="en-US" w:eastAsia="zh-CN"/>
        </w:rPr>
        <w:t>为准</w:t>
      </w:r>
      <w:r>
        <w:rPr>
          <w:rFonts w:hint="eastAsia" w:ascii="宋体" w:hAnsi="宋体" w:eastAsia="宋体"/>
          <w:color w:val="auto"/>
          <w:highlight w:val="none"/>
          <w:u w:val="none"/>
          <w:lang w:eastAsia="zh-CN"/>
        </w:rPr>
        <w:t>）</w:t>
      </w:r>
    </w:p>
    <w:p>
      <w:pPr>
        <w:pStyle w:val="12"/>
        <w:overflowPunct w:val="0"/>
        <w:spacing w:before="120" w:after="120"/>
        <w:ind w:firstLine="210"/>
        <w:outlineLvl w:val="9"/>
        <w:rPr>
          <w:rFonts w:ascii="宋体" w:hAnsi="宋体" w:eastAsia="宋体"/>
          <w:color w:val="auto"/>
          <w:highlight w:val="none"/>
        </w:rPr>
      </w:pPr>
      <w:r>
        <w:rPr>
          <w:rFonts w:hint="eastAsia" w:ascii="宋体" w:hAnsi="宋体" w:eastAsia="宋体"/>
          <w:color w:val="auto"/>
          <w:highlight w:val="none"/>
        </w:rPr>
        <w:t>采购文件发售方式</w:t>
      </w:r>
    </w:p>
    <w:p>
      <w:pPr>
        <w:pStyle w:val="15"/>
        <w:rPr>
          <w:rFonts w:ascii="宋体" w:hAnsi="宋体" w:eastAsia="宋体"/>
          <w:color w:val="auto"/>
          <w:highlight w:val="none"/>
        </w:rPr>
      </w:pPr>
      <w:r>
        <w:rPr>
          <w:rFonts w:hint="eastAsia" w:ascii="宋体" w:hAnsi="宋体" w:eastAsia="宋体"/>
          <w:color w:val="auto"/>
          <w:highlight w:val="none"/>
        </w:rPr>
        <w:t>电子版采购文件将在中国核工业集团电子采购平台（</w:t>
      </w:r>
      <w:r>
        <w:rPr>
          <w:rFonts w:ascii="宋体" w:hAnsi="宋体" w:eastAsia="宋体"/>
          <w:color w:val="auto"/>
          <w:highlight w:val="none"/>
        </w:rPr>
        <w:t>https://www.cnncecp.com</w:t>
      </w:r>
      <w:r>
        <w:rPr>
          <w:rFonts w:hint="eastAsia" w:ascii="宋体" w:hAnsi="宋体" w:eastAsia="宋体"/>
          <w:color w:val="auto"/>
          <w:highlight w:val="none"/>
        </w:rPr>
        <w:t>）进行发布。供应商已注册为中国核工业集团电子采购平台会员的，可直接登录报名；其他有意向的供应商请于采购文件发售截止时间前完成在中国核工业集团电子采购平台（</w:t>
      </w:r>
      <w:r>
        <w:rPr>
          <w:rFonts w:ascii="宋体" w:hAnsi="宋体" w:eastAsia="宋体"/>
          <w:color w:val="auto"/>
          <w:highlight w:val="none"/>
        </w:rPr>
        <w:t>https://www.cnncecp.com</w:t>
      </w:r>
      <w:r>
        <w:rPr>
          <w:rFonts w:hint="eastAsia" w:ascii="宋体" w:hAnsi="宋体" w:eastAsia="宋体"/>
          <w:color w:val="auto"/>
          <w:highlight w:val="none"/>
        </w:rPr>
        <w:t>）在线注册，交纳相关费用，点击报名后需上传标书款汇款回执单，经</w:t>
      </w:r>
      <w:r>
        <w:rPr>
          <w:rFonts w:hint="eastAsia" w:ascii="宋体" w:hAnsi="宋体" w:eastAsia="宋体"/>
          <w:color w:val="auto"/>
          <w:highlight w:val="none"/>
          <w:lang w:eastAsia="zh-CN"/>
        </w:rPr>
        <w:t>采购实施单位</w:t>
      </w:r>
      <w:r>
        <w:rPr>
          <w:rFonts w:hint="eastAsia" w:ascii="宋体" w:hAnsi="宋体" w:eastAsia="宋体"/>
          <w:color w:val="auto"/>
          <w:highlight w:val="none"/>
        </w:rPr>
        <w:t>/采购代理机构（如有）审核后方可下载采购文件。中国核工业集团电子采购平台将在发售期结束后自动关闭报名入口，未能按时完成报名、购买采购文件相关工作的供应商不得参与项目应答。</w:t>
      </w:r>
    </w:p>
    <w:p>
      <w:pPr>
        <w:pStyle w:val="15"/>
        <w:rPr>
          <w:rFonts w:ascii="宋体" w:hAnsi="宋体" w:eastAsia="宋体"/>
          <w:color w:val="auto"/>
          <w:highlight w:val="none"/>
        </w:rPr>
      </w:pPr>
      <w:r>
        <w:rPr>
          <w:rFonts w:hint="eastAsia" w:ascii="宋体" w:hAnsi="宋体" w:eastAsia="宋体"/>
          <w:color w:val="auto"/>
          <w:highlight w:val="none"/>
        </w:rPr>
        <w:t>因供应商未能按上述要求包括但不限于上传错误的缴费凭证、提交的报名文件不符合要求，造成无法报名、报名错误等情况的，供应商须自行承担责任。</w:t>
      </w:r>
    </w:p>
    <w:p>
      <w:pPr>
        <w:pStyle w:val="12"/>
        <w:overflowPunct w:val="0"/>
        <w:spacing w:before="120" w:after="120"/>
        <w:ind w:firstLine="210"/>
        <w:outlineLvl w:val="9"/>
        <w:rPr>
          <w:rFonts w:ascii="宋体" w:hAnsi="宋体" w:eastAsia="宋体"/>
          <w:color w:val="auto"/>
          <w:highlight w:val="none"/>
        </w:rPr>
      </w:pPr>
      <w:r>
        <w:rPr>
          <w:rFonts w:hint="eastAsia" w:ascii="宋体" w:hAnsi="宋体" w:eastAsia="宋体"/>
          <w:color w:val="auto"/>
          <w:highlight w:val="none"/>
        </w:rPr>
        <w:t>其他事项说明</w:t>
      </w:r>
    </w:p>
    <w:p>
      <w:pPr>
        <w:pStyle w:val="15"/>
        <w:rPr>
          <w:rFonts w:ascii="宋体" w:hAnsi="宋体" w:eastAsia="宋体"/>
          <w:color w:val="auto"/>
          <w:highlight w:val="none"/>
        </w:rPr>
      </w:pPr>
      <w:r>
        <w:rPr>
          <w:rFonts w:ascii="宋体" w:hAnsi="宋体" w:eastAsia="宋体"/>
          <w:color w:val="auto"/>
          <w:highlight w:val="none"/>
        </w:rPr>
        <w:t>未购买本项目</w:t>
      </w:r>
      <w:r>
        <w:rPr>
          <w:rFonts w:hint="eastAsia" w:ascii="宋体" w:hAnsi="宋体" w:eastAsia="宋体"/>
          <w:color w:val="auto"/>
          <w:highlight w:val="none"/>
        </w:rPr>
        <w:t>采购</w:t>
      </w:r>
      <w:r>
        <w:rPr>
          <w:rFonts w:ascii="宋体" w:hAnsi="宋体" w:eastAsia="宋体"/>
          <w:color w:val="auto"/>
          <w:highlight w:val="none"/>
        </w:rPr>
        <w:t>文件的，其</w:t>
      </w:r>
      <w:r>
        <w:rPr>
          <w:rFonts w:hint="eastAsia" w:ascii="宋体" w:hAnsi="宋体" w:eastAsia="宋体"/>
          <w:color w:val="auto"/>
          <w:highlight w:val="none"/>
        </w:rPr>
        <w:t>应答</w:t>
      </w:r>
      <w:r>
        <w:rPr>
          <w:rFonts w:ascii="宋体" w:hAnsi="宋体" w:eastAsia="宋体"/>
          <w:color w:val="auto"/>
          <w:highlight w:val="none"/>
        </w:rPr>
        <w:t>将被拒绝，有文件证明下列情形的除外：</w:t>
      </w:r>
    </w:p>
    <w:p>
      <w:pPr>
        <w:pStyle w:val="16"/>
        <w:numPr>
          <w:ilvl w:val="0"/>
          <w:numId w:val="0"/>
        </w:numPr>
        <w:wordWrap/>
        <w:snapToGrid w:val="0"/>
        <w:ind w:firstLine="420" w:firstLineChars="200"/>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作为</w:t>
      </w:r>
      <w:r>
        <w:rPr>
          <w:rFonts w:hint="eastAsia" w:ascii="宋体" w:hAnsi="宋体" w:eastAsia="宋体"/>
          <w:color w:val="auto"/>
          <w:highlight w:val="none"/>
        </w:rPr>
        <w:t>应答供应商</w:t>
      </w:r>
      <w:r>
        <w:rPr>
          <w:rFonts w:ascii="宋体" w:hAnsi="宋体" w:eastAsia="宋体"/>
          <w:color w:val="auto"/>
          <w:highlight w:val="none"/>
        </w:rPr>
        <w:t>的办事处或分公司代为购买</w:t>
      </w:r>
      <w:r>
        <w:rPr>
          <w:rFonts w:hint="eastAsia" w:ascii="宋体" w:hAnsi="宋体" w:eastAsia="宋体"/>
          <w:color w:val="auto"/>
          <w:highlight w:val="none"/>
        </w:rPr>
        <w:t>采购文件</w:t>
      </w:r>
      <w:r>
        <w:rPr>
          <w:rFonts w:ascii="宋体" w:hAnsi="宋体" w:eastAsia="宋体"/>
          <w:color w:val="auto"/>
          <w:highlight w:val="none"/>
        </w:rPr>
        <w:t>的；</w:t>
      </w:r>
    </w:p>
    <w:p>
      <w:pPr>
        <w:pStyle w:val="16"/>
        <w:numPr>
          <w:ilvl w:val="0"/>
          <w:numId w:val="0"/>
        </w:numPr>
        <w:wordWrap/>
        <w:snapToGrid w:val="0"/>
        <w:ind w:firstLine="420" w:firstLineChars="200"/>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购买</w:t>
      </w:r>
      <w:r>
        <w:rPr>
          <w:rFonts w:hint="eastAsia" w:ascii="宋体" w:hAnsi="宋体" w:eastAsia="宋体"/>
          <w:color w:val="auto"/>
          <w:highlight w:val="none"/>
        </w:rPr>
        <w:t>采购文件</w:t>
      </w:r>
      <w:r>
        <w:rPr>
          <w:rFonts w:ascii="宋体" w:hAnsi="宋体" w:eastAsia="宋体"/>
          <w:color w:val="auto"/>
          <w:highlight w:val="none"/>
        </w:rPr>
        <w:t>的</w:t>
      </w:r>
      <w:r>
        <w:rPr>
          <w:rFonts w:hint="eastAsia" w:ascii="宋体" w:hAnsi="宋体" w:eastAsia="宋体"/>
          <w:color w:val="auto"/>
          <w:highlight w:val="none"/>
        </w:rPr>
        <w:t>供应商</w:t>
      </w:r>
      <w:r>
        <w:rPr>
          <w:rFonts w:ascii="宋体" w:hAnsi="宋体" w:eastAsia="宋体"/>
          <w:color w:val="auto"/>
          <w:highlight w:val="none"/>
        </w:rPr>
        <w:t>在</w:t>
      </w:r>
      <w:r>
        <w:rPr>
          <w:rFonts w:hint="eastAsia" w:ascii="宋体" w:hAnsi="宋体" w:eastAsia="宋体"/>
          <w:color w:val="auto"/>
          <w:highlight w:val="none"/>
        </w:rPr>
        <w:t>应答</w:t>
      </w:r>
      <w:r>
        <w:rPr>
          <w:rFonts w:ascii="宋体" w:hAnsi="宋体" w:eastAsia="宋体"/>
          <w:color w:val="auto"/>
          <w:highlight w:val="none"/>
        </w:rPr>
        <w:t>截止前因兼并、重组上市等原因导致公司名称变化的</w:t>
      </w:r>
      <w:r>
        <w:rPr>
          <w:rFonts w:hint="eastAsia" w:ascii="宋体" w:hAnsi="宋体" w:eastAsia="宋体"/>
          <w:color w:val="auto"/>
          <w:highlight w:val="none"/>
        </w:rPr>
        <w:t>。</w:t>
      </w:r>
    </w:p>
    <w:bookmarkEnd w:id="61"/>
    <w:bookmarkEnd w:id="62"/>
    <w:bookmarkEnd w:id="63"/>
    <w:bookmarkEnd w:id="64"/>
    <w:bookmarkEnd w:id="65"/>
    <w:p>
      <w:pPr>
        <w:pStyle w:val="10"/>
        <w:overflowPunct w:val="0"/>
        <w:spacing w:before="0" w:beforeLines="0" w:after="0" w:afterLines="0" w:line="360" w:lineRule="auto"/>
        <w:outlineLvl w:val="1"/>
        <w:rPr>
          <w:rFonts w:ascii="宋体" w:hAnsi="宋体" w:eastAsia="宋体"/>
          <w:b/>
          <w:color w:val="auto"/>
          <w:highlight w:val="none"/>
        </w:rPr>
      </w:pPr>
      <w:bookmarkStart w:id="66" w:name="_Toc191150468"/>
      <w:bookmarkStart w:id="67" w:name="_Toc194335752"/>
      <w:bookmarkStart w:id="68" w:name="_Toc191151469"/>
      <w:bookmarkStart w:id="69" w:name="_Toc1488401709"/>
      <w:bookmarkStart w:id="70" w:name="_Toc191151251"/>
      <w:bookmarkStart w:id="71" w:name="_Toc191907895"/>
      <w:r>
        <w:rPr>
          <w:rFonts w:hint="eastAsia" w:ascii="宋体" w:hAnsi="宋体" w:eastAsia="宋体"/>
          <w:b/>
          <w:color w:val="auto"/>
          <w:highlight w:val="none"/>
        </w:rPr>
        <w:t>应答文件的递交</w:t>
      </w:r>
      <w:bookmarkEnd w:id="66"/>
      <w:bookmarkEnd w:id="67"/>
      <w:bookmarkEnd w:id="68"/>
      <w:bookmarkEnd w:id="69"/>
      <w:bookmarkEnd w:id="70"/>
      <w:bookmarkEnd w:id="71"/>
    </w:p>
    <w:p>
      <w:pPr>
        <w:pStyle w:val="15"/>
        <w:rPr>
          <w:rFonts w:ascii="宋体" w:hAnsi="宋体" w:eastAsia="宋体"/>
          <w:color w:val="auto"/>
          <w:highlight w:val="none"/>
        </w:rPr>
      </w:pPr>
      <w:bookmarkStart w:id="72" w:name="_Hlk72919428"/>
      <w:r>
        <w:rPr>
          <w:rFonts w:hint="eastAsia" w:ascii="宋体" w:hAnsi="宋体" w:eastAsia="宋体"/>
          <w:color w:val="auto"/>
          <w:highlight w:val="none"/>
        </w:rPr>
        <w:t>应答文件递交方式：中国核工业集团电子采购平台网络递交电子版应答文件（同时须在平台上进行报价）。递交应答文件地点：</w:t>
      </w:r>
      <w:r>
        <w:rPr>
          <w:rFonts w:hint="eastAsia" w:ascii="仿宋_GB2312" w:hAnsi="仿宋_GB2312" w:eastAsia="仿宋_GB2312" w:cs="仿宋_GB2312"/>
          <w:b w:val="0"/>
          <w:bCs/>
          <w:i/>
          <w:iCs/>
          <w:color w:val="auto"/>
          <w:kern w:val="2"/>
          <w:sz w:val="21"/>
          <w:szCs w:val="21"/>
          <w:highlight w:val="none"/>
          <w:u w:val="single"/>
          <w:lang w:val="en-US" w:eastAsia="zh-CN" w:bidi="ar-SA"/>
        </w:rPr>
        <w:t>　</w:t>
      </w:r>
      <w:r>
        <w:rPr>
          <w:rFonts w:hint="eastAsia" w:ascii="宋体" w:hAnsi="宋体" w:eastAsia="宋体" w:cs="宋体"/>
          <w:color w:val="auto"/>
          <w:highlight w:val="none"/>
          <w:u w:val="single"/>
        </w:rPr>
        <w:t>中国核工业集团电子采购平台</w:t>
      </w:r>
      <w:r>
        <w:rPr>
          <w:rFonts w:hint="eastAsia" w:ascii="仿宋_GB2312" w:hAnsi="仿宋_GB2312" w:eastAsia="仿宋_GB2312" w:cs="仿宋_GB2312"/>
          <w:b w:val="0"/>
          <w:bCs/>
          <w:i w:val="0"/>
          <w:iCs w:val="0"/>
          <w:color w:val="auto"/>
          <w:kern w:val="2"/>
          <w:sz w:val="21"/>
          <w:szCs w:val="21"/>
          <w:highlight w:val="none"/>
          <w:u w:val="single"/>
          <w:lang w:val="en-US" w:eastAsia="zh-CN" w:bidi="ar-SA"/>
        </w:rPr>
        <w:t>　　</w:t>
      </w:r>
    </w:p>
    <w:p>
      <w:pPr>
        <w:pStyle w:val="15"/>
        <w:numPr>
          <w:ilvl w:val="0"/>
          <w:numId w:val="8"/>
        </w:numPr>
        <w:ind w:firstLineChars="0"/>
        <w:rPr>
          <w:rFonts w:ascii="宋体" w:hAnsi="宋体" w:eastAsia="宋体"/>
          <w:color w:val="auto"/>
          <w:highlight w:val="none"/>
        </w:rPr>
      </w:pPr>
      <w:r>
        <w:rPr>
          <w:rFonts w:hint="eastAsia" w:ascii="宋体" w:hAnsi="宋体" w:eastAsia="宋体"/>
          <w:color w:val="auto"/>
          <w:highlight w:val="none"/>
        </w:rPr>
        <w:t>提交</w:t>
      </w:r>
      <w:r>
        <w:rPr>
          <w:rFonts w:ascii="宋体" w:hAnsi="宋体" w:eastAsia="宋体"/>
          <w:color w:val="auto"/>
          <w:highlight w:val="none"/>
        </w:rPr>
        <w:t>PDF</w:t>
      </w:r>
      <w:r>
        <w:rPr>
          <w:rFonts w:hint="eastAsia" w:ascii="宋体" w:hAnsi="宋体" w:eastAsia="宋体"/>
          <w:color w:val="auto"/>
          <w:highlight w:val="none"/>
        </w:rPr>
        <w:t>版签字、盖章的资信文件、商务文件、技术文件（如有）及可编辑版的</w:t>
      </w:r>
      <w:r>
        <w:rPr>
          <w:rFonts w:hint="eastAsia" w:ascii="宋体" w:hAnsi="宋体" w:eastAsia="宋体"/>
          <w:color w:val="auto"/>
          <w:highlight w:val="none"/>
          <w:lang w:eastAsia="zh-CN"/>
        </w:rPr>
        <w:t>工程量清单计价表</w:t>
      </w:r>
      <w:r>
        <w:rPr>
          <w:rFonts w:hint="eastAsia" w:ascii="宋体" w:hAnsi="宋体" w:eastAsia="宋体"/>
          <w:color w:val="auto"/>
          <w:highlight w:val="none"/>
        </w:rPr>
        <w:t>；</w:t>
      </w:r>
    </w:p>
    <w:p>
      <w:pPr>
        <w:pStyle w:val="15"/>
        <w:rPr>
          <w:rFonts w:ascii="宋体" w:hAnsi="宋体" w:eastAsia="宋体"/>
          <w:color w:val="auto"/>
          <w:highlight w:val="none"/>
          <w:u w:val="none"/>
        </w:rPr>
      </w:pPr>
      <w:r>
        <w:rPr>
          <w:rFonts w:hint="eastAsia" w:ascii="宋体" w:hAnsi="宋体" w:eastAsia="宋体"/>
          <w:color w:val="auto"/>
          <w:highlight w:val="none"/>
        </w:rPr>
        <w:t>递交应答文件截止时间（应答截止时间）：</w:t>
      </w:r>
      <w:r>
        <w:rPr>
          <w:rFonts w:ascii="宋体" w:hAnsi="宋体" w:eastAsia="宋体"/>
          <w:color w:val="auto"/>
          <w:highlight w:val="none"/>
          <w:u w:val="single"/>
        </w:rPr>
        <w:t>　</w:t>
      </w:r>
      <w:r>
        <w:rPr>
          <w:rFonts w:hint="eastAsia" w:ascii="宋体" w:hAnsi="宋体" w:eastAsia="宋体"/>
          <w:color w:val="auto"/>
          <w:highlight w:val="none"/>
          <w:u w:val="single"/>
          <w:lang w:val="en-US" w:eastAsia="zh-CN"/>
        </w:rPr>
        <w:t>2025</w:t>
      </w:r>
      <w:r>
        <w:rPr>
          <w:rFonts w:ascii="宋体" w:hAnsi="宋体" w:eastAsia="宋体"/>
          <w:color w:val="auto"/>
          <w:highlight w:val="none"/>
          <w:u w:val="single"/>
        </w:rPr>
        <w:t>　</w:t>
      </w:r>
      <w:r>
        <w:rPr>
          <w:rFonts w:ascii="宋体" w:hAnsi="宋体" w:eastAsia="宋体"/>
          <w:color w:val="auto"/>
          <w:highlight w:val="none"/>
        </w:rPr>
        <w:t>年</w:t>
      </w:r>
      <w:r>
        <w:rPr>
          <w:rFonts w:ascii="宋体" w:hAnsi="宋体" w:eastAsia="宋体"/>
          <w:color w:val="auto"/>
          <w:highlight w:val="none"/>
          <w:u w:val="single"/>
        </w:rPr>
        <w:t>　</w:t>
      </w:r>
      <w:r>
        <w:rPr>
          <w:rFonts w:hint="eastAsia" w:ascii="宋体" w:hAnsi="宋体" w:eastAsia="宋体"/>
          <w:color w:val="auto"/>
          <w:highlight w:val="none"/>
          <w:u w:val="single"/>
          <w:lang w:val="en-US" w:eastAsia="zh-CN"/>
        </w:rPr>
        <w:t xml:space="preserve">8 </w:t>
      </w:r>
      <w:r>
        <w:rPr>
          <w:rFonts w:ascii="宋体" w:hAnsi="宋体" w:eastAsia="宋体"/>
          <w:color w:val="auto"/>
          <w:highlight w:val="none"/>
          <w:u w:val="single"/>
        </w:rPr>
        <w:t>　</w:t>
      </w:r>
      <w:r>
        <w:rPr>
          <w:rFonts w:ascii="宋体" w:hAnsi="宋体" w:eastAsia="宋体"/>
          <w:color w:val="auto"/>
          <w:highlight w:val="none"/>
        </w:rPr>
        <w:t>月</w:t>
      </w:r>
      <w:r>
        <w:rPr>
          <w:rFonts w:ascii="宋体" w:hAnsi="宋体" w:eastAsia="宋体"/>
          <w:color w:val="auto"/>
          <w:highlight w:val="none"/>
          <w:u w:val="single"/>
        </w:rPr>
        <w:t>　</w:t>
      </w:r>
      <w:r>
        <w:rPr>
          <w:rFonts w:hint="eastAsia" w:ascii="宋体" w:hAnsi="宋体" w:eastAsia="宋体"/>
          <w:color w:val="auto"/>
          <w:highlight w:val="none"/>
          <w:u w:val="single"/>
          <w:lang w:val="en-US" w:eastAsia="zh-CN"/>
        </w:rPr>
        <w:t xml:space="preserve">5 </w:t>
      </w:r>
      <w:r>
        <w:rPr>
          <w:rFonts w:ascii="宋体" w:hAnsi="宋体" w:eastAsia="宋体"/>
          <w:color w:val="auto"/>
          <w:highlight w:val="none"/>
          <w:u w:val="single"/>
        </w:rPr>
        <w:t>　</w:t>
      </w:r>
      <w:r>
        <w:rPr>
          <w:rFonts w:ascii="宋体" w:hAnsi="宋体" w:eastAsia="宋体"/>
          <w:color w:val="auto"/>
          <w:highlight w:val="none"/>
        </w:rPr>
        <w:t>日</w:t>
      </w:r>
      <w:r>
        <w:rPr>
          <w:rFonts w:ascii="宋体" w:hAnsi="宋体" w:eastAsia="宋体"/>
          <w:color w:val="auto"/>
          <w:highlight w:val="none"/>
          <w:u w:val="single"/>
        </w:rPr>
        <w:t>　</w:t>
      </w:r>
      <w:r>
        <w:rPr>
          <w:rFonts w:hint="eastAsia" w:ascii="宋体" w:hAnsi="宋体" w:eastAsia="宋体"/>
          <w:color w:val="auto"/>
          <w:highlight w:val="none"/>
          <w:u w:val="single"/>
          <w:lang w:val="en-US" w:eastAsia="zh-CN"/>
        </w:rPr>
        <w:t xml:space="preserve">11  </w:t>
      </w:r>
      <w:r>
        <w:rPr>
          <w:rFonts w:hint="eastAsia" w:ascii="宋体" w:hAnsi="宋体" w:eastAsia="宋体"/>
          <w:color w:val="auto"/>
          <w:highlight w:val="none"/>
          <w:u w:val="single"/>
        </w:rPr>
        <w:t>　</w:t>
      </w:r>
      <w:r>
        <w:rPr>
          <w:rFonts w:ascii="宋体" w:hAnsi="宋体" w:eastAsia="宋体"/>
          <w:color w:val="auto"/>
          <w:highlight w:val="none"/>
        </w:rPr>
        <w:t>：</w:t>
      </w:r>
      <w:r>
        <w:rPr>
          <w:rFonts w:hint="eastAsia" w:ascii="宋体" w:hAnsi="宋体" w:eastAsia="宋体"/>
          <w:color w:val="auto"/>
          <w:highlight w:val="none"/>
          <w:u w:val="single"/>
          <w:lang w:val="en-US" w:eastAsia="zh-CN"/>
        </w:rPr>
        <w:t xml:space="preserve">   00   </w:t>
      </w:r>
      <w:r>
        <w:rPr>
          <w:rFonts w:hint="eastAsia" w:ascii="宋体" w:hAnsi="宋体" w:eastAsia="宋体"/>
          <w:color w:val="auto"/>
          <w:highlight w:val="none"/>
          <w:u w:val="single"/>
          <w:lang w:eastAsia="zh-CN"/>
        </w:rPr>
        <w:t>（</w:t>
      </w:r>
      <w:r>
        <w:rPr>
          <w:rFonts w:hint="eastAsia" w:ascii="宋体" w:hAnsi="宋体" w:eastAsia="宋体"/>
          <w:color w:val="auto"/>
          <w:highlight w:val="none"/>
          <w:u w:val="single"/>
          <w:lang w:val="en-US" w:eastAsia="zh-CN"/>
        </w:rPr>
        <w:t>以</w:t>
      </w:r>
      <w:r>
        <w:rPr>
          <w:rFonts w:hint="eastAsia" w:ascii="宋体" w:hAnsi="宋体" w:eastAsia="宋体"/>
          <w:color w:val="auto"/>
          <w:highlight w:val="none"/>
          <w:u w:val="single"/>
          <w:lang w:eastAsia="zh-CN"/>
        </w:rPr>
        <w:t>中国核工业集团电子采购平台</w:t>
      </w:r>
      <w:r>
        <w:rPr>
          <w:rFonts w:hint="eastAsia" w:ascii="宋体" w:hAnsi="宋体" w:eastAsia="宋体"/>
          <w:color w:val="auto"/>
          <w:highlight w:val="none"/>
          <w:u w:val="single"/>
          <w:lang w:val="en-US" w:eastAsia="zh-CN"/>
        </w:rPr>
        <w:t>发布时间为准</w:t>
      </w:r>
      <w:r>
        <w:rPr>
          <w:rFonts w:hint="eastAsia" w:ascii="宋体" w:hAnsi="宋体" w:eastAsia="宋体"/>
          <w:color w:val="auto"/>
          <w:highlight w:val="none"/>
          <w:u w:val="single"/>
          <w:lang w:eastAsia="zh-CN"/>
        </w:rPr>
        <w:t>）</w:t>
      </w:r>
      <w:r>
        <w:rPr>
          <w:rFonts w:hint="eastAsia" w:ascii="宋体" w:hAnsi="宋体" w:eastAsia="宋体"/>
          <w:color w:val="auto"/>
          <w:highlight w:val="none"/>
          <w:u w:val="none"/>
          <w:lang w:val="en-US" w:eastAsia="zh-CN"/>
        </w:rPr>
        <w:t>。</w:t>
      </w:r>
    </w:p>
    <w:p>
      <w:pPr>
        <w:pStyle w:val="15"/>
        <w:rPr>
          <w:rFonts w:ascii="宋体" w:hAnsi="宋体" w:eastAsia="宋体"/>
          <w:color w:val="auto"/>
          <w:highlight w:val="none"/>
        </w:rPr>
      </w:pPr>
      <w:r>
        <w:rPr>
          <w:rFonts w:hint="eastAsia" w:ascii="宋体" w:hAnsi="宋体" w:eastAsia="宋体"/>
          <w:color w:val="auto"/>
          <w:highlight w:val="none"/>
        </w:rPr>
        <w:t>应答文件应按采购文件规定时间、地点递交，逾期送达的、未送达指定地点的或者不按照采购文件要求密封的应答文件，</w:t>
      </w:r>
      <w:r>
        <w:rPr>
          <w:rFonts w:hint="eastAsia" w:ascii="宋体" w:hAnsi="宋体" w:eastAsia="宋体"/>
          <w:color w:val="auto"/>
          <w:highlight w:val="none"/>
          <w:lang w:eastAsia="zh-CN"/>
        </w:rPr>
        <w:t>采购实施单位</w:t>
      </w:r>
      <w:r>
        <w:rPr>
          <w:rFonts w:hint="eastAsia" w:ascii="宋体" w:hAnsi="宋体" w:eastAsia="宋体"/>
          <w:color w:val="auto"/>
          <w:highlight w:val="none"/>
        </w:rPr>
        <w:t>将予以拒收。</w:t>
      </w:r>
    </w:p>
    <w:bookmarkEnd w:id="72"/>
    <w:p>
      <w:pPr>
        <w:pStyle w:val="10"/>
        <w:overflowPunct w:val="0"/>
        <w:spacing w:before="0" w:beforeLines="0" w:after="0" w:afterLines="0" w:line="360" w:lineRule="auto"/>
        <w:jc w:val="left"/>
        <w:outlineLvl w:val="1"/>
        <w:rPr>
          <w:rFonts w:ascii="宋体" w:hAnsi="宋体" w:eastAsia="宋体"/>
          <w:b/>
          <w:color w:val="auto"/>
          <w:highlight w:val="none"/>
        </w:rPr>
      </w:pPr>
      <w:bookmarkStart w:id="73" w:name="_Toc191907896"/>
      <w:bookmarkStart w:id="74" w:name="_Toc841443727"/>
      <w:bookmarkStart w:id="75" w:name="_Toc194335753"/>
      <w:bookmarkStart w:id="76" w:name="_Toc191150469"/>
      <w:bookmarkStart w:id="77" w:name="_Toc191151252"/>
      <w:bookmarkStart w:id="78" w:name="_Toc191151470"/>
      <w:r>
        <w:rPr>
          <w:rFonts w:hint="eastAsia" w:ascii="宋体" w:hAnsi="宋体" w:eastAsia="宋体"/>
          <w:b/>
          <w:color w:val="auto"/>
          <w:highlight w:val="none"/>
        </w:rPr>
        <w:t>应答文件开启时间和地点</w:t>
      </w:r>
      <w:bookmarkEnd w:id="73"/>
      <w:bookmarkEnd w:id="74"/>
      <w:bookmarkEnd w:id="75"/>
      <w:bookmarkEnd w:id="76"/>
      <w:bookmarkEnd w:id="77"/>
      <w:bookmarkEnd w:id="78"/>
    </w:p>
    <w:p>
      <w:pPr>
        <w:pStyle w:val="15"/>
        <w:rPr>
          <w:rFonts w:ascii="宋体" w:hAnsi="宋体" w:eastAsia="宋体"/>
          <w:color w:val="auto"/>
          <w:highlight w:val="none"/>
        </w:rPr>
      </w:pPr>
      <w:bookmarkStart w:id="79" w:name="_Hlk41308617"/>
      <w:r>
        <w:rPr>
          <w:rFonts w:hint="eastAsia" w:ascii="宋体" w:hAnsi="宋体" w:eastAsia="宋体"/>
          <w:color w:val="auto"/>
          <w:highlight w:val="none"/>
          <w:lang w:eastAsia="zh-CN"/>
        </w:rPr>
        <w:t>采购实施单位</w:t>
      </w:r>
      <w:r>
        <w:rPr>
          <w:rFonts w:hint="eastAsia" w:ascii="宋体" w:hAnsi="宋体" w:eastAsia="宋体"/>
          <w:color w:val="auto"/>
          <w:highlight w:val="none"/>
        </w:rPr>
        <w:t>在本项目提交应答文件截止时间</w:t>
      </w:r>
      <w:r>
        <w:rPr>
          <w:rFonts w:hint="eastAsia" w:ascii="宋体" w:hAnsi="宋体" w:eastAsia="宋体"/>
          <w:color w:val="auto"/>
          <w:highlight w:val="none"/>
          <w:u w:val="single"/>
        </w:rPr>
        <w:t>□</w:t>
      </w:r>
      <w:r>
        <w:rPr>
          <w:rFonts w:hint="eastAsia" w:ascii="宋体" w:hAnsi="宋体" w:eastAsia="宋体"/>
          <w:color w:val="auto"/>
          <w:highlight w:val="none"/>
          <w:u w:val="single"/>
          <w:lang w:eastAsia="zh-CN"/>
        </w:rPr>
        <w:t>公开☑</w:t>
      </w:r>
      <w:r>
        <w:rPr>
          <w:rFonts w:hint="eastAsia" w:ascii="宋体" w:hAnsi="宋体" w:eastAsia="宋体"/>
          <w:color w:val="auto"/>
          <w:highlight w:val="none"/>
          <w:u w:val="single"/>
        </w:rPr>
        <w:t>不</w:t>
      </w:r>
      <w:r>
        <w:rPr>
          <w:rFonts w:hint="eastAsia" w:ascii="宋体" w:hAnsi="宋体" w:eastAsia="宋体"/>
          <w:color w:val="auto"/>
          <w:highlight w:val="none"/>
          <w:u w:val="single"/>
          <w:lang w:eastAsia="zh-CN"/>
        </w:rPr>
        <w:t>公开</w:t>
      </w:r>
      <w:r>
        <w:rPr>
          <w:rFonts w:hint="eastAsia" w:ascii="宋体" w:hAnsi="宋体" w:eastAsia="宋体"/>
          <w:color w:val="auto"/>
          <w:highlight w:val="none"/>
        </w:rPr>
        <w:t>开启应答文件，中国核工业集团电子采购平台网络开启。</w:t>
      </w:r>
      <w:bookmarkEnd w:id="79"/>
    </w:p>
    <w:p>
      <w:pPr>
        <w:pStyle w:val="10"/>
        <w:overflowPunct w:val="0"/>
        <w:spacing w:before="0" w:beforeLines="0" w:after="0" w:afterLines="0" w:line="360" w:lineRule="auto"/>
        <w:jc w:val="left"/>
        <w:outlineLvl w:val="1"/>
        <w:rPr>
          <w:rFonts w:ascii="宋体" w:hAnsi="宋体" w:eastAsia="宋体"/>
          <w:b/>
          <w:color w:val="auto"/>
          <w:highlight w:val="none"/>
        </w:rPr>
      </w:pPr>
      <w:bookmarkStart w:id="80" w:name="_Toc194335754"/>
      <w:bookmarkStart w:id="81" w:name="_Toc191907897"/>
      <w:bookmarkStart w:id="82" w:name="_Toc191150470"/>
      <w:bookmarkStart w:id="83" w:name="_Toc33491589"/>
      <w:bookmarkStart w:id="84" w:name="_Toc191151471"/>
      <w:bookmarkStart w:id="85" w:name="_Toc191151253"/>
      <w:r>
        <w:rPr>
          <w:rFonts w:hint="eastAsia" w:ascii="宋体" w:hAnsi="宋体" w:eastAsia="宋体"/>
          <w:b/>
          <w:color w:val="auto"/>
          <w:highlight w:val="none"/>
        </w:rPr>
        <w:t>发布公告的媒介</w:t>
      </w:r>
      <w:bookmarkEnd w:id="80"/>
      <w:bookmarkEnd w:id="81"/>
      <w:bookmarkEnd w:id="82"/>
      <w:bookmarkEnd w:id="83"/>
      <w:bookmarkEnd w:id="84"/>
      <w:bookmarkEnd w:id="85"/>
    </w:p>
    <w:p>
      <w:pPr>
        <w:pStyle w:val="15"/>
        <w:rPr>
          <w:rFonts w:ascii="宋体" w:hAnsi="宋体" w:eastAsia="宋体"/>
          <w:color w:val="auto"/>
          <w:highlight w:val="none"/>
        </w:rPr>
      </w:pPr>
      <w:r>
        <w:rPr>
          <w:rFonts w:hint="eastAsia" w:ascii="宋体" w:hAnsi="宋体" w:eastAsia="宋体"/>
          <w:color w:val="auto"/>
          <w:highlight w:val="none"/>
        </w:rPr>
        <w:t>本次公告在中国核工业集团电子采购平台（https://www.cnncecp.com）上发布。</w:t>
      </w:r>
    </w:p>
    <w:p>
      <w:pPr>
        <w:pStyle w:val="10"/>
        <w:overflowPunct w:val="0"/>
        <w:spacing w:before="0" w:beforeLines="0" w:after="0" w:afterLines="0" w:line="360" w:lineRule="auto"/>
        <w:jc w:val="left"/>
        <w:outlineLvl w:val="1"/>
        <w:rPr>
          <w:rFonts w:ascii="宋体" w:hAnsi="宋体" w:eastAsia="宋体"/>
          <w:b/>
          <w:color w:val="auto"/>
          <w:highlight w:val="none"/>
        </w:rPr>
      </w:pPr>
      <w:bookmarkStart w:id="86" w:name="_Toc191151472"/>
      <w:bookmarkStart w:id="87" w:name="_Toc194335755"/>
      <w:bookmarkStart w:id="88" w:name="_Toc191907898"/>
      <w:bookmarkStart w:id="89" w:name="_Toc191150471"/>
      <w:bookmarkStart w:id="90" w:name="_Toc191151254"/>
      <w:bookmarkStart w:id="91" w:name="_Toc1678232224"/>
      <w:r>
        <w:rPr>
          <w:rFonts w:hint="eastAsia" w:ascii="宋体" w:hAnsi="宋体" w:eastAsia="宋体"/>
          <w:b/>
          <w:color w:val="auto"/>
          <w:highlight w:val="none"/>
        </w:rPr>
        <w:t>联系方式</w:t>
      </w:r>
      <w:bookmarkEnd w:id="86"/>
      <w:bookmarkEnd w:id="87"/>
      <w:bookmarkEnd w:id="88"/>
      <w:bookmarkEnd w:id="89"/>
      <w:bookmarkEnd w:id="90"/>
      <w:bookmarkEnd w:id="91"/>
    </w:p>
    <w:p>
      <w:pPr>
        <w:pStyle w:val="3"/>
        <w:spacing w:line="360" w:lineRule="auto"/>
        <w:ind w:firstLine="400" w:firstLineChars="200"/>
        <w:outlineLvl w:val="9"/>
        <w:rPr>
          <w:color w:val="auto"/>
          <w:highlight w:val="none"/>
        </w:rPr>
      </w:pPr>
      <w:r>
        <w:rPr>
          <w:rFonts w:hint="eastAsia" w:ascii="宋体" w:hAnsi="宋体" w:eastAsia="宋体"/>
          <w:color w:val="auto"/>
          <w:highlight w:val="none"/>
        </w:rPr>
        <w:t>采购实施</w:t>
      </w:r>
      <w:r>
        <w:rPr>
          <w:rFonts w:hint="eastAsia" w:ascii="宋体" w:hAnsi="宋体"/>
          <w:color w:val="auto"/>
          <w:highlight w:val="none"/>
          <w:lang w:val="en-US" w:eastAsia="zh-CN"/>
        </w:rPr>
        <w:t>单位</w:t>
      </w:r>
      <w:r>
        <w:rPr>
          <w:rFonts w:hint="eastAsia" w:ascii="宋体" w:hAnsi="宋体" w:eastAsia="宋体"/>
          <w:color w:val="auto"/>
          <w:highlight w:val="none"/>
        </w:rPr>
        <w:t>：</w:t>
      </w:r>
      <w:r>
        <w:rPr>
          <w:rFonts w:hint="eastAsia" w:ascii="宋体" w:hAnsi="宋体" w:eastAsia="宋体"/>
          <w:color w:val="auto"/>
          <w:highlight w:val="none"/>
          <w:u w:val="single"/>
        </w:rPr>
        <w:t>中国核工业建设股份有限公司</w:t>
      </w:r>
    </w:p>
    <w:p>
      <w:pPr>
        <w:pStyle w:val="15"/>
        <w:spacing w:line="360" w:lineRule="auto"/>
        <w:rPr>
          <w:rFonts w:hint="eastAsia" w:ascii="宋体" w:hAnsi="宋体" w:eastAsia="宋体"/>
          <w:color w:val="auto"/>
          <w:highlight w:val="none"/>
          <w:lang w:eastAsia="zh-CN"/>
        </w:rPr>
      </w:pPr>
      <w:r>
        <w:rPr>
          <w:rFonts w:hint="eastAsia" w:ascii="宋体" w:hAnsi="宋体" w:eastAsia="宋体"/>
          <w:color w:val="auto"/>
          <w:highlight w:val="none"/>
        </w:rPr>
        <w:t>地址：</w:t>
      </w:r>
      <w:r>
        <w:rPr>
          <w:rFonts w:hint="eastAsia" w:ascii="宋体" w:hAnsi="宋体" w:eastAsia="宋体"/>
          <w:color w:val="auto"/>
          <w:highlight w:val="none"/>
          <w:u w:val="single"/>
        </w:rPr>
        <w:t>上海市青浦区蟠龙路500号</w:t>
      </w:r>
      <w:r>
        <w:rPr>
          <w:rFonts w:hint="eastAsia" w:ascii="宋体" w:hAnsi="宋体" w:eastAsia="宋体"/>
          <w:color w:val="auto"/>
          <w:highlight w:val="none"/>
          <w:u w:val="single"/>
          <w:lang w:val="en-US" w:eastAsia="zh-CN"/>
        </w:rPr>
        <w:t xml:space="preserve"> </w:t>
      </w:r>
    </w:p>
    <w:p>
      <w:pPr>
        <w:pStyle w:val="3"/>
        <w:spacing w:line="360" w:lineRule="auto"/>
        <w:ind w:firstLine="400" w:firstLineChars="200"/>
        <w:outlineLvl w:val="9"/>
        <w:rPr>
          <w:rFonts w:hint="eastAsia" w:eastAsia="宋体"/>
          <w:color w:val="auto"/>
          <w:highlight w:val="none"/>
          <w:lang w:eastAsia="zh-CN"/>
        </w:rPr>
      </w:pPr>
      <w:r>
        <w:rPr>
          <w:rFonts w:hint="eastAsia" w:ascii="宋体" w:hAnsi="宋体" w:eastAsia="宋体"/>
          <w:color w:val="auto"/>
          <w:highlight w:val="none"/>
        </w:rPr>
        <w:t>联系人：</w:t>
      </w:r>
      <w:r>
        <w:rPr>
          <w:rFonts w:hint="eastAsia" w:ascii="宋体" w:hAnsi="宋体" w:eastAsia="宋体"/>
          <w:color w:val="auto"/>
          <w:highlight w:val="none"/>
          <w:u w:val="single"/>
        </w:rPr>
        <w:t>　</w:t>
      </w:r>
      <w:r>
        <w:rPr>
          <w:rFonts w:hint="eastAsia" w:ascii="宋体" w:hAnsi="宋体"/>
          <w:i w:val="0"/>
          <w:iCs w:val="0"/>
          <w:color w:val="auto"/>
          <w:highlight w:val="none"/>
          <w:u w:val="single"/>
          <w:lang w:val="en-US" w:eastAsia="zh-CN"/>
        </w:rPr>
        <w:t>张女士</w:t>
      </w:r>
      <w:r>
        <w:rPr>
          <w:rFonts w:hint="eastAsia" w:ascii="宋体" w:hAnsi="宋体"/>
          <w:color w:val="auto"/>
          <w:highlight w:val="none"/>
          <w:u w:val="single"/>
          <w:lang w:val="en-US" w:eastAsia="zh-CN"/>
        </w:rPr>
        <w:t xml:space="preserve"> </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pStyle w:val="3"/>
        <w:spacing w:line="360" w:lineRule="auto"/>
        <w:ind w:firstLine="400" w:firstLineChars="200"/>
        <w:outlineLvl w:val="9"/>
        <w:rPr>
          <w:rFonts w:hint="default" w:eastAsia="宋体"/>
          <w:color w:val="auto"/>
          <w:highlight w:val="none"/>
          <w:lang w:val="en-US" w:eastAsia="zh-CN"/>
        </w:rPr>
      </w:pPr>
      <w:r>
        <w:rPr>
          <w:rFonts w:hint="eastAsia" w:ascii="宋体" w:hAnsi="宋体" w:eastAsia="宋体"/>
          <w:color w:val="auto"/>
          <w:highlight w:val="none"/>
        </w:rPr>
        <w:t>电话：</w:t>
      </w:r>
      <w:r>
        <w:rPr>
          <w:rFonts w:hint="eastAsia" w:ascii="宋体" w:hAnsi="宋体" w:eastAsia="宋体"/>
          <w:color w:val="auto"/>
          <w:highlight w:val="none"/>
          <w:u w:val="single"/>
        </w:rPr>
        <w:t>　　</w:t>
      </w:r>
      <w:r>
        <w:rPr>
          <w:rFonts w:hint="eastAsia" w:ascii="宋体" w:hAnsi="宋体"/>
          <w:i w:val="0"/>
          <w:iCs w:val="0"/>
          <w:color w:val="auto"/>
          <w:highlight w:val="none"/>
          <w:u w:val="single"/>
          <w:lang w:val="en-US" w:eastAsia="zh-CN"/>
        </w:rPr>
        <w:t>13171936797</w:t>
      </w:r>
      <w:r>
        <w:rPr>
          <w:rFonts w:hint="eastAsia" w:ascii="宋体" w:hAnsi="宋体"/>
          <w:color w:val="auto"/>
          <w:highlight w:val="none"/>
          <w:u w:val="single"/>
          <w:lang w:val="en-US" w:eastAsia="zh-CN"/>
        </w:rPr>
        <w:t xml:space="preserve"> </w:t>
      </w:r>
      <w:r>
        <w:rPr>
          <w:rFonts w:hint="eastAsia"/>
          <w:color w:val="auto"/>
          <w:highlight w:val="none"/>
          <w:u w:val="none"/>
          <w:lang w:val="en-US" w:eastAsia="zh-CN"/>
        </w:rPr>
        <w:t xml:space="preserve"> </w:t>
      </w:r>
      <w:r>
        <w:rPr>
          <w:rFonts w:hint="eastAsia"/>
          <w:color w:val="auto"/>
          <w:highlight w:val="none"/>
          <w:lang w:val="en-US" w:eastAsia="zh-CN"/>
        </w:rPr>
        <w:t xml:space="preserve">            </w:t>
      </w:r>
    </w:p>
    <w:p>
      <w:pPr>
        <w:pStyle w:val="10"/>
        <w:overflowPunct w:val="0"/>
        <w:spacing w:before="0" w:beforeLines="0" w:after="0" w:afterLines="0" w:line="360" w:lineRule="auto"/>
        <w:jc w:val="left"/>
        <w:outlineLvl w:val="1"/>
        <w:rPr>
          <w:rFonts w:ascii="宋体" w:hAnsi="宋体" w:eastAsia="宋体"/>
          <w:b/>
          <w:color w:val="auto"/>
          <w:highlight w:val="none"/>
        </w:rPr>
      </w:pPr>
      <w:bookmarkStart w:id="92" w:name="_Toc191150472"/>
      <w:bookmarkStart w:id="93" w:name="_Toc191151255"/>
      <w:bookmarkStart w:id="94" w:name="_Toc1956337309"/>
      <w:bookmarkStart w:id="95" w:name="_Toc194335756"/>
      <w:bookmarkStart w:id="96" w:name="_Toc191151473"/>
      <w:bookmarkStart w:id="97" w:name="_Toc191907899"/>
      <w:r>
        <w:rPr>
          <w:rFonts w:hint="eastAsia" w:ascii="宋体" w:hAnsi="宋体" w:eastAsia="宋体"/>
          <w:b/>
          <w:color w:val="auto"/>
          <w:highlight w:val="none"/>
        </w:rPr>
        <w:t>其他说明</w:t>
      </w:r>
      <w:bookmarkEnd w:id="92"/>
      <w:bookmarkEnd w:id="93"/>
      <w:bookmarkEnd w:id="94"/>
      <w:bookmarkEnd w:id="95"/>
      <w:bookmarkEnd w:id="96"/>
      <w:bookmarkEnd w:id="97"/>
    </w:p>
    <w:p>
      <w:pPr>
        <w:pStyle w:val="12"/>
        <w:overflowPunct w:val="0"/>
        <w:spacing w:before="0" w:beforeLines="0" w:after="0" w:afterLines="0" w:line="360" w:lineRule="auto"/>
        <w:ind w:firstLine="210"/>
        <w:rPr>
          <w:rFonts w:ascii="宋体" w:hAnsi="宋体" w:eastAsia="宋体"/>
          <w:color w:val="auto"/>
          <w:highlight w:val="none"/>
        </w:rPr>
      </w:pPr>
      <w:r>
        <w:rPr>
          <w:rFonts w:hint="eastAsia" w:ascii="宋体" w:hAnsi="宋体" w:eastAsia="宋体"/>
          <w:color w:val="auto"/>
          <w:highlight w:val="none"/>
        </w:rPr>
        <w:t>本次采购活动的最终解释权在</w:t>
      </w:r>
      <w:r>
        <w:rPr>
          <w:rFonts w:hint="eastAsia" w:ascii="宋体" w:hAnsi="宋体" w:eastAsia="宋体"/>
          <w:color w:val="auto"/>
          <w:highlight w:val="none"/>
          <w:lang w:eastAsia="zh-CN"/>
        </w:rPr>
        <w:t>采购实施单位</w:t>
      </w:r>
      <w:r>
        <w:rPr>
          <w:rFonts w:hint="eastAsia" w:ascii="宋体" w:hAnsi="宋体" w:eastAsia="宋体"/>
          <w:color w:val="auto"/>
          <w:highlight w:val="none"/>
        </w:rPr>
        <w:t>。</w:t>
      </w:r>
    </w:p>
    <w:p>
      <w:pPr>
        <w:pStyle w:val="12"/>
        <w:overflowPunct w:val="0"/>
        <w:spacing w:before="0" w:beforeLines="0" w:after="0" w:afterLines="0" w:line="360" w:lineRule="auto"/>
        <w:ind w:firstLine="210"/>
        <w:rPr>
          <w:rFonts w:ascii="宋体" w:hAnsi="宋体" w:eastAsia="宋体"/>
          <w:color w:val="auto"/>
          <w:highlight w:val="none"/>
        </w:rPr>
      </w:pPr>
      <w:r>
        <w:rPr>
          <w:rFonts w:hint="eastAsia" w:ascii="宋体" w:hAnsi="宋体" w:eastAsia="宋体"/>
          <w:color w:val="auto"/>
          <w:highlight w:val="none"/>
        </w:rPr>
        <w:t>供应商</w:t>
      </w:r>
      <w:r>
        <w:rPr>
          <w:rFonts w:ascii="宋体" w:hAnsi="宋体" w:eastAsia="宋体"/>
          <w:color w:val="auto"/>
          <w:highlight w:val="none"/>
        </w:rPr>
        <w:t>须遵守</w:t>
      </w:r>
      <w:r>
        <w:rPr>
          <w:rFonts w:hint="eastAsia" w:ascii="宋体" w:hAnsi="宋体" w:eastAsia="宋体"/>
          <w:color w:val="auto"/>
          <w:highlight w:val="none"/>
          <w:lang w:eastAsia="zh-CN"/>
        </w:rPr>
        <w:t>采购实施单位</w:t>
      </w:r>
      <w:r>
        <w:rPr>
          <w:rFonts w:ascii="宋体" w:hAnsi="宋体" w:eastAsia="宋体"/>
          <w:color w:val="auto"/>
          <w:highlight w:val="none"/>
        </w:rPr>
        <w:t>的保密规定（见保密承诺函）</w:t>
      </w:r>
      <w:r>
        <w:rPr>
          <w:rFonts w:hint="eastAsia" w:ascii="宋体" w:hAnsi="宋体" w:eastAsia="宋体"/>
          <w:color w:val="auto"/>
          <w:highlight w:val="none"/>
        </w:rPr>
        <w:t>，并遵守相关廉洁协议</w:t>
      </w:r>
      <w:r>
        <w:rPr>
          <w:rFonts w:ascii="宋体" w:hAnsi="宋体" w:eastAsia="宋体"/>
          <w:color w:val="auto"/>
          <w:highlight w:val="none"/>
        </w:rPr>
        <w:t>。</w:t>
      </w:r>
    </w:p>
    <w:p>
      <w:pPr>
        <w:pStyle w:val="12"/>
        <w:overflowPunct w:val="0"/>
        <w:spacing w:before="0" w:beforeLines="0" w:after="0" w:afterLines="0" w:line="360" w:lineRule="auto"/>
        <w:ind w:firstLine="210"/>
        <w:rPr>
          <w:rFonts w:ascii="宋体" w:hAnsi="宋体" w:eastAsia="宋体"/>
          <w:color w:val="auto"/>
          <w:highlight w:val="none"/>
        </w:rPr>
      </w:pPr>
      <w:r>
        <w:rPr>
          <w:rFonts w:ascii="宋体" w:hAnsi="宋体" w:eastAsia="宋体"/>
          <w:color w:val="auto"/>
          <w:highlight w:val="none"/>
        </w:rPr>
        <w:t>对于其它公司利用本公司发布的</w:t>
      </w:r>
      <w:r>
        <w:rPr>
          <w:rFonts w:hint="eastAsia" w:ascii="宋体" w:hAnsi="宋体" w:eastAsia="宋体"/>
          <w:color w:val="auto"/>
          <w:highlight w:val="none"/>
        </w:rPr>
        <w:t>公告</w:t>
      </w:r>
      <w:r>
        <w:rPr>
          <w:rFonts w:ascii="宋体" w:hAnsi="宋体" w:eastAsia="宋体"/>
          <w:color w:val="auto"/>
          <w:highlight w:val="none"/>
        </w:rPr>
        <w:t>信息进行诈骗的行为，本公司将不承担任何责任，并保留追究相关责任人权利。</w:t>
      </w:r>
    </w:p>
    <w:p>
      <w:pPr>
        <w:pStyle w:val="10"/>
        <w:overflowPunct w:val="0"/>
        <w:spacing w:before="0" w:beforeLines="0" w:after="0" w:afterLines="0" w:line="360" w:lineRule="auto"/>
        <w:jc w:val="left"/>
        <w:outlineLvl w:val="1"/>
        <w:rPr>
          <w:rFonts w:ascii="宋体" w:hAnsi="宋体" w:eastAsia="宋体"/>
          <w:b/>
          <w:color w:val="auto"/>
          <w:highlight w:val="none"/>
        </w:rPr>
      </w:pPr>
      <w:bookmarkStart w:id="98" w:name="_Toc191907900"/>
      <w:bookmarkStart w:id="99" w:name="_Toc191151256"/>
      <w:bookmarkStart w:id="100" w:name="_Toc191151474"/>
      <w:bookmarkStart w:id="101" w:name="_Toc194335757"/>
      <w:bookmarkStart w:id="102" w:name="_Toc93507930"/>
      <w:bookmarkStart w:id="103" w:name="_Toc191150473"/>
      <w:r>
        <w:rPr>
          <w:rFonts w:hint="eastAsia" w:ascii="宋体" w:hAnsi="宋体" w:eastAsia="宋体"/>
          <w:b/>
          <w:color w:val="auto"/>
          <w:highlight w:val="none"/>
        </w:rPr>
        <w:t>其他需要补充的内容</w:t>
      </w:r>
      <w:bookmarkEnd w:id="98"/>
      <w:bookmarkEnd w:id="99"/>
      <w:bookmarkEnd w:id="100"/>
      <w:bookmarkEnd w:id="101"/>
      <w:bookmarkEnd w:id="102"/>
      <w:bookmarkEnd w:id="103"/>
    </w:p>
    <w:p>
      <w:pPr>
        <w:pStyle w:val="15"/>
        <w:rPr>
          <w:rFonts w:ascii="宋体" w:hAnsi="宋体" w:eastAsia="宋体"/>
          <w:color w:val="auto"/>
          <w:highlight w:val="none"/>
          <w:u w:val="single"/>
        </w:rPr>
      </w:pPr>
      <w:bookmarkStart w:id="104" w:name="_GoBack"/>
      <w:r>
        <w:rPr>
          <w:rFonts w:hint="eastAsia" w:ascii="宋体" w:hAnsi="宋体" w:eastAsia="宋体"/>
          <w:color w:val="auto"/>
          <w:highlight w:val="none"/>
          <w:u w:val="single"/>
        </w:rPr>
        <w:t>　</w:t>
      </w:r>
      <w:r>
        <w:rPr>
          <w:rFonts w:hint="eastAsia" w:ascii="Times New Roman" w:hAnsi="Times New Roman" w:eastAsia="宋体" w:cs="Times New Roman"/>
          <w:color w:val="auto"/>
          <w:kern w:val="0"/>
          <w:sz w:val="20"/>
          <w:szCs w:val="24"/>
          <w:highlight w:val="none"/>
          <w:u w:val="single"/>
          <w:lang w:val="en-US" w:eastAsia="zh-CN" w:bidi="ar-SA"/>
        </w:rPr>
        <w:t>/ 　</w:t>
      </w:r>
    </w:p>
    <w:bookmarkEnd w:id="104"/>
    <w:p>
      <w:pPr>
        <w:overflowPunct w:val="0"/>
        <w:jc w:val="right"/>
        <w:rPr>
          <w:rFonts w:ascii="宋体" w:hAnsi="宋体"/>
          <w:color w:val="auto"/>
          <w:highlight w:val="none"/>
        </w:rPr>
      </w:pPr>
    </w:p>
    <w:p>
      <w:pPr>
        <w:pStyle w:val="17"/>
        <w:keepNext w:val="0"/>
        <w:keepLines w:val="0"/>
        <w:pageBreakBefore w:val="0"/>
        <w:widowControl/>
        <w:kinsoku/>
        <w:topLinePunct w:val="0"/>
        <w:autoSpaceDE/>
        <w:autoSpaceDN/>
        <w:bidi w:val="0"/>
        <w:snapToGrid/>
        <w:spacing w:before="0" w:beforeLines="0" w:beforeAutospacing="0" w:after="0" w:afterLines="0" w:afterAutospacing="0" w:line="480" w:lineRule="auto"/>
        <w:jc w:val="right"/>
        <w:textAlignment w:val="auto"/>
        <w:rPr>
          <w:rFonts w:hint="eastAsia" w:ascii="宋体" w:hAnsi="宋体" w:eastAsia="宋体"/>
          <w:color w:val="auto"/>
          <w:highlight w:val="none"/>
          <w:u w:val="single"/>
        </w:rPr>
      </w:pPr>
      <w:r>
        <w:rPr>
          <w:rFonts w:hint="eastAsia" w:ascii="宋体" w:hAnsi="宋体" w:eastAsia="宋体"/>
          <w:color w:val="auto"/>
          <w:highlight w:val="none"/>
        </w:rPr>
        <w:t>采购实施单位：</w:t>
      </w:r>
      <w:r>
        <w:rPr>
          <w:rFonts w:hint="eastAsia" w:ascii="宋体" w:hAnsi="宋体" w:eastAsia="宋体"/>
          <w:color w:val="auto"/>
          <w:highlight w:val="none"/>
          <w:u w:val="single"/>
        </w:rPr>
        <w:t>中国核工业建设股份有限公司</w:t>
      </w:r>
    </w:p>
    <w:p>
      <w:pPr>
        <w:pStyle w:val="17"/>
        <w:keepNext w:val="0"/>
        <w:keepLines w:val="0"/>
        <w:pageBreakBefore w:val="0"/>
        <w:widowControl/>
        <w:kinsoku/>
        <w:topLinePunct w:val="0"/>
        <w:autoSpaceDE/>
        <w:autoSpaceDN/>
        <w:bidi w:val="0"/>
        <w:snapToGrid/>
        <w:spacing w:before="0" w:beforeLines="0" w:beforeAutospacing="0" w:after="0" w:afterLines="0" w:afterAutospacing="0" w:line="480" w:lineRule="auto"/>
        <w:jc w:val="left"/>
        <w:textAlignment w:val="auto"/>
        <w:rPr>
          <w:rFonts w:hint="default" w:ascii="宋体" w:hAnsi="宋体" w:eastAsia="宋体"/>
          <w:color w:val="auto"/>
          <w:highlight w:val="none"/>
          <w:u w:val="single"/>
          <w:lang w:val="en-US" w:eastAsia="zh-CN"/>
        </w:rPr>
      </w:pP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采购需求单位：</w:t>
      </w:r>
      <w:r>
        <w:rPr>
          <w:rFonts w:hint="eastAsia" w:ascii="宋体" w:hAnsi="宋体" w:eastAsia="宋体"/>
          <w:color w:val="auto"/>
          <w:highlight w:val="none"/>
          <w:u w:val="single"/>
          <w:lang w:val="en-US" w:eastAsia="zh-CN"/>
        </w:rPr>
        <w:t xml:space="preserve">中国核工业二四建设有限公司 </w:t>
      </w:r>
    </w:p>
    <w:p>
      <w:pPr>
        <w:pStyle w:val="17"/>
        <w:keepNext w:val="0"/>
        <w:keepLines w:val="0"/>
        <w:pageBreakBefore w:val="0"/>
        <w:widowControl/>
        <w:kinsoku/>
        <w:topLinePunct w:val="0"/>
        <w:autoSpaceDE/>
        <w:autoSpaceDN/>
        <w:bidi w:val="0"/>
        <w:snapToGrid/>
        <w:spacing w:before="0" w:beforeLines="0" w:beforeAutospacing="0" w:after="0" w:afterLines="0" w:afterAutospacing="0" w:line="480" w:lineRule="auto"/>
        <w:jc w:val="right"/>
        <w:textAlignment w:val="auto"/>
        <w:rPr>
          <w:rFonts w:ascii="宋体" w:hAnsi="宋体" w:eastAsia="宋体"/>
          <w:color w:val="auto"/>
          <w:highlight w:val="none"/>
        </w:rPr>
      </w:pPr>
      <w:r>
        <w:rPr>
          <w:rFonts w:hint="eastAsia" w:ascii="宋体" w:hAnsi="宋体" w:eastAsia="宋体"/>
          <w:color w:val="auto"/>
          <w:highlight w:val="none"/>
          <w:u w:val="none"/>
          <w:lang w:val="en-US" w:eastAsia="zh-CN"/>
        </w:rPr>
        <w:t xml:space="preserve">                                                      </w:t>
      </w:r>
      <w:r>
        <w:rPr>
          <w:rFonts w:hint="eastAsia" w:ascii="宋体" w:hAnsi="宋体" w:eastAsia="宋体"/>
          <w:color w:val="auto"/>
          <w:highlight w:val="none"/>
          <w:u w:val="single"/>
          <w:lang w:val="en-US" w:eastAsia="zh-CN"/>
        </w:rPr>
        <w:t>2025</w:t>
      </w:r>
      <w:r>
        <w:rPr>
          <w:rFonts w:ascii="宋体" w:hAnsi="宋体" w:eastAsia="宋体"/>
          <w:color w:val="auto"/>
          <w:highlight w:val="none"/>
        </w:rPr>
        <w:t>年</w:t>
      </w:r>
      <w:r>
        <w:rPr>
          <w:rFonts w:ascii="宋体" w:hAnsi="宋体" w:eastAsia="宋体"/>
          <w:color w:val="auto"/>
          <w:highlight w:val="none"/>
          <w:u w:val="single"/>
        </w:rPr>
        <w:t>　</w:t>
      </w:r>
      <w:r>
        <w:rPr>
          <w:rFonts w:hint="eastAsia" w:ascii="宋体" w:hAnsi="宋体" w:eastAsia="宋体"/>
          <w:color w:val="auto"/>
          <w:highlight w:val="none"/>
          <w:u w:val="single"/>
          <w:lang w:val="en-US" w:eastAsia="zh-CN"/>
        </w:rPr>
        <w:t>8</w:t>
      </w:r>
      <w:r>
        <w:rPr>
          <w:rFonts w:hint="eastAsia" w:ascii="宋体" w:hAnsi="宋体" w:eastAsia="宋体"/>
          <w:color w:val="auto"/>
          <w:highlight w:val="none"/>
          <w:u w:val="single"/>
        </w:rPr>
        <w:t>　</w:t>
      </w:r>
      <w:r>
        <w:rPr>
          <w:rFonts w:ascii="宋体" w:hAnsi="宋体" w:eastAsia="宋体"/>
          <w:color w:val="auto"/>
          <w:highlight w:val="none"/>
        </w:rPr>
        <w:t>月</w:t>
      </w:r>
      <w:r>
        <w:rPr>
          <w:rFonts w:hint="eastAsia" w:ascii="宋体" w:hAnsi="宋体" w:eastAsia="宋体"/>
          <w:color w:val="auto"/>
          <w:highlight w:val="none"/>
          <w:u w:val="single"/>
        </w:rPr>
        <w:t>　</w:t>
      </w:r>
      <w:r>
        <w:rPr>
          <w:rFonts w:hint="eastAsia" w:ascii="宋体" w:hAnsi="宋体" w:eastAsia="宋体"/>
          <w:color w:val="auto"/>
          <w:highlight w:val="none"/>
          <w:u w:val="single"/>
          <w:lang w:val="en-US" w:eastAsia="zh-CN"/>
        </w:rPr>
        <w:t>1</w:t>
      </w:r>
      <w:r>
        <w:rPr>
          <w:rFonts w:hint="eastAsia" w:ascii="宋体" w:hAnsi="宋体" w:eastAsia="宋体"/>
          <w:color w:val="auto"/>
          <w:highlight w:val="none"/>
          <w:u w:val="single"/>
        </w:rPr>
        <w:t>　</w:t>
      </w:r>
      <w:r>
        <w:rPr>
          <w:rFonts w:ascii="宋体" w:hAnsi="宋体" w:eastAsia="宋体"/>
          <w:color w:val="auto"/>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Light">
    <w:panose1 w:val="020B0502040204020203"/>
    <w:charset w:val="86"/>
    <w:family w:val="swiss"/>
    <w:pitch w:val="default"/>
    <w:sig w:usb0="80000287" w:usb1="2ACF001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7571F"/>
    <w:multiLevelType w:val="multilevel"/>
    <w:tmpl w:val="0DB7571F"/>
    <w:lvl w:ilvl="0" w:tentative="0">
      <w:start w:val="1"/>
      <w:numFmt w:val="decimal"/>
      <w:suff w:val="nothing"/>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2B2D0B07"/>
    <w:multiLevelType w:val="multilevel"/>
    <w:tmpl w:val="2B2D0B07"/>
    <w:lvl w:ilvl="0" w:tentative="0">
      <w:start w:val="1"/>
      <w:numFmt w:val="decimal"/>
      <w:pStyle w:val="16"/>
      <w:suff w:val="nothing"/>
      <w:lvlText w:val="（%1）"/>
      <w:lvlJc w:val="left"/>
      <w:pPr>
        <w:ind w:left="2688" w:hanging="420"/>
      </w:pPr>
      <w:rPr>
        <w:rFonts w:hint="default"/>
        <w:color w:val="auto"/>
      </w:rPr>
    </w:lvl>
    <w:lvl w:ilvl="1" w:tentative="0">
      <w:start w:val="1"/>
      <w:numFmt w:val="lowerLetter"/>
      <w:suff w:val="nothing"/>
      <w:lvlText w:val="%2)"/>
      <w:lvlJc w:val="left"/>
      <w:pPr>
        <w:ind w:left="1559" w:hanging="420"/>
      </w:pPr>
    </w:lvl>
    <w:lvl w:ilvl="2" w:tentative="0">
      <w:start w:val="1"/>
      <w:numFmt w:val="lowerRoman"/>
      <w:lvlText w:val="%3."/>
      <w:lvlJc w:val="right"/>
      <w:pPr>
        <w:ind w:left="1979" w:hanging="420"/>
      </w:pPr>
    </w:lvl>
    <w:lvl w:ilvl="3" w:tentative="0">
      <w:start w:val="1"/>
      <w:numFmt w:val="decimal"/>
      <w:lvlText w:val="%4."/>
      <w:lvlJc w:val="left"/>
      <w:pPr>
        <w:ind w:left="2399" w:hanging="420"/>
      </w:pPr>
    </w:lvl>
    <w:lvl w:ilvl="4" w:tentative="0">
      <w:start w:val="1"/>
      <w:numFmt w:val="lowerLetter"/>
      <w:lvlText w:val="%5)"/>
      <w:lvlJc w:val="left"/>
      <w:pPr>
        <w:ind w:left="2819" w:hanging="420"/>
      </w:pPr>
    </w:lvl>
    <w:lvl w:ilvl="5" w:tentative="0">
      <w:start w:val="1"/>
      <w:numFmt w:val="lowerRoman"/>
      <w:lvlText w:val="%6."/>
      <w:lvlJc w:val="right"/>
      <w:pPr>
        <w:ind w:left="3239" w:hanging="420"/>
      </w:pPr>
    </w:lvl>
    <w:lvl w:ilvl="6" w:tentative="0">
      <w:start w:val="1"/>
      <w:numFmt w:val="decimal"/>
      <w:lvlText w:val="%7."/>
      <w:lvlJc w:val="left"/>
      <w:pPr>
        <w:ind w:left="3659" w:hanging="420"/>
      </w:pPr>
    </w:lvl>
    <w:lvl w:ilvl="7" w:tentative="0">
      <w:start w:val="1"/>
      <w:numFmt w:val="lowerLetter"/>
      <w:lvlText w:val="%8)"/>
      <w:lvlJc w:val="left"/>
      <w:pPr>
        <w:ind w:left="4079" w:hanging="420"/>
      </w:pPr>
    </w:lvl>
    <w:lvl w:ilvl="8" w:tentative="0">
      <w:start w:val="1"/>
      <w:numFmt w:val="lowerRoman"/>
      <w:lvlText w:val="%9."/>
      <w:lvlJc w:val="right"/>
      <w:pPr>
        <w:ind w:left="4499" w:hanging="420"/>
      </w:pPr>
    </w:lvl>
  </w:abstractNum>
  <w:abstractNum w:abstractNumId="2">
    <w:nsid w:val="330466F7"/>
    <w:multiLevelType w:val="multilevel"/>
    <w:tmpl w:val="330466F7"/>
    <w:lvl w:ilvl="0" w:tentative="0">
      <w:start w:val="1"/>
      <w:numFmt w:val="chineseCountingThousand"/>
      <w:pStyle w:val="8"/>
      <w:suff w:val="nothing"/>
      <w:lvlText w:val="第%1章　"/>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371B58"/>
    <w:multiLevelType w:val="multilevel"/>
    <w:tmpl w:val="4C371B58"/>
    <w:lvl w:ilvl="0" w:tentative="0">
      <w:start w:val="1"/>
      <w:numFmt w:val="decimal"/>
      <w:pStyle w:val="10"/>
      <w:suff w:val="nothing"/>
      <w:lvlText w:val="%1　"/>
      <w:lvlJc w:val="left"/>
      <w:pPr>
        <w:ind w:left="0" w:firstLine="0"/>
      </w:pPr>
      <w:rPr>
        <w:rFonts w:hint="eastAsia"/>
        <w:b w:val="0"/>
        <w:bCs/>
      </w:rPr>
    </w:lvl>
    <w:lvl w:ilvl="1" w:tentative="0">
      <w:start w:val="1"/>
      <w:numFmt w:val="decimal"/>
      <w:pStyle w:val="12"/>
      <w:suff w:val="nothing"/>
      <w:lvlText w:val="%1.%2　"/>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2" w:tentative="0">
      <w:start w:val="1"/>
      <w:numFmt w:val="decimal"/>
      <w:pStyle w:val="14"/>
      <w:suff w:val="nothing"/>
      <w:lvlText w:val="%1.%2.%3　"/>
      <w:lvlJc w:val="left"/>
      <w:pPr>
        <w:ind w:left="420" w:hanging="709"/>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58A905A0"/>
    <w:multiLevelType w:val="multilevel"/>
    <w:tmpl w:val="58A905A0"/>
    <w:lvl w:ilvl="0" w:tentative="0">
      <w:start w:val="1"/>
      <w:numFmt w:val="decimal"/>
      <w:suff w:val="space"/>
      <w:lvlText w:val="%1"/>
      <w:lvlJc w:val="left"/>
      <w:pPr>
        <w:ind w:left="850" w:firstLine="0"/>
      </w:pPr>
    </w:lvl>
    <w:lvl w:ilvl="1" w:tentative="0">
      <w:start w:val="1"/>
      <w:numFmt w:val="decimal"/>
      <w:pStyle w:val="13"/>
      <w:suff w:val="space"/>
      <w:lvlText w:val="%1.%2"/>
      <w:lvlJc w:val="left"/>
      <w:pPr>
        <w:ind w:left="1275" w:hanging="425"/>
      </w:pPr>
    </w:lvl>
    <w:lvl w:ilvl="2" w:tentative="0">
      <w:start w:val="1"/>
      <w:numFmt w:val="decimal"/>
      <w:suff w:val="space"/>
      <w:lvlText w:val="%1.%2.%3"/>
      <w:lvlJc w:val="left"/>
      <w:pPr>
        <w:ind w:left="993" w:hanging="425"/>
      </w:pPr>
    </w:lvl>
    <w:lvl w:ilvl="3" w:tentative="0">
      <w:start w:val="1"/>
      <w:numFmt w:val="decimal"/>
      <w:suff w:val="space"/>
      <w:lvlText w:val="%1.%2.%3.%4"/>
      <w:lvlJc w:val="left"/>
      <w:pPr>
        <w:ind w:left="425" w:hanging="425"/>
      </w:pPr>
    </w:lvl>
    <w:lvl w:ilvl="4" w:tentative="0">
      <w:start w:val="1"/>
      <w:numFmt w:val="decimal"/>
      <w:lvlText w:val="%1.%2.%3.%4.%5"/>
      <w:lvlJc w:val="left"/>
      <w:pPr>
        <w:ind w:left="425" w:hanging="425"/>
      </w:pPr>
    </w:lvl>
    <w:lvl w:ilvl="5" w:tentative="0">
      <w:start w:val="1"/>
      <w:numFmt w:val="decimal"/>
      <w:lvlText w:val="%1.%2.%3.%4.%5.%6"/>
      <w:lvlJc w:val="left"/>
      <w:pPr>
        <w:ind w:left="425" w:hanging="425"/>
      </w:pPr>
    </w:lvl>
    <w:lvl w:ilvl="6" w:tentative="0">
      <w:start w:val="1"/>
      <w:numFmt w:val="decimal"/>
      <w:lvlText w:val="%1.%2.%3.%4.%5.%6.%7"/>
      <w:lvlJc w:val="left"/>
      <w:pPr>
        <w:ind w:left="425" w:hanging="425"/>
      </w:pPr>
    </w:lvl>
    <w:lvl w:ilvl="7" w:tentative="0">
      <w:start w:val="1"/>
      <w:numFmt w:val="decimal"/>
      <w:lvlText w:val="%1.%2.%3.%4.%5.%6.%7.%8"/>
      <w:lvlJc w:val="left"/>
      <w:pPr>
        <w:ind w:left="425" w:hanging="425"/>
      </w:pPr>
    </w:lvl>
    <w:lvl w:ilvl="8" w:tentative="0">
      <w:start w:val="1"/>
      <w:numFmt w:val="decimal"/>
      <w:lvlText w:val="%1.%2.%3.%4.%5.%6.%7.%8.%9"/>
      <w:lvlJc w:val="left"/>
      <w:pPr>
        <w:ind w:left="425" w:hanging="425"/>
      </w:pPr>
    </w:lvl>
  </w:abstractNum>
  <w:abstractNum w:abstractNumId="5">
    <w:nsid w:val="711573E3"/>
    <w:multiLevelType w:val="multilevel"/>
    <w:tmpl w:val="711573E3"/>
    <w:lvl w:ilvl="0" w:tentative="0">
      <w:start w:val="1"/>
      <w:numFmt w:val="decimal"/>
      <w:suff w:val="nothing"/>
      <w:lvlText w:val="（%1）"/>
      <w:lvlJc w:val="left"/>
      <w:pPr>
        <w:ind w:left="0" w:firstLine="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ZjljMDc5M2EwZGI1ODk3YWU2Y2Y0OGQ5ZTMzMmIifQ=="/>
  </w:docVars>
  <w:rsids>
    <w:rsidRoot w:val="00000000"/>
    <w:rsid w:val="0FFE5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3">
    <w:name w:val="annotation text"/>
    <w:basedOn w:val="1"/>
    <w:semiHidden/>
    <w:qFormat/>
    <w:uiPriority w:val="99"/>
    <w:pPr>
      <w:jc w:val="left"/>
    </w:pPr>
    <w:rPr>
      <w:kern w:val="0"/>
      <w:sz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customStyle="1" w:styleId="8">
    <w:name w:val="1 Char"/>
    <w:basedOn w:val="1"/>
    <w:qFormat/>
    <w:uiPriority w:val="0"/>
    <w:pPr>
      <w:widowControl/>
      <w:numPr>
        <w:ilvl w:val="0"/>
        <w:numId w:val="1"/>
      </w:numPr>
      <w:spacing w:after="468" w:afterLines="150"/>
      <w:jc w:val="center"/>
      <w:outlineLvl w:val="1"/>
    </w:pPr>
    <w:rPr>
      <w:rFonts w:ascii="微软雅黑" w:hAnsi="微软雅黑" w:eastAsia="微软雅黑"/>
      <w:bCs/>
      <w:sz w:val="32"/>
    </w:rPr>
  </w:style>
  <w:style w:type="paragraph" w:customStyle="1" w:styleId="9">
    <w:name w:val="１副标题"/>
    <w:basedOn w:val="1"/>
    <w:qFormat/>
    <w:uiPriority w:val="0"/>
    <w:pPr>
      <w:widowControl/>
      <w:spacing w:after="120" w:afterLines="50" w:line="360" w:lineRule="auto"/>
      <w:jc w:val="center"/>
    </w:pPr>
    <w:rPr>
      <w:rFonts w:ascii="黑体" w:hAnsi="黑体" w:eastAsia="黑体" w:cs="Tahoma"/>
      <w:bCs/>
      <w:sz w:val="28"/>
      <w:szCs w:val="28"/>
    </w:rPr>
  </w:style>
  <w:style w:type="paragraph" w:customStyle="1" w:styleId="10">
    <w:name w:val="1级标题"/>
    <w:basedOn w:val="11"/>
    <w:qFormat/>
    <w:uiPriority w:val="0"/>
    <w:pPr>
      <w:numPr>
        <w:ilvl w:val="0"/>
        <w:numId w:val="2"/>
      </w:numPr>
      <w:spacing w:before="100" w:beforeLines="100" w:after="50" w:afterLines="50"/>
      <w:ind w:firstLineChars="0"/>
      <w:outlineLvl w:val="2"/>
    </w:pPr>
    <w:rPr>
      <w:rFonts w:ascii="微软雅黑" w:hAnsi="微软雅黑" w:eastAsia="微软雅黑"/>
      <w:kern w:val="0"/>
      <w:szCs w:val="28"/>
    </w:rPr>
  </w:style>
  <w:style w:type="paragraph" w:styleId="11">
    <w:name w:val="List Paragraph"/>
    <w:basedOn w:val="1"/>
    <w:qFormat/>
    <w:uiPriority w:val="34"/>
    <w:pPr>
      <w:ind w:firstLine="420" w:firstLineChars="200"/>
    </w:pPr>
  </w:style>
  <w:style w:type="paragraph" w:customStyle="1" w:styleId="12">
    <w:name w:val="2级标题"/>
    <w:basedOn w:val="10"/>
    <w:next w:val="13"/>
    <w:qFormat/>
    <w:uiPriority w:val="0"/>
    <w:pPr>
      <w:widowControl/>
      <w:numPr>
        <w:ilvl w:val="1"/>
      </w:numPr>
      <w:wordWrap w:val="0"/>
      <w:spacing w:before="50" w:beforeLines="50"/>
      <w:jc w:val="left"/>
      <w:outlineLvl w:val="9"/>
    </w:pPr>
    <w:rPr>
      <w:bCs/>
    </w:rPr>
  </w:style>
  <w:style w:type="paragraph" w:customStyle="1" w:styleId="13">
    <w:name w:val="3级标题"/>
    <w:basedOn w:val="12"/>
    <w:next w:val="14"/>
    <w:qFormat/>
    <w:uiPriority w:val="0"/>
    <w:pPr>
      <w:numPr>
        <w:numId w:val="3"/>
      </w:numPr>
    </w:pPr>
    <w:rPr>
      <w:b/>
      <w:szCs w:val="20"/>
    </w:rPr>
  </w:style>
  <w:style w:type="paragraph" w:customStyle="1" w:styleId="14">
    <w:name w:val="4级标题"/>
    <w:basedOn w:val="12"/>
    <w:qFormat/>
    <w:uiPriority w:val="0"/>
    <w:pPr>
      <w:numPr>
        <w:ilvl w:val="2"/>
      </w:numPr>
      <w:overflowPunct w:val="0"/>
      <w:adjustRightInd w:val="0"/>
      <w:spacing w:before="0" w:beforeLines="0" w:after="120"/>
    </w:pPr>
    <w:rPr>
      <w:rFonts w:ascii="微软雅黑 Light" w:hAnsi="微软雅黑 Light" w:eastAsia="微软雅黑 Light"/>
    </w:rPr>
  </w:style>
  <w:style w:type="paragraph" w:customStyle="1" w:styleId="15">
    <w:name w:val="１正文模板"/>
    <w:basedOn w:val="1"/>
    <w:qFormat/>
    <w:uiPriority w:val="0"/>
    <w:pPr>
      <w:widowControl/>
      <w:wordWrap w:val="0"/>
      <w:overflowPunct w:val="0"/>
      <w:adjustRightInd w:val="0"/>
      <w:spacing w:line="360" w:lineRule="auto"/>
      <w:ind w:firstLine="420" w:firstLineChars="200"/>
      <w:jc w:val="left"/>
    </w:pPr>
    <w:rPr>
      <w:rFonts w:ascii="微软雅黑 Light" w:hAnsi="微软雅黑 Light" w:eastAsia="微软雅黑 Light"/>
      <w:kern w:val="0"/>
      <w:szCs w:val="21"/>
    </w:rPr>
  </w:style>
  <w:style w:type="paragraph" w:customStyle="1" w:styleId="16">
    <w:name w:val="A　小括号"/>
    <w:basedOn w:val="15"/>
    <w:qFormat/>
    <w:uiPriority w:val="0"/>
    <w:pPr>
      <w:numPr>
        <w:ilvl w:val="0"/>
        <w:numId w:val="4"/>
      </w:numPr>
      <w:overflowPunct/>
      <w:ind w:firstLine="0" w:firstLineChars="0"/>
    </w:pPr>
  </w:style>
  <w:style w:type="paragraph" w:customStyle="1" w:styleId="17">
    <w:name w:val="1后缀"/>
    <w:basedOn w:val="15"/>
    <w:next w:val="5"/>
    <w:qFormat/>
    <w:uiPriority w:val="0"/>
    <w:pPr>
      <w:spacing w:before="50" w:beforeLines="50" w:after="50" w:afterLines="50"/>
      <w:jc w:val="righ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2025-08-01T13:23:04Z</dcterms:created>
  <dc:creator>ZY</dc:creator>
  <cp:lastModifiedBy>WPS_1709380304</cp:lastModifiedBy>
  <dcterms:modified xsi:type="dcterms:W3CDTF">2025-08-01T13:23:18Z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520954702A2943729279BC5220E14028_12</vt:lpwstr>
  </property>
</Properties>
</file>