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bCs/>
          <w:color w:val="auto"/>
          <w:sz w:val="32"/>
          <w:szCs w:val="32"/>
        </w:rPr>
      </w:pPr>
      <w:r>
        <w:rPr>
          <w:rFonts w:hint="eastAsia" w:asciiTheme="minorEastAsia" w:hAnsiTheme="minorEastAsia"/>
          <w:b/>
          <w:bCs/>
          <w:color w:val="auto"/>
          <w:sz w:val="32"/>
          <w:szCs w:val="32"/>
        </w:rPr>
        <w:t>竞买须知1</w:t>
      </w:r>
    </w:p>
    <w:p>
      <w:pPr>
        <w:ind w:firstLine="560" w:firstLineChars="200"/>
        <w:rPr>
          <w:rFonts w:asciiTheme="minorEastAsia" w:hAnsiTheme="minorEastAsia"/>
          <w:color w:val="auto"/>
          <w:sz w:val="28"/>
          <w:szCs w:val="28"/>
        </w:rPr>
      </w:pPr>
      <w:r>
        <w:rPr>
          <w:rFonts w:hint="eastAsia" w:asciiTheme="minorEastAsia" w:hAnsiTheme="minorEastAsia"/>
          <w:color w:val="auto"/>
          <w:sz w:val="28"/>
          <w:szCs w:val="28"/>
        </w:rPr>
        <w:t>为规范在竞买平台进行的网络竞买行为、维护网络竞买秩序，保护参与网络竞买的各方当事人以及平台运营方的合法权益，中国石化股份有限公司河南油田分公司物资供销中心简称物资供销中心（以下简称“物资供销中心”）。根据《中华人民共和国拍卖法》及其他相关法律、法规的规定，特制定本《竞买须知》。</w:t>
      </w:r>
    </w:p>
    <w:p>
      <w:pPr>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1、竞买人应当认真阅读并理解本须知的全部内容。竞买人在竞买平台注册竞买账号或参与任何网络竞买活动，即视为竞买人同意遵守本须知。</w:t>
      </w:r>
    </w:p>
    <w:p>
      <w:pPr>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2、竞买人须是</w:t>
      </w:r>
      <w:r>
        <w:rPr>
          <w:rFonts w:asciiTheme="minorEastAsia" w:hAnsiTheme="minorEastAsia"/>
          <w:color w:val="auto"/>
          <w:sz w:val="28"/>
          <w:szCs w:val="28"/>
        </w:rPr>
        <w:t>中华人民共和国境内</w:t>
      </w:r>
      <w:r>
        <w:rPr>
          <w:rFonts w:hint="eastAsia" w:asciiTheme="minorEastAsia" w:hAnsiTheme="minorEastAsia"/>
          <w:color w:val="auto"/>
          <w:sz w:val="28"/>
          <w:szCs w:val="28"/>
        </w:rPr>
        <w:t>企业营业执照等证照真实有效的废旧物资回收及相关资质的</w:t>
      </w:r>
      <w:r>
        <w:rPr>
          <w:rFonts w:asciiTheme="minorEastAsia" w:hAnsiTheme="minorEastAsia"/>
          <w:color w:val="auto"/>
          <w:sz w:val="28"/>
          <w:szCs w:val="28"/>
        </w:rPr>
        <w:t>法人</w:t>
      </w:r>
      <w:r>
        <w:rPr>
          <w:rFonts w:hint="eastAsia" w:asciiTheme="minorEastAsia" w:hAnsiTheme="minorEastAsia"/>
          <w:color w:val="auto"/>
          <w:sz w:val="28"/>
          <w:szCs w:val="28"/>
        </w:rPr>
        <w:t>，并具备操作计算机的能力。法律、法规对买受人资格或者条件有特殊规定的，竞买人应当具备规定的资格或者条件。</w:t>
      </w:r>
      <w:r>
        <w:rPr>
          <w:rFonts w:hint="eastAsia" w:asciiTheme="minorEastAsia" w:hAnsiTheme="minorEastAsia"/>
          <w:snapToGrid w:val="0"/>
          <w:color w:val="auto"/>
          <w:kern w:val="0"/>
          <w:sz w:val="28"/>
          <w:szCs w:val="28"/>
        </w:rPr>
        <w:t>废弃电器电子产品回收经营者应当依照中华人民共和国国务院令第551号《废弃电器电子产品回收处理管理条例》规定取得废弃电器电子产品处理资格。</w:t>
      </w:r>
    </w:p>
    <w:p>
      <w:pPr>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3、竞买人之间不得恶意串通、操纵竞买，违者依有关法律法规承担责任。</w:t>
      </w:r>
    </w:p>
    <w:p>
      <w:pPr>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4、竞买人应当在报名截止前完成竞买报名事宜，并按要求缴纳足额竞买保证金。按照竞买要求，如需要进行报名审核，竞买人在通过报名审核后正式报名成功。</w:t>
      </w:r>
    </w:p>
    <w:p>
      <w:pPr>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5、竞买人应当自行对竞买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进行现场考察并作出判断。出卖方在竞买平台上发布的与竞买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相关的图片及其资料仅供参考，竞买人不应仅依赖图片对竞买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状况做出判断。按照有关规定及“依物品现状进行竞买”的国际惯例，物资供销中心可以按照</w:t>
      </w:r>
      <w:r>
        <w:rPr>
          <w:rFonts w:asciiTheme="minorEastAsia" w:hAnsiTheme="minorEastAsia"/>
          <w:color w:val="auto"/>
          <w:sz w:val="28"/>
          <w:szCs w:val="28"/>
        </w:rPr>
        <w:t>不同</w:t>
      </w:r>
      <w:r>
        <w:rPr>
          <w:rFonts w:hint="eastAsia" w:asciiTheme="minorEastAsia" w:hAnsiTheme="minorEastAsia"/>
          <w:color w:val="auto"/>
          <w:sz w:val="28"/>
          <w:szCs w:val="28"/>
        </w:rPr>
        <w:t>竞买规则选择是否对竞买货品</w:t>
      </w:r>
      <w:r>
        <w:rPr>
          <w:rFonts w:asciiTheme="minorEastAsia" w:hAnsiTheme="minorEastAsia"/>
          <w:color w:val="auto"/>
          <w:sz w:val="28"/>
          <w:szCs w:val="28"/>
        </w:rPr>
        <w:t>预展</w:t>
      </w:r>
      <w:r>
        <w:rPr>
          <w:rFonts w:hint="eastAsia" w:asciiTheme="minorEastAsia" w:hAnsiTheme="minorEastAsia"/>
          <w:color w:val="auto"/>
          <w:sz w:val="28"/>
          <w:szCs w:val="28"/>
        </w:rPr>
        <w:t>，并声明不承担瑕疵担保责任。对于预展的竞买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，预展期间，竞买人可自行看货，实地勘察竞买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，充分了解竞买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情况，竞买人应自行决定是否聘请专家帮助，避免盲目竞买，并自行负责相关一切费用，遵守看货管理规定。</w:t>
      </w:r>
    </w:p>
    <w:p>
      <w:pPr>
        <w:spacing w:line="360" w:lineRule="auto"/>
        <w:ind w:left="640"/>
        <w:jc w:val="left"/>
        <w:rPr>
          <w:rFonts w:hint="eastAsia" w:asciiTheme="minorEastAsia" w:hAnsiTheme="minorEastAsia"/>
          <w:color w:val="auto"/>
          <w:sz w:val="28"/>
          <w:szCs w:val="28"/>
        </w:rPr>
      </w:pPr>
      <w:r>
        <w:rPr>
          <w:rFonts w:hint="eastAsia" w:asciiTheme="minorEastAsia" w:hAnsiTheme="minorEastAsia"/>
          <w:color w:val="auto"/>
          <w:sz w:val="28"/>
          <w:szCs w:val="28"/>
        </w:rPr>
        <w:t>6、竞买人一旦参加竞买，即表示接受竞买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之一切现状和</w:t>
      </w:r>
    </w:p>
    <w:p>
      <w:pPr>
        <w:spacing w:line="360" w:lineRule="auto"/>
        <w:jc w:val="left"/>
        <w:rPr>
          <w:rFonts w:asciiTheme="minorEastAsia" w:hAnsiTheme="minorEastAsia"/>
          <w:color w:val="auto"/>
          <w:sz w:val="28"/>
          <w:szCs w:val="28"/>
        </w:rPr>
      </w:pPr>
      <w:r>
        <w:rPr>
          <w:rFonts w:hint="eastAsia" w:asciiTheme="minorEastAsia" w:hAnsiTheme="minorEastAsia"/>
          <w:color w:val="auto"/>
          <w:sz w:val="28"/>
          <w:szCs w:val="28"/>
        </w:rPr>
        <w:t>本规则之全部条款，并对自己的竞买行为负法律责任，不得在成交后以不了解竞买</w:t>
      </w:r>
      <w:r>
        <w:rPr>
          <w:rFonts w:hint="eastAsia" w:asciiTheme="minorEastAsia" w:hAnsiTheme="minorEastAsia"/>
          <w:color w:val="auto"/>
          <w:sz w:val="28"/>
          <w:szCs w:val="28"/>
          <w:lang w:val="en-US" w:eastAsia="zh-CN"/>
        </w:rPr>
        <w:t>处置物</w:t>
      </w:r>
      <w:r>
        <w:rPr>
          <w:rFonts w:hint="eastAsia" w:asciiTheme="minorEastAsia" w:hAnsiTheme="minorEastAsia"/>
          <w:color w:val="auto"/>
          <w:sz w:val="28"/>
          <w:szCs w:val="28"/>
        </w:rPr>
        <w:t>情况为理由反悔，一经成交确认，物资供销中心及平台运营方不因</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瑕疵或可能存在的瑕疵承担任何责任。</w:t>
      </w:r>
    </w:p>
    <w:p>
      <w:pPr>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7、竞买人一经应价，不得撤回，当其他竞买人有更高应价时，其应价即丧失约束力。</w:t>
      </w:r>
    </w:p>
    <w:p>
      <w:pPr>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8、竞买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成交后，竞买人应及时与物资供销中心招标交易部业务主管人员电话确认，并按电话约定成交确认书事宜，同时</w:t>
      </w:r>
      <w:r>
        <w:rPr>
          <w:rFonts w:hint="eastAsia" w:asciiTheme="minorEastAsia" w:hAnsiTheme="minorEastAsia"/>
          <w:color w:val="auto"/>
          <w:sz w:val="28"/>
          <w:szCs w:val="28"/>
          <w:lang w:eastAsia="zh-CN"/>
        </w:rPr>
        <w:t>依据</w:t>
      </w:r>
      <w:r>
        <w:rPr>
          <w:rFonts w:hint="eastAsia" w:asciiTheme="minorEastAsia" w:hAnsiTheme="minorEastAsia"/>
          <w:color w:val="auto"/>
          <w:sz w:val="28"/>
          <w:szCs w:val="28"/>
        </w:rPr>
        <w:t>成交确认书将</w:t>
      </w:r>
      <w:r>
        <w:rPr>
          <w:rFonts w:hint="eastAsia" w:asciiTheme="minorEastAsia" w:hAnsiTheme="minorEastAsia"/>
          <w:b/>
          <w:bCs/>
          <w:color w:val="FF0000"/>
          <w:sz w:val="36"/>
          <w:szCs w:val="36"/>
        </w:rPr>
        <w:t>成交金额</w:t>
      </w:r>
      <w:r>
        <w:rPr>
          <w:rFonts w:hint="eastAsia" w:asciiTheme="minorEastAsia" w:hAnsiTheme="minorEastAsia"/>
          <w:b/>
          <w:bCs/>
          <w:color w:val="FF0000"/>
          <w:sz w:val="36"/>
          <w:szCs w:val="36"/>
          <w:lang w:val="en-US" w:eastAsia="zh-CN"/>
        </w:rPr>
        <w:t>1</w:t>
      </w:r>
      <w:r>
        <w:rPr>
          <w:rFonts w:hint="eastAsia" w:asciiTheme="minorEastAsia" w:hAnsiTheme="minorEastAsia"/>
          <w:b/>
          <w:bCs/>
          <w:color w:val="FF0000"/>
          <w:sz w:val="36"/>
          <w:szCs w:val="36"/>
        </w:rPr>
        <w:t>0%的履约保证金缴纳至物资供销中心</w:t>
      </w:r>
      <w:r>
        <w:rPr>
          <w:rFonts w:hint="eastAsia" w:asciiTheme="minorEastAsia" w:hAnsiTheme="minorEastAsia"/>
          <w:b/>
          <w:bCs/>
          <w:color w:val="FF0000"/>
          <w:sz w:val="36"/>
          <w:szCs w:val="36"/>
          <w:lang w:val="en-US" w:eastAsia="zh-CN"/>
        </w:rPr>
        <w:t>指定</w:t>
      </w:r>
      <w:r>
        <w:rPr>
          <w:rFonts w:hint="eastAsia" w:asciiTheme="minorEastAsia" w:hAnsiTheme="minorEastAsia"/>
          <w:b/>
          <w:bCs/>
          <w:color w:val="FF0000"/>
          <w:sz w:val="36"/>
          <w:szCs w:val="36"/>
        </w:rPr>
        <w:t>账户</w:t>
      </w:r>
      <w:r>
        <w:rPr>
          <w:rFonts w:hint="eastAsia" w:asciiTheme="minorEastAsia" w:hAnsiTheme="minorEastAsia"/>
          <w:color w:val="auto"/>
          <w:sz w:val="28"/>
          <w:szCs w:val="28"/>
        </w:rPr>
        <w:t>，</w:t>
      </w:r>
      <w:r>
        <w:rPr>
          <w:rFonts w:asciiTheme="minorEastAsia" w:hAnsiTheme="minorEastAsia"/>
          <w:color w:val="auto"/>
          <w:sz w:val="28"/>
          <w:szCs w:val="28"/>
        </w:rPr>
        <w:t>并</w:t>
      </w:r>
      <w:r>
        <w:rPr>
          <w:rFonts w:hint="eastAsia" w:asciiTheme="minorEastAsia" w:hAnsiTheme="minorEastAsia"/>
          <w:color w:val="auto"/>
          <w:sz w:val="28"/>
          <w:szCs w:val="28"/>
        </w:rPr>
        <w:t>根据物资供销中心</w:t>
      </w:r>
      <w:r>
        <w:rPr>
          <w:rFonts w:asciiTheme="minorEastAsia" w:hAnsiTheme="minorEastAsia"/>
          <w:color w:val="auto"/>
          <w:sz w:val="28"/>
          <w:szCs w:val="28"/>
        </w:rPr>
        <w:t>要求</w:t>
      </w:r>
      <w:r>
        <w:rPr>
          <w:rFonts w:hint="eastAsia" w:asciiTheme="minorEastAsia" w:hAnsiTheme="minorEastAsia"/>
          <w:color w:val="auto"/>
          <w:sz w:val="28"/>
          <w:szCs w:val="28"/>
        </w:rPr>
        <w:t>签署相关合同事宜。</w:t>
      </w:r>
    </w:p>
    <w:p>
      <w:pPr>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9、竞买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成交后，</w:t>
      </w:r>
      <w:r>
        <w:rPr>
          <w:rFonts w:hint="eastAsia" w:asciiTheme="minorEastAsia" w:hAnsiTheme="minorEastAsia"/>
          <w:snapToGrid w:val="0"/>
          <w:color w:val="auto"/>
          <w:kern w:val="0"/>
          <w:sz w:val="28"/>
          <w:szCs w:val="28"/>
        </w:rPr>
        <w:t>买受人</w:t>
      </w:r>
      <w:r>
        <w:rPr>
          <w:rFonts w:hint="eastAsia" w:asciiTheme="minorEastAsia" w:hAnsiTheme="minorEastAsia"/>
          <w:color w:val="auto"/>
          <w:sz w:val="28"/>
          <w:szCs w:val="28"/>
        </w:rPr>
        <w:t>自行与物资供销中心招标交易部协商办理竞买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移交等一切事宜，并承担所发生的与成交</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有关的全部费用与责任。竞买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一经</w:t>
      </w:r>
      <w:r>
        <w:rPr>
          <w:rFonts w:hint="eastAsia" w:asciiTheme="minorEastAsia" w:hAnsiTheme="minorEastAsia"/>
          <w:snapToGrid w:val="0"/>
          <w:color w:val="auto"/>
          <w:kern w:val="0"/>
          <w:sz w:val="28"/>
          <w:szCs w:val="28"/>
        </w:rPr>
        <w:t>买受人</w:t>
      </w:r>
      <w:r>
        <w:rPr>
          <w:rFonts w:hint="eastAsia" w:asciiTheme="minorEastAsia" w:hAnsiTheme="minorEastAsia"/>
          <w:color w:val="auto"/>
          <w:sz w:val="28"/>
          <w:szCs w:val="28"/>
        </w:rPr>
        <w:t>确认，所发生的丢失、损毁、事故、拉货过程可能产生的纠纷等责任均由买受人承担。若</w:t>
      </w:r>
      <w:r>
        <w:rPr>
          <w:rFonts w:hint="eastAsia" w:asciiTheme="minorEastAsia" w:hAnsiTheme="minorEastAsia"/>
          <w:snapToGrid w:val="0"/>
          <w:color w:val="auto"/>
          <w:kern w:val="0"/>
          <w:sz w:val="28"/>
          <w:szCs w:val="28"/>
        </w:rPr>
        <w:t>买受人</w:t>
      </w:r>
      <w:r>
        <w:rPr>
          <w:rFonts w:hint="eastAsia" w:asciiTheme="minorEastAsia" w:hAnsiTheme="minorEastAsia"/>
          <w:color w:val="auto"/>
          <w:sz w:val="28"/>
          <w:szCs w:val="28"/>
        </w:rPr>
        <w:t>成交后反悔，竞买保证金及履约金不予退回，并按相关规定处罚。</w:t>
      </w:r>
    </w:p>
    <w:p>
      <w:pPr>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10、</w:t>
      </w:r>
      <w:r>
        <w:rPr>
          <w:rFonts w:hint="eastAsia" w:asciiTheme="minorEastAsia" w:hAnsiTheme="minorEastAsia"/>
          <w:snapToGrid w:val="0"/>
          <w:color w:val="auto"/>
          <w:kern w:val="0"/>
          <w:sz w:val="28"/>
          <w:szCs w:val="28"/>
        </w:rPr>
        <w:t>买受人</w:t>
      </w:r>
      <w:r>
        <w:rPr>
          <w:rFonts w:hint="eastAsia" w:asciiTheme="minorEastAsia" w:hAnsiTheme="minorEastAsia"/>
          <w:color w:val="auto"/>
          <w:sz w:val="28"/>
          <w:szCs w:val="28"/>
        </w:rPr>
        <w:t>负责在物资供销中心要求的提货地点，对竞买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进行装运，</w:t>
      </w:r>
      <w:r>
        <w:rPr>
          <w:rFonts w:hint="eastAsia" w:asciiTheme="minorEastAsia" w:hAnsiTheme="minorEastAsia"/>
          <w:snapToGrid w:val="0"/>
          <w:color w:val="auto"/>
          <w:kern w:val="0"/>
          <w:sz w:val="28"/>
          <w:szCs w:val="28"/>
        </w:rPr>
        <w:t>买受人</w:t>
      </w:r>
      <w:r>
        <w:rPr>
          <w:rFonts w:hint="eastAsia" w:asciiTheme="minorEastAsia" w:hAnsiTheme="minorEastAsia"/>
          <w:color w:val="auto"/>
          <w:sz w:val="28"/>
          <w:szCs w:val="28"/>
        </w:rPr>
        <w:t>应在出卖方指定</w:t>
      </w:r>
      <w:r>
        <w:rPr>
          <w:rFonts w:asciiTheme="minorEastAsia" w:hAnsiTheme="minorEastAsia"/>
          <w:color w:val="auto"/>
          <w:sz w:val="28"/>
          <w:szCs w:val="28"/>
        </w:rPr>
        <w:t>日期</w:t>
      </w:r>
      <w:r>
        <w:rPr>
          <w:rFonts w:hint="eastAsia" w:asciiTheme="minorEastAsia" w:hAnsiTheme="minorEastAsia"/>
          <w:color w:val="auto"/>
          <w:sz w:val="28"/>
          <w:szCs w:val="28"/>
        </w:rPr>
        <w:t>前将竞买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全部清运完毕，包括拆解时产生的垃圾及建筑垃圾（垃圾无偿清运），在不违反出卖方仓储等管理规定前提下，</w:t>
      </w:r>
      <w:r>
        <w:rPr>
          <w:rFonts w:hint="eastAsia" w:asciiTheme="minorEastAsia" w:hAnsiTheme="minorEastAsia"/>
          <w:snapToGrid w:val="0"/>
          <w:color w:val="auto"/>
          <w:kern w:val="0"/>
          <w:sz w:val="28"/>
          <w:szCs w:val="28"/>
        </w:rPr>
        <w:t>买受人</w:t>
      </w:r>
      <w:r>
        <w:rPr>
          <w:rFonts w:hint="eastAsia" w:asciiTheme="minorEastAsia" w:hAnsiTheme="minorEastAsia"/>
          <w:color w:val="auto"/>
          <w:sz w:val="28"/>
          <w:szCs w:val="28"/>
        </w:rPr>
        <w:t>可以自行确定装运方式。如竞买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需在装运前进行拆解的，</w:t>
      </w:r>
      <w:r>
        <w:rPr>
          <w:rFonts w:hint="eastAsia" w:asciiTheme="minorEastAsia" w:hAnsiTheme="minorEastAsia"/>
          <w:snapToGrid w:val="0"/>
          <w:color w:val="auto"/>
          <w:kern w:val="0"/>
          <w:sz w:val="28"/>
          <w:szCs w:val="28"/>
        </w:rPr>
        <w:t>买受人</w:t>
      </w:r>
      <w:r>
        <w:rPr>
          <w:rFonts w:hint="eastAsia" w:asciiTheme="minorEastAsia" w:hAnsiTheme="minorEastAsia"/>
          <w:color w:val="auto"/>
          <w:sz w:val="28"/>
          <w:szCs w:val="28"/>
        </w:rPr>
        <w:t>应按河南油田有关规定进行拆解处理，所产生的相关费用均由</w:t>
      </w:r>
      <w:r>
        <w:rPr>
          <w:rFonts w:hint="eastAsia" w:asciiTheme="minorEastAsia" w:hAnsiTheme="minorEastAsia"/>
          <w:snapToGrid w:val="0"/>
          <w:color w:val="auto"/>
          <w:kern w:val="0"/>
          <w:sz w:val="28"/>
          <w:szCs w:val="28"/>
        </w:rPr>
        <w:t>买受人</w:t>
      </w:r>
      <w:r>
        <w:rPr>
          <w:rFonts w:hint="eastAsia" w:asciiTheme="minorEastAsia" w:hAnsiTheme="minorEastAsia"/>
          <w:color w:val="auto"/>
          <w:sz w:val="28"/>
          <w:szCs w:val="28"/>
        </w:rPr>
        <w:t>自行承担。如遇特殊情况</w:t>
      </w:r>
      <w:r>
        <w:rPr>
          <w:rFonts w:hint="eastAsia" w:asciiTheme="minorEastAsia" w:hAnsiTheme="minorEastAsia"/>
          <w:snapToGrid w:val="0"/>
          <w:color w:val="auto"/>
          <w:kern w:val="0"/>
          <w:sz w:val="28"/>
          <w:szCs w:val="28"/>
        </w:rPr>
        <w:t>买受人</w:t>
      </w:r>
      <w:r>
        <w:rPr>
          <w:rFonts w:hint="eastAsia" w:asciiTheme="minorEastAsia" w:hAnsiTheme="minorEastAsia"/>
          <w:color w:val="auto"/>
          <w:sz w:val="28"/>
          <w:szCs w:val="28"/>
        </w:rPr>
        <w:t>无法在约定工期内完成清运，</w:t>
      </w:r>
      <w:r>
        <w:rPr>
          <w:rFonts w:hint="eastAsia" w:asciiTheme="minorEastAsia" w:hAnsiTheme="minorEastAsia"/>
          <w:snapToGrid w:val="0"/>
          <w:color w:val="auto"/>
          <w:kern w:val="0"/>
          <w:sz w:val="28"/>
          <w:szCs w:val="28"/>
        </w:rPr>
        <w:t>买受人</w:t>
      </w:r>
      <w:r>
        <w:rPr>
          <w:rFonts w:hint="eastAsia" w:asciiTheme="minorEastAsia" w:hAnsiTheme="minorEastAsia"/>
          <w:color w:val="auto"/>
          <w:sz w:val="28"/>
          <w:szCs w:val="28"/>
        </w:rPr>
        <w:t>必须征得同意后可顺延工期。</w:t>
      </w:r>
    </w:p>
    <w:p>
      <w:pPr>
        <w:spacing w:line="360" w:lineRule="auto"/>
        <w:ind w:left="640"/>
        <w:jc w:val="left"/>
        <w:rPr>
          <w:rFonts w:asciiTheme="minorEastAsia" w:hAnsiTheme="minorEastAsia"/>
          <w:color w:val="auto"/>
          <w:sz w:val="28"/>
          <w:szCs w:val="28"/>
        </w:rPr>
      </w:pPr>
      <w:r>
        <w:rPr>
          <w:rFonts w:hint="eastAsia" w:asciiTheme="minorEastAsia" w:hAnsiTheme="minorEastAsia"/>
          <w:color w:val="auto"/>
          <w:sz w:val="28"/>
          <w:szCs w:val="28"/>
        </w:rPr>
        <w:t>11、</w:t>
      </w:r>
      <w:r>
        <w:rPr>
          <w:rFonts w:hint="eastAsia" w:asciiTheme="minorEastAsia" w:hAnsiTheme="minorEastAsia"/>
          <w:snapToGrid w:val="0"/>
          <w:color w:val="auto"/>
          <w:kern w:val="0"/>
          <w:sz w:val="28"/>
          <w:szCs w:val="28"/>
        </w:rPr>
        <w:t>买受人</w:t>
      </w:r>
      <w:r>
        <w:rPr>
          <w:rFonts w:hint="eastAsia" w:asciiTheme="minorEastAsia" w:hAnsiTheme="minorEastAsia"/>
          <w:color w:val="auto"/>
          <w:sz w:val="28"/>
          <w:szCs w:val="28"/>
        </w:rPr>
        <w:t>装运成交</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时，须听从河南油田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物所属</w:t>
      </w:r>
    </w:p>
    <w:p>
      <w:pPr>
        <w:spacing w:line="360" w:lineRule="auto"/>
        <w:jc w:val="left"/>
        <w:rPr>
          <w:rFonts w:asciiTheme="minorEastAsia" w:hAnsiTheme="minorEastAsia"/>
          <w:color w:val="auto"/>
          <w:sz w:val="28"/>
          <w:szCs w:val="28"/>
        </w:rPr>
      </w:pPr>
      <w:r>
        <w:rPr>
          <w:rFonts w:hint="eastAsia" w:asciiTheme="minorEastAsia" w:hAnsiTheme="minorEastAsia"/>
          <w:color w:val="auto"/>
          <w:sz w:val="28"/>
          <w:szCs w:val="28"/>
        </w:rPr>
        <w:t>单位有关负责人员的指挥，未经允许，禁止装运竞买</w:t>
      </w:r>
      <w:r>
        <w:rPr>
          <w:rFonts w:hint="eastAsia" w:asciiTheme="minorEastAsia" w:hAnsiTheme="minorEastAsia"/>
          <w:color w:val="auto"/>
          <w:sz w:val="28"/>
          <w:szCs w:val="28"/>
          <w:lang w:val="en-US" w:eastAsia="zh-CN"/>
        </w:rPr>
        <w:t>处置物</w:t>
      </w:r>
      <w:r>
        <w:rPr>
          <w:rFonts w:hint="eastAsia" w:asciiTheme="minorEastAsia" w:hAnsiTheme="minorEastAsia"/>
          <w:color w:val="auto"/>
          <w:sz w:val="28"/>
          <w:szCs w:val="28"/>
        </w:rPr>
        <w:t>以外的物资。</w:t>
      </w:r>
    </w:p>
    <w:p>
      <w:pPr>
        <w:spacing w:line="360" w:lineRule="auto"/>
        <w:ind w:left="640"/>
        <w:jc w:val="left"/>
        <w:rPr>
          <w:rFonts w:asciiTheme="minorEastAsia" w:hAnsiTheme="minorEastAsia"/>
          <w:color w:val="auto"/>
          <w:sz w:val="28"/>
          <w:szCs w:val="28"/>
        </w:rPr>
      </w:pPr>
      <w:r>
        <w:rPr>
          <w:rFonts w:hint="eastAsia" w:asciiTheme="minorEastAsia" w:hAnsiTheme="minorEastAsia"/>
          <w:color w:val="auto"/>
          <w:sz w:val="28"/>
          <w:szCs w:val="28"/>
        </w:rPr>
        <w:t>12、拉货期间，</w:t>
      </w:r>
      <w:r>
        <w:rPr>
          <w:rFonts w:hint="eastAsia" w:asciiTheme="minorEastAsia" w:hAnsiTheme="minorEastAsia"/>
          <w:snapToGrid w:val="0"/>
          <w:color w:val="auto"/>
          <w:kern w:val="0"/>
          <w:sz w:val="28"/>
          <w:szCs w:val="28"/>
        </w:rPr>
        <w:t>买受人</w:t>
      </w:r>
      <w:r>
        <w:rPr>
          <w:rFonts w:hint="eastAsia" w:asciiTheme="minorEastAsia" w:hAnsiTheme="minorEastAsia"/>
          <w:color w:val="auto"/>
          <w:sz w:val="28"/>
          <w:szCs w:val="28"/>
        </w:rPr>
        <w:t>应及时拉运，不能以竞买</w:t>
      </w:r>
      <w:r>
        <w:rPr>
          <w:rFonts w:hint="eastAsia" w:asciiTheme="minorEastAsia" w:hAnsiTheme="minorEastAsia"/>
          <w:color w:val="auto"/>
          <w:sz w:val="28"/>
          <w:szCs w:val="28"/>
          <w:lang w:val="en-US" w:eastAsia="zh-CN"/>
        </w:rPr>
        <w:t>处置物</w:t>
      </w:r>
      <w:r>
        <w:rPr>
          <w:rFonts w:hint="eastAsia" w:asciiTheme="minorEastAsia" w:hAnsiTheme="minorEastAsia"/>
          <w:color w:val="auto"/>
          <w:sz w:val="28"/>
          <w:szCs w:val="28"/>
        </w:rPr>
        <w:t>价格</w:t>
      </w:r>
    </w:p>
    <w:p>
      <w:pPr>
        <w:spacing w:line="360" w:lineRule="auto"/>
        <w:jc w:val="left"/>
        <w:rPr>
          <w:rFonts w:asciiTheme="minorEastAsia" w:hAnsiTheme="minorEastAsia"/>
          <w:color w:val="auto"/>
          <w:sz w:val="28"/>
          <w:szCs w:val="28"/>
        </w:rPr>
      </w:pPr>
      <w:r>
        <w:rPr>
          <w:rFonts w:hint="eastAsia" w:asciiTheme="minorEastAsia" w:hAnsiTheme="minorEastAsia"/>
          <w:color w:val="auto"/>
          <w:sz w:val="28"/>
          <w:szCs w:val="28"/>
        </w:rPr>
        <w:t>下跌或其他理由拒绝拉货。</w:t>
      </w:r>
    </w:p>
    <w:p>
      <w:pPr>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13、未成交的竞买人交付的竞买保证金，由易派客废旧物资处置平台按相关</w:t>
      </w:r>
      <w:r>
        <w:rPr>
          <w:rFonts w:asciiTheme="minorEastAsia" w:hAnsiTheme="minorEastAsia"/>
          <w:color w:val="auto"/>
          <w:sz w:val="28"/>
          <w:szCs w:val="28"/>
        </w:rPr>
        <w:t>规定</w:t>
      </w:r>
      <w:r>
        <w:rPr>
          <w:rFonts w:hint="eastAsia" w:asciiTheme="minorEastAsia" w:hAnsiTheme="minorEastAsia"/>
          <w:color w:val="auto"/>
          <w:sz w:val="28"/>
          <w:szCs w:val="28"/>
        </w:rPr>
        <w:t>内退还（不计利息），如竞买保证金退还需要支付手续费，则应由竞买人承担；</w:t>
      </w:r>
      <w:r>
        <w:rPr>
          <w:rFonts w:hint="eastAsia" w:asciiTheme="minorEastAsia" w:hAnsiTheme="minorEastAsia"/>
          <w:snapToGrid w:val="0"/>
          <w:color w:val="auto"/>
          <w:kern w:val="0"/>
          <w:sz w:val="28"/>
          <w:szCs w:val="28"/>
        </w:rPr>
        <w:t>买受人</w:t>
      </w:r>
      <w:r>
        <w:rPr>
          <w:rFonts w:hint="eastAsia" w:asciiTheme="minorEastAsia" w:hAnsiTheme="minorEastAsia"/>
          <w:color w:val="auto"/>
          <w:sz w:val="28"/>
          <w:szCs w:val="28"/>
        </w:rPr>
        <w:t>履行完合同后，由易派客废旧物资处置平台根据物资供销中心意见，结合平台收费情况，按相关规定退还剩余竞买保证金。</w:t>
      </w:r>
    </w:p>
    <w:p>
      <w:pPr>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14、物资供销中心及平台运营方有权对</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有关情况（包括但不限于起拍价、保留价、竞买阶梯、竞买时间、</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竞买的顺序、有关图像、文字资料）在竞买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未开始竞买之前进行修改和解释，竞买人应当予以充分理解并在竞买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开始竞买之前注意。竞买人在成交后不得以竞买</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有关情况在竞买开始前改变为理由反悔，一经成交确认，物资供销中心、平台运营方不因此承担任何责任。</w:t>
      </w:r>
    </w:p>
    <w:p>
      <w:pPr>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15、竞买程序因物资供销中心撤回竞买，或因不可抗力等意外事件发生使网络竞买程序暂停或终止的，物资供销中心、平台运营方不承担违约责任。</w:t>
      </w:r>
    </w:p>
    <w:p>
      <w:pPr>
        <w:spacing w:line="360" w:lineRule="auto"/>
        <w:ind w:left="640"/>
        <w:rPr>
          <w:rFonts w:asciiTheme="minorEastAsia" w:hAnsiTheme="minorEastAsia"/>
          <w:color w:val="auto"/>
          <w:sz w:val="28"/>
          <w:szCs w:val="28"/>
        </w:rPr>
      </w:pPr>
      <w:r>
        <w:rPr>
          <w:rFonts w:hint="eastAsia" w:asciiTheme="minorEastAsia" w:hAnsiTheme="minorEastAsia"/>
          <w:color w:val="auto"/>
          <w:sz w:val="28"/>
          <w:szCs w:val="28"/>
        </w:rPr>
        <w:t>16、竞买人违约界定：</w:t>
      </w:r>
    </w:p>
    <w:p>
      <w:pPr>
        <w:spacing w:line="360" w:lineRule="auto"/>
        <w:ind w:left="640"/>
        <w:rPr>
          <w:rFonts w:asciiTheme="minorEastAsia" w:hAnsiTheme="minorEastAsia"/>
          <w:color w:val="auto"/>
          <w:sz w:val="28"/>
          <w:szCs w:val="28"/>
        </w:rPr>
      </w:pPr>
      <w:r>
        <w:rPr>
          <w:rFonts w:hint="eastAsia" w:asciiTheme="minorEastAsia" w:hAnsiTheme="minorEastAsia"/>
          <w:color w:val="auto"/>
          <w:sz w:val="28"/>
          <w:szCs w:val="28"/>
        </w:rPr>
        <w:t>下列情况均视为违约：</w:t>
      </w:r>
    </w:p>
    <w:p>
      <w:pPr>
        <w:spacing w:line="360" w:lineRule="auto"/>
        <w:ind w:left="640"/>
        <w:rPr>
          <w:rFonts w:asciiTheme="minorEastAsia" w:hAnsiTheme="minorEastAsia"/>
          <w:color w:val="auto"/>
          <w:sz w:val="28"/>
          <w:szCs w:val="28"/>
        </w:rPr>
      </w:pPr>
      <w:r>
        <w:rPr>
          <w:rFonts w:hint="eastAsia" w:asciiTheme="minorEastAsia" w:hAnsiTheme="minorEastAsia"/>
          <w:color w:val="auto"/>
          <w:sz w:val="28"/>
          <w:szCs w:val="28"/>
        </w:rPr>
        <w:t>（1）竞买人竞价成交后，放弃成交资格；</w:t>
      </w:r>
    </w:p>
    <w:p>
      <w:pPr>
        <w:spacing w:line="360" w:lineRule="auto"/>
        <w:ind w:left="640"/>
        <w:rPr>
          <w:rFonts w:asciiTheme="minorEastAsia" w:hAnsiTheme="minorEastAsia"/>
          <w:color w:val="auto"/>
          <w:sz w:val="28"/>
          <w:szCs w:val="28"/>
        </w:rPr>
      </w:pPr>
      <w:r>
        <w:rPr>
          <w:rFonts w:hint="eastAsia" w:asciiTheme="minorEastAsia" w:hAnsiTheme="minorEastAsia"/>
          <w:color w:val="auto"/>
          <w:sz w:val="28"/>
          <w:szCs w:val="28"/>
        </w:rPr>
        <w:t>（2）竞买人竞价成交后，逾期不足额缴纳履约保证金及货</w:t>
      </w:r>
      <w:bookmarkStart w:id="0" w:name="_GoBack"/>
      <w:r>
        <w:rPr>
          <w:rFonts w:hint="eastAsia" w:asciiTheme="minorEastAsia" w:hAnsiTheme="minorEastAsia"/>
          <w:color w:val="auto"/>
          <w:sz w:val="28"/>
          <w:szCs w:val="28"/>
        </w:rPr>
        <w:t>款</w:t>
      </w:r>
      <w:bookmarkEnd w:id="0"/>
      <w:r>
        <w:rPr>
          <w:rFonts w:hint="eastAsia" w:asciiTheme="minorEastAsia" w:hAnsiTheme="minorEastAsia"/>
          <w:color w:val="auto"/>
          <w:sz w:val="28"/>
          <w:szCs w:val="28"/>
        </w:rPr>
        <w:t>；</w:t>
      </w:r>
    </w:p>
    <w:p>
      <w:pPr>
        <w:spacing w:line="360" w:lineRule="auto"/>
        <w:ind w:left="640"/>
        <w:rPr>
          <w:rFonts w:asciiTheme="minorEastAsia" w:hAnsiTheme="minorEastAsia"/>
          <w:color w:val="auto"/>
          <w:sz w:val="28"/>
          <w:szCs w:val="28"/>
        </w:rPr>
      </w:pPr>
      <w:r>
        <w:rPr>
          <w:rFonts w:hint="eastAsia" w:asciiTheme="minorEastAsia" w:hAnsiTheme="minorEastAsia"/>
          <w:color w:val="auto"/>
          <w:sz w:val="28"/>
          <w:szCs w:val="28"/>
        </w:rPr>
        <w:t>（3）竞买人竞价成交后，逾期不签订合同；</w:t>
      </w:r>
    </w:p>
    <w:p>
      <w:pPr>
        <w:spacing w:line="360" w:lineRule="auto"/>
        <w:ind w:left="640"/>
        <w:rPr>
          <w:rFonts w:asciiTheme="minorEastAsia" w:hAnsiTheme="minorEastAsia"/>
          <w:color w:val="auto"/>
          <w:sz w:val="28"/>
          <w:szCs w:val="28"/>
        </w:rPr>
      </w:pPr>
      <w:r>
        <w:rPr>
          <w:rFonts w:hint="eastAsia" w:asciiTheme="minorEastAsia" w:hAnsiTheme="minorEastAsia"/>
          <w:color w:val="auto"/>
          <w:sz w:val="28"/>
          <w:szCs w:val="28"/>
        </w:rPr>
        <w:t>（4）合同签订后未如期履约；</w:t>
      </w:r>
    </w:p>
    <w:p>
      <w:pPr>
        <w:spacing w:line="360" w:lineRule="auto"/>
        <w:ind w:left="640"/>
        <w:rPr>
          <w:rFonts w:asciiTheme="minorEastAsia" w:hAnsiTheme="minorEastAsia"/>
          <w:color w:val="auto"/>
          <w:sz w:val="28"/>
          <w:szCs w:val="28"/>
        </w:rPr>
      </w:pPr>
      <w:r>
        <w:rPr>
          <w:rFonts w:hint="eastAsia" w:asciiTheme="minorEastAsia" w:hAnsiTheme="minorEastAsia"/>
          <w:color w:val="auto"/>
          <w:sz w:val="28"/>
          <w:szCs w:val="28"/>
        </w:rPr>
        <w:t>（5）履约过程中毁约；</w:t>
      </w:r>
    </w:p>
    <w:p>
      <w:pPr>
        <w:spacing w:line="360" w:lineRule="auto"/>
        <w:ind w:left="640"/>
        <w:rPr>
          <w:rFonts w:hint="eastAsia" w:asciiTheme="minorEastAsia" w:hAnsiTheme="minorEastAsia"/>
          <w:color w:val="auto"/>
          <w:sz w:val="28"/>
          <w:szCs w:val="28"/>
        </w:rPr>
      </w:pPr>
      <w:r>
        <w:rPr>
          <w:rFonts w:hint="eastAsia" w:asciiTheme="minorEastAsia" w:hAnsiTheme="minorEastAsia"/>
          <w:color w:val="auto"/>
          <w:sz w:val="28"/>
          <w:szCs w:val="28"/>
        </w:rPr>
        <w:t>（6）合同履约过程中违反</w:t>
      </w:r>
      <w:r>
        <w:rPr>
          <w:rFonts w:hint="eastAsia" w:asciiTheme="minorEastAsia" w:hAnsiTheme="minorEastAsia"/>
          <w:color w:val="auto"/>
          <w:sz w:val="28"/>
          <w:szCs w:val="28"/>
          <w:lang w:eastAsia="zh-CN"/>
        </w:rPr>
        <w:t>处置物</w:t>
      </w:r>
      <w:r>
        <w:rPr>
          <w:rFonts w:hint="eastAsia" w:asciiTheme="minorEastAsia" w:hAnsiTheme="minorEastAsia"/>
          <w:color w:val="auto"/>
          <w:sz w:val="28"/>
          <w:szCs w:val="28"/>
        </w:rPr>
        <w:t>物所属单位安全管理规定并造成恶劣影响或造成经济损失或导致安全事故的；</w:t>
      </w:r>
    </w:p>
    <w:p>
      <w:pPr>
        <w:spacing w:line="360" w:lineRule="auto"/>
        <w:rPr>
          <w:rFonts w:asciiTheme="minorEastAsia" w:hAnsiTheme="minorEastAsia"/>
          <w:b/>
          <w:bCs/>
          <w:color w:val="auto"/>
          <w:sz w:val="28"/>
          <w:szCs w:val="28"/>
        </w:rPr>
      </w:pPr>
      <w:r>
        <w:rPr>
          <w:rFonts w:hint="eastAsia" w:asciiTheme="minorEastAsia" w:hAnsiTheme="minorEastAsia"/>
          <w:color w:val="auto"/>
          <w:sz w:val="28"/>
          <w:szCs w:val="28"/>
        </w:rPr>
        <w:t xml:space="preserve">     </w:t>
      </w:r>
      <w:r>
        <w:rPr>
          <w:rFonts w:hint="eastAsia" w:asciiTheme="minorEastAsia" w:hAnsiTheme="minorEastAsia"/>
          <w:b/>
          <w:bCs/>
          <w:color w:val="auto"/>
          <w:sz w:val="28"/>
          <w:szCs w:val="28"/>
        </w:rPr>
        <w:t>（7）拉货期间，以竞买</w:t>
      </w:r>
      <w:r>
        <w:rPr>
          <w:rFonts w:hint="eastAsia" w:asciiTheme="minorEastAsia" w:hAnsiTheme="minorEastAsia"/>
          <w:b/>
          <w:bCs/>
          <w:color w:val="auto"/>
          <w:sz w:val="28"/>
          <w:szCs w:val="28"/>
          <w:lang w:eastAsia="zh-CN"/>
        </w:rPr>
        <w:t>处置物</w:t>
      </w:r>
      <w:r>
        <w:rPr>
          <w:rFonts w:hint="eastAsia" w:asciiTheme="minorEastAsia" w:hAnsiTheme="minorEastAsia"/>
          <w:b/>
          <w:bCs/>
          <w:color w:val="auto"/>
          <w:sz w:val="28"/>
          <w:szCs w:val="28"/>
        </w:rPr>
        <w:t>价格下跌或其他理由拒绝拉货的。</w:t>
      </w:r>
    </w:p>
    <w:p>
      <w:pPr>
        <w:spacing w:line="360" w:lineRule="auto"/>
        <w:ind w:left="640"/>
        <w:jc w:val="left"/>
        <w:rPr>
          <w:rFonts w:asciiTheme="minorEastAsia" w:hAnsiTheme="minorEastAsia"/>
          <w:color w:val="auto"/>
          <w:sz w:val="28"/>
          <w:szCs w:val="28"/>
        </w:rPr>
      </w:pPr>
      <w:r>
        <w:rPr>
          <w:rFonts w:hint="eastAsia" w:asciiTheme="minorEastAsia" w:hAnsiTheme="minorEastAsia"/>
          <w:color w:val="auto"/>
          <w:sz w:val="28"/>
          <w:szCs w:val="28"/>
        </w:rPr>
        <w:t>17、违约处罚：</w:t>
      </w:r>
    </w:p>
    <w:p>
      <w:pPr>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对于违约的竞买人或</w:t>
      </w:r>
      <w:r>
        <w:rPr>
          <w:rFonts w:hint="eastAsia" w:asciiTheme="minorEastAsia" w:hAnsiTheme="minorEastAsia"/>
          <w:snapToGrid w:val="0"/>
          <w:color w:val="auto"/>
          <w:kern w:val="0"/>
          <w:sz w:val="28"/>
          <w:szCs w:val="28"/>
        </w:rPr>
        <w:t>买受人</w:t>
      </w:r>
      <w:r>
        <w:rPr>
          <w:rFonts w:hint="eastAsia" w:asciiTheme="minorEastAsia" w:hAnsiTheme="minorEastAsia"/>
          <w:color w:val="auto"/>
          <w:sz w:val="28"/>
          <w:szCs w:val="28"/>
        </w:rPr>
        <w:t>，物资供销中心将取消竞买人买受资格，竞买保证金</w:t>
      </w:r>
      <w:r>
        <w:rPr>
          <w:rFonts w:hint="eastAsia" w:asciiTheme="minorEastAsia" w:hAnsiTheme="minorEastAsia"/>
          <w:color w:val="auto"/>
          <w:sz w:val="28"/>
          <w:szCs w:val="28"/>
          <w:lang w:val="en-US" w:eastAsia="zh-CN"/>
        </w:rPr>
        <w:t>及</w:t>
      </w:r>
      <w:r>
        <w:rPr>
          <w:rFonts w:hint="eastAsia" w:asciiTheme="minorEastAsia" w:hAnsiTheme="minorEastAsia"/>
          <w:color w:val="auto"/>
          <w:sz w:val="28"/>
          <w:szCs w:val="28"/>
        </w:rPr>
        <w:t>履约保证金不予退回，停止交易一年，列入竞买平台黑名单，暂停合作处理期限内，竞买平台将不再接受该买受方的竞买参与申请。</w:t>
      </w:r>
    </w:p>
    <w:p>
      <w:pPr>
        <w:spacing w:line="360" w:lineRule="auto"/>
        <w:jc w:val="left"/>
        <w:rPr>
          <w:rFonts w:asciiTheme="minorEastAsia" w:hAnsiTheme="minorEastAsia"/>
          <w:color w:val="auto"/>
          <w:sz w:val="28"/>
          <w:szCs w:val="28"/>
        </w:rPr>
      </w:pPr>
      <w:r>
        <w:rPr>
          <w:rFonts w:hint="eastAsia" w:asciiTheme="minorEastAsia" w:hAnsiTheme="minorEastAsia"/>
          <w:color w:val="auto"/>
          <w:sz w:val="28"/>
          <w:szCs w:val="28"/>
        </w:rPr>
        <w:t xml:space="preserve">    18、网上竞买风险声明</w:t>
      </w:r>
    </w:p>
    <w:p>
      <w:pPr>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由于互联网可能出现不稳定情况，不排除网络竞买发生故障（包括但不限于网络故障、电路故障、系统故障、计算机病毒、系统停机维护、通讯终端或电信设备出现故障不能进行数据传输、电信部门技术调整或故障、网站升级）以及被网络黑客恶意攻击的可能性，因前述原因或其他不可抗力因素，或因竞买人自身原因（包括但不限于竞买人自身终端设备和网络异常等原因）或第三方原因导致无法正常竞买的，物资供销中心及平台运营方不承担任何责任。</w:t>
      </w:r>
    </w:p>
    <w:p>
      <w:pPr>
        <w:spacing w:line="360" w:lineRule="auto"/>
        <w:ind w:firstLine="3080" w:firstLineChars="1100"/>
        <w:jc w:val="left"/>
        <w:rPr>
          <w:rFonts w:asciiTheme="minorEastAsia" w:hAnsiTheme="minorEastAsia"/>
          <w:color w:val="auto"/>
          <w:sz w:val="28"/>
          <w:szCs w:val="28"/>
        </w:rPr>
      </w:pPr>
    </w:p>
    <w:p>
      <w:pPr>
        <w:spacing w:line="360" w:lineRule="auto"/>
        <w:ind w:firstLine="3080" w:firstLineChars="1100"/>
        <w:jc w:val="left"/>
        <w:rPr>
          <w:rFonts w:asciiTheme="minorEastAsia" w:hAnsiTheme="minorEastAsia"/>
          <w:color w:val="auto"/>
          <w:sz w:val="28"/>
          <w:szCs w:val="28"/>
        </w:rPr>
      </w:pPr>
    </w:p>
    <w:p>
      <w:pPr>
        <w:tabs>
          <w:tab w:val="center" w:pos="4253"/>
        </w:tabs>
        <w:adjustRightInd w:val="0"/>
        <w:snapToGrid w:val="0"/>
        <w:spacing w:line="360" w:lineRule="auto"/>
        <w:jc w:val="center"/>
        <w:rPr>
          <w:rFonts w:asciiTheme="minorEastAsia" w:hAnsiTheme="minorEastAsia"/>
          <w:color w:val="auto"/>
          <w:sz w:val="28"/>
          <w:szCs w:val="28"/>
        </w:rPr>
      </w:pPr>
      <w:r>
        <w:rPr>
          <w:rFonts w:hint="eastAsia" w:asciiTheme="minorEastAsia" w:hAnsiTheme="minorEastAsia"/>
          <w:color w:val="auto"/>
          <w:sz w:val="28"/>
          <w:szCs w:val="28"/>
        </w:rPr>
        <w:t xml:space="preserve">                    </w:t>
      </w:r>
    </w:p>
    <w:p>
      <w:pPr>
        <w:spacing w:line="360" w:lineRule="auto"/>
        <w:jc w:val="right"/>
        <w:rPr>
          <w:rFonts w:asciiTheme="minorEastAsia" w:hAnsiTheme="minorEastAsia"/>
          <w:color w:val="auto"/>
          <w:sz w:val="28"/>
          <w:szCs w:val="28"/>
        </w:rPr>
      </w:pPr>
      <w:r>
        <w:rPr>
          <w:rFonts w:hint="eastAsia" w:asciiTheme="minorEastAsia" w:hAnsiTheme="minorEastAsia"/>
          <w:color w:val="auto"/>
          <w:sz w:val="28"/>
          <w:szCs w:val="28"/>
        </w:rPr>
        <w:t xml:space="preserve">     </w:t>
      </w:r>
    </w:p>
    <w:p>
      <w:pPr>
        <w:spacing w:line="360" w:lineRule="auto"/>
        <w:jc w:val="right"/>
        <w:rPr>
          <w:rFonts w:asciiTheme="minorEastAsia" w:hAnsiTheme="minorEastAsia"/>
          <w:color w:val="auto"/>
          <w:sz w:val="28"/>
          <w:szCs w:val="28"/>
        </w:rPr>
      </w:pPr>
    </w:p>
    <w:p>
      <w:pPr>
        <w:rPr>
          <w:rFonts w:asciiTheme="minorEastAsia" w:hAnsiTheme="minorEastAsia"/>
          <w:color w:val="auto"/>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25E4"/>
    <w:rsid w:val="00010B3B"/>
    <w:rsid w:val="000143A3"/>
    <w:rsid w:val="00021E4B"/>
    <w:rsid w:val="000229C5"/>
    <w:rsid w:val="000426D6"/>
    <w:rsid w:val="000512A1"/>
    <w:rsid w:val="000515E1"/>
    <w:rsid w:val="00065F50"/>
    <w:rsid w:val="00066D2A"/>
    <w:rsid w:val="0007107A"/>
    <w:rsid w:val="00071964"/>
    <w:rsid w:val="00072845"/>
    <w:rsid w:val="0007313A"/>
    <w:rsid w:val="00074210"/>
    <w:rsid w:val="0007518C"/>
    <w:rsid w:val="000806C0"/>
    <w:rsid w:val="0008087C"/>
    <w:rsid w:val="000826ED"/>
    <w:rsid w:val="00082D9A"/>
    <w:rsid w:val="000860DB"/>
    <w:rsid w:val="000904A1"/>
    <w:rsid w:val="0009503F"/>
    <w:rsid w:val="000A0BD7"/>
    <w:rsid w:val="000A11A5"/>
    <w:rsid w:val="000A1622"/>
    <w:rsid w:val="000A17D4"/>
    <w:rsid w:val="000A241A"/>
    <w:rsid w:val="000B3AEF"/>
    <w:rsid w:val="000B69C0"/>
    <w:rsid w:val="000C0CB2"/>
    <w:rsid w:val="000C1DDF"/>
    <w:rsid w:val="000C673B"/>
    <w:rsid w:val="000D19C5"/>
    <w:rsid w:val="000D5B62"/>
    <w:rsid w:val="000D7143"/>
    <w:rsid w:val="000E6F46"/>
    <w:rsid w:val="000F2832"/>
    <w:rsid w:val="000F36A2"/>
    <w:rsid w:val="00100914"/>
    <w:rsid w:val="00100F3A"/>
    <w:rsid w:val="0010692E"/>
    <w:rsid w:val="0010781B"/>
    <w:rsid w:val="00111249"/>
    <w:rsid w:val="0011566F"/>
    <w:rsid w:val="00116650"/>
    <w:rsid w:val="00120B98"/>
    <w:rsid w:val="00124AAC"/>
    <w:rsid w:val="00124D26"/>
    <w:rsid w:val="00133DBC"/>
    <w:rsid w:val="001348D2"/>
    <w:rsid w:val="00146104"/>
    <w:rsid w:val="00151010"/>
    <w:rsid w:val="00151E57"/>
    <w:rsid w:val="00152B32"/>
    <w:rsid w:val="001663B1"/>
    <w:rsid w:val="0017165F"/>
    <w:rsid w:val="00176EDD"/>
    <w:rsid w:val="00177BFE"/>
    <w:rsid w:val="00186A19"/>
    <w:rsid w:val="00196A48"/>
    <w:rsid w:val="00197D2C"/>
    <w:rsid w:val="00197F28"/>
    <w:rsid w:val="001A325C"/>
    <w:rsid w:val="001A356C"/>
    <w:rsid w:val="001A3B69"/>
    <w:rsid w:val="001A5D19"/>
    <w:rsid w:val="001B486E"/>
    <w:rsid w:val="001B590B"/>
    <w:rsid w:val="001B7523"/>
    <w:rsid w:val="001C6169"/>
    <w:rsid w:val="001D057D"/>
    <w:rsid w:val="001D4E12"/>
    <w:rsid w:val="001E0337"/>
    <w:rsid w:val="001E1139"/>
    <w:rsid w:val="001E2BC4"/>
    <w:rsid w:val="001E5BEB"/>
    <w:rsid w:val="0021678B"/>
    <w:rsid w:val="00225F14"/>
    <w:rsid w:val="002275C9"/>
    <w:rsid w:val="002329DF"/>
    <w:rsid w:val="00233082"/>
    <w:rsid w:val="00234E33"/>
    <w:rsid w:val="00235119"/>
    <w:rsid w:val="00237341"/>
    <w:rsid w:val="00243BD4"/>
    <w:rsid w:val="00247B6C"/>
    <w:rsid w:val="00253240"/>
    <w:rsid w:val="0025390B"/>
    <w:rsid w:val="00254E73"/>
    <w:rsid w:val="00261651"/>
    <w:rsid w:val="00263552"/>
    <w:rsid w:val="0026481D"/>
    <w:rsid w:val="002667C9"/>
    <w:rsid w:val="00277C12"/>
    <w:rsid w:val="00291483"/>
    <w:rsid w:val="002933D4"/>
    <w:rsid w:val="002943BF"/>
    <w:rsid w:val="002A572A"/>
    <w:rsid w:val="002A5C82"/>
    <w:rsid w:val="002A6884"/>
    <w:rsid w:val="002B17FE"/>
    <w:rsid w:val="002B1AA6"/>
    <w:rsid w:val="002B465A"/>
    <w:rsid w:val="002B47DE"/>
    <w:rsid w:val="002B6302"/>
    <w:rsid w:val="002C02BD"/>
    <w:rsid w:val="002C1DE5"/>
    <w:rsid w:val="002C224C"/>
    <w:rsid w:val="002D100F"/>
    <w:rsid w:val="002D5E63"/>
    <w:rsid w:val="002E0EBB"/>
    <w:rsid w:val="002E3B7D"/>
    <w:rsid w:val="002F6283"/>
    <w:rsid w:val="003169BB"/>
    <w:rsid w:val="00317CA5"/>
    <w:rsid w:val="003233B8"/>
    <w:rsid w:val="00325867"/>
    <w:rsid w:val="00326087"/>
    <w:rsid w:val="0033629D"/>
    <w:rsid w:val="00337F00"/>
    <w:rsid w:val="00345984"/>
    <w:rsid w:val="00346BDC"/>
    <w:rsid w:val="00350F28"/>
    <w:rsid w:val="003629DB"/>
    <w:rsid w:val="00364254"/>
    <w:rsid w:val="003656FB"/>
    <w:rsid w:val="003710E1"/>
    <w:rsid w:val="00373529"/>
    <w:rsid w:val="00374284"/>
    <w:rsid w:val="00375090"/>
    <w:rsid w:val="003804B8"/>
    <w:rsid w:val="00381495"/>
    <w:rsid w:val="00396266"/>
    <w:rsid w:val="00396C3A"/>
    <w:rsid w:val="003A1D97"/>
    <w:rsid w:val="003B446C"/>
    <w:rsid w:val="003B47F4"/>
    <w:rsid w:val="003B7F0F"/>
    <w:rsid w:val="003C2278"/>
    <w:rsid w:val="003C4D8A"/>
    <w:rsid w:val="003C5C5F"/>
    <w:rsid w:val="003D021A"/>
    <w:rsid w:val="003D3961"/>
    <w:rsid w:val="003D453E"/>
    <w:rsid w:val="003E36ED"/>
    <w:rsid w:val="003E52FC"/>
    <w:rsid w:val="003E6433"/>
    <w:rsid w:val="003F2651"/>
    <w:rsid w:val="003F6C9E"/>
    <w:rsid w:val="00400E72"/>
    <w:rsid w:val="00401EFE"/>
    <w:rsid w:val="00405299"/>
    <w:rsid w:val="00410F55"/>
    <w:rsid w:val="00414E3C"/>
    <w:rsid w:val="004177EE"/>
    <w:rsid w:val="00432833"/>
    <w:rsid w:val="00436793"/>
    <w:rsid w:val="0044423A"/>
    <w:rsid w:val="00445822"/>
    <w:rsid w:val="004518F3"/>
    <w:rsid w:val="00454B30"/>
    <w:rsid w:val="004574F5"/>
    <w:rsid w:val="00462FE3"/>
    <w:rsid w:val="004638C0"/>
    <w:rsid w:val="00464077"/>
    <w:rsid w:val="0046498D"/>
    <w:rsid w:val="00475010"/>
    <w:rsid w:val="004806C1"/>
    <w:rsid w:val="004877FE"/>
    <w:rsid w:val="00493533"/>
    <w:rsid w:val="004A0B7D"/>
    <w:rsid w:val="004A1BC0"/>
    <w:rsid w:val="004B1155"/>
    <w:rsid w:val="004B14E1"/>
    <w:rsid w:val="004B6861"/>
    <w:rsid w:val="004C250B"/>
    <w:rsid w:val="004C4B3B"/>
    <w:rsid w:val="004C4FF3"/>
    <w:rsid w:val="004D788B"/>
    <w:rsid w:val="004E1075"/>
    <w:rsid w:val="004E226F"/>
    <w:rsid w:val="004E27AE"/>
    <w:rsid w:val="00511CDF"/>
    <w:rsid w:val="00511FA0"/>
    <w:rsid w:val="0051764D"/>
    <w:rsid w:val="005209AB"/>
    <w:rsid w:val="00520A4A"/>
    <w:rsid w:val="00520C58"/>
    <w:rsid w:val="00534DC1"/>
    <w:rsid w:val="0053558F"/>
    <w:rsid w:val="00536E52"/>
    <w:rsid w:val="0054729E"/>
    <w:rsid w:val="00547E6D"/>
    <w:rsid w:val="00555256"/>
    <w:rsid w:val="00557913"/>
    <w:rsid w:val="00561846"/>
    <w:rsid w:val="0056379C"/>
    <w:rsid w:val="00567605"/>
    <w:rsid w:val="005713E2"/>
    <w:rsid w:val="005726A2"/>
    <w:rsid w:val="0057720D"/>
    <w:rsid w:val="00577989"/>
    <w:rsid w:val="00582E87"/>
    <w:rsid w:val="0058561A"/>
    <w:rsid w:val="00591D12"/>
    <w:rsid w:val="00597060"/>
    <w:rsid w:val="005A4926"/>
    <w:rsid w:val="005A5348"/>
    <w:rsid w:val="005B6501"/>
    <w:rsid w:val="005B725D"/>
    <w:rsid w:val="005C0707"/>
    <w:rsid w:val="005C4DA5"/>
    <w:rsid w:val="005C5B7D"/>
    <w:rsid w:val="005C654D"/>
    <w:rsid w:val="005D04D8"/>
    <w:rsid w:val="005D2CDC"/>
    <w:rsid w:val="005D39BB"/>
    <w:rsid w:val="005E0F26"/>
    <w:rsid w:val="005F7DD0"/>
    <w:rsid w:val="00602CC0"/>
    <w:rsid w:val="006030CC"/>
    <w:rsid w:val="006034D7"/>
    <w:rsid w:val="006037F9"/>
    <w:rsid w:val="00605090"/>
    <w:rsid w:val="006062B1"/>
    <w:rsid w:val="006109C0"/>
    <w:rsid w:val="006124F6"/>
    <w:rsid w:val="00613E9F"/>
    <w:rsid w:val="0061573F"/>
    <w:rsid w:val="00621F15"/>
    <w:rsid w:val="006252E8"/>
    <w:rsid w:val="00625A82"/>
    <w:rsid w:val="006264AD"/>
    <w:rsid w:val="006304F2"/>
    <w:rsid w:val="00632BB8"/>
    <w:rsid w:val="00641C4B"/>
    <w:rsid w:val="00643449"/>
    <w:rsid w:val="00643C33"/>
    <w:rsid w:val="006548E3"/>
    <w:rsid w:val="0065660E"/>
    <w:rsid w:val="00656B44"/>
    <w:rsid w:val="00657264"/>
    <w:rsid w:val="00663F7F"/>
    <w:rsid w:val="0068616A"/>
    <w:rsid w:val="006910BA"/>
    <w:rsid w:val="00693412"/>
    <w:rsid w:val="006A53E2"/>
    <w:rsid w:val="006B42B7"/>
    <w:rsid w:val="006B667D"/>
    <w:rsid w:val="006C0901"/>
    <w:rsid w:val="006C1C88"/>
    <w:rsid w:val="006C3B8D"/>
    <w:rsid w:val="006E0391"/>
    <w:rsid w:val="006E147C"/>
    <w:rsid w:val="006E37FE"/>
    <w:rsid w:val="006E58BD"/>
    <w:rsid w:val="006E6D69"/>
    <w:rsid w:val="006F0E0D"/>
    <w:rsid w:val="006F25FD"/>
    <w:rsid w:val="006F3AD5"/>
    <w:rsid w:val="0070749F"/>
    <w:rsid w:val="00711EC0"/>
    <w:rsid w:val="00713DE2"/>
    <w:rsid w:val="007172C7"/>
    <w:rsid w:val="00720977"/>
    <w:rsid w:val="00722DC7"/>
    <w:rsid w:val="007244E7"/>
    <w:rsid w:val="00725281"/>
    <w:rsid w:val="007278E3"/>
    <w:rsid w:val="00733483"/>
    <w:rsid w:val="00734B26"/>
    <w:rsid w:val="0073515A"/>
    <w:rsid w:val="00744B6F"/>
    <w:rsid w:val="00745927"/>
    <w:rsid w:val="00760088"/>
    <w:rsid w:val="007748D8"/>
    <w:rsid w:val="007752F2"/>
    <w:rsid w:val="007964DC"/>
    <w:rsid w:val="00797212"/>
    <w:rsid w:val="007A2E8D"/>
    <w:rsid w:val="007A353D"/>
    <w:rsid w:val="007A39CB"/>
    <w:rsid w:val="007A4A4D"/>
    <w:rsid w:val="007B442E"/>
    <w:rsid w:val="007B55E0"/>
    <w:rsid w:val="007B5938"/>
    <w:rsid w:val="007B66C5"/>
    <w:rsid w:val="007B7806"/>
    <w:rsid w:val="007C208B"/>
    <w:rsid w:val="007C65F7"/>
    <w:rsid w:val="007D4D91"/>
    <w:rsid w:val="007D698E"/>
    <w:rsid w:val="007E4F89"/>
    <w:rsid w:val="007E4FE9"/>
    <w:rsid w:val="007E7992"/>
    <w:rsid w:val="007E7AEF"/>
    <w:rsid w:val="007F1A6F"/>
    <w:rsid w:val="007F65F7"/>
    <w:rsid w:val="00801625"/>
    <w:rsid w:val="008018A5"/>
    <w:rsid w:val="0080538A"/>
    <w:rsid w:val="008056B2"/>
    <w:rsid w:val="00805D73"/>
    <w:rsid w:val="008108CE"/>
    <w:rsid w:val="00813938"/>
    <w:rsid w:val="0082093E"/>
    <w:rsid w:val="0082386C"/>
    <w:rsid w:val="008317A0"/>
    <w:rsid w:val="008336AC"/>
    <w:rsid w:val="00834FDF"/>
    <w:rsid w:val="008356D0"/>
    <w:rsid w:val="0084186B"/>
    <w:rsid w:val="008537B0"/>
    <w:rsid w:val="00855D3C"/>
    <w:rsid w:val="00860FDF"/>
    <w:rsid w:val="008612A9"/>
    <w:rsid w:val="00873052"/>
    <w:rsid w:val="008764BD"/>
    <w:rsid w:val="008770B8"/>
    <w:rsid w:val="008831F8"/>
    <w:rsid w:val="0088534F"/>
    <w:rsid w:val="00885F73"/>
    <w:rsid w:val="008868A5"/>
    <w:rsid w:val="0089051F"/>
    <w:rsid w:val="00891EFA"/>
    <w:rsid w:val="008A5D99"/>
    <w:rsid w:val="008B3C67"/>
    <w:rsid w:val="008B5B88"/>
    <w:rsid w:val="008B65A7"/>
    <w:rsid w:val="008C099B"/>
    <w:rsid w:val="008C3EFD"/>
    <w:rsid w:val="008C5FA9"/>
    <w:rsid w:val="008C7B9C"/>
    <w:rsid w:val="008D0665"/>
    <w:rsid w:val="008D09A5"/>
    <w:rsid w:val="008D2852"/>
    <w:rsid w:val="008D580D"/>
    <w:rsid w:val="008E25CA"/>
    <w:rsid w:val="008E6A37"/>
    <w:rsid w:val="009068F0"/>
    <w:rsid w:val="00910BA3"/>
    <w:rsid w:val="00911571"/>
    <w:rsid w:val="0091240D"/>
    <w:rsid w:val="00912D6D"/>
    <w:rsid w:val="00913406"/>
    <w:rsid w:val="00914894"/>
    <w:rsid w:val="009265AF"/>
    <w:rsid w:val="0093271A"/>
    <w:rsid w:val="009328DD"/>
    <w:rsid w:val="00932FF9"/>
    <w:rsid w:val="00933731"/>
    <w:rsid w:val="00940B3F"/>
    <w:rsid w:val="0094207F"/>
    <w:rsid w:val="0096241B"/>
    <w:rsid w:val="009638BF"/>
    <w:rsid w:val="00964A1A"/>
    <w:rsid w:val="00965CAE"/>
    <w:rsid w:val="00965D0E"/>
    <w:rsid w:val="00966A5B"/>
    <w:rsid w:val="00966D5E"/>
    <w:rsid w:val="009679CC"/>
    <w:rsid w:val="00970DDB"/>
    <w:rsid w:val="0097491B"/>
    <w:rsid w:val="00975650"/>
    <w:rsid w:val="00980001"/>
    <w:rsid w:val="00982FBC"/>
    <w:rsid w:val="00984730"/>
    <w:rsid w:val="00985AC2"/>
    <w:rsid w:val="009863CC"/>
    <w:rsid w:val="00991B04"/>
    <w:rsid w:val="00994BE4"/>
    <w:rsid w:val="0099586F"/>
    <w:rsid w:val="00997F4D"/>
    <w:rsid w:val="009A321A"/>
    <w:rsid w:val="009B4EBD"/>
    <w:rsid w:val="009B51DD"/>
    <w:rsid w:val="009B7FE5"/>
    <w:rsid w:val="009C43E6"/>
    <w:rsid w:val="009D416E"/>
    <w:rsid w:val="009D5C1E"/>
    <w:rsid w:val="009E1AA5"/>
    <w:rsid w:val="009E69F6"/>
    <w:rsid w:val="009F2F55"/>
    <w:rsid w:val="009F4396"/>
    <w:rsid w:val="009F7ADD"/>
    <w:rsid w:val="009F7EE0"/>
    <w:rsid w:val="009F7FE5"/>
    <w:rsid w:val="00A017A6"/>
    <w:rsid w:val="00A065CE"/>
    <w:rsid w:val="00A0730C"/>
    <w:rsid w:val="00A11EFE"/>
    <w:rsid w:val="00A17AAD"/>
    <w:rsid w:val="00A17E7D"/>
    <w:rsid w:val="00A22B6E"/>
    <w:rsid w:val="00A237BE"/>
    <w:rsid w:val="00A26816"/>
    <w:rsid w:val="00A32D3E"/>
    <w:rsid w:val="00A33C55"/>
    <w:rsid w:val="00A53B2E"/>
    <w:rsid w:val="00A560B9"/>
    <w:rsid w:val="00A605C3"/>
    <w:rsid w:val="00A61406"/>
    <w:rsid w:val="00A65C53"/>
    <w:rsid w:val="00A66570"/>
    <w:rsid w:val="00A7435D"/>
    <w:rsid w:val="00A80674"/>
    <w:rsid w:val="00A8431C"/>
    <w:rsid w:val="00A86DDE"/>
    <w:rsid w:val="00A90B1F"/>
    <w:rsid w:val="00A91D89"/>
    <w:rsid w:val="00A924C0"/>
    <w:rsid w:val="00AA0F50"/>
    <w:rsid w:val="00AA1ABF"/>
    <w:rsid w:val="00AA5DEF"/>
    <w:rsid w:val="00AA7CA9"/>
    <w:rsid w:val="00AB29BD"/>
    <w:rsid w:val="00AB3BF5"/>
    <w:rsid w:val="00AB431E"/>
    <w:rsid w:val="00AB5273"/>
    <w:rsid w:val="00AC5E3A"/>
    <w:rsid w:val="00AC722B"/>
    <w:rsid w:val="00AD4420"/>
    <w:rsid w:val="00AD6697"/>
    <w:rsid w:val="00AD6ABC"/>
    <w:rsid w:val="00AD73D5"/>
    <w:rsid w:val="00AE257F"/>
    <w:rsid w:val="00AF05D5"/>
    <w:rsid w:val="00AF5677"/>
    <w:rsid w:val="00AF6864"/>
    <w:rsid w:val="00AF6E74"/>
    <w:rsid w:val="00B00965"/>
    <w:rsid w:val="00B0274B"/>
    <w:rsid w:val="00B12B1C"/>
    <w:rsid w:val="00B146DC"/>
    <w:rsid w:val="00B177B0"/>
    <w:rsid w:val="00B30F73"/>
    <w:rsid w:val="00B31CB8"/>
    <w:rsid w:val="00B3447E"/>
    <w:rsid w:val="00B37E5C"/>
    <w:rsid w:val="00B40950"/>
    <w:rsid w:val="00B41238"/>
    <w:rsid w:val="00B432BC"/>
    <w:rsid w:val="00B45106"/>
    <w:rsid w:val="00B64D6A"/>
    <w:rsid w:val="00B667AA"/>
    <w:rsid w:val="00B73D3A"/>
    <w:rsid w:val="00B768F0"/>
    <w:rsid w:val="00B830AA"/>
    <w:rsid w:val="00B867AC"/>
    <w:rsid w:val="00B90D19"/>
    <w:rsid w:val="00B92300"/>
    <w:rsid w:val="00B9335B"/>
    <w:rsid w:val="00B93917"/>
    <w:rsid w:val="00BA1E00"/>
    <w:rsid w:val="00BA27FD"/>
    <w:rsid w:val="00BA7F06"/>
    <w:rsid w:val="00BB0632"/>
    <w:rsid w:val="00BB2265"/>
    <w:rsid w:val="00BB4223"/>
    <w:rsid w:val="00BC1357"/>
    <w:rsid w:val="00BC3851"/>
    <w:rsid w:val="00BC38F1"/>
    <w:rsid w:val="00BC4843"/>
    <w:rsid w:val="00BD6586"/>
    <w:rsid w:val="00BE214D"/>
    <w:rsid w:val="00BE254D"/>
    <w:rsid w:val="00BE514E"/>
    <w:rsid w:val="00BE5D91"/>
    <w:rsid w:val="00BE74E2"/>
    <w:rsid w:val="00BF1186"/>
    <w:rsid w:val="00BF2BA3"/>
    <w:rsid w:val="00C014BD"/>
    <w:rsid w:val="00C01B5E"/>
    <w:rsid w:val="00C04DB6"/>
    <w:rsid w:val="00C1224B"/>
    <w:rsid w:val="00C165AC"/>
    <w:rsid w:val="00C23EB2"/>
    <w:rsid w:val="00C37EA0"/>
    <w:rsid w:val="00C602DC"/>
    <w:rsid w:val="00C658C6"/>
    <w:rsid w:val="00C664FA"/>
    <w:rsid w:val="00C732E7"/>
    <w:rsid w:val="00C7695F"/>
    <w:rsid w:val="00C849F1"/>
    <w:rsid w:val="00C92B49"/>
    <w:rsid w:val="00C9636D"/>
    <w:rsid w:val="00CB07BC"/>
    <w:rsid w:val="00CB4E5B"/>
    <w:rsid w:val="00CC46D1"/>
    <w:rsid w:val="00CC48B1"/>
    <w:rsid w:val="00CC78BC"/>
    <w:rsid w:val="00CC7C7E"/>
    <w:rsid w:val="00CC7EB3"/>
    <w:rsid w:val="00CD4A22"/>
    <w:rsid w:val="00CE0CB4"/>
    <w:rsid w:val="00CE1129"/>
    <w:rsid w:val="00CE1EB1"/>
    <w:rsid w:val="00CE26DE"/>
    <w:rsid w:val="00CF2138"/>
    <w:rsid w:val="00CF24A0"/>
    <w:rsid w:val="00CF2AB9"/>
    <w:rsid w:val="00CF5468"/>
    <w:rsid w:val="00CF60FB"/>
    <w:rsid w:val="00CF69EB"/>
    <w:rsid w:val="00CF6C9C"/>
    <w:rsid w:val="00CF7184"/>
    <w:rsid w:val="00D047D7"/>
    <w:rsid w:val="00D04DA8"/>
    <w:rsid w:val="00D10541"/>
    <w:rsid w:val="00D120AC"/>
    <w:rsid w:val="00D1743E"/>
    <w:rsid w:val="00D17781"/>
    <w:rsid w:val="00D231A3"/>
    <w:rsid w:val="00D24EBB"/>
    <w:rsid w:val="00D2700D"/>
    <w:rsid w:val="00D27545"/>
    <w:rsid w:val="00D4366B"/>
    <w:rsid w:val="00D527D1"/>
    <w:rsid w:val="00D52A8C"/>
    <w:rsid w:val="00D56611"/>
    <w:rsid w:val="00D63666"/>
    <w:rsid w:val="00D67B54"/>
    <w:rsid w:val="00D67FC0"/>
    <w:rsid w:val="00D7242F"/>
    <w:rsid w:val="00D7547A"/>
    <w:rsid w:val="00D759FF"/>
    <w:rsid w:val="00D763DE"/>
    <w:rsid w:val="00D87609"/>
    <w:rsid w:val="00D913DE"/>
    <w:rsid w:val="00D935F5"/>
    <w:rsid w:val="00D94860"/>
    <w:rsid w:val="00D94EA9"/>
    <w:rsid w:val="00D96EF6"/>
    <w:rsid w:val="00DA1E87"/>
    <w:rsid w:val="00DA33AF"/>
    <w:rsid w:val="00DA506F"/>
    <w:rsid w:val="00DB621C"/>
    <w:rsid w:val="00DC4965"/>
    <w:rsid w:val="00DC67F8"/>
    <w:rsid w:val="00DD229D"/>
    <w:rsid w:val="00DF1860"/>
    <w:rsid w:val="00E05A9D"/>
    <w:rsid w:val="00E1202B"/>
    <w:rsid w:val="00E13533"/>
    <w:rsid w:val="00E164E2"/>
    <w:rsid w:val="00E17DBB"/>
    <w:rsid w:val="00E202A8"/>
    <w:rsid w:val="00E20BC8"/>
    <w:rsid w:val="00E24AD0"/>
    <w:rsid w:val="00E24DEF"/>
    <w:rsid w:val="00E30379"/>
    <w:rsid w:val="00E31CAD"/>
    <w:rsid w:val="00E50D74"/>
    <w:rsid w:val="00E54213"/>
    <w:rsid w:val="00E546E1"/>
    <w:rsid w:val="00E552B8"/>
    <w:rsid w:val="00E5584C"/>
    <w:rsid w:val="00E66CA1"/>
    <w:rsid w:val="00E70696"/>
    <w:rsid w:val="00E7201F"/>
    <w:rsid w:val="00E815CE"/>
    <w:rsid w:val="00E82FF5"/>
    <w:rsid w:val="00E910B9"/>
    <w:rsid w:val="00E917A7"/>
    <w:rsid w:val="00E921DD"/>
    <w:rsid w:val="00EA1514"/>
    <w:rsid w:val="00EA7A90"/>
    <w:rsid w:val="00EB0E28"/>
    <w:rsid w:val="00EB61F0"/>
    <w:rsid w:val="00EC058B"/>
    <w:rsid w:val="00EC1E9B"/>
    <w:rsid w:val="00EF0446"/>
    <w:rsid w:val="00EF1DC9"/>
    <w:rsid w:val="00EF340A"/>
    <w:rsid w:val="00EF46FA"/>
    <w:rsid w:val="00EF505C"/>
    <w:rsid w:val="00EF60B2"/>
    <w:rsid w:val="00F03212"/>
    <w:rsid w:val="00F0467E"/>
    <w:rsid w:val="00F06263"/>
    <w:rsid w:val="00F06833"/>
    <w:rsid w:val="00F12D22"/>
    <w:rsid w:val="00F16F3E"/>
    <w:rsid w:val="00F205F5"/>
    <w:rsid w:val="00F251BB"/>
    <w:rsid w:val="00F34F0A"/>
    <w:rsid w:val="00F35273"/>
    <w:rsid w:val="00F51493"/>
    <w:rsid w:val="00F555A8"/>
    <w:rsid w:val="00F561D9"/>
    <w:rsid w:val="00F56BCE"/>
    <w:rsid w:val="00F57416"/>
    <w:rsid w:val="00F722A5"/>
    <w:rsid w:val="00F73EBD"/>
    <w:rsid w:val="00F76381"/>
    <w:rsid w:val="00F77B82"/>
    <w:rsid w:val="00F8121B"/>
    <w:rsid w:val="00F840F8"/>
    <w:rsid w:val="00F86CF6"/>
    <w:rsid w:val="00FA05A8"/>
    <w:rsid w:val="00FA066B"/>
    <w:rsid w:val="00FA23AE"/>
    <w:rsid w:val="00FA241C"/>
    <w:rsid w:val="00FA3671"/>
    <w:rsid w:val="00FB0847"/>
    <w:rsid w:val="00FB1E2A"/>
    <w:rsid w:val="00FB26BD"/>
    <w:rsid w:val="00FC003E"/>
    <w:rsid w:val="00FC2415"/>
    <w:rsid w:val="00FC4D5D"/>
    <w:rsid w:val="00FC69B9"/>
    <w:rsid w:val="00FC6A58"/>
    <w:rsid w:val="00FD046F"/>
    <w:rsid w:val="00FD090B"/>
    <w:rsid w:val="00FD2240"/>
    <w:rsid w:val="00FD3986"/>
    <w:rsid w:val="00FD3BA7"/>
    <w:rsid w:val="00FD55C6"/>
    <w:rsid w:val="00FE472F"/>
    <w:rsid w:val="00FF3FF3"/>
    <w:rsid w:val="00FF4600"/>
    <w:rsid w:val="00FF485A"/>
    <w:rsid w:val="00FF5422"/>
    <w:rsid w:val="00FF776C"/>
    <w:rsid w:val="05BB279A"/>
    <w:rsid w:val="0B4A60F5"/>
    <w:rsid w:val="0B6F65DC"/>
    <w:rsid w:val="0F506ADD"/>
    <w:rsid w:val="10001E96"/>
    <w:rsid w:val="26F73BE4"/>
    <w:rsid w:val="2990687E"/>
    <w:rsid w:val="2C3C1865"/>
    <w:rsid w:val="359E2638"/>
    <w:rsid w:val="377138BC"/>
    <w:rsid w:val="49AF664C"/>
    <w:rsid w:val="555848A5"/>
    <w:rsid w:val="5D4F0E1A"/>
    <w:rsid w:val="5E947B1D"/>
    <w:rsid w:val="67C65F41"/>
    <w:rsid w:val="67F41384"/>
    <w:rsid w:val="698F3901"/>
    <w:rsid w:val="7923362B"/>
    <w:rsid w:val="7BA536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rPr>
      <w:rFonts w:ascii="Calibri" w:hAnsi="Calibri" w:eastAsia="宋体" w:cs="Times New Roman"/>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Pages>
  <Words>356</Words>
  <Characters>2035</Characters>
  <Lines>16</Lines>
  <Paragraphs>4</Paragraphs>
  <TotalTime>22</TotalTime>
  <ScaleCrop>false</ScaleCrop>
  <LinksUpToDate>false</LinksUpToDate>
  <CharactersWithSpaces>2387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2020-11-04T00:51:00Z</dcterms:created>
  <dc:creator>Administrator</dc:creator>
  <cp:lastModifiedBy>张淇</cp:lastModifiedBy>
  <dcterms:modified xsi:type="dcterms:W3CDTF">2024-08-05T08:00:39Z</dcterms:modified>
  <cp:revision>255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326AF817EDFB4A2290D7F58AEA743A7D</vt:lpwstr>
  </property>
</Properties>
</file>