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auto"/>
          <w:sz w:val="36"/>
          <w:szCs w:val="36"/>
          <w:highlight w:val="none"/>
        </w:rPr>
      </w:pPr>
      <w:r>
        <w:rPr>
          <w:b/>
          <w:color w:val="auto"/>
          <w:sz w:val="36"/>
          <w:szCs w:val="36"/>
          <w:highlight w:val="none"/>
        </w:rPr>
        <w:t>评标办法</w:t>
      </w:r>
      <w:r>
        <w:rPr>
          <w:rFonts w:hint="eastAsia"/>
          <w:b/>
          <w:color w:val="auto"/>
          <w:sz w:val="36"/>
          <w:szCs w:val="36"/>
          <w:highlight w:val="none"/>
        </w:rPr>
        <w:t>（综合评估法</w:t>
      </w:r>
      <w:r>
        <w:rPr>
          <w:rFonts w:hint="eastAsia" w:ascii="宋体" w:hAnsi="宋体" w:cs="宋体"/>
          <w:b/>
          <w:color w:val="auto"/>
          <w:sz w:val="36"/>
          <w:szCs w:val="36"/>
          <w:highlight w:val="none"/>
        </w:rPr>
        <w:t>）</w:t>
      </w:r>
    </w:p>
    <w:p>
      <w:pPr>
        <w:rPr>
          <w:color w:val="auto"/>
          <w:highlight w:val="none"/>
        </w:rPr>
      </w:pPr>
      <w:r>
        <w:rPr>
          <w:rFonts w:hint="eastAsia" w:ascii="黑体" w:hAnsi="黑体" w:eastAsia="黑体"/>
          <w:color w:val="auto"/>
          <w:szCs w:val="24"/>
          <w:highlight w:val="none"/>
        </w:rPr>
        <w:t>评标办法前附表：</w:t>
      </w:r>
    </w:p>
    <w:tbl>
      <w:tblPr>
        <w:tblStyle w:val="6"/>
        <w:tblW w:w="8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513"/>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blHeader/>
          <w:jc w:val="center"/>
        </w:trPr>
        <w:tc>
          <w:tcPr>
            <w:tcW w:w="2519" w:type="dxa"/>
            <w:gridSpan w:val="2"/>
            <w:vAlign w:val="center"/>
          </w:tcPr>
          <w:p>
            <w:pPr>
              <w:wordWrap w:val="0"/>
              <w:topLinePunct/>
              <w:adjustRightInd/>
              <w:spacing w:line="312" w:lineRule="auto"/>
              <w:jc w:val="center"/>
              <w:rPr>
                <w:rFonts w:hint="eastAsia"/>
                <w:b/>
                <w:color w:val="auto"/>
                <w:szCs w:val="24"/>
                <w:highlight w:val="none"/>
              </w:rPr>
            </w:pPr>
            <w:r>
              <w:rPr>
                <w:rFonts w:hint="eastAsia"/>
                <w:b/>
                <w:color w:val="auto"/>
                <w:szCs w:val="24"/>
                <w:highlight w:val="none"/>
              </w:rPr>
              <w:t>条款号</w:t>
            </w:r>
          </w:p>
        </w:tc>
        <w:tc>
          <w:tcPr>
            <w:tcW w:w="6005" w:type="dxa"/>
            <w:vAlign w:val="center"/>
          </w:tcPr>
          <w:p>
            <w:pPr>
              <w:wordWrap w:val="0"/>
              <w:topLinePunct/>
              <w:adjustRightInd/>
              <w:spacing w:line="312" w:lineRule="auto"/>
              <w:jc w:val="center"/>
              <w:rPr>
                <w:rFonts w:hint="eastAsia"/>
                <w:b/>
                <w:color w:val="auto"/>
                <w:szCs w:val="24"/>
                <w:highlight w:val="none"/>
              </w:rPr>
            </w:pPr>
            <w:r>
              <w:rPr>
                <w:rFonts w:hint="eastAsia"/>
                <w:b/>
                <w:color w:val="auto"/>
                <w:szCs w:val="24"/>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6" w:type="dxa"/>
            <w:vAlign w:val="center"/>
          </w:tcPr>
          <w:p>
            <w:pPr>
              <w:wordWrap w:val="0"/>
              <w:topLinePunct/>
              <w:adjustRightInd/>
              <w:spacing w:line="360" w:lineRule="auto"/>
              <w:jc w:val="center"/>
              <w:rPr>
                <w:rFonts w:hint="eastAsia"/>
                <w:b/>
                <w:color w:val="auto"/>
                <w:sz w:val="21"/>
                <w:szCs w:val="21"/>
                <w:highlight w:val="none"/>
              </w:rPr>
            </w:pPr>
            <w:r>
              <w:rPr>
                <w:rFonts w:hint="eastAsia"/>
                <w:color w:val="auto"/>
                <w:sz w:val="21"/>
                <w:szCs w:val="21"/>
                <w:highlight w:val="none"/>
              </w:rPr>
              <w:t>1</w:t>
            </w:r>
          </w:p>
        </w:tc>
        <w:tc>
          <w:tcPr>
            <w:tcW w:w="1513" w:type="dxa"/>
            <w:vAlign w:val="center"/>
          </w:tcPr>
          <w:p>
            <w:pPr>
              <w:wordWrap w:val="0"/>
              <w:topLinePunct/>
              <w:adjustRightInd/>
              <w:spacing w:line="360" w:lineRule="auto"/>
              <w:jc w:val="center"/>
              <w:rPr>
                <w:rFonts w:hint="eastAsia"/>
                <w:b/>
                <w:color w:val="auto"/>
                <w:sz w:val="21"/>
                <w:szCs w:val="21"/>
                <w:highlight w:val="none"/>
              </w:rPr>
            </w:pPr>
            <w:r>
              <w:rPr>
                <w:color w:val="auto"/>
                <w:sz w:val="21"/>
                <w:szCs w:val="21"/>
                <w:highlight w:val="none"/>
              </w:rPr>
              <w:t>评标方法</w:t>
            </w:r>
          </w:p>
        </w:tc>
        <w:tc>
          <w:tcPr>
            <w:tcW w:w="6005" w:type="dxa"/>
            <w:vAlign w:val="center"/>
          </w:tcPr>
          <w:p>
            <w:pPr>
              <w:spacing w:line="340" w:lineRule="atLeast"/>
              <w:ind w:firstLine="420" w:firstLineChars="200"/>
              <w:rPr>
                <w:color w:val="auto"/>
                <w:sz w:val="21"/>
                <w:szCs w:val="21"/>
                <w:highlight w:val="none"/>
              </w:rPr>
            </w:pPr>
            <w:r>
              <w:rPr>
                <w:rFonts w:hint="eastAsia"/>
                <w:color w:val="auto"/>
                <w:sz w:val="21"/>
                <w:szCs w:val="21"/>
                <w:highlight w:val="none"/>
              </w:rPr>
              <w:t>综合</w:t>
            </w:r>
            <w:r>
              <w:rPr>
                <w:color w:val="auto"/>
                <w:sz w:val="21"/>
                <w:szCs w:val="21"/>
                <w:highlight w:val="none"/>
              </w:rPr>
              <w:t>评分相等时，评标委员会依次按照以下优先顺序推荐中标候选人或确定中标人：</w:t>
            </w:r>
          </w:p>
          <w:p>
            <w:pPr>
              <w:spacing w:line="340" w:lineRule="atLeast"/>
              <w:ind w:firstLine="420" w:firstLineChars="200"/>
              <w:rPr>
                <w:rFonts w:ascii="宋体" w:hAnsi="宋体"/>
                <w:color w:val="auto"/>
                <w:sz w:val="21"/>
                <w:szCs w:val="21"/>
                <w:highlight w:val="none"/>
              </w:rPr>
            </w:pPr>
            <w:r>
              <w:rPr>
                <w:rFonts w:hint="eastAsia"/>
                <w:color w:val="auto"/>
                <w:sz w:val="21"/>
                <w:szCs w:val="21"/>
                <w:highlight w:val="none"/>
              </w:rPr>
              <w:t>（</w:t>
            </w:r>
            <w:r>
              <w:rPr>
                <w:rFonts w:hint="eastAsia" w:ascii="宋体" w:hAnsi="宋体"/>
                <w:color w:val="auto"/>
                <w:sz w:val="21"/>
                <w:szCs w:val="21"/>
                <w:highlight w:val="none"/>
              </w:rPr>
              <w:t>1）评标价低</w:t>
            </w:r>
            <w:r>
              <w:rPr>
                <w:rFonts w:ascii="宋体" w:hAnsi="宋体"/>
                <w:color w:val="auto"/>
                <w:sz w:val="21"/>
                <w:szCs w:val="21"/>
                <w:highlight w:val="none"/>
              </w:rPr>
              <w:t>的投标人优先；</w:t>
            </w:r>
          </w:p>
          <w:p>
            <w:pPr>
              <w:spacing w:line="340" w:lineRule="atLeast"/>
              <w:ind w:firstLine="420" w:firstLineChars="200"/>
              <w:rPr>
                <w:rFonts w:ascii="宋体" w:hAnsi="宋体"/>
                <w:color w:val="auto"/>
                <w:sz w:val="21"/>
                <w:szCs w:val="21"/>
                <w:highlight w:val="none"/>
              </w:rPr>
            </w:pPr>
            <w:r>
              <w:rPr>
                <w:rFonts w:hint="eastAsia" w:ascii="宋体" w:hAnsi="宋体"/>
                <w:color w:val="auto"/>
                <w:sz w:val="21"/>
                <w:szCs w:val="21"/>
                <w:highlight w:val="none"/>
              </w:rPr>
              <w:t>（2）商务和技术得分较高的投标人优先；</w:t>
            </w:r>
          </w:p>
          <w:p>
            <w:pPr>
              <w:spacing w:line="340" w:lineRule="atLeast"/>
              <w:ind w:firstLine="420" w:firstLineChars="200"/>
              <w:rPr>
                <w:rFonts w:hint="eastAsia"/>
                <w:b/>
                <w:color w:val="auto"/>
                <w:sz w:val="21"/>
                <w:szCs w:val="21"/>
                <w:highlight w:val="none"/>
              </w:rPr>
            </w:pPr>
            <w:r>
              <w:rPr>
                <w:rFonts w:hint="eastAsia" w:ascii="宋体" w:hAnsi="宋体"/>
                <w:color w:val="auto"/>
                <w:sz w:val="21"/>
                <w:szCs w:val="21"/>
                <w:highlight w:val="none"/>
              </w:rPr>
              <w:t>（3）评标委员会视投标人情况综合比较，投票确定其名次</w:t>
            </w: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6" w:type="dxa"/>
            <w:vAlign w:val="center"/>
          </w:tcPr>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r>
              <w:rPr>
                <w:rFonts w:hint="eastAsia"/>
                <w:color w:val="auto"/>
                <w:szCs w:val="24"/>
                <w:highlight w:val="none"/>
              </w:rPr>
              <w:t>2.1.1</w:t>
            </w:r>
          </w:p>
          <w:p>
            <w:pPr>
              <w:wordWrap w:val="0"/>
              <w:topLinePunct/>
              <w:adjustRightInd/>
              <w:spacing w:line="360" w:lineRule="auto"/>
              <w:jc w:val="center"/>
              <w:rPr>
                <w:rFonts w:hint="eastAsia"/>
                <w:color w:val="auto"/>
                <w:szCs w:val="24"/>
                <w:highlight w:val="none"/>
              </w:rPr>
            </w:pPr>
            <w:r>
              <w:rPr>
                <w:rFonts w:hint="eastAsia"/>
                <w:color w:val="auto"/>
                <w:szCs w:val="24"/>
                <w:highlight w:val="none"/>
              </w:rPr>
              <w:t>2.1.3</w:t>
            </w: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r>
              <w:rPr>
                <w:rFonts w:hint="eastAsia"/>
                <w:color w:val="auto"/>
                <w:szCs w:val="24"/>
                <w:highlight w:val="none"/>
              </w:rPr>
              <w:t>2.1.1</w:t>
            </w:r>
          </w:p>
          <w:p>
            <w:pPr>
              <w:wordWrap w:val="0"/>
              <w:topLinePunct/>
              <w:adjustRightInd/>
              <w:spacing w:line="360" w:lineRule="auto"/>
              <w:jc w:val="center"/>
              <w:rPr>
                <w:rFonts w:hint="eastAsia"/>
                <w:color w:val="auto"/>
                <w:szCs w:val="24"/>
                <w:highlight w:val="none"/>
              </w:rPr>
            </w:pPr>
            <w:r>
              <w:rPr>
                <w:rFonts w:hint="eastAsia"/>
                <w:color w:val="auto"/>
                <w:szCs w:val="24"/>
                <w:highlight w:val="none"/>
              </w:rPr>
              <w:t>2.1.3</w:t>
            </w:r>
          </w:p>
        </w:tc>
        <w:tc>
          <w:tcPr>
            <w:tcW w:w="1513" w:type="dxa"/>
            <w:vAlign w:val="center"/>
          </w:tcPr>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r>
              <w:rPr>
                <w:color w:val="auto"/>
                <w:sz w:val="21"/>
                <w:szCs w:val="21"/>
                <w:highlight w:val="none"/>
              </w:rPr>
              <w:t>形式评审与响应性评审标准</w:t>
            </w: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 w:val="21"/>
                <w:szCs w:val="21"/>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center"/>
              <w:rPr>
                <w:rFonts w:hint="eastAsia"/>
                <w:color w:val="auto"/>
                <w:szCs w:val="24"/>
                <w:highlight w:val="none"/>
              </w:rPr>
            </w:pPr>
          </w:p>
          <w:p>
            <w:pPr>
              <w:wordWrap w:val="0"/>
              <w:topLinePunct/>
              <w:adjustRightInd/>
              <w:spacing w:line="360" w:lineRule="auto"/>
              <w:jc w:val="both"/>
              <w:rPr>
                <w:rFonts w:hint="eastAsia"/>
                <w:color w:val="auto"/>
                <w:szCs w:val="24"/>
                <w:highlight w:val="none"/>
              </w:rPr>
            </w:pPr>
            <w:r>
              <w:rPr>
                <w:color w:val="auto"/>
                <w:sz w:val="21"/>
                <w:szCs w:val="21"/>
                <w:highlight w:val="none"/>
              </w:rPr>
              <w:t>形式评审与响应性评审标准</w:t>
            </w:r>
          </w:p>
          <w:p>
            <w:pPr>
              <w:wordWrap w:val="0"/>
              <w:topLinePunct/>
              <w:adjustRightInd/>
              <w:spacing w:line="360" w:lineRule="auto"/>
              <w:jc w:val="center"/>
              <w:rPr>
                <w:rFonts w:hint="eastAsia"/>
                <w:color w:val="auto"/>
                <w:szCs w:val="24"/>
                <w:highlight w:val="none"/>
              </w:rPr>
            </w:pPr>
          </w:p>
        </w:tc>
        <w:tc>
          <w:tcPr>
            <w:tcW w:w="6005" w:type="dxa"/>
            <w:vAlign w:val="top"/>
          </w:tcPr>
          <w:p>
            <w:pPr>
              <w:adjustRightInd/>
              <w:spacing w:line="340" w:lineRule="atLeast"/>
              <w:ind w:firstLine="422" w:firstLineChars="200"/>
              <w:jc w:val="both"/>
              <w:textAlignment w:val="auto"/>
              <w:rPr>
                <w:b/>
                <w:bCs/>
                <w:color w:val="auto"/>
                <w:sz w:val="21"/>
                <w:szCs w:val="21"/>
                <w:highlight w:val="none"/>
              </w:rPr>
            </w:pPr>
            <w:r>
              <w:rPr>
                <w:rFonts w:hint="eastAsia"/>
                <w:b/>
                <w:bCs/>
                <w:color w:val="auto"/>
                <w:sz w:val="21"/>
                <w:szCs w:val="21"/>
                <w:highlight w:val="none"/>
              </w:rPr>
              <w:t>第一个信封（商务及技术文件）评审标准：</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（1</w:t>
            </w:r>
            <w:r>
              <w:rPr>
                <w:rFonts w:ascii="宋体" w:hAnsi="宋体"/>
                <w:color w:val="auto"/>
                <w:sz w:val="21"/>
                <w:szCs w:val="21"/>
                <w:highlight w:val="none"/>
              </w:rPr>
              <w:t>）投标文件按照招标文件规定的格式、内容填写，字迹清晰可辨：</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a.</w:t>
            </w:r>
            <w:r>
              <w:rPr>
                <w:rFonts w:ascii="宋体" w:hAnsi="宋体"/>
                <w:color w:val="auto"/>
                <w:sz w:val="21"/>
                <w:szCs w:val="21"/>
                <w:highlight w:val="none"/>
              </w:rPr>
              <w:t>投标函按招标文件规定填报了</w:t>
            </w:r>
            <w:r>
              <w:rPr>
                <w:rFonts w:hint="eastAsia" w:ascii="Times New Roman" w:hAnsi="Times New Roman"/>
                <w:color w:val="auto"/>
                <w:sz w:val="21"/>
                <w:szCs w:val="21"/>
                <w:highlight w:val="none"/>
              </w:rPr>
              <w:t>项目名称、补遗书编号（如有）、</w:t>
            </w:r>
            <w:r>
              <w:rPr>
                <w:rFonts w:ascii="Times New Roman" w:hAnsi="Times New Roman"/>
                <w:color w:val="auto"/>
                <w:sz w:val="21"/>
                <w:szCs w:val="21"/>
                <w:highlight w:val="none"/>
              </w:rPr>
              <w:t>服务期限</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质量要求</w:t>
            </w:r>
            <w:r>
              <w:rPr>
                <w:rFonts w:hint="eastAsia" w:ascii="Times New Roman" w:hAnsi="Times New Roman"/>
                <w:color w:val="auto"/>
                <w:sz w:val="21"/>
                <w:szCs w:val="21"/>
                <w:highlight w:val="none"/>
              </w:rPr>
              <w:t>及</w:t>
            </w:r>
            <w:r>
              <w:rPr>
                <w:rFonts w:ascii="Times New Roman" w:hAnsi="Times New Roman"/>
                <w:color w:val="auto"/>
                <w:sz w:val="21"/>
                <w:szCs w:val="21"/>
                <w:highlight w:val="none"/>
              </w:rPr>
              <w:t>安全目标；</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b</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投标文件组成齐全完整，内容均按规定填写。</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（2</w:t>
            </w:r>
            <w:r>
              <w:rPr>
                <w:rFonts w:ascii="宋体" w:hAnsi="宋体"/>
                <w:color w:val="auto"/>
                <w:sz w:val="21"/>
                <w:szCs w:val="21"/>
                <w:highlight w:val="none"/>
              </w:rPr>
              <w:t>）投标文件上法定代表人</w:t>
            </w:r>
            <w:r>
              <w:rPr>
                <w:rFonts w:hint="eastAsia" w:ascii="宋体" w:hAnsi="宋体"/>
                <w:color w:val="auto"/>
                <w:sz w:val="21"/>
                <w:szCs w:val="21"/>
                <w:highlight w:val="none"/>
              </w:rPr>
              <w:t>（签字或签章）</w:t>
            </w:r>
            <w:r>
              <w:rPr>
                <w:rFonts w:ascii="宋体" w:hAnsi="宋体"/>
                <w:color w:val="auto"/>
                <w:sz w:val="21"/>
                <w:szCs w:val="21"/>
                <w:highlight w:val="none"/>
              </w:rPr>
              <w:t>或其</w:t>
            </w:r>
            <w:r>
              <w:rPr>
                <w:rFonts w:hint="eastAsia" w:ascii="Times New Roman" w:hAnsi="Times New Roman"/>
                <w:color w:val="auto"/>
                <w:sz w:val="21"/>
                <w:szCs w:val="21"/>
                <w:highlight w:val="none"/>
              </w:rPr>
              <w:t>授权代表</w:t>
            </w:r>
            <w:r>
              <w:rPr>
                <w:rFonts w:ascii="Times New Roman" w:hAnsi="Times New Roman"/>
                <w:color w:val="auto"/>
                <w:sz w:val="21"/>
                <w:szCs w:val="21"/>
                <w:highlight w:val="none"/>
              </w:rPr>
              <w:t>的签字、投标人的单位章盖章齐全，符合招标文件规定</w:t>
            </w:r>
            <w:r>
              <w:rPr>
                <w:rFonts w:hint="eastAsia" w:ascii="Times New Roman" w:hAnsi="Times New Roman"/>
                <w:color w:val="auto"/>
                <w:sz w:val="21"/>
                <w:szCs w:val="21"/>
                <w:highlight w:val="none"/>
              </w:rPr>
              <w:t>。</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ascii="宋体" w:hAnsi="宋体"/>
                <w:color w:val="auto"/>
                <w:sz w:val="21"/>
                <w:szCs w:val="21"/>
                <w:highlight w:val="none"/>
              </w:rPr>
              <w:t>）投标人按照招标文件</w:t>
            </w:r>
            <w:r>
              <w:rPr>
                <w:rFonts w:hint="eastAsia" w:ascii="Times New Roman" w:hAnsi="Times New Roman"/>
                <w:color w:val="auto"/>
                <w:sz w:val="21"/>
                <w:szCs w:val="21"/>
                <w:highlight w:val="none"/>
              </w:rPr>
              <w:t>的</w:t>
            </w:r>
            <w:r>
              <w:rPr>
                <w:rFonts w:ascii="Times New Roman" w:hAnsi="Times New Roman"/>
                <w:color w:val="auto"/>
                <w:sz w:val="21"/>
                <w:szCs w:val="21"/>
                <w:highlight w:val="none"/>
              </w:rPr>
              <w:t>规定提供了投标保证金：</w:t>
            </w:r>
          </w:p>
          <w:p>
            <w:pPr>
              <w:adjustRightInd/>
              <w:spacing w:line="340" w:lineRule="atLeast"/>
              <w:ind w:firstLine="420" w:firstLineChars="200"/>
              <w:jc w:val="both"/>
              <w:textAlignment w:val="auto"/>
              <w:rPr>
                <w:rFonts w:hint="eastAsia" w:ascii="Times New Roman" w:hAnsi="Times New Roman"/>
                <w:color w:val="auto"/>
                <w:sz w:val="21"/>
                <w:szCs w:val="21"/>
                <w:highlight w:val="none"/>
              </w:rPr>
            </w:pPr>
            <w:r>
              <w:rPr>
                <w:rFonts w:ascii="Times New Roman" w:hAnsi="Times New Roman"/>
                <w:color w:val="auto"/>
                <w:sz w:val="21"/>
                <w:szCs w:val="21"/>
                <w:highlight w:val="none"/>
              </w:rPr>
              <w:t>a.投标</w:t>
            </w:r>
            <w:r>
              <w:rPr>
                <w:rFonts w:hint="eastAsia" w:ascii="Times New Roman" w:hAnsi="Times New Roman"/>
                <w:color w:val="auto"/>
                <w:sz w:val="21"/>
                <w:szCs w:val="21"/>
                <w:highlight w:val="none"/>
              </w:rPr>
              <w:t>保证金</w:t>
            </w:r>
            <w:r>
              <w:rPr>
                <w:rFonts w:ascii="Times New Roman" w:hAnsi="Times New Roman"/>
                <w:color w:val="auto"/>
                <w:sz w:val="21"/>
                <w:szCs w:val="21"/>
                <w:highlight w:val="none"/>
              </w:rPr>
              <w:t>金额符合招标文件规定的金额</w:t>
            </w:r>
            <w:r>
              <w:rPr>
                <w:rFonts w:hint="eastAsia" w:ascii="Times New Roman" w:hAnsi="Times New Roman"/>
                <w:color w:val="auto"/>
                <w:sz w:val="21"/>
                <w:szCs w:val="21"/>
                <w:highlight w:val="none"/>
              </w:rPr>
              <w:t>，且投标保证金有效期不少于投标有效期；</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b.</w:t>
            </w:r>
            <w:r>
              <w:rPr>
                <w:rFonts w:ascii="宋体" w:hAnsi="宋体"/>
                <w:color w:val="auto"/>
                <w:sz w:val="21"/>
                <w:szCs w:val="21"/>
                <w:highlight w:val="none"/>
              </w:rPr>
              <w:t>若投标保证金</w:t>
            </w:r>
            <w:r>
              <w:rPr>
                <w:rFonts w:hint="eastAsia" w:ascii="Times New Roman" w:hAnsi="Times New Roman"/>
                <w:color w:val="auto"/>
                <w:sz w:val="21"/>
                <w:szCs w:val="21"/>
                <w:highlight w:val="none"/>
              </w:rPr>
              <w:t>采用</w:t>
            </w:r>
            <w:r>
              <w:rPr>
                <w:rFonts w:ascii="Times New Roman" w:hAnsi="Times New Roman"/>
                <w:color w:val="auto"/>
                <w:sz w:val="21"/>
                <w:szCs w:val="21"/>
                <w:highlight w:val="none"/>
              </w:rPr>
              <w:t>现金或支票形式提</w:t>
            </w:r>
            <w:r>
              <w:rPr>
                <w:rFonts w:hint="eastAsia" w:ascii="Times New Roman" w:hAnsi="Times New Roman"/>
                <w:color w:val="auto"/>
                <w:sz w:val="21"/>
                <w:szCs w:val="21"/>
                <w:highlight w:val="none"/>
              </w:rPr>
              <w:t>交</w:t>
            </w:r>
            <w:r>
              <w:rPr>
                <w:rFonts w:ascii="Times New Roman" w:hAnsi="Times New Roman"/>
                <w:color w:val="auto"/>
                <w:sz w:val="21"/>
                <w:szCs w:val="21"/>
                <w:highlight w:val="none"/>
              </w:rPr>
              <w:t>，投标人</w:t>
            </w:r>
            <w:r>
              <w:rPr>
                <w:rFonts w:hint="eastAsia" w:ascii="Times New Roman" w:hAnsi="Times New Roman"/>
                <w:color w:val="auto"/>
                <w:sz w:val="21"/>
                <w:szCs w:val="21"/>
                <w:highlight w:val="none"/>
              </w:rPr>
              <w:t>应</w:t>
            </w:r>
            <w:r>
              <w:rPr>
                <w:rFonts w:ascii="Times New Roman" w:hAnsi="Times New Roman"/>
                <w:color w:val="auto"/>
                <w:sz w:val="21"/>
                <w:szCs w:val="21"/>
                <w:highlight w:val="none"/>
              </w:rPr>
              <w:t>在</w:t>
            </w:r>
            <w:r>
              <w:rPr>
                <w:rFonts w:hint="eastAsia" w:ascii="Times New Roman" w:hAnsi="Times New Roman"/>
                <w:color w:val="auto"/>
                <w:sz w:val="21"/>
                <w:szCs w:val="21"/>
                <w:highlight w:val="none"/>
              </w:rPr>
              <w:t>投标人须知前附表3.4.1款规定的时间</w:t>
            </w:r>
            <w:r>
              <w:rPr>
                <w:rFonts w:ascii="Times New Roman" w:hAnsi="Times New Roman"/>
                <w:color w:val="auto"/>
                <w:sz w:val="21"/>
                <w:szCs w:val="21"/>
                <w:highlight w:val="none"/>
              </w:rPr>
              <w:t>，将投标保证金由投标人的基本账户</w:t>
            </w:r>
            <w:r>
              <w:rPr>
                <w:rFonts w:hint="eastAsia" w:ascii="Times New Roman" w:hAnsi="Times New Roman"/>
                <w:color w:val="auto"/>
                <w:sz w:val="21"/>
                <w:szCs w:val="21"/>
                <w:highlight w:val="none"/>
              </w:rPr>
              <w:t>转入</w:t>
            </w:r>
            <w:r>
              <w:rPr>
                <w:rFonts w:ascii="Times New Roman" w:hAnsi="Times New Roman"/>
                <w:color w:val="auto"/>
                <w:sz w:val="21"/>
                <w:szCs w:val="21"/>
                <w:highlight w:val="none"/>
              </w:rPr>
              <w:t>招标人指定账户；</w:t>
            </w:r>
          </w:p>
          <w:p>
            <w:pPr>
              <w:adjustRightInd/>
              <w:spacing w:line="340" w:lineRule="atLeast"/>
              <w:ind w:firstLine="420" w:firstLineChars="200"/>
              <w:jc w:val="both"/>
              <w:textAlignment w:val="auto"/>
              <w:rPr>
                <w:rFonts w:hint="eastAsia" w:ascii="Times New Roman" w:hAnsi="Times New Roman"/>
                <w:color w:val="auto"/>
                <w:sz w:val="21"/>
                <w:szCs w:val="21"/>
                <w:highlight w:val="none"/>
              </w:rPr>
            </w:pPr>
            <w:r>
              <w:rPr>
                <w:rFonts w:ascii="Times New Roman" w:hAnsi="Times New Roman"/>
                <w:color w:val="auto"/>
                <w:sz w:val="21"/>
                <w:szCs w:val="21"/>
                <w:highlight w:val="none"/>
              </w:rPr>
              <w:t>c.</w:t>
            </w:r>
            <w:r>
              <w:rPr>
                <w:rFonts w:hint="eastAsia" w:ascii="Times New Roman" w:hAnsi="Times New Roman"/>
                <w:color w:val="auto"/>
                <w:sz w:val="21"/>
                <w:szCs w:val="21"/>
                <w:highlight w:val="none"/>
              </w:rPr>
              <w:t>若投标保证金采用银行保函或投标人须知前附表3.4.1项规定的其他形式提交，应满足招标文件要求</w:t>
            </w:r>
            <w:r>
              <w:rPr>
                <w:color w:val="auto"/>
                <w:spacing w:val="-8"/>
                <w:sz w:val="21"/>
                <w:szCs w:val="21"/>
                <w:highlight w:val="none"/>
              </w:rPr>
              <w:t>。</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ascii="宋体" w:hAnsi="宋体"/>
                <w:color w:val="auto"/>
                <w:sz w:val="21"/>
                <w:szCs w:val="21"/>
                <w:highlight w:val="none"/>
              </w:rPr>
              <w:t>）投标人法定代表人授权</w:t>
            </w:r>
            <w:r>
              <w:rPr>
                <w:rFonts w:hint="eastAsia" w:ascii="宋体" w:hAnsi="宋体"/>
                <w:color w:val="auto"/>
                <w:sz w:val="21"/>
                <w:szCs w:val="21"/>
                <w:highlight w:val="none"/>
              </w:rPr>
              <w:t>授权代表</w:t>
            </w:r>
            <w:r>
              <w:rPr>
                <w:rFonts w:hint="eastAsia" w:ascii="Times New Roman" w:hAnsi="Times New Roman"/>
                <w:color w:val="auto"/>
                <w:sz w:val="21"/>
                <w:szCs w:val="21"/>
                <w:highlight w:val="none"/>
              </w:rPr>
              <w:t>签署</w:t>
            </w:r>
            <w:r>
              <w:rPr>
                <w:rFonts w:ascii="Times New Roman" w:hAnsi="Times New Roman"/>
                <w:color w:val="auto"/>
                <w:sz w:val="21"/>
                <w:szCs w:val="21"/>
                <w:highlight w:val="none"/>
              </w:rPr>
              <w:t>投标文件的，</w:t>
            </w:r>
            <w:r>
              <w:rPr>
                <w:rFonts w:hint="eastAsia" w:ascii="Times New Roman" w:hAnsi="Times New Roman"/>
                <w:color w:val="auto"/>
                <w:sz w:val="21"/>
                <w:szCs w:val="21"/>
                <w:highlight w:val="none"/>
              </w:rPr>
              <w:t>需</w:t>
            </w:r>
            <w:r>
              <w:rPr>
                <w:rFonts w:ascii="Times New Roman" w:hAnsi="Times New Roman"/>
                <w:color w:val="auto"/>
                <w:sz w:val="21"/>
                <w:szCs w:val="21"/>
                <w:highlight w:val="none"/>
              </w:rPr>
              <w:t>提交授权委托书，</w:t>
            </w:r>
            <w:r>
              <w:rPr>
                <w:rFonts w:hint="eastAsia" w:ascii="Times New Roman" w:hAnsi="Times New Roman"/>
                <w:color w:val="auto"/>
                <w:sz w:val="21"/>
                <w:szCs w:val="21"/>
                <w:highlight w:val="none"/>
              </w:rPr>
              <w:t>且</w:t>
            </w:r>
            <w:r>
              <w:rPr>
                <w:rFonts w:ascii="Times New Roman" w:hAnsi="Times New Roman"/>
                <w:color w:val="auto"/>
                <w:sz w:val="21"/>
                <w:szCs w:val="21"/>
                <w:highlight w:val="none"/>
              </w:rPr>
              <w:t>授权人在授权</w:t>
            </w:r>
            <w:r>
              <w:rPr>
                <w:rFonts w:hint="eastAsia" w:ascii="Times New Roman" w:hAnsi="Times New Roman"/>
                <w:color w:val="auto"/>
                <w:sz w:val="21"/>
                <w:szCs w:val="21"/>
                <w:highlight w:val="none"/>
              </w:rPr>
              <w:t>委托</w:t>
            </w:r>
            <w:r>
              <w:rPr>
                <w:rFonts w:ascii="Times New Roman" w:hAnsi="Times New Roman"/>
                <w:color w:val="auto"/>
                <w:sz w:val="21"/>
                <w:szCs w:val="21"/>
                <w:highlight w:val="none"/>
              </w:rPr>
              <w:t>书上</w:t>
            </w:r>
            <w:r>
              <w:rPr>
                <w:rFonts w:hint="eastAsia" w:ascii="Times New Roman" w:hAnsi="Times New Roman"/>
                <w:color w:val="auto"/>
                <w:sz w:val="21"/>
                <w:szCs w:val="21"/>
                <w:highlight w:val="none"/>
              </w:rPr>
              <w:t>（签</w:t>
            </w:r>
            <w:r>
              <w:rPr>
                <w:rFonts w:ascii="Times New Roman" w:hAnsi="Times New Roman"/>
                <w:color w:val="auto"/>
                <w:sz w:val="21"/>
                <w:szCs w:val="21"/>
                <w:highlight w:val="none"/>
              </w:rPr>
              <w:t>名</w:t>
            </w:r>
            <w:r>
              <w:rPr>
                <w:rFonts w:hint="eastAsia" w:ascii="Times New Roman" w:hAnsi="Times New Roman"/>
                <w:color w:val="auto"/>
                <w:sz w:val="21"/>
                <w:szCs w:val="21"/>
                <w:highlight w:val="none"/>
              </w:rPr>
              <w:t>或签章）</w:t>
            </w:r>
            <w:r>
              <w:rPr>
                <w:rFonts w:ascii="Times New Roman" w:hAnsi="Times New Roman"/>
                <w:color w:val="auto"/>
                <w:sz w:val="21"/>
                <w:szCs w:val="21"/>
                <w:highlight w:val="none"/>
              </w:rPr>
              <w:t>和被授权人在授权</w:t>
            </w:r>
            <w:r>
              <w:rPr>
                <w:rFonts w:hint="eastAsia" w:ascii="Times New Roman" w:hAnsi="Times New Roman"/>
                <w:color w:val="auto"/>
                <w:sz w:val="21"/>
                <w:szCs w:val="21"/>
                <w:highlight w:val="none"/>
              </w:rPr>
              <w:t>委托</w:t>
            </w:r>
            <w:r>
              <w:rPr>
                <w:rFonts w:ascii="Times New Roman" w:hAnsi="Times New Roman"/>
                <w:color w:val="auto"/>
                <w:sz w:val="21"/>
                <w:szCs w:val="21"/>
                <w:highlight w:val="none"/>
              </w:rPr>
              <w:t>书上签名。</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5</w:t>
            </w:r>
            <w:r>
              <w:rPr>
                <w:rFonts w:ascii="宋体" w:hAnsi="宋体"/>
                <w:color w:val="auto"/>
                <w:sz w:val="21"/>
                <w:szCs w:val="21"/>
                <w:highlight w:val="none"/>
              </w:rPr>
              <w:t>）投标人法定代表人亲自签署投标文件的，提供了法定代表人身份证明，</w:t>
            </w:r>
            <w:r>
              <w:rPr>
                <w:rFonts w:hint="eastAsia" w:ascii="Times New Roman" w:hAnsi="Times New Roman"/>
                <w:color w:val="auto"/>
                <w:sz w:val="21"/>
                <w:szCs w:val="21"/>
                <w:highlight w:val="none"/>
              </w:rPr>
              <w:t>且</w:t>
            </w:r>
            <w:r>
              <w:rPr>
                <w:rFonts w:ascii="Times New Roman" w:hAnsi="Times New Roman"/>
                <w:color w:val="auto"/>
                <w:sz w:val="21"/>
                <w:szCs w:val="21"/>
                <w:highlight w:val="none"/>
              </w:rPr>
              <w:t>法定代表人在法定代表人身份证明上</w:t>
            </w:r>
            <w:r>
              <w:rPr>
                <w:rFonts w:hint="eastAsia" w:ascii="Times New Roman" w:hAnsi="Times New Roman"/>
                <w:color w:val="auto"/>
                <w:sz w:val="21"/>
                <w:szCs w:val="21"/>
                <w:highlight w:val="none"/>
              </w:rPr>
              <w:t>（签</w:t>
            </w:r>
            <w:r>
              <w:rPr>
                <w:rFonts w:ascii="Times New Roman" w:hAnsi="Times New Roman"/>
                <w:color w:val="auto"/>
                <w:sz w:val="21"/>
                <w:szCs w:val="21"/>
                <w:highlight w:val="none"/>
              </w:rPr>
              <w:t>名</w:t>
            </w:r>
            <w:r>
              <w:rPr>
                <w:rFonts w:hint="eastAsia" w:ascii="Times New Roman" w:hAnsi="Times New Roman"/>
                <w:color w:val="auto"/>
                <w:sz w:val="21"/>
                <w:szCs w:val="21"/>
                <w:highlight w:val="none"/>
              </w:rPr>
              <w:t>或签章）</w:t>
            </w:r>
            <w:r>
              <w:rPr>
                <w:rFonts w:ascii="Times New Roman" w:hAnsi="Times New Roman"/>
                <w:color w:val="auto"/>
                <w:sz w:val="21"/>
                <w:szCs w:val="21"/>
                <w:highlight w:val="none"/>
              </w:rPr>
              <w:t>。</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6</w:t>
            </w:r>
            <w:r>
              <w:rPr>
                <w:rFonts w:ascii="宋体" w:hAnsi="宋体"/>
                <w:color w:val="auto"/>
                <w:sz w:val="21"/>
                <w:szCs w:val="21"/>
                <w:highlight w:val="none"/>
              </w:rPr>
              <w:t>）</w:t>
            </w:r>
            <w:r>
              <w:rPr>
                <w:rFonts w:hint="eastAsia" w:ascii="宋体" w:hAnsi="宋体"/>
                <w:color w:val="auto"/>
                <w:sz w:val="21"/>
                <w:szCs w:val="21"/>
                <w:highlight w:val="none"/>
              </w:rPr>
              <w:t>投标人以联合体形式投标时，联合体满足招标文件的要求：投标人按照招标文件提供的格式签订了联合体协议书，明确各方承担连带责任，并明确了联合体牵头人</w:t>
            </w:r>
            <w:r>
              <w:rPr>
                <w:rFonts w:hint="eastAsia" w:ascii="Times New Roman" w:hAnsi="Times New Roman"/>
                <w:color w:val="auto"/>
                <w:sz w:val="21"/>
                <w:szCs w:val="21"/>
                <w:highlight w:val="none"/>
              </w:rPr>
              <w:t>。</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7</w:t>
            </w:r>
            <w:r>
              <w:rPr>
                <w:rFonts w:ascii="宋体" w:hAnsi="宋体"/>
                <w:color w:val="auto"/>
                <w:sz w:val="21"/>
                <w:szCs w:val="21"/>
                <w:highlight w:val="none"/>
              </w:rPr>
              <w:t>）同一投标人</w:t>
            </w:r>
            <w:r>
              <w:rPr>
                <w:rFonts w:hint="eastAsia" w:ascii="Times New Roman" w:hAnsi="Times New Roman"/>
                <w:color w:val="auto"/>
                <w:sz w:val="21"/>
                <w:szCs w:val="21"/>
                <w:highlight w:val="none"/>
              </w:rPr>
              <w:t>未</w:t>
            </w:r>
            <w:r>
              <w:rPr>
                <w:rFonts w:ascii="Times New Roman" w:hAnsi="Times New Roman"/>
                <w:color w:val="auto"/>
                <w:sz w:val="21"/>
                <w:szCs w:val="21"/>
                <w:highlight w:val="none"/>
              </w:rPr>
              <w:t>提交两个以上不同的投标文件，但招标文件要求提交备选投标的除外</w:t>
            </w:r>
            <w:r>
              <w:rPr>
                <w:rFonts w:hint="eastAsia" w:ascii="Times New Roman" w:hAnsi="Times New Roman"/>
                <w:color w:val="auto"/>
                <w:sz w:val="21"/>
                <w:szCs w:val="21"/>
                <w:highlight w:val="none"/>
              </w:rPr>
              <w:t>。</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hint="eastAsia" w:ascii="Times New Roman" w:hAnsi="Times New Roman"/>
                <w:color w:val="auto"/>
                <w:sz w:val="21"/>
                <w:szCs w:val="21"/>
                <w:highlight w:val="none"/>
                <w:lang w:val="en-US" w:eastAsia="zh-CN"/>
              </w:rPr>
              <w:t>8</w:t>
            </w:r>
            <w:r>
              <w:rPr>
                <w:rFonts w:hint="eastAsia" w:ascii="宋体" w:hAnsi="宋体"/>
                <w:color w:val="auto"/>
                <w:sz w:val="21"/>
                <w:szCs w:val="21"/>
                <w:highlight w:val="none"/>
              </w:rPr>
              <w:t>）投标文件中未出现有关投标报价的内容。</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lang w:val="en-US" w:eastAsia="zh-CN"/>
              </w:rPr>
              <w:t>9</w:t>
            </w:r>
            <w:r>
              <w:rPr>
                <w:rFonts w:ascii="Times New Roman" w:hAnsi="Times New Roman"/>
                <w:color w:val="auto"/>
                <w:sz w:val="21"/>
                <w:szCs w:val="21"/>
                <w:highlight w:val="none"/>
              </w:rPr>
              <w:t>）投标文件载明的招标项目完成期限未超过招标文件规定的时限</w:t>
            </w:r>
            <w:r>
              <w:rPr>
                <w:rFonts w:hint="eastAsia" w:ascii="Times New Roman" w:hAnsi="Times New Roman"/>
                <w:color w:val="auto"/>
                <w:sz w:val="21"/>
                <w:szCs w:val="21"/>
                <w:highlight w:val="none"/>
              </w:rPr>
              <w:t>。</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1</w:t>
            </w:r>
            <w:r>
              <w:rPr>
                <w:rFonts w:hint="eastAsia" w:ascii="Times New Roman" w:hAnsi="Times New Roman"/>
                <w:color w:val="auto"/>
                <w:sz w:val="21"/>
                <w:szCs w:val="21"/>
                <w:highlight w:val="none"/>
                <w:lang w:val="en-US" w:eastAsia="zh-CN"/>
              </w:rPr>
              <w:t>0</w:t>
            </w:r>
            <w:r>
              <w:rPr>
                <w:rFonts w:ascii="Times New Roman" w:hAnsi="Times New Roman"/>
                <w:color w:val="auto"/>
                <w:sz w:val="21"/>
                <w:szCs w:val="21"/>
                <w:highlight w:val="none"/>
              </w:rPr>
              <w:t>）投标文件对招标文件的实质性要求和条件作出响应</w:t>
            </w:r>
            <w:r>
              <w:rPr>
                <w:rFonts w:hint="eastAsia" w:ascii="Times New Roman" w:hAnsi="Times New Roman"/>
                <w:color w:val="auto"/>
                <w:sz w:val="21"/>
                <w:szCs w:val="21"/>
                <w:highlight w:val="none"/>
              </w:rPr>
              <w:t>。</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1</w:t>
            </w:r>
            <w:r>
              <w:rPr>
                <w:rFonts w:hint="eastAsia" w:ascii="Times New Roman" w:hAnsi="Times New Roman"/>
                <w:color w:val="auto"/>
                <w:sz w:val="21"/>
                <w:szCs w:val="21"/>
                <w:highlight w:val="none"/>
                <w:lang w:val="en-US" w:eastAsia="zh-CN"/>
              </w:rPr>
              <w:t>1</w:t>
            </w:r>
            <w:r>
              <w:rPr>
                <w:rFonts w:ascii="Times New Roman" w:hAnsi="Times New Roman"/>
                <w:color w:val="auto"/>
                <w:sz w:val="21"/>
                <w:szCs w:val="21"/>
                <w:highlight w:val="none"/>
              </w:rPr>
              <w:t>）权利义务符合招标文件规定：</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a.</w:t>
            </w:r>
            <w:r>
              <w:rPr>
                <w:rFonts w:ascii="宋体" w:hAnsi="宋体"/>
                <w:color w:val="auto"/>
                <w:sz w:val="21"/>
                <w:szCs w:val="21"/>
                <w:highlight w:val="none"/>
              </w:rPr>
              <w:t>投标人应接受招标文件规定的风险划分原则，未提出新的风险划分办法；</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b.</w:t>
            </w:r>
            <w:r>
              <w:rPr>
                <w:rFonts w:ascii="宋体" w:hAnsi="宋体"/>
                <w:color w:val="auto"/>
                <w:sz w:val="21"/>
                <w:szCs w:val="21"/>
                <w:highlight w:val="none"/>
              </w:rPr>
              <w:t>投标人未增加</w:t>
            </w:r>
            <w:r>
              <w:rPr>
                <w:rFonts w:hint="eastAsia" w:ascii="宋体" w:hAnsi="宋体"/>
                <w:color w:val="auto"/>
                <w:sz w:val="21"/>
                <w:szCs w:val="21"/>
                <w:highlight w:val="none"/>
                <w:lang w:eastAsia="zh-CN"/>
              </w:rPr>
              <w:t>委托人</w:t>
            </w:r>
            <w:r>
              <w:rPr>
                <w:rFonts w:ascii="宋体" w:hAnsi="宋体"/>
                <w:color w:val="auto"/>
                <w:sz w:val="21"/>
                <w:szCs w:val="21"/>
                <w:highlight w:val="none"/>
              </w:rPr>
              <w:t>的责任范围，或减少投标人义务；</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c.</w:t>
            </w:r>
            <w:r>
              <w:rPr>
                <w:rFonts w:ascii="宋体" w:hAnsi="宋体"/>
                <w:color w:val="auto"/>
                <w:sz w:val="21"/>
                <w:szCs w:val="21"/>
                <w:highlight w:val="none"/>
              </w:rPr>
              <w:t>投标人未提出不同的支付办法；</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d.</w:t>
            </w:r>
            <w:r>
              <w:rPr>
                <w:rFonts w:ascii="宋体" w:hAnsi="宋体"/>
                <w:color w:val="auto"/>
                <w:sz w:val="21"/>
                <w:szCs w:val="21"/>
                <w:highlight w:val="none"/>
              </w:rPr>
              <w:t>投标人对合同纠纷、事故处理办法未提出异议；</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e.</w:t>
            </w:r>
            <w:r>
              <w:rPr>
                <w:rFonts w:ascii="宋体" w:hAnsi="宋体"/>
                <w:color w:val="auto"/>
                <w:sz w:val="21"/>
                <w:szCs w:val="21"/>
                <w:highlight w:val="none"/>
              </w:rPr>
              <w:t>投标人在投标活动中无欺诈行为；</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f.</w:t>
            </w:r>
            <w:r>
              <w:rPr>
                <w:rFonts w:ascii="宋体" w:hAnsi="宋体"/>
                <w:color w:val="auto"/>
                <w:sz w:val="21"/>
                <w:szCs w:val="21"/>
                <w:highlight w:val="none"/>
              </w:rPr>
              <w:t>投标人未对合同条款有重要保留。</w:t>
            </w:r>
          </w:p>
          <w:p>
            <w:pPr>
              <w:adjustRightInd/>
              <w:spacing w:line="340" w:lineRule="atLeast"/>
              <w:ind w:firstLine="420" w:firstLineChars="200"/>
              <w:jc w:val="both"/>
              <w:textAlignment w:val="auto"/>
              <w:rPr>
                <w:rFonts w:hint="eastAsia"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1</w:t>
            </w:r>
            <w:r>
              <w:rPr>
                <w:rFonts w:hint="eastAsia" w:ascii="Times New Roman" w:hAnsi="Times New Roman"/>
                <w:color w:val="auto"/>
                <w:sz w:val="21"/>
                <w:szCs w:val="21"/>
                <w:highlight w:val="none"/>
                <w:lang w:val="en-US" w:eastAsia="zh-CN"/>
              </w:rPr>
              <w:t>2</w:t>
            </w:r>
            <w:r>
              <w:rPr>
                <w:rFonts w:ascii="宋体" w:hAnsi="宋体"/>
                <w:color w:val="auto"/>
                <w:sz w:val="21"/>
                <w:szCs w:val="21"/>
                <w:highlight w:val="none"/>
              </w:rPr>
              <w:t>）</w:t>
            </w:r>
            <w:r>
              <w:rPr>
                <w:rFonts w:hint="eastAsia" w:ascii="Times New Roman" w:hAnsi="Times New Roman"/>
                <w:color w:val="auto"/>
                <w:sz w:val="21"/>
                <w:szCs w:val="21"/>
                <w:highlight w:val="none"/>
              </w:rPr>
              <w:t>投标</w:t>
            </w:r>
            <w:r>
              <w:rPr>
                <w:rFonts w:ascii="Times New Roman" w:hAnsi="Times New Roman"/>
                <w:color w:val="auto"/>
                <w:sz w:val="21"/>
                <w:szCs w:val="21"/>
                <w:highlight w:val="none"/>
              </w:rPr>
              <w:t>文件正、副本份数符合</w:t>
            </w:r>
            <w:r>
              <w:rPr>
                <w:rFonts w:hint="eastAsia" w:ascii="Times New Roman" w:hAnsi="Times New Roman"/>
                <w:color w:val="auto"/>
                <w:sz w:val="21"/>
                <w:szCs w:val="21"/>
                <w:highlight w:val="none"/>
              </w:rPr>
              <w:t>招标</w:t>
            </w:r>
            <w:r>
              <w:rPr>
                <w:rFonts w:ascii="Times New Roman" w:hAnsi="Times New Roman"/>
                <w:color w:val="auto"/>
                <w:sz w:val="21"/>
                <w:szCs w:val="21"/>
                <w:highlight w:val="none"/>
              </w:rPr>
              <w:t>文件第二章“</w:t>
            </w:r>
            <w:r>
              <w:rPr>
                <w:rFonts w:hint="eastAsia" w:ascii="Times New Roman" w:hAnsi="Times New Roman"/>
                <w:color w:val="auto"/>
                <w:sz w:val="21"/>
                <w:szCs w:val="21"/>
                <w:highlight w:val="none"/>
              </w:rPr>
              <w:t>投标</w:t>
            </w:r>
            <w:r>
              <w:rPr>
                <w:rFonts w:ascii="Times New Roman" w:hAnsi="Times New Roman"/>
                <w:color w:val="auto"/>
                <w:sz w:val="21"/>
                <w:szCs w:val="21"/>
                <w:highlight w:val="none"/>
              </w:rPr>
              <w:t>人须知”</w:t>
            </w:r>
            <w:r>
              <w:rPr>
                <w:rFonts w:ascii="宋体" w:hAnsi="宋体"/>
                <w:color w:val="auto"/>
                <w:sz w:val="21"/>
                <w:szCs w:val="21"/>
                <w:highlight w:val="none"/>
              </w:rPr>
              <w:t>第</w:t>
            </w:r>
            <w:r>
              <w:rPr>
                <w:rFonts w:ascii="Times New Roman" w:hAnsi="Times New Roman"/>
                <w:color w:val="auto"/>
                <w:sz w:val="21"/>
                <w:szCs w:val="21"/>
                <w:highlight w:val="none"/>
              </w:rPr>
              <w:t>3.7.4</w:t>
            </w:r>
            <w:r>
              <w:rPr>
                <w:rFonts w:ascii="宋体" w:hAnsi="宋体"/>
                <w:color w:val="auto"/>
                <w:sz w:val="21"/>
                <w:szCs w:val="21"/>
                <w:highlight w:val="none"/>
              </w:rPr>
              <w:t>项规定</w:t>
            </w:r>
            <w:r>
              <w:rPr>
                <w:rFonts w:hint="eastAsia" w:ascii="Times New Roman" w:hAnsi="Times New Roman"/>
                <w:color w:val="auto"/>
                <w:sz w:val="21"/>
                <w:szCs w:val="21"/>
                <w:highlight w:val="none"/>
              </w:rPr>
              <w:t>。</w:t>
            </w:r>
          </w:p>
          <w:p>
            <w:pPr>
              <w:adjustRightInd/>
              <w:spacing w:line="340" w:lineRule="atLeast"/>
              <w:ind w:firstLine="420" w:firstLineChars="20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（1</w:t>
            </w:r>
            <w:r>
              <w:rPr>
                <w:rFonts w:hint="eastAsia" w:ascii="Times New Roman" w:hAnsi="Times New Roman"/>
                <w:color w:val="auto"/>
                <w:sz w:val="21"/>
                <w:szCs w:val="21"/>
                <w:highlight w:val="none"/>
                <w:lang w:val="en-US" w:eastAsia="zh-CN"/>
              </w:rPr>
              <w:t>3</w:t>
            </w:r>
            <w:r>
              <w:rPr>
                <w:rFonts w:ascii="Times New Roman" w:hAnsi="Times New Roman"/>
                <w:color w:val="auto"/>
                <w:sz w:val="21"/>
                <w:szCs w:val="21"/>
                <w:highlight w:val="none"/>
              </w:rPr>
              <w:t>）投标文件未附有招标人不能接受的条件。</w:t>
            </w:r>
          </w:p>
          <w:p>
            <w:pPr>
              <w:adjustRightInd/>
              <w:spacing w:line="340" w:lineRule="atLeast"/>
              <w:ind w:firstLine="422" w:firstLineChars="200"/>
              <w:jc w:val="both"/>
              <w:textAlignment w:val="auto"/>
              <w:rPr>
                <w:rFonts w:hint="eastAsia"/>
                <w:b/>
                <w:bCs/>
                <w:color w:val="auto"/>
                <w:sz w:val="21"/>
                <w:szCs w:val="21"/>
                <w:highlight w:val="none"/>
              </w:rPr>
            </w:pPr>
          </w:p>
          <w:p>
            <w:pPr>
              <w:adjustRightInd/>
              <w:spacing w:line="340" w:lineRule="atLeast"/>
              <w:ind w:firstLine="422" w:firstLineChars="200"/>
              <w:jc w:val="both"/>
              <w:textAlignment w:val="auto"/>
              <w:rPr>
                <w:b/>
                <w:bCs/>
                <w:color w:val="auto"/>
                <w:sz w:val="21"/>
                <w:szCs w:val="21"/>
                <w:highlight w:val="none"/>
              </w:rPr>
            </w:pPr>
            <w:r>
              <w:rPr>
                <w:rFonts w:hint="eastAsia"/>
                <w:b/>
                <w:bCs/>
                <w:color w:val="auto"/>
                <w:sz w:val="21"/>
                <w:szCs w:val="21"/>
                <w:highlight w:val="none"/>
              </w:rPr>
              <w:t>第二个信封（报价文件）评审标准：</w:t>
            </w:r>
          </w:p>
          <w:p>
            <w:pPr>
              <w:adjustRightInd/>
              <w:spacing w:line="340" w:lineRule="atLeast"/>
              <w:ind w:firstLine="420" w:firstLineChars="200"/>
              <w:jc w:val="both"/>
              <w:textAlignment w:val="auto"/>
              <w:rPr>
                <w:color w:val="auto"/>
                <w:sz w:val="21"/>
                <w:szCs w:val="21"/>
                <w:highlight w:val="none"/>
              </w:rPr>
            </w:pPr>
            <w:r>
              <w:rPr>
                <w:color w:val="auto"/>
                <w:sz w:val="21"/>
                <w:szCs w:val="21"/>
                <w:highlight w:val="none"/>
              </w:rPr>
              <w:t>（1</w:t>
            </w:r>
            <w:r>
              <w:rPr>
                <w:rFonts w:ascii="宋体" w:hAnsi="宋体"/>
                <w:color w:val="auto"/>
                <w:sz w:val="21"/>
                <w:szCs w:val="21"/>
                <w:highlight w:val="none"/>
              </w:rPr>
              <w:t>）投标文件按照招标文件规定的格式、内容填写，字迹清晰可辨</w:t>
            </w:r>
            <w:r>
              <w:rPr>
                <w:color w:val="auto"/>
                <w:sz w:val="21"/>
                <w:szCs w:val="21"/>
                <w:highlight w:val="none"/>
              </w:rPr>
              <w:t>：</w:t>
            </w:r>
          </w:p>
          <w:p>
            <w:pPr>
              <w:adjustRightInd/>
              <w:spacing w:line="340" w:lineRule="atLeast"/>
              <w:ind w:firstLine="420" w:firstLineChars="200"/>
              <w:jc w:val="both"/>
              <w:textAlignment w:val="auto"/>
              <w:rPr>
                <w:color w:val="auto"/>
                <w:sz w:val="21"/>
                <w:szCs w:val="21"/>
                <w:highlight w:val="none"/>
              </w:rPr>
            </w:pPr>
            <w:r>
              <w:rPr>
                <w:rFonts w:hint="eastAsia"/>
                <w:color w:val="auto"/>
                <w:sz w:val="21"/>
                <w:szCs w:val="21"/>
                <w:highlight w:val="none"/>
              </w:rPr>
              <w:t>a.投标</w:t>
            </w:r>
            <w:r>
              <w:rPr>
                <w:color w:val="auto"/>
                <w:sz w:val="21"/>
                <w:szCs w:val="21"/>
                <w:highlight w:val="none"/>
              </w:rPr>
              <w:t>函按招标文件规定填报了</w:t>
            </w:r>
            <w:r>
              <w:rPr>
                <w:rFonts w:hint="eastAsia"/>
                <w:color w:val="auto"/>
                <w:sz w:val="21"/>
                <w:szCs w:val="21"/>
                <w:highlight w:val="none"/>
              </w:rPr>
              <w:t>项目名称、补遗书编号（如有）、</w:t>
            </w:r>
            <w:r>
              <w:rPr>
                <w:color w:val="auto"/>
                <w:sz w:val="21"/>
                <w:szCs w:val="21"/>
                <w:highlight w:val="none"/>
              </w:rPr>
              <w:t>投标</w:t>
            </w:r>
            <w:r>
              <w:rPr>
                <w:rFonts w:hint="eastAsia"/>
                <w:color w:val="auto"/>
                <w:sz w:val="21"/>
                <w:szCs w:val="21"/>
                <w:highlight w:val="none"/>
              </w:rPr>
              <w:t>总报</w:t>
            </w:r>
            <w:r>
              <w:rPr>
                <w:color w:val="auto"/>
                <w:sz w:val="21"/>
                <w:szCs w:val="21"/>
                <w:highlight w:val="none"/>
              </w:rPr>
              <w:t>价</w:t>
            </w:r>
            <w:r>
              <w:rPr>
                <w:rFonts w:hint="eastAsia"/>
                <w:color w:val="auto"/>
                <w:sz w:val="21"/>
                <w:szCs w:val="21"/>
                <w:highlight w:val="none"/>
              </w:rPr>
              <w:t>（包括大写金额和小写金额）</w:t>
            </w:r>
            <w:r>
              <w:rPr>
                <w:color w:val="auto"/>
                <w:sz w:val="21"/>
                <w:szCs w:val="21"/>
                <w:highlight w:val="none"/>
              </w:rPr>
              <w:t>；</w:t>
            </w:r>
          </w:p>
          <w:p>
            <w:pPr>
              <w:adjustRightInd/>
              <w:spacing w:line="340" w:lineRule="atLeast"/>
              <w:ind w:firstLine="420" w:firstLineChars="200"/>
              <w:jc w:val="both"/>
              <w:textAlignment w:val="auto"/>
              <w:rPr>
                <w:color w:val="auto"/>
                <w:sz w:val="21"/>
                <w:szCs w:val="21"/>
                <w:highlight w:val="none"/>
              </w:rPr>
            </w:pPr>
            <w:r>
              <w:rPr>
                <w:color w:val="auto"/>
                <w:sz w:val="21"/>
                <w:szCs w:val="21"/>
                <w:highlight w:val="none"/>
              </w:rPr>
              <w:t>b.</w:t>
            </w:r>
            <w:r>
              <w:rPr>
                <w:rFonts w:ascii="宋体" w:hAnsi="宋体"/>
                <w:color w:val="auto"/>
                <w:sz w:val="21"/>
                <w:szCs w:val="21"/>
                <w:highlight w:val="none"/>
              </w:rPr>
              <w:t>已标价报价清单说明文字与招标文件规定一致，</w:t>
            </w:r>
            <w:r>
              <w:rPr>
                <w:rFonts w:hint="eastAsia"/>
                <w:color w:val="auto"/>
                <w:sz w:val="21"/>
                <w:szCs w:val="21"/>
                <w:highlight w:val="none"/>
              </w:rPr>
              <w:t>未</w:t>
            </w:r>
            <w:r>
              <w:rPr>
                <w:color w:val="auto"/>
                <w:sz w:val="21"/>
                <w:szCs w:val="21"/>
                <w:highlight w:val="none"/>
              </w:rPr>
              <w:t>进行实质性修改和删减</w:t>
            </w:r>
            <w:r>
              <w:rPr>
                <w:rFonts w:hint="eastAsia"/>
                <w:color w:val="auto"/>
                <w:sz w:val="21"/>
                <w:szCs w:val="21"/>
                <w:highlight w:val="none"/>
              </w:rPr>
              <w:t>；</w:t>
            </w:r>
          </w:p>
          <w:p>
            <w:pPr>
              <w:adjustRightInd/>
              <w:spacing w:line="340" w:lineRule="atLeast"/>
              <w:ind w:firstLine="420" w:firstLineChars="200"/>
              <w:jc w:val="both"/>
              <w:textAlignment w:val="auto"/>
              <w:rPr>
                <w:color w:val="auto"/>
                <w:sz w:val="21"/>
                <w:szCs w:val="21"/>
                <w:highlight w:val="none"/>
              </w:rPr>
            </w:pPr>
            <w:r>
              <w:rPr>
                <w:color w:val="auto"/>
                <w:sz w:val="21"/>
                <w:szCs w:val="21"/>
                <w:highlight w:val="none"/>
              </w:rPr>
              <w:t>c.</w:t>
            </w:r>
            <w:r>
              <w:rPr>
                <w:rFonts w:ascii="宋体" w:hAnsi="宋体"/>
                <w:color w:val="auto"/>
                <w:sz w:val="21"/>
                <w:szCs w:val="21"/>
                <w:highlight w:val="none"/>
              </w:rPr>
              <w:t>投标文件组成齐全完整，内容均按规定填写</w:t>
            </w:r>
            <w:r>
              <w:rPr>
                <w:rFonts w:hint="eastAsia"/>
                <w:color w:val="auto"/>
                <w:sz w:val="21"/>
                <w:szCs w:val="21"/>
                <w:highlight w:val="none"/>
              </w:rPr>
              <w:t>。</w:t>
            </w:r>
          </w:p>
          <w:p>
            <w:pPr>
              <w:adjustRightInd/>
              <w:spacing w:line="340" w:lineRule="atLeast"/>
              <w:ind w:firstLine="420" w:firstLineChars="200"/>
              <w:jc w:val="both"/>
              <w:textAlignment w:val="auto"/>
              <w:rPr>
                <w:color w:val="auto"/>
                <w:sz w:val="21"/>
                <w:szCs w:val="21"/>
                <w:highlight w:val="none"/>
              </w:rPr>
            </w:pPr>
            <w:r>
              <w:rPr>
                <w:color w:val="auto"/>
                <w:sz w:val="21"/>
                <w:szCs w:val="21"/>
                <w:highlight w:val="none"/>
              </w:rPr>
              <w:t>（2</w:t>
            </w:r>
            <w:r>
              <w:rPr>
                <w:rFonts w:ascii="宋体" w:hAnsi="宋体"/>
                <w:color w:val="auto"/>
                <w:sz w:val="21"/>
                <w:szCs w:val="21"/>
                <w:highlight w:val="none"/>
              </w:rPr>
              <w:t>）投标文件上法定代表人</w:t>
            </w:r>
            <w:r>
              <w:rPr>
                <w:rFonts w:hint="eastAsia" w:ascii="Times New Roman" w:hAnsi="Times New Roman"/>
                <w:color w:val="auto"/>
                <w:sz w:val="21"/>
                <w:szCs w:val="21"/>
                <w:highlight w:val="none"/>
              </w:rPr>
              <w:t>（签字或签章）</w:t>
            </w:r>
            <w:r>
              <w:rPr>
                <w:rFonts w:ascii="宋体" w:hAnsi="宋体"/>
                <w:color w:val="auto"/>
                <w:sz w:val="21"/>
                <w:szCs w:val="21"/>
                <w:highlight w:val="none"/>
              </w:rPr>
              <w:t>或其</w:t>
            </w:r>
            <w:r>
              <w:rPr>
                <w:rFonts w:hint="eastAsia"/>
                <w:color w:val="auto"/>
                <w:sz w:val="21"/>
                <w:szCs w:val="21"/>
                <w:highlight w:val="none"/>
              </w:rPr>
              <w:t>授权代表</w:t>
            </w:r>
            <w:r>
              <w:rPr>
                <w:color w:val="auto"/>
                <w:sz w:val="21"/>
                <w:szCs w:val="21"/>
                <w:highlight w:val="none"/>
              </w:rPr>
              <w:t>的签字、投标人的单位章盖章齐全，符合招标文件规定</w:t>
            </w:r>
            <w:r>
              <w:rPr>
                <w:rFonts w:hint="eastAsia"/>
                <w:color w:val="auto"/>
                <w:sz w:val="21"/>
                <w:szCs w:val="21"/>
                <w:highlight w:val="none"/>
              </w:rPr>
              <w:t>。</w:t>
            </w:r>
          </w:p>
          <w:p>
            <w:pPr>
              <w:adjustRightInd/>
              <w:spacing w:line="340" w:lineRule="atLeast"/>
              <w:ind w:firstLine="420" w:firstLineChars="200"/>
              <w:jc w:val="both"/>
              <w:textAlignment w:val="auto"/>
              <w:rPr>
                <w:color w:val="auto"/>
                <w:sz w:val="21"/>
                <w:szCs w:val="21"/>
                <w:highlight w:val="none"/>
              </w:rPr>
            </w:pPr>
            <w:r>
              <w:rPr>
                <w:rFonts w:hint="eastAsia"/>
                <w:color w:val="auto"/>
                <w:sz w:val="21"/>
                <w:szCs w:val="21"/>
                <w:highlight w:val="none"/>
              </w:rPr>
              <w:t>（3</w:t>
            </w:r>
            <w:r>
              <w:rPr>
                <w:rFonts w:hint="eastAsia" w:ascii="宋体" w:hAnsi="宋体"/>
                <w:color w:val="auto"/>
                <w:sz w:val="21"/>
                <w:szCs w:val="21"/>
                <w:highlight w:val="none"/>
              </w:rPr>
              <w:t>）投标总报价未超过招标文件设定的最高投标限价（如有）。</w:t>
            </w:r>
          </w:p>
          <w:p>
            <w:pPr>
              <w:adjustRightInd/>
              <w:spacing w:line="340" w:lineRule="atLeast"/>
              <w:ind w:firstLine="420" w:firstLineChars="200"/>
              <w:jc w:val="both"/>
              <w:textAlignment w:val="auto"/>
              <w:rPr>
                <w:color w:val="auto"/>
                <w:sz w:val="21"/>
                <w:szCs w:val="21"/>
                <w:highlight w:val="none"/>
              </w:rPr>
            </w:pPr>
            <w:r>
              <w:rPr>
                <w:rFonts w:hint="eastAsia"/>
                <w:color w:val="auto"/>
                <w:sz w:val="21"/>
                <w:szCs w:val="21"/>
                <w:highlight w:val="none"/>
              </w:rPr>
              <w:t>（4</w:t>
            </w:r>
            <w:r>
              <w:rPr>
                <w:rFonts w:hint="eastAsia" w:ascii="宋体" w:hAnsi="宋体"/>
                <w:color w:val="auto"/>
                <w:sz w:val="21"/>
                <w:szCs w:val="21"/>
                <w:highlight w:val="none"/>
              </w:rPr>
              <w:t>）投标总报价的</w:t>
            </w:r>
            <w:r>
              <w:rPr>
                <w:color w:val="auto"/>
                <w:sz w:val="21"/>
                <w:szCs w:val="21"/>
                <w:highlight w:val="none"/>
              </w:rPr>
              <w:t>大写金额</w:t>
            </w:r>
            <w:r>
              <w:rPr>
                <w:rFonts w:hint="eastAsia"/>
                <w:color w:val="auto"/>
                <w:sz w:val="21"/>
                <w:szCs w:val="21"/>
                <w:highlight w:val="none"/>
              </w:rPr>
              <w:t>能够确定</w:t>
            </w:r>
            <w:r>
              <w:rPr>
                <w:color w:val="auto"/>
                <w:sz w:val="21"/>
                <w:szCs w:val="21"/>
                <w:highlight w:val="none"/>
              </w:rPr>
              <w:t>具体数值</w:t>
            </w:r>
            <w:r>
              <w:rPr>
                <w:rFonts w:hint="eastAsia"/>
                <w:color w:val="auto"/>
                <w:sz w:val="21"/>
                <w:szCs w:val="21"/>
                <w:highlight w:val="none"/>
              </w:rPr>
              <w:t>。</w:t>
            </w:r>
          </w:p>
          <w:p>
            <w:pPr>
              <w:adjustRightInd/>
              <w:spacing w:line="340" w:lineRule="atLeast"/>
              <w:ind w:firstLine="420" w:firstLineChars="200"/>
              <w:jc w:val="both"/>
              <w:textAlignment w:val="auto"/>
              <w:rPr>
                <w:color w:val="auto"/>
                <w:sz w:val="21"/>
                <w:szCs w:val="21"/>
                <w:highlight w:val="none"/>
              </w:rPr>
            </w:pPr>
            <w:r>
              <w:rPr>
                <w:color w:val="auto"/>
                <w:sz w:val="21"/>
                <w:szCs w:val="21"/>
                <w:highlight w:val="none"/>
              </w:rPr>
              <w:t>（</w:t>
            </w:r>
            <w:r>
              <w:rPr>
                <w:rFonts w:hint="eastAsia"/>
                <w:color w:val="auto"/>
                <w:sz w:val="21"/>
                <w:szCs w:val="21"/>
                <w:highlight w:val="none"/>
              </w:rPr>
              <w:t>5</w:t>
            </w:r>
            <w:r>
              <w:rPr>
                <w:color w:val="auto"/>
                <w:sz w:val="21"/>
                <w:szCs w:val="21"/>
                <w:highlight w:val="none"/>
              </w:rPr>
              <w:t>）同一投标人</w:t>
            </w:r>
            <w:r>
              <w:rPr>
                <w:rFonts w:hint="eastAsia"/>
                <w:color w:val="auto"/>
                <w:sz w:val="21"/>
                <w:szCs w:val="21"/>
                <w:highlight w:val="none"/>
              </w:rPr>
              <w:t>未</w:t>
            </w:r>
            <w:r>
              <w:rPr>
                <w:color w:val="auto"/>
                <w:sz w:val="21"/>
                <w:szCs w:val="21"/>
                <w:highlight w:val="none"/>
              </w:rPr>
              <w:t>提交两个以上不同的投标报价，但招标文件要求提交备选投标的除外</w:t>
            </w:r>
            <w:r>
              <w:rPr>
                <w:rFonts w:hint="eastAsia"/>
                <w:color w:val="auto"/>
                <w:sz w:val="21"/>
                <w:szCs w:val="21"/>
                <w:highlight w:val="none"/>
              </w:rPr>
              <w:t>。</w:t>
            </w:r>
          </w:p>
          <w:p>
            <w:pPr>
              <w:adjustRightInd/>
              <w:spacing w:line="340" w:lineRule="atLeast"/>
              <w:ind w:firstLine="420" w:firstLineChars="200"/>
              <w:jc w:val="both"/>
              <w:textAlignment w:val="auto"/>
              <w:rPr>
                <w:rFonts w:hint="eastAsia"/>
                <w:color w:val="auto"/>
                <w:sz w:val="21"/>
                <w:szCs w:val="21"/>
                <w:highlight w:val="none"/>
              </w:rPr>
            </w:pPr>
            <w:r>
              <w:rPr>
                <w:rFonts w:hint="eastAsia"/>
                <w:color w:val="auto"/>
                <w:sz w:val="21"/>
                <w:szCs w:val="21"/>
                <w:highlight w:val="none"/>
              </w:rPr>
              <w:t>（6）</w:t>
            </w:r>
            <w:r>
              <w:rPr>
                <w:rFonts w:hint="eastAsia" w:ascii="宋体" w:hAnsi="宋体" w:cs="宋体"/>
                <w:color w:val="auto"/>
                <w:sz w:val="21"/>
                <w:szCs w:val="21"/>
                <w:highlight w:val="none"/>
              </w:rPr>
              <w:t>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6" w:type="dxa"/>
            <w:vAlign w:val="center"/>
          </w:tcPr>
          <w:p>
            <w:pPr>
              <w:wordWrap w:val="0"/>
              <w:topLinePunct/>
              <w:adjustRightInd/>
              <w:spacing w:line="360" w:lineRule="auto"/>
              <w:jc w:val="center"/>
              <w:rPr>
                <w:rFonts w:hint="eastAsia"/>
                <w:color w:val="auto"/>
                <w:sz w:val="21"/>
                <w:szCs w:val="21"/>
                <w:highlight w:val="none"/>
              </w:rPr>
            </w:pPr>
            <w:r>
              <w:rPr>
                <w:color w:val="auto"/>
                <w:szCs w:val="24"/>
                <w:highlight w:val="none"/>
              </w:rPr>
              <w:t>2.1.2</w:t>
            </w:r>
          </w:p>
        </w:tc>
        <w:tc>
          <w:tcPr>
            <w:tcW w:w="1513" w:type="dxa"/>
            <w:vAlign w:val="center"/>
          </w:tcPr>
          <w:p>
            <w:pPr>
              <w:wordWrap w:val="0"/>
              <w:topLinePunct/>
              <w:adjustRightInd/>
              <w:spacing w:line="360" w:lineRule="auto"/>
              <w:jc w:val="center"/>
              <w:rPr>
                <w:rFonts w:hint="eastAsia"/>
                <w:color w:val="auto"/>
                <w:sz w:val="21"/>
                <w:szCs w:val="21"/>
                <w:highlight w:val="none"/>
              </w:rPr>
            </w:pPr>
            <w:r>
              <w:rPr>
                <w:color w:val="auto"/>
                <w:sz w:val="21"/>
                <w:szCs w:val="21"/>
                <w:highlight w:val="none"/>
              </w:rPr>
              <w:t>资格评审标准</w:t>
            </w:r>
          </w:p>
        </w:tc>
        <w:tc>
          <w:tcPr>
            <w:tcW w:w="6005" w:type="dxa"/>
            <w:vAlign w:val="center"/>
          </w:tcPr>
          <w:p>
            <w:pPr>
              <w:spacing w:line="340" w:lineRule="atLeast"/>
              <w:ind w:firstLine="420" w:firstLineChars="200"/>
              <w:rPr>
                <w:color w:val="auto"/>
                <w:sz w:val="21"/>
                <w:szCs w:val="21"/>
                <w:highlight w:val="none"/>
              </w:rPr>
            </w:pPr>
            <w:r>
              <w:rPr>
                <w:color w:val="auto"/>
                <w:sz w:val="21"/>
                <w:szCs w:val="21"/>
                <w:highlight w:val="none"/>
              </w:rPr>
              <w:t>（1</w:t>
            </w:r>
            <w:r>
              <w:rPr>
                <w:rFonts w:ascii="宋体" w:hAnsi="宋体"/>
                <w:color w:val="auto"/>
                <w:sz w:val="21"/>
                <w:szCs w:val="21"/>
                <w:highlight w:val="none"/>
              </w:rPr>
              <w:t>）投标人具备有效的</w:t>
            </w:r>
            <w:r>
              <w:rPr>
                <w:rFonts w:hint="eastAsia" w:ascii="宋体" w:hAnsi="宋体"/>
                <w:color w:val="auto"/>
                <w:sz w:val="21"/>
                <w:szCs w:val="21"/>
                <w:highlight w:val="none"/>
              </w:rPr>
              <w:t>事业单位法人证书或</w:t>
            </w:r>
            <w:r>
              <w:rPr>
                <w:rFonts w:hint="eastAsia" w:ascii="宋体" w:hAnsi="宋体"/>
                <w:color w:val="auto"/>
                <w:sz w:val="21"/>
                <w:szCs w:val="21"/>
                <w:highlight w:val="none"/>
                <w:lang w:val="en-US" w:eastAsia="zh-CN"/>
              </w:rPr>
              <w:t>企业</w:t>
            </w:r>
            <w:r>
              <w:rPr>
                <w:rFonts w:ascii="宋体" w:hAnsi="宋体"/>
                <w:color w:val="auto"/>
                <w:sz w:val="21"/>
                <w:szCs w:val="21"/>
                <w:highlight w:val="none"/>
              </w:rPr>
              <w:t>营业执照、</w:t>
            </w:r>
            <w:r>
              <w:rPr>
                <w:rFonts w:hint="eastAsia"/>
                <w:color w:val="auto"/>
                <w:sz w:val="21"/>
                <w:szCs w:val="21"/>
                <w:highlight w:val="none"/>
              </w:rPr>
              <w:t>基本账户开户许可证（（如企业所在地已取消企业银行账户许可而无法提供开户许可证的，则需附上开户银行出具的“基本存款账户信息”或“人民银行账户管理系统查询的基本账户信息截图”）。</w:t>
            </w:r>
          </w:p>
          <w:p>
            <w:pPr>
              <w:spacing w:line="340" w:lineRule="atLeast"/>
              <w:ind w:firstLine="420" w:firstLineChars="200"/>
              <w:rPr>
                <w:color w:val="auto"/>
                <w:sz w:val="21"/>
                <w:szCs w:val="21"/>
                <w:highlight w:val="none"/>
              </w:rPr>
            </w:pPr>
            <w:r>
              <w:rPr>
                <w:color w:val="auto"/>
                <w:sz w:val="21"/>
                <w:szCs w:val="21"/>
                <w:highlight w:val="none"/>
              </w:rPr>
              <w:t>（2</w:t>
            </w:r>
            <w:r>
              <w:rPr>
                <w:rFonts w:ascii="宋体" w:hAnsi="宋体"/>
                <w:color w:val="auto"/>
                <w:sz w:val="21"/>
                <w:szCs w:val="21"/>
                <w:highlight w:val="none"/>
              </w:rPr>
              <w:t>）投标人的资质等级符合招标文件规定</w:t>
            </w:r>
            <w:r>
              <w:rPr>
                <w:rFonts w:hint="eastAsia"/>
                <w:color w:val="auto"/>
                <w:sz w:val="21"/>
                <w:szCs w:val="21"/>
                <w:highlight w:val="none"/>
              </w:rPr>
              <w:t>。</w:t>
            </w:r>
          </w:p>
          <w:p>
            <w:pPr>
              <w:spacing w:line="340" w:lineRule="atLeast"/>
              <w:ind w:firstLine="420" w:firstLineChars="200"/>
              <w:rPr>
                <w:color w:val="auto"/>
                <w:sz w:val="21"/>
                <w:szCs w:val="21"/>
                <w:highlight w:val="none"/>
              </w:rPr>
            </w:pPr>
            <w:r>
              <w:rPr>
                <w:rFonts w:hint="eastAsia"/>
                <w:color w:val="auto"/>
                <w:sz w:val="21"/>
                <w:szCs w:val="21"/>
                <w:highlight w:val="none"/>
              </w:rPr>
              <w:t>（</w:t>
            </w:r>
            <w:r>
              <w:rPr>
                <w:color w:val="auto"/>
                <w:sz w:val="21"/>
                <w:szCs w:val="21"/>
                <w:highlight w:val="none"/>
              </w:rPr>
              <w:t>3</w:t>
            </w:r>
            <w:r>
              <w:rPr>
                <w:rFonts w:hint="eastAsia"/>
                <w:color w:val="auto"/>
                <w:sz w:val="21"/>
                <w:szCs w:val="21"/>
                <w:highlight w:val="none"/>
              </w:rPr>
              <w:t>）</w:t>
            </w:r>
            <w:r>
              <w:rPr>
                <w:color w:val="auto"/>
                <w:sz w:val="21"/>
                <w:szCs w:val="21"/>
                <w:highlight w:val="none"/>
              </w:rPr>
              <w:t>投标人的类似项目业绩符合招标文件规定</w:t>
            </w:r>
            <w:r>
              <w:rPr>
                <w:rFonts w:hint="eastAsia"/>
                <w:color w:val="auto"/>
                <w:sz w:val="21"/>
                <w:szCs w:val="21"/>
                <w:highlight w:val="none"/>
              </w:rPr>
              <w:t>。</w:t>
            </w:r>
          </w:p>
          <w:p>
            <w:pPr>
              <w:spacing w:line="340" w:lineRule="atLeast"/>
              <w:ind w:firstLine="420" w:firstLineChars="200"/>
              <w:rPr>
                <w:color w:val="auto"/>
                <w:sz w:val="21"/>
                <w:szCs w:val="21"/>
                <w:highlight w:val="none"/>
              </w:rPr>
            </w:pPr>
            <w:r>
              <w:rPr>
                <w:color w:val="auto"/>
                <w:sz w:val="21"/>
                <w:szCs w:val="21"/>
                <w:highlight w:val="none"/>
              </w:rPr>
              <w:t>（4</w:t>
            </w:r>
            <w:r>
              <w:rPr>
                <w:rFonts w:ascii="宋体" w:hAnsi="宋体"/>
                <w:color w:val="auto"/>
                <w:sz w:val="21"/>
                <w:szCs w:val="21"/>
                <w:highlight w:val="none"/>
              </w:rPr>
              <w:t>）投标人的信誉符合招标文件规定</w:t>
            </w:r>
            <w:r>
              <w:rPr>
                <w:rFonts w:hint="eastAsia"/>
                <w:color w:val="auto"/>
                <w:sz w:val="21"/>
                <w:szCs w:val="21"/>
                <w:highlight w:val="none"/>
              </w:rPr>
              <w:t>。</w:t>
            </w:r>
          </w:p>
          <w:p>
            <w:pPr>
              <w:spacing w:line="340" w:lineRule="atLeast"/>
              <w:ind w:firstLine="420" w:firstLineChars="200"/>
              <w:rPr>
                <w:color w:val="auto"/>
                <w:sz w:val="21"/>
                <w:szCs w:val="21"/>
                <w:highlight w:val="none"/>
              </w:rPr>
            </w:pPr>
            <w:r>
              <w:rPr>
                <w:color w:val="auto"/>
                <w:sz w:val="21"/>
                <w:szCs w:val="21"/>
                <w:highlight w:val="none"/>
              </w:rPr>
              <w:t>（5</w:t>
            </w:r>
            <w:r>
              <w:rPr>
                <w:rFonts w:ascii="宋体" w:hAnsi="宋体"/>
                <w:color w:val="auto"/>
                <w:sz w:val="21"/>
                <w:szCs w:val="21"/>
                <w:highlight w:val="none"/>
              </w:rPr>
              <w:t>）投标人的</w:t>
            </w:r>
            <w:r>
              <w:rPr>
                <w:rFonts w:hint="eastAsia" w:ascii="宋体" w:hAnsi="宋体"/>
                <w:color w:val="auto"/>
                <w:sz w:val="21"/>
                <w:szCs w:val="21"/>
                <w:highlight w:val="none"/>
              </w:rPr>
              <w:t>主要人员</w:t>
            </w:r>
            <w:r>
              <w:rPr>
                <w:rFonts w:ascii="宋体" w:hAnsi="宋体"/>
                <w:color w:val="auto"/>
                <w:sz w:val="21"/>
                <w:szCs w:val="21"/>
                <w:highlight w:val="none"/>
              </w:rPr>
              <w:t>资格符合招标文件规定</w:t>
            </w:r>
            <w:r>
              <w:rPr>
                <w:rFonts w:hint="eastAsia"/>
                <w:color w:val="auto"/>
                <w:sz w:val="21"/>
                <w:szCs w:val="21"/>
                <w:highlight w:val="none"/>
              </w:rPr>
              <w:t>。</w:t>
            </w:r>
          </w:p>
          <w:p>
            <w:pPr>
              <w:spacing w:line="340" w:lineRule="atLeast"/>
              <w:ind w:firstLine="420" w:firstLineChars="200"/>
              <w:rPr>
                <w:color w:val="auto"/>
                <w:sz w:val="21"/>
                <w:szCs w:val="21"/>
                <w:highlight w:val="none"/>
              </w:rPr>
            </w:pPr>
            <w:r>
              <w:rPr>
                <w:color w:val="auto"/>
                <w:sz w:val="21"/>
                <w:szCs w:val="21"/>
                <w:highlight w:val="none"/>
              </w:rPr>
              <w:t>（6</w:t>
            </w:r>
            <w:r>
              <w:rPr>
                <w:rFonts w:ascii="宋体" w:hAnsi="宋体"/>
                <w:color w:val="auto"/>
                <w:sz w:val="21"/>
                <w:szCs w:val="21"/>
                <w:highlight w:val="none"/>
              </w:rPr>
              <w:t>）投标人的其他要求符合招标文件规定</w:t>
            </w:r>
            <w:r>
              <w:rPr>
                <w:rFonts w:hint="eastAsia"/>
                <w:color w:val="auto"/>
                <w:sz w:val="21"/>
                <w:szCs w:val="21"/>
                <w:highlight w:val="none"/>
              </w:rPr>
              <w:t>。</w:t>
            </w:r>
          </w:p>
          <w:p>
            <w:pPr>
              <w:spacing w:line="340" w:lineRule="atLeast"/>
              <w:ind w:firstLine="420" w:firstLineChars="200"/>
              <w:rPr>
                <w:color w:val="auto"/>
                <w:sz w:val="21"/>
                <w:szCs w:val="21"/>
                <w:highlight w:val="none"/>
              </w:rPr>
            </w:pPr>
            <w:r>
              <w:rPr>
                <w:color w:val="auto"/>
                <w:sz w:val="21"/>
                <w:szCs w:val="21"/>
                <w:highlight w:val="none"/>
              </w:rPr>
              <w:t>（7</w:t>
            </w:r>
            <w:r>
              <w:rPr>
                <w:rFonts w:ascii="宋体" w:hAnsi="宋体"/>
                <w:color w:val="auto"/>
                <w:sz w:val="21"/>
                <w:szCs w:val="21"/>
                <w:highlight w:val="none"/>
              </w:rPr>
              <w:t>）投标人不存在第二章</w:t>
            </w:r>
            <w:r>
              <w:rPr>
                <w:color w:val="auto"/>
                <w:sz w:val="21"/>
                <w:szCs w:val="21"/>
                <w:highlight w:val="none"/>
              </w:rPr>
              <w:t>“</w:t>
            </w:r>
            <w:r>
              <w:rPr>
                <w:rFonts w:ascii="宋体" w:hAnsi="宋体"/>
                <w:color w:val="auto"/>
                <w:sz w:val="21"/>
                <w:szCs w:val="21"/>
                <w:highlight w:val="none"/>
              </w:rPr>
              <w:t>投标人须知</w:t>
            </w:r>
            <w:r>
              <w:rPr>
                <w:color w:val="auto"/>
                <w:sz w:val="21"/>
                <w:szCs w:val="21"/>
                <w:highlight w:val="none"/>
              </w:rPr>
              <w:t>”</w:t>
            </w:r>
            <w:r>
              <w:rPr>
                <w:rFonts w:ascii="宋体" w:hAnsi="宋体"/>
                <w:color w:val="auto"/>
                <w:sz w:val="21"/>
                <w:szCs w:val="21"/>
                <w:highlight w:val="none"/>
              </w:rPr>
              <w:t>第</w:t>
            </w:r>
            <w:r>
              <w:rPr>
                <w:color w:val="auto"/>
                <w:sz w:val="21"/>
                <w:szCs w:val="21"/>
                <w:highlight w:val="none"/>
              </w:rPr>
              <w:t>1.4.3</w:t>
            </w:r>
            <w:r>
              <w:rPr>
                <w:rFonts w:ascii="宋体" w:hAnsi="宋体"/>
                <w:color w:val="auto"/>
                <w:sz w:val="21"/>
                <w:szCs w:val="21"/>
                <w:highlight w:val="none"/>
              </w:rPr>
              <w:t>项</w:t>
            </w:r>
            <w:r>
              <w:rPr>
                <w:rFonts w:hint="eastAsia"/>
                <w:color w:val="auto"/>
                <w:sz w:val="21"/>
                <w:szCs w:val="21"/>
                <w:highlight w:val="none"/>
              </w:rPr>
              <w:t>或第</w:t>
            </w:r>
            <w:r>
              <w:rPr>
                <w:color w:val="auto"/>
                <w:sz w:val="21"/>
                <w:szCs w:val="21"/>
                <w:highlight w:val="none"/>
              </w:rPr>
              <w:t>1.4.</w:t>
            </w:r>
            <w:r>
              <w:rPr>
                <w:rFonts w:hint="eastAsia"/>
                <w:color w:val="auto"/>
                <w:sz w:val="21"/>
                <w:szCs w:val="21"/>
                <w:highlight w:val="none"/>
              </w:rPr>
              <w:t>4</w:t>
            </w:r>
            <w:r>
              <w:rPr>
                <w:color w:val="auto"/>
                <w:sz w:val="21"/>
                <w:szCs w:val="21"/>
                <w:highlight w:val="none"/>
              </w:rPr>
              <w:t>项规定的任何一种情形</w:t>
            </w:r>
            <w:r>
              <w:rPr>
                <w:rFonts w:hint="eastAsia"/>
                <w:color w:val="auto"/>
                <w:sz w:val="21"/>
                <w:szCs w:val="21"/>
                <w:highlight w:val="none"/>
              </w:rPr>
              <w:t>。</w:t>
            </w:r>
          </w:p>
          <w:p>
            <w:pPr>
              <w:spacing w:line="340" w:lineRule="atLeast"/>
              <w:ind w:firstLine="420" w:firstLineChars="200"/>
              <w:rPr>
                <w:rFonts w:hint="eastAsia"/>
                <w:color w:val="auto"/>
                <w:sz w:val="21"/>
                <w:szCs w:val="21"/>
                <w:highlight w:val="none"/>
              </w:rPr>
            </w:pPr>
            <w:r>
              <w:rPr>
                <w:color w:val="auto"/>
                <w:sz w:val="21"/>
                <w:szCs w:val="21"/>
                <w:highlight w:val="none"/>
              </w:rPr>
              <w:t>（</w:t>
            </w:r>
            <w:r>
              <w:rPr>
                <w:rFonts w:hint="eastAsia"/>
                <w:color w:val="auto"/>
                <w:sz w:val="21"/>
                <w:szCs w:val="21"/>
                <w:highlight w:val="none"/>
              </w:rPr>
              <w:t>8</w:t>
            </w:r>
            <w:r>
              <w:rPr>
                <w:rFonts w:ascii="宋体" w:hAnsi="宋体"/>
                <w:color w:val="auto"/>
                <w:sz w:val="21"/>
                <w:szCs w:val="21"/>
                <w:highlight w:val="none"/>
              </w:rPr>
              <w:t>）</w:t>
            </w:r>
            <w:r>
              <w:rPr>
                <w:rFonts w:hint="eastAsia" w:ascii="宋体" w:hAnsi="宋体"/>
                <w:color w:val="auto"/>
                <w:sz w:val="21"/>
                <w:szCs w:val="21"/>
                <w:highlight w:val="none"/>
              </w:rPr>
              <w:t>以联合体形式参与投标的，联合体各方均未再以自己名义单独或参加其他联合体在同一标段中投标；独立参与投标的，投标人未同时参加联合体在同一标段中投标</w:t>
            </w: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2" w:hRule="atLeast"/>
          <w:jc w:val="center"/>
        </w:trPr>
        <w:tc>
          <w:tcPr>
            <w:tcW w:w="1006" w:type="dxa"/>
            <w:vAlign w:val="center"/>
          </w:tcPr>
          <w:p>
            <w:pPr>
              <w:wordWrap w:val="0"/>
              <w:topLinePunct/>
              <w:adjustRightInd/>
              <w:spacing w:line="360" w:lineRule="auto"/>
              <w:jc w:val="center"/>
              <w:rPr>
                <w:color w:val="auto"/>
                <w:sz w:val="21"/>
                <w:szCs w:val="21"/>
                <w:highlight w:val="none"/>
              </w:rPr>
            </w:pPr>
            <w:r>
              <w:rPr>
                <w:rFonts w:hint="eastAsia"/>
                <w:color w:val="auto"/>
                <w:szCs w:val="24"/>
                <w:highlight w:val="none"/>
              </w:rPr>
              <w:t>2.2.1</w:t>
            </w:r>
          </w:p>
        </w:tc>
        <w:tc>
          <w:tcPr>
            <w:tcW w:w="1513" w:type="dxa"/>
            <w:vAlign w:val="center"/>
          </w:tcPr>
          <w:p>
            <w:pPr>
              <w:adjustRightInd/>
              <w:spacing w:line="380" w:lineRule="atLeast"/>
              <w:jc w:val="center"/>
              <w:textAlignment w:val="auto"/>
              <w:rPr>
                <w:color w:val="auto"/>
                <w:sz w:val="21"/>
                <w:szCs w:val="21"/>
                <w:highlight w:val="none"/>
              </w:rPr>
            </w:pPr>
            <w:r>
              <w:rPr>
                <w:color w:val="auto"/>
                <w:sz w:val="21"/>
                <w:szCs w:val="21"/>
                <w:highlight w:val="none"/>
              </w:rPr>
              <w:t>分值构成</w:t>
            </w:r>
          </w:p>
          <w:p>
            <w:pPr>
              <w:wordWrap w:val="0"/>
              <w:topLinePunct/>
              <w:adjustRightInd/>
              <w:spacing w:line="360" w:lineRule="auto"/>
              <w:jc w:val="center"/>
              <w:rPr>
                <w:color w:val="auto"/>
                <w:sz w:val="21"/>
                <w:szCs w:val="21"/>
                <w:highlight w:val="none"/>
              </w:rPr>
            </w:pPr>
            <w:r>
              <w:rPr>
                <w:color w:val="auto"/>
                <w:sz w:val="21"/>
                <w:szCs w:val="21"/>
                <w:highlight w:val="none"/>
              </w:rPr>
              <w:t>（总分100</w:t>
            </w:r>
            <w:r>
              <w:rPr>
                <w:rFonts w:hint="eastAsia"/>
                <w:color w:val="auto"/>
                <w:sz w:val="21"/>
                <w:szCs w:val="21"/>
                <w:highlight w:val="none"/>
              </w:rPr>
              <w:t>分</w:t>
            </w:r>
            <w:r>
              <w:rPr>
                <w:rFonts w:ascii="宋体" w:hAnsi="宋体"/>
                <w:color w:val="auto"/>
                <w:sz w:val="21"/>
                <w:szCs w:val="21"/>
                <w:highlight w:val="none"/>
              </w:rPr>
              <w:t>）</w:t>
            </w:r>
          </w:p>
        </w:tc>
        <w:tc>
          <w:tcPr>
            <w:tcW w:w="6005" w:type="dxa"/>
            <w:vAlign w:val="center"/>
          </w:tcPr>
          <w:p>
            <w:pPr>
              <w:spacing w:line="360" w:lineRule="auto"/>
              <w:rPr>
                <w:b/>
                <w:color w:val="auto"/>
                <w:szCs w:val="24"/>
                <w:highlight w:val="none"/>
              </w:rPr>
            </w:pPr>
            <w:bookmarkStart w:id="0" w:name="_Hlk49352907"/>
            <w:r>
              <w:rPr>
                <w:rFonts w:hint="eastAsia"/>
                <w:b/>
                <w:bCs/>
                <w:color w:val="auto"/>
                <w:sz w:val="21"/>
                <w:szCs w:val="21"/>
                <w:highlight w:val="none"/>
              </w:rPr>
              <w:t>第一个信封（商务及技术文件）评分分值构成：</w:t>
            </w:r>
          </w:p>
          <w:p>
            <w:pPr>
              <w:widowControl/>
              <w:spacing w:line="360" w:lineRule="auto"/>
              <w:rPr>
                <w:rFonts w:ascii="宋体" w:hAnsi="宋体" w:cs="宋体"/>
                <w:color w:val="auto"/>
                <w:highlight w:val="none"/>
              </w:rPr>
            </w:pPr>
            <w:r>
              <w:rPr>
                <w:rFonts w:hint="eastAsia"/>
                <w:color w:val="auto"/>
                <w:sz w:val="21"/>
                <w:szCs w:val="21"/>
                <w:highlight w:val="none"/>
              </w:rPr>
              <w:t>分值构成：</w:t>
            </w:r>
            <w:r>
              <w:rPr>
                <w:color w:val="auto"/>
                <w:szCs w:val="21"/>
                <w:highlight w:val="none"/>
              </w:rPr>
              <w:t xml:space="preserve">         </w:t>
            </w:r>
            <w:r>
              <w:rPr>
                <w:rFonts w:hint="eastAsia"/>
                <w:color w:val="auto"/>
                <w:szCs w:val="21"/>
                <w:highlight w:val="none"/>
              </w:rPr>
              <w:t xml:space="preserve"> </w:t>
            </w:r>
          </w:p>
          <w:p>
            <w:pPr>
              <w:adjustRightInd/>
              <w:spacing w:line="360" w:lineRule="auto"/>
              <w:jc w:val="both"/>
              <w:textAlignment w:val="auto"/>
              <w:rPr>
                <w:rFonts w:hint="eastAsia"/>
                <w:color w:val="auto"/>
                <w:sz w:val="21"/>
                <w:szCs w:val="21"/>
                <w:highlight w:val="none"/>
              </w:rPr>
            </w:pPr>
            <w:r>
              <w:rPr>
                <w:color w:val="auto"/>
                <w:sz w:val="21"/>
                <w:szCs w:val="21"/>
                <w:highlight w:val="none"/>
              </w:rPr>
              <w:t>技术建议书：</w:t>
            </w:r>
            <w:r>
              <w:rPr>
                <w:rFonts w:hint="eastAsia"/>
                <w:color w:val="auto"/>
                <w:sz w:val="21"/>
                <w:szCs w:val="21"/>
                <w:highlight w:val="none"/>
                <w:u w:val="single"/>
              </w:rPr>
              <w:t xml:space="preserve">  15  </w:t>
            </w:r>
            <w:r>
              <w:rPr>
                <w:color w:val="auto"/>
                <w:sz w:val="21"/>
                <w:szCs w:val="21"/>
                <w:highlight w:val="none"/>
              </w:rPr>
              <w:t>分</w:t>
            </w:r>
            <w:r>
              <w:rPr>
                <w:rFonts w:hint="eastAsia"/>
                <w:color w:val="auto"/>
                <w:sz w:val="21"/>
                <w:szCs w:val="21"/>
                <w:highlight w:val="none"/>
              </w:rPr>
              <w:t xml:space="preserve">       </w:t>
            </w:r>
          </w:p>
          <w:p>
            <w:pPr>
              <w:adjustRightInd/>
              <w:spacing w:line="360" w:lineRule="auto"/>
              <w:jc w:val="both"/>
              <w:textAlignment w:val="auto"/>
              <w:rPr>
                <w:rFonts w:hint="eastAsia"/>
                <w:color w:val="auto"/>
                <w:sz w:val="21"/>
                <w:szCs w:val="21"/>
                <w:highlight w:val="none"/>
              </w:rPr>
            </w:pPr>
            <w:r>
              <w:rPr>
                <w:rFonts w:hint="eastAsia"/>
                <w:color w:val="auto"/>
                <w:sz w:val="21"/>
                <w:szCs w:val="21"/>
                <w:highlight w:val="none"/>
              </w:rPr>
              <w:t>拟投入本项目主要人员</w:t>
            </w:r>
            <w:r>
              <w:rPr>
                <w:color w:val="auto"/>
                <w:sz w:val="21"/>
                <w:szCs w:val="21"/>
                <w:highlight w:val="none"/>
              </w:rPr>
              <w:t>：</w:t>
            </w:r>
            <w:r>
              <w:rPr>
                <w:rFonts w:hint="eastAsia"/>
                <w:color w:val="auto"/>
                <w:sz w:val="21"/>
                <w:szCs w:val="21"/>
                <w:highlight w:val="none"/>
                <w:u w:val="single"/>
              </w:rPr>
              <w:t xml:space="preserve"> 10  </w:t>
            </w:r>
            <w:r>
              <w:rPr>
                <w:color w:val="auto"/>
                <w:sz w:val="21"/>
                <w:szCs w:val="21"/>
                <w:highlight w:val="none"/>
              </w:rPr>
              <w:t>分</w:t>
            </w:r>
            <w:r>
              <w:rPr>
                <w:rFonts w:hint="eastAsia"/>
                <w:color w:val="auto"/>
                <w:sz w:val="21"/>
                <w:szCs w:val="21"/>
                <w:highlight w:val="none"/>
              </w:rPr>
              <w:t xml:space="preserve">              </w:t>
            </w:r>
          </w:p>
          <w:p>
            <w:pPr>
              <w:adjustRightInd/>
              <w:spacing w:line="360" w:lineRule="auto"/>
              <w:jc w:val="both"/>
              <w:textAlignment w:val="auto"/>
              <w:rPr>
                <w:color w:val="auto"/>
                <w:sz w:val="21"/>
                <w:szCs w:val="21"/>
                <w:highlight w:val="none"/>
              </w:rPr>
            </w:pPr>
            <w:r>
              <w:rPr>
                <w:color w:val="auto"/>
                <w:sz w:val="21"/>
                <w:szCs w:val="21"/>
                <w:highlight w:val="none"/>
              </w:rPr>
              <w:t>业绩：</w:t>
            </w:r>
            <w:r>
              <w:rPr>
                <w:rFonts w:hint="eastAsia"/>
                <w:color w:val="auto"/>
                <w:sz w:val="21"/>
                <w:szCs w:val="21"/>
                <w:highlight w:val="none"/>
                <w:u w:val="single"/>
              </w:rPr>
              <w:t xml:space="preserve">  20  </w:t>
            </w:r>
            <w:r>
              <w:rPr>
                <w:color w:val="auto"/>
                <w:sz w:val="21"/>
                <w:szCs w:val="21"/>
                <w:highlight w:val="none"/>
              </w:rPr>
              <w:t>分</w:t>
            </w:r>
            <w:r>
              <w:rPr>
                <w:rFonts w:hint="eastAsia"/>
                <w:color w:val="auto"/>
                <w:sz w:val="21"/>
                <w:szCs w:val="21"/>
                <w:highlight w:val="none"/>
              </w:rPr>
              <w:t xml:space="preserve">            </w:t>
            </w:r>
          </w:p>
          <w:p>
            <w:pPr>
              <w:adjustRightInd/>
              <w:spacing w:line="360" w:lineRule="auto"/>
              <w:jc w:val="both"/>
              <w:textAlignment w:val="auto"/>
              <w:rPr>
                <w:rFonts w:hint="eastAsia"/>
                <w:color w:val="auto"/>
                <w:sz w:val="21"/>
                <w:szCs w:val="21"/>
                <w:highlight w:val="none"/>
              </w:rPr>
            </w:pPr>
            <w:r>
              <w:rPr>
                <w:color w:val="auto"/>
                <w:sz w:val="21"/>
                <w:szCs w:val="21"/>
                <w:highlight w:val="none"/>
              </w:rPr>
              <w:t>履约信誉：</w:t>
            </w:r>
            <w:r>
              <w:rPr>
                <w:rFonts w:hint="eastAsia"/>
                <w:color w:val="auto"/>
                <w:sz w:val="21"/>
                <w:szCs w:val="21"/>
                <w:highlight w:val="none"/>
                <w:u w:val="single"/>
              </w:rPr>
              <w:t xml:space="preserve">   5  </w:t>
            </w:r>
            <w:r>
              <w:rPr>
                <w:color w:val="auto"/>
                <w:sz w:val="21"/>
                <w:szCs w:val="21"/>
                <w:highlight w:val="none"/>
              </w:rPr>
              <w:t>分</w:t>
            </w:r>
            <w:r>
              <w:rPr>
                <w:rFonts w:hint="eastAsia"/>
                <w:color w:val="auto"/>
                <w:sz w:val="21"/>
                <w:szCs w:val="21"/>
                <w:highlight w:val="none"/>
              </w:rPr>
              <w:t xml:space="preserve">         </w:t>
            </w:r>
          </w:p>
          <w:p>
            <w:pPr>
              <w:adjustRightInd/>
              <w:spacing w:line="360" w:lineRule="auto"/>
              <w:jc w:val="both"/>
              <w:textAlignment w:val="auto"/>
              <w:rPr>
                <w:b/>
                <w:bCs/>
                <w:color w:val="auto"/>
                <w:sz w:val="21"/>
                <w:szCs w:val="21"/>
                <w:highlight w:val="none"/>
              </w:rPr>
            </w:pPr>
            <w:r>
              <w:rPr>
                <w:rFonts w:hint="eastAsia"/>
                <w:b/>
                <w:bCs/>
                <w:color w:val="auto"/>
                <w:sz w:val="21"/>
                <w:szCs w:val="21"/>
                <w:highlight w:val="none"/>
              </w:rPr>
              <w:t>第二个信封（报价文件）评分分值构成：</w:t>
            </w:r>
          </w:p>
          <w:p>
            <w:pPr>
              <w:spacing w:line="340" w:lineRule="atLeast"/>
              <w:rPr>
                <w:color w:val="auto"/>
                <w:sz w:val="21"/>
                <w:szCs w:val="21"/>
                <w:highlight w:val="none"/>
              </w:rPr>
            </w:pPr>
            <w:r>
              <w:rPr>
                <w:color w:val="auto"/>
                <w:sz w:val="21"/>
                <w:szCs w:val="21"/>
                <w:highlight w:val="none"/>
              </w:rPr>
              <w:t>评标价：</w:t>
            </w:r>
            <w:r>
              <w:rPr>
                <w:rFonts w:hint="eastAsia"/>
                <w:color w:val="auto"/>
                <w:sz w:val="21"/>
                <w:szCs w:val="21"/>
                <w:highlight w:val="none"/>
                <w:u w:val="single"/>
              </w:rPr>
              <w:t xml:space="preserve">  50  </w:t>
            </w:r>
            <w:r>
              <w:rPr>
                <w:color w:val="auto"/>
                <w:sz w:val="21"/>
                <w:szCs w:val="21"/>
                <w:highlight w:val="none"/>
              </w:rPr>
              <w:t>分</w:t>
            </w:r>
            <w:bookmarkEnd w:id="0"/>
          </w:p>
        </w:tc>
      </w:tr>
    </w:tbl>
    <w:p>
      <w:pPr>
        <w:ind w:firstLine="480" w:firstLineChars="200"/>
        <w:jc w:val="right"/>
        <w:rPr>
          <w:rFonts w:hint="eastAsia"/>
          <w:color w:val="auto"/>
          <w:highlight w:val="none"/>
        </w:rPr>
      </w:pPr>
      <w:r>
        <w:rPr>
          <w:color w:val="auto"/>
          <w:highlight w:val="none"/>
        </w:rPr>
        <w:br w:type="page"/>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634"/>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blHeader/>
        </w:trPr>
        <w:tc>
          <w:tcPr>
            <w:tcW w:w="994" w:type="dxa"/>
            <w:vAlign w:val="center"/>
          </w:tcPr>
          <w:p>
            <w:pPr>
              <w:wordWrap w:val="0"/>
              <w:topLinePunct/>
              <w:adjustRightInd/>
              <w:spacing w:line="276" w:lineRule="auto"/>
              <w:jc w:val="center"/>
              <w:rPr>
                <w:color w:val="auto"/>
                <w:szCs w:val="24"/>
                <w:highlight w:val="none"/>
              </w:rPr>
            </w:pPr>
            <w:r>
              <w:rPr>
                <w:rFonts w:hint="eastAsia"/>
                <w:b/>
                <w:color w:val="auto"/>
                <w:szCs w:val="24"/>
                <w:highlight w:val="none"/>
              </w:rPr>
              <w:t>条款号</w:t>
            </w:r>
          </w:p>
        </w:tc>
        <w:tc>
          <w:tcPr>
            <w:tcW w:w="1634" w:type="dxa"/>
            <w:vAlign w:val="center"/>
          </w:tcPr>
          <w:p>
            <w:pPr>
              <w:wordWrap w:val="0"/>
              <w:topLinePunct/>
              <w:adjustRightInd/>
              <w:spacing w:line="276" w:lineRule="auto"/>
              <w:jc w:val="center"/>
              <w:rPr>
                <w:rFonts w:hint="eastAsia"/>
                <w:b/>
                <w:color w:val="auto"/>
                <w:szCs w:val="24"/>
                <w:highlight w:val="none"/>
              </w:rPr>
            </w:pPr>
            <w:r>
              <w:rPr>
                <w:rFonts w:hint="eastAsia"/>
                <w:b/>
                <w:color w:val="auto"/>
                <w:szCs w:val="24"/>
                <w:highlight w:val="none"/>
              </w:rPr>
              <w:t>条款内容</w:t>
            </w:r>
          </w:p>
        </w:tc>
        <w:tc>
          <w:tcPr>
            <w:tcW w:w="5894" w:type="dxa"/>
            <w:vAlign w:val="center"/>
          </w:tcPr>
          <w:p>
            <w:pPr>
              <w:wordWrap w:val="0"/>
              <w:topLinePunct/>
              <w:adjustRightInd/>
              <w:spacing w:line="276" w:lineRule="auto"/>
              <w:ind w:firstLine="482" w:firstLineChars="200"/>
              <w:jc w:val="center"/>
              <w:rPr>
                <w:rFonts w:hint="eastAsia"/>
                <w:b/>
                <w:color w:val="auto"/>
                <w:szCs w:val="24"/>
                <w:highlight w:val="none"/>
              </w:rPr>
            </w:pPr>
            <w:r>
              <w:rPr>
                <w:rFonts w:hint="eastAsia"/>
                <w:b/>
                <w:color w:val="auto"/>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13" w:hRule="atLeast"/>
        </w:trPr>
        <w:tc>
          <w:tcPr>
            <w:tcW w:w="994" w:type="dxa"/>
            <w:vAlign w:val="center"/>
          </w:tcPr>
          <w:p>
            <w:pPr>
              <w:wordWrap w:val="0"/>
              <w:topLinePunct/>
              <w:spacing w:line="276" w:lineRule="auto"/>
              <w:jc w:val="center"/>
              <w:rPr>
                <w:color w:val="auto"/>
                <w:highlight w:val="none"/>
              </w:rPr>
            </w:pPr>
            <w:r>
              <w:rPr>
                <w:color w:val="auto"/>
                <w:highlight w:val="none"/>
              </w:rPr>
              <w:t>2.2.2</w:t>
            </w:r>
          </w:p>
        </w:tc>
        <w:tc>
          <w:tcPr>
            <w:tcW w:w="1634" w:type="dxa"/>
            <w:vAlign w:val="center"/>
          </w:tcPr>
          <w:p>
            <w:pPr>
              <w:widowControl/>
              <w:jc w:val="center"/>
              <w:rPr>
                <w:color w:val="auto"/>
                <w:sz w:val="21"/>
                <w:szCs w:val="21"/>
                <w:highlight w:val="none"/>
              </w:rPr>
            </w:pPr>
            <w:r>
              <w:rPr>
                <w:color w:val="auto"/>
                <w:sz w:val="21"/>
                <w:szCs w:val="21"/>
                <w:highlight w:val="none"/>
              </w:rPr>
              <w:t>评标基准价计算方法</w:t>
            </w:r>
          </w:p>
        </w:tc>
        <w:tc>
          <w:tcPr>
            <w:tcW w:w="5894" w:type="dxa"/>
            <w:vAlign w:val="center"/>
          </w:tcPr>
          <w:p>
            <w:pPr>
              <w:spacing w:line="360" w:lineRule="exact"/>
              <w:ind w:firstLine="315" w:firstLineChars="150"/>
              <w:rPr>
                <w:color w:val="auto"/>
                <w:sz w:val="21"/>
                <w:szCs w:val="21"/>
                <w:highlight w:val="none"/>
              </w:rPr>
            </w:pPr>
            <w:r>
              <w:rPr>
                <w:color w:val="auto"/>
                <w:sz w:val="21"/>
                <w:szCs w:val="21"/>
                <w:highlight w:val="none"/>
              </w:rPr>
              <w:t>评标基准价的计算：</w:t>
            </w:r>
          </w:p>
          <w:p>
            <w:pPr>
              <w:spacing w:line="360" w:lineRule="exact"/>
              <w:ind w:firstLine="420" w:firstLineChars="200"/>
              <w:rPr>
                <w:color w:val="auto"/>
                <w:sz w:val="21"/>
                <w:szCs w:val="21"/>
                <w:highlight w:val="none"/>
              </w:rPr>
            </w:pPr>
            <w:r>
              <w:rPr>
                <w:color w:val="auto"/>
                <w:sz w:val="21"/>
                <w:szCs w:val="21"/>
                <w:highlight w:val="none"/>
              </w:rPr>
              <w:t>在开标现场，招标人将当场计算并宣布评标基准价。</w:t>
            </w:r>
          </w:p>
          <w:p>
            <w:pPr>
              <w:spacing w:line="360" w:lineRule="exact"/>
              <w:ind w:firstLine="420" w:firstLineChars="200"/>
              <w:rPr>
                <w:color w:val="auto"/>
                <w:sz w:val="21"/>
                <w:szCs w:val="21"/>
                <w:highlight w:val="none"/>
              </w:rPr>
            </w:pPr>
            <w:r>
              <w:rPr>
                <w:color w:val="auto"/>
                <w:sz w:val="21"/>
                <w:szCs w:val="21"/>
                <w:highlight w:val="none"/>
              </w:rPr>
              <w:t>（1</w:t>
            </w:r>
            <w:r>
              <w:rPr>
                <w:rFonts w:ascii="宋体" w:hAnsi="宋体"/>
                <w:color w:val="auto"/>
                <w:sz w:val="21"/>
                <w:szCs w:val="21"/>
                <w:highlight w:val="none"/>
              </w:rPr>
              <w:t>）评标价的确定：</w:t>
            </w:r>
          </w:p>
          <w:p>
            <w:pPr>
              <w:spacing w:line="360" w:lineRule="exact"/>
              <w:ind w:firstLine="420" w:firstLineChars="200"/>
              <w:rPr>
                <w:rFonts w:hint="eastAsia"/>
                <w:color w:val="auto"/>
                <w:sz w:val="21"/>
                <w:szCs w:val="21"/>
                <w:highlight w:val="none"/>
              </w:rPr>
            </w:pPr>
            <w:r>
              <w:rPr>
                <w:color w:val="auto"/>
                <w:sz w:val="21"/>
                <w:szCs w:val="21"/>
                <w:highlight w:val="none"/>
              </w:rPr>
              <w:t>评标价＝投标函文字报价</w:t>
            </w:r>
          </w:p>
          <w:p>
            <w:pPr>
              <w:ind w:firstLine="420" w:firstLineChars="200"/>
              <w:rPr>
                <w:rFonts w:hint="eastAsia"/>
                <w:color w:val="auto"/>
                <w:sz w:val="21"/>
                <w:szCs w:val="21"/>
                <w:highlight w:val="none"/>
              </w:rPr>
            </w:pP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）最高评标限价的确定：</w:t>
            </w:r>
          </w:p>
          <w:p>
            <w:pPr>
              <w:ind w:firstLine="420" w:firstLineChars="200"/>
              <w:rPr>
                <w:color w:val="auto"/>
                <w:sz w:val="21"/>
                <w:szCs w:val="21"/>
                <w:highlight w:val="none"/>
              </w:rPr>
            </w:pPr>
            <w:r>
              <w:rPr>
                <w:rFonts w:hint="eastAsia"/>
                <w:color w:val="auto"/>
                <w:sz w:val="21"/>
                <w:szCs w:val="21"/>
                <w:highlight w:val="none"/>
              </w:rPr>
              <w:t>最高投标限价下浮率的确定</w:t>
            </w:r>
          </w:p>
          <w:p>
            <w:pPr>
              <w:ind w:firstLine="420" w:firstLineChars="200"/>
              <w:rPr>
                <w:rFonts w:hint="eastAsia"/>
                <w:color w:val="auto"/>
                <w:sz w:val="21"/>
                <w:szCs w:val="21"/>
                <w:highlight w:val="none"/>
              </w:rPr>
            </w:pPr>
            <w:r>
              <w:rPr>
                <w:rFonts w:hint="eastAsia"/>
                <w:color w:val="auto"/>
                <w:sz w:val="21"/>
                <w:szCs w:val="21"/>
                <w:highlight w:val="none"/>
              </w:rPr>
              <w:t>下浮率在</w:t>
            </w:r>
            <w:r>
              <w:rPr>
                <w:rFonts w:hint="eastAsia"/>
                <w:color w:val="auto"/>
                <w:sz w:val="21"/>
                <w:szCs w:val="21"/>
                <w:highlight w:val="none"/>
                <w:lang w:val="en-US" w:eastAsia="zh-CN"/>
              </w:rPr>
              <w:t>第二个信封</w:t>
            </w:r>
            <w:r>
              <w:rPr>
                <w:rFonts w:hint="eastAsia"/>
                <w:color w:val="auto"/>
                <w:sz w:val="21"/>
                <w:szCs w:val="21"/>
                <w:highlight w:val="none"/>
              </w:rPr>
              <w:t>开标前在开标现场采取摇珠方式确定。摇珠操作办法如下：在下浮率摇珠范围内，以0.1%为一档次增序确定摇珠号码，不少于31个球，一次性摇出3个球（摇出的球不放回），摇出3个球对应的下浮率的平均值即为本项目招标的下浮率（下浮率有效范围为  %~  %。注：三个下浮率的平均值四舍五入取整到0.001%。）。</w:t>
            </w:r>
          </w:p>
          <w:p>
            <w:pPr>
              <w:ind w:firstLine="420" w:firstLineChars="200"/>
              <w:rPr>
                <w:rFonts w:hint="eastAsia"/>
                <w:color w:val="auto"/>
                <w:sz w:val="21"/>
                <w:szCs w:val="21"/>
                <w:highlight w:val="none"/>
              </w:rPr>
            </w:pPr>
            <w:r>
              <w:rPr>
                <w:rFonts w:hint="eastAsia"/>
                <w:color w:val="auto"/>
                <w:sz w:val="21"/>
                <w:szCs w:val="21"/>
                <w:highlight w:val="none"/>
              </w:rPr>
              <w:t>最高评标限价=最高投标限价×（</w:t>
            </w:r>
            <w:r>
              <w:rPr>
                <w:color w:val="auto"/>
                <w:sz w:val="21"/>
                <w:szCs w:val="21"/>
                <w:highlight w:val="none"/>
              </w:rPr>
              <w:t>1-</w:t>
            </w:r>
            <w:r>
              <w:rPr>
                <w:rFonts w:hint="eastAsia"/>
                <w:color w:val="auto"/>
                <w:sz w:val="21"/>
                <w:szCs w:val="21"/>
                <w:highlight w:val="none"/>
              </w:rPr>
              <w:t>下浮率）</w:t>
            </w:r>
          </w:p>
          <w:p>
            <w:pPr>
              <w:ind w:firstLine="420" w:firstLineChars="200"/>
              <w:rPr>
                <w:rFonts w:hint="eastAsia"/>
                <w:color w:val="auto"/>
                <w:sz w:val="21"/>
                <w:szCs w:val="21"/>
                <w:highlight w:val="none"/>
              </w:rPr>
            </w:pPr>
            <w:r>
              <w:rPr>
                <w:rFonts w:hint="eastAsia"/>
                <w:color w:val="auto"/>
                <w:sz w:val="21"/>
                <w:szCs w:val="21"/>
                <w:highlight w:val="none"/>
              </w:rPr>
              <w:t>最高投标限价、下浮率有效范围可在投标文件递交截止日15天前以书面补遗书的形式通知各投标人。</w:t>
            </w:r>
          </w:p>
          <w:p>
            <w:pPr>
              <w:ind w:firstLine="420" w:firstLineChars="200"/>
              <w:rPr>
                <w:rFonts w:hint="eastAsia"/>
                <w:color w:val="auto"/>
                <w:sz w:val="21"/>
                <w:szCs w:val="21"/>
                <w:highlight w:val="none"/>
              </w:rPr>
            </w:pPr>
            <w:r>
              <w:rPr>
                <w:rFonts w:hint="eastAsia"/>
                <w:color w:val="auto"/>
                <w:sz w:val="21"/>
                <w:szCs w:val="21"/>
                <w:highlight w:val="none"/>
              </w:rPr>
              <w:t>（3）有效评标价范围：</w:t>
            </w:r>
          </w:p>
          <w:p>
            <w:pPr>
              <w:ind w:firstLine="420" w:firstLineChars="200"/>
              <w:rPr>
                <w:color w:val="auto"/>
                <w:sz w:val="21"/>
                <w:szCs w:val="21"/>
                <w:highlight w:val="none"/>
              </w:rPr>
            </w:pPr>
            <w:r>
              <w:rPr>
                <w:rFonts w:hint="eastAsia"/>
                <w:color w:val="auto"/>
                <w:sz w:val="21"/>
                <w:szCs w:val="21"/>
                <w:highlight w:val="none"/>
              </w:rPr>
              <w:t>有效评标价范围：不大于最高评标限价的评标价为有效评标价。若大于最高评标限价的评标价，其评标价得分为0分。若所有投标人的评标价得分均为0分，则所有投标文件均按否决投标处理。</w:t>
            </w:r>
          </w:p>
          <w:p>
            <w:pPr>
              <w:ind w:firstLine="420" w:firstLineChars="200"/>
              <w:rPr>
                <w:rFonts w:hint="eastAsia"/>
                <w:color w:val="auto"/>
                <w:sz w:val="21"/>
                <w:szCs w:val="21"/>
                <w:highlight w:val="none"/>
              </w:rPr>
            </w:pPr>
            <w:r>
              <w:rPr>
                <w:rFonts w:hint="eastAsia"/>
                <w:color w:val="auto"/>
                <w:sz w:val="21"/>
                <w:szCs w:val="21"/>
                <w:highlight w:val="none"/>
              </w:rPr>
              <w:t>（4）评标基准价的确定：</w:t>
            </w:r>
          </w:p>
          <w:p>
            <w:pPr>
              <w:ind w:firstLine="420" w:firstLineChars="200"/>
              <w:rPr>
                <w:rFonts w:hint="eastAsia"/>
                <w:color w:val="auto"/>
                <w:sz w:val="21"/>
                <w:szCs w:val="21"/>
                <w:highlight w:val="none"/>
              </w:rPr>
            </w:pPr>
            <w:r>
              <w:rPr>
                <w:rFonts w:hint="eastAsia"/>
                <w:color w:val="auto"/>
                <w:sz w:val="21"/>
                <w:szCs w:val="21"/>
                <w:highlight w:val="none"/>
              </w:rPr>
              <w:t>将最高评标限价下浮</w:t>
            </w:r>
            <w:r>
              <w:rPr>
                <w:color w:val="auto"/>
                <w:sz w:val="21"/>
                <w:szCs w:val="21"/>
                <w:highlight w:val="none"/>
                <w:u w:val="single"/>
              </w:rPr>
              <w:t xml:space="preserve"> </w:t>
            </w:r>
            <w:r>
              <w:rPr>
                <w:rFonts w:hint="eastAsia"/>
                <w:color w:val="auto"/>
                <w:sz w:val="21"/>
                <w:szCs w:val="21"/>
                <w:highlight w:val="none"/>
                <w:u w:val="single"/>
              </w:rPr>
              <w:t>2</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后，作为评标基准价。</w:t>
            </w:r>
          </w:p>
          <w:p>
            <w:pPr>
              <w:ind w:firstLine="420" w:firstLineChars="200"/>
              <w:rPr>
                <w:rFonts w:hint="eastAsia"/>
                <w:color w:val="auto"/>
                <w:sz w:val="21"/>
                <w:szCs w:val="21"/>
                <w:highlight w:val="none"/>
              </w:rPr>
            </w:pPr>
            <w:r>
              <w:rPr>
                <w:rFonts w:hint="eastAsia"/>
                <w:color w:val="auto"/>
                <w:sz w:val="21"/>
                <w:szCs w:val="21"/>
                <w:highlight w:val="none"/>
              </w:rPr>
              <w:t>在评标过程中，评标委员会应对招标人计算的</w:t>
            </w:r>
            <w:r>
              <w:rPr>
                <w:color w:val="auto"/>
                <w:sz w:val="21"/>
                <w:szCs w:val="21"/>
                <w:highlight w:val="none"/>
              </w:rPr>
              <w:t>评标基准价进行复核</w:t>
            </w:r>
            <w:r>
              <w:rPr>
                <w:rFonts w:hint="eastAsia"/>
                <w:color w:val="auto"/>
                <w:sz w:val="21"/>
                <w:szCs w:val="21"/>
                <w:highlight w:val="none"/>
              </w:rPr>
              <w:t>，</w:t>
            </w:r>
            <w:r>
              <w:rPr>
                <w:color w:val="auto"/>
                <w:sz w:val="21"/>
                <w:szCs w:val="21"/>
                <w:highlight w:val="none"/>
              </w:rPr>
              <w:t>存在计算错误的应予以修正并在评标报告中作出说明</w:t>
            </w:r>
            <w:r>
              <w:rPr>
                <w:rFonts w:hint="eastAsia"/>
                <w:color w:val="auto"/>
                <w:sz w:val="21"/>
                <w:szCs w:val="21"/>
                <w:highlight w:val="none"/>
              </w:rPr>
              <w:t>。除此之外，</w:t>
            </w:r>
            <w:r>
              <w:rPr>
                <w:color w:val="auto"/>
                <w:sz w:val="21"/>
                <w:szCs w:val="21"/>
                <w:highlight w:val="none"/>
              </w:rPr>
              <w:t>评标基准价在整个评标期间保持不变，不随</w:t>
            </w:r>
            <w:r>
              <w:rPr>
                <w:rFonts w:hint="eastAsia"/>
                <w:color w:val="auto"/>
                <w:sz w:val="21"/>
                <w:szCs w:val="21"/>
                <w:highlight w:val="none"/>
              </w:rPr>
              <w:t>任何</w:t>
            </w:r>
            <w:r>
              <w:rPr>
                <w:color w:val="auto"/>
                <w:sz w:val="21"/>
                <w:szCs w:val="21"/>
                <w:highlight w:val="none"/>
              </w:rPr>
              <w:t>因素发生变化</w:t>
            </w:r>
            <w:r>
              <w:rPr>
                <w:rFonts w:hint="eastAsia"/>
                <w:color w:val="auto"/>
                <w:sz w:val="21"/>
                <w:szCs w:val="21"/>
                <w:highlight w:val="none"/>
              </w:rPr>
              <w:t>。</w:t>
            </w:r>
          </w:p>
          <w:p>
            <w:pPr>
              <w:ind w:firstLine="420" w:firstLineChars="200"/>
              <w:rPr>
                <w:rFonts w:hint="eastAsia"/>
                <w:color w:val="auto"/>
                <w:sz w:val="21"/>
                <w:szCs w:val="21"/>
                <w:highlight w:val="none"/>
              </w:rPr>
            </w:pPr>
            <w:r>
              <w:rPr>
                <w:rFonts w:hint="eastAsia" w:hAnsi="宋体" w:cs="宋体"/>
                <w:color w:val="auto"/>
                <w:sz w:val="21"/>
                <w:szCs w:val="21"/>
                <w:highlight w:val="none"/>
              </w:rPr>
              <w:t>注：最高评标限价、</w:t>
            </w:r>
            <w:r>
              <w:rPr>
                <w:rFonts w:hAnsi="宋体" w:cs="宋体"/>
                <w:color w:val="auto"/>
                <w:sz w:val="21"/>
                <w:szCs w:val="21"/>
                <w:highlight w:val="none"/>
              </w:rPr>
              <w:t>评标基准价</w:t>
            </w:r>
            <w:r>
              <w:rPr>
                <w:rFonts w:hint="eastAsia" w:hAnsi="宋体" w:cs="宋体"/>
                <w:color w:val="auto"/>
                <w:sz w:val="21"/>
                <w:szCs w:val="21"/>
                <w:highlight w:val="none"/>
              </w:rPr>
              <w:t>的计算均</w:t>
            </w:r>
            <w:r>
              <w:rPr>
                <w:rFonts w:hAnsi="宋体" w:cs="宋体"/>
                <w:color w:val="auto"/>
                <w:sz w:val="21"/>
                <w:szCs w:val="21"/>
                <w:highlight w:val="none"/>
              </w:rPr>
              <w:t>四舍五入至个位整数。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6" w:hRule="atLeast"/>
        </w:trPr>
        <w:tc>
          <w:tcPr>
            <w:tcW w:w="994" w:type="dxa"/>
            <w:vAlign w:val="center"/>
          </w:tcPr>
          <w:p>
            <w:pPr>
              <w:wordWrap w:val="0"/>
              <w:topLinePunct/>
              <w:adjustRightInd/>
              <w:spacing w:line="276" w:lineRule="auto"/>
              <w:jc w:val="center"/>
              <w:rPr>
                <w:color w:val="auto"/>
                <w:highlight w:val="none"/>
              </w:rPr>
            </w:pPr>
            <w:r>
              <w:rPr>
                <w:color w:val="auto"/>
                <w:highlight w:val="none"/>
              </w:rPr>
              <w:t>2.2.3</w:t>
            </w:r>
          </w:p>
        </w:tc>
        <w:tc>
          <w:tcPr>
            <w:tcW w:w="1634" w:type="dxa"/>
            <w:vAlign w:val="center"/>
          </w:tcPr>
          <w:p>
            <w:pPr>
              <w:wordWrap w:val="0"/>
              <w:topLinePunct/>
              <w:adjustRightInd/>
              <w:spacing w:line="276" w:lineRule="auto"/>
              <w:jc w:val="center"/>
              <w:rPr>
                <w:color w:val="auto"/>
                <w:sz w:val="21"/>
                <w:szCs w:val="21"/>
                <w:highlight w:val="none"/>
              </w:rPr>
            </w:pPr>
            <w:r>
              <w:rPr>
                <w:color w:val="auto"/>
                <w:sz w:val="21"/>
                <w:szCs w:val="21"/>
                <w:highlight w:val="none"/>
              </w:rPr>
              <w:t>评标价的偏差率计算公式</w:t>
            </w:r>
          </w:p>
        </w:tc>
        <w:tc>
          <w:tcPr>
            <w:tcW w:w="5894" w:type="dxa"/>
            <w:vAlign w:val="center"/>
          </w:tcPr>
          <w:p>
            <w:pPr>
              <w:rPr>
                <w:color w:val="auto"/>
                <w:sz w:val="21"/>
                <w:szCs w:val="21"/>
                <w:highlight w:val="none"/>
              </w:rPr>
            </w:pPr>
            <w:r>
              <w:rPr>
                <w:color w:val="auto"/>
                <w:sz w:val="21"/>
                <w:szCs w:val="21"/>
                <w:highlight w:val="none"/>
              </w:rPr>
              <w:t>偏差率=100%×</w:t>
            </w:r>
            <w:r>
              <w:rPr>
                <w:rFonts w:ascii="宋体" w:hAnsi="宋体"/>
                <w:color w:val="auto"/>
                <w:sz w:val="21"/>
                <w:szCs w:val="21"/>
                <w:highlight w:val="none"/>
              </w:rPr>
              <w:t>（投标人评标价－评标基准价）</w:t>
            </w:r>
            <w:r>
              <w:rPr>
                <w:color w:val="auto"/>
                <w:sz w:val="21"/>
                <w:szCs w:val="21"/>
                <w:highlight w:val="none"/>
              </w:rPr>
              <w:t>/</w:t>
            </w:r>
            <w:r>
              <w:rPr>
                <w:rFonts w:ascii="宋体" w:hAnsi="宋体"/>
                <w:color w:val="auto"/>
                <w:sz w:val="21"/>
                <w:szCs w:val="21"/>
                <w:highlight w:val="none"/>
              </w:rPr>
              <w:t>评标基准价</w:t>
            </w:r>
          </w:p>
        </w:tc>
      </w:tr>
    </w:tbl>
    <w:p>
      <w:pPr>
        <w:jc w:val="center"/>
        <w:rPr>
          <w:rFonts w:hint="eastAsia"/>
          <w:b/>
          <w:color w:val="auto"/>
          <w:highlight w:val="none"/>
        </w:rPr>
      </w:pPr>
    </w:p>
    <w:p>
      <w:pPr>
        <w:jc w:val="center"/>
        <w:rPr>
          <w:rFonts w:hint="eastAsia"/>
          <w:b/>
          <w:color w:val="auto"/>
          <w:highlight w:val="none"/>
        </w:rPr>
      </w:pPr>
    </w:p>
    <w:p>
      <w:pPr>
        <w:jc w:val="center"/>
        <w:rPr>
          <w:rFonts w:hint="eastAsia"/>
          <w:b/>
          <w:color w:val="auto"/>
          <w:highlight w:val="none"/>
        </w:rPr>
      </w:pPr>
    </w:p>
    <w:p>
      <w:pPr>
        <w:jc w:val="center"/>
        <w:rPr>
          <w:rFonts w:hint="eastAsia"/>
          <w:b/>
          <w:color w:val="auto"/>
          <w:highlight w:val="none"/>
        </w:rPr>
      </w:pPr>
    </w:p>
    <w:p>
      <w:pPr>
        <w:jc w:val="center"/>
        <w:rPr>
          <w:rFonts w:hint="eastAsia"/>
          <w:b/>
          <w:color w:val="auto"/>
          <w:highlight w:val="none"/>
        </w:rPr>
      </w:pPr>
    </w:p>
    <w:p>
      <w:pPr>
        <w:jc w:val="center"/>
        <w:rPr>
          <w:rFonts w:hint="eastAsia"/>
          <w:b/>
          <w:color w:val="auto"/>
          <w:highlight w:val="none"/>
        </w:rPr>
      </w:pPr>
    </w:p>
    <w:p>
      <w:pPr>
        <w:jc w:val="center"/>
        <w:rPr>
          <w:rFonts w:hint="eastAsia"/>
          <w:b/>
          <w:color w:val="auto"/>
          <w:highlight w:val="none"/>
        </w:rPr>
      </w:pPr>
    </w:p>
    <w:p>
      <w:pPr>
        <w:jc w:val="right"/>
        <w:rPr>
          <w:color w:val="auto"/>
          <w:highlight w:val="none"/>
        </w:rPr>
      </w:pPr>
      <w:r>
        <w:rPr>
          <w:rFonts w:hint="eastAsia"/>
          <w:b/>
          <w:color w:val="auto"/>
          <w:highlight w:val="none"/>
        </w:rPr>
        <w:t>续上表</w:t>
      </w:r>
    </w:p>
    <w:tbl>
      <w:tblPr>
        <w:tblStyle w:val="6"/>
        <w:tblW w:w="85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46"/>
        <w:gridCol w:w="714"/>
        <w:gridCol w:w="3295"/>
        <w:gridCol w:w="567"/>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6224" w:type="dxa"/>
            <w:gridSpan w:val="5"/>
            <w:vAlign w:val="center"/>
          </w:tcPr>
          <w:p>
            <w:pPr>
              <w:spacing w:line="276" w:lineRule="auto"/>
              <w:jc w:val="center"/>
              <w:rPr>
                <w:color w:val="auto"/>
                <w:sz w:val="21"/>
                <w:szCs w:val="21"/>
                <w:highlight w:val="none"/>
              </w:rPr>
            </w:pPr>
            <w:bookmarkStart w:id="1" w:name="OLE_LINK1" w:colFirst="0" w:colLast="5"/>
            <w:r>
              <w:rPr>
                <w:rFonts w:hint="eastAsia" w:ascii="宋体" w:hAnsi="宋体"/>
                <w:b/>
                <w:color w:val="auto"/>
                <w:sz w:val="21"/>
                <w:szCs w:val="21"/>
                <w:highlight w:val="none"/>
              </w:rPr>
              <w:t>评审因素与评分值</w:t>
            </w:r>
          </w:p>
        </w:tc>
        <w:tc>
          <w:tcPr>
            <w:tcW w:w="2338" w:type="dxa"/>
            <w:vMerge w:val="restart"/>
            <w:vAlign w:val="center"/>
          </w:tcPr>
          <w:p>
            <w:pPr>
              <w:spacing w:line="276" w:lineRule="auto"/>
              <w:jc w:val="center"/>
              <w:rPr>
                <w:rFonts w:hint="eastAsia"/>
                <w:color w:val="auto"/>
                <w:sz w:val="21"/>
                <w:szCs w:val="21"/>
                <w:highlight w:val="none"/>
              </w:rPr>
            </w:pPr>
            <w:r>
              <w:rPr>
                <w:rFonts w:hint="eastAsia" w:ascii="宋体" w:hAnsi="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802" w:type="dxa"/>
            <w:vAlign w:val="center"/>
          </w:tcPr>
          <w:p>
            <w:pPr>
              <w:spacing w:line="276" w:lineRule="auto"/>
              <w:jc w:val="center"/>
              <w:rPr>
                <w:rFonts w:ascii="宋体" w:hAnsi="宋体"/>
                <w:color w:val="auto"/>
                <w:sz w:val="21"/>
                <w:szCs w:val="21"/>
                <w:highlight w:val="none"/>
              </w:rPr>
            </w:pPr>
            <w:r>
              <w:rPr>
                <w:rFonts w:hint="eastAsia" w:ascii="宋体" w:hAnsi="宋体"/>
                <w:b/>
                <w:color w:val="auto"/>
                <w:sz w:val="21"/>
                <w:szCs w:val="21"/>
                <w:highlight w:val="none"/>
              </w:rPr>
              <w:t>条款号</w:t>
            </w:r>
          </w:p>
        </w:tc>
        <w:tc>
          <w:tcPr>
            <w:tcW w:w="846" w:type="dxa"/>
            <w:vAlign w:val="center"/>
          </w:tcPr>
          <w:p>
            <w:pPr>
              <w:spacing w:line="276"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评审</w:t>
            </w:r>
          </w:p>
          <w:p>
            <w:pPr>
              <w:spacing w:line="276" w:lineRule="auto"/>
              <w:jc w:val="center"/>
              <w:rPr>
                <w:rFonts w:ascii="宋体" w:hAnsi="宋体"/>
                <w:color w:val="auto"/>
                <w:sz w:val="21"/>
                <w:szCs w:val="21"/>
                <w:highlight w:val="none"/>
              </w:rPr>
            </w:pPr>
            <w:r>
              <w:rPr>
                <w:rFonts w:hint="eastAsia" w:ascii="宋体" w:hAnsi="宋体"/>
                <w:b/>
                <w:color w:val="auto"/>
                <w:sz w:val="21"/>
                <w:szCs w:val="21"/>
                <w:highlight w:val="none"/>
              </w:rPr>
              <w:t>因素</w:t>
            </w:r>
          </w:p>
        </w:tc>
        <w:tc>
          <w:tcPr>
            <w:tcW w:w="714" w:type="dxa"/>
            <w:vAlign w:val="center"/>
          </w:tcPr>
          <w:p>
            <w:pPr>
              <w:spacing w:line="276" w:lineRule="auto"/>
              <w:jc w:val="center"/>
              <w:rPr>
                <w:rFonts w:hint="eastAsia" w:ascii="宋体" w:hAnsi="宋体"/>
                <w:color w:val="auto"/>
                <w:sz w:val="21"/>
                <w:szCs w:val="21"/>
                <w:highlight w:val="none"/>
                <w:u w:val="single"/>
              </w:rPr>
            </w:pPr>
            <w:r>
              <w:rPr>
                <w:rFonts w:hint="eastAsia" w:ascii="宋体" w:hAnsi="宋体"/>
                <w:b/>
                <w:color w:val="auto"/>
                <w:sz w:val="21"/>
                <w:szCs w:val="21"/>
                <w:highlight w:val="none"/>
              </w:rPr>
              <w:t>评分因素权重分值</w:t>
            </w:r>
          </w:p>
        </w:tc>
        <w:tc>
          <w:tcPr>
            <w:tcW w:w="3295" w:type="dxa"/>
            <w:vAlign w:val="center"/>
          </w:tcPr>
          <w:p>
            <w:pPr>
              <w:spacing w:line="276" w:lineRule="auto"/>
              <w:jc w:val="center"/>
              <w:rPr>
                <w:rFonts w:hint="eastAsia" w:ascii="宋体" w:hAnsi="宋体"/>
                <w:color w:val="auto"/>
                <w:sz w:val="21"/>
                <w:szCs w:val="21"/>
                <w:highlight w:val="none"/>
              </w:rPr>
            </w:pPr>
            <w:r>
              <w:rPr>
                <w:rFonts w:hint="eastAsia" w:ascii="宋体" w:hAnsi="宋体"/>
                <w:b/>
                <w:color w:val="auto"/>
                <w:sz w:val="21"/>
                <w:szCs w:val="21"/>
                <w:highlight w:val="none"/>
              </w:rPr>
              <w:t>各评审因素细分项</w:t>
            </w:r>
          </w:p>
        </w:tc>
        <w:tc>
          <w:tcPr>
            <w:tcW w:w="567" w:type="dxa"/>
            <w:vAlign w:val="center"/>
          </w:tcPr>
          <w:p>
            <w:pPr>
              <w:spacing w:line="276" w:lineRule="auto"/>
              <w:jc w:val="center"/>
              <w:rPr>
                <w:color w:val="auto"/>
                <w:sz w:val="21"/>
                <w:szCs w:val="21"/>
                <w:highlight w:val="none"/>
              </w:rPr>
            </w:pPr>
            <w:r>
              <w:rPr>
                <w:rFonts w:hint="eastAsia" w:ascii="宋体" w:hAnsi="宋体"/>
                <w:b/>
                <w:color w:val="auto"/>
                <w:sz w:val="21"/>
                <w:szCs w:val="21"/>
                <w:highlight w:val="none"/>
              </w:rPr>
              <w:t>分值</w:t>
            </w:r>
          </w:p>
        </w:tc>
        <w:tc>
          <w:tcPr>
            <w:tcW w:w="2338" w:type="dxa"/>
            <w:vMerge w:val="continue"/>
            <w:vAlign w:val="center"/>
          </w:tcPr>
          <w:p>
            <w:pPr>
              <w:spacing w:line="276" w:lineRule="auto"/>
              <w:jc w:val="both"/>
              <w:rPr>
                <w:rFonts w:hint="eastAsia"/>
                <w:color w:val="auto"/>
                <w:sz w:val="21"/>
                <w:szCs w:val="21"/>
                <w:highlight w:val="none"/>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restart"/>
            <w:vAlign w:val="center"/>
          </w:tcPr>
          <w:p>
            <w:pPr>
              <w:spacing w:line="276" w:lineRule="auto"/>
              <w:jc w:val="center"/>
              <w:rPr>
                <w:rFonts w:hint="eastAsia" w:ascii="宋体" w:hAnsi="宋体"/>
                <w:color w:val="auto"/>
                <w:sz w:val="21"/>
                <w:szCs w:val="21"/>
                <w:highlight w:val="none"/>
              </w:rPr>
            </w:pPr>
            <w:r>
              <w:rPr>
                <w:rFonts w:hint="eastAsia" w:ascii="宋体" w:hAnsi="宋体"/>
                <w:color w:val="auto"/>
                <w:sz w:val="21"/>
                <w:szCs w:val="21"/>
                <w:highlight w:val="none"/>
              </w:rPr>
              <w:t>2.2.4</w:t>
            </w:r>
          </w:p>
          <w:p>
            <w:pPr>
              <w:spacing w:line="276" w:lineRule="auto"/>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846" w:type="dxa"/>
            <w:vMerge w:val="restart"/>
            <w:vAlign w:val="center"/>
          </w:tcPr>
          <w:p>
            <w:pPr>
              <w:adjustRightInd/>
              <w:spacing w:line="276" w:lineRule="auto"/>
              <w:jc w:val="center"/>
              <w:rPr>
                <w:rFonts w:hint="eastAsia" w:ascii="宋体" w:hAnsi="宋体"/>
                <w:color w:val="auto"/>
                <w:sz w:val="21"/>
                <w:szCs w:val="21"/>
                <w:highlight w:val="none"/>
              </w:rPr>
            </w:pPr>
            <w:r>
              <w:rPr>
                <w:rFonts w:hint="eastAsia" w:ascii="宋体" w:hAnsi="宋体"/>
                <w:color w:val="auto"/>
                <w:sz w:val="21"/>
                <w:szCs w:val="21"/>
                <w:highlight w:val="none"/>
              </w:rPr>
              <w:t>技术建议书</w:t>
            </w:r>
          </w:p>
        </w:tc>
        <w:tc>
          <w:tcPr>
            <w:tcW w:w="714" w:type="dxa"/>
            <w:vMerge w:val="restart"/>
            <w:vAlign w:val="center"/>
          </w:tcPr>
          <w:p>
            <w:pPr>
              <w:adjustRightInd/>
              <w:spacing w:line="276" w:lineRule="auto"/>
              <w:jc w:val="center"/>
              <w:rPr>
                <w:rFonts w:ascii="宋体" w:hAnsi="宋体"/>
                <w:color w:val="auto"/>
                <w:sz w:val="21"/>
                <w:szCs w:val="21"/>
                <w:highlight w:val="none"/>
              </w:rPr>
            </w:pPr>
            <w:r>
              <w:rPr>
                <w:rFonts w:hint="eastAsia" w:ascii="宋体" w:hAnsi="宋体"/>
                <w:color w:val="auto"/>
                <w:sz w:val="21"/>
                <w:szCs w:val="21"/>
                <w:highlight w:val="none"/>
                <w:u w:val="single"/>
              </w:rPr>
              <w:t>15</w:t>
            </w:r>
            <w:r>
              <w:rPr>
                <w:rFonts w:hint="eastAsia" w:ascii="宋体" w:hAnsi="宋体"/>
                <w:color w:val="auto"/>
                <w:sz w:val="21"/>
                <w:szCs w:val="21"/>
                <w:highlight w:val="none"/>
              </w:rPr>
              <w:t>分</w:t>
            </w:r>
          </w:p>
        </w:tc>
        <w:tc>
          <w:tcPr>
            <w:tcW w:w="3295" w:type="dxa"/>
            <w:vAlign w:val="center"/>
          </w:tcPr>
          <w:p>
            <w:pPr>
              <w:spacing w:line="360" w:lineRule="exact"/>
              <w:rPr>
                <w:rFonts w:ascii="宋体" w:hAnsi="宋体"/>
                <w:color w:val="auto"/>
                <w:sz w:val="21"/>
                <w:szCs w:val="21"/>
                <w:highlight w:val="none"/>
              </w:rPr>
            </w:pPr>
            <w:r>
              <w:rPr>
                <w:rFonts w:hint="eastAsia" w:ascii="宋体" w:hAnsi="宋体" w:cs="Mongolian Baiti"/>
                <w:color w:val="auto"/>
                <w:sz w:val="21"/>
                <w:szCs w:val="21"/>
                <w:highlight w:val="none"/>
                <w:lang w:bidi="ar"/>
              </w:rPr>
              <w:t>对招标项目的理解和总体思路</w:t>
            </w:r>
          </w:p>
        </w:tc>
        <w:tc>
          <w:tcPr>
            <w:tcW w:w="567" w:type="dxa"/>
            <w:vAlign w:val="center"/>
          </w:tcPr>
          <w:p>
            <w:pPr>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分</w:t>
            </w:r>
          </w:p>
        </w:tc>
        <w:tc>
          <w:tcPr>
            <w:tcW w:w="2338" w:type="dxa"/>
            <w:vAlign w:val="center"/>
          </w:tcPr>
          <w:p>
            <w:pPr>
              <w:spacing w:line="276" w:lineRule="auto"/>
              <w:rPr>
                <w:rFonts w:hint="eastAsia" w:ascii="宋体" w:hAnsi="宋体"/>
                <w:color w:val="auto"/>
                <w:sz w:val="21"/>
                <w:szCs w:val="21"/>
                <w:highlight w:val="none"/>
              </w:rPr>
            </w:pPr>
            <w:r>
              <w:rPr>
                <w:rFonts w:hint="eastAsia" w:ascii="宋体" w:hAnsi="宋体"/>
                <w:color w:val="auto"/>
                <w:sz w:val="21"/>
                <w:szCs w:val="21"/>
                <w:highlight w:val="none"/>
              </w:rPr>
              <w:t>起评分3.0分；</w:t>
            </w:r>
          </w:p>
          <w:p>
            <w:pPr>
              <w:spacing w:line="276" w:lineRule="auto"/>
              <w:rPr>
                <w:rFonts w:hint="eastAsia" w:ascii="宋体" w:hAnsi="宋体"/>
                <w:color w:val="auto"/>
                <w:sz w:val="21"/>
                <w:szCs w:val="21"/>
                <w:highlight w:val="none"/>
              </w:rPr>
            </w:pPr>
            <w:r>
              <w:rPr>
                <w:rFonts w:hint="eastAsia" w:ascii="宋体" w:hAnsi="宋体"/>
                <w:color w:val="auto"/>
                <w:sz w:val="21"/>
                <w:szCs w:val="21"/>
                <w:highlight w:val="none"/>
              </w:rPr>
              <w:t>较好得3.0～4.0分；</w:t>
            </w:r>
          </w:p>
          <w:p>
            <w:pPr>
              <w:spacing w:line="276" w:lineRule="auto"/>
              <w:rPr>
                <w:rFonts w:hint="eastAsia" w:ascii="宋体" w:hAnsi="宋体"/>
                <w:color w:val="auto"/>
                <w:sz w:val="21"/>
                <w:szCs w:val="21"/>
                <w:highlight w:val="none"/>
              </w:rPr>
            </w:pPr>
            <w:r>
              <w:rPr>
                <w:rFonts w:hint="eastAsia" w:ascii="宋体" w:hAnsi="宋体"/>
                <w:color w:val="auto"/>
                <w:sz w:val="21"/>
                <w:szCs w:val="21"/>
                <w:highlight w:val="none"/>
              </w:rPr>
              <w:t>很好得4.1～5.0分。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continue"/>
            <w:vAlign w:val="center"/>
          </w:tcPr>
          <w:p>
            <w:pPr>
              <w:spacing w:line="276" w:lineRule="auto"/>
              <w:jc w:val="both"/>
              <w:rPr>
                <w:rFonts w:ascii="宋体" w:hAnsi="宋体"/>
                <w:color w:val="auto"/>
                <w:sz w:val="21"/>
                <w:szCs w:val="21"/>
                <w:highlight w:val="none"/>
              </w:rPr>
            </w:pPr>
          </w:p>
        </w:tc>
        <w:tc>
          <w:tcPr>
            <w:tcW w:w="846" w:type="dxa"/>
            <w:vMerge w:val="continue"/>
            <w:vAlign w:val="center"/>
          </w:tcPr>
          <w:p>
            <w:pPr>
              <w:adjustRightInd/>
              <w:spacing w:line="276" w:lineRule="auto"/>
              <w:jc w:val="both"/>
              <w:rPr>
                <w:rFonts w:hint="eastAsia" w:ascii="宋体" w:hAnsi="宋体"/>
                <w:color w:val="auto"/>
                <w:sz w:val="21"/>
                <w:szCs w:val="21"/>
                <w:highlight w:val="none"/>
              </w:rPr>
            </w:pPr>
          </w:p>
        </w:tc>
        <w:tc>
          <w:tcPr>
            <w:tcW w:w="714" w:type="dxa"/>
            <w:vMerge w:val="continue"/>
            <w:vAlign w:val="center"/>
          </w:tcPr>
          <w:p>
            <w:pPr>
              <w:adjustRightInd/>
              <w:spacing w:line="276" w:lineRule="auto"/>
              <w:jc w:val="both"/>
              <w:rPr>
                <w:rFonts w:ascii="宋体" w:hAnsi="宋体"/>
                <w:color w:val="auto"/>
                <w:sz w:val="21"/>
                <w:szCs w:val="21"/>
                <w:highlight w:val="none"/>
              </w:rPr>
            </w:pPr>
          </w:p>
        </w:tc>
        <w:tc>
          <w:tcPr>
            <w:tcW w:w="3295" w:type="dxa"/>
            <w:vAlign w:val="center"/>
          </w:tcPr>
          <w:p>
            <w:pPr>
              <w:spacing w:line="360" w:lineRule="exact"/>
              <w:rPr>
                <w:rFonts w:ascii="宋体" w:hAnsi="宋体"/>
                <w:color w:val="auto"/>
                <w:sz w:val="21"/>
                <w:szCs w:val="21"/>
                <w:highlight w:val="none"/>
              </w:rPr>
            </w:pPr>
            <w:r>
              <w:rPr>
                <w:rFonts w:hint="eastAsia" w:ascii="宋体" w:hAnsi="宋体" w:cs="Mongolian Baiti"/>
                <w:color w:val="auto"/>
                <w:sz w:val="21"/>
                <w:szCs w:val="21"/>
                <w:highlight w:val="none"/>
                <w:lang w:bidi="ar"/>
              </w:rPr>
              <w:t>招标项目研究的特点、关键技术问题的认识及其对策措施</w:t>
            </w:r>
          </w:p>
        </w:tc>
        <w:tc>
          <w:tcPr>
            <w:tcW w:w="567" w:type="dxa"/>
            <w:vAlign w:val="center"/>
          </w:tcPr>
          <w:p>
            <w:pPr>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分</w:t>
            </w:r>
          </w:p>
        </w:tc>
        <w:tc>
          <w:tcPr>
            <w:tcW w:w="2338" w:type="dxa"/>
            <w:vAlign w:val="center"/>
          </w:tcPr>
          <w:p>
            <w:pPr>
              <w:spacing w:line="276" w:lineRule="auto"/>
              <w:rPr>
                <w:rFonts w:hint="eastAsia" w:ascii="宋体" w:hAnsi="宋体"/>
                <w:color w:val="auto"/>
                <w:sz w:val="21"/>
                <w:szCs w:val="21"/>
                <w:highlight w:val="none"/>
              </w:rPr>
            </w:pPr>
            <w:r>
              <w:rPr>
                <w:rFonts w:hint="eastAsia" w:ascii="宋体" w:hAnsi="宋体"/>
                <w:color w:val="auto"/>
                <w:sz w:val="21"/>
                <w:szCs w:val="21"/>
                <w:highlight w:val="none"/>
              </w:rPr>
              <w:t>起评分3.0分；</w:t>
            </w:r>
          </w:p>
          <w:p>
            <w:pPr>
              <w:spacing w:line="276" w:lineRule="auto"/>
              <w:rPr>
                <w:rFonts w:hint="eastAsia" w:ascii="宋体" w:hAnsi="宋体"/>
                <w:color w:val="auto"/>
                <w:sz w:val="21"/>
                <w:szCs w:val="21"/>
                <w:highlight w:val="none"/>
              </w:rPr>
            </w:pPr>
            <w:r>
              <w:rPr>
                <w:rFonts w:hint="eastAsia" w:ascii="宋体" w:hAnsi="宋体"/>
                <w:color w:val="auto"/>
                <w:sz w:val="21"/>
                <w:szCs w:val="21"/>
                <w:highlight w:val="none"/>
              </w:rPr>
              <w:t>较好得3.0～4.0分；</w:t>
            </w:r>
          </w:p>
          <w:p>
            <w:pPr>
              <w:spacing w:line="276" w:lineRule="auto"/>
              <w:rPr>
                <w:rFonts w:hint="eastAsia" w:ascii="宋体" w:hAnsi="宋体"/>
                <w:color w:val="auto"/>
                <w:sz w:val="21"/>
                <w:szCs w:val="21"/>
                <w:highlight w:val="none"/>
              </w:rPr>
            </w:pPr>
            <w:r>
              <w:rPr>
                <w:rFonts w:hint="eastAsia" w:ascii="宋体" w:hAnsi="宋体"/>
                <w:color w:val="auto"/>
                <w:sz w:val="21"/>
                <w:szCs w:val="21"/>
                <w:highlight w:val="none"/>
              </w:rPr>
              <w:t>很好得4.1～5.0分。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continue"/>
            <w:vAlign w:val="center"/>
          </w:tcPr>
          <w:p>
            <w:pPr>
              <w:spacing w:line="276" w:lineRule="auto"/>
              <w:jc w:val="both"/>
              <w:rPr>
                <w:rFonts w:ascii="宋体" w:hAnsi="宋体"/>
                <w:color w:val="auto"/>
                <w:sz w:val="21"/>
                <w:szCs w:val="21"/>
                <w:highlight w:val="none"/>
              </w:rPr>
            </w:pPr>
          </w:p>
        </w:tc>
        <w:tc>
          <w:tcPr>
            <w:tcW w:w="846" w:type="dxa"/>
            <w:vMerge w:val="continue"/>
            <w:vAlign w:val="center"/>
          </w:tcPr>
          <w:p>
            <w:pPr>
              <w:adjustRightInd/>
              <w:spacing w:line="276" w:lineRule="auto"/>
              <w:jc w:val="both"/>
              <w:rPr>
                <w:rFonts w:hint="eastAsia" w:ascii="宋体" w:hAnsi="宋体"/>
                <w:color w:val="auto"/>
                <w:sz w:val="21"/>
                <w:szCs w:val="21"/>
                <w:highlight w:val="none"/>
              </w:rPr>
            </w:pPr>
          </w:p>
        </w:tc>
        <w:tc>
          <w:tcPr>
            <w:tcW w:w="714" w:type="dxa"/>
            <w:vMerge w:val="continue"/>
            <w:vAlign w:val="center"/>
          </w:tcPr>
          <w:p>
            <w:pPr>
              <w:adjustRightInd/>
              <w:spacing w:line="276" w:lineRule="auto"/>
              <w:jc w:val="both"/>
              <w:rPr>
                <w:rFonts w:ascii="宋体" w:hAnsi="宋体"/>
                <w:color w:val="auto"/>
                <w:sz w:val="21"/>
                <w:szCs w:val="21"/>
                <w:highlight w:val="none"/>
              </w:rPr>
            </w:pPr>
          </w:p>
        </w:tc>
        <w:tc>
          <w:tcPr>
            <w:tcW w:w="3295" w:type="dxa"/>
            <w:vAlign w:val="center"/>
          </w:tcPr>
          <w:p>
            <w:pPr>
              <w:spacing w:line="360" w:lineRule="exact"/>
              <w:rPr>
                <w:rFonts w:ascii="宋体" w:hAnsi="宋体"/>
                <w:color w:val="auto"/>
                <w:sz w:val="21"/>
                <w:szCs w:val="21"/>
                <w:highlight w:val="none"/>
              </w:rPr>
            </w:pPr>
            <w:r>
              <w:rPr>
                <w:rFonts w:hint="eastAsia" w:ascii="宋体" w:hAnsi="宋体" w:cs="Mongolian Baiti"/>
                <w:color w:val="auto"/>
                <w:sz w:val="21"/>
                <w:szCs w:val="21"/>
                <w:highlight w:val="none"/>
                <w:lang w:bidi="ar"/>
              </w:rPr>
              <w:t>研究的质量保证措施、进度保证措施</w:t>
            </w:r>
          </w:p>
        </w:tc>
        <w:tc>
          <w:tcPr>
            <w:tcW w:w="567" w:type="dxa"/>
            <w:vAlign w:val="center"/>
          </w:tcPr>
          <w:p>
            <w:pPr>
              <w:spacing w:line="276" w:lineRule="auto"/>
              <w:jc w:val="center"/>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分</w:t>
            </w:r>
          </w:p>
        </w:tc>
        <w:tc>
          <w:tcPr>
            <w:tcW w:w="2338" w:type="dxa"/>
            <w:vAlign w:val="center"/>
          </w:tcPr>
          <w:p>
            <w:pPr>
              <w:spacing w:line="276" w:lineRule="auto"/>
              <w:rPr>
                <w:rFonts w:hint="eastAsia" w:ascii="宋体" w:hAnsi="宋体"/>
                <w:color w:val="auto"/>
                <w:sz w:val="21"/>
                <w:szCs w:val="21"/>
                <w:highlight w:val="none"/>
              </w:rPr>
            </w:pPr>
            <w:r>
              <w:rPr>
                <w:rFonts w:hint="eastAsia" w:ascii="宋体" w:hAnsi="宋体"/>
                <w:color w:val="auto"/>
                <w:sz w:val="21"/>
                <w:szCs w:val="21"/>
                <w:highlight w:val="none"/>
              </w:rPr>
              <w:t>起评分3.0分；</w:t>
            </w:r>
          </w:p>
          <w:p>
            <w:pPr>
              <w:spacing w:line="276" w:lineRule="auto"/>
              <w:rPr>
                <w:rFonts w:hint="eastAsia" w:ascii="宋体" w:hAnsi="宋体"/>
                <w:color w:val="auto"/>
                <w:sz w:val="21"/>
                <w:szCs w:val="21"/>
                <w:highlight w:val="none"/>
              </w:rPr>
            </w:pPr>
            <w:r>
              <w:rPr>
                <w:rFonts w:hint="eastAsia" w:ascii="宋体" w:hAnsi="宋体"/>
                <w:color w:val="auto"/>
                <w:sz w:val="21"/>
                <w:szCs w:val="21"/>
                <w:highlight w:val="none"/>
              </w:rPr>
              <w:t>较好得3.0～4.0分；</w:t>
            </w:r>
          </w:p>
          <w:p>
            <w:pPr>
              <w:spacing w:line="276" w:lineRule="auto"/>
              <w:rPr>
                <w:rFonts w:hint="eastAsia" w:ascii="宋体" w:hAnsi="宋体"/>
                <w:color w:val="auto"/>
                <w:sz w:val="21"/>
                <w:szCs w:val="21"/>
                <w:highlight w:val="none"/>
              </w:rPr>
            </w:pPr>
            <w:r>
              <w:rPr>
                <w:rFonts w:hint="eastAsia" w:ascii="宋体" w:hAnsi="宋体"/>
                <w:color w:val="auto"/>
                <w:sz w:val="21"/>
                <w:szCs w:val="21"/>
                <w:highlight w:val="none"/>
              </w:rPr>
              <w:t>很好得4.1～5.0分。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Align w:val="center"/>
          </w:tcPr>
          <w:p>
            <w:pPr>
              <w:adjustRightInd/>
              <w:spacing w:line="276" w:lineRule="auto"/>
              <w:jc w:val="center"/>
              <w:rPr>
                <w:rFonts w:hint="eastAsia" w:ascii="宋体" w:hAnsi="宋体"/>
                <w:color w:val="auto"/>
                <w:sz w:val="21"/>
                <w:szCs w:val="21"/>
                <w:highlight w:val="none"/>
              </w:rPr>
            </w:pPr>
            <w:r>
              <w:rPr>
                <w:rFonts w:hint="eastAsia" w:ascii="宋体" w:hAnsi="宋体"/>
                <w:color w:val="auto"/>
                <w:sz w:val="21"/>
                <w:szCs w:val="21"/>
                <w:highlight w:val="none"/>
              </w:rPr>
              <w:t>2.2.4</w:t>
            </w:r>
          </w:p>
          <w:p>
            <w:pPr>
              <w:spacing w:line="276" w:lineRule="auto"/>
              <w:jc w:val="both"/>
              <w:rPr>
                <w:rFonts w:ascii="宋体" w:hAnsi="宋体"/>
                <w:color w:val="auto"/>
                <w:sz w:val="21"/>
                <w:szCs w:val="21"/>
                <w:highlight w:val="none"/>
              </w:rPr>
            </w:pPr>
            <w:r>
              <w:rPr>
                <w:rFonts w:hint="eastAsia" w:ascii="宋体" w:hAnsi="宋体"/>
                <w:color w:val="auto"/>
                <w:sz w:val="21"/>
                <w:szCs w:val="21"/>
                <w:highlight w:val="none"/>
              </w:rPr>
              <w:t>(2)</w:t>
            </w:r>
          </w:p>
        </w:tc>
        <w:tc>
          <w:tcPr>
            <w:tcW w:w="846" w:type="dxa"/>
            <w:vAlign w:val="center"/>
          </w:tcPr>
          <w:p>
            <w:pPr>
              <w:adjustRightInd/>
              <w:spacing w:line="276" w:lineRule="auto"/>
              <w:jc w:val="center"/>
              <w:rPr>
                <w:rFonts w:hint="eastAsia" w:ascii="宋体" w:hAnsi="宋体"/>
                <w:color w:val="auto"/>
                <w:sz w:val="21"/>
                <w:szCs w:val="21"/>
                <w:highlight w:val="none"/>
              </w:rPr>
            </w:pPr>
            <w:r>
              <w:rPr>
                <w:rFonts w:hint="eastAsia" w:ascii="宋体" w:hAnsi="宋体"/>
                <w:color w:val="auto"/>
                <w:sz w:val="21"/>
                <w:szCs w:val="21"/>
                <w:highlight w:val="none"/>
              </w:rPr>
              <w:t>主要</w:t>
            </w:r>
          </w:p>
          <w:p>
            <w:pPr>
              <w:adjustRightInd/>
              <w:spacing w:line="276" w:lineRule="auto"/>
              <w:jc w:val="both"/>
              <w:rPr>
                <w:rFonts w:ascii="宋体" w:hAnsi="宋体"/>
                <w:color w:val="auto"/>
                <w:sz w:val="21"/>
                <w:szCs w:val="21"/>
                <w:highlight w:val="none"/>
              </w:rPr>
            </w:pPr>
            <w:r>
              <w:rPr>
                <w:rFonts w:hint="eastAsia" w:ascii="宋体" w:hAnsi="宋体"/>
                <w:color w:val="auto"/>
                <w:sz w:val="21"/>
                <w:szCs w:val="21"/>
                <w:highlight w:val="none"/>
              </w:rPr>
              <w:t>人员</w:t>
            </w:r>
          </w:p>
        </w:tc>
        <w:tc>
          <w:tcPr>
            <w:tcW w:w="714" w:type="dxa"/>
            <w:vAlign w:val="center"/>
          </w:tcPr>
          <w:p>
            <w:pPr>
              <w:adjustRightInd/>
              <w:spacing w:line="276" w:lineRule="auto"/>
              <w:jc w:val="both"/>
              <w:rPr>
                <w:rFonts w:ascii="宋体" w:hAnsi="宋体"/>
                <w:color w:val="auto"/>
                <w:sz w:val="21"/>
                <w:szCs w:val="21"/>
                <w:highlight w:val="none"/>
              </w:rPr>
            </w:pPr>
            <w:r>
              <w:rPr>
                <w:rFonts w:hint="eastAsia" w:ascii="宋体" w:hAnsi="宋体"/>
                <w:color w:val="auto"/>
                <w:sz w:val="21"/>
                <w:szCs w:val="21"/>
                <w:highlight w:val="none"/>
                <w:u w:val="single"/>
              </w:rPr>
              <w:t>10</w:t>
            </w:r>
            <w:r>
              <w:rPr>
                <w:rFonts w:hint="eastAsia" w:ascii="宋体" w:hAnsi="宋体"/>
                <w:color w:val="auto"/>
                <w:sz w:val="21"/>
                <w:szCs w:val="21"/>
                <w:highlight w:val="none"/>
              </w:rPr>
              <w:t>分</w:t>
            </w:r>
          </w:p>
        </w:tc>
        <w:tc>
          <w:tcPr>
            <w:tcW w:w="6200" w:type="dxa"/>
            <w:gridSpan w:val="3"/>
            <w:vAlign w:val="center"/>
          </w:tcPr>
          <w:p>
            <w:pPr>
              <w:spacing w:line="360" w:lineRule="exact"/>
              <w:rPr>
                <w:rFonts w:hint="eastAsia"/>
                <w:color w:val="auto"/>
                <w:highlight w:val="none"/>
              </w:rPr>
            </w:pPr>
            <w:r>
              <w:rPr>
                <w:rFonts w:hint="eastAsia" w:ascii="宋体" w:hAnsi="宋体" w:cs="Mongolian Baiti"/>
                <w:color w:val="auto"/>
                <w:sz w:val="21"/>
                <w:szCs w:val="21"/>
                <w:highlight w:val="none"/>
                <w:lang w:bidi="ar"/>
              </w:rPr>
              <w:t>满足资格审查条件</w:t>
            </w:r>
            <w:r>
              <w:rPr>
                <w:rFonts w:hint="eastAsia" w:ascii="宋体" w:hAnsi="宋体" w:cs="Mongolian Baiti"/>
                <w:color w:val="auto"/>
                <w:sz w:val="21"/>
                <w:szCs w:val="21"/>
                <w:highlight w:val="none"/>
                <w:lang w:eastAsia="zh-CN" w:bidi="ar"/>
              </w:rPr>
              <w:t>（</w:t>
            </w:r>
            <w:r>
              <w:rPr>
                <w:rFonts w:hint="eastAsia" w:ascii="宋体" w:hAnsi="宋体" w:cs="Mongolian Baiti"/>
                <w:color w:val="auto"/>
                <w:sz w:val="21"/>
                <w:szCs w:val="21"/>
                <w:highlight w:val="none"/>
                <w:lang w:val="en-US" w:eastAsia="zh-CN" w:bidi="ar"/>
              </w:rPr>
              <w:t>主要人员最低要求）</w:t>
            </w:r>
            <w:r>
              <w:rPr>
                <w:rFonts w:hint="eastAsia" w:ascii="宋体" w:hAnsi="宋体" w:cs="Mongolian Baiti"/>
                <w:color w:val="auto"/>
                <w:sz w:val="21"/>
                <w:szCs w:val="21"/>
                <w:highlight w:val="none"/>
                <w:lang w:bidi="ar"/>
              </w:rPr>
              <w:t>，得</w:t>
            </w:r>
            <w:r>
              <w:rPr>
                <w:rFonts w:hint="eastAsia" w:ascii="宋体" w:hAnsi="宋体" w:cs="Mongolian Baiti"/>
                <w:color w:val="auto"/>
                <w:sz w:val="21"/>
                <w:szCs w:val="21"/>
                <w:highlight w:val="none"/>
                <w:lang w:val="en-US" w:eastAsia="zh-CN" w:bidi="ar"/>
              </w:rPr>
              <w:t>10</w:t>
            </w:r>
            <w:r>
              <w:rPr>
                <w:rFonts w:hint="eastAsia" w:ascii="宋体" w:hAnsi="宋体" w:cs="Mongolian Baiti"/>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Align w:val="center"/>
          </w:tcPr>
          <w:p>
            <w:pPr>
              <w:spacing w:line="276" w:lineRule="auto"/>
              <w:jc w:val="both"/>
              <w:rPr>
                <w:rFonts w:ascii="宋体" w:hAnsi="宋体"/>
                <w:color w:val="auto"/>
                <w:sz w:val="21"/>
                <w:szCs w:val="21"/>
                <w:highlight w:val="none"/>
              </w:rPr>
            </w:pPr>
            <w:r>
              <w:rPr>
                <w:rFonts w:ascii="宋体" w:hAnsi="宋体"/>
                <w:color w:val="auto"/>
                <w:sz w:val="21"/>
                <w:szCs w:val="21"/>
                <w:highlight w:val="none"/>
              </w:rPr>
              <w:t>2.2.4（</w:t>
            </w:r>
            <w:r>
              <w:rPr>
                <w:rFonts w:hint="eastAsia" w:ascii="宋体" w:hAnsi="宋体"/>
                <w:color w:val="auto"/>
                <w:sz w:val="21"/>
                <w:szCs w:val="21"/>
                <w:highlight w:val="none"/>
              </w:rPr>
              <w:t>3</w:t>
            </w:r>
            <w:r>
              <w:rPr>
                <w:rFonts w:ascii="宋体" w:hAnsi="宋体"/>
                <w:color w:val="auto"/>
                <w:sz w:val="21"/>
                <w:szCs w:val="21"/>
                <w:highlight w:val="none"/>
              </w:rPr>
              <w:t>）</w:t>
            </w:r>
          </w:p>
        </w:tc>
        <w:tc>
          <w:tcPr>
            <w:tcW w:w="846" w:type="dxa"/>
            <w:vAlign w:val="center"/>
          </w:tcPr>
          <w:p>
            <w:pPr>
              <w:adjustRightInd/>
              <w:spacing w:line="276" w:lineRule="auto"/>
              <w:jc w:val="both"/>
              <w:rPr>
                <w:rFonts w:hint="eastAsia" w:ascii="宋体" w:hAnsi="宋体"/>
                <w:color w:val="auto"/>
                <w:sz w:val="21"/>
                <w:szCs w:val="21"/>
                <w:highlight w:val="none"/>
              </w:rPr>
            </w:pPr>
            <w:r>
              <w:rPr>
                <w:rFonts w:ascii="宋体" w:hAnsi="宋体"/>
                <w:color w:val="auto"/>
                <w:sz w:val="21"/>
                <w:szCs w:val="21"/>
                <w:highlight w:val="none"/>
              </w:rPr>
              <w:t>评标价</w:t>
            </w:r>
          </w:p>
        </w:tc>
        <w:tc>
          <w:tcPr>
            <w:tcW w:w="714" w:type="dxa"/>
            <w:vAlign w:val="center"/>
          </w:tcPr>
          <w:p>
            <w:pPr>
              <w:adjustRightInd/>
              <w:spacing w:line="276" w:lineRule="auto"/>
              <w:jc w:val="both"/>
              <w:rPr>
                <w:rFonts w:ascii="宋体" w:hAnsi="宋体"/>
                <w:color w:val="auto"/>
                <w:sz w:val="21"/>
                <w:szCs w:val="21"/>
                <w:highlight w:val="none"/>
              </w:rPr>
            </w:pPr>
            <w:r>
              <w:rPr>
                <w:rFonts w:hint="eastAsia" w:ascii="宋体" w:hAnsi="宋体"/>
                <w:color w:val="auto"/>
                <w:sz w:val="21"/>
                <w:szCs w:val="21"/>
                <w:highlight w:val="none"/>
                <w:u w:val="single"/>
              </w:rPr>
              <w:t>50</w:t>
            </w:r>
            <w:r>
              <w:rPr>
                <w:rFonts w:hint="eastAsia" w:ascii="宋体" w:hAnsi="宋体"/>
                <w:color w:val="auto"/>
                <w:sz w:val="21"/>
                <w:szCs w:val="21"/>
                <w:highlight w:val="none"/>
              </w:rPr>
              <w:t>分</w:t>
            </w:r>
          </w:p>
        </w:tc>
        <w:tc>
          <w:tcPr>
            <w:tcW w:w="6200" w:type="dxa"/>
            <w:gridSpan w:val="3"/>
            <w:vAlign w:val="center"/>
          </w:tcPr>
          <w:p>
            <w:pPr>
              <w:adjustRightInd/>
              <w:spacing w:line="380" w:lineRule="atLeast"/>
              <w:jc w:val="both"/>
              <w:textAlignment w:val="auto"/>
              <w:rPr>
                <w:rFonts w:hint="eastAsia"/>
                <w:color w:val="auto"/>
                <w:sz w:val="21"/>
                <w:szCs w:val="21"/>
                <w:highlight w:val="none"/>
              </w:rPr>
            </w:pPr>
            <w:bookmarkStart w:id="2" w:name="OLE_LINK2"/>
            <w:r>
              <w:rPr>
                <w:rFonts w:hint="eastAsia"/>
                <w:color w:val="auto"/>
                <w:sz w:val="21"/>
                <w:szCs w:val="21"/>
                <w:highlight w:val="none"/>
              </w:rPr>
              <w:t>评标价得分计算公式示例：</w:t>
            </w:r>
          </w:p>
          <w:p>
            <w:pPr>
              <w:adjustRightInd/>
              <w:spacing w:line="380" w:lineRule="atLeast"/>
              <w:jc w:val="both"/>
              <w:textAlignment w:val="auto"/>
              <w:rPr>
                <w:rFonts w:hint="eastAsia"/>
                <w:color w:val="auto"/>
                <w:sz w:val="21"/>
                <w:szCs w:val="21"/>
                <w:highlight w:val="none"/>
              </w:rPr>
            </w:pPr>
            <w:r>
              <w:rPr>
                <w:rFonts w:hint="eastAsia"/>
                <w:color w:val="auto"/>
                <w:sz w:val="21"/>
                <w:szCs w:val="21"/>
                <w:highlight w:val="none"/>
              </w:rPr>
              <w:t>（1）如果投标人的评标价&gt;评标基准价，则评标价得分＝F－偏差率×100×</w:t>
            </w:r>
            <w:r>
              <w:rPr>
                <w:rFonts w:hint="eastAsia"/>
                <w:color w:val="auto"/>
                <w:sz w:val="21"/>
                <w:szCs w:val="21"/>
                <w:highlight w:val="none"/>
                <w:lang w:val="en-US" w:eastAsia="zh-CN"/>
              </w:rPr>
              <w:t>1</w:t>
            </w:r>
            <w:r>
              <w:rPr>
                <w:rFonts w:hint="eastAsia"/>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rPr>
              <w:t>；</w:t>
            </w:r>
          </w:p>
          <w:p>
            <w:pPr>
              <w:adjustRightInd/>
              <w:spacing w:line="380" w:lineRule="atLeast"/>
              <w:jc w:val="both"/>
              <w:textAlignment w:val="auto"/>
              <w:rPr>
                <w:rFonts w:hint="eastAsia"/>
                <w:color w:val="auto"/>
                <w:sz w:val="21"/>
                <w:szCs w:val="21"/>
                <w:highlight w:val="none"/>
              </w:rPr>
            </w:pPr>
            <w:r>
              <w:rPr>
                <w:rFonts w:hint="eastAsia"/>
                <w:color w:val="auto"/>
                <w:sz w:val="21"/>
                <w:szCs w:val="21"/>
                <w:highlight w:val="none"/>
              </w:rPr>
              <w:t>（2）如果投标人的评标价≤评标基准价，则评标价得分＝F＋偏差率×100×0.</w:t>
            </w:r>
            <w:r>
              <w:rPr>
                <w:rFonts w:hint="eastAsia"/>
                <w:color w:val="auto"/>
                <w:sz w:val="21"/>
                <w:szCs w:val="21"/>
                <w:highlight w:val="none"/>
                <w:lang w:val="en-US" w:eastAsia="zh-CN"/>
              </w:rPr>
              <w:t>5</w:t>
            </w:r>
            <w:r>
              <w:rPr>
                <w:rFonts w:hint="eastAsia"/>
                <w:color w:val="auto"/>
                <w:sz w:val="21"/>
                <w:szCs w:val="21"/>
                <w:highlight w:val="none"/>
              </w:rPr>
              <w:t>。</w:t>
            </w:r>
          </w:p>
          <w:p>
            <w:pPr>
              <w:adjustRightInd/>
              <w:spacing w:line="380" w:lineRule="atLeast"/>
              <w:jc w:val="both"/>
              <w:textAlignment w:val="auto"/>
              <w:rPr>
                <w:rFonts w:hint="eastAsia"/>
                <w:color w:val="auto"/>
                <w:sz w:val="21"/>
                <w:szCs w:val="21"/>
                <w:highlight w:val="none"/>
              </w:rPr>
            </w:pPr>
            <w:r>
              <w:rPr>
                <w:rFonts w:hint="eastAsia"/>
                <w:color w:val="auto"/>
                <w:sz w:val="21"/>
                <w:szCs w:val="21"/>
                <w:highlight w:val="none"/>
              </w:rPr>
              <w:t xml:space="preserve">注： </w:t>
            </w:r>
            <w:bookmarkStart w:id="18" w:name="_GoBack"/>
            <w:bookmarkEnd w:id="18"/>
          </w:p>
          <w:p>
            <w:pPr>
              <w:adjustRightInd/>
              <w:spacing w:line="380" w:lineRule="atLeast"/>
              <w:jc w:val="both"/>
              <w:textAlignment w:val="auto"/>
              <w:rPr>
                <w:rFonts w:hint="eastAsia"/>
                <w:color w:val="auto"/>
                <w:sz w:val="21"/>
                <w:szCs w:val="21"/>
                <w:highlight w:val="none"/>
              </w:rPr>
            </w:pPr>
            <w:r>
              <w:rPr>
                <w:rFonts w:hint="eastAsia"/>
                <w:color w:val="auto"/>
                <w:sz w:val="21"/>
                <w:szCs w:val="21"/>
                <w:highlight w:val="none"/>
              </w:rPr>
              <w:t>F=50</w:t>
            </w:r>
          </w:p>
          <w:p>
            <w:pPr>
              <w:spacing w:line="276" w:lineRule="auto"/>
              <w:rPr>
                <w:rFonts w:hint="eastAsia" w:ascii="宋体" w:hAnsi="宋体"/>
                <w:color w:val="auto"/>
                <w:sz w:val="21"/>
                <w:szCs w:val="21"/>
                <w:highlight w:val="none"/>
              </w:rPr>
            </w:pPr>
            <w:r>
              <w:rPr>
                <w:rFonts w:hint="eastAsia" w:ascii="宋体" w:hAnsi="宋体"/>
                <w:color w:val="auto"/>
                <w:sz w:val="21"/>
                <w:szCs w:val="21"/>
                <w:highlight w:val="none"/>
              </w:rPr>
              <w:t>评标价得分计算保留小数点后四位，小数点后第五位“四舍五入”。</w:t>
            </w:r>
            <w:bookmarkEnd w:id="2"/>
          </w:p>
        </w:tc>
      </w:tr>
    </w:tbl>
    <w:p>
      <w:pPr>
        <w:rPr>
          <w:b/>
          <w:color w:val="auto"/>
          <w:highlight w:val="none"/>
        </w:rPr>
      </w:pPr>
      <w:r>
        <w:rPr>
          <w:b/>
          <w:color w:val="auto"/>
          <w:highlight w:val="none"/>
        </w:rPr>
        <w:br w:type="page"/>
      </w:r>
    </w:p>
    <w:tbl>
      <w:tblPr>
        <w:tblStyle w:val="6"/>
        <w:tblW w:w="89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46"/>
        <w:gridCol w:w="789"/>
        <w:gridCol w:w="1677"/>
        <w:gridCol w:w="4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114" w:type="dxa"/>
            <w:gridSpan w:val="4"/>
            <w:vAlign w:val="center"/>
          </w:tcPr>
          <w:p>
            <w:pPr>
              <w:adjustRightInd/>
              <w:spacing w:line="276" w:lineRule="auto"/>
              <w:jc w:val="center"/>
              <w:rPr>
                <w:rFonts w:ascii="宋体" w:hAnsi="宋体"/>
                <w:color w:val="auto"/>
                <w:sz w:val="21"/>
                <w:szCs w:val="21"/>
                <w:highlight w:val="none"/>
              </w:rPr>
            </w:pPr>
            <w:r>
              <w:rPr>
                <w:rFonts w:hint="eastAsia" w:ascii="宋体" w:hAnsi="宋体"/>
                <w:b/>
                <w:color w:val="auto"/>
                <w:sz w:val="21"/>
                <w:szCs w:val="21"/>
                <w:highlight w:val="none"/>
              </w:rPr>
              <w:t>评审因素与评分值</w:t>
            </w:r>
          </w:p>
        </w:tc>
        <w:tc>
          <w:tcPr>
            <w:tcW w:w="4831" w:type="dxa"/>
            <w:vMerge w:val="restart"/>
            <w:vAlign w:val="center"/>
          </w:tcPr>
          <w:p>
            <w:pPr>
              <w:adjustRightInd/>
              <w:spacing w:line="276" w:lineRule="auto"/>
              <w:jc w:val="center"/>
              <w:rPr>
                <w:rFonts w:hint="eastAsia" w:ascii="宋体" w:hAnsi="宋体"/>
                <w:color w:val="auto"/>
                <w:sz w:val="21"/>
                <w:szCs w:val="21"/>
                <w:highlight w:val="none"/>
              </w:rPr>
            </w:pPr>
            <w:r>
              <w:rPr>
                <w:rFonts w:hint="eastAsia" w:ascii="宋体" w:hAnsi="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Align w:val="center"/>
          </w:tcPr>
          <w:p>
            <w:pPr>
              <w:adjustRightInd/>
              <w:spacing w:line="276" w:lineRule="auto"/>
              <w:jc w:val="center"/>
              <w:rPr>
                <w:rFonts w:ascii="宋体" w:hAnsi="宋体"/>
                <w:color w:val="auto"/>
                <w:sz w:val="18"/>
                <w:szCs w:val="18"/>
                <w:highlight w:val="none"/>
              </w:rPr>
            </w:pPr>
            <w:r>
              <w:rPr>
                <w:rFonts w:hint="eastAsia" w:ascii="宋体" w:hAnsi="宋体"/>
                <w:b/>
                <w:color w:val="auto"/>
                <w:sz w:val="21"/>
                <w:szCs w:val="21"/>
                <w:highlight w:val="none"/>
              </w:rPr>
              <w:t>条款号</w:t>
            </w:r>
          </w:p>
        </w:tc>
        <w:tc>
          <w:tcPr>
            <w:tcW w:w="846" w:type="dxa"/>
            <w:vAlign w:val="center"/>
          </w:tcPr>
          <w:p>
            <w:pPr>
              <w:spacing w:line="276"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评审</w:t>
            </w:r>
          </w:p>
          <w:p>
            <w:pPr>
              <w:spacing w:line="276" w:lineRule="auto"/>
              <w:jc w:val="center"/>
              <w:rPr>
                <w:rFonts w:hint="eastAsia" w:ascii="宋体" w:hAnsi="宋体"/>
                <w:color w:val="auto"/>
                <w:sz w:val="21"/>
                <w:szCs w:val="21"/>
                <w:highlight w:val="none"/>
              </w:rPr>
            </w:pPr>
            <w:r>
              <w:rPr>
                <w:rFonts w:hint="eastAsia" w:ascii="宋体" w:hAnsi="宋体"/>
                <w:b/>
                <w:color w:val="auto"/>
                <w:sz w:val="21"/>
                <w:szCs w:val="21"/>
                <w:highlight w:val="none"/>
              </w:rPr>
              <w:t>因素</w:t>
            </w:r>
          </w:p>
        </w:tc>
        <w:tc>
          <w:tcPr>
            <w:tcW w:w="2466" w:type="dxa"/>
            <w:gridSpan w:val="2"/>
            <w:vAlign w:val="center"/>
          </w:tcPr>
          <w:p>
            <w:pPr>
              <w:adjustRightInd/>
              <w:spacing w:line="276" w:lineRule="auto"/>
              <w:jc w:val="center"/>
              <w:rPr>
                <w:rFonts w:hint="eastAsia" w:ascii="宋体" w:hAnsi="宋体"/>
                <w:color w:val="auto"/>
                <w:sz w:val="21"/>
                <w:szCs w:val="21"/>
                <w:highlight w:val="none"/>
                <w:u w:val="single"/>
              </w:rPr>
            </w:pPr>
            <w:r>
              <w:rPr>
                <w:rFonts w:hint="eastAsia" w:ascii="宋体" w:hAnsi="宋体"/>
                <w:b/>
                <w:color w:val="auto"/>
                <w:sz w:val="21"/>
                <w:szCs w:val="21"/>
                <w:highlight w:val="none"/>
              </w:rPr>
              <w:t>评分因素权重分值</w:t>
            </w:r>
          </w:p>
        </w:tc>
        <w:tc>
          <w:tcPr>
            <w:tcW w:w="4831" w:type="dxa"/>
            <w:vMerge w:val="continue"/>
            <w:vAlign w:val="center"/>
          </w:tcPr>
          <w:p>
            <w:pPr>
              <w:adjustRightInd/>
              <w:spacing w:line="276" w:lineRule="auto"/>
              <w:jc w:val="both"/>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0" w:hRule="atLeast"/>
          <w:jc w:val="center"/>
        </w:trPr>
        <w:tc>
          <w:tcPr>
            <w:tcW w:w="802" w:type="dxa"/>
            <w:vMerge w:val="restart"/>
            <w:vAlign w:val="center"/>
          </w:tcPr>
          <w:p>
            <w:pPr>
              <w:spacing w:line="276" w:lineRule="auto"/>
              <w:jc w:val="center"/>
              <w:rPr>
                <w:rFonts w:ascii="宋体" w:hAnsi="宋体"/>
                <w:color w:val="auto"/>
                <w:sz w:val="21"/>
                <w:szCs w:val="21"/>
                <w:highlight w:val="none"/>
              </w:rPr>
            </w:pPr>
            <w:r>
              <w:rPr>
                <w:rFonts w:ascii="宋体" w:hAnsi="宋体"/>
                <w:color w:val="auto"/>
                <w:sz w:val="21"/>
                <w:szCs w:val="21"/>
                <w:highlight w:val="none"/>
              </w:rPr>
              <w:t>2.2.4（</w:t>
            </w:r>
            <w:r>
              <w:rPr>
                <w:rFonts w:hint="eastAsia" w:ascii="宋体" w:hAnsi="宋体"/>
                <w:color w:val="auto"/>
                <w:sz w:val="21"/>
                <w:szCs w:val="21"/>
                <w:highlight w:val="none"/>
              </w:rPr>
              <w:t>4</w:t>
            </w:r>
            <w:r>
              <w:rPr>
                <w:rFonts w:ascii="宋体" w:hAnsi="宋体"/>
                <w:color w:val="auto"/>
                <w:sz w:val="21"/>
                <w:szCs w:val="21"/>
                <w:highlight w:val="none"/>
              </w:rPr>
              <w:t>）</w:t>
            </w:r>
          </w:p>
        </w:tc>
        <w:tc>
          <w:tcPr>
            <w:tcW w:w="846" w:type="dxa"/>
            <w:vMerge w:val="restart"/>
            <w:vAlign w:val="center"/>
          </w:tcPr>
          <w:p>
            <w:pPr>
              <w:spacing w:line="276" w:lineRule="auto"/>
              <w:jc w:val="center"/>
              <w:rPr>
                <w:rFonts w:hint="eastAsia" w:ascii="宋体" w:hAnsi="宋体"/>
                <w:color w:val="auto"/>
                <w:sz w:val="21"/>
                <w:szCs w:val="21"/>
                <w:highlight w:val="none"/>
              </w:rPr>
            </w:pPr>
            <w:r>
              <w:rPr>
                <w:rFonts w:hint="eastAsia" w:ascii="宋体" w:hAnsi="宋体"/>
                <w:color w:val="auto"/>
                <w:sz w:val="21"/>
                <w:szCs w:val="21"/>
                <w:highlight w:val="none"/>
              </w:rPr>
              <w:t>其他因素</w:t>
            </w:r>
          </w:p>
        </w:tc>
        <w:tc>
          <w:tcPr>
            <w:tcW w:w="789" w:type="dxa"/>
            <w:vAlign w:val="center"/>
          </w:tcPr>
          <w:p>
            <w:pPr>
              <w:spacing w:line="276" w:lineRule="auto"/>
              <w:jc w:val="center"/>
              <w:rPr>
                <w:rFonts w:hint="eastAsia" w:ascii="宋体" w:hAnsi="宋体"/>
                <w:color w:val="auto"/>
                <w:sz w:val="21"/>
                <w:szCs w:val="21"/>
                <w:highlight w:val="none"/>
              </w:rPr>
            </w:pPr>
            <w:r>
              <w:rPr>
                <w:rFonts w:hint="eastAsia"/>
                <w:color w:val="auto"/>
                <w:sz w:val="21"/>
                <w:szCs w:val="21"/>
                <w:highlight w:val="none"/>
              </w:rPr>
              <w:t>主要业绩</w:t>
            </w:r>
          </w:p>
        </w:tc>
        <w:tc>
          <w:tcPr>
            <w:tcW w:w="1677" w:type="dxa"/>
            <w:vAlign w:val="center"/>
          </w:tcPr>
          <w:p>
            <w:pPr>
              <w:adjustRightInd/>
              <w:spacing w:line="276" w:lineRule="auto"/>
              <w:jc w:val="center"/>
              <w:rPr>
                <w:rFonts w:hint="eastAsia" w:ascii="宋体" w:hAnsi="宋体"/>
                <w:color w:val="auto"/>
                <w:sz w:val="21"/>
                <w:szCs w:val="21"/>
                <w:highlight w:val="none"/>
                <w:u w:val="single"/>
              </w:rPr>
            </w:pPr>
            <w:r>
              <w:rPr>
                <w:rFonts w:hint="eastAsia" w:ascii="宋体" w:hAnsi="宋体"/>
                <w:color w:val="auto"/>
                <w:sz w:val="21"/>
                <w:szCs w:val="21"/>
                <w:highlight w:val="none"/>
                <w:u w:val="single"/>
              </w:rPr>
              <w:t>20</w:t>
            </w:r>
            <w:r>
              <w:rPr>
                <w:rFonts w:hint="eastAsia" w:ascii="宋体" w:hAnsi="宋体"/>
                <w:color w:val="auto"/>
                <w:sz w:val="21"/>
                <w:szCs w:val="21"/>
                <w:highlight w:val="none"/>
              </w:rPr>
              <w:t>分</w:t>
            </w:r>
          </w:p>
        </w:tc>
        <w:tc>
          <w:tcPr>
            <w:tcW w:w="4831" w:type="dxa"/>
            <w:vAlign w:val="center"/>
          </w:tcPr>
          <w:p>
            <w:pPr>
              <w:autoSpaceDE w:val="0"/>
              <w:autoSpaceDN w:val="0"/>
              <w:adjustRightInd/>
              <w:spacing w:line="360" w:lineRule="auto"/>
              <w:textAlignment w:val="auto"/>
              <w:rPr>
                <w:rFonts w:hint="eastAsia"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满足资格审查条件（业绩最低要求）的，得1</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分；在此基础上近10年内投标人：每增加1项与钢结构</w:t>
            </w:r>
            <w:r>
              <w:rPr>
                <w:rFonts w:hint="eastAsia" w:ascii="Times New Roman" w:hAnsi="Times New Roman" w:eastAsia="宋体" w:cs="Times New Roman"/>
                <w:color w:val="auto"/>
                <w:sz w:val="21"/>
                <w:szCs w:val="21"/>
                <w:highlight w:val="none"/>
                <w:lang w:val="en-US" w:eastAsia="zh-CN"/>
              </w:rPr>
              <w:t>材料性能</w:t>
            </w:r>
            <w:r>
              <w:rPr>
                <w:rFonts w:hint="default" w:ascii="Times New Roman" w:hAnsi="Times New Roman" w:eastAsia="宋体" w:cs="Times New Roman"/>
                <w:color w:val="auto"/>
                <w:sz w:val="21"/>
                <w:szCs w:val="21"/>
                <w:highlight w:val="none"/>
              </w:rPr>
              <w:t>或</w:t>
            </w:r>
            <w:r>
              <w:rPr>
                <w:rFonts w:hint="eastAsia" w:ascii="Times New Roman" w:hAnsi="Times New Roman" w:eastAsia="宋体" w:cs="Times New Roman"/>
                <w:color w:val="auto"/>
                <w:sz w:val="21"/>
                <w:szCs w:val="21"/>
                <w:highlight w:val="none"/>
                <w:lang w:val="en-US" w:eastAsia="zh-CN"/>
              </w:rPr>
              <w:t>金属</w:t>
            </w:r>
            <w:r>
              <w:rPr>
                <w:rFonts w:hint="default" w:ascii="Times New Roman" w:hAnsi="Times New Roman" w:eastAsia="宋体" w:cs="Times New Roman"/>
                <w:color w:val="auto"/>
                <w:sz w:val="21"/>
                <w:szCs w:val="21"/>
                <w:highlight w:val="none"/>
              </w:rPr>
              <w:t>表面处理相关的课题研究或专题研究加</w:t>
            </w:r>
            <w:r>
              <w:rPr>
                <w:rFonts w:hint="eastAsia"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分，最多加</w:t>
            </w:r>
            <w:r>
              <w:rPr>
                <w:rFonts w:hint="default"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p>
            <w:pPr>
              <w:pStyle w:val="4"/>
              <w:ind w:left="0" w:leftChars="0"/>
              <w:rPr>
                <w:rFonts w:hint="default"/>
              </w:rPr>
            </w:pPr>
            <w:r>
              <w:rPr>
                <w:rFonts w:hint="eastAsia"/>
                <w:color w:val="auto"/>
                <w:sz w:val="21"/>
                <w:szCs w:val="21"/>
                <w:highlight w:val="none"/>
                <w:lang w:val="en-US" w:eastAsia="zh-CN"/>
              </w:rPr>
              <w:t>若以联合体进行投标的，各成员业绩均累加计算，同一业绩不重复计算。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continue"/>
            <w:vAlign w:val="center"/>
          </w:tcPr>
          <w:p>
            <w:pPr>
              <w:adjustRightInd/>
              <w:spacing w:line="276" w:lineRule="auto"/>
              <w:jc w:val="center"/>
              <w:rPr>
                <w:rFonts w:ascii="宋体" w:hAnsi="宋体"/>
                <w:color w:val="auto"/>
                <w:sz w:val="18"/>
                <w:szCs w:val="18"/>
                <w:highlight w:val="none"/>
              </w:rPr>
            </w:pPr>
          </w:p>
        </w:tc>
        <w:tc>
          <w:tcPr>
            <w:tcW w:w="846" w:type="dxa"/>
            <w:vMerge w:val="continue"/>
            <w:vAlign w:val="center"/>
          </w:tcPr>
          <w:p>
            <w:pPr>
              <w:adjustRightInd/>
              <w:spacing w:line="276" w:lineRule="auto"/>
              <w:jc w:val="center"/>
              <w:rPr>
                <w:rFonts w:ascii="宋体" w:hAnsi="宋体"/>
                <w:color w:val="auto"/>
                <w:sz w:val="18"/>
                <w:szCs w:val="18"/>
                <w:highlight w:val="none"/>
              </w:rPr>
            </w:pPr>
          </w:p>
        </w:tc>
        <w:tc>
          <w:tcPr>
            <w:tcW w:w="789" w:type="dxa"/>
            <w:vAlign w:val="center"/>
          </w:tcPr>
          <w:p>
            <w:pPr>
              <w:spacing w:line="276" w:lineRule="auto"/>
              <w:jc w:val="center"/>
              <w:rPr>
                <w:rFonts w:hint="eastAsia" w:ascii="宋体" w:hAnsi="宋体"/>
                <w:color w:val="auto"/>
                <w:sz w:val="21"/>
                <w:szCs w:val="21"/>
                <w:highlight w:val="none"/>
              </w:rPr>
            </w:pPr>
            <w:r>
              <w:rPr>
                <w:rFonts w:hint="eastAsia" w:ascii="宋体" w:hAnsi="宋体"/>
                <w:color w:val="auto"/>
                <w:sz w:val="21"/>
                <w:szCs w:val="21"/>
                <w:highlight w:val="none"/>
              </w:rPr>
              <w:t>履约信誉</w:t>
            </w:r>
          </w:p>
        </w:tc>
        <w:tc>
          <w:tcPr>
            <w:tcW w:w="1677" w:type="dxa"/>
            <w:vAlign w:val="center"/>
          </w:tcPr>
          <w:p>
            <w:pPr>
              <w:adjustRightInd/>
              <w:spacing w:line="276" w:lineRule="auto"/>
              <w:jc w:val="center"/>
              <w:rPr>
                <w:rFonts w:hint="eastAsia" w:ascii="宋体" w:hAnsi="宋体"/>
                <w:color w:val="auto"/>
                <w:sz w:val="21"/>
                <w:szCs w:val="21"/>
                <w:highlight w:val="none"/>
                <w:u w:val="single"/>
              </w:rPr>
            </w:pPr>
            <w:r>
              <w:rPr>
                <w:rFonts w:hint="eastAsia" w:ascii="宋体" w:hAnsi="宋体"/>
                <w:color w:val="auto"/>
                <w:sz w:val="21"/>
                <w:szCs w:val="21"/>
                <w:highlight w:val="none"/>
                <w:u w:val="single"/>
              </w:rPr>
              <w:t>5</w:t>
            </w:r>
            <w:r>
              <w:rPr>
                <w:rFonts w:hint="eastAsia" w:ascii="宋体" w:hAnsi="宋体"/>
                <w:color w:val="auto"/>
                <w:sz w:val="21"/>
                <w:szCs w:val="21"/>
                <w:highlight w:val="none"/>
              </w:rPr>
              <w:t>分</w:t>
            </w:r>
          </w:p>
        </w:tc>
        <w:tc>
          <w:tcPr>
            <w:tcW w:w="4831" w:type="dxa"/>
            <w:vAlign w:val="center"/>
          </w:tcPr>
          <w:p>
            <w:pPr>
              <w:autoSpaceDE w:val="0"/>
              <w:autoSpaceDN w:val="0"/>
              <w:adjustRightInd/>
              <w:spacing w:line="360" w:lineRule="auto"/>
              <w:textAlignment w:val="auto"/>
              <w:rPr>
                <w:rFonts w:hAnsi="宋体"/>
                <w:color w:val="auto"/>
                <w:sz w:val="21"/>
                <w:szCs w:val="21"/>
                <w:highlight w:val="none"/>
              </w:rPr>
            </w:pPr>
            <w:r>
              <w:rPr>
                <w:rFonts w:hint="eastAsia" w:hAnsi="宋体"/>
                <w:color w:val="auto"/>
                <w:sz w:val="21"/>
                <w:szCs w:val="21"/>
                <w:highlight w:val="none"/>
              </w:rPr>
              <w:t>若没出现下述情形得满分（</w:t>
            </w:r>
            <w:r>
              <w:rPr>
                <w:rFonts w:hint="eastAsia" w:hAnsi="宋体"/>
                <w:color w:val="auto"/>
                <w:sz w:val="21"/>
                <w:szCs w:val="21"/>
                <w:highlight w:val="none"/>
                <w:u w:val="single"/>
              </w:rPr>
              <w:t xml:space="preserve"> 5 </w:t>
            </w:r>
            <w:r>
              <w:rPr>
                <w:rFonts w:hint="eastAsia" w:hAnsi="宋体"/>
                <w:color w:val="auto"/>
                <w:sz w:val="21"/>
                <w:szCs w:val="21"/>
                <w:highlight w:val="none"/>
              </w:rPr>
              <w:t>分）；</w:t>
            </w:r>
          </w:p>
          <w:p>
            <w:pPr>
              <w:autoSpaceDE w:val="0"/>
              <w:autoSpaceDN w:val="0"/>
              <w:adjustRightInd/>
              <w:spacing w:line="360" w:lineRule="auto"/>
              <w:textAlignment w:val="auto"/>
              <w:rPr>
                <w:rFonts w:ascii="宋体" w:hAnsi="宋体" w:cs="宋体"/>
                <w:color w:val="auto"/>
                <w:sz w:val="21"/>
                <w:szCs w:val="21"/>
                <w:highlight w:val="none"/>
              </w:rPr>
            </w:pPr>
            <w:r>
              <w:rPr>
                <w:rFonts w:hint="eastAsia" w:hAnsi="宋体"/>
                <w:color w:val="auto"/>
                <w:sz w:val="21"/>
                <w:szCs w:val="21"/>
                <w:highlight w:val="none"/>
              </w:rPr>
              <w:t>投标文件递交截止日前1年内，</w:t>
            </w:r>
            <w:r>
              <w:rPr>
                <w:rFonts w:hint="eastAsia" w:hAnsi="宋体"/>
                <w:color w:val="auto"/>
                <w:sz w:val="21"/>
                <w:szCs w:val="21"/>
                <w:highlight w:val="none"/>
                <w:lang w:val="en-US" w:eastAsia="zh-CN"/>
              </w:rPr>
              <w:t>投标人因新建或改扩建公路、安全、</w:t>
            </w:r>
            <w:r>
              <w:rPr>
                <w:rFonts w:hint="eastAsia" w:hAnsi="宋体"/>
                <w:color w:val="auto"/>
                <w:sz w:val="21"/>
                <w:szCs w:val="21"/>
                <w:highlight w:val="none"/>
              </w:rPr>
              <w:t>履约或招标投标问题等原因被：</w:t>
            </w:r>
          </w:p>
          <w:p>
            <w:pPr>
              <w:autoSpaceDE w:val="0"/>
              <w:autoSpaceDN w:val="0"/>
              <w:adjustRightInd/>
              <w:spacing w:line="240" w:lineRule="auto"/>
              <w:textAlignment w:val="auto"/>
              <w:rPr>
                <w:rFonts w:hint="eastAsia" w:hAnsi="宋体"/>
                <w:color w:val="auto"/>
                <w:sz w:val="21"/>
                <w:szCs w:val="21"/>
                <w:highlight w:val="none"/>
              </w:rPr>
            </w:pPr>
            <w:r>
              <w:rPr>
                <w:rFonts w:hint="eastAsia" w:hAnsi="宋体"/>
                <w:color w:val="auto"/>
                <w:sz w:val="21"/>
                <w:szCs w:val="21"/>
                <w:highlight w:val="none"/>
              </w:rPr>
              <w:t>（1）交通运输部行政处罚的，扣5分/次。</w:t>
            </w:r>
          </w:p>
          <w:p>
            <w:pPr>
              <w:autoSpaceDE w:val="0"/>
              <w:autoSpaceDN w:val="0"/>
              <w:adjustRightInd/>
              <w:spacing w:line="240" w:lineRule="auto"/>
              <w:textAlignment w:val="auto"/>
              <w:rPr>
                <w:rFonts w:hint="eastAsia" w:hAnsi="宋体"/>
                <w:color w:val="auto"/>
                <w:sz w:val="21"/>
                <w:szCs w:val="21"/>
                <w:highlight w:val="none"/>
              </w:rPr>
            </w:pPr>
            <w:r>
              <w:rPr>
                <w:rFonts w:hint="eastAsia" w:hAnsi="宋体"/>
                <w:color w:val="auto"/>
                <w:sz w:val="21"/>
                <w:szCs w:val="21"/>
                <w:highlight w:val="none"/>
              </w:rPr>
              <w:t xml:space="preserve">（2）广东省交通运输厅行政处罚的，扣3分/次。      </w:t>
            </w:r>
          </w:p>
          <w:p>
            <w:pPr>
              <w:autoSpaceDE w:val="0"/>
              <w:autoSpaceDN w:val="0"/>
              <w:adjustRightInd/>
              <w:spacing w:line="240" w:lineRule="auto"/>
              <w:textAlignment w:val="auto"/>
              <w:rPr>
                <w:rFonts w:hint="eastAsia" w:hAnsi="宋体"/>
                <w:color w:val="auto"/>
                <w:sz w:val="21"/>
                <w:szCs w:val="21"/>
                <w:highlight w:val="none"/>
              </w:rPr>
            </w:pPr>
            <w:r>
              <w:rPr>
                <w:rFonts w:hint="eastAsia" w:hAnsi="宋体"/>
                <w:color w:val="auto"/>
                <w:sz w:val="21"/>
                <w:szCs w:val="21"/>
                <w:highlight w:val="none"/>
              </w:rPr>
              <w:t>（3）广东省交通运输厅正式约谈的，扣0.1分/次。</w:t>
            </w:r>
          </w:p>
          <w:p>
            <w:pPr>
              <w:autoSpaceDE w:val="0"/>
              <w:autoSpaceDN w:val="0"/>
              <w:adjustRightInd/>
              <w:spacing w:line="240" w:lineRule="auto"/>
              <w:textAlignment w:val="auto"/>
              <w:rPr>
                <w:rFonts w:hint="eastAsia" w:hAnsi="宋体"/>
                <w:color w:val="auto"/>
                <w:sz w:val="21"/>
                <w:szCs w:val="21"/>
                <w:highlight w:val="none"/>
              </w:rPr>
            </w:pPr>
            <w:r>
              <w:rPr>
                <w:rFonts w:hint="eastAsia" w:hAnsi="宋体"/>
                <w:color w:val="auto"/>
                <w:sz w:val="21"/>
                <w:szCs w:val="21"/>
                <w:highlight w:val="none"/>
              </w:rPr>
              <w:t>同一事项同时被多个部门行政处罚或正式约谈只按最高的扣分计算1次[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r>
              <w:rPr>
                <w:rFonts w:hint="eastAsia" w:hAnsi="宋体"/>
                <w:color w:val="auto"/>
                <w:sz w:val="21"/>
                <w:szCs w:val="21"/>
                <w:highlight w:val="none"/>
                <w:lang w:val="en-US" w:eastAsia="zh-CN"/>
              </w:rPr>
              <w:t>]</w:t>
            </w:r>
            <w:r>
              <w:rPr>
                <w:rFonts w:hint="eastAsia" w:hAnsi="宋体"/>
                <w:color w:val="auto"/>
                <w:sz w:val="21"/>
                <w:szCs w:val="21"/>
                <w:highlight w:val="none"/>
              </w:rPr>
              <w:t>如果扣完本项分值，可以从总分中扣。</w:t>
            </w:r>
          </w:p>
          <w:p>
            <w:pPr>
              <w:autoSpaceDE w:val="0"/>
              <w:autoSpaceDN w:val="0"/>
              <w:adjustRightInd/>
              <w:spacing w:line="240" w:lineRule="auto"/>
              <w:textAlignment w:val="auto"/>
              <w:rPr>
                <w:rFonts w:hint="eastAsia" w:hAnsi="宋体"/>
                <w:color w:val="auto"/>
                <w:sz w:val="21"/>
                <w:szCs w:val="21"/>
                <w:highlight w:val="none"/>
              </w:rPr>
            </w:pPr>
            <w:r>
              <w:rPr>
                <w:rFonts w:hint="eastAsia" w:hAnsi="宋体"/>
                <w:color w:val="auto"/>
                <w:sz w:val="21"/>
                <w:szCs w:val="21"/>
                <w:highlight w:val="none"/>
              </w:rPr>
              <w:t>以联合体形式投标的，若各联合体成员任何一方或均存在上述情形的，对联合体各成员进行累计扣分。</w:t>
            </w:r>
          </w:p>
        </w:tc>
      </w:tr>
    </w:tbl>
    <w:p>
      <w:pPr>
        <w:pStyle w:val="4"/>
        <w:ind w:left="0" w:leftChars="0"/>
        <w:rPr>
          <w:rFonts w:hint="eastAsia"/>
          <w:color w:val="auto"/>
          <w:highlight w:val="none"/>
        </w:rPr>
      </w:pPr>
    </w:p>
    <w:tbl>
      <w:tblPr>
        <w:tblStyle w:val="6"/>
        <w:tblW w:w="89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953" w:type="dxa"/>
            <w:gridSpan w:val="2"/>
            <w:vAlign w:val="center"/>
          </w:tcPr>
          <w:p>
            <w:pPr>
              <w:spacing w:line="276" w:lineRule="auto"/>
              <w:rPr>
                <w:rFonts w:hint="eastAsia" w:ascii="宋体" w:hAnsi="宋体"/>
                <w:color w:val="auto"/>
                <w:szCs w:val="21"/>
                <w:highlight w:val="none"/>
              </w:rPr>
            </w:pPr>
            <w:r>
              <w:rPr>
                <w:rFonts w:ascii="宋体" w:hAnsi="宋体"/>
                <w:b/>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1204" w:type="dxa"/>
            <w:vAlign w:val="center"/>
          </w:tcPr>
          <w:p>
            <w:pPr>
              <w:spacing w:line="276" w:lineRule="auto"/>
              <w:jc w:val="center"/>
              <w:rPr>
                <w:rFonts w:hint="eastAsia" w:ascii="宋体" w:hAnsi="宋体"/>
                <w:color w:val="auto"/>
                <w:szCs w:val="21"/>
                <w:highlight w:val="none"/>
              </w:rPr>
            </w:pPr>
            <w:r>
              <w:rPr>
                <w:rFonts w:hint="eastAsia" w:ascii="宋体" w:hAnsi="宋体"/>
                <w:b/>
                <w:color w:val="auto"/>
                <w:szCs w:val="21"/>
                <w:highlight w:val="none"/>
              </w:rPr>
              <w:t>条款号</w:t>
            </w:r>
          </w:p>
        </w:tc>
        <w:tc>
          <w:tcPr>
            <w:tcW w:w="7749" w:type="dxa"/>
            <w:vAlign w:val="center"/>
          </w:tcPr>
          <w:p>
            <w:pPr>
              <w:spacing w:line="276" w:lineRule="auto"/>
              <w:jc w:val="center"/>
              <w:rPr>
                <w:rFonts w:hint="eastAsia" w:ascii="宋体" w:hAnsi="宋体"/>
                <w:color w:val="auto"/>
                <w:szCs w:val="21"/>
                <w:highlight w:val="none"/>
              </w:rPr>
            </w:pPr>
            <w:r>
              <w:rPr>
                <w:rFonts w:hint="eastAsia" w:ascii="宋体" w:hAnsi="宋体"/>
                <w:b/>
                <w:color w:val="auto"/>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1204" w:type="dxa"/>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7749" w:type="dxa"/>
            <w:vAlign w:val="center"/>
          </w:tcPr>
          <w:p>
            <w:pPr>
              <w:spacing w:line="380" w:lineRule="exact"/>
              <w:ind w:firstLine="480" w:firstLineChars="200"/>
              <w:rPr>
                <w:color w:val="auto"/>
                <w:szCs w:val="21"/>
                <w:highlight w:val="none"/>
              </w:rPr>
            </w:pPr>
            <w:r>
              <w:rPr>
                <w:color w:val="auto"/>
                <w:szCs w:val="21"/>
                <w:highlight w:val="none"/>
              </w:rPr>
              <w:t>将评标办法范本原文第1条“评标方法”改为“评标方法、组织及工作程序”，并且原文内容修改如下：</w:t>
            </w:r>
          </w:p>
          <w:p>
            <w:pPr>
              <w:spacing w:line="380" w:lineRule="exact"/>
              <w:ind w:firstLine="480" w:firstLineChars="200"/>
              <w:rPr>
                <w:color w:val="auto"/>
                <w:szCs w:val="21"/>
                <w:highlight w:val="none"/>
              </w:rPr>
            </w:pPr>
            <w:r>
              <w:rPr>
                <w:color w:val="auto"/>
                <w:szCs w:val="21"/>
                <w:highlight w:val="none"/>
              </w:rPr>
              <w:t>1.1评标方法</w:t>
            </w:r>
          </w:p>
          <w:p>
            <w:pPr>
              <w:spacing w:line="380" w:lineRule="exact"/>
              <w:ind w:firstLine="480" w:firstLineChars="200"/>
              <w:rPr>
                <w:color w:val="auto"/>
                <w:szCs w:val="21"/>
                <w:highlight w:val="none"/>
              </w:rPr>
            </w:pPr>
            <w:r>
              <w:rPr>
                <w:color w:val="auto"/>
                <w:szCs w:val="21"/>
                <w:highlight w:val="none"/>
              </w:rPr>
              <w:t>本次评标采用</w:t>
            </w:r>
            <w:r>
              <w:rPr>
                <w:rFonts w:hint="eastAsia"/>
                <w:color w:val="auto"/>
                <w:szCs w:val="21"/>
                <w:highlight w:val="none"/>
              </w:rPr>
              <w:t>双信封的</w:t>
            </w:r>
            <w:r>
              <w:rPr>
                <w:color w:val="auto"/>
                <w:szCs w:val="21"/>
                <w:highlight w:val="none"/>
              </w:rPr>
              <w:t>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pPr>
              <w:spacing w:line="380" w:lineRule="exact"/>
              <w:ind w:firstLine="480" w:firstLineChars="200"/>
              <w:rPr>
                <w:color w:val="auto"/>
                <w:szCs w:val="21"/>
                <w:highlight w:val="none"/>
              </w:rPr>
            </w:pPr>
            <w:r>
              <w:rPr>
                <w:color w:val="auto"/>
                <w:szCs w:val="21"/>
                <w:highlight w:val="none"/>
              </w:rPr>
              <w:t>1.2评标组织</w:t>
            </w:r>
          </w:p>
          <w:p>
            <w:pPr>
              <w:spacing w:line="380" w:lineRule="exact"/>
              <w:ind w:firstLine="480" w:firstLineChars="200"/>
              <w:rPr>
                <w:color w:val="auto"/>
                <w:szCs w:val="21"/>
                <w:highlight w:val="none"/>
              </w:rPr>
            </w:pPr>
            <w:r>
              <w:rPr>
                <w:color w:val="auto"/>
                <w:szCs w:val="21"/>
                <w:highlight w:val="none"/>
              </w:rPr>
              <w:t>1.2.1协助工作组</w:t>
            </w:r>
          </w:p>
          <w:p>
            <w:pPr>
              <w:spacing w:line="380" w:lineRule="exact"/>
              <w:ind w:firstLine="480" w:firstLineChars="200"/>
              <w:rPr>
                <w:color w:val="auto"/>
                <w:szCs w:val="21"/>
                <w:highlight w:val="none"/>
              </w:rPr>
            </w:pPr>
            <w:r>
              <w:rPr>
                <w:color w:val="auto"/>
                <w:szCs w:val="21"/>
                <w:highlight w:val="none"/>
              </w:rPr>
              <w:t>招标人可在评标工作开始前成立协助工作组，选派熟悉招标工作、政治素质高的人员组成，协助评标委员会工作。协助工作组人员的具体数量由招标人视评标工作量确定。</w:t>
            </w:r>
          </w:p>
          <w:p>
            <w:pPr>
              <w:spacing w:line="380" w:lineRule="exact"/>
              <w:ind w:firstLine="480" w:firstLineChars="200"/>
              <w:rPr>
                <w:color w:val="auto"/>
                <w:szCs w:val="21"/>
                <w:highlight w:val="none"/>
              </w:rPr>
            </w:pPr>
            <w:r>
              <w:rPr>
                <w:color w:val="auto"/>
                <w:szCs w:val="21"/>
                <w:highlight w:val="none"/>
              </w:rPr>
              <w:t>招标人可以协助评标委员会开展下列工作并提供相关信息：</w:t>
            </w:r>
          </w:p>
          <w:p>
            <w:pPr>
              <w:spacing w:line="380" w:lineRule="exact"/>
              <w:ind w:firstLine="480" w:firstLineChars="200"/>
              <w:rPr>
                <w:color w:val="auto"/>
                <w:szCs w:val="21"/>
                <w:highlight w:val="none"/>
              </w:rPr>
            </w:pPr>
            <w:r>
              <w:rPr>
                <w:color w:val="auto"/>
                <w:szCs w:val="21"/>
                <w:highlight w:val="none"/>
              </w:rPr>
              <w:t>（1）根据招标文件，编制评标使用的相应表格；</w:t>
            </w:r>
          </w:p>
          <w:p>
            <w:pPr>
              <w:spacing w:line="380" w:lineRule="exact"/>
              <w:ind w:firstLine="480" w:firstLineChars="200"/>
              <w:rPr>
                <w:color w:val="auto"/>
                <w:szCs w:val="21"/>
                <w:highlight w:val="none"/>
              </w:rPr>
            </w:pPr>
            <w:r>
              <w:rPr>
                <w:color w:val="auto"/>
                <w:szCs w:val="21"/>
                <w:highlight w:val="none"/>
              </w:rPr>
              <w:t>（2）对投标报价进行算术性校核（如采用固化工程量清单，本步骤省略）；</w:t>
            </w:r>
          </w:p>
          <w:p>
            <w:pPr>
              <w:spacing w:line="380" w:lineRule="exact"/>
              <w:ind w:firstLine="480" w:firstLineChars="200"/>
              <w:rPr>
                <w:color w:val="auto"/>
                <w:szCs w:val="21"/>
                <w:highlight w:val="none"/>
              </w:rPr>
            </w:pPr>
            <w:r>
              <w:rPr>
                <w:color w:val="auto"/>
                <w:szCs w:val="21"/>
                <w:highlight w:val="none"/>
              </w:rPr>
              <w:t>（3）以评标标准和方法为依据，列出投标文件相对于招标文件的所有偏差，并进行归类汇总；</w:t>
            </w:r>
          </w:p>
          <w:p>
            <w:pPr>
              <w:spacing w:line="380" w:lineRule="exact"/>
              <w:ind w:firstLine="480" w:firstLineChars="200"/>
              <w:rPr>
                <w:color w:val="auto"/>
                <w:szCs w:val="21"/>
                <w:highlight w:val="none"/>
              </w:rPr>
            </w:pPr>
            <w:r>
              <w:rPr>
                <w:color w:val="auto"/>
                <w:szCs w:val="21"/>
                <w:highlight w:val="none"/>
              </w:rPr>
              <w:t>（4）对投标人的资质、业绩、</w:t>
            </w:r>
            <w:r>
              <w:rPr>
                <w:rFonts w:hint="eastAsia"/>
                <w:color w:val="auto"/>
                <w:szCs w:val="21"/>
                <w:highlight w:val="none"/>
              </w:rPr>
              <w:t>主要人员资历、</w:t>
            </w:r>
            <w:r>
              <w:rPr>
                <w:color w:val="auto"/>
                <w:szCs w:val="21"/>
                <w:highlight w:val="none"/>
              </w:rPr>
              <w:t>信用等级进行核实。</w:t>
            </w:r>
          </w:p>
          <w:p>
            <w:pPr>
              <w:spacing w:line="380" w:lineRule="exact"/>
              <w:ind w:firstLine="480" w:firstLineChars="200"/>
              <w:rPr>
                <w:color w:val="auto"/>
                <w:szCs w:val="21"/>
                <w:highlight w:val="none"/>
              </w:rPr>
            </w:pPr>
            <w:r>
              <w:rPr>
                <w:color w:val="auto"/>
                <w:szCs w:val="21"/>
                <w:highlight w:val="none"/>
              </w:rPr>
              <w:t>招标人不得对投标文件作出任何评价，不得故意遗漏或者片面摘录，不得在评标委员会对所有偏差定性之前透露存有偏差的投标人名称。</w:t>
            </w:r>
          </w:p>
          <w:p>
            <w:pPr>
              <w:spacing w:line="380" w:lineRule="exact"/>
              <w:ind w:firstLine="480" w:firstLineChars="200"/>
              <w:rPr>
                <w:color w:val="auto"/>
                <w:szCs w:val="21"/>
                <w:highlight w:val="none"/>
              </w:rPr>
            </w:pPr>
            <w:r>
              <w:rPr>
                <w:color w:val="auto"/>
                <w:szCs w:val="21"/>
                <w:highlight w:val="none"/>
              </w:rPr>
              <w:t>1.2.2评标委员会</w:t>
            </w:r>
          </w:p>
          <w:p>
            <w:pPr>
              <w:spacing w:line="380" w:lineRule="exact"/>
              <w:ind w:firstLine="480" w:firstLineChars="200"/>
              <w:rPr>
                <w:color w:val="auto"/>
                <w:szCs w:val="21"/>
                <w:highlight w:val="none"/>
              </w:rPr>
            </w:pPr>
            <w:r>
              <w:rPr>
                <w:rFonts w:hint="eastAsia"/>
                <w:color w:val="auto"/>
                <w:szCs w:val="21"/>
                <w:highlight w:val="none"/>
              </w:rPr>
              <w:t>评标委员会由招标人按国家、广东省等的有关规定依法组建。评标委员会的主要工作内容包括</w:t>
            </w:r>
            <w:r>
              <w:rPr>
                <w:color w:val="auto"/>
                <w:szCs w:val="21"/>
                <w:highlight w:val="none"/>
              </w:rPr>
              <w:t>：</w:t>
            </w:r>
          </w:p>
          <w:p>
            <w:pPr>
              <w:spacing w:line="380" w:lineRule="exact"/>
              <w:ind w:firstLine="480" w:firstLineChars="200"/>
              <w:rPr>
                <w:color w:val="auto"/>
                <w:szCs w:val="21"/>
                <w:highlight w:val="none"/>
              </w:rPr>
            </w:pPr>
            <w:r>
              <w:rPr>
                <w:color w:val="auto"/>
                <w:szCs w:val="21"/>
                <w:highlight w:val="none"/>
              </w:rPr>
              <w:t>（1）评标委员会开始评标工作之前，首先听取招标人、协助工作组关于工程情况和辅助工作的说明，并认真研读招标文件，获取评标所需的重要信息和数据；</w:t>
            </w:r>
          </w:p>
          <w:p>
            <w:pPr>
              <w:spacing w:line="380" w:lineRule="exact"/>
              <w:ind w:firstLine="480" w:firstLineChars="200"/>
              <w:rPr>
                <w:color w:val="auto"/>
                <w:szCs w:val="21"/>
                <w:highlight w:val="none"/>
              </w:rPr>
            </w:pPr>
            <w:r>
              <w:rPr>
                <w:color w:val="auto"/>
                <w:szCs w:val="21"/>
                <w:highlight w:val="none"/>
              </w:rPr>
              <w:t>（2）对协助工作组提供的评标工作用表和评标内容进行核查。</w:t>
            </w:r>
          </w:p>
          <w:p>
            <w:pPr>
              <w:spacing w:line="380" w:lineRule="exact"/>
              <w:ind w:firstLine="480" w:firstLineChars="200"/>
              <w:rPr>
                <w:rFonts w:hint="eastAsia" w:ascii="宋体" w:hAnsi="宋体"/>
                <w:color w:val="auto"/>
                <w:szCs w:val="21"/>
                <w:highlight w:val="none"/>
              </w:rPr>
            </w:pPr>
            <w:r>
              <w:rPr>
                <w:color w:val="auto"/>
                <w:szCs w:val="21"/>
                <w:highlight w:val="none"/>
              </w:rPr>
              <w:t>（3）按照评标程序进行各项评审工作。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1204"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3.2.2</w:t>
            </w:r>
          </w:p>
        </w:tc>
        <w:tc>
          <w:tcPr>
            <w:tcW w:w="7749" w:type="dxa"/>
            <w:vAlign w:val="center"/>
          </w:tcPr>
          <w:p>
            <w:pPr>
              <w:spacing w:line="380" w:lineRule="exact"/>
              <w:ind w:firstLine="480" w:firstLineChars="200"/>
              <w:rPr>
                <w:rFonts w:hint="eastAsia"/>
                <w:color w:val="auto"/>
                <w:szCs w:val="21"/>
                <w:highlight w:val="none"/>
              </w:rPr>
            </w:pPr>
            <w:r>
              <w:rPr>
                <w:rFonts w:hint="eastAsia"/>
                <w:color w:val="auto"/>
                <w:szCs w:val="21"/>
                <w:highlight w:val="none"/>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204" w:type="dxa"/>
            <w:vAlign w:val="center"/>
          </w:tcPr>
          <w:p>
            <w:pPr>
              <w:spacing w:line="276" w:lineRule="auto"/>
              <w:jc w:val="both"/>
              <w:rPr>
                <w:rFonts w:hint="eastAsia" w:ascii="宋体" w:hAnsi="宋体"/>
                <w:color w:val="auto"/>
                <w:szCs w:val="21"/>
                <w:highlight w:val="none"/>
              </w:rPr>
            </w:pPr>
            <w:r>
              <w:rPr>
                <w:rFonts w:ascii="宋体" w:hAnsi="宋体"/>
                <w:color w:val="auto"/>
                <w:szCs w:val="21"/>
                <w:highlight w:val="none"/>
              </w:rPr>
              <w:t>3.2.3</w:t>
            </w:r>
          </w:p>
        </w:tc>
        <w:tc>
          <w:tcPr>
            <w:tcW w:w="7749" w:type="dxa"/>
            <w:vAlign w:val="center"/>
          </w:tcPr>
          <w:p>
            <w:pPr>
              <w:spacing w:line="380" w:lineRule="exact"/>
              <w:rPr>
                <w:color w:val="auto"/>
                <w:szCs w:val="21"/>
                <w:highlight w:val="none"/>
              </w:rPr>
            </w:pPr>
            <w:r>
              <w:rPr>
                <w:color w:val="auto"/>
                <w:szCs w:val="21"/>
                <w:highlight w:val="none"/>
              </w:rPr>
              <w:t>将评标办法范本原文第3.2.3款细化如下：</w:t>
            </w:r>
          </w:p>
          <w:p>
            <w:pPr>
              <w:spacing w:line="380" w:lineRule="exact"/>
              <w:rPr>
                <w:color w:val="auto"/>
                <w:szCs w:val="21"/>
                <w:highlight w:val="none"/>
              </w:rPr>
            </w:pPr>
            <w:r>
              <w:rPr>
                <w:color w:val="auto"/>
                <w:szCs w:val="21"/>
                <w:highlight w:val="none"/>
              </w:rPr>
              <w:t>投标人的商务和技术得分=A+B+D。</w:t>
            </w:r>
          </w:p>
          <w:p>
            <w:pPr>
              <w:spacing w:line="380" w:lineRule="exact"/>
              <w:rPr>
                <w:color w:val="auto"/>
                <w:szCs w:val="21"/>
                <w:highlight w:val="none"/>
              </w:rPr>
            </w:pPr>
            <w:r>
              <w:rPr>
                <w:color w:val="auto"/>
                <w:szCs w:val="21"/>
                <w:highlight w:val="none"/>
              </w:rPr>
              <w:t>各评分因素（评标价</w:t>
            </w:r>
            <w:r>
              <w:rPr>
                <w:rFonts w:hint="eastAsia"/>
                <w:color w:val="auto"/>
                <w:szCs w:val="21"/>
                <w:highlight w:val="none"/>
              </w:rPr>
              <w:t>、履约信誉</w:t>
            </w:r>
            <w:r>
              <w:rPr>
                <w:color w:val="auto"/>
                <w:szCs w:val="21"/>
                <w:highlight w:val="none"/>
              </w:rPr>
              <w:t>评分项除外）及其各评审因素细分项的得分一般不得低于其权重分值的60%，评分低于上述权重分值百分比的，评标委员会成员应当在评标报告中作出说明。</w:t>
            </w:r>
          </w:p>
          <w:p>
            <w:pPr>
              <w:spacing w:line="380" w:lineRule="exact"/>
              <w:rPr>
                <w:color w:val="auto"/>
                <w:szCs w:val="21"/>
                <w:highlight w:val="none"/>
              </w:rPr>
            </w:pPr>
            <w:r>
              <w:rPr>
                <w:rFonts w:hint="eastAsia"/>
                <w:color w:val="auto"/>
                <w:szCs w:val="21"/>
                <w:highlight w:val="none"/>
              </w:rPr>
              <w:t>计算投标人的技术得分（1）当评标委员会成员为 5 人时，得分为评标委员会各成员对各评审因素的评分合计后的平均值，平均值计算保留小数点后三位，小数点后第四位“四舍五入”；（2）当评标委员会成员为 7 人时，以评标委员会各成员对该投标人的技术建议书对各评审因素细分项中取消一个最高、一个最低分后计算算术平均值的和为投标人的最终技术得分，平均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1204" w:type="dxa"/>
            <w:vAlign w:val="center"/>
          </w:tcPr>
          <w:p>
            <w:pPr>
              <w:spacing w:line="276" w:lineRule="auto"/>
              <w:jc w:val="both"/>
              <w:rPr>
                <w:rFonts w:ascii="宋体" w:hAnsi="宋体"/>
                <w:color w:val="auto"/>
                <w:szCs w:val="21"/>
                <w:highlight w:val="none"/>
              </w:rPr>
            </w:pPr>
            <w:r>
              <w:rPr>
                <w:rFonts w:hint="eastAsia" w:ascii="宋体" w:hAnsi="宋体"/>
                <w:color w:val="auto"/>
                <w:szCs w:val="21"/>
                <w:highlight w:val="none"/>
              </w:rPr>
              <w:t>3.5.2</w:t>
            </w:r>
          </w:p>
        </w:tc>
        <w:tc>
          <w:tcPr>
            <w:tcW w:w="7749" w:type="dxa"/>
            <w:vAlign w:val="center"/>
          </w:tcPr>
          <w:p>
            <w:pPr>
              <w:spacing w:line="380" w:lineRule="exact"/>
              <w:rPr>
                <w:rFonts w:hint="eastAsia"/>
                <w:color w:val="auto"/>
                <w:szCs w:val="21"/>
                <w:highlight w:val="none"/>
              </w:rPr>
            </w:pPr>
            <w:r>
              <w:rPr>
                <w:rFonts w:hint="eastAsia"/>
                <w:color w:val="auto"/>
                <w:szCs w:val="21"/>
                <w:highlight w:val="none"/>
              </w:rPr>
              <w:t>将评标办法原文第3.5.2项细化如下：</w:t>
            </w:r>
          </w:p>
          <w:p>
            <w:pPr>
              <w:spacing w:line="380" w:lineRule="exact"/>
              <w:rPr>
                <w:rFonts w:hint="eastAsia"/>
                <w:color w:val="auto"/>
                <w:szCs w:val="21"/>
                <w:highlight w:val="none"/>
              </w:rPr>
            </w:pPr>
            <w:r>
              <w:rPr>
                <w:rFonts w:hint="eastAsia"/>
                <w:color w:val="auto"/>
                <w:szCs w:val="21"/>
                <w:highlight w:val="none"/>
              </w:rPr>
              <w:t>投标人综合得分=投标人的商务和技术得分+C。（计算保留小数点后四位，小数点后第五位“四舍五入”）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1204" w:type="dxa"/>
            <w:vAlign w:val="center"/>
          </w:tcPr>
          <w:p>
            <w:pPr>
              <w:spacing w:line="276" w:lineRule="auto"/>
              <w:jc w:val="both"/>
              <w:rPr>
                <w:rFonts w:ascii="宋体" w:hAnsi="宋体"/>
                <w:color w:val="auto"/>
                <w:szCs w:val="21"/>
                <w:highlight w:val="none"/>
              </w:rPr>
            </w:pPr>
            <w:r>
              <w:rPr>
                <w:rFonts w:hint="eastAsia" w:ascii="宋体" w:hAnsi="宋体"/>
                <w:color w:val="auto"/>
                <w:szCs w:val="21"/>
                <w:highlight w:val="none"/>
              </w:rPr>
              <w:t>3.6</w:t>
            </w:r>
          </w:p>
        </w:tc>
        <w:tc>
          <w:tcPr>
            <w:tcW w:w="7749" w:type="dxa"/>
            <w:vAlign w:val="center"/>
          </w:tcPr>
          <w:p>
            <w:pPr>
              <w:spacing w:line="380" w:lineRule="exact"/>
              <w:rPr>
                <w:rFonts w:hint="eastAsia"/>
                <w:color w:val="auto"/>
                <w:szCs w:val="21"/>
                <w:highlight w:val="none"/>
              </w:rPr>
            </w:pPr>
            <w:r>
              <w:rPr>
                <w:rFonts w:hint="eastAsia"/>
                <w:color w:val="auto"/>
                <w:szCs w:val="21"/>
                <w:highlight w:val="none"/>
              </w:rPr>
              <w:t>3.6.1项（2）目末增加以下条款：</w:t>
            </w:r>
          </w:p>
          <w:p>
            <w:pPr>
              <w:spacing w:line="380" w:lineRule="exact"/>
              <w:rPr>
                <w:rFonts w:hint="eastAsia"/>
                <w:color w:val="auto"/>
                <w:szCs w:val="21"/>
                <w:highlight w:val="none"/>
              </w:rPr>
            </w:pPr>
            <w:r>
              <w:rPr>
                <w:rFonts w:hint="eastAsia"/>
                <w:color w:val="auto"/>
                <w:szCs w:val="21"/>
                <w:highlight w:val="none"/>
              </w:rPr>
              <w:t>g.当一家以上投标人评标价相同时，若各投标人工程量清单细目单价也相同，视为串标（一个标段仅一工作细目报价的除外）。</w:t>
            </w:r>
          </w:p>
          <w:p>
            <w:pPr>
              <w:spacing w:line="380" w:lineRule="exact"/>
              <w:rPr>
                <w:rFonts w:hint="eastAsia"/>
                <w:color w:val="auto"/>
                <w:szCs w:val="21"/>
                <w:highlight w:val="none"/>
              </w:rPr>
            </w:pPr>
            <w:r>
              <w:rPr>
                <w:rFonts w:hint="eastAsia"/>
                <w:color w:val="auto"/>
                <w:szCs w:val="21"/>
                <w:highlight w:val="none"/>
              </w:rPr>
              <w:t>h.广东省实施《中华人民共和国招标投标法》办法第十六条规定的情形。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1204" w:type="dxa"/>
            <w:vAlign w:val="center"/>
          </w:tcPr>
          <w:p>
            <w:pPr>
              <w:spacing w:line="276" w:lineRule="auto"/>
              <w:jc w:val="both"/>
              <w:rPr>
                <w:rFonts w:hint="eastAsia" w:ascii="宋体" w:hAnsi="宋体"/>
                <w:color w:val="auto"/>
                <w:szCs w:val="21"/>
                <w:highlight w:val="none"/>
              </w:rPr>
            </w:pPr>
            <w:r>
              <w:rPr>
                <w:rFonts w:hint="eastAsia" w:ascii="宋体" w:hAnsi="宋体"/>
                <w:color w:val="auto"/>
                <w:szCs w:val="21"/>
                <w:highlight w:val="none"/>
              </w:rPr>
              <w:t>3.9</w:t>
            </w:r>
          </w:p>
        </w:tc>
        <w:tc>
          <w:tcPr>
            <w:tcW w:w="7749" w:type="dxa"/>
            <w:vAlign w:val="center"/>
          </w:tcPr>
          <w:p>
            <w:pPr>
              <w:spacing w:line="380" w:lineRule="exact"/>
              <w:rPr>
                <w:color w:val="auto"/>
                <w:szCs w:val="21"/>
                <w:highlight w:val="none"/>
              </w:rPr>
            </w:pPr>
            <w:r>
              <w:rPr>
                <w:color w:val="auto"/>
                <w:szCs w:val="21"/>
                <w:highlight w:val="none"/>
                <w:lang w:val="zh-CN"/>
              </w:rPr>
              <w:t>评标办法范本原文</w:t>
            </w:r>
            <w:r>
              <w:rPr>
                <w:color w:val="auto"/>
                <w:szCs w:val="21"/>
                <w:highlight w:val="none"/>
              </w:rPr>
              <w:t>增加3.9.</w:t>
            </w:r>
            <w:r>
              <w:rPr>
                <w:rFonts w:hint="eastAsia"/>
                <w:color w:val="auto"/>
                <w:szCs w:val="21"/>
                <w:highlight w:val="none"/>
              </w:rPr>
              <w:t>6</w:t>
            </w:r>
            <w:r>
              <w:rPr>
                <w:color w:val="auto"/>
                <w:szCs w:val="21"/>
                <w:highlight w:val="none"/>
              </w:rPr>
              <w:t>款：</w:t>
            </w:r>
          </w:p>
          <w:p>
            <w:pPr>
              <w:spacing w:line="380" w:lineRule="exact"/>
              <w:rPr>
                <w:color w:val="auto"/>
                <w:szCs w:val="21"/>
                <w:highlight w:val="none"/>
              </w:rPr>
            </w:pPr>
            <w:r>
              <w:rPr>
                <w:color w:val="auto"/>
                <w:szCs w:val="21"/>
                <w:highlight w:val="none"/>
              </w:rPr>
              <w:t>3.9.</w:t>
            </w:r>
            <w:r>
              <w:rPr>
                <w:rFonts w:hint="eastAsia"/>
                <w:color w:val="auto"/>
                <w:szCs w:val="21"/>
                <w:highlight w:val="none"/>
              </w:rPr>
              <w:t>6</w:t>
            </w:r>
            <w:r>
              <w:rPr>
                <w:color w:val="auto"/>
                <w:szCs w:val="21"/>
                <w:highlight w:val="none"/>
              </w:rPr>
              <w:t xml:space="preserve"> 本招标文件规定的否决投标条款包含在以下条款：</w:t>
            </w:r>
          </w:p>
          <w:p>
            <w:pPr>
              <w:spacing w:line="400" w:lineRule="exact"/>
              <w:ind w:firstLine="482" w:firstLineChars="200"/>
              <w:rPr>
                <w:rFonts w:hint="eastAsia"/>
                <w:b/>
                <w:bCs/>
                <w:color w:val="auto"/>
                <w:highlight w:val="none"/>
              </w:rPr>
            </w:pPr>
            <w:r>
              <w:rPr>
                <w:rFonts w:hint="eastAsia"/>
                <w:b/>
                <w:bCs/>
                <w:color w:val="auto"/>
                <w:highlight w:val="none"/>
              </w:rPr>
              <w:t>（1）招标公告第3点 投标人资格要求；</w:t>
            </w:r>
          </w:p>
          <w:p>
            <w:pPr>
              <w:spacing w:line="400" w:lineRule="exact"/>
              <w:ind w:firstLine="482" w:firstLineChars="200"/>
              <w:rPr>
                <w:rFonts w:hint="eastAsia"/>
                <w:b/>
                <w:bCs/>
                <w:color w:val="auto"/>
                <w:highlight w:val="none"/>
              </w:rPr>
            </w:pPr>
            <w:r>
              <w:rPr>
                <w:rFonts w:hint="eastAsia"/>
                <w:b/>
                <w:bCs/>
                <w:color w:val="auto"/>
                <w:highlight w:val="none"/>
              </w:rPr>
              <w:t>（2）投标人须知1.4.3款、1.4.4款、1.12款、3.2款、3.3款、3.4款、3.5款、3.6款、10.3款；</w:t>
            </w:r>
          </w:p>
          <w:p>
            <w:pPr>
              <w:spacing w:line="400" w:lineRule="exact"/>
              <w:ind w:firstLine="482" w:firstLineChars="200"/>
              <w:rPr>
                <w:color w:val="auto"/>
                <w:szCs w:val="21"/>
                <w:highlight w:val="none"/>
              </w:rPr>
            </w:pPr>
            <w:r>
              <w:rPr>
                <w:rFonts w:hint="eastAsia"/>
                <w:b/>
                <w:bCs/>
                <w:color w:val="auto"/>
                <w:highlight w:val="none"/>
              </w:rPr>
              <w:t>（3）本评标办法否决条款。</w:t>
            </w:r>
          </w:p>
          <w:p>
            <w:pPr>
              <w:spacing w:line="380" w:lineRule="exact"/>
              <w:rPr>
                <w:rFonts w:hint="eastAsia" w:cs="隶书"/>
                <w:color w:val="auto"/>
                <w:highlight w:val="none"/>
              </w:rPr>
            </w:pPr>
          </w:p>
        </w:tc>
      </w:tr>
    </w:tbl>
    <w:p>
      <w:pPr>
        <w:jc w:val="right"/>
        <w:rPr>
          <w:rFonts w:hint="eastAsia"/>
          <w:b/>
          <w:color w:val="auto"/>
          <w:highlight w:val="none"/>
        </w:rPr>
      </w:pPr>
    </w:p>
    <w:p>
      <w:pPr>
        <w:pStyle w:val="4"/>
        <w:ind w:left="480"/>
        <w:rPr>
          <w:rFonts w:hint="eastAsia"/>
          <w:b/>
          <w:color w:val="auto"/>
          <w:highlight w:val="none"/>
        </w:rPr>
      </w:pPr>
    </w:p>
    <w:p>
      <w:pPr>
        <w:pStyle w:val="4"/>
        <w:ind w:left="480"/>
        <w:rPr>
          <w:rFonts w:hint="eastAsia"/>
          <w:b/>
          <w:color w:val="auto"/>
          <w:highlight w:val="none"/>
        </w:rPr>
      </w:pPr>
    </w:p>
    <w:p>
      <w:pPr>
        <w:pStyle w:val="4"/>
        <w:ind w:left="0" w:leftChars="0"/>
        <w:rPr>
          <w:rFonts w:hint="eastAsia"/>
          <w:b/>
          <w:color w:val="auto"/>
          <w:highlight w:val="none"/>
        </w:rPr>
      </w:pPr>
    </w:p>
    <w:p>
      <w:pPr>
        <w:spacing w:line="460" w:lineRule="exact"/>
        <w:rPr>
          <w:rFonts w:hint="eastAsia"/>
          <w:b/>
          <w:color w:val="auto"/>
          <w:highlight w:val="none"/>
        </w:rPr>
      </w:pPr>
      <w:r>
        <w:rPr>
          <w:rFonts w:hint="eastAsia"/>
          <w:b/>
          <w:color w:val="auto"/>
          <w:highlight w:val="none"/>
        </w:rPr>
        <w:t xml:space="preserve">   </w:t>
      </w:r>
    </w:p>
    <w:p>
      <w:pPr>
        <w:spacing w:line="460" w:lineRule="exact"/>
        <w:rPr>
          <w:rFonts w:hint="eastAsia" w:ascii="黑体" w:eastAsia="黑体"/>
          <w:b/>
          <w:bCs/>
          <w:color w:val="auto"/>
          <w:sz w:val="28"/>
          <w:szCs w:val="28"/>
          <w:highlight w:val="none"/>
        </w:rPr>
      </w:pPr>
      <w:r>
        <w:rPr>
          <w:rFonts w:hint="eastAsia"/>
          <w:b/>
          <w:color w:val="auto"/>
          <w:highlight w:val="none"/>
        </w:rPr>
        <w:br w:type="page"/>
      </w:r>
      <w:r>
        <w:rPr>
          <w:rFonts w:hint="eastAsia"/>
          <w:b/>
          <w:color w:val="auto"/>
          <w:highlight w:val="none"/>
        </w:rPr>
        <w:t xml:space="preserve"> </w:t>
      </w:r>
      <w:r>
        <w:rPr>
          <w:rFonts w:hint="eastAsia" w:ascii="黑体" w:eastAsia="黑体"/>
          <w:color w:val="auto"/>
          <w:sz w:val="28"/>
          <w:szCs w:val="28"/>
          <w:highlight w:val="none"/>
        </w:rPr>
        <w:t>1.评标方法</w:t>
      </w:r>
    </w:p>
    <w:p>
      <w:pPr>
        <w:spacing w:line="460" w:lineRule="exact"/>
        <w:ind w:firstLine="480" w:firstLineChars="200"/>
        <w:rPr>
          <w:rFonts w:hint="eastAsia"/>
          <w:color w:val="auto"/>
          <w:highlight w:val="none"/>
        </w:rPr>
      </w:pPr>
      <w:r>
        <w:rPr>
          <w:color w:val="auto"/>
          <w:highlight w:val="none"/>
        </w:rPr>
        <w:t>本次评标采用</w:t>
      </w:r>
      <w:r>
        <w:rPr>
          <w:rFonts w:hint="eastAsia"/>
          <w:color w:val="auto"/>
          <w:highlight w:val="none"/>
        </w:rPr>
        <w:t>综合评估法</w:t>
      </w:r>
      <w:r>
        <w:rPr>
          <w:color w:val="auto"/>
          <w:highlight w:val="none"/>
        </w:rPr>
        <w:t>。评标委员会对满足招标文件实质性要求的投标文件，按照本章第2.2</w:t>
      </w:r>
      <w:r>
        <w:rPr>
          <w:rFonts w:ascii="宋体" w:hAnsi="宋体"/>
          <w:color w:val="auto"/>
          <w:highlight w:val="none"/>
        </w:rPr>
        <w:t>款规定的评分标准进行打分，并按得分由高到低顺序推荐中标候选人，或根据招标人授权直接确定中标人，但投标报价低于其成本的除外。综合评分相等时，</w:t>
      </w:r>
      <w:r>
        <w:rPr>
          <w:rFonts w:hint="eastAsia"/>
          <w:color w:val="auto"/>
          <w:highlight w:val="none"/>
        </w:rPr>
        <w:t>评标委员会</w:t>
      </w:r>
      <w:r>
        <w:rPr>
          <w:color w:val="auto"/>
          <w:highlight w:val="none"/>
        </w:rPr>
        <w:t>应按照评标办法前附表</w:t>
      </w:r>
      <w:r>
        <w:rPr>
          <w:rFonts w:hint="eastAsia"/>
          <w:color w:val="auto"/>
          <w:highlight w:val="none"/>
        </w:rPr>
        <w:t>规定</w:t>
      </w:r>
      <w:r>
        <w:rPr>
          <w:color w:val="auto"/>
          <w:highlight w:val="none"/>
        </w:rPr>
        <w:t>的优先次序</w:t>
      </w:r>
      <w:r>
        <w:rPr>
          <w:rFonts w:hint="eastAsia"/>
          <w:color w:val="auto"/>
          <w:highlight w:val="none"/>
        </w:rPr>
        <w:t>推荐中标候选人或</w:t>
      </w:r>
      <w:r>
        <w:rPr>
          <w:color w:val="auto"/>
          <w:highlight w:val="none"/>
        </w:rPr>
        <w:t>确定中标人</w:t>
      </w:r>
      <w:r>
        <w:rPr>
          <w:rFonts w:hint="eastAsia"/>
          <w:color w:val="auto"/>
          <w:highlight w:val="none"/>
        </w:rPr>
        <w:t>。</w:t>
      </w:r>
      <w:bookmarkStart w:id="3" w:name="_Toc509992984"/>
    </w:p>
    <w:p>
      <w:pPr>
        <w:numPr>
          <w:ilvl w:val="0"/>
          <w:numId w:val="1"/>
        </w:numPr>
        <w:spacing w:line="460" w:lineRule="exact"/>
        <w:ind w:firstLine="560" w:firstLineChars="200"/>
        <w:rPr>
          <w:rFonts w:hint="eastAsia" w:ascii="黑体" w:eastAsia="黑体"/>
          <w:color w:val="auto"/>
          <w:sz w:val="28"/>
          <w:szCs w:val="28"/>
          <w:highlight w:val="none"/>
        </w:rPr>
      </w:pPr>
      <w:r>
        <w:rPr>
          <w:rFonts w:hint="eastAsia" w:ascii="黑体" w:eastAsia="黑体"/>
          <w:color w:val="auto"/>
          <w:sz w:val="28"/>
          <w:szCs w:val="28"/>
          <w:highlight w:val="none"/>
        </w:rPr>
        <w:t>评审标准</w:t>
      </w:r>
      <w:bookmarkEnd w:id="3"/>
      <w:bookmarkStart w:id="4" w:name="_Toc509992985"/>
    </w:p>
    <w:p>
      <w:pPr>
        <w:spacing w:line="460" w:lineRule="exact"/>
        <w:ind w:firstLine="420" w:firstLineChars="200"/>
        <w:rPr>
          <w:rFonts w:hint="eastAsia" w:ascii="黑体" w:eastAsia="黑体"/>
          <w:color w:val="auto"/>
          <w:sz w:val="21"/>
          <w:szCs w:val="21"/>
          <w:highlight w:val="none"/>
        </w:rPr>
      </w:pPr>
      <w:r>
        <w:rPr>
          <w:rFonts w:hint="eastAsia" w:ascii="黑体" w:eastAsia="黑体"/>
          <w:color w:val="auto"/>
          <w:sz w:val="21"/>
          <w:szCs w:val="21"/>
          <w:highlight w:val="none"/>
        </w:rPr>
        <w:t>2.1 初步评审标准</w:t>
      </w:r>
      <w:bookmarkEnd w:id="4"/>
    </w:p>
    <w:p>
      <w:pPr>
        <w:spacing w:line="400" w:lineRule="atLeast"/>
        <w:ind w:firstLine="480" w:firstLineChars="200"/>
        <w:rPr>
          <w:rFonts w:hint="eastAsia"/>
          <w:color w:val="auto"/>
          <w:szCs w:val="21"/>
          <w:highlight w:val="none"/>
        </w:rPr>
      </w:pPr>
      <w:r>
        <w:rPr>
          <w:color w:val="auto"/>
          <w:szCs w:val="21"/>
          <w:highlight w:val="none"/>
        </w:rPr>
        <w:t xml:space="preserve">2.1.1 </w:t>
      </w:r>
      <w:r>
        <w:rPr>
          <w:rFonts w:ascii="宋体" w:hAnsi="宋体"/>
          <w:color w:val="auto"/>
          <w:szCs w:val="21"/>
          <w:highlight w:val="none"/>
        </w:rPr>
        <w:t>形式评审标准：见评标办法前附表。</w:t>
      </w:r>
    </w:p>
    <w:p>
      <w:pPr>
        <w:spacing w:line="400" w:lineRule="atLeast"/>
        <w:ind w:firstLine="480" w:firstLineChars="200"/>
        <w:rPr>
          <w:color w:val="auto"/>
          <w:szCs w:val="21"/>
          <w:highlight w:val="none"/>
        </w:rPr>
      </w:pPr>
      <w:r>
        <w:rPr>
          <w:color w:val="auto"/>
          <w:szCs w:val="21"/>
          <w:highlight w:val="none"/>
        </w:rPr>
        <w:t xml:space="preserve">2.1.2 </w:t>
      </w:r>
      <w:r>
        <w:rPr>
          <w:rFonts w:ascii="宋体" w:hAnsi="宋体"/>
          <w:color w:val="auto"/>
          <w:szCs w:val="21"/>
          <w:highlight w:val="none"/>
        </w:rPr>
        <w:t>资格评审标准：见评标办法前附表（适用于未进行资格预审的）。</w:t>
      </w:r>
    </w:p>
    <w:p>
      <w:pPr>
        <w:spacing w:line="400" w:lineRule="atLeast"/>
        <w:ind w:firstLine="480" w:firstLineChars="200"/>
        <w:rPr>
          <w:color w:val="auto"/>
          <w:szCs w:val="21"/>
          <w:highlight w:val="none"/>
        </w:rPr>
      </w:pPr>
      <w:r>
        <w:rPr>
          <w:color w:val="auto"/>
          <w:szCs w:val="21"/>
          <w:highlight w:val="none"/>
        </w:rPr>
        <w:t xml:space="preserve">2.1.2 </w:t>
      </w:r>
      <w:r>
        <w:rPr>
          <w:rFonts w:ascii="宋体" w:hAnsi="宋体"/>
          <w:color w:val="auto"/>
          <w:szCs w:val="21"/>
          <w:highlight w:val="none"/>
        </w:rPr>
        <w:t>资格评审标准：见资格预审文件第三章</w:t>
      </w:r>
      <w:r>
        <w:rPr>
          <w:color w:val="auto"/>
          <w:szCs w:val="21"/>
          <w:highlight w:val="none"/>
        </w:rPr>
        <w:t>“</w:t>
      </w:r>
      <w:r>
        <w:rPr>
          <w:rFonts w:ascii="宋体" w:hAnsi="宋体"/>
          <w:color w:val="auto"/>
          <w:szCs w:val="21"/>
          <w:highlight w:val="none"/>
        </w:rPr>
        <w:t>资格审查办法</w:t>
      </w:r>
      <w:r>
        <w:rPr>
          <w:color w:val="auto"/>
          <w:szCs w:val="21"/>
          <w:highlight w:val="none"/>
        </w:rPr>
        <w:t>”</w:t>
      </w:r>
      <w:r>
        <w:rPr>
          <w:rFonts w:ascii="宋体" w:hAnsi="宋体"/>
          <w:color w:val="auto"/>
          <w:szCs w:val="21"/>
          <w:highlight w:val="none"/>
        </w:rPr>
        <w:t>详细审查标准（适用于已进行资格预审的）。</w:t>
      </w:r>
    </w:p>
    <w:p>
      <w:pPr>
        <w:spacing w:line="400" w:lineRule="atLeast"/>
        <w:ind w:firstLine="480" w:firstLineChars="200"/>
        <w:rPr>
          <w:rFonts w:hint="eastAsia"/>
          <w:b/>
          <w:color w:val="auto"/>
          <w:highlight w:val="none"/>
        </w:rPr>
      </w:pPr>
      <w:r>
        <w:rPr>
          <w:color w:val="auto"/>
          <w:szCs w:val="21"/>
          <w:highlight w:val="none"/>
        </w:rPr>
        <w:t xml:space="preserve">2.1.3 </w:t>
      </w:r>
      <w:r>
        <w:rPr>
          <w:rFonts w:ascii="宋体" w:hAnsi="宋体"/>
          <w:color w:val="auto"/>
          <w:szCs w:val="21"/>
          <w:highlight w:val="none"/>
        </w:rPr>
        <w:t>响应性评审标准：见评标办法前附表。</w:t>
      </w:r>
    </w:p>
    <w:p>
      <w:pPr>
        <w:pStyle w:val="3"/>
        <w:spacing w:before="240" w:after="240" w:line="240" w:lineRule="atLeast"/>
        <w:ind w:firstLine="480" w:firstLineChars="200"/>
        <w:rPr>
          <w:rFonts w:ascii="黑体" w:eastAsia="黑体"/>
          <w:b w:val="0"/>
          <w:color w:val="auto"/>
          <w:sz w:val="24"/>
          <w:szCs w:val="24"/>
          <w:highlight w:val="none"/>
        </w:rPr>
      </w:pPr>
      <w:bookmarkStart w:id="5" w:name="_Toc503235810"/>
      <w:bookmarkStart w:id="6" w:name="_Toc234832944"/>
      <w:r>
        <w:rPr>
          <w:rFonts w:ascii="黑体" w:eastAsia="黑体"/>
          <w:b w:val="0"/>
          <w:color w:val="auto"/>
          <w:sz w:val="24"/>
          <w:szCs w:val="24"/>
          <w:highlight w:val="none"/>
        </w:rPr>
        <w:t>2.2 分值构成与评分标准</w:t>
      </w:r>
      <w:bookmarkEnd w:id="5"/>
    </w:p>
    <w:p>
      <w:pPr>
        <w:tabs>
          <w:tab w:val="left" w:pos="360"/>
        </w:tabs>
        <w:spacing w:line="400" w:lineRule="atLeast"/>
        <w:ind w:firstLine="480" w:firstLineChars="200"/>
        <w:rPr>
          <w:color w:val="auto"/>
          <w:highlight w:val="none"/>
        </w:rPr>
      </w:pPr>
      <w:r>
        <w:rPr>
          <w:color w:val="auto"/>
          <w:highlight w:val="none"/>
        </w:rPr>
        <w:t xml:space="preserve">2.2.1 </w:t>
      </w:r>
      <w:r>
        <w:rPr>
          <w:rFonts w:eastAsia="黑体"/>
          <w:color w:val="auto"/>
          <w:highlight w:val="none"/>
        </w:rPr>
        <w:t>分值构成</w:t>
      </w:r>
    </w:p>
    <w:p>
      <w:pPr>
        <w:spacing w:line="400" w:lineRule="atLeast"/>
        <w:ind w:firstLine="480" w:firstLineChars="200"/>
        <w:rPr>
          <w:color w:val="auto"/>
          <w:highlight w:val="none"/>
        </w:rPr>
      </w:pPr>
      <w:r>
        <w:rPr>
          <w:color w:val="auto"/>
          <w:highlight w:val="none"/>
        </w:rPr>
        <w:t>（1）技术建议书：见评标办法前附表；</w:t>
      </w:r>
    </w:p>
    <w:p>
      <w:pPr>
        <w:spacing w:line="400" w:lineRule="atLeast"/>
        <w:ind w:firstLine="480" w:firstLineChars="200"/>
        <w:rPr>
          <w:color w:val="auto"/>
          <w:highlight w:val="none"/>
        </w:rPr>
      </w:pPr>
      <w:r>
        <w:rPr>
          <w:color w:val="auto"/>
          <w:highlight w:val="none"/>
        </w:rPr>
        <w:t>（2）</w:t>
      </w:r>
      <w:r>
        <w:rPr>
          <w:rFonts w:hint="eastAsia"/>
          <w:color w:val="auto"/>
          <w:highlight w:val="none"/>
        </w:rPr>
        <w:t>主要人员</w:t>
      </w:r>
      <w:r>
        <w:rPr>
          <w:color w:val="auto"/>
          <w:highlight w:val="none"/>
        </w:rPr>
        <w:t>：见评标办法前附表；</w:t>
      </w:r>
    </w:p>
    <w:p>
      <w:pPr>
        <w:spacing w:line="400" w:lineRule="atLeast"/>
        <w:ind w:firstLine="480" w:firstLineChars="200"/>
        <w:rPr>
          <w:color w:val="auto"/>
          <w:highlight w:val="none"/>
        </w:rPr>
      </w:pPr>
      <w:r>
        <w:rPr>
          <w:color w:val="auto"/>
          <w:highlight w:val="none"/>
        </w:rPr>
        <w:t>（3）</w:t>
      </w:r>
      <w:r>
        <w:rPr>
          <w:rFonts w:hint="eastAsia"/>
          <w:color w:val="auto"/>
          <w:highlight w:val="none"/>
        </w:rPr>
        <w:t>评标价</w:t>
      </w:r>
      <w:r>
        <w:rPr>
          <w:color w:val="auto"/>
          <w:highlight w:val="none"/>
        </w:rPr>
        <w:t>：见评标办法前附表；</w:t>
      </w:r>
    </w:p>
    <w:p>
      <w:pPr>
        <w:spacing w:line="400" w:lineRule="atLeast"/>
        <w:ind w:firstLine="480" w:firstLineChars="200"/>
        <w:rPr>
          <w:color w:val="auto"/>
          <w:highlight w:val="none"/>
        </w:rPr>
      </w:pPr>
      <w:r>
        <w:rPr>
          <w:color w:val="auto"/>
          <w:highlight w:val="none"/>
        </w:rPr>
        <w:t>（4）其他评分因素：见评标办法前附表。</w:t>
      </w:r>
    </w:p>
    <w:p>
      <w:pPr>
        <w:spacing w:line="400" w:lineRule="atLeast"/>
        <w:ind w:firstLine="480" w:firstLineChars="200"/>
        <w:rPr>
          <w:color w:val="auto"/>
          <w:highlight w:val="none"/>
        </w:rPr>
      </w:pPr>
      <w:r>
        <w:rPr>
          <w:color w:val="auto"/>
          <w:highlight w:val="none"/>
        </w:rPr>
        <w:t xml:space="preserve">2.2.2 </w:t>
      </w:r>
      <w:r>
        <w:rPr>
          <w:rFonts w:eastAsia="黑体"/>
          <w:color w:val="auto"/>
          <w:highlight w:val="none"/>
        </w:rPr>
        <w:t>评标基准价计算</w:t>
      </w:r>
    </w:p>
    <w:p>
      <w:pPr>
        <w:spacing w:line="400" w:lineRule="atLeast"/>
        <w:ind w:firstLine="480" w:firstLineChars="200"/>
        <w:rPr>
          <w:color w:val="auto"/>
          <w:highlight w:val="none"/>
        </w:rPr>
      </w:pPr>
      <w:r>
        <w:rPr>
          <w:color w:val="auto"/>
          <w:highlight w:val="none"/>
        </w:rPr>
        <w:t>评标基准价计算方法：见评标办法前附表。</w:t>
      </w:r>
    </w:p>
    <w:p>
      <w:pPr>
        <w:spacing w:line="400" w:lineRule="atLeast"/>
        <w:ind w:firstLine="480" w:firstLineChars="200"/>
        <w:rPr>
          <w:color w:val="auto"/>
          <w:highlight w:val="none"/>
        </w:rPr>
      </w:pPr>
      <w:r>
        <w:rPr>
          <w:color w:val="auto"/>
          <w:highlight w:val="none"/>
        </w:rPr>
        <w:t xml:space="preserve">2.2.3 </w:t>
      </w:r>
      <w:r>
        <w:rPr>
          <w:rFonts w:hint="eastAsia" w:eastAsia="黑体"/>
          <w:color w:val="auto"/>
          <w:highlight w:val="none"/>
        </w:rPr>
        <w:t>评标价</w:t>
      </w:r>
      <w:r>
        <w:rPr>
          <w:rFonts w:eastAsia="黑体"/>
          <w:color w:val="auto"/>
          <w:highlight w:val="none"/>
        </w:rPr>
        <w:t>的偏差率计算</w:t>
      </w:r>
    </w:p>
    <w:p>
      <w:pPr>
        <w:spacing w:line="400" w:lineRule="atLeast"/>
        <w:ind w:firstLine="480" w:firstLineChars="200"/>
        <w:rPr>
          <w:color w:val="auto"/>
          <w:highlight w:val="none"/>
        </w:rPr>
      </w:pPr>
      <w:r>
        <w:rPr>
          <w:rFonts w:hint="eastAsia"/>
          <w:color w:val="auto"/>
          <w:highlight w:val="none"/>
        </w:rPr>
        <w:t>评标价</w:t>
      </w:r>
      <w:r>
        <w:rPr>
          <w:color w:val="auto"/>
          <w:highlight w:val="none"/>
        </w:rPr>
        <w:t>的偏差率计算公式：见评标办法前附表。</w:t>
      </w:r>
    </w:p>
    <w:p>
      <w:pPr>
        <w:spacing w:line="400" w:lineRule="atLeast"/>
        <w:ind w:firstLine="480" w:firstLineChars="200"/>
        <w:rPr>
          <w:color w:val="auto"/>
          <w:highlight w:val="none"/>
        </w:rPr>
      </w:pPr>
      <w:r>
        <w:rPr>
          <w:color w:val="auto"/>
          <w:highlight w:val="none"/>
        </w:rPr>
        <w:t xml:space="preserve">2.2.4 </w:t>
      </w:r>
      <w:r>
        <w:rPr>
          <w:rFonts w:eastAsia="黑体"/>
          <w:color w:val="auto"/>
          <w:highlight w:val="none"/>
        </w:rPr>
        <w:t>评分标准</w:t>
      </w:r>
    </w:p>
    <w:p>
      <w:pPr>
        <w:spacing w:line="400" w:lineRule="atLeast"/>
        <w:ind w:firstLine="480" w:firstLineChars="200"/>
        <w:rPr>
          <w:color w:val="auto"/>
          <w:highlight w:val="none"/>
        </w:rPr>
      </w:pPr>
      <w:r>
        <w:rPr>
          <w:color w:val="auto"/>
          <w:highlight w:val="none"/>
        </w:rPr>
        <w:t>（1）技术建议书评分标准：见评标办法前附表；</w:t>
      </w:r>
    </w:p>
    <w:p>
      <w:pPr>
        <w:spacing w:line="400" w:lineRule="atLeast"/>
        <w:ind w:firstLine="480" w:firstLineChars="200"/>
        <w:rPr>
          <w:color w:val="auto"/>
          <w:highlight w:val="none"/>
        </w:rPr>
      </w:pPr>
      <w:r>
        <w:rPr>
          <w:color w:val="auto"/>
          <w:highlight w:val="none"/>
        </w:rPr>
        <w:t>（2）</w:t>
      </w:r>
      <w:r>
        <w:rPr>
          <w:rFonts w:hint="eastAsia"/>
          <w:color w:val="auto"/>
          <w:highlight w:val="none"/>
        </w:rPr>
        <w:t>主要人员</w:t>
      </w:r>
      <w:r>
        <w:rPr>
          <w:color w:val="auto"/>
          <w:highlight w:val="none"/>
        </w:rPr>
        <w:t>评分标准：见评标办法前附表；</w:t>
      </w:r>
    </w:p>
    <w:p>
      <w:pPr>
        <w:spacing w:line="400" w:lineRule="atLeast"/>
        <w:ind w:firstLine="480" w:firstLineChars="200"/>
        <w:rPr>
          <w:color w:val="auto"/>
          <w:highlight w:val="none"/>
        </w:rPr>
      </w:pPr>
      <w:r>
        <w:rPr>
          <w:color w:val="auto"/>
          <w:highlight w:val="none"/>
        </w:rPr>
        <w:t>（3）</w:t>
      </w:r>
      <w:r>
        <w:rPr>
          <w:rFonts w:hint="eastAsia"/>
          <w:color w:val="auto"/>
          <w:highlight w:val="none"/>
        </w:rPr>
        <w:t>评标价</w:t>
      </w:r>
      <w:r>
        <w:rPr>
          <w:color w:val="auto"/>
          <w:highlight w:val="none"/>
        </w:rPr>
        <w:t>评分标准：见评标办法前附表；</w:t>
      </w:r>
    </w:p>
    <w:p>
      <w:pPr>
        <w:spacing w:line="400" w:lineRule="atLeast"/>
        <w:ind w:firstLine="480" w:firstLineChars="200"/>
        <w:rPr>
          <w:color w:val="auto"/>
          <w:highlight w:val="none"/>
        </w:rPr>
      </w:pPr>
      <w:r>
        <w:rPr>
          <w:color w:val="auto"/>
          <w:highlight w:val="none"/>
        </w:rPr>
        <w:t>（4）其他因素评分标准：见评标办法前附表。</w:t>
      </w:r>
    </w:p>
    <w:p>
      <w:pPr>
        <w:pStyle w:val="3"/>
        <w:spacing w:before="360" w:after="240" w:line="240" w:lineRule="atLeast"/>
        <w:rPr>
          <w:rFonts w:ascii="黑体" w:eastAsia="黑体"/>
          <w:b w:val="0"/>
          <w:color w:val="auto"/>
          <w:sz w:val="28"/>
          <w:szCs w:val="28"/>
          <w:highlight w:val="none"/>
        </w:rPr>
      </w:pPr>
      <w:bookmarkStart w:id="7" w:name="_Toc503235811"/>
      <w:r>
        <w:rPr>
          <w:rFonts w:ascii="黑体" w:eastAsia="黑体"/>
          <w:b w:val="0"/>
          <w:color w:val="auto"/>
          <w:sz w:val="28"/>
          <w:szCs w:val="28"/>
          <w:highlight w:val="none"/>
        </w:rPr>
        <w:t>3. 评标程序</w:t>
      </w:r>
      <w:bookmarkEnd w:id="7"/>
    </w:p>
    <w:p>
      <w:pPr>
        <w:pStyle w:val="3"/>
        <w:spacing w:before="240" w:after="240" w:line="240" w:lineRule="atLeast"/>
        <w:rPr>
          <w:rFonts w:ascii="黑体" w:eastAsia="黑体"/>
          <w:b w:val="0"/>
          <w:color w:val="auto"/>
          <w:sz w:val="24"/>
          <w:szCs w:val="24"/>
          <w:highlight w:val="none"/>
        </w:rPr>
      </w:pPr>
      <w:bookmarkStart w:id="8" w:name="_Toc503235812"/>
      <w:r>
        <w:rPr>
          <w:rFonts w:ascii="黑体" w:eastAsia="黑体"/>
          <w:b w:val="0"/>
          <w:color w:val="auto"/>
          <w:sz w:val="24"/>
          <w:szCs w:val="24"/>
          <w:highlight w:val="none"/>
        </w:rPr>
        <w:t>3.1</w:t>
      </w:r>
      <w:r>
        <w:rPr>
          <w:rFonts w:hint="eastAsia" w:ascii="黑体" w:eastAsia="黑体"/>
          <w:b w:val="0"/>
          <w:color w:val="auto"/>
          <w:sz w:val="24"/>
          <w:szCs w:val="24"/>
          <w:highlight w:val="none"/>
        </w:rPr>
        <w:t xml:space="preserve"> 第一个信封</w:t>
      </w:r>
      <w:r>
        <w:rPr>
          <w:rFonts w:ascii="黑体" w:eastAsia="黑体"/>
          <w:b w:val="0"/>
          <w:color w:val="auto"/>
          <w:sz w:val="24"/>
          <w:szCs w:val="24"/>
          <w:highlight w:val="none"/>
        </w:rPr>
        <w:t>初步评审</w:t>
      </w:r>
      <w:bookmarkEnd w:id="8"/>
    </w:p>
    <w:p>
      <w:pPr>
        <w:spacing w:line="400" w:lineRule="atLeast"/>
        <w:ind w:firstLine="480" w:firstLineChars="200"/>
        <w:rPr>
          <w:color w:val="auto"/>
          <w:highlight w:val="none"/>
        </w:rPr>
      </w:pPr>
      <w:r>
        <w:rPr>
          <w:color w:val="auto"/>
          <w:highlight w:val="none"/>
        </w:rPr>
        <w:t>3.1.1 评标委员会可以要求投标人提交第二章“投标人须知”第3.5.1项至第3.5.</w:t>
      </w:r>
      <w:r>
        <w:rPr>
          <w:rFonts w:hint="eastAsia"/>
          <w:color w:val="auto"/>
          <w:highlight w:val="none"/>
        </w:rPr>
        <w:t>5</w:t>
      </w:r>
      <w:r>
        <w:rPr>
          <w:color w:val="auto"/>
          <w:highlight w:val="none"/>
        </w:rPr>
        <w:t>项规定的有关证明和证件的原件，以便核验。评标委员会依据本章第2.1款规定的标准对投标文件</w:t>
      </w:r>
      <w:r>
        <w:rPr>
          <w:rFonts w:hint="eastAsia"/>
          <w:color w:val="auto"/>
          <w:highlight w:val="none"/>
        </w:rPr>
        <w:t>第一个信封（商务及技术文件）</w:t>
      </w:r>
      <w:r>
        <w:rPr>
          <w:color w:val="auto"/>
          <w:highlight w:val="none"/>
        </w:rPr>
        <w:t>进行初步评审。有一项不符合评审标准的，</w:t>
      </w:r>
      <w:r>
        <w:rPr>
          <w:rFonts w:hint="eastAsia"/>
          <w:color w:val="auto"/>
          <w:highlight w:val="none"/>
        </w:rPr>
        <w:t>评标委员会应否决其投标</w:t>
      </w:r>
      <w:r>
        <w:rPr>
          <w:color w:val="auto"/>
          <w:highlight w:val="none"/>
        </w:rPr>
        <w:t>。</w:t>
      </w:r>
    </w:p>
    <w:p>
      <w:pPr>
        <w:pStyle w:val="3"/>
        <w:spacing w:before="240" w:after="240" w:line="240" w:lineRule="atLeast"/>
        <w:rPr>
          <w:rFonts w:ascii="黑体" w:eastAsia="黑体"/>
          <w:b w:val="0"/>
          <w:color w:val="auto"/>
          <w:sz w:val="24"/>
          <w:szCs w:val="24"/>
          <w:highlight w:val="none"/>
        </w:rPr>
      </w:pPr>
      <w:bookmarkStart w:id="9" w:name="_Toc503235813"/>
      <w:r>
        <w:rPr>
          <w:rFonts w:ascii="黑体" w:eastAsia="黑体"/>
          <w:b w:val="0"/>
          <w:color w:val="auto"/>
          <w:sz w:val="24"/>
          <w:szCs w:val="24"/>
          <w:highlight w:val="none"/>
        </w:rPr>
        <w:t>3.</w:t>
      </w:r>
      <w:r>
        <w:rPr>
          <w:rFonts w:hint="eastAsia" w:ascii="黑体" w:eastAsia="黑体"/>
          <w:b w:val="0"/>
          <w:color w:val="auto"/>
          <w:sz w:val="24"/>
          <w:szCs w:val="24"/>
          <w:highlight w:val="none"/>
        </w:rPr>
        <w:t>2 第一个信封</w:t>
      </w:r>
      <w:r>
        <w:rPr>
          <w:rFonts w:ascii="黑体" w:eastAsia="黑体"/>
          <w:b w:val="0"/>
          <w:color w:val="auto"/>
          <w:sz w:val="24"/>
          <w:szCs w:val="24"/>
          <w:highlight w:val="none"/>
        </w:rPr>
        <w:t>详细评审</w:t>
      </w:r>
      <w:bookmarkEnd w:id="9"/>
    </w:p>
    <w:p>
      <w:pPr>
        <w:spacing w:line="400" w:lineRule="atLeast"/>
        <w:ind w:firstLine="480" w:firstLineChars="200"/>
        <w:rPr>
          <w:color w:val="auto"/>
          <w:highlight w:val="none"/>
        </w:rPr>
      </w:pPr>
      <w:r>
        <w:rPr>
          <w:color w:val="auto"/>
          <w:highlight w:val="none"/>
        </w:rPr>
        <w:t>3.</w:t>
      </w:r>
      <w:r>
        <w:rPr>
          <w:rFonts w:hint="eastAsia"/>
          <w:color w:val="auto"/>
          <w:highlight w:val="none"/>
        </w:rPr>
        <w:t>2</w:t>
      </w:r>
      <w:r>
        <w:rPr>
          <w:color w:val="auto"/>
          <w:highlight w:val="none"/>
        </w:rPr>
        <w:t>.1 评标委员会按本章第2.2款规定的量化因素和分值进行打分，并计算出</w:t>
      </w:r>
      <w:r>
        <w:rPr>
          <w:rFonts w:hint="eastAsia"/>
          <w:color w:val="auto"/>
          <w:highlight w:val="none"/>
        </w:rPr>
        <w:t>各投标人的商务和技术</w:t>
      </w:r>
      <w:r>
        <w:rPr>
          <w:color w:val="auto"/>
          <w:highlight w:val="none"/>
        </w:rPr>
        <w:t>得分。</w:t>
      </w:r>
    </w:p>
    <w:p>
      <w:pPr>
        <w:spacing w:line="400" w:lineRule="atLeast"/>
        <w:ind w:firstLine="480" w:firstLineChars="200"/>
        <w:rPr>
          <w:color w:val="auto"/>
          <w:highlight w:val="none"/>
        </w:rPr>
      </w:pPr>
      <w:r>
        <w:rPr>
          <w:color w:val="auto"/>
          <w:highlight w:val="none"/>
        </w:rPr>
        <w:t>（1）按本章第2.2.4项（1）目规定的评审因素和分值对技术建议书部分计算出得分A；</w:t>
      </w:r>
    </w:p>
    <w:p>
      <w:pPr>
        <w:spacing w:line="400" w:lineRule="atLeast"/>
        <w:ind w:firstLine="480" w:firstLineChars="200"/>
        <w:rPr>
          <w:color w:val="auto"/>
          <w:highlight w:val="none"/>
        </w:rPr>
      </w:pPr>
      <w:r>
        <w:rPr>
          <w:color w:val="auto"/>
          <w:highlight w:val="none"/>
        </w:rPr>
        <w:t>（2）按本章第2.2.4项（2）目规定的评审因素和分值对</w:t>
      </w:r>
      <w:r>
        <w:rPr>
          <w:rFonts w:hint="eastAsia"/>
          <w:color w:val="auto"/>
          <w:highlight w:val="none"/>
        </w:rPr>
        <w:t>主要人员和设备部分</w:t>
      </w:r>
      <w:r>
        <w:rPr>
          <w:color w:val="auto"/>
          <w:highlight w:val="none"/>
        </w:rPr>
        <w:t>计算出得分B；</w:t>
      </w:r>
    </w:p>
    <w:p>
      <w:pPr>
        <w:spacing w:line="400" w:lineRule="atLeast"/>
        <w:ind w:firstLine="480" w:firstLineChars="200"/>
        <w:rPr>
          <w:color w:val="auto"/>
          <w:highlight w:val="none"/>
        </w:rPr>
      </w:pPr>
      <w:r>
        <w:rPr>
          <w:color w:val="auto"/>
          <w:highlight w:val="none"/>
        </w:rPr>
        <w:t>（3）按本章第2.2.4项（</w:t>
      </w:r>
      <w:r>
        <w:rPr>
          <w:rFonts w:hint="eastAsia"/>
          <w:color w:val="auto"/>
          <w:highlight w:val="none"/>
          <w:lang w:val="en-US" w:eastAsia="zh-CN"/>
        </w:rPr>
        <w:t>4</w:t>
      </w:r>
      <w:r>
        <w:rPr>
          <w:color w:val="auto"/>
          <w:highlight w:val="none"/>
        </w:rPr>
        <w:t>）目规定的评审因素和分值对其他部分计算出得分D。</w:t>
      </w:r>
    </w:p>
    <w:p>
      <w:pPr>
        <w:spacing w:line="400" w:lineRule="atLeast"/>
        <w:ind w:firstLine="480" w:firstLineChars="200"/>
        <w:rPr>
          <w:color w:val="auto"/>
          <w:highlight w:val="none"/>
        </w:rPr>
      </w:pPr>
      <w:r>
        <w:rPr>
          <w:color w:val="auto"/>
          <w:highlight w:val="none"/>
        </w:rPr>
        <w:t>3.</w:t>
      </w:r>
      <w:r>
        <w:rPr>
          <w:rFonts w:hint="eastAsia"/>
          <w:color w:val="auto"/>
          <w:highlight w:val="none"/>
        </w:rPr>
        <w:t>2</w:t>
      </w:r>
      <w:r>
        <w:rPr>
          <w:color w:val="auto"/>
          <w:highlight w:val="none"/>
        </w:rPr>
        <w:t xml:space="preserve">.2 </w:t>
      </w:r>
      <w:r>
        <w:rPr>
          <w:rFonts w:hint="eastAsia"/>
          <w:color w:val="auto"/>
          <w:highlight w:val="none"/>
        </w:rPr>
        <w:t>投标人的商务和技术得分</w:t>
      </w:r>
      <w:r>
        <w:rPr>
          <w:color w:val="auto"/>
          <w:highlight w:val="none"/>
        </w:rPr>
        <w:t>分值计算保留小数点后两位，小数点后第三位“四舍五入”。</w:t>
      </w:r>
    </w:p>
    <w:p>
      <w:pPr>
        <w:spacing w:line="400" w:lineRule="atLeast"/>
        <w:ind w:firstLine="480" w:firstLineChars="200"/>
        <w:rPr>
          <w:color w:val="auto"/>
          <w:highlight w:val="none"/>
        </w:rPr>
      </w:pPr>
      <w:r>
        <w:rPr>
          <w:color w:val="auto"/>
          <w:highlight w:val="none"/>
        </w:rPr>
        <w:t>3.</w:t>
      </w:r>
      <w:r>
        <w:rPr>
          <w:rFonts w:hint="eastAsia"/>
          <w:color w:val="auto"/>
          <w:highlight w:val="none"/>
        </w:rPr>
        <w:t>2</w:t>
      </w:r>
      <w:r>
        <w:rPr>
          <w:color w:val="auto"/>
          <w:highlight w:val="none"/>
        </w:rPr>
        <w:t>.3投标人的商务和技术得分=A+B+D。</w:t>
      </w:r>
    </w:p>
    <w:p>
      <w:pPr>
        <w:spacing w:line="400" w:lineRule="atLeast"/>
        <w:ind w:firstLine="480" w:firstLineChars="200"/>
        <w:rPr>
          <w:color w:val="auto"/>
          <w:highlight w:val="none"/>
        </w:rPr>
      </w:pPr>
      <w:r>
        <w:rPr>
          <w:rFonts w:hint="eastAsia"/>
          <w:color w:val="auto"/>
          <w:highlight w:val="none"/>
        </w:rPr>
        <w:t xml:space="preserve">各评分因素（评标价、履约信誉评分项除外）及其各评审因素细分项的得分一般不得低于其权重分值的60%，评分低于上述权重分值百分比的，评标委员会成员应当在评标报告中作出说明。 </w:t>
      </w:r>
    </w:p>
    <w:p>
      <w:pPr>
        <w:spacing w:line="400" w:lineRule="atLeast"/>
        <w:ind w:firstLine="480" w:firstLineChars="200"/>
        <w:rPr>
          <w:color w:val="auto"/>
          <w:highlight w:val="none"/>
        </w:rPr>
      </w:pPr>
      <w:bookmarkStart w:id="10" w:name="_Toc503235814"/>
      <w:r>
        <w:rPr>
          <w:color w:val="auto"/>
          <w:highlight w:val="none"/>
        </w:rPr>
        <w:t>3.</w:t>
      </w:r>
      <w:r>
        <w:rPr>
          <w:rFonts w:hint="eastAsia"/>
          <w:color w:val="auto"/>
          <w:highlight w:val="none"/>
        </w:rPr>
        <w:t>3 第二个信封开标</w:t>
      </w:r>
      <w:bookmarkEnd w:id="10"/>
    </w:p>
    <w:p>
      <w:pPr>
        <w:spacing w:line="400" w:lineRule="atLeast"/>
        <w:ind w:firstLine="480" w:firstLineChars="200"/>
        <w:rPr>
          <w:color w:val="auto"/>
          <w:highlight w:val="none"/>
        </w:rPr>
      </w:pPr>
      <w:r>
        <w:rPr>
          <w:color w:val="auto"/>
          <w:highlight w:val="none"/>
        </w:rPr>
        <w:t>第一</w:t>
      </w:r>
      <w:r>
        <w:rPr>
          <w:rFonts w:hint="eastAsia"/>
          <w:color w:val="auto"/>
          <w:highlight w:val="none"/>
        </w:rPr>
        <w:t>个</w:t>
      </w:r>
      <w:r>
        <w:rPr>
          <w:color w:val="auto"/>
          <w:highlight w:val="none"/>
        </w:rPr>
        <w:t>信封（商务及技术文件）评审结束后，招标人将按照</w:t>
      </w:r>
      <w:r>
        <w:rPr>
          <w:rFonts w:hint="eastAsia"/>
          <w:color w:val="auto"/>
          <w:highlight w:val="none"/>
        </w:rPr>
        <w:t>第二章</w:t>
      </w:r>
      <w:r>
        <w:rPr>
          <w:color w:val="auto"/>
          <w:highlight w:val="none"/>
        </w:rPr>
        <w:t>“</w:t>
      </w:r>
      <w:r>
        <w:rPr>
          <w:rFonts w:hint="eastAsia"/>
          <w:color w:val="auto"/>
          <w:highlight w:val="none"/>
        </w:rPr>
        <w:t>投标</w:t>
      </w:r>
      <w:r>
        <w:rPr>
          <w:color w:val="auto"/>
          <w:highlight w:val="none"/>
        </w:rPr>
        <w:t>人须知”</w:t>
      </w:r>
      <w:r>
        <w:rPr>
          <w:rFonts w:hint="eastAsia"/>
          <w:color w:val="auto"/>
          <w:highlight w:val="none"/>
        </w:rPr>
        <w:t>第5.1款</w:t>
      </w:r>
      <w:r>
        <w:rPr>
          <w:color w:val="auto"/>
          <w:highlight w:val="none"/>
        </w:rPr>
        <w:t>规定的时间和地点</w:t>
      </w:r>
      <w:r>
        <w:rPr>
          <w:rFonts w:hint="eastAsia"/>
          <w:color w:val="auto"/>
          <w:highlight w:val="none"/>
        </w:rPr>
        <w:t>对</w:t>
      </w:r>
      <w:r>
        <w:rPr>
          <w:color w:val="auto"/>
          <w:highlight w:val="none"/>
        </w:rPr>
        <w:t>通过投标文件第一</w:t>
      </w:r>
      <w:r>
        <w:rPr>
          <w:rFonts w:hint="eastAsia"/>
          <w:color w:val="auto"/>
          <w:highlight w:val="none"/>
        </w:rPr>
        <w:t>个</w:t>
      </w:r>
      <w:r>
        <w:rPr>
          <w:color w:val="auto"/>
          <w:highlight w:val="none"/>
        </w:rPr>
        <w:t>信封（商务及技术文件）评审的投标</w:t>
      </w:r>
      <w:r>
        <w:rPr>
          <w:rFonts w:hint="eastAsia"/>
          <w:color w:val="auto"/>
          <w:highlight w:val="none"/>
        </w:rPr>
        <w:t>文件</w:t>
      </w:r>
      <w:r>
        <w:rPr>
          <w:color w:val="auto"/>
          <w:highlight w:val="none"/>
        </w:rPr>
        <w:t>第二</w:t>
      </w:r>
      <w:r>
        <w:rPr>
          <w:rFonts w:hint="eastAsia"/>
          <w:color w:val="auto"/>
          <w:highlight w:val="none"/>
        </w:rPr>
        <w:t>个</w:t>
      </w:r>
      <w:r>
        <w:rPr>
          <w:color w:val="auto"/>
          <w:highlight w:val="none"/>
        </w:rPr>
        <w:t>信封（报价</w:t>
      </w:r>
      <w:r>
        <w:rPr>
          <w:rFonts w:hint="eastAsia"/>
          <w:color w:val="auto"/>
          <w:highlight w:val="none"/>
        </w:rPr>
        <w:t>文件</w:t>
      </w:r>
      <w:r>
        <w:rPr>
          <w:color w:val="auto"/>
          <w:highlight w:val="none"/>
        </w:rPr>
        <w:t>）进行开标。</w:t>
      </w:r>
    </w:p>
    <w:p>
      <w:pPr>
        <w:pStyle w:val="3"/>
        <w:spacing w:before="240" w:after="240" w:line="240" w:lineRule="atLeast"/>
        <w:rPr>
          <w:rFonts w:ascii="黑体" w:eastAsia="黑体"/>
          <w:b w:val="0"/>
          <w:color w:val="auto"/>
          <w:sz w:val="24"/>
          <w:szCs w:val="24"/>
          <w:highlight w:val="none"/>
        </w:rPr>
      </w:pPr>
      <w:bookmarkStart w:id="11" w:name="_Toc503235815"/>
      <w:r>
        <w:rPr>
          <w:rFonts w:ascii="黑体" w:eastAsia="黑体"/>
          <w:b w:val="0"/>
          <w:color w:val="auto"/>
          <w:sz w:val="24"/>
          <w:szCs w:val="24"/>
          <w:highlight w:val="none"/>
        </w:rPr>
        <w:t>3.</w:t>
      </w:r>
      <w:r>
        <w:rPr>
          <w:rFonts w:hint="eastAsia" w:ascii="黑体" w:eastAsia="黑体"/>
          <w:b w:val="0"/>
          <w:color w:val="auto"/>
          <w:sz w:val="24"/>
          <w:szCs w:val="24"/>
          <w:highlight w:val="none"/>
        </w:rPr>
        <w:t>4 第二个信封</w:t>
      </w:r>
      <w:r>
        <w:rPr>
          <w:rFonts w:ascii="黑体" w:eastAsia="黑体"/>
          <w:b w:val="0"/>
          <w:color w:val="auto"/>
          <w:sz w:val="24"/>
          <w:szCs w:val="24"/>
          <w:highlight w:val="none"/>
        </w:rPr>
        <w:t>初步评审</w:t>
      </w:r>
      <w:bookmarkEnd w:id="11"/>
    </w:p>
    <w:p>
      <w:pPr>
        <w:spacing w:line="400" w:lineRule="atLeast"/>
        <w:ind w:firstLine="480" w:firstLineChars="200"/>
        <w:rPr>
          <w:color w:val="auto"/>
          <w:highlight w:val="none"/>
        </w:rPr>
      </w:pPr>
      <w:r>
        <w:rPr>
          <w:color w:val="auto"/>
          <w:highlight w:val="none"/>
        </w:rPr>
        <w:t>3.</w:t>
      </w:r>
      <w:r>
        <w:rPr>
          <w:rFonts w:hint="eastAsia"/>
          <w:color w:val="auto"/>
          <w:highlight w:val="none"/>
        </w:rPr>
        <w:t>4</w:t>
      </w:r>
      <w:r>
        <w:rPr>
          <w:color w:val="auto"/>
          <w:highlight w:val="none"/>
        </w:rPr>
        <w:t>.1 评标委员会依据本章第2.1.1项、第2.1.3项规定的评审标准对投标文件</w:t>
      </w:r>
      <w:r>
        <w:rPr>
          <w:rFonts w:hint="eastAsia"/>
          <w:color w:val="auto"/>
          <w:highlight w:val="none"/>
        </w:rPr>
        <w:t>第二个信封（报价文件）</w:t>
      </w:r>
      <w:r>
        <w:rPr>
          <w:color w:val="auto"/>
          <w:highlight w:val="none"/>
        </w:rPr>
        <w:t>进行初步评审。有一项不符合评审标准的，</w:t>
      </w:r>
      <w:r>
        <w:rPr>
          <w:rFonts w:hint="eastAsia"/>
          <w:color w:val="auto"/>
          <w:highlight w:val="none"/>
        </w:rPr>
        <w:t>评标委员会应否决其投标</w:t>
      </w:r>
      <w:r>
        <w:rPr>
          <w:color w:val="auto"/>
          <w:highlight w:val="none"/>
        </w:rPr>
        <w:t>。</w:t>
      </w:r>
    </w:p>
    <w:p>
      <w:pPr>
        <w:spacing w:line="400" w:lineRule="atLeast"/>
        <w:ind w:firstLine="480" w:firstLineChars="200"/>
        <w:rPr>
          <w:color w:val="auto"/>
          <w:highlight w:val="none"/>
        </w:rPr>
      </w:pPr>
      <w:r>
        <w:rPr>
          <w:color w:val="auto"/>
          <w:highlight w:val="none"/>
        </w:rPr>
        <w:t>3.</w:t>
      </w:r>
      <w:r>
        <w:rPr>
          <w:rFonts w:hint="eastAsia"/>
          <w:color w:val="auto"/>
          <w:highlight w:val="none"/>
        </w:rPr>
        <w:t>4</w:t>
      </w:r>
      <w:r>
        <w:rPr>
          <w:color w:val="auto"/>
          <w:highlight w:val="none"/>
        </w:rPr>
        <w:t>.</w:t>
      </w:r>
      <w:r>
        <w:rPr>
          <w:rFonts w:hint="eastAsia"/>
          <w:color w:val="auto"/>
          <w:highlight w:val="none"/>
        </w:rPr>
        <w:t>2</w:t>
      </w:r>
      <w:r>
        <w:rPr>
          <w:color w:val="auto"/>
          <w:highlight w:val="none"/>
        </w:rPr>
        <w:t xml:space="preserve"> 投标报价有算术错误的，评标委员会按以下原则对投标报价进行修正，修正的价格经投标人书面确认后具有约束力。投标人不接受修正价格的，</w:t>
      </w:r>
      <w:r>
        <w:rPr>
          <w:rFonts w:hint="eastAsia"/>
          <w:color w:val="auto"/>
          <w:highlight w:val="none"/>
        </w:rPr>
        <w:t>评标委员会应否决其投标。</w:t>
      </w:r>
    </w:p>
    <w:p>
      <w:pPr>
        <w:spacing w:line="400" w:lineRule="atLeast"/>
        <w:ind w:firstLine="480" w:firstLineChars="200"/>
        <w:rPr>
          <w:color w:val="auto"/>
          <w:highlight w:val="none"/>
        </w:rPr>
      </w:pPr>
      <w:r>
        <w:rPr>
          <w:color w:val="auto"/>
          <w:highlight w:val="none"/>
        </w:rPr>
        <w:t>（1）投标文件中的大写金额与小写金额不一致的，以大写金额为准；</w:t>
      </w:r>
    </w:p>
    <w:p>
      <w:pPr>
        <w:spacing w:line="400" w:lineRule="atLeast"/>
        <w:ind w:firstLine="480" w:firstLineChars="200"/>
        <w:rPr>
          <w:color w:val="auto"/>
          <w:highlight w:val="none"/>
        </w:rPr>
      </w:pPr>
      <w:r>
        <w:rPr>
          <w:color w:val="auto"/>
          <w:highlight w:val="none"/>
        </w:rPr>
        <w:t>（2）总价金额与依据单价计算出的结果不一致的，以单价金额为准修正总价，但单价金额小数点有明显错误的除外</w:t>
      </w:r>
      <w:r>
        <w:rPr>
          <w:rFonts w:hint="eastAsia"/>
          <w:color w:val="auto"/>
          <w:highlight w:val="none"/>
        </w:rPr>
        <w:t>；</w:t>
      </w:r>
    </w:p>
    <w:p>
      <w:pPr>
        <w:spacing w:line="400" w:lineRule="atLeast"/>
        <w:ind w:firstLine="480" w:firstLineChars="200"/>
        <w:rPr>
          <w:color w:val="auto"/>
          <w:highlight w:val="none"/>
        </w:rPr>
      </w:pPr>
      <w:r>
        <w:rPr>
          <w:rFonts w:hint="eastAsia"/>
          <w:color w:val="auto"/>
          <w:highlight w:val="none"/>
        </w:rPr>
        <w:t>（3）当单价与数量相乘不等于合价时，以单价计算为准，如果单价有明显的小数点位置差错，应以标出的合价为准，同时对单价予以修正；</w:t>
      </w:r>
    </w:p>
    <w:p>
      <w:pPr>
        <w:spacing w:line="400" w:lineRule="atLeast"/>
        <w:ind w:firstLine="480" w:firstLineChars="200"/>
        <w:rPr>
          <w:color w:val="auto"/>
          <w:highlight w:val="none"/>
        </w:rPr>
      </w:pPr>
      <w:r>
        <w:rPr>
          <w:rFonts w:hint="eastAsia"/>
          <w:color w:val="auto"/>
          <w:highlight w:val="none"/>
        </w:rPr>
        <w:t>（4）当各子目的合价累计不等于总价时，应以各子目合价累计数为准，修正总价。</w:t>
      </w:r>
    </w:p>
    <w:p>
      <w:pPr>
        <w:spacing w:line="400" w:lineRule="atLeast"/>
        <w:ind w:firstLine="480" w:firstLineChars="200"/>
        <w:rPr>
          <w:color w:val="auto"/>
          <w:highlight w:val="none"/>
        </w:rPr>
      </w:pPr>
      <w:r>
        <w:rPr>
          <w:rFonts w:hint="eastAsia"/>
          <w:color w:val="auto"/>
          <w:highlight w:val="none"/>
        </w:rPr>
        <w:t>3.4.</w:t>
      </w:r>
      <w:r>
        <w:rPr>
          <w:color w:val="auto"/>
          <w:highlight w:val="none"/>
        </w:rPr>
        <w:t>3</w:t>
      </w:r>
      <w:r>
        <w:rPr>
          <w:rFonts w:hint="eastAsia"/>
          <w:color w:val="auto"/>
          <w:highlight w:val="none"/>
        </w:rPr>
        <w:t xml:space="preserve"> 修正后的最终投标报价若超过最高投标限价（如有），评标委员会应否决其投标。</w:t>
      </w:r>
    </w:p>
    <w:p>
      <w:pPr>
        <w:spacing w:line="400" w:lineRule="atLeast"/>
        <w:ind w:firstLine="480" w:firstLineChars="200"/>
        <w:rPr>
          <w:color w:val="auto"/>
          <w:highlight w:val="none"/>
        </w:rPr>
      </w:pPr>
      <w:r>
        <w:rPr>
          <w:rFonts w:hint="eastAsia"/>
          <w:color w:val="auto"/>
          <w:highlight w:val="none"/>
        </w:rPr>
        <w:t>3.4.</w:t>
      </w:r>
      <w:r>
        <w:rPr>
          <w:color w:val="auto"/>
          <w:highlight w:val="none"/>
        </w:rPr>
        <w:t>4</w:t>
      </w:r>
      <w:r>
        <w:rPr>
          <w:rFonts w:hint="eastAsia"/>
          <w:color w:val="auto"/>
          <w:highlight w:val="none"/>
        </w:rPr>
        <w:t xml:space="preserve"> 修正后的最终投标报价仅作为签订合同的一个依据，不参与评标价得分的计算。</w:t>
      </w:r>
    </w:p>
    <w:p>
      <w:pPr>
        <w:pStyle w:val="3"/>
        <w:spacing w:before="240" w:after="240" w:line="240" w:lineRule="atLeast"/>
        <w:rPr>
          <w:rFonts w:ascii="黑体" w:eastAsia="黑体"/>
          <w:b w:val="0"/>
          <w:color w:val="auto"/>
          <w:sz w:val="24"/>
          <w:szCs w:val="24"/>
          <w:highlight w:val="none"/>
        </w:rPr>
      </w:pPr>
      <w:bookmarkStart w:id="12" w:name="_Toc503235816"/>
      <w:r>
        <w:rPr>
          <w:rFonts w:ascii="黑体" w:eastAsia="黑体"/>
          <w:b w:val="0"/>
          <w:color w:val="auto"/>
          <w:sz w:val="24"/>
          <w:szCs w:val="24"/>
          <w:highlight w:val="none"/>
        </w:rPr>
        <w:t>3.</w:t>
      </w:r>
      <w:r>
        <w:rPr>
          <w:rFonts w:hint="eastAsia" w:ascii="黑体" w:eastAsia="黑体"/>
          <w:b w:val="0"/>
          <w:color w:val="auto"/>
          <w:sz w:val="24"/>
          <w:szCs w:val="24"/>
          <w:highlight w:val="none"/>
        </w:rPr>
        <w:t>5 第二个信封</w:t>
      </w:r>
      <w:r>
        <w:rPr>
          <w:rFonts w:ascii="黑体" w:eastAsia="黑体"/>
          <w:b w:val="0"/>
          <w:color w:val="auto"/>
          <w:sz w:val="24"/>
          <w:szCs w:val="24"/>
          <w:highlight w:val="none"/>
        </w:rPr>
        <w:t>详细评审</w:t>
      </w:r>
      <w:bookmarkEnd w:id="12"/>
    </w:p>
    <w:p>
      <w:pPr>
        <w:spacing w:line="400" w:lineRule="atLeast"/>
        <w:ind w:firstLine="480" w:firstLineChars="200"/>
        <w:rPr>
          <w:color w:val="auto"/>
          <w:highlight w:val="none"/>
        </w:rPr>
      </w:pPr>
      <w:r>
        <w:rPr>
          <w:color w:val="auto"/>
          <w:highlight w:val="none"/>
        </w:rPr>
        <w:t>3.</w:t>
      </w:r>
      <w:r>
        <w:rPr>
          <w:rFonts w:hint="eastAsia"/>
          <w:color w:val="auto"/>
          <w:highlight w:val="none"/>
        </w:rPr>
        <w:t>5</w:t>
      </w:r>
      <w:r>
        <w:rPr>
          <w:color w:val="auto"/>
          <w:highlight w:val="none"/>
        </w:rPr>
        <w:t>.1 评标委员会按本章第2.2.4项（3）目规定的评审因素和分值对</w:t>
      </w:r>
      <w:r>
        <w:rPr>
          <w:rFonts w:hint="eastAsia"/>
          <w:color w:val="auto"/>
          <w:highlight w:val="none"/>
        </w:rPr>
        <w:t>评标价</w:t>
      </w:r>
      <w:r>
        <w:rPr>
          <w:color w:val="auto"/>
          <w:highlight w:val="none"/>
        </w:rPr>
        <w:t>计算出得分C</w:t>
      </w:r>
      <w:r>
        <w:rPr>
          <w:rFonts w:hint="eastAsia"/>
          <w:color w:val="auto"/>
          <w:highlight w:val="none"/>
        </w:rPr>
        <w:t>。</w:t>
      </w:r>
    </w:p>
    <w:p>
      <w:pPr>
        <w:spacing w:line="400" w:lineRule="atLeast"/>
        <w:ind w:firstLine="480" w:firstLineChars="200"/>
        <w:rPr>
          <w:color w:val="auto"/>
          <w:highlight w:val="none"/>
        </w:rPr>
      </w:pPr>
      <w:r>
        <w:rPr>
          <w:rFonts w:hint="eastAsia"/>
          <w:color w:val="auto"/>
          <w:highlight w:val="none"/>
        </w:rPr>
        <w:t xml:space="preserve">3.5.2 </w:t>
      </w:r>
      <w:r>
        <w:rPr>
          <w:color w:val="auto"/>
          <w:highlight w:val="none"/>
        </w:rPr>
        <w:t>投标人综合得分=</w:t>
      </w:r>
      <w:r>
        <w:rPr>
          <w:rFonts w:hint="eastAsia"/>
          <w:color w:val="auto"/>
          <w:highlight w:val="none"/>
        </w:rPr>
        <w:t>投标人的商务和技术得分</w:t>
      </w:r>
      <w:r>
        <w:rPr>
          <w:color w:val="auto"/>
          <w:highlight w:val="none"/>
        </w:rPr>
        <w:t>+C。</w:t>
      </w:r>
    </w:p>
    <w:p>
      <w:pPr>
        <w:spacing w:line="400" w:lineRule="atLeast"/>
        <w:ind w:firstLine="480" w:firstLineChars="200"/>
        <w:rPr>
          <w:color w:val="auto"/>
          <w:highlight w:val="none"/>
        </w:rPr>
      </w:pPr>
      <w:r>
        <w:rPr>
          <w:color w:val="auto"/>
          <w:highlight w:val="none"/>
        </w:rPr>
        <w:t>3.</w:t>
      </w:r>
      <w:r>
        <w:rPr>
          <w:rFonts w:hint="eastAsia"/>
          <w:color w:val="auto"/>
          <w:highlight w:val="none"/>
        </w:rPr>
        <w:t>5</w:t>
      </w:r>
      <w:r>
        <w:rPr>
          <w:color w:val="auto"/>
          <w:highlight w:val="none"/>
        </w:rPr>
        <w:t>.</w:t>
      </w:r>
      <w:r>
        <w:rPr>
          <w:rFonts w:hint="eastAsia"/>
          <w:color w:val="auto"/>
          <w:highlight w:val="none"/>
        </w:rPr>
        <w:t>3</w:t>
      </w:r>
      <w:r>
        <w:rPr>
          <w:color w:val="auto"/>
          <w:highlight w:val="none"/>
        </w:rPr>
        <w:t xml:space="preserve">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3"/>
        <w:spacing w:before="240" w:after="240" w:line="240" w:lineRule="atLeast"/>
        <w:rPr>
          <w:rFonts w:ascii="黑体" w:eastAsia="黑体"/>
          <w:b w:val="0"/>
          <w:color w:val="auto"/>
          <w:sz w:val="24"/>
          <w:szCs w:val="24"/>
          <w:highlight w:val="none"/>
        </w:rPr>
      </w:pPr>
      <w:bookmarkStart w:id="13" w:name="_Toc503235817"/>
      <w:r>
        <w:rPr>
          <w:rFonts w:ascii="黑体" w:eastAsia="黑体"/>
          <w:b w:val="0"/>
          <w:color w:val="auto"/>
          <w:sz w:val="24"/>
          <w:szCs w:val="24"/>
          <w:highlight w:val="none"/>
        </w:rPr>
        <w:t>3.</w:t>
      </w:r>
      <w:r>
        <w:rPr>
          <w:rFonts w:hint="eastAsia" w:ascii="黑体" w:eastAsia="黑体"/>
          <w:b w:val="0"/>
          <w:color w:val="auto"/>
          <w:sz w:val="24"/>
          <w:szCs w:val="24"/>
          <w:highlight w:val="none"/>
        </w:rPr>
        <w:t>6 投标文件相关信息的核查</w:t>
      </w:r>
      <w:bookmarkEnd w:id="13"/>
    </w:p>
    <w:p>
      <w:pPr>
        <w:spacing w:line="400" w:lineRule="atLeast"/>
        <w:ind w:firstLine="480" w:firstLineChars="200"/>
        <w:rPr>
          <w:color w:val="auto"/>
          <w:highlight w:val="none"/>
        </w:rPr>
      </w:pPr>
      <w:r>
        <w:rPr>
          <w:rFonts w:hint="eastAsia"/>
          <w:color w:val="auto"/>
          <w:highlight w:val="none"/>
        </w:rPr>
        <w:t xml:space="preserve">3.6.1 </w:t>
      </w:r>
      <w:r>
        <w:rPr>
          <w:color w:val="auto"/>
          <w:highlight w:val="none"/>
        </w:rPr>
        <w:t>评标委员会应对在评标过程中发现的投标人与投标人之间、投标人与招标人之间存在的串通投标的情形进行评审和认定。</w:t>
      </w:r>
      <w:r>
        <w:rPr>
          <w:rFonts w:hint="eastAsia"/>
          <w:color w:val="auto"/>
          <w:highlight w:val="none"/>
        </w:rPr>
        <w:t>投标人存在</w:t>
      </w:r>
      <w:r>
        <w:rPr>
          <w:color w:val="auto"/>
          <w:highlight w:val="none"/>
        </w:rPr>
        <w:t>串通投标</w:t>
      </w:r>
      <w:r>
        <w:rPr>
          <w:rFonts w:hint="eastAsia"/>
          <w:color w:val="auto"/>
          <w:highlight w:val="none"/>
        </w:rPr>
        <w:t>、</w:t>
      </w:r>
      <w:r>
        <w:rPr>
          <w:color w:val="auto"/>
          <w:highlight w:val="none"/>
        </w:rPr>
        <w:t>弄虚作假</w:t>
      </w:r>
      <w:r>
        <w:rPr>
          <w:rFonts w:hint="eastAsia"/>
          <w:color w:val="auto"/>
          <w:highlight w:val="none"/>
        </w:rPr>
        <w:t>、行贿等</w:t>
      </w:r>
      <w:r>
        <w:rPr>
          <w:color w:val="auto"/>
          <w:highlight w:val="none"/>
        </w:rPr>
        <w:t>违法行为的</w:t>
      </w:r>
      <w:r>
        <w:rPr>
          <w:rFonts w:hint="eastAsia"/>
          <w:color w:val="auto"/>
          <w:highlight w:val="none"/>
        </w:rPr>
        <w:t>，评标委员会应否决其投标。</w:t>
      </w:r>
    </w:p>
    <w:p>
      <w:pPr>
        <w:spacing w:line="400" w:lineRule="atLeast"/>
        <w:ind w:firstLine="480" w:firstLineChars="200"/>
        <w:rPr>
          <w:color w:val="auto"/>
          <w:highlight w:val="none"/>
        </w:rPr>
      </w:pPr>
      <w:r>
        <w:rPr>
          <w:rFonts w:hint="eastAsia"/>
          <w:color w:val="auto"/>
          <w:highlight w:val="none"/>
        </w:rPr>
        <w:t>（1）</w:t>
      </w:r>
      <w:r>
        <w:rPr>
          <w:color w:val="auto"/>
          <w:highlight w:val="none"/>
        </w:rPr>
        <w:t>有下列情形之一的，属于投标人相互串通投标：</w:t>
      </w:r>
    </w:p>
    <w:p>
      <w:pPr>
        <w:spacing w:line="400" w:lineRule="atLeast"/>
        <w:ind w:firstLine="480" w:firstLineChars="200"/>
        <w:rPr>
          <w:color w:val="auto"/>
          <w:highlight w:val="none"/>
        </w:rPr>
      </w:pPr>
      <w:r>
        <w:rPr>
          <w:color w:val="auto"/>
          <w:highlight w:val="none"/>
        </w:rPr>
        <w:t>a.投标人之间协商投标报价等投标文件的实质性内容；</w:t>
      </w:r>
    </w:p>
    <w:p>
      <w:pPr>
        <w:spacing w:line="400" w:lineRule="atLeast"/>
        <w:ind w:firstLine="480" w:firstLineChars="200"/>
        <w:rPr>
          <w:color w:val="auto"/>
          <w:highlight w:val="none"/>
        </w:rPr>
      </w:pPr>
      <w:r>
        <w:rPr>
          <w:color w:val="auto"/>
          <w:highlight w:val="none"/>
        </w:rPr>
        <w:t>b.投标人之间约定中标人；</w:t>
      </w:r>
    </w:p>
    <w:p>
      <w:pPr>
        <w:spacing w:line="400" w:lineRule="atLeast"/>
        <w:ind w:firstLine="480" w:firstLineChars="200"/>
        <w:rPr>
          <w:color w:val="auto"/>
          <w:highlight w:val="none"/>
        </w:rPr>
      </w:pPr>
      <w:r>
        <w:rPr>
          <w:color w:val="auto"/>
          <w:highlight w:val="none"/>
        </w:rPr>
        <w:t>c.投标人之间约定部分投标人放弃投标或中标；</w:t>
      </w:r>
    </w:p>
    <w:p>
      <w:pPr>
        <w:spacing w:line="400" w:lineRule="atLeast"/>
        <w:ind w:firstLine="480" w:firstLineChars="200"/>
        <w:rPr>
          <w:color w:val="auto"/>
          <w:highlight w:val="none"/>
        </w:rPr>
      </w:pPr>
      <w:r>
        <w:rPr>
          <w:color w:val="auto"/>
          <w:highlight w:val="none"/>
        </w:rPr>
        <w:t>d.属于同一集团、协会、商会等组织成员的投标人按照该组织要求协同投标；</w:t>
      </w:r>
    </w:p>
    <w:p>
      <w:pPr>
        <w:spacing w:line="400" w:lineRule="atLeast"/>
        <w:ind w:firstLine="480" w:firstLineChars="200"/>
        <w:rPr>
          <w:color w:val="auto"/>
          <w:highlight w:val="none"/>
        </w:rPr>
      </w:pPr>
      <w:r>
        <w:rPr>
          <w:color w:val="auto"/>
          <w:highlight w:val="none"/>
        </w:rPr>
        <w:t>e.投标人之间为谋取中标或排斥特定投标人而采取的其他联合行动。</w:t>
      </w:r>
    </w:p>
    <w:p>
      <w:pPr>
        <w:spacing w:line="400" w:lineRule="atLeast"/>
        <w:ind w:firstLine="480" w:firstLineChars="200"/>
        <w:rPr>
          <w:color w:val="auto"/>
          <w:highlight w:val="none"/>
        </w:rPr>
      </w:pPr>
      <w:r>
        <w:rPr>
          <w:rFonts w:hint="eastAsia"/>
          <w:color w:val="auto"/>
          <w:highlight w:val="none"/>
        </w:rPr>
        <w:t>（2）</w:t>
      </w:r>
      <w:r>
        <w:rPr>
          <w:color w:val="auto"/>
          <w:highlight w:val="none"/>
        </w:rPr>
        <w:t>有下列情形之一的，视为投标人相互串通投标：</w:t>
      </w:r>
    </w:p>
    <w:p>
      <w:pPr>
        <w:spacing w:line="400" w:lineRule="atLeast"/>
        <w:ind w:firstLine="480" w:firstLineChars="200"/>
        <w:rPr>
          <w:color w:val="auto"/>
          <w:highlight w:val="none"/>
        </w:rPr>
      </w:pPr>
      <w:r>
        <w:rPr>
          <w:color w:val="auto"/>
          <w:highlight w:val="none"/>
        </w:rPr>
        <w:t>a.不同投标人的投标文件由同一单位或个人编制；</w:t>
      </w:r>
    </w:p>
    <w:p>
      <w:pPr>
        <w:spacing w:line="400" w:lineRule="atLeast"/>
        <w:ind w:firstLine="480" w:firstLineChars="200"/>
        <w:rPr>
          <w:color w:val="auto"/>
          <w:highlight w:val="none"/>
        </w:rPr>
      </w:pPr>
      <w:r>
        <w:rPr>
          <w:color w:val="auto"/>
          <w:highlight w:val="none"/>
        </w:rPr>
        <w:t>b.不同投标人委托同一单位或个人办理投标事宜；</w:t>
      </w:r>
    </w:p>
    <w:p>
      <w:pPr>
        <w:spacing w:line="400" w:lineRule="atLeast"/>
        <w:ind w:firstLine="480" w:firstLineChars="200"/>
        <w:rPr>
          <w:color w:val="auto"/>
          <w:highlight w:val="none"/>
        </w:rPr>
      </w:pPr>
      <w:r>
        <w:rPr>
          <w:color w:val="auto"/>
          <w:highlight w:val="none"/>
        </w:rPr>
        <w:t>c.不同投标人的投标文件载明的项目管理成员为同一人；</w:t>
      </w:r>
    </w:p>
    <w:p>
      <w:pPr>
        <w:spacing w:line="400" w:lineRule="atLeast"/>
        <w:ind w:firstLine="480" w:firstLineChars="200"/>
        <w:rPr>
          <w:color w:val="auto"/>
          <w:highlight w:val="none"/>
        </w:rPr>
      </w:pPr>
      <w:r>
        <w:rPr>
          <w:color w:val="auto"/>
          <w:highlight w:val="none"/>
        </w:rPr>
        <w:t>d.不同投标人的投标文件异常一致或投标报价呈规律性差异；</w:t>
      </w:r>
    </w:p>
    <w:p>
      <w:pPr>
        <w:spacing w:line="400" w:lineRule="atLeast"/>
        <w:ind w:firstLine="480" w:firstLineChars="200"/>
        <w:rPr>
          <w:color w:val="auto"/>
          <w:highlight w:val="none"/>
        </w:rPr>
      </w:pPr>
      <w:r>
        <w:rPr>
          <w:color w:val="auto"/>
          <w:highlight w:val="none"/>
        </w:rPr>
        <w:t>e.不同投标人的投标文件相互混装；</w:t>
      </w:r>
    </w:p>
    <w:p>
      <w:pPr>
        <w:spacing w:line="400" w:lineRule="atLeast"/>
        <w:ind w:firstLine="480" w:firstLineChars="200"/>
        <w:rPr>
          <w:color w:val="auto"/>
          <w:highlight w:val="none"/>
        </w:rPr>
      </w:pPr>
      <w:r>
        <w:rPr>
          <w:color w:val="auto"/>
          <w:highlight w:val="none"/>
        </w:rPr>
        <w:t>f.不同投标人的投标保证金从同一单位或个人的账户转出。</w:t>
      </w:r>
    </w:p>
    <w:p>
      <w:pPr>
        <w:spacing w:line="400" w:lineRule="atLeast"/>
        <w:ind w:firstLine="480" w:firstLineChars="200"/>
        <w:rPr>
          <w:color w:val="auto"/>
          <w:highlight w:val="none"/>
        </w:rPr>
      </w:pPr>
      <w:r>
        <w:rPr>
          <w:rFonts w:hint="eastAsia"/>
          <w:color w:val="auto"/>
          <w:highlight w:val="none"/>
        </w:rPr>
        <w:t>（3）</w:t>
      </w:r>
      <w:r>
        <w:rPr>
          <w:color w:val="auto"/>
          <w:highlight w:val="none"/>
        </w:rPr>
        <w:t>有下列情形之一的，属于招标人与投标人串通投标：</w:t>
      </w:r>
    </w:p>
    <w:p>
      <w:pPr>
        <w:spacing w:line="400" w:lineRule="atLeast"/>
        <w:ind w:firstLine="480" w:firstLineChars="200"/>
        <w:rPr>
          <w:color w:val="auto"/>
          <w:highlight w:val="none"/>
        </w:rPr>
      </w:pPr>
      <w:r>
        <w:rPr>
          <w:color w:val="auto"/>
          <w:highlight w:val="none"/>
        </w:rPr>
        <w:t>a.招标人在开标前开启投标文件并将有关信息泄露给其他投标人;</w:t>
      </w:r>
    </w:p>
    <w:p>
      <w:pPr>
        <w:spacing w:line="400" w:lineRule="atLeast"/>
        <w:ind w:firstLine="480" w:firstLineChars="200"/>
        <w:rPr>
          <w:color w:val="auto"/>
          <w:highlight w:val="none"/>
        </w:rPr>
      </w:pPr>
      <w:r>
        <w:rPr>
          <w:color w:val="auto"/>
          <w:highlight w:val="none"/>
        </w:rPr>
        <w:t>b.招标人直接或间接向投标人泄露标底、评标委员会成员等信息；</w:t>
      </w:r>
    </w:p>
    <w:p>
      <w:pPr>
        <w:spacing w:line="400" w:lineRule="atLeast"/>
        <w:ind w:firstLine="480" w:firstLineChars="200"/>
        <w:rPr>
          <w:color w:val="auto"/>
          <w:highlight w:val="none"/>
        </w:rPr>
      </w:pPr>
      <w:r>
        <w:rPr>
          <w:color w:val="auto"/>
          <w:highlight w:val="none"/>
        </w:rPr>
        <w:t>c.招标人明示或暗示投标人压低或抬高投标报价；</w:t>
      </w:r>
    </w:p>
    <w:p>
      <w:pPr>
        <w:spacing w:line="400" w:lineRule="atLeast"/>
        <w:ind w:firstLine="480" w:firstLineChars="200"/>
        <w:rPr>
          <w:color w:val="auto"/>
          <w:highlight w:val="none"/>
        </w:rPr>
      </w:pPr>
      <w:r>
        <w:rPr>
          <w:color w:val="auto"/>
          <w:highlight w:val="none"/>
        </w:rPr>
        <w:t>d.招标人授意投标人撤换、修改投标文件；</w:t>
      </w:r>
    </w:p>
    <w:p>
      <w:pPr>
        <w:spacing w:line="400" w:lineRule="atLeast"/>
        <w:ind w:firstLine="480" w:firstLineChars="200"/>
        <w:rPr>
          <w:color w:val="auto"/>
          <w:highlight w:val="none"/>
        </w:rPr>
      </w:pPr>
      <w:r>
        <w:rPr>
          <w:color w:val="auto"/>
          <w:highlight w:val="none"/>
        </w:rPr>
        <w:t>e.招标人明示或暗示投标人为特定投标人中标提供方便；</w:t>
      </w:r>
    </w:p>
    <w:p>
      <w:pPr>
        <w:spacing w:line="400" w:lineRule="atLeast"/>
        <w:ind w:firstLine="480" w:firstLineChars="200"/>
        <w:rPr>
          <w:color w:val="auto"/>
          <w:highlight w:val="none"/>
        </w:rPr>
      </w:pPr>
      <w:r>
        <w:rPr>
          <w:color w:val="auto"/>
          <w:highlight w:val="none"/>
        </w:rPr>
        <w:t>f.招标人与投标人为谋求特定投标人中标而采取的其他串通行为。</w:t>
      </w:r>
    </w:p>
    <w:p>
      <w:pPr>
        <w:spacing w:line="400" w:lineRule="atLeast"/>
        <w:ind w:firstLine="480" w:firstLineChars="200"/>
        <w:rPr>
          <w:color w:val="auto"/>
          <w:highlight w:val="none"/>
        </w:rPr>
      </w:pPr>
      <w:r>
        <w:rPr>
          <w:rFonts w:hint="eastAsia"/>
          <w:color w:val="auto"/>
          <w:highlight w:val="none"/>
        </w:rPr>
        <w:t>（4）</w:t>
      </w:r>
      <w:r>
        <w:rPr>
          <w:color w:val="auto"/>
          <w:highlight w:val="none"/>
        </w:rPr>
        <w:t>投标人有下列情形之一的，属于弄虚作假的行为：</w:t>
      </w:r>
    </w:p>
    <w:p>
      <w:pPr>
        <w:spacing w:line="400" w:lineRule="atLeast"/>
        <w:ind w:firstLine="480" w:firstLineChars="200"/>
        <w:rPr>
          <w:color w:val="auto"/>
          <w:highlight w:val="none"/>
        </w:rPr>
      </w:pPr>
      <w:r>
        <w:rPr>
          <w:color w:val="auto"/>
          <w:highlight w:val="none"/>
        </w:rPr>
        <w:t>a.使用通过受让或租借等方式获取的资格、资质证书投标</w:t>
      </w:r>
      <w:r>
        <w:rPr>
          <w:rFonts w:hint="eastAsia"/>
          <w:color w:val="auto"/>
          <w:highlight w:val="none"/>
        </w:rPr>
        <w:t>；</w:t>
      </w:r>
    </w:p>
    <w:p>
      <w:pPr>
        <w:spacing w:line="400" w:lineRule="atLeast"/>
        <w:ind w:firstLine="480" w:firstLineChars="200"/>
        <w:rPr>
          <w:color w:val="auto"/>
          <w:highlight w:val="none"/>
        </w:rPr>
      </w:pPr>
      <w:r>
        <w:rPr>
          <w:color w:val="auto"/>
          <w:highlight w:val="none"/>
        </w:rPr>
        <w:t>b.使用伪造、变造的许可证件；</w:t>
      </w:r>
    </w:p>
    <w:p>
      <w:pPr>
        <w:spacing w:line="400" w:lineRule="atLeast"/>
        <w:ind w:firstLine="480" w:firstLineChars="200"/>
        <w:rPr>
          <w:color w:val="auto"/>
          <w:highlight w:val="none"/>
        </w:rPr>
      </w:pPr>
      <w:r>
        <w:rPr>
          <w:color w:val="auto"/>
          <w:highlight w:val="none"/>
        </w:rPr>
        <w:t>c.提供虚假的业绩；</w:t>
      </w:r>
    </w:p>
    <w:p>
      <w:pPr>
        <w:spacing w:line="400" w:lineRule="atLeast"/>
        <w:ind w:firstLine="480" w:firstLineChars="200"/>
        <w:rPr>
          <w:color w:val="auto"/>
          <w:highlight w:val="none"/>
        </w:rPr>
      </w:pPr>
      <w:r>
        <w:rPr>
          <w:color w:val="auto"/>
          <w:highlight w:val="none"/>
        </w:rPr>
        <w:t>d.提供虚假的项目负责人或主要技术人员简历、劳动关系证明；</w:t>
      </w:r>
    </w:p>
    <w:p>
      <w:pPr>
        <w:spacing w:line="400" w:lineRule="atLeast"/>
        <w:ind w:firstLine="480" w:firstLineChars="200"/>
        <w:rPr>
          <w:color w:val="auto"/>
          <w:highlight w:val="none"/>
        </w:rPr>
      </w:pPr>
      <w:r>
        <w:rPr>
          <w:color w:val="auto"/>
          <w:highlight w:val="none"/>
        </w:rPr>
        <w:t>e.提供虚假的信用状况；</w:t>
      </w:r>
    </w:p>
    <w:p>
      <w:pPr>
        <w:spacing w:line="400" w:lineRule="atLeast"/>
        <w:ind w:firstLine="480" w:firstLineChars="200"/>
        <w:rPr>
          <w:rFonts w:hint="eastAsia"/>
          <w:color w:val="auto"/>
          <w:highlight w:val="none"/>
        </w:rPr>
      </w:pPr>
      <w:r>
        <w:rPr>
          <w:color w:val="auto"/>
          <w:highlight w:val="none"/>
        </w:rPr>
        <w:t>f.其他弄虚作假的行为。</w:t>
      </w:r>
    </w:p>
    <w:p>
      <w:pPr>
        <w:spacing w:line="400" w:lineRule="atLeast"/>
        <w:ind w:firstLine="480" w:firstLineChars="200"/>
        <w:rPr>
          <w:color w:val="auto"/>
          <w:highlight w:val="none"/>
        </w:rPr>
      </w:pPr>
      <w:r>
        <w:rPr>
          <w:color w:val="auto"/>
          <w:highlight w:val="none"/>
        </w:rPr>
        <w:t>3.6.</w:t>
      </w:r>
      <w:r>
        <w:rPr>
          <w:rFonts w:hint="eastAsia"/>
          <w:color w:val="auto"/>
          <w:highlight w:val="none"/>
        </w:rPr>
        <w:t>2</w:t>
      </w:r>
      <w:r>
        <w:rPr>
          <w:color w:val="auto"/>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pPr>
        <w:pStyle w:val="3"/>
        <w:spacing w:before="240" w:after="240" w:line="400" w:lineRule="atLeast"/>
        <w:rPr>
          <w:rFonts w:ascii="黑体" w:eastAsia="黑体"/>
          <w:b w:val="0"/>
          <w:color w:val="auto"/>
          <w:sz w:val="24"/>
          <w:szCs w:val="24"/>
          <w:highlight w:val="none"/>
        </w:rPr>
      </w:pPr>
      <w:bookmarkStart w:id="14" w:name="_Toc503235818"/>
      <w:r>
        <w:rPr>
          <w:rFonts w:ascii="黑体" w:eastAsia="黑体"/>
          <w:b w:val="0"/>
          <w:color w:val="auto"/>
          <w:sz w:val="24"/>
          <w:szCs w:val="24"/>
          <w:highlight w:val="none"/>
        </w:rPr>
        <w:t>3.</w:t>
      </w:r>
      <w:r>
        <w:rPr>
          <w:rFonts w:hint="eastAsia" w:ascii="黑体" w:eastAsia="黑体"/>
          <w:b w:val="0"/>
          <w:color w:val="auto"/>
          <w:sz w:val="24"/>
          <w:szCs w:val="24"/>
          <w:highlight w:val="none"/>
        </w:rPr>
        <w:t>7</w:t>
      </w:r>
      <w:r>
        <w:rPr>
          <w:rFonts w:ascii="黑体" w:eastAsia="黑体"/>
          <w:b w:val="0"/>
          <w:color w:val="auto"/>
          <w:sz w:val="24"/>
          <w:szCs w:val="24"/>
          <w:highlight w:val="none"/>
        </w:rPr>
        <w:t xml:space="preserve"> 投标文件的澄清和</w:t>
      </w:r>
      <w:r>
        <w:rPr>
          <w:rFonts w:hint="eastAsia" w:ascii="黑体" w:eastAsia="黑体"/>
          <w:b w:val="0"/>
          <w:color w:val="auto"/>
          <w:sz w:val="24"/>
          <w:szCs w:val="24"/>
          <w:highlight w:val="none"/>
        </w:rPr>
        <w:t>说明</w:t>
      </w:r>
      <w:bookmarkEnd w:id="14"/>
    </w:p>
    <w:p>
      <w:pPr>
        <w:spacing w:line="400" w:lineRule="atLeast"/>
        <w:ind w:firstLine="480" w:firstLineChars="200"/>
        <w:rPr>
          <w:color w:val="auto"/>
          <w:highlight w:val="none"/>
        </w:rPr>
      </w:pPr>
      <w:r>
        <w:rPr>
          <w:color w:val="auto"/>
          <w:highlight w:val="none"/>
        </w:rPr>
        <w:t>3.</w:t>
      </w:r>
      <w:r>
        <w:rPr>
          <w:rFonts w:hint="eastAsia"/>
          <w:color w:val="auto"/>
          <w:highlight w:val="none"/>
        </w:rPr>
        <w:t>7</w:t>
      </w:r>
      <w:r>
        <w:rPr>
          <w:color w:val="auto"/>
          <w:highlight w:val="none"/>
        </w:rPr>
        <w:t>.1</w:t>
      </w:r>
      <w:r>
        <w:rPr>
          <w:rFonts w:hint="eastAsia"/>
          <w:color w:val="auto"/>
          <w:highlight w:val="none"/>
        </w:rPr>
        <w:t xml:space="preserve"> </w:t>
      </w:r>
      <w:r>
        <w:rPr>
          <w:color w:val="auto"/>
          <w:highlight w:val="none"/>
        </w:rPr>
        <w:t>在评标过程中，评标委员会可以书面形式要求投标人对投标文件中</w:t>
      </w:r>
      <w:r>
        <w:rPr>
          <w:rFonts w:hint="eastAsia"/>
          <w:color w:val="auto"/>
          <w:highlight w:val="none"/>
        </w:rPr>
        <w:t>含义</w:t>
      </w:r>
      <w:r>
        <w:rPr>
          <w:color w:val="auto"/>
          <w:highlight w:val="none"/>
        </w:rPr>
        <w:t>不明确的内容</w:t>
      </w:r>
      <w:r>
        <w:rPr>
          <w:rFonts w:hint="eastAsia"/>
          <w:color w:val="auto"/>
          <w:highlight w:val="none"/>
        </w:rPr>
        <w:t>、明显文字或计算错误</w:t>
      </w:r>
      <w:r>
        <w:rPr>
          <w:color w:val="auto"/>
          <w:highlight w:val="none"/>
        </w:rPr>
        <w:t>进行书面澄清或说明。评标委员会不接受投标人主动提出的澄清、说明。</w:t>
      </w:r>
      <w:r>
        <w:rPr>
          <w:rFonts w:hint="eastAsia"/>
          <w:color w:val="auto"/>
          <w:highlight w:val="none"/>
        </w:rPr>
        <w:t>投标人不按评标委员会要求澄清或说明的，评标委员会应否决其投标。</w:t>
      </w:r>
    </w:p>
    <w:p>
      <w:pPr>
        <w:spacing w:line="400" w:lineRule="atLeast"/>
        <w:ind w:firstLine="480" w:firstLineChars="200"/>
        <w:rPr>
          <w:color w:val="auto"/>
          <w:highlight w:val="none"/>
        </w:rPr>
      </w:pPr>
      <w:r>
        <w:rPr>
          <w:color w:val="auto"/>
          <w:highlight w:val="none"/>
        </w:rPr>
        <w:t>3.</w:t>
      </w:r>
      <w:r>
        <w:rPr>
          <w:rFonts w:hint="eastAsia"/>
          <w:color w:val="auto"/>
          <w:highlight w:val="none"/>
        </w:rPr>
        <w:t>7</w:t>
      </w:r>
      <w:r>
        <w:rPr>
          <w:color w:val="auto"/>
          <w:highlight w:val="none"/>
        </w:rPr>
        <w:t>.2</w:t>
      </w:r>
      <w:r>
        <w:rPr>
          <w:rFonts w:hint="eastAsia"/>
          <w:color w:val="auto"/>
          <w:highlight w:val="none"/>
        </w:rPr>
        <w:t xml:space="preserve"> </w:t>
      </w:r>
      <w:r>
        <w:rPr>
          <w:color w:val="auto"/>
          <w:highlight w:val="none"/>
        </w:rPr>
        <w:t>澄清</w:t>
      </w:r>
      <w:r>
        <w:rPr>
          <w:rFonts w:hint="eastAsia"/>
          <w:color w:val="auto"/>
          <w:highlight w:val="none"/>
        </w:rPr>
        <w:t>和</w:t>
      </w:r>
      <w:r>
        <w:rPr>
          <w:color w:val="auto"/>
          <w:highlight w:val="none"/>
        </w:rPr>
        <w:t>说明不得</w:t>
      </w:r>
      <w:r>
        <w:rPr>
          <w:rFonts w:hint="eastAsia"/>
          <w:color w:val="auto"/>
          <w:highlight w:val="none"/>
        </w:rPr>
        <w:t>超出投标文件的范围或</w:t>
      </w:r>
      <w:r>
        <w:rPr>
          <w:color w:val="auto"/>
          <w:highlight w:val="none"/>
        </w:rPr>
        <w:t>改变投标文件的实质性内容（算术性错误的修正除外）。投标人的书面澄清、说明属于投标文件的组成部分。</w:t>
      </w:r>
    </w:p>
    <w:p>
      <w:pPr>
        <w:spacing w:line="400" w:lineRule="atLeast"/>
        <w:ind w:firstLine="480" w:firstLineChars="200"/>
        <w:rPr>
          <w:color w:val="auto"/>
          <w:highlight w:val="none"/>
        </w:rPr>
      </w:pPr>
      <w:r>
        <w:rPr>
          <w:color w:val="auto"/>
          <w:highlight w:val="none"/>
        </w:rPr>
        <w:t>3.</w:t>
      </w:r>
      <w:r>
        <w:rPr>
          <w:rFonts w:hint="eastAsia"/>
          <w:color w:val="auto"/>
          <w:highlight w:val="none"/>
        </w:rPr>
        <w:t>7</w:t>
      </w:r>
      <w:r>
        <w:rPr>
          <w:color w:val="auto"/>
          <w:highlight w:val="none"/>
        </w:rPr>
        <w:t>.3</w:t>
      </w:r>
      <w:r>
        <w:rPr>
          <w:rFonts w:hint="eastAsia"/>
          <w:color w:val="auto"/>
          <w:highlight w:val="none"/>
        </w:rPr>
        <w:t xml:space="preserve"> </w:t>
      </w:r>
      <w:r>
        <w:rPr>
          <w:color w:val="auto"/>
          <w:highlight w:val="none"/>
        </w:rPr>
        <w:t>评标委员会</w:t>
      </w:r>
      <w:r>
        <w:rPr>
          <w:rFonts w:hint="eastAsia"/>
          <w:color w:val="auto"/>
          <w:highlight w:val="none"/>
        </w:rPr>
        <w:t>不得暗示或诱导投标人作出澄清、说明，</w:t>
      </w:r>
      <w:r>
        <w:rPr>
          <w:color w:val="auto"/>
          <w:highlight w:val="none"/>
        </w:rPr>
        <w:t>对投标人提交的澄清、说明有疑问的，可以要求投标人进一步澄清</w:t>
      </w:r>
      <w:r>
        <w:rPr>
          <w:rFonts w:hint="eastAsia"/>
          <w:color w:val="auto"/>
          <w:highlight w:val="none"/>
        </w:rPr>
        <w:t>或</w:t>
      </w:r>
      <w:r>
        <w:rPr>
          <w:color w:val="auto"/>
          <w:highlight w:val="none"/>
        </w:rPr>
        <w:t>说明，直至满足评标委员会的要求。</w:t>
      </w:r>
    </w:p>
    <w:p>
      <w:pPr>
        <w:spacing w:line="400" w:lineRule="atLeast"/>
        <w:ind w:firstLine="480" w:firstLineChars="200"/>
        <w:rPr>
          <w:color w:val="auto"/>
          <w:highlight w:val="none"/>
        </w:rPr>
      </w:pPr>
      <w:r>
        <w:rPr>
          <w:rFonts w:hint="eastAsia"/>
          <w:color w:val="auto"/>
          <w:highlight w:val="none"/>
        </w:rPr>
        <w:t>3.7.4 凡超出招标文件规定的或给</w:t>
      </w:r>
      <w:r>
        <w:rPr>
          <w:rFonts w:hint="eastAsia"/>
          <w:color w:val="auto"/>
          <w:highlight w:val="none"/>
          <w:lang w:eastAsia="zh-CN"/>
        </w:rPr>
        <w:t>委托人</w:t>
      </w:r>
      <w:r>
        <w:rPr>
          <w:rFonts w:hint="eastAsia"/>
          <w:color w:val="auto"/>
          <w:highlight w:val="none"/>
        </w:rPr>
        <w:t>带来未曾要求的利益的变化、偏差或其他因素在评标时不予考虑。</w:t>
      </w:r>
    </w:p>
    <w:p>
      <w:pPr>
        <w:pStyle w:val="3"/>
        <w:spacing w:before="240" w:after="240" w:line="400" w:lineRule="atLeast"/>
        <w:rPr>
          <w:rFonts w:ascii="黑体" w:eastAsia="黑体"/>
          <w:b w:val="0"/>
          <w:color w:val="auto"/>
          <w:sz w:val="24"/>
          <w:szCs w:val="24"/>
          <w:highlight w:val="none"/>
        </w:rPr>
      </w:pPr>
      <w:bookmarkStart w:id="15" w:name="_Toc501257170"/>
      <w:bookmarkStart w:id="16" w:name="_Toc503235819"/>
      <w:r>
        <w:rPr>
          <w:rFonts w:hint="eastAsia" w:ascii="黑体" w:eastAsia="黑体"/>
          <w:b w:val="0"/>
          <w:color w:val="auto"/>
          <w:sz w:val="24"/>
          <w:szCs w:val="24"/>
          <w:highlight w:val="none"/>
        </w:rPr>
        <w:t>3.8 不得否决投标的情形</w:t>
      </w:r>
      <w:bookmarkEnd w:id="15"/>
      <w:bookmarkEnd w:id="16"/>
    </w:p>
    <w:p>
      <w:pPr>
        <w:spacing w:line="400" w:lineRule="atLeast"/>
        <w:ind w:firstLine="480" w:firstLineChars="200"/>
        <w:rPr>
          <w:color w:val="auto"/>
          <w:highlight w:val="none"/>
        </w:rPr>
      </w:pPr>
      <w:r>
        <w:rPr>
          <w:rFonts w:hint="eastAsia"/>
          <w:color w:val="auto"/>
          <w:highlight w:val="none"/>
        </w:rPr>
        <w:t>投标文件存在第二章“投标人须知”第1.12.3项所列情形的，均视为细微偏差，评标委员会不得否决投标人的投标，</w:t>
      </w:r>
      <w:r>
        <w:rPr>
          <w:color w:val="auto"/>
          <w:highlight w:val="none"/>
        </w:rPr>
        <w:t>应按照</w:t>
      </w:r>
      <w:r>
        <w:rPr>
          <w:rFonts w:hint="eastAsia"/>
          <w:color w:val="auto"/>
          <w:highlight w:val="none"/>
        </w:rPr>
        <w:t>第二章“投标人须知”第1.12.4项规定的原则处理。</w:t>
      </w:r>
    </w:p>
    <w:p>
      <w:pPr>
        <w:pStyle w:val="3"/>
        <w:spacing w:before="240" w:after="240" w:line="240" w:lineRule="atLeast"/>
        <w:rPr>
          <w:rFonts w:ascii="黑体" w:eastAsia="黑体"/>
          <w:b w:val="0"/>
          <w:color w:val="auto"/>
          <w:sz w:val="24"/>
          <w:szCs w:val="24"/>
          <w:highlight w:val="none"/>
        </w:rPr>
      </w:pPr>
      <w:bookmarkStart w:id="17" w:name="_Toc503235820"/>
      <w:r>
        <w:rPr>
          <w:rFonts w:ascii="黑体" w:eastAsia="黑体"/>
          <w:b w:val="0"/>
          <w:color w:val="auto"/>
          <w:sz w:val="24"/>
          <w:szCs w:val="24"/>
          <w:highlight w:val="none"/>
        </w:rPr>
        <w:t>3.</w:t>
      </w:r>
      <w:r>
        <w:rPr>
          <w:rFonts w:hint="eastAsia" w:ascii="黑体" w:eastAsia="黑体"/>
          <w:b w:val="0"/>
          <w:color w:val="auto"/>
          <w:sz w:val="24"/>
          <w:szCs w:val="24"/>
          <w:highlight w:val="none"/>
        </w:rPr>
        <w:t>9</w:t>
      </w:r>
      <w:r>
        <w:rPr>
          <w:rFonts w:ascii="黑体" w:eastAsia="黑体"/>
          <w:b w:val="0"/>
          <w:color w:val="auto"/>
          <w:sz w:val="24"/>
          <w:szCs w:val="24"/>
          <w:highlight w:val="none"/>
        </w:rPr>
        <w:t xml:space="preserve"> 评标结果</w:t>
      </w:r>
      <w:bookmarkEnd w:id="17"/>
    </w:p>
    <w:p>
      <w:pPr>
        <w:spacing w:line="400" w:lineRule="atLeast"/>
        <w:ind w:firstLine="480" w:firstLineChars="200"/>
        <w:rPr>
          <w:color w:val="auto"/>
          <w:highlight w:val="none"/>
        </w:rPr>
      </w:pPr>
      <w:r>
        <w:rPr>
          <w:color w:val="auto"/>
          <w:highlight w:val="none"/>
        </w:rPr>
        <w:t>3.</w:t>
      </w:r>
      <w:r>
        <w:rPr>
          <w:rFonts w:hint="eastAsia"/>
          <w:color w:val="auto"/>
          <w:highlight w:val="none"/>
        </w:rPr>
        <w:t>9</w:t>
      </w:r>
      <w:r>
        <w:rPr>
          <w:color w:val="auto"/>
          <w:highlight w:val="none"/>
        </w:rPr>
        <w:t>.1</w:t>
      </w:r>
      <w:r>
        <w:rPr>
          <w:rFonts w:hint="eastAsia"/>
          <w:color w:val="auto"/>
          <w:highlight w:val="none"/>
        </w:rPr>
        <w:t xml:space="preserve"> </w:t>
      </w:r>
      <w:r>
        <w:rPr>
          <w:color w:val="auto"/>
          <w:highlight w:val="none"/>
        </w:rPr>
        <w:t>除第二章</w:t>
      </w:r>
      <w:r>
        <w:rPr>
          <w:rFonts w:hint="eastAsia"/>
          <w:color w:val="auto"/>
          <w:highlight w:val="none"/>
        </w:rPr>
        <w:t>“</w:t>
      </w:r>
      <w:r>
        <w:rPr>
          <w:color w:val="auto"/>
          <w:highlight w:val="none"/>
        </w:rPr>
        <w:t>投标人须知</w:t>
      </w:r>
      <w:r>
        <w:rPr>
          <w:rFonts w:hint="eastAsia"/>
          <w:color w:val="auto"/>
          <w:highlight w:val="none"/>
        </w:rPr>
        <w:t>”</w:t>
      </w:r>
      <w:r>
        <w:rPr>
          <w:color w:val="auto"/>
          <w:highlight w:val="none"/>
        </w:rPr>
        <w:t>前附表授权直接确定中标人外，评标委员会按照得分由高到低的顺序推荐中标候选人</w:t>
      </w:r>
      <w:r>
        <w:rPr>
          <w:rFonts w:hint="eastAsia"/>
          <w:color w:val="auto"/>
          <w:highlight w:val="none"/>
        </w:rPr>
        <w:t>，</w:t>
      </w:r>
      <w:r>
        <w:rPr>
          <w:color w:val="auto"/>
          <w:highlight w:val="none"/>
        </w:rPr>
        <w:t>并标明排序。</w:t>
      </w:r>
    </w:p>
    <w:p>
      <w:pPr>
        <w:spacing w:line="400" w:lineRule="atLeast"/>
        <w:ind w:firstLine="480" w:firstLineChars="200"/>
        <w:rPr>
          <w:color w:val="auto"/>
          <w:highlight w:val="none"/>
        </w:rPr>
      </w:pPr>
      <w:r>
        <w:rPr>
          <w:color w:val="auto"/>
          <w:highlight w:val="none"/>
        </w:rPr>
        <w:t>3.</w:t>
      </w:r>
      <w:r>
        <w:rPr>
          <w:rFonts w:hint="eastAsia"/>
          <w:color w:val="auto"/>
          <w:highlight w:val="none"/>
        </w:rPr>
        <w:t>9</w:t>
      </w:r>
      <w:r>
        <w:rPr>
          <w:color w:val="auto"/>
          <w:highlight w:val="none"/>
        </w:rPr>
        <w:t>.2 评标委员会完成评标后，应向招标人提交书面评标报告。</w:t>
      </w:r>
      <w:bookmarkEnd w:id="6"/>
    </w:p>
    <w:p>
      <w:pPr>
        <w:spacing w:line="400" w:lineRule="atLeast"/>
        <w:ind w:firstLine="480" w:firstLineChars="200"/>
        <w:rPr>
          <w:color w:val="auto"/>
          <w:highlight w:val="none"/>
        </w:rPr>
      </w:pPr>
      <w:r>
        <w:rPr>
          <w:color w:val="auto"/>
          <w:highlight w:val="none"/>
        </w:rPr>
        <w:t>3.9.</w:t>
      </w:r>
      <w:r>
        <w:rPr>
          <w:rFonts w:hint="eastAsia"/>
          <w:color w:val="auto"/>
          <w:highlight w:val="none"/>
        </w:rPr>
        <w:t>3</w:t>
      </w:r>
      <w:r>
        <w:rPr>
          <w:color w:val="auto"/>
          <w:highlight w:val="none"/>
        </w:rPr>
        <w:t>通过第一信封商务文件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r>
        <w:rPr>
          <w:rFonts w:hint="eastAsia"/>
          <w:color w:val="auto"/>
          <w:highlight w:val="none"/>
        </w:rPr>
        <w:t>。</w:t>
      </w:r>
    </w:p>
    <w:p>
      <w:pPr>
        <w:spacing w:line="400" w:lineRule="atLeast"/>
        <w:ind w:firstLine="480" w:firstLineChars="200"/>
        <w:rPr>
          <w:color w:val="auto"/>
          <w:highlight w:val="none"/>
        </w:rPr>
      </w:pPr>
      <w:r>
        <w:rPr>
          <w:color w:val="auto"/>
          <w:highlight w:val="none"/>
        </w:rPr>
        <w:t>3.9.</w:t>
      </w:r>
      <w:r>
        <w:rPr>
          <w:rFonts w:hint="eastAsia"/>
          <w:color w:val="auto"/>
          <w:highlight w:val="none"/>
        </w:rPr>
        <w:t>4</w:t>
      </w:r>
      <w:r>
        <w:rPr>
          <w:color w:val="auto"/>
          <w:highlight w:val="none"/>
        </w:rPr>
        <w:t>通过第一信封商务文件和技术文件评审的投标人在3个</w:t>
      </w:r>
      <w:r>
        <w:rPr>
          <w:rFonts w:hint="eastAsia"/>
          <w:color w:val="auto"/>
          <w:highlight w:val="none"/>
        </w:rPr>
        <w:t>及</w:t>
      </w:r>
      <w:r>
        <w:rPr>
          <w:color w:val="auto"/>
          <w:highlight w:val="none"/>
        </w:rPr>
        <w:t>以上的，招标人应当按照招标文件规定的程序进行第二信封报价文件开标；在对报价文件进行评审后，有效投标不足3个的，评标委员会可以否决全部投标</w:t>
      </w:r>
      <w:r>
        <w:rPr>
          <w:rFonts w:hint="eastAsia"/>
          <w:color w:val="auto"/>
          <w:highlight w:val="none"/>
        </w:rPr>
        <w:t>。</w:t>
      </w:r>
      <w:r>
        <w:rPr>
          <w:color w:val="auto"/>
          <w:highlight w:val="none"/>
        </w:rPr>
        <w:t>未否决全部投标的，评标委员会应当在评标报告中阐明理由并推荐中标候选人。</w:t>
      </w:r>
    </w:p>
    <w:p>
      <w:pPr>
        <w:spacing w:line="400" w:lineRule="atLeast"/>
        <w:ind w:firstLine="480" w:firstLineChars="200"/>
        <w:rPr>
          <w:rFonts w:hint="eastAsia"/>
          <w:color w:val="auto"/>
          <w:highlight w:val="none"/>
        </w:rPr>
      </w:pPr>
      <w:r>
        <w:rPr>
          <w:color w:val="auto"/>
          <w:highlight w:val="none"/>
        </w:rPr>
        <w:t>3.9.</w:t>
      </w:r>
      <w:r>
        <w:rPr>
          <w:rFonts w:hint="eastAsia"/>
          <w:color w:val="auto"/>
          <w:highlight w:val="none"/>
        </w:rPr>
        <w:t>5</w:t>
      </w:r>
      <w:r>
        <w:rPr>
          <w:color w:val="auto"/>
          <w:highlight w:val="none"/>
        </w:rPr>
        <w:t>如果发生无法确定推荐中标候选人的其它意外情况，评标委员会可建议招标人重新招标。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0000000000000000000"/>
    <w:charset w:val="86"/>
    <w:family w:val="script"/>
    <w:pitch w:val="default"/>
    <w:sig w:usb0="00000000" w:usb1="00000000" w:usb2="00000000" w:usb3="00000000" w:csb0="00040000" w:csb1="00000000"/>
  </w:font>
  <w:font w:name="MingLiU">
    <w:altName w:val="HP Simplified Jpan"/>
    <w:panose1 w:val="02020509000000000000"/>
    <w:charset w:val="88"/>
    <w:family w:val="modern"/>
    <w:pitch w:val="default"/>
    <w:sig w:usb0="00000000" w:usb1="00000000" w:usb2="00000000"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Garamond">
    <w:panose1 w:val="02020404030301010803"/>
    <w:charset w:val="00"/>
    <w:family w:val="roman"/>
    <w:pitch w:val="default"/>
    <w:sig w:usb0="00000287" w:usb1="00000000" w:usb2="00000000" w:usb3="00000000" w:csb0="0000009F" w:csb1="DFD70000"/>
  </w:font>
  <w:font w:name="Arial Unicode MS">
    <w:panose1 w:val="020B0604020202020204"/>
    <w:charset w:val="86"/>
    <w:family w:val="roman"/>
    <w:pitch w:val="default"/>
    <w:sig w:usb0="FFFFFFFF" w:usb1="E9FFFFFF" w:usb2="0000003F" w:usb3="00000000" w:csb0="603F01FF" w:csb1="FFFF0000"/>
  </w:font>
  <w:font w:name="Plotter">
    <w:altName w:val="Noto Sans SC"/>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创艺简老宋">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10" w:usb3="00000000" w:csb0="00040001" w:csb1="00000000"/>
  </w:font>
  <w:font w:name="Mongolian Baiti">
    <w:panose1 w:val="03000500000000000000"/>
    <w:charset w:val="00"/>
    <w:family w:val="script"/>
    <w:pitch w:val="default"/>
    <w:sig w:usb0="80000023" w:usb1="00000000" w:usb2="00020000" w:usb3="00000000" w:csb0="00000001" w:csb1="00000000"/>
  </w:font>
  <w:font w:name="隶书">
    <w:panose1 w:val="02010509060101010101"/>
    <w:charset w:val="86"/>
    <w:family w:val="modern"/>
    <w:pitch w:val="default"/>
    <w:sig w:usb0="00000001" w:usb1="080E0000" w:usb2="00000000" w:usb3="00000000" w:csb0="00040000" w:csb1="00000000"/>
  </w:font>
  <w:font w:name="MingLiU_HKSCS">
    <w:altName w:val="Malgun Gothic Semilight"/>
    <w:panose1 w:val="02020500000000000000"/>
    <w:charset w:val="88"/>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HP Simplified Jpan">
    <w:panose1 w:val="020B0500000000000000"/>
    <w:charset w:val="86"/>
    <w:family w:val="auto"/>
    <w:pitch w:val="default"/>
    <w:sig w:usb0="E00002FF" w:usb1="38C7EDFA" w:usb2="00000012" w:usb3="00000000" w:csb0="2016019F" w:csb1="41000000"/>
  </w:font>
  <w:font w:name="Noto Sans SC">
    <w:panose1 w:val="020B0200000000000000"/>
    <w:charset w:val="86"/>
    <w:family w:val="auto"/>
    <w:pitch w:val="default"/>
    <w:sig w:usb0="2000008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871F0"/>
    <w:multiLevelType w:val="singleLevel"/>
    <w:tmpl w:val="5D6871F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20308"/>
    <w:rsid w:val="1C820308"/>
    <w:rsid w:val="4D1E7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sz w:val="24"/>
      <w:szCs w:val="22"/>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ascii="Times New Roman" w:hAnsi="Times New Roman"/>
      <w:b/>
      <w:bCs/>
      <w:kern w:val="44"/>
      <w:sz w:val="44"/>
      <w:szCs w:val="44"/>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sz w:val="21"/>
    </w:rPr>
  </w:style>
  <w:style w:type="paragraph" w:styleId="4">
    <w:name w:val="Body Text Indent"/>
    <w:basedOn w:val="1"/>
    <w:uiPriority w:val="0"/>
    <w:pPr>
      <w:spacing w:after="120" w:afterLines="0"/>
      <w:ind w:left="420" w:leftChars="200"/>
    </w:pPr>
    <w:rPr>
      <w:rFonts w:ascii="Times New Roman" w:hAnsi="Times New Roman"/>
      <w:sz w:val="2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2025-12-30T07:42:00Z</dcterms:created>
  <dc:creator>王磊</dc:creator>
  <cp:lastModifiedBy>王磊</cp:lastModifiedBy>
  <dcterms:modified xsi:type="dcterms:W3CDTF">2025-12-30T08:49:04Z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