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right="1464"/>
        <w:jc w:val="center"/>
        <w:rPr>
          <w:rFonts w:hint="eastAsia" w:ascii="宋体" w:hAnsi="宋体" w:eastAsia="宋体" w:cs="宋体"/>
          <w:b/>
          <w:bCs/>
          <w:sz w:val="32"/>
          <w:szCs w:val="32"/>
        </w:rPr>
      </w:pPr>
      <w:r>
        <w:rPr>
          <w:rFonts w:hint="eastAsia" w:ascii="宋体" w:hAnsi="宋体" w:eastAsia="宋体" w:cs="宋体"/>
          <w:b/>
          <w:bCs/>
          <w:sz w:val="32"/>
          <w:szCs w:val="32"/>
          <w:u w:val="none"/>
        </w:rPr>
        <w:t>采购需求</w:t>
      </w:r>
      <w:r>
        <w:rPr>
          <w:rFonts w:hint="eastAsia" w:ascii="宋体" w:hAnsi="宋体" w:eastAsia="宋体" w:cs="宋体"/>
          <w:b/>
          <w:bCs/>
          <w:sz w:val="32"/>
          <w:szCs w:val="32"/>
          <w:u w:val="none" w:color="auto"/>
        </w:rPr>
        <w:t>项目概况</w:t>
      </w:r>
    </w:p>
    <w:p>
      <w:pPr>
        <w:pStyle w:val="19"/>
        <w:outlineLvl w:val="2"/>
        <w:rPr>
          <w:rFonts w:hint="default"/>
          <w:sz w:val="24"/>
          <w:szCs w:val="24"/>
        </w:rPr>
      </w:pPr>
      <w:r>
        <w:rPr>
          <w:rFonts w:hint="eastAsia"/>
          <w:b/>
          <w:sz w:val="24"/>
          <w:szCs w:val="24"/>
          <w:lang w:eastAsia="zh-CN"/>
        </w:rPr>
        <w:t>一、</w:t>
      </w:r>
      <w:r>
        <w:rPr>
          <w:b/>
          <w:sz w:val="24"/>
          <w:szCs w:val="24"/>
        </w:rPr>
        <w:t>项目概况：</w:t>
      </w:r>
    </w:p>
    <w:p>
      <w:pPr>
        <w:pStyle w:val="19"/>
        <w:rPr>
          <w:rFonts w:hint="default"/>
        </w:rPr>
      </w:pPr>
      <w:r>
        <w:t>1．项目标的及最高采购限价</w:t>
      </w:r>
    </w:p>
    <w:tbl>
      <w:tblPr>
        <w:tblStyle w:val="1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2313"/>
        <w:gridCol w:w="1126"/>
        <w:gridCol w:w="1960"/>
        <w:gridCol w:w="171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6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b/>
                <w:color w:val="auto"/>
              </w:rPr>
              <w:t>序号</w:t>
            </w:r>
          </w:p>
        </w:tc>
        <w:tc>
          <w:tcPr>
            <w:tcW w:w="23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b/>
                <w:color w:val="auto"/>
              </w:rPr>
              <w:t>标的名称</w:t>
            </w:r>
          </w:p>
        </w:tc>
        <w:tc>
          <w:tcPr>
            <w:tcW w:w="11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b/>
                <w:color w:val="auto"/>
              </w:rPr>
              <w:t>数量</w:t>
            </w:r>
          </w:p>
        </w:tc>
        <w:tc>
          <w:tcPr>
            <w:tcW w:w="19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b/>
                <w:color w:val="auto"/>
              </w:rPr>
              <w:t>最高采购</w:t>
            </w:r>
            <w:r>
              <w:rPr>
                <w:rFonts w:asciiTheme="majorEastAsia" w:hAnsiTheme="majorEastAsia" w:eastAsiaTheme="majorEastAsia"/>
                <w:b/>
                <w:color w:val="auto"/>
                <w:lang w:eastAsia="zh-CN"/>
              </w:rPr>
              <w:t>单价</w:t>
            </w:r>
          </w:p>
        </w:tc>
        <w:tc>
          <w:tcPr>
            <w:tcW w:w="1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b/>
                <w:color w:val="auto"/>
              </w:rPr>
              <w:t>最高采购总价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1</w:t>
            </w:r>
          </w:p>
        </w:tc>
        <w:tc>
          <w:tcPr>
            <w:tcW w:w="231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远程实时动态心电系统</w:t>
            </w:r>
          </w:p>
        </w:tc>
        <w:tc>
          <w:tcPr>
            <w:tcW w:w="11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lang w:eastAsia="zh-CN"/>
              </w:rPr>
            </w:pPr>
            <w:r>
              <w:rPr>
                <w:rFonts w:asciiTheme="majorEastAsia" w:hAnsiTheme="majorEastAsia" w:eastAsiaTheme="majorEastAsia"/>
                <w:color w:val="auto"/>
                <w:lang w:eastAsia="zh-CN"/>
              </w:rPr>
              <w:t>3套</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人民币</w:t>
            </w:r>
            <w:r>
              <w:rPr>
                <w:rFonts w:asciiTheme="majorEastAsia" w:hAnsiTheme="majorEastAsia" w:eastAsiaTheme="majorEastAsia"/>
                <w:color w:val="auto"/>
                <w:lang w:eastAsia="zh-CN"/>
              </w:rPr>
              <w:t>35</w:t>
            </w:r>
            <w:r>
              <w:rPr>
                <w:rFonts w:asciiTheme="majorEastAsia" w:hAnsiTheme="majorEastAsia" w:eastAsiaTheme="majorEastAsia"/>
                <w:color w:val="auto"/>
              </w:rPr>
              <w:t>万元</w:t>
            </w:r>
          </w:p>
        </w:tc>
        <w:tc>
          <w:tcPr>
            <w:tcW w:w="17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人民币</w:t>
            </w:r>
            <w:r>
              <w:rPr>
                <w:rFonts w:asciiTheme="majorEastAsia" w:hAnsiTheme="majorEastAsia" w:eastAsiaTheme="majorEastAsia"/>
                <w:color w:val="auto"/>
                <w:lang w:eastAsia="zh-CN"/>
              </w:rPr>
              <w:t>105</w:t>
            </w:r>
            <w:r>
              <w:rPr>
                <w:rFonts w:asciiTheme="majorEastAsia" w:hAnsiTheme="majorEastAsia" w:eastAsiaTheme="majorEastAsia"/>
                <w:color w:val="auto"/>
              </w:rPr>
              <w:t>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2</w:t>
            </w:r>
          </w:p>
        </w:tc>
        <w:tc>
          <w:tcPr>
            <w:tcW w:w="231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12导数字心电图机</w:t>
            </w:r>
          </w:p>
        </w:tc>
        <w:tc>
          <w:tcPr>
            <w:tcW w:w="11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lang w:eastAsia="zh-CN"/>
              </w:rPr>
            </w:pPr>
            <w:r>
              <w:rPr>
                <w:rFonts w:asciiTheme="majorEastAsia" w:hAnsiTheme="majorEastAsia" w:eastAsiaTheme="majorEastAsia"/>
                <w:color w:val="auto"/>
                <w:lang w:eastAsia="zh-CN"/>
              </w:rPr>
              <w:t>10套</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人民币</w:t>
            </w:r>
            <w:r>
              <w:rPr>
                <w:rFonts w:asciiTheme="majorEastAsia" w:hAnsiTheme="majorEastAsia" w:eastAsiaTheme="majorEastAsia"/>
                <w:color w:val="auto"/>
                <w:lang w:eastAsia="zh-CN"/>
              </w:rPr>
              <w:t>2.8</w:t>
            </w:r>
            <w:r>
              <w:rPr>
                <w:rFonts w:asciiTheme="majorEastAsia" w:hAnsiTheme="majorEastAsia" w:eastAsiaTheme="majorEastAsia"/>
                <w:color w:val="auto"/>
              </w:rPr>
              <w:t>万元</w:t>
            </w:r>
          </w:p>
        </w:tc>
        <w:tc>
          <w:tcPr>
            <w:tcW w:w="17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人民币</w:t>
            </w:r>
            <w:r>
              <w:rPr>
                <w:rFonts w:asciiTheme="majorEastAsia" w:hAnsiTheme="majorEastAsia" w:eastAsiaTheme="majorEastAsia"/>
                <w:color w:val="auto"/>
                <w:lang w:eastAsia="zh-CN"/>
              </w:rPr>
              <w:t>28</w:t>
            </w:r>
            <w:r>
              <w:rPr>
                <w:rFonts w:asciiTheme="majorEastAsia" w:hAnsiTheme="majorEastAsia" w:eastAsiaTheme="majorEastAsia"/>
                <w:color w:val="auto"/>
              </w:rPr>
              <w:t>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3</w:t>
            </w:r>
          </w:p>
        </w:tc>
        <w:tc>
          <w:tcPr>
            <w:tcW w:w="231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18导数字心电图机</w:t>
            </w:r>
          </w:p>
        </w:tc>
        <w:tc>
          <w:tcPr>
            <w:tcW w:w="11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rPr>
                <w:rFonts w:hint="default" w:asciiTheme="majorEastAsia" w:hAnsiTheme="majorEastAsia" w:eastAsiaTheme="majorEastAsia"/>
                <w:color w:val="auto"/>
                <w:lang w:eastAsia="zh-CN"/>
              </w:rPr>
            </w:pPr>
            <w:r>
              <w:rPr>
                <w:rFonts w:asciiTheme="majorEastAsia" w:hAnsiTheme="majorEastAsia" w:eastAsiaTheme="majorEastAsia"/>
                <w:color w:val="auto"/>
                <w:lang w:eastAsia="zh-CN"/>
              </w:rPr>
              <w:t xml:space="preserve">   8套</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人民币</w:t>
            </w:r>
            <w:r>
              <w:rPr>
                <w:rFonts w:asciiTheme="majorEastAsia" w:hAnsiTheme="majorEastAsia" w:eastAsiaTheme="majorEastAsia"/>
                <w:color w:val="auto"/>
                <w:lang w:eastAsia="zh-CN"/>
              </w:rPr>
              <w:t>5.5</w:t>
            </w:r>
            <w:r>
              <w:rPr>
                <w:rFonts w:asciiTheme="majorEastAsia" w:hAnsiTheme="majorEastAsia" w:eastAsiaTheme="majorEastAsia"/>
                <w:color w:val="auto"/>
              </w:rPr>
              <w:t>万元</w:t>
            </w:r>
          </w:p>
        </w:tc>
        <w:tc>
          <w:tcPr>
            <w:tcW w:w="17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9"/>
              <w:jc w:val="center"/>
              <w:rPr>
                <w:rFonts w:hint="default" w:asciiTheme="majorEastAsia" w:hAnsiTheme="majorEastAsia" w:eastAsiaTheme="majorEastAsia"/>
                <w:color w:val="auto"/>
              </w:rPr>
            </w:pPr>
            <w:r>
              <w:rPr>
                <w:rFonts w:asciiTheme="majorEastAsia" w:hAnsiTheme="majorEastAsia" w:eastAsiaTheme="majorEastAsia"/>
                <w:color w:val="auto"/>
              </w:rPr>
              <w:t>人民币</w:t>
            </w:r>
            <w:r>
              <w:rPr>
                <w:rFonts w:asciiTheme="majorEastAsia" w:hAnsiTheme="majorEastAsia" w:eastAsiaTheme="majorEastAsia"/>
                <w:color w:val="auto"/>
                <w:lang w:eastAsia="zh-CN"/>
              </w:rPr>
              <w:t>44</w:t>
            </w:r>
            <w:r>
              <w:rPr>
                <w:rFonts w:asciiTheme="majorEastAsia" w:hAnsiTheme="majorEastAsia" w:eastAsiaTheme="majorEastAsia"/>
                <w:color w:val="auto"/>
              </w:rPr>
              <w:t>万元</w:t>
            </w:r>
          </w:p>
        </w:tc>
      </w:tr>
    </w:tbl>
    <w:p>
      <w:pPr>
        <w:pStyle w:val="19"/>
        <w:ind w:firstLine="420"/>
        <w:jc w:val="both"/>
        <w:rPr>
          <w:rFonts w:hint="default"/>
        </w:rPr>
      </w:pPr>
      <w:r>
        <w:t>详细技术规范以用户需求书为准。投标人必须对本项目的全部内容进行投标报价，如有缺漏或</w:t>
      </w:r>
      <w:r>
        <w:rPr>
          <w:rFonts w:hint="eastAsia"/>
          <w:lang w:eastAsia="zh-CN"/>
        </w:rPr>
        <w:t>超出最高采购限价</w:t>
      </w:r>
      <w:r>
        <w:t>，将导致投标无效。</w:t>
      </w:r>
    </w:p>
    <w:p>
      <w:pPr>
        <w:pStyle w:val="19"/>
        <w:ind w:firstLine="420"/>
        <w:jc w:val="both"/>
        <w:rPr>
          <w:rFonts w:hint="eastAsia" w:eastAsiaTheme="minorEastAsia"/>
          <w:lang w:eastAsia="zh-CN"/>
        </w:rPr>
      </w:pPr>
      <w:r>
        <w:t>本项目核心产品为</w:t>
      </w:r>
      <w:r>
        <w:rPr>
          <w:b/>
        </w:rPr>
        <w:t>：“</w:t>
      </w:r>
      <w:r>
        <w:rPr>
          <w:rFonts w:asciiTheme="majorEastAsia" w:hAnsiTheme="majorEastAsia" w:eastAsiaTheme="majorEastAsia"/>
          <w:b/>
        </w:rPr>
        <w:t>远程实时动态心电系统</w:t>
      </w:r>
      <w:r>
        <w:rPr>
          <w:b/>
        </w:rPr>
        <w:t>”</w:t>
      </w:r>
      <w:r>
        <w:rPr>
          <w:rFonts w:hint="eastAsia"/>
          <w:b/>
          <w:lang w:eastAsia="zh-CN"/>
        </w:rPr>
        <w:t>。</w:t>
      </w:r>
    </w:p>
    <w:p>
      <w:pPr>
        <w:pStyle w:val="19"/>
        <w:ind w:firstLine="420"/>
        <w:jc w:val="both"/>
        <w:rPr>
          <w:rFonts w:hint="default"/>
          <w:lang w:eastAsia="zh-CN"/>
        </w:rPr>
      </w:pPr>
      <w:r>
        <w:t>本项目采购本国产品</w:t>
      </w:r>
      <w:r>
        <w:rPr>
          <w:lang w:eastAsia="zh-CN"/>
        </w:rPr>
        <w:t>。</w:t>
      </w:r>
    </w:p>
    <w:p>
      <w:pPr>
        <w:pStyle w:val="19"/>
        <w:ind w:firstLine="420"/>
        <w:jc w:val="both"/>
        <w:rPr>
          <w:rFonts w:hint="default"/>
        </w:rPr>
      </w:pPr>
      <w:r>
        <w:t>2．</w:t>
      </w:r>
      <w:r>
        <w:rPr>
          <w:lang w:eastAsia="zh-CN"/>
        </w:rPr>
        <w:t>交货</w:t>
      </w:r>
      <w:r>
        <w:t>时间：采购人指定时间</w:t>
      </w:r>
    </w:p>
    <w:p>
      <w:pPr>
        <w:pStyle w:val="19"/>
        <w:ind w:firstLine="420"/>
        <w:jc w:val="both"/>
        <w:rPr>
          <w:rFonts w:hint="default"/>
        </w:rPr>
      </w:pPr>
      <w:r>
        <w:t>3．</w:t>
      </w:r>
      <w:r>
        <w:rPr>
          <w:lang w:eastAsia="zh-CN"/>
        </w:rPr>
        <w:t>交货</w:t>
      </w:r>
      <w:r>
        <w:t>地点：采购人指定地点</w:t>
      </w:r>
    </w:p>
    <w:p>
      <w:pPr>
        <w:pStyle w:val="19"/>
        <w:ind w:firstLine="420"/>
        <w:jc w:val="both"/>
        <w:rPr>
          <w:rFonts w:hint="default"/>
        </w:rPr>
      </w:pPr>
      <w:r>
        <w:t>4. 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等。</w:t>
      </w:r>
    </w:p>
    <w:p>
      <w:pPr>
        <w:pStyle w:val="19"/>
        <w:ind w:firstLine="420"/>
        <w:jc w:val="both"/>
        <w:rPr>
          <w:rFonts w:hint="default"/>
        </w:rPr>
      </w:pPr>
      <w:r>
        <w:t>5. 供应商提供《中小企业声明函》内容不实的，属于“隐瞒真实情况，提供虚假资料的”情形，依照《中华人民共和国政府采购法》及其实施条例等有关法律法规规定追究相应责任。</w:t>
      </w:r>
    </w:p>
    <w:p>
      <w:pPr>
        <w:pStyle w:val="7"/>
        <w:keepNext w:val="0"/>
        <w:keepLines w:val="0"/>
        <w:pageBreakBefore w:val="0"/>
        <w:kinsoku/>
        <w:wordWrap/>
        <w:overflowPunct/>
        <w:topLinePunct w:val="0"/>
        <w:bidi w:val="0"/>
        <w:spacing w:line="240" w:lineRule="auto"/>
        <w:ind w:left="0"/>
        <w:rPr>
          <w:rFonts w:hint="eastAsia" w:ascii="宋体" w:hAnsi="宋体" w:eastAsia="宋体" w:cs="宋体"/>
          <w:sz w:val="21"/>
          <w:szCs w:val="21"/>
          <w:highlight w:val="none"/>
          <w:lang w:val="en-US" w:eastAsia="zh-CN"/>
        </w:rPr>
      </w:pPr>
    </w:p>
    <w:p>
      <w:pPr>
        <w:pStyle w:val="19"/>
        <w:outlineLvl w:val="2"/>
        <w:rPr>
          <w:rFonts w:hint="default"/>
          <w:sz w:val="24"/>
          <w:szCs w:val="24"/>
        </w:rPr>
      </w:pPr>
      <w:r>
        <w:rPr>
          <w:rFonts w:hint="eastAsia"/>
          <w:b/>
          <w:sz w:val="24"/>
          <w:szCs w:val="24"/>
          <w:lang w:eastAsia="zh-CN"/>
        </w:rPr>
        <w:t>二、采购需求</w:t>
      </w:r>
      <w:r>
        <w:rPr>
          <w:b/>
          <w:sz w:val="24"/>
          <w:szCs w:val="24"/>
        </w:rPr>
        <w:t>：</w:t>
      </w:r>
    </w:p>
    <w:p>
      <w:pPr>
        <w:pStyle w:val="19"/>
        <w:rPr>
          <w:rFonts w:hint="default"/>
        </w:rPr>
      </w:pPr>
      <w:r>
        <w:rPr>
          <w:rFonts w:hint="eastAsia"/>
          <w:b/>
          <w:lang w:val="en-US" w:eastAsia="zh-CN"/>
        </w:rPr>
        <w:t>1.</w:t>
      </w:r>
      <w:bookmarkStart w:id="3" w:name="_GoBack"/>
      <w:bookmarkEnd w:id="3"/>
      <w:r>
        <w:rPr>
          <w:b/>
        </w:rPr>
        <w:t>主要商务要求</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6"/>
        <w:gridCol w:w="64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6" w:type="dxa"/>
          </w:tcPr>
          <w:p>
            <w:pPr>
              <w:pStyle w:val="19"/>
              <w:rPr>
                <w:rFonts w:hint="default"/>
              </w:rPr>
            </w:pPr>
            <w:r>
              <w:t>标的提供的时间</w:t>
            </w:r>
          </w:p>
        </w:tc>
        <w:tc>
          <w:tcPr>
            <w:tcW w:w="6493" w:type="dxa"/>
          </w:tcPr>
          <w:p>
            <w:pPr>
              <w:pStyle w:val="19"/>
              <w:rPr>
                <w:rFonts w:hint="default"/>
              </w:rPr>
            </w:pPr>
            <w:r>
              <w:t>合同签订后的30日内到货，到货后15日完成安装调试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6" w:type="dxa"/>
          </w:tcPr>
          <w:p>
            <w:pPr>
              <w:pStyle w:val="19"/>
              <w:rPr>
                <w:rFonts w:hint="default"/>
              </w:rPr>
            </w:pPr>
            <w:r>
              <w:t>标的提供的地点</w:t>
            </w:r>
          </w:p>
        </w:tc>
        <w:tc>
          <w:tcPr>
            <w:tcW w:w="6493" w:type="dxa"/>
          </w:tcPr>
          <w:p>
            <w:pPr>
              <w:pStyle w:val="19"/>
              <w:rPr>
                <w:rFonts w:hint="default"/>
              </w:rPr>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6" w:type="dxa"/>
          </w:tcPr>
          <w:p>
            <w:pPr>
              <w:pStyle w:val="19"/>
              <w:rPr>
                <w:rFonts w:hint="default"/>
              </w:rPr>
            </w:pPr>
            <w:r>
              <w:t>付款方式</w:t>
            </w:r>
          </w:p>
        </w:tc>
        <w:tc>
          <w:tcPr>
            <w:tcW w:w="6493" w:type="dxa"/>
          </w:tcPr>
          <w:p>
            <w:pPr>
              <w:pStyle w:val="19"/>
              <w:rPr>
                <w:rFonts w:hint="default"/>
                <w:lang w:eastAsia="zh-CN"/>
              </w:rPr>
            </w:pPr>
            <w:r>
              <w:t>1期：支付比例100%</w:t>
            </w:r>
            <w:r>
              <w:rPr>
                <w:rFonts w:hint="eastAsia"/>
                <w:lang w:eastAsia="zh-CN"/>
              </w:rPr>
              <w:t>，</w:t>
            </w:r>
            <w:r>
              <w:t>合同设备到达采购人指定地点完成安装、调试、验收、培训并交付使用后，中标人于6个月内凭：①合同、②正式发票、③验收调试报告（加盖采购人公章）、④中标通知书向采购人申请付款，采购人向中标人支付合同总金额的95％，剩余5％待验收合格保修期满后一次性无息付清。</w:t>
            </w:r>
          </w:p>
          <w:p>
            <w:pPr>
              <w:pStyle w:val="19"/>
              <w:rPr>
                <w:rFonts w:hint="default"/>
              </w:rPr>
            </w:pPr>
            <w:r>
              <w:t>如项目发生合同融资，采购人需将合同款项支付到合同约定收款账户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6" w:type="dxa"/>
          </w:tcPr>
          <w:p>
            <w:pPr>
              <w:pStyle w:val="19"/>
              <w:rPr>
                <w:rFonts w:hint="default"/>
              </w:rPr>
            </w:pPr>
            <w:r>
              <w:t>验收要求</w:t>
            </w:r>
          </w:p>
        </w:tc>
        <w:tc>
          <w:tcPr>
            <w:tcW w:w="6493" w:type="dxa"/>
          </w:tcPr>
          <w:p>
            <w:pPr>
              <w:rPr>
                <w:sz w:val="20"/>
                <w:szCs w:val="20"/>
              </w:rPr>
            </w:pPr>
            <w:r>
              <w:rPr>
                <w:rFonts w:hint="eastAsia" w:ascii="宋体" w:hAnsi="宋体" w:eastAsia="宋体" w:cs="宋体"/>
                <w:sz w:val="20"/>
                <w:szCs w:val="20"/>
              </w:rPr>
              <w:t>1期：设备到货后，必须免费安装调试至能正常使用，安装调试完成后30天内</w:t>
            </w:r>
            <w:r>
              <w:rPr>
                <w:rFonts w:hint="eastAsia"/>
                <w:sz w:val="20"/>
                <w:szCs w:val="20"/>
              </w:rPr>
              <w:t>组织验收。</w:t>
            </w:r>
          </w:p>
          <w:p>
            <w:pPr>
              <w:rPr>
                <w:sz w:val="20"/>
                <w:szCs w:val="20"/>
              </w:rPr>
            </w:pPr>
            <w:r>
              <w:rPr>
                <w:rFonts w:hint="eastAsia"/>
                <w:sz w:val="20"/>
                <w:szCs w:val="20"/>
              </w:rPr>
              <w:t xml:space="preserve">（1）货物若有国家标准按照国家标准验收，若无国家标准按行业标准验收，为原制造商制造的全新产品，整机无污染，无侵权行为、表面无划损、无任何缺陷隐患，在中国境内可依常规安全合法使用。 </w:t>
            </w:r>
          </w:p>
          <w:p>
            <w:pPr>
              <w:rPr>
                <w:sz w:val="20"/>
                <w:szCs w:val="20"/>
              </w:rPr>
            </w:pPr>
            <w:r>
              <w:rPr>
                <w:rFonts w:hint="eastAsia"/>
                <w:sz w:val="20"/>
                <w:szCs w:val="20"/>
              </w:rPr>
              <w:t>（2）货物为原厂商未启封全新包装，具出厂合格证，序列号、包装箱号与出厂批号一致，并可追索查阅。所有随设备的附件必须齐全。</w:t>
            </w:r>
          </w:p>
          <w:p>
            <w:pPr>
              <w:rPr>
                <w:sz w:val="20"/>
                <w:szCs w:val="20"/>
              </w:rPr>
            </w:pPr>
            <w:r>
              <w:rPr>
                <w:rFonts w:hint="eastAsia"/>
                <w:sz w:val="20"/>
                <w:szCs w:val="20"/>
              </w:rPr>
              <w:t>（3）中标人应将关键主机设备的用户手册、保修手册、有关单证资料及配备件、随机工具等交付给采购人，使用操作及安全须知等重要资料应附有中文说明。</w:t>
            </w:r>
          </w:p>
          <w:p>
            <w:pPr>
              <w:rPr>
                <w:sz w:val="20"/>
                <w:szCs w:val="20"/>
              </w:rPr>
            </w:pPr>
            <w:r>
              <w:rPr>
                <w:rFonts w:hint="eastAsia"/>
                <w:sz w:val="20"/>
                <w:szCs w:val="20"/>
              </w:rPr>
              <w:t>（4）采购人组成验收小组按国家有关规定、规范进行验收，必要时邀请相关的专业人员或机构参与验收。因货物质量问题发生争议时，由本地质量技术监督部门鉴定。货物符合质量技术标准的，鉴定费由甲方承担；否则鉴定费由中标人承担。</w:t>
            </w:r>
          </w:p>
          <w:p>
            <w:pPr>
              <w:rPr>
                <w:sz w:val="20"/>
                <w:szCs w:val="20"/>
              </w:rPr>
            </w:pPr>
            <w:r>
              <w:rPr>
                <w:rFonts w:hint="eastAsia"/>
                <w:sz w:val="20"/>
                <w:szCs w:val="20"/>
              </w:rPr>
              <w:t>（5）货物送达采购人指定的地点后，由双方工作人员按送货单进行初步的检货验收和签名确认。验收包括：名称、型号、规格、配置、品牌、数量、外观质量、及货物包装是否完好，初步验收合格后采购人应在验收记录上签字或盖章。初检仅代表采购人收到中标人送达货物的数量，并不代表采购人已经认可中标人货物的质量。若在使用过程中发现货物存在质量缺陷、冒牌等问题时，中标人须2日内办理退货或换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6" w:type="dxa"/>
          </w:tcPr>
          <w:p>
            <w:pPr>
              <w:pStyle w:val="19"/>
              <w:rPr>
                <w:rFonts w:hint="default"/>
              </w:rPr>
            </w:pPr>
            <w:r>
              <w:t>履约保证金</w:t>
            </w:r>
          </w:p>
        </w:tc>
        <w:tc>
          <w:tcPr>
            <w:tcW w:w="6493" w:type="dxa"/>
          </w:tcPr>
          <w:p>
            <w:pPr>
              <w:pStyle w:val="19"/>
              <w:rPr>
                <w:rFonts w:hint="default"/>
              </w:rPr>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6" w:type="dxa"/>
          </w:tcPr>
          <w:p>
            <w:pPr>
              <w:pStyle w:val="19"/>
              <w:rPr>
                <w:rFonts w:hint="default"/>
              </w:rPr>
            </w:pPr>
            <w:r>
              <w:t>其他</w:t>
            </w:r>
          </w:p>
        </w:tc>
        <w:tc>
          <w:tcPr>
            <w:tcW w:w="6493" w:type="dxa"/>
          </w:tcPr>
          <w:p>
            <w:pPr>
              <w:pStyle w:val="19"/>
              <w:rPr>
                <w:rFonts w:hint="default"/>
              </w:rPr>
            </w:pPr>
          </w:p>
        </w:tc>
      </w:tr>
    </w:tbl>
    <w:p>
      <w:pPr>
        <w:pStyle w:val="19"/>
        <w:rPr>
          <w:rFonts w:hint="default"/>
        </w:rPr>
      </w:pPr>
      <w:r>
        <w:t>其他商务需求</w:t>
      </w:r>
    </w:p>
    <w:tbl>
      <w:tblPr>
        <w:tblStyle w:val="13"/>
        <w:tblW w:w="882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904"/>
        <w:gridCol w:w="1322"/>
        <w:gridCol w:w="58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 w:hRule="atLeast"/>
          <w:jc w:val="center"/>
        </w:trPr>
        <w:tc>
          <w:tcPr>
            <w:tcW w:w="717" w:type="dxa"/>
            <w:vAlign w:val="center"/>
          </w:tcPr>
          <w:p>
            <w:pPr>
              <w:pStyle w:val="19"/>
              <w:jc w:val="center"/>
              <w:rPr>
                <w:rFonts w:hint="default"/>
              </w:rPr>
            </w:pPr>
            <w:r>
              <w:t>参数性质</w:t>
            </w:r>
          </w:p>
        </w:tc>
        <w:tc>
          <w:tcPr>
            <w:tcW w:w="904" w:type="dxa"/>
            <w:vAlign w:val="center"/>
          </w:tcPr>
          <w:p>
            <w:pPr>
              <w:pStyle w:val="19"/>
              <w:jc w:val="center"/>
              <w:rPr>
                <w:rFonts w:hint="default"/>
              </w:rPr>
            </w:pPr>
            <w:r>
              <w:t>编号</w:t>
            </w:r>
          </w:p>
        </w:tc>
        <w:tc>
          <w:tcPr>
            <w:tcW w:w="1321" w:type="dxa"/>
            <w:vAlign w:val="center"/>
          </w:tcPr>
          <w:p>
            <w:pPr>
              <w:pStyle w:val="19"/>
              <w:jc w:val="center"/>
              <w:rPr>
                <w:rFonts w:hint="default"/>
              </w:rPr>
            </w:pPr>
            <w:r>
              <w:t>内容明细</w:t>
            </w:r>
          </w:p>
        </w:tc>
        <w:tc>
          <w:tcPr>
            <w:tcW w:w="5885" w:type="dxa"/>
            <w:vAlign w:val="center"/>
          </w:tcPr>
          <w:p>
            <w:pPr>
              <w:pStyle w:val="19"/>
              <w:jc w:val="center"/>
              <w:rPr>
                <w:rFonts w:hint="default"/>
              </w:rPr>
            </w:pPr>
            <w: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 w:hRule="atLeast"/>
          <w:jc w:val="center"/>
        </w:trPr>
        <w:tc>
          <w:tcPr>
            <w:tcW w:w="717" w:type="dxa"/>
          </w:tcPr>
          <w:p>
            <w:pPr>
              <w:pStyle w:val="19"/>
              <w:jc w:val="center"/>
              <w:rPr>
                <w:rFonts w:hint="default"/>
              </w:rPr>
            </w:pPr>
          </w:p>
        </w:tc>
        <w:tc>
          <w:tcPr>
            <w:tcW w:w="904" w:type="dxa"/>
          </w:tcPr>
          <w:p>
            <w:pPr>
              <w:pStyle w:val="19"/>
              <w:jc w:val="center"/>
              <w:rPr>
                <w:rFonts w:hint="default"/>
                <w:lang w:eastAsia="zh-CN"/>
              </w:rPr>
            </w:pPr>
            <w:r>
              <w:rPr>
                <w:lang w:eastAsia="zh-CN"/>
              </w:rPr>
              <w:t>1</w:t>
            </w:r>
          </w:p>
        </w:tc>
        <w:tc>
          <w:tcPr>
            <w:tcW w:w="1321" w:type="dxa"/>
            <w:vAlign w:val="center"/>
          </w:tcPr>
          <w:p>
            <w:pPr>
              <w:pStyle w:val="19"/>
              <w:jc w:val="center"/>
              <w:rPr>
                <w:rFonts w:hint="default"/>
              </w:rPr>
            </w:pPr>
            <w:r>
              <w:rPr>
                <w:rFonts w:ascii="Times New Roman" w:hAnsi="Times New Roman" w:eastAsia="宋体" w:cs="Times New Roman"/>
                <w:lang w:eastAsia="zh-CN"/>
              </w:rPr>
              <w:t>质保期及售后服务要求</w:t>
            </w:r>
          </w:p>
        </w:tc>
        <w:tc>
          <w:tcPr>
            <w:tcW w:w="5885" w:type="dxa"/>
          </w:tcPr>
          <w:p>
            <w:pPr>
              <w:kinsoku w:val="0"/>
              <w:overflowPunct w:val="0"/>
              <w:autoSpaceDE w:val="0"/>
              <w:autoSpaceDN w:val="0"/>
              <w:adjustRightInd w:val="0"/>
              <w:snapToGrid w:val="0"/>
              <w:rPr>
                <w:rFonts w:ascii="宋体" w:hAnsi="宋体" w:eastAsia="宋体" w:cs="宋体"/>
                <w:sz w:val="20"/>
                <w:szCs w:val="20"/>
              </w:rPr>
            </w:pPr>
            <w:r>
              <w:rPr>
                <w:rFonts w:hint="eastAsia" w:ascii="宋体" w:hAnsi="宋体" w:eastAsia="宋体" w:cs="宋体"/>
                <w:sz w:val="20"/>
                <w:szCs w:val="20"/>
              </w:rPr>
              <w:t>①中标人保证合同设备是全新、未曾使用过的，其质量、规格及技术特征符合合同附件的要求。</w:t>
            </w:r>
          </w:p>
          <w:p>
            <w:pPr>
              <w:kinsoku w:val="0"/>
              <w:overflowPunct w:val="0"/>
              <w:autoSpaceDE w:val="0"/>
              <w:autoSpaceDN w:val="0"/>
              <w:adjustRightInd w:val="0"/>
              <w:snapToGrid w:val="0"/>
              <w:rPr>
                <w:rFonts w:ascii="宋体" w:hAnsi="宋体" w:eastAsia="宋体" w:cs="宋体"/>
                <w:sz w:val="20"/>
                <w:szCs w:val="20"/>
              </w:rPr>
            </w:pPr>
            <w:r>
              <w:rPr>
                <w:rFonts w:hint="eastAsia" w:ascii="宋体" w:hAnsi="宋体" w:eastAsia="宋体" w:cs="宋体"/>
                <w:sz w:val="20"/>
                <w:szCs w:val="20"/>
              </w:rPr>
              <w:t>②设备免费保修：项目整体验收后，提供不少于5年的设备保修期，质保期自双方代表在货物验收报告上签字之日起计算。质保期内中标人负责提供设备的三包（包修、包换、包退）服务，须有可随时上门提供维护、保修、技术支持等服务，并承担因此而产生的一切费用。</w:t>
            </w:r>
          </w:p>
          <w:p>
            <w:pPr>
              <w:kinsoku w:val="0"/>
              <w:overflowPunct w:val="0"/>
              <w:autoSpaceDE w:val="0"/>
              <w:autoSpaceDN w:val="0"/>
              <w:adjustRightInd w:val="0"/>
              <w:snapToGrid w:val="0"/>
              <w:rPr>
                <w:rFonts w:ascii="宋体" w:hAnsi="宋体" w:eastAsia="宋体" w:cs="宋体"/>
                <w:sz w:val="20"/>
                <w:szCs w:val="20"/>
              </w:rPr>
            </w:pPr>
            <w:r>
              <w:rPr>
                <w:rFonts w:hint="eastAsia" w:ascii="宋体" w:hAnsi="宋体" w:eastAsia="宋体" w:cs="宋体"/>
                <w:sz w:val="20"/>
                <w:szCs w:val="20"/>
              </w:rPr>
              <w:t>③从验收合格之日起一个月内，采购人所购设备各部件发生非人为损坏，中标人应给予无条件更换。从验收合格之日起一年内，如同一设备一个月内连续2次出现同一问题，中标人必须无条件更换该设备。中标人售后服务人员定期回访，每三个月进行一次保养维修。</w:t>
            </w:r>
          </w:p>
          <w:p>
            <w:pPr>
              <w:kinsoku w:val="0"/>
              <w:overflowPunct w:val="0"/>
              <w:autoSpaceDE w:val="0"/>
              <w:autoSpaceDN w:val="0"/>
              <w:adjustRightInd w:val="0"/>
              <w:snapToGrid w:val="0"/>
              <w:rPr>
                <w:rFonts w:ascii="宋体" w:hAnsi="宋体" w:eastAsia="宋体" w:cs="宋体"/>
                <w:sz w:val="20"/>
                <w:szCs w:val="20"/>
              </w:rPr>
            </w:pPr>
            <w:r>
              <w:rPr>
                <w:rFonts w:hint="eastAsia" w:ascii="宋体" w:hAnsi="宋体" w:eastAsia="宋体" w:cs="宋体"/>
                <w:sz w:val="20"/>
                <w:szCs w:val="20"/>
              </w:rPr>
              <w:t>④质保期内货物各部件发生非人为故障的，中标人应免费上门更换同种品牌规格型号的新部件；货物发生人为故障的，中标人应上门更换同种品牌规格型号的新部件，只收零配件成本，不得加收其它任何费用。</w:t>
            </w:r>
          </w:p>
          <w:p>
            <w:pPr>
              <w:kinsoku w:val="0"/>
              <w:overflowPunct w:val="0"/>
              <w:autoSpaceDE w:val="0"/>
              <w:autoSpaceDN w:val="0"/>
              <w:adjustRightInd w:val="0"/>
              <w:snapToGrid w:val="0"/>
              <w:rPr>
                <w:rFonts w:ascii="宋体" w:hAnsi="宋体" w:eastAsia="宋体" w:cs="宋体"/>
                <w:sz w:val="20"/>
                <w:szCs w:val="20"/>
              </w:rPr>
            </w:pPr>
            <w:r>
              <w:rPr>
                <w:rFonts w:hint="eastAsia" w:ascii="宋体" w:hAnsi="宋体" w:eastAsia="宋体" w:cs="宋体"/>
                <w:sz w:val="20"/>
                <w:szCs w:val="20"/>
              </w:rPr>
              <w:t>⑤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kinsoku w:val="0"/>
              <w:overflowPunct w:val="0"/>
              <w:autoSpaceDE w:val="0"/>
              <w:autoSpaceDN w:val="0"/>
              <w:adjustRightInd w:val="0"/>
              <w:snapToGrid w:val="0"/>
              <w:rPr>
                <w:rFonts w:ascii="宋体" w:hAnsi="宋体" w:eastAsia="宋体" w:cs="宋体"/>
                <w:sz w:val="20"/>
                <w:szCs w:val="20"/>
              </w:rPr>
            </w:pPr>
            <w:r>
              <w:rPr>
                <w:rFonts w:hint="eastAsia" w:ascii="宋体" w:hAnsi="宋体" w:eastAsia="宋体" w:cs="宋体"/>
                <w:sz w:val="20"/>
                <w:szCs w:val="20"/>
              </w:rPr>
              <w:t>⑥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kinsoku w:val="0"/>
              <w:overflowPunct w:val="0"/>
              <w:autoSpaceDE w:val="0"/>
              <w:autoSpaceDN w:val="0"/>
              <w:adjustRightInd w:val="0"/>
              <w:snapToGrid w:val="0"/>
              <w:rPr>
                <w:rFonts w:ascii="宋体" w:hAnsi="宋体" w:eastAsia="宋体" w:cs="宋体"/>
                <w:sz w:val="20"/>
                <w:szCs w:val="20"/>
              </w:rPr>
            </w:pPr>
            <w:r>
              <w:rPr>
                <w:rFonts w:hint="eastAsia" w:ascii="宋体" w:hAnsi="宋体" w:eastAsia="宋体" w:cs="宋体"/>
                <w:sz w:val="20"/>
                <w:szCs w:val="20"/>
              </w:rPr>
              <w:t>⑦中标人为采购人提供操作及维护培训，主要内容为设备的基本结构、性能、主要部件的构造及原理，日常使用操作、保养与管理，常见故障的排除，紧急情况的处理等，培训地点主要在设备安装现场或按甲乙双方协商安排。</w:t>
            </w:r>
          </w:p>
          <w:p>
            <w:pPr>
              <w:rPr>
                <w:sz w:val="20"/>
                <w:szCs w:val="20"/>
              </w:rPr>
            </w:pPr>
            <w:r>
              <w:rPr>
                <w:rFonts w:hint="eastAsia" w:ascii="宋体" w:hAnsi="宋体" w:eastAsia="宋体" w:cs="宋体"/>
                <w:sz w:val="20"/>
                <w:szCs w:val="20"/>
              </w:rPr>
              <w:t>⑧因设备的质量问题而发生争议，由广东省或汕头市质检部门进行质量鉴定。设备符合质量标准的，鉴定费用由采购人承担；设备不符合质量标准的，鉴定费用由中标人承担。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 w:hRule="atLeast"/>
          <w:jc w:val="center"/>
        </w:trPr>
        <w:tc>
          <w:tcPr>
            <w:tcW w:w="2943" w:type="dxa"/>
            <w:gridSpan w:val="3"/>
          </w:tcPr>
          <w:p>
            <w:pPr>
              <w:pStyle w:val="19"/>
              <w:rPr>
                <w:rFonts w:hint="default"/>
              </w:rPr>
            </w:pPr>
            <w:r>
              <w:t>说明</w:t>
            </w:r>
          </w:p>
        </w:tc>
        <w:tc>
          <w:tcPr>
            <w:tcW w:w="5885" w:type="dxa"/>
          </w:tcPr>
          <w:p>
            <w:pPr>
              <w:pStyle w:val="19"/>
              <w:rPr>
                <w:rFonts w:hint="default"/>
              </w:rPr>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pPr>
        <w:pStyle w:val="19"/>
        <w:rPr>
          <w:rFonts w:hint="default"/>
        </w:rPr>
      </w:pPr>
      <w:r>
        <w:rPr>
          <w:b/>
        </w:rPr>
        <w:t>2.技术标准与要求</w:t>
      </w:r>
    </w:p>
    <w:tbl>
      <w:tblPr>
        <w:tblStyle w:val="1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9"/>
        <w:gridCol w:w="659"/>
        <w:gridCol w:w="1324"/>
        <w:gridCol w:w="816"/>
        <w:gridCol w:w="579"/>
        <w:gridCol w:w="716"/>
        <w:gridCol w:w="1371"/>
        <w:gridCol w:w="1454"/>
        <w:gridCol w:w="512"/>
        <w:gridCol w:w="5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5" w:hRule="atLeast"/>
          <w:jc w:val="center"/>
        </w:trPr>
        <w:tc>
          <w:tcPr>
            <w:tcW w:w="709"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序号</w:t>
            </w:r>
          </w:p>
        </w:tc>
        <w:tc>
          <w:tcPr>
            <w:tcW w:w="851"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核心产品要求</w:t>
            </w:r>
          </w:p>
        </w:tc>
        <w:tc>
          <w:tcPr>
            <w:tcW w:w="1417"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品目名称</w:t>
            </w:r>
          </w:p>
        </w:tc>
        <w:tc>
          <w:tcPr>
            <w:tcW w:w="1134"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标的名称</w:t>
            </w:r>
          </w:p>
        </w:tc>
        <w:tc>
          <w:tcPr>
            <w:tcW w:w="709"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单位</w:t>
            </w:r>
          </w:p>
        </w:tc>
        <w:tc>
          <w:tcPr>
            <w:tcW w:w="716"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数量</w:t>
            </w:r>
          </w:p>
        </w:tc>
        <w:tc>
          <w:tcPr>
            <w:tcW w:w="1494"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分项预算单价（元）</w:t>
            </w:r>
          </w:p>
        </w:tc>
        <w:tc>
          <w:tcPr>
            <w:tcW w:w="1484"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分项预算总价（元）</w:t>
            </w:r>
          </w:p>
        </w:tc>
        <w:tc>
          <w:tcPr>
            <w:tcW w:w="588"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所属行业</w:t>
            </w:r>
          </w:p>
        </w:tc>
        <w:tc>
          <w:tcPr>
            <w:tcW w:w="588" w:type="dxa"/>
            <w:vAlign w:val="center"/>
          </w:tcPr>
          <w:p>
            <w:pPr>
              <w:pStyle w:val="19"/>
              <w:spacing w:line="320" w:lineRule="exact"/>
              <w:jc w:val="center"/>
              <w:rPr>
                <w:rFonts w:hint="default" w:asciiTheme="majorEastAsia" w:hAnsiTheme="majorEastAsia" w:eastAsiaTheme="majorEastAsia"/>
              </w:rPr>
            </w:pPr>
            <w:r>
              <w:rPr>
                <w:rFonts w:asciiTheme="majorEastAsia" w:hAnsiTheme="majorEastAsia" w:eastAsiaTheme="majorEastAsia"/>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5" w:hRule="atLeast"/>
          <w:jc w:val="center"/>
        </w:trPr>
        <w:tc>
          <w:tcPr>
            <w:tcW w:w="709"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rPr>
              <w:t>1</w:t>
            </w:r>
          </w:p>
        </w:tc>
        <w:tc>
          <w:tcPr>
            <w:tcW w:w="851" w:type="dxa"/>
            <w:vAlign w:val="center"/>
          </w:tcPr>
          <w:p>
            <w:pPr>
              <w:pStyle w:val="19"/>
              <w:jc w:val="center"/>
              <w:rPr>
                <w:rFonts w:hint="default"/>
              </w:rPr>
            </w:pPr>
            <w:r>
              <w:rPr>
                <w:rFonts w:hint="default" w:ascii="Cambria Math" w:hAnsi="Cambria Math" w:cs="Cambria Math"/>
                <w:shd w:val="clear" w:color="auto" w:fill="FFFFFF"/>
              </w:rPr>
              <w:t>△</w:t>
            </w:r>
          </w:p>
        </w:tc>
        <w:tc>
          <w:tcPr>
            <w:tcW w:w="1417" w:type="dxa"/>
            <w:vAlign w:val="center"/>
          </w:tcPr>
          <w:p>
            <w:pPr>
              <w:pStyle w:val="19"/>
              <w:jc w:val="center"/>
              <w:rPr>
                <w:rFonts w:hint="default"/>
              </w:rPr>
            </w:pPr>
            <w:r>
              <w:t>A02320300医用电子生理参数检测仪器设备</w:t>
            </w:r>
          </w:p>
        </w:tc>
        <w:tc>
          <w:tcPr>
            <w:tcW w:w="1134"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远程实时动态心电系统</w:t>
            </w:r>
          </w:p>
        </w:tc>
        <w:tc>
          <w:tcPr>
            <w:tcW w:w="709"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lang w:eastAsia="zh-CN"/>
              </w:rPr>
              <w:t>套</w:t>
            </w:r>
          </w:p>
        </w:tc>
        <w:tc>
          <w:tcPr>
            <w:tcW w:w="716"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lang w:eastAsia="zh-CN"/>
              </w:rPr>
              <w:t>3</w:t>
            </w:r>
            <w:r>
              <w:rPr>
                <w:rFonts w:asciiTheme="majorEastAsia" w:hAnsiTheme="majorEastAsia" w:eastAsiaTheme="majorEastAsia"/>
              </w:rPr>
              <w:t>.00</w:t>
            </w:r>
          </w:p>
        </w:tc>
        <w:tc>
          <w:tcPr>
            <w:tcW w:w="1494"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lang w:eastAsia="zh-CN"/>
              </w:rPr>
              <w:t>350,000</w:t>
            </w:r>
            <w:r>
              <w:rPr>
                <w:rFonts w:asciiTheme="majorEastAsia" w:hAnsiTheme="majorEastAsia" w:eastAsiaTheme="majorEastAsia"/>
              </w:rPr>
              <w:t>.00</w:t>
            </w:r>
          </w:p>
        </w:tc>
        <w:tc>
          <w:tcPr>
            <w:tcW w:w="1484"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lang w:eastAsia="zh-CN"/>
              </w:rPr>
              <w:t>1,050,000</w:t>
            </w:r>
            <w:r>
              <w:rPr>
                <w:rFonts w:asciiTheme="majorEastAsia" w:hAnsiTheme="majorEastAsia" w:eastAsiaTheme="majorEastAsia"/>
              </w:rPr>
              <w:t>.00</w:t>
            </w:r>
          </w:p>
        </w:tc>
        <w:tc>
          <w:tcPr>
            <w:tcW w:w="588"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工业</w:t>
            </w:r>
          </w:p>
        </w:tc>
        <w:tc>
          <w:tcPr>
            <w:tcW w:w="588"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详见附表一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0" w:hRule="atLeast"/>
          <w:jc w:val="center"/>
        </w:trPr>
        <w:tc>
          <w:tcPr>
            <w:tcW w:w="709"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2</w:t>
            </w:r>
          </w:p>
        </w:tc>
        <w:tc>
          <w:tcPr>
            <w:tcW w:w="851" w:type="dxa"/>
            <w:vAlign w:val="center"/>
          </w:tcPr>
          <w:p>
            <w:pPr>
              <w:pStyle w:val="19"/>
              <w:jc w:val="center"/>
              <w:rPr>
                <w:rFonts w:hint="default" w:cs="仿宋_GB2312" w:asciiTheme="majorEastAsia" w:hAnsiTheme="majorEastAsia" w:eastAsiaTheme="majorEastAsia"/>
                <w:szCs w:val="21"/>
              </w:rPr>
            </w:pPr>
          </w:p>
        </w:tc>
        <w:tc>
          <w:tcPr>
            <w:tcW w:w="1417" w:type="dxa"/>
            <w:vAlign w:val="center"/>
          </w:tcPr>
          <w:p>
            <w:pPr>
              <w:jc w:val="center"/>
              <w:rPr>
                <w:rFonts w:asciiTheme="majorEastAsia" w:hAnsiTheme="majorEastAsia" w:eastAsiaTheme="majorEastAsia"/>
              </w:rPr>
            </w:pPr>
            <w:r>
              <w:t>A02320300医用电子生理参数检测仪器设备</w:t>
            </w:r>
          </w:p>
        </w:tc>
        <w:tc>
          <w:tcPr>
            <w:tcW w:w="1134"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12导数字心电图机</w:t>
            </w:r>
          </w:p>
        </w:tc>
        <w:tc>
          <w:tcPr>
            <w:tcW w:w="709"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rPr>
              <w:t>套</w:t>
            </w:r>
          </w:p>
        </w:tc>
        <w:tc>
          <w:tcPr>
            <w:tcW w:w="716"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10.00</w:t>
            </w:r>
          </w:p>
        </w:tc>
        <w:tc>
          <w:tcPr>
            <w:tcW w:w="1494"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28,000.00</w:t>
            </w:r>
          </w:p>
        </w:tc>
        <w:tc>
          <w:tcPr>
            <w:tcW w:w="1484"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280,000.00</w:t>
            </w:r>
          </w:p>
        </w:tc>
        <w:tc>
          <w:tcPr>
            <w:tcW w:w="588"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工业</w:t>
            </w:r>
          </w:p>
        </w:tc>
        <w:tc>
          <w:tcPr>
            <w:tcW w:w="588"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详见附表一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0" w:hRule="atLeast"/>
          <w:jc w:val="center"/>
        </w:trPr>
        <w:tc>
          <w:tcPr>
            <w:tcW w:w="709"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3</w:t>
            </w:r>
          </w:p>
        </w:tc>
        <w:tc>
          <w:tcPr>
            <w:tcW w:w="851" w:type="dxa"/>
            <w:vAlign w:val="center"/>
          </w:tcPr>
          <w:p>
            <w:pPr>
              <w:pStyle w:val="19"/>
              <w:jc w:val="center"/>
              <w:rPr>
                <w:rFonts w:hint="default" w:cs="仿宋_GB2312" w:asciiTheme="majorEastAsia" w:hAnsiTheme="majorEastAsia" w:eastAsiaTheme="majorEastAsia"/>
                <w:szCs w:val="21"/>
              </w:rPr>
            </w:pPr>
          </w:p>
        </w:tc>
        <w:tc>
          <w:tcPr>
            <w:tcW w:w="1417" w:type="dxa"/>
            <w:vAlign w:val="center"/>
          </w:tcPr>
          <w:p>
            <w:pPr>
              <w:jc w:val="center"/>
              <w:rPr>
                <w:rFonts w:asciiTheme="majorEastAsia" w:hAnsiTheme="majorEastAsia" w:eastAsiaTheme="majorEastAsia"/>
              </w:rPr>
            </w:pPr>
            <w:r>
              <w:t>A02320300医用电子生理参数检测仪器设备</w:t>
            </w:r>
          </w:p>
        </w:tc>
        <w:tc>
          <w:tcPr>
            <w:tcW w:w="1134"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18导数字心电图机</w:t>
            </w:r>
          </w:p>
        </w:tc>
        <w:tc>
          <w:tcPr>
            <w:tcW w:w="709"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套</w:t>
            </w:r>
          </w:p>
        </w:tc>
        <w:tc>
          <w:tcPr>
            <w:tcW w:w="716"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8.00</w:t>
            </w:r>
          </w:p>
        </w:tc>
        <w:tc>
          <w:tcPr>
            <w:tcW w:w="1494"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55,000.00</w:t>
            </w:r>
          </w:p>
        </w:tc>
        <w:tc>
          <w:tcPr>
            <w:tcW w:w="1484" w:type="dxa"/>
            <w:vAlign w:val="center"/>
          </w:tcPr>
          <w:p>
            <w:pPr>
              <w:pStyle w:val="19"/>
              <w:jc w:val="center"/>
              <w:rPr>
                <w:rFonts w:hint="default" w:asciiTheme="majorEastAsia" w:hAnsiTheme="majorEastAsia" w:eastAsiaTheme="majorEastAsia"/>
                <w:lang w:eastAsia="zh-CN"/>
              </w:rPr>
            </w:pPr>
            <w:r>
              <w:rPr>
                <w:rFonts w:asciiTheme="majorEastAsia" w:hAnsiTheme="majorEastAsia" w:eastAsiaTheme="majorEastAsia"/>
                <w:lang w:eastAsia="zh-CN"/>
              </w:rPr>
              <w:t>440,000.00</w:t>
            </w:r>
          </w:p>
        </w:tc>
        <w:tc>
          <w:tcPr>
            <w:tcW w:w="588"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工业</w:t>
            </w:r>
          </w:p>
        </w:tc>
        <w:tc>
          <w:tcPr>
            <w:tcW w:w="588" w:type="dxa"/>
            <w:vAlign w:val="center"/>
          </w:tcPr>
          <w:p>
            <w:pPr>
              <w:pStyle w:val="19"/>
              <w:jc w:val="center"/>
              <w:rPr>
                <w:rFonts w:hint="default" w:asciiTheme="majorEastAsia" w:hAnsiTheme="majorEastAsia" w:eastAsiaTheme="majorEastAsia"/>
              </w:rPr>
            </w:pPr>
            <w:r>
              <w:rPr>
                <w:rFonts w:asciiTheme="majorEastAsia" w:hAnsiTheme="majorEastAsia" w:eastAsiaTheme="majorEastAsia"/>
              </w:rPr>
              <w:t>详见附表一</w:t>
            </w:r>
          </w:p>
        </w:tc>
      </w:tr>
    </w:tbl>
    <w:p>
      <w:pPr>
        <w:pStyle w:val="19"/>
        <w:rPr>
          <w:rFonts w:hint="default"/>
        </w:rPr>
      </w:pPr>
      <w:bookmarkStart w:id="0" w:name="OLE_LINK2"/>
      <w:bookmarkStart w:id="1" w:name="OLE_LINK1"/>
      <w:r>
        <w:rPr>
          <w:b/>
        </w:rPr>
        <w:t>附表一：远程实时动态心电系统</w:t>
      </w:r>
    </w:p>
    <w:bookmarkEnd w:id="0"/>
    <w:bookmarkEnd w:id="1"/>
    <w:tbl>
      <w:tblPr>
        <w:tblStyle w:val="13"/>
        <w:tblW w:w="863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7"/>
        <w:gridCol w:w="797"/>
        <w:gridCol w:w="68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pStyle w:val="19"/>
              <w:jc w:val="center"/>
              <w:rPr>
                <w:rFonts w:hint="default"/>
              </w:rPr>
            </w:pPr>
            <w:r>
              <w:t>参数性质</w:t>
            </w:r>
          </w:p>
        </w:tc>
        <w:tc>
          <w:tcPr>
            <w:tcW w:w="797" w:type="dxa"/>
          </w:tcPr>
          <w:p>
            <w:pPr>
              <w:pStyle w:val="19"/>
              <w:rPr>
                <w:rFonts w:hint="default"/>
              </w:rPr>
            </w:pPr>
            <w:r>
              <w:t>序号</w:t>
            </w:r>
          </w:p>
        </w:tc>
        <w:tc>
          <w:tcPr>
            <w:tcW w:w="6809" w:type="dxa"/>
          </w:tcPr>
          <w:p>
            <w:pPr>
              <w:pStyle w:val="19"/>
              <w:rPr>
                <w:rFonts w:hint="default"/>
              </w:rP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pStyle w:val="19"/>
              <w:jc w:val="center"/>
              <w:rPr>
                <w:rFonts w:hint="default"/>
                <w:highlight w:val="none"/>
              </w:rPr>
            </w:pPr>
            <w:r>
              <w:rPr>
                <w:rFonts w:ascii="宋体" w:hAnsi="宋体" w:cs="宋体"/>
                <w:highlight w:val="none"/>
              </w:rPr>
              <w:t>★</w:t>
            </w: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w:t>
            </w:r>
          </w:p>
        </w:tc>
        <w:tc>
          <w:tcPr>
            <w:tcW w:w="6809" w:type="dxa"/>
          </w:tcPr>
          <w:p>
            <w:pPr>
              <w:pStyle w:val="19"/>
              <w:rPr>
                <w:rFonts w:hint="default"/>
                <w:highlight w:val="none"/>
              </w:rPr>
            </w:pPr>
            <w:r>
              <w:rPr>
                <w:highlight w:val="none"/>
              </w:rPr>
              <w:t>总体要求：</w:t>
            </w:r>
            <w:r>
              <w:rPr>
                <w:rFonts w:ascii="宋体" w:hAnsi="宋体" w:cs="宋体"/>
                <w:highlight w:val="none"/>
              </w:rPr>
              <w:t>★所投</w:t>
            </w:r>
            <w:r>
              <w:rPr>
                <w:rFonts w:ascii="宋体" w:hAnsi="宋体" w:cs="宋体"/>
                <w:highlight w:val="none"/>
                <w:lang w:eastAsia="zh-CN"/>
              </w:rPr>
              <w:t>设备</w:t>
            </w:r>
            <w:r>
              <w:rPr>
                <w:rFonts w:ascii="宋体" w:hAnsi="宋体" w:cs="宋体"/>
                <w:highlight w:val="none"/>
              </w:rPr>
              <w:t>具有有效的</w:t>
            </w:r>
            <w:bookmarkStart w:id="2" w:name="OLE_LINK13"/>
            <w:r>
              <w:rPr>
                <w:rFonts w:ascii="宋体" w:hAnsi="宋体" w:cs="宋体"/>
                <w:highlight w:val="none"/>
              </w:rPr>
              <w:t>医疗器械注册证</w:t>
            </w:r>
            <w:bookmarkEnd w:id="2"/>
            <w:r>
              <w:rPr>
                <w:rFonts w:ascii="宋体" w:hAnsi="宋体" w:cs="宋体"/>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r>
              <w:rPr>
                <w:rFonts w:ascii="宋体" w:hAnsi="宋体" w:cs="宋体"/>
                <w:highlight w:val="none"/>
              </w:rPr>
              <w:t>★</w:t>
            </w: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一、</w:t>
            </w:r>
            <w:r>
              <w:rPr>
                <w:rFonts w:ascii="宋体" w:hAnsi="宋体" w:cs="宋体"/>
                <w:highlight w:val="none"/>
              </w:rPr>
              <w:t>★</w:t>
            </w:r>
            <w:r>
              <w:rPr>
                <w:rFonts w:asciiTheme="majorEastAsia" w:hAnsiTheme="majorEastAsia" w:eastAsiaTheme="majorEastAsia"/>
                <w:sz w:val="20"/>
                <w:szCs w:val="20"/>
                <w:highlight w:val="none"/>
              </w:rPr>
              <w:t>配置要求：每套系统包含记录盒</w:t>
            </w:r>
            <w:r>
              <w:rPr>
                <w:rFonts w:hint="eastAsia" w:asciiTheme="majorEastAsia" w:hAnsiTheme="majorEastAsia" w:eastAsiaTheme="majorEastAsia"/>
                <w:sz w:val="20"/>
                <w:szCs w:val="20"/>
                <w:highlight w:val="none"/>
                <w:lang w:eastAsia="zh-CN"/>
              </w:rPr>
              <w:t>至少</w:t>
            </w:r>
            <w:r>
              <w:rPr>
                <w:rFonts w:asciiTheme="majorEastAsia" w:hAnsiTheme="majorEastAsia" w:eastAsiaTheme="majorEastAsia"/>
                <w:sz w:val="20"/>
                <w:szCs w:val="20"/>
                <w:highlight w:val="none"/>
              </w:rPr>
              <w:t>10个、</w:t>
            </w:r>
            <w:r>
              <w:rPr>
                <w:highlight w:val="none"/>
              </w:rPr>
              <w:t>工作站专用电脑</w:t>
            </w:r>
            <w:r>
              <w:rPr>
                <w:rFonts w:asciiTheme="majorEastAsia" w:hAnsiTheme="majorEastAsia" w:eastAsiaTheme="majorEastAsia"/>
                <w:sz w:val="20"/>
                <w:szCs w:val="20"/>
                <w:highlight w:val="none"/>
              </w:rPr>
              <w:t>1台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3</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二、技术参数：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4</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1、支持十二导心电数据采集，配有10根导联线同步12导联采集；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5</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3、内置LCD显示屏≥2.8寸，支持6导联心电波形实时预览；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r>
              <w:rPr>
                <w:rFonts w:cs="Arial" w:asciiTheme="majorEastAsia" w:hAnsiTheme="majorEastAsia" w:eastAsiaTheme="majorEastAsia"/>
                <w:sz w:val="20"/>
                <w:szCs w:val="20"/>
                <w:highlight w:val="none"/>
              </w:rPr>
              <w:t>▲</w:t>
            </w: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6</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4、</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采样精度≥24位；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7</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5、输入阻抗：≥50MΩ；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r>
              <w:rPr>
                <w:rFonts w:cs="Arial" w:asciiTheme="majorEastAsia" w:hAnsiTheme="majorEastAsia" w:eastAsiaTheme="majorEastAsia"/>
                <w:sz w:val="20"/>
                <w:szCs w:val="20"/>
                <w:highlight w:val="none"/>
              </w:rPr>
              <w:t>▲</w:t>
            </w: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8</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6、</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耐极化电压：±600mV；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9</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7、系统噪声：≤15μV；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10</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8、共模抑制比：</w:t>
            </w:r>
            <w:r>
              <w:rPr>
                <w:rFonts w:hint="eastAsia"/>
                <w:highlight w:val="none"/>
              </w:rPr>
              <w:t>≥</w:t>
            </w:r>
            <w:r>
              <w:rPr>
                <w:rFonts w:asciiTheme="majorEastAsia" w:hAnsiTheme="majorEastAsia" w:eastAsiaTheme="majorEastAsia"/>
                <w:sz w:val="20"/>
                <w:szCs w:val="20"/>
                <w:highlight w:val="none"/>
              </w:rPr>
              <w:t>85dB；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11</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9、频率响应：0.05Hz-100Hz；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12</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10、具有独立起博检测通道；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13</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11、支持起搏脉冲显示能力；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14</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12、数据采集功能：能够实现连续</w:t>
            </w:r>
            <w:r>
              <w:rPr>
                <w:rFonts w:hint="eastAsia"/>
                <w:highlight w:val="none"/>
              </w:rPr>
              <w:t>≥</w:t>
            </w:r>
            <w:r>
              <w:rPr>
                <w:rFonts w:asciiTheme="majorEastAsia" w:hAnsiTheme="majorEastAsia" w:eastAsiaTheme="majorEastAsia"/>
                <w:sz w:val="20"/>
                <w:szCs w:val="20"/>
                <w:highlight w:val="none"/>
              </w:rPr>
              <w:t>24小时不间断12导心电数据采集和存储；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027" w:type="dxa"/>
          </w:tcPr>
          <w:p>
            <w:pPr>
              <w:jc w:val="center"/>
              <w:rPr>
                <w:highlight w:val="none"/>
              </w:rPr>
            </w:pPr>
            <w:r>
              <w:rPr>
                <w:rFonts w:cs="Arial" w:asciiTheme="majorEastAsia" w:hAnsiTheme="majorEastAsia" w:eastAsiaTheme="majorEastAsia"/>
                <w:sz w:val="20"/>
                <w:szCs w:val="20"/>
                <w:highlight w:val="none"/>
              </w:rPr>
              <w:t>▲</w:t>
            </w: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15</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13、</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数据传输：内置</w:t>
            </w:r>
            <w:r>
              <w:rPr>
                <w:rFonts w:hint="eastAsia"/>
                <w:highlight w:val="none"/>
              </w:rPr>
              <w:t>≥</w:t>
            </w:r>
            <w:r>
              <w:rPr>
                <w:rFonts w:asciiTheme="majorEastAsia" w:hAnsiTheme="majorEastAsia" w:eastAsiaTheme="majorEastAsia"/>
                <w:sz w:val="20"/>
                <w:szCs w:val="20"/>
                <w:highlight w:val="none"/>
              </w:rPr>
              <w:t>4G卡，支持</w:t>
            </w:r>
            <w:r>
              <w:rPr>
                <w:rFonts w:hint="eastAsia"/>
                <w:highlight w:val="none"/>
              </w:rPr>
              <w:t>≥</w:t>
            </w:r>
            <w:r>
              <w:rPr>
                <w:rFonts w:asciiTheme="majorEastAsia" w:hAnsiTheme="majorEastAsia" w:eastAsiaTheme="majorEastAsia"/>
                <w:sz w:val="20"/>
                <w:szCs w:val="20"/>
                <w:highlight w:val="none"/>
              </w:rPr>
              <w:t>4G数据实时传输；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16</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14、能记录3D（加速度传感器）数据以及用户事件；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17</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15、内置可充电锂电池供电，满足数据实时传输需求。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r>
              <w:rPr>
                <w:rFonts w:cs="Arial" w:asciiTheme="majorEastAsia" w:hAnsiTheme="majorEastAsia" w:eastAsiaTheme="majorEastAsia"/>
                <w:sz w:val="20"/>
                <w:szCs w:val="20"/>
                <w:highlight w:val="none"/>
              </w:rPr>
              <w:t>▲</w:t>
            </w: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18</w:t>
            </w:r>
          </w:p>
        </w:tc>
        <w:tc>
          <w:tcPr>
            <w:tcW w:w="6809" w:type="dxa"/>
          </w:tcPr>
          <w:p>
            <w:pPr>
              <w:pStyle w:val="6"/>
              <w:rPr>
                <w:highlight w:val="none"/>
              </w:rPr>
            </w:pPr>
            <w:r>
              <w:rPr>
                <w:rFonts w:hint="eastAsia"/>
                <w:highlight w:val="none"/>
              </w:rPr>
              <w:t>16、▲具备实时心电功能:可将心电数据实时传输至服务器并经服务器传输至客戶端进行展示和监测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r>
              <w:rPr>
                <w:rFonts w:cs="Arial" w:asciiTheme="majorEastAsia" w:hAnsiTheme="majorEastAsia" w:eastAsiaTheme="majorEastAsia"/>
                <w:sz w:val="20"/>
                <w:szCs w:val="20"/>
                <w:highlight w:val="none"/>
              </w:rPr>
              <w:t>▲</w:t>
            </w: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19</w:t>
            </w:r>
          </w:p>
        </w:tc>
        <w:tc>
          <w:tcPr>
            <w:tcW w:w="6809" w:type="dxa"/>
          </w:tcPr>
          <w:p>
            <w:pPr>
              <w:pStyle w:val="6"/>
              <w:rPr>
                <w:highlight w:val="none"/>
              </w:rPr>
            </w:pPr>
            <w:r>
              <w:rPr>
                <w:rFonts w:hint="eastAsia"/>
                <w:highlight w:val="none"/>
              </w:rPr>
              <w:t>三、▲配套要求</w:t>
            </w:r>
          </w:p>
          <w:p>
            <w:pPr>
              <w:pStyle w:val="6"/>
              <w:rPr>
                <w:highlight w:val="none"/>
              </w:rPr>
            </w:pPr>
            <w:r>
              <w:rPr>
                <w:rFonts w:hint="eastAsia"/>
                <w:highlight w:val="none"/>
              </w:rPr>
              <w:t>1、所供应的设备及软件能与医院现有</w:t>
            </w:r>
            <w:r>
              <w:rPr>
                <w:rFonts w:hint="eastAsia"/>
                <w:highlight w:val="none"/>
                <w:lang w:eastAsia="zh-CN"/>
              </w:rPr>
              <w:t>的</w:t>
            </w:r>
            <w:r>
              <w:rPr>
                <w:rFonts w:hint="eastAsia"/>
                <w:highlight w:val="none"/>
              </w:rPr>
              <w:t>心电系统</w:t>
            </w:r>
            <w:r>
              <w:rPr>
                <w:rFonts w:hint="eastAsia"/>
                <w:highlight w:val="none"/>
                <w:lang w:eastAsia="zh-CN"/>
              </w:rPr>
              <w:t>（</w:t>
            </w:r>
            <w:r>
              <w:rPr>
                <w:rFonts w:hint="eastAsia"/>
                <w:highlight w:val="none"/>
              </w:rPr>
              <w:t>纳龙健康</w:t>
            </w:r>
            <w:r>
              <w:rPr>
                <w:rFonts w:hint="eastAsia"/>
                <w:highlight w:val="none"/>
                <w:lang w:val="en-US" w:eastAsia="zh-CN"/>
              </w:rPr>
              <w:t xml:space="preserve"> </w:t>
            </w:r>
            <w:r>
              <w:rPr>
                <w:rFonts w:hint="eastAsia"/>
                <w:highlight w:val="none"/>
              </w:rPr>
              <w:t>aECG—net</w:t>
            </w:r>
            <w:r>
              <w:rPr>
                <w:rFonts w:hint="eastAsia"/>
                <w:highlight w:val="none"/>
                <w:lang w:eastAsia="zh-CN"/>
              </w:rPr>
              <w:t>）</w:t>
            </w:r>
            <w:r>
              <w:rPr>
                <w:rFonts w:hint="eastAsia"/>
                <w:highlight w:val="none"/>
              </w:rPr>
              <w:t>对接，并承担所有对接工作及所需费用，若不能对接，配置清单中需提供心电系统，并承担对接工作及费用（</w:t>
            </w:r>
            <w:r>
              <w:rPr>
                <w:rFonts w:hint="eastAsia"/>
                <w:highlight w:val="none"/>
                <w:lang w:eastAsia="zh-CN"/>
              </w:rPr>
              <w:t>提供承诺函</w:t>
            </w:r>
            <w:r>
              <w:rPr>
                <w:rFonts w:hint="eastAsia"/>
                <w:highlight w:val="none"/>
              </w:rPr>
              <w:t>）；</w:t>
            </w:r>
          </w:p>
          <w:p>
            <w:pPr>
              <w:pStyle w:val="6"/>
              <w:rPr>
                <w:rFonts w:hint="eastAsia" w:eastAsiaTheme="minorEastAsia"/>
                <w:highlight w:val="none"/>
                <w:lang w:eastAsia="zh-CN"/>
              </w:rPr>
            </w:pPr>
            <w:r>
              <w:rPr>
                <w:rFonts w:hint="eastAsia"/>
                <w:highlight w:val="none"/>
              </w:rPr>
              <w:t>2、报价包含诊断中心软件</w:t>
            </w:r>
            <w:r>
              <w:rPr>
                <w:highlight w:val="none"/>
              </w:rPr>
              <w:t>和</w:t>
            </w:r>
            <w:r>
              <w:rPr>
                <w:rFonts w:hint="eastAsia"/>
                <w:highlight w:val="none"/>
              </w:rPr>
              <w:t>质量管理软件费用</w:t>
            </w:r>
            <w:r>
              <w:rPr>
                <w:rFonts w:hint="eastAsia"/>
                <w:highlight w:val="none"/>
                <w:lang w:eastAsia="zh-CN"/>
              </w:rPr>
              <w:t>；</w:t>
            </w:r>
          </w:p>
          <w:p>
            <w:pPr>
              <w:pStyle w:val="6"/>
              <w:rPr>
                <w:rFonts w:hint="eastAsia" w:eastAsiaTheme="minorEastAsia"/>
                <w:highlight w:val="none"/>
                <w:lang w:eastAsia="zh-CN"/>
              </w:rPr>
            </w:pPr>
            <w:r>
              <w:rPr>
                <w:rFonts w:hint="eastAsia"/>
                <w:highlight w:val="none"/>
              </w:rPr>
              <w:t>3、与医院现有</w:t>
            </w:r>
            <w:r>
              <w:rPr>
                <w:rFonts w:hint="eastAsia"/>
                <w:highlight w:val="none"/>
                <w:lang w:eastAsia="zh-CN"/>
              </w:rPr>
              <w:t>的</w:t>
            </w:r>
            <w:r>
              <w:rPr>
                <w:rFonts w:hint="eastAsia"/>
                <w:highlight w:val="none"/>
              </w:rPr>
              <w:t>远程心电医学平台</w:t>
            </w:r>
            <w:r>
              <w:rPr>
                <w:rFonts w:hint="eastAsia"/>
                <w:highlight w:val="none"/>
                <w:lang w:eastAsia="zh-CN"/>
              </w:rPr>
              <w:t>（由</w:t>
            </w:r>
            <w:r>
              <w:rPr>
                <w:rFonts w:hint="eastAsia"/>
                <w:highlight w:val="none"/>
              </w:rPr>
              <w:t>北京开元鑫瑞医学信息技术有限公司</w:t>
            </w:r>
            <w:r>
              <w:rPr>
                <w:rFonts w:hint="eastAsia"/>
                <w:highlight w:val="none"/>
                <w:lang w:eastAsia="zh-CN"/>
              </w:rPr>
              <w:t>开发）</w:t>
            </w:r>
            <w:r>
              <w:rPr>
                <w:rFonts w:hint="eastAsia"/>
                <w:highlight w:val="none"/>
              </w:rPr>
              <w:t>对接（</w:t>
            </w:r>
            <w:r>
              <w:rPr>
                <w:rFonts w:hint="eastAsia"/>
                <w:highlight w:val="none"/>
                <w:lang w:eastAsia="zh-CN"/>
              </w:rPr>
              <w:t>提供承诺函</w:t>
            </w:r>
            <w:r>
              <w:rPr>
                <w:rFonts w:hint="eastAsia"/>
                <w:highlight w:val="none"/>
              </w:rPr>
              <w:t>）</w:t>
            </w:r>
            <w:r>
              <w:rPr>
                <w:rFonts w:hint="eastAsia"/>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20</w:t>
            </w:r>
          </w:p>
        </w:tc>
        <w:tc>
          <w:tcPr>
            <w:tcW w:w="6809" w:type="dxa"/>
          </w:tcPr>
          <w:p>
            <w:pPr>
              <w:rPr>
                <w:rFonts w:asciiTheme="majorEastAsia" w:hAnsiTheme="majorEastAsia" w:eastAsiaTheme="majorEastAsia"/>
                <w:sz w:val="20"/>
                <w:szCs w:val="20"/>
                <w:highlight w:val="none"/>
              </w:rPr>
            </w:pPr>
            <w:r>
              <w:rPr>
                <w:rFonts w:hint="eastAsia" w:asciiTheme="majorEastAsia" w:hAnsiTheme="majorEastAsia" w:eastAsiaTheme="majorEastAsia"/>
                <w:sz w:val="20"/>
                <w:szCs w:val="20"/>
                <w:highlight w:val="none"/>
              </w:rPr>
              <w:t>四</w:t>
            </w:r>
            <w:r>
              <w:rPr>
                <w:rFonts w:asciiTheme="majorEastAsia" w:hAnsiTheme="majorEastAsia" w:eastAsiaTheme="majorEastAsia"/>
                <w:sz w:val="20"/>
                <w:szCs w:val="20"/>
                <w:highlight w:val="none"/>
              </w:rPr>
              <w:t>、服务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21</w:t>
            </w:r>
          </w:p>
        </w:tc>
        <w:tc>
          <w:tcPr>
            <w:tcW w:w="6809"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1、设备质保期：≥5年</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22</w:t>
            </w:r>
          </w:p>
        </w:tc>
        <w:tc>
          <w:tcPr>
            <w:tcW w:w="6809"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2、供应商需负责维保期内设备所需的物联网卡及网络流量费用</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23</w:t>
            </w:r>
          </w:p>
        </w:tc>
        <w:tc>
          <w:tcPr>
            <w:tcW w:w="6809"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3、维保期内心电系统及设备免费升级</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24</w:t>
            </w:r>
          </w:p>
        </w:tc>
        <w:tc>
          <w:tcPr>
            <w:tcW w:w="6809"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4、在</w:t>
            </w:r>
            <w:r>
              <w:rPr>
                <w:rFonts w:hint="eastAsia" w:asciiTheme="majorEastAsia" w:hAnsiTheme="majorEastAsia" w:eastAsiaTheme="majorEastAsia"/>
                <w:sz w:val="20"/>
                <w:szCs w:val="20"/>
                <w:highlight w:val="none"/>
              </w:rPr>
              <w:t>医院派驻定点技术服务人员</w:t>
            </w:r>
            <w:r>
              <w:rPr>
                <w:rFonts w:asciiTheme="majorEastAsia" w:hAnsiTheme="majorEastAsia" w:eastAsiaTheme="majorEastAsia"/>
                <w:sz w:val="20"/>
                <w:szCs w:val="20"/>
                <w:highlight w:val="none"/>
              </w:rPr>
              <w:t>，满足医院对售后服务的要求</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jc w:val="center"/>
              <w:rPr>
                <w:highlight w:val="none"/>
              </w:rPr>
            </w:pPr>
          </w:p>
        </w:tc>
        <w:tc>
          <w:tcPr>
            <w:tcW w:w="797"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25</w:t>
            </w:r>
          </w:p>
        </w:tc>
        <w:tc>
          <w:tcPr>
            <w:tcW w:w="6809"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5、负责培训设备操作人员，并培训1-2名负责此设备维护、维修的工程师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27" w:type="dxa"/>
          </w:tcPr>
          <w:p>
            <w:pPr>
              <w:pStyle w:val="19"/>
              <w:jc w:val="center"/>
              <w:rPr>
                <w:rFonts w:hint="default"/>
                <w:highlight w:val="none"/>
              </w:rPr>
            </w:pPr>
            <w:r>
              <w:rPr>
                <w:highlight w:val="none"/>
              </w:rPr>
              <w:t>说明</w:t>
            </w:r>
          </w:p>
        </w:tc>
        <w:tc>
          <w:tcPr>
            <w:tcW w:w="7606" w:type="dxa"/>
            <w:gridSpan w:val="2"/>
          </w:tcPr>
          <w:p>
            <w:pPr>
              <w:pStyle w:val="19"/>
              <w:rPr>
                <w:rFonts w:hint="default"/>
                <w:highlight w:val="none"/>
              </w:rPr>
            </w:pPr>
            <w:r>
              <w:rPr>
                <w:highlight w:val="none"/>
              </w:rPr>
              <w:t xml:space="preserve"> 打“★”号条款为实质性条款，若有任何一条负偏离或不满足则导致投标无效。 </w:t>
            </w:r>
            <w:r>
              <w:rPr>
                <w:highlight w:val="none"/>
              </w:rPr>
              <w:br w:type="textWrapping"/>
            </w:r>
            <w:r>
              <w:rPr>
                <w:highlight w:val="none"/>
              </w:rPr>
              <w:t>打“▲”号条款为重要技术参数，若有部分“▲”条款未响应或不满足，不作为无效投标条款。</w:t>
            </w:r>
          </w:p>
        </w:tc>
      </w:tr>
    </w:tbl>
    <w:p>
      <w:pPr>
        <w:pStyle w:val="19"/>
        <w:rPr>
          <w:rFonts w:hint="default"/>
          <w:b/>
          <w:highlight w:val="none"/>
          <w:lang w:eastAsia="zh-CN"/>
        </w:rPr>
      </w:pPr>
    </w:p>
    <w:p>
      <w:pPr>
        <w:pStyle w:val="19"/>
        <w:rPr>
          <w:rFonts w:hint="default"/>
          <w:highlight w:val="none"/>
          <w:lang w:eastAsia="zh-CN"/>
        </w:rPr>
      </w:pPr>
      <w:r>
        <w:rPr>
          <w:b/>
          <w:highlight w:val="none"/>
        </w:rPr>
        <w:t>附表</w:t>
      </w:r>
      <w:r>
        <w:rPr>
          <w:b/>
          <w:highlight w:val="none"/>
          <w:lang w:eastAsia="zh-CN"/>
        </w:rPr>
        <w:t>二</w:t>
      </w:r>
      <w:r>
        <w:rPr>
          <w:b/>
          <w:highlight w:val="none"/>
        </w:rPr>
        <w:t>：12导数字心电图机</w:t>
      </w:r>
    </w:p>
    <w:tbl>
      <w:tblPr>
        <w:tblStyle w:val="13"/>
        <w:tblW w:w="862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798"/>
        <w:gridCol w:w="68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pStyle w:val="19"/>
              <w:jc w:val="center"/>
              <w:rPr>
                <w:rFonts w:hint="default"/>
                <w:highlight w:val="none"/>
              </w:rPr>
            </w:pPr>
            <w:r>
              <w:rPr>
                <w:highlight w:val="none"/>
              </w:rPr>
              <w:t>参数性质</w:t>
            </w:r>
          </w:p>
        </w:tc>
        <w:tc>
          <w:tcPr>
            <w:tcW w:w="798" w:type="dxa"/>
          </w:tcPr>
          <w:p>
            <w:pPr>
              <w:pStyle w:val="19"/>
              <w:jc w:val="center"/>
              <w:rPr>
                <w:rFonts w:hint="default" w:asciiTheme="majorEastAsia" w:hAnsiTheme="majorEastAsia" w:eastAsiaTheme="majorEastAsia"/>
                <w:highlight w:val="none"/>
              </w:rPr>
            </w:pPr>
            <w:r>
              <w:rPr>
                <w:rFonts w:asciiTheme="majorEastAsia" w:hAnsiTheme="majorEastAsia" w:eastAsiaTheme="majorEastAsia"/>
                <w:highlight w:val="none"/>
              </w:rPr>
              <w:t>序号</w:t>
            </w:r>
          </w:p>
        </w:tc>
        <w:tc>
          <w:tcPr>
            <w:tcW w:w="6806" w:type="dxa"/>
          </w:tcPr>
          <w:p>
            <w:pPr>
              <w:pStyle w:val="19"/>
              <w:rPr>
                <w:rFonts w:hint="default"/>
                <w:highlight w:val="none"/>
              </w:rPr>
            </w:pPr>
            <w:r>
              <w:rPr>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016" w:type="dxa"/>
          </w:tcPr>
          <w:p>
            <w:pPr>
              <w:pStyle w:val="19"/>
              <w:jc w:val="center"/>
              <w:rPr>
                <w:rFonts w:hint="default"/>
                <w:highlight w:val="none"/>
              </w:rPr>
            </w:pPr>
            <w:r>
              <w:rPr>
                <w:rFonts w:ascii="宋体" w:hAnsi="宋体" w:cs="宋体"/>
                <w:highlight w:val="none"/>
              </w:rPr>
              <w:t>★</w:t>
            </w: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color w:val="000000"/>
                <w:sz w:val="22"/>
                <w:szCs w:val="22"/>
                <w:highlight w:val="none"/>
              </w:rPr>
              <w:t>1</w:t>
            </w:r>
          </w:p>
        </w:tc>
        <w:tc>
          <w:tcPr>
            <w:tcW w:w="6806" w:type="dxa"/>
          </w:tcPr>
          <w:p>
            <w:pPr>
              <w:pStyle w:val="19"/>
              <w:rPr>
                <w:rFonts w:hint="default"/>
                <w:highlight w:val="none"/>
              </w:rPr>
            </w:pPr>
            <w:r>
              <w:rPr>
                <w:highlight w:val="none"/>
              </w:rPr>
              <w:t>总体要求：</w:t>
            </w:r>
            <w:r>
              <w:rPr>
                <w:rFonts w:ascii="宋体" w:hAnsi="宋体" w:cs="宋体"/>
                <w:highlight w:val="none"/>
              </w:rPr>
              <w:t>★所投</w:t>
            </w:r>
            <w:r>
              <w:rPr>
                <w:rFonts w:ascii="宋体" w:hAnsi="宋体" w:cs="宋体"/>
                <w:highlight w:val="none"/>
                <w:lang w:eastAsia="zh-CN"/>
              </w:rPr>
              <w:t>设备</w:t>
            </w:r>
            <w:r>
              <w:rPr>
                <w:rFonts w:ascii="宋体" w:hAnsi="宋体" w:cs="宋体"/>
                <w:highlight w:val="none"/>
              </w:rPr>
              <w:t>具有有效的医疗器械注册证</w:t>
            </w:r>
            <w:r>
              <w:rPr>
                <w:rFonts w:ascii="宋体" w:hAnsi="宋体" w:cs="宋体"/>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w:t>
            </w:r>
          </w:p>
        </w:tc>
        <w:tc>
          <w:tcPr>
            <w:tcW w:w="6806" w:type="dxa"/>
          </w:tcPr>
          <w:p>
            <w:pPr>
              <w:rPr>
                <w:rFonts w:asciiTheme="majorEastAsia" w:hAnsiTheme="majorEastAsia" w:eastAsiaTheme="majorEastAsia"/>
                <w:sz w:val="20"/>
                <w:szCs w:val="20"/>
                <w:highlight w:val="none"/>
              </w:rPr>
            </w:pPr>
            <w:r>
              <w:rPr>
                <w:rFonts w:hint="eastAsia" w:asciiTheme="majorEastAsia" w:hAnsiTheme="majorEastAsia" w:eastAsiaTheme="majorEastAsia"/>
                <w:sz w:val="20"/>
                <w:szCs w:val="20"/>
                <w:highlight w:val="none"/>
              </w:rPr>
              <w:t>一</w:t>
            </w:r>
            <w:r>
              <w:rPr>
                <w:rFonts w:asciiTheme="majorEastAsia" w:hAnsiTheme="majorEastAsia" w:eastAsiaTheme="majorEastAsia"/>
                <w:sz w:val="20"/>
                <w:szCs w:val="20"/>
                <w:highlight w:val="none"/>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1、数字式心电图机，支持12导心电图同步采集；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4</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2、支持12导心电+心向量同步采集；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5</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3、心电图机一体化平板设计，采集仪模块内置；主机全触控操作，无物理硬按键；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6</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4、显示屏幕：≥9寸声控彩色触摸液晶屏，同屏显示12导联心电波形；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7</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5、支持智能操作系统，可远程更新升级；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r>
              <w:rPr>
                <w:rFonts w:cs="Arial" w:asciiTheme="majorEastAsia" w:hAnsiTheme="majorEastAsia" w:eastAsiaTheme="majorEastAsia"/>
                <w:sz w:val="20"/>
                <w:szCs w:val="20"/>
                <w:highlight w:val="none"/>
              </w:rPr>
              <w:t>▲</w:t>
            </w: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8</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6、</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心电图主机支持内置4G功能；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9</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7、心电图主机支持2.4GHz/5GHz双频段无线Wi-Fi；</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10</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8、输入阻抗：≥50MΩ；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r>
              <w:rPr>
                <w:rFonts w:cs="Arial" w:asciiTheme="majorEastAsia" w:hAnsiTheme="majorEastAsia" w:eastAsiaTheme="majorEastAsia"/>
                <w:sz w:val="20"/>
                <w:szCs w:val="20"/>
                <w:highlight w:val="none"/>
              </w:rPr>
              <w:t>▲</w:t>
            </w: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11</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9、</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内部噪声：≤10μVP-P；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r>
              <w:rPr>
                <w:rFonts w:cs="Arial" w:asciiTheme="majorEastAsia" w:hAnsiTheme="majorEastAsia" w:eastAsiaTheme="majorEastAsia"/>
                <w:sz w:val="20"/>
                <w:szCs w:val="20"/>
                <w:highlight w:val="none"/>
              </w:rPr>
              <w:t>▲</w:t>
            </w: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12</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10、</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定标电压：1mV±1%；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13</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11、共模抑制比：＞125dB（默认交流滤波关闭）；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14</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12、抗极化电压：≥±600mV；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15</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13、灵敏度选择：1.25，2.5，5，10，20，40  ±2%，</w:t>
            </w:r>
            <w:r>
              <w:rPr>
                <w:rFonts w:hint="eastAsia"/>
                <w:highlight w:val="none"/>
              </w:rPr>
              <w:t>至少</w:t>
            </w:r>
            <w:r>
              <w:rPr>
                <w:highlight w:val="none"/>
              </w:rPr>
              <w:t>六档可调</w:t>
            </w:r>
            <w:r>
              <w:rPr>
                <w:rFonts w:asciiTheme="majorEastAsia" w:hAnsiTheme="majorEastAsia" w:eastAsiaTheme="majorEastAsia"/>
                <w:sz w:val="20"/>
                <w:szCs w:val="20"/>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16</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14、频响范围：0.01-350Hz全频滤波；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17</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15、时间常数：≥</w:t>
            </w:r>
            <w:r>
              <w:rPr>
                <w:rFonts w:hint="eastAsia" w:ascii="宋体" w:hAnsi="宋体" w:eastAsia="宋体" w:cs="宋体"/>
                <w:highlight w:val="none"/>
              </w:rPr>
              <w:t>3</w:t>
            </w:r>
            <w:r>
              <w:rPr>
                <w:rFonts w:asciiTheme="majorEastAsia" w:hAnsiTheme="majorEastAsia" w:eastAsiaTheme="majorEastAsia"/>
                <w:sz w:val="20"/>
                <w:szCs w:val="20"/>
                <w:highlight w:val="none"/>
              </w:rPr>
              <w:t>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18</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16、</w:t>
            </w:r>
            <w:r>
              <w:rPr>
                <w:highlight w:val="none"/>
              </w:rPr>
              <w:t>内置</w:t>
            </w:r>
            <w:r>
              <w:rPr>
                <w:rFonts w:hint="eastAsia"/>
                <w:highlight w:val="none"/>
              </w:rPr>
              <w:t>配套</w:t>
            </w:r>
            <w:r>
              <w:rPr>
                <w:highlight w:val="none"/>
              </w:rPr>
              <w:t>热敏专用打印</w:t>
            </w:r>
            <w:r>
              <w:rPr>
                <w:rFonts w:hint="eastAsia"/>
                <w:highlight w:val="none"/>
              </w:rPr>
              <w:t>设备</w:t>
            </w:r>
            <w:r>
              <w:rPr>
                <w:rFonts w:asciiTheme="majorEastAsia" w:hAnsiTheme="majorEastAsia" w:eastAsiaTheme="majorEastAsia"/>
                <w:sz w:val="20"/>
                <w:szCs w:val="20"/>
                <w:highlight w:val="none"/>
              </w:rPr>
              <w:t>，支持报告自动打印；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19</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17、支持智能胸导联减半打印功能；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20</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18、支持NFC识别功能；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21</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19、支持GPS定位功能；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22</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20、QTc参数测量：内置6种</w:t>
            </w:r>
            <w:r>
              <w:rPr>
                <w:rFonts w:hint="eastAsia" w:asciiTheme="majorEastAsia" w:hAnsiTheme="majorEastAsia" w:eastAsiaTheme="majorEastAsia"/>
                <w:sz w:val="20"/>
                <w:szCs w:val="20"/>
                <w:highlight w:val="none"/>
                <w:lang w:eastAsia="zh-CN"/>
              </w:rPr>
              <w:t>或</w:t>
            </w:r>
            <w:r>
              <w:rPr>
                <w:rFonts w:asciiTheme="majorEastAsia" w:hAnsiTheme="majorEastAsia" w:eastAsiaTheme="majorEastAsia"/>
                <w:sz w:val="20"/>
                <w:szCs w:val="20"/>
                <w:highlight w:val="none"/>
              </w:rPr>
              <w:t>以上测量算法，QTc计算方法可通过系统设置调阅并设置；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23</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21、心电图机支持批量下载预约记录功能，并支持待检查列表显示，列表应包含检查姓名、性别、年龄等信息；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24</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22、心电图机支持本地报告进行同屏对比；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25</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23、具备全导联起搏检测，准确识别起搏信号；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26</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24、对于危急值检查数据，支持优先诊断功能，以提醒诊断中心优先诊断；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27</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25、心电图机支持导联脱落、伪差、左右手接反、无法识别、心律失常波形的自动检测和提示功能；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28</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26、支持消息实时提醒功能，如危急报告提醒、诊断退回提醒、导联纠错提醒、诊断完成提醒；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29</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27、支持V5R、V3R、V1、V3、V5、V7儿童模式心电图采集；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30</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28、诊断语言：支持中/英文切换，支持诊断结论中部分信息进行词条关联修改功能；（</w:t>
            </w:r>
            <w:r>
              <w:rPr>
                <w:rFonts w:hint="eastAsia"/>
                <w:highlight w:val="none"/>
              </w:rPr>
              <w:t>提供证明材料</w:t>
            </w:r>
            <w:r>
              <w:rPr>
                <w:rFonts w:asciiTheme="majorEastAsia" w:hAnsiTheme="majorEastAsia" w:eastAsiaTheme="majorEastAsia"/>
                <w:sz w:val="20"/>
                <w:szCs w:val="20"/>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31</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29、内置可充电锂离子电池，电池容量不低于5000mAh；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32</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30、支持持续工作时间≥8小时；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33</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31、存储量：支持至少100000份心电数据存储；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34</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32、记录测值</w:t>
            </w:r>
            <w:r>
              <w:rPr>
                <w:highlight w:val="none"/>
              </w:rPr>
              <w:t>包含但不限于</w:t>
            </w:r>
            <w:r>
              <w:rPr>
                <w:rFonts w:asciiTheme="majorEastAsia" w:hAnsiTheme="majorEastAsia" w:eastAsiaTheme="majorEastAsia"/>
                <w:sz w:val="20"/>
                <w:szCs w:val="20"/>
                <w:highlight w:val="none"/>
              </w:rPr>
              <w:t>：心率、电轴、P波时限、P-R间期、QRS时限、Q-T间期、QTc、T波、Rv5、Sv1等；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r>
              <w:rPr>
                <w:rFonts w:cs="Arial" w:asciiTheme="majorEastAsia" w:hAnsiTheme="majorEastAsia" w:eastAsiaTheme="majorEastAsia"/>
                <w:sz w:val="20"/>
                <w:szCs w:val="20"/>
                <w:highlight w:val="none"/>
              </w:rPr>
              <w:t>▲</w:t>
            </w: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35</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33、</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支持在采集端将心电图原始数据生成二维码，并通过手机端微信分享形式将心电图原始波形从内网传输至外网，物理隔离保障网络安全，可应对因网络异常、系统异常导致心电图无法上传至心电诊断中心等情况；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36</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34、支持阿托品试验采集及处理流程；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37</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35、支持任意心搏放大、单导联图谱漂移功能、全屏图谱漂移功能；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38</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36、支持梯形图解标记心电图数据；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39</w:t>
            </w:r>
          </w:p>
        </w:tc>
        <w:tc>
          <w:tcPr>
            <w:tcW w:w="6806"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37、支持心电事件、起搏心电、晚电位功能。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r>
              <w:rPr>
                <w:rFonts w:cs="Arial" w:asciiTheme="majorEastAsia" w:hAnsiTheme="majorEastAsia" w:eastAsiaTheme="majorEastAsia"/>
                <w:sz w:val="20"/>
                <w:szCs w:val="20"/>
                <w:highlight w:val="none"/>
              </w:rPr>
              <w:t>▲</w:t>
            </w: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40</w:t>
            </w:r>
          </w:p>
        </w:tc>
        <w:tc>
          <w:tcPr>
            <w:tcW w:w="6806" w:type="dxa"/>
          </w:tcPr>
          <w:p>
            <w:pPr>
              <w:rPr>
                <w:rFonts w:asciiTheme="majorEastAsia" w:hAnsiTheme="majorEastAsia" w:eastAsiaTheme="majorEastAsia"/>
                <w:sz w:val="20"/>
                <w:szCs w:val="20"/>
                <w:highlight w:val="none"/>
              </w:rPr>
            </w:pPr>
            <w:r>
              <w:rPr>
                <w:rFonts w:hint="eastAsia" w:asciiTheme="majorEastAsia" w:hAnsiTheme="majorEastAsia" w:eastAsiaTheme="majorEastAsia"/>
                <w:sz w:val="20"/>
                <w:szCs w:val="20"/>
                <w:highlight w:val="none"/>
              </w:rPr>
              <w:t>二</w:t>
            </w:r>
            <w:r>
              <w:rPr>
                <w:rFonts w:asciiTheme="majorEastAsia" w:hAnsiTheme="majorEastAsia" w:eastAsiaTheme="majorEastAsia"/>
                <w:sz w:val="20"/>
                <w:szCs w:val="20"/>
                <w:highlight w:val="none"/>
              </w:rPr>
              <w:t>、</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配套要求</w:t>
            </w:r>
          </w:p>
          <w:p>
            <w:pPr>
              <w:pStyle w:val="6"/>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所供应的设备及软件能与医院现有心电系统</w:t>
            </w:r>
            <w:r>
              <w:rPr>
                <w:rFonts w:hint="eastAsia" w:asciiTheme="majorEastAsia" w:hAnsiTheme="majorEastAsia" w:eastAsiaTheme="majorEastAsia"/>
                <w:sz w:val="20"/>
                <w:szCs w:val="20"/>
                <w:highlight w:val="none"/>
                <w:lang w:eastAsia="zh-CN"/>
              </w:rPr>
              <w:t>（</w:t>
            </w:r>
            <w:r>
              <w:rPr>
                <w:rFonts w:hint="eastAsia"/>
                <w:highlight w:val="none"/>
              </w:rPr>
              <w:t>纳龙健康</w:t>
            </w:r>
            <w:r>
              <w:rPr>
                <w:rFonts w:hint="eastAsia"/>
                <w:highlight w:val="none"/>
                <w:lang w:val="en-US" w:eastAsia="zh-CN"/>
              </w:rPr>
              <w:t xml:space="preserve"> </w:t>
            </w:r>
            <w:r>
              <w:rPr>
                <w:rFonts w:hint="eastAsia"/>
                <w:highlight w:val="none"/>
              </w:rPr>
              <w:t>aECG—net</w:t>
            </w:r>
            <w:r>
              <w:rPr>
                <w:rFonts w:hint="eastAsia" w:asciiTheme="majorEastAsia" w:hAnsiTheme="majorEastAsia" w:eastAsiaTheme="majorEastAsia"/>
                <w:sz w:val="20"/>
                <w:szCs w:val="20"/>
                <w:highlight w:val="none"/>
                <w:lang w:eastAsia="zh-CN"/>
              </w:rPr>
              <w:t>）</w:t>
            </w:r>
            <w:r>
              <w:rPr>
                <w:rFonts w:asciiTheme="majorEastAsia" w:hAnsiTheme="majorEastAsia" w:eastAsiaTheme="majorEastAsia"/>
                <w:sz w:val="20"/>
                <w:szCs w:val="20"/>
                <w:highlight w:val="none"/>
              </w:rPr>
              <w:t>对接，并承担所有对接工作及所需费用，若不能对接，配置清单中需提供心电系统，并承担对接工作及费用</w:t>
            </w:r>
            <w:r>
              <w:rPr>
                <w:rFonts w:hint="eastAsia"/>
                <w:highlight w:val="none"/>
              </w:rPr>
              <w:t>（</w:t>
            </w:r>
            <w:r>
              <w:rPr>
                <w:rFonts w:hint="eastAsia"/>
                <w:highlight w:val="none"/>
                <w:lang w:eastAsia="zh-CN"/>
              </w:rPr>
              <w:t>提供承诺函</w:t>
            </w:r>
            <w:r>
              <w:rPr>
                <w:rFonts w:hint="eastAsia"/>
                <w:highlight w:val="none"/>
              </w:rPr>
              <w:t>）</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41</w:t>
            </w:r>
          </w:p>
        </w:tc>
        <w:tc>
          <w:tcPr>
            <w:tcW w:w="6806" w:type="dxa"/>
          </w:tcPr>
          <w:p>
            <w:pPr>
              <w:rPr>
                <w:rFonts w:asciiTheme="majorEastAsia" w:hAnsiTheme="majorEastAsia" w:eastAsiaTheme="majorEastAsia"/>
                <w:sz w:val="20"/>
                <w:szCs w:val="20"/>
                <w:highlight w:val="none"/>
              </w:rPr>
            </w:pPr>
            <w:r>
              <w:rPr>
                <w:rFonts w:hint="eastAsia" w:asciiTheme="majorEastAsia" w:hAnsiTheme="majorEastAsia" w:eastAsiaTheme="majorEastAsia"/>
                <w:sz w:val="20"/>
                <w:szCs w:val="20"/>
                <w:highlight w:val="none"/>
              </w:rPr>
              <w:t>三</w:t>
            </w:r>
            <w:r>
              <w:rPr>
                <w:rFonts w:asciiTheme="majorEastAsia" w:hAnsiTheme="majorEastAsia" w:eastAsiaTheme="majorEastAsia"/>
                <w:sz w:val="20"/>
                <w:szCs w:val="20"/>
                <w:highlight w:val="none"/>
              </w:rPr>
              <w:t>、服务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42</w:t>
            </w:r>
          </w:p>
        </w:tc>
        <w:tc>
          <w:tcPr>
            <w:tcW w:w="6806"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1、设备质保期：≥5年</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43</w:t>
            </w:r>
          </w:p>
        </w:tc>
        <w:tc>
          <w:tcPr>
            <w:tcW w:w="6806"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2、供应商需负责维保期内设备所需的物联网卡及网络流量费用</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44</w:t>
            </w:r>
          </w:p>
        </w:tc>
        <w:tc>
          <w:tcPr>
            <w:tcW w:w="6806"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3、维保期内设备免费升级</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jc w:val="center"/>
              <w:rPr>
                <w:highlight w:val="none"/>
              </w:rPr>
            </w:pPr>
          </w:p>
        </w:tc>
        <w:tc>
          <w:tcPr>
            <w:tcW w:w="798"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45</w:t>
            </w:r>
          </w:p>
        </w:tc>
        <w:tc>
          <w:tcPr>
            <w:tcW w:w="6806"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4、负责培训设备操作人员，并培训1-2名负责此设备维护、维修的工程师</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dxa"/>
          </w:tcPr>
          <w:p>
            <w:pPr>
              <w:pStyle w:val="19"/>
              <w:jc w:val="center"/>
              <w:rPr>
                <w:rFonts w:hint="default"/>
                <w:highlight w:val="none"/>
              </w:rPr>
            </w:pPr>
            <w:r>
              <w:rPr>
                <w:highlight w:val="none"/>
              </w:rPr>
              <w:t>说明</w:t>
            </w:r>
          </w:p>
        </w:tc>
        <w:tc>
          <w:tcPr>
            <w:tcW w:w="7604" w:type="dxa"/>
            <w:gridSpan w:val="2"/>
          </w:tcPr>
          <w:p>
            <w:pPr>
              <w:pStyle w:val="19"/>
              <w:rPr>
                <w:rFonts w:hint="default"/>
                <w:highlight w:val="none"/>
              </w:rPr>
            </w:pPr>
            <w:r>
              <w:rPr>
                <w:highlight w:val="none"/>
              </w:rPr>
              <w:t xml:space="preserve"> 打“★”号条款为实质性条款，若有任何一条负偏离或不满足则导致投标无效。 </w:t>
            </w:r>
            <w:r>
              <w:rPr>
                <w:highlight w:val="none"/>
              </w:rPr>
              <w:br w:type="textWrapping"/>
            </w:r>
            <w:r>
              <w:rPr>
                <w:highlight w:val="none"/>
              </w:rPr>
              <w:t>打“▲”号条款为重要技术参数，若有部分“▲”条款未响应或不满足，不作为无效投标条款。</w:t>
            </w:r>
          </w:p>
        </w:tc>
      </w:tr>
    </w:tbl>
    <w:p>
      <w:pPr>
        <w:pStyle w:val="19"/>
        <w:rPr>
          <w:rFonts w:hint="default"/>
          <w:highlight w:val="none"/>
          <w:lang w:eastAsia="zh-CN"/>
        </w:rPr>
      </w:pPr>
    </w:p>
    <w:p>
      <w:pPr>
        <w:pStyle w:val="19"/>
        <w:rPr>
          <w:rFonts w:hint="default"/>
          <w:highlight w:val="none"/>
          <w:lang w:eastAsia="zh-CN"/>
        </w:rPr>
      </w:pPr>
      <w:r>
        <w:rPr>
          <w:b/>
          <w:highlight w:val="none"/>
        </w:rPr>
        <w:t>附表</w:t>
      </w:r>
      <w:r>
        <w:rPr>
          <w:b/>
          <w:highlight w:val="none"/>
          <w:lang w:eastAsia="zh-CN"/>
        </w:rPr>
        <w:t>三</w:t>
      </w:r>
      <w:r>
        <w:rPr>
          <w:b/>
          <w:highlight w:val="none"/>
        </w:rPr>
        <w:t>：18导数字心电图机</w:t>
      </w:r>
    </w:p>
    <w:tbl>
      <w:tblPr>
        <w:tblStyle w:val="1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
        <w:gridCol w:w="798"/>
        <w:gridCol w:w="68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9"/>
              <w:jc w:val="center"/>
              <w:rPr>
                <w:rFonts w:hint="default"/>
                <w:highlight w:val="none"/>
              </w:rPr>
            </w:pPr>
            <w:r>
              <w:rPr>
                <w:highlight w:val="none"/>
              </w:rPr>
              <w:t>参数性质</w:t>
            </w:r>
          </w:p>
        </w:tc>
        <w:tc>
          <w:tcPr>
            <w:tcW w:w="851" w:type="dxa"/>
            <w:vAlign w:val="center"/>
          </w:tcPr>
          <w:p>
            <w:pPr>
              <w:pStyle w:val="19"/>
              <w:jc w:val="center"/>
              <w:rPr>
                <w:rFonts w:hint="default"/>
                <w:highlight w:val="none"/>
              </w:rPr>
            </w:pPr>
            <w:r>
              <w:rPr>
                <w:highlight w:val="none"/>
              </w:rPr>
              <w:t>序号</w:t>
            </w:r>
          </w:p>
        </w:tc>
        <w:tc>
          <w:tcPr>
            <w:tcW w:w="7594" w:type="dxa"/>
            <w:vAlign w:val="center"/>
          </w:tcPr>
          <w:p>
            <w:pPr>
              <w:pStyle w:val="19"/>
              <w:jc w:val="center"/>
              <w:rPr>
                <w:rFonts w:hint="default"/>
                <w:highlight w:val="none"/>
              </w:rPr>
            </w:pPr>
            <w:r>
              <w:rPr>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pStyle w:val="19"/>
              <w:jc w:val="center"/>
              <w:rPr>
                <w:rFonts w:hint="default"/>
                <w:highlight w:val="none"/>
              </w:rPr>
            </w:pPr>
            <w:r>
              <w:rPr>
                <w:rFonts w:ascii="宋体" w:hAnsi="宋体" w:cs="宋体"/>
                <w:highlight w:val="none"/>
              </w:rPr>
              <w:t>★</w:t>
            </w:r>
          </w:p>
        </w:tc>
        <w:tc>
          <w:tcPr>
            <w:tcW w:w="851" w:type="dxa"/>
            <w:vAlign w:val="center"/>
          </w:tcPr>
          <w:p>
            <w:pPr>
              <w:jc w:val="center"/>
              <w:rPr>
                <w:rFonts w:cs="宋体" w:asciiTheme="majorEastAsia" w:hAnsiTheme="majorEastAsia" w:eastAsiaTheme="majorEastAsia"/>
                <w:color w:val="000000"/>
                <w:sz w:val="22"/>
                <w:szCs w:val="22"/>
                <w:highlight w:val="none"/>
              </w:rPr>
            </w:pPr>
            <w:r>
              <w:rPr>
                <w:rFonts w:hint="eastAsia"/>
                <w:color w:val="000000"/>
                <w:sz w:val="22"/>
                <w:szCs w:val="22"/>
                <w:highlight w:val="none"/>
              </w:rPr>
              <w:t>1</w:t>
            </w:r>
          </w:p>
        </w:tc>
        <w:tc>
          <w:tcPr>
            <w:tcW w:w="7594" w:type="dxa"/>
          </w:tcPr>
          <w:p>
            <w:pPr>
              <w:pStyle w:val="19"/>
              <w:rPr>
                <w:rFonts w:hint="default"/>
                <w:highlight w:val="none"/>
              </w:rPr>
            </w:pPr>
            <w:r>
              <w:rPr>
                <w:highlight w:val="none"/>
              </w:rPr>
              <w:t>总体要求：</w:t>
            </w:r>
            <w:r>
              <w:rPr>
                <w:rFonts w:ascii="宋体" w:hAnsi="宋体" w:cs="宋体"/>
                <w:highlight w:val="none"/>
              </w:rPr>
              <w:t>★所投</w:t>
            </w:r>
            <w:r>
              <w:rPr>
                <w:rFonts w:ascii="宋体" w:hAnsi="宋体" w:cs="宋体"/>
                <w:highlight w:val="none"/>
                <w:lang w:eastAsia="zh-CN"/>
              </w:rPr>
              <w:t>设备</w:t>
            </w:r>
            <w:r>
              <w:rPr>
                <w:rFonts w:ascii="宋体" w:hAnsi="宋体" w:cs="宋体"/>
                <w:highlight w:val="none"/>
              </w:rPr>
              <w:t>具有有效的医疗器械注册证</w:t>
            </w:r>
            <w:r>
              <w:rPr>
                <w:rFonts w:ascii="宋体" w:hAnsi="宋体" w:cs="宋体"/>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jc w:val="center"/>
              <w:rPr>
                <w:highlight w:val="none"/>
              </w:rPr>
            </w:pPr>
          </w:p>
        </w:tc>
        <w:tc>
          <w:tcPr>
            <w:tcW w:w="851"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2</w:t>
            </w:r>
          </w:p>
        </w:tc>
        <w:tc>
          <w:tcPr>
            <w:tcW w:w="7594" w:type="dxa"/>
          </w:tcPr>
          <w:p>
            <w:pPr>
              <w:rPr>
                <w:rFonts w:asciiTheme="majorEastAsia" w:hAnsiTheme="majorEastAsia" w:eastAsiaTheme="majorEastAsia"/>
                <w:sz w:val="20"/>
                <w:szCs w:val="20"/>
                <w:highlight w:val="none"/>
              </w:rPr>
            </w:pPr>
            <w:r>
              <w:rPr>
                <w:rFonts w:hint="eastAsia" w:asciiTheme="majorEastAsia" w:hAnsiTheme="majorEastAsia" w:eastAsiaTheme="majorEastAsia"/>
                <w:sz w:val="20"/>
                <w:szCs w:val="20"/>
                <w:highlight w:val="none"/>
              </w:rPr>
              <w:t>一</w:t>
            </w:r>
            <w:r>
              <w:rPr>
                <w:rFonts w:asciiTheme="majorEastAsia" w:hAnsiTheme="majorEastAsia" w:eastAsiaTheme="majorEastAsia"/>
                <w:sz w:val="20"/>
                <w:szCs w:val="20"/>
                <w:highlight w:val="none"/>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jc w:val="center"/>
              <w:rPr>
                <w:highlight w:val="none"/>
              </w:rPr>
            </w:pPr>
          </w:p>
        </w:tc>
        <w:tc>
          <w:tcPr>
            <w:tcW w:w="851" w:type="dxa"/>
            <w:vAlign w:val="center"/>
          </w:tcPr>
          <w:p>
            <w:pPr>
              <w:jc w:val="center"/>
              <w:rPr>
                <w:rFonts w:cs="宋体" w:asciiTheme="majorEastAsia" w:hAnsiTheme="majorEastAsia" w:eastAsiaTheme="majorEastAsia"/>
                <w:color w:val="000000"/>
                <w:sz w:val="22"/>
                <w:szCs w:val="22"/>
                <w:highlight w:val="none"/>
              </w:rPr>
            </w:pPr>
            <w:r>
              <w:rPr>
                <w:rFonts w:hint="eastAsia" w:asciiTheme="majorEastAsia" w:hAnsiTheme="majorEastAsia" w:eastAsiaTheme="majorEastAsia"/>
                <w:color w:val="000000"/>
                <w:sz w:val="22"/>
                <w:szCs w:val="22"/>
                <w:highlight w:val="none"/>
              </w:rPr>
              <w:t>3</w:t>
            </w:r>
          </w:p>
        </w:tc>
        <w:tc>
          <w:tcPr>
            <w:tcW w:w="7594"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1、支持18导同步心电图采集，可显示18道、15道、12道、6道、3道、1道波形；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vAlign w:val="center"/>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4</w:t>
            </w:r>
          </w:p>
        </w:tc>
        <w:tc>
          <w:tcPr>
            <w:tcW w:w="7594" w:type="dxa"/>
          </w:tcPr>
          <w:p>
            <w:pPr>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2、心电图机一体化平板设计，采集仪模块内置；主机全触控操作，无物理硬按键；</w:t>
            </w:r>
            <w:r>
              <w:rPr>
                <w:rFonts w:hint="eastAsia" w:asciiTheme="majorEastAsia" w:hAnsiTheme="majorEastAsia" w:eastAsiaTheme="majorEastAsia"/>
                <w:sz w:val="20"/>
                <w:szCs w:val="20"/>
                <w:highlight w:val="none"/>
                <w:lang w:eastAsia="zh-CN"/>
              </w:rPr>
              <w:t>（</w:t>
            </w:r>
            <w:r>
              <w:rPr>
                <w:rFonts w:hint="eastAsia"/>
                <w:highlight w:val="none"/>
              </w:rPr>
              <w:t>提供证明材料</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5</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3、显示屏幕≥10英寸；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6</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4、支持智能操作系统，可远程更新升级；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r>
              <w:rPr>
                <w:rFonts w:cs="Arial" w:asciiTheme="majorEastAsia" w:hAnsiTheme="majorEastAsia" w:eastAsiaTheme="majorEastAsia"/>
                <w:sz w:val="20"/>
                <w:szCs w:val="20"/>
              </w:rPr>
              <w:t>▲</w:t>
            </w: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7</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5、</w:t>
            </w:r>
            <w:r>
              <w:rPr>
                <w:rFonts w:cs="Arial" w:asciiTheme="majorEastAsia" w:hAnsiTheme="majorEastAsia" w:eastAsiaTheme="majorEastAsia"/>
                <w:sz w:val="20"/>
                <w:szCs w:val="20"/>
              </w:rPr>
              <w:t>▲</w:t>
            </w:r>
            <w:r>
              <w:rPr>
                <w:rFonts w:asciiTheme="majorEastAsia" w:hAnsiTheme="majorEastAsia" w:eastAsiaTheme="majorEastAsia"/>
                <w:sz w:val="20"/>
                <w:szCs w:val="20"/>
              </w:rPr>
              <w:t>心电图主机支持内置4G功能；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8</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6、心电图主机支持2.4GHz/5GHz双频段无线Wi-Fi；</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9</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7、输入阻抗：≥50MΩ；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r>
              <w:rPr>
                <w:rFonts w:cs="Arial" w:asciiTheme="majorEastAsia" w:hAnsiTheme="majorEastAsia" w:eastAsiaTheme="majorEastAsia"/>
                <w:sz w:val="20"/>
                <w:szCs w:val="20"/>
              </w:rPr>
              <w:t>▲</w:t>
            </w: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10</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8、</w:t>
            </w:r>
            <w:r>
              <w:rPr>
                <w:rFonts w:cs="Arial" w:asciiTheme="majorEastAsia" w:hAnsiTheme="majorEastAsia" w:eastAsiaTheme="majorEastAsia"/>
                <w:sz w:val="20"/>
                <w:szCs w:val="20"/>
              </w:rPr>
              <w:t>▲</w:t>
            </w:r>
            <w:r>
              <w:rPr>
                <w:rFonts w:asciiTheme="majorEastAsia" w:hAnsiTheme="majorEastAsia" w:eastAsiaTheme="majorEastAsia"/>
                <w:sz w:val="20"/>
                <w:szCs w:val="20"/>
              </w:rPr>
              <w:t>内部噪声：≤15μVP-P；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r>
              <w:rPr>
                <w:rFonts w:cs="Arial" w:asciiTheme="majorEastAsia" w:hAnsiTheme="majorEastAsia" w:eastAsiaTheme="majorEastAsia"/>
                <w:sz w:val="20"/>
                <w:szCs w:val="20"/>
              </w:rPr>
              <w:t>▲</w:t>
            </w: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11</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9、</w:t>
            </w:r>
            <w:r>
              <w:rPr>
                <w:rFonts w:cs="Arial" w:asciiTheme="majorEastAsia" w:hAnsiTheme="majorEastAsia" w:eastAsiaTheme="majorEastAsia"/>
                <w:sz w:val="20"/>
                <w:szCs w:val="20"/>
              </w:rPr>
              <w:t>▲</w:t>
            </w:r>
            <w:r>
              <w:rPr>
                <w:rFonts w:asciiTheme="majorEastAsia" w:hAnsiTheme="majorEastAsia" w:eastAsiaTheme="majorEastAsia"/>
                <w:sz w:val="20"/>
                <w:szCs w:val="20"/>
              </w:rPr>
              <w:t>定标电压：1mV±1%；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12</w:t>
            </w:r>
          </w:p>
        </w:tc>
        <w:tc>
          <w:tcPr>
            <w:tcW w:w="7594"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10、共模抑制比：</w:t>
            </w:r>
            <w:r>
              <w:rPr>
                <w:rFonts w:hint="eastAsia"/>
                <w:highlight w:val="none"/>
              </w:rPr>
              <w:t>≥</w:t>
            </w:r>
            <w:r>
              <w:rPr>
                <w:rFonts w:asciiTheme="majorEastAsia" w:hAnsiTheme="majorEastAsia" w:eastAsiaTheme="majorEastAsia"/>
                <w:sz w:val="20"/>
                <w:szCs w:val="20"/>
                <w:highlight w:val="none"/>
              </w:rPr>
              <w:t>125dB（默认交流滤波关闭）；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13</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11、除颤保护：具有抗除颤电击保护功能；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14</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12、导联线：导联线内附抗除颤电击保护功能，并具有防缠绕设计；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15</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13、耐极化电压：600mV±1%；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16</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14、频响范围：0.01-350Hz全频滤波；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17</w:t>
            </w:r>
          </w:p>
        </w:tc>
        <w:tc>
          <w:tcPr>
            <w:tcW w:w="7594"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15、时间常数：≥</w:t>
            </w:r>
            <w:r>
              <w:rPr>
                <w:rFonts w:hint="eastAsia" w:ascii="宋体" w:hAnsi="宋体" w:eastAsia="宋体" w:cs="宋体"/>
                <w:highlight w:val="none"/>
              </w:rPr>
              <w:t>3</w:t>
            </w:r>
            <w:r>
              <w:rPr>
                <w:rFonts w:asciiTheme="majorEastAsia" w:hAnsiTheme="majorEastAsia" w:eastAsiaTheme="majorEastAsia"/>
                <w:sz w:val="20"/>
                <w:szCs w:val="20"/>
                <w:highlight w:val="none"/>
              </w:rPr>
              <w:t>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18</w:t>
            </w:r>
          </w:p>
        </w:tc>
        <w:tc>
          <w:tcPr>
            <w:tcW w:w="7594"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16、</w:t>
            </w:r>
            <w:r>
              <w:rPr>
                <w:highlight w:val="none"/>
              </w:rPr>
              <w:t>内置热敏专用打印机</w:t>
            </w:r>
            <w:r>
              <w:rPr>
                <w:rFonts w:asciiTheme="majorEastAsia" w:hAnsiTheme="majorEastAsia" w:eastAsiaTheme="majorEastAsia"/>
                <w:sz w:val="20"/>
                <w:szCs w:val="20"/>
                <w:highlight w:val="none"/>
              </w:rPr>
              <w:t>，支持报告自动打印；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19</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17、支持智能胸导联减半打印功能；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20</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18、支持设备内置扫码功能，无需外接扫码枪；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21</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19、支持NFC识别功能；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22</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20、支持GPS定位功能；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23</w:t>
            </w:r>
          </w:p>
        </w:tc>
        <w:tc>
          <w:tcPr>
            <w:tcW w:w="7594" w:type="dxa"/>
          </w:tcPr>
          <w:p>
            <w:pPr>
              <w:rPr>
                <w:rFonts w:asciiTheme="majorEastAsia" w:hAnsiTheme="majorEastAsia" w:eastAsiaTheme="majorEastAsia"/>
                <w:sz w:val="20"/>
                <w:szCs w:val="20"/>
                <w:highlight w:val="none"/>
              </w:rPr>
            </w:pPr>
            <w:r>
              <w:rPr>
                <w:rFonts w:asciiTheme="majorEastAsia" w:hAnsiTheme="majorEastAsia" w:eastAsiaTheme="majorEastAsia"/>
                <w:sz w:val="20"/>
                <w:szCs w:val="20"/>
                <w:highlight w:val="none"/>
              </w:rPr>
              <w:t>21、QTc参数测量：内置6种</w:t>
            </w:r>
            <w:r>
              <w:rPr>
                <w:rFonts w:hint="eastAsia"/>
                <w:highlight w:val="none"/>
              </w:rPr>
              <w:t>或以上</w:t>
            </w:r>
            <w:r>
              <w:rPr>
                <w:rFonts w:asciiTheme="majorEastAsia" w:hAnsiTheme="majorEastAsia" w:eastAsiaTheme="majorEastAsia"/>
                <w:sz w:val="20"/>
                <w:szCs w:val="20"/>
                <w:highlight w:val="none"/>
              </w:rPr>
              <w:t>测量算法，QTc计算方法可通过系统设置调阅并设置；提供QTc算法功能截图证明材料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24</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22、心电图机支持批量下载预约记录功能，并支持待检查列表显示，列表应包含检查姓名、性别、年龄等信息；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1" w:hRule="atLeast"/>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25</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23、心电图机支持本地报告进行同屏对比；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26</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24、对于危急值检查数据，支持优先诊断功能，以提醒诊断中心优先诊断。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27</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25、心电图机支持导联脱落、伪差、左右手接反、无法识别、心律失常波形的自动检测和提示功能；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28</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26、支持消息实时提醒功能，如危急报告提醒、诊断退回提醒、导联纠错提醒、诊断完成提醒；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29</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27、诊断语言：支持中/英文切换，支持诊断结论中部分信息进行词条关联修改功能（提供心电图机该功能截图证明）；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30</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28、内置可充电锂离子电池，电池容量不低于5000mAh；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31</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29、支持持续工作时间≥8小时；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32</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30、存储量：支持至少100000份心电数据存储；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33</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31、支持全导联起搏检测，准确识别起搏信号；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34</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32、记录测值包括：心率、电轴、P波时限、P-R间期、QRS时限、Q-T间期、QTc、T波、Rv5、Sv1等；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r>
              <w:rPr>
                <w:rFonts w:cs="Arial" w:asciiTheme="majorEastAsia" w:hAnsiTheme="majorEastAsia" w:eastAsiaTheme="majorEastAsia"/>
                <w:sz w:val="20"/>
                <w:szCs w:val="20"/>
              </w:rPr>
              <w:t>▲</w:t>
            </w: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35</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33、</w:t>
            </w:r>
            <w:r>
              <w:rPr>
                <w:rFonts w:cs="Arial" w:asciiTheme="majorEastAsia" w:hAnsiTheme="majorEastAsia" w:eastAsiaTheme="majorEastAsia"/>
                <w:sz w:val="20"/>
                <w:szCs w:val="20"/>
              </w:rPr>
              <w:t>▲</w:t>
            </w:r>
            <w:r>
              <w:rPr>
                <w:rFonts w:asciiTheme="majorEastAsia" w:hAnsiTheme="majorEastAsia" w:eastAsiaTheme="majorEastAsia"/>
                <w:sz w:val="20"/>
                <w:szCs w:val="20"/>
              </w:rPr>
              <w:t>支持在采集端将心电图原始数据生成二维码，并通过手机端微信分享形式将心电图原始波形从内网传输至外网，物理隔离保障网络安全，可应对因网络异常、系统异常导致心电图无法上传至心电诊断中心等情况；</w:t>
            </w:r>
            <w:r>
              <w:rPr>
                <w:rFonts w:hint="eastAsia" w:asciiTheme="majorEastAsia" w:hAnsiTheme="majorEastAsia" w:eastAsiaTheme="majorEastAsia"/>
                <w:sz w:val="20"/>
                <w:szCs w:val="20"/>
                <w:lang w:eastAsia="zh-CN"/>
              </w:rPr>
              <w:t>（</w:t>
            </w:r>
            <w:r>
              <w:rPr>
                <w:rFonts w:asciiTheme="majorEastAsia" w:hAnsiTheme="majorEastAsia" w:eastAsiaTheme="majorEastAsia"/>
                <w:sz w:val="20"/>
                <w:szCs w:val="20"/>
              </w:rPr>
              <w:t>需提供软件界面截图证明及承诺函</w:t>
            </w:r>
            <w:r>
              <w:rPr>
                <w:rFonts w:hint="eastAsia" w:asciiTheme="majorEastAsia" w:hAnsiTheme="majorEastAsia" w:eastAsiaTheme="majorEastAsia"/>
                <w:sz w:val="20"/>
                <w:szCs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36</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34、支持阿托品试验采集及处理流程；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37</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35、支持任意心搏放大、单导联图谱漂移功能、全屏图谱漂移功能；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38</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36、支持梯形图解标记心电图数据；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39</w:t>
            </w:r>
          </w:p>
        </w:tc>
        <w:tc>
          <w:tcPr>
            <w:tcW w:w="7594" w:type="dxa"/>
          </w:tcPr>
          <w:p>
            <w:pPr>
              <w:rPr>
                <w:rFonts w:asciiTheme="majorEastAsia" w:hAnsiTheme="majorEastAsia" w:eastAsiaTheme="majorEastAsia"/>
                <w:sz w:val="20"/>
                <w:szCs w:val="20"/>
              </w:rPr>
            </w:pPr>
            <w:r>
              <w:rPr>
                <w:rFonts w:asciiTheme="majorEastAsia" w:hAnsiTheme="majorEastAsia" w:eastAsiaTheme="majorEastAsia"/>
                <w:sz w:val="20"/>
                <w:szCs w:val="20"/>
              </w:rPr>
              <w:t>37、支持心电事件、起搏心电、晚电位功能。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r>
              <w:rPr>
                <w:rFonts w:cs="Arial" w:asciiTheme="majorEastAsia" w:hAnsiTheme="majorEastAsia" w:eastAsiaTheme="majorEastAsia"/>
                <w:sz w:val="20"/>
                <w:szCs w:val="20"/>
              </w:rPr>
              <w:t>▲</w:t>
            </w: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40</w:t>
            </w:r>
          </w:p>
        </w:tc>
        <w:tc>
          <w:tcPr>
            <w:tcW w:w="7594" w:type="dxa"/>
          </w:tcPr>
          <w:p>
            <w:pPr>
              <w:rPr>
                <w:rFonts w:asciiTheme="majorEastAsia" w:hAnsiTheme="majorEastAsia" w:eastAsiaTheme="majorEastAsia"/>
                <w:sz w:val="20"/>
                <w:szCs w:val="20"/>
                <w:highlight w:val="none"/>
              </w:rPr>
            </w:pPr>
            <w:r>
              <w:rPr>
                <w:rFonts w:hint="eastAsia" w:asciiTheme="majorEastAsia" w:hAnsiTheme="majorEastAsia" w:eastAsiaTheme="majorEastAsia"/>
                <w:sz w:val="20"/>
                <w:szCs w:val="20"/>
                <w:highlight w:val="none"/>
              </w:rPr>
              <w:t>二</w:t>
            </w:r>
            <w:r>
              <w:rPr>
                <w:rFonts w:asciiTheme="majorEastAsia" w:hAnsiTheme="majorEastAsia" w:eastAsiaTheme="majorEastAsia"/>
                <w:sz w:val="20"/>
                <w:szCs w:val="20"/>
                <w:highlight w:val="none"/>
              </w:rPr>
              <w:t>、</w:t>
            </w:r>
            <w:r>
              <w:rPr>
                <w:rFonts w:cs="Arial" w:asciiTheme="majorEastAsia" w:hAnsiTheme="majorEastAsia" w:eastAsiaTheme="majorEastAsia"/>
                <w:sz w:val="20"/>
                <w:szCs w:val="20"/>
                <w:highlight w:val="none"/>
              </w:rPr>
              <w:t>▲</w:t>
            </w:r>
            <w:r>
              <w:rPr>
                <w:rFonts w:asciiTheme="majorEastAsia" w:hAnsiTheme="majorEastAsia" w:eastAsiaTheme="majorEastAsia"/>
                <w:sz w:val="20"/>
                <w:szCs w:val="20"/>
                <w:highlight w:val="none"/>
              </w:rPr>
              <w:t>配套要求：</w:t>
            </w:r>
          </w:p>
          <w:p>
            <w:pPr>
              <w:pStyle w:val="6"/>
              <w:rPr>
                <w:rFonts w:hint="eastAsia" w:asciiTheme="majorEastAsia" w:hAnsiTheme="majorEastAsia" w:eastAsiaTheme="majorEastAsia"/>
                <w:sz w:val="20"/>
                <w:szCs w:val="20"/>
                <w:highlight w:val="none"/>
                <w:lang w:eastAsia="zh-CN"/>
              </w:rPr>
            </w:pPr>
            <w:r>
              <w:rPr>
                <w:rFonts w:asciiTheme="majorEastAsia" w:hAnsiTheme="majorEastAsia" w:eastAsiaTheme="majorEastAsia"/>
                <w:sz w:val="20"/>
                <w:szCs w:val="20"/>
                <w:highlight w:val="none"/>
              </w:rPr>
              <w:t>所供应的设备及软件能与医院现有心电系统</w:t>
            </w:r>
            <w:r>
              <w:rPr>
                <w:rFonts w:hint="eastAsia" w:asciiTheme="majorEastAsia" w:hAnsiTheme="majorEastAsia" w:eastAsiaTheme="majorEastAsia"/>
                <w:sz w:val="20"/>
                <w:szCs w:val="20"/>
                <w:highlight w:val="none"/>
                <w:lang w:eastAsia="zh-CN"/>
              </w:rPr>
              <w:t>（</w:t>
            </w:r>
            <w:r>
              <w:rPr>
                <w:rFonts w:hint="eastAsia"/>
                <w:highlight w:val="none"/>
              </w:rPr>
              <w:t>纳龙健康</w:t>
            </w:r>
            <w:r>
              <w:rPr>
                <w:rFonts w:hint="eastAsia"/>
                <w:highlight w:val="none"/>
                <w:lang w:val="en-US" w:eastAsia="zh-CN"/>
              </w:rPr>
              <w:t xml:space="preserve"> </w:t>
            </w:r>
            <w:r>
              <w:rPr>
                <w:rFonts w:hint="eastAsia"/>
                <w:highlight w:val="none"/>
              </w:rPr>
              <w:t>aECG—net</w:t>
            </w:r>
            <w:r>
              <w:rPr>
                <w:rFonts w:hint="eastAsia" w:asciiTheme="majorEastAsia" w:hAnsiTheme="majorEastAsia" w:eastAsiaTheme="majorEastAsia"/>
                <w:sz w:val="20"/>
                <w:szCs w:val="20"/>
                <w:highlight w:val="none"/>
                <w:lang w:eastAsia="zh-CN"/>
              </w:rPr>
              <w:t>）</w:t>
            </w:r>
            <w:r>
              <w:rPr>
                <w:rFonts w:asciiTheme="majorEastAsia" w:hAnsiTheme="majorEastAsia" w:eastAsiaTheme="majorEastAsia"/>
                <w:sz w:val="20"/>
                <w:szCs w:val="20"/>
                <w:highlight w:val="none"/>
              </w:rPr>
              <w:t>对接，并承担所有对接工作及所需费用，若不能对接，配置清单中需提供心电系统，并承担对接工作及费用</w:t>
            </w:r>
            <w:r>
              <w:rPr>
                <w:rFonts w:hint="eastAsia"/>
                <w:highlight w:val="none"/>
              </w:rPr>
              <w:t>（</w:t>
            </w:r>
            <w:r>
              <w:rPr>
                <w:rFonts w:hint="eastAsia"/>
                <w:highlight w:val="none"/>
                <w:lang w:eastAsia="zh-CN"/>
              </w:rPr>
              <w:t>提供承诺函</w:t>
            </w:r>
            <w:r>
              <w:rPr>
                <w:rFonts w:hint="eastAsia"/>
                <w:highlight w:val="none"/>
              </w:rPr>
              <w:t>）</w:t>
            </w:r>
            <w:r>
              <w:rPr>
                <w:rFonts w:hint="eastAsia" w:asciiTheme="majorEastAsia" w:hAnsiTheme="majorEastAsia" w:eastAsiaTheme="majorEastAsia"/>
                <w:sz w:val="20"/>
                <w:szCs w:val="20"/>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41</w:t>
            </w:r>
          </w:p>
        </w:tc>
        <w:tc>
          <w:tcPr>
            <w:tcW w:w="7594" w:type="dxa"/>
          </w:tcPr>
          <w:p>
            <w:pPr>
              <w:rPr>
                <w:rFonts w:asciiTheme="majorEastAsia" w:hAnsiTheme="majorEastAsia" w:eastAsiaTheme="majorEastAsia"/>
                <w:sz w:val="20"/>
                <w:szCs w:val="20"/>
              </w:rPr>
            </w:pPr>
            <w:r>
              <w:rPr>
                <w:rFonts w:hint="eastAsia" w:asciiTheme="majorEastAsia" w:hAnsiTheme="majorEastAsia" w:eastAsiaTheme="majorEastAsia"/>
                <w:sz w:val="20"/>
                <w:szCs w:val="20"/>
              </w:rPr>
              <w:t>三</w:t>
            </w:r>
            <w:r>
              <w:rPr>
                <w:rFonts w:asciiTheme="majorEastAsia" w:hAnsiTheme="majorEastAsia" w:eastAsiaTheme="majorEastAsia"/>
                <w:sz w:val="20"/>
                <w:szCs w:val="20"/>
              </w:rPr>
              <w:t>、服务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42</w:t>
            </w:r>
          </w:p>
        </w:tc>
        <w:tc>
          <w:tcPr>
            <w:tcW w:w="7594" w:type="dxa"/>
          </w:tcPr>
          <w:p>
            <w:pPr>
              <w:rPr>
                <w:rFonts w:hint="eastAsia" w:asciiTheme="majorEastAsia" w:hAnsiTheme="majorEastAsia" w:eastAsiaTheme="majorEastAsia"/>
                <w:sz w:val="20"/>
                <w:szCs w:val="20"/>
                <w:lang w:eastAsia="zh-CN"/>
              </w:rPr>
            </w:pPr>
            <w:r>
              <w:rPr>
                <w:rFonts w:asciiTheme="majorEastAsia" w:hAnsiTheme="majorEastAsia" w:eastAsiaTheme="majorEastAsia"/>
                <w:sz w:val="20"/>
                <w:szCs w:val="20"/>
              </w:rPr>
              <w:t>1、设备质保期：≥5年</w:t>
            </w:r>
            <w:r>
              <w:rPr>
                <w:rFonts w:hint="eastAsia" w:asciiTheme="majorEastAsia" w:hAnsiTheme="majorEastAsia" w:eastAsiaTheme="majorEastAsia"/>
                <w:sz w:val="20"/>
                <w:szCs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43</w:t>
            </w:r>
          </w:p>
        </w:tc>
        <w:tc>
          <w:tcPr>
            <w:tcW w:w="7594" w:type="dxa"/>
          </w:tcPr>
          <w:p>
            <w:pPr>
              <w:rPr>
                <w:rFonts w:hint="eastAsia" w:asciiTheme="majorEastAsia" w:hAnsiTheme="majorEastAsia" w:eastAsiaTheme="majorEastAsia"/>
                <w:sz w:val="20"/>
                <w:szCs w:val="20"/>
                <w:lang w:eastAsia="zh-CN"/>
              </w:rPr>
            </w:pPr>
            <w:r>
              <w:rPr>
                <w:rFonts w:asciiTheme="majorEastAsia" w:hAnsiTheme="majorEastAsia" w:eastAsiaTheme="majorEastAsia"/>
                <w:sz w:val="20"/>
                <w:szCs w:val="20"/>
              </w:rPr>
              <w:t>2、供应商需负责维保期内设备所需的物联网卡及网络流量费用</w:t>
            </w:r>
            <w:r>
              <w:rPr>
                <w:rFonts w:hint="eastAsia" w:asciiTheme="majorEastAsia" w:hAnsiTheme="majorEastAsia" w:eastAsiaTheme="majorEastAsia"/>
                <w:sz w:val="20"/>
                <w:szCs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44</w:t>
            </w:r>
          </w:p>
        </w:tc>
        <w:tc>
          <w:tcPr>
            <w:tcW w:w="7594" w:type="dxa"/>
          </w:tcPr>
          <w:p>
            <w:pPr>
              <w:rPr>
                <w:rFonts w:hint="eastAsia" w:asciiTheme="majorEastAsia" w:hAnsiTheme="majorEastAsia" w:eastAsiaTheme="majorEastAsia"/>
                <w:sz w:val="20"/>
                <w:szCs w:val="20"/>
                <w:lang w:eastAsia="zh-CN"/>
              </w:rPr>
            </w:pPr>
            <w:r>
              <w:rPr>
                <w:rFonts w:asciiTheme="majorEastAsia" w:hAnsiTheme="majorEastAsia" w:eastAsiaTheme="majorEastAsia"/>
                <w:sz w:val="20"/>
                <w:szCs w:val="20"/>
              </w:rPr>
              <w:t>3、维保期内设备免费升级</w:t>
            </w:r>
            <w:r>
              <w:rPr>
                <w:rFonts w:hint="eastAsia" w:asciiTheme="majorEastAsia" w:hAnsiTheme="majorEastAsia" w:eastAsiaTheme="majorEastAsia"/>
                <w:sz w:val="20"/>
                <w:szCs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jc w:val="center"/>
            </w:pPr>
          </w:p>
        </w:tc>
        <w:tc>
          <w:tcPr>
            <w:tcW w:w="851" w:type="dxa"/>
            <w:vAlign w:val="center"/>
          </w:tcPr>
          <w:p>
            <w:pPr>
              <w:jc w:val="center"/>
              <w:rPr>
                <w:rFonts w:cs="宋体" w:asciiTheme="majorEastAsia" w:hAnsiTheme="majorEastAsia" w:eastAsiaTheme="majorEastAsia"/>
                <w:color w:val="000000"/>
                <w:sz w:val="22"/>
                <w:szCs w:val="22"/>
              </w:rPr>
            </w:pPr>
            <w:r>
              <w:rPr>
                <w:rFonts w:hint="eastAsia" w:asciiTheme="majorEastAsia" w:hAnsiTheme="majorEastAsia" w:eastAsiaTheme="majorEastAsia"/>
                <w:color w:val="000000"/>
                <w:sz w:val="22"/>
                <w:szCs w:val="22"/>
              </w:rPr>
              <w:t>45</w:t>
            </w:r>
          </w:p>
        </w:tc>
        <w:tc>
          <w:tcPr>
            <w:tcW w:w="7594" w:type="dxa"/>
          </w:tcPr>
          <w:p>
            <w:pPr>
              <w:rPr>
                <w:rFonts w:hint="eastAsia" w:asciiTheme="majorEastAsia" w:hAnsiTheme="majorEastAsia" w:eastAsiaTheme="majorEastAsia"/>
                <w:sz w:val="20"/>
                <w:szCs w:val="20"/>
                <w:lang w:eastAsia="zh-CN"/>
              </w:rPr>
            </w:pPr>
            <w:r>
              <w:rPr>
                <w:rFonts w:asciiTheme="majorEastAsia" w:hAnsiTheme="majorEastAsia" w:eastAsiaTheme="majorEastAsia"/>
                <w:sz w:val="20"/>
                <w:szCs w:val="20"/>
              </w:rPr>
              <w:t>4、负责培训设备操作人员，并培训1-2名负责此设备维护、维修的工程师</w:t>
            </w:r>
            <w:r>
              <w:rPr>
                <w:rFonts w:hint="eastAsia" w:asciiTheme="majorEastAsia" w:hAnsiTheme="majorEastAsia" w:eastAsiaTheme="majorEastAsia"/>
                <w:sz w:val="20"/>
                <w:szCs w:val="20"/>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92" w:type="dxa"/>
          </w:tcPr>
          <w:p>
            <w:pPr>
              <w:pStyle w:val="19"/>
              <w:jc w:val="center"/>
              <w:rPr>
                <w:rFonts w:hint="default"/>
              </w:rPr>
            </w:pPr>
            <w:r>
              <w:t>说明</w:t>
            </w:r>
          </w:p>
        </w:tc>
        <w:tc>
          <w:tcPr>
            <w:tcW w:w="8445" w:type="dxa"/>
            <w:gridSpan w:val="2"/>
          </w:tcPr>
          <w:p>
            <w:pPr>
              <w:pStyle w:val="19"/>
              <w:jc w:val="center"/>
              <w:rPr>
                <w:rFonts w:hint="default"/>
              </w:rPr>
            </w:pPr>
            <w:r>
              <w:t xml:space="preserve">打“★”号条款为实质性条款，若有任何一条负偏离或不满足则导致投标无效。 </w:t>
            </w:r>
            <w:r>
              <w:br w:type="textWrapping"/>
            </w:r>
            <w:r>
              <w:t>打“▲”号条款为重要技术参数，若有部分“▲”条款未响应或不满足，不作为无效投标条款。</w:t>
            </w:r>
          </w:p>
        </w:tc>
      </w:tr>
    </w:tbl>
    <w:p>
      <w:pPr>
        <w:rPr>
          <w:rFonts w:hint="eastAsia"/>
          <w:lang w:val="en-US" w:eastAsia="zh-CN"/>
        </w:rPr>
      </w:pPr>
    </w:p>
    <w:sectPr>
      <w:footerReference r:id="rId3" w:type="default"/>
      <w:pgSz w:w="11906" w:h="16838"/>
      <w:pgMar w:top="1134" w:right="1800" w:bottom="1134"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B03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5589"/>
    <w:rsid w:val="0066302C"/>
    <w:rsid w:val="01E62EFC"/>
    <w:rsid w:val="02A705AC"/>
    <w:rsid w:val="042E0D09"/>
    <w:rsid w:val="051F26BB"/>
    <w:rsid w:val="054236EA"/>
    <w:rsid w:val="05626E87"/>
    <w:rsid w:val="05906286"/>
    <w:rsid w:val="05B456A7"/>
    <w:rsid w:val="065C0A59"/>
    <w:rsid w:val="06B637BF"/>
    <w:rsid w:val="070C2DB8"/>
    <w:rsid w:val="076D10D7"/>
    <w:rsid w:val="07747D73"/>
    <w:rsid w:val="07D070DA"/>
    <w:rsid w:val="08816D24"/>
    <w:rsid w:val="08C65EE8"/>
    <w:rsid w:val="096D0A6B"/>
    <w:rsid w:val="09943681"/>
    <w:rsid w:val="0A1724CC"/>
    <w:rsid w:val="0BCD7A32"/>
    <w:rsid w:val="0BE3335A"/>
    <w:rsid w:val="0C3F0BDB"/>
    <w:rsid w:val="0C694973"/>
    <w:rsid w:val="0D4C1D0E"/>
    <w:rsid w:val="0D4C7593"/>
    <w:rsid w:val="0DD83A27"/>
    <w:rsid w:val="0DF07E1B"/>
    <w:rsid w:val="0DFC3014"/>
    <w:rsid w:val="0E186C30"/>
    <w:rsid w:val="0F4348A5"/>
    <w:rsid w:val="0F5C30A0"/>
    <w:rsid w:val="0F9260F5"/>
    <w:rsid w:val="0FB60AD1"/>
    <w:rsid w:val="0FF9018F"/>
    <w:rsid w:val="106C3AE7"/>
    <w:rsid w:val="107529BA"/>
    <w:rsid w:val="1154558D"/>
    <w:rsid w:val="121E5F1D"/>
    <w:rsid w:val="124A5C38"/>
    <w:rsid w:val="12F0120B"/>
    <w:rsid w:val="13320F23"/>
    <w:rsid w:val="135320F7"/>
    <w:rsid w:val="13547611"/>
    <w:rsid w:val="14AE40A7"/>
    <w:rsid w:val="14D111C6"/>
    <w:rsid w:val="1535157B"/>
    <w:rsid w:val="15633331"/>
    <w:rsid w:val="15C13453"/>
    <w:rsid w:val="15D608DC"/>
    <w:rsid w:val="16175564"/>
    <w:rsid w:val="16BC7475"/>
    <w:rsid w:val="16CE5696"/>
    <w:rsid w:val="17297FBF"/>
    <w:rsid w:val="1A0E68E4"/>
    <w:rsid w:val="1B003F0F"/>
    <w:rsid w:val="1B0260EC"/>
    <w:rsid w:val="1B40313C"/>
    <w:rsid w:val="1B554E96"/>
    <w:rsid w:val="1BF030F5"/>
    <w:rsid w:val="1BF94DC0"/>
    <w:rsid w:val="1C732F43"/>
    <w:rsid w:val="1D7A1B96"/>
    <w:rsid w:val="1FED2BF5"/>
    <w:rsid w:val="1FFD5456"/>
    <w:rsid w:val="206F3BED"/>
    <w:rsid w:val="21557FB8"/>
    <w:rsid w:val="21A157FB"/>
    <w:rsid w:val="21DC13DA"/>
    <w:rsid w:val="220F5C65"/>
    <w:rsid w:val="22545502"/>
    <w:rsid w:val="233F6401"/>
    <w:rsid w:val="235E2E57"/>
    <w:rsid w:val="23A95DD7"/>
    <w:rsid w:val="24757813"/>
    <w:rsid w:val="24946ED1"/>
    <w:rsid w:val="255760CA"/>
    <w:rsid w:val="277E3DB3"/>
    <w:rsid w:val="27CF43F0"/>
    <w:rsid w:val="28141CEB"/>
    <w:rsid w:val="28221FEF"/>
    <w:rsid w:val="282A1591"/>
    <w:rsid w:val="2A48142F"/>
    <w:rsid w:val="2A790D4A"/>
    <w:rsid w:val="2A8949DD"/>
    <w:rsid w:val="2B034A7A"/>
    <w:rsid w:val="2BAB08CE"/>
    <w:rsid w:val="2BEA17CC"/>
    <w:rsid w:val="2C4C6F9E"/>
    <w:rsid w:val="2C6651E1"/>
    <w:rsid w:val="2D900265"/>
    <w:rsid w:val="2E540A24"/>
    <w:rsid w:val="2ED70532"/>
    <w:rsid w:val="2EE914D4"/>
    <w:rsid w:val="2F0F2AE7"/>
    <w:rsid w:val="2F2D7C74"/>
    <w:rsid w:val="2F776579"/>
    <w:rsid w:val="2F8D2F99"/>
    <w:rsid w:val="30235217"/>
    <w:rsid w:val="30D25BAC"/>
    <w:rsid w:val="30D74269"/>
    <w:rsid w:val="30FB3ECE"/>
    <w:rsid w:val="3140219D"/>
    <w:rsid w:val="31453697"/>
    <w:rsid w:val="315D0348"/>
    <w:rsid w:val="31E751C7"/>
    <w:rsid w:val="32302459"/>
    <w:rsid w:val="32AD64CE"/>
    <w:rsid w:val="32C31084"/>
    <w:rsid w:val="335B509C"/>
    <w:rsid w:val="33EE71F5"/>
    <w:rsid w:val="35422E6E"/>
    <w:rsid w:val="355F5C86"/>
    <w:rsid w:val="3585537D"/>
    <w:rsid w:val="35EC298F"/>
    <w:rsid w:val="36026916"/>
    <w:rsid w:val="36802062"/>
    <w:rsid w:val="36A0474E"/>
    <w:rsid w:val="371A61F5"/>
    <w:rsid w:val="37365310"/>
    <w:rsid w:val="376321C5"/>
    <w:rsid w:val="383E1081"/>
    <w:rsid w:val="38BA5D88"/>
    <w:rsid w:val="38F73A93"/>
    <w:rsid w:val="390156AC"/>
    <w:rsid w:val="39353BAF"/>
    <w:rsid w:val="397C04E3"/>
    <w:rsid w:val="39E21B7C"/>
    <w:rsid w:val="3A2D56C2"/>
    <w:rsid w:val="3B6D54DF"/>
    <w:rsid w:val="3C1364B2"/>
    <w:rsid w:val="3C485C09"/>
    <w:rsid w:val="3CA16FD1"/>
    <w:rsid w:val="3D6F65A7"/>
    <w:rsid w:val="3D8B3450"/>
    <w:rsid w:val="3E400261"/>
    <w:rsid w:val="3ED861EA"/>
    <w:rsid w:val="3EF824F7"/>
    <w:rsid w:val="3F383BB8"/>
    <w:rsid w:val="3F4A40E1"/>
    <w:rsid w:val="3F7234FA"/>
    <w:rsid w:val="400C3998"/>
    <w:rsid w:val="40794F29"/>
    <w:rsid w:val="41311B86"/>
    <w:rsid w:val="41F0628C"/>
    <w:rsid w:val="4235520C"/>
    <w:rsid w:val="4297690D"/>
    <w:rsid w:val="42BB7191"/>
    <w:rsid w:val="439F562B"/>
    <w:rsid w:val="43A70545"/>
    <w:rsid w:val="43BF005C"/>
    <w:rsid w:val="43F1582D"/>
    <w:rsid w:val="443E41C3"/>
    <w:rsid w:val="44671BB0"/>
    <w:rsid w:val="44AC2C3D"/>
    <w:rsid w:val="44DA13C6"/>
    <w:rsid w:val="45460E41"/>
    <w:rsid w:val="45821ED5"/>
    <w:rsid w:val="46C25EFD"/>
    <w:rsid w:val="46E739ED"/>
    <w:rsid w:val="47341457"/>
    <w:rsid w:val="477C382D"/>
    <w:rsid w:val="48C70609"/>
    <w:rsid w:val="491437BB"/>
    <w:rsid w:val="49323BA4"/>
    <w:rsid w:val="49380B8C"/>
    <w:rsid w:val="49642001"/>
    <w:rsid w:val="4A4D2EEC"/>
    <w:rsid w:val="4B145EE9"/>
    <w:rsid w:val="4B942E59"/>
    <w:rsid w:val="4BD31AD2"/>
    <w:rsid w:val="4BD43665"/>
    <w:rsid w:val="4C2B2708"/>
    <w:rsid w:val="4D547ADF"/>
    <w:rsid w:val="4D706899"/>
    <w:rsid w:val="4DE219E0"/>
    <w:rsid w:val="4DED6623"/>
    <w:rsid w:val="4E63049D"/>
    <w:rsid w:val="4FAF16B4"/>
    <w:rsid w:val="4FB74649"/>
    <w:rsid w:val="50950497"/>
    <w:rsid w:val="50A50BD8"/>
    <w:rsid w:val="516B1984"/>
    <w:rsid w:val="52D03E4C"/>
    <w:rsid w:val="531F2084"/>
    <w:rsid w:val="53286A8B"/>
    <w:rsid w:val="53B0402A"/>
    <w:rsid w:val="53B066B1"/>
    <w:rsid w:val="53CC16E8"/>
    <w:rsid w:val="53D96B20"/>
    <w:rsid w:val="546B62C9"/>
    <w:rsid w:val="54941919"/>
    <w:rsid w:val="54CD29ED"/>
    <w:rsid w:val="551A24BE"/>
    <w:rsid w:val="55547B7D"/>
    <w:rsid w:val="55A10FCF"/>
    <w:rsid w:val="560D4F87"/>
    <w:rsid w:val="561514C2"/>
    <w:rsid w:val="564E547F"/>
    <w:rsid w:val="56E20FB3"/>
    <w:rsid w:val="573D6501"/>
    <w:rsid w:val="57CD2984"/>
    <w:rsid w:val="58926A8B"/>
    <w:rsid w:val="58F420CD"/>
    <w:rsid w:val="596D611A"/>
    <w:rsid w:val="59846A91"/>
    <w:rsid w:val="5AE82109"/>
    <w:rsid w:val="5B2E5DE8"/>
    <w:rsid w:val="5B320EC9"/>
    <w:rsid w:val="5B6E4C24"/>
    <w:rsid w:val="5C4A6660"/>
    <w:rsid w:val="5C9C5E59"/>
    <w:rsid w:val="5D286022"/>
    <w:rsid w:val="5D721A70"/>
    <w:rsid w:val="5E082DFB"/>
    <w:rsid w:val="5E1C16E9"/>
    <w:rsid w:val="5E34143F"/>
    <w:rsid w:val="5E39207F"/>
    <w:rsid w:val="5E8422B4"/>
    <w:rsid w:val="5F4A31C6"/>
    <w:rsid w:val="608F3C7B"/>
    <w:rsid w:val="61C03E47"/>
    <w:rsid w:val="620F6D2C"/>
    <w:rsid w:val="624F74F4"/>
    <w:rsid w:val="62D5001B"/>
    <w:rsid w:val="62F8467A"/>
    <w:rsid w:val="64A95A90"/>
    <w:rsid w:val="65887507"/>
    <w:rsid w:val="672D5F2C"/>
    <w:rsid w:val="679C60F1"/>
    <w:rsid w:val="679F1D8F"/>
    <w:rsid w:val="67B614C8"/>
    <w:rsid w:val="689F0994"/>
    <w:rsid w:val="68A82710"/>
    <w:rsid w:val="68AE4D9D"/>
    <w:rsid w:val="68F338A1"/>
    <w:rsid w:val="697C0FE1"/>
    <w:rsid w:val="69EE1952"/>
    <w:rsid w:val="6AA23F4B"/>
    <w:rsid w:val="6B006120"/>
    <w:rsid w:val="6BB03AB3"/>
    <w:rsid w:val="6BBD269E"/>
    <w:rsid w:val="6C892631"/>
    <w:rsid w:val="6CC63F20"/>
    <w:rsid w:val="6D580EA6"/>
    <w:rsid w:val="6D621741"/>
    <w:rsid w:val="6D796436"/>
    <w:rsid w:val="6E146993"/>
    <w:rsid w:val="6E537EFE"/>
    <w:rsid w:val="6E7B6648"/>
    <w:rsid w:val="6ED41468"/>
    <w:rsid w:val="6F76208C"/>
    <w:rsid w:val="6F942FDF"/>
    <w:rsid w:val="6FAE5B3A"/>
    <w:rsid w:val="6FB8524A"/>
    <w:rsid w:val="701B1F7F"/>
    <w:rsid w:val="70A8636E"/>
    <w:rsid w:val="712E26AD"/>
    <w:rsid w:val="71333469"/>
    <w:rsid w:val="73086CA5"/>
    <w:rsid w:val="73F04D04"/>
    <w:rsid w:val="73FE75AB"/>
    <w:rsid w:val="745F1A75"/>
    <w:rsid w:val="750C4ABE"/>
    <w:rsid w:val="753E5979"/>
    <w:rsid w:val="755F6700"/>
    <w:rsid w:val="762D2ED1"/>
    <w:rsid w:val="766340A9"/>
    <w:rsid w:val="76A05306"/>
    <w:rsid w:val="76FF7161"/>
    <w:rsid w:val="7979787B"/>
    <w:rsid w:val="79B12DC2"/>
    <w:rsid w:val="7A123AD7"/>
    <w:rsid w:val="7CE046A8"/>
    <w:rsid w:val="7D0A620E"/>
    <w:rsid w:val="7DC871FF"/>
    <w:rsid w:val="7E226E65"/>
    <w:rsid w:val="7E4E41DC"/>
    <w:rsid w:val="7E7610AB"/>
    <w:rsid w:val="7F2671BE"/>
    <w:rsid w:val="7F95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zh-CN"/>
    </w:rPr>
  </w:style>
  <w:style w:type="paragraph" w:styleId="3">
    <w:name w:val="heading 2"/>
    <w:basedOn w:val="1"/>
    <w:next w:val="1"/>
    <w:unhideWhenUsed/>
    <w:qFormat/>
    <w:uiPriority w:val="9"/>
    <w:pPr>
      <w:ind w:left="1240" w:right="4836"/>
      <w:outlineLvl w:val="1"/>
    </w:pPr>
    <w:rPr>
      <w:b/>
      <w:bCs/>
      <w:sz w:val="25"/>
      <w:szCs w:val="25"/>
      <w:u w:val="single" w:color="00000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4">
    <w:name w:val="Normal Indent"/>
    <w:basedOn w:val="1"/>
    <w:qFormat/>
    <w:uiPriority w:val="0"/>
    <w:pPr>
      <w:ind w:firstLine="420"/>
    </w:pPr>
    <w:rPr>
      <w:rFonts w:cs="Times New Roman"/>
      <w:szCs w:val="21"/>
    </w:rPr>
  </w:style>
  <w:style w:type="paragraph" w:styleId="5">
    <w:name w:val="toa heading"/>
    <w:basedOn w:val="1"/>
    <w:next w:val="1"/>
    <w:qFormat/>
    <w:uiPriority w:val="99"/>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6">
    <w:name w:val="annotation text"/>
    <w:basedOn w:val="1"/>
    <w:qFormat/>
    <w:uiPriority w:val="0"/>
    <w:pPr>
      <w:jc w:val="left"/>
    </w:pPr>
  </w:style>
  <w:style w:type="paragraph" w:styleId="7">
    <w:name w:val="Body Text"/>
    <w:basedOn w:val="1"/>
    <w:next w:val="1"/>
    <w:qFormat/>
    <w:uiPriority w:val="0"/>
    <w:pPr>
      <w:spacing w:line="360" w:lineRule="auto"/>
    </w:pPr>
    <w:rPr>
      <w:szCs w:val="20"/>
    </w:rPr>
  </w:style>
  <w:style w:type="paragraph" w:styleId="8">
    <w:name w:val="Body Text Indent"/>
    <w:basedOn w:val="1"/>
    <w:next w:val="9"/>
    <w:qFormat/>
    <w:uiPriority w:val="0"/>
    <w:pPr>
      <w:ind w:firstLine="830" w:firstLineChars="352"/>
    </w:pPr>
    <w:rPr>
      <w:rFonts w:ascii="仿宋_GB2312" w:eastAsia="仿宋_GB2312"/>
      <w:sz w:val="32"/>
      <w:szCs w:val="20"/>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8"/>
    <w:qFormat/>
    <w:uiPriority w:val="99"/>
    <w:pPr>
      <w:ind w:left="200" w:firstLine="200" w:firstLineChars="200"/>
    </w:pPr>
    <w:rPr>
      <w:rFonts w:ascii="Times New Roman" w:hAnsi="Times New Roman" w:eastAsia="宋体"/>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缩进1"/>
    <w:basedOn w:val="1"/>
    <w:next w:val="1"/>
    <w:qFormat/>
    <w:uiPriority w:val="0"/>
    <w:pPr>
      <w:ind w:firstLine="420"/>
    </w:pPr>
  </w:style>
  <w:style w:type="paragraph" w:customStyle="1" w:styleId="17">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18">
    <w:name w:val="表格文字"/>
    <w:basedOn w:val="1"/>
    <w:next w:val="1"/>
    <w:qFormat/>
    <w:uiPriority w:val="0"/>
    <w:pPr>
      <w:spacing w:before="25" w:after="25"/>
    </w:pPr>
    <w:rPr>
      <w:bCs/>
      <w:spacing w:val="10"/>
      <w:sz w:val="24"/>
      <w:szCs w:val="20"/>
    </w:rPr>
  </w:style>
  <w:style w:type="paragraph" w:customStyle="1" w:styleId="1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2024-03-05T09:28:00Z</dcterms:created>
  <dc:creator>xyx</dc:creator>
  <cp:lastModifiedBy>dell</cp:lastModifiedBy>
  <cp:lastPrinted>2024-03-21T03:34:00Z</cp:lastPrinted>
  <dcterms:modified xsi:type="dcterms:W3CDTF">2025-08-08T08:03:44Z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951B287C7808440ABBCA0E79FF498CB6</vt:lpwstr>
  </property>
</Properties>
</file>