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1"/>
        <w:rPr>
          <w:rStyle w:val="14"/>
          <w:rFonts w:hint="eastAsia" w:cs="宋体"/>
          <w:highlight w:val="none"/>
        </w:rPr>
      </w:pPr>
      <w:bookmarkStart w:id="0" w:name="_Toc3802"/>
      <w:bookmarkStart w:id="1" w:name="_Toc51839840"/>
      <w:bookmarkStart w:id="2" w:name="_Toc18833"/>
      <w:bookmarkStart w:id="3" w:name="_Toc32209"/>
      <w:bookmarkStart w:id="4" w:name="_Toc43904998"/>
      <w:bookmarkStart w:id="5" w:name="_Toc5920"/>
      <w:bookmarkStart w:id="6" w:name="_Toc15905"/>
      <w:bookmarkStart w:id="7" w:name="_Toc7646"/>
      <w:bookmarkStart w:id="8" w:name="_Toc16726"/>
      <w:bookmarkStart w:id="9" w:name="_Toc21940"/>
      <w:bookmarkStart w:id="10" w:name="_Toc30538"/>
      <w:bookmarkStart w:id="11" w:name="_Toc9126"/>
      <w:bookmarkStart w:id="12" w:name="_Toc22769"/>
      <w:bookmarkStart w:id="13" w:name="_Hlk38788933"/>
      <w:r>
        <w:rPr>
          <w:rFonts w:hint="eastAsia" w:ascii="宋体" w:hAnsi="宋体" w:eastAsia="宋体" w:cs="宋体"/>
          <w:b/>
          <w:bCs/>
          <w:sz w:val="24"/>
          <w:szCs w:val="24"/>
        </w:rPr>
        <w:t>附表2：投标人资格条件</w:t>
      </w:r>
      <w:bookmarkEnd w:id="0"/>
      <w:bookmarkEnd w:id="1"/>
      <w:bookmarkEnd w:id="2"/>
      <w:bookmarkEnd w:id="3"/>
      <w:bookmarkEnd w:id="4"/>
      <w:bookmarkEnd w:id="5"/>
      <w:r>
        <w:rPr>
          <w:rFonts w:hint="eastAsia" w:ascii="宋体" w:hAnsi="宋体" w:eastAsia="宋体" w:cs="宋体"/>
          <w:b/>
          <w:bCs/>
          <w:sz w:val="24"/>
          <w:szCs w:val="24"/>
        </w:rPr>
        <w:t xml:space="preserve">  </w:t>
      </w:r>
      <w:r>
        <w:rPr>
          <w:rStyle w:val="14"/>
          <w:rFonts w:hint="eastAsia" w:cs="宋体"/>
          <w:highlight w:val="none"/>
        </w:rPr>
        <w:t xml:space="preserve"> </w:t>
      </w:r>
    </w:p>
    <w:bookmarkEnd w:id="6"/>
    <w:bookmarkEnd w:id="7"/>
    <w:bookmarkEnd w:id="8"/>
    <w:bookmarkEnd w:id="9"/>
    <w:bookmarkEnd w:id="10"/>
    <w:bookmarkEnd w:id="11"/>
    <w:bookmarkEnd w:id="12"/>
    <w:tbl>
      <w:tblPr>
        <w:tblStyle w:val="10"/>
        <w:tblW w:w="14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
        <w:gridCol w:w="1192"/>
        <w:gridCol w:w="11976"/>
        <w:gridCol w:w="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0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bCs/>
                <w:kern w:val="0"/>
                <w:szCs w:val="21"/>
                <w:highlight w:val="none"/>
              </w:rPr>
            </w:pPr>
            <w:r>
              <w:rPr>
                <w:rFonts w:hint="eastAsia" w:ascii="宋体" w:hAnsi="宋体"/>
                <w:bCs/>
                <w:kern w:val="0"/>
                <w:szCs w:val="21"/>
                <w:highlight w:val="none"/>
              </w:rPr>
              <w:t>序号</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bCs/>
                <w:kern w:val="0"/>
                <w:szCs w:val="21"/>
                <w:highlight w:val="none"/>
              </w:rPr>
            </w:pPr>
            <w:r>
              <w:rPr>
                <w:rFonts w:hint="eastAsia" w:ascii="宋体" w:hAnsi="宋体"/>
                <w:bCs/>
                <w:kern w:val="0"/>
                <w:szCs w:val="21"/>
                <w:highlight w:val="none"/>
              </w:rPr>
              <w:t>物资名称</w:t>
            </w:r>
          </w:p>
        </w:tc>
        <w:tc>
          <w:tcPr>
            <w:tcW w:w="11976"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597"/>
              </w:tabs>
              <w:spacing w:line="240" w:lineRule="auto"/>
              <w:jc w:val="center"/>
              <w:rPr>
                <w:rFonts w:hint="eastAsia" w:ascii="宋体" w:hAnsi="宋体"/>
                <w:bCs/>
                <w:kern w:val="0"/>
                <w:szCs w:val="21"/>
                <w:highlight w:val="none"/>
              </w:rPr>
            </w:pPr>
            <w:r>
              <w:rPr>
                <w:rFonts w:hint="eastAsia" w:ascii="宋体" w:hAnsi="宋体"/>
                <w:bCs/>
                <w:kern w:val="0"/>
                <w:szCs w:val="21"/>
                <w:highlight w:val="none"/>
              </w:rPr>
              <w:t>资格要求</w:t>
            </w:r>
          </w:p>
        </w:tc>
        <w:tc>
          <w:tcPr>
            <w:tcW w:w="61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bCs/>
                <w:kern w:val="0"/>
                <w:szCs w:val="21"/>
                <w:highlight w:val="none"/>
              </w:rPr>
            </w:pPr>
            <w:r>
              <w:rPr>
                <w:rFonts w:hint="eastAsia" w:ascii="宋体" w:hAnsi="宋体"/>
                <w:bCs/>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6" w:hRule="atLeast"/>
          <w:jc w:val="center"/>
        </w:trPr>
        <w:tc>
          <w:tcPr>
            <w:tcW w:w="40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exact"/>
              <w:jc w:val="center"/>
              <w:rPr>
                <w:rFonts w:hint="eastAsia" w:ascii="宋体" w:hAnsi="宋体" w:cs="宋体"/>
                <w:bCs/>
                <w:kern w:val="0"/>
                <w:sz w:val="21"/>
                <w:szCs w:val="21"/>
                <w:highlight w:val="none"/>
                <w:lang w:val="en-US" w:eastAsia="zh-CN" w:bidi="ar-SA"/>
              </w:rPr>
            </w:pPr>
            <w:bookmarkStart w:id="14" w:name="_GoBack" w:colFirst="1" w:colLast="2"/>
            <w:r>
              <w:rPr>
                <w:rFonts w:hint="eastAsia" w:ascii="宋体" w:hAnsi="宋体"/>
                <w:bCs/>
              </w:rPr>
              <w:t>1</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autoSpaceDN w:val="0"/>
              <w:spacing w:line="460" w:lineRule="exact"/>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等线 Light"/>
                <w:bCs/>
                <w:color w:val="auto"/>
                <w:szCs w:val="21"/>
                <w:highlight w:val="none"/>
                <w:lang w:val="en-US" w:eastAsia="zh-CN"/>
              </w:rPr>
              <w:t>商品混凝土</w:t>
            </w:r>
          </w:p>
        </w:tc>
        <w:tc>
          <w:tcPr>
            <w:tcW w:w="119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1394"/>
              </w:tabs>
              <w:kinsoku/>
              <w:wordWrap/>
              <w:overflowPunct/>
              <w:topLinePunct w:val="0"/>
              <w:autoSpaceDE/>
              <w:autoSpaceDN/>
              <w:bidi w:val="0"/>
              <w:adjustRightInd/>
              <w:snapToGrid/>
              <w:spacing w:line="400" w:lineRule="exact"/>
              <w:ind w:firstLine="420" w:firstLineChars="200"/>
              <w:textAlignment w:val="center"/>
              <w:rPr>
                <w:rFonts w:hint="eastAsia"/>
                <w:highlight w:val="none"/>
              </w:rPr>
            </w:pPr>
            <w:r>
              <w:rPr>
                <w:rFonts w:hint="eastAsia"/>
                <w:highlight w:val="none"/>
              </w:rPr>
              <w:t>1.营业范围要求：在中华人民共和国境内依法注册，具有独立法人资格、具有招标物资生产</w:t>
            </w:r>
            <w:r>
              <w:rPr>
                <w:rFonts w:hint="eastAsia"/>
                <w:highlight w:val="none"/>
                <w:lang w:val="en-US" w:eastAsia="zh-CN"/>
              </w:rPr>
              <w:t>和</w:t>
            </w:r>
            <w:r>
              <w:rPr>
                <w:rFonts w:hint="eastAsia"/>
                <w:highlight w:val="none"/>
              </w:rPr>
              <w:t>供应经验的生产商，并且具有合法、有效三证合一营业执照。</w:t>
            </w:r>
          </w:p>
          <w:p>
            <w:pPr>
              <w:keepNext w:val="0"/>
              <w:keepLines w:val="0"/>
              <w:pageBreakBefore w:val="0"/>
              <w:widowControl/>
              <w:tabs>
                <w:tab w:val="left" w:pos="1394"/>
              </w:tabs>
              <w:kinsoku/>
              <w:wordWrap/>
              <w:overflowPunct/>
              <w:topLinePunct w:val="0"/>
              <w:autoSpaceDE/>
              <w:autoSpaceDN/>
              <w:bidi w:val="0"/>
              <w:adjustRightInd/>
              <w:snapToGrid/>
              <w:spacing w:line="400" w:lineRule="exact"/>
              <w:ind w:firstLine="420" w:firstLineChars="200"/>
              <w:textAlignment w:val="center"/>
              <w:rPr>
                <w:rFonts w:hint="eastAsia"/>
                <w:highlight w:val="none"/>
              </w:rPr>
            </w:pPr>
            <w:r>
              <w:rPr>
                <w:rFonts w:hint="eastAsia"/>
                <w:highlight w:val="none"/>
              </w:rPr>
              <w:t>2.</w:t>
            </w:r>
            <w:r>
              <w:rPr>
                <w:rFonts w:hint="eastAsia"/>
                <w:highlight w:val="none"/>
                <w:lang w:val="en-US" w:eastAsia="zh-CN"/>
              </w:rPr>
              <w:t>供应</w:t>
            </w:r>
            <w:r>
              <w:rPr>
                <w:rFonts w:hint="eastAsia"/>
                <w:highlight w:val="none"/>
              </w:rPr>
              <w:t>能力要求：生产厂商自身具有与招标物资产能配套的设备生产能力，生产工艺、装备必须符合国家相关产业发展政策的相关规定。</w:t>
            </w:r>
          </w:p>
          <w:p>
            <w:pPr>
              <w:keepNext w:val="0"/>
              <w:keepLines w:val="0"/>
              <w:pageBreakBefore w:val="0"/>
              <w:widowControl/>
              <w:tabs>
                <w:tab w:val="left" w:pos="1394"/>
              </w:tabs>
              <w:kinsoku/>
              <w:wordWrap/>
              <w:overflowPunct/>
              <w:topLinePunct w:val="0"/>
              <w:autoSpaceDE/>
              <w:autoSpaceDN/>
              <w:bidi w:val="0"/>
              <w:adjustRightInd/>
              <w:snapToGrid/>
              <w:spacing w:line="400" w:lineRule="exact"/>
              <w:ind w:firstLine="420" w:firstLineChars="200"/>
              <w:textAlignment w:val="center"/>
              <w:rPr>
                <w:rFonts w:hint="eastAsia"/>
                <w:highlight w:val="none"/>
              </w:rPr>
            </w:pPr>
            <w:r>
              <w:rPr>
                <w:rFonts w:hint="eastAsia"/>
                <w:highlight w:val="none"/>
              </w:rPr>
              <w:t>3.财务能力要求：投标人为一般纳税人，具有良好的资金财务状况，可开具增值税专用发票。</w:t>
            </w:r>
          </w:p>
          <w:p>
            <w:pPr>
              <w:keepNext w:val="0"/>
              <w:keepLines w:val="0"/>
              <w:pageBreakBefore w:val="0"/>
              <w:widowControl/>
              <w:tabs>
                <w:tab w:val="left" w:pos="1394"/>
              </w:tabs>
              <w:kinsoku/>
              <w:wordWrap/>
              <w:overflowPunct/>
              <w:topLinePunct w:val="0"/>
              <w:autoSpaceDE/>
              <w:autoSpaceDN/>
              <w:bidi w:val="0"/>
              <w:adjustRightInd/>
              <w:snapToGrid/>
              <w:spacing w:line="400" w:lineRule="exact"/>
              <w:ind w:firstLine="420" w:firstLineChars="200"/>
              <w:textAlignment w:val="center"/>
              <w:rPr>
                <w:rFonts w:hint="eastAsia"/>
                <w:highlight w:val="none"/>
              </w:rPr>
            </w:pPr>
            <w:r>
              <w:rPr>
                <w:rFonts w:hint="eastAsia"/>
                <w:highlight w:val="none"/>
              </w:rPr>
              <w:t>4.质量保证能力要求：投标物资生产商具有有效的预拌商品混凝土专业承包资质，产品符合国家现行标准；投标产品生产商须出具202</w:t>
            </w:r>
            <w:r>
              <w:rPr>
                <w:rFonts w:hint="eastAsia"/>
                <w:highlight w:val="none"/>
                <w:lang w:val="en-US" w:eastAsia="zh-CN"/>
              </w:rPr>
              <w:t>2</w:t>
            </w:r>
            <w:r>
              <w:rPr>
                <w:rFonts w:hint="eastAsia"/>
                <w:highlight w:val="none"/>
              </w:rPr>
              <w:t>年至开标日由第三方专业检测机构出具的投标物资或投标物资所属</w:t>
            </w:r>
            <w:r>
              <w:rPr>
                <w:rFonts w:hint="eastAsia"/>
                <w:b/>
                <w:bCs/>
                <w:highlight w:val="none"/>
              </w:rPr>
              <w:t>原材料质量检验报告</w:t>
            </w:r>
            <w:r>
              <w:rPr>
                <w:rFonts w:hint="eastAsia"/>
                <w:highlight w:val="none"/>
              </w:rPr>
              <w:t>。</w:t>
            </w:r>
          </w:p>
          <w:p>
            <w:pPr>
              <w:keepNext w:val="0"/>
              <w:keepLines w:val="0"/>
              <w:pageBreakBefore w:val="0"/>
              <w:widowControl/>
              <w:tabs>
                <w:tab w:val="left" w:pos="1394"/>
              </w:tabs>
              <w:kinsoku/>
              <w:wordWrap/>
              <w:overflowPunct/>
              <w:topLinePunct w:val="0"/>
              <w:autoSpaceDE/>
              <w:autoSpaceDN/>
              <w:bidi w:val="0"/>
              <w:adjustRightInd/>
              <w:snapToGrid/>
              <w:spacing w:line="400" w:lineRule="exact"/>
              <w:ind w:firstLine="420" w:firstLineChars="200"/>
              <w:textAlignment w:val="center"/>
              <w:rPr>
                <w:rFonts w:hint="eastAsia"/>
                <w:highlight w:val="none"/>
              </w:rPr>
            </w:pPr>
            <w:r>
              <w:rPr>
                <w:rFonts w:hint="eastAsia"/>
                <w:highlight w:val="none"/>
              </w:rPr>
              <w:t>5.供货业绩要求：投标人须提供投标物资最少一份202</w:t>
            </w:r>
            <w:r>
              <w:rPr>
                <w:rFonts w:hint="eastAsia"/>
                <w:highlight w:val="none"/>
                <w:lang w:val="en-US" w:eastAsia="zh-CN"/>
              </w:rPr>
              <w:t>2</w:t>
            </w:r>
            <w:r>
              <w:rPr>
                <w:rFonts w:hint="eastAsia"/>
                <w:highlight w:val="none"/>
              </w:rPr>
              <w:t>年至开标日大中型工程建设项目</w:t>
            </w:r>
            <w:r>
              <w:rPr>
                <w:rFonts w:hint="eastAsia"/>
                <w:b/>
                <w:bCs/>
                <w:highlight w:val="none"/>
              </w:rPr>
              <w:t>供货业绩</w:t>
            </w:r>
            <w:r>
              <w:rPr>
                <w:rFonts w:hint="eastAsia"/>
                <w:highlight w:val="none"/>
              </w:rPr>
              <w:t>（须附中标通知书复印件或供货合同复印件等）。</w:t>
            </w:r>
          </w:p>
          <w:p>
            <w:pPr>
              <w:keepNext w:val="0"/>
              <w:keepLines w:val="0"/>
              <w:pageBreakBefore w:val="0"/>
              <w:widowControl/>
              <w:tabs>
                <w:tab w:val="left" w:pos="1394"/>
              </w:tabs>
              <w:kinsoku/>
              <w:wordWrap/>
              <w:overflowPunct/>
              <w:topLinePunct w:val="0"/>
              <w:autoSpaceDE/>
              <w:autoSpaceDN/>
              <w:bidi w:val="0"/>
              <w:adjustRightInd/>
              <w:snapToGrid/>
              <w:spacing w:line="400" w:lineRule="exact"/>
              <w:ind w:firstLine="420" w:firstLineChars="200"/>
              <w:textAlignment w:val="center"/>
              <w:rPr>
                <w:rFonts w:hint="eastAsia"/>
                <w:highlight w:val="none"/>
              </w:rPr>
            </w:pPr>
            <w:r>
              <w:rPr>
                <w:rFonts w:hint="eastAsia"/>
                <w:highlight w:val="none"/>
              </w:rPr>
              <w:t>6.履约信用要求：投标人必须具有良好的社会信誉；202</w:t>
            </w:r>
            <w:r>
              <w:rPr>
                <w:rFonts w:hint="eastAsia"/>
                <w:highlight w:val="none"/>
                <w:lang w:val="en-US" w:eastAsia="zh-CN"/>
              </w:rPr>
              <w:t>2</w:t>
            </w:r>
            <w:r>
              <w:rPr>
                <w:rFonts w:hint="eastAsia"/>
                <w:highlight w:val="none"/>
              </w:rPr>
              <w:t>年至今没有与骗取合同有关的犯罪或严重违法行为而引起的诉讼和仲裁（需附中国裁判文书网，wenshu.court.gov.cn的查询结果截图）；202</w:t>
            </w:r>
            <w:r>
              <w:rPr>
                <w:rFonts w:hint="eastAsia"/>
                <w:highlight w:val="none"/>
                <w:lang w:val="en-US" w:eastAsia="zh-CN"/>
              </w:rPr>
              <w:t>2</w:t>
            </w:r>
            <w:r>
              <w:rPr>
                <w:rFonts w:hint="eastAsia"/>
                <w:highlight w:val="none"/>
              </w:rPr>
              <w:t>年至今财产未被接管或冻结，企业未处于禁止或取消投标状态。未被中国中铁股份有限公司及招标人公司列入“限制交易供应商名单”、“不合格供应商名单”或“供应商黑名单”</w:t>
            </w:r>
            <w:r>
              <w:rPr>
                <w:rFonts w:hint="eastAsia"/>
                <w:highlight w:val="none"/>
                <w:lang w:eastAsia="zh-CN"/>
              </w:rPr>
              <w:t>；</w:t>
            </w:r>
            <w:r>
              <w:rPr>
                <w:rFonts w:hint="eastAsia"/>
                <w:highlight w:val="none"/>
              </w:rPr>
              <w:t>未被工商行政管理机关在“</w:t>
            </w:r>
            <w:r>
              <w:rPr>
                <w:rFonts w:hint="eastAsia"/>
                <w:b/>
                <w:bCs/>
                <w:highlight w:val="none"/>
              </w:rPr>
              <w:t>全国企业信用信息公示系统”（www.gsxt.gov.cn）</w:t>
            </w:r>
            <w:r>
              <w:rPr>
                <w:rFonts w:hint="eastAsia"/>
                <w:highlight w:val="none"/>
              </w:rPr>
              <w:t>中列入严重违法失信企业名单；未被纳入“</w:t>
            </w:r>
            <w:r>
              <w:rPr>
                <w:rFonts w:hint="eastAsia"/>
                <w:b w:val="0"/>
                <w:bCs w:val="0"/>
                <w:highlight w:val="none"/>
              </w:rPr>
              <w:t>信用中国”网站（www.creditchina.gov.cn）</w:t>
            </w:r>
            <w:r>
              <w:rPr>
                <w:rFonts w:hint="eastAsia"/>
                <w:highlight w:val="none"/>
              </w:rPr>
              <w:t>公布的失信被执行人、企业经营异常名录、重大税收违法案件当事人名单、政府采购严重违法失信名单（提供查询结果截图）。</w:t>
            </w:r>
          </w:p>
          <w:p>
            <w:pPr>
              <w:keepNext w:val="0"/>
              <w:keepLines w:val="0"/>
              <w:pageBreakBefore w:val="0"/>
              <w:widowControl/>
              <w:tabs>
                <w:tab w:val="left" w:pos="1394"/>
              </w:tabs>
              <w:kinsoku/>
              <w:wordWrap/>
              <w:overflowPunct/>
              <w:topLinePunct w:val="0"/>
              <w:autoSpaceDE/>
              <w:autoSpaceDN/>
              <w:bidi w:val="0"/>
              <w:adjustRightInd/>
              <w:snapToGrid/>
              <w:spacing w:line="400" w:lineRule="exact"/>
              <w:ind w:firstLine="420" w:firstLineChars="200"/>
              <w:textAlignment w:val="center"/>
              <w:rPr>
                <w:rFonts w:hint="default" w:ascii="宋体" w:hAnsi="宋体" w:eastAsia="宋体" w:cs="宋体"/>
                <w:kern w:val="0"/>
                <w:sz w:val="21"/>
                <w:szCs w:val="21"/>
                <w:lang w:val="en-US" w:eastAsia="zh-CN" w:bidi="ar"/>
              </w:rPr>
            </w:pPr>
            <w:r>
              <w:rPr>
                <w:rFonts w:hint="eastAsia"/>
                <w:highlight w:val="none"/>
              </w:rPr>
              <w:t>7.其他要求：①不接受代理商参与投标；②投标人</w:t>
            </w:r>
            <w:r>
              <w:rPr>
                <w:rFonts w:hint="eastAsia"/>
                <w:highlight w:val="none"/>
                <w:lang w:eastAsia="zh-CN"/>
              </w:rPr>
              <w:t>须具</w:t>
            </w:r>
            <w:r>
              <w:rPr>
                <w:rFonts w:hint="eastAsia"/>
                <w:highlight w:val="none"/>
              </w:rPr>
              <w:t>备提供延伸服务的能力,</w:t>
            </w:r>
            <w:r>
              <w:rPr>
                <w:rFonts w:hint="eastAsia"/>
                <w:b/>
                <w:bCs/>
                <w:highlight w:val="none"/>
              </w:rPr>
              <w:t>具备跨地域的供应、集散能力</w:t>
            </w:r>
            <w:r>
              <w:rPr>
                <w:rFonts w:hint="eastAsia"/>
                <w:highlight w:val="none"/>
              </w:rPr>
              <w:t>。</w:t>
            </w:r>
          </w:p>
        </w:tc>
        <w:tc>
          <w:tcPr>
            <w:tcW w:w="61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bCs/>
                <w:kern w:val="0"/>
                <w:sz w:val="20"/>
                <w:szCs w:val="20"/>
                <w:highlight w:val="none"/>
              </w:rPr>
            </w:pPr>
          </w:p>
        </w:tc>
      </w:tr>
      <w:bookmarkEnd w:id="14"/>
      <w:bookmarkEnd w:id="13"/>
    </w:tbl>
    <w:p/>
    <w:sectPr>
      <w:pgSz w:w="16838" w:h="11906" w:orient="landscape"/>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YTY2NzNjYzhhMDBjYjhiZDFjNDRhZjk5ZjcyM2MifQ=="/>
  </w:docVars>
  <w:rsids>
    <w:rsidRoot w:val="21D14DCB"/>
    <w:rsid w:val="003F0A1D"/>
    <w:rsid w:val="008468DC"/>
    <w:rsid w:val="02A22713"/>
    <w:rsid w:val="07CF32D8"/>
    <w:rsid w:val="08FE0BAB"/>
    <w:rsid w:val="0E1B57F2"/>
    <w:rsid w:val="0EFE2FB4"/>
    <w:rsid w:val="0F334ADB"/>
    <w:rsid w:val="0F727675"/>
    <w:rsid w:val="12672122"/>
    <w:rsid w:val="14304267"/>
    <w:rsid w:val="150A4ACD"/>
    <w:rsid w:val="16803B9B"/>
    <w:rsid w:val="17082D2A"/>
    <w:rsid w:val="19B04B13"/>
    <w:rsid w:val="1A9700B6"/>
    <w:rsid w:val="1D694D55"/>
    <w:rsid w:val="1EBE2084"/>
    <w:rsid w:val="1FFE7926"/>
    <w:rsid w:val="21D14DCB"/>
    <w:rsid w:val="248A4744"/>
    <w:rsid w:val="269C45AA"/>
    <w:rsid w:val="28372DBF"/>
    <w:rsid w:val="2CDF7B9E"/>
    <w:rsid w:val="3038589D"/>
    <w:rsid w:val="33EE4722"/>
    <w:rsid w:val="347C3F8B"/>
    <w:rsid w:val="35603076"/>
    <w:rsid w:val="37A75A2C"/>
    <w:rsid w:val="3B3A2EA5"/>
    <w:rsid w:val="3B4D0B23"/>
    <w:rsid w:val="3B6233D5"/>
    <w:rsid w:val="3D8F6DFC"/>
    <w:rsid w:val="3E2F7984"/>
    <w:rsid w:val="40CF7EB4"/>
    <w:rsid w:val="434346A8"/>
    <w:rsid w:val="436407D6"/>
    <w:rsid w:val="43865BA4"/>
    <w:rsid w:val="44DC6EC7"/>
    <w:rsid w:val="46016F86"/>
    <w:rsid w:val="4B572565"/>
    <w:rsid w:val="4DD36D6B"/>
    <w:rsid w:val="4F0165AF"/>
    <w:rsid w:val="503B351A"/>
    <w:rsid w:val="51BA5E2C"/>
    <w:rsid w:val="520B7767"/>
    <w:rsid w:val="524D0E0F"/>
    <w:rsid w:val="54140968"/>
    <w:rsid w:val="54363E4D"/>
    <w:rsid w:val="55796CDF"/>
    <w:rsid w:val="560F4E5D"/>
    <w:rsid w:val="589E379B"/>
    <w:rsid w:val="58CF1448"/>
    <w:rsid w:val="59B63A87"/>
    <w:rsid w:val="59BE6661"/>
    <w:rsid w:val="5B594DE0"/>
    <w:rsid w:val="5CCA3EB1"/>
    <w:rsid w:val="5DFD0DFF"/>
    <w:rsid w:val="5F551894"/>
    <w:rsid w:val="5FED58A0"/>
    <w:rsid w:val="62830F9E"/>
    <w:rsid w:val="637C5509"/>
    <w:rsid w:val="662A4CCC"/>
    <w:rsid w:val="6FBC7F4B"/>
    <w:rsid w:val="6FC469D1"/>
    <w:rsid w:val="74CD7FB0"/>
    <w:rsid w:val="79887FD4"/>
    <w:rsid w:val="79A9043E"/>
    <w:rsid w:val="79D349D1"/>
    <w:rsid w:val="7AF8330B"/>
    <w:rsid w:val="7BE1777A"/>
    <w:rsid w:val="7FA40896"/>
    <w:rsid w:val="7FE93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Times New Roman" w:hAnsi="Times New Roman" w:eastAsia="宋体" w:cs="宋体"/>
      <w:kern w:val="2"/>
      <w:sz w:val="21"/>
      <w:szCs w:val="22"/>
      <w:lang w:val="en-US" w:eastAsia="zh-CN" w:bidi="ar-SA"/>
    </w:rPr>
  </w:style>
  <w:style w:type="paragraph" w:styleId="5">
    <w:name w:val="heading 2"/>
    <w:basedOn w:val="1"/>
    <w:next w:val="1"/>
    <w:link w:val="14"/>
    <w:autoRedefine/>
    <w:qFormat/>
    <w:uiPriority w:val="99"/>
    <w:pPr>
      <w:keepNext/>
      <w:keepLines/>
      <w:spacing w:before="100"/>
      <w:outlineLvl w:val="1"/>
    </w:pPr>
    <w:rPr>
      <w:rFonts w:ascii="宋体" w:hAnsi="宋体" w:cs="Times New Roman"/>
      <w:b/>
      <w:bCs/>
      <w:kern w:val="0"/>
      <w:sz w:val="24"/>
      <w:szCs w:val="24"/>
    </w:rPr>
  </w:style>
  <w:style w:type="paragraph" w:styleId="6">
    <w:name w:val="heading 5"/>
    <w:basedOn w:val="1"/>
    <w:next w:val="1"/>
    <w:autoRedefine/>
    <w:qFormat/>
    <w:uiPriority w:val="9"/>
    <w:pPr>
      <w:keepNext/>
      <w:keepLines/>
      <w:spacing w:before="280" w:after="290" w:line="376" w:lineRule="auto"/>
      <w:outlineLvl w:val="4"/>
    </w:pPr>
    <w:rPr>
      <w:b/>
      <w:bCs/>
      <w:sz w:val="28"/>
      <w:szCs w:val="28"/>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pPr>
  </w:style>
  <w:style w:type="paragraph" w:styleId="3">
    <w:name w:val="Body Text Indent"/>
    <w:basedOn w:val="1"/>
    <w:next w:val="4"/>
    <w:autoRedefine/>
    <w:unhideWhenUsed/>
    <w:qFormat/>
    <w:uiPriority w:val="99"/>
    <w:rPr>
      <w:b/>
    </w:rPr>
  </w:style>
  <w:style w:type="paragraph" w:styleId="4">
    <w:name w:val="envelope return"/>
    <w:basedOn w:val="1"/>
    <w:autoRedefine/>
    <w:unhideWhenUsed/>
    <w:qFormat/>
    <w:uiPriority w:val="0"/>
    <w:pPr>
      <w:snapToGrid w:val="0"/>
    </w:pPr>
    <w:rPr>
      <w:rFonts w:ascii="Arial" w:hAnsi="Arial"/>
    </w:rPr>
  </w:style>
  <w:style w:type="paragraph" w:styleId="7">
    <w:name w:val="table of authorities"/>
    <w:basedOn w:val="1"/>
    <w:next w:val="1"/>
    <w:autoRedefine/>
    <w:qFormat/>
    <w:uiPriority w:val="99"/>
    <w:pPr>
      <w:ind w:left="420" w:leftChars="200"/>
    </w:pPr>
  </w:style>
  <w:style w:type="paragraph" w:styleId="8">
    <w:name w:val="Normal Indent"/>
    <w:basedOn w:val="1"/>
    <w:next w:val="1"/>
    <w:autoRedefine/>
    <w:unhideWhenUsed/>
    <w:qFormat/>
    <w:uiPriority w:val="0"/>
    <w:pPr>
      <w:ind w:firstLine="420" w:firstLineChars="200"/>
    </w:pPr>
    <w:rPr>
      <w:rFonts w:ascii="Times New Roman" w:hAnsi="Times New Roman" w:eastAsia="宋体"/>
      <w:szCs w:val="20"/>
    </w:rPr>
  </w:style>
  <w:style w:type="paragraph" w:styleId="9">
    <w:name w:val="Body Text 2"/>
    <w:basedOn w:val="1"/>
    <w:autoRedefine/>
    <w:qFormat/>
    <w:uiPriority w:val="0"/>
    <w:pPr>
      <w:spacing w:after="120" w:line="480" w:lineRule="auto"/>
    </w:pPr>
    <w:rPr>
      <w:szCs w:val="24"/>
    </w:rPr>
  </w:style>
  <w:style w:type="paragraph" w:customStyle="1" w:styleId="12">
    <w:name w:val="表格"/>
    <w:basedOn w:val="9"/>
    <w:next w:val="1"/>
    <w:autoRedefine/>
    <w:qFormat/>
    <w:uiPriority w:val="0"/>
    <w:pPr>
      <w:topLinePunct/>
      <w:spacing w:line="280" w:lineRule="exact"/>
    </w:pPr>
    <w:rPr>
      <w:rFonts w:ascii="仿宋_GB2312" w:hAnsi="MS Gothic" w:eastAsia="仿宋_GB2312"/>
      <w:kern w:val="0"/>
      <w:szCs w:val="21"/>
    </w:rPr>
  </w:style>
  <w:style w:type="paragraph" w:customStyle="1" w:styleId="13">
    <w:name w:val="首行缩进正文"/>
    <w:basedOn w:val="1"/>
    <w:autoRedefine/>
    <w:qFormat/>
    <w:uiPriority w:val="0"/>
    <w:rPr>
      <w:sz w:val="28"/>
      <w:szCs w:val="20"/>
      <w:lang w:bidi="he-IL"/>
    </w:rPr>
  </w:style>
  <w:style w:type="character" w:customStyle="1" w:styleId="14">
    <w:name w:val="标题 2 字符"/>
    <w:link w:val="5"/>
    <w:autoRedefine/>
    <w:qFormat/>
    <w:uiPriority w:val="99"/>
    <w:rPr>
      <w:rFonts w:ascii="宋体" w:hAnsi="宋体" w:cs="Times New Roman"/>
      <w:b/>
      <w:bCs/>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2024-08-29T07:15:00Z</dcterms:created>
  <dc:creator>丁波</dc:creator>
  <cp:lastModifiedBy>WPS_1641542585</cp:lastModifiedBy>
  <dcterms:modified xsi:type="dcterms:W3CDTF">2025-12-26T02:09:07Z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27E8505C257B49F28404F41F04A5A476_11</vt:lpwstr>
  </property>
</Properties>
</file>