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6739E">
      <w:pPr>
        <w:spacing w:line="440" w:lineRule="exact"/>
        <w:jc w:val="center"/>
        <w:rPr>
          <w:rFonts w:hint="eastAsia" w:ascii="黑体" w:hAnsi="黑体" w:eastAsia="黑体"/>
          <w:sz w:val="44"/>
          <w:szCs w:val="44"/>
        </w:rPr>
      </w:pPr>
      <w:r>
        <w:rPr>
          <w:rFonts w:hint="eastAsia" w:ascii="黑体" w:hAnsi="黑体" w:eastAsia="黑体"/>
          <w:sz w:val="44"/>
          <w:szCs w:val="44"/>
        </w:rPr>
        <w:t>采购需求编制</w:t>
      </w:r>
    </w:p>
    <w:p w14:paraId="41BBEEED">
      <w:pPr>
        <w:spacing w:line="440" w:lineRule="exact"/>
        <w:jc w:val="center"/>
        <w:rPr>
          <w:rFonts w:hint="eastAsia" w:ascii="黑体" w:hAnsi="黑体" w:eastAsia="黑体"/>
          <w:sz w:val="44"/>
          <w:szCs w:val="44"/>
        </w:rPr>
      </w:pPr>
    </w:p>
    <w:p w14:paraId="661E5D99">
      <w:pPr>
        <w:pStyle w:val="23"/>
        <w:widowControl/>
        <w:numPr>
          <w:ilvl w:val="0"/>
          <w:numId w:val="1"/>
        </w:numPr>
        <w:spacing w:line="440" w:lineRule="exact"/>
        <w:ind w:firstLineChars="0"/>
        <w:jc w:val="left"/>
        <w:rPr>
          <w:rFonts w:hint="eastAsia" w:ascii="黑体" w:hAnsi="黑体" w:cs="Helvetica Neue"/>
          <w:b/>
          <w:color w:val="000000" w:themeColor="text1"/>
          <w:kern w:val="0"/>
          <w:sz w:val="32"/>
          <w:szCs w:val="32"/>
          <w14:textFill>
            <w14:solidFill>
              <w14:schemeClr w14:val="tx1"/>
            </w14:solidFill>
          </w14:textFill>
        </w:rPr>
      </w:pPr>
      <w:r>
        <w:rPr>
          <w:rFonts w:hint="eastAsia" w:ascii="黑体" w:hAnsi="黑体" w:cs="Helvetica Neue"/>
          <w:b/>
          <w:color w:val="000000" w:themeColor="text1"/>
          <w:kern w:val="0"/>
          <w:sz w:val="32"/>
          <w:szCs w:val="32"/>
          <w14:textFill>
            <w14:solidFill>
              <w14:schemeClr w14:val="tx1"/>
            </w14:solidFill>
          </w14:textFill>
        </w:rPr>
        <w:t>项目基本情况</w:t>
      </w:r>
    </w:p>
    <w:tbl>
      <w:tblPr>
        <w:tblStyle w:val="14"/>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5723"/>
      </w:tblGrid>
      <w:tr w14:paraId="7E47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230" w:type="dxa"/>
          </w:tcPr>
          <w:p w14:paraId="35F99152">
            <w:pPr>
              <w:spacing w:line="440" w:lineRule="exact"/>
              <w:jc w:val="center"/>
              <w:rPr>
                <w:rFonts w:hint="eastAsia" w:ascii="仿宋" w:hAnsi="仿宋" w:eastAsia="仿宋"/>
                <w:sz w:val="28"/>
                <w:szCs w:val="28"/>
              </w:rPr>
            </w:pPr>
            <w:r>
              <w:rPr>
                <w:rFonts w:hint="eastAsia" w:ascii="仿宋" w:hAnsi="仿宋" w:eastAsia="仿宋"/>
                <w:sz w:val="28"/>
                <w:szCs w:val="28"/>
              </w:rPr>
              <w:t>项目名称</w:t>
            </w:r>
          </w:p>
        </w:tc>
        <w:tc>
          <w:tcPr>
            <w:tcW w:w="5723" w:type="dxa"/>
          </w:tcPr>
          <w:p w14:paraId="4248CF5B">
            <w:pPr>
              <w:spacing w:line="440" w:lineRule="exact"/>
              <w:rPr>
                <w:rFonts w:hint="eastAsia" w:ascii="仿宋" w:hAnsi="仿宋" w:eastAsia="仿宋"/>
              </w:rPr>
            </w:pPr>
            <w:r>
              <w:rPr>
                <w:rFonts w:hint="eastAsia" w:ascii="仿宋" w:hAnsi="仿宋" w:eastAsia="仿宋"/>
                <w:color w:val="auto"/>
                <w:sz w:val="28"/>
                <w:szCs w:val="28"/>
                <w:highlight w:val="none"/>
                <w:lang w:val="en-US" w:eastAsia="zh-CN"/>
              </w:rPr>
              <w:t>广东建筑设计艺术产教融合实践中心（一期）建设项目</w:t>
            </w:r>
          </w:p>
        </w:tc>
      </w:tr>
      <w:tr w14:paraId="15A9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tcPr>
          <w:p w14:paraId="1D793025">
            <w:pPr>
              <w:spacing w:line="440" w:lineRule="exact"/>
              <w:jc w:val="center"/>
              <w:rPr>
                <w:rFonts w:hint="eastAsia" w:ascii="仿宋" w:hAnsi="仿宋" w:eastAsia="仿宋"/>
                <w:sz w:val="28"/>
                <w:szCs w:val="28"/>
              </w:rPr>
            </w:pPr>
            <w:r>
              <w:rPr>
                <w:rFonts w:hint="eastAsia" w:ascii="仿宋" w:hAnsi="仿宋" w:eastAsia="仿宋"/>
                <w:sz w:val="28"/>
                <w:szCs w:val="28"/>
              </w:rPr>
              <w:t>项目预算（单位：万元）</w:t>
            </w:r>
          </w:p>
        </w:tc>
        <w:tc>
          <w:tcPr>
            <w:tcW w:w="5723" w:type="dxa"/>
          </w:tcPr>
          <w:p w14:paraId="4D38C34C">
            <w:pPr>
              <w:spacing w:line="440" w:lineRule="exact"/>
              <w:rPr>
                <w:rFonts w:hint="default" w:ascii="仿宋" w:hAnsi="仿宋" w:eastAsia="仿宋"/>
                <w:lang w:val="en-US" w:eastAsia="zh-CN"/>
              </w:rPr>
            </w:pPr>
            <w:r>
              <w:rPr>
                <w:rFonts w:hint="eastAsia" w:ascii="微软雅黑" w:hAnsi="微软雅黑" w:eastAsia="微软雅黑" w:cs="微软雅黑"/>
                <w:i w:val="0"/>
                <w:iCs w:val="0"/>
                <w:caps w:val="0"/>
                <w:color w:val="000000"/>
                <w:spacing w:val="0"/>
                <w:sz w:val="21"/>
                <w:szCs w:val="21"/>
                <w:shd w:val="clear" w:fill="FFFFFF"/>
              </w:rPr>
              <w:t>2,331,322.01</w:t>
            </w:r>
            <w:r>
              <w:rPr>
                <w:rFonts w:hint="eastAsia" w:ascii="仿宋" w:hAnsi="仿宋" w:eastAsia="仿宋"/>
                <w:sz w:val="28"/>
                <w:szCs w:val="28"/>
                <w:lang w:val="en-US" w:eastAsia="zh-CN"/>
              </w:rPr>
              <w:t>元</w:t>
            </w:r>
          </w:p>
        </w:tc>
      </w:tr>
      <w:tr w14:paraId="5FC0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0" w:type="dxa"/>
          </w:tcPr>
          <w:p w14:paraId="139EE4A6">
            <w:pPr>
              <w:spacing w:line="440" w:lineRule="exact"/>
              <w:jc w:val="center"/>
              <w:rPr>
                <w:rFonts w:hint="eastAsia" w:ascii="仿宋" w:hAnsi="仿宋" w:eastAsia="仿宋"/>
                <w:sz w:val="28"/>
                <w:szCs w:val="28"/>
              </w:rPr>
            </w:pPr>
            <w:r>
              <w:rPr>
                <w:rFonts w:hint="eastAsia" w:ascii="仿宋" w:hAnsi="仿宋" w:eastAsia="仿宋"/>
                <w:sz w:val="28"/>
                <w:szCs w:val="28"/>
              </w:rPr>
              <w:t>采购人单位</w:t>
            </w:r>
          </w:p>
        </w:tc>
        <w:tc>
          <w:tcPr>
            <w:tcW w:w="5723" w:type="dxa"/>
          </w:tcPr>
          <w:p w14:paraId="51B67557">
            <w:pPr>
              <w:spacing w:line="440" w:lineRule="exact"/>
              <w:jc w:val="both"/>
              <w:rPr>
                <w:rFonts w:hint="default" w:ascii="仿宋" w:hAnsi="仿宋" w:eastAsia="仿宋"/>
                <w:sz w:val="28"/>
                <w:szCs w:val="28"/>
                <w:lang w:val="en-US" w:eastAsia="zh-CN"/>
              </w:rPr>
            </w:pPr>
            <w:r>
              <w:rPr>
                <w:rFonts w:hint="eastAsia" w:ascii="仿宋" w:hAnsi="仿宋" w:eastAsia="仿宋"/>
                <w:sz w:val="28"/>
                <w:szCs w:val="28"/>
                <w:lang w:val="en-US" w:eastAsia="zh-CN"/>
              </w:rPr>
              <w:t>建筑设计艺术学院</w:t>
            </w:r>
          </w:p>
        </w:tc>
      </w:tr>
      <w:tr w14:paraId="06B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tcPr>
          <w:p w14:paraId="76AB8F1D">
            <w:pPr>
              <w:spacing w:line="440" w:lineRule="exact"/>
              <w:jc w:val="center"/>
              <w:rPr>
                <w:rFonts w:hint="eastAsia" w:ascii="仿宋" w:hAnsi="仿宋" w:eastAsia="仿宋"/>
                <w:sz w:val="28"/>
                <w:szCs w:val="28"/>
              </w:rPr>
            </w:pPr>
            <w:ins w:id="0" w:author="苏展强" w:date="2025-09-11T08:31:58Z">
              <w:r>
                <w:rPr>
                  <w:rFonts w:hint="eastAsia" w:ascii="仿宋" w:hAnsi="仿宋" w:eastAsia="仿宋"/>
                  <w:sz w:val="28"/>
                  <w:szCs w:val="28"/>
                  <w:lang w:val="en-US" w:eastAsia="zh-CN"/>
                </w:rPr>
                <w:t>联系</w:t>
              </w:r>
            </w:ins>
            <w:ins w:id="1" w:author="苏展强" w:date="2025-09-11T08:31:59Z">
              <w:r>
                <w:rPr>
                  <w:rFonts w:hint="eastAsia" w:ascii="仿宋" w:hAnsi="仿宋" w:eastAsia="仿宋"/>
                  <w:sz w:val="28"/>
                  <w:szCs w:val="28"/>
                  <w:lang w:val="en-US" w:eastAsia="zh-CN"/>
                </w:rPr>
                <w:t>邮箱</w:t>
              </w:r>
            </w:ins>
          </w:p>
        </w:tc>
        <w:tc>
          <w:tcPr>
            <w:tcW w:w="5723" w:type="dxa"/>
          </w:tcPr>
          <w:p w14:paraId="2E9E3735">
            <w:pPr>
              <w:spacing w:line="440" w:lineRule="exact"/>
              <w:jc w:val="both"/>
              <w:rPr>
                <w:rFonts w:hint="default" w:ascii="仿宋" w:hAnsi="仿宋" w:eastAsia="仿宋"/>
                <w:sz w:val="28"/>
                <w:szCs w:val="28"/>
                <w:lang w:val="en-US" w:eastAsia="zh-CN"/>
              </w:rPr>
            </w:pPr>
            <w:ins w:id="2" w:author="苏展强" w:date="2025-09-11T08:32:18Z">
              <w:r>
                <w:rPr>
                  <w:rFonts w:hint="default" w:ascii="仿宋" w:hAnsi="仿宋" w:eastAsia="仿宋"/>
                  <w:sz w:val="28"/>
                  <w:szCs w:val="28"/>
                  <w:lang w:val="en-US" w:eastAsia="zh-CN"/>
                </w:rPr>
                <w:t>cg@gdcvi.edu.cn</w:t>
              </w:r>
            </w:ins>
          </w:p>
        </w:tc>
      </w:tr>
    </w:tbl>
    <w:p w14:paraId="79B11718">
      <w:pPr>
        <w:pStyle w:val="23"/>
        <w:widowControl/>
        <w:numPr>
          <w:ilvl w:val="0"/>
          <w:numId w:val="1"/>
        </w:numPr>
        <w:spacing w:line="440" w:lineRule="exact"/>
        <w:ind w:firstLineChars="0"/>
        <w:jc w:val="left"/>
        <w:rPr>
          <w:rFonts w:hint="eastAsia" w:ascii="黑体" w:hAnsi="黑体" w:cs="Helvetica Neue"/>
          <w:b/>
          <w:color w:val="000000" w:themeColor="text1"/>
          <w:kern w:val="0"/>
          <w:sz w:val="32"/>
          <w:szCs w:val="32"/>
          <w14:textFill>
            <w14:solidFill>
              <w14:schemeClr w14:val="tx1"/>
            </w14:solidFill>
          </w14:textFill>
        </w:rPr>
      </w:pPr>
      <w:r>
        <w:rPr>
          <w:rFonts w:hint="eastAsia" w:ascii="黑体" w:hAnsi="黑体" w:cs="Helvetica Neue"/>
          <w:b/>
          <w:color w:val="000000" w:themeColor="text1"/>
          <w:kern w:val="0"/>
          <w:sz w:val="32"/>
          <w:szCs w:val="32"/>
          <w14:textFill>
            <w14:solidFill>
              <w14:schemeClr w14:val="tx1"/>
            </w14:solidFill>
          </w14:textFill>
        </w:rPr>
        <w:t>采购需求</w:t>
      </w:r>
      <w:bookmarkStart w:id="1" w:name="_GoBack"/>
      <w:bookmarkEnd w:id="1"/>
    </w:p>
    <w:p w14:paraId="19CFF0A0">
      <w:pPr>
        <w:spacing w:line="440" w:lineRule="exact"/>
        <w:jc w:val="left"/>
        <w:rPr>
          <w:rFonts w:hint="eastAsia" w:ascii="仿宋" w:hAnsi="仿宋" w:eastAsia="仿宋"/>
          <w:sz w:val="28"/>
          <w:szCs w:val="28"/>
        </w:rPr>
      </w:pPr>
      <w:r>
        <w:rPr>
          <w:rFonts w:hint="eastAsia" w:ascii="仿宋" w:hAnsi="仿宋" w:eastAsia="仿宋"/>
          <w:sz w:val="28"/>
          <w:szCs w:val="28"/>
        </w:rPr>
        <w:t>（一）采购项目需实现的功能和目标：</w:t>
      </w:r>
    </w:p>
    <w:p w14:paraId="6FD9F65B">
      <w:pPr>
        <w:pStyle w:val="6"/>
        <w:spacing w:before="43" w:line="440" w:lineRule="exact"/>
        <w:ind w:left="10" w:right="12" w:firstLine="564"/>
        <w:jc w:val="left"/>
        <w:rPr>
          <w:rFonts w:hint="eastAsia" w:ascii="仿宋" w:hAnsi="仿宋" w:eastAsia="仿宋"/>
          <w:color w:val="auto"/>
          <w:sz w:val="32"/>
          <w:szCs w:val="32"/>
          <w:highlight w:val="none"/>
        </w:rPr>
      </w:pPr>
      <w:r>
        <w:rPr>
          <w:rFonts w:hint="eastAsia" w:ascii="仿宋" w:hAnsi="仿宋" w:eastAsia="仿宋" w:cstheme="minorBidi"/>
          <w:color w:val="auto"/>
          <w:kern w:val="2"/>
          <w:sz w:val="28"/>
          <w:szCs w:val="28"/>
          <w:highlight w:val="none"/>
          <w:lang w:val="en-US" w:eastAsia="zh-CN" w:bidi="ar-SA"/>
        </w:rPr>
        <w:t>根据学校（双高）建设和高水平专业群建设的需求，实训室环境建设需进行装修改造，包含建筑设计基础实训、装饰照明实训、装饰施工技术实训、摄影摄像录播实训、家具设计实训（人机工程）、软装设计实训、室内设计方案创作比赛、模型制作、材料展示与研发。通过翻新改造工程满足学校日常教学活动和实训活动的功能需求，为我校教师改善和提升教学办公环境，为莘莘学子创造一个优良的学习环境</w:t>
      </w:r>
      <w:r>
        <w:rPr>
          <w:rFonts w:hint="eastAsia" w:ascii="仿宋" w:hAnsi="仿宋" w:eastAsia="仿宋" w:cstheme="minorBidi"/>
          <w:color w:val="auto"/>
          <w:kern w:val="2"/>
          <w:sz w:val="32"/>
          <w:szCs w:val="32"/>
          <w:highlight w:val="none"/>
          <w:lang w:val="en-US" w:eastAsia="zh-CN" w:bidi="ar-SA"/>
        </w:rPr>
        <w:t>。</w:t>
      </w:r>
    </w:p>
    <w:p w14:paraId="44DC5807">
      <w:pPr>
        <w:spacing w:line="440" w:lineRule="exact"/>
        <w:rPr>
          <w:rFonts w:hint="eastAsia" w:ascii="仿宋" w:hAnsi="仿宋" w:eastAsia="仿宋"/>
          <w:sz w:val="32"/>
          <w:szCs w:val="32"/>
        </w:rPr>
      </w:pPr>
    </w:p>
    <w:p w14:paraId="594EFC2C">
      <w:pPr>
        <w:spacing w:line="440" w:lineRule="exact"/>
        <w:rPr>
          <w:rFonts w:hint="eastAsia" w:ascii="仿宋" w:hAnsi="仿宋" w:eastAsia="仿宋"/>
          <w:sz w:val="32"/>
          <w:szCs w:val="32"/>
        </w:rPr>
      </w:pPr>
      <w:r>
        <w:rPr>
          <w:rFonts w:hint="eastAsia" w:ascii="仿宋" w:hAnsi="仿宋" w:eastAsia="仿宋"/>
          <w:sz w:val="32"/>
          <w:szCs w:val="32"/>
        </w:rPr>
        <w:t>（二）项目属性：</w:t>
      </w:r>
    </w:p>
    <w:p w14:paraId="462CF9DA">
      <w:pPr>
        <w:spacing w:line="440" w:lineRule="exact"/>
        <w:rPr>
          <w:rFonts w:hint="eastAsia" w:ascii="仿宋" w:hAnsi="仿宋" w:eastAsia="仿宋"/>
          <w:sz w:val="32"/>
          <w:szCs w:val="32"/>
        </w:rPr>
      </w:pPr>
      <w:r>
        <w:rPr>
          <w:rFonts w:hint="eastAsia" w:ascii="仿宋" w:hAnsi="仿宋" w:eastAsia="仿宋"/>
          <w:sz w:val="32"/>
          <w:szCs w:val="32"/>
        </w:rPr>
        <w:t xml:space="preserve">是否适宜由中小企业提供，并专门面向中小企业采购 </w:t>
      </w:r>
    </w:p>
    <w:p w14:paraId="467A002E">
      <w:pPr>
        <w:spacing w:line="440" w:lineRule="exac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 xml:space="preserve">是 </w:t>
      </w:r>
      <w:r>
        <w:rPr>
          <w:rFonts w:ascii="仿宋" w:hAnsi="仿宋" w:eastAsia="仿宋"/>
          <w:sz w:val="32"/>
          <w:szCs w:val="32"/>
        </w:rPr>
        <w:t xml:space="preserve"> </w:t>
      </w:r>
    </w:p>
    <w:p w14:paraId="7C7A0903">
      <w:pPr>
        <w:spacing w:line="440" w:lineRule="exact"/>
        <w:rPr>
          <w:rFonts w:hint="eastAsia" w:ascii="仿宋" w:hAnsi="仿宋" w:eastAsia="仿宋"/>
          <w:sz w:val="28"/>
          <w:szCs w:val="28"/>
          <w:u w:val="single"/>
        </w:rPr>
        <w:sectPr>
          <w:headerReference r:id="rId3" w:type="default"/>
          <w:footerReference r:id="rId4" w:type="default"/>
          <w:type w:val="continuous"/>
          <w:pgSz w:w="11900" w:h="16840"/>
          <w:pgMar w:top="1440" w:right="1800" w:bottom="1440" w:left="1800" w:header="851" w:footer="992" w:gutter="0"/>
          <w:pgNumType w:start="1"/>
          <w:cols w:space="425" w:num="1"/>
          <w:docGrid w:type="lines" w:linePitch="312" w:charSpace="0"/>
        </w:sectPr>
      </w:pPr>
      <w:r>
        <w:rPr>
          <w:rFonts w:hint="eastAsia" w:ascii="仿宋" w:hAnsi="仿宋" w:eastAsia="仿宋"/>
          <w:sz w:val="32"/>
          <w:szCs w:val="32"/>
        </w:rPr>
        <w:t>□否，原因说明</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7C080D71">
      <w:pPr>
        <w:spacing w:line="440" w:lineRule="exact"/>
        <w:rPr>
          <w:rFonts w:hint="eastAsia" w:ascii="仿宋" w:hAnsi="仿宋" w:eastAsia="仿宋"/>
          <w:sz w:val="32"/>
          <w:szCs w:val="32"/>
        </w:rPr>
      </w:pPr>
      <w:r>
        <w:rPr>
          <w:rFonts w:hint="eastAsia" w:ascii="仿宋" w:hAnsi="仿宋" w:eastAsia="仿宋"/>
          <w:sz w:val="32"/>
          <w:szCs w:val="32"/>
        </w:rPr>
        <w:t>（三）采购标的汇总表</w:t>
      </w:r>
    </w:p>
    <w:tbl>
      <w:tblPr>
        <w:tblStyle w:val="13"/>
        <w:tblW w:w="13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705"/>
        <w:gridCol w:w="2336"/>
        <w:gridCol w:w="2276"/>
        <w:gridCol w:w="1650"/>
        <w:gridCol w:w="1802"/>
        <w:gridCol w:w="1802"/>
      </w:tblGrid>
      <w:tr w14:paraId="4F18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706" w:type="dxa"/>
            <w:shd w:val="clear" w:color="auto" w:fill="FFFFFF"/>
            <w:tcMar>
              <w:top w:w="0" w:type="dxa"/>
              <w:right w:w="0" w:type="dxa"/>
            </w:tcMar>
            <w:vAlign w:val="center"/>
          </w:tcPr>
          <w:p w14:paraId="5BF8A34E">
            <w:pPr>
              <w:autoSpaceDE w:val="0"/>
              <w:autoSpaceDN w:val="0"/>
              <w:adjustRightInd w:val="0"/>
              <w:spacing w:line="440" w:lineRule="exact"/>
              <w:jc w:val="center"/>
              <w:rPr>
                <w:rFonts w:hint="eastAsia" w:ascii="仿宋" w:hAnsi="仿宋" w:eastAsia="仿宋" w:cs="Cabin-Regular"/>
                <w:color w:val="000000" w:themeColor="text1"/>
                <w:kern w:val="0"/>
                <w:sz w:val="28"/>
                <w:szCs w:val="28"/>
                <w14:textFill>
                  <w14:solidFill>
                    <w14:schemeClr w14:val="tx1"/>
                  </w14:solidFill>
                </w14:textFill>
              </w:rPr>
            </w:pPr>
            <w:r>
              <w:rPr>
                <w:rFonts w:hint="eastAsia" w:ascii="仿宋" w:hAnsi="仿宋" w:eastAsia="仿宋" w:cs="Helvetica Neue"/>
                <w:color w:val="000000" w:themeColor="text1"/>
                <w:kern w:val="0"/>
                <w:sz w:val="28"/>
                <w:szCs w:val="28"/>
                <w14:textFill>
                  <w14:solidFill>
                    <w14:schemeClr w14:val="tx1"/>
                  </w14:solidFill>
                </w14:textFill>
              </w:rPr>
              <w:t>序号</w:t>
            </w:r>
          </w:p>
        </w:tc>
        <w:tc>
          <w:tcPr>
            <w:tcW w:w="1705" w:type="dxa"/>
            <w:shd w:val="clear" w:color="auto" w:fill="FFFFFF"/>
            <w:tcMar>
              <w:top w:w="0" w:type="dxa"/>
              <w:right w:w="0" w:type="dxa"/>
            </w:tcMar>
            <w:vAlign w:val="center"/>
          </w:tcPr>
          <w:p w14:paraId="6C9DDFE5">
            <w:pPr>
              <w:autoSpaceDE w:val="0"/>
              <w:autoSpaceDN w:val="0"/>
              <w:adjustRightInd w:val="0"/>
              <w:spacing w:line="440" w:lineRule="exact"/>
              <w:jc w:val="center"/>
              <w:rPr>
                <w:rFonts w:hint="eastAsia" w:ascii="仿宋" w:hAnsi="仿宋" w:eastAsia="仿宋" w:cs="Cabin-Regular"/>
                <w:color w:val="000000" w:themeColor="text1"/>
                <w:kern w:val="0"/>
                <w:sz w:val="28"/>
                <w:szCs w:val="28"/>
                <w14:textFill>
                  <w14:solidFill>
                    <w14:schemeClr w14:val="tx1"/>
                  </w14:solidFill>
                </w14:textFill>
              </w:rPr>
            </w:pPr>
            <w:r>
              <w:rPr>
                <w:rFonts w:hint="eastAsia" w:ascii="仿宋" w:hAnsi="仿宋" w:eastAsia="仿宋" w:cs="Helvetica Neue"/>
                <w:color w:val="000000" w:themeColor="text1"/>
                <w:kern w:val="0"/>
                <w:sz w:val="28"/>
                <w:szCs w:val="28"/>
                <w14:textFill>
                  <w14:solidFill>
                    <w14:schemeClr w14:val="tx1"/>
                  </w14:solidFill>
                </w14:textFill>
              </w:rPr>
              <w:t>货物名称</w:t>
            </w:r>
          </w:p>
        </w:tc>
        <w:tc>
          <w:tcPr>
            <w:tcW w:w="2336" w:type="dxa"/>
            <w:shd w:val="clear" w:color="auto" w:fill="FFFFFF"/>
            <w:tcMar>
              <w:top w:w="0" w:type="dxa"/>
              <w:right w:w="0" w:type="dxa"/>
            </w:tcMar>
            <w:vAlign w:val="center"/>
          </w:tcPr>
          <w:p w14:paraId="7FA337FE">
            <w:pPr>
              <w:autoSpaceDE w:val="0"/>
              <w:autoSpaceDN w:val="0"/>
              <w:adjustRightInd w:val="0"/>
              <w:spacing w:line="440" w:lineRule="exact"/>
              <w:jc w:val="center"/>
              <w:rPr>
                <w:rFonts w:hint="eastAsia" w:ascii="仿宋" w:hAnsi="仿宋" w:eastAsia="仿宋" w:cs="Cabin-Regular"/>
                <w:color w:val="000000" w:themeColor="text1"/>
                <w:kern w:val="0"/>
                <w:sz w:val="28"/>
                <w:szCs w:val="28"/>
                <w14:textFill>
                  <w14:solidFill>
                    <w14:schemeClr w14:val="tx1"/>
                  </w14:solidFill>
                </w14:textFill>
              </w:rPr>
            </w:pPr>
            <w:r>
              <w:rPr>
                <w:rFonts w:hint="eastAsia" w:ascii="仿宋" w:hAnsi="仿宋" w:eastAsia="仿宋" w:cs="Helvetica Neue"/>
                <w:color w:val="000000" w:themeColor="text1"/>
                <w:kern w:val="0"/>
                <w:sz w:val="28"/>
                <w:szCs w:val="28"/>
                <w14:textFill>
                  <w14:solidFill>
                    <w14:schemeClr w14:val="tx1"/>
                  </w14:solidFill>
                </w14:textFill>
              </w:rPr>
              <w:t>政府采购品目分类编码</w:t>
            </w:r>
          </w:p>
        </w:tc>
        <w:tc>
          <w:tcPr>
            <w:tcW w:w="2276" w:type="dxa"/>
            <w:shd w:val="clear" w:color="auto" w:fill="FFFFFF"/>
            <w:tcMar>
              <w:top w:w="0" w:type="dxa"/>
              <w:right w:w="0" w:type="dxa"/>
            </w:tcMar>
            <w:vAlign w:val="center"/>
          </w:tcPr>
          <w:p w14:paraId="33A80961">
            <w:pPr>
              <w:autoSpaceDE w:val="0"/>
              <w:autoSpaceDN w:val="0"/>
              <w:adjustRightInd w:val="0"/>
              <w:spacing w:line="440" w:lineRule="exact"/>
              <w:jc w:val="center"/>
              <w:rPr>
                <w:rFonts w:hint="eastAsia" w:ascii="仿宋" w:hAnsi="仿宋" w:eastAsia="仿宋" w:cs="Cabin-Regular"/>
                <w:color w:val="000000" w:themeColor="text1"/>
                <w:kern w:val="0"/>
                <w:sz w:val="28"/>
                <w:szCs w:val="28"/>
                <w14:textFill>
                  <w14:solidFill>
                    <w14:schemeClr w14:val="tx1"/>
                  </w14:solidFill>
                </w14:textFill>
              </w:rPr>
            </w:pPr>
            <w:r>
              <w:rPr>
                <w:rFonts w:hint="eastAsia" w:ascii="仿宋" w:hAnsi="仿宋" w:eastAsia="仿宋" w:cs="Helvetica Neue"/>
                <w:color w:val="000000" w:themeColor="text1"/>
                <w:kern w:val="0"/>
                <w:sz w:val="28"/>
                <w:szCs w:val="28"/>
                <w14:textFill>
                  <w14:solidFill>
                    <w14:schemeClr w14:val="tx1"/>
                  </w14:solidFill>
                </w14:textFill>
              </w:rPr>
              <w:t>计量单位</w:t>
            </w:r>
          </w:p>
        </w:tc>
        <w:tc>
          <w:tcPr>
            <w:tcW w:w="1650" w:type="dxa"/>
            <w:shd w:val="clear" w:color="auto" w:fill="FFFFFF"/>
            <w:tcMar>
              <w:top w:w="0" w:type="dxa"/>
              <w:right w:w="0" w:type="dxa"/>
            </w:tcMar>
            <w:vAlign w:val="center"/>
          </w:tcPr>
          <w:p w14:paraId="507C9CB0">
            <w:pPr>
              <w:autoSpaceDE w:val="0"/>
              <w:autoSpaceDN w:val="0"/>
              <w:adjustRightInd w:val="0"/>
              <w:spacing w:line="440" w:lineRule="exact"/>
              <w:jc w:val="center"/>
              <w:rPr>
                <w:rFonts w:hint="eastAsia" w:ascii="仿宋" w:hAnsi="仿宋" w:eastAsia="仿宋" w:cs="Cabin-Regular"/>
                <w:color w:val="000000" w:themeColor="text1"/>
                <w:kern w:val="0"/>
                <w:sz w:val="28"/>
                <w:szCs w:val="28"/>
                <w14:textFill>
                  <w14:solidFill>
                    <w14:schemeClr w14:val="tx1"/>
                  </w14:solidFill>
                </w14:textFill>
              </w:rPr>
            </w:pPr>
            <w:r>
              <w:rPr>
                <w:rFonts w:hint="eastAsia" w:ascii="仿宋" w:hAnsi="仿宋" w:eastAsia="仿宋" w:cs="Helvetica Neue"/>
                <w:color w:val="000000" w:themeColor="text1"/>
                <w:kern w:val="0"/>
                <w:sz w:val="28"/>
                <w:szCs w:val="28"/>
                <w14:textFill>
                  <w14:solidFill>
                    <w14:schemeClr w14:val="tx1"/>
                  </w14:solidFill>
                </w14:textFill>
              </w:rPr>
              <w:t>数量</w:t>
            </w:r>
          </w:p>
        </w:tc>
        <w:tc>
          <w:tcPr>
            <w:tcW w:w="1802" w:type="dxa"/>
            <w:shd w:val="clear" w:color="auto" w:fill="FFFFFF"/>
            <w:vAlign w:val="center"/>
          </w:tcPr>
          <w:p w14:paraId="5793EC98">
            <w:pPr>
              <w:autoSpaceDE w:val="0"/>
              <w:autoSpaceDN w:val="0"/>
              <w:adjustRightInd w:val="0"/>
              <w:spacing w:line="440" w:lineRule="exact"/>
              <w:jc w:val="center"/>
              <w:rPr>
                <w:rFonts w:hint="eastAsia" w:ascii="仿宋" w:hAnsi="仿宋" w:eastAsia="仿宋" w:cs="Helvetica Neue"/>
                <w:color w:val="000000" w:themeColor="text1"/>
                <w:kern w:val="0"/>
                <w:sz w:val="28"/>
                <w:szCs w:val="28"/>
                <w14:textFill>
                  <w14:solidFill>
                    <w14:schemeClr w14:val="tx1"/>
                  </w14:solidFill>
                </w14:textFill>
              </w:rPr>
            </w:pPr>
            <w:r>
              <w:rPr>
                <w:rFonts w:hint="eastAsia" w:ascii="仿宋" w:hAnsi="仿宋" w:eastAsia="仿宋" w:cs="Helvetica Neue"/>
                <w:color w:val="000000" w:themeColor="text1"/>
                <w:kern w:val="0"/>
                <w:sz w:val="28"/>
                <w:szCs w:val="28"/>
                <w14:textFill>
                  <w14:solidFill>
                    <w14:schemeClr w14:val="tx1"/>
                  </w14:solidFill>
                </w14:textFill>
              </w:rPr>
              <w:t>预算</w:t>
            </w:r>
          </w:p>
        </w:tc>
        <w:tc>
          <w:tcPr>
            <w:tcW w:w="1802" w:type="dxa"/>
            <w:shd w:val="clear" w:color="auto" w:fill="FFFFFF"/>
            <w:tcMar>
              <w:top w:w="0" w:type="dxa"/>
              <w:right w:w="0" w:type="dxa"/>
            </w:tcMar>
            <w:vAlign w:val="center"/>
          </w:tcPr>
          <w:p w14:paraId="60E86932">
            <w:pPr>
              <w:autoSpaceDE w:val="0"/>
              <w:autoSpaceDN w:val="0"/>
              <w:adjustRightInd w:val="0"/>
              <w:spacing w:line="440" w:lineRule="exact"/>
              <w:jc w:val="center"/>
              <w:rPr>
                <w:rFonts w:hint="eastAsia" w:ascii="仿宋" w:hAnsi="仿宋" w:eastAsia="仿宋" w:cs="Cabin-Regular"/>
                <w:color w:val="000000" w:themeColor="text1"/>
                <w:kern w:val="0"/>
                <w:sz w:val="28"/>
                <w:szCs w:val="28"/>
                <w14:textFill>
                  <w14:solidFill>
                    <w14:schemeClr w14:val="tx1"/>
                  </w14:solidFill>
                </w14:textFill>
              </w:rPr>
            </w:pPr>
            <w:r>
              <w:rPr>
                <w:rFonts w:hint="eastAsia" w:ascii="仿宋" w:hAnsi="仿宋" w:eastAsia="仿宋" w:cs="Helvetica Neue"/>
                <w:color w:val="000000" w:themeColor="text1"/>
                <w:kern w:val="0"/>
                <w:sz w:val="28"/>
                <w:szCs w:val="28"/>
                <w14:textFill>
                  <w14:solidFill>
                    <w14:schemeClr w14:val="tx1"/>
                  </w14:solidFill>
                </w14:textFill>
              </w:rPr>
              <w:t>是否进口</w:t>
            </w:r>
          </w:p>
        </w:tc>
      </w:tr>
      <w:tr w14:paraId="613B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06" w:type="dxa"/>
            <w:shd w:val="clear" w:color="auto" w:fill="FFFFFF"/>
            <w:tcMar>
              <w:top w:w="0" w:type="dxa"/>
              <w:right w:w="0" w:type="dxa"/>
            </w:tcMar>
            <w:vAlign w:val="center"/>
          </w:tcPr>
          <w:p w14:paraId="7AB9B2EF">
            <w:pPr>
              <w:autoSpaceDE w:val="0"/>
              <w:autoSpaceDN w:val="0"/>
              <w:adjustRightInd w:val="0"/>
              <w:spacing w:line="440" w:lineRule="exact"/>
              <w:jc w:val="center"/>
              <w:rPr>
                <w:rFonts w:hint="eastAsia" w:ascii="仿宋" w:hAnsi="仿宋" w:eastAsia="仿宋" w:cs="Helvetica Neue"/>
                <w:color w:val="auto"/>
                <w:kern w:val="0"/>
                <w:sz w:val="28"/>
                <w:szCs w:val="28"/>
                <w:highlight w:val="none"/>
                <w:lang w:val="en-US" w:eastAsia="zh-CN" w:bidi="ar-SA"/>
              </w:rPr>
            </w:pPr>
            <w:r>
              <w:rPr>
                <w:rFonts w:hint="eastAsia" w:ascii="仿宋" w:hAnsi="仿宋" w:eastAsia="仿宋" w:cs="Helvetica Neue"/>
                <w:color w:val="auto"/>
                <w:kern w:val="0"/>
                <w:sz w:val="28"/>
                <w:szCs w:val="28"/>
                <w:highlight w:val="none"/>
                <w:lang w:val="en-US" w:eastAsia="zh-CN"/>
              </w:rPr>
              <w:t>1</w:t>
            </w:r>
          </w:p>
        </w:tc>
        <w:tc>
          <w:tcPr>
            <w:tcW w:w="1705" w:type="dxa"/>
            <w:shd w:val="clear" w:color="auto" w:fill="FFFFFF"/>
            <w:tcMar>
              <w:top w:w="0" w:type="dxa"/>
              <w:right w:w="0" w:type="dxa"/>
            </w:tcMar>
            <w:vAlign w:val="top"/>
          </w:tcPr>
          <w:p w14:paraId="411285BE">
            <w:pPr>
              <w:autoSpaceDE w:val="0"/>
              <w:autoSpaceDN w:val="0"/>
              <w:adjustRightInd w:val="0"/>
              <w:spacing w:line="440" w:lineRule="exact"/>
              <w:jc w:val="center"/>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b w:val="0"/>
                <w:bCs w:val="0"/>
                <w:sz w:val="28"/>
                <w:szCs w:val="28"/>
                <w:u w:val="none"/>
                <w:lang w:val="en-US" w:eastAsia="zh-CN"/>
              </w:rPr>
              <w:t>广东建筑设计艺术产教融合实践中心（一期）建设项目</w:t>
            </w:r>
          </w:p>
        </w:tc>
        <w:tc>
          <w:tcPr>
            <w:tcW w:w="2336" w:type="dxa"/>
            <w:shd w:val="clear" w:color="auto" w:fill="FFFFFF"/>
            <w:tcMar>
              <w:top w:w="0" w:type="dxa"/>
              <w:right w:w="0" w:type="dxa"/>
            </w:tcMar>
            <w:vAlign w:val="center"/>
          </w:tcPr>
          <w:p w14:paraId="64711C86">
            <w:pPr>
              <w:autoSpaceDE w:val="0"/>
              <w:autoSpaceDN w:val="0"/>
              <w:adjustRightInd w:val="0"/>
              <w:spacing w:line="44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B07000000    </w:t>
            </w:r>
          </w:p>
          <w:p w14:paraId="7EA19ADE">
            <w:pPr>
              <w:autoSpaceDE w:val="0"/>
              <w:autoSpaceDN w:val="0"/>
              <w:adjustRightInd w:val="0"/>
              <w:spacing w:line="440" w:lineRule="exact"/>
              <w:jc w:val="center"/>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装修工程</w:t>
            </w:r>
          </w:p>
        </w:tc>
        <w:tc>
          <w:tcPr>
            <w:tcW w:w="2276" w:type="dxa"/>
            <w:shd w:val="clear" w:color="auto" w:fill="FFFFFF"/>
            <w:tcMar>
              <w:top w:w="0" w:type="dxa"/>
              <w:right w:w="0" w:type="dxa"/>
            </w:tcMar>
            <w:vAlign w:val="center"/>
          </w:tcPr>
          <w:p w14:paraId="18BF367B">
            <w:pPr>
              <w:autoSpaceDE w:val="0"/>
              <w:autoSpaceDN w:val="0"/>
              <w:adjustRightInd w:val="0"/>
              <w:spacing w:line="440" w:lineRule="exact"/>
              <w:jc w:val="center"/>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项</w:t>
            </w:r>
          </w:p>
        </w:tc>
        <w:tc>
          <w:tcPr>
            <w:tcW w:w="1650" w:type="dxa"/>
            <w:shd w:val="clear" w:color="auto" w:fill="FFFFFF"/>
            <w:tcMar>
              <w:top w:w="0" w:type="dxa"/>
              <w:right w:w="0" w:type="dxa"/>
            </w:tcMar>
            <w:vAlign w:val="center"/>
          </w:tcPr>
          <w:p w14:paraId="7A99BBA9">
            <w:pPr>
              <w:autoSpaceDE w:val="0"/>
              <w:autoSpaceDN w:val="0"/>
              <w:adjustRightInd w:val="0"/>
              <w:spacing w:line="440" w:lineRule="exact"/>
              <w:jc w:val="center"/>
              <w:rPr>
                <w:rFonts w:hint="eastAsia" w:ascii="仿宋" w:hAnsi="仿宋" w:eastAsia="仿宋" w:cs="Cabin-Regular"/>
                <w:color w:val="5E6B87"/>
                <w:kern w:val="0"/>
                <w:sz w:val="32"/>
                <w:szCs w:val="32"/>
                <w:lang w:val="en-US" w:eastAsia="zh-CN"/>
              </w:rPr>
            </w:pPr>
            <w:r>
              <w:rPr>
                <w:rFonts w:hint="eastAsia" w:ascii="仿宋" w:hAnsi="仿宋" w:eastAsia="仿宋" w:cs="Cabin-Regular"/>
                <w:color w:val="5E6B87"/>
                <w:kern w:val="0"/>
                <w:sz w:val="32"/>
                <w:szCs w:val="32"/>
                <w:lang w:val="en-US" w:eastAsia="zh-CN"/>
              </w:rPr>
              <w:t>1</w:t>
            </w:r>
          </w:p>
        </w:tc>
        <w:tc>
          <w:tcPr>
            <w:tcW w:w="1802" w:type="dxa"/>
            <w:shd w:val="clear" w:color="auto" w:fill="FFFFFF"/>
            <w:vAlign w:val="center"/>
          </w:tcPr>
          <w:p w14:paraId="76C13E53">
            <w:pPr>
              <w:autoSpaceDE w:val="0"/>
              <w:autoSpaceDN w:val="0"/>
              <w:adjustRightInd w:val="0"/>
              <w:spacing w:line="440" w:lineRule="exact"/>
              <w:jc w:val="center"/>
              <w:rPr>
                <w:rFonts w:hint="default" w:ascii="仿宋" w:hAnsi="仿宋" w:eastAsia="仿宋" w:cs="Helvetica Neue"/>
                <w:color w:val="000000" w:themeColor="text1"/>
                <w:kern w:val="0"/>
                <w:sz w:val="28"/>
                <w:szCs w:val="2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21"/>
                <w:szCs w:val="21"/>
                <w:shd w:val="clear" w:fill="FFFFFF"/>
              </w:rPr>
              <w:t>2,331,322.01</w:t>
            </w:r>
            <w:r>
              <w:rPr>
                <w:rFonts w:hint="eastAsia" w:ascii="仿宋" w:hAnsi="仿宋" w:eastAsia="仿宋" w:cs="Helvetica Neue"/>
                <w:color w:val="000000" w:themeColor="text1"/>
                <w:kern w:val="0"/>
                <w:sz w:val="28"/>
                <w:szCs w:val="28"/>
                <w:lang w:val="en-US" w:eastAsia="zh-CN"/>
                <w14:textFill>
                  <w14:solidFill>
                    <w14:schemeClr w14:val="tx1"/>
                  </w14:solidFill>
                </w14:textFill>
              </w:rPr>
              <w:t>元</w:t>
            </w:r>
          </w:p>
        </w:tc>
        <w:tc>
          <w:tcPr>
            <w:tcW w:w="1802" w:type="dxa"/>
            <w:shd w:val="clear" w:color="auto" w:fill="FFFFFF"/>
            <w:tcMar>
              <w:top w:w="0" w:type="dxa"/>
              <w:right w:w="0" w:type="dxa"/>
            </w:tcMar>
            <w:vAlign w:val="center"/>
          </w:tcPr>
          <w:p w14:paraId="6E80E0C6">
            <w:pPr>
              <w:autoSpaceDE w:val="0"/>
              <w:autoSpaceDN w:val="0"/>
              <w:adjustRightInd w:val="0"/>
              <w:spacing w:line="440" w:lineRule="exact"/>
              <w:jc w:val="center"/>
              <w:rPr>
                <w:rFonts w:hint="eastAsia" w:ascii="仿宋" w:hAnsi="仿宋" w:eastAsia="仿宋" w:cs="Cabin-Regular"/>
                <w:color w:val="5E6B87"/>
                <w:kern w:val="0"/>
                <w:sz w:val="32"/>
                <w:szCs w:val="32"/>
                <w:lang w:val="en-US" w:eastAsia="zh-CN"/>
              </w:rPr>
            </w:pPr>
            <w:r>
              <w:rPr>
                <w:rFonts w:hint="eastAsia" w:ascii="仿宋" w:hAnsi="仿宋" w:eastAsia="仿宋" w:cs="Cabin-Regular"/>
                <w:color w:val="5E6B87"/>
                <w:kern w:val="0"/>
                <w:sz w:val="32"/>
                <w:szCs w:val="32"/>
                <w:lang w:val="en-US" w:eastAsia="zh-CN"/>
              </w:rPr>
              <w:t>否</w:t>
            </w:r>
          </w:p>
        </w:tc>
      </w:tr>
      <w:tr w14:paraId="4C51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0B7332A9">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1705" w:type="dxa"/>
            <w:shd w:val="clear" w:color="auto" w:fill="FFFFFF"/>
            <w:tcMar>
              <w:top w:w="0" w:type="dxa"/>
              <w:right w:w="0" w:type="dxa"/>
            </w:tcMar>
            <w:vAlign w:val="center"/>
          </w:tcPr>
          <w:p w14:paraId="5D6B25EE">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2336" w:type="dxa"/>
            <w:shd w:val="clear" w:color="auto" w:fill="FFFFFF"/>
            <w:tcMar>
              <w:top w:w="0" w:type="dxa"/>
              <w:right w:w="0" w:type="dxa"/>
            </w:tcMar>
            <w:vAlign w:val="center"/>
          </w:tcPr>
          <w:p w14:paraId="729AFF90">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2276" w:type="dxa"/>
            <w:shd w:val="clear" w:color="auto" w:fill="FFFFFF"/>
            <w:tcMar>
              <w:top w:w="0" w:type="dxa"/>
              <w:right w:w="0" w:type="dxa"/>
            </w:tcMar>
            <w:vAlign w:val="center"/>
          </w:tcPr>
          <w:p w14:paraId="3F4B2AED">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1650" w:type="dxa"/>
            <w:shd w:val="clear" w:color="auto" w:fill="FFFFFF"/>
            <w:tcMar>
              <w:top w:w="0" w:type="dxa"/>
              <w:right w:w="0" w:type="dxa"/>
            </w:tcMar>
            <w:vAlign w:val="center"/>
          </w:tcPr>
          <w:p w14:paraId="41BAAA6D">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1802" w:type="dxa"/>
            <w:shd w:val="clear" w:color="auto" w:fill="FFFFFF"/>
            <w:vAlign w:val="center"/>
          </w:tcPr>
          <w:p w14:paraId="3128F9C1">
            <w:pPr>
              <w:autoSpaceDE w:val="0"/>
              <w:autoSpaceDN w:val="0"/>
              <w:adjustRightInd w:val="0"/>
              <w:spacing w:line="440" w:lineRule="exact"/>
              <w:jc w:val="center"/>
              <w:rPr>
                <w:rFonts w:hint="eastAsia" w:ascii="仿宋" w:hAnsi="仿宋" w:eastAsia="仿宋" w:cs="Helvetica Neue"/>
                <w:color w:val="000000" w:themeColor="text1"/>
                <w:kern w:val="0"/>
                <w:sz w:val="28"/>
                <w:szCs w:val="28"/>
                <w14:textFill>
                  <w14:solidFill>
                    <w14:schemeClr w14:val="tx1"/>
                  </w14:solidFill>
                </w14:textFill>
              </w:rPr>
            </w:pPr>
          </w:p>
        </w:tc>
        <w:tc>
          <w:tcPr>
            <w:tcW w:w="1802" w:type="dxa"/>
            <w:shd w:val="clear" w:color="auto" w:fill="FFFFFF"/>
            <w:tcMar>
              <w:top w:w="0" w:type="dxa"/>
              <w:right w:w="0" w:type="dxa"/>
            </w:tcMar>
            <w:vAlign w:val="center"/>
          </w:tcPr>
          <w:p w14:paraId="0C023902">
            <w:pPr>
              <w:autoSpaceDE w:val="0"/>
              <w:autoSpaceDN w:val="0"/>
              <w:adjustRightInd w:val="0"/>
              <w:spacing w:line="440" w:lineRule="exact"/>
              <w:jc w:val="center"/>
              <w:rPr>
                <w:rFonts w:hint="eastAsia" w:ascii="仿宋" w:hAnsi="仿宋" w:eastAsia="仿宋" w:cs="Cabin-Regular"/>
                <w:color w:val="5E6B87"/>
                <w:kern w:val="0"/>
                <w:sz w:val="32"/>
                <w:szCs w:val="32"/>
              </w:rPr>
            </w:pPr>
          </w:p>
        </w:tc>
      </w:tr>
      <w:tr w14:paraId="56C7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7600394B">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1705" w:type="dxa"/>
            <w:shd w:val="clear" w:color="auto" w:fill="FFFFFF"/>
            <w:tcMar>
              <w:top w:w="0" w:type="dxa"/>
              <w:right w:w="0" w:type="dxa"/>
            </w:tcMar>
            <w:vAlign w:val="center"/>
          </w:tcPr>
          <w:p w14:paraId="01A2DD19">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2336" w:type="dxa"/>
            <w:shd w:val="clear" w:color="auto" w:fill="FFFFFF"/>
            <w:tcMar>
              <w:top w:w="0" w:type="dxa"/>
              <w:right w:w="0" w:type="dxa"/>
            </w:tcMar>
            <w:vAlign w:val="center"/>
          </w:tcPr>
          <w:p w14:paraId="6008BC75">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2276" w:type="dxa"/>
            <w:shd w:val="clear" w:color="auto" w:fill="FFFFFF"/>
            <w:tcMar>
              <w:top w:w="0" w:type="dxa"/>
              <w:right w:w="0" w:type="dxa"/>
            </w:tcMar>
            <w:vAlign w:val="center"/>
          </w:tcPr>
          <w:p w14:paraId="4A32AD12">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1650" w:type="dxa"/>
            <w:shd w:val="clear" w:color="auto" w:fill="FFFFFF"/>
            <w:tcMar>
              <w:top w:w="0" w:type="dxa"/>
              <w:right w:w="0" w:type="dxa"/>
            </w:tcMar>
            <w:vAlign w:val="center"/>
          </w:tcPr>
          <w:p w14:paraId="1526654E">
            <w:pPr>
              <w:autoSpaceDE w:val="0"/>
              <w:autoSpaceDN w:val="0"/>
              <w:adjustRightInd w:val="0"/>
              <w:spacing w:line="440" w:lineRule="exact"/>
              <w:jc w:val="center"/>
              <w:rPr>
                <w:rFonts w:hint="eastAsia" w:ascii="仿宋" w:hAnsi="仿宋" w:eastAsia="仿宋" w:cs="Cabin-Regular"/>
                <w:color w:val="5E6B87"/>
                <w:kern w:val="0"/>
                <w:sz w:val="32"/>
                <w:szCs w:val="32"/>
              </w:rPr>
            </w:pPr>
          </w:p>
        </w:tc>
        <w:tc>
          <w:tcPr>
            <w:tcW w:w="1802" w:type="dxa"/>
            <w:shd w:val="clear" w:color="auto" w:fill="FFFFFF"/>
            <w:vAlign w:val="center"/>
          </w:tcPr>
          <w:p w14:paraId="7D092C09">
            <w:pPr>
              <w:autoSpaceDE w:val="0"/>
              <w:autoSpaceDN w:val="0"/>
              <w:adjustRightInd w:val="0"/>
              <w:spacing w:line="440" w:lineRule="exact"/>
              <w:jc w:val="center"/>
              <w:rPr>
                <w:rFonts w:hint="eastAsia" w:ascii="仿宋" w:hAnsi="仿宋" w:eastAsia="仿宋" w:cs="Helvetica Neue"/>
                <w:color w:val="000000" w:themeColor="text1"/>
                <w:kern w:val="0"/>
                <w:sz w:val="28"/>
                <w:szCs w:val="28"/>
                <w14:textFill>
                  <w14:solidFill>
                    <w14:schemeClr w14:val="tx1"/>
                  </w14:solidFill>
                </w14:textFill>
              </w:rPr>
            </w:pPr>
          </w:p>
        </w:tc>
        <w:tc>
          <w:tcPr>
            <w:tcW w:w="1802" w:type="dxa"/>
            <w:shd w:val="clear" w:color="auto" w:fill="FFFFFF"/>
            <w:tcMar>
              <w:top w:w="0" w:type="dxa"/>
              <w:right w:w="0" w:type="dxa"/>
            </w:tcMar>
            <w:vAlign w:val="center"/>
          </w:tcPr>
          <w:p w14:paraId="63EB5924">
            <w:pPr>
              <w:autoSpaceDE w:val="0"/>
              <w:autoSpaceDN w:val="0"/>
              <w:adjustRightInd w:val="0"/>
              <w:spacing w:line="440" w:lineRule="exact"/>
              <w:jc w:val="center"/>
              <w:rPr>
                <w:rFonts w:hint="eastAsia" w:ascii="仿宋" w:hAnsi="仿宋" w:eastAsia="仿宋" w:cs="Cabin-Regular"/>
                <w:color w:val="5E6B87"/>
                <w:kern w:val="0"/>
                <w:sz w:val="32"/>
                <w:szCs w:val="32"/>
              </w:rPr>
            </w:pPr>
          </w:p>
        </w:tc>
      </w:tr>
    </w:tbl>
    <w:p w14:paraId="45764285">
      <w:pPr>
        <w:autoSpaceDE w:val="0"/>
        <w:autoSpaceDN w:val="0"/>
        <w:adjustRightInd w:val="0"/>
        <w:spacing w:line="440" w:lineRule="exact"/>
        <w:jc w:val="left"/>
        <w:rPr>
          <w:rFonts w:hint="eastAsia" w:ascii="仿宋" w:hAnsi="仿宋" w:eastAsia="仿宋" w:cs="Cabin-Regular"/>
          <w:color w:val="000000" w:themeColor="text1"/>
          <w:kern w:val="0"/>
          <w:sz w:val="32"/>
          <w:szCs w:val="32"/>
          <w14:textFill>
            <w14:solidFill>
              <w14:schemeClr w14:val="tx1"/>
            </w14:solidFill>
          </w14:textFill>
        </w:rPr>
      </w:pPr>
      <w:r>
        <w:rPr>
          <w:rFonts w:hint="eastAsia" w:ascii="仿宋" w:hAnsi="仿宋" w:eastAsia="仿宋" w:cs="Helvetica Neue"/>
          <w:i/>
          <w:iCs/>
          <w:color w:val="000000" w:themeColor="text1"/>
          <w:kern w:val="0"/>
          <w:sz w:val="24"/>
          <w14:textFill>
            <w14:solidFill>
              <w14:schemeClr w14:val="tx1"/>
            </w14:solidFill>
          </w14:textFill>
        </w:rPr>
        <w:t>（</w:t>
      </w:r>
      <w:r>
        <w:rPr>
          <w:rFonts w:ascii="仿宋" w:hAnsi="仿宋" w:eastAsia="仿宋" w:cs="Helvetica Neue"/>
          <w:iCs/>
          <w:color w:val="000000" w:themeColor="text1"/>
          <w:kern w:val="0"/>
          <w:sz w:val="24"/>
          <w14:textFill>
            <w14:solidFill>
              <w14:schemeClr w14:val="tx1"/>
            </w14:solidFill>
          </w14:textFill>
        </w:rPr>
        <w:t>“</w:t>
      </w:r>
      <w:r>
        <w:rPr>
          <w:rFonts w:hint="eastAsia" w:ascii="仿宋" w:hAnsi="仿宋" w:eastAsia="仿宋" w:cs="Helvetica Neue"/>
          <w:iCs/>
          <w:color w:val="000000" w:themeColor="text1"/>
          <w:kern w:val="0"/>
          <w:sz w:val="24"/>
          <w14:textFill>
            <w14:solidFill>
              <w14:schemeClr w14:val="tx1"/>
            </w14:solidFill>
          </w14:textFill>
        </w:rPr>
        <w:t>采购货物</w:t>
      </w:r>
      <w:r>
        <w:rPr>
          <w:rFonts w:ascii="仿宋" w:hAnsi="仿宋" w:eastAsia="仿宋" w:cs="Helvetica Neue"/>
          <w:iCs/>
          <w:color w:val="000000" w:themeColor="text1"/>
          <w:kern w:val="0"/>
          <w:sz w:val="24"/>
          <w14:textFill>
            <w14:solidFill>
              <w14:schemeClr w14:val="tx1"/>
            </w14:solidFill>
          </w14:textFill>
        </w:rPr>
        <w:t>”</w:t>
      </w:r>
      <w:r>
        <w:rPr>
          <w:rFonts w:hint="eastAsia" w:ascii="仿宋" w:hAnsi="仿宋" w:eastAsia="仿宋" w:cs="Helvetica Neue"/>
          <w:iCs/>
          <w:color w:val="000000" w:themeColor="text1"/>
          <w:kern w:val="0"/>
          <w:sz w:val="24"/>
          <w14:textFill>
            <w14:solidFill>
              <w14:schemeClr w14:val="tx1"/>
            </w14:solidFill>
          </w14:textFill>
        </w:rPr>
        <w:t>应按照财政部制定的《政府采购品目分类目录》进行分类和细化，涉及采购进口产品请附有关论证和审核材料</w:t>
      </w:r>
      <w:r>
        <w:rPr>
          <w:rFonts w:ascii="仿宋" w:hAnsi="仿宋" w:eastAsia="仿宋" w:cs="Helvetica Neue"/>
          <w:i/>
          <w:iCs/>
          <w:color w:val="000000" w:themeColor="text1"/>
          <w:kern w:val="0"/>
          <w:sz w:val="28"/>
          <w:szCs w:val="28"/>
          <w14:textFill>
            <w14:solidFill>
              <w14:schemeClr w14:val="tx1"/>
            </w14:solidFill>
          </w14:textFill>
        </w:rPr>
        <w:t>）</w:t>
      </w:r>
      <w:r>
        <w:rPr>
          <w:rFonts w:hint="eastAsia" w:ascii="仿宋" w:hAnsi="仿宋" w:eastAsia="仿宋" w:cs="Helvetica Neue"/>
          <w:i/>
          <w:iCs/>
          <w:color w:val="000000" w:themeColor="text1"/>
          <w:kern w:val="0"/>
          <w:sz w:val="28"/>
          <w:szCs w:val="28"/>
          <w14:textFill>
            <w14:solidFill>
              <w14:schemeClr w14:val="tx1"/>
            </w14:solidFill>
          </w14:textFill>
        </w:rPr>
        <w:t>。</w:t>
      </w:r>
    </w:p>
    <w:p w14:paraId="5BD3BB0B">
      <w:pPr>
        <w:autoSpaceDE w:val="0"/>
        <w:autoSpaceDN w:val="0"/>
        <w:adjustRightInd w:val="0"/>
        <w:spacing w:line="440" w:lineRule="exact"/>
        <w:jc w:val="left"/>
        <w:rPr>
          <w:rFonts w:hint="eastAsia" w:ascii="仿宋" w:hAnsi="仿宋" w:eastAsia="仿宋" w:cs="Helvetica Neue"/>
          <w:i/>
          <w:iCs/>
          <w:color w:val="000000" w:themeColor="text1"/>
          <w:kern w:val="0"/>
          <w:sz w:val="24"/>
          <w14:textFill>
            <w14:solidFill>
              <w14:schemeClr w14:val="tx1"/>
            </w14:solidFill>
          </w14:textFill>
        </w:rPr>
        <w:sectPr>
          <w:headerReference r:id="rId5" w:type="default"/>
          <w:footerReference r:id="rId6" w:type="default"/>
          <w:pgSz w:w="16840" w:h="11900" w:orient="landscape"/>
          <w:pgMar w:top="1800" w:right="1440" w:bottom="1800" w:left="1440" w:header="851" w:footer="992" w:gutter="0"/>
          <w:cols w:space="425" w:num="1"/>
          <w:docGrid w:type="lines" w:linePitch="312" w:charSpace="0"/>
        </w:sectPr>
      </w:pPr>
    </w:p>
    <w:p w14:paraId="0AED4AB9">
      <w:pPr>
        <w:spacing w:line="440" w:lineRule="exact"/>
        <w:rPr>
          <w:rFonts w:hint="eastAsia" w:ascii="仿宋" w:hAnsi="仿宋" w:eastAsia="仿宋"/>
          <w:sz w:val="32"/>
          <w:szCs w:val="32"/>
        </w:rPr>
      </w:pPr>
      <w:r>
        <w:rPr>
          <w:rFonts w:hint="eastAsia" w:ascii="仿宋" w:hAnsi="仿宋" w:eastAsia="仿宋"/>
          <w:sz w:val="32"/>
          <w:szCs w:val="32"/>
        </w:rPr>
        <w:t>（四）技术要求与商务要求</w:t>
      </w:r>
    </w:p>
    <w:p w14:paraId="1FA9047D">
      <w:pPr>
        <w:spacing w:line="440" w:lineRule="exact"/>
        <w:rPr>
          <w:rFonts w:hint="eastAsia" w:ascii="仿宋" w:hAnsi="仿宋" w:eastAsia="仿宋"/>
          <w:sz w:val="32"/>
          <w:szCs w:val="32"/>
          <w:u w:val="single"/>
          <w:lang w:val="en-US" w:eastAsia="zh-CN"/>
        </w:rPr>
      </w:pPr>
      <w:r>
        <w:rPr>
          <w:rFonts w:ascii="仿宋" w:hAnsi="仿宋" w:eastAsia="仿宋"/>
          <w:sz w:val="32"/>
          <w:szCs w:val="32"/>
        </w:rPr>
        <w:t>1</w:t>
      </w:r>
      <w:r>
        <w:rPr>
          <w:rFonts w:hint="eastAsia" w:ascii="仿宋" w:hAnsi="仿宋" w:eastAsia="仿宋"/>
          <w:sz w:val="32"/>
          <w:szCs w:val="32"/>
        </w:rPr>
        <w:t>、采购标的一：</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广东建筑设计艺术产教融合实践中心（一期）建设项目</w:t>
      </w:r>
    </w:p>
    <w:p w14:paraId="061678B6">
      <w:pPr>
        <w:spacing w:line="440" w:lineRule="exact"/>
        <w:rPr>
          <w:rFonts w:hint="eastAsia" w:ascii="仿宋" w:hAnsi="仿宋" w:eastAsia="仿宋"/>
          <w:sz w:val="32"/>
          <w:szCs w:val="32"/>
        </w:rPr>
      </w:pPr>
      <w:r>
        <w:rPr>
          <w:rFonts w:hint="eastAsia" w:ascii="仿宋" w:hAnsi="仿宋" w:eastAsia="仿宋"/>
          <w:sz w:val="32"/>
          <w:szCs w:val="40"/>
        </w:rPr>
        <w:t>（1）技术要求（包括性能、材料、结构、外观、安全或服务内容和服务标准）</w:t>
      </w:r>
      <w:r>
        <w:rPr>
          <w:rFonts w:hint="eastAsia" w:ascii="仿宋" w:hAnsi="仿宋" w:eastAsia="仿宋"/>
          <w:sz w:val="32"/>
          <w:szCs w:val="32"/>
        </w:rPr>
        <w:t>：</w:t>
      </w:r>
    </w:p>
    <w:p w14:paraId="3CB890A9">
      <w:pPr>
        <w:keepNext w:val="0"/>
        <w:keepLines w:val="0"/>
        <w:pageBreakBefore w:val="0"/>
        <w:widowControl w:val="0"/>
        <w:numPr>
          <w:ilvl w:val="0"/>
          <w:numId w:val="2"/>
        </w:numPr>
        <w:kinsoku/>
        <w:wordWrap/>
        <w:overflowPunct/>
        <w:topLinePunct w:val="0"/>
        <w:autoSpaceDE/>
        <w:autoSpaceDN/>
        <w:bidi w:val="0"/>
        <w:spacing w:line="440" w:lineRule="exact"/>
        <w:jc w:val="left"/>
        <w:textAlignment w:val="auto"/>
        <w:rPr>
          <w:rFonts w:hint="eastAsia" w:ascii="仿宋_GB2312" w:hAnsi="仿宋_GB2312" w:eastAsia="仿宋_GB2312" w:cs="仿宋_GB2312"/>
          <w:b/>
          <w:bCs/>
          <w:color w:val="auto"/>
          <w:spacing w:val="-6"/>
          <w:kern w:val="2"/>
          <w:sz w:val="28"/>
          <w:szCs w:val="28"/>
          <w:highlight w:val="none"/>
          <w:lang w:val="en-US" w:eastAsia="zh-CN" w:bidi="ar-SA"/>
        </w:rPr>
      </w:pPr>
      <w:r>
        <w:rPr>
          <w:rFonts w:hint="eastAsia" w:ascii="仿宋_GB2312" w:hAnsi="仿宋_GB2312" w:eastAsia="仿宋_GB2312" w:cs="仿宋_GB2312"/>
          <w:b/>
          <w:bCs/>
          <w:color w:val="auto"/>
          <w:spacing w:val="-6"/>
          <w:kern w:val="2"/>
          <w:sz w:val="28"/>
          <w:szCs w:val="28"/>
          <w:highlight w:val="none"/>
          <w:lang w:val="en-US" w:eastAsia="zh-CN" w:bidi="ar-SA"/>
        </w:rPr>
        <w:t>项目概况</w:t>
      </w:r>
    </w:p>
    <w:p w14:paraId="6A3C1BCD">
      <w:pPr>
        <w:keepNext w:val="0"/>
        <w:keepLines w:val="0"/>
        <w:pageBreakBefore w:val="0"/>
        <w:widowControl w:val="0"/>
        <w:numPr>
          <w:ilvl w:val="0"/>
          <w:numId w:val="3"/>
        </w:numPr>
        <w:kinsoku/>
        <w:wordWrap/>
        <w:overflowPunct/>
        <w:topLinePunct w:val="0"/>
        <w:autoSpaceDE/>
        <w:autoSpaceDN/>
        <w:bidi w:val="0"/>
        <w:spacing w:line="440" w:lineRule="exact"/>
        <w:jc w:val="left"/>
        <w:textAlignment w:val="auto"/>
        <w:rPr>
          <w:rFonts w:hint="eastAsia" w:ascii="仿宋_GB2312" w:hAnsi="Calibri" w:eastAsia="仿宋_GB2312" w:cs="Times New Roman"/>
          <w:b w:val="0"/>
          <w:bCs w:val="0"/>
          <w:sz w:val="28"/>
          <w:szCs w:val="28"/>
          <w:u w:val="single"/>
          <w:lang w:val="en-US" w:eastAsia="zh-CN"/>
        </w:rPr>
      </w:pPr>
      <w:r>
        <w:rPr>
          <w:rFonts w:hint="eastAsia" w:ascii="仿宋_GB2312" w:hAnsi="仿宋_GB2312" w:eastAsia="仿宋_GB2312" w:cs="仿宋_GB2312"/>
          <w:sz w:val="28"/>
          <w:szCs w:val="28"/>
          <w:u w:val="none"/>
        </w:rPr>
        <w:t>工程名称：</w:t>
      </w:r>
      <w:r>
        <w:rPr>
          <w:rFonts w:hint="eastAsia" w:ascii="仿宋_GB2312" w:hAnsi="Calibri" w:eastAsia="仿宋_GB2312" w:cs="Times New Roman"/>
          <w:b w:val="0"/>
          <w:bCs w:val="0"/>
          <w:sz w:val="28"/>
          <w:szCs w:val="28"/>
          <w:u w:val="single"/>
          <w:lang w:val="en-US" w:eastAsia="zh-CN"/>
        </w:rPr>
        <w:t>广东建筑设计艺术产教融合实践中心（一期）建设项目</w:t>
      </w:r>
    </w:p>
    <w:p w14:paraId="4D0B4C4F">
      <w:pPr>
        <w:keepNext w:val="0"/>
        <w:keepLines w:val="0"/>
        <w:pageBreakBefore w:val="0"/>
        <w:widowControl w:val="0"/>
        <w:numPr>
          <w:ilvl w:val="0"/>
          <w:numId w:val="3"/>
        </w:numPr>
        <w:kinsoku/>
        <w:wordWrap/>
        <w:overflowPunct/>
        <w:topLinePunct w:val="0"/>
        <w:autoSpaceDE/>
        <w:autoSpaceDN/>
        <w:bidi w:val="0"/>
        <w:spacing w:line="440" w:lineRule="exact"/>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rPr>
        <w:t>建设地点：</w:t>
      </w:r>
      <w:r>
        <w:rPr>
          <w:rFonts w:hint="eastAsia" w:ascii="仿宋_GB2312" w:hAnsi="仿宋_GB2312" w:eastAsia="仿宋_GB2312" w:cs="仿宋_GB2312"/>
          <w:sz w:val="28"/>
          <w:szCs w:val="28"/>
          <w:u w:val="none"/>
          <w:lang w:val="en-US" w:eastAsia="zh-CN"/>
        </w:rPr>
        <w:t>清远市清城区环城东路北38号</w:t>
      </w:r>
    </w:p>
    <w:p w14:paraId="6BF23363">
      <w:pPr>
        <w:keepNext w:val="0"/>
        <w:keepLines w:val="0"/>
        <w:pageBreakBefore w:val="0"/>
        <w:widowControl w:val="0"/>
        <w:numPr>
          <w:ilvl w:val="0"/>
          <w:numId w:val="3"/>
        </w:numPr>
        <w:kinsoku/>
        <w:wordWrap/>
        <w:overflowPunct/>
        <w:topLinePunct w:val="0"/>
        <w:autoSpaceDE/>
        <w:autoSpaceDN/>
        <w:bidi w:val="0"/>
        <w:spacing w:line="440" w:lineRule="exact"/>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rPr>
        <w:t>资金来源</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自筹资金</w:t>
      </w:r>
      <w:r>
        <w:rPr>
          <w:rFonts w:hint="eastAsia" w:ascii="仿宋_GB2312" w:hAnsi="仿宋_GB2312" w:eastAsia="仿宋_GB2312" w:cs="仿宋_GB2312"/>
          <w:sz w:val="28"/>
          <w:szCs w:val="28"/>
          <w:u w:val="none"/>
          <w:lang w:eastAsia="zh-CN"/>
        </w:rPr>
        <w:t>。</w:t>
      </w:r>
    </w:p>
    <w:p w14:paraId="1F115A07">
      <w:pPr>
        <w:keepNext w:val="0"/>
        <w:keepLines w:val="0"/>
        <w:pageBreakBefore w:val="0"/>
        <w:widowControl w:val="0"/>
        <w:numPr>
          <w:ilvl w:val="0"/>
          <w:numId w:val="3"/>
        </w:numPr>
        <w:kinsoku/>
        <w:wordWrap/>
        <w:overflowPunct/>
        <w:topLinePunct w:val="0"/>
        <w:autoSpaceDE/>
        <w:autoSpaceDN/>
        <w:bidi w:val="0"/>
        <w:spacing w:line="440" w:lineRule="exact"/>
        <w:jc w:val="lef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标段划分及各标段招标内容、规模：</w:t>
      </w:r>
    </w:p>
    <w:p w14:paraId="11E20692">
      <w:pPr>
        <w:keepNext w:val="0"/>
        <w:keepLines w:val="0"/>
        <w:pageBreakBefore w:val="0"/>
        <w:widowControl w:val="0"/>
        <w:numPr>
          <w:ilvl w:val="0"/>
          <w:numId w:val="4"/>
        </w:numPr>
        <w:kinsoku/>
        <w:wordWrap/>
        <w:overflowPunct/>
        <w:topLinePunct w:val="0"/>
        <w:autoSpaceDE/>
        <w:autoSpaceDN/>
        <w:bidi w:val="0"/>
        <w:spacing w:line="440" w:lineRule="exact"/>
        <w:ind w:left="425" w:leftChars="0" w:hanging="425" w:firstLineChars="0"/>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rPr>
        <w:t>本</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u w:val="none"/>
        </w:rPr>
        <w:t>划分为 1 个标段。</w:t>
      </w:r>
    </w:p>
    <w:p w14:paraId="7C090072">
      <w:pPr>
        <w:keepNext w:val="0"/>
        <w:keepLines w:val="0"/>
        <w:pageBreakBefore w:val="0"/>
        <w:widowControl w:val="0"/>
        <w:numPr>
          <w:ilvl w:val="0"/>
          <w:numId w:val="4"/>
        </w:numPr>
        <w:kinsoku/>
        <w:wordWrap/>
        <w:overflowPunct/>
        <w:topLinePunct w:val="0"/>
        <w:autoSpaceDE/>
        <w:autoSpaceDN/>
        <w:bidi w:val="0"/>
        <w:spacing w:line="440" w:lineRule="exact"/>
        <w:ind w:left="425" w:leftChars="0" w:hanging="425" w:firstLineChars="0"/>
        <w:jc w:val="lef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b/>
          <w:bCs/>
          <w:sz w:val="28"/>
          <w:szCs w:val="28"/>
          <w:u w:val="none"/>
          <w:lang w:val="en-US" w:eastAsia="zh-CN"/>
        </w:rPr>
        <w:t>工程</w:t>
      </w:r>
      <w:r>
        <w:rPr>
          <w:rFonts w:hint="eastAsia" w:ascii="仿宋_GB2312" w:hAnsi="仿宋_GB2312" w:eastAsia="仿宋_GB2312" w:cs="仿宋_GB2312"/>
          <w:b/>
          <w:bCs/>
          <w:sz w:val="28"/>
          <w:szCs w:val="28"/>
          <w:u w:val="none"/>
        </w:rPr>
        <w:t>内容：</w:t>
      </w:r>
    </w:p>
    <w:p w14:paraId="024AA224">
      <w:pPr>
        <w:keepNext w:val="0"/>
        <w:keepLines w:val="0"/>
        <w:pageBreakBefore w:val="0"/>
        <w:widowControl w:val="0"/>
        <w:numPr>
          <w:ilvl w:val="0"/>
          <w:numId w:val="0"/>
        </w:numPr>
        <w:kinsoku/>
        <w:wordWrap/>
        <w:overflowPunct/>
        <w:topLinePunct w:val="0"/>
        <w:autoSpaceDE/>
        <w:autoSpaceDN/>
        <w:bidi w:val="0"/>
        <w:spacing w:line="440" w:lineRule="exact"/>
        <w:ind w:leftChars="0" w:firstLine="560" w:firstLineChars="200"/>
        <w:jc w:val="lef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按发包人提供的招标文件、全套施工图、设计说明，完成本项目的全部施工任务及其他相关工作（具体内容以招标图纸</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工程量清单</w:t>
      </w:r>
      <w:r>
        <w:rPr>
          <w:rFonts w:hint="eastAsia" w:ascii="仿宋_GB2312" w:hAnsi="仿宋_GB2312" w:eastAsia="仿宋_GB2312" w:cs="仿宋_GB2312"/>
          <w:sz w:val="28"/>
          <w:szCs w:val="28"/>
          <w:u w:val="none"/>
        </w:rPr>
        <w:t>为准）。</w:t>
      </w:r>
    </w:p>
    <w:p w14:paraId="69BC5C2E">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jc w:val="left"/>
        <w:textAlignment w:val="auto"/>
        <w:rPr>
          <w:rFonts w:hint="eastAsia"/>
        </w:rPr>
      </w:pPr>
      <w:r>
        <w:rPr>
          <w:rFonts w:hint="eastAsia" w:ascii="仿宋_GB2312" w:hAnsi="仿宋_GB2312" w:eastAsia="仿宋_GB2312" w:cs="仿宋_GB2312"/>
          <w:b/>
          <w:bCs/>
          <w:sz w:val="28"/>
          <w:szCs w:val="28"/>
          <w:u w:val="none"/>
        </w:rPr>
        <w:t>工程规模</w:t>
      </w:r>
      <w:r>
        <w:rPr>
          <w:rFonts w:hint="eastAsia" w:ascii="仿宋_GB2312" w:hAnsi="仿宋_GB2312" w:eastAsia="仿宋_GB2312" w:cs="仿宋_GB2312"/>
          <w:sz w:val="28"/>
          <w:szCs w:val="28"/>
          <w:u w:val="none"/>
        </w:rPr>
        <w:t>：项目位于</w:t>
      </w:r>
      <w:r>
        <w:rPr>
          <w:rFonts w:hint="eastAsia" w:ascii="仿宋_GB2312" w:hAnsi="仿宋_GB2312" w:eastAsia="仿宋_GB2312" w:cs="仿宋_GB2312"/>
          <w:sz w:val="28"/>
          <w:szCs w:val="28"/>
          <w:u w:val="none"/>
          <w:lang w:val="en-US" w:eastAsia="zh-CN"/>
        </w:rPr>
        <w:t>广东建设职业技术学院清远区1号实训楼四楼 QA010410-010423，</w:t>
      </w:r>
      <w:r>
        <w:rPr>
          <w:rFonts w:hint="eastAsia" w:ascii="仿宋_GB2312" w:hAnsi="仿宋_GB2312" w:eastAsia="仿宋_GB2312" w:cs="仿宋_GB2312"/>
          <w:sz w:val="28"/>
          <w:szCs w:val="28"/>
          <w:u w:val="none"/>
        </w:rPr>
        <w:t>总面积为1638平方米</w:t>
      </w:r>
      <w:r>
        <w:rPr>
          <w:rFonts w:hint="eastAsia" w:ascii="仿宋_GB2312" w:hAnsi="仿宋_GB2312" w:eastAsia="仿宋_GB2312" w:cs="仿宋_GB2312"/>
          <w:sz w:val="28"/>
          <w:szCs w:val="28"/>
          <w:u w:val="none"/>
          <w:lang w:val="en-US" w:eastAsia="zh-CN"/>
        </w:rPr>
        <w:t>。招标内容包括但不限于对清远校区广东建筑设计艺术产教融合实践中心进行升级改造，对实训室、展厅、走廊、设计殿堂等室内墙壁、天棚进行升级改造，对室内电气安装系统、消防安装系统进行升级改造。主要工程包括装修、修缮、水电安装、弱电系统、消防系统工程等完成项目改造施工。</w:t>
      </w:r>
      <w:r>
        <w:rPr>
          <w:rFonts w:hint="eastAsia" w:ascii="仿宋_GB2312" w:hAnsi="仿宋_GB2312" w:eastAsia="仿宋_GB2312" w:cs="仿宋_GB2312"/>
          <w:sz w:val="28"/>
          <w:szCs w:val="28"/>
          <w:u w:val="none"/>
        </w:rPr>
        <w:t>（</w:t>
      </w:r>
      <w:r>
        <w:rPr>
          <w:rFonts w:hint="eastAsia" w:ascii="仿宋_GB2312" w:hAnsi="仿宋_GB2312" w:eastAsia="仿宋_GB2312" w:cs="仿宋_GB2312"/>
          <w:b/>
          <w:bCs/>
          <w:sz w:val="28"/>
          <w:szCs w:val="28"/>
          <w:u w:val="none"/>
        </w:rPr>
        <w:t>具体</w:t>
      </w:r>
      <w:r>
        <w:rPr>
          <w:rFonts w:hint="eastAsia" w:ascii="仿宋_GB2312" w:hAnsi="仿宋_GB2312" w:eastAsia="仿宋_GB2312" w:cs="仿宋_GB2312"/>
          <w:b/>
          <w:bCs/>
          <w:sz w:val="28"/>
          <w:szCs w:val="28"/>
          <w:u w:val="none"/>
          <w:lang w:val="en-US" w:eastAsia="zh-CN"/>
        </w:rPr>
        <w:t>内容</w:t>
      </w:r>
      <w:r>
        <w:rPr>
          <w:rFonts w:hint="eastAsia" w:ascii="仿宋_GB2312" w:hAnsi="仿宋_GB2312" w:eastAsia="仿宋_GB2312" w:cs="仿宋_GB2312"/>
          <w:b/>
          <w:bCs/>
          <w:sz w:val="28"/>
          <w:szCs w:val="28"/>
          <w:u w:val="none"/>
        </w:rPr>
        <w:t>以</w:t>
      </w:r>
      <w:r>
        <w:rPr>
          <w:rFonts w:hint="eastAsia" w:ascii="仿宋_GB2312" w:hAnsi="仿宋_GB2312" w:eastAsia="仿宋_GB2312" w:cs="仿宋_GB2312"/>
          <w:b/>
          <w:bCs/>
          <w:sz w:val="28"/>
          <w:szCs w:val="28"/>
          <w:u w:val="none"/>
          <w:lang w:val="en-US" w:eastAsia="zh-CN"/>
        </w:rPr>
        <w:t>发包人提供的施工图纸、</w:t>
      </w:r>
      <w:r>
        <w:rPr>
          <w:rFonts w:hint="eastAsia" w:ascii="仿宋_GB2312" w:hAnsi="仿宋_GB2312" w:eastAsia="仿宋_GB2312" w:cs="仿宋_GB2312"/>
          <w:b/>
          <w:bCs/>
          <w:sz w:val="28"/>
          <w:szCs w:val="28"/>
          <w:u w:val="none"/>
        </w:rPr>
        <w:t>工程量清单</w:t>
      </w:r>
      <w:r>
        <w:rPr>
          <w:rFonts w:hint="eastAsia" w:ascii="仿宋_GB2312" w:hAnsi="仿宋_GB2312" w:eastAsia="仿宋_GB2312" w:cs="仿宋_GB2312"/>
          <w:b/>
          <w:bCs/>
          <w:sz w:val="28"/>
          <w:szCs w:val="28"/>
          <w:u w:val="none"/>
          <w:lang w:val="en-US" w:eastAsia="zh-CN"/>
        </w:rPr>
        <w:t>等相关资料</w:t>
      </w:r>
      <w:r>
        <w:rPr>
          <w:rFonts w:hint="eastAsia" w:ascii="仿宋_GB2312" w:hAnsi="仿宋_GB2312" w:eastAsia="仿宋_GB2312" w:cs="仿宋_GB2312"/>
          <w:b/>
          <w:bCs/>
          <w:sz w:val="28"/>
          <w:szCs w:val="28"/>
          <w:u w:val="none"/>
        </w:rPr>
        <w:t>为准</w:t>
      </w:r>
      <w:r>
        <w:rPr>
          <w:rFonts w:hint="eastAsia" w:ascii="仿宋_GB2312" w:hAnsi="仿宋_GB2312" w:eastAsia="仿宋_GB2312" w:cs="仿宋_GB2312"/>
          <w:sz w:val="28"/>
          <w:szCs w:val="28"/>
          <w:u w:val="none"/>
        </w:rPr>
        <w:t>）</w:t>
      </w:r>
    </w:p>
    <w:p w14:paraId="2119DC38">
      <w:pPr>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63" w:afterLines="20" w:line="440" w:lineRule="exact"/>
        <w:ind w:leftChars="200"/>
        <w:jc w:val="left"/>
        <w:textAlignment w:val="auto"/>
        <w:rPr>
          <w:rFonts w:hint="eastAsia" w:ascii="仿宋_GB2312" w:hAnsi="仿宋_GB2312" w:eastAsia="仿宋_GB2312" w:cs="仿宋_GB2312"/>
          <w:color w:val="auto"/>
          <w:sz w:val="28"/>
          <w:szCs w:val="28"/>
          <w:highlight w:val="none"/>
          <w:lang w:val="en-US" w:eastAsia="zh-CN"/>
        </w:rPr>
      </w:pPr>
    </w:p>
    <w:p w14:paraId="4E56BA56">
      <w:pPr>
        <w:keepNext w:val="0"/>
        <w:keepLines w:val="0"/>
        <w:pageBreakBefore w:val="0"/>
        <w:widowControl w:val="0"/>
        <w:numPr>
          <w:ilvl w:val="0"/>
          <w:numId w:val="2"/>
        </w:numPr>
        <w:kinsoku/>
        <w:wordWrap/>
        <w:overflowPunct/>
        <w:topLinePunct w:val="0"/>
        <w:autoSpaceDE/>
        <w:autoSpaceDN/>
        <w:bidi w:val="0"/>
        <w:spacing w:line="440" w:lineRule="exact"/>
        <w:jc w:val="left"/>
        <w:textAlignment w:val="auto"/>
        <w:rPr>
          <w:rFonts w:hint="eastAsia" w:ascii="仿宋_GB2312" w:hAnsi="仿宋_GB2312" w:eastAsia="仿宋_GB2312" w:cs="仿宋_GB2312"/>
          <w:b/>
          <w:bCs/>
          <w:color w:val="auto"/>
          <w:spacing w:val="-6"/>
          <w:kern w:val="2"/>
          <w:sz w:val="28"/>
          <w:szCs w:val="28"/>
          <w:highlight w:val="none"/>
          <w:lang w:val="en-US" w:eastAsia="zh-CN" w:bidi="ar-SA"/>
        </w:rPr>
      </w:pPr>
      <w:r>
        <w:rPr>
          <w:rFonts w:hint="eastAsia" w:ascii="仿宋_GB2312" w:hAnsi="仿宋_GB2312" w:eastAsia="仿宋_GB2312" w:cs="仿宋_GB2312"/>
          <w:b/>
          <w:bCs/>
          <w:color w:val="auto"/>
          <w:spacing w:val="-6"/>
          <w:kern w:val="2"/>
          <w:sz w:val="28"/>
          <w:szCs w:val="28"/>
          <w:highlight w:val="none"/>
          <w:lang w:val="en-US" w:eastAsia="zh-CN" w:bidi="ar-SA"/>
        </w:rPr>
        <w:t>投标人合格条件</w:t>
      </w:r>
    </w:p>
    <w:p w14:paraId="52F7D511">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投标人参加投标的意思表达清楚，投标人代表被授权有效。</w:t>
      </w:r>
    </w:p>
    <w:p w14:paraId="22D40C5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投标人均具有独立法人资格，按国家法律经营。</w:t>
      </w:r>
    </w:p>
    <w:p w14:paraId="1205080D">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投标人均持有建设行政主管部门颁发的有效期内的企业资质证书及安全生产许可证；</w:t>
      </w:r>
    </w:p>
    <w:p w14:paraId="4D9A97A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投标人具有承接本工程所需的</w:t>
      </w:r>
      <w:r>
        <w:rPr>
          <w:rFonts w:hint="eastAsia" w:ascii="仿宋_GB2312" w:hAnsi="仿宋_GB2312" w:eastAsia="仿宋_GB2312" w:cs="仿宋_GB2312"/>
          <w:b/>
          <w:bCs/>
          <w:sz w:val="28"/>
          <w:szCs w:val="28"/>
          <w:lang w:val="zh-CN" w:eastAsia="zh-CN"/>
        </w:rPr>
        <w:t>建筑工程施工总承包</w:t>
      </w:r>
      <w:r>
        <w:rPr>
          <w:rFonts w:hint="default"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lang w:val="zh-CN" w:eastAsia="zh-CN"/>
        </w:rPr>
        <w:t>级或建筑装修装饰工程专业承包</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val="zh-CN" w:eastAsia="zh-CN"/>
        </w:rPr>
        <w:t>级(或以上)资质。持有有效期内的安全生产许可证。</w:t>
      </w:r>
    </w:p>
    <w:p w14:paraId="50AEB8B8">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sz w:val="28"/>
          <w:szCs w:val="28"/>
        </w:rPr>
        <w:t>投标人拟担任本工程项目负责人</w:t>
      </w:r>
      <w:r>
        <w:rPr>
          <w:rFonts w:hint="default" w:ascii="仿宋_GB2312" w:hAnsi="仿宋_GB2312" w:eastAsia="仿宋_GB2312" w:cs="仿宋_GB2312"/>
          <w:sz w:val="28"/>
          <w:szCs w:val="28"/>
        </w:rPr>
        <w:t>应具备</w:t>
      </w:r>
      <w:r>
        <w:rPr>
          <w:rFonts w:hint="eastAsia" w:ascii="仿宋_GB2312" w:hAnsi="仿宋_GB2312" w:eastAsia="仿宋_GB2312" w:cs="仿宋_GB2312"/>
          <w:b/>
          <w:bCs/>
          <w:sz w:val="28"/>
          <w:szCs w:val="28"/>
        </w:rPr>
        <w:t>建筑工程专业</w:t>
      </w:r>
      <w:r>
        <w:rPr>
          <w:rFonts w:hint="eastAsia" w:ascii="仿宋_GB2312" w:hAnsi="仿宋_GB2312" w:eastAsia="仿宋_GB2312" w:cs="仿宋_GB2312"/>
          <w:b/>
          <w:bCs/>
          <w:sz w:val="28"/>
          <w:szCs w:val="28"/>
          <w:u w:val="none"/>
        </w:rPr>
        <w:t>二</w:t>
      </w:r>
      <w:r>
        <w:rPr>
          <w:rFonts w:hint="eastAsia" w:ascii="仿宋_GB2312" w:hAnsi="仿宋_GB2312" w:eastAsia="仿宋_GB2312" w:cs="仿宋_GB2312"/>
          <w:b/>
          <w:bCs/>
          <w:sz w:val="28"/>
          <w:szCs w:val="28"/>
        </w:rPr>
        <w:t>级或以上级别的注册建造师</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项目负责人在任职期间</w:t>
      </w:r>
      <w:r>
        <w:rPr>
          <w:rFonts w:hint="eastAsia" w:ascii="仿宋_GB2312" w:hAnsi="仿宋_GB2312" w:eastAsia="仿宋_GB2312" w:cs="仿宋_GB2312"/>
          <w:bCs/>
          <w:sz w:val="28"/>
          <w:szCs w:val="28"/>
          <w:lang w:eastAsia="zh-CN"/>
        </w:rPr>
        <w:t>不得兼任</w:t>
      </w:r>
      <w:r>
        <w:rPr>
          <w:rFonts w:hint="eastAsia" w:ascii="仿宋_GB2312" w:hAnsi="仿宋_GB2312" w:eastAsia="仿宋_GB2312" w:cs="仿宋_GB2312"/>
          <w:color w:val="auto"/>
          <w:sz w:val="28"/>
          <w:szCs w:val="28"/>
          <w:highlight w:val="none"/>
        </w:rPr>
        <w:t>技术负责人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sz w:val="28"/>
          <w:szCs w:val="28"/>
        </w:rPr>
        <w:t>不得担任专职安全员，项目专职安全员在任职期间也不得担任项目负责人，项目负责人和专职安全员不为同一人。</w:t>
      </w:r>
    </w:p>
    <w:p w14:paraId="2C2C03C1">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项目负责人持有安全生产考核合格证（B类）或建筑施工企业项目负责人安全生产考核合格证书；</w:t>
      </w:r>
    </w:p>
    <w:p w14:paraId="182B598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投标人拟担任本工程技术负责人的资格要求为：</w:t>
      </w:r>
      <w:r>
        <w:rPr>
          <w:rFonts w:hint="eastAsia" w:ascii="仿宋_GB2312" w:hAnsi="仿宋_GB2312" w:eastAsia="仿宋_GB2312" w:cs="仿宋_GB2312"/>
          <w:b/>
          <w:bCs/>
          <w:sz w:val="28"/>
          <w:szCs w:val="28"/>
          <w:lang w:val="zh-CN" w:eastAsia="zh-CN"/>
        </w:rPr>
        <w:t>建筑工程类</w:t>
      </w:r>
      <w:r>
        <w:rPr>
          <w:rFonts w:hint="default" w:ascii="仿宋_GB2312" w:hAnsi="仿宋_GB2312" w:eastAsia="仿宋_GB2312" w:cs="仿宋_GB2312"/>
          <w:b/>
          <w:bCs/>
          <w:sz w:val="28"/>
          <w:szCs w:val="28"/>
          <w:lang w:eastAsia="zh-CN"/>
        </w:rPr>
        <w:t>中级以上</w:t>
      </w:r>
      <w:r>
        <w:rPr>
          <w:rFonts w:hint="eastAsia" w:ascii="仿宋_GB2312" w:hAnsi="仿宋_GB2312" w:eastAsia="仿宋_GB2312" w:cs="仿宋_GB2312"/>
          <w:b/>
          <w:bCs/>
          <w:sz w:val="28"/>
          <w:szCs w:val="28"/>
          <w:lang w:val="zh-CN" w:eastAsia="zh-CN"/>
        </w:rPr>
        <w:t>技术职称。</w:t>
      </w:r>
      <w:r>
        <w:rPr>
          <w:rFonts w:hint="eastAsia" w:ascii="仿宋_GB2312" w:hAnsi="仿宋_GB2312" w:eastAsia="仿宋_GB2312" w:cs="仿宋_GB2312"/>
          <w:sz w:val="28"/>
          <w:szCs w:val="28"/>
        </w:rPr>
        <w:t>专职安全员须具有安全生产考核合格证（C类）或建筑施工企业专职安全生产管理人员安全生产考核合格证书（C3）。</w:t>
      </w:r>
    </w:p>
    <w:p w14:paraId="7E45ED1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14:paraId="0F8C7F9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审查前，投标人须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w:t>
      </w:r>
    </w:p>
    <w:p w14:paraId="281D89B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投标人未出现以下情形：</w:t>
      </w:r>
      <w:r>
        <w:rPr>
          <w:rFonts w:hint="eastAsia" w:ascii="仿宋_GB2312" w:hAnsi="仿宋_GB2312" w:eastAsia="仿宋_GB2312" w:cs="仿宋_GB2312"/>
          <w:sz w:val="28"/>
          <w:szCs w:val="28"/>
          <w:lang w:eastAsia="zh-CN"/>
        </w:rPr>
        <w:t>与其他</w:t>
      </w:r>
      <w:r>
        <w:rPr>
          <w:rFonts w:hint="eastAsia" w:ascii="仿宋_GB2312" w:hAnsi="仿宋_GB2312" w:eastAsia="仿宋_GB2312" w:cs="仿宋_GB2312"/>
          <w:sz w:val="28"/>
          <w:szCs w:val="28"/>
        </w:rPr>
        <w:t>投标人的单位负责人为同一人或者存在控股、管理关系的。如不同投标申请人出现单位负责人为同一人或者存在控股、管理关系的情形，则相关投标均无效。</w:t>
      </w:r>
    </w:p>
    <w:p w14:paraId="6D14087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未被列入拖欠农民工工资失信联合惩戒对象名单。</w:t>
      </w:r>
    </w:p>
    <w:p w14:paraId="0E351A0B">
      <w:pPr>
        <w:spacing w:line="440" w:lineRule="exact"/>
        <w:rPr>
          <w:rFonts w:hint="eastAsia"/>
        </w:rPr>
      </w:pPr>
    </w:p>
    <w:p w14:paraId="00981524">
      <w:pPr>
        <w:spacing w:line="440" w:lineRule="exact"/>
        <w:rPr>
          <w:rFonts w:hint="eastAsia" w:ascii="仿宋" w:hAnsi="仿宋" w:eastAsia="仿宋"/>
          <w:sz w:val="32"/>
          <w:szCs w:val="32"/>
        </w:rPr>
      </w:pPr>
      <w:r>
        <w:rPr>
          <w:rFonts w:hint="eastAsia" w:ascii="仿宋" w:hAnsi="仿宋" w:eastAsia="仿宋"/>
          <w:sz w:val="32"/>
          <w:szCs w:val="40"/>
        </w:rPr>
        <w:t>（2）</w:t>
      </w:r>
      <w:r>
        <w:rPr>
          <w:rFonts w:hint="eastAsia" w:ascii="仿宋" w:hAnsi="仿宋" w:eastAsia="仿宋"/>
          <w:sz w:val="32"/>
          <w:szCs w:val="32"/>
        </w:rPr>
        <w:t>商务要求：</w:t>
      </w:r>
    </w:p>
    <w:p w14:paraId="6F9F420B">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b/>
          <w:bCs/>
          <w:color w:val="auto"/>
          <w:sz w:val="28"/>
          <w:szCs w:val="28"/>
        </w:rPr>
        <w:t>承包范围</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val="0"/>
          <w:bCs w:val="0"/>
          <w:color w:val="auto"/>
          <w:sz w:val="28"/>
          <w:szCs w:val="28"/>
        </w:rPr>
        <w:t>按发包人提供的招标文件、全套施工图、设计说明</w:t>
      </w:r>
      <w:r>
        <w:rPr>
          <w:rFonts w:hint="default" w:ascii="仿宋_GB2312" w:hAnsi="仿宋_GB2312" w:eastAsia="仿宋_GB2312" w:cs="仿宋_GB2312"/>
          <w:b w:val="0"/>
          <w:bCs w:val="0"/>
          <w:color w:val="auto"/>
          <w:sz w:val="28"/>
          <w:szCs w:val="28"/>
        </w:rPr>
        <w:t>、工程量清单</w:t>
      </w:r>
      <w:r>
        <w:rPr>
          <w:rFonts w:hint="eastAsia" w:ascii="仿宋_GB2312" w:hAnsi="仿宋_GB2312" w:eastAsia="仿宋_GB2312" w:cs="仿宋_GB2312"/>
          <w:b w:val="0"/>
          <w:bCs w:val="0"/>
          <w:color w:val="auto"/>
          <w:sz w:val="28"/>
          <w:szCs w:val="28"/>
        </w:rPr>
        <w:t>，完成本项</w:t>
      </w:r>
      <w:r>
        <w:rPr>
          <w:rFonts w:hint="eastAsia" w:ascii="仿宋_GB2312" w:hAnsi="仿宋_GB2312" w:eastAsia="仿宋_GB2312" w:cs="仿宋_GB2312"/>
          <w:b w:val="0"/>
          <w:bCs w:val="0"/>
          <w:sz w:val="28"/>
          <w:szCs w:val="28"/>
        </w:rPr>
        <w:t>目的全部施工任务及其他相关工作（具体内容以工程量清单、招标图纸为准）。</w:t>
      </w:r>
    </w:p>
    <w:p w14:paraId="073AE778">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rPr>
        <w:t>承包方式</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rPr>
        <w:t>由承包人按照本项目合同约定范围和图纸内容实行施工总承包</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承包人以包工、包料、包工期、包质量、包造价控制、包安全</w:t>
      </w:r>
      <w:r>
        <w:rPr>
          <w:rFonts w:hint="eastAsia" w:ascii="仿宋_GB2312" w:hAnsi="仿宋_GB2312" w:eastAsia="仿宋_GB2312" w:cs="仿宋_GB2312"/>
          <w:b w:val="0"/>
          <w:bCs w:val="0"/>
          <w:sz w:val="28"/>
          <w:szCs w:val="28"/>
          <w:lang w:val="en-US" w:eastAsia="zh-CN"/>
        </w:rPr>
        <w:t>生产</w:t>
      </w:r>
      <w:r>
        <w:rPr>
          <w:rFonts w:hint="eastAsia" w:ascii="仿宋_GB2312" w:hAnsi="仿宋_GB2312" w:eastAsia="仿宋_GB2312" w:cs="仿宋_GB2312"/>
          <w:b w:val="0"/>
          <w:bCs w:val="0"/>
          <w:sz w:val="28"/>
          <w:szCs w:val="28"/>
        </w:rPr>
        <w:t>、包文明施工、包承包范围内工程验收通过、包竣工资料收集整理</w:t>
      </w:r>
      <w:r>
        <w:rPr>
          <w:rFonts w:hint="eastAsia" w:ascii="仿宋_GB2312" w:hAnsi="仿宋_GB2312" w:eastAsia="仿宋_GB2312" w:cs="仿宋_GB2312"/>
          <w:b w:val="0"/>
          <w:bCs w:val="0"/>
          <w:sz w:val="28"/>
          <w:szCs w:val="28"/>
          <w:lang w:val="en-US" w:eastAsia="zh-CN"/>
        </w:rPr>
        <w:t>及完整移交</w:t>
      </w:r>
      <w:r>
        <w:rPr>
          <w:rFonts w:hint="eastAsia" w:ascii="仿宋_GB2312" w:hAnsi="仿宋_GB2312" w:eastAsia="仿宋_GB2312" w:cs="仿宋_GB2312"/>
          <w:b w:val="0"/>
          <w:bCs w:val="0"/>
          <w:sz w:val="28"/>
          <w:szCs w:val="28"/>
        </w:rPr>
        <w:t>、包保修的形式承包施工。本工程综合单价包干，工程量按实结算。</w:t>
      </w:r>
    </w:p>
    <w:p w14:paraId="096D45A1">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质量标准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按国家有关现行工程质量验收标准执行，且验收达到合格等级。</w:t>
      </w:r>
    </w:p>
    <w:p w14:paraId="54DFABE7">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b/>
          <w:bCs/>
          <w:sz w:val="28"/>
          <w:szCs w:val="28"/>
        </w:rPr>
        <w:t>工期要求</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highlight w:val="none"/>
        </w:rPr>
        <w:t>施工工期为</w:t>
      </w:r>
      <w:r>
        <w:rPr>
          <w:rFonts w:hint="eastAsia" w:ascii="仿宋_GB2312" w:hAnsi="仿宋_GB2312" w:eastAsia="仿宋_GB2312" w:cs="仿宋_GB2312"/>
          <w:b w:val="0"/>
          <w:bCs w:val="0"/>
          <w:sz w:val="28"/>
          <w:szCs w:val="28"/>
          <w:highlight w:val="none"/>
          <w:lang w:val="en-US" w:eastAsia="zh-CN"/>
        </w:rPr>
        <w:t>15</w:t>
      </w:r>
      <w:r>
        <w:rPr>
          <w:rFonts w:hint="eastAsia" w:ascii="仿宋_GB2312" w:hAnsi="仿宋_GB2312" w:eastAsia="仿宋_GB2312" w:cs="仿宋_GB2312"/>
          <w:b w:val="0"/>
          <w:bCs w:val="0"/>
          <w:sz w:val="28"/>
          <w:szCs w:val="28"/>
          <w:highlight w:val="none"/>
        </w:rPr>
        <w:t>0个日历天</w:t>
      </w:r>
      <w:r>
        <w:rPr>
          <w:rFonts w:hint="eastAsia" w:ascii="仿宋_GB2312" w:hAnsi="仿宋_GB2312" w:eastAsia="仿宋_GB2312" w:cs="仿宋_GB2312"/>
          <w:b w:val="0"/>
          <w:bCs w:val="0"/>
          <w:sz w:val="28"/>
          <w:szCs w:val="28"/>
        </w:rPr>
        <w:t>（工期以开工令发出之日起开始计算</w:t>
      </w:r>
      <w:r>
        <w:rPr>
          <w:rFonts w:hint="eastAsia" w:ascii="仿宋_GB2312" w:hAnsi="仿宋_GB2312" w:eastAsia="仿宋_GB2312" w:cs="仿宋_GB2312"/>
          <w:b w:val="0"/>
          <w:bCs w:val="0"/>
          <w:sz w:val="28"/>
          <w:szCs w:val="28"/>
          <w:highlight w:val="none"/>
        </w:rPr>
        <w:t>工期）</w:t>
      </w:r>
      <w:r>
        <w:rPr>
          <w:rFonts w:hint="eastAsia" w:ascii="仿宋_GB2312" w:hAnsi="仿宋_GB2312" w:eastAsia="仿宋_GB2312" w:cs="仿宋_GB2312"/>
          <w:b w:val="0"/>
          <w:bCs w:val="0"/>
          <w:sz w:val="28"/>
          <w:szCs w:val="28"/>
          <w:highlight w:val="none"/>
          <w:lang w:eastAsia="zh-CN"/>
        </w:rPr>
        <w:t>。</w:t>
      </w:r>
    </w:p>
    <w:p w14:paraId="207603B0">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sz w:val="28"/>
          <w:szCs w:val="28"/>
          <w:highlight w:val="none"/>
        </w:rPr>
        <w:t>报价以及单价和总价计算方式</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val="0"/>
          <w:bCs w:val="0"/>
          <w:sz w:val="28"/>
          <w:szCs w:val="28"/>
          <w:highlight w:val="none"/>
        </w:rPr>
        <w:t>本</w:t>
      </w:r>
      <w:r>
        <w:rPr>
          <w:rFonts w:hint="eastAsia" w:ascii="仿宋_GB2312" w:hAnsi="仿宋_GB2312" w:eastAsia="仿宋_GB2312" w:cs="仿宋_GB2312"/>
          <w:b w:val="0"/>
          <w:bCs w:val="0"/>
          <w:sz w:val="28"/>
          <w:szCs w:val="28"/>
        </w:rPr>
        <w:t>工程的投标报价采用工程量清单计价方式，按合同约定执行。</w:t>
      </w:r>
    </w:p>
    <w:p w14:paraId="754695B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注：投标人应按照发布的《最高投标限价公布函》（含相关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p w14:paraId="013EA1C5">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sz w:val="28"/>
          <w:szCs w:val="28"/>
        </w:rPr>
        <w:t>踏勘现场</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发包人不集中组织，</w:t>
      </w:r>
      <w:r>
        <w:rPr>
          <w:rFonts w:hint="eastAsia" w:ascii="仿宋_GB2312" w:hAnsi="仿宋_GB2312" w:eastAsia="仿宋_GB2312" w:cs="仿宋_GB2312"/>
          <w:kern w:val="0"/>
          <w:sz w:val="28"/>
          <w:szCs w:val="28"/>
          <w:lang w:val="en-US" w:eastAsia="zh-CN" w:bidi="ar-SA"/>
        </w:rPr>
        <w:t>承包人自行踏勘，承包人不进行踏勘的，视为已熟知现场条件，自行承担一切相关风险。</w:t>
      </w:r>
    </w:p>
    <w:p w14:paraId="0825AD7A">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保修期：</w:t>
      </w:r>
      <w:r>
        <w:rPr>
          <w:rFonts w:hint="eastAsia" w:ascii="仿宋_GB2312" w:hAnsi="仿宋_GB2312" w:eastAsia="仿宋_GB2312" w:cs="仿宋_GB2312"/>
          <w:b w:val="0"/>
          <w:bCs w:val="0"/>
          <w:color w:val="auto"/>
          <w:kern w:val="0"/>
          <w:sz w:val="28"/>
          <w:szCs w:val="28"/>
          <w:lang w:val="en-US" w:eastAsia="zh-CN" w:bidi="ar-SA"/>
        </w:rPr>
        <w:t>按照《建设工程质量管理条例》规定。</w:t>
      </w:r>
    </w:p>
    <w:p w14:paraId="34E6E336">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strike w:val="0"/>
          <w:color w:val="auto"/>
          <w:kern w:val="0"/>
          <w:sz w:val="28"/>
          <w:szCs w:val="28"/>
          <w:highlight w:val="none"/>
          <w:lang w:val="en-US" w:eastAsia="zh-CN" w:bidi="ar-SA"/>
        </w:rPr>
      </w:pPr>
      <w:r>
        <w:rPr>
          <w:rFonts w:hint="eastAsia" w:ascii="仿宋_GB2312" w:hAnsi="仿宋_GB2312" w:eastAsia="仿宋_GB2312" w:cs="仿宋_GB2312"/>
          <w:b/>
          <w:bCs/>
          <w:strike w:val="0"/>
          <w:dstrike w:val="0"/>
          <w:color w:val="auto"/>
          <w:kern w:val="0"/>
          <w:sz w:val="28"/>
          <w:szCs w:val="28"/>
          <w:highlight w:val="none"/>
          <w:lang w:val="en-US" w:eastAsia="zh-CN" w:bidi="ar-SA"/>
        </w:rPr>
        <w:t>履约担保</w:t>
      </w:r>
      <w:r>
        <w:rPr>
          <w:rFonts w:hint="eastAsia" w:ascii="仿宋_GB2312" w:hAnsi="仿宋_GB2312" w:eastAsia="仿宋_GB2312" w:cs="仿宋_GB2312"/>
          <w:b/>
          <w:bCs/>
          <w:strike w:val="0"/>
          <w:color w:val="auto"/>
          <w:kern w:val="0"/>
          <w:sz w:val="28"/>
          <w:szCs w:val="28"/>
          <w:highlight w:val="none"/>
          <w:lang w:val="en-US" w:eastAsia="zh-CN" w:bidi="ar-SA"/>
        </w:rPr>
        <w:t>：</w:t>
      </w:r>
    </w:p>
    <w:p w14:paraId="34066200">
      <w:pPr>
        <w:keepNext w:val="0"/>
        <w:keepLines w:val="0"/>
        <w:pageBreakBefore w:val="0"/>
        <w:widowControl w:val="0"/>
        <w:kinsoku/>
        <w:wordWrap/>
        <w:overflowPunct/>
        <w:topLinePunct w:val="0"/>
        <w:autoSpaceDE/>
        <w:autoSpaceDN/>
        <w:bidi w:val="0"/>
        <w:adjustRightInd/>
        <w:snapToGrid/>
        <w:spacing w:line="440" w:lineRule="exact"/>
        <w:ind w:firstLine="140" w:firstLineChars="50"/>
        <w:textAlignment w:val="auto"/>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（1）</w:t>
      </w:r>
      <w:r>
        <w:rPr>
          <w:rFonts w:hint="eastAsia" w:ascii="仿宋_GB2312" w:hAnsi="仿宋_GB2312" w:eastAsia="仿宋_GB2312" w:cs="仿宋_GB2312"/>
          <w:color w:val="auto"/>
          <w:kern w:val="0"/>
          <w:sz w:val="28"/>
          <w:szCs w:val="28"/>
          <w:highlight w:val="none"/>
          <w:u w:val="none"/>
          <w:lang w:val="en-US" w:eastAsia="zh-CN"/>
        </w:rPr>
        <w:t>合同正式签订之日起</w:t>
      </w:r>
      <w:r>
        <w:rPr>
          <w:rFonts w:hint="eastAsia" w:ascii="仿宋_GB2312" w:hAnsi="仿宋_GB2312" w:eastAsia="仿宋_GB2312" w:cs="仿宋_GB2312"/>
          <w:color w:val="auto"/>
          <w:kern w:val="0"/>
          <w:sz w:val="28"/>
          <w:szCs w:val="28"/>
          <w:highlight w:val="none"/>
          <w:u w:val="none"/>
        </w:rPr>
        <w:t>15日内</w:t>
      </w:r>
      <w:r>
        <w:rPr>
          <w:rFonts w:hint="eastAsia" w:ascii="仿宋_GB2312" w:hAnsi="仿宋_GB2312" w:eastAsia="仿宋_GB2312" w:cs="仿宋_GB2312"/>
          <w:color w:val="auto"/>
          <w:kern w:val="0"/>
          <w:sz w:val="28"/>
          <w:szCs w:val="28"/>
          <w:highlight w:val="none"/>
          <w:u w:val="none"/>
          <w:lang w:eastAsia="zh-CN"/>
        </w:rPr>
        <w:t>，承包</w:t>
      </w:r>
      <w:r>
        <w:rPr>
          <w:rFonts w:hint="eastAsia" w:ascii="仿宋_GB2312" w:hAnsi="仿宋_GB2312" w:eastAsia="仿宋_GB2312" w:cs="仿宋_GB2312"/>
          <w:color w:val="auto"/>
          <w:kern w:val="0"/>
          <w:sz w:val="28"/>
          <w:szCs w:val="28"/>
          <w:highlight w:val="none"/>
          <w:u w:val="none"/>
        </w:rPr>
        <w:t>人须向</w:t>
      </w:r>
      <w:r>
        <w:rPr>
          <w:rFonts w:hint="eastAsia" w:ascii="仿宋_GB2312" w:hAnsi="仿宋_GB2312" w:eastAsia="仿宋_GB2312" w:cs="仿宋_GB2312"/>
          <w:color w:val="auto"/>
          <w:kern w:val="0"/>
          <w:sz w:val="28"/>
          <w:szCs w:val="28"/>
          <w:highlight w:val="none"/>
          <w:u w:val="none"/>
          <w:lang w:eastAsia="zh-CN"/>
        </w:rPr>
        <w:t>发包</w:t>
      </w:r>
      <w:r>
        <w:rPr>
          <w:rFonts w:hint="eastAsia" w:ascii="仿宋_GB2312" w:hAnsi="仿宋_GB2312" w:eastAsia="仿宋_GB2312" w:cs="仿宋_GB2312"/>
          <w:color w:val="auto"/>
          <w:kern w:val="0"/>
          <w:sz w:val="28"/>
          <w:szCs w:val="28"/>
          <w:highlight w:val="none"/>
          <w:u w:val="none"/>
        </w:rPr>
        <w:t>人提交</w:t>
      </w:r>
      <w:r>
        <w:rPr>
          <w:rFonts w:hint="default" w:ascii="仿宋_GB2312" w:hAnsi="仿宋_GB2312" w:eastAsia="仿宋_GB2312" w:cs="仿宋_GB2312"/>
          <w:color w:val="auto"/>
          <w:kern w:val="0"/>
          <w:sz w:val="28"/>
          <w:szCs w:val="28"/>
          <w:highlight w:val="none"/>
          <w:u w:val="none"/>
        </w:rPr>
        <w:t>合同金额的5%</w:t>
      </w:r>
      <w:r>
        <w:rPr>
          <w:rFonts w:hint="eastAsia" w:ascii="仿宋_GB2312" w:hAnsi="仿宋_GB2312" w:eastAsia="仿宋_GB2312" w:cs="仿宋_GB2312"/>
          <w:color w:val="auto"/>
          <w:kern w:val="0"/>
          <w:sz w:val="28"/>
          <w:szCs w:val="28"/>
          <w:highlight w:val="none"/>
          <w:u w:val="none"/>
        </w:rPr>
        <w:t>履约</w:t>
      </w:r>
      <w:r>
        <w:rPr>
          <w:rFonts w:hint="default" w:ascii="仿宋_GB2312" w:hAnsi="仿宋_GB2312" w:eastAsia="仿宋_GB2312" w:cs="仿宋_GB2312"/>
          <w:color w:val="auto"/>
          <w:kern w:val="0"/>
          <w:sz w:val="28"/>
          <w:szCs w:val="28"/>
          <w:highlight w:val="none"/>
          <w:u w:val="none"/>
          <w:lang w:eastAsia="zh-CN"/>
        </w:rPr>
        <w:t>保证金</w:t>
      </w:r>
      <w:r>
        <w:rPr>
          <w:rFonts w:hint="eastAsia" w:ascii="仿宋_GB2312" w:hAnsi="仿宋_GB2312" w:eastAsia="仿宋_GB2312" w:cs="仿宋_GB2312"/>
          <w:color w:val="auto"/>
          <w:kern w:val="0"/>
          <w:sz w:val="28"/>
          <w:szCs w:val="28"/>
          <w:highlight w:val="none"/>
          <w:u w:val="none"/>
        </w:rPr>
        <w:t>，以现金或转账支票</w:t>
      </w:r>
      <w:r>
        <w:rPr>
          <w:rFonts w:hint="default" w:ascii="仿宋_GB2312" w:hAnsi="仿宋_GB2312" w:eastAsia="仿宋_GB2312" w:cs="仿宋_GB2312"/>
          <w:color w:val="auto"/>
          <w:kern w:val="0"/>
          <w:sz w:val="28"/>
          <w:szCs w:val="28"/>
          <w:highlight w:val="none"/>
          <w:u w:val="none"/>
        </w:rPr>
        <w:t>、</w:t>
      </w:r>
      <w:r>
        <w:rPr>
          <w:rFonts w:hint="default" w:ascii="仿宋_GB2312" w:hAnsi="仿宋_GB2312" w:eastAsia="仿宋_GB2312" w:cs="仿宋_GB2312"/>
          <w:color w:val="000000" w:themeColor="text1"/>
          <w:kern w:val="0"/>
          <w:sz w:val="28"/>
          <w:szCs w:val="28"/>
          <w:highlight w:val="none"/>
          <w:u w:val="none"/>
          <w14:textFill>
            <w14:solidFill>
              <w14:schemeClr w14:val="tx1"/>
            </w14:solidFill>
          </w14:textFill>
        </w:rPr>
        <w:t>保函</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等</w:t>
      </w:r>
      <w:r>
        <w:rPr>
          <w:rFonts w:hint="eastAsia" w:ascii="仿宋_GB2312" w:hAnsi="仿宋_GB2312" w:eastAsia="仿宋_GB2312" w:cs="仿宋_GB2312"/>
          <w:color w:val="auto"/>
          <w:kern w:val="0"/>
          <w:sz w:val="28"/>
          <w:szCs w:val="28"/>
          <w:highlight w:val="none"/>
          <w:u w:val="none"/>
        </w:rPr>
        <w:t>方式提交。履约</w:t>
      </w:r>
      <w:r>
        <w:rPr>
          <w:rFonts w:hint="eastAsia" w:ascii="仿宋_GB2312" w:hAnsi="仿宋_GB2312" w:eastAsia="仿宋_GB2312" w:cs="仿宋_GB2312"/>
          <w:color w:val="auto"/>
          <w:kern w:val="0"/>
          <w:sz w:val="28"/>
          <w:szCs w:val="28"/>
          <w:highlight w:val="none"/>
          <w:u w:val="none"/>
          <w:lang w:val="en-US" w:eastAsia="zh-CN"/>
        </w:rPr>
        <w:t>担保</w:t>
      </w:r>
      <w:r>
        <w:rPr>
          <w:rFonts w:hint="eastAsia" w:ascii="仿宋_GB2312" w:hAnsi="仿宋_GB2312" w:eastAsia="仿宋_GB2312" w:cs="仿宋_GB2312"/>
          <w:color w:val="auto"/>
          <w:kern w:val="0"/>
          <w:sz w:val="28"/>
          <w:szCs w:val="28"/>
          <w:highlight w:val="none"/>
          <w:u w:val="none"/>
        </w:rPr>
        <w:t>的有效期至本工程竣工验收</w:t>
      </w:r>
      <w:r>
        <w:rPr>
          <w:rFonts w:hint="eastAsia" w:ascii="仿宋_GB2312" w:hAnsi="仿宋_GB2312" w:eastAsia="仿宋_GB2312" w:cs="仿宋_GB2312"/>
          <w:color w:val="auto"/>
          <w:kern w:val="0"/>
          <w:sz w:val="28"/>
          <w:szCs w:val="28"/>
          <w:highlight w:val="none"/>
          <w:u w:val="none"/>
          <w:lang w:eastAsia="zh-CN"/>
        </w:rPr>
        <w:t>合格</w:t>
      </w:r>
      <w:r>
        <w:rPr>
          <w:rFonts w:hint="eastAsia" w:ascii="仿宋_GB2312" w:hAnsi="仿宋_GB2312" w:eastAsia="仿宋_GB2312" w:cs="仿宋_GB2312"/>
          <w:color w:val="auto"/>
          <w:kern w:val="0"/>
          <w:sz w:val="28"/>
          <w:szCs w:val="28"/>
          <w:highlight w:val="none"/>
          <w:u w:val="none"/>
        </w:rPr>
        <w:t>后</w:t>
      </w:r>
      <w:r>
        <w:rPr>
          <w:rFonts w:hint="eastAsia" w:ascii="仿宋_GB2312" w:hAnsi="仿宋_GB2312" w:eastAsia="仿宋_GB2312" w:cs="仿宋_GB2312"/>
          <w:color w:val="auto"/>
          <w:kern w:val="0"/>
          <w:sz w:val="28"/>
          <w:szCs w:val="28"/>
          <w:highlight w:val="none"/>
          <w:u w:val="none"/>
          <w:lang w:eastAsia="zh-CN"/>
        </w:rPr>
        <w:t>90</w:t>
      </w:r>
      <w:r>
        <w:rPr>
          <w:rFonts w:hint="eastAsia" w:ascii="仿宋_GB2312" w:hAnsi="仿宋_GB2312" w:eastAsia="仿宋_GB2312" w:cs="仿宋_GB2312"/>
          <w:color w:val="auto"/>
          <w:kern w:val="0"/>
          <w:sz w:val="28"/>
          <w:szCs w:val="28"/>
          <w:highlight w:val="none"/>
          <w:u w:val="none"/>
        </w:rPr>
        <w:t>天</w:t>
      </w:r>
      <w:r>
        <w:rPr>
          <w:rFonts w:hint="eastAsia" w:ascii="仿宋_GB2312" w:hAnsi="仿宋_GB2312" w:eastAsia="仿宋_GB2312" w:cs="仿宋_GB2312"/>
          <w:color w:val="auto"/>
          <w:kern w:val="0"/>
          <w:sz w:val="28"/>
          <w:szCs w:val="28"/>
          <w:highlight w:val="none"/>
          <w:u w:val="none"/>
          <w:lang w:eastAsia="zh-CN"/>
        </w:rPr>
        <w:t>内</w:t>
      </w:r>
      <w:r>
        <w:rPr>
          <w:rFonts w:hint="eastAsia" w:ascii="仿宋_GB2312" w:hAnsi="仿宋_GB2312" w:eastAsia="仿宋_GB2312" w:cs="仿宋_GB2312"/>
          <w:color w:val="auto"/>
          <w:kern w:val="0"/>
          <w:sz w:val="28"/>
          <w:szCs w:val="28"/>
          <w:highlight w:val="none"/>
          <w:u w:val="none"/>
        </w:rPr>
        <w:t>。如保函过期工程尚未竣工初验，承包人应及时办理保函延期手续，确保保函担保期间不出现空缺，否则不予办理请款手续。</w:t>
      </w:r>
    </w:p>
    <w:p w14:paraId="649FC26A">
      <w:pPr>
        <w:keepNext w:val="0"/>
        <w:keepLines w:val="0"/>
        <w:pageBreakBefore w:val="0"/>
        <w:widowControl w:val="0"/>
        <w:kinsoku/>
        <w:wordWrap/>
        <w:overflowPunct/>
        <w:topLinePunct w:val="0"/>
        <w:autoSpaceDE/>
        <w:autoSpaceDN/>
        <w:bidi w:val="0"/>
        <w:adjustRightInd/>
        <w:snapToGrid/>
        <w:spacing w:line="440" w:lineRule="exact"/>
        <w:ind w:firstLine="140" w:firstLineChars="50"/>
        <w:textAlignment w:val="auto"/>
        <w:rPr>
          <w:rFonts w:hint="eastAsia" w:ascii="仿宋_GB2312" w:hAnsi="仿宋_GB2312" w:eastAsia="仿宋_GB2312" w:cs="仿宋_GB2312"/>
          <w:color w:val="auto"/>
          <w:kern w:val="0"/>
          <w:sz w:val="28"/>
          <w:szCs w:val="28"/>
          <w:highlight w:val="none"/>
          <w:u w:val="none"/>
          <w:lang w:eastAsia="zh-CN"/>
        </w:rPr>
      </w:pPr>
      <w:r>
        <w:rPr>
          <w:rFonts w:hint="eastAsia" w:ascii="仿宋_GB2312" w:hAnsi="仿宋_GB2312" w:eastAsia="仿宋_GB2312" w:cs="仿宋_GB2312"/>
          <w:color w:val="auto"/>
          <w:kern w:val="0"/>
          <w:sz w:val="28"/>
          <w:szCs w:val="28"/>
          <w:highlight w:val="none"/>
          <w:u w:val="none"/>
        </w:rPr>
        <w:t>（2）履约</w:t>
      </w:r>
      <w:r>
        <w:rPr>
          <w:rFonts w:hint="eastAsia" w:ascii="仿宋_GB2312" w:hAnsi="仿宋_GB2312" w:eastAsia="仿宋_GB2312" w:cs="仿宋_GB2312"/>
          <w:color w:val="auto"/>
          <w:kern w:val="0"/>
          <w:sz w:val="28"/>
          <w:szCs w:val="28"/>
          <w:highlight w:val="none"/>
          <w:u w:val="none"/>
          <w:lang w:val="en-US" w:eastAsia="zh-CN"/>
        </w:rPr>
        <w:t>担保</w:t>
      </w:r>
      <w:r>
        <w:rPr>
          <w:rFonts w:hint="eastAsia" w:ascii="仿宋_GB2312" w:hAnsi="仿宋_GB2312" w:eastAsia="仿宋_GB2312" w:cs="仿宋_GB2312"/>
          <w:color w:val="auto"/>
          <w:kern w:val="0"/>
          <w:sz w:val="28"/>
          <w:szCs w:val="28"/>
          <w:highlight w:val="none"/>
          <w:u w:val="none"/>
        </w:rPr>
        <w:t>退还：在工程竣工验收合格1个月内，由承包人向发包人提出书面申请后，经发包人审批，在发包人认为符合退还条件</w:t>
      </w:r>
      <w:r>
        <w:rPr>
          <w:rFonts w:hint="eastAsia" w:ascii="仿宋_GB2312" w:hAnsi="仿宋_GB2312" w:eastAsia="仿宋_GB2312" w:cs="仿宋_GB2312"/>
          <w:color w:val="auto"/>
          <w:kern w:val="0"/>
          <w:sz w:val="28"/>
          <w:szCs w:val="28"/>
          <w:highlight w:val="none"/>
          <w:u w:val="none"/>
          <w:lang w:val="en-US" w:eastAsia="zh-CN"/>
        </w:rPr>
        <w:t>之日起</w:t>
      </w:r>
      <w:r>
        <w:rPr>
          <w:rFonts w:hint="eastAsia" w:ascii="仿宋_GB2312" w:hAnsi="仿宋_GB2312" w:eastAsia="仿宋_GB2312" w:cs="仿宋_GB2312"/>
          <w:color w:val="auto"/>
          <w:kern w:val="0"/>
          <w:sz w:val="28"/>
          <w:szCs w:val="28"/>
          <w:highlight w:val="none"/>
          <w:u w:val="none"/>
        </w:rPr>
        <w:t>15个工作日内无息返还给承包人。履约保证金的退还不能免除承包人因货物本身质量问题所导致的法律责任和由此对发包人造成的经济损失的赔偿义务</w:t>
      </w:r>
      <w:r>
        <w:rPr>
          <w:rFonts w:hint="eastAsia" w:ascii="仿宋_GB2312" w:hAnsi="仿宋_GB2312" w:eastAsia="仿宋_GB2312" w:cs="仿宋_GB2312"/>
          <w:color w:val="auto"/>
          <w:kern w:val="0"/>
          <w:sz w:val="28"/>
          <w:szCs w:val="28"/>
          <w:highlight w:val="none"/>
          <w:u w:val="none"/>
          <w:lang w:eastAsia="zh-CN"/>
        </w:rPr>
        <w:t>。</w:t>
      </w:r>
    </w:p>
    <w:p w14:paraId="7D750A8D">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color w:val="auto"/>
          <w:kern w:val="0"/>
          <w:sz w:val="28"/>
          <w:szCs w:val="28"/>
          <w:highlight w:val="none"/>
          <w:u w:val="none"/>
          <w:lang w:val="en-US" w:eastAsia="zh-CN"/>
        </w:rPr>
      </w:pPr>
      <w:r>
        <w:rPr>
          <w:rFonts w:hint="eastAsia" w:ascii="仿宋_GB2312" w:hAnsi="仿宋_GB2312" w:eastAsia="仿宋_GB2312" w:cs="仿宋_GB2312"/>
          <w:b/>
          <w:bCs/>
          <w:color w:val="auto"/>
          <w:kern w:val="0"/>
          <w:sz w:val="28"/>
          <w:szCs w:val="28"/>
          <w:lang w:val="en-US" w:eastAsia="zh-CN" w:bidi="ar-SA"/>
        </w:rPr>
        <w:t xml:space="preserve"> 开工：</w:t>
      </w:r>
    </w:p>
    <w:p w14:paraId="338449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承包人应在签订本合同后的7天内，向监理工程师提交开工申请书，并附上表明已做好开工准备的有关资料。监理工程师应在本合同签订后的14天内报发包人批准后向承包人发出开工令；承包人应在接到开工令后的3天内开工，并一直保持合同工程连续均衡施工，直至</w:t>
      </w:r>
      <w:r>
        <w:rPr>
          <w:rFonts w:hint="eastAsia" w:ascii="仿宋_GB2312" w:hAnsi="仿宋_GB2312" w:eastAsia="仿宋_GB2312" w:cs="仿宋_GB2312"/>
          <w:color w:val="auto"/>
          <w:kern w:val="0"/>
          <w:sz w:val="28"/>
          <w:szCs w:val="28"/>
          <w:highlight w:val="none"/>
          <w:u w:val="none"/>
          <w:lang w:eastAsia="zh-CN"/>
        </w:rPr>
        <w:t>发包人</w:t>
      </w:r>
      <w:r>
        <w:rPr>
          <w:rFonts w:hint="eastAsia" w:ascii="仿宋_GB2312" w:hAnsi="仿宋_GB2312" w:eastAsia="仿宋_GB2312" w:cs="仿宋_GB2312"/>
          <w:color w:val="auto"/>
          <w:kern w:val="0"/>
          <w:sz w:val="28"/>
          <w:szCs w:val="28"/>
          <w:highlight w:val="none"/>
          <w:u w:val="none"/>
        </w:rPr>
        <w:t>或监理方发出停工或完成施工为止。</w:t>
      </w:r>
    </w:p>
    <w:p w14:paraId="0034AB73">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b/>
          <w:bCs/>
          <w:color w:val="auto"/>
          <w:kern w:val="0"/>
          <w:sz w:val="28"/>
          <w:szCs w:val="28"/>
          <w:lang w:val="en-US" w:eastAsia="zh-CN" w:bidi="ar-SA"/>
        </w:rPr>
        <w:t>竣工验收</w:t>
      </w:r>
    </w:p>
    <w:p w14:paraId="6AB22F9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合同工程竣工验收标准：按照国家或行业的质量验收标准执行。</w:t>
      </w:r>
    </w:p>
    <w:p w14:paraId="6F8D306F">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合同价款的方式 ：</w:t>
      </w:r>
    </w:p>
    <w:p w14:paraId="7957AE2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本工程综合单价包干，工程量按实结算。承包人以包工、包料、包工期、包质量、包造价控制、包安全、包保险、包文明施工、包验收移交、包竣工资料收集整理移交（归档）、包保修的形式承包施工。</w:t>
      </w:r>
    </w:p>
    <w:p w14:paraId="7337D53F">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风险范围以外合同价款调整方法：</w:t>
      </w:r>
    </w:p>
    <w:p w14:paraId="4A2D7BC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合同价款中包括的风险范围：除非合同中另有规定，报价汇总中的价格应包括施工设备、临时用水、用电、临时设施费、赶工措施费、交通安全维护设施费、技术措施费、试验费用、绿化养护费用、劳务、管理、材料、安装、维护、保险、利润、税金和政策性文件规定及合同</w:t>
      </w:r>
      <w:r>
        <w:rPr>
          <w:rFonts w:hint="eastAsia" w:ascii="仿宋_GB2312" w:hAnsi="仿宋_GB2312" w:eastAsia="仿宋_GB2312" w:cs="仿宋_GB2312"/>
          <w:color w:val="auto"/>
          <w:kern w:val="0"/>
          <w:sz w:val="28"/>
          <w:szCs w:val="28"/>
          <w:highlight w:val="none"/>
          <w:u w:val="none"/>
          <w:lang w:eastAsia="zh-CN"/>
        </w:rPr>
        <w:t>包含</w:t>
      </w:r>
      <w:r>
        <w:rPr>
          <w:rFonts w:hint="eastAsia" w:ascii="仿宋_GB2312" w:hAnsi="仿宋_GB2312" w:eastAsia="仿宋_GB2312" w:cs="仿宋_GB2312"/>
          <w:color w:val="auto"/>
          <w:kern w:val="0"/>
          <w:sz w:val="28"/>
          <w:szCs w:val="28"/>
          <w:highlight w:val="none"/>
          <w:u w:val="none"/>
        </w:rPr>
        <w:t>的所有风险、责任等各项应有费用。</w:t>
      </w:r>
    </w:p>
    <w:p w14:paraId="407D456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0"/>
          <w:sz w:val="28"/>
          <w:szCs w:val="28"/>
          <w:highlight w:val="none"/>
          <w:u w:val="none"/>
        </w:rPr>
      </w:pPr>
      <w:r>
        <w:rPr>
          <w:rFonts w:hint="eastAsia" w:ascii="仿宋_GB2312" w:hAnsi="仿宋_GB2312" w:eastAsia="仿宋_GB2312" w:cs="仿宋_GB2312"/>
          <w:color w:val="auto"/>
          <w:kern w:val="0"/>
          <w:sz w:val="28"/>
          <w:szCs w:val="28"/>
          <w:highlight w:val="none"/>
          <w:u w:val="none"/>
        </w:rPr>
        <w:t>风险费用的计算方法：风险费用已包括在合同中，发包方不再承担有关风险费用</w:t>
      </w:r>
      <w:r>
        <w:rPr>
          <w:rFonts w:hint="eastAsia" w:ascii="仿宋_GB2312" w:hAnsi="仿宋_GB2312" w:eastAsia="仿宋_GB2312" w:cs="仿宋_GB2312"/>
          <w:color w:val="auto"/>
          <w:kern w:val="0"/>
          <w:sz w:val="28"/>
          <w:szCs w:val="28"/>
          <w:highlight w:val="none"/>
          <w:u w:val="none"/>
          <w:lang w:eastAsia="zh-CN"/>
        </w:rPr>
        <w:t>，</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不因物价变化等因素而调整。</w:t>
      </w:r>
    </w:p>
    <w:p w14:paraId="3FA0D9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auto"/>
          <w:kern w:val="0"/>
          <w:sz w:val="28"/>
          <w:szCs w:val="28"/>
          <w:highlight w:val="none"/>
          <w:u w:val="none"/>
        </w:rPr>
        <w:t>风险范围以外合同价款调整方法：按照施工期间</w:t>
      </w:r>
      <w:r>
        <w:rPr>
          <w:rFonts w:hint="eastAsia" w:ascii="仿宋_GB2312" w:hAnsi="仿宋_GB2312" w:eastAsia="仿宋_GB2312" w:cs="仿宋_GB2312"/>
          <w:color w:val="auto"/>
          <w:kern w:val="0"/>
          <w:sz w:val="28"/>
          <w:szCs w:val="28"/>
          <w:highlight w:val="none"/>
          <w:u w:val="none"/>
          <w:lang w:eastAsia="zh-CN"/>
        </w:rPr>
        <w:t>清远</w:t>
      </w:r>
      <w:r>
        <w:rPr>
          <w:rFonts w:hint="eastAsia" w:ascii="仿宋_GB2312" w:hAnsi="仿宋_GB2312" w:eastAsia="仿宋_GB2312" w:cs="仿宋_GB2312"/>
          <w:color w:val="auto"/>
          <w:kern w:val="0"/>
          <w:sz w:val="28"/>
          <w:szCs w:val="28"/>
          <w:highlight w:val="none"/>
          <w:u w:val="none"/>
        </w:rPr>
        <w:t>市有关工程计价文件规定和材料指导价格执行。</w:t>
      </w: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综合单价包含的风险范围：人工、机械台班及主要材料涨落属于合同风险范围内，不调整。</w:t>
      </w:r>
    </w:p>
    <w:p w14:paraId="29CF604C">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合同价款的调整事件：</w:t>
      </w:r>
    </w:p>
    <w:p w14:paraId="5611B377">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0"/>
          <w:sz w:val="28"/>
          <w:szCs w:val="28"/>
          <w:highlight w:val="none"/>
          <w:u w:val="none"/>
          <w:lang w:val="en-US" w:eastAsia="zh-CN"/>
        </w:rPr>
      </w:pP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本合同项目的工程承包价是由承包人以招标文件以及招标文件的图纸为依据，采用工程量清单计价方法，根据国家标准《建设工程工程量清单计价规范》（GB50500-2013）以及《广东省建设工程计价依据》（2018）计价办法，按照招标文件中工程量清单所开列的工作内容和估计工程量填报相应的综合单价后并累计合价，再加上措施项目费、其他项目费、规费和税金等计算的合同价。结算时发包人依据中华人民共和国国家标准《建设工程工程量清单计价规范》（GB50500-2013）和《广东省建设工程计价依据》（2018）计价办法，以及图纸、工程变更、签证等规定计量确认的实际工程量乘以中标的综合单价，再加上措施项目费、其他项目费、规费、税金以及风险范围以外的价格等计算的结算造价</w:t>
      </w:r>
      <w:r>
        <w:rPr>
          <w:rFonts w:hint="eastAsia" w:ascii="仿宋_GB2312" w:hAnsi="仿宋_GB2312" w:eastAsia="仿宋_GB2312" w:cs="仿宋_GB2312"/>
          <w:color w:val="auto"/>
          <w:kern w:val="0"/>
          <w:sz w:val="28"/>
          <w:szCs w:val="28"/>
          <w:highlight w:val="none"/>
          <w:u w:val="none"/>
          <w:lang w:val="en-US" w:eastAsia="zh-CN"/>
        </w:rPr>
        <w:t>。</w:t>
      </w:r>
      <w:r>
        <w:rPr>
          <w:rFonts w:hint="eastAsia" w:ascii="仿宋_GB2312" w:hAnsi="仿宋_GB2312" w:eastAsia="仿宋_GB2312" w:cs="仿宋_GB2312"/>
          <w:color w:val="auto"/>
          <w:kern w:val="0"/>
          <w:sz w:val="28"/>
          <w:szCs w:val="28"/>
          <w:highlight w:val="none"/>
          <w:u w:val="single"/>
          <w:lang w:val="en-US" w:eastAsia="zh-CN"/>
        </w:rPr>
        <w:t>本工程结算造价最终以结算审定结果为准</w:t>
      </w:r>
      <w:r>
        <w:rPr>
          <w:rFonts w:hint="eastAsia" w:ascii="仿宋_GB2312" w:hAnsi="仿宋_GB2312" w:eastAsia="仿宋_GB2312" w:cs="仿宋_GB2312"/>
          <w:color w:val="auto"/>
          <w:kern w:val="0"/>
          <w:sz w:val="28"/>
          <w:szCs w:val="28"/>
          <w:highlight w:val="none"/>
          <w:u w:val="none"/>
          <w:lang w:val="en-US" w:eastAsia="zh-CN"/>
        </w:rPr>
        <w:t>。</w:t>
      </w:r>
    </w:p>
    <w:p w14:paraId="63C3F22C">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本项目采用综合单价包干,工程量按实结算，项目结算价最终以发包人或发包人委托的第三方造价咨询机构审定为准。</w:t>
      </w:r>
    </w:p>
    <w:p w14:paraId="3410DC7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val="en-US" w:eastAsia="zh-CN"/>
          <w14:textFill>
            <w14:solidFill>
              <w14:schemeClr w14:val="tx1"/>
            </w14:solidFill>
          </w14:textFill>
        </w:rPr>
        <w:t>（3）在招标阶段，将安全文明措施费在投标阶段列为不可以竞争费用,结算阶段参考执行政府相关文件按实结算。</w:t>
      </w:r>
    </w:p>
    <w:p w14:paraId="28D71B45">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工程变更事件：</w:t>
      </w:r>
    </w:p>
    <w:p w14:paraId="09641B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经发包人审批确认后，按下列办法进行工程量及综合单价的计算：工程量依据国家标准《建设工程工程量清单计价规范》（GB50500-2013）以及《广东省建设工程计价依据》（2018）计价办法，以及图纸、工程变更、签证等规定计量确认的实际工程量为准；综合单价计算方法为：</w:t>
      </w:r>
    </w:p>
    <w:p w14:paraId="03947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工程设计变更及设计外增加项目的结算方式：</w:t>
      </w:r>
    </w:p>
    <w:p w14:paraId="61FB7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（1）工程量清单有的项目,按照工程量清单报价进行结算;</w:t>
      </w:r>
    </w:p>
    <w:p w14:paraId="68FDD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（2）工程量清单有类似的项目,按照工程量清单报价换算进行结算;</w:t>
      </w:r>
    </w:p>
    <w:p w14:paraId="0EA79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3）工程量清单没有相同或没有类似的项目,按照最新的中华人民共和国国家标准《建设工程工程量清单计价规范》、《广东省安装工程综合定额（2018）》、《广东省建筑及装饰工程综合定额（2018）》计价,如清单内容或施工工艺流程不在《广东省建设工程计价依据（2018）》编制范围内，则参考《广东省房屋建筑和市政修缮工程综合定额（2012）》标准进行编制工程量清单</w:t>
      </w:r>
      <w:r>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t>及</w:t>
      </w:r>
      <w:r>
        <w:rPr>
          <w:rFonts w:hint="default" w:ascii="仿宋_GB2312" w:hAnsi="仿宋_GB2312" w:eastAsia="仿宋_GB2312" w:cs="仿宋_GB2312"/>
          <w:color w:val="000000" w:themeColor="text1"/>
          <w:kern w:val="0"/>
          <w:sz w:val="28"/>
          <w:szCs w:val="28"/>
          <w:highlight w:val="none"/>
          <w:u w:val="none"/>
          <w:lang w:eastAsia="zh-CN" w:bidi="ar-SA"/>
          <w14:textFill>
            <w14:solidFill>
              <w14:schemeClr w14:val="tx1"/>
            </w14:solidFill>
          </w14:textFill>
        </w:rPr>
        <w:t>综合单价</w:t>
      </w:r>
      <w:r>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t>。总价下浮,</w:t>
      </w:r>
      <w:r>
        <w:rPr>
          <w:rFonts w:hint="default" w:ascii="仿宋_GB2312" w:hAnsi="仿宋_GB2312" w:eastAsia="仿宋_GB2312" w:cs="仿宋_GB2312"/>
          <w:color w:val="000000" w:themeColor="text1"/>
          <w:kern w:val="0"/>
          <w:sz w:val="28"/>
          <w:szCs w:val="28"/>
          <w:highlight w:val="none"/>
          <w:u w:val="none"/>
          <w:lang w:eastAsia="zh-CN" w:bidi="ar-SA"/>
          <w14:textFill>
            <w14:solidFill>
              <w14:schemeClr w14:val="tx1"/>
            </w14:solidFill>
          </w14:textFill>
        </w:rPr>
        <w:t>即总价</w:t>
      </w:r>
      <w:r>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0"/>
          <w:sz w:val="28"/>
          <w:szCs w:val="28"/>
          <w:highlight w:val="none"/>
          <w:u w:val="none"/>
          <w:lang w:eastAsia="zh-CN" w:bidi="ar-SA"/>
          <w14:textFill>
            <w14:solidFill>
              <w14:schemeClr w14:val="tx1"/>
            </w14:solidFill>
          </w14:textFill>
        </w:rPr>
        <w:t>工程量*综合单价*</w:t>
      </w:r>
      <w:r>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t>(1-成交价/最高限价)</w:t>
      </w:r>
      <w:r>
        <w:rPr>
          <w:rFonts w:hint="default" w:ascii="仿宋_GB2312" w:hAnsi="仿宋_GB2312" w:eastAsia="仿宋_GB2312" w:cs="仿宋_GB2312"/>
          <w:color w:val="000000" w:themeColor="text1"/>
          <w:kern w:val="0"/>
          <w:sz w:val="28"/>
          <w:szCs w:val="28"/>
          <w:highlight w:val="none"/>
          <w:u w:val="none"/>
          <w:lang w:eastAsia="zh-CN" w:bidi="ar-SA"/>
          <w14:textFill>
            <w14:solidFill>
              <w14:schemeClr w14:val="tx1"/>
            </w14:solidFill>
          </w14:textFill>
        </w:rPr>
        <w:t>。综合单价计算时，</w:t>
      </w:r>
      <w:r>
        <w:rPr>
          <w:rFonts w:hint="eastAsia" w:ascii="仿宋_GB2312" w:hAnsi="仿宋_GB2312" w:eastAsia="仿宋_GB2312" w:cs="仿宋_GB2312"/>
          <w:color w:val="auto"/>
          <w:kern w:val="0"/>
          <w:sz w:val="28"/>
          <w:szCs w:val="28"/>
          <w:highlight w:val="none"/>
          <w:u w:val="none"/>
          <w:lang w:val="en-US" w:eastAsia="zh-CN" w:bidi="ar-SA"/>
        </w:rPr>
        <w:t>其中人工、机械台班价格按施工当期项目所在地建设工程造价管理站相关文件发布的价格执行,材料设备价格按以下约定方式结算：</w:t>
      </w:r>
    </w:p>
    <w:p w14:paraId="68A8F8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①按施工当期项目所在地的工程造价信息相关文件对应材料的市场参考价及市场行情价较低者结算;</w:t>
      </w:r>
    </w:p>
    <w:p w14:paraId="37234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②按施工当期项目所在地工程造价信息相关文件对应品牌材料设备的厂商信息价格下浮10%结算;</w:t>
      </w:r>
    </w:p>
    <w:p w14:paraId="4288A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③按施工当期项目所在地建设工程材料(设备)厂商价格信息相关文件对应品牌的材料、设备价格下浮10%结算。</w:t>
      </w:r>
    </w:p>
    <w:p w14:paraId="5C7BA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④工程量清单和指导价没有相同或者没有且无相关定额的项目,承包人按照使用当季的清远地区或临近市区市场价格编制预算,送发包人和监理方审定后作为结算依据，措施项目费不另计。</w:t>
      </w:r>
    </w:p>
    <w:p w14:paraId="794C51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 w:hAnsi="仿宋" w:eastAsia="仿宋" w:cs="仿宋"/>
          <w:kern w:val="0"/>
          <w:sz w:val="24"/>
          <w:szCs w:val="24"/>
          <w:u w:val="single"/>
          <w:lang w:val="en-US" w:eastAsia="zh-CN"/>
        </w:rPr>
      </w:pPr>
    </w:p>
    <w:p w14:paraId="798C6905">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 xml:space="preserve">付款进度和方式： </w:t>
      </w:r>
    </w:p>
    <w:p w14:paraId="1ADFD9AD">
      <w:pPr>
        <w:pStyle w:val="4"/>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签订合同后，招标人向中标人预付合同价（扣除暂列金额部分）的</w:t>
      </w:r>
      <w:r>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t>30</w:t>
      </w:r>
      <w:r>
        <w:rPr>
          <w:rFonts w:hint="eastAsia" w:ascii="仿宋_GB2312" w:hAnsi="仿宋_GB2312" w:eastAsia="仿宋_GB2312" w:cs="仿宋_GB2312"/>
          <w:color w:val="auto"/>
          <w:kern w:val="0"/>
          <w:sz w:val="28"/>
          <w:szCs w:val="28"/>
          <w:highlight w:val="none"/>
          <w:u w:val="none"/>
          <w:lang w:val="en-US" w:eastAsia="zh-CN" w:bidi="ar-SA"/>
        </w:rPr>
        <w:t>%作为预付款。中标人</w:t>
      </w:r>
      <w:r>
        <w:rPr>
          <w:rFonts w:hint="default" w:ascii="仿宋_GB2312" w:hAnsi="仿宋_GB2312" w:eastAsia="仿宋_GB2312" w:cs="仿宋_GB2312"/>
          <w:color w:val="auto"/>
          <w:kern w:val="0"/>
          <w:sz w:val="28"/>
          <w:szCs w:val="28"/>
          <w:highlight w:val="none"/>
          <w:u w:val="none"/>
          <w:lang w:eastAsia="zh-CN" w:bidi="ar-SA"/>
        </w:rPr>
        <w:t>须</w:t>
      </w:r>
      <w:r>
        <w:rPr>
          <w:rFonts w:hint="eastAsia" w:ascii="仿宋_GB2312" w:hAnsi="仿宋_GB2312" w:eastAsia="仿宋_GB2312" w:cs="仿宋_GB2312"/>
          <w:color w:val="auto"/>
          <w:kern w:val="0"/>
          <w:sz w:val="28"/>
          <w:szCs w:val="28"/>
          <w:highlight w:val="none"/>
          <w:u w:val="none"/>
          <w:lang w:val="en-US" w:eastAsia="zh-CN" w:bidi="ar-SA"/>
        </w:rPr>
        <w:t>提交预付款保函并经招标人财务部门核实之日起，招标人在10工作日内，支付相应金额的预付款；如中标人不需要预付款的，可不提供预付款保函。</w:t>
      </w:r>
    </w:p>
    <w:p w14:paraId="0BCA392F">
      <w:pPr>
        <w:pStyle w:val="4"/>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工程进度完成至总工程量的60%，经中标人书面申请、监理公司确认、招标人审核确认之日起10个工作日内，招标人向中标人支付至合同价（扣除暂列金额部分）的50%。</w:t>
      </w:r>
    </w:p>
    <w:p w14:paraId="775B622B">
      <w:pPr>
        <w:pStyle w:val="4"/>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工程进度完成至总工程量的90%，经施工方书面申请、监理公司确认、招标人审核确认之日起10个工作日内，招标人向中标人支付至合同价（扣除暂列金额部分）的72%</w:t>
      </w:r>
      <w:r>
        <w:rPr>
          <w:rFonts w:hint="eastAsia" w:ascii="仿宋_GB2312" w:hAnsi="仿宋_GB2312" w:eastAsia="仿宋_GB2312" w:cs="仿宋_GB2312"/>
          <w:color w:val="auto"/>
          <w:sz w:val="28"/>
          <w:szCs w:val="28"/>
          <w:highlight w:val="none"/>
          <w:u w:val="none"/>
          <w:lang w:val="en-US" w:eastAsia="zh-CN"/>
        </w:rPr>
        <w:t>。</w:t>
      </w:r>
    </w:p>
    <w:p w14:paraId="6AA6405D">
      <w:pPr>
        <w:pStyle w:val="4"/>
        <w:numPr>
          <w:ilvl w:val="0"/>
          <w:numId w:val="8"/>
        </w:numPr>
        <w:spacing w:line="440" w:lineRule="exact"/>
        <w:ind w:left="425" w:hanging="425"/>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kern w:val="0"/>
          <w:sz w:val="28"/>
          <w:szCs w:val="28"/>
          <w:highlight w:val="none"/>
          <w:u w:val="none"/>
          <w:lang w:val="en-US" w:eastAsia="zh-CN" w:bidi="ar-SA"/>
        </w:rPr>
        <w:t>工程完工并验收合格后，承包人向发包人报送工程结算书，经发包人审核，</w:t>
      </w:r>
      <w:r>
        <w:rPr>
          <w:rFonts w:hint="eastAsia" w:ascii="仿宋_GB2312" w:hAnsi="仿宋_GB2312" w:eastAsia="仿宋_GB2312" w:cs="仿宋_GB2312"/>
          <w:i w:val="0"/>
          <w:caps w:val="0"/>
          <w:color w:val="auto"/>
          <w:spacing w:val="0"/>
          <w:kern w:val="0"/>
          <w:sz w:val="28"/>
          <w:szCs w:val="28"/>
          <w:highlight w:val="none"/>
          <w:u w:val="none"/>
          <w:shd w:val="clear" w:fill="FFFFFF"/>
          <w:lang w:val="en-US" w:eastAsia="zh-CN" w:bidi="ar-SA"/>
        </w:rPr>
        <w:t>待甲乙双方确认后</w:t>
      </w:r>
      <w:r>
        <w:rPr>
          <w:rFonts w:hint="eastAsia" w:ascii="仿宋_GB2312" w:hAnsi="仿宋_GB2312" w:eastAsia="仿宋_GB2312" w:cs="仿宋_GB2312"/>
          <w:color w:val="auto"/>
          <w:kern w:val="0"/>
          <w:sz w:val="28"/>
          <w:szCs w:val="28"/>
          <w:highlight w:val="none"/>
          <w:u w:val="none"/>
        </w:rPr>
        <w:t>，承包人向发包人缴纳经审定的工程结算总价的3%作为质量保证金</w:t>
      </w:r>
      <w:r>
        <w:rPr>
          <w:rFonts w:hint="eastAsia" w:ascii="仿宋_GB2312" w:hAnsi="仿宋_GB2312" w:eastAsia="仿宋_GB2312" w:cs="仿宋_GB2312"/>
          <w:color w:val="auto"/>
          <w:kern w:val="0"/>
          <w:sz w:val="28"/>
          <w:szCs w:val="28"/>
          <w:highlight w:val="none"/>
          <w:u w:val="none"/>
          <w:lang w:eastAsia="zh-CN"/>
        </w:rPr>
        <w:t>，</w:t>
      </w:r>
      <w:r>
        <w:rPr>
          <w:rFonts w:hint="eastAsia" w:ascii="仿宋_GB2312" w:hAnsi="仿宋_GB2312" w:eastAsia="仿宋_GB2312" w:cs="仿宋_GB2312"/>
          <w:color w:val="auto"/>
          <w:kern w:val="0"/>
          <w:sz w:val="28"/>
          <w:szCs w:val="28"/>
          <w:highlight w:val="none"/>
          <w:u w:val="none"/>
          <w:lang w:val="en-US" w:eastAsia="zh-CN" w:bidi="ar-SA"/>
        </w:rPr>
        <w:t>同时须缴纳施工水电费后。</w:t>
      </w:r>
      <w:r>
        <w:rPr>
          <w:rFonts w:hint="eastAsia" w:ascii="仿宋_GB2312" w:hAnsi="仿宋_GB2312" w:eastAsia="仿宋_GB2312" w:cs="仿宋_GB2312"/>
          <w:color w:val="auto"/>
          <w:kern w:val="0"/>
          <w:sz w:val="28"/>
          <w:szCs w:val="28"/>
          <w:highlight w:val="none"/>
          <w:u w:val="none"/>
        </w:rPr>
        <w:t>发包人在收到结算申请资料并审核通过之日起1</w:t>
      </w:r>
      <w:r>
        <w:rPr>
          <w:rFonts w:hint="eastAsia" w:ascii="仿宋_GB2312" w:hAnsi="仿宋_GB2312" w:eastAsia="仿宋_GB2312" w:cs="仿宋_GB2312"/>
          <w:color w:val="auto"/>
          <w:kern w:val="0"/>
          <w:sz w:val="28"/>
          <w:szCs w:val="28"/>
          <w:highlight w:val="none"/>
          <w:u w:val="none"/>
          <w:lang w:val="en-US" w:eastAsia="zh-CN"/>
        </w:rPr>
        <w:t>0</w:t>
      </w:r>
      <w:r>
        <w:rPr>
          <w:rFonts w:hint="eastAsia" w:ascii="仿宋_GB2312" w:hAnsi="仿宋_GB2312" w:eastAsia="仿宋_GB2312" w:cs="仿宋_GB2312"/>
          <w:color w:val="auto"/>
          <w:kern w:val="0"/>
          <w:sz w:val="28"/>
          <w:szCs w:val="28"/>
          <w:highlight w:val="none"/>
          <w:u w:val="none"/>
        </w:rPr>
        <w:t>个工作日内，支付工程结算总价至100%。质量保证金在验收合格之日起满2年后无质量问题，发包人于收到承包人退回质量保证金申请资料之日起1</w:t>
      </w:r>
      <w:r>
        <w:rPr>
          <w:rFonts w:hint="eastAsia" w:ascii="仿宋_GB2312" w:hAnsi="仿宋_GB2312" w:eastAsia="仿宋_GB2312" w:cs="仿宋_GB2312"/>
          <w:color w:val="auto"/>
          <w:kern w:val="0"/>
          <w:sz w:val="28"/>
          <w:szCs w:val="28"/>
          <w:highlight w:val="none"/>
          <w:u w:val="none"/>
          <w:lang w:val="en-US" w:eastAsia="zh-CN"/>
        </w:rPr>
        <w:t>5</w:t>
      </w:r>
      <w:r>
        <w:rPr>
          <w:rFonts w:hint="eastAsia" w:ascii="仿宋_GB2312" w:hAnsi="仿宋_GB2312" w:eastAsia="仿宋_GB2312" w:cs="仿宋_GB2312"/>
          <w:color w:val="auto"/>
          <w:kern w:val="0"/>
          <w:sz w:val="28"/>
          <w:szCs w:val="28"/>
          <w:highlight w:val="none"/>
          <w:u w:val="none"/>
        </w:rPr>
        <w:t>个工作日内，无息返还给承包人。</w:t>
      </w:r>
    </w:p>
    <w:p w14:paraId="205611C9">
      <w:pPr>
        <w:pStyle w:val="4"/>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承包人申请工程进度款需</w:t>
      </w:r>
      <w:r>
        <w:rPr>
          <w:rFonts w:hint="default" w:ascii="仿宋_GB2312" w:hAnsi="仿宋_GB2312" w:eastAsia="仿宋_GB2312" w:cs="仿宋_GB2312"/>
          <w:strike w:val="0"/>
          <w:dstrike w:val="0"/>
          <w:color w:val="000000" w:themeColor="text1"/>
          <w:sz w:val="28"/>
          <w:szCs w:val="28"/>
          <w:highlight w:val="none"/>
          <w:u w:val="none"/>
          <w:lang w:eastAsia="zh-CN"/>
          <w14:textFill>
            <w14:solidFill>
              <w14:schemeClr w14:val="tx1"/>
            </w14:solidFill>
          </w14:textFill>
        </w:rPr>
        <w:t>提交请款申请函、经监理单位签署的工程进度报表、</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相应金额的符合国家税局要求、合规合法的增值税发票</w:t>
      </w:r>
      <w:r>
        <w:rPr>
          <w:rFonts w:hint="default" w:ascii="仿宋_GB2312" w:hAnsi="仿宋_GB2312" w:eastAsia="仿宋_GB2312" w:cs="仿宋_GB2312"/>
          <w:color w:val="000000" w:themeColor="text1"/>
          <w:sz w:val="28"/>
          <w:szCs w:val="28"/>
          <w:highlight w:val="none"/>
          <w:u w:val="none"/>
          <w:lang w:eastAsia="zh-CN"/>
          <w14:textFill>
            <w14:solidFill>
              <w14:schemeClr w14:val="tx1"/>
            </w14:solidFill>
          </w14:textFill>
        </w:rPr>
        <w:t>等资料，经发包方确认后办理支付</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w:t>
      </w:r>
    </w:p>
    <w:p w14:paraId="5BF6C017">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施工用水电费的说明：</w:t>
      </w:r>
    </w:p>
    <w:p w14:paraId="4D6F05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79" w:leftChars="133" w:firstLine="0" w:firstLineChars="0"/>
        <w:textAlignment w:val="auto"/>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auto"/>
          <w:kern w:val="0"/>
          <w:sz w:val="28"/>
          <w:szCs w:val="28"/>
          <w:highlight w:val="none"/>
          <w:u w:val="none"/>
          <w:lang w:val="en-US" w:eastAsia="zh-CN" w:bidi="ar-SA"/>
        </w:rPr>
        <w:t>A、在</w:t>
      </w:r>
      <w:r>
        <w:rPr>
          <w:rFonts w:hint="default" w:ascii="仿宋_GB2312" w:hAnsi="仿宋_GB2312" w:eastAsia="仿宋_GB2312" w:cs="仿宋_GB2312"/>
          <w:strike w:val="0"/>
          <w:dstrike w:val="0"/>
          <w:color w:val="000000" w:themeColor="text1"/>
          <w:kern w:val="0"/>
          <w:sz w:val="28"/>
          <w:szCs w:val="28"/>
          <w:highlight w:val="none"/>
          <w:u w:val="none"/>
          <w:lang w:eastAsia="zh-CN" w:bidi="ar-SA"/>
          <w14:textFill>
            <w14:solidFill>
              <w14:schemeClr w14:val="tx1"/>
            </w14:solidFill>
          </w14:textFill>
        </w:rPr>
        <w:t>施工</w:t>
      </w:r>
      <w:r>
        <w:rPr>
          <w:rFonts w:hint="eastAsia" w:ascii="仿宋_GB2312" w:hAnsi="仿宋_GB2312" w:eastAsia="仿宋_GB2312" w:cs="仿宋_GB2312"/>
          <w:color w:val="auto"/>
          <w:kern w:val="0"/>
          <w:sz w:val="28"/>
          <w:szCs w:val="28"/>
          <w:highlight w:val="none"/>
          <w:u w:val="none"/>
          <w:lang w:val="en-US" w:eastAsia="zh-CN" w:bidi="ar-SA"/>
        </w:rPr>
        <w:t>范围内，发包人只提供水、电接驳点，其他由承包人自行负责。施工场地内接驳水、电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再补偿。</w:t>
      </w:r>
    </w:p>
    <w:p w14:paraId="1BCA089F">
      <w:pPr>
        <w:keepNext w:val="0"/>
        <w:keepLines w:val="0"/>
        <w:pageBreakBefore w:val="0"/>
        <w:widowControl w:val="0"/>
        <w:kinsoku/>
        <w:wordWrap/>
        <w:overflowPunct/>
        <w:topLinePunct w:val="0"/>
        <w:autoSpaceDE/>
        <w:autoSpaceDN/>
        <w:bidi w:val="0"/>
        <w:adjustRightInd/>
        <w:snapToGrid/>
        <w:spacing w:line="440" w:lineRule="exact"/>
        <w:ind w:left="279" w:leftChars="133" w:firstLine="0" w:firstLineChars="0"/>
        <w:textAlignment w:val="auto"/>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t>B、如特殊情况未能安装水表、电表的，施工期间所发生的水电费用由发包人代付代缴，并根据现行最新的定额标准（定额子目中各指标消耗量）及本项目送审结算数据资料水电在工程造价中的相应消耗量计算水费、电费，承包人在办理工程竣工结算时需向发包人提交缴纳水电费的清单凭证。水电费价格按施工当期清远市建设工程造价管理站相关文件发布的价格执行。</w:t>
      </w:r>
    </w:p>
    <w:p w14:paraId="5E576ADC">
      <w:pPr>
        <w:pStyle w:val="4"/>
        <w:keepNext w:val="0"/>
        <w:keepLines w:val="0"/>
        <w:pageBreakBefore w:val="0"/>
        <w:widowControl/>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 xml:space="preserve"> </w:t>
      </w:r>
      <w:r>
        <w:rPr>
          <w:rFonts w:hint="eastAsia" w:ascii="仿宋_GB2312" w:hAnsi="仿宋_GB2312" w:eastAsia="仿宋_GB2312" w:cs="仿宋_GB2312"/>
          <w:i w:val="0"/>
          <w:caps w:val="0"/>
          <w:color w:val="auto"/>
          <w:spacing w:val="0"/>
          <w:kern w:val="0"/>
          <w:sz w:val="28"/>
          <w:szCs w:val="28"/>
          <w:highlight w:val="none"/>
          <w:u w:val="none"/>
          <w:shd w:val="clear"/>
          <w:lang w:val="en-US" w:eastAsia="zh-CN" w:bidi="ar-SA"/>
        </w:rPr>
        <w:t>为了加强学校固定资产管理，如结算项目中含有单位价值符合学校固定资产管理办法相关规定货物（政府采购集采目录货物除外），中标人报送结算资料时，须另附固定资产价格清单明细表。</w:t>
      </w:r>
    </w:p>
    <w:p w14:paraId="151E90DE">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质量保质保修期限</w:t>
      </w:r>
    </w:p>
    <w:p w14:paraId="77B9626D">
      <w:pPr>
        <w:spacing w:line="440" w:lineRule="exact"/>
        <w:rPr>
          <w:rFonts w:hint="default"/>
          <w:b w:val="0"/>
          <w:bCs w:val="0"/>
          <w:lang w:val="en-US" w:eastAsia="zh-CN"/>
        </w:rPr>
      </w:pPr>
      <w:r>
        <w:rPr>
          <w:rFonts w:hint="eastAsia"/>
          <w:b w:val="0"/>
          <w:bCs w:val="0"/>
          <w:lang w:val="en-US" w:eastAsia="zh-CN"/>
        </w:rPr>
        <w:t xml:space="preserve">   </w:t>
      </w:r>
      <w:r>
        <w:rPr>
          <w:rFonts w:hint="eastAsia" w:ascii="仿宋_GB2312" w:hAnsi="仿宋_GB2312" w:eastAsia="仿宋_GB2312" w:cs="仿宋_GB2312"/>
          <w:color w:val="000000" w:themeColor="text1"/>
          <w:kern w:val="0"/>
          <w:sz w:val="28"/>
          <w:szCs w:val="28"/>
          <w:highlight w:val="none"/>
          <w:u w:val="none"/>
          <w:lang w:val="en-US" w:eastAsia="zh-CN" w:bidi="ar-SA"/>
          <w14:textFill>
            <w14:solidFill>
              <w14:schemeClr w14:val="tx1"/>
            </w14:solidFill>
          </w14:textFill>
        </w:rPr>
        <w:t xml:space="preserve"> 质量保修期：24个月。</w:t>
      </w:r>
    </w:p>
    <w:p w14:paraId="0C7673C4">
      <w:pPr>
        <w:pStyle w:val="4"/>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仲裁或诉讼</w:t>
      </w:r>
    </w:p>
    <w:p w14:paraId="2A2FD2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 xml:space="preserve">   解决争议的最终方式：凡与本合同有关而引起的一切争议，甲乙双方应首先通过友好协商解决，如经协商后仍不能友好协商解决时，甲乙双方一致同意向</w:t>
      </w:r>
      <w:r>
        <w:rPr>
          <w:rFonts w:hint="eastAsia" w:ascii="仿宋_GB2312" w:hAnsi="仿宋_GB2312" w:eastAsia="仿宋_GB2312" w:cs="仿宋_GB2312"/>
          <w:kern w:val="0"/>
          <w:sz w:val="28"/>
          <w:szCs w:val="28"/>
          <w:u w:val="none"/>
          <w:lang w:val="en-US" w:eastAsia="zh-CN"/>
        </w:rPr>
        <w:t>甲方所在地</w:t>
      </w:r>
      <w:r>
        <w:rPr>
          <w:rFonts w:hint="eastAsia" w:ascii="仿宋_GB2312" w:hAnsi="仿宋_GB2312" w:eastAsia="仿宋_GB2312" w:cs="仿宋_GB2312"/>
          <w:kern w:val="0"/>
          <w:sz w:val="28"/>
          <w:szCs w:val="28"/>
          <w:u w:val="none"/>
        </w:rPr>
        <w:t>人民法院提起诉讼。</w:t>
      </w:r>
    </w:p>
    <w:p w14:paraId="24E629C1">
      <w:pPr>
        <w:spacing w:line="440" w:lineRule="exact"/>
        <w:rPr>
          <w:rFonts w:hint="eastAsia" w:ascii="仿宋" w:hAnsi="仿宋" w:eastAsia="仿宋"/>
          <w:sz w:val="32"/>
          <w:szCs w:val="32"/>
        </w:rPr>
      </w:pPr>
    </w:p>
    <w:p w14:paraId="78EDEF1C">
      <w:pPr>
        <w:spacing w:line="440" w:lineRule="exact"/>
        <w:rPr>
          <w:rFonts w:hint="eastAsia" w:ascii="仿宋" w:hAnsi="仿宋" w:eastAsia="仿宋"/>
          <w:sz w:val="28"/>
          <w:szCs w:val="28"/>
          <w:u w:val="single"/>
        </w:rPr>
      </w:pPr>
      <w:r>
        <w:rPr>
          <w:rFonts w:hint="eastAsia" w:ascii="仿宋" w:hAnsi="仿宋" w:eastAsia="仿宋"/>
          <w:sz w:val="32"/>
          <w:szCs w:val="32"/>
        </w:rPr>
        <w:t>2、采购标的二：</w:t>
      </w:r>
      <w:r>
        <w:rPr>
          <w:rFonts w:hint="eastAsia" w:ascii="仿宋" w:hAnsi="仿宋" w:eastAsia="仿宋"/>
          <w:sz w:val="32"/>
          <w:szCs w:val="32"/>
          <w:u w:val="single"/>
        </w:rPr>
        <w:t xml:space="preserve"> </w:t>
      </w:r>
      <w:r>
        <w:rPr>
          <w:rFonts w:hint="eastAsia" w:ascii="仿宋" w:hAnsi="仿宋" w:eastAsia="仿宋"/>
          <w:sz w:val="28"/>
          <w:szCs w:val="28"/>
          <w:u w:val="single"/>
          <w:lang w:val="en-US" w:eastAsia="zh-CN"/>
        </w:rPr>
        <w:t>无</w:t>
      </w:r>
      <w:r>
        <w:rPr>
          <w:rFonts w:ascii="仿宋" w:hAnsi="仿宋" w:eastAsia="仿宋"/>
          <w:sz w:val="28"/>
          <w:szCs w:val="28"/>
          <w:u w:val="single"/>
        </w:rPr>
        <w:t xml:space="preserve">                                        </w:t>
      </w:r>
      <w:r>
        <w:rPr>
          <w:rFonts w:hint="eastAsia" w:ascii="仿宋" w:hAnsi="仿宋" w:eastAsia="仿宋"/>
          <w:sz w:val="28"/>
          <w:szCs w:val="28"/>
        </w:rPr>
        <w:t>。</w:t>
      </w:r>
    </w:p>
    <w:p w14:paraId="5AFAF63D">
      <w:pPr>
        <w:spacing w:line="440" w:lineRule="exact"/>
        <w:rPr>
          <w:rFonts w:hint="eastAsia"/>
        </w:rPr>
      </w:pPr>
      <w:r>
        <w:rPr>
          <w:rFonts w:hint="eastAsia" w:ascii="仿宋" w:hAnsi="仿宋" w:eastAsia="仿宋"/>
          <w:sz w:val="32"/>
          <w:szCs w:val="40"/>
        </w:rPr>
        <w:t>（1）技术要求</w:t>
      </w:r>
      <w:r>
        <w:rPr>
          <w:rFonts w:hint="eastAsia" w:ascii="仿宋" w:hAnsi="仿宋" w:eastAsia="仿宋"/>
          <w:sz w:val="32"/>
          <w:szCs w:val="32"/>
        </w:rPr>
        <w:t>：</w:t>
      </w:r>
    </w:p>
    <w:p w14:paraId="68C55FBE">
      <w:pPr>
        <w:spacing w:line="440" w:lineRule="exact"/>
        <w:rPr>
          <w:rFonts w:hint="eastAsia"/>
        </w:rPr>
      </w:pPr>
      <w:r>
        <w:rPr>
          <w:rFonts w:hint="eastAsia" w:ascii="仿宋" w:hAnsi="仿宋" w:eastAsia="仿宋"/>
          <w:sz w:val="32"/>
          <w:szCs w:val="40"/>
        </w:rPr>
        <w:t>（2）</w:t>
      </w:r>
      <w:r>
        <w:rPr>
          <w:rFonts w:hint="eastAsia" w:ascii="仿宋" w:hAnsi="仿宋" w:eastAsia="仿宋"/>
          <w:sz w:val="32"/>
          <w:szCs w:val="32"/>
        </w:rPr>
        <w:t>商务要求：</w:t>
      </w:r>
    </w:p>
    <w:p w14:paraId="76F6F734">
      <w:pPr>
        <w:widowControl/>
        <w:spacing w:line="440" w:lineRule="exact"/>
        <w:ind w:firstLine="480" w:firstLineChars="200"/>
        <w:jc w:val="left"/>
        <w:rPr>
          <w:rFonts w:hint="eastAsia" w:ascii="仿宋" w:hAnsi="仿宋" w:eastAsia="仿宋"/>
          <w:i/>
          <w:iCs/>
          <w:sz w:val="24"/>
        </w:rPr>
      </w:pPr>
      <w:r>
        <w:rPr>
          <w:rFonts w:hint="eastAsia" w:ascii="仿宋" w:hAnsi="仿宋" w:eastAsia="仿宋"/>
          <w:i/>
          <w:iCs/>
          <w:sz w:val="24"/>
        </w:rPr>
        <w:t>（说明：采购需求应当清楚明了、表述规范、含义准确。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14:paraId="7B767767">
      <w:pPr>
        <w:widowControl/>
        <w:spacing w:line="440" w:lineRule="exact"/>
        <w:jc w:val="left"/>
        <w:rPr>
          <w:rFonts w:hint="eastAsia" w:ascii="仿宋" w:hAnsi="仿宋" w:eastAsia="仿宋"/>
          <w:sz w:val="32"/>
          <w:szCs w:val="32"/>
        </w:rPr>
      </w:pPr>
      <w:r>
        <w:rPr>
          <w:rFonts w:ascii="仿宋" w:hAnsi="仿宋" w:eastAsia="仿宋"/>
          <w:sz w:val="32"/>
          <w:szCs w:val="32"/>
        </w:rPr>
        <w:br w:type="page"/>
      </w:r>
    </w:p>
    <w:p w14:paraId="565C957D">
      <w:pPr>
        <w:spacing w:line="360" w:lineRule="auto"/>
        <w:rPr>
          <w:rFonts w:hint="eastAsia" w:ascii="仿宋" w:hAnsi="仿宋" w:eastAsia="仿宋"/>
          <w:sz w:val="32"/>
          <w:szCs w:val="32"/>
        </w:rPr>
      </w:pPr>
      <w:r>
        <w:rPr>
          <w:rFonts w:hint="eastAsia" w:ascii="仿宋" w:hAnsi="仿宋" w:eastAsia="仿宋"/>
          <w:sz w:val="32"/>
          <w:szCs w:val="32"/>
        </w:rPr>
        <w:t>（五）其他要求</w:t>
      </w:r>
    </w:p>
    <w:tbl>
      <w:tblPr>
        <w:tblStyle w:val="30"/>
        <w:tblW w:w="8684" w:type="dxa"/>
        <w:tblInd w:w="-41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1702"/>
        <w:gridCol w:w="6982"/>
      </w:tblGrid>
      <w:tr w14:paraId="51336D4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387" w:hRule="atLeast"/>
        </w:trPr>
        <w:tc>
          <w:tcPr>
            <w:tcW w:w="1702" w:type="dxa"/>
            <w:shd w:val="clear" w:color="auto" w:fill="auto"/>
            <w:vAlign w:val="center"/>
          </w:tcPr>
          <w:p w14:paraId="38DFAF48">
            <w:pPr>
              <w:spacing w:line="360" w:lineRule="exact"/>
              <w:jc w:val="center"/>
              <w:rPr>
                <w:rFonts w:hint="eastAsia" w:ascii="仿宋_GB2312" w:eastAsia="仿宋_GB2312"/>
                <w:color w:val="auto"/>
                <w:sz w:val="21"/>
                <w:szCs w:val="21"/>
              </w:rPr>
            </w:pPr>
            <w:r>
              <w:rPr>
                <w:rFonts w:hint="eastAsia" w:ascii="仿宋_GB2312" w:eastAsia="仿宋_GB2312"/>
                <w:color w:val="auto"/>
                <w:sz w:val="21"/>
                <w:szCs w:val="21"/>
              </w:rPr>
              <w:t>供货期/服务器</w:t>
            </w:r>
          </w:p>
        </w:tc>
        <w:tc>
          <w:tcPr>
            <w:tcW w:w="6982" w:type="dxa"/>
            <w:shd w:val="clear" w:color="auto" w:fill="auto"/>
            <w:vAlign w:val="center"/>
          </w:tcPr>
          <w:p w14:paraId="785432F2">
            <w:pPr>
              <w:spacing w:line="360" w:lineRule="exact"/>
              <w:jc w:val="center"/>
              <w:rPr>
                <w:rFonts w:hint="eastAsia" w:ascii="仿宋_GB2312" w:eastAsia="仿宋_GB2312"/>
                <w:color w:val="auto"/>
                <w:sz w:val="21"/>
                <w:szCs w:val="21"/>
              </w:rPr>
            </w:pPr>
            <w:r>
              <w:rPr>
                <w:rFonts w:hint="eastAsia" w:ascii="仿宋_GB2312" w:eastAsia="仿宋_GB2312"/>
                <w:color w:val="auto"/>
                <w:sz w:val="21"/>
                <w:szCs w:val="21"/>
              </w:rPr>
              <w:t>合同签订后</w:t>
            </w:r>
            <w:r>
              <w:rPr>
                <w:rFonts w:hint="eastAsia" w:ascii="仿宋_GB2312" w:eastAsia="仿宋_GB2312"/>
                <w:color w:val="auto"/>
                <w:sz w:val="21"/>
                <w:szCs w:val="21"/>
                <w:u w:val="single"/>
              </w:rPr>
              <w:t xml:space="preserve"> </w:t>
            </w:r>
            <w:r>
              <w:rPr>
                <w:rFonts w:hint="eastAsia" w:ascii="仿宋_GB2312" w:eastAsia="仿宋_GB2312"/>
                <w:color w:val="auto"/>
                <w:sz w:val="21"/>
                <w:szCs w:val="21"/>
                <w:u w:val="single"/>
                <w:lang w:val="en-US" w:eastAsia="zh-CN"/>
              </w:rPr>
              <w:t>150</w:t>
            </w:r>
            <w:r>
              <w:rPr>
                <w:rFonts w:hint="eastAsia" w:ascii="仿宋_GB2312" w:eastAsia="仿宋_GB2312"/>
                <w:color w:val="auto"/>
                <w:sz w:val="21"/>
                <w:szCs w:val="21"/>
                <w:u w:val="single"/>
              </w:rPr>
              <w:t xml:space="preserve"> </w:t>
            </w:r>
            <w:r>
              <w:rPr>
                <w:rFonts w:hint="eastAsia" w:ascii="仿宋_GB2312" w:eastAsia="仿宋_GB2312"/>
                <w:color w:val="auto"/>
                <w:sz w:val="21"/>
                <w:szCs w:val="21"/>
              </w:rPr>
              <w:t>日历天内</w:t>
            </w:r>
          </w:p>
        </w:tc>
      </w:tr>
      <w:tr w14:paraId="20A85FF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90" w:hRule="atLeast"/>
        </w:trPr>
        <w:tc>
          <w:tcPr>
            <w:tcW w:w="1702" w:type="dxa"/>
            <w:shd w:val="clear" w:color="auto" w:fill="auto"/>
            <w:vAlign w:val="center"/>
          </w:tcPr>
          <w:p w14:paraId="3CF4A7FE">
            <w:pPr>
              <w:spacing w:line="360" w:lineRule="exact"/>
              <w:jc w:val="center"/>
              <w:rPr>
                <w:rFonts w:hint="eastAsia" w:ascii="仿宋_GB2312" w:eastAsia="仿宋_GB2312"/>
                <w:color w:val="auto"/>
                <w:sz w:val="21"/>
                <w:szCs w:val="21"/>
              </w:rPr>
            </w:pPr>
            <w:r>
              <w:rPr>
                <w:rFonts w:hint="eastAsia" w:ascii="仿宋_GB2312" w:eastAsia="仿宋_GB2312"/>
                <w:color w:val="auto"/>
                <w:sz w:val="21"/>
                <w:szCs w:val="21"/>
              </w:rPr>
              <w:t>标的提供的地点</w:t>
            </w:r>
          </w:p>
        </w:tc>
        <w:tc>
          <w:tcPr>
            <w:tcW w:w="6982" w:type="dxa"/>
            <w:shd w:val="clear" w:color="auto" w:fill="auto"/>
            <w:vAlign w:val="center"/>
          </w:tcPr>
          <w:p w14:paraId="10DD9BA2">
            <w:pPr>
              <w:spacing w:line="360" w:lineRule="exact"/>
              <w:jc w:val="center"/>
              <w:rPr>
                <w:rFonts w:hint="eastAsia" w:ascii="仿宋_GB2312" w:eastAsia="仿宋_GB2312"/>
                <w:color w:val="auto"/>
                <w:sz w:val="21"/>
                <w:szCs w:val="21"/>
              </w:rPr>
            </w:pPr>
            <w:r>
              <w:rPr>
                <w:rFonts w:hint="eastAsia" w:ascii="仿宋_GB2312" w:eastAsia="仿宋_GB2312"/>
                <w:color w:val="auto"/>
                <w:sz w:val="21"/>
                <w:szCs w:val="21"/>
              </w:rPr>
              <w:t>广东建设职业技术学院清远校区</w:t>
            </w:r>
          </w:p>
        </w:tc>
      </w:tr>
      <w:tr w14:paraId="277DF3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4" w:hRule="atLeast"/>
        </w:trPr>
        <w:tc>
          <w:tcPr>
            <w:tcW w:w="1702" w:type="dxa"/>
            <w:shd w:val="clear" w:color="auto" w:fill="auto"/>
            <w:vAlign w:val="center"/>
          </w:tcPr>
          <w:p w14:paraId="76760621">
            <w:pPr>
              <w:spacing w:line="360" w:lineRule="exact"/>
              <w:jc w:val="center"/>
              <w:rPr>
                <w:rFonts w:hint="eastAsia" w:ascii="仿宋_GB2312" w:eastAsia="仿宋_GB2312"/>
                <w:color w:val="auto"/>
                <w:sz w:val="21"/>
                <w:szCs w:val="21"/>
              </w:rPr>
            </w:pPr>
            <w:r>
              <w:rPr>
                <w:rFonts w:hint="eastAsia" w:ascii="仿宋_GB2312" w:eastAsia="仿宋_GB2312"/>
                <w:color w:val="auto"/>
                <w:sz w:val="21"/>
                <w:szCs w:val="21"/>
                <w:highlight w:val="none"/>
              </w:rPr>
              <w:t>付款方式</w:t>
            </w:r>
          </w:p>
        </w:tc>
        <w:tc>
          <w:tcPr>
            <w:tcW w:w="6982" w:type="dxa"/>
            <w:shd w:val="clear" w:color="auto" w:fill="auto"/>
            <w:vAlign w:val="center"/>
          </w:tcPr>
          <w:p w14:paraId="19F9AF6A">
            <w:pPr>
              <w:numPr>
                <w:ilvl w:val="-1"/>
                <w:numId w:val="0"/>
              </w:numPr>
              <w:ind w:left="279" w:leftChars="133" w:firstLine="420" w:firstLineChars="200"/>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1.签订合同后，招标人向中标人预付合同价（扣除暂列金额部分）的</w:t>
            </w:r>
            <w:r>
              <w:rPr>
                <w:rFonts w:hint="eastAsia" w:ascii="仿宋_GB2312" w:hAnsi="仿宋_GB2312" w:eastAsia="仿宋_GB2312" w:cs="仿宋_GB2312"/>
                <w:color w:val="000000" w:themeColor="text1"/>
                <w:kern w:val="0"/>
                <w:sz w:val="21"/>
                <w:szCs w:val="21"/>
                <w:highlight w:val="none"/>
                <w:u w:val="none"/>
                <w:lang w:val="en-US" w:eastAsia="zh-CN" w:bidi="ar-SA"/>
                <w14:textFill>
                  <w14:solidFill>
                    <w14:schemeClr w14:val="tx1"/>
                  </w14:solidFill>
                </w14:textFill>
              </w:rPr>
              <w:t>30</w:t>
            </w:r>
            <w:r>
              <w:rPr>
                <w:rFonts w:hint="eastAsia" w:ascii="仿宋_GB2312" w:hAnsi="仿宋_GB2312" w:eastAsia="仿宋_GB2312" w:cs="仿宋_GB2312"/>
                <w:color w:val="auto"/>
                <w:kern w:val="0"/>
                <w:sz w:val="21"/>
                <w:szCs w:val="21"/>
                <w:highlight w:val="none"/>
                <w:u w:val="none"/>
                <w:lang w:val="en-US" w:eastAsia="zh-CN" w:bidi="ar-SA"/>
              </w:rPr>
              <w:t>%作为预付款。中标人</w:t>
            </w:r>
            <w:r>
              <w:rPr>
                <w:rFonts w:hint="default" w:ascii="仿宋_GB2312" w:hAnsi="仿宋_GB2312" w:eastAsia="仿宋_GB2312" w:cs="仿宋_GB2312"/>
                <w:color w:val="auto"/>
                <w:kern w:val="0"/>
                <w:sz w:val="21"/>
                <w:szCs w:val="21"/>
                <w:highlight w:val="none"/>
                <w:u w:val="none"/>
                <w:lang w:eastAsia="zh-CN" w:bidi="ar-SA"/>
              </w:rPr>
              <w:t>须</w:t>
            </w:r>
            <w:r>
              <w:rPr>
                <w:rFonts w:hint="eastAsia" w:ascii="仿宋_GB2312" w:hAnsi="仿宋_GB2312" w:eastAsia="仿宋_GB2312" w:cs="仿宋_GB2312"/>
                <w:color w:val="auto"/>
                <w:kern w:val="0"/>
                <w:sz w:val="21"/>
                <w:szCs w:val="21"/>
                <w:highlight w:val="none"/>
                <w:u w:val="none"/>
                <w:lang w:val="en-US" w:eastAsia="zh-CN" w:bidi="ar-SA"/>
              </w:rPr>
              <w:t>提交预付款保函并经招标人财务部门核实之日起，招标人在10工作日内，支付相应金额的预付款；如中标人不需要预付款的，可不提供预付款保函。</w:t>
            </w:r>
          </w:p>
          <w:p w14:paraId="344EB452">
            <w:pPr>
              <w:numPr>
                <w:ilvl w:val="-1"/>
                <w:numId w:val="0"/>
              </w:numPr>
              <w:ind w:left="279" w:leftChars="133" w:firstLine="420" w:firstLineChars="200"/>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2.工程进度完成至总工程量的60%，经中标人书面申请、监理公司确认、招标人审核确认之日起10个工作日内，招标人向中标人支付至合同价（扣除暂列金额部分）的50%。</w:t>
            </w:r>
          </w:p>
          <w:p w14:paraId="39E3CB38">
            <w:pPr>
              <w:numPr>
                <w:ilvl w:val="-1"/>
                <w:numId w:val="0"/>
              </w:numPr>
              <w:ind w:left="279" w:leftChars="133" w:firstLine="420" w:firstLineChars="200"/>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3.工程进度完成至总工程量的90%，经施工方书面申请、监理公司确认、招标人审核确认之日起10个工作日内，招标人向中标人支付至合同价（扣除暂列金额部分）的72%</w:t>
            </w:r>
            <w:r>
              <w:rPr>
                <w:rFonts w:hint="eastAsia" w:ascii="仿宋_GB2312" w:hAnsi="仿宋_GB2312" w:eastAsia="仿宋_GB2312" w:cs="仿宋_GB2312"/>
                <w:color w:val="auto"/>
                <w:sz w:val="21"/>
                <w:szCs w:val="21"/>
                <w:highlight w:val="none"/>
                <w:u w:val="none"/>
                <w:lang w:val="en-US" w:eastAsia="zh-CN"/>
              </w:rPr>
              <w:t>。</w:t>
            </w:r>
          </w:p>
          <w:p w14:paraId="198B7E2E">
            <w:pPr>
              <w:numPr>
                <w:ilvl w:val="-1"/>
                <w:numId w:val="0"/>
              </w:numPr>
              <w:ind w:left="279" w:leftChars="133" w:firstLine="420" w:firstLineChars="200"/>
              <w:rPr>
                <w:rFonts w:hint="eastAsia" w:ascii="仿宋_GB2312" w:hAnsi="Times New Roman" w:eastAsia="仿宋_GB2312" w:cstheme="minorBidi"/>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4.工程完工并验收合格后，承包人向发包人报送工程结算书，经发包人审核，</w:t>
            </w:r>
            <w:r>
              <w:rPr>
                <w:rFonts w:hint="eastAsia" w:ascii="仿宋_GB2312" w:hAnsi="仿宋_GB2312" w:eastAsia="仿宋_GB2312" w:cs="仿宋_GB2312"/>
                <w:i w:val="0"/>
                <w:caps w:val="0"/>
                <w:color w:val="auto"/>
                <w:spacing w:val="0"/>
                <w:kern w:val="0"/>
                <w:sz w:val="21"/>
                <w:szCs w:val="21"/>
                <w:highlight w:val="none"/>
                <w:u w:val="none"/>
                <w:shd w:val="clear"/>
                <w:lang w:val="en-US" w:eastAsia="zh-CN" w:bidi="ar-SA"/>
              </w:rPr>
              <w:t>待甲乙双方确认后</w:t>
            </w:r>
            <w:r>
              <w:rPr>
                <w:rFonts w:hint="eastAsia" w:ascii="仿宋_GB2312" w:hAnsi="仿宋_GB2312" w:eastAsia="仿宋_GB2312" w:cs="仿宋_GB2312"/>
                <w:color w:val="auto"/>
                <w:kern w:val="0"/>
                <w:sz w:val="21"/>
                <w:szCs w:val="21"/>
                <w:highlight w:val="none"/>
                <w:u w:val="none"/>
              </w:rPr>
              <w:t>，承包人向发包人缴纳经审定的工程结算总价的3%作为质量保证金</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bidi="ar-SA"/>
              </w:rPr>
              <w:t>同时须缴纳施工水电费后。</w:t>
            </w:r>
            <w:r>
              <w:rPr>
                <w:rFonts w:hint="eastAsia" w:ascii="仿宋_GB2312" w:hAnsi="仿宋_GB2312" w:eastAsia="仿宋_GB2312" w:cs="仿宋_GB2312"/>
                <w:color w:val="auto"/>
                <w:kern w:val="0"/>
                <w:sz w:val="21"/>
                <w:szCs w:val="21"/>
                <w:highlight w:val="none"/>
                <w:u w:val="none"/>
              </w:rPr>
              <w:t>发包人在收到结算申请资料并审核通过之日起1</w:t>
            </w:r>
            <w:r>
              <w:rPr>
                <w:rFonts w:hint="eastAsia" w:ascii="仿宋_GB2312" w:hAnsi="仿宋_GB2312" w:eastAsia="仿宋_GB2312" w:cs="仿宋_GB2312"/>
                <w:color w:val="auto"/>
                <w:kern w:val="0"/>
                <w:sz w:val="21"/>
                <w:szCs w:val="21"/>
                <w:highlight w:val="none"/>
                <w:u w:val="none"/>
                <w:lang w:val="en-US" w:eastAsia="zh-CN"/>
              </w:rPr>
              <w:t>0</w:t>
            </w:r>
            <w:r>
              <w:rPr>
                <w:rFonts w:hint="eastAsia" w:ascii="仿宋_GB2312" w:hAnsi="仿宋_GB2312" w:eastAsia="仿宋_GB2312" w:cs="仿宋_GB2312"/>
                <w:color w:val="auto"/>
                <w:kern w:val="0"/>
                <w:sz w:val="21"/>
                <w:szCs w:val="21"/>
                <w:highlight w:val="none"/>
                <w:u w:val="none"/>
              </w:rPr>
              <w:t>个工作日内，支付工程结算总价至100%。质量保证金在验收合格之日起满2年后无质量问题，发包人于收到承包人退回质量保证金申请资料之日起1</w:t>
            </w:r>
            <w:r>
              <w:rPr>
                <w:rFonts w:hint="eastAsia" w:ascii="仿宋_GB2312" w:hAnsi="仿宋_GB2312" w:eastAsia="仿宋_GB2312" w:cs="仿宋_GB2312"/>
                <w:color w:val="auto"/>
                <w:kern w:val="0"/>
                <w:sz w:val="21"/>
                <w:szCs w:val="21"/>
                <w:highlight w:val="none"/>
                <w:u w:val="none"/>
                <w:lang w:val="en-US" w:eastAsia="zh-CN"/>
              </w:rPr>
              <w:t>5</w:t>
            </w:r>
            <w:r>
              <w:rPr>
                <w:rFonts w:hint="eastAsia" w:ascii="仿宋_GB2312" w:hAnsi="仿宋_GB2312" w:eastAsia="仿宋_GB2312" w:cs="仿宋_GB2312"/>
                <w:color w:val="auto"/>
                <w:kern w:val="0"/>
                <w:sz w:val="21"/>
                <w:szCs w:val="21"/>
                <w:highlight w:val="none"/>
                <w:u w:val="none"/>
              </w:rPr>
              <w:t>个工作日内，无息返还给承包人。</w:t>
            </w:r>
          </w:p>
          <w:p w14:paraId="262612EE">
            <w:pPr>
              <w:numPr>
                <w:ilvl w:val="-1"/>
                <w:numId w:val="0"/>
              </w:numPr>
              <w:ind w:left="279" w:leftChars="133" w:firstLine="420" w:firstLineChars="200"/>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sz w:val="21"/>
                <w:szCs w:val="21"/>
                <w:highlight w:val="none"/>
                <w:u w:val="none"/>
                <w:lang w:val="en-US" w:eastAsia="zh-CN"/>
              </w:rPr>
              <w:t>5.承包人申请工程进度款需</w:t>
            </w:r>
            <w:r>
              <w:rPr>
                <w:rFonts w:hint="eastAsia" w:ascii="仿宋_GB2312" w:hAnsi="仿宋_GB2312" w:eastAsia="仿宋_GB2312" w:cs="仿宋_GB2312"/>
                <w:strike w:val="0"/>
                <w:dstrike w:val="0"/>
                <w:color w:val="auto"/>
                <w:sz w:val="21"/>
                <w:szCs w:val="21"/>
                <w:highlight w:val="none"/>
                <w:u w:val="none"/>
                <w:lang w:eastAsia="zh-CN"/>
              </w:rPr>
              <w:t>提交请款申请函、经监理单位签署的工程进度报表、</w:t>
            </w:r>
            <w:r>
              <w:rPr>
                <w:rFonts w:hint="eastAsia" w:ascii="仿宋_GB2312" w:hAnsi="仿宋_GB2312" w:eastAsia="仿宋_GB2312" w:cs="仿宋_GB2312"/>
                <w:color w:val="auto"/>
                <w:sz w:val="21"/>
                <w:szCs w:val="21"/>
                <w:highlight w:val="none"/>
                <w:u w:val="none"/>
                <w:lang w:val="en-US" w:eastAsia="zh-CN"/>
              </w:rPr>
              <w:t>相应金额的符合国家税局要求、合规合法的增值税发票</w:t>
            </w:r>
            <w:r>
              <w:rPr>
                <w:rFonts w:hint="eastAsia" w:ascii="仿宋_GB2312" w:hAnsi="仿宋_GB2312" w:eastAsia="仿宋_GB2312" w:cs="仿宋_GB2312"/>
                <w:color w:val="auto"/>
                <w:sz w:val="21"/>
                <w:szCs w:val="21"/>
                <w:highlight w:val="none"/>
                <w:u w:val="none"/>
                <w:lang w:eastAsia="zh-CN"/>
              </w:rPr>
              <w:t>等资料，经发包方确认后办理支付</w:t>
            </w:r>
            <w:r>
              <w:rPr>
                <w:rFonts w:hint="eastAsia" w:ascii="仿宋_GB2312" w:hAnsi="仿宋_GB2312" w:eastAsia="仿宋_GB2312" w:cs="仿宋_GB2312"/>
                <w:color w:val="auto"/>
                <w:sz w:val="21"/>
                <w:szCs w:val="21"/>
                <w:highlight w:val="none"/>
                <w:u w:val="none"/>
                <w:lang w:val="en-US" w:eastAsia="zh-CN"/>
              </w:rPr>
              <w:t>。</w:t>
            </w:r>
          </w:p>
          <w:p w14:paraId="5F46BF1C">
            <w:pPr>
              <w:numPr>
                <w:ilvl w:val="-1"/>
                <w:numId w:val="0"/>
              </w:numPr>
              <w:ind w:left="279" w:leftChars="133" w:firstLine="420" w:firstLineChars="200"/>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bidi="ar-SA"/>
              </w:rPr>
              <w:t>6.施工用水电费的说明：</w:t>
            </w:r>
          </w:p>
          <w:p w14:paraId="2B2B47F5">
            <w:pPr>
              <w:keepNext w:val="0"/>
              <w:keepLines w:val="0"/>
              <w:pageBreakBefore w:val="0"/>
              <w:widowControl/>
              <w:numPr>
                <w:ilvl w:val="-1"/>
                <w:numId w:val="0"/>
              </w:numPr>
              <w:kinsoku/>
              <w:wordWrap/>
              <w:overflowPunct/>
              <w:topLinePunct w:val="0"/>
              <w:autoSpaceDE/>
              <w:autoSpaceDN/>
              <w:bidi w:val="0"/>
              <w:adjustRightInd/>
              <w:snapToGrid/>
              <w:spacing w:line="360" w:lineRule="exact"/>
              <w:ind w:left="279" w:leftChars="133" w:firstLine="0" w:firstLineChars="0"/>
              <w:textAlignment w:val="auto"/>
              <w:rPr>
                <w:rFonts w:hint="eastAsia" w:ascii="仿宋_GB2312" w:hAnsi="仿宋_GB2312" w:eastAsia="仿宋_GB2312" w:cs="仿宋_GB2312"/>
                <w:color w:val="000000" w:themeColor="text1"/>
                <w:kern w:val="0"/>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color w:val="auto"/>
                <w:kern w:val="0"/>
                <w:sz w:val="21"/>
                <w:szCs w:val="21"/>
                <w:highlight w:val="none"/>
                <w:u w:val="none"/>
                <w:lang w:val="en-US" w:eastAsia="zh-CN" w:bidi="ar-SA"/>
              </w:rPr>
              <w:t>A、在</w:t>
            </w:r>
            <w:r>
              <w:rPr>
                <w:rFonts w:hint="default" w:ascii="仿宋_GB2312" w:hAnsi="仿宋_GB2312" w:eastAsia="仿宋_GB2312" w:cs="仿宋_GB2312"/>
                <w:strike w:val="0"/>
                <w:dstrike w:val="0"/>
                <w:color w:val="000000" w:themeColor="text1"/>
                <w:kern w:val="0"/>
                <w:sz w:val="21"/>
                <w:szCs w:val="21"/>
                <w:highlight w:val="none"/>
                <w:u w:val="none"/>
                <w:lang w:eastAsia="zh-CN" w:bidi="ar-SA"/>
                <w14:textFill>
                  <w14:solidFill>
                    <w14:schemeClr w14:val="tx1"/>
                  </w14:solidFill>
                </w14:textFill>
              </w:rPr>
              <w:t>施工</w:t>
            </w:r>
            <w:r>
              <w:rPr>
                <w:rFonts w:hint="eastAsia" w:ascii="仿宋_GB2312" w:hAnsi="仿宋_GB2312" w:eastAsia="仿宋_GB2312" w:cs="仿宋_GB2312"/>
                <w:color w:val="auto"/>
                <w:kern w:val="0"/>
                <w:sz w:val="21"/>
                <w:szCs w:val="21"/>
                <w:highlight w:val="none"/>
                <w:u w:val="none"/>
                <w:lang w:val="en-US" w:eastAsia="zh-CN" w:bidi="ar-SA"/>
              </w:rPr>
              <w:t>范围内，发包人只提供水、电接驳点，其他由承包人自行负责。施工场地内接驳水、电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再补偿。</w:t>
            </w:r>
          </w:p>
          <w:p w14:paraId="215B2598">
            <w:pPr>
              <w:keepNext w:val="0"/>
              <w:keepLines w:val="0"/>
              <w:pageBreakBefore w:val="0"/>
              <w:widowControl/>
              <w:numPr>
                <w:ilvl w:val="-1"/>
                <w:numId w:val="0"/>
              </w:numPr>
              <w:kinsoku/>
              <w:wordWrap/>
              <w:overflowPunct/>
              <w:topLinePunct w:val="0"/>
              <w:autoSpaceDE/>
              <w:autoSpaceDN/>
              <w:bidi w:val="0"/>
              <w:adjustRightInd/>
              <w:snapToGrid/>
              <w:spacing w:line="360" w:lineRule="exact"/>
              <w:ind w:left="279" w:leftChars="133" w:firstLine="0" w:firstLineChars="0"/>
              <w:textAlignment w:val="auto"/>
              <w:rPr>
                <w:rFonts w:hint="eastAsia" w:ascii="仿宋_GB2312" w:hAnsi="仿宋_GB2312" w:eastAsia="仿宋_GB2312" w:cs="仿宋_GB2312"/>
                <w:color w:val="000000" w:themeColor="text1"/>
                <w:kern w:val="0"/>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u w:val="none"/>
                <w:lang w:val="en-US" w:eastAsia="zh-CN" w:bidi="ar-SA"/>
                <w14:textFill>
                  <w14:solidFill>
                    <w14:schemeClr w14:val="tx1"/>
                  </w14:solidFill>
                </w14:textFill>
              </w:rPr>
              <w:t>B、如特殊情况未能安装水表、电表的，施工期间所发生的水电费用由发包人代付代缴，并根据现行最新的定额标准（定额子目中各指标消耗量）及本项目送审结算数据资料水电在工程造价中的相应消耗量计算水费、电费，承包人在办理工程竣工结算时需向发包人提交缴纳水电费的清单凭证。水电费价格按施工当期清远市建设工程造价管理站相关文件发布的价格执行。</w:t>
            </w:r>
          </w:p>
          <w:p w14:paraId="2D4D38C6">
            <w:pPr>
              <w:numPr>
                <w:ilvl w:val="0"/>
                <w:numId w:val="0"/>
              </w:numPr>
              <w:spacing w:line="360" w:lineRule="exact"/>
              <w:ind w:left="279" w:leftChars="133"/>
              <w:rPr>
                <w:rFonts w:hint="eastAsia" w:ascii="仿宋_GB2312" w:eastAsia="仿宋_GB2312"/>
                <w:color w:val="auto"/>
                <w:sz w:val="21"/>
                <w:szCs w:val="21"/>
              </w:rPr>
            </w:pPr>
            <w:r>
              <w:rPr>
                <w:rFonts w:hint="eastAsia" w:ascii="仿宋_GB2312" w:hAnsi="仿宋_GB2312" w:eastAsia="仿宋_GB2312" w:cs="仿宋_GB2312"/>
                <w:i w:val="0"/>
                <w:caps w:val="0"/>
                <w:color w:val="auto"/>
                <w:spacing w:val="0"/>
                <w:kern w:val="0"/>
                <w:sz w:val="21"/>
                <w:szCs w:val="21"/>
                <w:highlight w:val="none"/>
                <w:u w:val="none"/>
                <w:shd w:val="clear"/>
                <w:lang w:val="en-US" w:eastAsia="zh-CN" w:bidi="ar-SA"/>
              </w:rPr>
              <w:t>为了加强学校固定资产管理，如结算项目中含有单位价值符合学校固定资产管理办法相关规定货物（政府采购集采目录货物除外），中标人报送结算资料时，须另附固定资产价格清单明细表。</w:t>
            </w:r>
          </w:p>
        </w:tc>
      </w:tr>
      <w:tr w14:paraId="1E7024F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32" w:hRule="atLeast"/>
        </w:trPr>
        <w:tc>
          <w:tcPr>
            <w:tcW w:w="1702" w:type="dxa"/>
            <w:shd w:val="clear" w:color="auto" w:fill="auto"/>
            <w:vAlign w:val="center"/>
          </w:tcPr>
          <w:p w14:paraId="25F11C1B">
            <w:pPr>
              <w:spacing w:line="360" w:lineRule="exact"/>
              <w:jc w:val="center"/>
              <w:rPr>
                <w:rFonts w:hint="eastAsia" w:ascii="仿宋_GB2312" w:eastAsia="仿宋_GB2312"/>
                <w:color w:val="auto"/>
                <w:sz w:val="21"/>
                <w:szCs w:val="21"/>
              </w:rPr>
            </w:pPr>
            <w:r>
              <w:rPr>
                <w:rFonts w:hint="eastAsia" w:ascii="仿宋_GB2312" w:eastAsia="仿宋_GB2312"/>
                <w:color w:val="auto"/>
                <w:sz w:val="21"/>
                <w:szCs w:val="21"/>
              </w:rPr>
              <w:t>验收要求</w:t>
            </w:r>
          </w:p>
        </w:tc>
        <w:tc>
          <w:tcPr>
            <w:tcW w:w="6982" w:type="dxa"/>
            <w:shd w:val="clear" w:color="auto" w:fill="auto"/>
            <w:vAlign w:val="center"/>
          </w:tcPr>
          <w:p w14:paraId="290D21F9">
            <w:pPr>
              <w:keepNext w:val="0"/>
              <w:keepLines w:val="0"/>
              <w:pageBreakBefore w:val="0"/>
              <w:widowControl/>
              <w:numPr>
                <w:ilvl w:val="0"/>
                <w:numId w:val="0"/>
              </w:numPr>
              <w:kinsoku/>
              <w:wordWrap/>
              <w:overflowPunct/>
              <w:topLinePunct w:val="0"/>
              <w:autoSpaceDE/>
              <w:autoSpaceDN/>
              <w:bidi w:val="0"/>
              <w:adjustRightInd/>
              <w:snapToGrid/>
              <w:spacing w:before="0" w:line="360" w:lineRule="exact"/>
              <w:ind w:left="0" w:leftChars="0" w:firstLine="420" w:firstLineChars="200"/>
              <w:textAlignment w:val="auto"/>
              <w:rPr>
                <w:rFonts w:hint="eastAsia" w:ascii="仿宋_GB2312" w:hAnsi="仿宋_GB2312" w:eastAsia="仿宋_GB2312" w:cs="仿宋_GB2312"/>
                <w:color w:val="000000" w:themeColor="text1"/>
                <w:kern w:val="0"/>
                <w:sz w:val="21"/>
                <w:szCs w:val="21"/>
                <w:highlight w:val="none"/>
                <w:u w:val="none"/>
                <w14:textFill>
                  <w14:solidFill>
                    <w14:schemeClr w14:val="tx1"/>
                  </w14:solidFill>
                </w14:textFill>
              </w:rPr>
            </w:pPr>
            <w:r>
              <w:rPr>
                <w:rFonts w:hint="eastAsia" w:ascii="仿宋_GB2312" w:hAnsi="仿宋_GB2312" w:eastAsia="仿宋_GB2312" w:cs="仿宋_GB2312"/>
                <w:color w:val="000000" w:themeColor="text1"/>
                <w:spacing w:val="0"/>
                <w:kern w:val="0"/>
                <w:sz w:val="21"/>
                <w:szCs w:val="21"/>
                <w:highlight w:val="none"/>
                <w:u w:val="none"/>
                <w14:textFill>
                  <w14:solidFill>
                    <w14:schemeClr w14:val="tx1"/>
                  </w14:solidFill>
                </w14:textFill>
              </w:rPr>
              <w:t>工程项目完工并具备验收条件的，</w:t>
            </w:r>
            <w:r>
              <w:rPr>
                <w:rFonts w:hint="eastAsia" w:ascii="仿宋_GB2312" w:hAnsi="仿宋_GB2312" w:eastAsia="仿宋_GB2312" w:cs="仿宋_GB2312"/>
                <w:color w:val="000000" w:themeColor="text1"/>
                <w:spacing w:val="0"/>
                <w:kern w:val="0"/>
                <w:sz w:val="21"/>
                <w:szCs w:val="21"/>
                <w:highlight w:val="none"/>
                <w:u w:val="none"/>
                <w:lang w:val="en-US" w:eastAsia="zh-CN"/>
                <w14:textFill>
                  <w14:solidFill>
                    <w14:schemeClr w14:val="tx1"/>
                  </w14:solidFill>
                </w14:textFill>
              </w:rPr>
              <w:t>施工单位向监理单位提出书面工程竣工验收报告，并准备好竣工图纸、施工过程资料等文件，经监理单位审查符合验收要求之日起7天内，采购人使用部门根据学校需求，按合同、招标文件、竣工图纸及工程量清单的工作内容，</w:t>
            </w:r>
            <w:r>
              <w:rPr>
                <w:rFonts w:hint="eastAsia" w:ascii="仿宋_GB2312" w:hAnsi="仿宋_GB2312" w:eastAsia="仿宋_GB2312" w:cs="仿宋_GB2312"/>
                <w:color w:val="000000" w:themeColor="text1"/>
                <w:spacing w:val="0"/>
                <w:kern w:val="0"/>
                <w:sz w:val="21"/>
                <w:szCs w:val="21"/>
                <w:highlight w:val="none"/>
                <w:u w:val="none"/>
                <w14:textFill>
                  <w14:solidFill>
                    <w14:schemeClr w14:val="tx1"/>
                  </w14:solidFill>
                </w14:textFill>
              </w:rPr>
              <w:t>严格按照房屋建筑和市政基础设施工程竣工验收规定和有关规范要求组织工程竣工验收</w:t>
            </w:r>
            <w:r>
              <w:rPr>
                <w:rFonts w:hint="eastAsia" w:ascii="仿宋_GB2312" w:hAnsi="仿宋_GB2312" w:eastAsia="仿宋_GB2312" w:cs="仿宋_GB2312"/>
                <w:color w:val="000000" w:themeColor="text1"/>
                <w:spacing w:val="0"/>
                <w:kern w:val="0"/>
                <w:sz w:val="21"/>
                <w:szCs w:val="21"/>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21"/>
                <w:szCs w:val="21"/>
                <w:highlight w:val="none"/>
                <w:u w:val="none"/>
                <w14:textFill>
                  <w14:solidFill>
                    <w14:schemeClr w14:val="tx1"/>
                  </w14:solidFill>
                </w14:textFill>
              </w:rPr>
              <w:t>达到国家质量评定的合格标准。</w:t>
            </w:r>
          </w:p>
          <w:p w14:paraId="4ACFBC1B">
            <w:pPr>
              <w:spacing w:line="360" w:lineRule="exact"/>
              <w:rPr>
                <w:rFonts w:hint="eastAsia" w:ascii="仿宋_GB2312" w:eastAsia="仿宋_GB2312"/>
                <w:color w:val="auto"/>
                <w:sz w:val="21"/>
                <w:szCs w:val="21"/>
              </w:rPr>
            </w:pPr>
          </w:p>
        </w:tc>
      </w:tr>
      <w:tr w14:paraId="1FA9E75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111" w:hRule="atLeast"/>
        </w:trPr>
        <w:tc>
          <w:tcPr>
            <w:tcW w:w="1702" w:type="dxa"/>
            <w:shd w:val="clear" w:color="auto" w:fill="auto"/>
            <w:vAlign w:val="center"/>
          </w:tcPr>
          <w:p w14:paraId="4F47B4D5">
            <w:pPr>
              <w:spacing w:line="360" w:lineRule="exact"/>
              <w:jc w:val="center"/>
              <w:rPr>
                <w:rFonts w:hint="eastAsia" w:ascii="仿宋_GB2312" w:eastAsia="仿宋_GB2312"/>
                <w:color w:val="auto"/>
                <w:sz w:val="21"/>
                <w:szCs w:val="21"/>
              </w:rPr>
            </w:pPr>
            <w:bookmarkStart w:id="0" w:name="_Hlk111401799"/>
            <w:r>
              <w:rPr>
                <w:rFonts w:hint="eastAsia" w:ascii="仿宋_GB2312" w:eastAsia="仿宋_GB2312"/>
                <w:color w:val="auto"/>
                <w:sz w:val="21"/>
                <w:szCs w:val="21"/>
              </w:rPr>
              <w:t>履约保证金</w:t>
            </w:r>
          </w:p>
          <w:p w14:paraId="0CF12EB1">
            <w:pPr>
              <w:spacing w:line="360" w:lineRule="exact"/>
              <w:jc w:val="center"/>
              <w:rPr>
                <w:rFonts w:hint="eastAsia" w:ascii="仿宋_GB2312" w:eastAsia="仿宋_GB2312"/>
                <w:color w:val="auto"/>
                <w:sz w:val="21"/>
                <w:szCs w:val="21"/>
              </w:rPr>
            </w:pPr>
          </w:p>
        </w:tc>
        <w:tc>
          <w:tcPr>
            <w:tcW w:w="6982" w:type="dxa"/>
            <w:shd w:val="clear" w:color="auto" w:fill="auto"/>
            <w:vAlign w:val="center"/>
          </w:tcPr>
          <w:p w14:paraId="611787FE">
            <w:pPr>
              <w:spacing w:line="360" w:lineRule="exact"/>
              <w:ind w:firstLine="422" w:firstLineChars="200"/>
              <w:rPr>
                <w:rFonts w:hint="eastAsia" w:ascii="仿宋_GB2312" w:eastAsia="仿宋_GB2312"/>
                <w:color w:val="auto"/>
                <w:sz w:val="21"/>
                <w:szCs w:val="21"/>
              </w:rPr>
            </w:pPr>
            <w:r>
              <w:rPr>
                <w:rFonts w:hint="eastAsia" w:ascii="仿宋_GB2312" w:eastAsia="仿宋_GB2312"/>
                <w:b/>
                <w:bCs/>
                <w:color w:val="auto"/>
                <w:sz w:val="21"/>
                <w:szCs w:val="21"/>
              </w:rPr>
              <w:t>收取比例：</w:t>
            </w:r>
            <w:r>
              <w:rPr>
                <w:rFonts w:hint="eastAsia" w:ascii="仿宋_GB2312" w:eastAsia="仿宋_GB2312"/>
                <w:color w:val="auto"/>
                <w:sz w:val="21"/>
                <w:szCs w:val="21"/>
              </w:rPr>
              <w:t>5%</w:t>
            </w:r>
            <w:r>
              <w:rPr>
                <w:rFonts w:hint="eastAsia" w:ascii="仿宋_GB2312" w:eastAsia="仿宋_GB2312"/>
                <w:color w:val="auto"/>
                <w:sz w:val="21"/>
                <w:szCs w:val="21"/>
                <w:lang w:eastAsia="zh-CN"/>
              </w:rPr>
              <w:t>。</w:t>
            </w:r>
            <w:r>
              <w:rPr>
                <w:rFonts w:hint="eastAsia" w:ascii="仿宋_GB2312" w:eastAsia="仿宋_GB2312"/>
                <w:color w:val="auto"/>
                <w:sz w:val="21"/>
                <w:szCs w:val="21"/>
                <w:lang w:val="en-US" w:eastAsia="zh-CN"/>
              </w:rPr>
              <w:t>合同生效之日起3个工作日内</w:t>
            </w:r>
            <w:r>
              <w:rPr>
                <w:rFonts w:hint="eastAsia" w:ascii="仿宋_GB2312" w:eastAsia="仿宋_GB2312"/>
                <w:color w:val="auto"/>
                <w:sz w:val="21"/>
                <w:szCs w:val="21"/>
              </w:rPr>
              <w:t>中标人向采购人缴纳合同总</w:t>
            </w:r>
            <w:r>
              <w:rPr>
                <w:rFonts w:hint="eastAsia" w:ascii="仿宋_GB2312" w:eastAsia="仿宋_GB2312"/>
                <w:color w:val="auto"/>
                <w:sz w:val="21"/>
                <w:szCs w:val="21"/>
                <w:lang w:val="en-US" w:eastAsia="zh-CN"/>
              </w:rPr>
              <w:t>价</w:t>
            </w:r>
            <w:r>
              <w:rPr>
                <w:rFonts w:hint="eastAsia" w:ascii="仿宋_GB2312" w:eastAsia="仿宋_GB2312"/>
                <w:color w:val="auto"/>
                <w:sz w:val="21"/>
                <w:szCs w:val="21"/>
              </w:rPr>
              <w:t>的5%作为履约保证金</w:t>
            </w:r>
            <w:r>
              <w:rPr>
                <w:rFonts w:hint="eastAsia" w:ascii="仿宋_GB2312" w:eastAsia="仿宋_GB2312"/>
                <w:color w:val="auto"/>
                <w:sz w:val="21"/>
                <w:szCs w:val="21"/>
                <w:lang w:eastAsia="zh-CN"/>
              </w:rPr>
              <w:t>，</w:t>
            </w:r>
            <w:r>
              <w:rPr>
                <w:rFonts w:hint="eastAsia" w:ascii="仿宋_GB2312" w:eastAsia="仿宋_GB2312"/>
                <w:color w:val="auto"/>
                <w:sz w:val="21"/>
                <w:szCs w:val="21"/>
                <w:lang w:val="en-US" w:eastAsia="zh-CN"/>
              </w:rPr>
              <w:t>履约保证金可以现金或银行转账等方式</w:t>
            </w:r>
            <w:r>
              <w:rPr>
                <w:rFonts w:hint="eastAsia" w:ascii="仿宋_GB2312" w:eastAsia="仿宋_GB2312"/>
                <w:color w:val="auto"/>
                <w:sz w:val="21"/>
                <w:szCs w:val="21"/>
              </w:rPr>
              <w:t>。项目完成安装调试并通过验收合格后，中标人已按合同售后服务条款履行承诺且无重大质量问题（包括人身伤亡与财产损失）且无须承担赔偿</w:t>
            </w:r>
            <w:r>
              <w:rPr>
                <w:rFonts w:hint="eastAsia" w:ascii="仿宋_GB2312" w:eastAsia="仿宋_GB2312"/>
                <w:color w:val="auto"/>
                <w:sz w:val="21"/>
                <w:szCs w:val="21"/>
                <w:lang w:val="en-US" w:eastAsia="zh-CN"/>
              </w:rPr>
              <w:t>责任</w:t>
            </w:r>
            <w:r>
              <w:rPr>
                <w:rFonts w:hint="eastAsia" w:ascii="仿宋_GB2312" w:eastAsia="仿宋_GB2312"/>
                <w:color w:val="auto"/>
                <w:sz w:val="21"/>
                <w:szCs w:val="21"/>
              </w:rPr>
              <w:t>的，履约保证金在</w:t>
            </w:r>
            <w:r>
              <w:rPr>
                <w:rFonts w:hint="eastAsia" w:ascii="仿宋_GB2312" w:eastAsia="仿宋_GB2312"/>
                <w:color w:val="auto"/>
                <w:sz w:val="21"/>
                <w:szCs w:val="21"/>
                <w:lang w:val="en-US" w:eastAsia="zh-CN"/>
              </w:rPr>
              <w:t>项目</w:t>
            </w:r>
            <w:r>
              <w:rPr>
                <w:rFonts w:hint="eastAsia" w:ascii="仿宋_GB2312" w:eastAsia="仿宋_GB2312"/>
                <w:color w:val="auto"/>
                <w:sz w:val="21"/>
                <w:szCs w:val="21"/>
              </w:rPr>
              <w:t>验收合格</w:t>
            </w:r>
            <w:r>
              <w:rPr>
                <w:rFonts w:hint="eastAsia" w:ascii="仿宋_GB2312" w:eastAsia="仿宋_GB2312"/>
                <w:color w:val="auto"/>
                <w:sz w:val="21"/>
                <w:szCs w:val="21"/>
                <w:lang w:val="en-US" w:eastAsia="zh-CN"/>
              </w:rPr>
              <w:t>之日起30个日历天</w:t>
            </w:r>
            <w:r>
              <w:rPr>
                <w:rFonts w:hint="eastAsia" w:ascii="仿宋_GB2312" w:eastAsia="仿宋_GB2312"/>
                <w:color w:val="auto"/>
                <w:sz w:val="21"/>
                <w:szCs w:val="21"/>
              </w:rPr>
              <w:t>内，由中标人向采购人提出书面申请后，</w:t>
            </w:r>
            <w:r>
              <w:rPr>
                <w:rFonts w:hint="eastAsia" w:ascii="仿宋_GB2312" w:eastAsia="仿宋_GB2312"/>
                <w:color w:val="auto"/>
                <w:sz w:val="21"/>
                <w:szCs w:val="21"/>
                <w:lang w:val="en-US" w:eastAsia="zh-CN"/>
              </w:rPr>
              <w:t>经</w:t>
            </w:r>
            <w:r>
              <w:rPr>
                <w:rFonts w:hint="eastAsia" w:ascii="仿宋_GB2312" w:eastAsia="仿宋_GB2312"/>
                <w:color w:val="auto"/>
                <w:sz w:val="21"/>
                <w:szCs w:val="21"/>
              </w:rPr>
              <w:t>采购人</w:t>
            </w:r>
            <w:r>
              <w:rPr>
                <w:rFonts w:hint="eastAsia" w:ascii="仿宋_GB2312" w:eastAsia="仿宋_GB2312"/>
                <w:color w:val="auto"/>
                <w:sz w:val="21"/>
                <w:szCs w:val="21"/>
                <w:lang w:val="en-US" w:eastAsia="zh-CN"/>
              </w:rPr>
              <w:t>审核同意之日起</w:t>
            </w:r>
            <w:r>
              <w:rPr>
                <w:rFonts w:hint="eastAsia" w:ascii="仿宋_GB2312" w:eastAsia="仿宋_GB2312"/>
                <w:color w:val="auto"/>
                <w:sz w:val="21"/>
                <w:szCs w:val="21"/>
              </w:rPr>
              <w:t>15个工作日内无息返还给中标人。履约保证金的退还不能免除中标人因货物本身质量问题所导致的法律责任和由此对采购人造成的经济损失的赔偿义务。</w:t>
            </w:r>
          </w:p>
          <w:p w14:paraId="792F4B12">
            <w:pPr>
              <w:spacing w:line="360" w:lineRule="exact"/>
              <w:ind w:firstLine="422" w:firstLineChars="200"/>
              <w:rPr>
                <w:rFonts w:hint="eastAsia" w:ascii="仿宋_GB2312" w:eastAsia="仿宋_GB2312"/>
                <w:color w:val="auto"/>
                <w:sz w:val="21"/>
                <w:szCs w:val="21"/>
              </w:rPr>
            </w:pPr>
            <w:r>
              <w:rPr>
                <w:rFonts w:hint="eastAsia" w:ascii="仿宋_GB2312" w:eastAsia="仿宋_GB2312"/>
                <w:b/>
                <w:bCs/>
                <w:color w:val="auto"/>
                <w:sz w:val="21"/>
                <w:szCs w:val="21"/>
              </w:rPr>
              <w:t>不予退还的情形：</w:t>
            </w:r>
            <w:r>
              <w:rPr>
                <w:rFonts w:hint="eastAsia" w:ascii="仿宋_GB2312" w:eastAsia="仿宋_GB2312"/>
                <w:color w:val="auto"/>
                <w:sz w:val="21"/>
                <w:szCs w:val="21"/>
              </w:rPr>
              <w:t>如在合同期内，中标人自行停止合约或违反合同有关规定被采购人终止合约的，则履约保证金全部归采购人所有。若中标人不履行或不适当履行其合同义务导致采购人蒙受损失的，采购人有权直接从履约保证金中扣除相应违约金或损失赔偿款项；违约金或给采购人造成的损失超过履约保证金数额的，中标人应对超出部分给予赔偿。其他违约责任按照合同约定执行。</w:t>
            </w:r>
          </w:p>
          <w:p w14:paraId="0A62E79F">
            <w:pPr>
              <w:pStyle w:val="3"/>
              <w:keepNext w:val="0"/>
              <w:spacing w:line="360" w:lineRule="exact"/>
              <w:ind w:firstLine="422" w:firstLineChars="200"/>
              <w:rPr>
                <w:rFonts w:hint="eastAsia"/>
                <w:color w:val="auto"/>
                <w:sz w:val="21"/>
                <w:szCs w:val="21"/>
              </w:rPr>
            </w:pPr>
            <w:r>
              <w:rPr>
                <w:rFonts w:hint="eastAsia" w:ascii="仿宋_GB2312" w:eastAsia="仿宋_GB2312"/>
                <w:color w:val="auto"/>
                <w:sz w:val="21"/>
                <w:szCs w:val="21"/>
              </w:rPr>
              <w:t>采购人逾期退还履约保证金的，除应当退还履约保证金本金外，还应当每日按合同总价的0.3‰向中标人偿付违约金，但因中标人自身原因</w:t>
            </w:r>
            <w:r>
              <w:rPr>
                <w:rFonts w:hint="eastAsia" w:ascii="仿宋_GB2312" w:eastAsia="仿宋_GB2312"/>
                <w:color w:val="auto"/>
                <w:sz w:val="21"/>
                <w:szCs w:val="21"/>
                <w:lang w:val="en-US" w:eastAsia="zh-CN"/>
              </w:rPr>
              <w:t>致使</w:t>
            </w:r>
            <w:r>
              <w:rPr>
                <w:rFonts w:hint="eastAsia" w:ascii="仿宋_GB2312" w:eastAsia="仿宋_GB2312"/>
                <w:color w:val="auto"/>
                <w:sz w:val="21"/>
                <w:szCs w:val="21"/>
              </w:rPr>
              <w:t>合同的履行产生争议</w:t>
            </w:r>
            <w:r>
              <w:rPr>
                <w:rFonts w:hint="eastAsia" w:ascii="仿宋_GB2312" w:eastAsia="仿宋_GB2312"/>
                <w:color w:val="auto"/>
                <w:sz w:val="21"/>
                <w:szCs w:val="21"/>
                <w:lang w:eastAsia="zh-CN"/>
              </w:rPr>
              <w:t>，</w:t>
            </w:r>
            <w:r>
              <w:rPr>
                <w:rFonts w:hint="eastAsia" w:ascii="仿宋_GB2312" w:eastAsia="仿宋_GB2312"/>
                <w:color w:val="auto"/>
                <w:sz w:val="21"/>
                <w:szCs w:val="21"/>
              </w:rPr>
              <w:t>导致</w:t>
            </w:r>
            <w:r>
              <w:rPr>
                <w:rFonts w:hint="eastAsia" w:ascii="仿宋_GB2312" w:eastAsia="仿宋_GB2312"/>
                <w:color w:val="auto"/>
                <w:sz w:val="21"/>
                <w:szCs w:val="21"/>
                <w:lang w:val="en-US" w:eastAsia="zh-CN"/>
              </w:rPr>
              <w:t>采购人</w:t>
            </w:r>
            <w:r>
              <w:rPr>
                <w:rFonts w:hint="eastAsia" w:ascii="仿宋_GB2312" w:eastAsia="仿宋_GB2312"/>
                <w:color w:val="auto"/>
                <w:sz w:val="21"/>
                <w:szCs w:val="21"/>
              </w:rPr>
              <w:t>无法及时退还的除外。</w:t>
            </w:r>
          </w:p>
          <w:p w14:paraId="0901A880">
            <w:pPr>
              <w:spacing w:line="360" w:lineRule="exact"/>
              <w:rPr>
                <w:rFonts w:hint="eastAsia" w:ascii="仿宋_GB2312" w:eastAsia="仿宋_GB2312"/>
                <w:color w:val="auto"/>
                <w:sz w:val="21"/>
                <w:szCs w:val="21"/>
              </w:rPr>
            </w:pPr>
          </w:p>
        </w:tc>
      </w:tr>
      <w:bookmarkEnd w:id="0"/>
      <w:tr w14:paraId="50E9266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48" w:hRule="atLeast"/>
        </w:trPr>
        <w:tc>
          <w:tcPr>
            <w:tcW w:w="1702" w:type="dxa"/>
            <w:shd w:val="clear" w:color="auto" w:fill="auto"/>
            <w:vAlign w:val="center"/>
          </w:tcPr>
          <w:p w14:paraId="541D5205">
            <w:pPr>
              <w:spacing w:line="360" w:lineRule="exact"/>
              <w:jc w:val="center"/>
              <w:rPr>
                <w:rFonts w:hint="eastAsia" w:ascii="仿宋_GB2312" w:eastAsia="仿宋_GB2312"/>
                <w:color w:val="auto"/>
                <w:sz w:val="21"/>
                <w:szCs w:val="21"/>
              </w:rPr>
            </w:pPr>
            <w:r>
              <w:rPr>
                <w:rFonts w:hint="eastAsia" w:ascii="仿宋_GB2312" w:eastAsia="仿宋_GB2312"/>
                <w:color w:val="auto"/>
                <w:sz w:val="21"/>
                <w:szCs w:val="21"/>
              </w:rPr>
              <w:t>免费质保期</w:t>
            </w:r>
          </w:p>
        </w:tc>
        <w:tc>
          <w:tcPr>
            <w:tcW w:w="6982" w:type="dxa"/>
            <w:shd w:val="clear" w:color="auto" w:fill="auto"/>
            <w:vAlign w:val="center"/>
          </w:tcPr>
          <w:p w14:paraId="03E059FE">
            <w:pPr>
              <w:spacing w:line="360" w:lineRule="exact"/>
              <w:ind w:firstLine="420" w:firstLineChars="200"/>
              <w:rPr>
                <w:rFonts w:hint="eastAsia" w:ascii="仿宋_GB2312" w:eastAsia="仿宋_GB2312"/>
                <w:color w:val="auto"/>
                <w:sz w:val="21"/>
                <w:szCs w:val="21"/>
              </w:rPr>
            </w:pPr>
            <w:r>
              <w:rPr>
                <w:rFonts w:hint="eastAsia" w:ascii="仿宋_GB2312" w:eastAsia="仿宋_GB2312"/>
                <w:color w:val="auto"/>
                <w:sz w:val="21"/>
                <w:szCs w:val="21"/>
                <w:u w:val="single"/>
              </w:rPr>
              <w:t xml:space="preserve"> </w:t>
            </w:r>
            <w:r>
              <w:rPr>
                <w:rFonts w:hint="eastAsia" w:ascii="仿宋_GB2312" w:eastAsia="仿宋_GB2312"/>
                <w:color w:val="auto"/>
                <w:sz w:val="21"/>
                <w:szCs w:val="21"/>
                <w:u w:val="single"/>
                <w:lang w:val="en-US" w:eastAsia="zh-CN"/>
              </w:rPr>
              <w:t>2</w:t>
            </w:r>
            <w:r>
              <w:rPr>
                <w:rFonts w:hint="eastAsia" w:ascii="仿宋_GB2312" w:eastAsia="仿宋_GB2312"/>
                <w:color w:val="auto"/>
                <w:sz w:val="21"/>
                <w:szCs w:val="21"/>
                <w:u w:val="single"/>
              </w:rPr>
              <w:t xml:space="preserve"> </w:t>
            </w:r>
            <w:r>
              <w:rPr>
                <w:rFonts w:hint="eastAsia" w:ascii="仿宋_GB2312" w:eastAsia="仿宋_GB2312"/>
                <w:color w:val="auto"/>
                <w:sz w:val="21"/>
                <w:szCs w:val="21"/>
              </w:rPr>
              <w:t>年</w:t>
            </w:r>
          </w:p>
        </w:tc>
      </w:tr>
      <w:tr w14:paraId="4C2C8BC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82" w:hRule="atLeast"/>
        </w:trPr>
        <w:tc>
          <w:tcPr>
            <w:tcW w:w="1702" w:type="dxa"/>
            <w:shd w:val="clear" w:color="auto" w:fill="auto"/>
            <w:vAlign w:val="center"/>
          </w:tcPr>
          <w:p w14:paraId="19C3F1A8">
            <w:pPr>
              <w:spacing w:line="360" w:lineRule="exact"/>
              <w:jc w:val="center"/>
              <w:rPr>
                <w:rFonts w:hint="eastAsia" w:ascii="仿宋_GB2312" w:eastAsia="仿宋_GB2312"/>
                <w:color w:val="auto"/>
                <w:sz w:val="21"/>
                <w:szCs w:val="21"/>
              </w:rPr>
            </w:pPr>
            <w:r>
              <w:rPr>
                <w:rFonts w:hint="eastAsia" w:ascii="仿宋_GB2312" w:eastAsia="仿宋_GB2312"/>
                <w:color w:val="auto"/>
                <w:sz w:val="21"/>
                <w:szCs w:val="21"/>
              </w:rPr>
              <w:t>其他要求</w:t>
            </w:r>
          </w:p>
        </w:tc>
        <w:tc>
          <w:tcPr>
            <w:tcW w:w="6982" w:type="dxa"/>
            <w:shd w:val="clear" w:color="auto" w:fill="auto"/>
            <w:vAlign w:val="center"/>
          </w:tcPr>
          <w:p w14:paraId="0D1A7CA5">
            <w:pPr>
              <w:spacing w:line="360" w:lineRule="exact"/>
              <w:ind w:firstLine="420" w:firstLineChars="200"/>
              <w:rPr>
                <w:rFonts w:hint="default" w:ascii="仿宋_GB2312" w:eastAsia="仿宋_GB2312"/>
                <w:color w:val="auto"/>
                <w:sz w:val="21"/>
                <w:szCs w:val="21"/>
                <w:lang w:val="en-US" w:eastAsia="zh-CN"/>
              </w:rPr>
            </w:pPr>
            <w:r>
              <w:rPr>
                <w:rFonts w:hint="eastAsia" w:ascii="仿宋_GB2312" w:eastAsia="仿宋_GB2312"/>
                <w:color w:val="auto"/>
                <w:sz w:val="21"/>
                <w:szCs w:val="21"/>
                <w:lang w:val="en-US" w:eastAsia="zh-CN"/>
              </w:rPr>
              <w:t xml:space="preserve">在服务期间，需严格遵守采购人的有关制度 </w:t>
            </w:r>
          </w:p>
        </w:tc>
      </w:tr>
      <w:tr w14:paraId="53330F1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1" w:hRule="atLeast"/>
        </w:trPr>
        <w:tc>
          <w:tcPr>
            <w:tcW w:w="1702" w:type="dxa"/>
            <w:shd w:val="clear" w:color="auto" w:fill="auto"/>
            <w:vAlign w:val="center"/>
          </w:tcPr>
          <w:p w14:paraId="1B7277E3">
            <w:pPr>
              <w:spacing w:line="360" w:lineRule="exact"/>
              <w:jc w:val="center"/>
              <w:rPr>
                <w:rFonts w:hint="eastAsia" w:ascii="仿宋_GB2312" w:eastAsia="仿宋_GB2312"/>
                <w:color w:val="auto"/>
                <w:sz w:val="21"/>
                <w:szCs w:val="21"/>
              </w:rPr>
            </w:pPr>
            <w:r>
              <w:rPr>
                <w:rFonts w:hint="eastAsia" w:ascii="仿宋_GB2312" w:eastAsia="仿宋_GB2312"/>
                <w:color w:val="auto"/>
                <w:sz w:val="21"/>
                <w:szCs w:val="21"/>
              </w:rPr>
              <w:t>评分分值权重分配</w:t>
            </w:r>
          </w:p>
        </w:tc>
        <w:tc>
          <w:tcPr>
            <w:tcW w:w="6982" w:type="dxa"/>
            <w:shd w:val="clear" w:color="auto" w:fill="auto"/>
            <w:vAlign w:val="center"/>
          </w:tcPr>
          <w:p w14:paraId="116E03BA">
            <w:pPr>
              <w:spacing w:line="360" w:lineRule="exact"/>
              <w:ind w:firstLine="420" w:firstLineChars="200"/>
              <w:rPr>
                <w:rFonts w:hint="eastAsia" w:ascii="仿宋_GB2312" w:eastAsia="仿宋_GB2312"/>
                <w:color w:val="auto"/>
                <w:sz w:val="21"/>
                <w:szCs w:val="21"/>
              </w:rPr>
            </w:pPr>
            <w:r>
              <w:rPr>
                <w:rFonts w:hint="eastAsia" w:ascii="仿宋_GB2312" w:eastAsia="仿宋_GB2312"/>
                <w:color w:val="auto"/>
                <w:sz w:val="21"/>
                <w:szCs w:val="21"/>
              </w:rPr>
              <w:t>商务</w:t>
            </w:r>
            <w:r>
              <w:rPr>
                <w:rFonts w:hint="eastAsia" w:ascii="仿宋_GB2312" w:eastAsia="仿宋_GB2312"/>
                <w:color w:val="auto"/>
                <w:sz w:val="21"/>
                <w:szCs w:val="21"/>
                <w:u w:val="single"/>
              </w:rPr>
              <w:t xml:space="preserve"> </w:t>
            </w:r>
            <w:r>
              <w:rPr>
                <w:rFonts w:hint="eastAsia" w:ascii="仿宋_GB2312" w:eastAsia="仿宋_GB2312"/>
                <w:color w:val="auto"/>
                <w:sz w:val="21"/>
                <w:szCs w:val="21"/>
                <w:u w:val="single"/>
                <w:lang w:val="en-US" w:eastAsia="zh-CN"/>
              </w:rPr>
              <w:t>20</w:t>
            </w:r>
            <w:r>
              <w:rPr>
                <w:rFonts w:hint="eastAsia" w:ascii="仿宋_GB2312" w:eastAsia="仿宋_GB2312"/>
                <w:color w:val="auto"/>
                <w:sz w:val="21"/>
                <w:szCs w:val="21"/>
                <w:u w:val="single"/>
              </w:rPr>
              <w:t xml:space="preserve"> </w:t>
            </w:r>
            <w:r>
              <w:rPr>
                <w:rFonts w:hint="eastAsia" w:ascii="仿宋_GB2312" w:eastAsia="仿宋_GB2312"/>
                <w:color w:val="auto"/>
                <w:sz w:val="21"/>
                <w:szCs w:val="21"/>
              </w:rPr>
              <w:t>%，技术</w:t>
            </w:r>
            <w:r>
              <w:rPr>
                <w:rFonts w:hint="eastAsia" w:ascii="仿宋_GB2312" w:eastAsia="仿宋_GB2312"/>
                <w:color w:val="auto"/>
                <w:sz w:val="21"/>
                <w:szCs w:val="21"/>
                <w:u w:val="single"/>
              </w:rPr>
              <w:t xml:space="preserve"> </w:t>
            </w:r>
            <w:r>
              <w:rPr>
                <w:rFonts w:hint="eastAsia" w:ascii="仿宋_GB2312" w:eastAsia="仿宋_GB2312"/>
                <w:color w:val="auto"/>
                <w:sz w:val="21"/>
                <w:szCs w:val="21"/>
                <w:u w:val="single"/>
                <w:lang w:val="en-US" w:eastAsia="zh-CN"/>
              </w:rPr>
              <w:t>30</w:t>
            </w:r>
            <w:r>
              <w:rPr>
                <w:rFonts w:hint="eastAsia" w:ascii="仿宋_GB2312" w:eastAsia="仿宋_GB2312"/>
                <w:color w:val="auto"/>
                <w:sz w:val="21"/>
                <w:szCs w:val="21"/>
                <w:u w:val="single"/>
              </w:rPr>
              <w:t xml:space="preserve"> </w:t>
            </w:r>
            <w:r>
              <w:rPr>
                <w:rFonts w:hint="eastAsia" w:ascii="仿宋_GB2312" w:eastAsia="仿宋_GB2312"/>
                <w:color w:val="auto"/>
                <w:sz w:val="21"/>
                <w:szCs w:val="21"/>
              </w:rPr>
              <w:t>%，价格</w:t>
            </w:r>
            <w:r>
              <w:rPr>
                <w:rFonts w:hint="eastAsia" w:ascii="仿宋_GB2312" w:eastAsia="仿宋_GB2312"/>
                <w:color w:val="auto"/>
                <w:sz w:val="21"/>
                <w:szCs w:val="21"/>
                <w:u w:val="single"/>
              </w:rPr>
              <w:t xml:space="preserve"> </w:t>
            </w:r>
            <w:r>
              <w:rPr>
                <w:rFonts w:hint="eastAsia" w:ascii="仿宋_GB2312" w:eastAsia="仿宋_GB2312"/>
                <w:color w:val="auto"/>
                <w:sz w:val="21"/>
                <w:szCs w:val="21"/>
                <w:u w:val="single"/>
                <w:lang w:val="en-US" w:eastAsia="zh-CN"/>
              </w:rPr>
              <w:t>50</w:t>
            </w:r>
            <w:r>
              <w:rPr>
                <w:rFonts w:hint="eastAsia" w:ascii="仿宋_GB2312" w:eastAsia="仿宋_GB2312"/>
                <w:color w:val="auto"/>
                <w:sz w:val="21"/>
                <w:szCs w:val="21"/>
                <w:u w:val="single"/>
              </w:rPr>
              <w:t xml:space="preserve"> </w:t>
            </w:r>
            <w:r>
              <w:rPr>
                <w:rFonts w:hint="eastAsia" w:ascii="仿宋_GB2312" w:eastAsia="仿宋_GB2312"/>
                <w:color w:val="auto"/>
                <w:sz w:val="21"/>
                <w:szCs w:val="21"/>
              </w:rPr>
              <w:t>%，合计100%。</w:t>
            </w:r>
          </w:p>
          <w:p w14:paraId="25EFE09B">
            <w:pPr>
              <w:spacing w:line="360" w:lineRule="exact"/>
              <w:ind w:firstLine="424" w:firstLineChars="202"/>
              <w:rPr>
                <w:rFonts w:hint="eastAsia" w:ascii="仿宋_GB2312" w:eastAsia="仿宋_GB2312"/>
                <w:color w:val="auto"/>
                <w:sz w:val="21"/>
                <w:szCs w:val="21"/>
              </w:rPr>
            </w:pPr>
            <w:r>
              <w:rPr>
                <w:rFonts w:hint="eastAsia" w:ascii="仿宋_GB2312" w:eastAsia="仿宋_GB2312"/>
                <w:color w:val="auto"/>
                <w:sz w:val="21"/>
                <w:szCs w:val="21"/>
              </w:rPr>
              <w:t>注：1.公开招标、邀请招标、竞争性磋商时需填。</w:t>
            </w:r>
          </w:p>
          <w:p w14:paraId="684154BA">
            <w:pPr>
              <w:numPr>
                <w:ilvl w:val="0"/>
                <w:numId w:val="9"/>
              </w:numPr>
              <w:spacing w:line="360" w:lineRule="exact"/>
              <w:ind w:firstLine="424" w:firstLineChars="202"/>
              <w:rPr>
                <w:rFonts w:hint="eastAsia" w:ascii="Times New Roman" w:hAnsi="Times New Roman" w:eastAsia="仿宋_GB2312" w:cs="Times New Roman"/>
                <w:color w:val="auto"/>
                <w:kern w:val="0"/>
                <w:sz w:val="21"/>
                <w:szCs w:val="21"/>
                <w:lang w:val="en-US" w:eastAsia="zh-CN"/>
              </w:rPr>
            </w:pPr>
            <w:r>
              <w:rPr>
                <w:rFonts w:hint="eastAsia" w:ascii="仿宋_GB2312" w:eastAsia="仿宋_GB2312"/>
                <w:color w:val="auto"/>
                <w:sz w:val="21"/>
                <w:szCs w:val="21"/>
              </w:rPr>
              <w:t>详见学校项目招标采购管理办法 第四十条 招标项目价格分值的确定</w:t>
            </w:r>
            <w:r>
              <w:rPr>
                <w:rFonts w:hint="eastAsia" w:ascii="仿宋_GB2312" w:eastAsia="仿宋_GB2312"/>
                <w:color w:val="auto"/>
                <w:sz w:val="21"/>
                <w:szCs w:val="21"/>
                <w:lang w:eastAsia="zh-CN"/>
              </w:rPr>
              <w:t>；</w:t>
            </w:r>
            <w:r>
              <w:rPr>
                <w:rFonts w:hint="eastAsia" w:ascii="Times New Roman" w:hAnsi="Times New Roman" w:eastAsia="仿宋_GB2312" w:cs="Times New Roman"/>
                <w:color w:val="auto"/>
                <w:kern w:val="0"/>
                <w:sz w:val="21"/>
                <w:szCs w:val="21"/>
                <w:lang w:val="en-US" w:eastAsia="zh-CN"/>
              </w:rPr>
              <w:t>货物类项目一般应当选用通用货物类项目评审分值，如需选用定制货物类项目评审分值，应当进行专家论证，并提供盖部门章且经分管校领导签字确认的说明及相关佐证材料。</w:t>
            </w:r>
          </w:p>
          <w:p w14:paraId="7E886FB9">
            <w:pPr>
              <w:numPr>
                <w:ilvl w:val="-1"/>
                <w:numId w:val="0"/>
              </w:numPr>
              <w:spacing w:line="360" w:lineRule="exact"/>
              <w:ind w:firstLine="0" w:firstLineChars="0"/>
              <w:rPr>
                <w:rFonts w:hint="eastAsia" w:ascii="仿宋_GB2312" w:eastAsia="仿宋_GB2312"/>
                <w:color w:val="auto"/>
                <w:sz w:val="21"/>
                <w:szCs w:val="21"/>
              </w:rPr>
            </w:pPr>
          </w:p>
        </w:tc>
      </w:tr>
    </w:tbl>
    <w:p w14:paraId="20BFDF29">
      <w:pPr>
        <w:spacing w:line="360" w:lineRule="auto"/>
        <w:jc w:val="center"/>
        <w:rPr>
          <w:rFonts w:hint="eastAsia" w:ascii="宋体" w:hAnsi="宋体"/>
          <w:b/>
          <w:color w:val="000000"/>
          <w:szCs w:val="21"/>
        </w:rPr>
      </w:pPr>
    </w:p>
    <w:p w14:paraId="72528001">
      <w:pPr>
        <w:spacing w:line="360" w:lineRule="auto"/>
        <w:jc w:val="center"/>
        <w:rPr>
          <w:rFonts w:hint="eastAsia" w:ascii="宋体" w:hAnsi="宋体"/>
          <w:b/>
          <w:color w:val="000000"/>
          <w:szCs w:val="21"/>
        </w:rPr>
      </w:pPr>
    </w:p>
    <w:p w14:paraId="457EC61A">
      <w:pPr>
        <w:spacing w:line="360" w:lineRule="auto"/>
        <w:jc w:val="center"/>
        <w:rPr>
          <w:rFonts w:hint="eastAsia" w:ascii="宋体" w:hAnsi="宋体"/>
          <w:b/>
          <w:color w:val="000000"/>
          <w:szCs w:val="21"/>
        </w:rPr>
      </w:pPr>
    </w:p>
    <w:p w14:paraId="21D5D016">
      <w:pPr>
        <w:spacing w:line="360" w:lineRule="auto"/>
        <w:jc w:val="both"/>
        <w:rPr>
          <w:rFonts w:hint="eastAsia" w:ascii="宋体" w:hAnsi="宋体"/>
          <w:b/>
          <w:color w:val="000000"/>
          <w:szCs w:val="21"/>
        </w:rPr>
      </w:pPr>
    </w:p>
    <w:p w14:paraId="020C716C">
      <w:pPr>
        <w:rPr>
          <w:rFonts w:hint="default"/>
          <w:lang w:val="en-US" w:eastAsia="zh-CN"/>
        </w:rPr>
      </w:pPr>
    </w:p>
    <w:p w14:paraId="6180F34D">
      <w:pPr>
        <w:spacing w:line="360" w:lineRule="auto"/>
        <w:jc w:val="center"/>
        <w:rPr>
          <w:rFonts w:hint="eastAsia" w:ascii="宋体" w:hAnsi="宋体"/>
          <w:b/>
          <w:color w:val="000000"/>
          <w:szCs w:val="21"/>
        </w:rPr>
      </w:pPr>
      <w:r>
        <w:rPr>
          <w:rFonts w:hint="eastAsia" w:ascii="宋体" w:hAnsi="宋体"/>
          <w:b/>
          <w:color w:val="000000"/>
          <w:szCs w:val="21"/>
        </w:rPr>
        <w:t>商务评审表</w:t>
      </w:r>
    </w:p>
    <w:tbl>
      <w:tblPr>
        <w:tblStyle w:val="13"/>
        <w:tblW w:w="9674"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64"/>
        <w:gridCol w:w="738"/>
        <w:gridCol w:w="6736"/>
      </w:tblGrid>
      <w:tr w14:paraId="23D6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BF7882">
            <w:pPr>
              <w:adjustRightInd w:val="0"/>
              <w:spacing w:line="360" w:lineRule="auto"/>
              <w:contextualSpacing/>
              <w:jc w:val="center"/>
              <w:rPr>
                <w:rFonts w:hint="eastAsia" w:ascii="宋体" w:hAnsi="宋体"/>
                <w:b/>
                <w:color w:val="000000"/>
                <w:szCs w:val="21"/>
              </w:rPr>
            </w:pPr>
            <w:r>
              <w:rPr>
                <w:rFonts w:hint="eastAsia" w:ascii="宋体" w:hAnsi="宋体"/>
                <w:b/>
                <w:color w:val="000000"/>
                <w:szCs w:val="21"/>
              </w:rPr>
              <w:t>序号</w:t>
            </w:r>
          </w:p>
        </w:tc>
        <w:tc>
          <w:tcPr>
            <w:tcW w:w="1564" w:type="dxa"/>
            <w:vAlign w:val="center"/>
          </w:tcPr>
          <w:p w14:paraId="0A98C5C4">
            <w:pPr>
              <w:adjustRightInd w:val="0"/>
              <w:spacing w:line="360" w:lineRule="auto"/>
              <w:contextualSpacing/>
              <w:jc w:val="center"/>
              <w:rPr>
                <w:rFonts w:hint="eastAsia" w:ascii="宋体" w:hAnsi="宋体"/>
                <w:b/>
                <w:color w:val="000000"/>
                <w:szCs w:val="21"/>
              </w:rPr>
            </w:pPr>
            <w:r>
              <w:rPr>
                <w:rFonts w:hint="eastAsia" w:ascii="宋体" w:hAnsi="宋体"/>
                <w:b/>
                <w:color w:val="000000"/>
                <w:szCs w:val="21"/>
              </w:rPr>
              <w:t>评审项目</w:t>
            </w:r>
          </w:p>
        </w:tc>
        <w:tc>
          <w:tcPr>
            <w:tcW w:w="738" w:type="dxa"/>
            <w:vAlign w:val="center"/>
          </w:tcPr>
          <w:p w14:paraId="17FDE57D">
            <w:pPr>
              <w:adjustRightInd w:val="0"/>
              <w:spacing w:line="360" w:lineRule="auto"/>
              <w:contextualSpacing/>
              <w:jc w:val="center"/>
              <w:rPr>
                <w:rFonts w:hint="eastAsia" w:ascii="宋体" w:hAnsi="宋体"/>
                <w:b/>
                <w:color w:val="000000"/>
                <w:szCs w:val="21"/>
              </w:rPr>
            </w:pPr>
            <w:r>
              <w:rPr>
                <w:rFonts w:hint="eastAsia" w:ascii="宋体" w:hAnsi="宋体"/>
                <w:b/>
                <w:color w:val="000000"/>
                <w:szCs w:val="21"/>
              </w:rPr>
              <w:t>单项分值</w:t>
            </w:r>
          </w:p>
        </w:tc>
        <w:tc>
          <w:tcPr>
            <w:tcW w:w="6736" w:type="dxa"/>
            <w:vAlign w:val="center"/>
          </w:tcPr>
          <w:p w14:paraId="69A4C418">
            <w:pPr>
              <w:adjustRightInd w:val="0"/>
              <w:spacing w:line="360" w:lineRule="auto"/>
              <w:contextualSpacing/>
              <w:jc w:val="center"/>
              <w:rPr>
                <w:rFonts w:ascii="宋体" w:hAnsi="宋体"/>
                <w:b/>
                <w:color w:val="000000"/>
                <w:szCs w:val="21"/>
              </w:rPr>
            </w:pPr>
            <w:r>
              <w:rPr>
                <w:rFonts w:hint="eastAsia" w:ascii="宋体" w:hAnsi="宋体"/>
                <w:b/>
                <w:color w:val="000000"/>
                <w:szCs w:val="21"/>
              </w:rPr>
              <w:t>评审细则</w:t>
            </w:r>
          </w:p>
        </w:tc>
      </w:tr>
      <w:tr w14:paraId="2134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031906">
            <w:pPr>
              <w:adjustRightInd w:val="0"/>
              <w:spacing w:line="360" w:lineRule="auto"/>
              <w:contextualSpacing/>
              <w:rPr>
                <w:rFonts w:hint="eastAsia" w:ascii="宋体" w:hAnsi="宋体"/>
                <w:bCs/>
                <w:color w:val="000000"/>
                <w:szCs w:val="21"/>
              </w:rPr>
            </w:pPr>
            <w:r>
              <w:rPr>
                <w:rFonts w:hint="eastAsia" w:ascii="宋体" w:hAnsi="宋体"/>
                <w:bCs/>
                <w:color w:val="000000"/>
                <w:szCs w:val="21"/>
              </w:rPr>
              <w:t>1</w:t>
            </w:r>
          </w:p>
        </w:tc>
        <w:tc>
          <w:tcPr>
            <w:tcW w:w="1564" w:type="dxa"/>
            <w:vAlign w:val="center"/>
          </w:tcPr>
          <w:p w14:paraId="02660362">
            <w:pPr>
              <w:widowControl/>
              <w:spacing w:beforeLines="0" w:afterLines="0" w:line="240" w:lineRule="auto"/>
              <w:contextualSpacing w:val="0"/>
              <w:jc w:val="left"/>
              <w:rPr>
                <w:rFonts w:ascii="宋体" w:hAnsi="宋体"/>
                <w:kern w:val="0"/>
                <w:szCs w:val="21"/>
              </w:rPr>
            </w:pPr>
            <w:r>
              <w:rPr>
                <w:rFonts w:hint="eastAsia" w:ascii="宋体" w:hAnsi="宋体" w:eastAsia="宋体"/>
                <w:sz w:val="21"/>
                <w:szCs w:val="24"/>
              </w:rPr>
              <w:t>同类项目业绩</w:t>
            </w:r>
          </w:p>
        </w:tc>
        <w:tc>
          <w:tcPr>
            <w:tcW w:w="738" w:type="dxa"/>
            <w:vAlign w:val="center"/>
          </w:tcPr>
          <w:p w14:paraId="2E23A27A">
            <w:pPr>
              <w:widowControl/>
              <w:spacing w:line="360" w:lineRule="auto"/>
              <w:contextualSpacing/>
              <w:rPr>
                <w:rFonts w:hint="eastAsia" w:ascii="宋体" w:hAnsi="宋体" w:cs="仿宋"/>
                <w:kern w:val="0"/>
                <w:szCs w:val="21"/>
              </w:rPr>
            </w:pPr>
            <w:r>
              <w:t xml:space="preserve"> </w:t>
            </w:r>
            <w:r>
              <w:rPr>
                <w:rFonts w:hint="eastAsia"/>
                <w:lang w:val="en-US" w:eastAsia="zh-CN"/>
              </w:rPr>
              <w:t>6</w:t>
            </w:r>
            <w:r>
              <w:t>分</w:t>
            </w:r>
          </w:p>
        </w:tc>
        <w:tc>
          <w:tcPr>
            <w:tcW w:w="6736" w:type="dxa"/>
            <w:vAlign w:val="center"/>
          </w:tcPr>
          <w:p w14:paraId="1917E890">
            <w:pPr>
              <w:spacing w:beforeLines="0" w:afterLines="0"/>
              <w:jc w:val="left"/>
              <w:rPr>
                <w:rFonts w:hint="eastAsia" w:ascii="宋体" w:hAnsi="宋体" w:eastAsia="宋体"/>
                <w:sz w:val="21"/>
                <w:szCs w:val="24"/>
              </w:rPr>
            </w:pPr>
            <w:r>
              <w:rPr>
                <w:rFonts w:hint="eastAsia" w:ascii="宋体" w:hAnsi="宋体" w:eastAsia="宋体"/>
                <w:sz w:val="21"/>
                <w:szCs w:val="24"/>
              </w:rPr>
              <w:t>投标人2022 年1 月1 日至今（以合同签订时间或合同执行时间为</w:t>
            </w:r>
          </w:p>
          <w:p w14:paraId="38667CBD">
            <w:pPr>
              <w:spacing w:beforeLines="0" w:afterLines="0"/>
              <w:jc w:val="left"/>
              <w:rPr>
                <w:rFonts w:hint="eastAsia" w:ascii="宋体" w:hAnsi="宋体" w:eastAsia="宋体"/>
                <w:sz w:val="21"/>
                <w:szCs w:val="24"/>
              </w:rPr>
            </w:pPr>
            <w:r>
              <w:rPr>
                <w:rFonts w:hint="eastAsia" w:ascii="宋体" w:hAnsi="宋体" w:eastAsia="宋体"/>
                <w:sz w:val="21"/>
                <w:szCs w:val="24"/>
              </w:rPr>
              <w:t>准）至投标截止之日完成过的同类项目（修缮或装修或零星工程）业绩，</w:t>
            </w:r>
          </w:p>
          <w:p w14:paraId="59E77E9F">
            <w:pPr>
              <w:spacing w:beforeLines="0" w:afterLines="0"/>
              <w:jc w:val="left"/>
              <w:rPr>
                <w:rFonts w:hint="eastAsia" w:ascii="宋体" w:hAnsi="宋体" w:eastAsia="宋体"/>
                <w:sz w:val="21"/>
                <w:szCs w:val="24"/>
              </w:rPr>
            </w:pPr>
            <w:r>
              <w:rPr>
                <w:rFonts w:hint="eastAsia" w:ascii="宋体" w:hAnsi="宋体" w:eastAsia="宋体"/>
                <w:sz w:val="21"/>
                <w:szCs w:val="24"/>
              </w:rPr>
              <w:t>每提供一个得3 分，满分6 分。</w:t>
            </w:r>
          </w:p>
          <w:p w14:paraId="3CE39F0A">
            <w:pPr>
              <w:spacing w:beforeLines="0" w:afterLines="0"/>
              <w:jc w:val="left"/>
              <w:rPr>
                <w:rFonts w:hint="eastAsia" w:ascii="宋体" w:hAnsi="宋体" w:eastAsia="宋体"/>
                <w:sz w:val="21"/>
                <w:szCs w:val="24"/>
              </w:rPr>
            </w:pPr>
            <w:r>
              <w:rPr>
                <w:rFonts w:hint="eastAsia" w:ascii="宋体" w:hAnsi="宋体" w:eastAsia="宋体"/>
                <w:sz w:val="21"/>
                <w:szCs w:val="24"/>
              </w:rPr>
              <w:t>（需提供合同关键页、竣工验收报告或完工证明复印件，加盖投标</w:t>
            </w:r>
          </w:p>
          <w:p w14:paraId="5CABFB64">
            <w:pPr>
              <w:widowControl/>
              <w:spacing w:line="360" w:lineRule="auto"/>
              <w:contextualSpacing/>
              <w:rPr>
                <w:rFonts w:ascii="宋体" w:hAnsi="宋体" w:cs="仿宋"/>
                <w:kern w:val="0"/>
                <w:szCs w:val="21"/>
              </w:rPr>
            </w:pPr>
            <w:r>
              <w:rPr>
                <w:rFonts w:hint="eastAsia" w:ascii="宋体" w:hAnsi="宋体" w:eastAsia="宋体"/>
                <w:sz w:val="21"/>
                <w:szCs w:val="24"/>
              </w:rPr>
              <w:t>人公章。否则不得分。）</w:t>
            </w:r>
          </w:p>
        </w:tc>
      </w:tr>
      <w:tr w14:paraId="39B2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9F982C">
            <w:pPr>
              <w:adjustRightInd w:val="0"/>
              <w:spacing w:line="360" w:lineRule="auto"/>
              <w:contextualSpacing/>
              <w:rPr>
                <w:rFonts w:hint="eastAsia" w:ascii="宋体" w:hAnsi="宋体"/>
                <w:bCs/>
                <w:color w:val="000000"/>
                <w:szCs w:val="21"/>
              </w:rPr>
            </w:pPr>
            <w:r>
              <w:rPr>
                <w:rFonts w:hint="eastAsia" w:ascii="宋体" w:hAnsi="宋体"/>
                <w:bCs/>
                <w:color w:val="000000"/>
                <w:szCs w:val="21"/>
              </w:rPr>
              <w:t>2</w:t>
            </w:r>
          </w:p>
        </w:tc>
        <w:tc>
          <w:tcPr>
            <w:tcW w:w="1564" w:type="dxa"/>
            <w:vAlign w:val="center"/>
          </w:tcPr>
          <w:p w14:paraId="43D75AD7">
            <w:pPr>
              <w:adjustRightInd/>
              <w:spacing w:beforeLines="0" w:afterLines="0" w:line="240" w:lineRule="auto"/>
              <w:contextualSpacing w:val="0"/>
              <w:jc w:val="left"/>
              <w:rPr>
                <w:rFonts w:ascii="宋体" w:hAnsi="宋体"/>
                <w:bCs/>
                <w:color w:val="000000"/>
                <w:szCs w:val="21"/>
              </w:rPr>
            </w:pPr>
            <w:r>
              <w:rPr>
                <w:rFonts w:hint="eastAsia" w:ascii="宋体" w:hAnsi="宋体" w:eastAsia="宋体"/>
                <w:sz w:val="21"/>
                <w:szCs w:val="24"/>
              </w:rPr>
              <w:t>项目满意度</w:t>
            </w:r>
            <w:r>
              <w:t xml:space="preserve"> </w:t>
            </w:r>
          </w:p>
        </w:tc>
        <w:tc>
          <w:tcPr>
            <w:tcW w:w="738" w:type="dxa"/>
            <w:vAlign w:val="center"/>
          </w:tcPr>
          <w:p w14:paraId="2AF69F75">
            <w:pPr>
              <w:adjustRightInd w:val="0"/>
              <w:spacing w:line="360" w:lineRule="auto"/>
              <w:contextualSpacing/>
              <w:rPr>
                <w:rFonts w:hint="eastAsia" w:ascii="宋体" w:hAnsi="宋体"/>
                <w:bCs/>
                <w:color w:val="000000"/>
                <w:szCs w:val="21"/>
              </w:rPr>
            </w:pPr>
            <w:r>
              <w:rPr>
                <w:rFonts w:hint="eastAsia"/>
                <w:lang w:val="en-US" w:eastAsia="zh-CN"/>
              </w:rPr>
              <w:t>6</w:t>
            </w:r>
            <w:r>
              <w:t>分</w:t>
            </w:r>
          </w:p>
        </w:tc>
        <w:tc>
          <w:tcPr>
            <w:tcW w:w="6736" w:type="dxa"/>
            <w:vAlign w:val="center"/>
          </w:tcPr>
          <w:p w14:paraId="45581853">
            <w:pPr>
              <w:spacing w:beforeLines="0" w:afterLines="0"/>
              <w:jc w:val="left"/>
              <w:rPr>
                <w:rFonts w:hint="eastAsia" w:ascii="宋体" w:hAnsi="宋体" w:eastAsia="宋体"/>
                <w:sz w:val="21"/>
                <w:szCs w:val="24"/>
              </w:rPr>
            </w:pPr>
            <w:r>
              <w:rPr>
                <w:rFonts w:hint="eastAsia" w:ascii="宋体" w:hAnsi="宋体" w:eastAsia="宋体"/>
                <w:sz w:val="21"/>
                <w:szCs w:val="24"/>
              </w:rPr>
              <w:t>上述有效同类业绩中有提供项目满意度评价表（由项目业主盖章且</w:t>
            </w:r>
          </w:p>
          <w:p w14:paraId="2401498A">
            <w:pPr>
              <w:spacing w:beforeLines="0" w:afterLines="0"/>
              <w:jc w:val="left"/>
              <w:rPr>
                <w:rFonts w:hint="eastAsia" w:ascii="宋体" w:hAnsi="宋体" w:eastAsia="宋体"/>
                <w:sz w:val="21"/>
                <w:szCs w:val="24"/>
              </w:rPr>
            </w:pPr>
            <w:r>
              <w:rPr>
                <w:rFonts w:hint="eastAsia" w:ascii="宋体" w:hAnsi="宋体" w:eastAsia="宋体"/>
                <w:sz w:val="21"/>
                <w:szCs w:val="24"/>
              </w:rPr>
              <w:t>评价为“优秀、满意、很好”或其他类似好评，分值评分为90 分（或</w:t>
            </w:r>
          </w:p>
          <w:p w14:paraId="4C049692">
            <w:pPr>
              <w:spacing w:beforeLines="0" w:afterLines="0"/>
              <w:jc w:val="left"/>
              <w:rPr>
                <w:rFonts w:hint="eastAsia" w:ascii="宋体" w:hAnsi="宋体" w:eastAsia="宋体"/>
                <w:sz w:val="21"/>
                <w:szCs w:val="24"/>
              </w:rPr>
            </w:pPr>
            <w:r>
              <w:rPr>
                <w:rFonts w:hint="eastAsia" w:ascii="宋体" w:hAnsi="宋体" w:eastAsia="宋体"/>
                <w:sz w:val="21"/>
                <w:szCs w:val="24"/>
              </w:rPr>
              <w:t>以上）评价的，每提供一个得3 分，本项最高得6 分。</w:t>
            </w:r>
          </w:p>
          <w:p w14:paraId="288536C6">
            <w:pPr>
              <w:spacing w:beforeLines="0" w:afterLines="0"/>
              <w:jc w:val="left"/>
              <w:rPr>
                <w:rFonts w:hint="eastAsia" w:ascii="宋体" w:hAnsi="宋体" w:eastAsia="宋体"/>
                <w:sz w:val="21"/>
                <w:szCs w:val="24"/>
              </w:rPr>
            </w:pPr>
            <w:r>
              <w:rPr>
                <w:rFonts w:hint="eastAsia" w:ascii="宋体" w:hAnsi="宋体" w:eastAsia="宋体"/>
                <w:sz w:val="21"/>
                <w:szCs w:val="24"/>
              </w:rPr>
              <w:t>注：（1）提供满意度评价表复印件，需盖有合同的买方（甲方）</w:t>
            </w:r>
          </w:p>
          <w:p w14:paraId="5009CA6F">
            <w:pPr>
              <w:spacing w:beforeLines="0" w:afterLines="0"/>
              <w:jc w:val="left"/>
              <w:rPr>
                <w:rFonts w:hint="eastAsia" w:ascii="宋体" w:hAnsi="宋体" w:eastAsia="宋体"/>
                <w:sz w:val="21"/>
                <w:szCs w:val="24"/>
              </w:rPr>
            </w:pPr>
            <w:r>
              <w:rPr>
                <w:rFonts w:hint="eastAsia" w:ascii="宋体" w:hAnsi="宋体" w:eastAsia="宋体"/>
                <w:sz w:val="21"/>
                <w:szCs w:val="24"/>
              </w:rPr>
              <w:t>单位公章（注：部门章、处室章等其他章有效）。</w:t>
            </w:r>
          </w:p>
          <w:p w14:paraId="68D3B33C">
            <w:pPr>
              <w:spacing w:beforeLines="0" w:afterLines="0"/>
              <w:jc w:val="left"/>
              <w:rPr>
                <w:rFonts w:hint="eastAsia" w:ascii="宋体" w:hAnsi="宋体" w:eastAsia="宋体"/>
                <w:sz w:val="21"/>
                <w:szCs w:val="24"/>
              </w:rPr>
            </w:pPr>
            <w:r>
              <w:rPr>
                <w:rFonts w:hint="eastAsia" w:ascii="宋体" w:hAnsi="宋体" w:eastAsia="宋体"/>
                <w:sz w:val="21"/>
                <w:szCs w:val="24"/>
              </w:rPr>
              <w:t>（2）同一业主提供多份，只能按一项计算。</w:t>
            </w:r>
          </w:p>
          <w:p w14:paraId="7FAE0EA9">
            <w:pPr>
              <w:adjustRightInd w:val="0"/>
              <w:spacing w:line="360" w:lineRule="auto"/>
              <w:contextualSpacing/>
              <w:rPr>
                <w:rFonts w:hint="eastAsia" w:ascii="宋体" w:hAnsi="宋体"/>
                <w:bCs/>
                <w:color w:val="000000"/>
                <w:szCs w:val="21"/>
              </w:rPr>
            </w:pPr>
            <w:r>
              <w:rPr>
                <w:rFonts w:hint="eastAsia" w:ascii="宋体" w:hAnsi="宋体" w:eastAsia="宋体"/>
                <w:sz w:val="21"/>
                <w:szCs w:val="24"/>
              </w:rPr>
              <w:t>（3）非上述类似业绩不得分。</w:t>
            </w:r>
          </w:p>
        </w:tc>
      </w:tr>
      <w:tr w14:paraId="667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7C7082">
            <w:pPr>
              <w:adjustRightInd w:val="0"/>
              <w:spacing w:line="360" w:lineRule="auto"/>
              <w:contextualSpacing/>
              <w:rPr>
                <w:rFonts w:hint="eastAsia" w:ascii="宋体" w:hAnsi="宋体"/>
                <w:bCs/>
                <w:color w:val="000000"/>
                <w:szCs w:val="21"/>
              </w:rPr>
            </w:pPr>
            <w:r>
              <w:rPr>
                <w:rFonts w:hint="eastAsia" w:ascii="宋体" w:hAnsi="宋体"/>
                <w:bCs/>
                <w:color w:val="000000"/>
                <w:szCs w:val="21"/>
              </w:rPr>
              <w:t>3</w:t>
            </w:r>
          </w:p>
        </w:tc>
        <w:tc>
          <w:tcPr>
            <w:tcW w:w="1564" w:type="dxa"/>
            <w:vAlign w:val="center"/>
          </w:tcPr>
          <w:p w14:paraId="3A0BE7E2">
            <w:pPr>
              <w:adjustRightInd w:val="0"/>
              <w:spacing w:line="360" w:lineRule="auto"/>
              <w:contextualSpacing/>
              <w:rPr>
                <w:rFonts w:ascii="宋体" w:hAnsi="宋体"/>
                <w:bCs/>
                <w:color w:val="000000"/>
                <w:szCs w:val="21"/>
              </w:rPr>
            </w:pPr>
            <w:r>
              <w:rPr>
                <w:rFonts w:hint="eastAsia" w:ascii="宋体" w:hAnsi="宋体" w:eastAsia="宋体"/>
                <w:sz w:val="21"/>
                <w:szCs w:val="24"/>
              </w:rPr>
              <w:t>保修方案</w:t>
            </w:r>
          </w:p>
        </w:tc>
        <w:tc>
          <w:tcPr>
            <w:tcW w:w="738" w:type="dxa"/>
            <w:vAlign w:val="center"/>
          </w:tcPr>
          <w:p w14:paraId="56480CA5">
            <w:pPr>
              <w:adjustRightInd w:val="0"/>
              <w:spacing w:line="360" w:lineRule="auto"/>
              <w:contextualSpacing/>
              <w:rPr>
                <w:rFonts w:hint="eastAsia" w:ascii="宋体" w:hAnsi="宋体"/>
                <w:bCs/>
                <w:color w:val="000000"/>
                <w:szCs w:val="21"/>
              </w:rPr>
            </w:pPr>
            <w:r>
              <w:t xml:space="preserve"> 8分</w:t>
            </w:r>
          </w:p>
        </w:tc>
        <w:tc>
          <w:tcPr>
            <w:tcW w:w="6736" w:type="dxa"/>
          </w:tcPr>
          <w:p w14:paraId="0A806EA0">
            <w:pPr>
              <w:spacing w:beforeLines="0" w:afterLines="0"/>
              <w:jc w:val="left"/>
              <w:rPr>
                <w:rFonts w:hint="eastAsia" w:ascii="宋体" w:hAnsi="宋体" w:eastAsia="宋体"/>
                <w:sz w:val="21"/>
                <w:szCs w:val="24"/>
              </w:rPr>
            </w:pPr>
            <w:r>
              <w:rPr>
                <w:rFonts w:hint="eastAsia" w:ascii="宋体" w:hAnsi="宋体" w:eastAsia="宋体"/>
                <w:sz w:val="21"/>
                <w:szCs w:val="24"/>
              </w:rPr>
              <w:t>根据投标人针对本项目的保修方案（包括但不限于保修期、维护保</w:t>
            </w:r>
          </w:p>
          <w:p w14:paraId="4C7451D8">
            <w:pPr>
              <w:spacing w:beforeLines="0" w:afterLines="0"/>
              <w:jc w:val="left"/>
              <w:rPr>
                <w:rFonts w:hint="eastAsia" w:ascii="宋体" w:hAnsi="宋体" w:eastAsia="宋体"/>
                <w:sz w:val="21"/>
                <w:szCs w:val="24"/>
              </w:rPr>
            </w:pPr>
            <w:r>
              <w:rPr>
                <w:rFonts w:hint="eastAsia" w:ascii="宋体" w:hAnsi="宋体" w:eastAsia="宋体"/>
                <w:sz w:val="21"/>
                <w:szCs w:val="24"/>
              </w:rPr>
              <w:t>修计划及措施、售后服务机构设置等）进行评审：</w:t>
            </w:r>
          </w:p>
          <w:p w14:paraId="7275695F">
            <w:pPr>
              <w:spacing w:beforeLines="0" w:afterLines="0"/>
              <w:jc w:val="left"/>
              <w:rPr>
                <w:rFonts w:hint="eastAsia" w:ascii="宋体" w:hAnsi="宋体" w:eastAsia="宋体"/>
                <w:sz w:val="21"/>
                <w:szCs w:val="24"/>
              </w:rPr>
            </w:pPr>
            <w:r>
              <w:rPr>
                <w:rFonts w:hint="eastAsia" w:ascii="宋体" w:hAnsi="宋体" w:eastAsia="宋体"/>
                <w:sz w:val="21"/>
                <w:szCs w:val="24"/>
              </w:rPr>
              <w:t>（1）方案完整详实，保修期优于或满足需求，根据需求提出详细</w:t>
            </w:r>
          </w:p>
          <w:p w14:paraId="46A31CFF">
            <w:pPr>
              <w:spacing w:beforeLines="0" w:afterLines="0"/>
              <w:jc w:val="left"/>
              <w:rPr>
                <w:rFonts w:hint="eastAsia" w:ascii="宋体" w:hAnsi="宋体" w:eastAsia="宋体"/>
                <w:sz w:val="21"/>
                <w:szCs w:val="24"/>
              </w:rPr>
            </w:pPr>
            <w:r>
              <w:rPr>
                <w:rFonts w:hint="eastAsia" w:ascii="宋体" w:hAnsi="宋体" w:eastAsia="宋体"/>
                <w:sz w:val="21"/>
                <w:szCs w:val="24"/>
              </w:rPr>
              <w:t>具体的维护保修计划及措施，售后服务便捷，得8 分；</w:t>
            </w:r>
          </w:p>
          <w:p w14:paraId="3F2CFEA7">
            <w:pPr>
              <w:spacing w:beforeLines="0" w:afterLines="0"/>
              <w:jc w:val="left"/>
              <w:rPr>
                <w:rFonts w:hint="eastAsia" w:ascii="宋体" w:hAnsi="宋体" w:eastAsia="宋体"/>
                <w:sz w:val="21"/>
                <w:szCs w:val="24"/>
              </w:rPr>
            </w:pPr>
            <w:r>
              <w:rPr>
                <w:rFonts w:hint="eastAsia" w:ascii="宋体" w:hAnsi="宋体" w:eastAsia="宋体"/>
                <w:sz w:val="21"/>
                <w:szCs w:val="24"/>
              </w:rPr>
              <w:t>（2）方案基本完整，保修期满足需求，有维护保修计划及措施，</w:t>
            </w:r>
          </w:p>
          <w:p w14:paraId="7885E20D">
            <w:pPr>
              <w:spacing w:beforeLines="0" w:afterLines="0"/>
              <w:jc w:val="left"/>
              <w:rPr>
                <w:rFonts w:hint="eastAsia" w:ascii="宋体" w:hAnsi="宋体" w:eastAsia="宋体"/>
                <w:sz w:val="21"/>
                <w:szCs w:val="24"/>
              </w:rPr>
            </w:pPr>
            <w:r>
              <w:rPr>
                <w:rFonts w:hint="eastAsia" w:ascii="宋体" w:hAnsi="宋体" w:eastAsia="宋体"/>
                <w:sz w:val="21"/>
                <w:szCs w:val="24"/>
              </w:rPr>
              <w:t>能满足基本售后服务要求，得5 分；</w:t>
            </w:r>
          </w:p>
          <w:p w14:paraId="33EB0022">
            <w:pPr>
              <w:spacing w:beforeLines="0" w:afterLines="0"/>
              <w:jc w:val="left"/>
              <w:rPr>
                <w:rFonts w:hint="eastAsia" w:ascii="宋体" w:hAnsi="宋体" w:eastAsia="宋体"/>
                <w:sz w:val="21"/>
                <w:szCs w:val="24"/>
              </w:rPr>
            </w:pPr>
            <w:r>
              <w:rPr>
                <w:rFonts w:hint="eastAsia" w:ascii="宋体" w:hAnsi="宋体" w:eastAsia="宋体"/>
                <w:sz w:val="21"/>
                <w:szCs w:val="24"/>
              </w:rPr>
              <w:t>（3）方案不完整，保修期不满足需求或缺少维护保修计划及措施</w:t>
            </w:r>
          </w:p>
          <w:p w14:paraId="5E0D7EB6">
            <w:pPr>
              <w:spacing w:beforeLines="0" w:afterLines="0"/>
              <w:jc w:val="left"/>
              <w:rPr>
                <w:rFonts w:hint="eastAsia" w:ascii="宋体" w:hAnsi="宋体" w:eastAsia="宋体"/>
                <w:sz w:val="21"/>
                <w:szCs w:val="24"/>
              </w:rPr>
            </w:pPr>
            <w:r>
              <w:rPr>
                <w:rFonts w:hint="eastAsia" w:ascii="宋体" w:hAnsi="宋体" w:eastAsia="宋体"/>
                <w:sz w:val="21"/>
                <w:szCs w:val="24"/>
              </w:rPr>
              <w:t>或售后服务不够便捷，得2 分；</w:t>
            </w:r>
          </w:p>
          <w:p w14:paraId="2A108E27">
            <w:pPr>
              <w:adjustRightInd w:val="0"/>
              <w:spacing w:line="360" w:lineRule="auto"/>
              <w:contextualSpacing/>
              <w:rPr>
                <w:rFonts w:ascii="宋体" w:hAnsi="宋体"/>
                <w:bCs/>
                <w:color w:val="000000"/>
                <w:szCs w:val="21"/>
              </w:rPr>
            </w:pPr>
            <w:r>
              <w:rPr>
                <w:rFonts w:hint="eastAsia" w:ascii="宋体" w:hAnsi="宋体" w:eastAsia="宋体"/>
                <w:sz w:val="21"/>
                <w:szCs w:val="24"/>
              </w:rPr>
              <w:t>（4）未提供保修方案，得0 分。</w:t>
            </w:r>
          </w:p>
        </w:tc>
      </w:tr>
      <w:tr w14:paraId="052D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gridSpan w:val="2"/>
          </w:tcPr>
          <w:p w14:paraId="71052E97">
            <w:pPr>
              <w:adjustRightInd w:val="0"/>
              <w:spacing w:line="360" w:lineRule="auto"/>
              <w:contextualSpacing/>
              <w:jc w:val="center"/>
              <w:rPr>
                <w:rFonts w:hint="eastAsia" w:ascii="宋体" w:hAnsi="宋体"/>
                <w:b/>
                <w:color w:val="000000"/>
                <w:szCs w:val="21"/>
              </w:rPr>
            </w:pPr>
            <w:r>
              <w:rPr>
                <w:rFonts w:hint="eastAsia" w:ascii="宋体" w:hAnsi="宋体"/>
                <w:b/>
                <w:color w:val="000000"/>
                <w:szCs w:val="21"/>
              </w:rPr>
              <w:t>合计</w:t>
            </w:r>
          </w:p>
        </w:tc>
        <w:tc>
          <w:tcPr>
            <w:tcW w:w="7474" w:type="dxa"/>
            <w:gridSpan w:val="2"/>
          </w:tcPr>
          <w:p w14:paraId="7902A939">
            <w:pPr>
              <w:adjustRightInd w:val="0"/>
              <w:spacing w:line="360" w:lineRule="auto"/>
              <w:contextualSpacing/>
              <w:rPr>
                <w:rFonts w:hint="default" w:ascii="宋体" w:hAnsi="宋体" w:eastAsiaTheme="minorEastAsia"/>
                <w:b/>
                <w:color w:val="000000"/>
                <w:szCs w:val="21"/>
                <w:lang w:val="en-US" w:eastAsia="zh-CN"/>
              </w:rPr>
            </w:pPr>
            <w:r>
              <w:rPr>
                <w:rFonts w:hint="eastAsia" w:ascii="宋体" w:hAnsi="宋体"/>
                <w:b/>
                <w:color w:val="000000"/>
                <w:szCs w:val="21"/>
                <w:lang w:val="en-US" w:eastAsia="zh-CN"/>
              </w:rPr>
              <w:t>20分</w:t>
            </w:r>
          </w:p>
        </w:tc>
      </w:tr>
    </w:tbl>
    <w:p w14:paraId="7F2208E2">
      <w:pPr>
        <w:spacing w:line="360" w:lineRule="auto"/>
        <w:jc w:val="center"/>
        <w:rPr>
          <w:rFonts w:ascii="宋体" w:hAnsi="宋体"/>
          <w:b/>
          <w:color w:val="000000"/>
          <w:szCs w:val="21"/>
        </w:rPr>
      </w:pPr>
    </w:p>
    <w:p w14:paraId="157D2441">
      <w:pPr>
        <w:spacing w:line="360" w:lineRule="auto"/>
        <w:jc w:val="center"/>
        <w:rPr>
          <w:rFonts w:ascii="宋体" w:hAnsi="宋体"/>
          <w:b/>
          <w:color w:val="000000"/>
          <w:szCs w:val="21"/>
        </w:rPr>
      </w:pPr>
    </w:p>
    <w:p w14:paraId="71BBD480">
      <w:pPr>
        <w:spacing w:line="360" w:lineRule="auto"/>
        <w:jc w:val="center"/>
        <w:rPr>
          <w:rFonts w:ascii="宋体" w:hAnsi="宋体"/>
          <w:b/>
          <w:color w:val="000000"/>
          <w:szCs w:val="21"/>
        </w:rPr>
      </w:pPr>
    </w:p>
    <w:p w14:paraId="267FECB7">
      <w:pPr>
        <w:spacing w:line="360" w:lineRule="auto"/>
        <w:jc w:val="center"/>
        <w:rPr>
          <w:rFonts w:ascii="宋体" w:hAnsi="宋体"/>
          <w:b/>
          <w:color w:val="000000"/>
          <w:szCs w:val="21"/>
        </w:rPr>
      </w:pPr>
    </w:p>
    <w:p w14:paraId="0B6FD22F">
      <w:pPr>
        <w:spacing w:line="360" w:lineRule="auto"/>
        <w:jc w:val="center"/>
        <w:rPr>
          <w:rFonts w:ascii="宋体" w:hAnsi="宋体"/>
          <w:b/>
          <w:color w:val="000000"/>
          <w:szCs w:val="21"/>
        </w:rPr>
      </w:pPr>
    </w:p>
    <w:p w14:paraId="2F06AE5C">
      <w:pPr>
        <w:spacing w:line="360" w:lineRule="auto"/>
        <w:jc w:val="center"/>
        <w:rPr>
          <w:rFonts w:ascii="宋体" w:hAnsi="宋体"/>
          <w:b/>
          <w:color w:val="000000"/>
          <w:szCs w:val="21"/>
        </w:rPr>
      </w:pPr>
    </w:p>
    <w:p w14:paraId="0EBBC055">
      <w:pPr>
        <w:spacing w:line="360" w:lineRule="auto"/>
        <w:jc w:val="center"/>
        <w:rPr>
          <w:rFonts w:ascii="宋体" w:hAnsi="宋体"/>
          <w:b/>
          <w:color w:val="000000"/>
          <w:szCs w:val="21"/>
        </w:rPr>
      </w:pPr>
    </w:p>
    <w:p w14:paraId="592A6CA1">
      <w:pPr>
        <w:spacing w:line="360" w:lineRule="auto"/>
        <w:jc w:val="center"/>
        <w:rPr>
          <w:rFonts w:ascii="宋体" w:hAnsi="宋体"/>
          <w:b/>
          <w:color w:val="000000"/>
          <w:szCs w:val="21"/>
        </w:rPr>
      </w:pPr>
    </w:p>
    <w:p w14:paraId="7B833EEC">
      <w:pPr>
        <w:spacing w:line="360" w:lineRule="auto"/>
        <w:jc w:val="center"/>
        <w:rPr>
          <w:rFonts w:ascii="宋体" w:hAnsi="宋体"/>
          <w:b/>
          <w:color w:val="000000"/>
          <w:szCs w:val="21"/>
        </w:rPr>
      </w:pPr>
    </w:p>
    <w:p w14:paraId="46B0C338">
      <w:pPr>
        <w:spacing w:line="360" w:lineRule="auto"/>
        <w:jc w:val="both"/>
        <w:rPr>
          <w:rFonts w:ascii="宋体" w:hAnsi="宋体"/>
          <w:b/>
          <w:color w:val="000000"/>
          <w:szCs w:val="21"/>
        </w:rPr>
      </w:pPr>
    </w:p>
    <w:p w14:paraId="0566B78A">
      <w:pPr>
        <w:spacing w:line="360" w:lineRule="auto"/>
        <w:jc w:val="center"/>
        <w:rPr>
          <w:rFonts w:ascii="宋体" w:hAnsi="宋体"/>
          <w:b/>
          <w:color w:val="000000"/>
          <w:szCs w:val="21"/>
        </w:rPr>
      </w:pPr>
      <w:r>
        <w:rPr>
          <w:rFonts w:hint="eastAsia" w:ascii="宋体" w:hAnsi="宋体"/>
          <w:b/>
          <w:color w:val="000000"/>
          <w:szCs w:val="21"/>
        </w:rPr>
        <w:t>技术评审表</w:t>
      </w:r>
    </w:p>
    <w:tbl>
      <w:tblPr>
        <w:tblStyle w:val="13"/>
        <w:tblW w:w="9149"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64"/>
        <w:gridCol w:w="738"/>
        <w:gridCol w:w="6211"/>
      </w:tblGrid>
      <w:tr w14:paraId="4B40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B66B68">
            <w:pPr>
              <w:adjustRightInd w:val="0"/>
              <w:spacing w:line="360" w:lineRule="auto"/>
              <w:contextualSpacing/>
              <w:jc w:val="center"/>
              <w:rPr>
                <w:rFonts w:hint="eastAsia" w:ascii="宋体" w:hAnsi="宋体"/>
                <w:b/>
                <w:color w:val="000000"/>
                <w:szCs w:val="21"/>
              </w:rPr>
            </w:pPr>
            <w:r>
              <w:rPr>
                <w:rFonts w:hint="eastAsia" w:ascii="宋体" w:hAnsi="宋体"/>
                <w:b/>
                <w:color w:val="000000"/>
                <w:szCs w:val="21"/>
              </w:rPr>
              <w:t>序号</w:t>
            </w:r>
          </w:p>
        </w:tc>
        <w:tc>
          <w:tcPr>
            <w:tcW w:w="1564" w:type="dxa"/>
            <w:vAlign w:val="center"/>
          </w:tcPr>
          <w:p w14:paraId="7A3A8ADF">
            <w:pPr>
              <w:adjustRightInd w:val="0"/>
              <w:spacing w:line="360" w:lineRule="auto"/>
              <w:contextualSpacing/>
              <w:jc w:val="center"/>
              <w:rPr>
                <w:rFonts w:hint="eastAsia" w:ascii="宋体" w:hAnsi="宋体"/>
                <w:b/>
                <w:color w:val="000000"/>
                <w:szCs w:val="21"/>
              </w:rPr>
            </w:pPr>
            <w:r>
              <w:rPr>
                <w:rFonts w:hint="eastAsia" w:ascii="宋体" w:hAnsi="宋体"/>
                <w:b/>
                <w:color w:val="000000"/>
                <w:szCs w:val="21"/>
              </w:rPr>
              <w:t>评审项目</w:t>
            </w:r>
          </w:p>
        </w:tc>
        <w:tc>
          <w:tcPr>
            <w:tcW w:w="738" w:type="dxa"/>
            <w:vAlign w:val="center"/>
          </w:tcPr>
          <w:p w14:paraId="0F97B9DC">
            <w:pPr>
              <w:adjustRightInd w:val="0"/>
              <w:spacing w:line="360" w:lineRule="auto"/>
              <w:contextualSpacing/>
              <w:jc w:val="center"/>
              <w:rPr>
                <w:rFonts w:hint="eastAsia" w:ascii="宋体" w:hAnsi="宋体"/>
                <w:b/>
                <w:color w:val="000000"/>
                <w:szCs w:val="21"/>
              </w:rPr>
            </w:pPr>
            <w:r>
              <w:rPr>
                <w:rFonts w:hint="eastAsia" w:ascii="宋体" w:hAnsi="宋体"/>
                <w:b/>
                <w:color w:val="000000"/>
                <w:szCs w:val="21"/>
              </w:rPr>
              <w:t>单项分值</w:t>
            </w:r>
          </w:p>
        </w:tc>
        <w:tc>
          <w:tcPr>
            <w:tcW w:w="6211" w:type="dxa"/>
            <w:vAlign w:val="center"/>
          </w:tcPr>
          <w:p w14:paraId="33D6759E">
            <w:pPr>
              <w:adjustRightInd w:val="0"/>
              <w:spacing w:line="360" w:lineRule="auto"/>
              <w:contextualSpacing/>
              <w:jc w:val="center"/>
              <w:rPr>
                <w:rFonts w:ascii="宋体" w:hAnsi="宋体"/>
                <w:b/>
                <w:color w:val="000000"/>
                <w:szCs w:val="21"/>
              </w:rPr>
            </w:pPr>
            <w:r>
              <w:rPr>
                <w:rFonts w:hint="eastAsia" w:ascii="宋体" w:hAnsi="宋体"/>
                <w:b/>
                <w:color w:val="000000"/>
                <w:szCs w:val="21"/>
              </w:rPr>
              <w:t>评审细则</w:t>
            </w:r>
          </w:p>
        </w:tc>
      </w:tr>
      <w:tr w14:paraId="6D7A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8B7368">
            <w:pPr>
              <w:adjustRightInd w:val="0"/>
              <w:spacing w:line="360" w:lineRule="auto"/>
              <w:contextualSpacing/>
              <w:rPr>
                <w:rFonts w:hint="eastAsia" w:ascii="宋体" w:hAnsi="宋体"/>
                <w:bCs/>
                <w:color w:val="000000"/>
                <w:szCs w:val="21"/>
              </w:rPr>
            </w:pPr>
            <w:r>
              <w:rPr>
                <w:rFonts w:hint="eastAsia" w:ascii="宋体" w:hAnsi="宋体"/>
                <w:bCs/>
                <w:color w:val="000000"/>
                <w:szCs w:val="21"/>
              </w:rPr>
              <w:t>1</w:t>
            </w:r>
          </w:p>
        </w:tc>
        <w:tc>
          <w:tcPr>
            <w:tcW w:w="1564" w:type="dxa"/>
            <w:vAlign w:val="center"/>
          </w:tcPr>
          <w:p w14:paraId="4C7DC80D">
            <w:pPr>
              <w:widowControl/>
              <w:spacing w:beforeLines="0" w:afterLines="0" w:line="240" w:lineRule="auto"/>
              <w:contextualSpacing w:val="0"/>
              <w:jc w:val="left"/>
              <w:rPr>
                <w:rFonts w:hint="default" w:ascii="宋体" w:hAnsi="宋体" w:eastAsiaTheme="minorEastAsia"/>
                <w:kern w:val="0"/>
                <w:szCs w:val="21"/>
                <w:lang w:val="en-US" w:eastAsia="zh-CN"/>
              </w:rPr>
            </w:pPr>
            <w:r>
              <w:rPr>
                <w:rFonts w:hint="eastAsia" w:ascii="宋体" w:hAnsi="宋体" w:eastAsia="宋体"/>
                <w:sz w:val="21"/>
                <w:szCs w:val="24"/>
              </w:rPr>
              <w:t>拟投入本项目团队人员</w:t>
            </w:r>
          </w:p>
        </w:tc>
        <w:tc>
          <w:tcPr>
            <w:tcW w:w="738" w:type="dxa"/>
            <w:vAlign w:val="center"/>
          </w:tcPr>
          <w:p w14:paraId="00151B03">
            <w:pPr>
              <w:widowControl/>
              <w:spacing w:line="360" w:lineRule="auto"/>
              <w:contextualSpacing/>
              <w:rPr>
                <w:rFonts w:hint="eastAsia" w:ascii="宋体" w:hAnsi="宋体" w:cs="仿宋"/>
                <w:kern w:val="0"/>
                <w:szCs w:val="21"/>
              </w:rPr>
            </w:pPr>
            <w:r>
              <w:t>1</w:t>
            </w:r>
            <w:r>
              <w:rPr>
                <w:rFonts w:hint="eastAsia"/>
                <w:lang w:val="en-US" w:eastAsia="zh-CN"/>
              </w:rPr>
              <w:t>0</w:t>
            </w:r>
            <w:r>
              <w:t>分</w:t>
            </w:r>
          </w:p>
        </w:tc>
        <w:tc>
          <w:tcPr>
            <w:tcW w:w="6211" w:type="dxa"/>
            <w:vAlign w:val="center"/>
          </w:tcPr>
          <w:p w14:paraId="7864025C">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1、投标人拟委派的项目负责人具有建筑工程相关专业中级职称得2分，具有建筑工程相关专业高级或以上技术职称得</w:t>
            </w:r>
            <w:r>
              <w:rPr>
                <w:rFonts w:hint="eastAsia" w:ascii="宋体" w:hAnsi="宋体" w:eastAsia="宋体"/>
                <w:sz w:val="21"/>
                <w:szCs w:val="24"/>
                <w:lang w:val="en-US" w:eastAsia="zh-CN"/>
              </w:rPr>
              <w:t>4</w:t>
            </w:r>
            <w:r>
              <w:rPr>
                <w:rFonts w:hint="eastAsia" w:ascii="宋体" w:hAnsi="宋体" w:eastAsia="宋体"/>
                <w:sz w:val="21"/>
                <w:szCs w:val="24"/>
              </w:rPr>
              <w:t xml:space="preserve"> 分。</w:t>
            </w:r>
          </w:p>
          <w:p w14:paraId="0A0DCA01">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2、拟派的安全负责人具有建筑工程相关专业中级技术职称的得1分，具有建筑工程相关专业高级或以上职称得2 分。</w:t>
            </w:r>
          </w:p>
          <w:p w14:paraId="0A4C7348">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3、拟派的资料员具有建筑工程相关专业中级技术职称的得1 分，具有建筑工程相关专业高级或以上职称得2 分。</w:t>
            </w:r>
          </w:p>
          <w:p w14:paraId="0720456B">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4、拟派的工程技术负责人具有建筑工程相关专业中级技术职称的得1 分，具有建筑工程相关专业高级或以上职称得2 分。</w:t>
            </w:r>
          </w:p>
          <w:p w14:paraId="4A734AAD">
            <w:pPr>
              <w:widowControl/>
              <w:numPr>
                <w:ilvl w:val="-1"/>
                <w:numId w:val="0"/>
              </w:numPr>
              <w:spacing w:beforeLines="0" w:afterLines="0" w:line="240" w:lineRule="auto"/>
              <w:ind w:firstLine="420" w:firstLineChars="200"/>
              <w:contextualSpacing w:val="0"/>
              <w:jc w:val="left"/>
              <w:rPr>
                <w:rFonts w:ascii="宋体" w:hAnsi="宋体" w:cs="仿宋"/>
                <w:kern w:val="0"/>
                <w:szCs w:val="21"/>
              </w:rPr>
            </w:pPr>
            <w:r>
              <w:rPr>
                <w:rFonts w:hint="eastAsia" w:ascii="宋体" w:hAnsi="宋体" w:eastAsia="宋体"/>
                <w:sz w:val="21"/>
                <w:szCs w:val="24"/>
              </w:rPr>
              <w:t>注：须提供上述人员相关证书复印件及由投标人为其缴纳社保（投标截止之日前3 个月内任意一个月）的证明文件。不提供或其它情况不得分。上述人员岗位不能相互兼任。</w:t>
            </w:r>
          </w:p>
        </w:tc>
      </w:tr>
      <w:tr w14:paraId="5EA4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A35F5B">
            <w:pPr>
              <w:adjustRightInd w:val="0"/>
              <w:spacing w:line="360" w:lineRule="auto"/>
              <w:contextualSpacing/>
              <w:rPr>
                <w:rFonts w:hint="eastAsia" w:ascii="宋体" w:hAnsi="宋体"/>
                <w:bCs/>
                <w:color w:val="000000"/>
                <w:szCs w:val="21"/>
              </w:rPr>
            </w:pPr>
            <w:r>
              <w:rPr>
                <w:rFonts w:hint="eastAsia" w:ascii="宋体" w:hAnsi="宋体"/>
                <w:bCs/>
                <w:color w:val="000000"/>
                <w:szCs w:val="21"/>
              </w:rPr>
              <w:t>2</w:t>
            </w:r>
          </w:p>
        </w:tc>
        <w:tc>
          <w:tcPr>
            <w:tcW w:w="1564" w:type="dxa"/>
            <w:vAlign w:val="center"/>
          </w:tcPr>
          <w:p w14:paraId="41B27811">
            <w:pPr>
              <w:adjustRightInd/>
              <w:spacing w:beforeLines="0" w:afterLines="0" w:line="240" w:lineRule="auto"/>
              <w:contextualSpacing w:val="0"/>
              <w:jc w:val="left"/>
              <w:rPr>
                <w:rFonts w:ascii="宋体" w:hAnsi="宋体"/>
                <w:bCs/>
                <w:color w:val="000000"/>
                <w:szCs w:val="21"/>
              </w:rPr>
            </w:pPr>
            <w:r>
              <w:rPr>
                <w:rFonts w:hint="eastAsia" w:ascii="宋体" w:hAnsi="宋体" w:eastAsia="宋体"/>
                <w:sz w:val="21"/>
                <w:szCs w:val="24"/>
              </w:rPr>
              <w:t>整体组织施工实施方案</w:t>
            </w:r>
          </w:p>
        </w:tc>
        <w:tc>
          <w:tcPr>
            <w:tcW w:w="738" w:type="dxa"/>
            <w:vAlign w:val="center"/>
          </w:tcPr>
          <w:p w14:paraId="22C0E02E">
            <w:pPr>
              <w:adjustRightInd w:val="0"/>
              <w:spacing w:line="360" w:lineRule="auto"/>
              <w:contextualSpacing/>
              <w:rPr>
                <w:rFonts w:hint="eastAsia" w:ascii="宋体" w:hAnsi="宋体"/>
                <w:bCs/>
                <w:color w:val="000000"/>
                <w:szCs w:val="21"/>
              </w:rPr>
            </w:pPr>
            <w:r>
              <w:rPr>
                <w:rFonts w:hint="eastAsia"/>
                <w:lang w:val="en-US" w:eastAsia="zh-CN"/>
              </w:rPr>
              <w:t>5</w:t>
            </w:r>
            <w:r>
              <w:t>分</w:t>
            </w:r>
          </w:p>
        </w:tc>
        <w:tc>
          <w:tcPr>
            <w:tcW w:w="6211" w:type="dxa"/>
            <w:vAlign w:val="center"/>
          </w:tcPr>
          <w:p w14:paraId="112D0BFA">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根据投标人提供的整体施工组织方案（包括但不限于包含现场管理、材料管理、施工协调、巡检、质量保证等内容）进行评审：</w:t>
            </w:r>
          </w:p>
          <w:p w14:paraId="2221A94F">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1、整体施工组织方案、人员安排、项目进度详细、科学、合理，得</w:t>
            </w:r>
            <w:r>
              <w:rPr>
                <w:rFonts w:hint="eastAsia" w:ascii="宋体" w:hAnsi="宋体" w:eastAsia="宋体"/>
                <w:sz w:val="21"/>
                <w:szCs w:val="24"/>
                <w:lang w:val="en-US" w:eastAsia="zh-CN"/>
              </w:rPr>
              <w:t>5</w:t>
            </w:r>
            <w:r>
              <w:rPr>
                <w:rFonts w:hint="eastAsia" w:ascii="宋体" w:hAnsi="宋体" w:eastAsia="宋体"/>
                <w:sz w:val="21"/>
                <w:szCs w:val="24"/>
              </w:rPr>
              <w:t>分；</w:t>
            </w:r>
          </w:p>
          <w:p w14:paraId="0246BE8C">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2、整体施工组织方案、人员安排、项目进度较详细、科学、合理</w:t>
            </w:r>
            <w:r>
              <w:rPr>
                <w:rFonts w:hint="eastAsia" w:ascii="宋体" w:hAnsi="宋体" w:eastAsia="宋体"/>
                <w:sz w:val="21"/>
                <w:szCs w:val="24"/>
                <w:lang w:eastAsia="zh-CN"/>
              </w:rPr>
              <w:t>，</w:t>
            </w:r>
            <w:r>
              <w:rPr>
                <w:rFonts w:hint="eastAsia" w:ascii="宋体" w:hAnsi="宋体" w:eastAsia="宋体"/>
                <w:sz w:val="21"/>
                <w:szCs w:val="24"/>
              </w:rPr>
              <w:t>得</w:t>
            </w:r>
            <w:r>
              <w:rPr>
                <w:rFonts w:hint="eastAsia" w:ascii="宋体" w:hAnsi="宋体" w:eastAsia="宋体"/>
                <w:sz w:val="21"/>
                <w:szCs w:val="24"/>
                <w:lang w:val="en-US" w:eastAsia="zh-CN"/>
              </w:rPr>
              <w:t>3</w:t>
            </w:r>
            <w:r>
              <w:rPr>
                <w:rFonts w:hint="eastAsia" w:ascii="宋体" w:hAnsi="宋体" w:eastAsia="宋体"/>
                <w:sz w:val="21"/>
                <w:szCs w:val="24"/>
              </w:rPr>
              <w:t>分；</w:t>
            </w:r>
          </w:p>
          <w:p w14:paraId="6A5CEB34">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3、整体施工组织方案、人员安排、项目进度科学性和合理性较差，得</w:t>
            </w:r>
            <w:r>
              <w:rPr>
                <w:rFonts w:hint="eastAsia" w:ascii="宋体" w:hAnsi="宋体" w:eastAsia="宋体"/>
                <w:sz w:val="21"/>
                <w:szCs w:val="24"/>
                <w:lang w:val="en-US" w:eastAsia="zh-CN"/>
              </w:rPr>
              <w:t>1</w:t>
            </w:r>
            <w:r>
              <w:rPr>
                <w:rFonts w:hint="eastAsia" w:ascii="宋体" w:hAnsi="宋体" w:eastAsia="宋体"/>
                <w:sz w:val="21"/>
                <w:szCs w:val="24"/>
              </w:rPr>
              <w:t>分；</w:t>
            </w:r>
          </w:p>
          <w:p w14:paraId="4CF367A7">
            <w:pPr>
              <w:numPr>
                <w:ilvl w:val="-1"/>
                <w:numId w:val="0"/>
              </w:numPr>
              <w:adjustRightInd w:val="0"/>
              <w:spacing w:line="360" w:lineRule="auto"/>
              <w:ind w:left="0" w:firstLine="420" w:firstLineChars="200"/>
              <w:contextualSpacing/>
              <w:rPr>
                <w:rFonts w:hint="eastAsia" w:ascii="宋体" w:hAnsi="宋体"/>
                <w:bCs/>
                <w:color w:val="000000"/>
                <w:szCs w:val="21"/>
              </w:rPr>
            </w:pPr>
            <w:r>
              <w:rPr>
                <w:rFonts w:hint="eastAsia" w:ascii="宋体" w:hAnsi="宋体" w:eastAsia="宋体"/>
                <w:sz w:val="21"/>
                <w:szCs w:val="24"/>
              </w:rPr>
              <w:t>4、不提供不得分。</w:t>
            </w:r>
          </w:p>
        </w:tc>
      </w:tr>
      <w:tr w14:paraId="411F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2AD24B">
            <w:pPr>
              <w:adjustRightInd w:val="0"/>
              <w:spacing w:line="360" w:lineRule="auto"/>
              <w:contextualSpacing/>
              <w:rPr>
                <w:rFonts w:hint="eastAsia" w:ascii="宋体" w:hAnsi="宋体"/>
                <w:bCs/>
                <w:color w:val="000000"/>
                <w:szCs w:val="21"/>
              </w:rPr>
            </w:pPr>
            <w:r>
              <w:rPr>
                <w:rFonts w:hint="eastAsia" w:ascii="宋体" w:hAnsi="宋体"/>
                <w:bCs/>
                <w:color w:val="000000"/>
                <w:szCs w:val="21"/>
              </w:rPr>
              <w:t>3</w:t>
            </w:r>
          </w:p>
        </w:tc>
        <w:tc>
          <w:tcPr>
            <w:tcW w:w="1564" w:type="dxa"/>
            <w:vAlign w:val="center"/>
          </w:tcPr>
          <w:p w14:paraId="065D2F2C">
            <w:pPr>
              <w:adjustRightInd/>
              <w:spacing w:beforeLines="0" w:afterLines="0" w:line="240" w:lineRule="auto"/>
              <w:contextualSpacing w:val="0"/>
              <w:jc w:val="left"/>
              <w:rPr>
                <w:rFonts w:ascii="宋体" w:hAnsi="宋体"/>
                <w:bCs/>
                <w:color w:val="000000"/>
                <w:szCs w:val="21"/>
              </w:rPr>
            </w:pPr>
            <w:r>
              <w:rPr>
                <w:rFonts w:hint="eastAsia" w:ascii="宋体" w:hAnsi="宋体" w:eastAsia="宋体"/>
                <w:sz w:val="21"/>
                <w:szCs w:val="24"/>
              </w:rPr>
              <w:t>进度计划和保证措施</w:t>
            </w:r>
          </w:p>
        </w:tc>
        <w:tc>
          <w:tcPr>
            <w:tcW w:w="738" w:type="dxa"/>
            <w:vAlign w:val="center"/>
          </w:tcPr>
          <w:p w14:paraId="609F4B40">
            <w:pPr>
              <w:adjustRightInd w:val="0"/>
              <w:spacing w:line="360" w:lineRule="auto"/>
              <w:contextualSpacing/>
              <w:rPr>
                <w:rFonts w:hint="eastAsia" w:ascii="宋体" w:hAnsi="宋体"/>
                <w:bCs/>
                <w:color w:val="000000"/>
                <w:szCs w:val="21"/>
              </w:rPr>
            </w:pPr>
            <w:r>
              <w:rPr>
                <w:rFonts w:hint="eastAsia"/>
                <w:lang w:val="en-US" w:eastAsia="zh-CN"/>
              </w:rPr>
              <w:t>5</w:t>
            </w:r>
            <w:r>
              <w:t>分</w:t>
            </w:r>
          </w:p>
        </w:tc>
        <w:tc>
          <w:tcPr>
            <w:tcW w:w="6211" w:type="dxa"/>
          </w:tcPr>
          <w:p w14:paraId="640B09E5">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根据投标人提供的工程施工进度计划和保证措施（包括但不限于施工进度管理、进度网络图计划、施工目标、施工措施等）进行评审：</w:t>
            </w:r>
          </w:p>
          <w:p w14:paraId="23B685F1">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1、施工进度管理考虑全面、进度网络图计划合理、目标清晰、标准掌握准确、措施手段得力，完全适用本项目用户需求，得</w:t>
            </w:r>
            <w:r>
              <w:rPr>
                <w:rFonts w:hint="eastAsia" w:ascii="宋体" w:hAnsi="宋体" w:eastAsia="宋体"/>
                <w:sz w:val="21"/>
                <w:szCs w:val="24"/>
                <w:lang w:val="en-US" w:eastAsia="zh-CN"/>
              </w:rPr>
              <w:t>5</w:t>
            </w:r>
            <w:r>
              <w:rPr>
                <w:rFonts w:hint="eastAsia" w:ascii="宋体" w:hAnsi="宋体" w:eastAsia="宋体"/>
                <w:sz w:val="21"/>
                <w:szCs w:val="24"/>
              </w:rPr>
              <w:t xml:space="preserve"> 分；</w:t>
            </w:r>
          </w:p>
          <w:p w14:paraId="4D2C5D79">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2、施工进度计划和保证措施的进度管理考虑较全面、措施手段较得力，可行性较好，进度网络图较合理，基本适用本项目用户需求，得</w:t>
            </w:r>
            <w:r>
              <w:rPr>
                <w:rFonts w:hint="eastAsia" w:ascii="宋体" w:hAnsi="宋体" w:eastAsia="宋体"/>
                <w:sz w:val="21"/>
                <w:szCs w:val="24"/>
                <w:lang w:val="en-US" w:eastAsia="zh-CN"/>
              </w:rPr>
              <w:t>3</w:t>
            </w:r>
            <w:r>
              <w:rPr>
                <w:rFonts w:hint="eastAsia" w:ascii="宋体" w:hAnsi="宋体" w:eastAsia="宋体"/>
                <w:sz w:val="21"/>
                <w:szCs w:val="24"/>
              </w:rPr>
              <w:t>分；</w:t>
            </w:r>
          </w:p>
          <w:p w14:paraId="6A7EE15E">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3、施工进度计划和保证措施不完整、不合理，得</w:t>
            </w:r>
            <w:r>
              <w:rPr>
                <w:rFonts w:hint="eastAsia" w:ascii="宋体" w:hAnsi="宋体" w:eastAsia="宋体"/>
                <w:sz w:val="21"/>
                <w:szCs w:val="24"/>
                <w:lang w:val="en-US" w:eastAsia="zh-CN"/>
              </w:rPr>
              <w:t>1</w:t>
            </w:r>
            <w:r>
              <w:rPr>
                <w:rFonts w:hint="eastAsia" w:ascii="宋体" w:hAnsi="宋体" w:eastAsia="宋体"/>
                <w:sz w:val="21"/>
                <w:szCs w:val="24"/>
              </w:rPr>
              <w:t xml:space="preserve"> 分；</w:t>
            </w:r>
          </w:p>
          <w:p w14:paraId="6A2FD35C">
            <w:pPr>
              <w:numPr>
                <w:ilvl w:val="-1"/>
                <w:numId w:val="0"/>
              </w:numPr>
              <w:adjustRightInd w:val="0"/>
              <w:spacing w:line="360" w:lineRule="auto"/>
              <w:ind w:left="0" w:firstLine="420" w:firstLineChars="200"/>
              <w:contextualSpacing/>
              <w:rPr>
                <w:rFonts w:ascii="宋体" w:hAnsi="宋体"/>
                <w:bCs/>
                <w:color w:val="000000"/>
                <w:szCs w:val="21"/>
              </w:rPr>
            </w:pPr>
            <w:r>
              <w:rPr>
                <w:rFonts w:hint="eastAsia" w:ascii="宋体" w:hAnsi="宋体" w:eastAsia="宋体"/>
                <w:sz w:val="21"/>
                <w:szCs w:val="24"/>
              </w:rPr>
              <w:t>4、不提供不得分。</w:t>
            </w:r>
          </w:p>
        </w:tc>
      </w:tr>
      <w:tr w14:paraId="76EE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2DB2F7C">
            <w:pPr>
              <w:adjustRightInd w:val="0"/>
              <w:spacing w:line="360" w:lineRule="auto"/>
              <w:contextualSpacing/>
              <w:rPr>
                <w:rFonts w:hint="default" w:ascii="宋体" w:hAnsi="宋体"/>
                <w:bCs/>
                <w:color w:val="000000"/>
                <w:szCs w:val="21"/>
                <w:lang w:val="en-US" w:eastAsia="zh-CN"/>
              </w:rPr>
            </w:pPr>
            <w:r>
              <w:rPr>
                <w:rFonts w:hint="eastAsia" w:ascii="宋体" w:hAnsi="宋体"/>
                <w:bCs/>
                <w:color w:val="000000"/>
                <w:szCs w:val="21"/>
                <w:lang w:val="en-US" w:eastAsia="zh-CN"/>
              </w:rPr>
              <w:t>4</w:t>
            </w:r>
          </w:p>
        </w:tc>
        <w:tc>
          <w:tcPr>
            <w:tcW w:w="1564" w:type="dxa"/>
            <w:vAlign w:val="center"/>
          </w:tcPr>
          <w:p w14:paraId="4046FA2C">
            <w:pPr>
              <w:adjustRightInd/>
              <w:spacing w:beforeLines="0" w:afterLines="0" w:line="240" w:lineRule="auto"/>
              <w:contextualSpacing w:val="0"/>
              <w:jc w:val="left"/>
              <w:rPr>
                <w:rFonts w:hint="eastAsia" w:ascii="宋体" w:hAnsi="宋体" w:eastAsia="宋体"/>
                <w:sz w:val="21"/>
                <w:szCs w:val="24"/>
              </w:rPr>
            </w:pPr>
            <w:r>
              <w:rPr>
                <w:rFonts w:hint="eastAsia" w:ascii="宋体" w:hAnsi="宋体" w:eastAsia="宋体"/>
                <w:sz w:val="21"/>
                <w:szCs w:val="24"/>
              </w:rPr>
              <w:t>质量保证措施</w:t>
            </w:r>
          </w:p>
        </w:tc>
        <w:tc>
          <w:tcPr>
            <w:tcW w:w="738" w:type="dxa"/>
            <w:vAlign w:val="center"/>
          </w:tcPr>
          <w:p w14:paraId="6EA1C052">
            <w:pPr>
              <w:adjustRightInd w:val="0"/>
              <w:spacing w:line="360" w:lineRule="auto"/>
              <w:contextualSpacing/>
              <w:rPr>
                <w:rFonts w:hint="default"/>
                <w:lang w:val="en-US" w:eastAsia="zh-CN"/>
              </w:rPr>
            </w:pPr>
            <w:r>
              <w:rPr>
                <w:rFonts w:hint="eastAsia"/>
                <w:lang w:val="en-US" w:eastAsia="zh-CN"/>
              </w:rPr>
              <w:t>5分</w:t>
            </w:r>
          </w:p>
        </w:tc>
        <w:tc>
          <w:tcPr>
            <w:tcW w:w="6211" w:type="dxa"/>
          </w:tcPr>
          <w:p w14:paraId="472F0806">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根据投标人提供质量保证措施（包括但不限于施工过程中的关键点措施、风险预判、防控方案等）进行评审：</w:t>
            </w:r>
          </w:p>
          <w:p w14:paraId="7B817741">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1、措施方案具体可靠，针对性强，能保证工程质量，完全适用本项目实施需求，得</w:t>
            </w:r>
            <w:r>
              <w:rPr>
                <w:rFonts w:hint="eastAsia" w:ascii="宋体" w:hAnsi="宋体" w:eastAsia="宋体"/>
                <w:sz w:val="21"/>
                <w:szCs w:val="24"/>
                <w:lang w:val="en-US" w:eastAsia="zh-CN"/>
              </w:rPr>
              <w:t>5</w:t>
            </w:r>
            <w:r>
              <w:rPr>
                <w:rFonts w:hint="eastAsia" w:ascii="宋体" w:hAnsi="宋体" w:eastAsia="宋体"/>
                <w:sz w:val="21"/>
                <w:szCs w:val="24"/>
              </w:rPr>
              <w:t>分；</w:t>
            </w:r>
          </w:p>
          <w:p w14:paraId="5498EE42">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2、措施方案基本完整，有针对性，能保证工程质量，基本适用本项目实施需求，得</w:t>
            </w:r>
            <w:r>
              <w:rPr>
                <w:rFonts w:hint="eastAsia" w:ascii="宋体" w:hAnsi="宋体" w:eastAsia="宋体"/>
                <w:sz w:val="21"/>
                <w:szCs w:val="24"/>
                <w:lang w:val="en-US" w:eastAsia="zh-CN"/>
              </w:rPr>
              <w:t>3</w:t>
            </w:r>
            <w:r>
              <w:rPr>
                <w:rFonts w:hint="eastAsia" w:ascii="宋体" w:hAnsi="宋体" w:eastAsia="宋体"/>
                <w:sz w:val="21"/>
                <w:szCs w:val="24"/>
              </w:rPr>
              <w:t xml:space="preserve"> 分；</w:t>
            </w:r>
          </w:p>
          <w:p w14:paraId="4940080B">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3、措施方案不完整，无针对性，得</w:t>
            </w:r>
            <w:r>
              <w:rPr>
                <w:rFonts w:hint="eastAsia" w:ascii="宋体" w:hAnsi="宋体" w:eastAsia="宋体"/>
                <w:sz w:val="21"/>
                <w:szCs w:val="24"/>
                <w:lang w:val="en-US" w:eastAsia="zh-CN"/>
              </w:rPr>
              <w:t>1</w:t>
            </w:r>
            <w:r>
              <w:rPr>
                <w:rFonts w:hint="eastAsia" w:ascii="宋体" w:hAnsi="宋体" w:eastAsia="宋体"/>
                <w:sz w:val="21"/>
                <w:szCs w:val="24"/>
              </w:rPr>
              <w:t xml:space="preserve"> 分；</w:t>
            </w:r>
          </w:p>
          <w:p w14:paraId="3EAAF2CD">
            <w:pPr>
              <w:numPr>
                <w:ilvl w:val="-1"/>
                <w:numId w:val="0"/>
              </w:numPr>
              <w:adjustRightInd/>
              <w:spacing w:beforeLines="0" w:afterLines="0" w:line="240" w:lineRule="auto"/>
              <w:ind w:firstLine="420" w:firstLineChars="200"/>
              <w:contextualSpacing w:val="0"/>
              <w:jc w:val="left"/>
              <w:rPr>
                <w:rFonts w:hint="eastAsia" w:ascii="宋体" w:hAnsi="宋体" w:eastAsia="宋体"/>
                <w:sz w:val="21"/>
                <w:szCs w:val="24"/>
              </w:rPr>
            </w:pPr>
            <w:r>
              <w:rPr>
                <w:rFonts w:hint="eastAsia" w:ascii="宋体" w:hAnsi="宋体" w:eastAsia="宋体"/>
                <w:sz w:val="21"/>
                <w:szCs w:val="24"/>
              </w:rPr>
              <w:t>4、不提供不得分。</w:t>
            </w:r>
          </w:p>
        </w:tc>
      </w:tr>
      <w:tr w14:paraId="421A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66EC56E">
            <w:pPr>
              <w:adjustRightInd w:val="0"/>
              <w:spacing w:line="360" w:lineRule="auto"/>
              <w:contextualSpacing/>
              <w:rPr>
                <w:rFonts w:hint="default" w:ascii="宋体" w:hAnsi="宋体"/>
                <w:bCs/>
                <w:color w:val="000000"/>
                <w:szCs w:val="21"/>
                <w:lang w:val="en-US" w:eastAsia="zh-CN"/>
              </w:rPr>
            </w:pPr>
            <w:r>
              <w:rPr>
                <w:rFonts w:hint="eastAsia" w:ascii="宋体" w:hAnsi="宋体"/>
                <w:bCs/>
                <w:color w:val="000000"/>
                <w:szCs w:val="21"/>
                <w:lang w:val="en-US" w:eastAsia="zh-CN"/>
              </w:rPr>
              <w:t>5</w:t>
            </w:r>
          </w:p>
        </w:tc>
        <w:tc>
          <w:tcPr>
            <w:tcW w:w="1564" w:type="dxa"/>
            <w:vAlign w:val="center"/>
          </w:tcPr>
          <w:p w14:paraId="5405BA5A">
            <w:pPr>
              <w:adjustRightInd/>
              <w:spacing w:beforeLines="0" w:afterLines="0" w:line="240" w:lineRule="auto"/>
              <w:contextualSpacing w:val="0"/>
              <w:jc w:val="left"/>
              <w:rPr>
                <w:rFonts w:hint="eastAsia" w:ascii="宋体" w:hAnsi="宋体" w:eastAsia="宋体"/>
                <w:sz w:val="21"/>
                <w:szCs w:val="24"/>
              </w:rPr>
            </w:pPr>
            <w:r>
              <w:rPr>
                <w:rFonts w:hint="eastAsia" w:ascii="宋体" w:hAnsi="宋体" w:eastAsia="宋体"/>
                <w:sz w:val="21"/>
                <w:szCs w:val="24"/>
              </w:rPr>
              <w:t>安全文明施工方案</w:t>
            </w:r>
          </w:p>
        </w:tc>
        <w:tc>
          <w:tcPr>
            <w:tcW w:w="738" w:type="dxa"/>
            <w:vAlign w:val="center"/>
          </w:tcPr>
          <w:p w14:paraId="751275CC">
            <w:pPr>
              <w:adjustRightInd w:val="0"/>
              <w:spacing w:line="360" w:lineRule="auto"/>
              <w:contextualSpacing/>
              <w:rPr>
                <w:rFonts w:hint="default"/>
                <w:lang w:val="en-US" w:eastAsia="zh-CN"/>
              </w:rPr>
            </w:pPr>
            <w:r>
              <w:rPr>
                <w:rFonts w:hint="eastAsia"/>
                <w:lang w:val="en-US" w:eastAsia="zh-CN"/>
              </w:rPr>
              <w:t>5分</w:t>
            </w:r>
          </w:p>
        </w:tc>
        <w:tc>
          <w:tcPr>
            <w:tcW w:w="6211" w:type="dxa"/>
          </w:tcPr>
          <w:p w14:paraId="2C724E1E">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根据投标人提供安全文明施工方案（包括但不限于安全保证措施、安全事故处理、安全防护措施、安全承诺和目标等）进行评审：</w:t>
            </w:r>
          </w:p>
          <w:p w14:paraId="79784DD7">
            <w:pPr>
              <w:spacing w:beforeLines="0" w:afterLines="0"/>
              <w:jc w:val="left"/>
              <w:rPr>
                <w:rFonts w:hint="eastAsia" w:ascii="宋体" w:hAnsi="宋体" w:eastAsia="宋体"/>
                <w:sz w:val="21"/>
                <w:szCs w:val="24"/>
              </w:rPr>
            </w:pPr>
            <w:r>
              <w:rPr>
                <w:rFonts w:hint="eastAsia" w:ascii="宋体" w:hAnsi="宋体" w:eastAsia="宋体"/>
                <w:sz w:val="21"/>
                <w:szCs w:val="24"/>
                <w:lang w:val="en-US" w:eastAsia="zh-CN"/>
              </w:rPr>
              <w:t xml:space="preserve">    1</w:t>
            </w:r>
            <w:r>
              <w:rPr>
                <w:rFonts w:hint="eastAsia" w:ascii="宋体" w:hAnsi="宋体" w:eastAsia="宋体"/>
                <w:sz w:val="21"/>
                <w:szCs w:val="24"/>
              </w:rPr>
              <w:t>、方案详细完整，安全保证措施科学合理，安全文明作业、安全事故处理、安全防护措施等针对性强，有明确的安全承诺和目标得</w:t>
            </w:r>
            <w:r>
              <w:rPr>
                <w:rFonts w:hint="eastAsia" w:ascii="宋体" w:hAnsi="宋体" w:eastAsia="宋体"/>
                <w:sz w:val="21"/>
                <w:szCs w:val="24"/>
                <w:lang w:val="en-US" w:eastAsia="zh-CN"/>
              </w:rPr>
              <w:t>5</w:t>
            </w:r>
            <w:r>
              <w:rPr>
                <w:rFonts w:hint="eastAsia" w:ascii="宋体" w:hAnsi="宋体" w:eastAsia="宋体"/>
                <w:sz w:val="21"/>
                <w:szCs w:val="24"/>
              </w:rPr>
              <w:t>分；</w:t>
            </w:r>
          </w:p>
          <w:p w14:paraId="70D297D3">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2、方案完整，安全保证措施合理可行，安全文明作业、安全事故处理、安全防护措施等具有针对性，有安全承诺和目标，得</w:t>
            </w:r>
            <w:r>
              <w:rPr>
                <w:rFonts w:hint="eastAsia" w:ascii="宋体" w:hAnsi="宋体" w:eastAsia="宋体"/>
                <w:sz w:val="21"/>
                <w:szCs w:val="24"/>
                <w:lang w:val="en-US" w:eastAsia="zh-CN"/>
              </w:rPr>
              <w:t>3</w:t>
            </w:r>
            <w:r>
              <w:rPr>
                <w:rFonts w:hint="eastAsia" w:ascii="宋体" w:hAnsi="宋体" w:eastAsia="宋体"/>
                <w:sz w:val="21"/>
                <w:szCs w:val="24"/>
              </w:rPr>
              <w:t xml:space="preserve"> 分；</w:t>
            </w:r>
          </w:p>
          <w:p w14:paraId="77BBADDD">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3、方案片面欠缺，安全保证措施可行，安全文明作业、安全事故处理、安全防护措施等不太具有针对性，安全承诺和目标模糊，得</w:t>
            </w:r>
            <w:r>
              <w:rPr>
                <w:rFonts w:hint="eastAsia" w:ascii="宋体" w:hAnsi="宋体" w:eastAsia="宋体"/>
                <w:sz w:val="21"/>
                <w:szCs w:val="24"/>
                <w:lang w:val="en-US" w:eastAsia="zh-CN"/>
              </w:rPr>
              <w:t>1</w:t>
            </w:r>
            <w:r>
              <w:rPr>
                <w:rFonts w:hint="eastAsia" w:ascii="宋体" w:hAnsi="宋体" w:eastAsia="宋体"/>
                <w:sz w:val="21"/>
                <w:szCs w:val="24"/>
              </w:rPr>
              <w:t>分；</w:t>
            </w:r>
          </w:p>
          <w:p w14:paraId="5AEF9C54">
            <w:pPr>
              <w:numPr>
                <w:ilvl w:val="-1"/>
                <w:numId w:val="0"/>
              </w:numPr>
              <w:adjustRightInd/>
              <w:spacing w:beforeLines="0" w:afterLines="0" w:line="240" w:lineRule="auto"/>
              <w:ind w:firstLine="420" w:firstLineChars="200"/>
              <w:contextualSpacing w:val="0"/>
              <w:jc w:val="left"/>
              <w:rPr>
                <w:rFonts w:hint="eastAsia" w:ascii="宋体" w:hAnsi="宋体" w:eastAsia="宋体"/>
                <w:sz w:val="21"/>
                <w:szCs w:val="24"/>
              </w:rPr>
            </w:pPr>
            <w:r>
              <w:rPr>
                <w:rFonts w:hint="eastAsia" w:ascii="宋体" w:hAnsi="宋体" w:eastAsia="宋体"/>
                <w:sz w:val="21"/>
                <w:szCs w:val="24"/>
              </w:rPr>
              <w:t>4、不提供不得分。</w:t>
            </w:r>
          </w:p>
          <w:p w14:paraId="73C04049">
            <w:pPr>
              <w:numPr>
                <w:ilvl w:val="-1"/>
                <w:numId w:val="0"/>
              </w:numPr>
              <w:adjustRightInd/>
              <w:spacing w:beforeLines="0" w:afterLines="0" w:line="240" w:lineRule="auto"/>
              <w:ind w:firstLine="420" w:firstLineChars="200"/>
              <w:contextualSpacing w:val="0"/>
              <w:jc w:val="left"/>
              <w:rPr>
                <w:rFonts w:hint="eastAsia" w:ascii="宋体" w:hAnsi="宋体" w:eastAsia="宋体"/>
                <w:sz w:val="21"/>
                <w:szCs w:val="24"/>
              </w:rPr>
            </w:pPr>
          </w:p>
        </w:tc>
      </w:tr>
      <w:tr w14:paraId="6301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gridSpan w:val="2"/>
          </w:tcPr>
          <w:p w14:paraId="6A8F7376">
            <w:pPr>
              <w:adjustRightInd w:val="0"/>
              <w:spacing w:line="360" w:lineRule="auto"/>
              <w:contextualSpacing/>
              <w:jc w:val="center"/>
              <w:rPr>
                <w:rFonts w:hint="eastAsia" w:ascii="宋体" w:hAnsi="宋体"/>
                <w:b/>
                <w:color w:val="000000"/>
                <w:szCs w:val="21"/>
              </w:rPr>
            </w:pPr>
            <w:r>
              <w:rPr>
                <w:rFonts w:hint="eastAsia" w:ascii="宋体" w:hAnsi="宋体"/>
                <w:b/>
                <w:color w:val="000000"/>
                <w:szCs w:val="21"/>
              </w:rPr>
              <w:t>合计</w:t>
            </w:r>
          </w:p>
        </w:tc>
        <w:tc>
          <w:tcPr>
            <w:tcW w:w="6949" w:type="dxa"/>
            <w:gridSpan w:val="2"/>
          </w:tcPr>
          <w:p w14:paraId="57243F22">
            <w:pPr>
              <w:adjustRightInd w:val="0"/>
              <w:spacing w:line="360" w:lineRule="auto"/>
              <w:contextualSpacing/>
              <w:rPr>
                <w:rFonts w:hint="default" w:ascii="宋体" w:hAnsi="宋体" w:eastAsiaTheme="minorEastAsia"/>
                <w:b/>
                <w:color w:val="000000"/>
                <w:szCs w:val="21"/>
                <w:lang w:val="en-US" w:eastAsia="zh-CN"/>
              </w:rPr>
            </w:pPr>
            <w:r>
              <w:rPr>
                <w:rFonts w:hint="eastAsia" w:ascii="宋体" w:hAnsi="宋体"/>
                <w:b/>
                <w:color w:val="000000"/>
                <w:szCs w:val="21"/>
                <w:lang w:val="en-US" w:eastAsia="zh-CN"/>
              </w:rPr>
              <w:t>30分</w:t>
            </w:r>
          </w:p>
        </w:tc>
      </w:tr>
    </w:tbl>
    <w:p w14:paraId="345F0882">
      <w:pPr>
        <w:rPr>
          <w:rFonts w:hint="eastAsia"/>
        </w:rPr>
      </w:pPr>
    </w:p>
    <w:sectPr>
      <w:headerReference r:id="rId7" w:type="default"/>
      <w:type w:val="continuous"/>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915C5D-ED97-441E-B3A1-5015CDDB3D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55A9F15-3452-4517-81DD-5208A7F91C9F}"/>
  </w:font>
  <w:font w:name="等线">
    <w:panose1 w:val="02010600030101010101"/>
    <w:charset w:val="86"/>
    <w:family w:val="auto"/>
    <w:pitch w:val="default"/>
    <w:sig w:usb0="A00002BF" w:usb1="38CF7CFA" w:usb2="00000016" w:usb3="00000000" w:csb0="0004000F" w:csb1="00000000"/>
    <w:embedRegular r:id="rId3" w:fontKey="{016A66F3-895A-474B-85D3-A34E2DAB471F}"/>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1C41D812-D38A-4C19-ACF9-BFCAC2450C05}"/>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0C527F64-FCB7-45C3-ACE1-EF02D47DB87B}"/>
  </w:font>
  <w:font w:name="Helvetica Neue">
    <w:altName w:val="Times New Roman"/>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embedRegular r:id="rId6" w:fontKey="{54E1E20B-7E4B-47D2-86E2-6761EEA53D21}"/>
  </w:font>
  <w:font w:name="Cambria Math">
    <w:panose1 w:val="02040503050406030204"/>
    <w:charset w:val="00"/>
    <w:family w:val="roman"/>
    <w:pitch w:val="default"/>
    <w:sig w:usb0="E00006FF" w:usb1="420024FF" w:usb2="02000000" w:usb3="00000000" w:csb0="2000019F" w:csb1="00000000"/>
  </w:font>
  <w:font w:name="Cabin-Regular">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352764"/>
    </w:sdtPr>
    <w:sdtContent>
      <w:p w14:paraId="18AF1F8A">
        <w:pPr>
          <w:pStyle w:val="8"/>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29A56478">
        <w:pPr>
          <w:pStyle w:val="8"/>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09E7">
    <w:pPr>
      <w:pStyle w:val="9"/>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E66E">
    <w:pPr>
      <w:pStyle w:val="9"/>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220C">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31C99"/>
    <w:multiLevelType w:val="singleLevel"/>
    <w:tmpl w:val="AB831C99"/>
    <w:lvl w:ilvl="0" w:tentative="0">
      <w:start w:val="1"/>
      <w:numFmt w:val="chineseCounting"/>
      <w:suff w:val="nothing"/>
      <w:lvlText w:val="%1、"/>
      <w:lvlJc w:val="left"/>
      <w:rPr>
        <w:rFonts w:hint="eastAsia"/>
      </w:rPr>
    </w:lvl>
  </w:abstractNum>
  <w:abstractNum w:abstractNumId="1">
    <w:nsid w:val="CDDD9F09"/>
    <w:multiLevelType w:val="singleLevel"/>
    <w:tmpl w:val="CDDD9F09"/>
    <w:lvl w:ilvl="0" w:tentative="0">
      <w:start w:val="1"/>
      <w:numFmt w:val="decimal"/>
      <w:lvlText w:val="%1."/>
      <w:lvlJc w:val="left"/>
      <w:pPr>
        <w:ind w:left="425" w:hanging="425"/>
      </w:pPr>
      <w:rPr>
        <w:rFonts w:hint="default"/>
      </w:rPr>
    </w:lvl>
  </w:abstractNum>
  <w:abstractNum w:abstractNumId="2">
    <w:nsid w:val="F021B690"/>
    <w:multiLevelType w:val="singleLevel"/>
    <w:tmpl w:val="F021B690"/>
    <w:lvl w:ilvl="0" w:tentative="0">
      <w:start w:val="1"/>
      <w:numFmt w:val="decimal"/>
      <w:lvlText w:val="(%1)"/>
      <w:lvlJc w:val="left"/>
      <w:pPr>
        <w:ind w:left="425" w:hanging="425"/>
      </w:pPr>
      <w:rPr>
        <w:rFonts w:hint="default"/>
      </w:rPr>
    </w:lvl>
  </w:abstractNum>
  <w:abstractNum w:abstractNumId="3">
    <w:nsid w:val="08BF86C4"/>
    <w:multiLevelType w:val="singleLevel"/>
    <w:tmpl w:val="08BF86C4"/>
    <w:lvl w:ilvl="0" w:tentative="0">
      <w:start w:val="1"/>
      <w:numFmt w:val="decimal"/>
      <w:suff w:val="nothing"/>
      <w:lvlText w:val="（%1）"/>
      <w:lvlJc w:val="left"/>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AF38ED"/>
    <w:multiLevelType w:val="singleLevel"/>
    <w:tmpl w:val="15AF38ED"/>
    <w:lvl w:ilvl="0" w:tentative="0">
      <w:start w:val="1"/>
      <w:numFmt w:val="decimal"/>
      <w:lvlText w:val="(%1)"/>
      <w:lvlJc w:val="left"/>
      <w:pPr>
        <w:ind w:left="425" w:hanging="425"/>
      </w:pPr>
      <w:rPr>
        <w:rFonts w:hint="default"/>
      </w:rPr>
    </w:lvl>
  </w:abstractNum>
  <w:abstractNum w:abstractNumId="6">
    <w:nsid w:val="36682AD6"/>
    <w:multiLevelType w:val="singleLevel"/>
    <w:tmpl w:val="36682AD6"/>
    <w:lvl w:ilvl="0" w:tentative="0">
      <w:start w:val="1"/>
      <w:numFmt w:val="decimal"/>
      <w:lvlText w:val="%1."/>
      <w:lvlJc w:val="left"/>
      <w:pPr>
        <w:ind w:left="425" w:hanging="425"/>
      </w:pPr>
      <w:rPr>
        <w:rFonts w:hint="default"/>
      </w:rPr>
    </w:lvl>
  </w:abstractNum>
  <w:abstractNum w:abstractNumId="7">
    <w:nsid w:val="6EAC2B18"/>
    <w:multiLevelType w:val="singleLevel"/>
    <w:tmpl w:val="6EAC2B18"/>
    <w:lvl w:ilvl="0" w:tentative="0">
      <w:start w:val="2"/>
      <w:numFmt w:val="decimal"/>
      <w:lvlText w:val="%1."/>
      <w:lvlJc w:val="left"/>
      <w:pPr>
        <w:tabs>
          <w:tab w:val="left" w:pos="312"/>
        </w:tabs>
      </w:pPr>
    </w:lvl>
  </w:abstractNum>
  <w:abstractNum w:abstractNumId="8">
    <w:nsid w:val="6EC2C29A"/>
    <w:multiLevelType w:val="singleLevel"/>
    <w:tmpl w:val="6EC2C29A"/>
    <w:lvl w:ilvl="0" w:tentative="0">
      <w:start w:val="1"/>
      <w:numFmt w:val="decimal"/>
      <w:lvlText w:val="%1."/>
      <w:lvlJc w:val="left"/>
      <w:pPr>
        <w:tabs>
          <w:tab w:val="left" w:pos="312"/>
        </w:tabs>
      </w:pPr>
    </w:lvl>
  </w:abstractNum>
  <w:num w:numId="1">
    <w:abstractNumId w:val="4"/>
  </w:num>
  <w:num w:numId="2">
    <w:abstractNumId w:val="0"/>
  </w:num>
  <w:num w:numId="3">
    <w:abstractNumId w:val="8"/>
  </w:num>
  <w:num w:numId="4">
    <w:abstractNumId w:val="5"/>
  </w:num>
  <w:num w:numId="5">
    <w:abstractNumId w:val="6"/>
  </w:num>
  <w:num w:numId="6">
    <w:abstractNumId w:val="1"/>
  </w:num>
  <w:num w:numId="7">
    <w:abstractNumId w:val="3"/>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展强">
    <w15:presenceInfo w15:providerId="WPS Office" w15:userId="6557912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NjcwZWVkZWI0ZmJhNzRiZTcyYmQ5ZDZjYzM4NmEifQ=="/>
  </w:docVars>
  <w:rsids>
    <w:rsidRoot w:val="00172A27"/>
    <w:rsid w:val="00017EC7"/>
    <w:rsid w:val="0003109B"/>
    <w:rsid w:val="00033C45"/>
    <w:rsid w:val="00037118"/>
    <w:rsid w:val="0005195D"/>
    <w:rsid w:val="0005284C"/>
    <w:rsid w:val="00054A11"/>
    <w:rsid w:val="000762D5"/>
    <w:rsid w:val="000935C6"/>
    <w:rsid w:val="000A7AFC"/>
    <w:rsid w:val="000B2854"/>
    <w:rsid w:val="000C429D"/>
    <w:rsid w:val="000E1708"/>
    <w:rsid w:val="000E6FC2"/>
    <w:rsid w:val="001003C8"/>
    <w:rsid w:val="0011378F"/>
    <w:rsid w:val="001250A0"/>
    <w:rsid w:val="001260A5"/>
    <w:rsid w:val="00127A82"/>
    <w:rsid w:val="0016016F"/>
    <w:rsid w:val="001834EA"/>
    <w:rsid w:val="00195574"/>
    <w:rsid w:val="001A3774"/>
    <w:rsid w:val="001F718D"/>
    <w:rsid w:val="001F72EA"/>
    <w:rsid w:val="002001EF"/>
    <w:rsid w:val="002033DB"/>
    <w:rsid w:val="00212F08"/>
    <w:rsid w:val="002169C6"/>
    <w:rsid w:val="002175D5"/>
    <w:rsid w:val="0022176A"/>
    <w:rsid w:val="00225A3F"/>
    <w:rsid w:val="00245536"/>
    <w:rsid w:val="0025311A"/>
    <w:rsid w:val="00254F64"/>
    <w:rsid w:val="00255E05"/>
    <w:rsid w:val="00276DCD"/>
    <w:rsid w:val="00277DE9"/>
    <w:rsid w:val="0029392F"/>
    <w:rsid w:val="002C181E"/>
    <w:rsid w:val="002C3634"/>
    <w:rsid w:val="002C4B05"/>
    <w:rsid w:val="002E4D1F"/>
    <w:rsid w:val="002E55A0"/>
    <w:rsid w:val="00314F7E"/>
    <w:rsid w:val="00317C9C"/>
    <w:rsid w:val="0032514A"/>
    <w:rsid w:val="003437B1"/>
    <w:rsid w:val="00344C2F"/>
    <w:rsid w:val="0034703E"/>
    <w:rsid w:val="0035465B"/>
    <w:rsid w:val="00362B69"/>
    <w:rsid w:val="00385822"/>
    <w:rsid w:val="00385995"/>
    <w:rsid w:val="003928D9"/>
    <w:rsid w:val="00394D3F"/>
    <w:rsid w:val="003A4383"/>
    <w:rsid w:val="003B5A84"/>
    <w:rsid w:val="003E413B"/>
    <w:rsid w:val="003E5ECB"/>
    <w:rsid w:val="003F1CC5"/>
    <w:rsid w:val="003F60A1"/>
    <w:rsid w:val="00412469"/>
    <w:rsid w:val="00424A97"/>
    <w:rsid w:val="00427761"/>
    <w:rsid w:val="004462FE"/>
    <w:rsid w:val="004625BF"/>
    <w:rsid w:val="004678AA"/>
    <w:rsid w:val="00475E63"/>
    <w:rsid w:val="004765E2"/>
    <w:rsid w:val="0048273F"/>
    <w:rsid w:val="00482D8C"/>
    <w:rsid w:val="00495EBA"/>
    <w:rsid w:val="004D13CB"/>
    <w:rsid w:val="004D68A6"/>
    <w:rsid w:val="004E0223"/>
    <w:rsid w:val="004F0BA3"/>
    <w:rsid w:val="005054ED"/>
    <w:rsid w:val="0050637C"/>
    <w:rsid w:val="00513686"/>
    <w:rsid w:val="00522A46"/>
    <w:rsid w:val="00535489"/>
    <w:rsid w:val="00564C6D"/>
    <w:rsid w:val="00572F3B"/>
    <w:rsid w:val="00592922"/>
    <w:rsid w:val="00596A23"/>
    <w:rsid w:val="00597A7C"/>
    <w:rsid w:val="005A55DD"/>
    <w:rsid w:val="005A5926"/>
    <w:rsid w:val="005B6E34"/>
    <w:rsid w:val="005C43B4"/>
    <w:rsid w:val="005C71D6"/>
    <w:rsid w:val="005F4DB6"/>
    <w:rsid w:val="00600E35"/>
    <w:rsid w:val="0060634A"/>
    <w:rsid w:val="00653B6E"/>
    <w:rsid w:val="00663784"/>
    <w:rsid w:val="006725E6"/>
    <w:rsid w:val="006A7115"/>
    <w:rsid w:val="006A78FE"/>
    <w:rsid w:val="006B6A96"/>
    <w:rsid w:val="006E4B91"/>
    <w:rsid w:val="006F1648"/>
    <w:rsid w:val="00710B61"/>
    <w:rsid w:val="00721ECA"/>
    <w:rsid w:val="007263B4"/>
    <w:rsid w:val="00745DA6"/>
    <w:rsid w:val="00747877"/>
    <w:rsid w:val="00757E0E"/>
    <w:rsid w:val="007879F5"/>
    <w:rsid w:val="00795440"/>
    <w:rsid w:val="007A5ACA"/>
    <w:rsid w:val="007C68B1"/>
    <w:rsid w:val="007F49D9"/>
    <w:rsid w:val="008009AE"/>
    <w:rsid w:val="00801555"/>
    <w:rsid w:val="0080439A"/>
    <w:rsid w:val="00805922"/>
    <w:rsid w:val="0081176D"/>
    <w:rsid w:val="00811888"/>
    <w:rsid w:val="0083635E"/>
    <w:rsid w:val="00841D3F"/>
    <w:rsid w:val="00860E4A"/>
    <w:rsid w:val="0089687D"/>
    <w:rsid w:val="0089739C"/>
    <w:rsid w:val="008C41B2"/>
    <w:rsid w:val="008D3B15"/>
    <w:rsid w:val="008F294C"/>
    <w:rsid w:val="009004DB"/>
    <w:rsid w:val="00901872"/>
    <w:rsid w:val="00925546"/>
    <w:rsid w:val="00937842"/>
    <w:rsid w:val="0094773B"/>
    <w:rsid w:val="00965317"/>
    <w:rsid w:val="00970F35"/>
    <w:rsid w:val="00975338"/>
    <w:rsid w:val="009778C7"/>
    <w:rsid w:val="00984983"/>
    <w:rsid w:val="009B15EB"/>
    <w:rsid w:val="009C6325"/>
    <w:rsid w:val="009D6B77"/>
    <w:rsid w:val="009E5390"/>
    <w:rsid w:val="009F42A7"/>
    <w:rsid w:val="00A01D02"/>
    <w:rsid w:val="00A10519"/>
    <w:rsid w:val="00A153A7"/>
    <w:rsid w:val="00A204A5"/>
    <w:rsid w:val="00A52B45"/>
    <w:rsid w:val="00A64B7B"/>
    <w:rsid w:val="00A718B1"/>
    <w:rsid w:val="00A865F3"/>
    <w:rsid w:val="00A93230"/>
    <w:rsid w:val="00A97236"/>
    <w:rsid w:val="00AB7FD3"/>
    <w:rsid w:val="00AC0453"/>
    <w:rsid w:val="00AE4EF4"/>
    <w:rsid w:val="00AE6905"/>
    <w:rsid w:val="00AF17C0"/>
    <w:rsid w:val="00B270BA"/>
    <w:rsid w:val="00B50C44"/>
    <w:rsid w:val="00B50D3B"/>
    <w:rsid w:val="00B705A2"/>
    <w:rsid w:val="00B968B6"/>
    <w:rsid w:val="00BC1838"/>
    <w:rsid w:val="00BC4524"/>
    <w:rsid w:val="00BD789C"/>
    <w:rsid w:val="00BE1A28"/>
    <w:rsid w:val="00BE4E22"/>
    <w:rsid w:val="00BF082A"/>
    <w:rsid w:val="00C00265"/>
    <w:rsid w:val="00C014DB"/>
    <w:rsid w:val="00C11034"/>
    <w:rsid w:val="00C119F8"/>
    <w:rsid w:val="00C15EE4"/>
    <w:rsid w:val="00C21E93"/>
    <w:rsid w:val="00C2517C"/>
    <w:rsid w:val="00C31CEC"/>
    <w:rsid w:val="00C373AD"/>
    <w:rsid w:val="00C55A1E"/>
    <w:rsid w:val="00C62E68"/>
    <w:rsid w:val="00C64291"/>
    <w:rsid w:val="00C716DF"/>
    <w:rsid w:val="00CA28CF"/>
    <w:rsid w:val="00CD0F7A"/>
    <w:rsid w:val="00CD344F"/>
    <w:rsid w:val="00CE01F6"/>
    <w:rsid w:val="00CE04E7"/>
    <w:rsid w:val="00CF0A67"/>
    <w:rsid w:val="00CF1E70"/>
    <w:rsid w:val="00CF384C"/>
    <w:rsid w:val="00D179DF"/>
    <w:rsid w:val="00D3200B"/>
    <w:rsid w:val="00D33AD0"/>
    <w:rsid w:val="00D50F38"/>
    <w:rsid w:val="00D65806"/>
    <w:rsid w:val="00D91AC4"/>
    <w:rsid w:val="00DA5F0B"/>
    <w:rsid w:val="00E03022"/>
    <w:rsid w:val="00E125D2"/>
    <w:rsid w:val="00E17256"/>
    <w:rsid w:val="00E20E56"/>
    <w:rsid w:val="00E403DF"/>
    <w:rsid w:val="00E417D0"/>
    <w:rsid w:val="00E54530"/>
    <w:rsid w:val="00E60FE3"/>
    <w:rsid w:val="00E7636B"/>
    <w:rsid w:val="00E918EE"/>
    <w:rsid w:val="00EA7FBC"/>
    <w:rsid w:val="00EB2819"/>
    <w:rsid w:val="00EB355B"/>
    <w:rsid w:val="00EB4367"/>
    <w:rsid w:val="00EC1164"/>
    <w:rsid w:val="00EC1C8C"/>
    <w:rsid w:val="00EC20AE"/>
    <w:rsid w:val="00EC4572"/>
    <w:rsid w:val="00EC7E25"/>
    <w:rsid w:val="00ED02BE"/>
    <w:rsid w:val="00ED540F"/>
    <w:rsid w:val="00EE483C"/>
    <w:rsid w:val="00EF1E9F"/>
    <w:rsid w:val="00EF3B66"/>
    <w:rsid w:val="00F02E01"/>
    <w:rsid w:val="00F12096"/>
    <w:rsid w:val="00F15F4A"/>
    <w:rsid w:val="00F56E88"/>
    <w:rsid w:val="00F6286B"/>
    <w:rsid w:val="00F660BD"/>
    <w:rsid w:val="00F80A98"/>
    <w:rsid w:val="00FB0B26"/>
    <w:rsid w:val="00FB2B4E"/>
    <w:rsid w:val="00FB5470"/>
    <w:rsid w:val="00FB54B7"/>
    <w:rsid w:val="00FC21CC"/>
    <w:rsid w:val="00FC6132"/>
    <w:rsid w:val="00FD5A4F"/>
    <w:rsid w:val="00FF6D04"/>
    <w:rsid w:val="03AE2FAA"/>
    <w:rsid w:val="081E0B1B"/>
    <w:rsid w:val="0855058A"/>
    <w:rsid w:val="0D963232"/>
    <w:rsid w:val="0D9D2329"/>
    <w:rsid w:val="0E3176E6"/>
    <w:rsid w:val="10F65C57"/>
    <w:rsid w:val="17C6395C"/>
    <w:rsid w:val="1922462E"/>
    <w:rsid w:val="1A9C424D"/>
    <w:rsid w:val="1B866B86"/>
    <w:rsid w:val="1E950AD1"/>
    <w:rsid w:val="24CF5440"/>
    <w:rsid w:val="254F1D14"/>
    <w:rsid w:val="25697F04"/>
    <w:rsid w:val="263B71BF"/>
    <w:rsid w:val="26A95C00"/>
    <w:rsid w:val="2A574CBB"/>
    <w:rsid w:val="30110809"/>
    <w:rsid w:val="3ABA1BCC"/>
    <w:rsid w:val="3D97168C"/>
    <w:rsid w:val="3DE75F30"/>
    <w:rsid w:val="402E1DE0"/>
    <w:rsid w:val="41766CF7"/>
    <w:rsid w:val="421556B7"/>
    <w:rsid w:val="492B15C4"/>
    <w:rsid w:val="4BE83164"/>
    <w:rsid w:val="4C9814EE"/>
    <w:rsid w:val="5512441A"/>
    <w:rsid w:val="557428C0"/>
    <w:rsid w:val="590357F1"/>
    <w:rsid w:val="59B126DF"/>
    <w:rsid w:val="5A3B6E69"/>
    <w:rsid w:val="5C9D5F15"/>
    <w:rsid w:val="5D4E247E"/>
    <w:rsid w:val="5F647477"/>
    <w:rsid w:val="61A54544"/>
    <w:rsid w:val="61B94128"/>
    <w:rsid w:val="625325FC"/>
    <w:rsid w:val="64777340"/>
    <w:rsid w:val="64B730D5"/>
    <w:rsid w:val="65FB49E1"/>
    <w:rsid w:val="692E58B7"/>
    <w:rsid w:val="69E77EE2"/>
    <w:rsid w:val="6A4837BD"/>
    <w:rsid w:val="6A642DB6"/>
    <w:rsid w:val="6B7C465A"/>
    <w:rsid w:val="6C0F0C37"/>
    <w:rsid w:val="6EC96168"/>
    <w:rsid w:val="6ED92188"/>
    <w:rsid w:val="6EF32E85"/>
    <w:rsid w:val="71CB5E83"/>
    <w:rsid w:val="723C2282"/>
    <w:rsid w:val="728F3D2C"/>
    <w:rsid w:val="74281823"/>
    <w:rsid w:val="74394FB6"/>
    <w:rsid w:val="75BC66C7"/>
    <w:rsid w:val="76BE2748"/>
    <w:rsid w:val="7ACC1062"/>
    <w:rsid w:val="7BE01E7B"/>
    <w:rsid w:val="7CEF7382"/>
    <w:rsid w:val="7DC7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pPr>
    <w:rPr>
      <w:rFonts w:ascii="Times New Roman" w:hAnsi="Times New Roman"/>
      <w:kern w:val="0"/>
      <w:sz w:val="20"/>
      <w:szCs w:val="20"/>
    </w:rPr>
  </w:style>
  <w:style w:type="paragraph" w:styleId="5">
    <w:name w:val="annotation text"/>
    <w:basedOn w:val="1"/>
    <w:link w:val="25"/>
    <w:unhideWhenUsed/>
    <w:qFormat/>
    <w:uiPriority w:val="0"/>
    <w:pPr>
      <w:jc w:val="left"/>
    </w:pPr>
  </w:style>
  <w:style w:type="paragraph" w:styleId="6">
    <w:name w:val="Body Text"/>
    <w:basedOn w:val="1"/>
    <w:qFormat/>
    <w:uiPriority w:val="0"/>
    <w:pPr>
      <w:adjustRightInd w:val="0"/>
      <w:spacing w:after="60" w:afterLines="0" w:line="360" w:lineRule="atLeast"/>
      <w:ind w:left="72" w:leftChars="30" w:right="30" w:rightChars="30"/>
      <w:jc w:val="center"/>
      <w:textAlignment w:val="baseline"/>
    </w:pPr>
    <w:rPr>
      <w:rFonts w:ascii="Times New Roman" w:hAnsi="Times New Roman"/>
    </w:r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annotation subject"/>
    <w:basedOn w:val="5"/>
    <w:next w:val="5"/>
    <w:link w:val="26"/>
    <w:semiHidden/>
    <w:unhideWhenUsed/>
    <w:qFormat/>
    <w:uiPriority w:val="99"/>
    <w:rPr>
      <w:b/>
      <w:bCs/>
    </w:rPr>
  </w:style>
  <w:style w:type="paragraph" w:styleId="12">
    <w:name w:val="Body Text First Indent"/>
    <w:basedOn w:val="6"/>
    <w:qFormat/>
    <w:uiPriority w:val="0"/>
    <w:pPr>
      <w:spacing w:after="0"/>
      <w:ind w:firstLine="420" w:firstLineChars="100"/>
    </w:pPr>
    <w:rPr>
      <w:rFonts w:ascii="Times New Roman" w:hAnsi="Times New Roman" w:eastAsia="仿宋_GB2312" w:cs="Times New Roman"/>
      <w:sz w:val="30"/>
      <w:szCs w:val="30"/>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unhideWhenUsed/>
    <w:qFormat/>
    <w:uiPriority w:val="0"/>
    <w:rPr>
      <w:sz w:val="21"/>
      <w:szCs w:val="21"/>
    </w:r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批注框文本 字符"/>
    <w:basedOn w:val="15"/>
    <w:link w:val="7"/>
    <w:semiHidden/>
    <w:qFormat/>
    <w:uiPriority w:val="99"/>
    <w:rPr>
      <w:sz w:val="18"/>
      <w:szCs w:val="18"/>
    </w:rPr>
  </w:style>
  <w:style w:type="paragraph" w:styleId="23">
    <w:name w:val="List Paragraph"/>
    <w:basedOn w:val="1"/>
    <w:qFormat/>
    <w:uiPriority w:val="34"/>
    <w:pPr>
      <w:ind w:firstLine="420" w:firstLineChars="200"/>
    </w:pPr>
    <w:rPr>
      <w:rFonts w:eastAsia="黑体"/>
      <w:bCs/>
      <w:sz w:val="30"/>
      <w:szCs w:val="30"/>
    </w:r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5">
    <w:name w:val="批注文字 字符"/>
    <w:basedOn w:val="15"/>
    <w:link w:val="5"/>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1"/>
    <w:semiHidden/>
    <w:qFormat/>
    <w:uiPriority w:val="99"/>
    <w:rPr>
      <w:rFonts w:asciiTheme="minorHAnsi" w:hAnsiTheme="minorHAnsi" w:eastAsiaTheme="minorEastAsia" w:cstheme="minorBidi"/>
      <w:b/>
      <w:bCs/>
      <w:kern w:val="2"/>
      <w:sz w:val="21"/>
      <w:szCs w:val="24"/>
    </w:rPr>
  </w:style>
  <w:style w:type="character" w:customStyle="1" w:styleId="27">
    <w:name w:val="标题 1 字符"/>
    <w:basedOn w:val="15"/>
    <w:link w:val="2"/>
    <w:qFormat/>
    <w:uiPriority w:val="9"/>
    <w:rPr>
      <w:rFonts w:asciiTheme="minorHAnsi" w:hAnsiTheme="minorHAnsi" w:eastAsiaTheme="minorEastAsia" w:cstheme="minorBidi"/>
      <w:b/>
      <w:bCs/>
      <w:kern w:val="44"/>
      <w:sz w:val="44"/>
      <w:szCs w:val="44"/>
    </w:rPr>
  </w:style>
  <w:style w:type="character" w:customStyle="1" w:styleId="28">
    <w:name w:val="未处理的提及1"/>
    <w:basedOn w:val="15"/>
    <w:semiHidden/>
    <w:unhideWhenUsed/>
    <w:qFormat/>
    <w:uiPriority w:val="99"/>
    <w:rPr>
      <w:color w:val="605E5C"/>
      <w:shd w:val="clear" w:color="auto" w:fill="E1DFDD"/>
    </w:rPr>
  </w:style>
  <w:style w:type="character" w:customStyle="1" w:styleId="29">
    <w:name w:val="Unresolved Mention"/>
    <w:basedOn w:val="15"/>
    <w:semiHidden/>
    <w:unhideWhenUsed/>
    <w:qFormat/>
    <w:uiPriority w:val="99"/>
    <w:rPr>
      <w:color w:val="605E5C"/>
      <w:shd w:val="clear" w:color="auto" w:fill="E1DFDD"/>
    </w:rPr>
  </w:style>
  <w:style w:type="table" w:customStyle="1" w:styleId="30">
    <w:name w:val="Table Normal"/>
    <w:unhideWhenUsed/>
    <w:qFormat/>
    <w:uiPriority w:val="2"/>
    <w:tblPr>
      <w:tblCellMar>
        <w:top w:w="0" w:type="dxa"/>
        <w:left w:w="0" w:type="dxa"/>
        <w:bottom w:w="0" w:type="dxa"/>
        <w:right w:w="0" w:type="dxa"/>
      </w:tblCellMar>
    </w:tblPr>
  </w:style>
  <w:style w:type="paragraph" w:customStyle="1" w:styleId="3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BCEA-0D0D-41EF-AF1A-160C019084B7}">
  <ds:schemaRefs/>
</ds:datastoreItem>
</file>

<file path=docProps/app.xml><?xml version="1.0" encoding="utf-8"?>
<Properties xmlns="http://schemas.openxmlformats.org/officeDocument/2006/extended-properties" xmlns:vt="http://schemas.openxmlformats.org/officeDocument/2006/docPropsVTypes">
  <Template>Normal.dotm</Template>
  <Company>SMET</Company>
  <Pages>14</Pages>
  <Words>11946</Words>
  <Characters>13253</Characters>
  <Lines>27</Lines>
  <Paragraphs>7</Paragraphs>
  <TotalTime>11</TotalTime>
  <ScaleCrop>false</ScaleCrop>
  <LinksUpToDate>false</LinksUpToDate>
  <CharactersWithSpaces>13477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2021-08-05T08:55:00Z</dcterms:created>
  <dc:creator>River</dc:creator>
  <cp:lastModifiedBy>苏展强</cp:lastModifiedBy>
  <cp:lastPrinted>2021-08-04T06:09:00Z</cp:lastPrinted>
  <dcterms:modified xsi:type="dcterms:W3CDTF">2025-09-11T00:32:53Z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7FEA4165200447B2BCFB8CD25BAA3EAD_13</vt:lpwstr>
  </property>
  <property fmtid="{D5CDD505-2E9C-101B-9397-08002B2CF9AE}" pid="4" name="KSOTemplateDocerSaveRecord">
    <vt:lpwstr>eyJoZGlkIjoiYjZlZThmOTZkNDg2NTE5YzQ1ZjQ0MDY2M2FhZWI4MGIiLCJ1c2VySWQiOiI4NDE4MTE4NTcifQ==</vt:lpwstr>
  </property>
</Properties>
</file>