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65248">
      <w:pPr>
        <w:pStyle w:val="25"/>
        <w:keepNext w:val="0"/>
        <w:keepLines w:val="0"/>
        <w:pageBreakBefore w:val="0"/>
        <w:widowControl w:val="0"/>
        <w:kinsoku/>
        <w:wordWrap w:val="0"/>
        <w:overflowPunct/>
        <w:topLinePunct/>
        <w:autoSpaceDE/>
        <w:autoSpaceDN/>
        <w:bidi w:val="0"/>
        <w:adjustRightInd/>
        <w:snapToGrid/>
        <w:spacing w:after="0" w:line="240" w:lineRule="atLeast"/>
        <w:ind w:left="0" w:leftChars="0" w:firstLine="0" w:firstLineChars="0"/>
        <w:jc w:val="center"/>
        <w:textAlignment w:val="auto"/>
        <w:rPr>
          <w:rFonts w:hint="eastAsia" w:ascii="宋体" w:hAnsi="宋体" w:cs="宋体"/>
          <w:b/>
          <w:bCs/>
          <w:color w:val="auto"/>
          <w:spacing w:val="20"/>
          <w:sz w:val="44"/>
          <w:szCs w:val="44"/>
          <w:lang w:eastAsia="zh-CN"/>
        </w:rPr>
      </w:pPr>
    </w:p>
    <w:p w14:paraId="1ADFA33A">
      <w:pPr>
        <w:pStyle w:val="25"/>
        <w:wordWrap w:val="0"/>
        <w:topLinePunct/>
        <w:spacing w:line="360" w:lineRule="auto"/>
        <w:ind w:left="0" w:leftChars="0" w:firstLine="0" w:firstLineChars="0"/>
        <w:jc w:val="center"/>
        <w:rPr>
          <w:rFonts w:hint="eastAsia" w:ascii="宋体" w:hAnsi="宋体" w:cs="宋体"/>
          <w:b/>
          <w:bCs/>
          <w:color w:val="auto"/>
          <w:spacing w:val="20"/>
          <w:sz w:val="44"/>
          <w:szCs w:val="44"/>
          <w:lang w:eastAsia="zh-CN"/>
        </w:rPr>
      </w:pPr>
      <w:r>
        <w:rPr>
          <w:rFonts w:hint="eastAsia" w:ascii="宋体" w:hAnsi="宋体" w:cs="宋体"/>
          <w:b/>
          <w:bCs/>
          <w:color w:val="auto"/>
          <w:spacing w:val="20"/>
          <w:sz w:val="44"/>
          <w:szCs w:val="44"/>
          <w:lang w:eastAsia="zh-CN"/>
        </w:rPr>
        <w:t>淮滨县“四湖”同运项目水街建设工程</w:t>
      </w:r>
    </w:p>
    <w:p w14:paraId="4D9734C2">
      <w:pPr>
        <w:adjustRightInd w:val="0"/>
        <w:snapToGrid w:val="0"/>
        <w:spacing w:line="312" w:lineRule="auto"/>
        <w:jc w:val="center"/>
        <w:rPr>
          <w:rFonts w:hint="eastAsia" w:ascii="仿宋" w:hAnsi="仿宋" w:eastAsia="仿宋" w:cs="仿宋"/>
          <w:b/>
          <w:color w:val="auto"/>
          <w:spacing w:val="28"/>
          <w:kern w:val="0"/>
          <w:sz w:val="60"/>
          <w:szCs w:val="60"/>
          <w:highlight w:val="none"/>
        </w:rPr>
      </w:pPr>
      <w:r>
        <w:rPr>
          <w:rFonts w:hint="eastAsia" w:ascii="宋体" w:hAnsi="宋体" w:cs="宋体"/>
          <w:b/>
          <w:bCs/>
          <w:color w:val="auto"/>
          <w:spacing w:val="20"/>
          <w:sz w:val="44"/>
          <w:szCs w:val="44"/>
          <w:lang w:eastAsia="zh-CN"/>
        </w:rPr>
        <w:t>EPC总承包</w:t>
      </w:r>
    </w:p>
    <w:p w14:paraId="7CDCA7E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pacing w:val="28"/>
          <w:kern w:val="0"/>
          <w:sz w:val="60"/>
          <w:szCs w:val="60"/>
          <w:highlight w:val="none"/>
        </w:rPr>
      </w:pPr>
    </w:p>
    <w:p w14:paraId="2B805A62">
      <w:pPr>
        <w:pStyle w:val="2"/>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color w:val="auto"/>
        </w:rPr>
      </w:pPr>
    </w:p>
    <w:p w14:paraId="1896EC08">
      <w:pPr>
        <w:adjustRightInd w:val="0"/>
        <w:snapToGrid w:val="0"/>
        <w:spacing w:line="312" w:lineRule="auto"/>
        <w:jc w:val="center"/>
        <w:rPr>
          <w:rFonts w:hint="eastAsia" w:asciiTheme="minorEastAsia" w:hAnsiTheme="minorEastAsia" w:eastAsiaTheme="minorEastAsia" w:cstheme="minorEastAsia"/>
          <w:b/>
          <w:color w:val="auto"/>
          <w:spacing w:val="28"/>
          <w:kern w:val="0"/>
          <w:sz w:val="96"/>
          <w:szCs w:val="96"/>
          <w:highlight w:val="none"/>
        </w:rPr>
      </w:pPr>
      <w:r>
        <w:rPr>
          <w:rFonts w:hint="eastAsia" w:asciiTheme="minorEastAsia" w:hAnsiTheme="minorEastAsia" w:eastAsiaTheme="minorEastAsia" w:cstheme="minorEastAsia"/>
          <w:b/>
          <w:color w:val="auto"/>
          <w:spacing w:val="28"/>
          <w:kern w:val="0"/>
          <w:sz w:val="96"/>
          <w:szCs w:val="96"/>
          <w:highlight w:val="none"/>
        </w:rPr>
        <w:t>招 标 文 件</w:t>
      </w:r>
    </w:p>
    <w:p w14:paraId="65B804F9">
      <w:pPr>
        <w:pStyle w:val="2"/>
        <w:rPr>
          <w:rFonts w:asciiTheme="minorEastAsia" w:hAnsiTheme="minorEastAsia" w:eastAsiaTheme="minorEastAsia" w:cstheme="minorEastAsia"/>
          <w:b/>
          <w:color w:val="auto"/>
          <w:kern w:val="0"/>
          <w:sz w:val="22"/>
          <w:szCs w:val="22"/>
          <w:highlight w:val="none"/>
        </w:rPr>
      </w:pPr>
      <w:r>
        <w:rPr>
          <w:rFonts w:ascii="宋体" w:hAnsi="宋体"/>
          <w:b/>
          <w:bCs/>
          <w:color w:val="auto"/>
          <w:sz w:val="84"/>
          <w:szCs w:val="84"/>
          <w:highlight w:val="none"/>
        </w:rPr>
        <w:drawing>
          <wp:anchor distT="0" distB="0" distL="114300" distR="114300" simplePos="0" relativeHeight="251659264" behindDoc="0" locked="0" layoutInCell="1" allowOverlap="1">
            <wp:simplePos x="0" y="0"/>
            <wp:positionH relativeFrom="column">
              <wp:posOffset>1944370</wp:posOffset>
            </wp:positionH>
            <wp:positionV relativeFrom="paragraph">
              <wp:posOffset>118745</wp:posOffset>
            </wp:positionV>
            <wp:extent cx="1826895" cy="1276985"/>
            <wp:effectExtent l="0" t="0" r="1905" b="18415"/>
            <wp:wrapNone/>
            <wp:docPr id="6" name="图片 4" descr="db2760ac3ce049975a95324ae4ab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db2760ac3ce049975a95324ae4abd41"/>
                    <pic:cNvPicPr>
                      <a:picLocks noChangeAspect="1"/>
                    </pic:cNvPicPr>
                  </pic:nvPicPr>
                  <pic:blipFill>
                    <a:blip r:embed="rId7"/>
                    <a:srcRect l="10187" t="22452" r="61914" b="18796"/>
                    <a:stretch>
                      <a:fillRect/>
                    </a:stretch>
                  </pic:blipFill>
                  <pic:spPr>
                    <a:xfrm>
                      <a:off x="0" y="0"/>
                      <a:ext cx="1826895" cy="1276985"/>
                    </a:xfrm>
                    <a:prstGeom prst="rect">
                      <a:avLst/>
                    </a:prstGeom>
                    <a:noFill/>
                    <a:ln>
                      <a:noFill/>
                    </a:ln>
                  </pic:spPr>
                </pic:pic>
              </a:graphicData>
            </a:graphic>
          </wp:anchor>
        </w:drawing>
      </w:r>
    </w:p>
    <w:p w14:paraId="014D7FC6">
      <w:pPr>
        <w:adjustRightInd w:val="0"/>
        <w:snapToGrid w:val="0"/>
        <w:jc w:val="center"/>
        <w:rPr>
          <w:color w:val="auto"/>
          <w:highlight w:val="none"/>
        </w:rPr>
      </w:pPr>
    </w:p>
    <w:p w14:paraId="410F57CF">
      <w:pPr>
        <w:rPr>
          <w:color w:val="auto"/>
          <w:highlight w:val="none"/>
        </w:rPr>
      </w:pPr>
    </w:p>
    <w:p w14:paraId="48184DCB">
      <w:pPr>
        <w:pStyle w:val="2"/>
        <w:rPr>
          <w:rFonts w:ascii="宋体" w:hAnsi="宋体" w:cs="宋体"/>
          <w:b/>
          <w:bCs/>
          <w:color w:val="auto"/>
          <w:sz w:val="32"/>
          <w:szCs w:val="32"/>
          <w:highlight w:val="none"/>
        </w:rPr>
      </w:pPr>
      <w:bookmarkStart w:id="0" w:name="_Toc31236"/>
      <w:bookmarkStart w:id="1" w:name="_Toc27623"/>
      <w:bookmarkStart w:id="2" w:name="_Toc1734"/>
    </w:p>
    <w:p w14:paraId="2E1F2329">
      <w:pPr>
        <w:pStyle w:val="22"/>
        <w:rPr>
          <w:rFonts w:hint="eastAsia" w:ascii="宋体" w:hAnsi="宋体" w:cs="宋体"/>
          <w:b/>
          <w:bCs/>
          <w:color w:val="auto"/>
          <w:sz w:val="32"/>
          <w:szCs w:val="32"/>
          <w:highlight w:val="none"/>
        </w:rPr>
      </w:pPr>
    </w:p>
    <w:p w14:paraId="6F93847C">
      <w:pPr>
        <w:rPr>
          <w:rFonts w:hint="eastAsia" w:ascii="宋体" w:hAnsi="宋体" w:cs="宋体"/>
          <w:b/>
          <w:bCs/>
          <w:color w:val="auto"/>
          <w:sz w:val="32"/>
          <w:szCs w:val="32"/>
          <w:highlight w:val="none"/>
        </w:rPr>
      </w:pPr>
    </w:p>
    <w:p w14:paraId="27DC7120">
      <w:pPr>
        <w:pStyle w:val="42"/>
        <w:rPr>
          <w:rFonts w:hint="eastAsia"/>
          <w:color w:val="auto"/>
          <w:highlight w:val="none"/>
        </w:rPr>
      </w:pPr>
    </w:p>
    <w:p w14:paraId="7CB173AD">
      <w:pPr>
        <w:pStyle w:val="42"/>
        <w:rPr>
          <w:rFonts w:hint="eastAsia"/>
          <w:color w:val="auto"/>
          <w:highlight w:val="none"/>
        </w:rPr>
      </w:pPr>
    </w:p>
    <w:p w14:paraId="7DF8C1DE">
      <w:pPr>
        <w:pStyle w:val="42"/>
        <w:rPr>
          <w:rFonts w:hint="eastAsia"/>
          <w:color w:val="auto"/>
          <w:highlight w:val="none"/>
        </w:rPr>
      </w:pPr>
    </w:p>
    <w:p w14:paraId="68A9FAE9">
      <w:pPr>
        <w:pStyle w:val="42"/>
        <w:rPr>
          <w:rFonts w:hint="eastAsia"/>
          <w:color w:val="auto"/>
          <w:highlight w:val="none"/>
        </w:rPr>
      </w:pPr>
    </w:p>
    <w:p w14:paraId="44F1E44A">
      <w:pPr>
        <w:pStyle w:val="42"/>
        <w:rPr>
          <w:rFonts w:hint="eastAsia"/>
          <w:color w:val="auto"/>
          <w:highlight w:val="none"/>
        </w:rPr>
      </w:pPr>
    </w:p>
    <w:p w14:paraId="0E6CC3EC">
      <w:pPr>
        <w:pStyle w:val="42"/>
        <w:rPr>
          <w:rFonts w:hint="eastAsia"/>
          <w:color w:val="auto"/>
          <w:highlight w:val="none"/>
        </w:rPr>
      </w:pPr>
    </w:p>
    <w:p w14:paraId="6A5D8724">
      <w:pPr>
        <w:pStyle w:val="42"/>
        <w:rPr>
          <w:rFonts w:hint="eastAsia"/>
          <w:color w:val="auto"/>
          <w:highlight w:val="none"/>
        </w:rPr>
      </w:pPr>
    </w:p>
    <w:p w14:paraId="0804679A">
      <w:pPr>
        <w:wordWrap w:val="0"/>
        <w:topLinePunct/>
        <w:spacing w:line="720" w:lineRule="auto"/>
        <w:ind w:firstLine="723" w:firstLineChars="200"/>
        <w:jc w:val="left"/>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招</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标</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人：</w:t>
      </w:r>
      <w:bookmarkEnd w:id="0"/>
      <w:bookmarkEnd w:id="1"/>
      <w:bookmarkEnd w:id="2"/>
      <w:r>
        <w:rPr>
          <w:rFonts w:hint="eastAsia" w:ascii="宋体" w:hAnsi="宋体" w:cs="宋体"/>
          <w:b/>
          <w:bCs/>
          <w:color w:val="auto"/>
          <w:sz w:val="36"/>
          <w:szCs w:val="36"/>
          <w:highlight w:val="none"/>
          <w:lang w:eastAsia="zh-CN"/>
        </w:rPr>
        <w:t>淮滨县兴淮文化旅游发展有限责任公司</w:t>
      </w:r>
    </w:p>
    <w:p w14:paraId="0DBB5154">
      <w:pPr>
        <w:wordWrap w:val="0"/>
        <w:topLinePunct/>
        <w:spacing w:line="720" w:lineRule="auto"/>
        <w:ind w:firstLine="723" w:firstLineChars="200"/>
        <w:jc w:val="left"/>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招标代理机构：</w:t>
      </w:r>
      <w:r>
        <w:rPr>
          <w:rFonts w:hint="eastAsia" w:ascii="宋体" w:hAnsi="宋体" w:cs="宋体"/>
          <w:b/>
          <w:bCs/>
          <w:color w:val="auto"/>
          <w:sz w:val="36"/>
          <w:szCs w:val="36"/>
          <w:highlight w:val="none"/>
          <w:lang w:eastAsia="zh-CN"/>
        </w:rPr>
        <w:t>河南禾鑫工程咨询有限公司</w:t>
      </w:r>
    </w:p>
    <w:p w14:paraId="2336114F">
      <w:pPr>
        <w:pStyle w:val="3"/>
        <w:ind w:firstLine="723" w:firstLineChars="200"/>
        <w:rPr>
          <w:rFonts w:hint="eastAsia" w:ascii="宋体" w:hAnsi="宋体" w:eastAsia="宋体" w:cs="宋体"/>
          <w:b/>
          <w:bCs/>
          <w:color w:val="auto"/>
          <w:kern w:val="2"/>
          <w:sz w:val="36"/>
          <w:szCs w:val="36"/>
          <w:highlight w:val="none"/>
          <w:lang w:val="en-US" w:eastAsia="zh-CN" w:bidi="ar-SA"/>
        </w:rPr>
        <w:sectPr>
          <w:headerReference r:id="rId3" w:type="default"/>
          <w:pgSz w:w="11906" w:h="16838"/>
          <w:pgMar w:top="1440" w:right="1247" w:bottom="1440" w:left="1247" w:header="850" w:footer="850" w:gutter="0"/>
          <w:pgNumType w:start="1"/>
          <w:cols w:space="720" w:num="1"/>
          <w:docGrid w:type="lines" w:linePitch="317" w:charSpace="0"/>
        </w:sectPr>
      </w:pPr>
      <w:r>
        <w:rPr>
          <w:rFonts w:hint="eastAsia" w:ascii="宋体" w:hAnsi="宋体" w:eastAsia="宋体" w:cs="宋体"/>
          <w:b/>
          <w:bCs/>
          <w:color w:val="auto"/>
          <w:kern w:val="2"/>
          <w:sz w:val="36"/>
          <w:szCs w:val="36"/>
          <w:highlight w:val="none"/>
          <w:lang w:val="en-US" w:eastAsia="zh-CN" w:bidi="ar-SA"/>
        </w:rPr>
        <w:t xml:space="preserve">日 </w:t>
      </w:r>
      <w:r>
        <w:rPr>
          <w:rFonts w:hint="eastAsia" w:eastAsia="宋体" w:cs="宋体"/>
          <w:b/>
          <w:bCs/>
          <w:color w:val="auto"/>
          <w:kern w:val="2"/>
          <w:sz w:val="36"/>
          <w:szCs w:val="36"/>
          <w:highlight w:val="none"/>
          <w:lang w:val="en-US" w:eastAsia="zh-CN" w:bidi="ar-SA"/>
        </w:rPr>
        <w:t xml:space="preserve">   </w:t>
      </w:r>
      <w:r>
        <w:rPr>
          <w:rFonts w:hint="eastAsia" w:ascii="宋体" w:hAnsi="宋体" w:eastAsia="宋体" w:cs="宋体"/>
          <w:b/>
          <w:bCs/>
          <w:color w:val="auto"/>
          <w:kern w:val="2"/>
          <w:sz w:val="36"/>
          <w:szCs w:val="36"/>
          <w:highlight w:val="none"/>
          <w:lang w:val="en-US" w:eastAsia="zh-CN" w:bidi="ar-SA"/>
        </w:rPr>
        <w:t xml:space="preserve">     期：二〇二</w:t>
      </w:r>
      <w:r>
        <w:rPr>
          <w:rFonts w:hint="eastAsia" w:eastAsia="宋体" w:cs="宋体"/>
          <w:b/>
          <w:bCs/>
          <w:color w:val="auto"/>
          <w:kern w:val="2"/>
          <w:sz w:val="36"/>
          <w:szCs w:val="36"/>
          <w:highlight w:val="none"/>
          <w:lang w:val="en-US" w:eastAsia="zh-CN" w:bidi="ar-SA"/>
        </w:rPr>
        <w:t>六</w:t>
      </w:r>
      <w:r>
        <w:rPr>
          <w:rFonts w:hint="eastAsia" w:ascii="宋体" w:hAnsi="宋体" w:eastAsia="宋体" w:cs="宋体"/>
          <w:b/>
          <w:bCs/>
          <w:color w:val="auto"/>
          <w:kern w:val="2"/>
          <w:sz w:val="36"/>
          <w:szCs w:val="36"/>
          <w:highlight w:val="none"/>
          <w:lang w:val="en-US" w:eastAsia="zh-CN" w:bidi="ar-SA"/>
        </w:rPr>
        <w:t>年一月</w:t>
      </w:r>
    </w:p>
    <w:p w14:paraId="25E2EEE8">
      <w:pPr>
        <w:wordWrap w:val="0"/>
        <w:topLinePunct/>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color w:val="auto"/>
          <w:highlight w:val="none"/>
        </w:rPr>
        <w:id w:val="147482927"/>
        <w15:color w:val="DBDBDB"/>
        <w:docPartObj>
          <w:docPartGallery w:val="Table of Contents"/>
          <w:docPartUnique/>
        </w:docPartObj>
      </w:sdtPr>
      <w:sdtEndPr>
        <w:rPr>
          <w:rFonts w:hint="eastAsia" w:ascii="宋体" w:hAnsi="宋体" w:cs="宋体"/>
          <w:color w:val="auto"/>
          <w:highlight w:val="none"/>
        </w:rPr>
      </w:sdtEndPr>
      <w:sdtContent>
        <w:p w14:paraId="0068E00C">
          <w:pPr>
            <w:jc w:val="center"/>
            <w:rPr>
              <w:color w:val="auto"/>
              <w:highlight w:val="none"/>
            </w:rPr>
          </w:pPr>
        </w:p>
        <w:p w14:paraId="4704F192">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sz w:val="30"/>
              <w:szCs w:val="30"/>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sz w:val="30"/>
              <w:szCs w:val="30"/>
              <w:highlight w:val="none"/>
            </w:rPr>
            <w:fldChar w:fldCharType="begin"/>
          </w:r>
          <w:r>
            <w:rPr>
              <w:color w:val="auto"/>
              <w:sz w:val="30"/>
              <w:szCs w:val="30"/>
              <w:highlight w:val="none"/>
            </w:rPr>
            <w:instrText xml:space="preserve"> HYPERLINK \l _Toc32580 </w:instrText>
          </w:r>
          <w:r>
            <w:rPr>
              <w:color w:val="auto"/>
              <w:sz w:val="30"/>
              <w:szCs w:val="30"/>
              <w:highlight w:val="none"/>
            </w:rPr>
            <w:fldChar w:fldCharType="separate"/>
          </w:r>
          <w:r>
            <w:rPr>
              <w:rFonts w:hint="eastAsia" w:ascii="宋体" w:hAnsi="宋体" w:cs="宋体"/>
              <w:bCs/>
              <w:color w:val="auto"/>
              <w:kern w:val="1"/>
              <w:sz w:val="30"/>
              <w:szCs w:val="30"/>
              <w:highlight w:val="none"/>
            </w:rPr>
            <w:t>第一章 招标公告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_Toc32580 \h </w:instrText>
          </w:r>
          <w:r>
            <w:rPr>
              <w:color w:val="auto"/>
              <w:sz w:val="30"/>
              <w:szCs w:val="30"/>
              <w:highlight w:val="none"/>
            </w:rPr>
            <w:fldChar w:fldCharType="separate"/>
          </w:r>
          <w:r>
            <w:rPr>
              <w:color w:val="auto"/>
              <w:sz w:val="30"/>
              <w:szCs w:val="30"/>
              <w:highlight w:val="none"/>
            </w:rPr>
            <w:t>4</w:t>
          </w:r>
          <w:r>
            <w:rPr>
              <w:color w:val="auto"/>
              <w:sz w:val="30"/>
              <w:szCs w:val="30"/>
              <w:highlight w:val="none"/>
            </w:rPr>
            <w:fldChar w:fldCharType="end"/>
          </w:r>
          <w:r>
            <w:rPr>
              <w:color w:val="auto"/>
              <w:sz w:val="30"/>
              <w:szCs w:val="30"/>
              <w:highlight w:val="none"/>
            </w:rPr>
            <w:fldChar w:fldCharType="end"/>
          </w:r>
        </w:p>
        <w:p w14:paraId="3525E520">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_Toc11747 </w:instrText>
          </w:r>
          <w:r>
            <w:rPr>
              <w:color w:val="auto"/>
              <w:sz w:val="30"/>
              <w:szCs w:val="30"/>
              <w:highlight w:val="none"/>
            </w:rPr>
            <w:fldChar w:fldCharType="separate"/>
          </w:r>
          <w:r>
            <w:rPr>
              <w:rFonts w:hint="eastAsia" w:ascii="宋体" w:hAnsi="宋体" w:cs="宋体"/>
              <w:bCs/>
              <w:color w:val="auto"/>
              <w:kern w:val="1"/>
              <w:sz w:val="30"/>
              <w:szCs w:val="30"/>
              <w:highlight w:val="none"/>
            </w:rPr>
            <w:t>第二章 投标人须知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_Toc11747 \h </w:instrText>
          </w:r>
          <w:r>
            <w:rPr>
              <w:color w:val="auto"/>
              <w:sz w:val="30"/>
              <w:szCs w:val="30"/>
              <w:highlight w:val="none"/>
            </w:rPr>
            <w:fldChar w:fldCharType="separate"/>
          </w:r>
          <w:r>
            <w:rPr>
              <w:color w:val="auto"/>
              <w:sz w:val="30"/>
              <w:szCs w:val="30"/>
              <w:highlight w:val="none"/>
            </w:rPr>
            <w:t>8</w:t>
          </w:r>
          <w:r>
            <w:rPr>
              <w:color w:val="auto"/>
              <w:sz w:val="30"/>
              <w:szCs w:val="30"/>
              <w:highlight w:val="none"/>
            </w:rPr>
            <w:fldChar w:fldCharType="end"/>
          </w:r>
          <w:r>
            <w:rPr>
              <w:color w:val="auto"/>
              <w:sz w:val="30"/>
              <w:szCs w:val="30"/>
              <w:highlight w:val="none"/>
            </w:rPr>
            <w:fldChar w:fldCharType="end"/>
          </w:r>
        </w:p>
        <w:p w14:paraId="202506E4">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_Toc2379 </w:instrText>
          </w:r>
          <w:r>
            <w:rPr>
              <w:color w:val="auto"/>
              <w:sz w:val="30"/>
              <w:szCs w:val="30"/>
              <w:highlight w:val="none"/>
            </w:rPr>
            <w:fldChar w:fldCharType="separate"/>
          </w:r>
          <w:r>
            <w:rPr>
              <w:rFonts w:hint="eastAsia" w:ascii="宋体" w:hAnsi="宋体" w:cs="宋体"/>
              <w:bCs/>
              <w:color w:val="auto"/>
              <w:sz w:val="30"/>
              <w:szCs w:val="30"/>
              <w:highlight w:val="none"/>
            </w:rPr>
            <w:t>第三章 评标办法（</w:t>
          </w:r>
          <w:r>
            <w:rPr>
              <w:rFonts w:hint="eastAsia" w:ascii="宋体" w:hAnsi="宋体" w:cs="宋体"/>
              <w:bCs/>
              <w:color w:val="auto"/>
              <w:sz w:val="30"/>
              <w:szCs w:val="30"/>
              <w:highlight w:val="none"/>
              <w:lang w:eastAsia="zh-CN"/>
            </w:rPr>
            <w:t>合格制+综合评审</w:t>
          </w:r>
          <w:r>
            <w:rPr>
              <w:rFonts w:hint="eastAsia" w:ascii="宋体" w:hAnsi="宋体" w:cs="宋体"/>
              <w:bCs/>
              <w:color w:val="auto"/>
              <w:sz w:val="30"/>
              <w:szCs w:val="30"/>
              <w:highlight w:val="none"/>
            </w:rPr>
            <w:t>）</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_Toc2379 \h </w:instrText>
          </w:r>
          <w:r>
            <w:rPr>
              <w:color w:val="auto"/>
              <w:sz w:val="30"/>
              <w:szCs w:val="30"/>
              <w:highlight w:val="none"/>
            </w:rPr>
            <w:fldChar w:fldCharType="separate"/>
          </w:r>
          <w:r>
            <w:rPr>
              <w:color w:val="auto"/>
              <w:sz w:val="30"/>
              <w:szCs w:val="30"/>
              <w:highlight w:val="none"/>
            </w:rPr>
            <w:t>22</w:t>
          </w:r>
          <w:r>
            <w:rPr>
              <w:color w:val="auto"/>
              <w:sz w:val="30"/>
              <w:szCs w:val="30"/>
              <w:highlight w:val="none"/>
            </w:rPr>
            <w:fldChar w:fldCharType="end"/>
          </w:r>
          <w:r>
            <w:rPr>
              <w:color w:val="auto"/>
              <w:sz w:val="30"/>
              <w:szCs w:val="30"/>
              <w:highlight w:val="none"/>
            </w:rPr>
            <w:fldChar w:fldCharType="end"/>
          </w:r>
        </w:p>
        <w:p w14:paraId="236B3568">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_Toc29006 </w:instrText>
          </w:r>
          <w:r>
            <w:rPr>
              <w:color w:val="auto"/>
              <w:sz w:val="30"/>
              <w:szCs w:val="30"/>
              <w:highlight w:val="none"/>
            </w:rPr>
            <w:fldChar w:fldCharType="separate"/>
          </w:r>
          <w:r>
            <w:rPr>
              <w:rFonts w:hint="eastAsia" w:cs="宋体"/>
              <w:bCs/>
              <w:color w:val="auto"/>
              <w:sz w:val="30"/>
              <w:szCs w:val="30"/>
              <w:highlight w:val="none"/>
            </w:rPr>
            <w:t>第四章 定标办法（</w:t>
          </w:r>
          <w:r>
            <w:rPr>
              <w:rFonts w:hint="eastAsia" w:cs="宋体"/>
              <w:bCs/>
              <w:color w:val="auto"/>
              <w:sz w:val="30"/>
              <w:szCs w:val="30"/>
              <w:highlight w:val="none"/>
              <w:lang w:eastAsia="zh-CN"/>
            </w:rPr>
            <w:t>核查随机法</w:t>
          </w:r>
          <w:r>
            <w:rPr>
              <w:rFonts w:hint="eastAsia" w:cs="宋体"/>
              <w:bCs/>
              <w:color w:val="auto"/>
              <w:sz w:val="30"/>
              <w:szCs w:val="30"/>
              <w:highlight w:val="none"/>
            </w:rPr>
            <w:t>）</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_Toc29006 \h </w:instrText>
          </w:r>
          <w:r>
            <w:rPr>
              <w:color w:val="auto"/>
              <w:sz w:val="30"/>
              <w:szCs w:val="30"/>
              <w:highlight w:val="none"/>
            </w:rPr>
            <w:fldChar w:fldCharType="separate"/>
          </w:r>
          <w:r>
            <w:rPr>
              <w:color w:val="auto"/>
              <w:sz w:val="30"/>
              <w:szCs w:val="30"/>
              <w:highlight w:val="none"/>
            </w:rPr>
            <w:t>29</w:t>
          </w:r>
          <w:r>
            <w:rPr>
              <w:color w:val="auto"/>
              <w:sz w:val="30"/>
              <w:szCs w:val="30"/>
              <w:highlight w:val="none"/>
            </w:rPr>
            <w:fldChar w:fldCharType="end"/>
          </w:r>
          <w:r>
            <w:rPr>
              <w:color w:val="auto"/>
              <w:sz w:val="30"/>
              <w:szCs w:val="30"/>
              <w:highlight w:val="none"/>
            </w:rPr>
            <w:fldChar w:fldCharType="end"/>
          </w:r>
        </w:p>
        <w:p w14:paraId="75CFC16E">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_Toc23986 </w:instrText>
          </w:r>
          <w:r>
            <w:rPr>
              <w:color w:val="auto"/>
              <w:sz w:val="30"/>
              <w:szCs w:val="30"/>
              <w:highlight w:val="none"/>
            </w:rPr>
            <w:fldChar w:fldCharType="separate"/>
          </w:r>
          <w:r>
            <w:rPr>
              <w:rFonts w:hint="eastAsia" w:ascii="宋体" w:hAnsi="宋体" w:eastAsia="宋体" w:cs="宋体"/>
              <w:bCs/>
              <w:color w:val="auto"/>
              <w:sz w:val="30"/>
              <w:szCs w:val="30"/>
              <w:highlight w:val="none"/>
            </w:rPr>
            <w:t>第五章 合同条款及格式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_Toc23986 \h </w:instrText>
          </w:r>
          <w:r>
            <w:rPr>
              <w:color w:val="auto"/>
              <w:sz w:val="30"/>
              <w:szCs w:val="30"/>
              <w:highlight w:val="none"/>
            </w:rPr>
            <w:fldChar w:fldCharType="separate"/>
          </w:r>
          <w:r>
            <w:rPr>
              <w:color w:val="auto"/>
              <w:sz w:val="30"/>
              <w:szCs w:val="30"/>
              <w:highlight w:val="none"/>
            </w:rPr>
            <w:t>45</w:t>
          </w:r>
          <w:r>
            <w:rPr>
              <w:color w:val="auto"/>
              <w:sz w:val="30"/>
              <w:szCs w:val="30"/>
              <w:highlight w:val="none"/>
            </w:rPr>
            <w:fldChar w:fldCharType="end"/>
          </w:r>
          <w:r>
            <w:rPr>
              <w:color w:val="auto"/>
              <w:sz w:val="30"/>
              <w:szCs w:val="30"/>
              <w:highlight w:val="none"/>
            </w:rPr>
            <w:fldChar w:fldCharType="end"/>
          </w:r>
        </w:p>
        <w:p w14:paraId="648A3D02">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_Toc2636 </w:instrText>
          </w:r>
          <w:r>
            <w:rPr>
              <w:color w:val="auto"/>
              <w:sz w:val="30"/>
              <w:szCs w:val="30"/>
              <w:highlight w:val="none"/>
            </w:rPr>
            <w:fldChar w:fldCharType="separate"/>
          </w:r>
          <w:r>
            <w:rPr>
              <w:rFonts w:hint="eastAsia" w:ascii="宋体" w:hAnsi="宋体" w:cs="宋体"/>
              <w:bCs/>
              <w:color w:val="auto"/>
              <w:sz w:val="30"/>
              <w:szCs w:val="30"/>
              <w:highlight w:val="none"/>
            </w:rPr>
            <w:t>第六章 发包人技术标准和要求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_Toc2636 \h </w:instrText>
          </w:r>
          <w:r>
            <w:rPr>
              <w:color w:val="auto"/>
              <w:sz w:val="30"/>
              <w:szCs w:val="30"/>
              <w:highlight w:val="none"/>
            </w:rPr>
            <w:fldChar w:fldCharType="separate"/>
          </w:r>
          <w:r>
            <w:rPr>
              <w:color w:val="auto"/>
              <w:sz w:val="30"/>
              <w:szCs w:val="30"/>
              <w:highlight w:val="none"/>
            </w:rPr>
            <w:t>49</w:t>
          </w:r>
          <w:r>
            <w:rPr>
              <w:color w:val="auto"/>
              <w:sz w:val="30"/>
              <w:szCs w:val="30"/>
              <w:highlight w:val="none"/>
            </w:rPr>
            <w:fldChar w:fldCharType="end"/>
          </w:r>
          <w:r>
            <w:rPr>
              <w:color w:val="auto"/>
              <w:sz w:val="30"/>
              <w:szCs w:val="30"/>
              <w:highlight w:val="none"/>
            </w:rPr>
            <w:fldChar w:fldCharType="end"/>
          </w:r>
        </w:p>
        <w:p w14:paraId="500F2F3A">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_Toc12638 </w:instrText>
          </w:r>
          <w:r>
            <w:rPr>
              <w:color w:val="auto"/>
              <w:sz w:val="30"/>
              <w:szCs w:val="30"/>
              <w:highlight w:val="none"/>
            </w:rPr>
            <w:fldChar w:fldCharType="separate"/>
          </w:r>
          <w:r>
            <w:rPr>
              <w:rFonts w:hint="eastAsia" w:cs="宋体"/>
              <w:bCs/>
              <w:color w:val="auto"/>
              <w:sz w:val="30"/>
              <w:szCs w:val="30"/>
              <w:highlight w:val="none"/>
            </w:rPr>
            <w:t>第七章 发包人提供的资料</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_Toc12638 \h </w:instrText>
          </w:r>
          <w:r>
            <w:rPr>
              <w:color w:val="auto"/>
              <w:sz w:val="30"/>
              <w:szCs w:val="30"/>
              <w:highlight w:val="none"/>
            </w:rPr>
            <w:fldChar w:fldCharType="separate"/>
          </w:r>
          <w:r>
            <w:rPr>
              <w:color w:val="auto"/>
              <w:sz w:val="30"/>
              <w:szCs w:val="30"/>
              <w:highlight w:val="none"/>
            </w:rPr>
            <w:t>50</w:t>
          </w:r>
          <w:r>
            <w:rPr>
              <w:color w:val="auto"/>
              <w:sz w:val="30"/>
              <w:szCs w:val="30"/>
              <w:highlight w:val="none"/>
            </w:rPr>
            <w:fldChar w:fldCharType="end"/>
          </w:r>
          <w:r>
            <w:rPr>
              <w:color w:val="auto"/>
              <w:sz w:val="30"/>
              <w:szCs w:val="30"/>
              <w:highlight w:val="none"/>
            </w:rPr>
            <w:fldChar w:fldCharType="end"/>
          </w:r>
        </w:p>
        <w:p w14:paraId="4A673E79">
          <w:pPr>
            <w:pStyle w:val="20"/>
            <w:keepNext w:val="0"/>
            <w:keepLines w:val="0"/>
            <w:pageBreakBefore w:val="0"/>
            <w:widowControl w:val="0"/>
            <w:tabs>
              <w:tab w:val="right" w:leader="dot" w:pos="8626"/>
              <w:tab w:val="clear" w:pos="9214"/>
            </w:tabs>
            <w:kinsoku/>
            <w:wordWrap/>
            <w:overflowPunct/>
            <w:topLinePunct w:val="0"/>
            <w:autoSpaceDE/>
            <w:autoSpaceDN/>
            <w:bidi w:val="0"/>
            <w:adjustRightInd/>
            <w:snapToGrid/>
            <w:spacing w:line="600" w:lineRule="auto"/>
            <w:textAlignment w:val="auto"/>
            <w:rPr>
              <w:color w:val="auto"/>
              <w:highlight w:val="none"/>
            </w:rPr>
          </w:pPr>
          <w:r>
            <w:rPr>
              <w:color w:val="auto"/>
              <w:sz w:val="30"/>
              <w:szCs w:val="30"/>
              <w:highlight w:val="none"/>
            </w:rPr>
            <w:fldChar w:fldCharType="begin"/>
          </w:r>
          <w:r>
            <w:rPr>
              <w:color w:val="auto"/>
              <w:sz w:val="30"/>
              <w:szCs w:val="30"/>
              <w:highlight w:val="none"/>
            </w:rPr>
            <w:instrText xml:space="preserve"> HYPERLINK \l _Toc16691 </w:instrText>
          </w:r>
          <w:r>
            <w:rPr>
              <w:color w:val="auto"/>
              <w:sz w:val="30"/>
              <w:szCs w:val="30"/>
              <w:highlight w:val="none"/>
            </w:rPr>
            <w:fldChar w:fldCharType="separate"/>
          </w:r>
          <w:r>
            <w:rPr>
              <w:rFonts w:hint="eastAsia" w:cs="宋体"/>
              <w:bCs/>
              <w:color w:val="auto"/>
              <w:sz w:val="30"/>
              <w:szCs w:val="30"/>
              <w:highlight w:val="none"/>
            </w:rPr>
            <w:t>第八章 投标文件格式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_Toc16691 \h </w:instrText>
          </w:r>
          <w:r>
            <w:rPr>
              <w:color w:val="auto"/>
              <w:sz w:val="30"/>
              <w:szCs w:val="30"/>
              <w:highlight w:val="none"/>
            </w:rPr>
            <w:fldChar w:fldCharType="separate"/>
          </w:r>
          <w:r>
            <w:rPr>
              <w:color w:val="auto"/>
              <w:sz w:val="30"/>
              <w:szCs w:val="30"/>
              <w:highlight w:val="none"/>
            </w:rPr>
            <w:t>51</w:t>
          </w:r>
          <w:r>
            <w:rPr>
              <w:color w:val="auto"/>
              <w:sz w:val="30"/>
              <w:szCs w:val="30"/>
              <w:highlight w:val="none"/>
            </w:rPr>
            <w:fldChar w:fldCharType="end"/>
          </w:r>
          <w:r>
            <w:rPr>
              <w:color w:val="auto"/>
              <w:sz w:val="30"/>
              <w:szCs w:val="30"/>
              <w:highlight w:val="none"/>
            </w:rPr>
            <w:fldChar w:fldCharType="end"/>
          </w:r>
        </w:p>
        <w:p w14:paraId="6B91360B">
          <w:pPr>
            <w:rPr>
              <w:color w:val="auto"/>
              <w:highlight w:val="none"/>
            </w:rPr>
          </w:pPr>
          <w:r>
            <w:rPr>
              <w:color w:val="auto"/>
              <w:highlight w:val="none"/>
            </w:rPr>
            <w:fldChar w:fldCharType="end"/>
          </w:r>
        </w:p>
      </w:sdtContent>
    </w:sdt>
    <w:p w14:paraId="08147145">
      <w:pPr>
        <w:pStyle w:val="51"/>
        <w:wordWrap w:val="0"/>
        <w:topLinePunct/>
        <w:spacing w:line="360" w:lineRule="auto"/>
        <w:ind w:firstLine="0"/>
        <w:jc w:val="center"/>
        <w:rPr>
          <w:rFonts w:hint="eastAsia" w:ascii="宋体" w:hAnsi="宋体" w:eastAsia="宋体" w:cs="宋体"/>
          <w:b/>
          <w:color w:val="auto"/>
          <w:spacing w:val="14"/>
          <w:sz w:val="44"/>
          <w:szCs w:val="44"/>
          <w:highlight w:val="none"/>
        </w:rPr>
      </w:pPr>
      <w:r>
        <w:rPr>
          <w:rFonts w:hint="eastAsia" w:ascii="宋体" w:hAnsi="宋体" w:eastAsia="宋体" w:cs="宋体"/>
          <w:b/>
          <w:color w:val="auto"/>
          <w:spacing w:val="14"/>
          <w:sz w:val="44"/>
          <w:szCs w:val="44"/>
          <w:highlight w:val="none"/>
        </w:rPr>
        <w:br w:type="page"/>
      </w:r>
      <w:r>
        <w:rPr>
          <w:rFonts w:hint="eastAsia" w:ascii="宋体" w:hAnsi="宋体" w:eastAsia="宋体" w:cs="宋体"/>
          <w:b/>
          <w:color w:val="auto"/>
          <w:spacing w:val="14"/>
          <w:sz w:val="44"/>
          <w:szCs w:val="44"/>
          <w:highlight w:val="none"/>
        </w:rPr>
        <w:t>电子招投标特别提示</w:t>
      </w:r>
    </w:p>
    <w:p w14:paraId="20A3ACE4">
      <w:pPr>
        <w:wordWrap w:val="0"/>
        <w:topLinePunct/>
        <w:spacing w:line="360" w:lineRule="auto"/>
        <w:rPr>
          <w:rFonts w:hint="eastAsia" w:ascii="宋体" w:hAnsi="宋体" w:cs="宋体"/>
          <w:b/>
          <w:bCs/>
          <w:color w:val="auto"/>
          <w:sz w:val="24"/>
          <w:highlight w:val="none"/>
        </w:rPr>
      </w:pPr>
    </w:p>
    <w:p w14:paraId="18212B1A">
      <w:pPr>
        <w:wordWrap w:val="0"/>
        <w:topLinePunct/>
        <w:spacing w:line="360" w:lineRule="auto"/>
        <w:rPr>
          <w:rFonts w:hint="eastAsia" w:ascii="宋体" w:hAnsi="宋体" w:cs="宋体"/>
          <w:b/>
          <w:bCs/>
          <w:color w:val="auto"/>
          <w:szCs w:val="21"/>
          <w:highlight w:val="none"/>
          <w:u w:val="double"/>
        </w:rPr>
      </w:pPr>
      <w:bookmarkStart w:id="3" w:name="_Toc6496"/>
      <w:bookmarkStart w:id="4" w:name="_Toc2455"/>
      <w:r>
        <w:rPr>
          <w:rFonts w:hint="eastAsia" w:ascii="宋体" w:hAnsi="宋体" w:cs="宋体"/>
          <w:b/>
          <w:bCs/>
          <w:color w:val="auto"/>
          <w:szCs w:val="21"/>
          <w:highlight w:val="none"/>
          <w:u w:val="double"/>
        </w:rPr>
        <w:t>一、投标人（供应商）注册</w:t>
      </w:r>
      <w:bookmarkEnd w:id="3"/>
      <w:bookmarkEnd w:id="4"/>
    </w:p>
    <w:p w14:paraId="699BF31B">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6F8D1C28">
      <w:pPr>
        <w:wordWrap w:val="0"/>
        <w:topLinePunct/>
        <w:spacing w:line="360" w:lineRule="auto"/>
        <w:rPr>
          <w:rFonts w:hint="eastAsia" w:ascii="宋体" w:hAnsi="宋体" w:cs="宋体"/>
          <w:b/>
          <w:bCs/>
          <w:color w:val="auto"/>
          <w:szCs w:val="21"/>
          <w:highlight w:val="none"/>
          <w:u w:val="double"/>
        </w:rPr>
      </w:pPr>
      <w:bookmarkStart w:id="5" w:name="_Toc19815"/>
      <w:bookmarkStart w:id="6" w:name="_Toc6264"/>
      <w:r>
        <w:rPr>
          <w:rFonts w:hint="eastAsia" w:ascii="宋体" w:hAnsi="宋体" w:cs="宋体"/>
          <w:b/>
          <w:bCs/>
          <w:color w:val="auto"/>
          <w:szCs w:val="21"/>
          <w:highlight w:val="none"/>
          <w:u w:val="double"/>
        </w:rPr>
        <w:t>二、办理CA数字证书</w:t>
      </w:r>
      <w:bookmarkEnd w:id="5"/>
      <w:bookmarkEnd w:id="6"/>
    </w:p>
    <w:p w14:paraId="44175988">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C88E4A2">
      <w:pPr>
        <w:wordWrap w:val="0"/>
        <w:topLinePunct/>
        <w:spacing w:line="360" w:lineRule="auto"/>
        <w:rPr>
          <w:rFonts w:hint="eastAsia" w:ascii="宋体" w:hAnsi="宋体" w:cs="宋体"/>
          <w:b/>
          <w:bCs/>
          <w:color w:val="auto"/>
          <w:szCs w:val="21"/>
          <w:highlight w:val="none"/>
          <w:u w:val="double"/>
        </w:rPr>
      </w:pPr>
      <w:bookmarkStart w:id="7" w:name="_Toc9652"/>
      <w:bookmarkStart w:id="8" w:name="_Toc2493"/>
      <w:r>
        <w:rPr>
          <w:rFonts w:hint="eastAsia" w:ascii="宋体" w:hAnsi="宋体" w:cs="宋体"/>
          <w:b/>
          <w:bCs/>
          <w:color w:val="auto"/>
          <w:szCs w:val="21"/>
          <w:highlight w:val="none"/>
          <w:u w:val="double"/>
        </w:rPr>
        <w:t>三、招标（采购）文件获取方式</w:t>
      </w:r>
      <w:bookmarkEnd w:id="7"/>
      <w:bookmarkEnd w:id="8"/>
    </w:p>
    <w:p w14:paraId="5F7EFE4A">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2503FBAB">
      <w:pPr>
        <w:tabs>
          <w:tab w:val="left" w:pos="0"/>
        </w:tabs>
        <w:wordWrap w:val="0"/>
        <w:topLinePunct/>
        <w:spacing w:line="360" w:lineRule="auto"/>
        <w:rPr>
          <w:rFonts w:hint="eastAsia" w:ascii="宋体" w:hAnsi="宋体" w:cs="宋体"/>
          <w:b/>
          <w:bCs/>
          <w:color w:val="auto"/>
          <w:szCs w:val="21"/>
          <w:highlight w:val="none"/>
          <w:u w:val="double"/>
        </w:rPr>
      </w:pPr>
      <w:bookmarkStart w:id="9" w:name="_Toc14244"/>
      <w:bookmarkStart w:id="10" w:name="_Toc15189"/>
      <w:r>
        <w:rPr>
          <w:rFonts w:hint="eastAsia" w:ascii="宋体" w:hAnsi="宋体" w:cs="宋体"/>
          <w:b/>
          <w:bCs/>
          <w:color w:val="auto"/>
          <w:szCs w:val="21"/>
          <w:highlight w:val="none"/>
          <w:u w:val="double"/>
        </w:rPr>
        <w:t>四、投标（响应）文件制作</w:t>
      </w:r>
      <w:bookmarkEnd w:id="9"/>
      <w:bookmarkEnd w:id="10"/>
    </w:p>
    <w:p w14:paraId="2158E8F0">
      <w:pPr>
        <w:tabs>
          <w:tab w:val="left" w:pos="0"/>
        </w:tabs>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投标（响应）文件应使用信阳市公共资源交易系统投标文件制作专用工具软件编制，投标（响应）文件格式为“*.XYTF”。</w:t>
      </w:r>
    </w:p>
    <w:p w14:paraId="5E277434">
      <w:pPr>
        <w:tabs>
          <w:tab w:val="left" w:pos="0"/>
        </w:tabs>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投标人（供应商）须在投标（响应）文件递交截止时间前制作并提交。</w:t>
      </w:r>
    </w:p>
    <w:p w14:paraId="2D5B38CF">
      <w:pPr>
        <w:pStyle w:val="2"/>
        <w:wordWrap w:val="0"/>
        <w:topLinePunct/>
        <w:spacing w:line="360" w:lineRule="auto"/>
        <w:rPr>
          <w:rFonts w:ascii="宋体" w:hAnsi="宋体" w:cs="宋体"/>
          <w:b/>
          <w:bCs/>
          <w:color w:val="auto"/>
          <w:szCs w:val="21"/>
          <w:highlight w:val="none"/>
        </w:rPr>
      </w:pPr>
      <w:bookmarkStart w:id="11" w:name="_Toc169"/>
      <w:bookmarkStart w:id="12" w:name="_Toc16801"/>
      <w:r>
        <w:rPr>
          <w:rFonts w:ascii="宋体" w:hAnsi="宋体" w:cs="宋体"/>
          <w:b/>
          <w:bCs/>
          <w:color w:val="auto"/>
          <w:szCs w:val="21"/>
          <w:highlight w:val="none"/>
          <w:u w:val="double"/>
        </w:rPr>
        <w:t>五、投标（响应）文件的签字和盖章要求</w:t>
      </w:r>
      <w:bookmarkEnd w:id="11"/>
      <w:bookmarkEnd w:id="12"/>
    </w:p>
    <w:p w14:paraId="51F33CBA">
      <w:pPr>
        <w:wordWrap w:val="0"/>
        <w:topLinePunct/>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1、投标文件（响应）格式中所有要求投标人（供应商）加盖公章的地方都须加盖投标人（供应商）的 CA 印章。</w:t>
      </w:r>
    </w:p>
    <w:p w14:paraId="600732D3">
      <w:pPr>
        <w:wordWrap w:val="0"/>
        <w:topLinePunct/>
        <w:adjustRightInd w:val="0"/>
        <w:snapToGrid w:val="0"/>
        <w:spacing w:line="360" w:lineRule="auto"/>
        <w:ind w:left="-126" w:leftChars="-60" w:firstLine="525" w:firstLineChars="250"/>
        <w:jc w:val="left"/>
        <w:rPr>
          <w:rFonts w:hint="eastAsia" w:ascii="宋体" w:hAnsi="宋体" w:cs="宋体"/>
          <w:b/>
          <w:bCs/>
          <w:color w:val="auto"/>
          <w:szCs w:val="21"/>
          <w:highlight w:val="none"/>
        </w:rPr>
      </w:pPr>
      <w:r>
        <w:rPr>
          <w:rFonts w:hint="eastAsia" w:ascii="宋体" w:hAnsi="宋体" w:cs="宋体"/>
          <w:color w:val="auto"/>
          <w:szCs w:val="21"/>
          <w:highlight w:val="none"/>
        </w:rPr>
        <w:t>2、投标文件（响应）格式中所有要求法定代表人或其委托代理人签字或盖章的地方</w:t>
      </w:r>
      <w:r>
        <w:rPr>
          <w:rFonts w:hint="eastAsia" w:ascii="宋体" w:hAnsi="宋体" w:cs="宋体"/>
          <w:b/>
          <w:bCs/>
          <w:color w:val="auto"/>
          <w:szCs w:val="21"/>
          <w:highlight w:val="none"/>
        </w:rPr>
        <w:t>（不含授权委托书委托人签字）</w:t>
      </w:r>
      <w:r>
        <w:rPr>
          <w:rFonts w:hint="eastAsia" w:ascii="宋体" w:hAnsi="宋体" w:cs="宋体"/>
          <w:color w:val="auto"/>
          <w:szCs w:val="21"/>
          <w:highlight w:val="none"/>
        </w:rPr>
        <w:t>都须加盖法定代表人</w:t>
      </w:r>
      <w:r>
        <w:rPr>
          <w:rFonts w:hint="eastAsia" w:ascii="宋体" w:hAnsi="宋体" w:cs="宋体"/>
          <w:b/>
          <w:bCs/>
          <w:color w:val="auto"/>
          <w:szCs w:val="21"/>
          <w:highlight w:val="none"/>
        </w:rPr>
        <w:t>CA 印章。</w:t>
      </w:r>
    </w:p>
    <w:p w14:paraId="33A60C09">
      <w:pPr>
        <w:pStyle w:val="2"/>
        <w:wordWrap w:val="0"/>
        <w:topLinePunct/>
        <w:spacing w:line="360" w:lineRule="auto"/>
        <w:rPr>
          <w:rFonts w:ascii="宋体" w:hAnsi="宋体" w:cs="宋体"/>
          <w:b/>
          <w:bCs/>
          <w:color w:val="auto"/>
          <w:szCs w:val="21"/>
          <w:highlight w:val="none"/>
          <w:u w:val="double"/>
        </w:rPr>
      </w:pPr>
      <w:bookmarkStart w:id="13" w:name="_Toc7077"/>
      <w:bookmarkStart w:id="14" w:name="_Toc31522"/>
      <w:r>
        <w:rPr>
          <w:rFonts w:ascii="宋体" w:hAnsi="宋体" w:cs="宋体"/>
          <w:b/>
          <w:bCs/>
          <w:color w:val="auto"/>
          <w:szCs w:val="21"/>
          <w:highlight w:val="none"/>
          <w:u w:val="double"/>
        </w:rPr>
        <w:t>六、投标文件份数</w:t>
      </w:r>
      <w:bookmarkEnd w:id="13"/>
      <w:bookmarkEnd w:id="14"/>
    </w:p>
    <w:p w14:paraId="35269275">
      <w:pPr>
        <w:wordWrap w:val="0"/>
        <w:topLinePunct/>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加密的电子投标（响应）文件壹份（*.XYTF 格式，在会员系统指定位置上传。</w:t>
      </w:r>
    </w:p>
    <w:p w14:paraId="4BF2D78E">
      <w:pPr>
        <w:pStyle w:val="2"/>
        <w:wordWrap w:val="0"/>
        <w:topLinePunct/>
        <w:spacing w:line="360" w:lineRule="auto"/>
        <w:rPr>
          <w:rFonts w:ascii="宋体" w:hAnsi="宋体" w:cs="宋体"/>
          <w:b/>
          <w:bCs/>
          <w:color w:val="auto"/>
          <w:szCs w:val="21"/>
          <w:highlight w:val="none"/>
          <w:u w:val="double"/>
        </w:rPr>
      </w:pPr>
      <w:bookmarkStart w:id="15" w:name="_Toc16276"/>
      <w:bookmarkStart w:id="16" w:name="_Toc25101"/>
      <w:r>
        <w:rPr>
          <w:rFonts w:ascii="宋体" w:hAnsi="宋体" w:cs="宋体"/>
          <w:b/>
          <w:bCs/>
          <w:color w:val="auto"/>
          <w:szCs w:val="21"/>
          <w:highlight w:val="none"/>
          <w:u w:val="double"/>
        </w:rPr>
        <w:t>七、投标（响应）文件的递交</w:t>
      </w:r>
      <w:bookmarkEnd w:id="15"/>
      <w:bookmarkEnd w:id="16"/>
    </w:p>
    <w:p w14:paraId="238F1803">
      <w:pPr>
        <w:wordWrap w:val="0"/>
        <w:topLinePunct/>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1、电子投标（响应）文件的递交</w:t>
      </w:r>
    </w:p>
    <w:p w14:paraId="1CF68DCD">
      <w:pPr>
        <w:wordWrap w:val="0"/>
        <w:topLinePunct/>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10E40BAF">
      <w:pPr>
        <w:wordWrap w:val="0"/>
        <w:topLinePunct/>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2、除电子投标（响应）文件外，不再接受任何纸质文件、资料原件等。</w:t>
      </w:r>
    </w:p>
    <w:p w14:paraId="30C21143">
      <w:pPr>
        <w:wordWrap w:val="0"/>
        <w:topLinePunct/>
        <w:spacing w:line="360" w:lineRule="auto"/>
        <w:rPr>
          <w:rFonts w:hint="eastAsia" w:ascii="宋体" w:hAnsi="宋体" w:cs="宋体"/>
          <w:b/>
          <w:bCs/>
          <w:color w:val="auto"/>
          <w:szCs w:val="21"/>
          <w:highlight w:val="none"/>
          <w:u w:val="double"/>
        </w:rPr>
      </w:pPr>
      <w:bookmarkStart w:id="17" w:name="_Toc5056"/>
      <w:bookmarkStart w:id="18" w:name="_Toc25980"/>
      <w:r>
        <w:rPr>
          <w:rFonts w:hint="eastAsia" w:ascii="宋体" w:hAnsi="宋体" w:cs="宋体"/>
          <w:b/>
          <w:bCs/>
          <w:color w:val="auto"/>
          <w:szCs w:val="21"/>
          <w:highlight w:val="none"/>
          <w:u w:val="double"/>
        </w:rPr>
        <w:t>八、澄清与变更</w:t>
      </w:r>
      <w:bookmarkEnd w:id="17"/>
      <w:bookmarkEnd w:id="18"/>
    </w:p>
    <w:p w14:paraId="53C27650">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09CA8BA8">
      <w:pPr>
        <w:widowControl/>
        <w:wordWrap w:val="0"/>
        <w:topLinePunct/>
        <w:spacing w:line="360" w:lineRule="auto"/>
        <w:jc w:val="left"/>
        <w:rPr>
          <w:rFonts w:hint="eastAsia" w:ascii="宋体" w:hAnsi="宋体" w:cs="宋体"/>
          <w:b/>
          <w:bCs/>
          <w:color w:val="auto"/>
          <w:szCs w:val="21"/>
          <w:highlight w:val="none"/>
          <w:u w:val="double"/>
        </w:rPr>
      </w:pPr>
      <w:bookmarkStart w:id="19" w:name="_Toc5503"/>
      <w:bookmarkStart w:id="20" w:name="_Toc16652"/>
      <w:r>
        <w:rPr>
          <w:rFonts w:hint="eastAsia" w:ascii="宋体" w:hAnsi="宋体" w:cs="宋体"/>
          <w:b/>
          <w:bCs/>
          <w:color w:val="auto"/>
          <w:szCs w:val="21"/>
          <w:highlight w:val="none"/>
          <w:u w:val="double"/>
        </w:rPr>
        <w:t>九、其他注意事项</w:t>
      </w:r>
      <w:bookmarkEnd w:id="19"/>
      <w:bookmarkEnd w:id="20"/>
      <w:r>
        <w:rPr>
          <w:rFonts w:hint="eastAsia" w:ascii="宋体" w:hAnsi="宋体" w:cs="宋体"/>
          <w:b/>
          <w:bCs/>
          <w:color w:val="auto"/>
          <w:szCs w:val="21"/>
          <w:highlight w:val="none"/>
          <w:u w:val="double"/>
        </w:rPr>
        <w:t xml:space="preserve"> </w:t>
      </w:r>
    </w:p>
    <w:p w14:paraId="476E3748">
      <w:pPr>
        <w:widowControl/>
        <w:wordWrap w:val="0"/>
        <w:topLinePunct/>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1、投标人（供应商）编制投标（响应）文件时，涉及营业执照、资质、业绩、获奖、人员、财务、 社保、纳税、各类证书等内容</w:t>
      </w:r>
      <w:r>
        <w:rPr>
          <w:rFonts w:hint="eastAsia" w:ascii="宋体" w:hAnsi="宋体" w:cs="宋体"/>
          <w:b/>
          <w:bCs/>
          <w:color w:val="auto"/>
          <w:szCs w:val="21"/>
          <w:highlight w:val="none"/>
          <w:u w:val="double"/>
        </w:rPr>
        <w:t>，须扫描编制在投标（响应）文件内，</w:t>
      </w:r>
      <w:r>
        <w:rPr>
          <w:rFonts w:hint="eastAsia" w:ascii="宋体" w:hAnsi="宋体" w:cs="宋体"/>
          <w:color w:val="auto"/>
          <w:szCs w:val="21"/>
          <w:highlight w:val="none"/>
        </w:rPr>
        <w:t>同时须上传至信阳市公共资源交易中心诚信库。</w:t>
      </w:r>
      <w:r>
        <w:rPr>
          <w:rFonts w:hint="eastAsia" w:ascii="宋体" w:hAnsi="宋体" w:cs="宋体"/>
          <w:b/>
          <w:bCs/>
          <w:color w:val="auto"/>
          <w:szCs w:val="21"/>
          <w:highlight w:val="none"/>
          <w:u w:val="double"/>
        </w:rPr>
        <w:t>评委评审时，必须核对投标人（供应商）诚信库信息，未在诚信库中登记的上述内容，不得作为评标（或评审）依据。</w:t>
      </w:r>
      <w:r>
        <w:rPr>
          <w:rFonts w:hint="eastAsia" w:ascii="宋体" w:hAnsi="宋体" w:cs="宋体"/>
          <w:color w:val="auto"/>
          <w:szCs w:val="21"/>
          <w:highlight w:val="none"/>
        </w:rPr>
        <w:t>投标人（供应商）</w:t>
      </w:r>
      <w:r>
        <w:rPr>
          <w:rFonts w:hint="eastAsia" w:ascii="宋体" w:hAnsi="宋体" w:cs="宋体"/>
          <w:color w:val="auto"/>
          <w:szCs w:val="21"/>
          <w:highlight w:val="none"/>
          <w:u w:val="double"/>
        </w:rPr>
        <w:t>应及时在投标（响应）截止时间前</w:t>
      </w:r>
      <w:r>
        <w:rPr>
          <w:rFonts w:hint="eastAsia" w:ascii="宋体" w:hAnsi="宋体" w:cs="宋体"/>
          <w:color w:val="auto"/>
          <w:szCs w:val="21"/>
          <w:highlight w:val="none"/>
        </w:rPr>
        <w:t>对主体诚信库的相关内容进行补充、 更新，</w:t>
      </w:r>
      <w:r>
        <w:rPr>
          <w:rFonts w:hint="eastAsia" w:ascii="宋体" w:hAnsi="宋体" w:cs="宋体"/>
          <w:b/>
          <w:bCs/>
          <w:color w:val="auto"/>
          <w:szCs w:val="21"/>
          <w:highlight w:val="none"/>
        </w:rPr>
        <w:t>过期更改的诚信库信息不作为本项目评审依据。</w:t>
      </w:r>
    </w:p>
    <w:p w14:paraId="4DCE7E30">
      <w:pPr>
        <w:widowControl/>
        <w:wordWrap w:val="0"/>
        <w:topLinePunct/>
        <w:spacing w:line="360" w:lineRule="auto"/>
        <w:ind w:firstLine="420" w:firstLineChars="200"/>
        <w:jc w:val="left"/>
        <w:rPr>
          <w:rFonts w:hint="eastAsia" w:ascii="宋体" w:hAnsi="宋体" w:cs="宋体"/>
          <w:color w:val="auto"/>
          <w:szCs w:val="21"/>
          <w:highlight w:val="none"/>
          <w:u w:val="double"/>
        </w:rPr>
      </w:pPr>
      <w:r>
        <w:rPr>
          <w:rFonts w:hint="eastAsia" w:ascii="宋体" w:hAnsi="宋体" w:cs="宋体"/>
          <w:color w:val="auto"/>
          <w:szCs w:val="21"/>
          <w:highlight w:val="none"/>
        </w:rPr>
        <w:t>2、</w:t>
      </w:r>
      <w:r>
        <w:rPr>
          <w:rFonts w:hint="eastAsia" w:ascii="宋体" w:hAnsi="宋体" w:cs="宋体"/>
          <w:b/>
          <w:bCs/>
          <w:color w:val="auto"/>
          <w:szCs w:val="21"/>
          <w:highlight w:val="none"/>
          <w:u w:val="double"/>
        </w:rPr>
        <w:t>本项目评标结果公示时，同时公示中标候选人诚信库信息，接受社会监督。</w:t>
      </w:r>
      <w:r>
        <w:rPr>
          <w:rFonts w:hint="eastAsia" w:ascii="宋体" w:hAnsi="宋体" w:cs="宋体"/>
          <w:color w:val="auto"/>
          <w:szCs w:val="21"/>
          <w:highlight w:val="none"/>
          <w:u w:val="double"/>
        </w:rPr>
        <w:t>因入库信息不合法、不真实、不清晰、不准确、不完整、无效、错误或信息处于编辑中、待验证状态等对交易活动所造成的一切后果，由信息提供主体自行负责。</w:t>
      </w:r>
    </w:p>
    <w:p w14:paraId="4BBFF33C">
      <w:pPr>
        <w:widowControl/>
        <w:wordWrap w:val="0"/>
        <w:topLinePunct/>
        <w:spacing w:line="360" w:lineRule="auto"/>
        <w:ind w:firstLine="420" w:firstLineChars="200"/>
        <w:jc w:val="left"/>
        <w:rPr>
          <w:rFonts w:hint="eastAsia" w:ascii="宋体" w:hAnsi="宋体" w:cs="宋体"/>
          <w:color w:val="auto"/>
          <w:szCs w:val="21"/>
          <w:highlight w:val="none"/>
          <w:u w:val="double"/>
        </w:rPr>
      </w:pPr>
      <w:r>
        <w:rPr>
          <w:rFonts w:hint="eastAsia" w:ascii="宋体" w:hAnsi="宋体" w:cs="宋体"/>
          <w:color w:val="auto"/>
          <w:szCs w:val="21"/>
          <w:highlight w:val="none"/>
          <w:u w:val="double"/>
        </w:rPr>
        <w:t>3、投标文件中的扫描件，每张一般控制在500kb内,生成的加密电子投标文件一般不要超过50MB。</w:t>
      </w:r>
    </w:p>
    <w:p w14:paraId="0A1CA824">
      <w:pPr>
        <w:widowControl/>
        <w:wordWrap w:val="0"/>
        <w:topLinePunct/>
        <w:spacing w:line="360" w:lineRule="auto"/>
        <w:jc w:val="left"/>
        <w:rPr>
          <w:rFonts w:hint="eastAsia" w:ascii="宋体" w:hAnsi="宋体" w:cs="宋体"/>
          <w:b/>
          <w:bCs/>
          <w:color w:val="auto"/>
          <w:szCs w:val="21"/>
          <w:highlight w:val="none"/>
          <w:u w:val="double"/>
        </w:rPr>
      </w:pPr>
      <w:bookmarkStart w:id="21" w:name="_Toc4468"/>
      <w:bookmarkStart w:id="22" w:name="_Toc6892"/>
      <w:r>
        <w:rPr>
          <w:rFonts w:hint="eastAsia" w:ascii="宋体" w:hAnsi="宋体" w:cs="宋体"/>
          <w:b/>
          <w:bCs/>
          <w:color w:val="auto"/>
          <w:szCs w:val="21"/>
          <w:highlight w:val="none"/>
          <w:u w:val="double"/>
        </w:rPr>
        <w:t>十、特别提醒</w:t>
      </w:r>
      <w:bookmarkEnd w:id="21"/>
      <w:bookmarkEnd w:id="22"/>
    </w:p>
    <w:p w14:paraId="45DADE66">
      <w:pPr>
        <w:pStyle w:val="52"/>
        <w:tabs>
          <w:tab w:val="right" w:leader="dot" w:pos="9240"/>
        </w:tabs>
        <w:wordWrap w:val="0"/>
        <w:topLinePunct/>
        <w:spacing w:line="360" w:lineRule="auto"/>
        <w:ind w:firstLine="420" w:firstLineChars="200"/>
        <w:jc w:val="both"/>
        <w:rPr>
          <w:rFonts w:hint="eastAsia" w:ascii="宋体" w:hAnsi="宋体" w:cs="宋体"/>
          <w:b/>
          <w:bCs/>
          <w:color w:val="auto"/>
          <w:sz w:val="21"/>
          <w:szCs w:val="21"/>
          <w:highlight w:val="none"/>
        </w:rPr>
      </w:pPr>
      <w:r>
        <w:rPr>
          <w:rFonts w:hint="eastAsia" w:ascii="宋体" w:hAnsi="宋体" w:cs="宋体"/>
          <w:color w:val="auto"/>
          <w:sz w:val="21"/>
          <w:szCs w:val="21"/>
          <w:highlight w:val="none"/>
        </w:rPr>
        <w:t>招标（响应）文件与此内容不符的，以此内容为准。</w:t>
      </w:r>
    </w:p>
    <w:p w14:paraId="0DFD9FE2">
      <w:pPr>
        <w:spacing w:line="360" w:lineRule="auto"/>
        <w:rPr>
          <w:rFonts w:hint="eastAsia" w:ascii="宋体" w:hAnsi="宋体" w:cs="宋体"/>
          <w:b/>
          <w:bCs/>
          <w:color w:val="auto"/>
          <w:kern w:val="1"/>
          <w:sz w:val="36"/>
          <w:szCs w:val="36"/>
          <w:highlight w:val="none"/>
        </w:rPr>
      </w:pPr>
      <w:r>
        <w:rPr>
          <w:rFonts w:hint="eastAsia" w:ascii="宋体" w:hAnsi="宋体" w:cs="宋体"/>
          <w:b/>
          <w:bCs/>
          <w:color w:val="auto"/>
          <w:kern w:val="1"/>
          <w:sz w:val="36"/>
          <w:szCs w:val="36"/>
          <w:highlight w:val="none"/>
        </w:rPr>
        <w:br w:type="page"/>
      </w:r>
    </w:p>
    <w:p w14:paraId="475B4E5B">
      <w:pPr>
        <w:numPr>
          <w:ilvl w:val="0"/>
          <w:numId w:val="0"/>
        </w:numPr>
        <w:wordWrap w:val="0"/>
        <w:topLinePunct/>
        <w:spacing w:line="360" w:lineRule="auto"/>
        <w:jc w:val="center"/>
        <w:outlineLvl w:val="0"/>
        <w:rPr>
          <w:rFonts w:hint="eastAsia" w:ascii="宋体" w:hAnsi="宋体" w:cs="宋体"/>
          <w:b/>
          <w:bCs/>
          <w:color w:val="auto"/>
          <w:kern w:val="1"/>
          <w:sz w:val="36"/>
          <w:szCs w:val="36"/>
          <w:highlight w:val="none"/>
        </w:rPr>
      </w:pPr>
      <w:bookmarkStart w:id="23" w:name="_Toc15336"/>
      <w:bookmarkStart w:id="24" w:name="_Toc30039"/>
      <w:bookmarkStart w:id="25" w:name="_Toc11425"/>
      <w:bookmarkStart w:id="26" w:name="_Toc32580"/>
      <w:r>
        <w:rPr>
          <w:rFonts w:hint="eastAsia" w:ascii="宋体" w:hAnsi="宋体" w:eastAsia="宋体" w:cs="宋体"/>
          <w:b/>
          <w:bCs/>
          <w:color w:val="auto"/>
          <w:kern w:val="1"/>
          <w:sz w:val="36"/>
          <w:szCs w:val="36"/>
          <w:lang w:val="en-US" w:eastAsia="zh-CN" w:bidi="ar-SA"/>
        </w:rPr>
        <w:t>第一章</w:t>
      </w:r>
      <w:r>
        <w:rPr>
          <w:rFonts w:hint="eastAsia" w:ascii="宋体" w:hAnsi="宋体" w:cs="宋体"/>
          <w:b/>
          <w:bCs/>
          <w:color w:val="auto"/>
          <w:kern w:val="1"/>
          <w:sz w:val="36"/>
          <w:szCs w:val="36"/>
          <w:lang w:val="en-US" w:eastAsia="zh-CN" w:bidi="ar-SA"/>
        </w:rPr>
        <w:t xml:space="preserve"> </w:t>
      </w:r>
      <w:r>
        <w:rPr>
          <w:rFonts w:hint="eastAsia" w:ascii="宋体" w:hAnsi="宋体" w:cs="宋体"/>
          <w:b/>
          <w:bCs/>
          <w:color w:val="auto"/>
          <w:kern w:val="1"/>
          <w:sz w:val="36"/>
          <w:szCs w:val="36"/>
          <w:highlight w:val="none"/>
        </w:rPr>
        <w:t>招标公告</w:t>
      </w:r>
      <w:bookmarkEnd w:id="23"/>
      <w:bookmarkEnd w:id="24"/>
      <w:bookmarkEnd w:id="25"/>
      <w:bookmarkEnd w:id="26"/>
    </w:p>
    <w:p w14:paraId="46802283">
      <w:pPr>
        <w:wordWrap w:val="0"/>
        <w:topLinePunct/>
        <w:spacing w:line="360" w:lineRule="auto"/>
        <w:jc w:val="center"/>
        <w:outlineLvl w:val="0"/>
        <w:rPr>
          <w:rFonts w:hint="eastAsia" w:ascii="宋体" w:hAnsi="宋体" w:cs="宋体"/>
          <w:b/>
          <w:bCs/>
          <w:color w:val="auto"/>
          <w:kern w:val="1"/>
          <w:sz w:val="30"/>
          <w:szCs w:val="30"/>
          <w:highlight w:val="none"/>
          <w:lang w:eastAsia="zh-CN"/>
        </w:rPr>
      </w:pPr>
      <w:bookmarkStart w:id="27" w:name="_Toc27802"/>
      <w:bookmarkStart w:id="28" w:name="_Toc4103"/>
      <w:bookmarkStart w:id="29" w:name="_Toc20368"/>
      <w:bookmarkStart w:id="30" w:name="_Toc15164"/>
      <w:bookmarkStart w:id="31" w:name="_Toc1525"/>
      <w:bookmarkStart w:id="32" w:name="_Toc29111"/>
      <w:bookmarkStart w:id="33" w:name="_Toc17522"/>
      <w:bookmarkStart w:id="34" w:name="_Toc570"/>
      <w:bookmarkStart w:id="35" w:name="_Toc9603"/>
      <w:bookmarkStart w:id="36" w:name="_Toc2477"/>
      <w:bookmarkStart w:id="37" w:name="_Toc3051"/>
      <w:bookmarkStart w:id="38" w:name="_Toc16159"/>
      <w:bookmarkStart w:id="39" w:name="_Toc339618653"/>
      <w:bookmarkStart w:id="40" w:name="_Toc16337"/>
      <w:r>
        <w:rPr>
          <w:rFonts w:hint="eastAsia" w:ascii="宋体" w:hAnsi="宋体" w:cs="宋体"/>
          <w:b/>
          <w:bCs/>
          <w:color w:val="auto"/>
          <w:kern w:val="1"/>
          <w:sz w:val="30"/>
          <w:szCs w:val="30"/>
          <w:highlight w:val="none"/>
          <w:lang w:eastAsia="zh-CN"/>
        </w:rPr>
        <w:t>淮滨县“四湖”同运项目水街建设工程EPC总承包</w:t>
      </w:r>
    </w:p>
    <w:p w14:paraId="43A19D78">
      <w:pPr>
        <w:wordWrap w:val="0"/>
        <w:topLinePunct/>
        <w:spacing w:line="360" w:lineRule="auto"/>
        <w:jc w:val="center"/>
        <w:outlineLvl w:val="0"/>
        <w:rPr>
          <w:rFonts w:hint="eastAsia"/>
          <w:color w:val="auto"/>
          <w:highlight w:val="none"/>
        </w:rPr>
      </w:pPr>
      <w:r>
        <w:rPr>
          <w:rFonts w:hint="eastAsia" w:ascii="宋体" w:hAnsi="宋体" w:cs="宋体"/>
          <w:b/>
          <w:bCs/>
          <w:color w:val="auto"/>
          <w:kern w:val="1"/>
          <w:sz w:val="30"/>
          <w:szCs w:val="30"/>
          <w:highlight w:val="none"/>
        </w:rPr>
        <w:t>招标公告</w:t>
      </w:r>
      <w:bookmarkEnd w:id="27"/>
      <w:bookmarkEnd w:id="28"/>
      <w:bookmarkEnd w:id="29"/>
      <w:bookmarkEnd w:id="30"/>
      <w:bookmarkEnd w:id="31"/>
      <w:bookmarkEnd w:id="32"/>
      <w:bookmarkEnd w:id="33"/>
      <w:bookmarkEnd w:id="34"/>
      <w:bookmarkEnd w:id="35"/>
      <w:bookmarkEnd w:id="36"/>
    </w:p>
    <w:p w14:paraId="47A7588C">
      <w:pPr>
        <w:pStyle w:val="4"/>
        <w:keepNext w:val="0"/>
        <w:keepLines w:val="0"/>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招标条件</w:t>
      </w:r>
    </w:p>
    <w:p w14:paraId="5016EE5E">
      <w:pPr>
        <w:pStyle w:val="65"/>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left"/>
        <w:textAlignment w:val="auto"/>
        <w:rPr>
          <w:rFonts w:hint="eastAsia" w:eastAsia="宋体" w:cs="宋体"/>
          <w:color w:val="auto"/>
          <w:kern w:val="2"/>
          <w:sz w:val="21"/>
          <w:szCs w:val="21"/>
          <w:highlight w:val="none"/>
        </w:rPr>
      </w:pPr>
      <w:r>
        <w:rPr>
          <w:rFonts w:hint="eastAsia" w:eastAsia="宋体" w:cs="宋体"/>
          <w:color w:val="auto"/>
          <w:kern w:val="2"/>
          <w:sz w:val="21"/>
          <w:szCs w:val="21"/>
          <w:highlight w:val="none"/>
        </w:rPr>
        <w:t>本招标项目</w:t>
      </w:r>
      <w:r>
        <w:rPr>
          <w:rFonts w:hint="eastAsia" w:eastAsia="宋体" w:cs="宋体"/>
          <w:color w:val="auto"/>
          <w:kern w:val="2"/>
          <w:sz w:val="21"/>
          <w:szCs w:val="21"/>
          <w:highlight w:val="none"/>
          <w:u w:val="single"/>
        </w:rPr>
        <w:t>淮滨县“四湖”同运项目水街建设工程</w:t>
      </w:r>
      <w:r>
        <w:rPr>
          <w:rFonts w:hint="eastAsia" w:eastAsia="宋体" w:cs="宋体"/>
          <w:color w:val="auto"/>
          <w:kern w:val="2"/>
          <w:sz w:val="21"/>
          <w:szCs w:val="21"/>
          <w:highlight w:val="none"/>
        </w:rPr>
        <w:t>已由</w:t>
      </w:r>
      <w:r>
        <w:rPr>
          <w:rFonts w:hint="eastAsia" w:eastAsia="宋体" w:cs="宋体"/>
          <w:color w:val="auto"/>
          <w:kern w:val="2"/>
          <w:sz w:val="21"/>
          <w:szCs w:val="21"/>
          <w:highlight w:val="none"/>
          <w:u w:val="single"/>
          <w:lang w:eastAsia="zh-CN"/>
        </w:rPr>
        <w:t>淮滨县文化广电和旅游局</w:t>
      </w:r>
      <w:r>
        <w:rPr>
          <w:rFonts w:hint="eastAsia" w:eastAsia="宋体" w:cs="宋体"/>
          <w:color w:val="auto"/>
          <w:kern w:val="2"/>
          <w:sz w:val="21"/>
          <w:szCs w:val="21"/>
          <w:highlight w:val="none"/>
        </w:rPr>
        <w:t>以</w:t>
      </w:r>
      <w:r>
        <w:rPr>
          <w:rFonts w:hint="eastAsia" w:eastAsia="宋体" w:cs="宋体"/>
          <w:color w:val="auto"/>
          <w:kern w:val="2"/>
          <w:sz w:val="21"/>
          <w:szCs w:val="21"/>
          <w:highlight w:val="none"/>
          <w:u w:val="single"/>
          <w:lang w:val="en-US" w:eastAsia="zh-CN"/>
        </w:rPr>
        <w:t>淮发改审批[2025]117号</w:t>
      </w:r>
      <w:r>
        <w:rPr>
          <w:rFonts w:hint="eastAsia" w:eastAsia="宋体" w:cs="宋体"/>
          <w:color w:val="auto"/>
          <w:kern w:val="2"/>
          <w:sz w:val="21"/>
          <w:szCs w:val="21"/>
          <w:highlight w:val="none"/>
          <w:u w:val="none"/>
        </w:rPr>
        <w:t>批准</w:t>
      </w:r>
      <w:r>
        <w:rPr>
          <w:rFonts w:hint="eastAsia" w:eastAsia="宋体" w:cs="宋体"/>
          <w:color w:val="auto"/>
          <w:kern w:val="2"/>
          <w:sz w:val="21"/>
          <w:szCs w:val="21"/>
          <w:highlight w:val="none"/>
        </w:rPr>
        <w:t>建设，投资项目统一代码：</w:t>
      </w:r>
      <w:r>
        <w:rPr>
          <w:rFonts w:hint="eastAsia" w:eastAsia="宋体" w:cs="宋体"/>
          <w:color w:val="auto"/>
          <w:kern w:val="2"/>
          <w:sz w:val="21"/>
          <w:szCs w:val="21"/>
          <w:highlight w:val="none"/>
          <w:u w:val="single"/>
          <w:lang w:val="en-US" w:eastAsia="zh-CN"/>
        </w:rPr>
        <w:t>2511-411527-04-01-305749</w:t>
      </w:r>
      <w:r>
        <w:rPr>
          <w:rFonts w:hint="eastAsia" w:eastAsia="宋体" w:cs="宋体"/>
          <w:color w:val="auto"/>
          <w:kern w:val="2"/>
          <w:sz w:val="21"/>
          <w:szCs w:val="21"/>
          <w:highlight w:val="none"/>
          <w:u w:val="none"/>
          <w:lang w:val="en-US" w:eastAsia="zh-CN"/>
        </w:rPr>
        <w:t>，</w:t>
      </w:r>
      <w:r>
        <w:rPr>
          <w:rFonts w:hint="eastAsia" w:eastAsia="宋体" w:cs="宋体"/>
          <w:color w:val="auto"/>
          <w:kern w:val="2"/>
          <w:sz w:val="21"/>
          <w:szCs w:val="21"/>
          <w:highlight w:val="none"/>
        </w:rPr>
        <w:t>招标人为</w:t>
      </w:r>
      <w:r>
        <w:rPr>
          <w:rFonts w:hint="eastAsia" w:eastAsia="宋体" w:cs="宋体"/>
          <w:color w:val="auto"/>
          <w:kern w:val="2"/>
          <w:sz w:val="21"/>
          <w:szCs w:val="21"/>
          <w:highlight w:val="none"/>
          <w:u w:val="single"/>
          <w:lang w:eastAsia="zh-CN"/>
        </w:rPr>
        <w:t>淮滨县兴淮文化旅游发展有限责任公司</w:t>
      </w:r>
      <w:r>
        <w:rPr>
          <w:rFonts w:hint="eastAsia" w:eastAsia="宋体" w:cs="宋体"/>
          <w:color w:val="auto"/>
          <w:kern w:val="2"/>
          <w:sz w:val="21"/>
          <w:szCs w:val="21"/>
          <w:highlight w:val="none"/>
        </w:rPr>
        <w:t>，建设资金为</w:t>
      </w:r>
      <w:r>
        <w:rPr>
          <w:rFonts w:hint="eastAsia" w:eastAsia="宋体" w:cs="宋体"/>
          <w:color w:val="auto"/>
          <w:kern w:val="2"/>
          <w:sz w:val="21"/>
          <w:szCs w:val="21"/>
          <w:highlight w:val="none"/>
          <w:u w:val="single"/>
          <w:lang w:eastAsia="zh-CN"/>
        </w:rPr>
        <w:t>自筹资金</w:t>
      </w:r>
      <w:r>
        <w:rPr>
          <w:rFonts w:hint="eastAsia" w:eastAsia="宋体" w:cs="宋体"/>
          <w:color w:val="auto"/>
          <w:kern w:val="2"/>
          <w:sz w:val="21"/>
          <w:szCs w:val="21"/>
          <w:highlight w:val="none"/>
        </w:rPr>
        <w:t>（资金来源），</w:t>
      </w:r>
      <w:r>
        <w:rPr>
          <w:rFonts w:hint="eastAsia" w:eastAsia="宋体" w:cs="宋体"/>
          <w:color w:val="auto"/>
          <w:kern w:val="2"/>
          <w:sz w:val="21"/>
          <w:szCs w:val="21"/>
          <w:highlight w:val="none"/>
          <w:lang w:val="en-US" w:eastAsia="zh-CN"/>
        </w:rPr>
        <w:t>资金已落实</w:t>
      </w:r>
      <w:r>
        <w:rPr>
          <w:rFonts w:hint="eastAsia" w:eastAsia="宋体" w:cs="宋体"/>
          <w:color w:val="auto"/>
          <w:kern w:val="2"/>
          <w:sz w:val="21"/>
          <w:szCs w:val="21"/>
          <w:highlight w:val="none"/>
        </w:rPr>
        <w:t>。项目已具备招标条件，现对该项目</w:t>
      </w:r>
      <w:r>
        <w:rPr>
          <w:rFonts w:hint="eastAsia" w:eastAsia="宋体" w:cs="宋体"/>
          <w:color w:val="auto"/>
          <w:kern w:val="2"/>
          <w:sz w:val="21"/>
          <w:szCs w:val="21"/>
          <w:highlight w:val="none"/>
          <w:u w:val="single"/>
        </w:rPr>
        <w:t>EPC总承包</w:t>
      </w:r>
      <w:r>
        <w:rPr>
          <w:rFonts w:hint="eastAsia" w:eastAsia="宋体" w:cs="宋体"/>
          <w:color w:val="auto"/>
          <w:kern w:val="2"/>
          <w:sz w:val="21"/>
          <w:szCs w:val="21"/>
          <w:highlight w:val="none"/>
        </w:rPr>
        <w:t>进行公开招标。本次招投标实行全流程电子招投标。</w:t>
      </w:r>
    </w:p>
    <w:p w14:paraId="5B04BD4B">
      <w:pPr>
        <w:pStyle w:val="4"/>
        <w:keepNext w:val="0"/>
        <w:keepLines w:val="0"/>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 项目概况与招标范围</w:t>
      </w:r>
    </w:p>
    <w:p w14:paraId="56893460">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2.1项目名称：</w:t>
      </w:r>
      <w:r>
        <w:rPr>
          <w:rFonts w:hint="eastAsia" w:ascii="宋体" w:hAnsi="宋体" w:eastAsia="宋体" w:cs="宋体"/>
          <w:color w:val="auto"/>
          <w:kern w:val="0"/>
          <w:sz w:val="21"/>
          <w:szCs w:val="21"/>
          <w:highlight w:val="none"/>
          <w:lang w:val="en-US" w:eastAsia="zh-CN" w:bidi="ar-SA"/>
        </w:rPr>
        <w:t>淮滨县“四湖”同运项目水街建设工程EPC总承包</w:t>
      </w:r>
    </w:p>
    <w:p w14:paraId="0F1C8409">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Calibri" w:hAnsi="Calibri" w:eastAsia="宋体" w:cs="宋体"/>
          <w:color w:val="auto"/>
          <w:kern w:val="2"/>
          <w:sz w:val="21"/>
          <w:szCs w:val="21"/>
          <w:highlight w:val="none"/>
          <w:u w:val="none"/>
          <w:lang w:val="en-US" w:eastAsia="zh-CN" w:bidi="ar-SA"/>
        </w:rPr>
        <w:t>招标编</w:t>
      </w:r>
      <w:r>
        <w:rPr>
          <w:rFonts w:hint="eastAsia" w:ascii="宋体" w:hAnsi="宋体" w:eastAsia="宋体" w:cs="宋体"/>
          <w:color w:val="auto"/>
          <w:kern w:val="0"/>
          <w:sz w:val="21"/>
          <w:szCs w:val="21"/>
          <w:highlight w:val="none"/>
          <w:lang w:val="en-US" w:eastAsia="zh-CN" w:bidi="ar-SA"/>
        </w:rPr>
        <w:t>号：</w:t>
      </w:r>
    </w:p>
    <w:p w14:paraId="512F0AC5">
      <w:pPr>
        <w:pStyle w:val="4"/>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2.3项目计划投资：约5887.15万元，其中工程费用5130.12万元；</w:t>
      </w:r>
    </w:p>
    <w:p w14:paraId="77BF4989">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2.4项目建设内容：</w:t>
      </w:r>
      <w:r>
        <w:rPr>
          <w:rFonts w:hint="eastAsia" w:ascii="宋体" w:hAnsi="宋体" w:cs="宋体"/>
          <w:color w:val="auto"/>
          <w:szCs w:val="21"/>
          <w:highlight w:val="none"/>
        </w:rPr>
        <w:t>改造水街门</w:t>
      </w:r>
      <w:r>
        <w:rPr>
          <w:rFonts w:hint="eastAsia" w:ascii="宋体" w:hAnsi="宋体" w:cs="宋体"/>
          <w:color w:val="auto"/>
          <w:szCs w:val="21"/>
          <w:highlight w:val="none"/>
          <w:lang w:eastAsia="zh-CN"/>
        </w:rPr>
        <w:t>、</w:t>
      </w:r>
      <w:r>
        <w:rPr>
          <w:rFonts w:hint="eastAsia" w:ascii="宋体" w:hAnsi="宋体" w:cs="宋体"/>
          <w:color w:val="auto"/>
          <w:szCs w:val="21"/>
          <w:highlight w:val="none"/>
        </w:rPr>
        <w:t>水街窗，雨水</w:t>
      </w:r>
      <w:r>
        <w:rPr>
          <w:rFonts w:hint="eastAsia" w:ascii="宋体" w:hAnsi="宋体" w:cs="宋体"/>
          <w:color w:val="auto"/>
          <w:szCs w:val="21"/>
          <w:highlight w:val="none"/>
          <w:lang w:eastAsia="zh-CN"/>
        </w:rPr>
        <w:t>、</w:t>
      </w:r>
      <w:r>
        <w:rPr>
          <w:rFonts w:hint="eastAsia" w:ascii="宋体" w:hAnsi="宋体" w:cs="宋体"/>
          <w:color w:val="auto"/>
          <w:szCs w:val="21"/>
          <w:highlight w:val="none"/>
        </w:rPr>
        <w:t>污水管道，道路硬化，室内装饰装修，屋面亮化，监控工程，燃气工程。主要包含水街门窗更新工程、管道工程、道路硬化工程、室内装饰装修工程、监控工程、屋面亮化工程、燃气工程及其他配套基础设施等</w:t>
      </w:r>
      <w:r>
        <w:rPr>
          <w:rFonts w:hint="eastAsia" w:ascii="宋体" w:hAnsi="宋体" w:eastAsia="宋体" w:cs="宋体"/>
          <w:color w:val="auto"/>
          <w:kern w:val="0"/>
          <w:sz w:val="21"/>
          <w:szCs w:val="21"/>
          <w:highlight w:val="none"/>
          <w:lang w:val="en-US" w:eastAsia="zh-CN" w:bidi="ar-SA"/>
        </w:rPr>
        <w:t>。</w:t>
      </w:r>
    </w:p>
    <w:p w14:paraId="44E1B39A">
      <w:pPr>
        <w:wordWrap w:val="0"/>
        <w:topLinePunct/>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2.5建设地点：</w:t>
      </w:r>
      <w:r>
        <w:rPr>
          <w:rFonts w:hint="eastAsia" w:ascii="宋体" w:hAnsi="宋体" w:eastAsia="宋体" w:cs="宋体"/>
          <w:color w:val="auto"/>
          <w:szCs w:val="21"/>
        </w:rPr>
        <w:t>淮滨县楚相大道与滨湖路</w:t>
      </w:r>
      <w:r>
        <w:rPr>
          <w:rFonts w:hint="eastAsia" w:ascii="宋体" w:hAnsi="宋体" w:eastAsia="宋体" w:cs="宋体"/>
          <w:color w:val="auto"/>
          <w:szCs w:val="21"/>
          <w:lang w:val="en-US" w:eastAsia="zh-CN"/>
        </w:rPr>
        <w:t>交叉口东南</w:t>
      </w:r>
      <w:r>
        <w:rPr>
          <w:rFonts w:hint="eastAsia" w:ascii="宋体" w:hAnsi="宋体" w:eastAsia="宋体" w:cs="宋体"/>
          <w:color w:val="auto"/>
          <w:kern w:val="0"/>
          <w:sz w:val="21"/>
          <w:szCs w:val="21"/>
          <w:highlight w:val="none"/>
          <w:lang w:val="en-US" w:eastAsia="zh-CN" w:bidi="ar-SA"/>
        </w:rPr>
        <w:t>。</w:t>
      </w:r>
    </w:p>
    <w:p w14:paraId="53D3EC31">
      <w:pPr>
        <w:wordWrap w:val="0"/>
        <w:topLinePunct/>
        <w:spacing w:line="400" w:lineRule="exact"/>
        <w:ind w:firstLine="420" w:firstLineChars="200"/>
        <w:jc w:val="left"/>
        <w:rPr>
          <w:rFonts w:hint="eastAsia" w:cs="宋体"/>
          <w:color w:val="auto"/>
          <w:kern w:val="2"/>
          <w:sz w:val="21"/>
          <w:szCs w:val="21"/>
          <w:highlight w:val="none"/>
          <w:u w:val="none"/>
          <w:lang w:eastAsia="zh-CN"/>
        </w:rPr>
      </w:pPr>
      <w:r>
        <w:rPr>
          <w:rFonts w:hint="eastAsia" w:ascii="宋体" w:hAnsi="宋体" w:eastAsia="宋体" w:cs="宋体"/>
          <w:color w:val="auto"/>
          <w:szCs w:val="21"/>
          <w:highlight w:val="none"/>
          <w:lang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标段划分：</w:t>
      </w:r>
      <w:r>
        <w:rPr>
          <w:rFonts w:hint="eastAsia" w:eastAsia="宋体" w:cs="宋体"/>
          <w:color w:val="auto"/>
          <w:kern w:val="2"/>
          <w:sz w:val="21"/>
          <w:szCs w:val="21"/>
          <w:highlight w:val="none"/>
          <w:u w:val="none"/>
          <w:lang w:eastAsia="zh-CN"/>
        </w:rPr>
        <w:t>本次招标共划分</w:t>
      </w:r>
      <w:r>
        <w:rPr>
          <w:rFonts w:hint="eastAsia" w:cs="宋体"/>
          <w:color w:val="auto"/>
          <w:kern w:val="2"/>
          <w:sz w:val="21"/>
          <w:szCs w:val="21"/>
          <w:highlight w:val="none"/>
          <w:u w:val="none"/>
          <w:lang w:val="en-US" w:eastAsia="zh-CN"/>
        </w:rPr>
        <w:t>一</w:t>
      </w:r>
      <w:r>
        <w:rPr>
          <w:rFonts w:hint="eastAsia" w:eastAsia="宋体" w:cs="宋体"/>
          <w:color w:val="auto"/>
          <w:kern w:val="2"/>
          <w:sz w:val="21"/>
          <w:szCs w:val="21"/>
          <w:highlight w:val="none"/>
          <w:u w:val="none"/>
          <w:lang w:eastAsia="zh-CN"/>
        </w:rPr>
        <w:t>个标段</w:t>
      </w:r>
      <w:r>
        <w:rPr>
          <w:rFonts w:hint="eastAsia" w:cs="宋体"/>
          <w:color w:val="auto"/>
          <w:kern w:val="2"/>
          <w:sz w:val="21"/>
          <w:szCs w:val="21"/>
          <w:highlight w:val="none"/>
          <w:u w:val="none"/>
          <w:lang w:eastAsia="zh-CN"/>
        </w:rPr>
        <w:t>。</w:t>
      </w:r>
    </w:p>
    <w:p w14:paraId="755593C4">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2.7招标范围：本项目的设计、施工、材料设备的采购和保管、安装及调试、竣工验收、移交、配合备案、工程缺陷责任期内的缺陷修复和保修服务等。</w:t>
      </w:r>
    </w:p>
    <w:p w14:paraId="0E97D9A8">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2.8质量要求：</w:t>
      </w:r>
    </w:p>
    <w:p w14:paraId="3493E973">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设计要求的质量标准：符合国家、地方现行设计标准，并保证最终通过审批（若标准不一致时，以较高者为准）</w:t>
      </w:r>
      <w:r>
        <w:rPr>
          <w:rFonts w:hint="eastAsia" w:ascii="宋体" w:hAnsi="宋体" w:cs="宋体"/>
          <w:color w:val="auto"/>
          <w:kern w:val="0"/>
          <w:sz w:val="21"/>
          <w:szCs w:val="21"/>
          <w:highlight w:val="none"/>
          <w:lang w:val="en-US" w:eastAsia="zh-CN" w:bidi="ar-SA"/>
        </w:rPr>
        <w:t>；</w:t>
      </w:r>
    </w:p>
    <w:p w14:paraId="5A371107">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施工要求的质量标准：达到国家、地方现行有关施工质量验收规范合格标准（若标准不一致时，以较高者为准）。</w:t>
      </w:r>
    </w:p>
    <w:p w14:paraId="2BCF11BD">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2.9计划工期：</w:t>
      </w:r>
      <w:r>
        <w:rPr>
          <w:rFonts w:hint="eastAsia" w:ascii="宋体" w:hAnsi="宋体" w:cs="宋体"/>
          <w:color w:val="auto"/>
          <w:kern w:val="0"/>
          <w:sz w:val="21"/>
          <w:szCs w:val="21"/>
          <w:highlight w:val="none"/>
          <w:lang w:val="en-US" w:eastAsia="zh-CN" w:bidi="ar-SA"/>
        </w:rPr>
        <w:t>12个月（含设计周期）</w:t>
      </w:r>
      <w:r>
        <w:rPr>
          <w:rFonts w:hint="eastAsia" w:ascii="宋体" w:hAnsi="宋体" w:eastAsia="宋体" w:cs="宋体"/>
          <w:color w:val="auto"/>
          <w:kern w:val="0"/>
          <w:sz w:val="21"/>
          <w:szCs w:val="21"/>
          <w:highlight w:val="none"/>
          <w:lang w:val="en-US" w:eastAsia="zh-CN" w:bidi="ar-SA"/>
        </w:rPr>
        <w:t>。</w:t>
      </w:r>
    </w:p>
    <w:p w14:paraId="0F86310A">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2.10本次招标实行电子招投标。</w:t>
      </w:r>
    </w:p>
    <w:p w14:paraId="3C5E65D1">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2.11本项目实行资格后审。</w:t>
      </w:r>
    </w:p>
    <w:p w14:paraId="0A394185">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2.12评标和定标方法：评定分离，采用“合格制+综合评审”评审的方式；</w:t>
      </w:r>
    </w:p>
    <w:p w14:paraId="7904E9B4">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定标方法：“核查随机法”。</w:t>
      </w:r>
    </w:p>
    <w:p w14:paraId="44057799">
      <w:pPr>
        <w:pStyle w:val="4"/>
        <w:keepNext w:val="0"/>
        <w:keepLines w:val="0"/>
        <w:pageBreakBefore w:val="0"/>
        <w:numPr>
          <w:ilvl w:val="0"/>
          <w:numId w:val="0"/>
        </w:numPr>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 xml:space="preserve">3. </w:t>
      </w:r>
      <w:r>
        <w:rPr>
          <w:rFonts w:hint="eastAsia" w:ascii="宋体" w:hAnsi="宋体" w:eastAsia="宋体" w:cs="宋体"/>
          <w:b/>
          <w:color w:val="auto"/>
          <w:szCs w:val="21"/>
          <w:highlight w:val="none"/>
        </w:rPr>
        <w:t>投标人资格要求</w:t>
      </w:r>
    </w:p>
    <w:p w14:paraId="7C7FBEC8">
      <w:pPr>
        <w:spacing w:line="42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3.1</w:t>
      </w:r>
      <w:r>
        <w:rPr>
          <w:rFonts w:hint="eastAsia" w:ascii="宋体" w:hAnsi="宋体" w:eastAsia="宋体" w:cs="宋体"/>
          <w:bCs/>
          <w:color w:val="auto"/>
          <w:szCs w:val="21"/>
          <w:highlight w:val="none"/>
          <w:lang w:val="en-US" w:eastAsia="zh-CN"/>
        </w:rPr>
        <w:t>投标人具有有效的营业执照或其他组织证明文件</w:t>
      </w:r>
      <w:r>
        <w:rPr>
          <w:rFonts w:hint="eastAsia" w:ascii="宋体" w:hAnsi="宋体" w:eastAsia="宋体" w:cs="宋体"/>
          <w:bCs/>
          <w:color w:val="auto"/>
          <w:szCs w:val="21"/>
          <w:highlight w:val="none"/>
        </w:rPr>
        <w:t>；</w:t>
      </w:r>
    </w:p>
    <w:p w14:paraId="14515A8F">
      <w:pPr>
        <w:spacing w:line="42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2施工资质：</w:t>
      </w:r>
      <w:r>
        <w:rPr>
          <w:rFonts w:hint="eastAsia" w:asciiTheme="minorEastAsia" w:hAnsiTheme="minorEastAsia" w:eastAsiaTheme="minorEastAsia" w:cstheme="minorEastAsia"/>
          <w:bCs/>
          <w:color w:val="auto"/>
          <w:szCs w:val="21"/>
          <w:highlight w:val="none"/>
        </w:rPr>
        <w:t>投标人须</w:t>
      </w:r>
      <w:r>
        <w:rPr>
          <w:rFonts w:hint="eastAsia" w:asciiTheme="minorEastAsia" w:hAnsiTheme="minorEastAsia" w:eastAsiaTheme="minorEastAsia" w:cstheme="minorEastAsia"/>
          <w:bCs/>
          <w:color w:val="auto"/>
          <w:szCs w:val="21"/>
          <w:highlight w:val="none"/>
          <w:lang w:val="en-US" w:eastAsia="zh-CN"/>
        </w:rPr>
        <w:t>同时</w:t>
      </w:r>
      <w:r>
        <w:rPr>
          <w:rFonts w:hint="eastAsia" w:asciiTheme="minorEastAsia" w:hAnsiTheme="minorEastAsia" w:eastAsiaTheme="minorEastAsia" w:cstheme="minorEastAsia"/>
          <w:bCs/>
          <w:color w:val="auto"/>
          <w:szCs w:val="21"/>
          <w:highlight w:val="none"/>
        </w:rPr>
        <w:t>具有住房和城乡建设部门颁发的</w:t>
      </w:r>
      <w:r>
        <w:rPr>
          <w:rFonts w:hint="eastAsia" w:asciiTheme="minorEastAsia" w:hAnsiTheme="minorEastAsia" w:eastAsiaTheme="minorEastAsia" w:cstheme="minorEastAsia"/>
          <w:color w:val="auto"/>
          <w:szCs w:val="21"/>
          <w:highlight w:val="none"/>
        </w:rPr>
        <w:t>①</w:t>
      </w:r>
      <w:r>
        <w:rPr>
          <w:rFonts w:hint="eastAsia" w:asciiTheme="minorEastAsia" w:hAnsiTheme="minorEastAsia" w:eastAsiaTheme="minorEastAsia" w:cstheme="minorEastAsia"/>
          <w:bCs/>
          <w:color w:val="auto"/>
          <w:szCs w:val="21"/>
          <w:highlight w:val="none"/>
          <w:lang w:val="en-US" w:eastAsia="zh-CN"/>
        </w:rPr>
        <w:t>市政公用工程</w:t>
      </w:r>
      <w:r>
        <w:rPr>
          <w:rFonts w:hint="eastAsia" w:asciiTheme="minorEastAsia" w:hAnsiTheme="minorEastAsia" w:eastAsiaTheme="minorEastAsia" w:cstheme="minorEastAsia"/>
          <w:bCs/>
          <w:color w:val="auto"/>
          <w:szCs w:val="21"/>
          <w:highlight w:val="none"/>
        </w:rPr>
        <w:t>施工总承包</w:t>
      </w:r>
      <w:r>
        <w:rPr>
          <w:rFonts w:hint="eastAsia" w:asciiTheme="minorEastAsia" w:hAnsiTheme="minorEastAsia" w:eastAsiaTheme="minorEastAsia" w:cstheme="minorEastAsia"/>
          <w:bCs/>
          <w:color w:val="auto"/>
          <w:szCs w:val="21"/>
          <w:highlight w:val="none"/>
          <w:lang w:val="en-US" w:eastAsia="zh-CN"/>
        </w:rPr>
        <w:t>二</w:t>
      </w:r>
      <w:r>
        <w:rPr>
          <w:rFonts w:hint="eastAsia" w:asciiTheme="minorEastAsia" w:hAnsiTheme="minorEastAsia" w:eastAsiaTheme="minorEastAsia" w:cstheme="minorEastAsia"/>
          <w:bCs/>
          <w:color w:val="auto"/>
          <w:szCs w:val="21"/>
          <w:highlight w:val="none"/>
        </w:rPr>
        <w:t>级及以上资质</w:t>
      </w:r>
      <w:r>
        <w:rPr>
          <w:rFonts w:hint="eastAsia" w:asciiTheme="minorEastAsia" w:hAnsiTheme="minorEastAsia" w:eastAsiaTheme="minorEastAsia" w:cstheme="minorEastAsia"/>
          <w:bCs/>
          <w:color w:val="auto"/>
          <w:szCs w:val="21"/>
          <w:highlight w:val="none"/>
          <w:lang w:val="en-US" w:eastAsia="zh-CN"/>
        </w:rPr>
        <w:t>和建筑装修装饰工程专业承包二级资质</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具有有效的企业安全生产许可证</w:t>
      </w:r>
      <w:r>
        <w:rPr>
          <w:rFonts w:hint="eastAsia" w:ascii="宋体" w:hAnsi="宋体" w:eastAsia="宋体" w:cs="宋体"/>
          <w:bCs/>
          <w:color w:val="auto"/>
          <w:szCs w:val="21"/>
          <w:highlight w:val="none"/>
        </w:rPr>
        <w:t>；；</w:t>
      </w:r>
    </w:p>
    <w:p w14:paraId="54AE7C07">
      <w:pPr>
        <w:spacing w:line="42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设计资质：</w:t>
      </w:r>
      <w:r>
        <w:rPr>
          <w:rFonts w:hint="eastAsia" w:asciiTheme="minorEastAsia" w:hAnsiTheme="minorEastAsia" w:eastAsiaTheme="minorEastAsia" w:cstheme="minorEastAsia"/>
          <w:color w:val="auto"/>
          <w:szCs w:val="21"/>
          <w:highlight w:val="none"/>
        </w:rPr>
        <w:t>投标人须具有</w:t>
      </w:r>
      <w:r>
        <w:rPr>
          <w:rFonts w:hint="eastAsia" w:asciiTheme="minorEastAsia" w:hAnsiTheme="minorEastAsia" w:eastAsiaTheme="minorEastAsia" w:cstheme="minorEastAsia"/>
          <w:bCs/>
          <w:color w:val="auto"/>
          <w:szCs w:val="21"/>
          <w:highlight w:val="none"/>
        </w:rPr>
        <w:t>住房和城乡建设部门颁发的</w:t>
      </w:r>
      <w:r>
        <w:rPr>
          <w:rFonts w:hint="eastAsia" w:asciiTheme="minorEastAsia" w:hAnsiTheme="minorEastAsia" w:eastAsiaTheme="minorEastAsia" w:cstheme="minorEastAsia"/>
          <w:color w:val="auto"/>
          <w:szCs w:val="21"/>
          <w:highlight w:val="none"/>
        </w:rPr>
        <w:t>工程设计综合甲级资质或</w:t>
      </w:r>
      <w:r>
        <w:rPr>
          <w:rFonts w:hint="eastAsia" w:asciiTheme="minorEastAsia" w:hAnsiTheme="minorEastAsia" w:eastAsiaTheme="minorEastAsia" w:cstheme="minorEastAsia"/>
          <w:color w:val="auto"/>
          <w:szCs w:val="21"/>
          <w:highlight w:val="none"/>
          <w:lang w:val="en-US" w:eastAsia="zh-CN"/>
        </w:rPr>
        <w:t>同时具有</w:t>
      </w:r>
      <w:r>
        <w:rPr>
          <w:rFonts w:hint="eastAsia" w:asciiTheme="minorEastAsia" w:hAnsiTheme="minorEastAsia" w:eastAsiaTheme="minorEastAsia" w:cstheme="minorEastAsia"/>
          <w:color w:val="auto"/>
          <w:szCs w:val="21"/>
          <w:highlight w:val="none"/>
        </w:rPr>
        <w:t>①市政行业乙级及以上资质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②建筑行业</w:t>
      </w:r>
      <w:r>
        <w:rPr>
          <w:rFonts w:hint="eastAsia" w:asciiTheme="minorEastAsia" w:hAnsiTheme="minorEastAsia" w:eastAsiaTheme="minorEastAsia" w:cstheme="minorEastAsia"/>
          <w:color w:val="auto"/>
          <w:szCs w:val="21"/>
          <w:highlight w:val="none"/>
          <w:lang w:val="en-US" w:eastAsia="zh-CN"/>
        </w:rPr>
        <w:t>乙级及以上</w:t>
      </w:r>
      <w:r>
        <w:rPr>
          <w:rFonts w:hint="eastAsia" w:asciiTheme="minorEastAsia" w:hAnsiTheme="minorEastAsia" w:eastAsiaTheme="minorEastAsia" w:cstheme="minorEastAsia"/>
          <w:color w:val="auto"/>
          <w:szCs w:val="21"/>
          <w:highlight w:val="none"/>
        </w:rPr>
        <w:t>资质或建筑行业（建筑工程）</w:t>
      </w:r>
      <w:r>
        <w:rPr>
          <w:rFonts w:hint="eastAsia" w:asciiTheme="minorEastAsia" w:hAnsiTheme="minorEastAsia" w:eastAsiaTheme="minorEastAsia" w:cstheme="minorEastAsia"/>
          <w:color w:val="auto"/>
          <w:szCs w:val="21"/>
          <w:highlight w:val="none"/>
          <w:lang w:val="en-US" w:eastAsia="zh-CN"/>
        </w:rPr>
        <w:t>专业乙级及以上</w:t>
      </w:r>
      <w:r>
        <w:rPr>
          <w:rFonts w:hint="eastAsia" w:asciiTheme="minorEastAsia" w:hAnsiTheme="minorEastAsia" w:eastAsiaTheme="minorEastAsia" w:cstheme="minorEastAsia"/>
          <w:color w:val="auto"/>
          <w:szCs w:val="21"/>
          <w:highlight w:val="none"/>
        </w:rPr>
        <w:t>资质</w:t>
      </w:r>
      <w:r>
        <w:rPr>
          <w:rFonts w:hint="eastAsia" w:asciiTheme="minorEastAsia" w:hAnsiTheme="minorEastAsia" w:eastAsiaTheme="minorEastAsia" w:cstheme="minorEastAsia"/>
          <w:color w:val="auto"/>
          <w:szCs w:val="21"/>
          <w:highlight w:val="none"/>
          <w:lang w:val="en-US" w:eastAsia="zh-CN"/>
        </w:rPr>
        <w:t>或建筑装饰工程设计专项甲级资质</w:t>
      </w:r>
      <w:r>
        <w:rPr>
          <w:rFonts w:hint="eastAsia" w:ascii="宋体" w:hAnsi="宋体" w:eastAsia="宋体" w:cs="宋体"/>
          <w:color w:val="auto"/>
          <w:szCs w:val="21"/>
          <w:highlight w:val="none"/>
          <w:lang w:eastAsia="zh-CN"/>
        </w:rPr>
        <w:t>；</w:t>
      </w:r>
    </w:p>
    <w:p w14:paraId="3F007DC2">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人员要求</w:t>
      </w:r>
    </w:p>
    <w:p w14:paraId="3F7421F6">
      <w:pPr>
        <w:spacing w:line="420" w:lineRule="exact"/>
        <w:ind w:firstLine="420" w:firstLineChars="200"/>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拟派工程总承包项目经理：具</w:t>
      </w:r>
      <w:r>
        <w:rPr>
          <w:rFonts w:hint="eastAsia" w:asciiTheme="minorEastAsia" w:hAnsiTheme="minorEastAsia" w:eastAsiaTheme="minorEastAsia" w:cstheme="minorEastAsia"/>
          <w:bCs/>
          <w:color w:val="auto"/>
          <w:szCs w:val="21"/>
          <w:highlight w:val="none"/>
        </w:rPr>
        <w:t>有建筑工程专业</w:t>
      </w:r>
      <w:r>
        <w:rPr>
          <w:rFonts w:hint="eastAsia" w:asciiTheme="minorEastAsia" w:hAnsiTheme="minorEastAsia" w:eastAsiaTheme="minorEastAsia" w:cstheme="minorEastAsia"/>
          <w:b w:val="0"/>
          <w:bCs/>
          <w:color w:val="auto"/>
          <w:szCs w:val="21"/>
          <w:highlight w:val="none"/>
          <w:lang w:val="en-US" w:eastAsia="zh-CN"/>
        </w:rPr>
        <w:t>和</w:t>
      </w:r>
      <w:r>
        <w:rPr>
          <w:rFonts w:hint="eastAsia" w:asciiTheme="minorEastAsia" w:hAnsiTheme="minorEastAsia" w:eastAsiaTheme="minorEastAsia" w:cstheme="minorEastAsia"/>
          <w:bCs/>
          <w:color w:val="auto"/>
          <w:szCs w:val="21"/>
          <w:highlight w:val="none"/>
          <w:lang w:val="en-US" w:eastAsia="zh-CN"/>
        </w:rPr>
        <w:t>市政公用工程专业二</w:t>
      </w:r>
      <w:r>
        <w:rPr>
          <w:rFonts w:hint="eastAsia" w:asciiTheme="minorEastAsia" w:hAnsiTheme="minorEastAsia" w:eastAsiaTheme="minorEastAsia" w:cstheme="minorEastAsia"/>
          <w:bCs/>
          <w:color w:val="auto"/>
          <w:szCs w:val="21"/>
          <w:highlight w:val="none"/>
        </w:rPr>
        <w:t>级</w:t>
      </w:r>
      <w:r>
        <w:rPr>
          <w:rFonts w:hint="eastAsia" w:asciiTheme="minorEastAsia" w:hAnsiTheme="minorEastAsia" w:eastAsiaTheme="minorEastAsia" w:cstheme="minorEastAsia"/>
          <w:bCs/>
          <w:color w:val="auto"/>
          <w:szCs w:val="21"/>
          <w:highlight w:val="none"/>
          <w:lang w:val="en-US" w:eastAsia="zh-CN"/>
        </w:rPr>
        <w:t>及以上</w:t>
      </w:r>
      <w:r>
        <w:rPr>
          <w:rFonts w:hint="eastAsia" w:asciiTheme="minorEastAsia" w:hAnsiTheme="minorEastAsia" w:eastAsiaTheme="minorEastAsia" w:cstheme="minorEastAsia"/>
          <w:bCs/>
          <w:color w:val="auto"/>
          <w:szCs w:val="21"/>
          <w:highlight w:val="none"/>
        </w:rPr>
        <w:t>注册建造师（不含临时）资格证书，具有有效的安全生产考核合格证书，且不得在其他在建项目中担任工程总承包项目经理、施工项目负责人</w:t>
      </w:r>
      <w:r>
        <w:rPr>
          <w:rFonts w:hint="eastAsia" w:ascii="宋体" w:hAnsi="宋体" w:cs="宋体"/>
          <w:bCs/>
          <w:color w:val="auto"/>
          <w:szCs w:val="21"/>
          <w:highlight w:val="none"/>
          <w:lang w:val="en-US" w:eastAsia="zh-CN"/>
        </w:rPr>
        <w:t>；</w:t>
      </w:r>
    </w:p>
    <w:p w14:paraId="18A1DC71">
      <w:pPr>
        <w:spacing w:line="42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拟派设计负责人：</w:t>
      </w:r>
      <w:r>
        <w:rPr>
          <w:rFonts w:hint="eastAsia" w:ascii="宋体" w:hAnsi="宋体" w:cs="宋体"/>
          <w:bCs/>
          <w:color w:val="auto"/>
          <w:szCs w:val="21"/>
          <w:highlight w:val="none"/>
          <w:lang w:eastAsia="zh-CN"/>
        </w:rPr>
        <w:t>具有相关专业高级及以上技术职称。</w:t>
      </w:r>
    </w:p>
    <w:p w14:paraId="3DC6DECB">
      <w:pPr>
        <w:spacing w:line="420" w:lineRule="exact"/>
        <w:ind w:firstLine="422" w:firstLineChars="200"/>
        <w:jc w:val="left"/>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rPr>
        <w:t>注：以上人员均需提供相关证书及在本单位缴纳的2025年</w:t>
      </w:r>
      <w:r>
        <w:rPr>
          <w:rFonts w:hint="eastAsia" w:ascii="宋体" w:hAnsi="宋体" w:cs="宋体"/>
          <w:b/>
          <w:bCs w:val="0"/>
          <w:color w:val="auto"/>
          <w:szCs w:val="21"/>
          <w:highlight w:val="none"/>
          <w:lang w:val="en-US" w:eastAsia="zh-CN"/>
        </w:rPr>
        <w:t>6月1日</w:t>
      </w:r>
      <w:r>
        <w:rPr>
          <w:rFonts w:hint="eastAsia" w:ascii="宋体" w:hAnsi="宋体" w:cs="宋体"/>
          <w:b/>
          <w:bCs w:val="0"/>
          <w:color w:val="auto"/>
          <w:szCs w:val="21"/>
          <w:highlight w:val="none"/>
        </w:rPr>
        <w:t>以来</w:t>
      </w:r>
      <w:r>
        <w:rPr>
          <w:rFonts w:hint="eastAsia" w:ascii="宋体" w:hAnsi="宋体" w:cs="宋体"/>
          <w:b/>
          <w:bCs w:val="0"/>
          <w:color w:val="auto"/>
          <w:szCs w:val="21"/>
          <w:highlight w:val="none"/>
          <w:lang w:val="en-US" w:eastAsia="zh-CN"/>
        </w:rPr>
        <w:t>任意1</w:t>
      </w:r>
      <w:r>
        <w:rPr>
          <w:rFonts w:hint="eastAsia" w:ascii="宋体" w:hAnsi="宋体" w:cs="宋体"/>
          <w:b/>
          <w:bCs w:val="0"/>
          <w:color w:val="auto"/>
          <w:szCs w:val="21"/>
          <w:highlight w:val="none"/>
        </w:rPr>
        <w:t>个月社保证明</w:t>
      </w:r>
      <w:r>
        <w:rPr>
          <w:rFonts w:hint="eastAsia" w:ascii="宋体" w:hAnsi="宋体" w:cs="宋体"/>
          <w:b/>
          <w:bCs w:val="0"/>
          <w:color w:val="auto"/>
          <w:szCs w:val="21"/>
          <w:highlight w:val="none"/>
          <w:lang w:val="en-US" w:eastAsia="zh-CN"/>
        </w:rPr>
        <w:t>。</w:t>
      </w:r>
    </w:p>
    <w:p w14:paraId="55F4D0C0">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财务要求：投标人提供202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年度经审计的财务审计报告（成立年限不足的提供基本开户银行出具的资信证明）</w:t>
      </w:r>
      <w:r>
        <w:rPr>
          <w:rFonts w:hint="eastAsia" w:ascii="宋体" w:hAnsi="宋体" w:cs="宋体"/>
          <w:b/>
          <w:bCs w:val="0"/>
          <w:color w:val="auto"/>
          <w:szCs w:val="21"/>
          <w:highlight w:val="none"/>
        </w:rPr>
        <w:t>（若为联合体投标，仅联合体牵头人提供）</w:t>
      </w:r>
      <w:r>
        <w:rPr>
          <w:rFonts w:hint="eastAsia" w:ascii="宋体" w:hAnsi="宋体" w:cs="宋体"/>
          <w:bCs/>
          <w:color w:val="auto"/>
          <w:szCs w:val="21"/>
          <w:highlight w:val="none"/>
          <w:lang w:val="en-US" w:eastAsia="zh-CN"/>
        </w:rPr>
        <w:t>。</w:t>
      </w:r>
    </w:p>
    <w:p w14:paraId="7E2C6C0E">
      <w:pPr>
        <w:spacing w:line="420" w:lineRule="exact"/>
        <w:ind w:firstLine="420" w:firstLineChars="200"/>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信誉要求</w:t>
      </w:r>
      <w:r>
        <w:rPr>
          <w:rFonts w:hint="eastAsia" w:ascii="宋体" w:hAnsi="宋体" w:cs="宋体"/>
          <w:bCs/>
          <w:color w:val="auto"/>
          <w:szCs w:val="21"/>
          <w:highlight w:val="none"/>
          <w:lang w:eastAsia="zh-CN"/>
        </w:rPr>
        <w:t>：</w:t>
      </w:r>
    </w:p>
    <w:p w14:paraId="78EEC17D">
      <w:pPr>
        <w:spacing w:line="420" w:lineRule="exact"/>
        <w:ind w:firstLine="420" w:firstLineChars="200"/>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）未被列入全国或</w:t>
      </w:r>
      <w:r>
        <w:rPr>
          <w:rFonts w:hint="eastAsia" w:ascii="宋体" w:hAnsi="宋体" w:cs="宋体"/>
          <w:bCs/>
          <w:color w:val="auto"/>
          <w:szCs w:val="21"/>
          <w:highlight w:val="none"/>
          <w:lang w:val="en-US" w:eastAsia="zh-CN"/>
        </w:rPr>
        <w:t>河南省</w:t>
      </w:r>
      <w:r>
        <w:rPr>
          <w:rFonts w:hint="eastAsia" w:ascii="宋体" w:hAnsi="宋体" w:cs="宋体"/>
          <w:bCs/>
          <w:color w:val="auto"/>
          <w:szCs w:val="21"/>
          <w:highlight w:val="none"/>
          <w:lang w:eastAsia="zh-CN"/>
        </w:rPr>
        <w:t>建筑市场监管公共服务平台“黑名单”且在管理期限内的（投标人、拟派项目经理）；</w:t>
      </w:r>
    </w:p>
    <w:p w14:paraId="1DB99F1C">
      <w:pPr>
        <w:spacing w:line="420" w:lineRule="exact"/>
        <w:ind w:firstLine="420" w:firstLineChars="200"/>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）未被列入国家企业信用信息公示系统“严重违法失信名单”且在管理期限内的（投标人）；</w:t>
      </w:r>
    </w:p>
    <w:p w14:paraId="34FB5FB6">
      <w:pPr>
        <w:spacing w:line="420" w:lineRule="exact"/>
        <w:ind w:firstLine="420" w:firstLineChars="200"/>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）未被列入信用中国网站“失信被执行人”“重大税收违法失信主体”（投标人）；</w:t>
      </w:r>
    </w:p>
    <w:p w14:paraId="27E34232">
      <w:pPr>
        <w:spacing w:line="420" w:lineRule="exact"/>
        <w:ind w:firstLine="420" w:firstLineChars="200"/>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）投标所用资质项在全国或</w:t>
      </w:r>
      <w:r>
        <w:rPr>
          <w:rFonts w:hint="eastAsia" w:ascii="宋体" w:hAnsi="宋体" w:cs="宋体"/>
          <w:bCs/>
          <w:color w:val="auto"/>
          <w:szCs w:val="21"/>
          <w:highlight w:val="none"/>
          <w:lang w:val="en-US" w:eastAsia="zh-CN"/>
        </w:rPr>
        <w:t>河南省</w:t>
      </w:r>
      <w:r>
        <w:rPr>
          <w:rFonts w:hint="eastAsia" w:ascii="宋体" w:hAnsi="宋体" w:cs="宋体"/>
          <w:bCs/>
          <w:color w:val="auto"/>
          <w:szCs w:val="21"/>
          <w:highlight w:val="none"/>
          <w:lang w:eastAsia="zh-CN"/>
        </w:rPr>
        <w:t>建筑市场监管公共服务平台资质状况被标注资质异常状态的（投标人）；</w:t>
      </w:r>
    </w:p>
    <w:p w14:paraId="1D994C16">
      <w:pPr>
        <w:spacing w:line="420" w:lineRule="exact"/>
        <w:ind w:firstLine="422" w:firstLineChars="200"/>
        <w:jc w:val="left"/>
        <w:rPr>
          <w:rFonts w:hint="eastAsia" w:ascii="宋体" w:hAnsi="宋体" w:cs="宋体"/>
          <w:b/>
          <w:bCs w:val="0"/>
          <w:color w:val="auto"/>
          <w:szCs w:val="21"/>
          <w:highlight w:val="none"/>
          <w:lang w:eastAsia="zh-CN"/>
        </w:rPr>
      </w:pPr>
      <w:r>
        <w:rPr>
          <w:rFonts w:hint="eastAsia" w:ascii="宋体" w:hAnsi="宋体" w:cs="宋体"/>
          <w:b/>
          <w:bCs w:val="0"/>
          <w:color w:val="auto"/>
          <w:szCs w:val="21"/>
          <w:highlight w:val="none"/>
          <w:lang w:eastAsia="zh-CN"/>
        </w:rPr>
        <w:t>注：投标人需提供上述途径查询结果截图（若为联合体投标，联合体各方均需提供查询截图），并对其真实性负责。查询时间为招标公告发布之日后，投标截止时间前，查询结果需显示时间。若存在一个及以上记录的，其投标资格应予以否决。</w:t>
      </w:r>
    </w:p>
    <w:p w14:paraId="3041AB82">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本</w:t>
      </w:r>
      <w:r>
        <w:rPr>
          <w:rFonts w:hint="eastAsia" w:ascii="宋体" w:hAnsi="宋体" w:cs="宋体"/>
          <w:bCs/>
          <w:color w:val="auto"/>
          <w:szCs w:val="21"/>
          <w:highlight w:val="none"/>
          <w:lang w:val="en-US" w:eastAsia="zh-CN"/>
        </w:rPr>
        <w:t>项目</w:t>
      </w:r>
      <w:r>
        <w:rPr>
          <w:rFonts w:hint="eastAsia" w:ascii="宋体" w:hAnsi="宋体" w:eastAsia="宋体" w:cs="宋体"/>
          <w:bCs/>
          <w:color w:val="auto"/>
          <w:szCs w:val="21"/>
          <w:highlight w:val="none"/>
        </w:rPr>
        <w:t>接受联合体投标。</w:t>
      </w:r>
    </w:p>
    <w:p w14:paraId="6C308CEC">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联合体投标的，还应满足下列要求：</w:t>
      </w:r>
    </w:p>
    <w:p w14:paraId="41CECB23">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（1）联合体各方必须签订联合体协议书，明确联合体的牵头人，其资质等级应符合资格要求；</w:t>
      </w:r>
    </w:p>
    <w:p w14:paraId="364CF6A1">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联合体各成员应当共同与招标人签订合同，联合体牵头人代表联合体各方成员负责投标和合同实施阶段的主办、协调工作，但联合体其他成员在投标、签约与履行合同过程中，仍负有连带的和各自的法律责任；</w:t>
      </w:r>
    </w:p>
    <w:p w14:paraId="6D30312C">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eastAsia="zh-CN"/>
        </w:rPr>
        <w:t>联合体各方</w:t>
      </w:r>
      <w:r>
        <w:rPr>
          <w:rFonts w:hint="eastAsia" w:ascii="宋体" w:hAnsi="宋体" w:cs="宋体"/>
          <w:bCs/>
          <w:color w:val="auto"/>
          <w:szCs w:val="21"/>
          <w:highlight w:val="none"/>
        </w:rPr>
        <w:t>签订联合体协议书后，不得再以自己的名义单独参与该</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投标，也不得组成新的联合体参与该</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的投标；</w:t>
      </w:r>
    </w:p>
    <w:p w14:paraId="4A3470D5">
      <w:pPr>
        <w:spacing w:line="4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（4）联合体各方应分别在人员、设备、资金等方面具有承担本项目联合体协议书分工职责范围内的履约能力。</w:t>
      </w:r>
    </w:p>
    <w:p w14:paraId="6926BA64">
      <w:pPr>
        <w:pStyle w:val="4"/>
        <w:keepNext w:val="0"/>
        <w:keepLines w:val="0"/>
        <w:pageBreakBefore w:val="0"/>
        <w:numPr>
          <w:ilvl w:val="0"/>
          <w:numId w:val="0"/>
        </w:numPr>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kern w:val="2"/>
          <w:sz w:val="21"/>
          <w:szCs w:val="21"/>
          <w:highlight w:val="none"/>
          <w:lang w:val="en-US" w:eastAsia="zh-CN" w:bidi="ar-SA"/>
        </w:rPr>
        <w:t>4.</w:t>
      </w:r>
      <w:r>
        <w:rPr>
          <w:rFonts w:hint="eastAsia" w:ascii="宋体" w:hAnsi="宋体" w:eastAsia="宋体" w:cs="宋体"/>
          <w:b/>
          <w:bCs w:val="0"/>
          <w:color w:val="auto"/>
          <w:szCs w:val="21"/>
          <w:highlight w:val="none"/>
        </w:rPr>
        <w:t>招标文件的获取</w:t>
      </w:r>
    </w:p>
    <w:p w14:paraId="5B6D5686">
      <w:pPr>
        <w:wordWrap w:val="0"/>
        <w:topLinePunct/>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4.1企业诚信库注册</w:t>
      </w:r>
    </w:p>
    <w:p w14:paraId="2A43F970">
      <w:pPr>
        <w:wordWrap w:val="0"/>
        <w:topLinePunct/>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凡有意参加本项目的投标人，请登录“信阳市公共资源交易中心（https://ggzyjy.xinyang.gov.cn/）”网站进行交易主体自主注册，按网站公告通知有关要求填报企业信息并上传有关原件扫描件，不需携带原件到信阳市公共资源交易中心进行审核。</w:t>
      </w:r>
    </w:p>
    <w:p w14:paraId="3C6CFA8F">
      <w:pPr>
        <w:wordWrap w:val="0"/>
        <w:topLinePunct/>
        <w:snapToGrid w:val="0"/>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4.2办理CA数字证书</w:t>
      </w:r>
    </w:p>
    <w:p w14:paraId="06BAB1E2">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0B4FC5DF">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4.3招标文件获取方式</w:t>
      </w:r>
    </w:p>
    <w:p w14:paraId="6A5F8AB2">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https://ggzyjy.xinyang.gov.cn/)”网站下载中心栏目内下载或招标文件领取页面下载）。</w:t>
      </w:r>
    </w:p>
    <w:p w14:paraId="4207D347">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4.4招标文件的下载时间：</w:t>
      </w:r>
      <w:r>
        <w:rPr>
          <w:rFonts w:hint="eastAsia" w:asciiTheme="minorEastAsia" w:hAnsiTheme="minorEastAsia" w:eastAsiaTheme="minorEastAsia" w:cstheme="minorEastAsia"/>
          <w:bCs/>
          <w:color w:val="auto"/>
          <w:szCs w:val="21"/>
          <w:highlight w:val="none"/>
          <w:u w:val="single"/>
        </w:rPr>
        <w:t xml:space="preserve"> 202</w:t>
      </w:r>
      <w:r>
        <w:rPr>
          <w:rFonts w:hint="eastAsia" w:asciiTheme="minorEastAsia" w:hAnsiTheme="minorEastAsia" w:eastAsiaTheme="minorEastAsia" w:cstheme="minorEastAsia"/>
          <w:bCs/>
          <w:color w:val="auto"/>
          <w:szCs w:val="21"/>
          <w:highlight w:val="none"/>
          <w:u w:val="single"/>
          <w:lang w:val="en-US" w:eastAsia="zh-CN"/>
        </w:rPr>
        <w:t>6</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 xml:space="preserve">日至 </w:t>
      </w:r>
      <w:r>
        <w:rPr>
          <w:rFonts w:hint="eastAsia" w:asciiTheme="minorEastAsia" w:hAnsiTheme="minorEastAsia" w:eastAsiaTheme="minorEastAsia" w:cstheme="minorEastAsia"/>
          <w:bCs/>
          <w:color w:val="auto"/>
          <w:szCs w:val="21"/>
          <w:highlight w:val="none"/>
          <w:u w:val="single"/>
        </w:rPr>
        <w:t>202</w:t>
      </w:r>
      <w:r>
        <w:rPr>
          <w:rFonts w:hint="eastAsia" w:asciiTheme="minorEastAsia" w:hAnsiTheme="minorEastAsia" w:eastAsiaTheme="minorEastAsia" w:cstheme="minorEastAsia"/>
          <w:bCs/>
          <w:color w:val="auto"/>
          <w:szCs w:val="21"/>
          <w:highlight w:val="none"/>
          <w:u w:val="single"/>
          <w:lang w:val="en-US" w:eastAsia="zh-CN"/>
        </w:rPr>
        <w:t>6</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日。</w:t>
      </w:r>
    </w:p>
    <w:p w14:paraId="790267B2">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4.5招标文件售价：0元/份。请投标人下载招标文件后，及时关注系统业务菜单（“答疑澄清文件领取”，“控制价文件领取”）内该项目是否有新的答疑澄清文件或控制价文件。如有请直接下载，不再另行通知。</w:t>
      </w:r>
    </w:p>
    <w:p w14:paraId="06107D2A">
      <w:pPr>
        <w:pStyle w:val="4"/>
        <w:keepNext w:val="0"/>
        <w:keepLines w:val="0"/>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投标文件的递交</w:t>
      </w:r>
    </w:p>
    <w:p w14:paraId="24D18FAC">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5.1投标文件递交的截止时间：</w:t>
      </w:r>
      <w:r>
        <w:rPr>
          <w:rFonts w:hint="eastAsia" w:asciiTheme="minorEastAsia" w:hAnsiTheme="minorEastAsia" w:eastAsiaTheme="minorEastAsia" w:cstheme="minorEastAsia"/>
          <w:bCs/>
          <w:color w:val="auto"/>
          <w:szCs w:val="21"/>
          <w:highlight w:val="none"/>
          <w:u w:val="single"/>
        </w:rPr>
        <w:t>202</w:t>
      </w:r>
      <w:r>
        <w:rPr>
          <w:rFonts w:hint="eastAsia" w:asciiTheme="minorEastAsia" w:hAnsiTheme="minorEastAsia" w:eastAsiaTheme="minorEastAsia" w:cstheme="minorEastAsia"/>
          <w:bCs/>
          <w:color w:val="auto"/>
          <w:szCs w:val="21"/>
          <w:highlight w:val="none"/>
          <w:u w:val="single"/>
          <w:lang w:val="en-US" w:eastAsia="zh-CN"/>
        </w:rPr>
        <w:t>6</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bCs/>
          <w:color w:val="auto"/>
          <w:szCs w:val="21"/>
          <w:highlight w:val="none"/>
          <w:u w:val="single"/>
        </w:rPr>
        <w:t xml:space="preserve"> 09 </w:t>
      </w:r>
      <w:r>
        <w:rPr>
          <w:rFonts w:hint="eastAsia" w:asciiTheme="minorEastAsia" w:hAnsiTheme="minorEastAsia" w:eastAsiaTheme="minorEastAsia" w:cstheme="minorEastAsia"/>
          <w:bCs/>
          <w:color w:val="auto"/>
          <w:szCs w:val="21"/>
          <w:highlight w:val="none"/>
        </w:rPr>
        <w:t>时</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00</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 xml:space="preserve">分。 </w:t>
      </w:r>
    </w:p>
    <w:p w14:paraId="71716A3D">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5.2投标人必须在投标截止时间前通过信阳市公共资源交易中心电子招投标系统上传电子投标文件(.XYTF 格式)。上传的电子投标文件应使用投标人 CA 数字证书认证并加密。</w:t>
      </w:r>
    </w:p>
    <w:p w14:paraId="7F38EAD9">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5.3加密电子投标文件逾期上传的招标人不予受理。 </w:t>
      </w:r>
    </w:p>
    <w:p w14:paraId="3C6696BF">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5.4开标地点：</w:t>
      </w:r>
      <w:r>
        <w:rPr>
          <w:rFonts w:hint="eastAsia" w:asciiTheme="minorEastAsia" w:hAnsiTheme="minorEastAsia" w:eastAsiaTheme="minorEastAsia" w:cstheme="minorEastAsia"/>
          <w:bCs/>
          <w:color w:val="auto"/>
          <w:szCs w:val="21"/>
          <w:highlight w:val="none"/>
          <w:lang w:eastAsia="zh-CN"/>
        </w:rPr>
        <w:t>淮滨县公共资源交易中心不见面开标    厅</w:t>
      </w:r>
      <w:r>
        <w:rPr>
          <w:rFonts w:hint="eastAsia" w:asciiTheme="minorEastAsia" w:hAnsiTheme="minorEastAsia" w:eastAsiaTheme="minorEastAsia" w:cstheme="minorEastAsia"/>
          <w:bCs/>
          <w:color w:val="auto"/>
          <w:szCs w:val="21"/>
          <w:highlight w:val="none"/>
        </w:rPr>
        <w:t xml:space="preserve">。   </w:t>
      </w:r>
    </w:p>
    <w:p w14:paraId="16EF0BAE">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本项目采用“不见面开标”交易方式，不见面开标大厅网址为 https://ggzyjy.xinyang.gov.cn/BidOpening，投标人无需寄送和递交非加密的电子投标文件，无需到现场参加开标会议，无需到达现场提交原件资料。</w:t>
      </w:r>
    </w:p>
    <w:p w14:paraId="436B989E">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投标人应当在投标截止时间前，使用投标人CA数字证书登录不见面开标大厅，在线签到并准时参加开标活动，并在规定时间内完成投标文件解密、答疑澄清等。 </w:t>
      </w:r>
    </w:p>
    <w:p w14:paraId="603244DB">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逾期解密或者没有准时在线参加开标活动导致的一切后果投标人自行承担。 </w:t>
      </w:r>
    </w:p>
    <w:p w14:paraId="05213AF6">
      <w:pPr>
        <w:wordWrap w:val="0"/>
        <w:topLinePunct/>
        <w:spacing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不见面开标服务的具体事宜，请查阅信阳市公共资源交易中心网站首页—下载中心—信阳市不见面开标大厅系统操作手册 。 </w:t>
      </w:r>
    </w:p>
    <w:p w14:paraId="23DD18BB">
      <w:pPr>
        <w:wordWrap w:val="0"/>
        <w:topLinePunct/>
        <w:spacing w:line="400" w:lineRule="exact"/>
        <w:ind w:firstLine="422"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特别提示：投标人在线签到时，应如实准确的填写授权委托人的联系电话，开标当天请务必保证电话保持畅通。</w:t>
      </w:r>
    </w:p>
    <w:p w14:paraId="2552BC1F">
      <w:pPr>
        <w:pStyle w:val="4"/>
        <w:keepNext w:val="0"/>
        <w:keepLines w:val="0"/>
        <w:pageBreakBefore w:val="0"/>
        <w:numPr>
          <w:ilvl w:val="0"/>
          <w:numId w:val="0"/>
        </w:numPr>
        <w:kinsoku/>
        <w:wordWrap/>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Cs w:val="21"/>
          <w:highlight w:val="none"/>
        </w:rPr>
        <w:t>发</w:t>
      </w:r>
      <w:r>
        <w:rPr>
          <w:rFonts w:hint="eastAsia" w:ascii="宋体" w:hAnsi="宋体" w:eastAsia="宋体" w:cs="宋体"/>
          <w:b/>
          <w:color w:val="auto"/>
          <w:szCs w:val="21"/>
          <w:highlight w:val="none"/>
        </w:rPr>
        <w:t>布公告的媒介</w:t>
      </w:r>
    </w:p>
    <w:p w14:paraId="4B86A62C">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本次招标公告同时在《中国招标投标公共服务平台》、</w:t>
      </w:r>
      <w:r>
        <w:rPr>
          <w:rFonts w:hint="eastAsia" w:ascii="宋体" w:hAnsi="宋体" w:eastAsia="宋体" w:cs="宋体"/>
          <w:color w:val="auto"/>
          <w:szCs w:val="21"/>
          <w:highlight w:val="none"/>
          <w:lang w:eastAsia="zh-CN"/>
        </w:rPr>
        <w:t>《全国公共资源交易平台（河南省·淮滨县）》</w:t>
      </w:r>
      <w:r>
        <w:rPr>
          <w:rFonts w:hint="eastAsia" w:ascii="宋体" w:hAnsi="宋体" w:eastAsia="宋体" w:cs="宋体"/>
          <w:color w:val="auto"/>
          <w:szCs w:val="21"/>
          <w:highlight w:val="none"/>
        </w:rPr>
        <w:t>上发布。</w:t>
      </w:r>
    </w:p>
    <w:p w14:paraId="16A97705">
      <w:pPr>
        <w:pStyle w:val="4"/>
        <w:keepNext w:val="0"/>
        <w:keepLines w:val="0"/>
        <w:pageBreakBefore w:val="0"/>
        <w:widowControl/>
        <w:numPr>
          <w:ilvl w:val="0"/>
          <w:numId w:val="0"/>
        </w:numPr>
        <w:kinsoku/>
        <w:wordWrap/>
        <w:overflowPunct/>
        <w:topLinePunct w:val="0"/>
        <w:autoSpaceDE/>
        <w:autoSpaceDN/>
        <w:bidi w:val="0"/>
        <w:adjustRightInd/>
        <w:spacing w:line="400" w:lineRule="exact"/>
        <w:ind w:left="0" w:leftChars="0"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 xml:space="preserve">7. </w:t>
      </w:r>
      <w:r>
        <w:rPr>
          <w:rFonts w:hint="eastAsia" w:ascii="宋体" w:hAnsi="宋体" w:eastAsia="宋体" w:cs="宋体"/>
          <w:b/>
          <w:bCs/>
          <w:color w:val="auto"/>
          <w:szCs w:val="21"/>
          <w:highlight w:val="none"/>
        </w:rPr>
        <w:t>其他注意事项</w:t>
      </w:r>
    </w:p>
    <w:p w14:paraId="674D48CB">
      <w:pPr>
        <w:pStyle w:val="4"/>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7.1投标人编制投标文件时，涉及营业执照、资质、业绩、获奖、人员、财务、 社保、纳税、各类证书等内容，必须在信阳市公共资源交易中心诚信库中已登记的信息中选取。未在诚信库中登记的上述内容，不得作为评标（或评审）依据。投标人</w:t>
      </w:r>
      <w:r>
        <w:rPr>
          <w:rFonts w:hint="eastAsia" w:ascii="宋体" w:hAnsi="宋体" w:eastAsia="宋体" w:cs="宋体"/>
          <w:color w:val="auto"/>
          <w:szCs w:val="21"/>
          <w:highlight w:val="none"/>
          <w:u w:val="double"/>
        </w:rPr>
        <w:t>应及时在投标截止时间前</w:t>
      </w:r>
      <w:r>
        <w:rPr>
          <w:rFonts w:hint="eastAsia" w:ascii="宋体" w:hAnsi="宋体" w:eastAsia="宋体" w:cs="宋体"/>
          <w:color w:val="auto"/>
          <w:szCs w:val="21"/>
          <w:highlight w:val="none"/>
        </w:rPr>
        <w:t>对主体诚信库的相关内容进行补充、 更新，过期更改的诚信库信息不作为本项目评审依据。</w:t>
      </w:r>
    </w:p>
    <w:p w14:paraId="7F22D7B0">
      <w:pPr>
        <w:pStyle w:val="4"/>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u w:val="double"/>
        </w:rPr>
        <w:t>本项目评标结果公示时，同时公示中标候选人诚信库信息</w:t>
      </w:r>
      <w:r>
        <w:rPr>
          <w:rFonts w:hint="eastAsia" w:ascii="宋体" w:hAnsi="宋体" w:eastAsia="宋体" w:cs="宋体"/>
          <w:color w:val="auto"/>
          <w:szCs w:val="21"/>
          <w:highlight w:val="none"/>
        </w:rPr>
        <w:t>，接受社会监督。因入库信息不合法、不真实、不清晰、不准确、不完整、无效、错误或信息处于编辑中、待验证状态等对交易活动所造成的一切后果，由信息提供主体自行负责。</w:t>
      </w:r>
    </w:p>
    <w:p w14:paraId="43008F34">
      <w:pPr>
        <w:pStyle w:val="4"/>
        <w:keepNext w:val="0"/>
        <w:keepLines w:val="0"/>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联系方式</w:t>
      </w:r>
    </w:p>
    <w:p w14:paraId="355E9745">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淮滨县兴淮文化旅游发展有限责任公司</w:t>
      </w:r>
    </w:p>
    <w:p w14:paraId="6C122660">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  址：河南省信阳市淮滨县滨湖街道办事处文化路与民政路交叉口西北角582号</w:t>
      </w:r>
    </w:p>
    <w:p w14:paraId="2C11ED32">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联系人：周先生</w:t>
      </w:r>
    </w:p>
    <w:p w14:paraId="2EF8E171">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  话：16501276999</w:t>
      </w:r>
    </w:p>
    <w:p w14:paraId="0B05F498">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2.采购代理机构：河南禾鑫工程咨询有限公司</w:t>
      </w:r>
    </w:p>
    <w:p w14:paraId="04320A3A">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地址：信阳市平桥区城阳城址管委会编钟大街9号</w:t>
      </w:r>
    </w:p>
    <w:p w14:paraId="536EDBF0">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联系人：蔡双双</w:t>
      </w:r>
    </w:p>
    <w:p w14:paraId="75D80ADC">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  话：18637660657（办）</w:t>
      </w:r>
    </w:p>
    <w:p w14:paraId="59D1B0C7">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监督机构：淮滨县文化广电和旅游局</w:t>
      </w:r>
    </w:p>
    <w:p w14:paraId="1CB08BC6">
      <w:pPr>
        <w:pStyle w:val="4"/>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联系电话：0376-7762233</w:t>
      </w:r>
    </w:p>
    <w:p w14:paraId="5C8E8CD7">
      <w:pPr>
        <w:pStyle w:val="5"/>
        <w:rPr>
          <w:rFonts w:hint="eastAsia"/>
          <w:color w:val="auto"/>
          <w:highlight w:val="none"/>
          <w:lang w:val="zh-CN" w:eastAsia="zh-CN"/>
        </w:rPr>
      </w:pPr>
    </w:p>
    <w:p w14:paraId="446F53D3">
      <w:pPr>
        <w:spacing w:line="360" w:lineRule="auto"/>
        <w:jc w:val="center"/>
        <w:rPr>
          <w:color w:val="auto"/>
          <w:highlight w:val="none"/>
        </w:rPr>
      </w:pPr>
      <w:r>
        <w:rPr>
          <w:color w:val="auto"/>
          <w:highlight w:val="none"/>
        </w:rPr>
        <w:br w:type="page"/>
      </w:r>
    </w:p>
    <w:p w14:paraId="30AD14FA">
      <w:pPr>
        <w:wordWrap w:val="0"/>
        <w:topLinePunct/>
        <w:spacing w:line="360" w:lineRule="auto"/>
        <w:jc w:val="center"/>
        <w:outlineLvl w:val="0"/>
        <w:rPr>
          <w:rFonts w:hint="eastAsia" w:ascii="宋体" w:hAnsi="宋体" w:cs="宋体"/>
          <w:b/>
          <w:bCs/>
          <w:color w:val="auto"/>
          <w:kern w:val="1"/>
          <w:sz w:val="32"/>
          <w:szCs w:val="32"/>
          <w:highlight w:val="none"/>
        </w:rPr>
      </w:pPr>
      <w:bookmarkStart w:id="41" w:name="_Toc11747"/>
      <w:r>
        <w:rPr>
          <w:rFonts w:hint="eastAsia" w:ascii="宋体" w:hAnsi="宋体" w:cs="宋体"/>
          <w:b/>
          <w:bCs/>
          <w:color w:val="auto"/>
          <w:kern w:val="1"/>
          <w:sz w:val="32"/>
          <w:szCs w:val="32"/>
          <w:highlight w:val="none"/>
        </w:rPr>
        <w:t>第二章 投标人须知</w:t>
      </w:r>
      <w:bookmarkEnd w:id="37"/>
      <w:bookmarkEnd w:id="38"/>
      <w:bookmarkEnd w:id="41"/>
    </w:p>
    <w:p w14:paraId="1002B5D6">
      <w:pPr>
        <w:wordWrap w:val="0"/>
        <w:topLinePunct/>
        <w:spacing w:line="360" w:lineRule="auto"/>
        <w:jc w:val="center"/>
        <w:outlineLvl w:val="1"/>
        <w:rPr>
          <w:rFonts w:hint="eastAsia" w:ascii="宋体" w:hAnsi="宋体" w:cs="宋体"/>
          <w:b/>
          <w:bCs/>
          <w:color w:val="auto"/>
          <w:sz w:val="32"/>
          <w:szCs w:val="32"/>
          <w:highlight w:val="none"/>
        </w:rPr>
      </w:pPr>
      <w:bookmarkStart w:id="42" w:name="_Toc29806"/>
      <w:bookmarkStart w:id="43" w:name="_Toc10333"/>
      <w:bookmarkStart w:id="44" w:name="_Toc30618"/>
      <w:bookmarkStart w:id="45" w:name="_Toc3658"/>
      <w:r>
        <w:rPr>
          <w:rFonts w:hint="eastAsia" w:ascii="宋体" w:hAnsi="宋体" w:cs="宋体"/>
          <w:b/>
          <w:bCs/>
          <w:color w:val="auto"/>
          <w:sz w:val="32"/>
          <w:szCs w:val="32"/>
          <w:highlight w:val="none"/>
        </w:rPr>
        <w:t>投标人须知前附表</w:t>
      </w:r>
      <w:bookmarkEnd w:id="39"/>
      <w:bookmarkEnd w:id="40"/>
      <w:bookmarkEnd w:id="42"/>
      <w:bookmarkEnd w:id="43"/>
      <w:bookmarkEnd w:id="44"/>
      <w:bookmarkEnd w:id="45"/>
    </w:p>
    <w:tbl>
      <w:tblPr>
        <w:tblStyle w:val="2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867"/>
        <w:gridCol w:w="6684"/>
      </w:tblGrid>
      <w:tr w14:paraId="517A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54" w:type="dxa"/>
            <w:vAlign w:val="center"/>
          </w:tcPr>
          <w:p w14:paraId="73EC7A2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867" w:type="dxa"/>
            <w:vAlign w:val="center"/>
          </w:tcPr>
          <w:p w14:paraId="3C826A60">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6684" w:type="dxa"/>
            <w:vAlign w:val="center"/>
          </w:tcPr>
          <w:p w14:paraId="4BD9899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D9E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562B0D4F">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867" w:type="dxa"/>
            <w:vAlign w:val="center"/>
          </w:tcPr>
          <w:p w14:paraId="5A08E0A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684" w:type="dxa"/>
            <w:vAlign w:val="center"/>
          </w:tcPr>
          <w:p w14:paraId="4449C4FF">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招标人：</w:t>
            </w:r>
            <w:r>
              <w:rPr>
                <w:rFonts w:hint="eastAsia" w:ascii="宋体" w:hAnsi="宋体" w:cs="宋体"/>
                <w:color w:val="auto"/>
                <w:szCs w:val="21"/>
                <w:highlight w:val="none"/>
                <w:lang w:eastAsia="zh-CN"/>
              </w:rPr>
              <w:t>淮滨县兴淮文化旅游发展有限责任公司</w:t>
            </w:r>
            <w:r>
              <w:rPr>
                <w:rFonts w:hint="eastAsia" w:ascii="宋体" w:hAnsi="宋体" w:cs="宋体"/>
                <w:color w:val="auto"/>
                <w:szCs w:val="21"/>
                <w:highlight w:val="none"/>
              </w:rPr>
              <w:t xml:space="preserve"> </w:t>
            </w:r>
          </w:p>
          <w:p w14:paraId="6EEC56A5">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河南省信阳市淮滨县滨湖街道办事处文化路与民政路交叉口西北角582号</w:t>
            </w:r>
          </w:p>
          <w:p w14:paraId="5256754A">
            <w:pPr>
              <w:wordWrap w:val="0"/>
              <w:topLinePunct/>
              <w:adjustRightInd w:val="0"/>
              <w:snapToGrid w:val="0"/>
              <w:spacing w:line="400" w:lineRule="exac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联系人：周先生</w:t>
            </w:r>
          </w:p>
          <w:p w14:paraId="0F0D7593">
            <w:pPr>
              <w:wordWrap w:val="0"/>
              <w:topLinePunct/>
              <w:adjustRightInd w:val="0"/>
              <w:snapToGrid w:val="0"/>
              <w:spacing w:line="400" w:lineRule="exac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电  话：13949166999</w:t>
            </w:r>
          </w:p>
        </w:tc>
      </w:tr>
      <w:tr w14:paraId="1F09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22BFA977">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867" w:type="dxa"/>
            <w:vAlign w:val="center"/>
          </w:tcPr>
          <w:p w14:paraId="63238C7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684" w:type="dxa"/>
            <w:vAlign w:val="center"/>
          </w:tcPr>
          <w:p w14:paraId="21E173FA">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CN"/>
              </w:rPr>
              <w:t>河南禾鑫工程咨询有限公司</w:t>
            </w:r>
          </w:p>
          <w:p w14:paraId="23E17487">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信阳市平桥区城阳城址管委会编钟大街9号</w:t>
            </w:r>
          </w:p>
          <w:p w14:paraId="45E03E48">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蔡双双</w:t>
            </w:r>
          </w:p>
          <w:p w14:paraId="7CD541A4">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18637660657（办）</w:t>
            </w:r>
          </w:p>
        </w:tc>
      </w:tr>
      <w:tr w14:paraId="2C89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54" w:type="dxa"/>
            <w:vAlign w:val="center"/>
          </w:tcPr>
          <w:p w14:paraId="2B94F6D5">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867" w:type="dxa"/>
            <w:vAlign w:val="center"/>
          </w:tcPr>
          <w:p w14:paraId="74B0E4EC">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招标项目名称</w:t>
            </w:r>
          </w:p>
        </w:tc>
        <w:tc>
          <w:tcPr>
            <w:tcW w:w="6684" w:type="dxa"/>
            <w:vAlign w:val="center"/>
          </w:tcPr>
          <w:p w14:paraId="515C7240">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淮滨县“四湖”同运项目水街建设工程EPC总承包</w:t>
            </w:r>
          </w:p>
        </w:tc>
      </w:tr>
      <w:tr w14:paraId="72CD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4" w:type="dxa"/>
            <w:vAlign w:val="center"/>
          </w:tcPr>
          <w:p w14:paraId="02A8438D">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867" w:type="dxa"/>
            <w:vAlign w:val="center"/>
          </w:tcPr>
          <w:p w14:paraId="5442D227">
            <w:pPr>
              <w:wordWrap w:val="0"/>
              <w:topLinePunct/>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建设地点</w:t>
            </w:r>
          </w:p>
        </w:tc>
        <w:tc>
          <w:tcPr>
            <w:tcW w:w="6684" w:type="dxa"/>
            <w:vAlign w:val="center"/>
          </w:tcPr>
          <w:p w14:paraId="7CFF3064">
            <w:pPr>
              <w:wordWrap w:val="0"/>
              <w:topLinePunct/>
              <w:spacing w:line="400" w:lineRule="exact"/>
              <w:jc w:val="left"/>
              <w:rPr>
                <w:rFonts w:hint="default" w:ascii="宋体" w:hAnsi="宋体" w:eastAsia="宋体" w:cs="宋体"/>
                <w:bCs/>
                <w:color w:val="auto"/>
                <w:sz w:val="24"/>
                <w:szCs w:val="24"/>
                <w:highlight w:val="none"/>
                <w:lang w:val="en-US" w:eastAsia="zh-CN"/>
              </w:rPr>
            </w:pPr>
            <w:r>
              <w:rPr>
                <w:rFonts w:hint="eastAsia" w:ascii="宋体" w:hAnsi="宋体" w:cs="宋体"/>
                <w:color w:val="auto"/>
                <w:szCs w:val="21"/>
                <w:highlight w:val="none"/>
                <w:lang w:val="en-US" w:eastAsia="zh-CN"/>
              </w:rPr>
              <w:t>淮滨县楚相大道与滨湖路交叉口东南</w:t>
            </w:r>
          </w:p>
        </w:tc>
      </w:tr>
      <w:tr w14:paraId="6A6C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4" w:type="dxa"/>
            <w:vAlign w:val="center"/>
          </w:tcPr>
          <w:p w14:paraId="4895D94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1867" w:type="dxa"/>
            <w:vAlign w:val="center"/>
          </w:tcPr>
          <w:p w14:paraId="3583BE57">
            <w:pPr>
              <w:wordWrap w:val="0"/>
              <w:topLinePunct/>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资金来源</w:t>
            </w:r>
          </w:p>
        </w:tc>
        <w:tc>
          <w:tcPr>
            <w:tcW w:w="6684" w:type="dxa"/>
            <w:vAlign w:val="center"/>
          </w:tcPr>
          <w:p w14:paraId="1324BE9B">
            <w:pPr>
              <w:wordWrap w:val="0"/>
              <w:topLinePunct/>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自筹资金</w:t>
            </w:r>
          </w:p>
        </w:tc>
      </w:tr>
      <w:tr w14:paraId="590A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4" w:type="dxa"/>
            <w:vAlign w:val="center"/>
          </w:tcPr>
          <w:p w14:paraId="76813D7B">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867" w:type="dxa"/>
            <w:vAlign w:val="center"/>
          </w:tcPr>
          <w:p w14:paraId="6F0F66B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6684" w:type="dxa"/>
            <w:vAlign w:val="center"/>
          </w:tcPr>
          <w:p w14:paraId="3445CF8D">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14:paraId="1F91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4" w:type="dxa"/>
            <w:vAlign w:val="center"/>
          </w:tcPr>
          <w:p w14:paraId="04EF03ED">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1.2.3</w:t>
            </w:r>
          </w:p>
        </w:tc>
        <w:tc>
          <w:tcPr>
            <w:tcW w:w="1867" w:type="dxa"/>
            <w:vAlign w:val="center"/>
          </w:tcPr>
          <w:p w14:paraId="09AD25E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6684" w:type="dxa"/>
            <w:vAlign w:val="center"/>
          </w:tcPr>
          <w:p w14:paraId="66C996B0">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518B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4" w:type="dxa"/>
            <w:vAlign w:val="center"/>
          </w:tcPr>
          <w:p w14:paraId="53A1FCA5">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867" w:type="dxa"/>
            <w:vAlign w:val="center"/>
          </w:tcPr>
          <w:p w14:paraId="42E978CD">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684" w:type="dxa"/>
            <w:vAlign w:val="center"/>
          </w:tcPr>
          <w:p w14:paraId="7F51336B">
            <w:pPr>
              <w:wordWrap w:val="0"/>
              <w:topLinePunct/>
              <w:spacing w:line="400" w:lineRule="exact"/>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详见招标文件第一章“招标公告”</w:t>
            </w:r>
          </w:p>
        </w:tc>
      </w:tr>
      <w:tr w14:paraId="4224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4" w:type="dxa"/>
            <w:vAlign w:val="center"/>
          </w:tcPr>
          <w:p w14:paraId="7AD6A4C7">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867" w:type="dxa"/>
            <w:vAlign w:val="center"/>
          </w:tcPr>
          <w:p w14:paraId="0FA8E021">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eastAsia="zh-CN"/>
              </w:rPr>
              <w:t>计划工期</w:t>
            </w:r>
          </w:p>
        </w:tc>
        <w:tc>
          <w:tcPr>
            <w:tcW w:w="6684" w:type="dxa"/>
            <w:vAlign w:val="center"/>
          </w:tcPr>
          <w:p w14:paraId="5FA740C1">
            <w:pPr>
              <w:keepNext w:val="0"/>
              <w:keepLines w:val="0"/>
              <w:pageBreakBefore w:val="0"/>
              <w:kinsoku/>
              <w:wordWrap/>
              <w:overflowPunct/>
              <w:topLinePunct w:val="0"/>
              <w:autoSpaceDE w:val="0"/>
              <w:autoSpaceDN w:val="0"/>
              <w:bidi w:val="0"/>
              <w:adjustRightInd w:val="0"/>
              <w:spacing w:line="400" w:lineRule="exact"/>
              <w:jc w:val="left"/>
              <w:rPr>
                <w:rFonts w:hint="eastAsia" w:ascii="宋体" w:hAnsi="宋体" w:eastAsia="宋体" w:cs="宋体"/>
                <w:b/>
                <w:bCs/>
                <w:color w:val="auto"/>
                <w:szCs w:val="21"/>
                <w:highlight w:val="none"/>
                <w:lang w:eastAsia="zh-CN"/>
              </w:rPr>
            </w:pPr>
            <w:r>
              <w:rPr>
                <w:rFonts w:hint="eastAsia" w:ascii="宋体" w:hAnsi="宋体" w:cs="宋体"/>
                <w:b w:val="0"/>
                <w:bCs w:val="0"/>
                <w:color w:val="auto"/>
                <w:szCs w:val="21"/>
                <w:highlight w:val="none"/>
                <w:lang w:eastAsia="zh-CN"/>
              </w:rPr>
              <w:t>12 个月（含设计周期）</w:t>
            </w:r>
          </w:p>
        </w:tc>
      </w:tr>
      <w:tr w14:paraId="1630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4" w:type="dxa"/>
            <w:vAlign w:val="center"/>
          </w:tcPr>
          <w:p w14:paraId="6E65FEF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867" w:type="dxa"/>
            <w:vAlign w:val="center"/>
          </w:tcPr>
          <w:p w14:paraId="71B0618A">
            <w:pPr>
              <w:keepNext w:val="0"/>
              <w:keepLines w:val="0"/>
              <w:pageBreakBefore w:val="0"/>
              <w:kinsoku/>
              <w:wordWrap/>
              <w:overflowPunct/>
              <w:topLinePunct w:val="0"/>
              <w:bidi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eastAsia="zh-CN"/>
              </w:rPr>
              <w:t>质量要求</w:t>
            </w:r>
          </w:p>
        </w:tc>
        <w:tc>
          <w:tcPr>
            <w:tcW w:w="6684" w:type="dxa"/>
            <w:vAlign w:val="center"/>
          </w:tcPr>
          <w:p w14:paraId="61A0F1FD">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设计要求的质量标准：符合国家、地方现行设计标准，并保证最终通过审批（若标准不一致时，以较高者为准）。</w:t>
            </w:r>
          </w:p>
          <w:p w14:paraId="20391160">
            <w:pPr>
              <w:wordWrap w:val="0"/>
              <w:topLinePunct/>
              <w:adjustRightInd w:val="0"/>
              <w:snapToGrid w:val="0"/>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施工要求的质量标准：达到国家、地方现行有关施工质量验收规范合格标准（若标准不一致时，以较高者为准）</w:t>
            </w:r>
            <w:r>
              <w:rPr>
                <w:rFonts w:hint="eastAsia" w:ascii="宋体" w:hAnsi="宋体" w:cs="宋体"/>
                <w:color w:val="auto"/>
                <w:szCs w:val="21"/>
                <w:highlight w:val="none"/>
                <w:lang w:eastAsia="zh-CN"/>
              </w:rPr>
              <w:t>。</w:t>
            </w:r>
          </w:p>
        </w:tc>
      </w:tr>
      <w:tr w14:paraId="32D4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25DD1F20">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867" w:type="dxa"/>
            <w:vAlign w:val="center"/>
          </w:tcPr>
          <w:p w14:paraId="486917F8">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p w14:paraId="492528EA">
            <w:pPr>
              <w:wordWrap w:val="0"/>
              <w:topLinePunct/>
              <w:adjustRightInd w:val="0"/>
              <w:snapToGrid w:val="0"/>
              <w:spacing w:line="400" w:lineRule="exact"/>
              <w:jc w:val="center"/>
              <w:rPr>
                <w:rFonts w:hint="eastAsia" w:ascii="宋体" w:hAnsi="宋体" w:cs="宋体"/>
                <w:b/>
                <w:color w:val="auto"/>
                <w:szCs w:val="21"/>
                <w:highlight w:val="none"/>
              </w:rPr>
            </w:pPr>
          </w:p>
        </w:tc>
        <w:tc>
          <w:tcPr>
            <w:tcW w:w="6684" w:type="dxa"/>
            <w:vAlign w:val="center"/>
          </w:tcPr>
          <w:p w14:paraId="36DED2DA">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1、投标人须具有有效的营业执照或其他组织证明文件；</w:t>
            </w:r>
          </w:p>
          <w:p w14:paraId="161770A7">
            <w:pPr>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2、施工资质：</w:t>
            </w:r>
            <w:r>
              <w:rPr>
                <w:rFonts w:hint="eastAsia" w:asciiTheme="minorEastAsia" w:hAnsiTheme="minorEastAsia" w:eastAsiaTheme="minorEastAsia" w:cstheme="minorEastAsia"/>
                <w:bCs/>
                <w:color w:val="auto"/>
                <w:szCs w:val="21"/>
                <w:highlight w:val="none"/>
              </w:rPr>
              <w:t>投标人须</w:t>
            </w:r>
            <w:r>
              <w:rPr>
                <w:rFonts w:hint="eastAsia" w:asciiTheme="minorEastAsia" w:hAnsiTheme="minorEastAsia" w:eastAsiaTheme="minorEastAsia" w:cstheme="minorEastAsia"/>
                <w:bCs/>
                <w:color w:val="auto"/>
                <w:szCs w:val="21"/>
                <w:highlight w:val="none"/>
                <w:lang w:val="en-US" w:eastAsia="zh-CN"/>
              </w:rPr>
              <w:t>同时</w:t>
            </w:r>
            <w:r>
              <w:rPr>
                <w:rFonts w:hint="eastAsia" w:asciiTheme="minorEastAsia" w:hAnsiTheme="minorEastAsia" w:eastAsiaTheme="minorEastAsia" w:cstheme="minorEastAsia"/>
                <w:bCs/>
                <w:color w:val="auto"/>
                <w:szCs w:val="21"/>
                <w:highlight w:val="none"/>
              </w:rPr>
              <w:t>具有住房和城乡建设部门颁发的</w:t>
            </w:r>
            <w:r>
              <w:rPr>
                <w:rFonts w:hint="eastAsia" w:asciiTheme="minorEastAsia" w:hAnsiTheme="minorEastAsia" w:eastAsiaTheme="minorEastAsia" w:cstheme="minorEastAsia"/>
                <w:color w:val="auto"/>
                <w:szCs w:val="21"/>
                <w:highlight w:val="none"/>
              </w:rPr>
              <w:t>①</w:t>
            </w:r>
            <w:r>
              <w:rPr>
                <w:rFonts w:hint="eastAsia" w:asciiTheme="minorEastAsia" w:hAnsiTheme="minorEastAsia" w:eastAsiaTheme="minorEastAsia" w:cstheme="minorEastAsia"/>
                <w:bCs/>
                <w:color w:val="auto"/>
                <w:szCs w:val="21"/>
                <w:highlight w:val="none"/>
                <w:lang w:val="en-US" w:eastAsia="zh-CN"/>
              </w:rPr>
              <w:t>市政公用工程</w:t>
            </w:r>
            <w:r>
              <w:rPr>
                <w:rFonts w:hint="eastAsia" w:asciiTheme="minorEastAsia" w:hAnsiTheme="minorEastAsia" w:eastAsiaTheme="minorEastAsia" w:cstheme="minorEastAsia"/>
                <w:bCs/>
                <w:color w:val="auto"/>
                <w:szCs w:val="21"/>
                <w:highlight w:val="none"/>
              </w:rPr>
              <w:t>施工总承包</w:t>
            </w:r>
            <w:r>
              <w:rPr>
                <w:rFonts w:hint="eastAsia" w:asciiTheme="minorEastAsia" w:hAnsiTheme="minorEastAsia" w:eastAsiaTheme="minorEastAsia" w:cstheme="minorEastAsia"/>
                <w:bCs/>
                <w:color w:val="auto"/>
                <w:szCs w:val="21"/>
                <w:highlight w:val="none"/>
                <w:lang w:val="en-US" w:eastAsia="zh-CN"/>
              </w:rPr>
              <w:t>二</w:t>
            </w:r>
            <w:r>
              <w:rPr>
                <w:rFonts w:hint="eastAsia" w:asciiTheme="minorEastAsia" w:hAnsiTheme="minorEastAsia" w:eastAsiaTheme="minorEastAsia" w:cstheme="minorEastAsia"/>
                <w:bCs/>
                <w:color w:val="auto"/>
                <w:szCs w:val="21"/>
                <w:highlight w:val="none"/>
              </w:rPr>
              <w:t>级及以上资质</w:t>
            </w:r>
            <w:r>
              <w:rPr>
                <w:rFonts w:hint="eastAsia" w:asciiTheme="minorEastAsia" w:hAnsiTheme="minorEastAsia" w:eastAsiaTheme="minorEastAsia" w:cstheme="minorEastAsia"/>
                <w:bCs/>
                <w:color w:val="auto"/>
                <w:szCs w:val="21"/>
                <w:highlight w:val="none"/>
                <w:lang w:val="en-US" w:eastAsia="zh-CN"/>
              </w:rPr>
              <w:t>和建筑装修装饰工程专业承包二级资质</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具有有效的企业安全生产许可证</w:t>
            </w:r>
            <w:r>
              <w:rPr>
                <w:rFonts w:hint="eastAsia" w:ascii="宋体" w:hAnsi="宋体" w:cs="宋体"/>
                <w:b w:val="0"/>
                <w:bCs w:val="0"/>
                <w:color w:val="auto"/>
                <w:szCs w:val="21"/>
                <w:highlight w:val="none"/>
              </w:rPr>
              <w:t>；</w:t>
            </w:r>
          </w:p>
          <w:p w14:paraId="2E5FAABD">
            <w:pPr>
              <w:spacing w:line="400" w:lineRule="exact"/>
              <w:jc w:val="left"/>
              <w:rPr>
                <w:rFonts w:hint="eastAsia" w:ascii="宋体" w:hAnsi="宋体" w:cs="宋体"/>
                <w:b w:val="0"/>
                <w:bCs w:val="0"/>
                <w:color w:val="auto"/>
                <w:szCs w:val="21"/>
                <w:highlight w:val="none"/>
              </w:rPr>
            </w:pPr>
            <w:r>
              <w:rPr>
                <w:rFonts w:hint="eastAsia" w:ascii="宋体" w:hAnsi="宋体" w:cs="宋体"/>
                <w:b/>
                <w:bCs/>
                <w:color w:val="auto"/>
                <w:kern w:val="0"/>
                <w:szCs w:val="21"/>
                <w:highlight w:val="none"/>
                <w:lang w:bidi="ar"/>
              </w:rPr>
              <w:t>3、设计资质：</w:t>
            </w:r>
            <w:r>
              <w:rPr>
                <w:rFonts w:hint="eastAsia" w:asciiTheme="minorEastAsia" w:hAnsiTheme="minorEastAsia" w:eastAsiaTheme="minorEastAsia" w:cstheme="minorEastAsia"/>
                <w:color w:val="auto"/>
                <w:szCs w:val="21"/>
                <w:highlight w:val="none"/>
              </w:rPr>
              <w:t>投标人须具有</w:t>
            </w:r>
            <w:r>
              <w:rPr>
                <w:rFonts w:hint="eastAsia" w:asciiTheme="minorEastAsia" w:hAnsiTheme="minorEastAsia" w:eastAsiaTheme="minorEastAsia" w:cstheme="minorEastAsia"/>
                <w:bCs/>
                <w:color w:val="auto"/>
                <w:szCs w:val="21"/>
                <w:highlight w:val="none"/>
              </w:rPr>
              <w:t>住房和城乡建设部门颁发的</w:t>
            </w:r>
            <w:r>
              <w:rPr>
                <w:rFonts w:hint="eastAsia" w:asciiTheme="minorEastAsia" w:hAnsiTheme="minorEastAsia" w:eastAsiaTheme="minorEastAsia" w:cstheme="minorEastAsia"/>
                <w:color w:val="auto"/>
                <w:szCs w:val="21"/>
                <w:highlight w:val="none"/>
              </w:rPr>
              <w:t>工程设计综合甲级资质或</w:t>
            </w:r>
            <w:r>
              <w:rPr>
                <w:rFonts w:hint="eastAsia" w:asciiTheme="minorEastAsia" w:hAnsiTheme="minorEastAsia" w:eastAsiaTheme="minorEastAsia" w:cstheme="minorEastAsia"/>
                <w:color w:val="auto"/>
                <w:szCs w:val="21"/>
                <w:highlight w:val="none"/>
                <w:lang w:val="en-US" w:eastAsia="zh-CN"/>
              </w:rPr>
              <w:t>同时具有</w:t>
            </w:r>
            <w:r>
              <w:rPr>
                <w:rFonts w:hint="eastAsia" w:asciiTheme="minorEastAsia" w:hAnsiTheme="minorEastAsia" w:eastAsiaTheme="minorEastAsia" w:cstheme="minorEastAsia"/>
                <w:color w:val="auto"/>
                <w:szCs w:val="21"/>
                <w:highlight w:val="none"/>
              </w:rPr>
              <w:t>①市政行业乙级及以上资质</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②建筑行业</w:t>
            </w:r>
            <w:r>
              <w:rPr>
                <w:rFonts w:hint="eastAsia" w:asciiTheme="minorEastAsia" w:hAnsiTheme="minorEastAsia" w:eastAsiaTheme="minorEastAsia" w:cstheme="minorEastAsia"/>
                <w:color w:val="auto"/>
                <w:szCs w:val="21"/>
                <w:highlight w:val="none"/>
                <w:lang w:val="en-US" w:eastAsia="zh-CN"/>
              </w:rPr>
              <w:t>乙级及以上</w:t>
            </w:r>
            <w:r>
              <w:rPr>
                <w:rFonts w:hint="eastAsia" w:asciiTheme="minorEastAsia" w:hAnsiTheme="minorEastAsia" w:eastAsiaTheme="minorEastAsia" w:cstheme="minorEastAsia"/>
                <w:color w:val="auto"/>
                <w:szCs w:val="21"/>
                <w:highlight w:val="none"/>
              </w:rPr>
              <w:t>资质或建筑行业（建筑工程）</w:t>
            </w:r>
            <w:r>
              <w:rPr>
                <w:rFonts w:hint="eastAsia" w:asciiTheme="minorEastAsia" w:hAnsiTheme="minorEastAsia" w:eastAsiaTheme="minorEastAsia" w:cstheme="minorEastAsia"/>
                <w:color w:val="auto"/>
                <w:szCs w:val="21"/>
                <w:highlight w:val="none"/>
                <w:lang w:val="en-US" w:eastAsia="zh-CN"/>
              </w:rPr>
              <w:t>专业乙级及以上</w:t>
            </w:r>
            <w:r>
              <w:rPr>
                <w:rFonts w:hint="eastAsia" w:asciiTheme="minorEastAsia" w:hAnsiTheme="minorEastAsia" w:eastAsiaTheme="minorEastAsia" w:cstheme="minorEastAsia"/>
                <w:color w:val="auto"/>
                <w:szCs w:val="21"/>
                <w:highlight w:val="none"/>
              </w:rPr>
              <w:t>资质</w:t>
            </w:r>
            <w:r>
              <w:rPr>
                <w:rFonts w:hint="eastAsia" w:asciiTheme="minorEastAsia" w:hAnsiTheme="minorEastAsia" w:eastAsiaTheme="minorEastAsia" w:cstheme="minorEastAsia"/>
                <w:color w:val="auto"/>
                <w:szCs w:val="21"/>
                <w:highlight w:val="none"/>
                <w:lang w:val="en-US" w:eastAsia="zh-CN"/>
              </w:rPr>
              <w:t>或建筑装饰工程设计专项甲级资质</w:t>
            </w:r>
            <w:r>
              <w:rPr>
                <w:rFonts w:hint="eastAsia" w:ascii="宋体" w:hAnsi="宋体" w:cs="宋体"/>
                <w:b w:val="0"/>
                <w:bCs w:val="0"/>
                <w:color w:val="auto"/>
                <w:kern w:val="0"/>
                <w:szCs w:val="21"/>
                <w:highlight w:val="none"/>
                <w:lang w:bidi="ar"/>
              </w:rPr>
              <w:t>；</w:t>
            </w:r>
          </w:p>
          <w:p w14:paraId="7D1E9EBD">
            <w:pPr>
              <w:widowControl/>
              <w:spacing w:line="400" w:lineRule="exact"/>
              <w:jc w:val="left"/>
              <w:rPr>
                <w:rFonts w:hint="eastAsia" w:ascii="宋体" w:hAnsi="宋体" w:cs="宋体"/>
                <w:color w:val="auto"/>
                <w:szCs w:val="21"/>
                <w:highlight w:val="none"/>
              </w:rPr>
            </w:pPr>
            <w:r>
              <w:rPr>
                <w:rFonts w:hint="eastAsia" w:ascii="宋体" w:hAnsi="宋体" w:cs="宋体"/>
                <w:b/>
                <w:color w:val="auto"/>
                <w:szCs w:val="21"/>
                <w:highlight w:val="none"/>
              </w:rPr>
              <w:t>4、人员要求：</w:t>
            </w:r>
          </w:p>
          <w:p w14:paraId="33C4EBC8">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（1）工程总承包项目经理：</w:t>
            </w:r>
            <w:r>
              <w:rPr>
                <w:rFonts w:hint="eastAsia" w:asciiTheme="minorEastAsia" w:hAnsiTheme="minorEastAsia" w:eastAsiaTheme="minorEastAsia" w:cstheme="minorEastAsia"/>
                <w:bCs/>
                <w:color w:val="auto"/>
                <w:szCs w:val="21"/>
                <w:highlight w:val="none"/>
              </w:rPr>
              <w:t>具有建筑工程专业</w:t>
            </w:r>
            <w:r>
              <w:rPr>
                <w:rFonts w:hint="eastAsia" w:asciiTheme="minorEastAsia" w:hAnsiTheme="minorEastAsia" w:eastAsiaTheme="minorEastAsia" w:cstheme="minorEastAsia"/>
                <w:b w:val="0"/>
                <w:bCs/>
                <w:color w:val="auto"/>
                <w:szCs w:val="21"/>
                <w:highlight w:val="none"/>
                <w:lang w:val="en-US" w:eastAsia="zh-CN"/>
              </w:rPr>
              <w:t>和</w:t>
            </w:r>
            <w:r>
              <w:rPr>
                <w:rFonts w:hint="eastAsia" w:asciiTheme="minorEastAsia" w:hAnsiTheme="minorEastAsia" w:eastAsiaTheme="minorEastAsia" w:cstheme="minorEastAsia"/>
                <w:bCs/>
                <w:color w:val="auto"/>
                <w:szCs w:val="21"/>
                <w:highlight w:val="none"/>
                <w:lang w:val="en-US" w:eastAsia="zh-CN"/>
              </w:rPr>
              <w:t>市政公用工程专业二</w:t>
            </w:r>
            <w:r>
              <w:rPr>
                <w:rFonts w:hint="eastAsia" w:asciiTheme="minorEastAsia" w:hAnsiTheme="minorEastAsia" w:eastAsiaTheme="minorEastAsia" w:cstheme="minorEastAsia"/>
                <w:bCs/>
                <w:color w:val="auto"/>
                <w:szCs w:val="21"/>
                <w:highlight w:val="none"/>
              </w:rPr>
              <w:t>级</w:t>
            </w:r>
            <w:r>
              <w:rPr>
                <w:rFonts w:hint="eastAsia" w:asciiTheme="minorEastAsia" w:hAnsiTheme="minorEastAsia" w:eastAsiaTheme="minorEastAsia" w:cstheme="minorEastAsia"/>
                <w:bCs/>
                <w:color w:val="auto"/>
                <w:szCs w:val="21"/>
                <w:highlight w:val="none"/>
                <w:lang w:val="en-US" w:eastAsia="zh-CN"/>
              </w:rPr>
              <w:t>及以上</w:t>
            </w:r>
            <w:r>
              <w:rPr>
                <w:rFonts w:hint="eastAsia" w:asciiTheme="minorEastAsia" w:hAnsiTheme="minorEastAsia" w:eastAsiaTheme="minorEastAsia" w:cstheme="minorEastAsia"/>
                <w:bCs/>
                <w:color w:val="auto"/>
                <w:szCs w:val="21"/>
                <w:highlight w:val="none"/>
              </w:rPr>
              <w:t>注册建造师（不含临时）资格证书，具有有效的安全生产考核合格证书，且不得在其他在建项目中担任工程总承包项目经理、施工项目负责人</w:t>
            </w:r>
            <w:r>
              <w:rPr>
                <w:rFonts w:hint="eastAsia" w:ascii="宋体" w:hAnsi="宋体" w:cs="宋体"/>
                <w:bCs/>
                <w:color w:val="auto"/>
                <w:szCs w:val="21"/>
                <w:highlight w:val="none"/>
              </w:rPr>
              <w:t>；</w:t>
            </w:r>
          </w:p>
          <w:p w14:paraId="37F7F5E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（2）设计负责人：</w:t>
            </w:r>
            <w:r>
              <w:rPr>
                <w:rFonts w:hint="eastAsia" w:ascii="宋体" w:hAnsi="宋体" w:cs="宋体"/>
                <w:bCs/>
                <w:color w:val="auto"/>
                <w:szCs w:val="21"/>
                <w:highlight w:val="none"/>
                <w:lang w:eastAsia="zh-CN"/>
              </w:rPr>
              <w:t>具有相关专业高级及以上技术职称</w:t>
            </w:r>
            <w:r>
              <w:rPr>
                <w:rFonts w:hint="eastAsia" w:ascii="宋体" w:hAnsi="宋体" w:cs="宋体"/>
                <w:bCs/>
                <w:color w:val="auto"/>
                <w:szCs w:val="21"/>
                <w:highlight w:val="none"/>
              </w:rPr>
              <w:t>。</w:t>
            </w:r>
          </w:p>
          <w:p w14:paraId="78164A9C">
            <w:pPr>
              <w:widowControl/>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注：以上人员均需提供相关证书及在本单位缴纳的2025年</w:t>
            </w:r>
            <w:r>
              <w:rPr>
                <w:rFonts w:hint="eastAsia" w:ascii="宋体" w:hAnsi="宋体" w:cs="宋体"/>
                <w:b/>
                <w:color w:val="auto"/>
                <w:szCs w:val="21"/>
                <w:highlight w:val="none"/>
                <w:lang w:val="en-US" w:eastAsia="zh-CN"/>
              </w:rPr>
              <w:t>6月1日</w:t>
            </w:r>
            <w:r>
              <w:rPr>
                <w:rFonts w:hint="eastAsia" w:ascii="宋体" w:hAnsi="宋体" w:cs="宋体"/>
                <w:b/>
                <w:color w:val="auto"/>
                <w:szCs w:val="21"/>
                <w:highlight w:val="none"/>
              </w:rPr>
              <w:t>以来</w:t>
            </w:r>
            <w:r>
              <w:rPr>
                <w:rFonts w:hint="eastAsia" w:ascii="宋体" w:hAnsi="宋体" w:cs="宋体"/>
                <w:b/>
                <w:color w:val="auto"/>
                <w:szCs w:val="21"/>
                <w:highlight w:val="none"/>
                <w:lang w:val="en-US" w:eastAsia="zh-CN"/>
              </w:rPr>
              <w:t>任意1</w:t>
            </w:r>
            <w:r>
              <w:rPr>
                <w:rFonts w:hint="eastAsia" w:ascii="宋体" w:hAnsi="宋体" w:cs="宋体"/>
                <w:b/>
                <w:color w:val="auto"/>
                <w:szCs w:val="21"/>
                <w:highlight w:val="none"/>
              </w:rPr>
              <w:t>个月社保证明</w:t>
            </w:r>
            <w:r>
              <w:rPr>
                <w:rFonts w:hint="eastAsia" w:ascii="宋体" w:hAnsi="宋体" w:cs="宋体"/>
                <w:b/>
                <w:color w:val="auto"/>
                <w:szCs w:val="21"/>
                <w:highlight w:val="none"/>
                <w:lang w:val="en-US" w:eastAsia="zh-CN"/>
              </w:rPr>
              <w:t>。</w:t>
            </w:r>
          </w:p>
          <w:p w14:paraId="59AA2958">
            <w:pPr>
              <w:widowControl/>
              <w:spacing w:line="400" w:lineRule="exact"/>
              <w:jc w:val="left"/>
              <w:rPr>
                <w:rFonts w:hint="eastAsia" w:ascii="宋体" w:hAnsi="宋体" w:cs="宋体"/>
                <w:bCs/>
                <w:color w:val="auto"/>
                <w:szCs w:val="21"/>
                <w:highlight w:val="none"/>
              </w:rPr>
            </w:pPr>
            <w:r>
              <w:rPr>
                <w:rFonts w:hint="eastAsia" w:ascii="宋体" w:hAnsi="宋体" w:cs="宋体"/>
                <w:b/>
                <w:color w:val="auto"/>
                <w:szCs w:val="21"/>
                <w:highlight w:val="none"/>
              </w:rPr>
              <w:t>5、财务要求</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投标人提供2024年度经审计的财务审计报告（成立年限不足的提供基本开户银行出具的资信证明）</w:t>
            </w:r>
            <w:r>
              <w:rPr>
                <w:rFonts w:hint="eastAsia" w:ascii="宋体" w:hAnsi="宋体" w:cs="宋体"/>
                <w:b/>
                <w:bCs w:val="0"/>
                <w:color w:val="auto"/>
                <w:szCs w:val="21"/>
                <w:highlight w:val="none"/>
                <w:lang w:eastAsia="zh-CN"/>
              </w:rPr>
              <w:t>（若为联合体投标，仅联合体牵头人提供）</w:t>
            </w:r>
            <w:r>
              <w:rPr>
                <w:rFonts w:hint="eastAsia" w:ascii="宋体" w:hAnsi="宋体" w:cs="宋体"/>
                <w:bCs/>
                <w:color w:val="auto"/>
                <w:szCs w:val="21"/>
                <w:highlight w:val="none"/>
                <w:lang w:val="en-US" w:eastAsia="zh-CN"/>
              </w:rPr>
              <w:t>。</w:t>
            </w:r>
            <w:r>
              <w:rPr>
                <w:rFonts w:hint="eastAsia" w:ascii="宋体" w:hAnsi="宋体"/>
                <w:color w:val="auto"/>
                <w:szCs w:val="21"/>
                <w:highlight w:val="none"/>
              </w:rPr>
              <w:t xml:space="preserve"> </w:t>
            </w:r>
          </w:p>
          <w:p w14:paraId="76FF0C93">
            <w:pPr>
              <w:widowControl/>
              <w:spacing w:line="400" w:lineRule="exact"/>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6、信誉要求</w:t>
            </w:r>
            <w:r>
              <w:rPr>
                <w:rFonts w:hint="eastAsia" w:ascii="宋体" w:hAnsi="宋体" w:cs="宋体"/>
                <w:b/>
                <w:color w:val="auto"/>
                <w:szCs w:val="21"/>
                <w:highlight w:val="none"/>
                <w:lang w:eastAsia="zh-CN"/>
              </w:rPr>
              <w:t>：</w:t>
            </w:r>
          </w:p>
          <w:p w14:paraId="34204B03">
            <w:pPr>
              <w:widowControl/>
              <w:spacing w:line="400" w:lineRule="exact"/>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）未被列入全国或</w:t>
            </w:r>
            <w:r>
              <w:rPr>
                <w:rFonts w:hint="eastAsia" w:ascii="宋体" w:hAnsi="宋体" w:cs="宋体"/>
                <w:b w:val="0"/>
                <w:bCs/>
                <w:color w:val="auto"/>
                <w:szCs w:val="21"/>
                <w:highlight w:val="none"/>
                <w:lang w:val="en-US" w:eastAsia="zh-CN"/>
              </w:rPr>
              <w:t>河南省</w:t>
            </w:r>
            <w:r>
              <w:rPr>
                <w:rFonts w:hint="eastAsia" w:ascii="宋体" w:hAnsi="宋体" w:cs="宋体"/>
                <w:b w:val="0"/>
                <w:bCs/>
                <w:color w:val="auto"/>
                <w:szCs w:val="21"/>
                <w:highlight w:val="none"/>
                <w:lang w:eastAsia="zh-CN"/>
              </w:rPr>
              <w:t>建筑市场监管公共服务平台“黑名单”且在管理期限内的（投标人、拟派项目经理）；</w:t>
            </w:r>
          </w:p>
          <w:p w14:paraId="505A7F88">
            <w:pPr>
              <w:widowControl/>
              <w:spacing w:line="400" w:lineRule="exact"/>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lang w:eastAsia="zh-CN"/>
              </w:rPr>
              <w:t>）未被列入国家企业信用信息公示系统“严重违法失信名单”且在管理期限内的（投标人）；</w:t>
            </w:r>
          </w:p>
          <w:p w14:paraId="18AFCB0B">
            <w:pPr>
              <w:widowControl/>
              <w:spacing w:line="400" w:lineRule="exact"/>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）未被列入信用中国网站“失信被执行人”“重大税收违法失信主体”（投标人）；</w:t>
            </w:r>
          </w:p>
          <w:p w14:paraId="4D3A274B">
            <w:pPr>
              <w:widowControl/>
              <w:spacing w:line="400" w:lineRule="exact"/>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lang w:eastAsia="zh-CN"/>
              </w:rPr>
              <w:t>）投标所用资质项在全国或</w:t>
            </w:r>
            <w:r>
              <w:rPr>
                <w:rFonts w:hint="eastAsia" w:ascii="宋体" w:hAnsi="宋体" w:cs="宋体"/>
                <w:b w:val="0"/>
                <w:bCs/>
                <w:color w:val="auto"/>
                <w:szCs w:val="21"/>
                <w:highlight w:val="none"/>
                <w:lang w:val="en-US" w:eastAsia="zh-CN"/>
              </w:rPr>
              <w:t>河南省</w:t>
            </w:r>
            <w:r>
              <w:rPr>
                <w:rFonts w:hint="eastAsia" w:ascii="宋体" w:hAnsi="宋体" w:cs="宋体"/>
                <w:b w:val="0"/>
                <w:bCs/>
                <w:color w:val="auto"/>
                <w:szCs w:val="21"/>
                <w:highlight w:val="none"/>
                <w:lang w:eastAsia="zh-CN"/>
              </w:rPr>
              <w:t>建筑市场监管公共服务平台资质状况被标注资质异常状态的（投标人）。</w:t>
            </w:r>
          </w:p>
          <w:p w14:paraId="1BF97B98">
            <w:pPr>
              <w:widowControl/>
              <w:spacing w:line="400" w:lineRule="exact"/>
              <w:jc w:val="left"/>
              <w:rPr>
                <w:color w:val="auto"/>
                <w:highlight w:val="none"/>
              </w:rPr>
            </w:pPr>
            <w:r>
              <w:rPr>
                <w:rFonts w:hint="eastAsia" w:ascii="宋体" w:hAnsi="宋体" w:cs="宋体"/>
                <w:b/>
                <w:bCs w:val="0"/>
                <w:color w:val="auto"/>
                <w:szCs w:val="21"/>
                <w:highlight w:val="none"/>
                <w:lang w:eastAsia="zh-CN"/>
              </w:rPr>
              <w:t>注：投标人需提供上述途径查询结果截图（若为联合体投标，联合体各方均需提供查询截图），并对其真实性负责。查询时间为招标公告发布之日后，投标截止时间前，查询结果需显示时间。若存在一个及以上记录的，其投标资格应予以否决。</w:t>
            </w:r>
          </w:p>
        </w:tc>
      </w:tr>
      <w:tr w14:paraId="4236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71B87752">
            <w:pPr>
              <w:wordWrap w:val="0"/>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867" w:type="dxa"/>
            <w:vAlign w:val="center"/>
          </w:tcPr>
          <w:p w14:paraId="5711D6CB">
            <w:pPr>
              <w:wordWrap w:val="0"/>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684" w:type="dxa"/>
            <w:vAlign w:val="center"/>
          </w:tcPr>
          <w:p w14:paraId="737A06F9">
            <w:pPr>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rPr>
              <w:t>□ 不接受</w:t>
            </w:r>
          </w:p>
          <w:p w14:paraId="01888E65">
            <w:pPr>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rPr>
              <w:t>☑ 接受，应满足下列要求：</w:t>
            </w:r>
          </w:p>
          <w:p w14:paraId="470B526E">
            <w:pPr>
              <w:pStyle w:val="23"/>
              <w:widowControl/>
              <w:spacing w:line="400" w:lineRule="exact"/>
              <w:ind w:right="64"/>
              <w:rPr>
                <w:rFonts w:hint="eastAsia" w:ascii="宋体" w:hAnsi="宋体" w:cs="宋体"/>
                <w:color w:val="auto"/>
                <w:sz w:val="21"/>
                <w:szCs w:val="21"/>
                <w:highlight w:val="none"/>
              </w:rPr>
            </w:pPr>
            <w:r>
              <w:rPr>
                <w:rFonts w:hint="eastAsia" w:ascii="宋体" w:hAnsi="宋体" w:cs="宋体"/>
                <w:color w:val="auto"/>
                <w:sz w:val="21"/>
                <w:szCs w:val="21"/>
                <w:highlight w:val="none"/>
              </w:rPr>
              <w:t>联合体投标的，还应满足下列要求：</w:t>
            </w:r>
          </w:p>
          <w:p w14:paraId="76BAB2B9">
            <w:pPr>
              <w:pStyle w:val="23"/>
              <w:widowControl/>
              <w:spacing w:line="400" w:lineRule="exact"/>
              <w:ind w:right="64" w:rightChars="0"/>
              <w:rPr>
                <w:rFonts w:hint="eastAsia" w:ascii="宋体" w:hAnsi="宋体" w:cs="宋体"/>
                <w:color w:val="auto"/>
                <w:sz w:val="21"/>
                <w:szCs w:val="21"/>
                <w:highlight w:val="none"/>
              </w:rPr>
            </w:pPr>
            <w:r>
              <w:rPr>
                <w:rFonts w:hint="eastAsia" w:ascii="宋体" w:hAnsi="宋体" w:cs="宋体"/>
                <w:color w:val="auto"/>
                <w:sz w:val="21"/>
                <w:szCs w:val="21"/>
                <w:highlight w:val="none"/>
              </w:rPr>
              <w:t>（1）联合体各方必须签订联合体协议书，明确联合体的牵头人，其资质等级应符合资格要求；</w:t>
            </w:r>
          </w:p>
          <w:p w14:paraId="57ACD6CF">
            <w:pPr>
              <w:pStyle w:val="23"/>
              <w:widowControl/>
              <w:spacing w:line="400" w:lineRule="exact"/>
              <w:ind w:right="64" w:rightChars="0"/>
              <w:rPr>
                <w:rFonts w:hint="eastAsia" w:ascii="宋体" w:hAnsi="宋体" w:cs="宋体"/>
                <w:color w:val="auto"/>
                <w:sz w:val="21"/>
                <w:szCs w:val="21"/>
                <w:highlight w:val="none"/>
              </w:rPr>
            </w:pPr>
            <w:r>
              <w:rPr>
                <w:rFonts w:hint="eastAsia" w:ascii="宋体" w:hAnsi="宋体" w:cs="宋体"/>
                <w:color w:val="auto"/>
                <w:sz w:val="21"/>
                <w:szCs w:val="21"/>
                <w:highlight w:val="none"/>
              </w:rPr>
              <w:t>（2）联合体各成员应当共同与招标人签订合同，联合体牵头人代表联合体各方成员负责投标和合同实施阶段的主办、协调工作，但联合体其他成员在投标、签约与履行合同过程中，仍负有连带的和各自的法律责任；</w:t>
            </w:r>
          </w:p>
          <w:p w14:paraId="1850103B">
            <w:pPr>
              <w:pStyle w:val="23"/>
              <w:widowControl/>
              <w:spacing w:line="400" w:lineRule="exact"/>
              <w:ind w:right="64" w:rightChars="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联合体各方</w:t>
            </w:r>
            <w:r>
              <w:rPr>
                <w:rFonts w:hint="eastAsia" w:ascii="宋体" w:hAnsi="宋体" w:cs="宋体"/>
                <w:color w:val="auto"/>
                <w:sz w:val="21"/>
                <w:szCs w:val="21"/>
                <w:highlight w:val="none"/>
              </w:rPr>
              <w:t>签订联合体协议书后，不得再以自己的名义单独参与该</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rPr>
              <w:t>投标，也不得组成新的联合体参与该</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rPr>
              <w:t>的投标；</w:t>
            </w:r>
          </w:p>
          <w:p w14:paraId="59B14468">
            <w:pPr>
              <w:pStyle w:val="23"/>
              <w:widowControl/>
              <w:spacing w:line="400" w:lineRule="exact"/>
              <w:ind w:right="64" w:rightChars="0"/>
              <w:rPr>
                <w:rFonts w:hint="eastAsia" w:ascii="宋体" w:hAnsi="宋体" w:cs="宋体"/>
                <w:color w:val="auto"/>
                <w:sz w:val="21"/>
                <w:szCs w:val="21"/>
                <w:highlight w:val="none"/>
              </w:rPr>
            </w:pPr>
            <w:r>
              <w:rPr>
                <w:rFonts w:hint="eastAsia" w:ascii="宋体" w:hAnsi="宋体" w:cs="宋体"/>
                <w:color w:val="auto"/>
                <w:sz w:val="21"/>
                <w:szCs w:val="21"/>
                <w:highlight w:val="none"/>
              </w:rPr>
              <w:t>（4）联合体各方应分别在人员、设备、资金等方面具有承担本项目联合体协议书分工职责范围内的履约能力。</w:t>
            </w:r>
          </w:p>
        </w:tc>
      </w:tr>
      <w:tr w14:paraId="3F5F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68D15BB0">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867" w:type="dxa"/>
            <w:vAlign w:val="center"/>
          </w:tcPr>
          <w:p w14:paraId="66A138EC">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684" w:type="dxa"/>
            <w:vAlign w:val="center"/>
          </w:tcPr>
          <w:p w14:paraId="6BE9B7A1">
            <w:pPr>
              <w:pStyle w:val="53"/>
              <w:wordWrap w:val="0"/>
              <w:topLinePunct/>
              <w:spacing w:line="400" w:lineRule="exact"/>
              <w:rPr>
                <w:rFonts w:hint="eastAsia"/>
                <w:color w:val="auto"/>
                <w:szCs w:val="21"/>
                <w:highlight w:val="none"/>
              </w:rPr>
            </w:pPr>
            <w:r>
              <w:rPr>
                <w:rFonts w:hint="eastAsia"/>
                <w:color w:val="auto"/>
                <w:szCs w:val="21"/>
                <w:highlight w:val="none"/>
              </w:rPr>
              <w:t>不组织</w:t>
            </w:r>
          </w:p>
        </w:tc>
      </w:tr>
      <w:tr w14:paraId="4EE1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283EEADA">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867" w:type="dxa"/>
            <w:vAlign w:val="center"/>
          </w:tcPr>
          <w:p w14:paraId="30098778">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6684" w:type="dxa"/>
            <w:vAlign w:val="center"/>
          </w:tcPr>
          <w:p w14:paraId="2D671DC8">
            <w:pPr>
              <w:pStyle w:val="53"/>
              <w:wordWrap w:val="0"/>
              <w:topLinePunct/>
              <w:spacing w:line="400" w:lineRule="exact"/>
              <w:rPr>
                <w:rFonts w:hint="eastAsia"/>
                <w:color w:val="auto"/>
                <w:szCs w:val="21"/>
                <w:highlight w:val="none"/>
              </w:rPr>
            </w:pPr>
            <w:r>
              <w:rPr>
                <w:rFonts w:hint="eastAsia"/>
                <w:color w:val="auto"/>
                <w:szCs w:val="21"/>
                <w:highlight w:val="none"/>
              </w:rPr>
              <w:t xml:space="preserve">不召开 </w:t>
            </w:r>
          </w:p>
        </w:tc>
      </w:tr>
      <w:tr w14:paraId="73A0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03D8C030">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867" w:type="dxa"/>
            <w:vAlign w:val="center"/>
          </w:tcPr>
          <w:p w14:paraId="1112CEA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684" w:type="dxa"/>
            <w:vAlign w:val="center"/>
          </w:tcPr>
          <w:p w14:paraId="68761266">
            <w:pPr>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不允许</w:t>
            </w:r>
          </w:p>
          <w:p w14:paraId="65B27ACE">
            <w:pPr>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允许，分包内容要求：获得招标人同意，可分包非主体的和非关键的专业工程。</w:t>
            </w:r>
          </w:p>
          <w:p w14:paraId="222ADA12">
            <w:pPr>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rPr>
              <w:t>分包金额要求：无。</w:t>
            </w:r>
          </w:p>
          <w:p w14:paraId="1374D18A">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对分包人的资质要求：符合国家资质管理规定的要求。</w:t>
            </w:r>
          </w:p>
        </w:tc>
      </w:tr>
      <w:tr w14:paraId="4D1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4" w:type="dxa"/>
            <w:vAlign w:val="center"/>
          </w:tcPr>
          <w:p w14:paraId="7AD6718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867" w:type="dxa"/>
            <w:vAlign w:val="center"/>
          </w:tcPr>
          <w:p w14:paraId="77A06BBB">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6684" w:type="dxa"/>
            <w:vAlign w:val="center"/>
          </w:tcPr>
          <w:p w14:paraId="389B6D1D">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不允许</w:t>
            </w:r>
          </w:p>
        </w:tc>
      </w:tr>
      <w:tr w14:paraId="5CE8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2683B91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867" w:type="dxa"/>
            <w:vAlign w:val="center"/>
          </w:tcPr>
          <w:p w14:paraId="458D6835">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684" w:type="dxa"/>
            <w:vAlign w:val="center"/>
          </w:tcPr>
          <w:p w14:paraId="1F290F42">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答疑纪要、补充通知、澄清修改等（若有）</w:t>
            </w:r>
          </w:p>
        </w:tc>
      </w:tr>
      <w:tr w14:paraId="23EE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1AF0F0C9">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867" w:type="dxa"/>
            <w:vAlign w:val="center"/>
          </w:tcPr>
          <w:p w14:paraId="3E05A3C8">
            <w:pPr>
              <w:wordWrap w:val="0"/>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6684" w:type="dxa"/>
            <w:vAlign w:val="center"/>
          </w:tcPr>
          <w:p w14:paraId="139E01BA">
            <w:pPr>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rPr>
              <w:t>提交投标文件截止时间10日前</w:t>
            </w:r>
          </w:p>
        </w:tc>
      </w:tr>
      <w:tr w14:paraId="667B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27C2617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867" w:type="dxa"/>
            <w:vAlign w:val="center"/>
          </w:tcPr>
          <w:p w14:paraId="76E9A66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684" w:type="dxa"/>
            <w:vAlign w:val="center"/>
          </w:tcPr>
          <w:p w14:paraId="76AC3292">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r>
              <w:rPr>
                <w:rFonts w:hint="eastAsia" w:ascii="宋体" w:hAnsi="宋体" w:cs="宋体"/>
                <w:bCs/>
                <w:color w:val="auto"/>
                <w:szCs w:val="21"/>
                <w:highlight w:val="none"/>
                <w:u w:val="single"/>
              </w:rPr>
              <w:t xml:space="preserve"> 09 </w:t>
            </w:r>
            <w:r>
              <w:rPr>
                <w:rFonts w:hint="eastAsia" w:ascii="宋体" w:hAnsi="宋体" w:cs="宋体"/>
                <w:bCs/>
                <w:color w:val="auto"/>
                <w:szCs w:val="21"/>
                <w:highlight w:val="none"/>
              </w:rPr>
              <w:t>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00</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分</w:t>
            </w:r>
          </w:p>
        </w:tc>
      </w:tr>
      <w:tr w14:paraId="22BC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6288057E">
            <w:pPr>
              <w:wordWrap w:val="0"/>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867" w:type="dxa"/>
            <w:vAlign w:val="center"/>
          </w:tcPr>
          <w:p w14:paraId="3B97900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6684" w:type="dxa"/>
            <w:vAlign w:val="center"/>
          </w:tcPr>
          <w:p w14:paraId="3C1A4395">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17EB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14:paraId="11CB7AD7">
            <w:pPr>
              <w:wordWrap w:val="0"/>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1867" w:type="dxa"/>
            <w:vAlign w:val="center"/>
          </w:tcPr>
          <w:p w14:paraId="136F032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6684" w:type="dxa"/>
            <w:vAlign w:val="center"/>
          </w:tcPr>
          <w:p w14:paraId="747F088C">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18DB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4" w:type="dxa"/>
            <w:vAlign w:val="center"/>
          </w:tcPr>
          <w:p w14:paraId="3E2C693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1867" w:type="dxa"/>
            <w:vAlign w:val="center"/>
          </w:tcPr>
          <w:p w14:paraId="737ABFBB">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684" w:type="dxa"/>
            <w:vAlign w:val="center"/>
          </w:tcPr>
          <w:p w14:paraId="1CF81C24">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自投标文件递交截止之日起60天 </w:t>
            </w:r>
          </w:p>
        </w:tc>
      </w:tr>
      <w:tr w14:paraId="7022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054" w:type="dxa"/>
            <w:vAlign w:val="center"/>
          </w:tcPr>
          <w:p w14:paraId="06500DFC">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867" w:type="dxa"/>
            <w:vAlign w:val="center"/>
          </w:tcPr>
          <w:p w14:paraId="6F2B050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684" w:type="dxa"/>
            <w:vAlign w:val="center"/>
          </w:tcPr>
          <w:p w14:paraId="0BD42288">
            <w:pPr>
              <w:wordWrap w:val="0"/>
              <w:topLinePunct/>
              <w:snapToGrid w:val="0"/>
              <w:spacing w:line="400" w:lineRule="exact"/>
              <w:rPr>
                <w:rFonts w:hint="eastAsia" w:ascii="宋体" w:hAnsi="宋体" w:cs="宋体"/>
                <w:color w:val="auto"/>
                <w:szCs w:val="21"/>
                <w:highlight w:val="none"/>
              </w:rPr>
            </w:pPr>
            <w:r>
              <w:rPr>
                <w:rFonts w:hint="eastAsia" w:ascii="宋体" w:hAnsi="宋体" w:cs="宋体"/>
                <w:b/>
                <w:bCs/>
                <w:color w:val="auto"/>
                <w:szCs w:val="21"/>
                <w:highlight w:val="none"/>
              </w:rPr>
              <w:t>无</w:t>
            </w:r>
            <w:r>
              <w:rPr>
                <w:rFonts w:hint="eastAsia" w:ascii="宋体" w:hAnsi="宋体" w:cs="宋体"/>
                <w:color w:val="auto"/>
                <w:szCs w:val="21"/>
                <w:highlight w:val="none"/>
              </w:rPr>
              <w:t>（说明：为响应国家发展改革委、广电总局等13个部门近日联合印发的“发改法规［2023］27号文《关于完善招标投标交易担保制度进一步降低招标投标交易成本的通知》”的文件精神，本项目免收投标保证金。）</w:t>
            </w:r>
          </w:p>
        </w:tc>
      </w:tr>
      <w:tr w14:paraId="11C3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14:paraId="258AFB99">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867" w:type="dxa"/>
            <w:vAlign w:val="center"/>
          </w:tcPr>
          <w:p w14:paraId="36E11B8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684" w:type="dxa"/>
            <w:vAlign w:val="center"/>
          </w:tcPr>
          <w:p w14:paraId="26438B90">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w:t>
            </w:r>
          </w:p>
        </w:tc>
      </w:tr>
      <w:tr w14:paraId="738A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10A22E3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867" w:type="dxa"/>
            <w:vAlign w:val="center"/>
          </w:tcPr>
          <w:p w14:paraId="7E9540D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6684" w:type="dxa"/>
            <w:vAlign w:val="center"/>
          </w:tcPr>
          <w:p w14:paraId="1787449D">
            <w:pPr>
              <w:tabs>
                <w:tab w:val="left" w:pos="0"/>
              </w:tabs>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rPr>
              <w:t>签字和盖章的要求应符合第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章投标文件格式相应要求，其中“法定代表人电子签名”是指法定代表人的电子签名或电子章。</w:t>
            </w:r>
          </w:p>
        </w:tc>
      </w:tr>
      <w:tr w14:paraId="3E92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464505DD">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867" w:type="dxa"/>
            <w:vAlign w:val="center"/>
          </w:tcPr>
          <w:p w14:paraId="3E56DF0F">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投标文件的递交</w:t>
            </w:r>
          </w:p>
        </w:tc>
        <w:tc>
          <w:tcPr>
            <w:tcW w:w="6684" w:type="dxa"/>
            <w:vAlign w:val="center"/>
          </w:tcPr>
          <w:p w14:paraId="7473C565">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1、电子投标文件的递交</w:t>
            </w:r>
          </w:p>
          <w:p w14:paraId="227716E0">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1AA1C249">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2、本项目采用“不见面开标”交易方式，不见面开标大厅网址为 https://ggzyjy.xinyang.gov.cn/BidOpening，投标人无需寄送和递交非加密的电子投标文件，无需到现场参加开标会议，无需到达现场提交原件资料。</w:t>
            </w:r>
          </w:p>
        </w:tc>
      </w:tr>
      <w:tr w14:paraId="5977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43EC3F72">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867" w:type="dxa"/>
            <w:vAlign w:val="center"/>
          </w:tcPr>
          <w:p w14:paraId="59A43B95">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684" w:type="dxa"/>
            <w:vAlign w:val="center"/>
          </w:tcPr>
          <w:p w14:paraId="1ACD48B6">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70712E9A">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开标地点：</w:t>
            </w:r>
            <w:r>
              <w:rPr>
                <w:rFonts w:hint="eastAsia" w:asciiTheme="minorEastAsia" w:hAnsiTheme="minorEastAsia" w:eastAsiaTheme="minorEastAsia" w:cstheme="minorEastAsia"/>
                <w:bCs/>
                <w:color w:val="auto"/>
                <w:szCs w:val="21"/>
                <w:highlight w:val="none"/>
                <w:lang w:eastAsia="zh-CN"/>
              </w:rPr>
              <w:t xml:space="preserve">淮滨县公共资源交易中心不见面开标    厅 </w:t>
            </w:r>
          </w:p>
        </w:tc>
      </w:tr>
      <w:tr w14:paraId="34D3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Merge w:val="restart"/>
            <w:vAlign w:val="center"/>
          </w:tcPr>
          <w:p w14:paraId="2D30F65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867" w:type="dxa"/>
            <w:vAlign w:val="center"/>
          </w:tcPr>
          <w:p w14:paraId="1BFB5E8A">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评标委员会的</w:t>
            </w:r>
          </w:p>
          <w:p w14:paraId="60B602B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组建</w:t>
            </w:r>
          </w:p>
        </w:tc>
        <w:tc>
          <w:tcPr>
            <w:tcW w:w="6684" w:type="dxa"/>
            <w:vAlign w:val="center"/>
          </w:tcPr>
          <w:p w14:paraId="3FBC013E">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人；</w:t>
            </w:r>
          </w:p>
          <w:p w14:paraId="25A47078">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其中业主评委</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softHyphen/>
            </w:r>
            <w:r>
              <w:rPr>
                <w:rFonts w:hint="eastAsia" w:ascii="宋体" w:hAnsi="宋体" w:cs="宋体"/>
                <w:color w:val="auto"/>
                <w:szCs w:val="21"/>
                <w:highlight w:val="none"/>
              </w:rPr>
              <w:t>人，评标专家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人；</w:t>
            </w:r>
          </w:p>
          <w:p w14:paraId="68A3CD81">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w:t>
            </w:r>
          </w:p>
          <w:p w14:paraId="72B0C1D0">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从河南省综合评标专家库中随机抽取方式确定。</w:t>
            </w:r>
          </w:p>
        </w:tc>
      </w:tr>
      <w:tr w14:paraId="6AEB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Merge w:val="continue"/>
            <w:vAlign w:val="center"/>
          </w:tcPr>
          <w:p w14:paraId="02A46407">
            <w:pPr>
              <w:wordWrap w:val="0"/>
              <w:topLinePunct/>
              <w:adjustRightInd w:val="0"/>
              <w:snapToGrid w:val="0"/>
              <w:spacing w:line="400" w:lineRule="exact"/>
              <w:jc w:val="center"/>
              <w:rPr>
                <w:rFonts w:hint="eastAsia" w:ascii="宋体" w:hAnsi="宋体" w:cs="宋体"/>
                <w:color w:val="auto"/>
                <w:szCs w:val="21"/>
                <w:highlight w:val="none"/>
              </w:rPr>
            </w:pPr>
          </w:p>
        </w:tc>
        <w:tc>
          <w:tcPr>
            <w:tcW w:w="1867" w:type="dxa"/>
            <w:vAlign w:val="center"/>
          </w:tcPr>
          <w:p w14:paraId="725441E3">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本次评标采用的评标方法</w:t>
            </w:r>
          </w:p>
        </w:tc>
        <w:tc>
          <w:tcPr>
            <w:tcW w:w="6684" w:type="dxa"/>
            <w:vAlign w:val="center"/>
          </w:tcPr>
          <w:p w14:paraId="19AA58EE">
            <w:pPr>
              <w:adjustRightInd w:val="0"/>
              <w:snapToGrid w:val="0"/>
              <w:spacing w:line="400" w:lineRule="exact"/>
              <w:rPr>
                <w:rFonts w:hint="eastAsia" w:ascii="宋体" w:hAnsi="宋体" w:cs="宋体"/>
                <w:color w:val="auto"/>
                <w:szCs w:val="21"/>
                <w:highlight w:val="none"/>
              </w:rPr>
            </w:pPr>
            <w:r>
              <w:rPr>
                <w:rFonts w:hint="eastAsia"/>
                <w:color w:val="auto"/>
                <w:szCs w:val="21"/>
                <w:highlight w:val="none"/>
              </w:rPr>
              <w:t>本项目采用评定分离方式确定中标人，由评标委员会按照“第三章”评标办法对投标文件进行审查，从有效投标人中向招标人推荐一定数量的中标候选人，并出具评审报告。</w:t>
            </w:r>
          </w:p>
        </w:tc>
      </w:tr>
      <w:tr w14:paraId="4F04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4" w:type="dxa"/>
            <w:vAlign w:val="center"/>
          </w:tcPr>
          <w:p w14:paraId="23800A4D">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6.4</w:t>
            </w:r>
          </w:p>
        </w:tc>
        <w:tc>
          <w:tcPr>
            <w:tcW w:w="1867" w:type="dxa"/>
            <w:vAlign w:val="center"/>
          </w:tcPr>
          <w:p w14:paraId="3820EDEB">
            <w:pPr>
              <w:adjustRightInd w:val="0"/>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是否授权评标委</w:t>
            </w:r>
          </w:p>
          <w:p w14:paraId="261F0AAE">
            <w:pPr>
              <w:adjustRightInd w:val="0"/>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员会确定中标人</w:t>
            </w:r>
          </w:p>
        </w:tc>
        <w:tc>
          <w:tcPr>
            <w:tcW w:w="6684" w:type="dxa"/>
            <w:vAlign w:val="center"/>
          </w:tcPr>
          <w:p w14:paraId="3D645065">
            <w:pPr>
              <w:wordWrap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是</w:t>
            </w:r>
          </w:p>
          <w:p w14:paraId="624278B7">
            <w:pPr>
              <w:wordWrap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否，推荐不排序的定标候选人</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rPr>
              <w:t>具体详见“第三章评标办法前附表”规定。</w:t>
            </w:r>
          </w:p>
        </w:tc>
      </w:tr>
      <w:tr w14:paraId="028E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4" w:type="dxa"/>
            <w:vAlign w:val="center"/>
          </w:tcPr>
          <w:p w14:paraId="1F05DA8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6.6</w:t>
            </w:r>
          </w:p>
        </w:tc>
        <w:tc>
          <w:tcPr>
            <w:tcW w:w="1867" w:type="dxa"/>
            <w:vAlign w:val="center"/>
          </w:tcPr>
          <w:p w14:paraId="34288249">
            <w:pPr>
              <w:adjustRightInd w:val="0"/>
              <w:snapToGrid w:val="0"/>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中标候选人公示</w:t>
            </w:r>
            <w:r>
              <w:rPr>
                <w:rFonts w:hint="eastAsia" w:asciiTheme="minorEastAsia" w:hAnsiTheme="minorEastAsia" w:eastAsiaTheme="minorEastAsia" w:cstheme="minorEastAsia"/>
                <w:color w:val="auto"/>
                <w:szCs w:val="21"/>
                <w:highlight w:val="none"/>
                <w:lang w:val="en-US" w:eastAsia="zh-CN"/>
              </w:rPr>
              <w:t>媒介</w:t>
            </w:r>
          </w:p>
        </w:tc>
        <w:tc>
          <w:tcPr>
            <w:tcW w:w="6684" w:type="dxa"/>
            <w:vAlign w:val="center"/>
          </w:tcPr>
          <w:p w14:paraId="2D3D08E4">
            <w:pPr>
              <w:wordWrap w:val="0"/>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"http://www.baidu.com/link?url=GpJ16h5uL5u8weOstA-_SAfwaQkPN-wA-9DATEdQD7D2Vwnvr3l6CJWgpwHKfg8c"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中国招标投标公共服务平台</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《全国公共资源交易平台（河南省·淮滨县）》</w:t>
            </w:r>
          </w:p>
        </w:tc>
      </w:tr>
      <w:tr w14:paraId="21F1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14:paraId="7E7BE9AF">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867" w:type="dxa"/>
            <w:vAlign w:val="center"/>
          </w:tcPr>
          <w:p w14:paraId="543C45B2">
            <w:pPr>
              <w:spacing w:line="400" w:lineRule="exact"/>
              <w:jc w:val="center"/>
              <w:rPr>
                <w:rFonts w:hint="eastAsia"/>
                <w:color w:val="auto"/>
                <w:szCs w:val="21"/>
                <w:highlight w:val="none"/>
              </w:rPr>
            </w:pPr>
            <w:r>
              <w:rPr>
                <w:rFonts w:hint="eastAsia"/>
                <w:color w:val="auto"/>
                <w:szCs w:val="21"/>
                <w:highlight w:val="none"/>
              </w:rPr>
              <w:t>定标委员会的</w:t>
            </w:r>
          </w:p>
          <w:p w14:paraId="28C5CFC1">
            <w:pPr>
              <w:spacing w:line="400" w:lineRule="exact"/>
              <w:jc w:val="center"/>
              <w:rPr>
                <w:rFonts w:hint="eastAsia" w:ascii="宋体" w:hAnsi="宋体" w:cs="宋体"/>
                <w:color w:val="auto"/>
                <w:szCs w:val="21"/>
                <w:highlight w:val="none"/>
              </w:rPr>
            </w:pPr>
            <w:r>
              <w:rPr>
                <w:rFonts w:hint="eastAsia"/>
                <w:color w:val="auto"/>
                <w:szCs w:val="21"/>
                <w:highlight w:val="none"/>
              </w:rPr>
              <w:t>组建</w:t>
            </w:r>
          </w:p>
        </w:tc>
        <w:tc>
          <w:tcPr>
            <w:tcW w:w="6684" w:type="dxa"/>
            <w:vAlign w:val="center"/>
          </w:tcPr>
          <w:p w14:paraId="6F0DFAF5">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招标人组建定标委员会，负责对中标候选人进行核查和组织召开定标会议。定标工作由定标委员会独立完成，定标委员会成员数量为5人，招标人单位成员不得低于成员总数的</w:t>
            </w:r>
            <w:r>
              <w:rPr>
                <w:rFonts w:hint="eastAsia" w:ascii="宋体" w:hAnsi="宋体" w:eastAsia="宋体" w:cs="宋体"/>
                <w:color w:val="auto"/>
                <w:highlight w:val="none"/>
                <w:lang w:val="en-US" w:eastAsia="zh-CN"/>
              </w:rPr>
              <w:t>三分之二</w:t>
            </w:r>
            <w:r>
              <w:rPr>
                <w:rFonts w:hint="eastAsia" w:ascii="宋体" w:hAnsi="宋体" w:eastAsia="宋体" w:cs="宋体"/>
                <w:color w:val="auto"/>
                <w:highlight w:val="none"/>
              </w:rPr>
              <w:t>。定标委员会组长由招标人确定原则上由招标人的法定代表人、主要负责人或分管负责人担任，其他成员可由招标人自行选定。定标委员会成员与中标候选人利害关系的应当主动申请回避。定标委员会名单在中标结果确定前应当保密定标委员会应当对定标过程保密，对所提出的定标意见承担个人责任，不得私下与投标人或者其他利害关系人接触</w:t>
            </w:r>
            <w:r>
              <w:rPr>
                <w:rFonts w:hint="eastAsia" w:ascii="宋体" w:hAnsi="宋体" w:eastAsia="宋体" w:cs="宋体"/>
                <w:color w:val="auto"/>
                <w:highlight w:val="none"/>
                <w:lang w:eastAsia="zh-CN"/>
              </w:rPr>
              <w:t>。</w:t>
            </w:r>
          </w:p>
        </w:tc>
      </w:tr>
      <w:tr w14:paraId="72DF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14:paraId="53B90B5B">
            <w:pPr>
              <w:widowControl/>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7.2</w:t>
            </w:r>
          </w:p>
        </w:tc>
        <w:tc>
          <w:tcPr>
            <w:tcW w:w="1867" w:type="dxa"/>
            <w:vAlign w:val="center"/>
          </w:tcPr>
          <w:p w14:paraId="3EC7CDE0">
            <w:pPr>
              <w:widowControl/>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核查办法</w:t>
            </w:r>
          </w:p>
        </w:tc>
        <w:tc>
          <w:tcPr>
            <w:tcW w:w="6684" w:type="dxa"/>
            <w:vAlign w:val="center"/>
          </w:tcPr>
          <w:p w14:paraId="33C8A253">
            <w:pPr>
              <w:widowControl/>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核查应在定标会议前进行，第四章“定标办法”没有规定的核查方法、内容，不作为定标依据。</w:t>
            </w:r>
            <w:r>
              <w:rPr>
                <w:rFonts w:hint="eastAsia" w:ascii="宋体" w:hAnsi="宋体" w:eastAsia="宋体" w:cs="宋体"/>
                <w:color w:val="auto"/>
                <w:highlight w:val="none"/>
                <w:lang w:val="en-US" w:eastAsia="zh-CN"/>
              </w:rPr>
              <w:t>具体详情</w:t>
            </w:r>
            <w:r>
              <w:rPr>
                <w:rFonts w:hint="eastAsia" w:ascii="宋体" w:hAnsi="宋体" w:eastAsia="宋体" w:cs="宋体"/>
                <w:color w:val="auto"/>
                <w:highlight w:val="none"/>
              </w:rPr>
              <w:t>详见第四章“定标办法”。</w:t>
            </w:r>
          </w:p>
        </w:tc>
      </w:tr>
      <w:tr w14:paraId="3795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14:paraId="35F482DA">
            <w:pPr>
              <w:wordWrap w:val="0"/>
              <w:topLinePunct/>
              <w:adjustRightInd w:val="0"/>
              <w:snapToGrid w:val="0"/>
              <w:spacing w:line="400" w:lineRule="exact"/>
              <w:jc w:val="center"/>
              <w:rPr>
                <w:rFonts w:hint="eastAsia" w:eastAsia="宋体" w:cs="Times New Roman"/>
                <w:color w:val="auto"/>
                <w:szCs w:val="21"/>
                <w:highlight w:val="none"/>
                <w:lang w:val="en-US" w:eastAsia="zh-CN"/>
              </w:rPr>
            </w:pPr>
            <w:r>
              <w:rPr>
                <w:rFonts w:hint="eastAsia" w:ascii="宋体" w:hAnsi="宋体" w:cs="宋体"/>
                <w:color w:val="auto"/>
                <w:szCs w:val="21"/>
                <w:highlight w:val="none"/>
              </w:rPr>
              <w:t>7.3</w:t>
            </w:r>
          </w:p>
        </w:tc>
        <w:tc>
          <w:tcPr>
            <w:tcW w:w="1867" w:type="dxa"/>
            <w:vAlign w:val="center"/>
          </w:tcPr>
          <w:p w14:paraId="292E4559">
            <w:pPr>
              <w:adjustRightInd w:val="0"/>
              <w:snapToGrid w:val="0"/>
              <w:spacing w:line="400" w:lineRule="exact"/>
              <w:jc w:val="center"/>
              <w:rPr>
                <w:rFonts w:hint="eastAsia" w:eastAsia="宋体" w:cs="Times New Roman"/>
                <w:color w:val="auto"/>
                <w:szCs w:val="21"/>
                <w:highlight w:val="none"/>
              </w:rPr>
            </w:pPr>
            <w:r>
              <w:rPr>
                <w:rFonts w:hint="eastAsia" w:ascii="宋体" w:hAnsi="宋体" w:cs="宋体"/>
                <w:color w:val="auto"/>
                <w:szCs w:val="21"/>
                <w:highlight w:val="none"/>
              </w:rPr>
              <w:t>定标方</w:t>
            </w:r>
            <w:r>
              <w:rPr>
                <w:rFonts w:hint="eastAsia" w:eastAsia="宋体" w:cs="Times New Roman"/>
                <w:color w:val="auto"/>
                <w:szCs w:val="21"/>
                <w:highlight w:val="none"/>
              </w:rPr>
              <w:t>法</w:t>
            </w:r>
          </w:p>
        </w:tc>
        <w:tc>
          <w:tcPr>
            <w:tcW w:w="6684" w:type="dxa"/>
            <w:vAlign w:val="center"/>
          </w:tcPr>
          <w:p w14:paraId="7CB13270">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本项目采用评定分离方式确定中标人，招标人应当组建定标委员会，负责对中标候选人进行核查和组织召开定标会议等内容。定标工作应当由定标委员会独立完成。定标方法采用</w:t>
            </w:r>
            <w:r>
              <w:rPr>
                <w:rFonts w:hint="eastAsia"/>
                <w:color w:val="auto"/>
                <w:szCs w:val="21"/>
                <w:highlight w:val="none"/>
                <w:shd w:val="clear" w:color="auto" w:fill="FFFFFF"/>
              </w:rPr>
              <w:t>“</w:t>
            </w:r>
            <w:r>
              <w:rPr>
                <w:rFonts w:hint="eastAsia"/>
                <w:color w:val="auto"/>
                <w:szCs w:val="21"/>
                <w:highlight w:val="none"/>
                <w:shd w:val="clear" w:color="auto" w:fill="FFFFFF"/>
                <w:lang w:eastAsia="zh-CN"/>
              </w:rPr>
              <w:t>核查随机法</w:t>
            </w:r>
            <w:r>
              <w:rPr>
                <w:rFonts w:hint="eastAsia"/>
                <w:color w:val="auto"/>
                <w:szCs w:val="21"/>
                <w:highlight w:val="none"/>
                <w:shd w:val="clear" w:color="auto" w:fill="FFFFFF"/>
              </w:rPr>
              <w:t>”</w:t>
            </w:r>
            <w:r>
              <w:rPr>
                <w:rFonts w:hint="eastAsia" w:ascii="宋体" w:hAnsi="宋体" w:cs="宋体"/>
                <w:color w:val="auto"/>
                <w:szCs w:val="21"/>
                <w:highlight w:val="none"/>
              </w:rPr>
              <w:t>。</w:t>
            </w:r>
          </w:p>
          <w:p w14:paraId="0E21FB83">
            <w:pPr>
              <w:adjustRightInd w:val="0"/>
              <w:snapToGrid w:val="0"/>
              <w:spacing w:line="400" w:lineRule="exact"/>
              <w:rPr>
                <w:rFonts w:hint="eastAsia" w:ascii="宋体" w:hAnsi="宋体" w:eastAsia="宋体" w:cs="宋体"/>
                <w:color w:val="auto"/>
                <w:highlight w:val="none"/>
              </w:rPr>
            </w:pPr>
            <w:r>
              <w:rPr>
                <w:rFonts w:hint="eastAsia" w:ascii="宋体" w:hAnsi="宋体" w:cs="宋体"/>
                <w:color w:val="auto"/>
                <w:szCs w:val="21"/>
                <w:highlight w:val="none"/>
              </w:rPr>
              <w:t>定标过程：招标人应当在收到评审报告后10日内完成定标。</w:t>
            </w:r>
          </w:p>
        </w:tc>
      </w:tr>
      <w:tr w14:paraId="6049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14:paraId="3E5D921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7.4</w:t>
            </w:r>
          </w:p>
        </w:tc>
        <w:tc>
          <w:tcPr>
            <w:tcW w:w="1867" w:type="dxa"/>
            <w:vAlign w:val="center"/>
          </w:tcPr>
          <w:p w14:paraId="53530138">
            <w:pPr>
              <w:adjustRightInd w:val="0"/>
              <w:snapToGrid w:val="0"/>
              <w:spacing w:line="400" w:lineRule="exact"/>
              <w:jc w:val="center"/>
              <w:rPr>
                <w:rFonts w:hint="eastAsia" w:ascii="宋体" w:hAnsi="宋体" w:cs="宋体"/>
                <w:color w:val="auto"/>
                <w:szCs w:val="21"/>
                <w:highlight w:val="none"/>
              </w:rPr>
            </w:pPr>
            <w:r>
              <w:rPr>
                <w:rFonts w:hint="eastAsia" w:ascii="宋体" w:hAnsi="宋体" w:eastAsia="宋体" w:cs="宋体"/>
                <w:color w:val="auto"/>
                <w:highlight w:val="none"/>
              </w:rPr>
              <w:t>中</w:t>
            </w:r>
            <w:r>
              <w:rPr>
                <w:rFonts w:hint="eastAsia" w:ascii="宋体" w:hAnsi="宋体" w:cs="宋体"/>
                <w:color w:val="auto"/>
                <w:highlight w:val="none"/>
                <w:lang w:val="en-US" w:eastAsia="zh-CN"/>
              </w:rPr>
              <w:t>标结果</w:t>
            </w:r>
            <w:r>
              <w:rPr>
                <w:rFonts w:hint="eastAsia" w:ascii="宋体" w:hAnsi="宋体" w:cs="宋体"/>
                <w:color w:val="auto"/>
                <w:highlight w:val="none"/>
              </w:rPr>
              <w:t>公</w:t>
            </w:r>
            <w:r>
              <w:rPr>
                <w:rFonts w:hint="eastAsia" w:ascii="宋体" w:hAnsi="宋体" w:cs="宋体"/>
                <w:color w:val="auto"/>
                <w:highlight w:val="none"/>
                <w:lang w:val="en-US" w:eastAsia="zh-CN"/>
              </w:rPr>
              <w:t>告</w:t>
            </w:r>
          </w:p>
        </w:tc>
        <w:tc>
          <w:tcPr>
            <w:tcW w:w="6684" w:type="dxa"/>
            <w:vAlign w:val="center"/>
          </w:tcPr>
          <w:p w14:paraId="3A2F06F3">
            <w:pPr>
              <w:adjustRightInd w:val="0"/>
              <w:snapToGrid w:val="0"/>
              <w:spacing w:line="400" w:lineRule="exact"/>
              <w:rPr>
                <w:rFonts w:hint="eastAsia" w:ascii="宋体" w:hAnsi="宋体" w:cs="宋体"/>
                <w:color w:val="auto"/>
                <w:szCs w:val="21"/>
                <w:highlight w:val="none"/>
              </w:rPr>
            </w:pPr>
            <w:r>
              <w:rPr>
                <w:rFonts w:hint="eastAsia" w:ascii="宋体" w:hAnsi="宋体" w:eastAsia="宋体" w:cs="宋体"/>
                <w:color w:val="auto"/>
                <w:szCs w:val="21"/>
                <w:highlight w:val="none"/>
              </w:rPr>
              <w:t>招标人应当在定标工作完成后3日内发布中标结果公</w:t>
            </w:r>
            <w:r>
              <w:rPr>
                <w:rFonts w:hint="eastAsia" w:ascii="宋体" w:hAnsi="宋体" w:cs="宋体"/>
                <w:color w:val="auto"/>
                <w:highlight w:val="none"/>
                <w:lang w:val="en-US" w:eastAsia="zh-CN"/>
              </w:rPr>
              <w:t>告</w:t>
            </w:r>
            <w:r>
              <w:rPr>
                <w:rFonts w:hint="eastAsia" w:ascii="宋体" w:hAnsi="宋体" w:eastAsia="宋体" w:cs="宋体"/>
                <w:color w:val="auto"/>
                <w:szCs w:val="21"/>
                <w:highlight w:val="none"/>
              </w:rPr>
              <w:t>，公示期不少于3日。</w:t>
            </w:r>
          </w:p>
        </w:tc>
      </w:tr>
      <w:tr w14:paraId="13E9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5DA69937">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7.3.1</w:t>
            </w:r>
          </w:p>
        </w:tc>
        <w:tc>
          <w:tcPr>
            <w:tcW w:w="1867" w:type="dxa"/>
            <w:vAlign w:val="center"/>
          </w:tcPr>
          <w:p w14:paraId="4D341224">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定标方式</w:t>
            </w:r>
          </w:p>
        </w:tc>
        <w:tc>
          <w:tcPr>
            <w:tcW w:w="6684" w:type="dxa"/>
            <w:vAlign w:val="center"/>
          </w:tcPr>
          <w:p w14:paraId="48442CE0">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本项目采用评定分离方式确定中标人，招标人应当组建定标委员会，负责对中标候选人进行核查和组织召开定标会议等内容。定标工作应当由定标委员会独立完成。定标方法采用</w:t>
            </w:r>
            <w:r>
              <w:rPr>
                <w:rFonts w:hint="eastAsia"/>
                <w:color w:val="auto"/>
                <w:szCs w:val="21"/>
                <w:highlight w:val="none"/>
                <w:shd w:val="clear" w:color="auto" w:fill="FFFFFF"/>
              </w:rPr>
              <w:t>“</w:t>
            </w:r>
            <w:r>
              <w:rPr>
                <w:rFonts w:hint="eastAsia"/>
                <w:color w:val="auto"/>
                <w:szCs w:val="21"/>
                <w:highlight w:val="none"/>
                <w:shd w:val="clear" w:color="auto" w:fill="FFFFFF"/>
                <w:lang w:eastAsia="zh-CN"/>
              </w:rPr>
              <w:t>核查随机法</w:t>
            </w:r>
            <w:r>
              <w:rPr>
                <w:rFonts w:hint="eastAsia"/>
                <w:color w:val="auto"/>
                <w:szCs w:val="21"/>
                <w:highlight w:val="none"/>
                <w:shd w:val="clear" w:color="auto" w:fill="FFFFFF"/>
              </w:rPr>
              <w:t>”</w:t>
            </w:r>
            <w:r>
              <w:rPr>
                <w:rFonts w:hint="eastAsia" w:ascii="宋体" w:hAnsi="宋体" w:cs="宋体"/>
                <w:color w:val="auto"/>
                <w:szCs w:val="21"/>
                <w:highlight w:val="none"/>
              </w:rPr>
              <w:t>。</w:t>
            </w:r>
          </w:p>
          <w:p w14:paraId="0F2EBA55">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定标过程：招标人应当在收到评审报告后10日内完成定标。</w:t>
            </w:r>
          </w:p>
        </w:tc>
      </w:tr>
      <w:tr w14:paraId="50AC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4E4E1BD9">
            <w:pPr>
              <w:wordWrap w:val="0"/>
              <w:topLinePunct/>
              <w:adjustRightInd w:val="0"/>
              <w:snapToGrid w:val="0"/>
              <w:spacing w:line="400" w:lineRule="exact"/>
              <w:jc w:val="center"/>
              <w:rPr>
                <w:rFonts w:hint="eastAsia" w:ascii="宋体" w:hAnsi="宋体" w:cs="宋体"/>
                <w:color w:val="auto"/>
                <w:szCs w:val="21"/>
                <w:highlight w:val="none"/>
              </w:rPr>
            </w:pPr>
            <w:bookmarkStart w:id="46" w:name="OLE_LINK1" w:colFirst="1" w:colLast="2"/>
            <w:r>
              <w:rPr>
                <w:rFonts w:hint="eastAsia" w:ascii="宋体" w:hAnsi="宋体" w:cs="宋体"/>
                <w:color w:val="auto"/>
                <w:szCs w:val="21"/>
                <w:highlight w:val="none"/>
              </w:rPr>
              <w:t>7.6</w:t>
            </w:r>
          </w:p>
        </w:tc>
        <w:tc>
          <w:tcPr>
            <w:tcW w:w="1867" w:type="dxa"/>
            <w:vAlign w:val="center"/>
          </w:tcPr>
          <w:p w14:paraId="5D5C02B0">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684" w:type="dxa"/>
            <w:vAlign w:val="center"/>
          </w:tcPr>
          <w:p w14:paraId="432674A6">
            <w:pPr>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履约担保的形式：</w:t>
            </w:r>
            <w:r>
              <w:rPr>
                <w:rFonts w:hint="eastAsia" w:ascii="宋体" w:hAnsi="宋体" w:cs="宋体"/>
                <w:color w:val="auto"/>
                <w:szCs w:val="21"/>
                <w:highlight w:val="none"/>
                <w:lang w:val="en-US" w:eastAsia="zh-CN"/>
              </w:rPr>
              <w:t>/</w:t>
            </w:r>
          </w:p>
          <w:p w14:paraId="28D2675C">
            <w:pPr>
              <w:adjustRightInd w:val="0"/>
              <w:snapToGrid w:val="0"/>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w:t>
            </w:r>
          </w:p>
        </w:tc>
      </w:tr>
      <w:bookmarkEnd w:id="46"/>
      <w:tr w14:paraId="7374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5" w:type="dxa"/>
            <w:gridSpan w:val="3"/>
            <w:vAlign w:val="center"/>
          </w:tcPr>
          <w:p w14:paraId="30ED4F63">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10.需要补充的其他内容</w:t>
            </w:r>
          </w:p>
        </w:tc>
      </w:tr>
      <w:tr w14:paraId="0F31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5E8422A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10.1</w:t>
            </w:r>
          </w:p>
        </w:tc>
        <w:tc>
          <w:tcPr>
            <w:tcW w:w="8551" w:type="dxa"/>
            <w:gridSpan w:val="2"/>
            <w:vAlign w:val="center"/>
          </w:tcPr>
          <w:p w14:paraId="06992D76">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词语定义</w:t>
            </w:r>
          </w:p>
        </w:tc>
      </w:tr>
      <w:tr w14:paraId="14FF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6BBD4147">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10.2</w:t>
            </w:r>
          </w:p>
        </w:tc>
        <w:tc>
          <w:tcPr>
            <w:tcW w:w="8551" w:type="dxa"/>
            <w:gridSpan w:val="2"/>
            <w:vAlign w:val="center"/>
          </w:tcPr>
          <w:p w14:paraId="20BB8E43">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招标控制价</w:t>
            </w:r>
          </w:p>
        </w:tc>
      </w:tr>
      <w:tr w14:paraId="685E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54" w:type="dxa"/>
            <w:vAlign w:val="center"/>
          </w:tcPr>
          <w:p w14:paraId="4C8A5A40">
            <w:pPr>
              <w:wordWrap w:val="0"/>
              <w:topLinePunct/>
              <w:spacing w:line="4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10.2.1</w:t>
            </w:r>
          </w:p>
        </w:tc>
        <w:tc>
          <w:tcPr>
            <w:tcW w:w="1867" w:type="dxa"/>
            <w:vAlign w:val="center"/>
          </w:tcPr>
          <w:p w14:paraId="4BF31F8B">
            <w:pPr>
              <w:wordWrap w:val="0"/>
              <w:topLinePunct/>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招标控制价</w:t>
            </w:r>
          </w:p>
        </w:tc>
        <w:tc>
          <w:tcPr>
            <w:tcW w:w="6684" w:type="dxa"/>
            <w:vAlign w:val="center"/>
          </w:tcPr>
          <w:p w14:paraId="76D663CE">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工程费用</w:t>
            </w:r>
            <w:r>
              <w:rPr>
                <w:rFonts w:hint="eastAsia" w:ascii="宋体" w:hAnsi="宋体" w:eastAsia="宋体" w:cs="宋体"/>
                <w:color w:val="auto"/>
                <w:szCs w:val="21"/>
                <w:highlight w:val="none"/>
                <w:lang w:eastAsia="zh-CN"/>
              </w:rPr>
              <w:t>：投资评审价（或审计决算价）的100%；</w:t>
            </w:r>
          </w:p>
          <w:p w14:paraId="7CDD3BDD">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设计费：投资评审价（或审计决算价）的100%； </w:t>
            </w:r>
          </w:p>
          <w:p w14:paraId="0AEA0C07">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备注：1.本次投标报价分为设计部分及工程部分进行报价，均按填报费率报价，投标报价不得超过招标控制价，否则评标委员会将否决其投标。</w:t>
            </w:r>
          </w:p>
          <w:p w14:paraId="2BCF9E1A">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2.设计费及</w:t>
            </w:r>
            <w:r>
              <w:rPr>
                <w:rFonts w:hint="eastAsia" w:ascii="宋体" w:hAnsi="宋体" w:cs="宋体"/>
                <w:color w:val="auto"/>
                <w:szCs w:val="21"/>
                <w:highlight w:val="none"/>
                <w:lang w:eastAsia="zh-CN"/>
              </w:rPr>
              <w:t>工程费用</w:t>
            </w:r>
            <w:r>
              <w:rPr>
                <w:rFonts w:hint="eastAsia" w:ascii="宋体" w:hAnsi="宋体" w:eastAsia="宋体" w:cs="宋体"/>
                <w:color w:val="auto"/>
                <w:szCs w:val="21"/>
                <w:highlight w:val="none"/>
                <w:lang w:eastAsia="zh-CN"/>
              </w:rPr>
              <w:t>以最终的投资评审金额（或审计决算金额）作为基数，再乘以投标报价作为实际结算金额。</w:t>
            </w:r>
          </w:p>
        </w:tc>
      </w:tr>
      <w:tr w14:paraId="7EF7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54" w:type="dxa"/>
            <w:vAlign w:val="center"/>
          </w:tcPr>
          <w:p w14:paraId="0B6550C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10.5</w:t>
            </w:r>
          </w:p>
        </w:tc>
        <w:tc>
          <w:tcPr>
            <w:tcW w:w="8551" w:type="dxa"/>
            <w:gridSpan w:val="2"/>
            <w:vAlign w:val="center"/>
          </w:tcPr>
          <w:p w14:paraId="4D1F5499">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中标公示</w:t>
            </w:r>
          </w:p>
        </w:tc>
      </w:tr>
      <w:tr w14:paraId="30D8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7F2A1BBF">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10.5.1</w:t>
            </w:r>
          </w:p>
        </w:tc>
        <w:tc>
          <w:tcPr>
            <w:tcW w:w="1867" w:type="dxa"/>
            <w:vAlign w:val="center"/>
          </w:tcPr>
          <w:p w14:paraId="558419A8">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6684" w:type="dxa"/>
            <w:vAlign w:val="center"/>
          </w:tcPr>
          <w:p w14:paraId="5FC0C033">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《中国招标投标公共服务平台》、</w:t>
            </w:r>
            <w:r>
              <w:rPr>
                <w:rFonts w:hint="eastAsia" w:ascii="宋体" w:hAnsi="宋体" w:cs="宋体"/>
                <w:bCs/>
                <w:color w:val="auto"/>
                <w:szCs w:val="21"/>
                <w:highlight w:val="none"/>
                <w:lang w:eastAsia="zh-CN"/>
              </w:rPr>
              <w:t>《全国公共资源交易平台（河南省·淮滨县）》</w:t>
            </w:r>
          </w:p>
        </w:tc>
      </w:tr>
      <w:tr w14:paraId="6A42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4108AEE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10.5.2</w:t>
            </w:r>
          </w:p>
        </w:tc>
        <w:tc>
          <w:tcPr>
            <w:tcW w:w="1867" w:type="dxa"/>
            <w:vAlign w:val="center"/>
          </w:tcPr>
          <w:p w14:paraId="399E8C3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公示期</w:t>
            </w:r>
          </w:p>
        </w:tc>
        <w:tc>
          <w:tcPr>
            <w:tcW w:w="6684" w:type="dxa"/>
            <w:vAlign w:val="center"/>
          </w:tcPr>
          <w:p w14:paraId="1BAA9428">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在中标通知书发出前，招标人将中标候选人的情况在本招标项目招标公告发布的同一媒介予以公示，公示期不少于3日。</w:t>
            </w:r>
          </w:p>
        </w:tc>
      </w:tr>
      <w:tr w14:paraId="5882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66B81E8A">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10.6</w:t>
            </w:r>
          </w:p>
        </w:tc>
        <w:tc>
          <w:tcPr>
            <w:tcW w:w="8551" w:type="dxa"/>
            <w:gridSpan w:val="2"/>
            <w:vAlign w:val="center"/>
          </w:tcPr>
          <w:p w14:paraId="230528EC">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知识产权</w:t>
            </w:r>
          </w:p>
        </w:tc>
      </w:tr>
      <w:tr w14:paraId="244C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102EBA52">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10.6.1</w:t>
            </w:r>
          </w:p>
        </w:tc>
        <w:tc>
          <w:tcPr>
            <w:tcW w:w="8551" w:type="dxa"/>
            <w:gridSpan w:val="2"/>
            <w:vAlign w:val="center"/>
          </w:tcPr>
          <w:p w14:paraId="3B71EF8B">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0F4C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54" w:type="dxa"/>
            <w:vAlign w:val="center"/>
          </w:tcPr>
          <w:p w14:paraId="2FE5E52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10.7</w:t>
            </w:r>
          </w:p>
        </w:tc>
        <w:tc>
          <w:tcPr>
            <w:tcW w:w="8551" w:type="dxa"/>
            <w:gridSpan w:val="2"/>
            <w:vAlign w:val="center"/>
          </w:tcPr>
          <w:p w14:paraId="6EC636EA">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重新招标的其他情形</w:t>
            </w:r>
          </w:p>
        </w:tc>
      </w:tr>
      <w:tr w14:paraId="2D9A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09442FAF">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10.7.1</w:t>
            </w:r>
          </w:p>
        </w:tc>
        <w:tc>
          <w:tcPr>
            <w:tcW w:w="8551" w:type="dxa"/>
            <w:gridSpan w:val="2"/>
            <w:vAlign w:val="center"/>
          </w:tcPr>
          <w:p w14:paraId="7748AD88">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除投标人须知正文第8条规定的情形外，除非已经产生中标候选人，在投标有效期</w:t>
            </w:r>
          </w:p>
          <w:p w14:paraId="4EDC017E">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内同意延长投标有效期的投标人少于三个的，招标人应当依法重新招标。</w:t>
            </w:r>
          </w:p>
        </w:tc>
      </w:tr>
      <w:tr w14:paraId="3651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4" w:type="dxa"/>
            <w:vAlign w:val="center"/>
          </w:tcPr>
          <w:p w14:paraId="0E09CF1C">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10.8</w:t>
            </w:r>
          </w:p>
        </w:tc>
        <w:tc>
          <w:tcPr>
            <w:tcW w:w="8551" w:type="dxa"/>
            <w:gridSpan w:val="2"/>
            <w:vAlign w:val="center"/>
          </w:tcPr>
          <w:p w14:paraId="4A859E77">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同义词语</w:t>
            </w:r>
          </w:p>
        </w:tc>
      </w:tr>
      <w:tr w14:paraId="72A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1EAED867">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10.8.1</w:t>
            </w:r>
          </w:p>
        </w:tc>
        <w:tc>
          <w:tcPr>
            <w:tcW w:w="8551" w:type="dxa"/>
            <w:gridSpan w:val="2"/>
            <w:vAlign w:val="center"/>
          </w:tcPr>
          <w:p w14:paraId="0195A277">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构成招标文件组成部分的“通用合同条款”、“专用合同条款”、“发包人技术标准和要求”等章节中出现的措辞“发包人”和“承包人”，在招标投标阶段应当分别按“招标人”和“投标人”进行理解。</w:t>
            </w:r>
          </w:p>
        </w:tc>
      </w:tr>
      <w:tr w14:paraId="5274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13104CE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10.9</w:t>
            </w:r>
          </w:p>
        </w:tc>
        <w:tc>
          <w:tcPr>
            <w:tcW w:w="8551" w:type="dxa"/>
            <w:gridSpan w:val="2"/>
            <w:vAlign w:val="center"/>
          </w:tcPr>
          <w:p w14:paraId="275733D3">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监  督</w:t>
            </w:r>
          </w:p>
        </w:tc>
      </w:tr>
      <w:tr w14:paraId="6533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143AE71D">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10.9.1</w:t>
            </w:r>
          </w:p>
        </w:tc>
        <w:tc>
          <w:tcPr>
            <w:tcW w:w="8551" w:type="dxa"/>
            <w:gridSpan w:val="2"/>
            <w:vAlign w:val="center"/>
          </w:tcPr>
          <w:p w14:paraId="412BD87F">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本项目的招标投标活动及其相关当事人应当接受有管辖权的行政监督部门依法实施的监督。</w:t>
            </w:r>
          </w:p>
          <w:p w14:paraId="213BAB7A">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监督部门：</w:t>
            </w:r>
            <w:r>
              <w:rPr>
                <w:rFonts w:hint="eastAsia" w:ascii="宋体" w:hAnsi="宋体" w:cs="宋体"/>
                <w:color w:val="auto"/>
                <w:szCs w:val="21"/>
                <w:highlight w:val="none"/>
                <w:lang w:eastAsia="zh-CN"/>
              </w:rPr>
              <w:t>淮滨县文化广电和旅游局</w:t>
            </w:r>
            <w:r>
              <w:rPr>
                <w:rFonts w:hint="eastAsia" w:ascii="宋体" w:hAnsi="宋体" w:cs="宋体"/>
                <w:color w:val="auto"/>
                <w:szCs w:val="21"/>
                <w:highlight w:val="none"/>
              </w:rPr>
              <w:t xml:space="preserve"> </w:t>
            </w:r>
          </w:p>
          <w:p w14:paraId="6C197943">
            <w:pPr>
              <w:wordWrap w:val="0"/>
              <w:topLinePunct/>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0376-7762233</w:t>
            </w:r>
          </w:p>
        </w:tc>
      </w:tr>
      <w:tr w14:paraId="3702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0C3B2AF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10.10</w:t>
            </w:r>
          </w:p>
        </w:tc>
        <w:tc>
          <w:tcPr>
            <w:tcW w:w="8551" w:type="dxa"/>
            <w:gridSpan w:val="2"/>
            <w:vAlign w:val="center"/>
          </w:tcPr>
          <w:p w14:paraId="361C59D4">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解释权</w:t>
            </w:r>
          </w:p>
        </w:tc>
      </w:tr>
      <w:tr w14:paraId="1D3E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3E53409E">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10.10.1</w:t>
            </w:r>
          </w:p>
        </w:tc>
        <w:tc>
          <w:tcPr>
            <w:tcW w:w="8551" w:type="dxa"/>
            <w:gridSpan w:val="2"/>
            <w:vAlign w:val="center"/>
          </w:tcPr>
          <w:p w14:paraId="2FC3FDAA">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2019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392715C9">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10.11</w:t>
            </w:r>
          </w:p>
        </w:tc>
        <w:tc>
          <w:tcPr>
            <w:tcW w:w="8551" w:type="dxa"/>
            <w:gridSpan w:val="2"/>
            <w:vAlign w:val="center"/>
          </w:tcPr>
          <w:p w14:paraId="0B5A964F">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异议</w:t>
            </w:r>
          </w:p>
        </w:tc>
      </w:tr>
      <w:tr w14:paraId="0A5A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5BEE5137">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10.11.1</w:t>
            </w:r>
          </w:p>
        </w:tc>
        <w:tc>
          <w:tcPr>
            <w:tcW w:w="8551" w:type="dxa"/>
            <w:gridSpan w:val="2"/>
            <w:vAlign w:val="center"/>
          </w:tcPr>
          <w:p w14:paraId="6CF0BEA6">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投标人或者其他利害关系人对招标文件有异议的，应当在投标截止时间10日前提出。招标人应当自收到异议之日起3日内作出答复；作出答复前，应当暂停招标投标活动。</w:t>
            </w:r>
          </w:p>
          <w:p w14:paraId="3BAB3C1D">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投标人对开标有异议的，应当在开标现场提出，招标人应当当场作出答复，并制作记录。</w:t>
            </w:r>
          </w:p>
          <w:p w14:paraId="79177799">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投标人或者其他利害关系人对依法必须进行招标的项目的评标结果有异议的，应当在中标候选人公示期间提出。招标人应当自收到异议之日起3日内作出答复；作出答复前，应当暂停招标投标活动。</w:t>
            </w:r>
          </w:p>
          <w:p w14:paraId="752DF609">
            <w:pPr>
              <w:pStyle w:val="24"/>
              <w:wordWrap w:val="0"/>
              <w:topLinePunct/>
              <w:spacing w:line="400" w:lineRule="exact"/>
              <w:ind w:firstLine="0" w:firstLineChars="0"/>
              <w:jc w:val="left"/>
              <w:rPr>
                <w:rFonts w:ascii="宋体" w:hAnsi="宋体" w:cs="宋体"/>
                <w:color w:val="auto"/>
                <w:szCs w:val="21"/>
                <w:highlight w:val="none"/>
              </w:rPr>
            </w:pPr>
            <w:r>
              <w:rPr>
                <w:rFonts w:ascii="宋体" w:hAnsi="宋体" w:cs="宋体"/>
                <w:color w:val="auto"/>
                <w:szCs w:val="21"/>
                <w:highlight w:val="none"/>
              </w:rPr>
              <w:t>投标人对招标文件、招标过程、中标的质疑，应在以上条款规定的时限内，以书面形式一次性向招标人或招标代理机构提出质疑</w:t>
            </w:r>
            <w:r>
              <w:rPr>
                <w:rFonts w:ascii="宋体" w:hAnsi="宋体" w:cs="宋体"/>
                <w:color w:val="auto"/>
                <w:szCs w:val="21"/>
                <w:highlight w:val="none"/>
                <w:lang w:val="en"/>
              </w:rPr>
              <w:t>。</w:t>
            </w:r>
            <w:r>
              <w:rPr>
                <w:rFonts w:ascii="宋体" w:hAnsi="宋体" w:cs="宋体"/>
                <w:color w:val="auto"/>
                <w:szCs w:val="21"/>
                <w:highlight w:val="none"/>
              </w:rPr>
              <w:t>招标人或招标代理机构不接受投标人对同一招标环节的多次质疑。</w:t>
            </w:r>
          </w:p>
        </w:tc>
      </w:tr>
      <w:tr w14:paraId="657F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4" w:type="dxa"/>
            <w:vAlign w:val="center"/>
          </w:tcPr>
          <w:p w14:paraId="3FBE815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10.12</w:t>
            </w:r>
          </w:p>
        </w:tc>
        <w:tc>
          <w:tcPr>
            <w:tcW w:w="8551" w:type="dxa"/>
            <w:gridSpan w:val="2"/>
            <w:vAlign w:val="center"/>
          </w:tcPr>
          <w:p w14:paraId="43EC9D1A">
            <w:pPr>
              <w:wordWrap w:val="0"/>
              <w:topLinePunct/>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其他补充</w:t>
            </w:r>
          </w:p>
        </w:tc>
      </w:tr>
      <w:tr w14:paraId="57B1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14:paraId="6634287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10.12.1</w:t>
            </w:r>
          </w:p>
        </w:tc>
        <w:tc>
          <w:tcPr>
            <w:tcW w:w="8551" w:type="dxa"/>
            <w:gridSpan w:val="2"/>
            <w:vAlign w:val="center"/>
          </w:tcPr>
          <w:p w14:paraId="0591F842">
            <w:pPr>
              <w:pStyle w:val="24"/>
              <w:wordWrap w:val="0"/>
              <w:topLinePunct/>
              <w:spacing w:line="400" w:lineRule="exact"/>
              <w:ind w:firstLine="0" w:firstLineChars="0"/>
              <w:jc w:val="left"/>
              <w:rPr>
                <w:rFonts w:ascii="宋体" w:hAnsi="宋体" w:cs="宋体"/>
                <w:color w:val="auto"/>
                <w:szCs w:val="21"/>
                <w:highlight w:val="none"/>
              </w:rPr>
            </w:pPr>
            <w:r>
              <w:rPr>
                <w:rFonts w:ascii="宋体" w:hAnsi="宋体" w:cs="宋体"/>
                <w:color w:val="auto"/>
                <w:szCs w:val="21"/>
                <w:highlight w:val="none"/>
              </w:rPr>
              <w:t>1.依法分包的项目，经招标人同意后，进行依法分包，未经招标人同意，也不允许转包给他人，更不得将其承包的全部工程肢解以后以分包的名义分别转包给他人。如发现转包，招标人有权终止合同，由此而造成的经济损失，由中标人负责赔偿。</w:t>
            </w:r>
          </w:p>
          <w:p w14:paraId="3B9A18BF">
            <w:pPr>
              <w:pStyle w:val="24"/>
              <w:wordWrap w:val="0"/>
              <w:topLinePunct/>
              <w:spacing w:line="400" w:lineRule="exact"/>
              <w:ind w:firstLine="0" w:firstLineChars="0"/>
              <w:jc w:val="left"/>
              <w:rPr>
                <w:rFonts w:ascii="宋体" w:hAnsi="宋体" w:cs="宋体"/>
                <w:color w:val="auto"/>
                <w:szCs w:val="21"/>
                <w:highlight w:val="none"/>
              </w:rPr>
            </w:pPr>
            <w:r>
              <w:rPr>
                <w:rFonts w:ascii="宋体" w:hAnsi="宋体" w:cs="宋体"/>
                <w:color w:val="auto"/>
                <w:szCs w:val="21"/>
                <w:highlight w:val="none"/>
              </w:rPr>
              <w:t>2.招标文件的最终解释权归招标人。</w:t>
            </w:r>
          </w:p>
          <w:p w14:paraId="0E042777">
            <w:pPr>
              <w:pStyle w:val="24"/>
              <w:wordWrap w:val="0"/>
              <w:topLinePunct/>
              <w:spacing w:line="400" w:lineRule="exact"/>
              <w:ind w:firstLine="0" w:firstLineChars="0"/>
              <w:jc w:val="left"/>
              <w:rPr>
                <w:rFonts w:ascii="宋体" w:hAnsi="宋体" w:cs="宋体"/>
                <w:color w:val="auto"/>
                <w:szCs w:val="21"/>
                <w:highlight w:val="none"/>
              </w:rPr>
            </w:pPr>
            <w:r>
              <w:rPr>
                <w:rFonts w:ascii="宋体" w:hAnsi="宋体" w:cs="宋体"/>
                <w:color w:val="auto"/>
                <w:szCs w:val="21"/>
                <w:highlight w:val="none"/>
              </w:rPr>
              <w:t>3.其它未尽事宜，按国家有关法律、法规执行。</w:t>
            </w:r>
          </w:p>
          <w:p w14:paraId="2F0C65EE">
            <w:pPr>
              <w:pStyle w:val="24"/>
              <w:wordWrap w:val="0"/>
              <w:topLinePunct/>
              <w:spacing w:line="400" w:lineRule="exact"/>
              <w:ind w:firstLine="0" w:firstLineChars="0"/>
              <w:jc w:val="left"/>
              <w:rPr>
                <w:rFonts w:ascii="宋体" w:hAnsi="宋体" w:cs="宋体"/>
                <w:color w:val="auto"/>
                <w:szCs w:val="21"/>
                <w:highlight w:val="none"/>
              </w:rPr>
            </w:pPr>
            <w:r>
              <w:rPr>
                <w:rFonts w:ascii="宋体" w:hAnsi="宋体" w:cs="宋体"/>
                <w:b/>
                <w:bCs/>
                <w:color w:val="auto"/>
                <w:szCs w:val="21"/>
                <w:highlight w:val="none"/>
              </w:rPr>
              <w:t>4.所有被推荐的中标候选人应在“中标候选人公示”期限内将投标文件纸质版（一正两副，系统上传版本打印件，封面加盖企业公章）送达至</w:t>
            </w:r>
            <w:r>
              <w:rPr>
                <w:rFonts w:hint="eastAsia" w:ascii="宋体" w:hAnsi="宋体" w:cs="宋体"/>
                <w:b/>
                <w:bCs/>
                <w:color w:val="auto"/>
                <w:szCs w:val="21"/>
                <w:highlight w:val="none"/>
                <w:lang w:eastAsia="zh-CN"/>
              </w:rPr>
              <w:t>河南禾鑫工程咨询有限公司</w:t>
            </w:r>
            <w:r>
              <w:rPr>
                <w:rFonts w:ascii="宋体" w:hAnsi="宋体" w:cs="宋体"/>
                <w:b/>
                <w:bCs/>
                <w:color w:val="auto"/>
                <w:szCs w:val="21"/>
                <w:highlight w:val="none"/>
              </w:rPr>
              <w:t>，供定标委员会定标使用。</w:t>
            </w:r>
          </w:p>
        </w:tc>
      </w:tr>
      <w:tr w14:paraId="5C14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54" w:type="dxa"/>
            <w:vAlign w:val="center"/>
          </w:tcPr>
          <w:p w14:paraId="14706FBB">
            <w:pPr>
              <w:wordWrap w:val="0"/>
              <w:topLinePunct/>
              <w:adjustRightInd w:val="0"/>
              <w:snapToGrid w:val="0"/>
              <w:spacing w:line="400" w:lineRule="exact"/>
              <w:jc w:val="center"/>
              <w:rPr>
                <w:rFonts w:hint="eastAsia" w:ascii="宋体" w:hAnsi="宋体" w:cs="宋体"/>
                <w:color w:val="auto"/>
                <w:szCs w:val="21"/>
                <w:highlight w:val="none"/>
              </w:rPr>
            </w:pPr>
            <w:bookmarkStart w:id="47" w:name="_Toc18240"/>
            <w:bookmarkStart w:id="48" w:name="_Toc339618705"/>
            <w:r>
              <w:rPr>
                <w:rFonts w:hint="eastAsia" w:ascii="宋体" w:hAnsi="宋体" w:cs="宋体"/>
                <w:color w:val="auto"/>
                <w:szCs w:val="21"/>
                <w:highlight w:val="none"/>
              </w:rPr>
              <w:t>10.12.2</w:t>
            </w:r>
          </w:p>
        </w:tc>
        <w:tc>
          <w:tcPr>
            <w:tcW w:w="8551" w:type="dxa"/>
            <w:gridSpan w:val="2"/>
            <w:vAlign w:val="center"/>
          </w:tcPr>
          <w:p w14:paraId="0A88373B">
            <w:pPr>
              <w:pStyle w:val="24"/>
              <w:wordWrap w:val="0"/>
              <w:topLinePunct/>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招标代理服务费：参照《河南省招标代理服务收费指导意见》豫招协【2023】002号文件的规定收取代理费用，由中标人在领取中标通知书前向招标代理机构一次性支付。</w:t>
            </w:r>
          </w:p>
        </w:tc>
      </w:tr>
      <w:tr w14:paraId="2A80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54" w:type="dxa"/>
            <w:vAlign w:val="center"/>
          </w:tcPr>
          <w:p w14:paraId="2AF7972A">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10.12.</w:t>
            </w:r>
            <w:r>
              <w:rPr>
                <w:rFonts w:hint="eastAsia" w:ascii="宋体" w:hAnsi="宋体" w:cs="宋体"/>
                <w:color w:val="auto"/>
                <w:szCs w:val="21"/>
                <w:highlight w:val="none"/>
                <w:lang w:val="en-US" w:eastAsia="zh-CN"/>
              </w:rPr>
              <w:t>3</w:t>
            </w:r>
          </w:p>
        </w:tc>
        <w:tc>
          <w:tcPr>
            <w:tcW w:w="8551" w:type="dxa"/>
            <w:gridSpan w:val="2"/>
            <w:vAlign w:val="center"/>
          </w:tcPr>
          <w:p w14:paraId="161E1132">
            <w:pPr>
              <w:spacing w:line="400" w:lineRule="exact"/>
              <w:rPr>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由于系统原因无法更改“开标一览表—投标总价”格式，“开标一览表”中报价单位系统设置为“元/%”无法更改，投标单位在填写时，</w:t>
            </w:r>
            <w:r>
              <w:rPr>
                <w:rFonts w:hint="eastAsia" w:ascii="宋体" w:hAnsi="宋体" w:cs="宋体"/>
                <w:b/>
                <w:bCs/>
                <w:color w:val="auto"/>
                <w:szCs w:val="21"/>
                <w:highlight w:val="none"/>
              </w:rPr>
              <w:t>统一填写“</w:t>
            </w:r>
            <w:r>
              <w:rPr>
                <w:rFonts w:hint="eastAsia" w:ascii="宋体" w:hAnsi="宋体" w:cs="宋体"/>
                <w:b/>
                <w:bCs/>
                <w:color w:val="auto"/>
                <w:szCs w:val="21"/>
                <w:highlight w:val="none"/>
                <w:lang w:val="en-US" w:eastAsia="zh-CN"/>
              </w:rPr>
              <w:t>工程费用</w:t>
            </w:r>
            <w:r>
              <w:rPr>
                <w:rFonts w:hint="eastAsia" w:ascii="宋体" w:hAnsi="宋体" w:cs="宋体"/>
                <w:b/>
                <w:bCs/>
                <w:color w:val="auto"/>
                <w:szCs w:val="21"/>
                <w:highlight w:val="none"/>
              </w:rPr>
              <w:t>投标报价”费率即可</w:t>
            </w:r>
            <w:r>
              <w:rPr>
                <w:rFonts w:hint="eastAsia" w:ascii="宋体" w:hAnsi="宋体" w:cs="宋体"/>
                <w:b/>
                <w:bCs/>
                <w:color w:val="auto"/>
                <w:szCs w:val="21"/>
                <w:highlight w:val="none"/>
                <w:lang w:eastAsia="zh-CN"/>
              </w:rPr>
              <w:t>。</w:t>
            </w:r>
          </w:p>
        </w:tc>
      </w:tr>
      <w:tr w14:paraId="21D9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605" w:type="dxa"/>
            <w:gridSpan w:val="3"/>
            <w:vAlign w:val="center"/>
          </w:tcPr>
          <w:p w14:paraId="05349B61">
            <w:pPr>
              <w:wordWrap w:val="0"/>
              <w:topLinePunct/>
              <w:adjustRightInd w:val="0"/>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特别提示：</w:t>
            </w:r>
          </w:p>
          <w:p w14:paraId="48E1E658">
            <w:pPr>
              <w:wordWrap w:val="0"/>
              <w:topLinePunct/>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1、参加本项目的投标人均须办理CA数字证书，并将涉及营业执照、资质、业绩、获奖、人员、财务、社保、纳税、各类证书等内容，上传至信阳市公共资源交易中心诚信库。</w:t>
            </w:r>
          </w:p>
          <w:p w14:paraId="5E86956F">
            <w:pPr>
              <w:wordWrap w:val="0"/>
              <w:topLinePunct/>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2、投标人必须对所提供的所有证书、文件等材料的真实性负责，否则承担相应法律责任。</w:t>
            </w:r>
          </w:p>
          <w:p w14:paraId="42A7BC98">
            <w:pPr>
              <w:wordWrap w:val="0"/>
              <w:topLinePunct/>
              <w:adjustRightInd w:val="0"/>
              <w:snapToGrid w:val="0"/>
              <w:spacing w:line="400" w:lineRule="exact"/>
              <w:jc w:val="left"/>
              <w:rPr>
                <w:rFonts w:hint="eastAsia" w:eastAsia="宋体"/>
                <w:color w:val="auto"/>
                <w:highlight w:val="none"/>
                <w:lang w:val="en-US" w:eastAsia="zh-CN"/>
              </w:rPr>
            </w:pPr>
            <w:r>
              <w:rPr>
                <w:rFonts w:hint="eastAsia" w:ascii="宋体" w:hAnsi="宋体" w:eastAsia="宋体" w:cs="宋体"/>
                <w:b/>
                <w:bCs/>
                <w:color w:val="auto"/>
                <w:szCs w:val="21"/>
                <w:highlight w:val="none"/>
                <w:lang w:val="en-US" w:eastAsia="zh-CN"/>
              </w:rPr>
              <w:t>3、“评定分离 ”是指将评标和定标分为两个环节。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确定中标人。</w:t>
            </w:r>
          </w:p>
        </w:tc>
      </w:tr>
    </w:tbl>
    <w:p w14:paraId="2DFE784B">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49" w:name="_Toc17929"/>
      <w:bookmarkStart w:id="50" w:name="_Toc7451"/>
      <w:bookmarkStart w:id="51" w:name="_Toc14828"/>
      <w:bookmarkStart w:id="52" w:name="_Toc12111"/>
      <w:r>
        <w:rPr>
          <w:rFonts w:hint="eastAsia" w:ascii="宋体" w:hAnsi="宋体" w:cs="宋体"/>
          <w:b/>
          <w:bCs/>
          <w:color w:val="auto"/>
          <w:sz w:val="24"/>
          <w:highlight w:val="none"/>
        </w:rPr>
        <w:t>1.总则</w:t>
      </w:r>
      <w:bookmarkEnd w:id="47"/>
      <w:bookmarkEnd w:id="49"/>
      <w:bookmarkEnd w:id="50"/>
      <w:bookmarkEnd w:id="51"/>
      <w:bookmarkEnd w:id="52"/>
    </w:p>
    <w:p w14:paraId="65CE17F8">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53" w:name="_Toc25543"/>
      <w:bookmarkStart w:id="54" w:name="_Toc4345"/>
      <w:bookmarkStart w:id="55" w:name="_Toc32463"/>
      <w:bookmarkStart w:id="56" w:name="_Toc2273"/>
      <w:r>
        <w:rPr>
          <w:rFonts w:hint="eastAsia" w:ascii="宋体" w:hAnsi="宋体" w:cs="宋体"/>
          <w:b/>
          <w:bCs/>
          <w:color w:val="auto"/>
          <w:sz w:val="24"/>
          <w:highlight w:val="none"/>
        </w:rPr>
        <w:t>1.1 项目概况</w:t>
      </w:r>
      <w:bookmarkEnd w:id="53"/>
      <w:bookmarkEnd w:id="54"/>
      <w:bookmarkEnd w:id="55"/>
      <w:bookmarkEnd w:id="56"/>
    </w:p>
    <w:p w14:paraId="5E78E24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1.1.1根据《中华人民共和国招标投标法》、《中华人民共和国招标投标法实施条例》等有关法律、法规和规章的规定，本招标项目已具备招标条件，现对本项目</w:t>
      </w:r>
      <w:r>
        <w:rPr>
          <w:rFonts w:hint="eastAsia" w:ascii="宋体" w:hAnsi="宋体" w:cs="宋体"/>
          <w:color w:val="auto"/>
          <w:highlight w:val="none"/>
          <w:lang w:val="en-US" w:eastAsia="zh-CN"/>
        </w:rPr>
        <w:t>EPC总承包</w:t>
      </w:r>
      <w:r>
        <w:rPr>
          <w:rFonts w:hint="eastAsia" w:ascii="宋体" w:hAnsi="宋体" w:cs="宋体"/>
          <w:color w:val="auto"/>
          <w:highlight w:val="none"/>
        </w:rPr>
        <w:t>进行招标。</w:t>
      </w:r>
    </w:p>
    <w:p w14:paraId="7A30AC5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1.1.2 本招标项目招标人：见投标人须知前附表。</w:t>
      </w:r>
    </w:p>
    <w:p w14:paraId="6E54F3FC">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1.1.3 本项目招标代理机构：见投标人须知前附表。</w:t>
      </w:r>
    </w:p>
    <w:p w14:paraId="65D7F98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1.1.4 本招标项目名称：见投标人须知前附表。</w:t>
      </w:r>
    </w:p>
    <w:p w14:paraId="51475468">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1.1.5 本项目建设地点：见投标人须知前附表。</w:t>
      </w:r>
    </w:p>
    <w:p w14:paraId="329FEBA5">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资金来源和落实情况</w:t>
      </w:r>
    </w:p>
    <w:p w14:paraId="0F7313FE">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1.2.1 本招标项目的资金来源：见投标人须知前附表。</w:t>
      </w:r>
    </w:p>
    <w:p w14:paraId="05F84050">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1.2.2 本招标项目的出资比例：见投标人须知前附表。</w:t>
      </w:r>
    </w:p>
    <w:p w14:paraId="65E3523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1.2.3 本招标项目的资金落实情况：见投标人须知前附表。</w:t>
      </w:r>
    </w:p>
    <w:p w14:paraId="22B6E0B3">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 招标范围、</w:t>
      </w:r>
      <w:r>
        <w:rPr>
          <w:rFonts w:hint="eastAsia" w:ascii="宋体" w:hAnsi="宋体" w:eastAsia="宋体" w:cs="宋体"/>
          <w:color w:val="auto"/>
          <w:sz w:val="24"/>
          <w:szCs w:val="24"/>
          <w:highlight w:val="none"/>
          <w:lang w:eastAsia="zh-CN"/>
        </w:rPr>
        <w:t>计划工期</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质量要求</w:t>
      </w:r>
    </w:p>
    <w:p w14:paraId="665AAA49">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1.3.1 本</w:t>
      </w:r>
      <w:r>
        <w:rPr>
          <w:rFonts w:hint="eastAsia" w:ascii="宋体" w:hAnsi="宋体" w:cs="宋体"/>
          <w:color w:val="auto"/>
          <w:highlight w:val="none"/>
          <w:lang w:eastAsia="zh-CN"/>
        </w:rPr>
        <w:t>项目</w:t>
      </w:r>
      <w:r>
        <w:rPr>
          <w:rFonts w:hint="eastAsia" w:ascii="宋体" w:hAnsi="宋体" w:cs="宋体"/>
          <w:color w:val="auto"/>
          <w:highlight w:val="none"/>
        </w:rPr>
        <w:t>招标范围：见投标人须知前附表。</w:t>
      </w:r>
    </w:p>
    <w:p w14:paraId="27B27A4F">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1.3.2 本</w:t>
      </w:r>
      <w:r>
        <w:rPr>
          <w:rFonts w:hint="eastAsia" w:ascii="宋体" w:hAnsi="宋体" w:cs="宋体"/>
          <w:color w:val="auto"/>
          <w:highlight w:val="none"/>
          <w:lang w:eastAsia="zh-CN"/>
        </w:rPr>
        <w:t>项目</w:t>
      </w:r>
      <w:r>
        <w:rPr>
          <w:rFonts w:hint="eastAsia" w:ascii="宋体" w:hAnsi="宋体" w:cs="宋体"/>
          <w:color w:val="auto"/>
          <w:highlight w:val="none"/>
        </w:rPr>
        <w:t>的</w:t>
      </w:r>
      <w:r>
        <w:rPr>
          <w:rFonts w:hint="eastAsia" w:ascii="宋体" w:hAnsi="宋体" w:cs="宋体"/>
          <w:color w:val="auto"/>
          <w:highlight w:val="none"/>
          <w:lang w:eastAsia="zh-CN"/>
        </w:rPr>
        <w:t>计划工期</w:t>
      </w:r>
      <w:r>
        <w:rPr>
          <w:rFonts w:hint="eastAsia" w:ascii="宋体" w:hAnsi="宋体" w:cs="宋体"/>
          <w:color w:val="auto"/>
          <w:highlight w:val="none"/>
        </w:rPr>
        <w:t>：见投标人须知前附表。</w:t>
      </w:r>
    </w:p>
    <w:p w14:paraId="51F850F5">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1.3.3 本</w:t>
      </w:r>
      <w:r>
        <w:rPr>
          <w:rFonts w:hint="eastAsia" w:ascii="宋体" w:hAnsi="宋体" w:cs="宋体"/>
          <w:color w:val="auto"/>
          <w:highlight w:val="none"/>
          <w:lang w:eastAsia="zh-CN"/>
        </w:rPr>
        <w:t>项目</w:t>
      </w:r>
      <w:r>
        <w:rPr>
          <w:rFonts w:hint="eastAsia" w:ascii="宋体" w:hAnsi="宋体" w:cs="宋体"/>
          <w:color w:val="auto"/>
          <w:highlight w:val="none"/>
        </w:rPr>
        <w:t>的</w:t>
      </w:r>
      <w:r>
        <w:rPr>
          <w:rFonts w:hint="eastAsia" w:ascii="宋体" w:hAnsi="宋体" w:cs="宋体"/>
          <w:color w:val="auto"/>
          <w:highlight w:val="none"/>
          <w:lang w:eastAsia="zh-CN"/>
        </w:rPr>
        <w:t>质量要求</w:t>
      </w:r>
      <w:r>
        <w:rPr>
          <w:rFonts w:hint="eastAsia" w:ascii="宋体" w:hAnsi="宋体" w:cs="宋体"/>
          <w:color w:val="auto"/>
          <w:highlight w:val="none"/>
        </w:rPr>
        <w:t>：见投标人须知前附表。</w:t>
      </w:r>
    </w:p>
    <w:p w14:paraId="410FA764">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投标人资格要求</w:t>
      </w:r>
    </w:p>
    <w:p w14:paraId="1B8683CF">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1.4.1投标人应具备承担本项目的资质条件、能力和信誉：见投标人须知前附表；</w:t>
      </w:r>
    </w:p>
    <w:p w14:paraId="50D1D44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1.4.2 </w:t>
      </w:r>
      <w:r>
        <w:rPr>
          <w:rFonts w:hint="eastAsia" w:ascii="宋体" w:hAnsi="宋体" w:cs="宋体"/>
          <w:bCs/>
          <w:color w:val="auto"/>
          <w:szCs w:val="21"/>
          <w:highlight w:val="none"/>
        </w:rPr>
        <w:t>本</w:t>
      </w:r>
      <w:r>
        <w:rPr>
          <w:rFonts w:hint="eastAsia" w:ascii="宋体" w:hAnsi="宋体" w:cs="宋体"/>
          <w:bCs/>
          <w:color w:val="auto"/>
          <w:szCs w:val="21"/>
          <w:highlight w:val="none"/>
          <w:lang w:val="en-US" w:eastAsia="zh-CN"/>
        </w:rPr>
        <w:t>项目是否</w:t>
      </w:r>
      <w:r>
        <w:rPr>
          <w:rFonts w:hint="eastAsia" w:ascii="宋体" w:hAnsi="宋体" w:cs="宋体"/>
          <w:bCs/>
          <w:color w:val="auto"/>
          <w:szCs w:val="21"/>
          <w:highlight w:val="none"/>
        </w:rPr>
        <w:t>接受联合体投标</w:t>
      </w:r>
      <w:r>
        <w:rPr>
          <w:rFonts w:hint="eastAsia" w:ascii="宋体" w:hAnsi="宋体" w:cs="宋体"/>
          <w:bCs/>
          <w:color w:val="auto"/>
          <w:szCs w:val="21"/>
          <w:highlight w:val="none"/>
          <w:lang w:eastAsia="zh-CN"/>
        </w:rPr>
        <w:t>：</w:t>
      </w:r>
      <w:r>
        <w:rPr>
          <w:rFonts w:hint="eastAsia" w:ascii="宋体" w:hAnsi="宋体" w:cs="宋体"/>
          <w:color w:val="auto"/>
          <w:highlight w:val="none"/>
        </w:rPr>
        <w:t>见投标人须知前附表。</w:t>
      </w:r>
    </w:p>
    <w:p w14:paraId="61D7230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1.4.3 投标人不得存在下列情形之一：</w:t>
      </w:r>
    </w:p>
    <w:p w14:paraId="1B984A9B">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为招标人不具有独立法人资格的附属机构（单位）；</w:t>
      </w:r>
    </w:p>
    <w:p w14:paraId="3A5D6F30">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为本招标项目前期准备提供设计或咨询服务的；</w:t>
      </w:r>
    </w:p>
    <w:p w14:paraId="3834D8C2">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Cs w:val="21"/>
          <w:highlight w:val="none"/>
        </w:rPr>
        <w:t>为本招标项目的代建人；</w:t>
      </w:r>
    </w:p>
    <w:p w14:paraId="1E961D28">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szCs w:val="21"/>
          <w:highlight w:val="none"/>
        </w:rPr>
        <w:t>为本招标项目提供招标代理服务的；</w:t>
      </w:r>
    </w:p>
    <w:p w14:paraId="2C5A165D">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cs="宋体"/>
          <w:color w:val="auto"/>
          <w:szCs w:val="21"/>
          <w:highlight w:val="none"/>
        </w:rPr>
        <w:t>与本招标项目施工单位或代建人或招标代理机构同为一个法定代表人的；</w:t>
      </w:r>
    </w:p>
    <w:p w14:paraId="6199BA08">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cs="宋体"/>
          <w:color w:val="auto"/>
          <w:szCs w:val="21"/>
          <w:highlight w:val="none"/>
        </w:rPr>
        <w:t>与本招标项目的施工单位或代建人或招标代理机构相互控股或参股的；</w:t>
      </w:r>
    </w:p>
    <w:p w14:paraId="1AB56686">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szCs w:val="21"/>
          <w:highlight w:val="none"/>
        </w:rPr>
        <w:t>与本招标项目的施工单位或代建人或招标代理机构相互任职或工作的；</w:t>
      </w:r>
    </w:p>
    <w:p w14:paraId="55E9A834">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cs="宋体"/>
          <w:color w:val="auto"/>
          <w:szCs w:val="21"/>
          <w:highlight w:val="none"/>
        </w:rPr>
        <w:t>被责令停业的；</w:t>
      </w:r>
    </w:p>
    <w:p w14:paraId="3598EADD">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cs="宋体"/>
          <w:color w:val="auto"/>
          <w:szCs w:val="21"/>
          <w:highlight w:val="none"/>
        </w:rPr>
        <w:t>被暂停或取消投标资格的；</w:t>
      </w:r>
    </w:p>
    <w:p w14:paraId="514402F3">
      <w:pPr>
        <w:numPr>
          <w:ilvl w:val="0"/>
          <w:numId w:val="0"/>
        </w:numPr>
        <w:tabs>
          <w:tab w:val="left" w:pos="945"/>
          <w:tab w:val="left" w:pos="1260"/>
        </w:tabs>
        <w:spacing w:line="360" w:lineRule="auto"/>
        <w:ind w:left="525" w:leftChars="250" w:firstLine="0" w:firstLineChars="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cs="宋体"/>
          <w:color w:val="auto"/>
          <w:szCs w:val="21"/>
          <w:highlight w:val="none"/>
        </w:rPr>
        <w:t>财产被接管或冻结的；</w:t>
      </w:r>
    </w:p>
    <w:p w14:paraId="5D1195E9">
      <w:pPr>
        <w:numPr>
          <w:ilvl w:val="0"/>
          <w:numId w:val="0"/>
        </w:numPr>
        <w:tabs>
          <w:tab w:val="left" w:pos="945"/>
          <w:tab w:val="left" w:pos="1260"/>
        </w:tabs>
        <w:spacing w:line="360" w:lineRule="auto"/>
        <w:ind w:left="525" w:leftChars="250" w:firstLine="0" w:firstLineChars="0"/>
        <w:rPr>
          <w:rFonts w:hint="eastAsia" w:ascii="宋体" w:hAnsi="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（11）</w:t>
      </w:r>
      <w:r>
        <w:rPr>
          <w:rFonts w:hint="eastAsia" w:ascii="宋体" w:hAnsi="宋体" w:cs="宋体"/>
          <w:color w:val="auto"/>
          <w:szCs w:val="21"/>
          <w:highlight w:val="none"/>
        </w:rPr>
        <w:t>在最近三年内有骗取中标或严重违约或重大工程质量问题的。</w:t>
      </w:r>
    </w:p>
    <w:p w14:paraId="5446FE72">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费用承担</w:t>
      </w:r>
    </w:p>
    <w:p w14:paraId="7DAB746B">
      <w:pPr>
        <w:widowControl/>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投标人准备和参加投标活动发生的费用自理。</w:t>
      </w:r>
    </w:p>
    <w:p w14:paraId="47163A66">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保密</w:t>
      </w:r>
    </w:p>
    <w:p w14:paraId="6009CD9E">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参与招标投标活动的各方应对招标文件和投标文件中的商业和技术等秘密保密，违者应对由此造成的后果承担法律责任。 </w:t>
      </w:r>
    </w:p>
    <w:p w14:paraId="04AF1D57">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语言文字</w:t>
      </w:r>
    </w:p>
    <w:p w14:paraId="21BC9E8D">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除专用术语外，与招标投标有关的语言均使用中文。必要时专用术语应附有中文注释。</w:t>
      </w:r>
    </w:p>
    <w:p w14:paraId="0322430E">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计量单位</w:t>
      </w:r>
    </w:p>
    <w:p w14:paraId="1333BE7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7FAB07F6">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踏勘现场：不组织</w:t>
      </w:r>
    </w:p>
    <w:p w14:paraId="5DD98B35">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投标预备会：不召开</w:t>
      </w:r>
    </w:p>
    <w:p w14:paraId="01E0094B">
      <w:pPr>
        <w:pStyle w:val="11"/>
        <w:wordWrap w:val="0"/>
        <w:topLinePunct/>
        <w:spacing w:before="0" w:after="0" w:line="360" w:lineRule="auto"/>
        <w:ind w:firstLine="482" w:firstLineChars="200"/>
        <w:jc w:val="left"/>
        <w:rPr>
          <w:rFonts w:hint="eastAsia" w:ascii="宋体" w:hAnsi="宋体" w:eastAsia="宋体"/>
          <w:b w:val="0"/>
          <w:bCs w:val="0"/>
          <w:color w:val="auto"/>
          <w:sz w:val="24"/>
          <w:szCs w:val="24"/>
          <w:highlight w:val="none"/>
          <w:lang w:val="en-US" w:eastAsia="zh-CN"/>
        </w:rPr>
      </w:pPr>
      <w:r>
        <w:rPr>
          <w:rFonts w:hint="eastAsia" w:ascii="宋体" w:hAnsi="宋体" w:eastAsia="宋体" w:cs="宋体"/>
          <w:color w:val="auto"/>
          <w:sz w:val="24"/>
          <w:szCs w:val="24"/>
          <w:highlight w:val="none"/>
        </w:rPr>
        <w:t>1.11 分包</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详见投标人须知前附表</w:t>
      </w:r>
    </w:p>
    <w:p w14:paraId="2C831DF5">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偏离</w:t>
      </w:r>
    </w:p>
    <w:p w14:paraId="1AB3839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6D3FD89A">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57" w:name="_Toc17108"/>
      <w:bookmarkStart w:id="58" w:name="_Toc9506"/>
      <w:bookmarkStart w:id="59" w:name="_Toc3419"/>
      <w:bookmarkStart w:id="60" w:name="_Toc516822638"/>
      <w:bookmarkStart w:id="61" w:name="_Toc11551"/>
      <w:bookmarkStart w:id="62" w:name="_Toc12575"/>
      <w:r>
        <w:rPr>
          <w:rFonts w:hint="eastAsia" w:ascii="宋体" w:hAnsi="宋体" w:cs="宋体"/>
          <w:b/>
          <w:bCs/>
          <w:color w:val="auto"/>
          <w:sz w:val="24"/>
          <w:highlight w:val="none"/>
        </w:rPr>
        <w:t>2. 招标文件</w:t>
      </w:r>
      <w:bookmarkEnd w:id="57"/>
      <w:bookmarkEnd w:id="58"/>
      <w:bookmarkEnd w:id="59"/>
      <w:bookmarkEnd w:id="60"/>
      <w:bookmarkEnd w:id="61"/>
      <w:bookmarkEnd w:id="62"/>
    </w:p>
    <w:p w14:paraId="4C081B79">
      <w:pPr>
        <w:wordWrap w:val="0"/>
        <w:topLinePunct/>
        <w:spacing w:line="360" w:lineRule="auto"/>
        <w:ind w:firstLine="482" w:firstLineChars="200"/>
        <w:jc w:val="left"/>
        <w:rPr>
          <w:rFonts w:hint="eastAsia" w:ascii="宋体" w:hAnsi="宋体" w:cs="宋体"/>
          <w:b/>
          <w:bCs/>
          <w:color w:val="auto"/>
          <w:sz w:val="24"/>
          <w:highlight w:val="none"/>
        </w:rPr>
      </w:pPr>
      <w:bookmarkStart w:id="63" w:name="_Toc22186"/>
      <w:bookmarkStart w:id="64" w:name="_Toc16591"/>
      <w:r>
        <w:rPr>
          <w:rFonts w:hint="eastAsia" w:ascii="宋体" w:hAnsi="宋体" w:cs="宋体"/>
          <w:b/>
          <w:bCs/>
          <w:color w:val="auto"/>
          <w:sz w:val="24"/>
          <w:highlight w:val="none"/>
        </w:rPr>
        <w:t>2.1 招标文件的组成</w:t>
      </w:r>
      <w:bookmarkEnd w:id="63"/>
      <w:bookmarkEnd w:id="64"/>
    </w:p>
    <w:p w14:paraId="1953F54E">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本招标文件包括：</w:t>
      </w:r>
    </w:p>
    <w:p w14:paraId="58225E9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（1）招标公告；</w:t>
      </w:r>
    </w:p>
    <w:p w14:paraId="257B9F68">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（2）投标人须知；</w:t>
      </w:r>
    </w:p>
    <w:p w14:paraId="05D44703">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（3）评标办法；</w:t>
      </w:r>
    </w:p>
    <w:p w14:paraId="1DF5372D">
      <w:pPr>
        <w:wordWrap w:val="0"/>
        <w:topLinePunct/>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cs="宋体"/>
          <w:color w:val="auto"/>
          <w:highlight w:val="none"/>
        </w:rPr>
        <w:t>（4）</w:t>
      </w:r>
      <w:r>
        <w:rPr>
          <w:rFonts w:hint="eastAsia" w:ascii="宋体" w:hAnsi="宋体" w:cs="宋体"/>
          <w:color w:val="auto"/>
          <w:highlight w:val="none"/>
          <w:lang w:val="en-US" w:eastAsia="zh-CN"/>
        </w:rPr>
        <w:t>定标办法</w:t>
      </w:r>
      <w:r>
        <w:rPr>
          <w:rFonts w:hint="eastAsia" w:ascii="宋体" w:hAnsi="宋体" w:cs="宋体"/>
          <w:color w:val="auto"/>
          <w:highlight w:val="none"/>
        </w:rPr>
        <w:t>；</w:t>
      </w:r>
    </w:p>
    <w:p w14:paraId="27D817FE">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（5）合同条款及格式；</w:t>
      </w:r>
    </w:p>
    <w:p w14:paraId="1D7EF098">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（6）发包人技术标准和要求； </w:t>
      </w:r>
    </w:p>
    <w:p w14:paraId="1A18B8C3">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）发包人提供的资料；</w:t>
      </w:r>
    </w:p>
    <w:p w14:paraId="590E8328">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）投标文件格式；</w:t>
      </w:r>
    </w:p>
    <w:p w14:paraId="42B5DAEC">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）投标人须知前附表规定的其他材料。</w:t>
      </w:r>
    </w:p>
    <w:p w14:paraId="1F032438">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398CE2AE">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招标文件的澄清</w:t>
      </w:r>
    </w:p>
    <w:p w14:paraId="2E5652B2">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2.2.1投标人应仔细阅读和检查招标文件的全部内容。如发现缺页或附件不全，应及时向招标人提出，以便补齐。如有疑问，应在投标人须知前附表规定的时间前以书面形式（包括信函、电报、传真等可以有形表现所载内容的形式，下同），要求招标人对招标文件予以澄清。</w:t>
      </w:r>
    </w:p>
    <w:p w14:paraId="069AFD60">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2.2.2 招标文件的澄清将在投标人须知前附表规定的投标截止时间15天前在信阳市公共资源交易系统“变更公告”或“答疑文件”将澄清内容予以发布，但不指明澄清问题的来源。如果澄清的内容可能影响投标文件编制且发出的时间距投标截止时间不足15天，相应延长投标截止时间。</w:t>
      </w:r>
    </w:p>
    <w:p w14:paraId="2AA254FC">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2.2.3投标人应在投标文件递交截止时间前及时查看澄清内容，因投标人未及时查看而造成的后果自负。</w:t>
      </w:r>
    </w:p>
    <w:p w14:paraId="67D6B83D">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招标文件的修改</w:t>
      </w:r>
    </w:p>
    <w:p w14:paraId="1612B562">
      <w:pPr>
        <w:wordWrap w:val="0"/>
        <w:topLinePunct/>
        <w:spacing w:line="360" w:lineRule="auto"/>
        <w:ind w:firstLine="420" w:firstLineChars="200"/>
        <w:jc w:val="left"/>
        <w:rPr>
          <w:rFonts w:hint="eastAsia" w:ascii="宋体" w:hAnsi="宋体" w:cs="宋体"/>
          <w:color w:val="auto"/>
          <w:highlight w:val="none"/>
        </w:rPr>
      </w:pPr>
      <w:bookmarkStart w:id="65" w:name="_Toc516822639"/>
      <w:r>
        <w:rPr>
          <w:rFonts w:hint="eastAsia" w:ascii="宋体" w:hAnsi="宋体" w:cs="宋体"/>
          <w:color w:val="auto"/>
          <w:highlight w:val="none"/>
        </w:rPr>
        <w:t>2.3.1 在投标截止时间15天前，招标人可以修改招标文件。如有修改，应在信阳市公共资源交易系统</w:t>
      </w:r>
      <w:r>
        <w:rPr>
          <w:rFonts w:hint="eastAsia" w:ascii="宋体" w:hAnsi="宋体" w:cs="宋体"/>
          <w:b/>
          <w:bCs/>
          <w:color w:val="auto"/>
          <w:highlight w:val="none"/>
        </w:rPr>
        <w:t>“变更公告”或“答疑文件”</w:t>
      </w:r>
      <w:r>
        <w:rPr>
          <w:rFonts w:hint="eastAsia" w:ascii="宋体" w:hAnsi="宋体" w:cs="宋体"/>
          <w:color w:val="auto"/>
          <w:highlight w:val="none"/>
        </w:rPr>
        <w:t>将修改内容予以发布。如果修改的内容可能影响投标文件编制且发出的时间距投标截止时间不足15天，相应延长投标截止时间。</w:t>
      </w:r>
    </w:p>
    <w:p w14:paraId="2497F699">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当招标文件的澄清、修改、补充等在同一内容的表述上不一致时，以最后在信阳市公共资源交易系统发出的文件为准。</w:t>
      </w:r>
    </w:p>
    <w:p w14:paraId="3CC8508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2.3.2投标人应在投标文件递交截止时间前及时查看修改内容，因投标人未及时查看而造成的后果自负。</w:t>
      </w:r>
      <w:bookmarkStart w:id="66" w:name="_Toc27828"/>
      <w:bookmarkStart w:id="67" w:name="_Toc11631"/>
    </w:p>
    <w:p w14:paraId="423B77EC">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68" w:name="_Toc11288"/>
      <w:bookmarkStart w:id="69" w:name="_Toc2904"/>
      <w:bookmarkStart w:id="70" w:name="_Toc21687"/>
      <w:r>
        <w:rPr>
          <w:rFonts w:hint="eastAsia" w:ascii="宋体" w:hAnsi="宋体" w:cs="宋体"/>
          <w:b/>
          <w:bCs/>
          <w:color w:val="auto"/>
          <w:sz w:val="24"/>
          <w:highlight w:val="none"/>
        </w:rPr>
        <w:t>3.投标文件</w:t>
      </w:r>
      <w:bookmarkEnd w:id="65"/>
      <w:bookmarkEnd w:id="66"/>
      <w:bookmarkEnd w:id="67"/>
      <w:bookmarkEnd w:id="68"/>
      <w:bookmarkEnd w:id="69"/>
      <w:bookmarkEnd w:id="70"/>
    </w:p>
    <w:p w14:paraId="1C2E8DBD">
      <w:pPr>
        <w:wordWrap w:val="0"/>
        <w:topLinePunct/>
        <w:spacing w:line="360" w:lineRule="auto"/>
        <w:ind w:firstLine="482" w:firstLineChars="200"/>
        <w:jc w:val="left"/>
        <w:rPr>
          <w:rFonts w:hint="eastAsia" w:ascii="宋体" w:hAnsi="宋体" w:cs="宋体"/>
          <w:b/>
          <w:bCs/>
          <w:color w:val="auto"/>
          <w:sz w:val="24"/>
          <w:highlight w:val="none"/>
        </w:rPr>
      </w:pPr>
      <w:bookmarkStart w:id="71" w:name="_Toc17390"/>
      <w:bookmarkStart w:id="72" w:name="_Toc6911"/>
      <w:r>
        <w:rPr>
          <w:rFonts w:hint="eastAsia" w:ascii="宋体" w:hAnsi="宋体" w:cs="宋体"/>
          <w:b/>
          <w:bCs/>
          <w:color w:val="auto"/>
          <w:sz w:val="24"/>
          <w:highlight w:val="none"/>
        </w:rPr>
        <w:t>3.1 投标文件的组成</w:t>
      </w:r>
      <w:bookmarkEnd w:id="71"/>
      <w:bookmarkEnd w:id="72"/>
    </w:p>
    <w:p w14:paraId="720285CF">
      <w:pPr>
        <w:wordWrap w:val="0"/>
        <w:topLinePunct/>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投标文件应包括下列内容：</w:t>
      </w:r>
      <w:r>
        <w:rPr>
          <w:rFonts w:hint="eastAsia" w:ascii="宋体" w:hAnsi="宋体" w:cs="宋体"/>
          <w:color w:val="auto"/>
          <w:szCs w:val="21"/>
          <w:highlight w:val="none"/>
          <w:lang w:val="en-US" w:eastAsia="zh-CN"/>
        </w:rPr>
        <w:t>详见第八章投标文件格式</w:t>
      </w:r>
      <w:r>
        <w:rPr>
          <w:rFonts w:hint="eastAsia" w:ascii="宋体" w:hAnsi="宋体" w:cs="宋体"/>
          <w:color w:val="auto"/>
          <w:szCs w:val="21"/>
          <w:highlight w:val="none"/>
        </w:rPr>
        <w:t xml:space="preserve"> </w:t>
      </w:r>
    </w:p>
    <w:p w14:paraId="7A1917E3">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投标报价</w:t>
      </w:r>
    </w:p>
    <w:p w14:paraId="73B4C565">
      <w:pPr>
        <w:wordWrap w:val="0"/>
        <w:topLinePunct/>
        <w:spacing w:line="360" w:lineRule="auto"/>
        <w:ind w:firstLine="420" w:firstLineChars="200"/>
        <w:jc w:val="left"/>
        <w:rPr>
          <w:rFonts w:hint="eastAsia" w:ascii="宋体" w:hAnsi="宋体" w:cs="宋体"/>
          <w:color w:val="auto"/>
          <w:highlight w:val="none"/>
        </w:rPr>
      </w:pPr>
      <w:bookmarkStart w:id="73" w:name="_Toc402445661"/>
      <w:bookmarkStart w:id="74" w:name="_Toc402444447"/>
      <w:r>
        <w:rPr>
          <w:rFonts w:hint="eastAsia" w:ascii="宋体" w:hAnsi="宋体" w:cs="宋体"/>
          <w:color w:val="auto"/>
          <w:highlight w:val="none"/>
        </w:rPr>
        <w:t>3.2.1投标报价应包括国家规定的增值税税金，除投标人须知前附表另有规定外，增值税税金按一般计税方法计算。投标报价应根据项目具体特点和技术要求、结合企业自身综合实力、市场行情，自主报价。</w:t>
      </w:r>
    </w:p>
    <w:p w14:paraId="1B5A031C">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3.2.2投标人应充分了解该项目的总体情况以及影响投标报价的其他要素。投标人的投标报价费用应包括但不限于完成本项目的所有工作内容以及所必需的考察和调研费用，此外还应包括政府规定的一切税费、专利及专有技术使用费等一切相关费用等全部费用。投标报价为签订合同的依据。</w:t>
      </w:r>
    </w:p>
    <w:p w14:paraId="4FBA9D9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3.2.3招标人设有最高投标限价的，投标人的投标报价不得超过最高投标限价，最高投标限价在投标人须知前附表中载明。</w:t>
      </w:r>
    </w:p>
    <w:p w14:paraId="69F83B8E">
      <w:pPr>
        <w:numPr>
          <w:ilvl w:val="2"/>
          <w:numId w:val="0"/>
        </w:numPr>
        <w:tabs>
          <w:tab w:val="left" w:pos="1260"/>
        </w:tabs>
        <w:spacing w:line="360" w:lineRule="auto"/>
        <w:ind w:left="-105" w:leftChars="0" w:right="-63" w:rightChars="-30" w:firstLine="525" w:firstLineChars="0"/>
        <w:rPr>
          <w:rFonts w:hint="eastAsia" w:ascii="宋体" w:hAnsi="宋体" w:cs="宋体"/>
          <w:bCs/>
          <w:color w:val="auto"/>
          <w:szCs w:val="21"/>
          <w:highlight w:val="none"/>
        </w:rPr>
      </w:pPr>
      <w:r>
        <w:rPr>
          <w:rFonts w:hint="eastAsia" w:ascii="宋体" w:hAnsi="宋体" w:eastAsia="宋体" w:cs="宋体"/>
          <w:b w:val="0"/>
          <w:bCs/>
          <w:color w:val="auto"/>
          <w:kern w:val="2"/>
          <w:sz w:val="21"/>
          <w:szCs w:val="21"/>
          <w:highlight w:val="none"/>
          <w:lang w:val="en-US" w:eastAsia="zh-CN" w:bidi="ar-SA"/>
        </w:rPr>
        <w:t>3.2.4</w:t>
      </w:r>
      <w:r>
        <w:rPr>
          <w:rFonts w:hint="eastAsia" w:ascii="宋体" w:hAnsi="宋体" w:cs="宋体"/>
          <w:bCs/>
          <w:color w:val="auto"/>
          <w:szCs w:val="21"/>
          <w:highlight w:val="none"/>
        </w:rPr>
        <w:t>投标和支付所使用的货币：人民币。</w:t>
      </w:r>
      <w:bookmarkEnd w:id="73"/>
      <w:bookmarkEnd w:id="74"/>
    </w:p>
    <w:p w14:paraId="250791A3">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投标有效期</w:t>
      </w:r>
    </w:p>
    <w:p w14:paraId="4D2DE3DD">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3.3.1 在投标人须知前附表规定的投标有效期内，投标人撤销投标文件的，应承担招标文件和法律规定的责任。</w:t>
      </w:r>
    </w:p>
    <w:p w14:paraId="6CF4696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3.3.2 出现特殊情况需要延长投标有效期的，招标人以书面形式通知所有投标人延长投标有效期。投标人应予以书面答复，同意延长的，应相应延长其投标保证金（若有）的有效期，但不得要求或被允许修改其投标文件；投标人拒绝延长的，其投标失效，但投标人有权收回其投标保证金及以现金或者支票形式递交的投标保证金的银行同期存款利息。</w:t>
      </w:r>
    </w:p>
    <w:p w14:paraId="246994FA">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投标保证金：无</w:t>
      </w:r>
    </w:p>
    <w:p w14:paraId="53454BED">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u w:val="double"/>
        </w:rPr>
      </w:pPr>
      <w:r>
        <w:rPr>
          <w:rFonts w:hint="eastAsia" w:ascii="宋体" w:hAnsi="宋体" w:eastAsia="宋体" w:cs="宋体"/>
          <w:color w:val="auto"/>
          <w:sz w:val="24"/>
          <w:szCs w:val="24"/>
          <w:highlight w:val="none"/>
        </w:rPr>
        <w:t>3.5 资格审查资料</w:t>
      </w:r>
    </w:p>
    <w:p w14:paraId="12D2190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3.5.1应按照投标人须知前附表1.4.1要求对投标企业资质条件、人员要求</w:t>
      </w:r>
      <w:r>
        <w:rPr>
          <w:rFonts w:hint="eastAsia" w:ascii="宋体" w:hAnsi="宋体" w:cs="宋体"/>
          <w:color w:val="auto"/>
          <w:highlight w:val="none"/>
          <w:lang w:eastAsia="zh-CN"/>
        </w:rPr>
        <w:t>、</w:t>
      </w:r>
      <w:r>
        <w:rPr>
          <w:rFonts w:hint="eastAsia" w:ascii="宋体" w:hAnsi="宋体" w:cs="宋体"/>
          <w:color w:val="auto"/>
          <w:highlight w:val="none"/>
        </w:rPr>
        <w:t>信誉要求、</w:t>
      </w:r>
      <w:r>
        <w:rPr>
          <w:rFonts w:hint="eastAsia" w:ascii="宋体" w:hAnsi="宋体" w:cs="宋体"/>
          <w:bCs/>
          <w:color w:val="auto"/>
          <w:szCs w:val="21"/>
          <w:highlight w:val="none"/>
        </w:rPr>
        <w:t>财务要求等要求</w:t>
      </w:r>
      <w:r>
        <w:rPr>
          <w:rFonts w:hint="eastAsia" w:ascii="宋体" w:hAnsi="宋体" w:cs="宋体"/>
          <w:color w:val="auto"/>
          <w:highlight w:val="none"/>
        </w:rPr>
        <w:t>提供相关证明材料。信誉要求中的全国和河南省建筑市场监管公共服务平台相应</w:t>
      </w:r>
      <w:r>
        <w:rPr>
          <w:rFonts w:hint="eastAsia" w:ascii="宋体" w:hAnsi="宋体" w:cs="宋体"/>
          <w:color w:val="auto"/>
          <w:highlight w:val="none"/>
          <w:lang w:val="en-US" w:eastAsia="zh-CN"/>
        </w:rPr>
        <w:t>的</w:t>
      </w:r>
      <w:bookmarkStart w:id="476" w:name="_GoBack"/>
      <w:bookmarkEnd w:id="476"/>
      <w:r>
        <w:rPr>
          <w:rFonts w:hint="eastAsia" w:ascii="宋体" w:hAnsi="宋体" w:cs="宋体"/>
          <w:color w:val="auto"/>
          <w:highlight w:val="none"/>
        </w:rPr>
        <w:t>查询结果截图均需提供。</w:t>
      </w:r>
    </w:p>
    <w:p w14:paraId="06000673">
      <w:pPr>
        <w:wordWrap w:val="0"/>
        <w:topLinePunct/>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highlight w:val="none"/>
        </w:rPr>
        <w:t>3.5.2投标人须知前附表规定接受联合体投标的，本章第3.5.1项规定的表格和资料应包括联合体各方相关情况。</w:t>
      </w:r>
    </w:p>
    <w:p w14:paraId="26B467D0">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 备选投标方案 </w:t>
      </w:r>
    </w:p>
    <w:p w14:paraId="26EE209B">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648C8E8C">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投标文件的编制</w:t>
      </w:r>
    </w:p>
    <w:p w14:paraId="1AD538D8">
      <w:pPr>
        <w:wordWrap w:val="0"/>
        <w:topLinePunct/>
        <w:spacing w:line="360" w:lineRule="auto"/>
        <w:ind w:firstLine="420" w:firstLineChars="200"/>
        <w:jc w:val="left"/>
        <w:rPr>
          <w:rFonts w:hint="eastAsia" w:ascii="宋体" w:hAnsi="宋体" w:cs="宋体"/>
          <w:color w:val="auto"/>
          <w:highlight w:val="none"/>
        </w:rPr>
      </w:pPr>
      <w:bookmarkStart w:id="75" w:name="_Toc516822640"/>
      <w:r>
        <w:rPr>
          <w:rFonts w:hint="eastAsia" w:ascii="宋体" w:hAnsi="宋体" w:cs="宋体"/>
          <w:color w:val="auto"/>
          <w:highlight w:val="none"/>
        </w:rPr>
        <w:t>3.7.1投标文件应按第</w:t>
      </w:r>
      <w:r>
        <w:rPr>
          <w:rFonts w:hint="eastAsia" w:ascii="宋体" w:hAnsi="宋体" w:cs="宋体"/>
          <w:color w:val="auto"/>
          <w:highlight w:val="none"/>
          <w:lang w:val="en-US" w:eastAsia="zh-CN"/>
        </w:rPr>
        <w:t>八</w:t>
      </w:r>
      <w:r>
        <w:rPr>
          <w:rFonts w:hint="eastAsia" w:ascii="宋体" w:hAnsi="宋体" w:cs="宋体"/>
          <w:color w:val="auto"/>
          <w:highlight w:val="none"/>
        </w:rPr>
        <w:t>章“投标文件格式”使用信阳市公共资源交易系统投标文件制作专用工具软件编制，</w:t>
      </w:r>
      <w:r>
        <w:rPr>
          <w:rStyle w:val="54"/>
          <w:rFonts w:hint="eastAsia" w:ascii="宋体" w:hAnsi="宋体" w:cs="宋体"/>
          <w:b/>
          <w:bCs/>
          <w:color w:val="auto"/>
          <w:sz w:val="21"/>
          <w:szCs w:val="21"/>
          <w:highlight w:val="none"/>
        </w:rPr>
        <w:t>投标文件格式为“*.XYTF”。</w:t>
      </w:r>
      <w:r>
        <w:rPr>
          <w:rFonts w:hint="eastAsia" w:ascii="宋体" w:hAnsi="宋体" w:cs="宋体"/>
          <w:color w:val="auto"/>
          <w:highlight w:val="none"/>
        </w:rPr>
        <w:t>其中，投标函附录在满足招标文件实质性要求的基础上，可以提出比招标文件要求更有利于招标人的承诺。</w:t>
      </w:r>
    </w:p>
    <w:p w14:paraId="5116E4AD">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3.7.2 投标文件应当对招标文件有关</w:t>
      </w:r>
      <w:r>
        <w:rPr>
          <w:rFonts w:hint="eastAsia" w:ascii="宋体" w:hAnsi="宋体" w:cs="宋体"/>
          <w:color w:val="auto"/>
          <w:highlight w:val="none"/>
          <w:lang w:val="en-US" w:eastAsia="zh-CN"/>
        </w:rPr>
        <w:t>计划工期</w:t>
      </w:r>
      <w:r>
        <w:rPr>
          <w:rFonts w:hint="eastAsia" w:ascii="宋体" w:hAnsi="宋体" w:cs="宋体"/>
          <w:color w:val="auto"/>
          <w:highlight w:val="none"/>
        </w:rPr>
        <w:t>、投标有效期、</w:t>
      </w:r>
      <w:r>
        <w:rPr>
          <w:rFonts w:hint="eastAsia" w:ascii="宋体" w:hAnsi="宋体" w:cs="宋体"/>
          <w:color w:val="auto"/>
          <w:highlight w:val="none"/>
          <w:lang w:eastAsia="zh-CN"/>
        </w:rPr>
        <w:t>质量要求</w:t>
      </w:r>
      <w:r>
        <w:rPr>
          <w:rFonts w:hint="eastAsia" w:ascii="宋体" w:hAnsi="宋体" w:cs="宋体"/>
          <w:color w:val="auto"/>
          <w:highlight w:val="none"/>
        </w:rPr>
        <w:t>、</w:t>
      </w:r>
      <w:r>
        <w:rPr>
          <w:rFonts w:hint="eastAsia" w:ascii="宋体" w:hAnsi="宋体" w:cs="宋体"/>
          <w:color w:val="auto"/>
          <w:highlight w:val="none"/>
          <w:lang w:val="en-US" w:eastAsia="zh-CN"/>
        </w:rPr>
        <w:t>招标</w:t>
      </w:r>
      <w:r>
        <w:rPr>
          <w:rFonts w:hint="eastAsia" w:ascii="宋体" w:hAnsi="宋体" w:cs="宋体"/>
          <w:color w:val="auto"/>
          <w:highlight w:val="none"/>
        </w:rPr>
        <w:t>范围等实质性内容作出响应。</w:t>
      </w:r>
    </w:p>
    <w:p w14:paraId="06530398">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3.7.3投标文件应编制目录，电子投标文件签字或盖章的具体要求见投标人须知前附表。如委托代理人电子签章的，电子投标文件应附法定代表人电子签名或盖章的授权委托书。</w:t>
      </w:r>
    </w:p>
    <w:p w14:paraId="1B2270E9">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76" w:name="_Toc14068"/>
      <w:bookmarkStart w:id="77" w:name="_Toc17440"/>
      <w:bookmarkStart w:id="78" w:name="_Toc31542"/>
      <w:bookmarkStart w:id="79" w:name="_Toc30169"/>
      <w:bookmarkStart w:id="80" w:name="_Toc7018"/>
      <w:r>
        <w:rPr>
          <w:rFonts w:hint="eastAsia" w:ascii="宋体" w:hAnsi="宋体" w:cs="宋体"/>
          <w:b/>
          <w:bCs/>
          <w:color w:val="auto"/>
          <w:sz w:val="24"/>
          <w:highlight w:val="none"/>
        </w:rPr>
        <w:t>4. 投标</w:t>
      </w:r>
      <w:bookmarkEnd w:id="75"/>
      <w:bookmarkEnd w:id="76"/>
      <w:bookmarkEnd w:id="77"/>
      <w:bookmarkEnd w:id="78"/>
      <w:bookmarkEnd w:id="79"/>
      <w:bookmarkEnd w:id="80"/>
    </w:p>
    <w:p w14:paraId="6A4A23C9">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投标文件的标记</w:t>
      </w:r>
    </w:p>
    <w:p w14:paraId="13F68FDD">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4.1.1 上传的电子投标文件应使用投标人数字证书认证并加密。未按要求加密的电子投标文件，</w:t>
      </w:r>
      <w:r>
        <w:rPr>
          <w:rFonts w:hint="eastAsia" w:ascii="宋体" w:hAnsi="宋体" w:cs="宋体"/>
          <w:color w:val="auto"/>
          <w:szCs w:val="21"/>
          <w:highlight w:val="none"/>
        </w:rPr>
        <w:t>招标人不予受理。</w:t>
      </w:r>
    </w:p>
    <w:p w14:paraId="197F533D">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投标文件的递交</w:t>
      </w:r>
    </w:p>
    <w:p w14:paraId="7AD9A4D9">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4.2.1 电子投标文件上传件的递交要求详见第二章“投标人须知前附表”。</w:t>
      </w:r>
    </w:p>
    <w:p w14:paraId="3C61EF1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4.2.2 逾期上传的投标文件，招标人不予受理。</w:t>
      </w:r>
    </w:p>
    <w:p w14:paraId="525DC480">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4.2.3</w:t>
      </w:r>
      <w:r>
        <w:rPr>
          <w:rFonts w:hint="eastAsia" w:ascii="宋体" w:hAnsi="宋体" w:cs="宋体"/>
          <w:b/>
          <w:bCs/>
          <w:color w:val="auto"/>
          <w:highlight w:val="none"/>
        </w:rPr>
        <w:t>投标人因信阳市电子招投标交易平台问题无法上传电子投标文件时，请在工作时间与交易中心联系。（0376-6369677）</w:t>
      </w:r>
    </w:p>
    <w:p w14:paraId="5EAA7CEE">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投标文件的修改与撤回</w:t>
      </w:r>
    </w:p>
    <w:p w14:paraId="22A71E1F">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4.3.1 在本章第2.2.2项规定的投标截止时间前，投标人可以多次修改或撤回已递交的投标文件，最终投标文件以投标截止时间前完成上传至信阳市公共资源交易中心交易系统最后一份投标文件为准。</w:t>
      </w:r>
    </w:p>
    <w:p w14:paraId="2F505044">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4.3.2修改的投标文件应按照本章第3条、第4条规定进行编制和递交。</w:t>
      </w:r>
    </w:p>
    <w:p w14:paraId="4317A5E8">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81" w:name="_Toc30792"/>
      <w:bookmarkStart w:id="82" w:name="_Toc17021"/>
      <w:bookmarkStart w:id="83" w:name="_Toc13992"/>
      <w:bookmarkStart w:id="84" w:name="_Toc516822641"/>
      <w:bookmarkStart w:id="85" w:name="_Toc30577"/>
      <w:bookmarkStart w:id="86" w:name="_Toc2153"/>
      <w:r>
        <w:rPr>
          <w:rFonts w:hint="eastAsia" w:ascii="宋体" w:hAnsi="宋体" w:cs="宋体"/>
          <w:b/>
          <w:bCs/>
          <w:color w:val="auto"/>
          <w:sz w:val="24"/>
          <w:highlight w:val="none"/>
        </w:rPr>
        <w:t>5. 开标</w:t>
      </w:r>
      <w:bookmarkEnd w:id="81"/>
      <w:bookmarkEnd w:id="82"/>
      <w:bookmarkEnd w:id="83"/>
      <w:bookmarkEnd w:id="84"/>
      <w:bookmarkEnd w:id="85"/>
      <w:bookmarkEnd w:id="86"/>
    </w:p>
    <w:p w14:paraId="043DC19D">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u w:val="double"/>
        </w:rPr>
      </w:pPr>
      <w:r>
        <w:rPr>
          <w:rFonts w:hint="eastAsia" w:ascii="宋体" w:hAnsi="宋体" w:eastAsia="宋体" w:cs="宋体"/>
          <w:color w:val="auto"/>
          <w:sz w:val="24"/>
          <w:szCs w:val="24"/>
          <w:highlight w:val="none"/>
        </w:rPr>
        <w:t>5.1 开标时间和地点</w:t>
      </w:r>
    </w:p>
    <w:p w14:paraId="5928EA5C">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5.1.1 招标人在本章规定的投标截止时间（开标时间）和投标人须知前附表规定的地点开标。</w:t>
      </w:r>
    </w:p>
    <w:p w14:paraId="551055E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5.1.2本项目采用“不见面开标”交易方式，不见面开标大厅网址为 https://ggzyjy.xinyang.gov.cn/BidOpening，投标人无需寄送和递交非加密的电子投标文件，无需到现场参加开标会议，无需到达现场提交原件资料。</w:t>
      </w:r>
    </w:p>
    <w:p w14:paraId="7BBE7B99">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投标人应当在投标截止时间前，使用投标人CA数字证书登录不见面开标大厅，在线签到并准时参加开标活动，并在规定时间内完成投标文件解密、答疑澄清等。</w:t>
      </w:r>
    </w:p>
    <w:p w14:paraId="1910D583">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投标人需在解密开始后</w:t>
      </w:r>
      <w:r>
        <w:rPr>
          <w:rFonts w:hint="eastAsia" w:ascii="宋体" w:hAnsi="宋体" w:cs="宋体"/>
          <w:color w:val="auto"/>
          <w:highlight w:val="none"/>
          <w:lang w:val="en-US" w:eastAsia="zh-CN"/>
        </w:rPr>
        <w:t>20</w:t>
      </w:r>
      <w:r>
        <w:rPr>
          <w:rFonts w:hint="eastAsia" w:ascii="宋体" w:hAnsi="宋体" w:cs="宋体"/>
          <w:color w:val="auto"/>
          <w:highlight w:val="none"/>
        </w:rPr>
        <w:t>分钟内完成解密。在投标文件解密过程中，因投标人原因（如投标人准备不到位、电脑网络问题等），造成无法及时解密的，将被退回投标文件。</w:t>
      </w:r>
    </w:p>
    <w:p w14:paraId="38CB4E55">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不见面开标服务的具体事宜，请查阅信阳市公共资源交易中心网站首页—下载中心—信阳市不见面开标大厅系统操作手册 。</w:t>
      </w:r>
    </w:p>
    <w:p w14:paraId="0B497D7B">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开标过程中，投标人如有异议，须在开标结束前通过系统提出，否则视同认可开标记录。开标结束后，对开标记录的任何异议不再接受。</w:t>
      </w:r>
    </w:p>
    <w:p w14:paraId="3B089903">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87" w:name="_Toc17735"/>
      <w:bookmarkStart w:id="88" w:name="_Toc18214"/>
      <w:bookmarkStart w:id="89" w:name="_Toc30125"/>
      <w:bookmarkStart w:id="90" w:name="_Toc28218"/>
      <w:bookmarkStart w:id="91" w:name="_Toc19341"/>
      <w:bookmarkStart w:id="92" w:name="_Toc516822642"/>
      <w:r>
        <w:rPr>
          <w:rFonts w:hint="eastAsia" w:ascii="宋体" w:hAnsi="宋体" w:cs="宋体"/>
          <w:b/>
          <w:bCs/>
          <w:color w:val="auto"/>
          <w:sz w:val="24"/>
          <w:highlight w:val="none"/>
        </w:rPr>
        <w:t>6. 评标</w:t>
      </w:r>
      <w:bookmarkEnd w:id="87"/>
      <w:bookmarkEnd w:id="88"/>
      <w:bookmarkEnd w:id="89"/>
      <w:bookmarkEnd w:id="90"/>
      <w:bookmarkEnd w:id="91"/>
      <w:bookmarkEnd w:id="92"/>
    </w:p>
    <w:p w14:paraId="55E2DBE0">
      <w:pPr>
        <w:wordWrap w:val="0"/>
        <w:topLinePunct/>
        <w:spacing w:line="360" w:lineRule="auto"/>
        <w:ind w:firstLine="482" w:firstLineChars="200"/>
        <w:jc w:val="left"/>
        <w:rPr>
          <w:rFonts w:hint="eastAsia" w:ascii="宋体" w:hAnsi="宋体" w:cs="宋体"/>
          <w:b/>
          <w:bCs/>
          <w:color w:val="auto"/>
          <w:sz w:val="24"/>
          <w:highlight w:val="none"/>
        </w:rPr>
      </w:pPr>
      <w:bookmarkStart w:id="93" w:name="_Toc27732"/>
      <w:bookmarkStart w:id="94" w:name="_Toc27309"/>
      <w:r>
        <w:rPr>
          <w:rFonts w:hint="eastAsia" w:ascii="宋体" w:hAnsi="宋体" w:cs="宋体"/>
          <w:b/>
          <w:bCs/>
          <w:color w:val="auto"/>
          <w:sz w:val="24"/>
          <w:highlight w:val="none"/>
        </w:rPr>
        <w:t>6.1 评标委员会</w:t>
      </w:r>
      <w:bookmarkEnd w:id="93"/>
      <w:bookmarkEnd w:id="94"/>
    </w:p>
    <w:p w14:paraId="4A50353C">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6.1.1 评标由招标人依法组建的评标委员会负责。评标委员会由有关技术、经济等方面的专家组成。评标委员会成员人数以及技术、经济等方面专家的确定方式见投标人须知前附表。</w:t>
      </w:r>
    </w:p>
    <w:p w14:paraId="6161950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6.1.2评标委员会成员有下列情形之一的，应当回避：</w:t>
      </w:r>
    </w:p>
    <w:p w14:paraId="4A93768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（1）投标人或投标人主要负责人的近亲属；</w:t>
      </w:r>
    </w:p>
    <w:p w14:paraId="18F3F49B">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（2）项目主管部门或者行政监督部门的人员；</w:t>
      </w:r>
    </w:p>
    <w:p w14:paraId="387C0707">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（3）与投标人有经济利益关系，可能影响对投标公正评审的；</w:t>
      </w:r>
    </w:p>
    <w:p w14:paraId="349B172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（4）曾因在招标、评标以及其他与招标投标有关活动中从事违法行为而受过行政处罚或刑事处罚的；</w:t>
      </w:r>
    </w:p>
    <w:p w14:paraId="1DEE3DB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（5）“信用中国”网站（www.creditchina,gov,cn）记录为失信被执行人的。</w:t>
      </w:r>
    </w:p>
    <w:p w14:paraId="72AB69EC">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0AC38832">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评标原则</w:t>
      </w:r>
      <w:r>
        <w:rPr>
          <w:rFonts w:hint="eastAsia" w:ascii="宋体" w:hAnsi="宋体" w:eastAsia="宋体" w:cs="宋体"/>
          <w:color w:val="auto"/>
          <w:sz w:val="24"/>
          <w:szCs w:val="24"/>
          <w:highlight w:val="none"/>
        </w:rPr>
        <w:tab/>
      </w:r>
    </w:p>
    <w:p w14:paraId="0149DDF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7AE79372">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评标</w:t>
      </w:r>
    </w:p>
    <w:p w14:paraId="0B8EFE80">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14:paraId="12906D79">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6.3.2评标完成后，评标委员会应当向招标人提交书面评标报告和中标候选人名单。</w:t>
      </w:r>
    </w:p>
    <w:p w14:paraId="56957B57">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6.4推荐中标候选人</w:t>
      </w:r>
    </w:p>
    <w:p w14:paraId="6002F855">
      <w:pPr>
        <w:pStyle w:val="11"/>
        <w:wordWrap w:val="0"/>
        <w:topLinePunct/>
        <w:spacing w:before="0" w:after="0" w:line="360" w:lineRule="auto"/>
        <w:ind w:firstLine="420" w:firstLineChars="200"/>
        <w:jc w:val="left"/>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除投标人须知前附表规定评标委员会直接确定中标人外，招标人依据评标委员会推荐的不排序中标候选人确定中标人。</w:t>
      </w:r>
    </w:p>
    <w:p w14:paraId="2265EFEE">
      <w:pPr>
        <w:pStyle w:val="11"/>
        <w:wordWrap w:val="0"/>
        <w:topLinePunct/>
        <w:spacing w:before="0" w:after="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评标报告审查</w:t>
      </w:r>
    </w:p>
    <w:p w14:paraId="69D62404">
      <w:pPr>
        <w:wordWrap w:val="0"/>
        <w:topLinePunct/>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人在发布中标候选人公示前应当对评标委员会提交的书面评标报告进行审查，发现异常情形的，依照法定程序进行复核，确认存在问题的，依照法定程序予以纠正。重点关注评标委员会是否按照招标文件规定的评标标准和方法进行评标；是否存在对客观评审因素评分不一致，或者评分畸高、畸低现象；是否对可能低于成本或者影响履约的异常低价投标和严重不平衡报价进行分析研判；是否依法通知投标人进行澄清、说明；是否存在随意否决投标的情况。</w:t>
      </w:r>
    </w:p>
    <w:p w14:paraId="30550B75">
      <w:pPr>
        <w:wordWrap w:val="0"/>
        <w:topLinePunct/>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6.</w:t>
      </w:r>
      <w:r>
        <w:rPr>
          <w:rFonts w:hint="eastAsia" w:ascii="宋体" w:hAnsi="宋体" w:cs="宋体"/>
          <w:b/>
          <w:bCs/>
          <w:color w:val="auto"/>
          <w:sz w:val="24"/>
          <w:highlight w:val="none"/>
          <w:lang w:val="en-US" w:eastAsia="zh-CN"/>
        </w:rPr>
        <w:t xml:space="preserve">6 </w:t>
      </w:r>
      <w:r>
        <w:rPr>
          <w:rFonts w:hint="eastAsia" w:ascii="宋体" w:hAnsi="宋体" w:cs="宋体"/>
          <w:b/>
          <w:bCs/>
          <w:color w:val="auto"/>
          <w:sz w:val="24"/>
          <w:highlight w:val="none"/>
        </w:rPr>
        <w:t>中标候选人公示</w:t>
      </w:r>
    </w:p>
    <w:p w14:paraId="3FCED5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招标人在收到评标报告之日起3日内，按照投标人须知前附表规定的公示媒介和期限公示中标候选人，公示期不得少于3日。</w:t>
      </w:r>
    </w:p>
    <w:p w14:paraId="2A5A30CD">
      <w:pPr>
        <w:wordWrap w:val="0"/>
        <w:topLinePunct/>
        <w:spacing w:line="360" w:lineRule="auto"/>
        <w:ind w:firstLine="482" w:firstLineChars="200"/>
        <w:jc w:val="left"/>
        <w:rPr>
          <w:rFonts w:hint="eastAsia" w:ascii="宋体" w:hAnsi="宋体" w:eastAsia="宋体" w:cs="宋体"/>
          <w:b/>
          <w:bCs/>
          <w:color w:val="auto"/>
          <w:sz w:val="24"/>
          <w:highlight w:val="none"/>
          <w:lang w:val="en-US" w:eastAsia="zh-CN"/>
        </w:rPr>
      </w:pPr>
      <w:bookmarkStart w:id="95" w:name="_Toc29240"/>
      <w:bookmarkStart w:id="96" w:name="_Toc7970"/>
      <w:bookmarkStart w:id="97" w:name="_Toc22125"/>
      <w:bookmarkStart w:id="98" w:name="_Toc21428"/>
      <w:bookmarkStart w:id="99" w:name="_Toc516822643"/>
      <w:bookmarkStart w:id="100" w:name="_Toc13732"/>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6.7 评标结果异议</w:t>
      </w:r>
    </w:p>
    <w:p w14:paraId="60017F52">
      <w:pPr>
        <w:wordWrap w:val="0"/>
        <w:topLinePunct/>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投标人或者其他利害关系人对评标结果有异议的，应当在中标候选人公示期间提出。招标人将在收到异议之日起 3 日内作出答复；作出答复前，将暂停招标投标活动。</w:t>
      </w:r>
    </w:p>
    <w:p w14:paraId="0C29C7D2">
      <w:pPr>
        <w:wordWrap w:val="0"/>
        <w:topLinePunct/>
        <w:spacing w:line="360" w:lineRule="auto"/>
        <w:ind w:firstLine="482" w:firstLineChars="200"/>
        <w:jc w:val="left"/>
        <w:rPr>
          <w:rFonts w:hint="eastAsia" w:ascii="宋体" w:hAnsi="宋体" w:eastAsia="宋体" w:cs="宋体"/>
          <w:b/>
          <w:bCs/>
          <w:color w:val="auto"/>
          <w:sz w:val="24"/>
          <w:highlight w:val="none"/>
          <w:lang w:val="en-US" w:eastAsia="zh-CN"/>
        </w:rPr>
      </w:pPr>
      <w:bookmarkStart w:id="101" w:name="_Toc18389"/>
      <w:bookmarkStart w:id="102" w:name="_Toc7758"/>
      <w:bookmarkStart w:id="103" w:name="_Toc1879"/>
      <w:bookmarkStart w:id="104" w:name="_Toc2953"/>
      <w:bookmarkStart w:id="105" w:name="_Toc32506"/>
      <w:bookmarkStart w:id="106" w:name="_Toc31143"/>
      <w:bookmarkStart w:id="107" w:name="_Toc23740"/>
      <w:bookmarkStart w:id="108" w:name="_Toc20339"/>
      <w:bookmarkStart w:id="109" w:name="_Toc9069"/>
      <w:bookmarkStart w:id="110" w:name="_Toc17619"/>
      <w:bookmarkStart w:id="111" w:name="_Toc183"/>
      <w:bookmarkStart w:id="112" w:name="_Toc25478"/>
      <w:bookmarkStart w:id="113" w:name="_Toc25764"/>
      <w:bookmarkStart w:id="114" w:name="_Toc5626"/>
      <w:bookmarkStart w:id="115" w:name="_Toc1799"/>
      <w:bookmarkStart w:id="116" w:name="_Toc9026"/>
      <w:bookmarkStart w:id="117" w:name="_Toc22810"/>
      <w:bookmarkStart w:id="118" w:name="_Toc874"/>
      <w:bookmarkStart w:id="119" w:name="_Toc8111"/>
      <w:bookmarkStart w:id="120" w:name="_Toc24501"/>
      <w:r>
        <w:rPr>
          <w:rFonts w:hint="eastAsia" w:ascii="宋体" w:hAnsi="宋体" w:eastAsia="宋体" w:cs="宋体"/>
          <w:b/>
          <w:bCs/>
          <w:color w:val="auto"/>
          <w:sz w:val="24"/>
          <w:highlight w:val="none"/>
          <w:lang w:val="en-US" w:eastAsia="zh-CN"/>
        </w:rPr>
        <w:t>6.8 中标候选人履约能力审查</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D888D1D">
      <w:pPr>
        <w:wordWrap w:val="0"/>
        <w:topLinePunct/>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en-US"/>
        </w:rPr>
        <w:t>中标候选人的经营、财务状况发生较大变化或存在违法行为，招标人认为可能影响其履约能力的，将在发出中标通知书前提请原评标委员会按照招标文件规定的标准和方法进行审查确认。</w:t>
      </w:r>
    </w:p>
    <w:p w14:paraId="7BEB1B64">
      <w:pPr>
        <w:wordWrap w:val="0"/>
        <w:topLinePunct/>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定标与合同授予</w:t>
      </w:r>
      <w:bookmarkEnd w:id="95"/>
      <w:bookmarkEnd w:id="96"/>
      <w:bookmarkEnd w:id="97"/>
      <w:bookmarkEnd w:id="98"/>
      <w:bookmarkEnd w:id="99"/>
      <w:bookmarkEnd w:id="100"/>
    </w:p>
    <w:p w14:paraId="6005CE72">
      <w:pPr>
        <w:wordWrap w:val="0"/>
        <w:topLinePunct/>
        <w:spacing w:line="360" w:lineRule="auto"/>
        <w:ind w:firstLine="482" w:firstLineChars="200"/>
        <w:jc w:val="left"/>
        <w:rPr>
          <w:rFonts w:hint="eastAsia" w:ascii="宋体" w:hAnsi="宋体" w:eastAsia="宋体" w:cs="宋体"/>
          <w:b/>
          <w:bCs/>
          <w:color w:val="auto"/>
          <w:sz w:val="24"/>
          <w:highlight w:val="none"/>
        </w:rPr>
      </w:pPr>
      <w:bookmarkStart w:id="121" w:name="_Toc516822644"/>
      <w:bookmarkStart w:id="122" w:name="_Toc26942"/>
      <w:bookmarkStart w:id="123" w:name="_Toc22019"/>
      <w:bookmarkStart w:id="124" w:name="_Toc8403"/>
      <w:r>
        <w:rPr>
          <w:rFonts w:hint="eastAsia" w:ascii="宋体" w:hAnsi="宋体" w:eastAsia="宋体" w:cs="宋体"/>
          <w:b/>
          <w:bCs/>
          <w:color w:val="auto"/>
          <w:sz w:val="24"/>
          <w:highlight w:val="none"/>
        </w:rPr>
        <w:t>7.1定标委员会</w:t>
      </w:r>
    </w:p>
    <w:p w14:paraId="623480B6">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1.1定标</w:t>
      </w:r>
      <w:r>
        <w:rPr>
          <w:rFonts w:hint="eastAsia" w:ascii="宋体" w:hAnsi="宋体" w:eastAsia="宋体" w:cs="宋体"/>
          <w:color w:val="auto"/>
          <w:szCs w:val="21"/>
          <w:highlight w:val="none"/>
        </w:rPr>
        <w:t>委员会按照第</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章“</w:t>
      </w:r>
      <w:r>
        <w:rPr>
          <w:rFonts w:hint="eastAsia" w:ascii="宋体" w:hAnsi="宋体" w:cs="宋体"/>
          <w:color w:val="auto"/>
          <w:szCs w:val="21"/>
          <w:highlight w:val="none"/>
          <w:lang w:val="en-US" w:eastAsia="zh-CN"/>
        </w:rPr>
        <w:t>定标</w:t>
      </w:r>
      <w:r>
        <w:rPr>
          <w:rFonts w:hint="eastAsia" w:ascii="宋体" w:hAnsi="宋体" w:eastAsia="宋体" w:cs="宋体"/>
          <w:color w:val="auto"/>
          <w:szCs w:val="21"/>
          <w:highlight w:val="none"/>
        </w:rPr>
        <w:t>办法”规定的</w:t>
      </w:r>
      <w:r>
        <w:rPr>
          <w:rFonts w:hint="eastAsia" w:ascii="宋体" w:hAnsi="宋体" w:cs="宋体"/>
          <w:color w:val="auto"/>
          <w:szCs w:val="21"/>
          <w:highlight w:val="none"/>
          <w:lang w:val="en-US" w:eastAsia="zh-CN"/>
        </w:rPr>
        <w:t>核查标准和</w:t>
      </w:r>
      <w:r>
        <w:rPr>
          <w:rFonts w:hint="eastAsia" w:ascii="宋体" w:hAnsi="宋体" w:eastAsia="宋体" w:cs="宋体"/>
          <w:color w:val="auto"/>
          <w:szCs w:val="21"/>
          <w:highlight w:val="none"/>
        </w:rPr>
        <w:t>方法</w:t>
      </w:r>
      <w:r>
        <w:rPr>
          <w:rFonts w:hint="eastAsia" w:ascii="宋体" w:hAnsi="宋体" w:cs="宋体"/>
          <w:color w:val="auto"/>
          <w:szCs w:val="21"/>
          <w:highlight w:val="none"/>
          <w:lang w:val="en-US" w:eastAsia="zh-CN"/>
        </w:rPr>
        <w:t>对中标候选人进行核查，</w:t>
      </w:r>
      <w:r>
        <w:rPr>
          <w:rFonts w:hint="eastAsia" w:ascii="宋体" w:hAnsi="宋体" w:eastAsia="宋体" w:cs="宋体"/>
          <w:color w:val="auto"/>
          <w:szCs w:val="21"/>
          <w:highlight w:val="none"/>
        </w:rPr>
        <w:t>按照第</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章“</w:t>
      </w:r>
      <w:r>
        <w:rPr>
          <w:rFonts w:hint="eastAsia" w:ascii="宋体" w:hAnsi="宋体" w:cs="宋体"/>
          <w:color w:val="auto"/>
          <w:szCs w:val="21"/>
          <w:highlight w:val="none"/>
          <w:lang w:val="en-US" w:eastAsia="zh-CN"/>
        </w:rPr>
        <w:t>定标</w:t>
      </w:r>
      <w:r>
        <w:rPr>
          <w:rFonts w:hint="eastAsia" w:ascii="宋体" w:hAnsi="宋体" w:eastAsia="宋体" w:cs="宋体"/>
          <w:color w:val="auto"/>
          <w:szCs w:val="21"/>
          <w:highlight w:val="none"/>
        </w:rPr>
        <w:t>办法”规定的</w:t>
      </w:r>
      <w:r>
        <w:rPr>
          <w:rFonts w:hint="eastAsia" w:ascii="宋体" w:hAnsi="宋体" w:cs="宋体"/>
          <w:color w:val="auto"/>
          <w:szCs w:val="21"/>
          <w:highlight w:val="none"/>
          <w:lang w:val="en-US" w:eastAsia="zh-CN"/>
        </w:rPr>
        <w:t>定标原则、方法和程序进行定标。</w:t>
      </w: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章“</w:t>
      </w:r>
      <w:r>
        <w:rPr>
          <w:rFonts w:hint="eastAsia" w:ascii="宋体" w:hAnsi="宋体" w:cs="宋体"/>
          <w:color w:val="auto"/>
          <w:szCs w:val="21"/>
          <w:highlight w:val="none"/>
          <w:lang w:val="en-US" w:eastAsia="zh-CN"/>
        </w:rPr>
        <w:t>定标</w:t>
      </w:r>
      <w:r>
        <w:rPr>
          <w:rFonts w:hint="eastAsia" w:ascii="宋体" w:hAnsi="宋体" w:eastAsia="宋体" w:cs="宋体"/>
          <w:color w:val="auto"/>
          <w:szCs w:val="21"/>
          <w:highlight w:val="none"/>
        </w:rPr>
        <w:t>办法”没有</w:t>
      </w:r>
      <w:r>
        <w:rPr>
          <w:rFonts w:hint="eastAsia" w:ascii="宋体" w:hAnsi="宋体" w:cs="宋体"/>
          <w:color w:val="auto"/>
          <w:szCs w:val="21"/>
          <w:highlight w:val="none"/>
          <w:lang w:val="en-US" w:eastAsia="zh-CN"/>
        </w:rPr>
        <w:t>规定的标准、</w:t>
      </w:r>
      <w:r>
        <w:rPr>
          <w:rFonts w:hint="eastAsia" w:ascii="宋体" w:hAnsi="宋体" w:eastAsia="宋体" w:cs="宋体"/>
          <w:color w:val="auto"/>
          <w:szCs w:val="21"/>
          <w:highlight w:val="none"/>
        </w:rPr>
        <w:t>方法、</w:t>
      </w:r>
      <w:r>
        <w:rPr>
          <w:rFonts w:hint="eastAsia" w:ascii="宋体" w:hAnsi="宋体" w:cs="宋体"/>
          <w:color w:val="auto"/>
          <w:szCs w:val="21"/>
          <w:highlight w:val="none"/>
          <w:lang w:val="en-US" w:eastAsia="zh-CN"/>
        </w:rPr>
        <w:t>原则</w:t>
      </w:r>
      <w:r>
        <w:rPr>
          <w:rFonts w:hint="eastAsia" w:ascii="宋体" w:hAnsi="宋体" w:eastAsia="宋体" w:cs="宋体"/>
          <w:color w:val="auto"/>
          <w:szCs w:val="21"/>
          <w:highlight w:val="none"/>
        </w:rPr>
        <w:t>和</w:t>
      </w:r>
      <w:r>
        <w:rPr>
          <w:rFonts w:hint="eastAsia" w:ascii="宋体" w:hAnsi="宋体" w:cs="宋体"/>
          <w:color w:val="auto"/>
          <w:szCs w:val="21"/>
          <w:highlight w:val="none"/>
          <w:lang w:val="en-US" w:eastAsia="zh-CN"/>
        </w:rPr>
        <w:t>程序</w:t>
      </w:r>
      <w:r>
        <w:rPr>
          <w:rFonts w:hint="eastAsia" w:ascii="宋体" w:hAnsi="宋体" w:eastAsia="宋体" w:cs="宋体"/>
          <w:color w:val="auto"/>
          <w:szCs w:val="21"/>
          <w:highlight w:val="none"/>
        </w:rPr>
        <w:t>，不作为</w:t>
      </w:r>
      <w:r>
        <w:rPr>
          <w:rFonts w:hint="eastAsia" w:ascii="宋体" w:hAnsi="宋体" w:cs="宋体"/>
          <w:color w:val="auto"/>
          <w:szCs w:val="21"/>
          <w:highlight w:val="none"/>
          <w:lang w:val="en-US" w:eastAsia="zh-CN"/>
        </w:rPr>
        <w:t>核查及定标</w:t>
      </w:r>
      <w:r>
        <w:rPr>
          <w:rFonts w:hint="eastAsia" w:ascii="宋体" w:hAnsi="宋体" w:eastAsia="宋体" w:cs="宋体"/>
          <w:color w:val="auto"/>
          <w:szCs w:val="21"/>
          <w:highlight w:val="none"/>
        </w:rPr>
        <w:t>依据。</w:t>
      </w:r>
    </w:p>
    <w:p w14:paraId="25A8BFE8">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7.1.2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p w14:paraId="4C0141D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1.3定标</w:t>
      </w:r>
      <w:r>
        <w:rPr>
          <w:rFonts w:hint="eastAsia" w:ascii="宋体" w:hAnsi="宋体" w:eastAsia="宋体" w:cs="宋体"/>
          <w:color w:val="auto"/>
          <w:szCs w:val="21"/>
          <w:highlight w:val="none"/>
        </w:rPr>
        <w:t>完成后，</w:t>
      </w:r>
      <w:r>
        <w:rPr>
          <w:rFonts w:hint="eastAsia" w:ascii="宋体" w:hAnsi="宋体" w:cs="宋体"/>
          <w:color w:val="auto"/>
          <w:szCs w:val="21"/>
          <w:highlight w:val="none"/>
          <w:lang w:val="en-US" w:eastAsia="zh-CN"/>
        </w:rPr>
        <w:t>定标</w:t>
      </w:r>
      <w:r>
        <w:rPr>
          <w:rFonts w:hint="eastAsia" w:ascii="宋体" w:hAnsi="宋体" w:eastAsia="宋体" w:cs="宋体"/>
          <w:color w:val="auto"/>
          <w:szCs w:val="21"/>
          <w:highlight w:val="none"/>
        </w:rPr>
        <w:t>委员会应当</w:t>
      </w:r>
      <w:r>
        <w:rPr>
          <w:rFonts w:hint="eastAsia" w:ascii="宋体" w:hAnsi="宋体" w:cs="宋体"/>
          <w:color w:val="auto"/>
          <w:szCs w:val="21"/>
          <w:highlight w:val="none"/>
          <w:lang w:val="en-US" w:eastAsia="zh-CN"/>
        </w:rPr>
        <w:t>形成</w:t>
      </w:r>
      <w:r>
        <w:rPr>
          <w:rFonts w:hint="eastAsia" w:ascii="宋体" w:hAnsi="宋体" w:eastAsia="宋体" w:cs="宋体"/>
          <w:color w:val="auto"/>
          <w:szCs w:val="21"/>
          <w:highlight w:val="none"/>
        </w:rPr>
        <w:t>书面</w:t>
      </w:r>
      <w:r>
        <w:rPr>
          <w:rFonts w:hint="eastAsia" w:ascii="宋体" w:hAnsi="宋体" w:cs="宋体"/>
          <w:color w:val="auto"/>
          <w:szCs w:val="21"/>
          <w:highlight w:val="none"/>
          <w:lang w:val="en-US" w:eastAsia="zh-CN"/>
        </w:rPr>
        <w:t>定标</w:t>
      </w:r>
      <w:r>
        <w:rPr>
          <w:rFonts w:hint="eastAsia" w:ascii="宋体" w:hAnsi="宋体" w:eastAsia="宋体" w:cs="宋体"/>
          <w:color w:val="auto"/>
          <w:szCs w:val="21"/>
          <w:highlight w:val="none"/>
        </w:rPr>
        <w:t>报告</w:t>
      </w:r>
      <w:r>
        <w:rPr>
          <w:rFonts w:hint="eastAsia" w:ascii="宋体" w:hAnsi="宋体" w:cs="宋体"/>
          <w:color w:val="auto"/>
          <w:szCs w:val="21"/>
          <w:highlight w:val="none"/>
          <w:lang w:val="en-US" w:eastAsia="zh-CN"/>
        </w:rPr>
        <w:t>并</w:t>
      </w:r>
      <w:r>
        <w:rPr>
          <w:rFonts w:hint="eastAsia" w:ascii="宋体" w:hAnsi="宋体" w:eastAsia="宋体" w:cs="宋体"/>
          <w:color w:val="auto"/>
          <w:szCs w:val="21"/>
          <w:highlight w:val="none"/>
        </w:rPr>
        <w:t>对所出具的定标报告承担责任。</w:t>
      </w:r>
    </w:p>
    <w:p w14:paraId="5C769BCE">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7.1.4对中标人放弃中标、不可抗力不能履行合同、不按照招标文件要求缴纳履约保证金、不符合投标或中标条件、被查实存在影响中标结果的违法行为等情形，招标人可以由原定标委员会在调整后的中标候选人中重新确定中标人，也可以重新组织招标。对中标人以非正当理由放弃中标或被依法依规取消中标资格的，招标人应当向有关行政监督部门报告。</w:t>
      </w:r>
    </w:p>
    <w:p w14:paraId="642F1B8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7.2核查办法</w:t>
      </w:r>
    </w:p>
    <w:p w14:paraId="289EACE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7.2.1 核查内容：详见第四章“定标办法”。</w:t>
      </w:r>
    </w:p>
    <w:p w14:paraId="52DA2E6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7.2.2 核查方式：详见第四章“定标办法”。</w:t>
      </w:r>
    </w:p>
    <w:p w14:paraId="20C47E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7.2.3 核查应在定标会议前进行，第四章“定标办法”没有规定的核查方法、内容，不作为定标依据。</w:t>
      </w:r>
    </w:p>
    <w:p w14:paraId="545AF1A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7.2.4核查应形成核查报告。核查报告在定标会议前应保密。</w:t>
      </w:r>
    </w:p>
    <w:p w14:paraId="6213287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7.3定标办法</w:t>
      </w:r>
    </w:p>
    <w:p w14:paraId="2B5D629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7.3.1定标方法具体见投标须知前附表。</w:t>
      </w:r>
    </w:p>
    <w:p w14:paraId="7B72792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7.3.2定标委员会按照第四章“定标办法”规定的方法、规则、标准和程序在中标候选人中定标，确定中标人。第四章“定标办法”没有规定的方法、规则、标准，不作为定标依据。</w:t>
      </w:r>
    </w:p>
    <w:p w14:paraId="03EC04A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7.4中标结果公告</w:t>
      </w:r>
    </w:p>
    <w:p w14:paraId="12F44DD6">
      <w:pPr>
        <w:pStyle w:val="78"/>
        <w:numPr>
          <w:ilvl w:val="1"/>
          <w:numId w:val="0"/>
        </w:numPr>
        <w:tabs>
          <w:tab w:val="left" w:pos="649"/>
        </w:tabs>
        <w:spacing w:line="360" w:lineRule="auto"/>
        <w:ind w:firstLine="420" w:firstLineChars="200"/>
        <w:outlineLvl w:val="2"/>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highlight w:val="none"/>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对中标结果公示有异议的，应当在公示期内向招标人提出。</w:t>
      </w:r>
    </w:p>
    <w:p w14:paraId="1794611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7.5中标通知</w:t>
      </w:r>
    </w:p>
    <w:p w14:paraId="18D3B2C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在本章第3.3款规定的投标有效期内，招标人向中标人发出中标通知书，同时将中标结果通知未中标的投标人。</w:t>
      </w:r>
    </w:p>
    <w:p w14:paraId="5A94237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7.6履约担保</w:t>
      </w:r>
    </w:p>
    <w:p w14:paraId="6379BA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详见投标人须知前附表</w:t>
      </w:r>
    </w:p>
    <w:p w14:paraId="45776F3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7.7签订合同</w:t>
      </w:r>
    </w:p>
    <w:p w14:paraId="41D234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7.7.1招标人和中标人应当自中标通知书发出之日起30天内，根据招标文件和中标人的投标文件订立书面合同并由中标人上传交易系统中。中标人无正当理由拒签合同的，招标人取消其中标资格。</w:t>
      </w:r>
    </w:p>
    <w:p w14:paraId="3D7833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7.7.2发出中标通知书后，招标人无正当理由拒签合同的，给中标人造成损失的，还应当赔偿损失。</w:t>
      </w:r>
    </w:p>
    <w:p w14:paraId="1448CE1D">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125" w:name="_Toc4519"/>
      <w:bookmarkStart w:id="126" w:name="_Toc26279"/>
      <w:r>
        <w:rPr>
          <w:rFonts w:hint="eastAsia" w:ascii="宋体" w:hAnsi="宋体" w:cs="宋体"/>
          <w:b/>
          <w:bCs/>
          <w:color w:val="auto"/>
          <w:sz w:val="24"/>
          <w:highlight w:val="none"/>
        </w:rPr>
        <w:t>8. 重新招标和不再招标</w:t>
      </w:r>
      <w:bookmarkEnd w:id="121"/>
      <w:bookmarkEnd w:id="122"/>
      <w:bookmarkEnd w:id="123"/>
      <w:bookmarkEnd w:id="124"/>
      <w:bookmarkEnd w:id="125"/>
      <w:bookmarkEnd w:id="126"/>
    </w:p>
    <w:p w14:paraId="46E3901F">
      <w:pPr>
        <w:wordWrap w:val="0"/>
        <w:topLinePunct/>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8.1 重新招标</w:t>
      </w:r>
    </w:p>
    <w:p w14:paraId="15F2511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有下列情形之一的，招标人将重新招标：</w:t>
      </w:r>
    </w:p>
    <w:p w14:paraId="13381239">
      <w:pPr>
        <w:pageBreakBefore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01962506">
      <w:pPr>
        <w:pageBreakBefore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cs="宋体"/>
          <w:color w:val="auto"/>
          <w:highlight w:val="none"/>
          <w:lang w:eastAsia="zh-CN"/>
        </w:rPr>
      </w:pPr>
      <w:r>
        <w:rPr>
          <w:rFonts w:hint="eastAsia" w:ascii="宋体" w:hAnsi="宋体" w:cs="宋体"/>
          <w:color w:val="auto"/>
          <w:highlight w:val="none"/>
        </w:rPr>
        <w:t>（2）经评标委员会评审后否决所有投标的</w:t>
      </w:r>
      <w:r>
        <w:rPr>
          <w:rFonts w:hint="eastAsia" w:ascii="宋体" w:hAnsi="宋体" w:cs="宋体"/>
          <w:color w:val="auto"/>
          <w:highlight w:val="none"/>
          <w:lang w:eastAsia="zh-CN"/>
        </w:rPr>
        <w:t>；</w:t>
      </w:r>
    </w:p>
    <w:p w14:paraId="176D8D89">
      <w:pPr>
        <w:pageBreakBefore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szCs w:val="21"/>
          <w:highlight w:val="none"/>
          <w:lang w:val="en-US" w:eastAsia="zh-CN"/>
        </w:rPr>
        <w:t>通过初步评审的投标人少于</w:t>
      </w:r>
      <w:r>
        <w:rPr>
          <w:rFonts w:hint="eastAsia" w:ascii="宋体" w:hAnsi="宋体" w:eastAsia="宋体" w:cs="宋体"/>
          <w:color w:val="auto"/>
          <w:szCs w:val="21"/>
          <w:highlight w:val="none"/>
        </w:rPr>
        <w:t>3个</w:t>
      </w:r>
      <w:r>
        <w:rPr>
          <w:rFonts w:hint="eastAsia" w:ascii="宋体" w:hAnsi="宋体" w:cs="宋体"/>
          <w:color w:val="auto"/>
          <w:szCs w:val="21"/>
          <w:highlight w:val="none"/>
          <w:lang w:val="en-US" w:eastAsia="zh-CN"/>
        </w:rPr>
        <w:t>的。</w:t>
      </w:r>
    </w:p>
    <w:p w14:paraId="5274C469">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不再招标</w:t>
      </w:r>
    </w:p>
    <w:p w14:paraId="72178700">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重新招标后投标人仍少于3个或者所有投标被否决的，属于必须审批或核准的工程建设项目，经原审批或核准部门批准后不再进行招标。</w:t>
      </w:r>
    </w:p>
    <w:p w14:paraId="6B4EC67B">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127" w:name="_Toc29512"/>
      <w:bookmarkStart w:id="128" w:name="_Toc3441"/>
      <w:bookmarkStart w:id="129" w:name="_Toc27007"/>
      <w:bookmarkStart w:id="130" w:name="_Toc516822645"/>
      <w:bookmarkStart w:id="131" w:name="_Toc27407"/>
      <w:bookmarkStart w:id="132" w:name="_Toc21337"/>
      <w:r>
        <w:rPr>
          <w:rFonts w:hint="eastAsia" w:ascii="宋体" w:hAnsi="宋体" w:cs="宋体"/>
          <w:b/>
          <w:bCs/>
          <w:color w:val="auto"/>
          <w:sz w:val="24"/>
          <w:highlight w:val="none"/>
        </w:rPr>
        <w:t>9. 纪律和监督</w:t>
      </w:r>
      <w:bookmarkEnd w:id="127"/>
      <w:bookmarkEnd w:id="128"/>
      <w:bookmarkEnd w:id="129"/>
      <w:bookmarkEnd w:id="130"/>
      <w:bookmarkEnd w:id="131"/>
      <w:bookmarkEnd w:id="132"/>
    </w:p>
    <w:p w14:paraId="11EEA03D">
      <w:pPr>
        <w:wordWrap w:val="0"/>
        <w:topLinePunct/>
        <w:spacing w:line="360" w:lineRule="auto"/>
        <w:ind w:firstLine="482" w:firstLineChars="200"/>
        <w:jc w:val="left"/>
        <w:rPr>
          <w:rFonts w:hint="eastAsia" w:ascii="宋体" w:hAnsi="宋体" w:cs="宋体"/>
          <w:b/>
          <w:bCs/>
          <w:color w:val="auto"/>
          <w:sz w:val="24"/>
          <w:highlight w:val="none"/>
        </w:rPr>
      </w:pPr>
      <w:bookmarkStart w:id="133" w:name="_Toc5750"/>
      <w:r>
        <w:rPr>
          <w:rFonts w:hint="eastAsia" w:ascii="宋体" w:hAnsi="宋体" w:cs="宋体"/>
          <w:b/>
          <w:bCs/>
          <w:color w:val="auto"/>
          <w:sz w:val="24"/>
          <w:highlight w:val="none"/>
        </w:rPr>
        <w:t>9.1 对招标人的纪律要求</w:t>
      </w:r>
      <w:bookmarkEnd w:id="133"/>
    </w:p>
    <w:p w14:paraId="3CBF00C3">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招标人不得泄露招标投标活动中应当保密的情况和资料，不得与投标人串通损害国家利益、社会公共利益或者他人合法权益。</w:t>
      </w:r>
    </w:p>
    <w:p w14:paraId="1198955E">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对投标人的纪律要求</w:t>
      </w:r>
    </w:p>
    <w:p w14:paraId="2A92EA5B">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DD776EC">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对评标委员会成员的纪律要求</w:t>
      </w:r>
    </w:p>
    <w:p w14:paraId="0C1D20BE">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4A8F88E">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对与评标活动有关的工作人员的纪律要求</w:t>
      </w:r>
    </w:p>
    <w:p w14:paraId="2E7993A3">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6453838">
      <w:pPr>
        <w:pStyle w:val="11"/>
        <w:wordWrap w:val="0"/>
        <w:topLinePunct/>
        <w:spacing w:before="0" w:after="0"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投诉</w:t>
      </w:r>
    </w:p>
    <w:p w14:paraId="65B7C295">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77234ECB">
      <w:pPr>
        <w:wordWrap w:val="0"/>
        <w:topLinePunct/>
        <w:spacing w:line="360" w:lineRule="auto"/>
        <w:ind w:firstLine="482" w:firstLineChars="200"/>
        <w:jc w:val="left"/>
        <w:outlineLvl w:val="1"/>
        <w:rPr>
          <w:rFonts w:hint="eastAsia" w:ascii="宋体" w:hAnsi="宋体" w:cs="宋体"/>
          <w:b/>
          <w:bCs/>
          <w:color w:val="auto"/>
          <w:sz w:val="24"/>
          <w:highlight w:val="none"/>
        </w:rPr>
      </w:pPr>
      <w:bookmarkStart w:id="134" w:name="_Toc15496"/>
      <w:bookmarkStart w:id="135" w:name="_Toc17555"/>
      <w:bookmarkStart w:id="136" w:name="_Toc7436"/>
      <w:bookmarkStart w:id="137" w:name="_Toc1939"/>
      <w:bookmarkStart w:id="138" w:name="_Toc6078"/>
      <w:bookmarkStart w:id="139" w:name="_Toc516822646"/>
      <w:r>
        <w:rPr>
          <w:rFonts w:hint="eastAsia" w:ascii="宋体" w:hAnsi="宋体" w:cs="宋体"/>
          <w:b/>
          <w:bCs/>
          <w:color w:val="auto"/>
          <w:sz w:val="24"/>
          <w:highlight w:val="none"/>
        </w:rPr>
        <w:t>10. 需要补充的其他内容</w:t>
      </w:r>
      <w:bookmarkEnd w:id="134"/>
      <w:bookmarkEnd w:id="135"/>
      <w:bookmarkEnd w:id="136"/>
      <w:bookmarkEnd w:id="137"/>
      <w:bookmarkEnd w:id="138"/>
      <w:bookmarkEnd w:id="139"/>
    </w:p>
    <w:p w14:paraId="54FD584F">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08577B8A">
      <w:pPr>
        <w:rPr>
          <w:rFonts w:hint="eastAsia" w:ascii="宋体" w:hAnsi="宋体" w:cs="宋体"/>
          <w:color w:val="auto"/>
          <w:highlight w:val="none"/>
        </w:rPr>
      </w:pPr>
      <w:r>
        <w:rPr>
          <w:rFonts w:hint="eastAsia" w:ascii="宋体" w:hAnsi="宋体" w:cs="宋体"/>
          <w:color w:val="auto"/>
          <w:highlight w:val="none"/>
        </w:rPr>
        <w:br w:type="page"/>
      </w:r>
    </w:p>
    <w:bookmarkEnd w:id="48"/>
    <w:p w14:paraId="2DE01379">
      <w:pPr>
        <w:wordWrap w:val="0"/>
        <w:topLinePunct/>
        <w:spacing w:line="360" w:lineRule="auto"/>
        <w:jc w:val="center"/>
        <w:outlineLvl w:val="0"/>
        <w:rPr>
          <w:rFonts w:hint="eastAsia" w:ascii="宋体" w:hAnsi="宋体" w:cs="宋体"/>
          <w:color w:val="auto"/>
          <w:sz w:val="36"/>
          <w:szCs w:val="36"/>
          <w:highlight w:val="none"/>
        </w:rPr>
      </w:pPr>
      <w:bookmarkStart w:id="140" w:name="_Toc20996"/>
      <w:bookmarkStart w:id="141" w:name="_Toc18024"/>
      <w:bookmarkStart w:id="142" w:name="_Toc8258"/>
      <w:bookmarkStart w:id="143" w:name="_Toc1872"/>
      <w:bookmarkStart w:id="144" w:name="_Toc2379"/>
      <w:bookmarkStart w:id="145" w:name="_Toc152045609"/>
      <w:bookmarkStart w:id="146" w:name="_Toc247527634"/>
      <w:bookmarkStart w:id="147" w:name="_Toc247514033"/>
      <w:bookmarkStart w:id="148" w:name="_Toc152042387"/>
      <w:bookmarkStart w:id="149" w:name="_Toc144974577"/>
      <w:r>
        <w:rPr>
          <w:rFonts w:hint="eastAsia" w:ascii="宋体" w:hAnsi="宋体" w:cs="宋体"/>
          <w:b/>
          <w:bCs/>
          <w:color w:val="auto"/>
          <w:sz w:val="36"/>
          <w:szCs w:val="36"/>
          <w:highlight w:val="none"/>
        </w:rPr>
        <w:t>第三章  评标办法</w:t>
      </w:r>
      <w:bookmarkEnd w:id="140"/>
      <w:bookmarkEnd w:id="141"/>
      <w:bookmarkEnd w:id="142"/>
      <w:bookmarkEnd w:id="143"/>
      <w:bookmarkStart w:id="150" w:name="_Toc247527624"/>
      <w:bookmarkStart w:id="151" w:name="_Toc152042376"/>
      <w:bookmarkStart w:id="152" w:name="_Toc247514023"/>
      <w:bookmarkStart w:id="153" w:name="_Toc144974566"/>
      <w:bookmarkStart w:id="154" w:name="_Toc152045599"/>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合格制+综合评审</w:t>
      </w:r>
      <w:r>
        <w:rPr>
          <w:rFonts w:hint="eastAsia" w:ascii="宋体" w:hAnsi="宋体" w:cs="宋体"/>
          <w:b/>
          <w:bCs/>
          <w:color w:val="auto"/>
          <w:sz w:val="36"/>
          <w:szCs w:val="36"/>
          <w:highlight w:val="none"/>
        </w:rPr>
        <w:t>）</w:t>
      </w:r>
      <w:bookmarkEnd w:id="144"/>
    </w:p>
    <w:bookmarkEnd w:id="150"/>
    <w:bookmarkEnd w:id="151"/>
    <w:bookmarkEnd w:id="152"/>
    <w:bookmarkEnd w:id="153"/>
    <w:bookmarkEnd w:id="154"/>
    <w:p w14:paraId="2D5B4345">
      <w:pPr>
        <w:wordWrap w:val="0"/>
        <w:topLinePunct/>
        <w:spacing w:line="360" w:lineRule="auto"/>
        <w:jc w:val="center"/>
        <w:outlineLvl w:val="1"/>
        <w:rPr>
          <w:rFonts w:hint="eastAsia" w:ascii="宋体" w:hAnsi="宋体" w:cs="宋体"/>
          <w:b/>
          <w:bCs/>
          <w:color w:val="auto"/>
          <w:sz w:val="32"/>
          <w:szCs w:val="32"/>
          <w:highlight w:val="none"/>
        </w:rPr>
      </w:pPr>
      <w:bookmarkStart w:id="155" w:name="_Toc23257"/>
      <w:bookmarkStart w:id="156" w:name="_Toc17677"/>
      <w:bookmarkStart w:id="157" w:name="_Toc15150"/>
      <w:bookmarkStart w:id="158" w:name="_Toc1966"/>
      <w:bookmarkStart w:id="159" w:name="_Toc32242"/>
      <w:bookmarkStart w:id="160" w:name="_Toc23135"/>
      <w:bookmarkStart w:id="161" w:name="_Toc9113"/>
      <w:r>
        <w:rPr>
          <w:rFonts w:hint="eastAsia" w:ascii="宋体" w:hAnsi="宋体" w:cs="宋体"/>
          <w:b/>
          <w:bCs/>
          <w:color w:val="auto"/>
          <w:sz w:val="32"/>
          <w:szCs w:val="32"/>
          <w:highlight w:val="none"/>
        </w:rPr>
        <w:t>评标办法前附表</w:t>
      </w:r>
      <w:bookmarkEnd w:id="155"/>
      <w:bookmarkEnd w:id="156"/>
      <w:bookmarkEnd w:id="157"/>
      <w:bookmarkEnd w:id="158"/>
      <w:bookmarkEnd w:id="159"/>
      <w:bookmarkEnd w:id="160"/>
      <w:bookmarkEnd w:id="161"/>
    </w:p>
    <w:tbl>
      <w:tblPr>
        <w:tblStyle w:val="2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089"/>
        <w:gridCol w:w="1167"/>
        <w:gridCol w:w="2097"/>
        <w:gridCol w:w="4141"/>
      </w:tblGrid>
      <w:tr w14:paraId="5D44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2" w:type="dxa"/>
            <w:gridSpan w:val="2"/>
            <w:vAlign w:val="center"/>
          </w:tcPr>
          <w:p w14:paraId="33CD7444">
            <w:pPr>
              <w:wordWrap w:val="0"/>
              <w:topLinePunct/>
              <w:adjustRightInd w:val="0"/>
              <w:snapToGrid w:val="0"/>
              <w:spacing w:line="400" w:lineRule="exact"/>
              <w:jc w:val="center"/>
              <w:rPr>
                <w:rFonts w:hint="eastAsia" w:ascii="宋体" w:hAnsi="宋体" w:cs="宋体"/>
                <w:b/>
                <w:color w:val="auto"/>
                <w:szCs w:val="21"/>
                <w:highlight w:val="none"/>
              </w:rPr>
            </w:pPr>
            <w:bookmarkStart w:id="162" w:name="_Toc9370"/>
            <w:bookmarkStart w:id="163" w:name="_Toc24431"/>
            <w:bookmarkStart w:id="164" w:name="_Toc514412441"/>
            <w:r>
              <w:rPr>
                <w:rFonts w:hint="eastAsia" w:ascii="宋体" w:hAnsi="宋体" w:cs="宋体"/>
                <w:b/>
                <w:color w:val="auto"/>
                <w:szCs w:val="21"/>
                <w:highlight w:val="none"/>
              </w:rPr>
              <w:t>条款号</w:t>
            </w:r>
          </w:p>
        </w:tc>
        <w:tc>
          <w:tcPr>
            <w:tcW w:w="1167" w:type="dxa"/>
            <w:vAlign w:val="center"/>
          </w:tcPr>
          <w:p w14:paraId="4D65CB3D">
            <w:pPr>
              <w:wordWrap w:val="0"/>
              <w:topLinePunct/>
              <w:adjustRightInd w:val="0"/>
              <w:snapToGrid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6238" w:type="dxa"/>
            <w:gridSpan w:val="2"/>
            <w:vAlign w:val="center"/>
          </w:tcPr>
          <w:p w14:paraId="5ECCCE3E">
            <w:pPr>
              <w:wordWrap w:val="0"/>
              <w:topLinePunct/>
              <w:adjustRightInd w:val="0"/>
              <w:snapToGrid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256F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restart"/>
            <w:vAlign w:val="center"/>
          </w:tcPr>
          <w:p w14:paraId="40AFEBE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89" w:type="dxa"/>
            <w:vMerge w:val="restart"/>
            <w:vAlign w:val="center"/>
          </w:tcPr>
          <w:p w14:paraId="7706AED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1167" w:type="dxa"/>
            <w:vAlign w:val="center"/>
          </w:tcPr>
          <w:p w14:paraId="08FBDCEB">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238" w:type="dxa"/>
            <w:gridSpan w:val="2"/>
            <w:vAlign w:val="center"/>
          </w:tcPr>
          <w:p w14:paraId="4425FC2C">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与营业执照或其他组织证明文件、资质证书一致</w:t>
            </w:r>
            <w:r>
              <w:rPr>
                <w:rFonts w:hint="eastAsia" w:ascii="宋体" w:hAnsi="宋体" w:cs="宋体"/>
                <w:b/>
                <w:bCs/>
                <w:color w:val="auto"/>
                <w:szCs w:val="21"/>
                <w:highlight w:val="none"/>
              </w:rPr>
              <w:t>(提供独立投标人的或联合体各方的证件)</w:t>
            </w:r>
          </w:p>
        </w:tc>
      </w:tr>
      <w:tr w14:paraId="4F5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111F6356">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6147E6A1">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469E7DF2">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投标函签字盖章</w:t>
            </w:r>
          </w:p>
        </w:tc>
        <w:tc>
          <w:tcPr>
            <w:tcW w:w="6238" w:type="dxa"/>
            <w:gridSpan w:val="2"/>
            <w:vAlign w:val="center"/>
          </w:tcPr>
          <w:p w14:paraId="7AA1152B">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有法定代表人或其委托代理人电子签名并加盖单位电子签章</w:t>
            </w:r>
            <w:r>
              <w:rPr>
                <w:rFonts w:hint="eastAsia" w:ascii="宋体" w:hAnsi="宋体" w:cs="宋体"/>
                <w:b/>
                <w:bCs/>
                <w:color w:val="auto"/>
                <w:szCs w:val="21"/>
                <w:highlight w:val="none"/>
              </w:rPr>
              <w:t>（若为联合体投标，由联合体牵头人法定代表人或其委托代理人签字或盖章）</w:t>
            </w:r>
          </w:p>
        </w:tc>
      </w:tr>
      <w:tr w14:paraId="7355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5E820A64">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55CFED0F">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3E3E2AA5">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p>
          <w:p w14:paraId="1A9C5BCB">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格式</w:t>
            </w:r>
          </w:p>
        </w:tc>
        <w:tc>
          <w:tcPr>
            <w:tcW w:w="6238" w:type="dxa"/>
            <w:gridSpan w:val="2"/>
            <w:vAlign w:val="center"/>
          </w:tcPr>
          <w:p w14:paraId="066CBC6C">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符合第八章“投标文件格式”的要求</w:t>
            </w:r>
          </w:p>
        </w:tc>
      </w:tr>
      <w:tr w14:paraId="53F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6C67C85D">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2275DBDB">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5306FB48">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6238" w:type="dxa"/>
            <w:gridSpan w:val="2"/>
            <w:vAlign w:val="center"/>
          </w:tcPr>
          <w:p w14:paraId="4FBB4449">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设计费及</w:t>
            </w:r>
            <w:r>
              <w:rPr>
                <w:rFonts w:hint="eastAsia" w:ascii="宋体" w:hAnsi="宋体" w:cs="宋体"/>
                <w:color w:val="auto"/>
                <w:szCs w:val="21"/>
                <w:highlight w:val="none"/>
                <w:lang w:val="en-US" w:eastAsia="zh-CN"/>
              </w:rPr>
              <w:t>工程费用</w:t>
            </w:r>
            <w:r>
              <w:rPr>
                <w:rFonts w:hint="eastAsia" w:ascii="宋体" w:hAnsi="宋体" w:cs="宋体"/>
                <w:color w:val="auto"/>
                <w:szCs w:val="21"/>
                <w:highlight w:val="none"/>
              </w:rPr>
              <w:t>报价分别只能有一个有效报价</w:t>
            </w:r>
          </w:p>
        </w:tc>
      </w:tr>
      <w:tr w14:paraId="5575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restart"/>
            <w:vAlign w:val="center"/>
          </w:tcPr>
          <w:p w14:paraId="3FCB28E9">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89" w:type="dxa"/>
            <w:vMerge w:val="restart"/>
            <w:vAlign w:val="center"/>
          </w:tcPr>
          <w:p w14:paraId="6710123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1167" w:type="dxa"/>
            <w:vAlign w:val="center"/>
          </w:tcPr>
          <w:p w14:paraId="1A6C40A7">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营业执照或其他组织证明文件</w:t>
            </w:r>
          </w:p>
        </w:tc>
        <w:tc>
          <w:tcPr>
            <w:tcW w:w="6238" w:type="dxa"/>
            <w:gridSpan w:val="2"/>
            <w:vAlign w:val="center"/>
          </w:tcPr>
          <w:p w14:paraId="71FA44C0">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符合第二章“投标人须知前附表”第1.4.1项规定</w:t>
            </w:r>
            <w:r>
              <w:rPr>
                <w:rFonts w:hint="eastAsia" w:ascii="宋体" w:hAnsi="宋体" w:cs="宋体"/>
                <w:b/>
                <w:bCs/>
                <w:color w:val="auto"/>
                <w:szCs w:val="21"/>
                <w:highlight w:val="none"/>
              </w:rPr>
              <w:t>（提供独立投标人的或联合体各方的证件)</w:t>
            </w:r>
          </w:p>
        </w:tc>
      </w:tr>
      <w:tr w14:paraId="5E44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3" w:type="dxa"/>
            <w:vMerge w:val="continue"/>
            <w:vAlign w:val="center"/>
          </w:tcPr>
          <w:p w14:paraId="32C95C9F">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3F947D11">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40CC278E">
            <w:pPr>
              <w:wordWrap w:val="0"/>
              <w:topLinePunct/>
              <w:adjustRightInd w:val="0"/>
              <w:snapToGrid w:val="0"/>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企业资质</w:t>
            </w:r>
          </w:p>
        </w:tc>
        <w:tc>
          <w:tcPr>
            <w:tcW w:w="6238" w:type="dxa"/>
            <w:gridSpan w:val="2"/>
            <w:vAlign w:val="center"/>
          </w:tcPr>
          <w:p w14:paraId="75FC6F23">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符合第二章“投标人须知前附表”第1.4.1项规定</w:t>
            </w:r>
            <w:r>
              <w:rPr>
                <w:rFonts w:hint="eastAsia" w:ascii="宋体" w:hAnsi="宋体" w:cs="宋体"/>
                <w:b/>
                <w:bCs/>
                <w:color w:val="auto"/>
                <w:szCs w:val="21"/>
                <w:highlight w:val="none"/>
              </w:rPr>
              <w:t>（提供独立投标人的或联合体各方的证件)</w:t>
            </w:r>
          </w:p>
        </w:tc>
      </w:tr>
      <w:tr w14:paraId="3C38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3AE920A6">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40B6705B">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55E79E68">
            <w:pPr>
              <w:wordWrap w:val="0"/>
              <w:topLinePunct/>
              <w:adjustRightInd w:val="0"/>
              <w:snapToGrid w:val="0"/>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工程总承包项目经理</w:t>
            </w:r>
          </w:p>
        </w:tc>
        <w:tc>
          <w:tcPr>
            <w:tcW w:w="6238" w:type="dxa"/>
            <w:gridSpan w:val="2"/>
            <w:vAlign w:val="center"/>
          </w:tcPr>
          <w:p w14:paraId="7C2E3045">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符合第二章“投标人须知前附表”第1.4.1项规定</w:t>
            </w:r>
            <w:r>
              <w:rPr>
                <w:rFonts w:hint="eastAsia" w:ascii="宋体" w:hAnsi="宋体" w:cs="宋体"/>
                <w:b/>
                <w:bCs/>
                <w:color w:val="auto"/>
                <w:szCs w:val="21"/>
                <w:highlight w:val="none"/>
              </w:rPr>
              <w:t>（若为联合投标，由联合投标体施工单位提供）</w:t>
            </w:r>
          </w:p>
        </w:tc>
      </w:tr>
      <w:tr w14:paraId="408F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59081711">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4607FA1A">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6B31684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6238" w:type="dxa"/>
            <w:gridSpan w:val="2"/>
            <w:vAlign w:val="center"/>
          </w:tcPr>
          <w:p w14:paraId="58F40E7F">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符合第二章“投标人须知前附表”第1.4.1项规定</w:t>
            </w:r>
            <w:r>
              <w:rPr>
                <w:rFonts w:hint="eastAsia" w:ascii="宋体" w:hAnsi="宋体" w:cs="宋体"/>
                <w:b/>
                <w:bCs/>
                <w:color w:val="auto"/>
                <w:szCs w:val="21"/>
                <w:highlight w:val="none"/>
              </w:rPr>
              <w:t>（若为联合投标，由联合投标体设计单位提供）</w:t>
            </w:r>
          </w:p>
        </w:tc>
      </w:tr>
      <w:tr w14:paraId="02FC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3511C504">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1CDB4748">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4B5A2AD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信誉</w:t>
            </w:r>
          </w:p>
        </w:tc>
        <w:tc>
          <w:tcPr>
            <w:tcW w:w="6238" w:type="dxa"/>
            <w:gridSpan w:val="2"/>
            <w:vAlign w:val="center"/>
          </w:tcPr>
          <w:p w14:paraId="7CAF3731">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符合第二章“投标人须知前附表”第1.4.1项规定</w:t>
            </w:r>
            <w:r>
              <w:rPr>
                <w:rFonts w:hint="eastAsia" w:ascii="宋体" w:hAnsi="宋体" w:cs="宋体"/>
                <w:b/>
                <w:bCs/>
                <w:color w:val="auto"/>
                <w:szCs w:val="21"/>
                <w:highlight w:val="none"/>
              </w:rPr>
              <w:t>（提供独立投标人的或联合体各方的查询结果)</w:t>
            </w:r>
          </w:p>
        </w:tc>
      </w:tr>
      <w:tr w14:paraId="528F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46CBA081">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51691FB3">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6BBF92F6">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财务状况</w:t>
            </w:r>
          </w:p>
        </w:tc>
        <w:tc>
          <w:tcPr>
            <w:tcW w:w="6238" w:type="dxa"/>
            <w:gridSpan w:val="2"/>
            <w:vAlign w:val="center"/>
          </w:tcPr>
          <w:p w14:paraId="4BCC42C0">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符合第二章“投标人须知前附表”第1.4.1项规定</w:t>
            </w:r>
            <w:r>
              <w:rPr>
                <w:rFonts w:hint="eastAsia" w:ascii="宋体" w:hAnsi="宋体" w:cs="宋体"/>
                <w:b/>
                <w:bCs/>
                <w:color w:val="auto"/>
                <w:szCs w:val="21"/>
                <w:highlight w:val="none"/>
              </w:rPr>
              <w:t>（若为联合投标，由联合投标体牵头单位提供）</w:t>
            </w:r>
          </w:p>
        </w:tc>
      </w:tr>
      <w:tr w14:paraId="07C6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34698A78">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64D17D5E">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625622A7">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联合体投标人（如有）</w:t>
            </w:r>
          </w:p>
        </w:tc>
        <w:tc>
          <w:tcPr>
            <w:tcW w:w="6238" w:type="dxa"/>
            <w:gridSpan w:val="2"/>
            <w:vAlign w:val="center"/>
          </w:tcPr>
          <w:p w14:paraId="17C301E2">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36A8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restart"/>
            <w:vAlign w:val="center"/>
          </w:tcPr>
          <w:p w14:paraId="36E9CC8D">
            <w:pPr>
              <w:wordWrap w:val="0"/>
              <w:topLinePunct/>
              <w:adjustRightInd w:val="0"/>
              <w:snapToGrid w:val="0"/>
              <w:spacing w:line="400" w:lineRule="exact"/>
              <w:jc w:val="center"/>
              <w:rPr>
                <w:rFonts w:hint="eastAsia" w:ascii="宋体" w:hAnsi="宋体" w:cs="宋体"/>
                <w:color w:val="auto"/>
                <w:szCs w:val="21"/>
                <w:highlight w:val="none"/>
              </w:rPr>
            </w:pPr>
          </w:p>
          <w:p w14:paraId="1454793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89" w:type="dxa"/>
            <w:vMerge w:val="restart"/>
            <w:vAlign w:val="center"/>
          </w:tcPr>
          <w:p w14:paraId="4D0A4FA5">
            <w:pPr>
              <w:wordWrap w:val="0"/>
              <w:topLinePunct/>
              <w:adjustRightInd w:val="0"/>
              <w:snapToGrid w:val="0"/>
              <w:spacing w:line="400" w:lineRule="exact"/>
              <w:jc w:val="center"/>
              <w:rPr>
                <w:rFonts w:hint="eastAsia" w:ascii="宋体" w:hAnsi="宋体" w:cs="宋体"/>
                <w:color w:val="auto"/>
                <w:szCs w:val="21"/>
                <w:highlight w:val="none"/>
              </w:rPr>
            </w:pPr>
          </w:p>
          <w:p w14:paraId="309674C4">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1167" w:type="dxa"/>
            <w:vAlign w:val="center"/>
          </w:tcPr>
          <w:p w14:paraId="54C2AFAF">
            <w:pPr>
              <w:wordWrap w:val="0"/>
              <w:topLinePunct/>
              <w:spacing w:line="400" w:lineRule="exact"/>
              <w:jc w:val="center"/>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是否存在严重失信主体</w:t>
            </w:r>
          </w:p>
        </w:tc>
        <w:tc>
          <w:tcPr>
            <w:tcW w:w="6238" w:type="dxa"/>
            <w:gridSpan w:val="2"/>
            <w:vAlign w:val="center"/>
          </w:tcPr>
          <w:p w14:paraId="5DCAC512">
            <w:pPr>
              <w:wordWrap w:val="0"/>
              <w:topLinePunct/>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tc>
      </w:tr>
      <w:tr w14:paraId="6FB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42F863DF">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71D33020">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3E8C76C2">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投标范围</w:t>
            </w:r>
          </w:p>
        </w:tc>
        <w:tc>
          <w:tcPr>
            <w:tcW w:w="6238" w:type="dxa"/>
            <w:gridSpan w:val="2"/>
            <w:vAlign w:val="center"/>
          </w:tcPr>
          <w:p w14:paraId="37B241C0">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符合第二章“投标人须知前附表”第1.3.1项规定</w:t>
            </w:r>
          </w:p>
        </w:tc>
      </w:tr>
      <w:tr w14:paraId="163A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65149BAD">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1CBB7262">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56182BA2">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计划工期</w:t>
            </w:r>
          </w:p>
        </w:tc>
        <w:tc>
          <w:tcPr>
            <w:tcW w:w="6238" w:type="dxa"/>
            <w:gridSpan w:val="2"/>
            <w:vAlign w:val="center"/>
          </w:tcPr>
          <w:p w14:paraId="6E6CF6B5">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符合第二章“投标人须知前附表”第1.3.2项规定</w:t>
            </w:r>
          </w:p>
        </w:tc>
      </w:tr>
      <w:tr w14:paraId="074E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0EEC0380">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51D3ACE9">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7D053A73">
            <w:pPr>
              <w:wordWrap w:val="0"/>
              <w:topLinePunct/>
              <w:adjustRightInd w:val="0"/>
              <w:snapToGrid w:val="0"/>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eastAsia="zh-CN"/>
              </w:rPr>
              <w:t>质量要求</w:t>
            </w:r>
          </w:p>
        </w:tc>
        <w:tc>
          <w:tcPr>
            <w:tcW w:w="6238" w:type="dxa"/>
            <w:gridSpan w:val="2"/>
            <w:vAlign w:val="center"/>
          </w:tcPr>
          <w:p w14:paraId="1B7B30F5">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符合第二章“投标人须知前附表”第1.3.3项规定</w:t>
            </w:r>
          </w:p>
        </w:tc>
      </w:tr>
      <w:tr w14:paraId="598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dxa"/>
            <w:vMerge w:val="continue"/>
            <w:vAlign w:val="center"/>
          </w:tcPr>
          <w:p w14:paraId="39EF32C0">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5261E025">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775DA6DF">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38" w:type="dxa"/>
            <w:gridSpan w:val="2"/>
            <w:vAlign w:val="center"/>
          </w:tcPr>
          <w:p w14:paraId="114E2EC7">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符合第二章“投标人须知前附表”第3.3.1项规定</w:t>
            </w:r>
          </w:p>
        </w:tc>
      </w:tr>
      <w:tr w14:paraId="5E55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4008F6BB">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391B69DB">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110B7EEE">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238" w:type="dxa"/>
            <w:gridSpan w:val="2"/>
            <w:vAlign w:val="center"/>
          </w:tcPr>
          <w:p w14:paraId="3B2F2D97">
            <w:pPr>
              <w:wordWrap w:val="0"/>
              <w:topLinePunct/>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低于（含等于）第二章“投标人须知”前附表第10.2款载明的最高投标限价</w:t>
            </w:r>
          </w:p>
        </w:tc>
      </w:tr>
      <w:tr w14:paraId="47EB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Align w:val="center"/>
          </w:tcPr>
          <w:p w14:paraId="51B66786">
            <w:pPr>
              <w:wordWrap w:val="0"/>
              <w:topLinePunct/>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val="0"/>
                <w:bCs w:val="0"/>
                <w:color w:val="auto"/>
                <w:szCs w:val="21"/>
                <w:highlight w:val="none"/>
                <w:lang w:val="en-US" w:eastAsia="zh-CN"/>
              </w:rPr>
              <w:t>2.2</w:t>
            </w:r>
          </w:p>
        </w:tc>
        <w:tc>
          <w:tcPr>
            <w:tcW w:w="1089" w:type="dxa"/>
            <w:vAlign w:val="center"/>
          </w:tcPr>
          <w:p w14:paraId="7487B673">
            <w:pPr>
              <w:wordWrap w:val="0"/>
              <w:topLinePunct/>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val="0"/>
                <w:bCs w:val="0"/>
                <w:color w:val="auto"/>
                <w:szCs w:val="21"/>
                <w:highlight w:val="none"/>
                <w:lang w:val="en-US" w:eastAsia="zh-CN"/>
              </w:rPr>
              <w:t>推荐中标候选人数量</w:t>
            </w:r>
          </w:p>
        </w:tc>
        <w:tc>
          <w:tcPr>
            <w:tcW w:w="7405" w:type="dxa"/>
            <w:gridSpan w:val="3"/>
            <w:vAlign w:val="center"/>
          </w:tcPr>
          <w:p w14:paraId="07EBD77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一、</w:t>
            </w:r>
            <w:r>
              <w:rPr>
                <w:rFonts w:hint="eastAsia" w:asciiTheme="minorEastAsia" w:hAnsiTheme="minorEastAsia" w:eastAsiaTheme="minorEastAsia" w:cstheme="minorEastAsia"/>
                <w:color w:val="auto"/>
                <w:sz w:val="21"/>
                <w:szCs w:val="21"/>
                <w:highlight w:val="none"/>
                <w:lang w:val="en-US" w:eastAsia="zh-CN"/>
              </w:rPr>
              <w:t>初步评审评审，确定有效投标人。通过初步评审（形式、资格、响应性评审）的投标人为</w:t>
            </w:r>
            <w:r>
              <w:rPr>
                <w:rFonts w:hint="eastAsia" w:asciiTheme="minorEastAsia" w:hAnsiTheme="minorEastAsia" w:eastAsiaTheme="minorEastAsia" w:cstheme="minorEastAsia"/>
                <w:color w:val="auto"/>
                <w:sz w:val="21"/>
                <w:szCs w:val="21"/>
                <w:highlight w:val="none"/>
                <w:lang w:val="en-US"/>
              </w:rPr>
              <w:t>有效投标人</w:t>
            </w:r>
            <w:r>
              <w:rPr>
                <w:rFonts w:hint="eastAsia" w:asciiTheme="minorEastAsia" w:hAnsiTheme="minorEastAsia" w:eastAsiaTheme="minorEastAsia" w:cstheme="minorEastAsia"/>
                <w:color w:val="auto"/>
                <w:sz w:val="21"/>
                <w:szCs w:val="21"/>
                <w:highlight w:val="none"/>
                <w:lang w:val="en-US" w:eastAsia="zh-CN"/>
              </w:rPr>
              <w:t>，方可进入下一评审环节。</w:t>
            </w:r>
          </w:p>
          <w:p w14:paraId="0A05ECBF">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二、</w:t>
            </w:r>
            <w:r>
              <w:rPr>
                <w:rFonts w:hint="eastAsia"/>
                <w:color w:val="auto"/>
                <w:sz w:val="21"/>
                <w:szCs w:val="21"/>
                <w:highlight w:val="none"/>
                <w:lang w:val="en-US"/>
              </w:rPr>
              <w:t>确定中标候选人</w:t>
            </w:r>
          </w:p>
          <w:p w14:paraId="249A5DF6">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（一）初步评审后有效投标人＜3家废标；</w:t>
            </w:r>
          </w:p>
          <w:p w14:paraId="7ACF877A">
            <w:pPr>
              <w:pStyle w:val="53"/>
              <w:tabs>
                <w:tab w:val="left" w:pos="960"/>
              </w:tabs>
              <w:spacing w:line="400" w:lineRule="exact"/>
              <w:rPr>
                <w:rFonts w:hint="eastAsia" w:asciiTheme="minorEastAsia" w:hAnsiTheme="minorEastAsia" w:eastAsiaTheme="minorEastAsia" w:cstheme="minorEastAsia"/>
                <w:color w:val="auto"/>
                <w:sz w:val="21"/>
                <w:szCs w:val="21"/>
                <w:highlight w:val="none"/>
                <w:lang w:val="en-US"/>
              </w:rPr>
            </w:pPr>
            <w:r>
              <w:rPr>
                <w:rFonts w:hint="eastAsia"/>
                <w:color w:val="auto"/>
                <w:sz w:val="21"/>
                <w:szCs w:val="21"/>
                <w:highlight w:val="none"/>
                <w:lang w:val="en-US"/>
              </w:rPr>
              <w:t>（</w:t>
            </w:r>
            <w:r>
              <w:rPr>
                <w:rFonts w:hint="eastAsia"/>
                <w:color w:val="auto"/>
                <w:sz w:val="21"/>
                <w:szCs w:val="21"/>
                <w:highlight w:val="none"/>
                <w:lang w:val="en-US" w:eastAsia="zh-CN"/>
              </w:rPr>
              <w:t>二</w:t>
            </w:r>
            <w:r>
              <w:rPr>
                <w:rFonts w:hint="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初步评审</w:t>
            </w:r>
            <w:r>
              <w:rPr>
                <w:rFonts w:hint="eastAsia"/>
                <w:color w:val="auto"/>
                <w:sz w:val="21"/>
                <w:szCs w:val="21"/>
                <w:highlight w:val="none"/>
                <w:lang w:val="en-US"/>
              </w:rPr>
              <w:t>后3</w:t>
            </w:r>
            <w:r>
              <w:rPr>
                <w:rFonts w:hint="eastAsia"/>
                <w:color w:val="auto"/>
                <w:sz w:val="21"/>
                <w:szCs w:val="21"/>
                <w:highlight w:val="none"/>
                <w:lang w:val="en-US" w:eastAsia="zh-CN"/>
              </w:rPr>
              <w:t>家</w:t>
            </w:r>
            <w:r>
              <w:rPr>
                <w:rFonts w:hint="eastAsia"/>
                <w:color w:val="auto"/>
                <w:sz w:val="21"/>
                <w:szCs w:val="21"/>
                <w:highlight w:val="none"/>
                <w:lang w:val="en-US"/>
              </w:rPr>
              <w:t>≤有效投标人≤10家，全部入围中标候选人；</w:t>
            </w:r>
            <w:r>
              <w:rPr>
                <w:rFonts w:hint="eastAsia"/>
                <w:color w:val="auto"/>
                <w:sz w:val="21"/>
                <w:szCs w:val="21"/>
                <w:highlight w:val="none"/>
                <w:lang w:val="en-US"/>
              </w:rPr>
              <w:br w:type="textWrapping"/>
            </w: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初步评审</w:t>
            </w:r>
            <w:r>
              <w:rPr>
                <w:rFonts w:hint="eastAsia"/>
                <w:color w:val="auto"/>
                <w:sz w:val="21"/>
                <w:szCs w:val="21"/>
                <w:highlight w:val="none"/>
                <w:lang w:val="en-US"/>
              </w:rPr>
              <w:t>后有效投标人大于10家时按照以下方式确定中标候选人：</w:t>
            </w:r>
          </w:p>
          <w:p w14:paraId="40E06E06">
            <w:pPr>
              <w:pStyle w:val="53"/>
              <w:tabs>
                <w:tab w:val="left" w:pos="960"/>
              </w:tabs>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rPr>
              <w:t>按照投标人的</w:t>
            </w:r>
            <w:r>
              <w:rPr>
                <w:rFonts w:hint="eastAsia" w:asciiTheme="minorEastAsia" w:hAnsiTheme="minorEastAsia" w:eastAsiaTheme="minorEastAsia" w:cstheme="minorEastAsia"/>
                <w:color w:val="auto"/>
                <w:sz w:val="21"/>
                <w:szCs w:val="21"/>
                <w:highlight w:val="none"/>
                <w:lang w:val="en-US" w:eastAsia="zh-CN"/>
              </w:rPr>
              <w:t>综合</w:t>
            </w:r>
            <w:r>
              <w:rPr>
                <w:rFonts w:hint="eastAsia" w:asciiTheme="minorEastAsia" w:hAnsiTheme="minorEastAsia" w:eastAsiaTheme="minorEastAsia" w:cstheme="minorEastAsia"/>
                <w:color w:val="auto"/>
                <w:sz w:val="21"/>
                <w:szCs w:val="21"/>
                <w:highlight w:val="none"/>
                <w:lang w:val="en-US"/>
              </w:rPr>
              <w:t>得分</w:t>
            </w:r>
            <w:r>
              <w:rPr>
                <w:rFonts w:hint="eastAsia" w:asciiTheme="minorEastAsia" w:hAnsiTheme="minorEastAsia" w:eastAsiaTheme="minorEastAsia" w:cstheme="minorEastAsia"/>
                <w:color w:val="auto"/>
                <w:sz w:val="21"/>
                <w:szCs w:val="21"/>
                <w:highlight w:val="none"/>
                <w:lang w:val="en-US" w:eastAsia="zh-CN"/>
              </w:rPr>
              <w:t>（商务标+技术标+综合标）</w:t>
            </w:r>
            <w:r>
              <w:rPr>
                <w:rFonts w:hint="eastAsia" w:asciiTheme="minorEastAsia" w:hAnsiTheme="minorEastAsia" w:eastAsiaTheme="minorEastAsia" w:cstheme="minorEastAsia"/>
                <w:color w:val="auto"/>
                <w:sz w:val="21"/>
                <w:szCs w:val="21"/>
                <w:highlight w:val="none"/>
                <w:lang w:val="en-US"/>
              </w:rPr>
              <w:t>由高到低排序，选择前十家通过</w:t>
            </w:r>
            <w:r>
              <w:rPr>
                <w:rFonts w:hint="eastAsia" w:asciiTheme="minorEastAsia" w:hAnsiTheme="minorEastAsia" w:eastAsiaTheme="minorEastAsia" w:cstheme="minorEastAsia"/>
                <w:color w:val="auto"/>
                <w:sz w:val="21"/>
                <w:szCs w:val="21"/>
                <w:highlight w:val="none"/>
                <w:lang w:val="en-US" w:eastAsia="zh-CN"/>
              </w:rPr>
              <w:t>推荐中标候选人，若综合得分相同时评标委员会依次按照以下优先顺序排序：</w:t>
            </w:r>
          </w:p>
          <w:p w14:paraId="33628443">
            <w:pPr>
              <w:pStyle w:val="53"/>
              <w:tabs>
                <w:tab w:val="left" w:pos="960"/>
              </w:tabs>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（1）投标报价低的优先</w:t>
            </w:r>
          </w:p>
          <w:p w14:paraId="743B1E00">
            <w:pPr>
              <w:pStyle w:val="53"/>
              <w:tabs>
                <w:tab w:val="left" w:pos="960"/>
              </w:tabs>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（2）技术标得分高的优先；</w:t>
            </w:r>
          </w:p>
          <w:p w14:paraId="23ED7CC1">
            <w:pPr>
              <w:pStyle w:val="53"/>
              <w:tabs>
                <w:tab w:val="left" w:pos="960"/>
              </w:tabs>
              <w:spacing w:line="400" w:lineRule="exac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（3）综合标得分高的优先；</w:t>
            </w:r>
          </w:p>
          <w:p w14:paraId="33D37695">
            <w:pPr>
              <w:pStyle w:val="53"/>
              <w:tabs>
                <w:tab w:val="left" w:pos="960"/>
              </w:tabs>
              <w:spacing w:line="400" w:lineRule="exact"/>
              <w:rPr>
                <w:rFonts w:hint="eastAsia" w:ascii="宋体" w:hAnsi="宋体" w:cs="宋体"/>
                <w:b/>
                <w:bCs/>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（4）上述还无法确定第10家时，由评标委员会按照投票方式确定第十家。</w:t>
            </w:r>
          </w:p>
        </w:tc>
      </w:tr>
      <w:tr w14:paraId="160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Align w:val="center"/>
          </w:tcPr>
          <w:p w14:paraId="7D709C3F">
            <w:pPr>
              <w:wordWrap w:val="0"/>
              <w:topLinePunct/>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2256" w:type="dxa"/>
            <w:gridSpan w:val="2"/>
            <w:vAlign w:val="center"/>
          </w:tcPr>
          <w:p w14:paraId="72611094">
            <w:pPr>
              <w:wordWrap w:val="0"/>
              <w:topLinePunct/>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条款内容</w:t>
            </w:r>
          </w:p>
        </w:tc>
        <w:tc>
          <w:tcPr>
            <w:tcW w:w="6238" w:type="dxa"/>
            <w:gridSpan w:val="2"/>
            <w:vAlign w:val="center"/>
          </w:tcPr>
          <w:p w14:paraId="16858FBD">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编列内容</w:t>
            </w:r>
          </w:p>
        </w:tc>
      </w:tr>
      <w:tr w14:paraId="7D36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Align w:val="center"/>
          </w:tcPr>
          <w:p w14:paraId="49649AA0">
            <w:pPr>
              <w:wordWrap w:val="0"/>
              <w:topLinePunct/>
              <w:adjustRightInd w:val="0"/>
              <w:snapToGrid w:val="0"/>
              <w:spacing w:line="40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p>
        </w:tc>
        <w:tc>
          <w:tcPr>
            <w:tcW w:w="1089" w:type="dxa"/>
            <w:vAlign w:val="center"/>
          </w:tcPr>
          <w:p w14:paraId="32619583">
            <w:pPr>
              <w:keepNext w:val="0"/>
              <w:keepLines w:val="0"/>
              <w:pageBreakBefore w:val="0"/>
              <w:widowControl w:val="0"/>
              <w:kinsoku/>
              <w:wordWrap/>
              <w:overflowPunct/>
              <w:topLinePunct w:val="0"/>
              <w:bidi w:val="0"/>
              <w:spacing w:line="400" w:lineRule="exact"/>
              <w:ind w:left="42" w:leftChars="0" w:right="0" w:rightChars="0" w:hanging="42" w:hangingChars="2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分值构成</w:t>
            </w:r>
          </w:p>
          <w:p w14:paraId="6CF8FA2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b/>
                <w:bCs/>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7405" w:type="dxa"/>
            <w:gridSpan w:val="3"/>
            <w:vAlign w:val="center"/>
          </w:tcPr>
          <w:p w14:paraId="65AAFCF4">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cs="宋体"/>
                <w:color w:val="auto"/>
                <w:szCs w:val="21"/>
                <w:highlight w:val="none"/>
              </w:rPr>
              <w:t>商务标：4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p w14:paraId="1DE5B678">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cs="宋体"/>
                <w:color w:val="auto"/>
                <w:szCs w:val="21"/>
                <w:highlight w:val="none"/>
              </w:rPr>
              <w:t>技术标：</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p w14:paraId="378632EE">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b/>
                <w:bCs/>
                <w:color w:val="auto"/>
                <w:szCs w:val="21"/>
                <w:highlight w:val="none"/>
              </w:rPr>
            </w:pPr>
            <w:r>
              <w:rPr>
                <w:rFonts w:hint="eastAsia" w:ascii="宋体" w:hAnsi="宋体" w:cs="宋体"/>
                <w:color w:val="auto"/>
                <w:szCs w:val="21"/>
                <w:highlight w:val="none"/>
              </w:rPr>
              <w:t>综合标：20分</w:t>
            </w:r>
          </w:p>
        </w:tc>
      </w:tr>
      <w:tr w14:paraId="76E5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Align w:val="center"/>
          </w:tcPr>
          <w:p w14:paraId="6A9B0152">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bookmarkStart w:id="165" w:name="_Toc24245"/>
            <w:bookmarkStart w:id="166" w:name="_Toc2186"/>
            <w:bookmarkStart w:id="167" w:name="_Toc22305"/>
            <w:bookmarkStart w:id="168" w:name="_Toc12002"/>
            <w:bookmarkStart w:id="169" w:name="_Toc22105"/>
            <w:bookmarkStart w:id="170" w:name="_Toc29294"/>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p>
        </w:tc>
        <w:tc>
          <w:tcPr>
            <w:tcW w:w="1089" w:type="dxa"/>
            <w:vAlign w:val="center"/>
          </w:tcPr>
          <w:p w14:paraId="2C4D7B6D">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评标基准价</w:t>
            </w:r>
          </w:p>
        </w:tc>
        <w:tc>
          <w:tcPr>
            <w:tcW w:w="7405" w:type="dxa"/>
            <w:gridSpan w:val="3"/>
            <w:vAlign w:val="center"/>
          </w:tcPr>
          <w:p w14:paraId="0A8F8BB1">
            <w:pPr>
              <w:keepNext w:val="0"/>
              <w:keepLines w:val="0"/>
              <w:pageBreakBefore w:val="0"/>
              <w:widowControl w:val="0"/>
              <w:kinsoku/>
              <w:wordWrap/>
              <w:overflowPunct/>
              <w:topLinePunct w:val="0"/>
              <w:bidi w:val="0"/>
              <w:spacing w:line="400" w:lineRule="exact"/>
              <w:ind w:left="0" w:leftChars="0" w:right="0" w:rightChars="0"/>
              <w:jc w:val="left"/>
              <w:textAlignment w:val="auto"/>
              <w:rPr>
                <w:rFonts w:ascii="宋体" w:hAnsi="宋体"/>
                <w:bCs/>
                <w:color w:val="auto"/>
                <w:highlight w:val="none"/>
              </w:rPr>
            </w:pPr>
            <w:r>
              <w:rPr>
                <w:rFonts w:hint="eastAsia" w:ascii="宋体" w:hAnsi="宋体"/>
                <w:bCs/>
                <w:color w:val="auto"/>
                <w:highlight w:val="none"/>
              </w:rPr>
              <w:t xml:space="preserve">评标基准价计算方法： </w:t>
            </w:r>
          </w:p>
          <w:p w14:paraId="52B621C3">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bCs/>
                <w:color w:val="auto"/>
                <w:highlight w:val="none"/>
              </w:rPr>
            </w:pPr>
            <w:r>
              <w:rPr>
                <w:rFonts w:hint="eastAsia" w:ascii="宋体" w:hAnsi="宋体"/>
                <w:bCs/>
                <w:color w:val="auto"/>
                <w:highlight w:val="none"/>
              </w:rPr>
              <w:t>评标基准价=A×50%+B×50%</w:t>
            </w:r>
          </w:p>
          <w:p w14:paraId="69092A0B">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bCs/>
                <w:color w:val="auto"/>
                <w:highlight w:val="none"/>
              </w:rPr>
            </w:pPr>
            <w:r>
              <w:rPr>
                <w:rFonts w:hint="eastAsia" w:ascii="宋体" w:hAnsi="宋体"/>
                <w:bCs/>
                <w:color w:val="auto"/>
                <w:highlight w:val="none"/>
              </w:rPr>
              <w:t>其中：</w:t>
            </w:r>
          </w:p>
          <w:p w14:paraId="70B77900">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bCs/>
                <w:color w:val="auto"/>
                <w:highlight w:val="none"/>
              </w:rPr>
            </w:pPr>
            <w:r>
              <w:rPr>
                <w:rFonts w:hint="eastAsia" w:ascii="宋体" w:hAnsi="宋体"/>
                <w:bCs/>
                <w:color w:val="auto"/>
                <w:highlight w:val="none"/>
              </w:rPr>
              <w:t>A为招标控制价。</w:t>
            </w:r>
          </w:p>
          <w:p w14:paraId="1304CC04">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highlight w:val="none"/>
              </w:rPr>
              <w:t>B为投标报价（</w:t>
            </w:r>
            <w:r>
              <w:rPr>
                <w:rFonts w:hint="eastAsia" w:ascii="宋体" w:hAnsi="宋体" w:cs="宋体"/>
                <w:color w:val="auto"/>
                <w:highlight w:val="none"/>
                <w:lang w:eastAsia="zh-CN"/>
              </w:rPr>
              <w:t>工程费用</w:t>
            </w:r>
            <w:r>
              <w:rPr>
                <w:rFonts w:hint="eastAsia" w:ascii="宋体" w:hAnsi="宋体" w:cs="宋体"/>
                <w:color w:val="auto"/>
                <w:highlight w:val="none"/>
              </w:rPr>
              <w:t>投标报价或设计费投标报价）低于（含等于）招标控制价～高于（含等于）95%×招标控制价范围内的各有效投标报价（</w:t>
            </w:r>
            <w:r>
              <w:rPr>
                <w:rFonts w:hint="eastAsia" w:ascii="宋体" w:hAnsi="宋体" w:cs="宋体"/>
                <w:color w:val="auto"/>
                <w:highlight w:val="none"/>
                <w:lang w:eastAsia="zh-CN"/>
              </w:rPr>
              <w:t>工程费用</w:t>
            </w:r>
            <w:r>
              <w:rPr>
                <w:rFonts w:hint="eastAsia" w:ascii="宋体" w:hAnsi="宋体" w:cs="宋体"/>
                <w:color w:val="auto"/>
                <w:highlight w:val="none"/>
              </w:rPr>
              <w:t>投标报价或设计费投标报价），去掉一个最高和一个最低报价后的算术平均值（符合此条件范围内的有效投标报价不足五家时，以该范围内所有有效报价的算术平均值作为B值）；当有效投标报价全部低于95%×招标控制价时，则以95%×A作为B值</w:t>
            </w:r>
            <w:r>
              <w:rPr>
                <w:rFonts w:hint="eastAsia" w:ascii="宋体" w:hAnsi="宋体"/>
                <w:bCs/>
                <w:color w:val="auto"/>
                <w:highlight w:val="none"/>
              </w:rPr>
              <w:t>。</w:t>
            </w:r>
          </w:p>
        </w:tc>
      </w:tr>
      <w:tr w14:paraId="1761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Align w:val="center"/>
          </w:tcPr>
          <w:p w14:paraId="4B24B762">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2.2.3</w:t>
            </w:r>
          </w:p>
        </w:tc>
        <w:tc>
          <w:tcPr>
            <w:tcW w:w="1089" w:type="dxa"/>
            <w:vAlign w:val="center"/>
          </w:tcPr>
          <w:p w14:paraId="16B9A7FB">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投标报价的偏差率</w:t>
            </w:r>
          </w:p>
          <w:p w14:paraId="20C95B4D">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计算公式</w:t>
            </w:r>
          </w:p>
        </w:tc>
        <w:tc>
          <w:tcPr>
            <w:tcW w:w="7405" w:type="dxa"/>
            <w:gridSpan w:val="3"/>
            <w:vAlign w:val="center"/>
          </w:tcPr>
          <w:p w14:paraId="3AAAE0D7">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color w:val="auto"/>
                <w:highlight w:val="none"/>
              </w:rPr>
            </w:pPr>
            <w:r>
              <w:rPr>
                <w:rFonts w:hint="eastAsia" w:ascii="宋体" w:hAnsi="宋体" w:cs="宋体"/>
                <w:color w:val="auto"/>
                <w:szCs w:val="21"/>
                <w:highlight w:val="none"/>
              </w:rPr>
              <w:t>偏差率＝100%×（投标报价－评标基准价）/评标基准价</w:t>
            </w:r>
          </w:p>
        </w:tc>
      </w:tr>
      <w:tr w14:paraId="338B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Align w:val="center"/>
          </w:tcPr>
          <w:p w14:paraId="789EF13B">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条款号</w:t>
            </w:r>
          </w:p>
        </w:tc>
        <w:tc>
          <w:tcPr>
            <w:tcW w:w="1089" w:type="dxa"/>
            <w:vAlign w:val="center"/>
          </w:tcPr>
          <w:p w14:paraId="76228E1D">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评分因素</w:t>
            </w:r>
          </w:p>
        </w:tc>
        <w:tc>
          <w:tcPr>
            <w:tcW w:w="7405" w:type="dxa"/>
            <w:gridSpan w:val="3"/>
            <w:vAlign w:val="center"/>
          </w:tcPr>
          <w:p w14:paraId="6501BDE2">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b/>
                <w:bCs/>
                <w:color w:val="auto"/>
                <w:szCs w:val="21"/>
                <w:highlight w:val="none"/>
              </w:rPr>
              <w:t>评分标准</w:t>
            </w:r>
          </w:p>
        </w:tc>
      </w:tr>
      <w:tr w14:paraId="436E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Align w:val="center"/>
          </w:tcPr>
          <w:p w14:paraId="6288F17C">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.4（1）</w:t>
            </w:r>
          </w:p>
        </w:tc>
        <w:tc>
          <w:tcPr>
            <w:tcW w:w="1089" w:type="dxa"/>
            <w:vAlign w:val="center"/>
          </w:tcPr>
          <w:p w14:paraId="761A3C45">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商务标</w:t>
            </w:r>
          </w:p>
          <w:p w14:paraId="641B02D5">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389DF7E1">
            <w:pPr>
              <w:keepNext w:val="0"/>
              <w:keepLines w:val="0"/>
              <w:pageBreakBefore w:val="0"/>
              <w:widowControl w:val="0"/>
              <w:kinsoku/>
              <w:wordWrap/>
              <w:overflowPunct/>
              <w:topLinePunct w:val="0"/>
              <w:autoSpaceDE w:val="0"/>
              <w:autoSpaceDN w:val="0"/>
              <w:bidi w:val="0"/>
              <w:adjustRightInd w:val="0"/>
              <w:spacing w:line="400" w:lineRule="exact"/>
              <w:ind w:left="0" w:leftChars="0" w:right="0" w:rightChars="0" w:firstLine="632" w:firstLineChars="300"/>
              <w:textAlignment w:val="auto"/>
              <w:rPr>
                <w:rFonts w:hint="eastAsia" w:ascii="宋体" w:hAnsi="宋体" w:cs="宋体"/>
                <w:b/>
                <w:bCs/>
                <w:color w:val="auto"/>
                <w:szCs w:val="21"/>
                <w:highlight w:val="none"/>
              </w:rPr>
            </w:pPr>
          </w:p>
        </w:tc>
        <w:tc>
          <w:tcPr>
            <w:tcW w:w="7405" w:type="dxa"/>
            <w:gridSpan w:val="3"/>
            <w:vAlign w:val="center"/>
          </w:tcPr>
          <w:p w14:paraId="6AA7D5CA">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1、设计费投标报价（满分</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47F52506">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有效投标人的投标报价等于评标基准价的，得满分 </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分；投标报价每低于评标基准价1%在满分的基础上扣1分，扣完为止；投标报价每高于评标基准价1%在满分的基础上扣1分,扣完为止。（不足1%按线性插值法计算，计算结果按四舍五入法保留至小数点后两位）。</w:t>
            </w:r>
          </w:p>
          <w:p w14:paraId="030C2771">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工程费用</w:t>
            </w:r>
            <w:r>
              <w:rPr>
                <w:rFonts w:hint="eastAsia" w:ascii="宋体" w:hAnsi="宋体" w:cs="宋体"/>
                <w:color w:val="auto"/>
                <w:szCs w:val="21"/>
                <w:highlight w:val="none"/>
              </w:rPr>
              <w:t>投标报价（满分</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p>
          <w:p w14:paraId="01B78849">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b/>
                <w:bCs/>
                <w:color w:val="auto"/>
                <w:szCs w:val="21"/>
                <w:highlight w:val="none"/>
              </w:rPr>
            </w:pPr>
            <w:r>
              <w:rPr>
                <w:rFonts w:hint="eastAsia" w:ascii="宋体" w:hAnsi="宋体" w:eastAsia="宋体" w:cs="宋体"/>
                <w:color w:val="auto"/>
                <w:highlight w:val="none"/>
              </w:rPr>
              <w:t>有效投标人的投标报价等于评标基准价的，得满分</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分；投标报价每低于评标基准价 1%在满分的基础上扣1分，扣完为止；投标报价每高于评标基准价 1%在满分的基础上扣1分,扣完为止。（不足1%按线性插值法计算，计算结果按四舍五入法保留至小数点后两位）。</w:t>
            </w:r>
          </w:p>
        </w:tc>
      </w:tr>
      <w:bookmarkEnd w:id="162"/>
      <w:bookmarkEnd w:id="163"/>
      <w:bookmarkEnd w:id="164"/>
      <w:tr w14:paraId="2849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restart"/>
            <w:vAlign w:val="center"/>
          </w:tcPr>
          <w:p w14:paraId="723B0BBD">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.4（2）</w:t>
            </w:r>
          </w:p>
        </w:tc>
        <w:tc>
          <w:tcPr>
            <w:tcW w:w="1089" w:type="dxa"/>
            <w:vMerge w:val="restart"/>
            <w:vAlign w:val="center"/>
          </w:tcPr>
          <w:p w14:paraId="633C9266">
            <w:pPr>
              <w:wordWrap w:val="0"/>
              <w:topLinePunct/>
              <w:adjustRightInd w:val="0"/>
              <w:snapToGrid w:val="0"/>
              <w:spacing w:line="400" w:lineRule="exact"/>
              <w:jc w:val="center"/>
              <w:rPr>
                <w:rFonts w:hint="eastAsia" w:ascii="宋体" w:hAnsi="宋体" w:cs="宋体"/>
                <w:color w:val="auto"/>
                <w:szCs w:val="21"/>
                <w:highlight w:val="none"/>
              </w:rPr>
            </w:pPr>
          </w:p>
          <w:p w14:paraId="7EC8C801">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技术标（40分）</w:t>
            </w:r>
          </w:p>
        </w:tc>
        <w:tc>
          <w:tcPr>
            <w:tcW w:w="1167" w:type="dxa"/>
            <w:vMerge w:val="restart"/>
            <w:vAlign w:val="center"/>
          </w:tcPr>
          <w:p w14:paraId="338FADDA">
            <w:pPr>
              <w:adjustRightInd w:val="0"/>
              <w:snapToGrid w:val="0"/>
              <w:spacing w:line="400" w:lineRule="exact"/>
              <w:jc w:val="center"/>
              <w:rPr>
                <w:rFonts w:hint="eastAsia" w:ascii="宋体" w:hAnsi="宋体" w:cs="宋体"/>
                <w:color w:val="auto"/>
                <w:spacing w:val="1"/>
                <w:kern w:val="0"/>
                <w:szCs w:val="21"/>
                <w:highlight w:val="none"/>
              </w:rPr>
            </w:pPr>
            <w:r>
              <w:rPr>
                <w:rFonts w:hint="eastAsia" w:ascii="宋体" w:hAnsi="宋体" w:cs="宋体"/>
                <w:color w:val="auto"/>
                <w:spacing w:val="1"/>
                <w:kern w:val="0"/>
                <w:szCs w:val="21"/>
                <w:highlight w:val="none"/>
              </w:rPr>
              <w:t>设计建议书（10分）</w:t>
            </w:r>
          </w:p>
        </w:tc>
        <w:tc>
          <w:tcPr>
            <w:tcW w:w="2097" w:type="dxa"/>
            <w:vAlign w:val="center"/>
          </w:tcPr>
          <w:p w14:paraId="7FBD75B1">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pacing w:val="1"/>
                <w:kern w:val="0"/>
                <w:szCs w:val="21"/>
                <w:highlight w:val="none"/>
              </w:rPr>
            </w:pPr>
            <w:r>
              <w:rPr>
                <w:rFonts w:hint="eastAsia" w:ascii="宋体" w:hAnsi="宋体" w:cs="宋体"/>
                <w:color w:val="auto"/>
                <w:szCs w:val="21"/>
                <w:highlight w:val="none"/>
              </w:rPr>
              <w:t>对招标项目的理解（</w:t>
            </w:r>
            <w:r>
              <w:rPr>
                <w:rFonts w:ascii="宋体" w:hAnsi="宋体" w:cs="宋体"/>
                <w:color w:val="auto"/>
                <w:szCs w:val="21"/>
                <w:highlight w:val="none"/>
              </w:rPr>
              <w:t>2</w:t>
            </w:r>
            <w:r>
              <w:rPr>
                <w:rFonts w:hint="eastAsia" w:ascii="宋体" w:hAnsi="宋体" w:cs="宋体"/>
                <w:color w:val="auto"/>
                <w:szCs w:val="21"/>
                <w:highlight w:val="none"/>
              </w:rPr>
              <w:t>分）</w:t>
            </w:r>
          </w:p>
        </w:tc>
        <w:tc>
          <w:tcPr>
            <w:tcW w:w="4141" w:type="dxa"/>
            <w:vAlign w:val="center"/>
          </w:tcPr>
          <w:p w14:paraId="2C6BBB2D">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eastAsiaTheme="minorEastAsia"/>
                <w:color w:val="auto"/>
                <w:szCs w:val="21"/>
                <w:highlight w:val="none"/>
              </w:rPr>
            </w:pPr>
            <w:r>
              <w:rPr>
                <w:rFonts w:hint="eastAsia" w:ascii="宋体" w:hAnsi="宋体" w:eastAsia="宋体" w:cs="宋体"/>
                <w:color w:val="auto"/>
                <w:szCs w:val="21"/>
                <w:highlight w:val="none"/>
                <w:lang w:val="en-US" w:eastAsia="zh-CN"/>
              </w:rPr>
              <w:t>对本项目总体建设的设计思路，设计总说明表达准确、全面、透彻，有独到见解得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-2分。</w:t>
            </w:r>
          </w:p>
        </w:tc>
      </w:tr>
      <w:tr w14:paraId="224C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3CB2DC84">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322A7BEB">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Merge w:val="continue"/>
          </w:tcPr>
          <w:p w14:paraId="5A42A97A">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3F5318AE">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方案</w:t>
            </w:r>
          </w:p>
          <w:p w14:paraId="301EFFD6">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4141" w:type="dxa"/>
            <w:vAlign w:val="center"/>
          </w:tcPr>
          <w:p w14:paraId="29834E5B">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设计方案能够清晰、合理、全面体现出本项目的建设需求得1-3分。</w:t>
            </w:r>
          </w:p>
        </w:tc>
      </w:tr>
      <w:tr w14:paraId="0D90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165841E4">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5AFD5E23">
            <w:pPr>
              <w:wordWrap w:val="0"/>
              <w:topLinePunct/>
              <w:adjustRightInd w:val="0"/>
              <w:snapToGrid w:val="0"/>
              <w:spacing w:line="400" w:lineRule="exact"/>
              <w:rPr>
                <w:rFonts w:hint="eastAsia" w:ascii="宋体" w:hAnsi="宋体" w:cs="宋体"/>
                <w:color w:val="auto"/>
                <w:szCs w:val="21"/>
                <w:highlight w:val="none"/>
              </w:rPr>
            </w:pPr>
          </w:p>
        </w:tc>
        <w:tc>
          <w:tcPr>
            <w:tcW w:w="1167" w:type="dxa"/>
            <w:vMerge w:val="continue"/>
          </w:tcPr>
          <w:p w14:paraId="77159651">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0485C45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pacing w:val="1"/>
                <w:kern w:val="0"/>
                <w:szCs w:val="21"/>
                <w:highlight w:val="none"/>
              </w:rPr>
            </w:pPr>
            <w:r>
              <w:rPr>
                <w:rFonts w:hint="eastAsia" w:ascii="宋体" w:hAnsi="宋体" w:cs="宋体"/>
                <w:color w:val="auto"/>
                <w:szCs w:val="21"/>
                <w:highlight w:val="none"/>
                <w:lang w:val="en-US" w:eastAsia="zh-CN"/>
              </w:rPr>
              <w:t>项目设计进度及设计质量保证措施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4141" w:type="dxa"/>
            <w:vAlign w:val="center"/>
          </w:tcPr>
          <w:p w14:paraId="3C2746B6">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进度安排合理、保证措施有针对性，对其措施合理性综合评比得</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r>
      <w:tr w14:paraId="28A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6CA0062A">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0823659F">
            <w:pPr>
              <w:wordWrap w:val="0"/>
              <w:topLinePunct/>
              <w:adjustRightInd w:val="0"/>
              <w:snapToGrid w:val="0"/>
              <w:spacing w:line="400" w:lineRule="exact"/>
              <w:rPr>
                <w:rFonts w:hint="eastAsia" w:ascii="宋体" w:hAnsi="宋体" w:cs="宋体"/>
                <w:color w:val="auto"/>
                <w:szCs w:val="21"/>
                <w:highlight w:val="none"/>
              </w:rPr>
            </w:pPr>
          </w:p>
        </w:tc>
        <w:tc>
          <w:tcPr>
            <w:tcW w:w="1167" w:type="dxa"/>
            <w:vMerge w:val="continue"/>
          </w:tcPr>
          <w:p w14:paraId="0BA55441">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397FE4D2">
            <w:pPr>
              <w:spacing w:line="400" w:lineRule="exact"/>
              <w:jc w:val="center"/>
              <w:rPr>
                <w:rFonts w:hint="eastAsia"/>
                <w:color w:val="auto"/>
                <w:szCs w:val="21"/>
                <w:highlight w:val="none"/>
              </w:rPr>
            </w:pPr>
            <w:r>
              <w:rPr>
                <w:rFonts w:hint="eastAsia" w:ascii="宋体" w:hAnsi="宋体" w:cs="宋体"/>
                <w:color w:val="auto"/>
                <w:szCs w:val="21"/>
                <w:highlight w:val="none"/>
              </w:rPr>
              <w:t>项目的特点、关键性技术问题的认识及其对策措施（2分）</w:t>
            </w:r>
          </w:p>
        </w:tc>
        <w:tc>
          <w:tcPr>
            <w:tcW w:w="4141" w:type="dxa"/>
            <w:vAlign w:val="center"/>
          </w:tcPr>
          <w:p w14:paraId="4337E4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投标人对项目特点、重点认识</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准确且对策方案</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全面、合理</w:t>
            </w:r>
            <w:r>
              <w:rPr>
                <w:rFonts w:hint="eastAsia" w:ascii="宋体" w:hAnsi="宋体" w:cs="宋体"/>
                <w:color w:val="auto"/>
                <w:szCs w:val="21"/>
                <w:highlight w:val="none"/>
                <w:lang w:val="en-US" w:eastAsia="zh-CN"/>
              </w:rPr>
              <w:t>的在</w:t>
            </w:r>
            <w:r>
              <w:rPr>
                <w:rFonts w:hint="eastAsia" w:ascii="宋体" w:hAnsi="宋体" w:cs="宋体"/>
                <w:color w:val="auto"/>
                <w:szCs w:val="21"/>
                <w:highlight w:val="none"/>
              </w:rPr>
              <w:t>1-2分</w:t>
            </w:r>
            <w:r>
              <w:rPr>
                <w:rFonts w:hint="eastAsia" w:ascii="宋体" w:hAnsi="宋体" w:cs="宋体"/>
                <w:color w:val="auto"/>
                <w:szCs w:val="21"/>
                <w:highlight w:val="none"/>
                <w:lang w:val="en-US" w:eastAsia="zh-CN"/>
              </w:rPr>
              <w:t>内打分</w:t>
            </w:r>
            <w:r>
              <w:rPr>
                <w:rFonts w:hint="eastAsia" w:ascii="宋体" w:hAnsi="宋体" w:cs="宋体"/>
                <w:color w:val="auto"/>
                <w:szCs w:val="21"/>
                <w:highlight w:val="none"/>
              </w:rPr>
              <w:t>。</w:t>
            </w:r>
          </w:p>
        </w:tc>
      </w:tr>
      <w:tr w14:paraId="56E2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18B6CEE0">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2BD55AFB">
            <w:pPr>
              <w:pStyle w:val="53"/>
              <w:wordWrap w:val="0"/>
              <w:topLinePunct/>
              <w:adjustRightInd w:val="0"/>
              <w:snapToGrid w:val="0"/>
              <w:spacing w:line="400" w:lineRule="exact"/>
              <w:jc w:val="left"/>
              <w:rPr>
                <w:rFonts w:hint="eastAsia"/>
                <w:color w:val="auto"/>
                <w:szCs w:val="21"/>
                <w:highlight w:val="none"/>
              </w:rPr>
            </w:pPr>
          </w:p>
        </w:tc>
        <w:tc>
          <w:tcPr>
            <w:tcW w:w="1167" w:type="dxa"/>
            <w:vMerge w:val="restart"/>
            <w:vAlign w:val="center"/>
          </w:tcPr>
          <w:p w14:paraId="23B03EDC">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施工实施方案（30分）</w:t>
            </w:r>
          </w:p>
        </w:tc>
        <w:tc>
          <w:tcPr>
            <w:tcW w:w="2097" w:type="dxa"/>
            <w:vAlign w:val="center"/>
          </w:tcPr>
          <w:p w14:paraId="7BE8ADAE">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主要施工方案与技术措施（</w:t>
            </w:r>
            <w:r>
              <w:rPr>
                <w:rFonts w:ascii="宋体" w:hAnsi="宋体" w:cs="宋体"/>
                <w:color w:val="auto"/>
                <w:szCs w:val="21"/>
                <w:highlight w:val="none"/>
              </w:rPr>
              <w:t>5</w:t>
            </w:r>
            <w:r>
              <w:rPr>
                <w:rFonts w:hint="eastAsia" w:ascii="宋体" w:hAnsi="宋体" w:cs="宋体"/>
                <w:color w:val="auto"/>
                <w:szCs w:val="21"/>
                <w:highlight w:val="none"/>
              </w:rPr>
              <w:t>分）</w:t>
            </w:r>
          </w:p>
        </w:tc>
        <w:tc>
          <w:tcPr>
            <w:tcW w:w="4141" w:type="dxa"/>
            <w:vAlign w:val="center"/>
          </w:tcPr>
          <w:p w14:paraId="1BF1CDBC">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施工方案（含工程特点、施工重点与难点及绿色施工）总体安排合理，运用先进、合理的施工工艺、施工机械，对施工难点有先进和合理的建议得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分。</w:t>
            </w:r>
          </w:p>
        </w:tc>
      </w:tr>
      <w:tr w14:paraId="687F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6D559A6D">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78ACFF9B">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55413CAB">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557DCE63">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质量管理体系与措施（</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4141" w:type="dxa"/>
            <w:vAlign w:val="center"/>
          </w:tcPr>
          <w:p w14:paraId="2BD5AB34">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组织机构形式合理，有完善的指挥系统、质量监控系统、联络协调系统，对项目提出先进、可行、具体的保证措施。主体结构质量保证措施完整得力、经济、安全、切实可行得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r>
      <w:tr w14:paraId="06EF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5B7E34C1">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6CD56C99">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2BFFF323">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4EF29C73">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文明施工、环境保护管理体系及施工现场扬尘治理措施（</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4141" w:type="dxa"/>
            <w:vAlign w:val="center"/>
          </w:tcPr>
          <w:p w14:paraId="0A156DC0">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创</w:t>
            </w:r>
            <w:r>
              <w:rPr>
                <w:rFonts w:hint="eastAsia" w:ascii="宋体" w:hAnsi="宋体" w:cs="宋体"/>
                <w:color w:val="auto"/>
                <w:szCs w:val="21"/>
                <w:highlight w:val="none"/>
                <w:lang w:val="en-US" w:eastAsia="zh-CN"/>
              </w:rPr>
              <w:t>建</w:t>
            </w:r>
            <w:r>
              <w:rPr>
                <w:rFonts w:hint="eastAsia" w:ascii="宋体" w:hAnsi="宋体" w:cs="宋体"/>
                <w:color w:val="auto"/>
                <w:szCs w:val="21"/>
                <w:highlight w:val="none"/>
              </w:rPr>
              <w:t>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r>
      <w:tr w14:paraId="4CD4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1098B830">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2EBCD04A">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7B346F2A">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64624C13">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工期保证措施</w:t>
            </w:r>
          </w:p>
          <w:p w14:paraId="1128FB76">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4141" w:type="dxa"/>
            <w:vAlign w:val="center"/>
          </w:tcPr>
          <w:p w14:paraId="0CFBC12D">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工期承诺满足招标文件要求，工期保证措施合理且有针对性，有具体的违约责任承诺得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r>
      <w:tr w14:paraId="2476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77D39143">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068EB9AE">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707DACD0">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7F126E95">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拟投入资源配备计划（</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4141" w:type="dxa"/>
            <w:vAlign w:val="center"/>
          </w:tcPr>
          <w:p w14:paraId="60EF8A7D">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1.机械：投入计划与进度计划呼应，采用先进机械设备且配置合理、先进，满足安全技术规范和施工进度需要；2.劳动力：投入计划与进度计划呼应，较好满足施工需要，调配投入计划合理、准确； 3.主要物资计划：主要物资投入计划与进度计划呼应，较好满足施工需要。以上调配投入计划合理、准确得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r>
      <w:tr w14:paraId="509B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39824188">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3C2F9637">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019F9C57">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7888FAC0">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技术创新的应用实施措施（</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4141" w:type="dxa"/>
            <w:vAlign w:val="center"/>
          </w:tcPr>
          <w:p w14:paraId="15BE688D">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节能减排、绿色施工、工艺创新、装配式建筑等技术创新的应用实施措施符合工程情况，具有针对性、可行性、经济适用性得1-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r>
      <w:tr w14:paraId="6E74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6056C056">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16A6FA68">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58D4E663">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1CB3F3BB">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采用新工艺、新技术、新设备、新材料等的程度</w:t>
            </w:r>
          </w:p>
          <w:p w14:paraId="52734779">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（2分）</w:t>
            </w:r>
          </w:p>
        </w:tc>
        <w:tc>
          <w:tcPr>
            <w:tcW w:w="4141" w:type="dxa"/>
            <w:vAlign w:val="center"/>
          </w:tcPr>
          <w:p w14:paraId="6F7DC308">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采用新工艺、新技术、新设备、新材料等的程度满足设计要求，符合施工需要和相应技术标准等规定，经济适用得1-2分。</w:t>
            </w:r>
          </w:p>
        </w:tc>
      </w:tr>
      <w:tr w14:paraId="2C5D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3008675B">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48146B59">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3C08DB7F">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78C0713D">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施工现场实施信息化监控和数据处理（2分）</w:t>
            </w:r>
          </w:p>
        </w:tc>
        <w:tc>
          <w:tcPr>
            <w:tcW w:w="4141" w:type="dxa"/>
            <w:vAlign w:val="center"/>
          </w:tcPr>
          <w:p w14:paraId="34CB1124">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施工现场实施信息化监控和数据处理系统布置合理，满足需要得1-2分。</w:t>
            </w:r>
          </w:p>
        </w:tc>
      </w:tr>
      <w:tr w14:paraId="2763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28CC832D">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6A2307B9">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673E24CC">
            <w:pPr>
              <w:adjustRightInd w:val="0"/>
              <w:snapToGrid w:val="0"/>
              <w:spacing w:line="400" w:lineRule="exact"/>
              <w:jc w:val="center"/>
              <w:rPr>
                <w:rFonts w:hint="eastAsia" w:ascii="宋体" w:hAnsi="宋体" w:cs="宋体"/>
                <w:color w:val="auto"/>
                <w:szCs w:val="21"/>
                <w:highlight w:val="none"/>
              </w:rPr>
            </w:pPr>
          </w:p>
        </w:tc>
        <w:tc>
          <w:tcPr>
            <w:tcW w:w="2097" w:type="dxa"/>
            <w:vAlign w:val="center"/>
          </w:tcPr>
          <w:p w14:paraId="1EC0838A">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风险管理措施</w:t>
            </w:r>
          </w:p>
          <w:p w14:paraId="65616141">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（2分）</w:t>
            </w:r>
          </w:p>
        </w:tc>
        <w:tc>
          <w:tcPr>
            <w:tcW w:w="4141" w:type="dxa"/>
            <w:vAlign w:val="center"/>
          </w:tcPr>
          <w:p w14:paraId="7FD28DA3">
            <w:pPr>
              <w:keepNext w:val="0"/>
              <w:keepLines w:val="0"/>
              <w:pageBreakBefore w:val="0"/>
              <w:widowControl w:val="0"/>
              <w:kinsoku/>
              <w:wordWrap/>
              <w:overflowPunct/>
              <w:topLinePunct w:val="0"/>
              <w:bidi w:val="0"/>
              <w:spacing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风险防控管理措施齐全，风险预控符合规范要求，风险控制要点定位准确，各阶段风险控制及应急措施得力得1-2分。</w:t>
            </w:r>
          </w:p>
        </w:tc>
      </w:tr>
      <w:tr w14:paraId="4669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01B902E3">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tcPr>
          <w:p w14:paraId="41B180D3">
            <w:pPr>
              <w:pStyle w:val="53"/>
              <w:wordWrap w:val="0"/>
              <w:topLinePunct/>
              <w:adjustRightInd w:val="0"/>
              <w:snapToGrid w:val="0"/>
              <w:spacing w:line="400" w:lineRule="exact"/>
              <w:jc w:val="left"/>
              <w:rPr>
                <w:rFonts w:hint="eastAsia"/>
                <w:color w:val="auto"/>
                <w:szCs w:val="21"/>
                <w:highlight w:val="none"/>
              </w:rPr>
            </w:pPr>
          </w:p>
        </w:tc>
        <w:tc>
          <w:tcPr>
            <w:tcW w:w="1167" w:type="dxa"/>
            <w:vMerge w:val="continue"/>
            <w:vAlign w:val="center"/>
          </w:tcPr>
          <w:p w14:paraId="1A69579F">
            <w:pPr>
              <w:adjustRightInd w:val="0"/>
              <w:snapToGrid w:val="0"/>
              <w:spacing w:line="400" w:lineRule="exact"/>
              <w:jc w:val="center"/>
              <w:rPr>
                <w:rFonts w:hint="eastAsia" w:ascii="宋体" w:hAnsi="宋体" w:cs="宋体"/>
                <w:color w:val="auto"/>
                <w:szCs w:val="21"/>
                <w:highlight w:val="none"/>
              </w:rPr>
            </w:pPr>
          </w:p>
        </w:tc>
        <w:tc>
          <w:tcPr>
            <w:tcW w:w="6238" w:type="dxa"/>
            <w:gridSpan w:val="2"/>
            <w:vAlign w:val="center"/>
          </w:tcPr>
          <w:p w14:paraId="05F69871">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备注：以上如有缺项不得分。</w:t>
            </w:r>
          </w:p>
        </w:tc>
      </w:tr>
      <w:tr w14:paraId="5821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83" w:type="dxa"/>
            <w:vMerge w:val="restart"/>
            <w:vAlign w:val="center"/>
          </w:tcPr>
          <w:p w14:paraId="33CC7ED0">
            <w:pPr>
              <w:wordWrap w:val="0"/>
              <w:topLinePunct/>
              <w:adjustRightInd w:val="0"/>
              <w:snapToGrid w:val="0"/>
              <w:spacing w:line="400" w:lineRule="exact"/>
              <w:jc w:val="center"/>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4（3）</w:t>
            </w:r>
          </w:p>
        </w:tc>
        <w:tc>
          <w:tcPr>
            <w:tcW w:w="1089" w:type="dxa"/>
            <w:vMerge w:val="restart"/>
            <w:vAlign w:val="center"/>
          </w:tcPr>
          <w:p w14:paraId="19AD4A93">
            <w:pPr>
              <w:wordWrap w:val="0"/>
              <w:topLinePunct/>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综合标（20分）</w:t>
            </w:r>
          </w:p>
          <w:p w14:paraId="7D7ABEDD">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5DEBC232">
            <w:pPr>
              <w:adjustRightInd w:val="0"/>
              <w:snapToGrid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企业业绩</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9分</w:t>
            </w:r>
            <w:r>
              <w:rPr>
                <w:rFonts w:hint="eastAsia" w:ascii="宋体" w:hAnsi="宋体" w:cs="宋体"/>
                <w:color w:val="auto"/>
                <w:szCs w:val="21"/>
                <w:highlight w:val="none"/>
                <w:lang w:eastAsia="zh-CN"/>
              </w:rPr>
              <w:t>）</w:t>
            </w:r>
          </w:p>
        </w:tc>
        <w:tc>
          <w:tcPr>
            <w:tcW w:w="6238" w:type="dxa"/>
            <w:gridSpan w:val="2"/>
            <w:vAlign w:val="center"/>
          </w:tcPr>
          <w:p w14:paraId="79032B0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自2023年1月1日以来投标人（联合体投标的联合体牵头人或联合体成员均可）承揽过类似项目（指市政公用工程</w:t>
            </w:r>
            <w:r>
              <w:rPr>
                <w:rFonts w:hint="eastAsia" w:ascii="宋体" w:hAnsi="宋体" w:cs="宋体"/>
                <w:color w:val="auto"/>
                <w:szCs w:val="21"/>
                <w:highlight w:val="none"/>
                <w:lang w:val="en-US" w:eastAsia="zh-CN"/>
              </w:rPr>
              <w:t>或装饰装修工程</w:t>
            </w:r>
            <w:r>
              <w:rPr>
                <w:rFonts w:hint="eastAsia" w:ascii="宋体" w:hAnsi="宋体" w:cs="宋体"/>
                <w:color w:val="auto"/>
                <w:szCs w:val="21"/>
                <w:highlight w:val="none"/>
              </w:rPr>
              <w:t>）设计或施工或EPC（含联合体业绩）的得3分，最高得9分（提供中标通知书</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及中标公示网页截图</w:t>
            </w:r>
            <w:r>
              <w:rPr>
                <w:rFonts w:hint="eastAsia" w:ascii="宋体" w:hAnsi="宋体" w:cs="宋体"/>
                <w:color w:val="auto"/>
                <w:szCs w:val="21"/>
                <w:highlight w:val="none"/>
              </w:rPr>
              <w:t>，时间以合同签订时间为准，扫描后上传诚信库，并编制在投标文件内，未提供者不得分）；</w:t>
            </w:r>
          </w:p>
        </w:tc>
      </w:tr>
      <w:tr w14:paraId="6DD4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03779067">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41E92483">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08DFC38B">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服务承诺</w:t>
            </w:r>
          </w:p>
          <w:p w14:paraId="19197121">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Times New Roman"/>
                <w:color w:val="auto"/>
                <w:highlight w:val="none"/>
                <w:lang w:val="en-US" w:eastAsia="zh-CN"/>
              </w:rPr>
              <w:t>（5分）</w:t>
            </w:r>
          </w:p>
        </w:tc>
        <w:tc>
          <w:tcPr>
            <w:tcW w:w="6238" w:type="dxa"/>
            <w:gridSpan w:val="2"/>
            <w:vAlign w:val="center"/>
          </w:tcPr>
          <w:p w14:paraId="1C8079AD">
            <w:pPr>
              <w:pStyle w:val="2"/>
              <w:keepNext w:val="0"/>
              <w:keepLines w:val="0"/>
              <w:pageBreakBefore w:val="0"/>
              <w:widowControl w:val="0"/>
              <w:kinsoku/>
              <w:wordWrap/>
              <w:overflowPunct/>
              <w:topLinePunct w:val="0"/>
              <w:bidi w:val="0"/>
              <w:spacing w:after="0" w:afterLines="0" w:line="400" w:lineRule="exact"/>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（1）保证节假日不停工，能保证施工连续进行，确保总工期不拖延。1-2分；</w:t>
            </w:r>
          </w:p>
          <w:p w14:paraId="50DDB3E3">
            <w:pPr>
              <w:pStyle w:val="2"/>
              <w:keepNext w:val="0"/>
              <w:keepLines w:val="0"/>
              <w:pageBreakBefore w:val="0"/>
              <w:widowControl w:val="0"/>
              <w:kinsoku/>
              <w:wordWrap/>
              <w:overflowPunct/>
              <w:topLinePunct w:val="0"/>
              <w:bidi w:val="0"/>
              <w:spacing w:after="0" w:afterLines="0" w:line="400" w:lineRule="exact"/>
              <w:ind w:left="0" w:leftChars="0" w:right="0" w:right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（2）施工期间，加强安全防护措施，施工现场符合安全文明施工标准，保证不发生各种安全事故，1-3分</w:t>
            </w:r>
            <w:r>
              <w:rPr>
                <w:rFonts w:hint="eastAsia" w:ascii="宋体" w:hAnsi="宋体" w:eastAsia="宋体" w:cs="宋体"/>
                <w:b/>
                <w:bCs/>
                <w:color w:val="auto"/>
                <w:kern w:val="2"/>
                <w:sz w:val="21"/>
                <w:szCs w:val="21"/>
                <w:highlight w:val="none"/>
                <w:lang w:val="en-US" w:eastAsia="zh-CN" w:bidi="ar-SA"/>
              </w:rPr>
              <w:t>（若为联合投标，由联合投标体施工单位提供)。</w:t>
            </w:r>
          </w:p>
          <w:p w14:paraId="6045F971">
            <w:pPr>
              <w:pStyle w:val="22"/>
              <w:jc w:val="both"/>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未提供者不得分。</w:t>
            </w:r>
          </w:p>
        </w:tc>
      </w:tr>
      <w:tr w14:paraId="500F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4B1E31A5">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48A5FC3A">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5F4B6D35">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ascii="宋体" w:hAnsi="宋体" w:eastAsia="宋体" w:cs="Times New Roman"/>
                <w:color w:val="auto"/>
                <w:highlight w:val="none"/>
              </w:rPr>
              <w:t>履职尽责承诺（</w:t>
            </w:r>
            <w:r>
              <w:rPr>
                <w:rFonts w:hint="eastAsia" w:ascii="宋体" w:hAnsi="宋体" w:eastAsia="宋体" w:cs="Times New Roman"/>
                <w:color w:val="auto"/>
                <w:highlight w:val="none"/>
                <w:lang w:val="en-US" w:eastAsia="zh-CN"/>
              </w:rPr>
              <w:t>3</w:t>
            </w:r>
            <w:r>
              <w:rPr>
                <w:rFonts w:ascii="宋体" w:hAnsi="宋体" w:eastAsia="宋体" w:cs="Times New Roman"/>
                <w:color w:val="auto"/>
                <w:highlight w:val="none"/>
              </w:rPr>
              <w:t>分）</w:t>
            </w:r>
          </w:p>
        </w:tc>
        <w:tc>
          <w:tcPr>
            <w:tcW w:w="6238" w:type="dxa"/>
            <w:gridSpan w:val="2"/>
            <w:vAlign w:val="center"/>
          </w:tcPr>
          <w:p w14:paraId="3676A00E">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履职尽责承诺：具有全面、详实、可行、合法有效的书面保证技术措施落实到位的承诺和落实不到位的处理承诺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1-3分。</w:t>
            </w:r>
            <w:r>
              <w:rPr>
                <w:rFonts w:hint="eastAsia" w:ascii="宋体" w:hAnsi="宋体" w:eastAsia="宋体" w:cs="宋体"/>
                <w:color w:val="auto"/>
                <w:szCs w:val="21"/>
                <w:highlight w:val="none"/>
              </w:rPr>
              <w:t>未提供者不得分</w:t>
            </w:r>
            <w:r>
              <w:rPr>
                <w:rFonts w:hint="eastAsia" w:ascii="宋体" w:hAnsi="宋体" w:eastAsia="宋体" w:cs="宋体"/>
                <w:color w:val="auto"/>
                <w:highlight w:val="none"/>
              </w:rPr>
              <w:t>。</w:t>
            </w:r>
          </w:p>
          <w:p w14:paraId="4E5E0401">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eastAsia="宋体" w:cs="宋体"/>
                <w:b/>
                <w:bCs/>
                <w:color w:val="auto"/>
                <w:szCs w:val="21"/>
                <w:highlight w:val="none"/>
              </w:rPr>
              <w:t>（若为联合投标，由联合投标体施工单位提供)。</w:t>
            </w:r>
          </w:p>
        </w:tc>
      </w:tr>
      <w:tr w14:paraId="381F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 w:type="dxa"/>
            <w:vMerge w:val="continue"/>
            <w:vAlign w:val="center"/>
          </w:tcPr>
          <w:p w14:paraId="6DC2B42C">
            <w:pPr>
              <w:wordWrap w:val="0"/>
              <w:topLinePunct/>
              <w:adjustRightInd w:val="0"/>
              <w:snapToGrid w:val="0"/>
              <w:spacing w:line="400" w:lineRule="exact"/>
              <w:jc w:val="center"/>
              <w:rPr>
                <w:rFonts w:hint="eastAsia" w:ascii="宋体" w:hAnsi="宋体" w:cs="宋体"/>
                <w:color w:val="auto"/>
                <w:szCs w:val="21"/>
                <w:highlight w:val="none"/>
              </w:rPr>
            </w:pPr>
          </w:p>
        </w:tc>
        <w:tc>
          <w:tcPr>
            <w:tcW w:w="1089" w:type="dxa"/>
            <w:vMerge w:val="continue"/>
            <w:vAlign w:val="center"/>
          </w:tcPr>
          <w:p w14:paraId="540E35B5">
            <w:pPr>
              <w:wordWrap w:val="0"/>
              <w:topLinePunct/>
              <w:adjustRightInd w:val="0"/>
              <w:snapToGrid w:val="0"/>
              <w:spacing w:line="400" w:lineRule="exact"/>
              <w:jc w:val="center"/>
              <w:rPr>
                <w:rFonts w:hint="eastAsia" w:ascii="宋体" w:hAnsi="宋体" w:cs="宋体"/>
                <w:color w:val="auto"/>
                <w:szCs w:val="21"/>
                <w:highlight w:val="none"/>
              </w:rPr>
            </w:pPr>
          </w:p>
        </w:tc>
        <w:tc>
          <w:tcPr>
            <w:tcW w:w="1167" w:type="dxa"/>
            <w:vAlign w:val="center"/>
          </w:tcPr>
          <w:p w14:paraId="1F1935E8">
            <w:pPr>
              <w:keepNext w:val="0"/>
              <w:keepLines w:val="0"/>
              <w:pageBreakBefore w:val="0"/>
              <w:widowControl w:val="0"/>
              <w:kinsoku/>
              <w:wordWrap/>
              <w:overflowPunct/>
              <w:topLinePunct w:val="0"/>
              <w:bidi w:val="0"/>
              <w:spacing w:line="400" w:lineRule="exact"/>
              <w:ind w:left="0" w:leftChars="0" w:right="0" w:rightChars="0"/>
              <w:jc w:val="center"/>
              <w:textAlignment w:val="auto"/>
              <w:rPr>
                <w:rFonts w:ascii="宋体" w:hAnsi="宋体" w:eastAsia="宋体" w:cs="Times New Roman"/>
                <w:color w:val="auto"/>
                <w:highlight w:val="none"/>
              </w:rPr>
            </w:pPr>
            <w:r>
              <w:rPr>
                <w:rFonts w:ascii="宋体" w:hAnsi="宋体" w:eastAsia="宋体" w:cs="Times New Roman"/>
                <w:color w:val="auto"/>
                <w:highlight w:val="none"/>
              </w:rPr>
              <w:t>优惠承诺</w:t>
            </w:r>
          </w:p>
          <w:p w14:paraId="382FE4EE">
            <w:pPr>
              <w:keepNext w:val="0"/>
              <w:keepLines w:val="0"/>
              <w:pageBreakBefore w:val="0"/>
              <w:widowControl w:val="0"/>
              <w:kinsoku/>
              <w:wordWrap/>
              <w:overflowPunct/>
              <w:topLinePunct w:val="0"/>
              <w:bidi w:val="0"/>
              <w:spacing w:line="400" w:lineRule="exact"/>
              <w:ind w:left="0" w:leftChars="0" w:right="0" w:rightChars="0"/>
              <w:jc w:val="center"/>
              <w:textAlignment w:val="auto"/>
              <w:rPr>
                <w:rFonts w:hint="eastAsia" w:ascii="宋体" w:hAnsi="宋体" w:cs="宋体"/>
                <w:color w:val="auto"/>
                <w:szCs w:val="21"/>
                <w:highlight w:val="none"/>
              </w:rPr>
            </w:pPr>
            <w:r>
              <w:rPr>
                <w:rFonts w:ascii="宋体" w:hAnsi="宋体" w:eastAsia="宋体" w:cs="Times New Roman"/>
                <w:color w:val="auto"/>
                <w:highlight w:val="none"/>
              </w:rPr>
              <w:t>（</w:t>
            </w:r>
            <w:r>
              <w:rPr>
                <w:rFonts w:hint="eastAsia" w:ascii="宋体" w:hAnsi="宋体" w:eastAsia="宋体" w:cs="Times New Roman"/>
                <w:color w:val="auto"/>
                <w:highlight w:val="none"/>
                <w:lang w:val="en-US" w:eastAsia="zh-CN"/>
              </w:rPr>
              <w:t>3</w:t>
            </w:r>
            <w:r>
              <w:rPr>
                <w:rFonts w:ascii="宋体" w:hAnsi="宋体" w:eastAsia="宋体" w:cs="Times New Roman"/>
                <w:color w:val="auto"/>
                <w:highlight w:val="none"/>
              </w:rPr>
              <w:t>分）</w:t>
            </w:r>
          </w:p>
        </w:tc>
        <w:tc>
          <w:tcPr>
            <w:tcW w:w="6238" w:type="dxa"/>
            <w:gridSpan w:val="2"/>
            <w:vAlign w:val="center"/>
          </w:tcPr>
          <w:p w14:paraId="0E528A8C">
            <w:pPr>
              <w:keepNext w:val="0"/>
              <w:keepLines w:val="0"/>
              <w:pageBreakBefore w:val="0"/>
              <w:widowControl w:val="0"/>
              <w:kinsoku/>
              <w:wordWrap/>
              <w:overflowPunct/>
              <w:topLinePunct w:val="0"/>
              <w:bidi w:val="0"/>
              <w:spacing w:line="400" w:lineRule="exact"/>
              <w:ind w:left="0" w:leftChars="0" w:right="0" w:rightChars="0"/>
              <w:textAlignment w:val="auto"/>
              <w:rPr>
                <w:rFonts w:hint="eastAsia" w:ascii="宋体" w:hAnsi="宋体" w:cs="宋体"/>
                <w:b/>
                <w:bCs/>
                <w:color w:val="auto"/>
                <w:szCs w:val="21"/>
                <w:highlight w:val="none"/>
              </w:rPr>
            </w:pPr>
            <w:r>
              <w:rPr>
                <w:color w:val="auto"/>
                <w:highlight w:val="none"/>
              </w:rPr>
              <w:t>优</w:t>
            </w:r>
            <w:r>
              <w:rPr>
                <w:color w:val="auto"/>
                <w:szCs w:val="21"/>
                <w:highlight w:val="none"/>
              </w:rPr>
              <w:t>惠承诺：符合工程实际情况，确保依法依规，优惠基本合理，基本详实可行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1-3</w:t>
            </w:r>
            <w:r>
              <w:rPr>
                <w:rFonts w:hint="eastAsia"/>
                <w:color w:val="auto"/>
                <w:szCs w:val="21"/>
                <w:highlight w:val="none"/>
                <w:lang w:val="en-US" w:eastAsia="zh-CN"/>
              </w:rPr>
              <w:t>分。</w:t>
            </w:r>
            <w:r>
              <w:rPr>
                <w:color w:val="auto"/>
                <w:szCs w:val="21"/>
                <w:highlight w:val="none"/>
              </w:rPr>
              <w:t>未提供者不得分。</w:t>
            </w:r>
            <w:r>
              <w:rPr>
                <w:b/>
                <w:bCs/>
                <w:color w:val="auto"/>
                <w:szCs w:val="21"/>
                <w:highlight w:val="none"/>
              </w:rPr>
              <w:t>（若为联合投标，由联合投标体施工单位提供)。</w:t>
            </w:r>
          </w:p>
        </w:tc>
      </w:tr>
    </w:tbl>
    <w:p w14:paraId="56BCA1F1">
      <w:pPr>
        <w:pStyle w:val="8"/>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171" w:name="_Toc1013"/>
      <w:r>
        <w:rPr>
          <w:rFonts w:hint="eastAsia" w:asciiTheme="minorEastAsia" w:hAnsiTheme="minorEastAsia" w:eastAsiaTheme="minorEastAsia" w:cstheme="minorEastAsia"/>
          <w:color w:val="auto"/>
          <w:sz w:val="21"/>
          <w:szCs w:val="21"/>
          <w:highlight w:val="none"/>
        </w:rPr>
        <w:t>1. 评标方法</w:t>
      </w:r>
      <w:bookmarkEnd w:id="165"/>
      <w:bookmarkEnd w:id="166"/>
      <w:bookmarkEnd w:id="167"/>
      <w:bookmarkEnd w:id="168"/>
      <w:bookmarkEnd w:id="169"/>
      <w:bookmarkEnd w:id="170"/>
      <w:bookmarkEnd w:id="171"/>
    </w:p>
    <w:p w14:paraId="41664B56">
      <w:pPr>
        <w:pStyle w:val="8"/>
        <w:wordWrap w:val="0"/>
        <w:topLinePunct/>
        <w:adjustRightInd w:val="0"/>
        <w:snapToGrid w:val="0"/>
        <w:spacing w:before="0" w:after="0" w:line="360" w:lineRule="auto"/>
        <w:ind w:firstLine="420" w:firstLineChars="200"/>
        <w:rPr>
          <w:rFonts w:hint="eastAsia" w:asciiTheme="minorEastAsia" w:hAnsiTheme="minorEastAsia" w:eastAsiaTheme="minorEastAsia" w:cstheme="minorEastAsia"/>
          <w:b w:val="0"/>
          <w:bCs w:val="0"/>
          <w:color w:val="auto"/>
          <w:sz w:val="21"/>
          <w:szCs w:val="21"/>
          <w:highlight w:val="none"/>
        </w:rPr>
      </w:pPr>
      <w:bookmarkStart w:id="172" w:name="_Toc11143"/>
      <w:bookmarkStart w:id="173" w:name="_Toc12213"/>
      <w:bookmarkStart w:id="174" w:name="_Toc24072"/>
      <w:bookmarkStart w:id="175" w:name="_Toc28076"/>
      <w:bookmarkStart w:id="176" w:name="_Toc247514025"/>
      <w:bookmarkStart w:id="177" w:name="_Toc247527626"/>
      <w:bookmarkStart w:id="178" w:name="_Toc152042378"/>
      <w:bookmarkStart w:id="179" w:name="_Toc12842"/>
      <w:bookmarkStart w:id="180" w:name="_Toc144974568"/>
      <w:bookmarkStart w:id="181" w:name="_Toc15301"/>
      <w:bookmarkStart w:id="182" w:name="_Toc15513"/>
      <w:bookmarkStart w:id="183" w:name="_Toc32258"/>
      <w:bookmarkStart w:id="184" w:name="_Toc27572"/>
      <w:bookmarkStart w:id="185" w:name="_Toc152045601"/>
      <w:bookmarkStart w:id="186" w:name="_Toc300835011"/>
      <w:bookmarkStart w:id="187" w:name="_Toc7913"/>
      <w:bookmarkStart w:id="188" w:name="_Toc21167"/>
      <w:r>
        <w:rPr>
          <w:rFonts w:hint="eastAsia" w:asciiTheme="minorEastAsia" w:hAnsiTheme="minorEastAsia" w:eastAsiaTheme="minorEastAsia" w:cstheme="minorEastAsia"/>
          <w:b w:val="0"/>
          <w:bCs w:val="0"/>
          <w:color w:val="auto"/>
          <w:sz w:val="21"/>
          <w:szCs w:val="21"/>
          <w:highlight w:val="none"/>
        </w:rPr>
        <w:t>本次评标采用合格制+综合评审。评标委员会对满足招标文件实质性要求的投标文件，按照本章规定的评分标准进行打分，按照综合得分由高到低排名推荐招标文件规定数量的不排序的中标候选人名单。</w:t>
      </w:r>
    </w:p>
    <w:bookmarkEnd w:id="172"/>
    <w:bookmarkEnd w:id="173"/>
    <w:bookmarkEnd w:id="174"/>
    <w:p w14:paraId="28897475">
      <w:pPr>
        <w:pStyle w:val="8"/>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189" w:name="_Toc28708"/>
      <w:bookmarkStart w:id="190" w:name="_Toc2498"/>
      <w:r>
        <w:rPr>
          <w:rFonts w:hint="eastAsia" w:asciiTheme="minorEastAsia" w:hAnsiTheme="minorEastAsia" w:eastAsiaTheme="minorEastAsia" w:cstheme="minorEastAsia"/>
          <w:color w:val="auto"/>
          <w:sz w:val="21"/>
          <w:szCs w:val="21"/>
          <w:highlight w:val="none"/>
        </w:rPr>
        <w:t>2. 评审标准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5C4091F">
      <w:pPr>
        <w:pStyle w:val="10"/>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191" w:name="_Toc144974569"/>
      <w:bookmarkStart w:id="192" w:name="_Toc152042379"/>
      <w:bookmarkStart w:id="193" w:name="_Toc247514026"/>
      <w:bookmarkStart w:id="194" w:name="_Toc23170"/>
      <w:bookmarkStart w:id="195" w:name="_Toc247527627"/>
      <w:bookmarkStart w:id="196" w:name="_Toc6433"/>
      <w:bookmarkStart w:id="197" w:name="_Toc300835012"/>
      <w:bookmarkStart w:id="198" w:name="_Toc152045602"/>
      <w:bookmarkStart w:id="199" w:name="_Toc5885"/>
      <w:r>
        <w:rPr>
          <w:rFonts w:hint="eastAsia" w:asciiTheme="minorEastAsia" w:hAnsiTheme="minorEastAsia" w:eastAsiaTheme="minorEastAsia" w:cstheme="minorEastAsia"/>
          <w:color w:val="auto"/>
          <w:sz w:val="21"/>
          <w:szCs w:val="21"/>
          <w:highlight w:val="none"/>
        </w:rPr>
        <w:t>2.1 初步评审标准</w:t>
      </w:r>
      <w:bookmarkEnd w:id="191"/>
      <w:bookmarkEnd w:id="192"/>
      <w:bookmarkEnd w:id="193"/>
      <w:bookmarkEnd w:id="194"/>
      <w:bookmarkEnd w:id="195"/>
      <w:bookmarkEnd w:id="196"/>
      <w:bookmarkEnd w:id="197"/>
      <w:bookmarkEnd w:id="198"/>
      <w:bookmarkEnd w:id="199"/>
    </w:p>
    <w:p w14:paraId="492F1A01">
      <w:pPr>
        <w:wordWrap w:val="0"/>
        <w:topLinePunct/>
        <w:adjustRightInd w:val="0"/>
        <w:snapToGrid w:val="0"/>
        <w:spacing w:line="360" w:lineRule="auto"/>
        <w:ind w:left="3990" w:leftChars="200" w:hanging="3570" w:hangingChars="17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 形式评审标准：见评标办法前附表。</w:t>
      </w:r>
    </w:p>
    <w:p w14:paraId="2B69F6C8">
      <w:pPr>
        <w:wordWrap w:val="0"/>
        <w:topLinePunct/>
        <w:adjustRightInd w:val="0"/>
        <w:snapToGrid w:val="0"/>
        <w:spacing w:line="360" w:lineRule="auto"/>
        <w:ind w:left="3990" w:leftChars="200" w:hanging="3570" w:hangingChars="17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 资格评审标准：见评标办法前附表。</w:t>
      </w:r>
    </w:p>
    <w:p w14:paraId="5F53D344">
      <w:pPr>
        <w:wordWrap w:val="0"/>
        <w:topLinePunct/>
        <w:adjustRightInd w:val="0"/>
        <w:snapToGrid w:val="0"/>
        <w:spacing w:line="360" w:lineRule="auto"/>
        <w:ind w:left="3990" w:leftChars="200" w:hanging="3570" w:hangingChars="17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 响应性评审标准：见评标办法前附表。</w:t>
      </w:r>
    </w:p>
    <w:p w14:paraId="21910C16">
      <w:pPr>
        <w:pStyle w:val="8"/>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00" w:name="_Toc247527628"/>
      <w:bookmarkStart w:id="201" w:name="_Toc28715"/>
      <w:bookmarkStart w:id="202" w:name="_Toc144974570"/>
      <w:bookmarkStart w:id="203" w:name="_Toc152045603"/>
      <w:bookmarkStart w:id="204" w:name="_Toc25649"/>
      <w:bookmarkStart w:id="205" w:name="_Toc247514027"/>
      <w:bookmarkStart w:id="206" w:name="_Toc19522"/>
      <w:bookmarkStart w:id="207" w:name="_Toc300835013"/>
      <w:bookmarkStart w:id="208" w:name="_Toc152042380"/>
      <w:bookmarkStart w:id="209" w:name="_Toc27005"/>
      <w:bookmarkStart w:id="210" w:name="_Toc26841"/>
      <w:bookmarkStart w:id="211" w:name="_Toc19041"/>
      <w:r>
        <w:rPr>
          <w:rFonts w:hint="eastAsia" w:asciiTheme="minorEastAsia" w:hAnsiTheme="minorEastAsia" w:eastAsiaTheme="minorEastAsia" w:cstheme="minorEastAsia"/>
          <w:color w:val="auto"/>
          <w:sz w:val="21"/>
          <w:szCs w:val="21"/>
          <w:highlight w:val="none"/>
        </w:rPr>
        <w:t>2.2 推荐中标候选人数量</w:t>
      </w:r>
    </w:p>
    <w:p w14:paraId="75538523">
      <w:pPr>
        <w:pStyle w:val="8"/>
        <w:adjustRightInd w:val="0"/>
        <w:snapToGrid w:val="0"/>
        <w:spacing w:before="0" w:after="0" w:line="360" w:lineRule="auto"/>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推荐中标候选人数量：见评标办法前附表。</w:t>
      </w:r>
    </w:p>
    <w:p w14:paraId="309B6342">
      <w:pPr>
        <w:pStyle w:val="8"/>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bookmarkEnd w:id="200"/>
      <w:bookmarkEnd w:id="201"/>
      <w:bookmarkEnd w:id="202"/>
      <w:bookmarkEnd w:id="203"/>
      <w:bookmarkEnd w:id="204"/>
      <w:bookmarkEnd w:id="205"/>
      <w:bookmarkEnd w:id="206"/>
      <w:bookmarkEnd w:id="207"/>
      <w:bookmarkEnd w:id="208"/>
      <w:bookmarkEnd w:id="209"/>
      <w:bookmarkStart w:id="212" w:name="_Toc18175"/>
      <w:bookmarkStart w:id="213" w:name="_Toc152042381"/>
      <w:bookmarkStart w:id="214" w:name="_Toc247527629"/>
      <w:bookmarkStart w:id="215" w:name="_Toc7907"/>
      <w:bookmarkStart w:id="216" w:name="_Toc247514028"/>
      <w:bookmarkStart w:id="217" w:name="_Toc152045604"/>
      <w:bookmarkStart w:id="218" w:name="_Toc300835014"/>
      <w:bookmarkStart w:id="219" w:name="_Toc13940"/>
      <w:bookmarkStart w:id="220" w:name="_Toc144974571"/>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详细评审标准</w:t>
      </w:r>
      <w:bookmarkEnd w:id="210"/>
      <w:bookmarkEnd w:id="211"/>
    </w:p>
    <w:p w14:paraId="60DD4F23">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.1 分值构成</w:t>
      </w:r>
    </w:p>
    <w:p w14:paraId="17DC1F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（1）商务标：见评标办法前附表；</w:t>
      </w:r>
    </w:p>
    <w:p w14:paraId="7759F30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（2）技术标：见评标办法前附表；</w:t>
      </w:r>
    </w:p>
    <w:p w14:paraId="2B84E83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（3）综合标：见评标办法前附表。</w:t>
      </w:r>
    </w:p>
    <w:p w14:paraId="2577C64F">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.2 评分标准</w:t>
      </w:r>
    </w:p>
    <w:p w14:paraId="351205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评标基准价计算方法：见评标办法前附表。</w:t>
      </w:r>
    </w:p>
    <w:p w14:paraId="009D248A">
      <w:pPr>
        <w:spacing w:line="360" w:lineRule="auto"/>
        <w:ind w:firstLine="630" w:firstLineChars="300"/>
        <w:rPr>
          <w:rFonts w:hint="eastAsia" w:ascii="宋体" w:hAnsi="宋体" w:eastAsia="宋体" w:cs="宋体"/>
          <w:color w:val="auto"/>
          <w:highlight w:val="none"/>
          <w:lang w:eastAsia="zh-CN"/>
        </w:rPr>
      </w:pPr>
      <w:r>
        <w:rPr>
          <w:rFonts w:hint="eastAsia" w:ascii="宋体" w:hAnsi="宋体" w:eastAsia="宋体" w:cs="宋体"/>
          <w:color w:val="auto"/>
          <w:highlight w:val="none"/>
        </w:rPr>
        <w:t>2.3.3 投标报价的偏差率计算：见评标办法前附表</w:t>
      </w:r>
      <w:r>
        <w:rPr>
          <w:rFonts w:hint="eastAsia" w:ascii="宋体" w:hAnsi="宋体" w:cs="宋体"/>
          <w:color w:val="auto"/>
          <w:highlight w:val="none"/>
          <w:lang w:eastAsia="zh-CN"/>
        </w:rPr>
        <w:t>。</w:t>
      </w:r>
    </w:p>
    <w:p w14:paraId="5C4BC6F5">
      <w:pPr>
        <w:pStyle w:val="25"/>
        <w:ind w:left="0" w:leftChars="0"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.4 评分标准</w:t>
      </w:r>
    </w:p>
    <w:p w14:paraId="0B169D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（1）商务标评审：见评标办法前附表；</w:t>
      </w:r>
    </w:p>
    <w:p w14:paraId="38B91A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（2）技术标评审：见评标办法前附表；</w:t>
      </w:r>
    </w:p>
    <w:p w14:paraId="2329FDEB">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（3）综合标评审：见评标办法前附表</w:t>
      </w:r>
      <w:r>
        <w:rPr>
          <w:rFonts w:hint="eastAsia" w:ascii="宋体" w:hAnsi="宋体" w:cs="宋体"/>
          <w:color w:val="auto"/>
          <w:highlight w:val="none"/>
          <w:lang w:eastAsia="zh-CN"/>
        </w:rPr>
        <w:t>。</w:t>
      </w:r>
    </w:p>
    <w:p w14:paraId="451652BD">
      <w:pPr>
        <w:pStyle w:val="8"/>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21" w:name="_Toc19560"/>
      <w:bookmarkStart w:id="222" w:name="_Toc23841"/>
      <w:bookmarkStart w:id="223" w:name="_Toc20898"/>
      <w:bookmarkStart w:id="224" w:name="_Toc10063"/>
      <w:bookmarkStart w:id="225" w:name="_Toc19182"/>
      <w:bookmarkStart w:id="226" w:name="_Toc5775"/>
      <w:bookmarkStart w:id="227" w:name="_Toc8626"/>
      <w:r>
        <w:rPr>
          <w:rFonts w:hint="eastAsia" w:asciiTheme="minorEastAsia" w:hAnsiTheme="minorEastAsia" w:eastAsiaTheme="minorEastAsia" w:cstheme="minorEastAsia"/>
          <w:color w:val="auto"/>
          <w:sz w:val="21"/>
          <w:szCs w:val="21"/>
          <w:highlight w:val="none"/>
        </w:rPr>
        <w:t>3. 评标程序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23D5DCB">
      <w:pPr>
        <w:pStyle w:val="10"/>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bCs w:val="0"/>
          <w:color w:val="auto"/>
          <w:sz w:val="21"/>
          <w:szCs w:val="21"/>
          <w:highlight w:val="none"/>
        </w:rPr>
      </w:pPr>
      <w:bookmarkStart w:id="228" w:name="_Toc30167"/>
      <w:bookmarkStart w:id="229" w:name="_Toc144974572"/>
      <w:bookmarkStart w:id="230" w:name="_Toc247514029"/>
      <w:bookmarkStart w:id="231" w:name="_Toc247527630"/>
      <w:bookmarkStart w:id="232" w:name="_Toc152042382"/>
      <w:bookmarkStart w:id="233" w:name="_Toc300835015"/>
      <w:bookmarkStart w:id="234" w:name="_Toc28499"/>
      <w:bookmarkStart w:id="235" w:name="_Toc12313"/>
      <w:bookmarkStart w:id="236" w:name="_Toc152045605"/>
      <w:r>
        <w:rPr>
          <w:rFonts w:hint="eastAsia" w:asciiTheme="minorEastAsia" w:hAnsiTheme="minorEastAsia" w:eastAsiaTheme="minorEastAsia" w:cstheme="minorEastAsia"/>
          <w:bCs w:val="0"/>
          <w:color w:val="auto"/>
          <w:sz w:val="21"/>
          <w:szCs w:val="21"/>
          <w:highlight w:val="none"/>
        </w:rPr>
        <w:t>3.1 初步评审</w:t>
      </w:r>
      <w:bookmarkEnd w:id="228"/>
      <w:bookmarkEnd w:id="229"/>
      <w:bookmarkEnd w:id="230"/>
      <w:bookmarkEnd w:id="231"/>
      <w:bookmarkEnd w:id="232"/>
      <w:bookmarkEnd w:id="233"/>
      <w:bookmarkEnd w:id="234"/>
      <w:bookmarkEnd w:id="235"/>
      <w:bookmarkEnd w:id="236"/>
    </w:p>
    <w:p w14:paraId="2B82C799">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3.1.1 评标委员会依据本章第2.1款规定的标准对投标文件进行初步评审。有一项不符合评审标准的，作废标处理。</w:t>
      </w:r>
    </w:p>
    <w:p w14:paraId="79803CF7">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 投标人有以下情形之一的，其投标作废标处理：</w:t>
      </w:r>
    </w:p>
    <w:p w14:paraId="6ADECAE2">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（1）第二章“投标人须知”第1.4.3项规定的任何一种情形的；</w:t>
      </w:r>
    </w:p>
    <w:p w14:paraId="18A36BE9">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（2）在形式评审、资格评审、响应性评审中，评标委员会认定投标人的投标不符合评标办法前附表中规定的任何一项评审标准的。</w:t>
      </w:r>
    </w:p>
    <w:p w14:paraId="14A89C56">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（3）未按招标文件规定编制各项报价的。</w:t>
      </w:r>
    </w:p>
    <w:p w14:paraId="0D501C71">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（4）串通投标或弄虚作假或有其他违法行为的。</w:t>
      </w:r>
    </w:p>
    <w:p w14:paraId="4EE60393">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（5）不按评标委员会要求澄清、说明或补正的。</w:t>
      </w:r>
    </w:p>
    <w:p w14:paraId="227509B2">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（6）投标文件没有对招标文件的实质性要求和条件作出响应。</w:t>
      </w:r>
    </w:p>
    <w:p w14:paraId="5086045C">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3.1.3投标报价有算术错误的，评标委员会按以下原则对投标报价进行修正，修正的价格经投标人确认后具有约束力。投标人不接受修正价格的，其投标作废标处理。</w:t>
      </w:r>
    </w:p>
    <w:p w14:paraId="4CADB2B4">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（1）投标文件中的大写金额与小写金额不一致的，以大写金额为准；</w:t>
      </w:r>
    </w:p>
    <w:p w14:paraId="09850E75">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（2）总价金额与依据单价计算出的结果不一致的，以单价金额为准修正总价，但单价金额小数点有明显错误的除外。</w:t>
      </w:r>
    </w:p>
    <w:p w14:paraId="4B23EA9A">
      <w:pPr>
        <w:pStyle w:val="10"/>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37" w:name="_Toc24030"/>
      <w:bookmarkStart w:id="238" w:name="_Toc247527631"/>
      <w:bookmarkStart w:id="239" w:name="_Toc152042384"/>
      <w:bookmarkStart w:id="240" w:name="_Toc300835016"/>
      <w:bookmarkStart w:id="241" w:name="_Toc7944"/>
      <w:bookmarkStart w:id="242" w:name="_Toc247514030"/>
      <w:bookmarkStart w:id="243" w:name="_Toc152045606"/>
      <w:bookmarkStart w:id="244" w:name="_Toc14801"/>
      <w:bookmarkStart w:id="245" w:name="_Toc144974573"/>
      <w:r>
        <w:rPr>
          <w:rFonts w:hint="eastAsia" w:asciiTheme="minorEastAsia" w:hAnsiTheme="minorEastAsia" w:eastAsiaTheme="minorEastAsia" w:cstheme="minorEastAsia"/>
          <w:color w:val="auto"/>
          <w:sz w:val="21"/>
          <w:szCs w:val="21"/>
          <w:highlight w:val="none"/>
        </w:rPr>
        <w:t>3.2 详细评审</w:t>
      </w:r>
      <w:bookmarkEnd w:id="237"/>
      <w:bookmarkEnd w:id="238"/>
      <w:bookmarkEnd w:id="239"/>
      <w:bookmarkEnd w:id="240"/>
      <w:bookmarkEnd w:id="241"/>
      <w:bookmarkEnd w:id="242"/>
      <w:bookmarkEnd w:id="243"/>
      <w:bookmarkEnd w:id="244"/>
      <w:bookmarkEnd w:id="245"/>
    </w:p>
    <w:p w14:paraId="4516ED7E">
      <w:pPr>
        <w:spacing w:line="360" w:lineRule="auto"/>
        <w:ind w:firstLine="420" w:firstLineChars="200"/>
        <w:rPr>
          <w:rFonts w:hint="eastAsia" w:ascii="宋体" w:hAnsi="宋体" w:cs="宋体"/>
          <w:color w:val="auto"/>
          <w:highlight w:val="none"/>
        </w:rPr>
      </w:pPr>
      <w:bookmarkStart w:id="246" w:name="_Toc144974575"/>
      <w:bookmarkStart w:id="247" w:name="_Toc152045607"/>
      <w:bookmarkStart w:id="248" w:name="_Toc300835017"/>
      <w:bookmarkStart w:id="249" w:name="_Toc14961"/>
      <w:bookmarkStart w:id="250" w:name="_Toc13137"/>
      <w:bookmarkStart w:id="251" w:name="_Toc247527632"/>
      <w:bookmarkStart w:id="252" w:name="_Toc247514031"/>
      <w:bookmarkStart w:id="253" w:name="_Toc152042385"/>
      <w:bookmarkStart w:id="254" w:name="_Toc7547"/>
      <w:r>
        <w:rPr>
          <w:rFonts w:hint="eastAsia" w:ascii="宋体" w:hAnsi="宋体" w:cs="宋体"/>
          <w:color w:val="auto"/>
          <w:highlight w:val="none"/>
        </w:rPr>
        <w:t>3.2.1 评标委员会按本章第2.</w:t>
      </w:r>
      <w:r>
        <w:rPr>
          <w:rFonts w:hint="eastAsia" w:ascii="宋体" w:hAnsi="宋体" w:cs="宋体"/>
          <w:color w:val="auto"/>
          <w:highlight w:val="none"/>
          <w:lang w:val="en-US" w:eastAsia="zh-CN"/>
        </w:rPr>
        <w:t>3.4（1）</w:t>
      </w:r>
      <w:r>
        <w:rPr>
          <w:rFonts w:hint="eastAsia" w:ascii="宋体" w:hAnsi="宋体" w:cs="宋体"/>
          <w:color w:val="auto"/>
          <w:highlight w:val="none"/>
        </w:rPr>
        <w:t>款、第2.</w:t>
      </w:r>
      <w:r>
        <w:rPr>
          <w:rFonts w:hint="eastAsia" w:ascii="宋体" w:hAnsi="宋体" w:cs="宋体"/>
          <w:color w:val="auto"/>
          <w:highlight w:val="none"/>
          <w:lang w:val="en-US" w:eastAsia="zh-CN"/>
        </w:rPr>
        <w:t>3</w:t>
      </w:r>
      <w:r>
        <w:rPr>
          <w:rFonts w:hint="eastAsia" w:ascii="宋体" w:hAnsi="宋体" w:cs="宋体"/>
          <w:color w:val="auto"/>
          <w:highlight w:val="none"/>
        </w:rPr>
        <w:t>.4（</w:t>
      </w:r>
      <w:r>
        <w:rPr>
          <w:rFonts w:hint="eastAsia" w:ascii="宋体" w:hAnsi="宋体" w:cs="宋体"/>
          <w:color w:val="auto"/>
          <w:highlight w:val="none"/>
          <w:lang w:val="en-US" w:eastAsia="zh-CN"/>
        </w:rPr>
        <w:t>2</w:t>
      </w:r>
      <w:r>
        <w:rPr>
          <w:rFonts w:hint="eastAsia" w:ascii="宋体" w:hAnsi="宋体" w:cs="宋体"/>
          <w:color w:val="auto"/>
          <w:highlight w:val="none"/>
        </w:rPr>
        <w:t>）款、第2.</w:t>
      </w:r>
      <w:r>
        <w:rPr>
          <w:rFonts w:hint="eastAsia" w:ascii="宋体" w:hAnsi="宋体" w:cs="宋体"/>
          <w:color w:val="auto"/>
          <w:highlight w:val="none"/>
          <w:lang w:val="en-US" w:eastAsia="zh-CN"/>
        </w:rPr>
        <w:t>3</w:t>
      </w:r>
      <w:r>
        <w:rPr>
          <w:rFonts w:hint="eastAsia" w:ascii="宋体" w:hAnsi="宋体" w:cs="宋体"/>
          <w:color w:val="auto"/>
          <w:highlight w:val="none"/>
        </w:rPr>
        <w:t>.4（</w:t>
      </w:r>
      <w:r>
        <w:rPr>
          <w:rFonts w:hint="eastAsia" w:ascii="宋体" w:hAnsi="宋体" w:cs="宋体"/>
          <w:color w:val="auto"/>
          <w:highlight w:val="none"/>
          <w:lang w:val="en-US" w:eastAsia="zh-CN"/>
        </w:rPr>
        <w:t>3</w:t>
      </w:r>
      <w:r>
        <w:rPr>
          <w:rFonts w:hint="eastAsia" w:ascii="宋体" w:hAnsi="宋体" w:cs="宋体"/>
          <w:color w:val="auto"/>
          <w:highlight w:val="none"/>
        </w:rPr>
        <w:t>）款规定的量化因素和分值对投标人的</w:t>
      </w:r>
      <w:r>
        <w:rPr>
          <w:rFonts w:hint="eastAsia" w:ascii="宋体" w:hAnsi="宋体" w:cs="宋体"/>
          <w:color w:val="auto"/>
          <w:highlight w:val="none"/>
          <w:lang w:val="en-US" w:eastAsia="zh-CN"/>
        </w:rPr>
        <w:t>商务标</w:t>
      </w:r>
      <w:r>
        <w:rPr>
          <w:rFonts w:hint="eastAsia" w:ascii="宋体" w:hAnsi="宋体" w:cs="宋体"/>
          <w:color w:val="auto"/>
          <w:highlight w:val="none"/>
        </w:rPr>
        <w:t>、技术标和综合标进行打分，并计算出综合评估得分。</w:t>
      </w:r>
    </w:p>
    <w:p w14:paraId="15A4B7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14:paraId="014AD0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 评标委员会按照本章第2.2款规定，根据投标人的综合得分情况推荐中标候选人。</w:t>
      </w:r>
    </w:p>
    <w:p w14:paraId="6AFF2439">
      <w:p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3.2.</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评标委员会发现投标人的报价明显低于其他投标报价，使得其投标报价可能低于其个别成本的，评标委员会应当要求其在评标现场（或电子交易系统）合理的时间内提供书面说明（或电子澄清说明文件），必要时提交相关证明材料。投标人不能合理说明或者不能提供相应证明材料的，评标委员会应当认定该投标人以低于成本报价竞标，并否决其投标。</w:t>
      </w:r>
    </w:p>
    <w:p w14:paraId="1D0DE4D2">
      <w:pPr>
        <w:pStyle w:val="10"/>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 投标文件的澄清</w:t>
      </w:r>
      <w:bookmarkEnd w:id="246"/>
      <w:r>
        <w:rPr>
          <w:rFonts w:hint="eastAsia" w:asciiTheme="minorEastAsia" w:hAnsiTheme="minorEastAsia" w:eastAsiaTheme="minorEastAsia" w:cstheme="minorEastAsia"/>
          <w:color w:val="auto"/>
          <w:sz w:val="21"/>
          <w:szCs w:val="21"/>
          <w:highlight w:val="none"/>
        </w:rPr>
        <w:t>和补正</w:t>
      </w:r>
      <w:bookmarkEnd w:id="247"/>
      <w:bookmarkEnd w:id="248"/>
      <w:bookmarkEnd w:id="249"/>
      <w:bookmarkEnd w:id="250"/>
      <w:bookmarkEnd w:id="251"/>
      <w:bookmarkEnd w:id="252"/>
      <w:bookmarkEnd w:id="253"/>
      <w:bookmarkEnd w:id="254"/>
    </w:p>
    <w:p w14:paraId="50A59604">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3.3.1在评标过程中，评标委员会可以要求投标人对所提交投标文件中不明确的内容进行澄清或说明，或者对细微偏差进行补正。评标委员会不接受投标人主动提出的澄清、说明或补正。</w:t>
      </w:r>
    </w:p>
    <w:p w14:paraId="5B00E7A4">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 澄清、说明和补正不得改变投标文件的实质性内容（算术性错误修正的除外）。投标人的澄清、说明和补正属于投标文件的组成部分。</w:t>
      </w:r>
    </w:p>
    <w:p w14:paraId="0D4F9ECD">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3.3.3 评标委员会对投标人提交的澄清、说明或补正有疑问的，可以要求投标人进一步澄清、说明或补正，直至满足评标委员会的要求。</w:t>
      </w:r>
    </w:p>
    <w:p w14:paraId="34FDA08E">
      <w:pPr>
        <w:pStyle w:val="10"/>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55" w:name="_Toc32708"/>
      <w:bookmarkStart w:id="256" w:name="_Toc152042386"/>
      <w:bookmarkStart w:id="257" w:name="_Toc144974576"/>
      <w:bookmarkStart w:id="258" w:name="_Toc300835018"/>
      <w:bookmarkStart w:id="259" w:name="_Toc30936"/>
      <w:bookmarkStart w:id="260" w:name="_Toc247514032"/>
      <w:bookmarkStart w:id="261" w:name="_Toc4537"/>
      <w:bookmarkStart w:id="262" w:name="_Toc247527633"/>
      <w:bookmarkStart w:id="263" w:name="_Toc152045608"/>
      <w:r>
        <w:rPr>
          <w:rFonts w:hint="eastAsia" w:asciiTheme="minorEastAsia" w:hAnsiTheme="minorEastAsia" w:eastAsiaTheme="minorEastAsia" w:cstheme="minorEastAsia"/>
          <w:color w:val="auto"/>
          <w:sz w:val="21"/>
          <w:szCs w:val="21"/>
          <w:highlight w:val="none"/>
        </w:rPr>
        <w:t>3.4评标结果</w:t>
      </w:r>
      <w:bookmarkEnd w:id="255"/>
      <w:bookmarkEnd w:id="256"/>
      <w:bookmarkEnd w:id="257"/>
      <w:bookmarkEnd w:id="258"/>
      <w:bookmarkEnd w:id="259"/>
      <w:bookmarkEnd w:id="260"/>
      <w:bookmarkEnd w:id="261"/>
      <w:bookmarkEnd w:id="262"/>
      <w:bookmarkEnd w:id="263"/>
    </w:p>
    <w:p w14:paraId="4358F5F5">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 评标委员会完成评标后，应当向招标人提交书面评标报告，推荐中标候选人。</w:t>
      </w:r>
    </w:p>
    <w:p w14:paraId="71BE5F90">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3.4.2 招标人应当自收到评审报告之日起</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日内对评审结果（中标候选人）进行公示，公示期不少于 3 日。中标候选人公示应当载明所有投标人情况、推荐的中标候选人情况（包括项目投标信息、管理人员信息、业绩信息等）、否决投标情况及原因、异议方式、监督电话及投诉方式等内容。</w:t>
      </w:r>
    </w:p>
    <w:p w14:paraId="1DE522E0">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招标人对评审结果有异议的，应当依照法定程序组织原评标委员会进行复审，并形成复审报告。招标人不得擅自改变评标委员会评审结果。</w:t>
      </w:r>
    </w:p>
    <w:p w14:paraId="51E8C186">
      <w:pPr>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投标人或者其他利害关系人对评审结果有异议的，应当在中标候选人公示期间提出。招标人应当自收到异议之日起</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日内作出答复。作出答复前，应当暂停招投标活动。</w:t>
      </w:r>
    </w:p>
    <w:p w14:paraId="3C4CA926">
      <w:pPr>
        <w:pStyle w:val="10"/>
        <w:wordWrap w:val="0"/>
        <w:topLinePunct/>
        <w:adjustRightInd w:val="0"/>
        <w:snapToGrid w:val="0"/>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3.5特殊情况的处置程序</w:t>
      </w:r>
    </w:p>
    <w:p w14:paraId="28F0A2D7">
      <w:pPr>
        <w:wordWrap w:val="0"/>
        <w:topLinePunct/>
        <w:adjustRightInd w:val="0"/>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3.5.1关于评标活动暂停</w:t>
      </w:r>
    </w:p>
    <w:p w14:paraId="7E2F25C3">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3.5.1.1评标委员会应当执行连续评标的原则，按评标办法中规定的程序、内容、方法、标准完成全部评标工作。只有发生不可抗力导致评标工作无法继续时，评标活动方可暂停。</w:t>
      </w:r>
    </w:p>
    <w:p w14:paraId="2B8B432E">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3.5.1.2发生评标暂停情况时，评标委员会应当封存全部投标文件和评标记录，待不可抗力的影响结束且具备继续评标的条件时，由原评标委员会继续评标。</w:t>
      </w:r>
    </w:p>
    <w:p w14:paraId="5F1E31F2">
      <w:pPr>
        <w:wordWrap w:val="0"/>
        <w:topLinePunct/>
        <w:adjustRightInd w:val="0"/>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3.5.2关于评标中途更换评委</w:t>
      </w:r>
    </w:p>
    <w:p w14:paraId="14CD6128">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.2.1  除非发生下列情况之一，评标委员会成员不得在评标中途更换：</w:t>
      </w:r>
    </w:p>
    <w:p w14:paraId="443E6BEF">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因不可抗拒的客观原因，不能到场或需在评标中途退出评标活动。</w:t>
      </w:r>
    </w:p>
    <w:p w14:paraId="0BD147BA">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根据法律法规规定，某个或某几个评标委员会成员需要回避。</w:t>
      </w:r>
    </w:p>
    <w:p w14:paraId="13845B83">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3.5.2.2退出评标的评标委员会成员，其已完成的评标行为无效。由招标人根据本招标文件规定的评标委员会成员生产方式另行确定替代者进行评标。</w:t>
      </w:r>
    </w:p>
    <w:p w14:paraId="48D746CD">
      <w:pPr>
        <w:wordWrap w:val="0"/>
        <w:topLinePunct/>
        <w:adjustRightInd w:val="0"/>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3.5.3  记名投票</w:t>
      </w:r>
    </w:p>
    <w:p w14:paraId="0ABED4E9">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在任何评标环节中，需评标委员会就某项定性的评审结论做出表决的，由评标委员会全体成员按照少数服从多数的原则，以记名投票方式表决</w:t>
      </w:r>
    </w:p>
    <w:p w14:paraId="621F8BFD">
      <w:pPr>
        <w:rPr>
          <w:rFonts w:hint="eastAsia" w:cs="宋体"/>
          <w:b/>
          <w:bCs/>
          <w:color w:val="auto"/>
          <w:sz w:val="32"/>
          <w:szCs w:val="32"/>
          <w:highlight w:val="none"/>
        </w:rPr>
      </w:pPr>
      <w:r>
        <w:rPr>
          <w:rFonts w:hint="eastAsia" w:cs="宋体"/>
          <w:b/>
          <w:bCs/>
          <w:color w:val="auto"/>
          <w:sz w:val="32"/>
          <w:szCs w:val="32"/>
          <w:highlight w:val="none"/>
        </w:rPr>
        <w:br w:type="page"/>
      </w:r>
    </w:p>
    <w:p w14:paraId="311046B7">
      <w:pPr>
        <w:pStyle w:val="7"/>
        <w:wordWrap w:val="0"/>
        <w:topLinePunct/>
        <w:spacing w:before="100" w:after="100" w:line="360" w:lineRule="auto"/>
        <w:jc w:val="center"/>
        <w:rPr>
          <w:rFonts w:hint="eastAsia" w:cs="宋体"/>
          <w:b/>
          <w:bCs/>
          <w:color w:val="auto"/>
          <w:sz w:val="32"/>
          <w:szCs w:val="32"/>
          <w:highlight w:val="none"/>
        </w:rPr>
      </w:pPr>
      <w:r>
        <w:rPr>
          <w:rFonts w:hint="eastAsia" w:cs="宋体"/>
          <w:b/>
          <w:bCs/>
          <w:color w:val="auto"/>
          <w:sz w:val="32"/>
          <w:szCs w:val="32"/>
          <w:highlight w:val="none"/>
        </w:rPr>
        <w:t xml:space="preserve"> </w:t>
      </w:r>
      <w:bookmarkStart w:id="264" w:name="_Toc29006"/>
      <w:bookmarkStart w:id="265" w:name="_Toc4532"/>
      <w:bookmarkStart w:id="266" w:name="_Toc22005"/>
      <w:r>
        <w:rPr>
          <w:rFonts w:hint="eastAsia" w:cs="宋体"/>
          <w:b/>
          <w:bCs/>
          <w:color w:val="auto"/>
          <w:sz w:val="32"/>
          <w:szCs w:val="32"/>
          <w:highlight w:val="none"/>
        </w:rPr>
        <w:t>第四章  定标办法（</w:t>
      </w:r>
      <w:r>
        <w:rPr>
          <w:rFonts w:hint="eastAsia" w:cs="宋体"/>
          <w:b/>
          <w:bCs/>
          <w:color w:val="auto"/>
          <w:sz w:val="32"/>
          <w:szCs w:val="32"/>
          <w:highlight w:val="none"/>
          <w:lang w:eastAsia="zh-CN"/>
        </w:rPr>
        <w:t>核查随机法</w:t>
      </w:r>
      <w:r>
        <w:rPr>
          <w:rFonts w:hint="eastAsia" w:cs="宋体"/>
          <w:b/>
          <w:bCs/>
          <w:color w:val="auto"/>
          <w:sz w:val="32"/>
          <w:szCs w:val="32"/>
          <w:highlight w:val="none"/>
        </w:rPr>
        <w:t>）</w:t>
      </w:r>
      <w:bookmarkEnd w:id="264"/>
      <w:bookmarkEnd w:id="265"/>
      <w:bookmarkEnd w:id="266"/>
    </w:p>
    <w:p w14:paraId="23672910">
      <w:pPr>
        <w:pStyle w:val="8"/>
        <w:spacing w:before="100" w:after="100"/>
        <w:jc w:val="center"/>
        <w:rPr>
          <w:rFonts w:hint="eastAsia" w:ascii="宋体" w:hAnsi="宋体" w:eastAsia="宋体" w:cs="宋体"/>
          <w:color w:val="auto"/>
          <w:highlight w:val="none"/>
          <w:lang w:val="zh-CN"/>
        </w:rPr>
      </w:pPr>
      <w:bookmarkStart w:id="267" w:name="_Toc30093"/>
      <w:bookmarkStart w:id="268" w:name="_Toc183793089"/>
      <w:bookmarkStart w:id="269" w:name="_Toc23724"/>
      <w:bookmarkStart w:id="270" w:name="_Toc32673"/>
      <w:r>
        <w:rPr>
          <w:rFonts w:hint="eastAsia" w:ascii="宋体" w:hAnsi="宋体" w:eastAsia="宋体" w:cs="宋体"/>
          <w:color w:val="auto"/>
          <w:highlight w:val="none"/>
          <w:lang w:val="zh-CN"/>
        </w:rPr>
        <w:t>定标办法前附表</w:t>
      </w:r>
      <w:bookmarkEnd w:id="267"/>
      <w:bookmarkEnd w:id="268"/>
      <w:bookmarkEnd w:id="269"/>
      <w:bookmarkEnd w:id="270"/>
    </w:p>
    <w:tbl>
      <w:tblPr>
        <w:tblStyle w:val="26"/>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050"/>
        <w:gridCol w:w="2048"/>
        <w:gridCol w:w="6249"/>
      </w:tblGrid>
      <w:tr w14:paraId="74648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tcBorders>
              <w:bottom w:val="single" w:color="000000" w:sz="6" w:space="0"/>
              <w:right w:val="single" w:color="000000" w:sz="6" w:space="0"/>
            </w:tcBorders>
            <w:vAlign w:val="center"/>
          </w:tcPr>
          <w:p w14:paraId="106A32B9">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项号</w:t>
            </w:r>
          </w:p>
        </w:tc>
        <w:tc>
          <w:tcPr>
            <w:tcW w:w="1050" w:type="dxa"/>
            <w:tcBorders>
              <w:left w:val="single" w:color="000000" w:sz="6" w:space="0"/>
              <w:bottom w:val="single" w:color="000000" w:sz="6" w:space="0"/>
              <w:right w:val="single" w:color="000000" w:sz="6" w:space="0"/>
            </w:tcBorders>
            <w:vAlign w:val="center"/>
          </w:tcPr>
          <w:p w14:paraId="62E6C458">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条款号</w:t>
            </w:r>
          </w:p>
        </w:tc>
        <w:tc>
          <w:tcPr>
            <w:tcW w:w="2048" w:type="dxa"/>
            <w:tcBorders>
              <w:left w:val="single" w:color="000000" w:sz="6" w:space="0"/>
              <w:bottom w:val="single" w:color="000000" w:sz="6" w:space="0"/>
              <w:right w:val="single" w:color="000000" w:sz="6" w:space="0"/>
            </w:tcBorders>
            <w:vAlign w:val="center"/>
          </w:tcPr>
          <w:p w14:paraId="3F481437">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定标名称</w:t>
            </w:r>
          </w:p>
        </w:tc>
        <w:tc>
          <w:tcPr>
            <w:tcW w:w="6249" w:type="dxa"/>
            <w:tcBorders>
              <w:left w:val="single" w:color="000000" w:sz="6" w:space="0"/>
              <w:bottom w:val="single" w:color="000000" w:sz="6" w:space="0"/>
            </w:tcBorders>
            <w:vAlign w:val="center"/>
          </w:tcPr>
          <w:p w14:paraId="08F3FCD8">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编列内容</w:t>
            </w:r>
          </w:p>
        </w:tc>
      </w:tr>
      <w:tr w14:paraId="33F0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071" w:type="dxa"/>
            <w:gridSpan w:val="4"/>
            <w:tcBorders>
              <w:top w:val="single" w:color="000000" w:sz="6" w:space="0"/>
              <w:bottom w:val="single" w:color="000000" w:sz="6" w:space="0"/>
            </w:tcBorders>
            <w:vAlign w:val="center"/>
          </w:tcPr>
          <w:p w14:paraId="7A1F0AFD">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（一）定标方案</w:t>
            </w:r>
          </w:p>
        </w:tc>
      </w:tr>
      <w:tr w14:paraId="2E8B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auto" w:sz="4" w:space="0"/>
              <w:right w:val="single" w:color="000000" w:sz="6" w:space="0"/>
            </w:tcBorders>
            <w:vAlign w:val="center"/>
          </w:tcPr>
          <w:p w14:paraId="112F3ECF">
            <w:pPr>
              <w:spacing w:line="40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1050" w:type="dxa"/>
            <w:tcBorders>
              <w:top w:val="single" w:color="000000" w:sz="6" w:space="0"/>
              <w:left w:val="single" w:color="000000" w:sz="6" w:space="0"/>
              <w:bottom w:val="single" w:color="auto" w:sz="4" w:space="0"/>
              <w:right w:val="single" w:color="000000" w:sz="6" w:space="0"/>
            </w:tcBorders>
            <w:vAlign w:val="center"/>
          </w:tcPr>
          <w:p w14:paraId="76336213">
            <w:pPr>
              <w:spacing w:line="400" w:lineRule="exact"/>
              <w:jc w:val="center"/>
              <w:rPr>
                <w:rFonts w:hint="eastAsia" w:ascii="宋体" w:hAnsi="宋体" w:cs="宋体"/>
                <w:color w:val="auto"/>
                <w:highlight w:val="none"/>
              </w:rPr>
            </w:pPr>
            <w:r>
              <w:rPr>
                <w:rFonts w:hint="eastAsia" w:ascii="宋体" w:hAnsi="宋体" w:cs="宋体"/>
                <w:color w:val="auto"/>
                <w:highlight w:val="none"/>
              </w:rPr>
              <w:t>1.1</w:t>
            </w:r>
          </w:p>
        </w:tc>
        <w:tc>
          <w:tcPr>
            <w:tcW w:w="8297" w:type="dxa"/>
            <w:gridSpan w:val="2"/>
            <w:tcBorders>
              <w:top w:val="single" w:color="000000" w:sz="6" w:space="0"/>
              <w:left w:val="single" w:color="000000" w:sz="6" w:space="0"/>
              <w:bottom w:val="single" w:color="auto" w:sz="4" w:space="0"/>
            </w:tcBorders>
            <w:vAlign w:val="center"/>
          </w:tcPr>
          <w:p w14:paraId="61D258FB">
            <w:pPr>
              <w:spacing w:line="400" w:lineRule="exact"/>
              <w:rPr>
                <w:rFonts w:hint="eastAsia" w:ascii="宋体" w:hAnsi="宋体" w:cs="宋体"/>
                <w:color w:val="auto"/>
                <w:highlight w:val="none"/>
              </w:rPr>
            </w:pPr>
            <w:r>
              <w:rPr>
                <w:rFonts w:hint="eastAsia" w:ascii="宋体" w:hAnsi="宋体" w:cs="宋体"/>
                <w:color w:val="auto"/>
                <w:highlight w:val="none"/>
              </w:rPr>
              <w:t>招标人要强化责任意识、法治意识、廉洁意识，依法依规认真编制项目实施方案，落实“评定分离”要求，要切实履行主体责任，将“评定分离”纳入本单位“三重一大”审议事项范围，对整个招标和定标过程负责。</w:t>
            </w:r>
          </w:p>
          <w:p w14:paraId="1A5B673A">
            <w:pPr>
              <w:spacing w:line="400" w:lineRule="exact"/>
              <w:rPr>
                <w:rFonts w:hint="eastAsia" w:ascii="宋体" w:hAnsi="宋体" w:cs="宋体"/>
                <w:color w:val="auto"/>
                <w:highlight w:val="none"/>
              </w:rPr>
            </w:pPr>
            <w:r>
              <w:rPr>
                <w:rFonts w:hint="eastAsia" w:ascii="宋体" w:hAnsi="宋体" w:cs="宋体"/>
                <w:color w:val="auto"/>
                <w:highlight w:val="none"/>
              </w:rPr>
              <w:t>☑已落实 □未落实</w:t>
            </w:r>
          </w:p>
        </w:tc>
      </w:tr>
      <w:tr w14:paraId="7FB4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auto" w:sz="4" w:space="0"/>
              <w:bottom w:val="single" w:color="000000" w:sz="6" w:space="0"/>
              <w:right w:val="single" w:color="000000" w:sz="6" w:space="0"/>
            </w:tcBorders>
            <w:vAlign w:val="center"/>
          </w:tcPr>
          <w:p w14:paraId="380F377F">
            <w:pPr>
              <w:spacing w:line="40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1050" w:type="dxa"/>
            <w:tcBorders>
              <w:top w:val="single" w:color="auto" w:sz="4" w:space="0"/>
              <w:left w:val="single" w:color="000000" w:sz="6" w:space="0"/>
              <w:bottom w:val="single" w:color="000000" w:sz="6" w:space="0"/>
              <w:right w:val="single" w:color="000000" w:sz="6" w:space="0"/>
            </w:tcBorders>
            <w:vAlign w:val="center"/>
          </w:tcPr>
          <w:p w14:paraId="6C178D1E">
            <w:pPr>
              <w:spacing w:line="400" w:lineRule="exact"/>
              <w:jc w:val="center"/>
              <w:rPr>
                <w:rFonts w:hint="eastAsia" w:ascii="宋体" w:hAnsi="宋体" w:cs="宋体"/>
                <w:color w:val="auto"/>
                <w:highlight w:val="none"/>
              </w:rPr>
            </w:pPr>
            <w:r>
              <w:rPr>
                <w:rFonts w:hint="eastAsia" w:ascii="宋体" w:hAnsi="宋体" w:cs="宋体"/>
                <w:color w:val="auto"/>
                <w:highlight w:val="none"/>
              </w:rPr>
              <w:t>1.2</w:t>
            </w:r>
          </w:p>
        </w:tc>
        <w:tc>
          <w:tcPr>
            <w:tcW w:w="8297" w:type="dxa"/>
            <w:gridSpan w:val="2"/>
            <w:tcBorders>
              <w:top w:val="single" w:color="auto" w:sz="4" w:space="0"/>
              <w:left w:val="single" w:color="000000" w:sz="6" w:space="0"/>
              <w:bottom w:val="single" w:color="000000" w:sz="6" w:space="0"/>
            </w:tcBorders>
            <w:vAlign w:val="center"/>
          </w:tcPr>
          <w:p w14:paraId="6364C2BC">
            <w:pPr>
              <w:spacing w:line="400" w:lineRule="exact"/>
              <w:rPr>
                <w:rFonts w:hint="eastAsia" w:ascii="宋体" w:hAnsi="宋体" w:cs="宋体"/>
                <w:color w:val="auto"/>
                <w:highlight w:val="none"/>
              </w:rPr>
            </w:pPr>
            <w:r>
              <w:rPr>
                <w:rFonts w:hint="eastAsia" w:ascii="宋体" w:hAnsi="宋体" w:cs="宋体"/>
                <w:color w:val="auto"/>
                <w:highlight w:val="none"/>
              </w:rPr>
              <w:t>招标人应当在中标候选人公示前审查评标委员会提交的书面评标报告，发现异常情形的，依照法定程序复核，确认存在问题的，依照法定程序予以纠正。</w:t>
            </w:r>
          </w:p>
        </w:tc>
      </w:tr>
      <w:tr w14:paraId="03468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0071" w:type="dxa"/>
            <w:gridSpan w:val="4"/>
            <w:tcBorders>
              <w:top w:val="single" w:color="auto" w:sz="4" w:space="0"/>
              <w:bottom w:val="single" w:color="000000" w:sz="6" w:space="0"/>
            </w:tcBorders>
            <w:vAlign w:val="center"/>
          </w:tcPr>
          <w:p w14:paraId="14875711">
            <w:pPr>
              <w:tabs>
                <w:tab w:val="left" w:pos="3780"/>
              </w:tabs>
              <w:spacing w:line="400" w:lineRule="exact"/>
              <w:jc w:val="center"/>
              <w:rPr>
                <w:rFonts w:hint="eastAsia" w:ascii="宋体" w:hAnsi="宋体" w:cs="宋体"/>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二</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定标核查</w:t>
            </w:r>
          </w:p>
        </w:tc>
      </w:tr>
      <w:tr w14:paraId="2AF6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5" w:hRule="atLeast"/>
          <w:jc w:val="center"/>
        </w:trPr>
        <w:tc>
          <w:tcPr>
            <w:tcW w:w="724" w:type="dxa"/>
            <w:vMerge w:val="restart"/>
            <w:tcBorders>
              <w:top w:val="single" w:color="000000" w:sz="6" w:space="0"/>
              <w:right w:val="single" w:color="000000" w:sz="6" w:space="0"/>
            </w:tcBorders>
            <w:vAlign w:val="center"/>
          </w:tcPr>
          <w:p w14:paraId="04C2F508">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1050" w:type="dxa"/>
            <w:tcBorders>
              <w:top w:val="single" w:color="000000" w:sz="6" w:space="0"/>
              <w:left w:val="single" w:color="000000" w:sz="6" w:space="0"/>
              <w:bottom w:val="single" w:color="000000" w:sz="6" w:space="0"/>
              <w:right w:val="single" w:color="000000" w:sz="6" w:space="0"/>
            </w:tcBorders>
            <w:vAlign w:val="center"/>
          </w:tcPr>
          <w:p w14:paraId="0901C29D">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2.1</w:t>
            </w:r>
          </w:p>
        </w:tc>
        <w:tc>
          <w:tcPr>
            <w:tcW w:w="8297" w:type="dxa"/>
            <w:gridSpan w:val="2"/>
            <w:tcBorders>
              <w:top w:val="single" w:color="000000" w:sz="6" w:space="0"/>
              <w:left w:val="single" w:color="000000" w:sz="6" w:space="0"/>
              <w:bottom w:val="single" w:color="000000" w:sz="6" w:space="0"/>
            </w:tcBorders>
            <w:vAlign w:val="center"/>
          </w:tcPr>
          <w:p w14:paraId="57A2F596">
            <w:pPr>
              <w:spacing w:line="400" w:lineRule="exact"/>
              <w:rPr>
                <w:rFonts w:hint="eastAsia" w:ascii="宋体" w:hAnsi="宋体" w:cs="宋体"/>
                <w:color w:val="auto"/>
                <w:highlight w:val="none"/>
              </w:rPr>
            </w:pPr>
            <w:r>
              <w:rPr>
                <w:rFonts w:hint="eastAsia" w:ascii="宋体" w:hAnsi="宋体" w:cs="宋体"/>
                <w:color w:val="auto"/>
                <w:highlight w:val="none"/>
              </w:rPr>
              <w:t>定标委员会应当首先对中标候选人进行核查</w:t>
            </w:r>
            <w:r>
              <w:rPr>
                <w:rFonts w:hint="eastAsia" w:ascii="宋体" w:hAnsi="宋体" w:cs="宋体"/>
                <w:color w:val="auto"/>
                <w:highlight w:val="none"/>
                <w:lang w:eastAsia="zh-CN"/>
              </w:rPr>
              <w:t>：</w:t>
            </w:r>
            <w:r>
              <w:rPr>
                <w:rFonts w:hint="eastAsia" w:ascii="宋体" w:hAnsi="宋体" w:cs="宋体"/>
                <w:color w:val="auto"/>
                <w:highlight w:val="none"/>
              </w:rPr>
              <w:t>形成核查报告，核查报告在定标会议召开前应当保密。相关核查内容和方式应当在招标文件中载明，</w:t>
            </w:r>
            <w:r>
              <w:rPr>
                <w:rFonts w:hint="eastAsia" w:ascii="宋体" w:hAnsi="宋体" w:cs="宋体"/>
                <w:b/>
                <w:bCs/>
                <w:color w:val="auto"/>
                <w:highlight w:val="none"/>
                <w:u w:val="single"/>
              </w:rPr>
              <w:t>核查内容包括信用信息、履约能力（具体核查内容见本表</w:t>
            </w:r>
            <w:r>
              <w:rPr>
                <w:rFonts w:hint="eastAsia" w:ascii="宋体" w:hAnsi="宋体" w:cs="宋体"/>
                <w:b/>
                <w:bCs/>
                <w:color w:val="auto"/>
                <w:highlight w:val="none"/>
                <w:u w:val="single"/>
                <w:lang w:val="en-US" w:eastAsia="zh-CN"/>
              </w:rPr>
              <w:t>2.2</w:t>
            </w:r>
            <w:r>
              <w:rPr>
                <w:rFonts w:hint="eastAsia" w:ascii="宋体" w:hAnsi="宋体" w:cs="宋体"/>
                <w:b/>
                <w:bCs/>
                <w:color w:val="auto"/>
                <w:highlight w:val="none"/>
                <w:u w:val="single"/>
              </w:rPr>
              <w:t>项）、是否采取考察或质询方式（不采取）以及招标人认为其他需要核查的内容（无）。</w:t>
            </w:r>
            <w:r>
              <w:rPr>
                <w:rFonts w:hint="eastAsia" w:ascii="宋体" w:hAnsi="宋体" w:cs="宋体"/>
                <w:color w:val="auto"/>
                <w:highlight w:val="none"/>
              </w:rPr>
              <w:t>核查需要进行考察或质询的，应当在招标文件中明确考察或质询内容。</w:t>
            </w:r>
          </w:p>
          <w:p w14:paraId="2F4CE818">
            <w:pPr>
              <w:spacing w:line="400" w:lineRule="exact"/>
              <w:rPr>
                <w:rFonts w:hint="eastAsia" w:ascii="宋体" w:hAnsi="宋体" w:cs="宋体"/>
                <w:color w:val="auto"/>
                <w:highlight w:val="none"/>
              </w:rPr>
            </w:pPr>
            <w:r>
              <w:rPr>
                <w:rFonts w:hint="eastAsia" w:ascii="宋体" w:hAnsi="宋体" w:cs="宋体"/>
                <w:color w:val="auto"/>
                <w:highlight w:val="none"/>
              </w:rPr>
              <w:t>核查内容不得设置不合理限制和隐性壁垒。招标文件中没有规定的核查标准和方法不得作为定标核查的依据，不得在定标过程中新增定标条件和要求。</w:t>
            </w:r>
          </w:p>
          <w:p w14:paraId="6A4BFE93">
            <w:pPr>
              <w:spacing w:line="400" w:lineRule="exact"/>
              <w:rPr>
                <w:rFonts w:hint="default" w:eastAsia="宋体"/>
                <w:color w:val="auto"/>
                <w:highlight w:val="none"/>
                <w:lang w:val="en-US" w:eastAsia="zh-CN"/>
              </w:rPr>
            </w:pPr>
            <w:r>
              <w:rPr>
                <w:rFonts w:hint="eastAsia" w:ascii="宋体" w:hAnsi="宋体" w:cs="宋体"/>
                <w:color w:val="auto"/>
                <w:highlight w:val="none"/>
              </w:rPr>
              <w:t>定标委员会经核查发现中标候选人确有弄虚作假、围标串标等情形的，应当否决相应中标候选人的中标资格，并及时向行政监督部门报告。</w:t>
            </w:r>
          </w:p>
        </w:tc>
      </w:tr>
      <w:tr w14:paraId="6F1E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right w:val="single" w:color="000000" w:sz="6" w:space="0"/>
            </w:tcBorders>
            <w:vAlign w:val="center"/>
          </w:tcPr>
          <w:p w14:paraId="42F909EA">
            <w:pPr>
              <w:spacing w:line="400" w:lineRule="exact"/>
              <w:jc w:val="center"/>
              <w:rPr>
                <w:rFonts w:hint="eastAsia" w:ascii="宋体" w:hAnsi="宋体" w:cs="宋体"/>
                <w:color w:val="auto"/>
                <w:highlight w:val="none"/>
              </w:rPr>
            </w:pPr>
          </w:p>
        </w:tc>
        <w:tc>
          <w:tcPr>
            <w:tcW w:w="1050" w:type="dxa"/>
            <w:vMerge w:val="restart"/>
            <w:tcBorders>
              <w:top w:val="single" w:color="000000" w:sz="6" w:space="0"/>
              <w:left w:val="single" w:color="000000" w:sz="6" w:space="0"/>
              <w:right w:val="single" w:color="000000" w:sz="6" w:space="0"/>
            </w:tcBorders>
            <w:vAlign w:val="center"/>
          </w:tcPr>
          <w:p w14:paraId="3AFF3C15">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s="宋体"/>
                <w:color w:val="auto"/>
                <w:highlight w:val="none"/>
                <w:lang w:val="en-US" w:eastAsia="zh-CN"/>
              </w:rPr>
              <w:t>2</w:t>
            </w:r>
          </w:p>
        </w:tc>
        <w:tc>
          <w:tcPr>
            <w:tcW w:w="8297" w:type="dxa"/>
            <w:gridSpan w:val="2"/>
            <w:tcBorders>
              <w:top w:val="single" w:color="000000" w:sz="6" w:space="0"/>
              <w:left w:val="single" w:color="000000" w:sz="6" w:space="0"/>
              <w:bottom w:val="single" w:color="auto" w:sz="4" w:space="0"/>
            </w:tcBorders>
            <w:vAlign w:val="center"/>
          </w:tcPr>
          <w:p w14:paraId="51ED3899">
            <w:pPr>
              <w:spacing w:line="400" w:lineRule="exact"/>
              <w:rPr>
                <w:rFonts w:hint="eastAsia" w:ascii="宋体" w:hAnsi="宋体" w:cs="宋体"/>
                <w:b/>
                <w:bCs/>
                <w:color w:val="auto"/>
                <w:highlight w:val="none"/>
                <w:u w:val="single"/>
              </w:rPr>
            </w:pPr>
            <w:r>
              <w:rPr>
                <w:rFonts w:hint="eastAsia" w:ascii="宋体" w:hAnsi="宋体" w:cs="宋体"/>
                <w:b/>
                <w:bCs/>
                <w:color w:val="auto"/>
                <w:highlight w:val="none"/>
                <w:u w:val="single"/>
              </w:rPr>
              <w:t>定标委员会将对中标候选人进行定标核查。核查内容包括：</w:t>
            </w:r>
          </w:p>
          <w:p w14:paraId="14FA280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1、企业信用信息</w:t>
            </w:r>
            <w:r>
              <w:rPr>
                <w:rFonts w:hint="eastAsia" w:ascii="宋体" w:hAnsi="宋体" w:cs="宋体"/>
                <w:color w:val="auto"/>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若为联合体投标，联合体各方均需查询</w:t>
            </w:r>
            <w:r>
              <w:rPr>
                <w:rFonts w:hint="eastAsia" w:ascii="宋体" w:hAnsi="宋体" w:cs="宋体"/>
                <w:color w:val="auto"/>
                <w:highlight w:val="none"/>
                <w:lang w:eastAsia="zh-CN"/>
              </w:rPr>
              <w:t>）</w:t>
            </w:r>
            <w:r>
              <w:rPr>
                <w:rFonts w:hint="eastAsia" w:ascii="宋体" w:hAnsi="宋体" w:cs="宋体"/>
                <w:color w:val="auto"/>
                <w:highlight w:val="none"/>
              </w:rPr>
              <w:t>：</w:t>
            </w:r>
          </w:p>
          <w:p w14:paraId="0B6C503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①未被列入全国或</w:t>
            </w:r>
            <w:r>
              <w:rPr>
                <w:rFonts w:hint="eastAsia" w:ascii="宋体" w:hAnsi="宋体" w:cs="宋体"/>
                <w:b w:val="0"/>
                <w:bCs/>
                <w:color w:val="auto"/>
                <w:szCs w:val="21"/>
                <w:highlight w:val="none"/>
                <w:lang w:val="en-US" w:eastAsia="zh-CN"/>
              </w:rPr>
              <w:t>河南省</w:t>
            </w:r>
            <w:r>
              <w:rPr>
                <w:rFonts w:hint="eastAsia" w:ascii="宋体" w:hAnsi="宋体" w:cs="宋体"/>
                <w:color w:val="auto"/>
                <w:highlight w:val="none"/>
              </w:rPr>
              <w:t>建筑市场监管公共服务平台“黑名单”且在管理期限内的（投标人、拟派项目经理）；</w:t>
            </w:r>
          </w:p>
          <w:p w14:paraId="1FD2A5A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②未被列入国家企业信用信息公示系统“严重违法失信名单”且在管理期限内的（投标人）；</w:t>
            </w:r>
          </w:p>
          <w:p w14:paraId="4D07289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③未被列入信用中国网站“失信被执行人”“重大税收违法失信主体”（投标人）；</w:t>
            </w:r>
          </w:p>
          <w:p w14:paraId="50AF806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④投标所用资质项在全国或</w:t>
            </w:r>
            <w:r>
              <w:rPr>
                <w:rFonts w:hint="eastAsia" w:ascii="宋体" w:hAnsi="宋体" w:cs="宋体"/>
                <w:b w:val="0"/>
                <w:bCs/>
                <w:color w:val="auto"/>
                <w:szCs w:val="21"/>
                <w:highlight w:val="none"/>
                <w:lang w:val="en-US" w:eastAsia="zh-CN"/>
              </w:rPr>
              <w:t>河南省</w:t>
            </w:r>
            <w:r>
              <w:rPr>
                <w:rFonts w:hint="eastAsia" w:ascii="宋体" w:hAnsi="宋体" w:cs="宋体"/>
                <w:color w:val="auto"/>
                <w:highlight w:val="none"/>
              </w:rPr>
              <w:t>建筑市场监管公共服务平台资质状况被标注资质异常状态的（投标人）；</w:t>
            </w:r>
          </w:p>
          <w:p w14:paraId="042CE1E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2、履约能力：</w:t>
            </w:r>
          </w:p>
          <w:p w14:paraId="4E2E302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①营业执照：符合第二章“投标人须知前附表”第1.4.1项规定； </w:t>
            </w:r>
          </w:p>
          <w:p w14:paraId="582CB86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②企业资质：符合第二章“投标人须知前附表”第1.4.1项规定；</w:t>
            </w:r>
          </w:p>
          <w:p w14:paraId="303860B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③拟派人员要求：符合第二章“投标人须知前附表”第1.4.1项规定；</w:t>
            </w:r>
          </w:p>
          <w:p w14:paraId="730C12E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④财务</w:t>
            </w:r>
            <w:r>
              <w:rPr>
                <w:rFonts w:hint="eastAsia" w:ascii="宋体" w:hAnsi="宋体" w:cs="宋体"/>
                <w:color w:val="auto"/>
                <w:highlight w:val="none"/>
                <w:lang w:val="en-US" w:eastAsia="zh-CN"/>
              </w:rPr>
              <w:t>要求</w:t>
            </w:r>
            <w:r>
              <w:rPr>
                <w:rFonts w:hint="eastAsia" w:ascii="宋体" w:hAnsi="宋体" w:cs="宋体"/>
                <w:color w:val="auto"/>
                <w:highlight w:val="none"/>
              </w:rPr>
              <w:t xml:space="preserve">：符合第二章“投标人须知前附表”第1.4.1项规定； </w:t>
            </w:r>
          </w:p>
          <w:p w14:paraId="76AB11D8">
            <w:pPr>
              <w:numPr>
                <w:ilvl w:val="0"/>
                <w:numId w:val="2"/>
              </w:num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招标人认为需要核查及核评的其他内容：企业业绩符合第三章“评标办法前附表”详细评审要求且真实有效。</w:t>
            </w:r>
          </w:p>
          <w:p w14:paraId="31A3A60B">
            <w:pPr>
              <w:spacing w:line="400" w:lineRule="exact"/>
              <w:rPr>
                <w:rFonts w:hint="eastAsia"/>
                <w:color w:val="auto"/>
              </w:rPr>
            </w:pPr>
            <w:r>
              <w:rPr>
                <w:rFonts w:hint="eastAsia" w:ascii="宋体" w:hAnsi="宋体" w:cs="宋体"/>
                <w:b/>
                <w:bCs/>
                <w:color w:val="auto"/>
                <w:highlight w:val="none"/>
                <w:u w:val="single"/>
                <w:lang w:val="en-US" w:eastAsia="zh-CN"/>
              </w:rPr>
              <w:t>注：定标委员会若否决不合格投标人后，中标候选人数量即使不足10家的也不再进行增补（若否决后不满足3家的，则按投标人综合得分由高到低增补至3家为止），增补后若合格投标人不足三家的应重新招标</w:t>
            </w:r>
            <w:r>
              <w:rPr>
                <w:rFonts w:hint="eastAsia" w:ascii="宋体" w:hAnsi="宋体" w:cs="宋体"/>
                <w:b/>
                <w:bCs/>
                <w:color w:val="auto"/>
                <w:highlight w:val="none"/>
                <w:u w:val="single"/>
              </w:rPr>
              <w:t>。</w:t>
            </w:r>
          </w:p>
        </w:tc>
      </w:tr>
      <w:tr w14:paraId="06426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vMerge w:val="continue"/>
            <w:tcBorders>
              <w:bottom w:val="single" w:color="000000" w:sz="6" w:space="0"/>
              <w:right w:val="single" w:color="000000" w:sz="6" w:space="0"/>
            </w:tcBorders>
            <w:vAlign w:val="center"/>
          </w:tcPr>
          <w:p w14:paraId="072031EB">
            <w:pPr>
              <w:spacing w:line="400" w:lineRule="exact"/>
              <w:jc w:val="center"/>
              <w:rPr>
                <w:rFonts w:hint="eastAsia" w:ascii="宋体" w:hAnsi="宋体" w:cs="宋体"/>
                <w:color w:val="auto"/>
                <w:highlight w:val="none"/>
              </w:rPr>
            </w:pPr>
          </w:p>
        </w:tc>
        <w:tc>
          <w:tcPr>
            <w:tcW w:w="1050" w:type="dxa"/>
            <w:vMerge w:val="continue"/>
            <w:tcBorders>
              <w:left w:val="single" w:color="000000" w:sz="6" w:space="0"/>
              <w:bottom w:val="single" w:color="000000" w:sz="6" w:space="0"/>
              <w:right w:val="single" w:color="000000" w:sz="6" w:space="0"/>
            </w:tcBorders>
            <w:vAlign w:val="center"/>
          </w:tcPr>
          <w:p w14:paraId="60900619">
            <w:pPr>
              <w:spacing w:line="400" w:lineRule="exact"/>
              <w:jc w:val="center"/>
              <w:rPr>
                <w:rFonts w:hint="eastAsia" w:ascii="宋体" w:hAnsi="宋体" w:cs="宋体"/>
                <w:color w:val="auto"/>
                <w:highlight w:val="none"/>
              </w:rPr>
            </w:pPr>
          </w:p>
        </w:tc>
        <w:tc>
          <w:tcPr>
            <w:tcW w:w="8297" w:type="dxa"/>
            <w:gridSpan w:val="2"/>
            <w:tcBorders>
              <w:top w:val="single" w:color="auto" w:sz="4" w:space="0"/>
              <w:left w:val="single" w:color="000000" w:sz="6" w:space="0"/>
              <w:bottom w:val="single" w:color="000000" w:sz="6" w:space="0"/>
            </w:tcBorders>
            <w:vAlign w:val="center"/>
          </w:tcPr>
          <w:p w14:paraId="0900E49D">
            <w:pPr>
              <w:spacing w:line="400" w:lineRule="exact"/>
              <w:rPr>
                <w:rFonts w:hint="eastAsia" w:ascii="宋体" w:hAnsi="宋体" w:cs="宋体"/>
                <w:b/>
                <w:bCs/>
                <w:color w:val="auto"/>
                <w:highlight w:val="none"/>
              </w:rPr>
            </w:pPr>
            <w:r>
              <w:rPr>
                <w:rFonts w:hint="eastAsia" w:ascii="宋体" w:hAnsi="宋体" w:cs="宋体"/>
                <w:b/>
                <w:bCs/>
                <w:color w:val="auto"/>
                <w:highlight w:val="none"/>
              </w:rPr>
              <w:t>核查方式：</w:t>
            </w:r>
            <w:r>
              <w:rPr>
                <w:rFonts w:hint="eastAsia" w:ascii="宋体" w:hAnsi="宋体" w:cs="宋体"/>
                <w:b/>
                <w:bCs/>
                <w:color w:val="auto"/>
                <w:highlight w:val="none"/>
                <w:u w:val="single"/>
              </w:rPr>
              <w:t>核查会议现场核查各中标候选人的投标文件中包含的各核查内容；</w:t>
            </w:r>
          </w:p>
          <w:p w14:paraId="6A131820">
            <w:pPr>
              <w:spacing w:line="400" w:lineRule="exact"/>
              <w:rPr>
                <w:b/>
                <w:bCs/>
                <w:color w:val="auto"/>
                <w:highlight w:val="none"/>
              </w:rPr>
            </w:pPr>
            <w:r>
              <w:rPr>
                <w:rFonts w:hint="eastAsia"/>
                <w:b/>
                <w:bCs/>
                <w:color w:val="auto"/>
                <w:highlight w:val="none"/>
              </w:rPr>
              <w:t>其他核查方式：</w:t>
            </w:r>
            <w:r>
              <w:rPr>
                <w:rFonts w:hint="eastAsia"/>
                <w:color w:val="auto"/>
                <w:highlight w:val="none"/>
                <w:u w:val="single"/>
              </w:rPr>
              <w:t>定标委员会可以采用考核或质询的方式进行核查</w:t>
            </w:r>
          </w:p>
          <w:p w14:paraId="0D58372E">
            <w:pPr>
              <w:spacing w:line="400" w:lineRule="exact"/>
              <w:rPr>
                <w:rFonts w:hint="eastAsia" w:ascii="宋体" w:hAnsi="宋体" w:cs="宋体"/>
                <w:color w:val="auto"/>
                <w:highlight w:val="none"/>
              </w:rPr>
            </w:pPr>
            <w:r>
              <w:rPr>
                <w:rFonts w:hint="eastAsia"/>
                <w:color w:val="auto"/>
                <w:highlight w:val="none"/>
              </w:rPr>
              <w:t xml:space="preserve">□组  织       </w:t>
            </w:r>
            <w:r>
              <w:rPr>
                <w:rFonts w:hint="eastAsia"/>
                <w:color w:val="auto"/>
                <w:highlight w:val="none"/>
              </w:rPr>
              <w:sym w:font="Wingdings 2" w:char="0052"/>
            </w:r>
            <w:r>
              <w:rPr>
                <w:rFonts w:hint="eastAsia"/>
                <w:color w:val="auto"/>
                <w:highlight w:val="none"/>
              </w:rPr>
              <w:t>不组织</w:t>
            </w:r>
          </w:p>
        </w:tc>
      </w:tr>
      <w:tr w14:paraId="48AE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119DE607">
            <w:pPr>
              <w:spacing w:line="400" w:lineRule="exact"/>
              <w:jc w:val="center"/>
              <w:rPr>
                <w:rFonts w:hint="eastAsia" w:ascii="宋体" w:hAnsi="宋体" w:cs="宋体"/>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三</w:t>
            </w:r>
            <w:r>
              <w:rPr>
                <w:rFonts w:hint="eastAsia" w:ascii="宋体" w:hAnsi="宋体" w:cs="宋体"/>
                <w:b/>
                <w:bCs/>
                <w:color w:val="auto"/>
                <w:highlight w:val="none"/>
              </w:rPr>
              <w:t>）定标原则</w:t>
            </w:r>
          </w:p>
        </w:tc>
      </w:tr>
      <w:tr w14:paraId="34AD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4" w:type="dxa"/>
            <w:tcBorders>
              <w:top w:val="single" w:color="000000" w:sz="6" w:space="0"/>
              <w:bottom w:val="single" w:color="000000" w:sz="6" w:space="0"/>
              <w:right w:val="single" w:color="000000" w:sz="6" w:space="0"/>
            </w:tcBorders>
            <w:vAlign w:val="center"/>
          </w:tcPr>
          <w:p w14:paraId="3EF89AA1">
            <w:pPr>
              <w:spacing w:line="400" w:lineRule="exact"/>
              <w:jc w:val="center"/>
              <w:rPr>
                <w:rFonts w:hint="eastAsia" w:ascii="宋体" w:hAnsi="宋体" w:cs="宋体"/>
                <w:color w:val="auto"/>
                <w:highlight w:val="none"/>
              </w:rPr>
            </w:pPr>
            <w:r>
              <w:rPr>
                <w:rFonts w:hint="eastAsia" w:ascii="宋体" w:hAnsi="宋体" w:cs="宋体"/>
                <w:color w:val="auto"/>
                <w:highlight w:val="none"/>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23AEE54A">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p>
        </w:tc>
        <w:tc>
          <w:tcPr>
            <w:tcW w:w="8297" w:type="dxa"/>
            <w:gridSpan w:val="2"/>
            <w:tcBorders>
              <w:top w:val="single" w:color="000000" w:sz="6" w:space="0"/>
              <w:left w:val="single" w:color="000000" w:sz="6" w:space="0"/>
              <w:bottom w:val="single" w:color="000000" w:sz="6" w:space="0"/>
            </w:tcBorders>
            <w:vAlign w:val="center"/>
          </w:tcPr>
          <w:p w14:paraId="31C92DD4">
            <w:pPr>
              <w:spacing w:line="400" w:lineRule="exact"/>
              <w:jc w:val="center"/>
              <w:rPr>
                <w:rFonts w:hint="eastAsia" w:ascii="宋体" w:hAnsi="宋体" w:cs="宋体"/>
                <w:color w:val="auto"/>
                <w:highlight w:val="none"/>
              </w:rPr>
            </w:pPr>
            <w:r>
              <w:rPr>
                <w:rFonts w:hint="eastAsia" w:ascii="宋体" w:hAnsi="宋体" w:cs="宋体"/>
                <w:color w:val="auto"/>
                <w:highlight w:val="none"/>
              </w:rPr>
              <w:t>“评定分离”应遵循公开透明、择优竞价、科学规范、廉洁高效的原则</w:t>
            </w:r>
          </w:p>
        </w:tc>
      </w:tr>
      <w:tr w14:paraId="5B2C0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5D576123">
            <w:pPr>
              <w:spacing w:line="400" w:lineRule="exact"/>
              <w:jc w:val="center"/>
              <w:rPr>
                <w:rFonts w:hint="eastAsia" w:ascii="宋体" w:hAnsi="宋体" w:cs="宋体"/>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四</w:t>
            </w:r>
            <w:r>
              <w:rPr>
                <w:rFonts w:hint="eastAsia" w:ascii="宋体" w:hAnsi="宋体" w:cs="宋体"/>
                <w:b/>
                <w:bCs/>
                <w:color w:val="auto"/>
                <w:highlight w:val="none"/>
              </w:rPr>
              <w:t>）定标方法</w:t>
            </w:r>
          </w:p>
        </w:tc>
      </w:tr>
      <w:tr w14:paraId="2379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724" w:type="dxa"/>
            <w:tcBorders>
              <w:top w:val="single" w:color="000000" w:sz="6" w:space="0"/>
              <w:bottom w:val="single" w:color="000000" w:sz="6" w:space="0"/>
              <w:right w:val="single" w:color="000000" w:sz="6" w:space="0"/>
            </w:tcBorders>
            <w:vAlign w:val="center"/>
          </w:tcPr>
          <w:p w14:paraId="4976223C">
            <w:pPr>
              <w:spacing w:line="400" w:lineRule="exact"/>
              <w:jc w:val="center"/>
              <w:rPr>
                <w:rFonts w:hint="eastAsia" w:ascii="宋体" w:hAnsi="宋体" w:cs="宋体"/>
                <w:color w:val="auto"/>
                <w:highlight w:val="none"/>
              </w:rPr>
            </w:pPr>
            <w:r>
              <w:rPr>
                <w:rFonts w:hint="eastAsia" w:ascii="宋体" w:hAnsi="宋体" w:cs="宋体"/>
                <w:color w:val="auto"/>
                <w:highlight w:val="none"/>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1552FBDB">
            <w:pPr>
              <w:spacing w:line="400" w:lineRule="exact"/>
              <w:jc w:val="center"/>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w:t>
            </w:r>
          </w:p>
        </w:tc>
        <w:tc>
          <w:tcPr>
            <w:tcW w:w="2048" w:type="dxa"/>
            <w:tcBorders>
              <w:top w:val="single" w:color="000000" w:sz="6" w:space="0"/>
              <w:left w:val="single" w:color="000000" w:sz="6" w:space="0"/>
              <w:bottom w:val="single" w:color="000000" w:sz="6" w:space="0"/>
              <w:right w:val="single" w:color="000000" w:sz="6" w:space="0"/>
            </w:tcBorders>
            <w:vAlign w:val="center"/>
          </w:tcPr>
          <w:p w14:paraId="33EC07B0">
            <w:pPr>
              <w:spacing w:line="400" w:lineRule="exact"/>
              <w:jc w:val="center"/>
              <w:rPr>
                <w:rFonts w:hint="eastAsia" w:ascii="宋体" w:hAnsi="宋体" w:cs="宋体"/>
                <w:color w:val="auto"/>
                <w:highlight w:val="none"/>
              </w:rPr>
            </w:pPr>
            <w:r>
              <w:rPr>
                <w:rFonts w:hint="eastAsia" w:ascii="宋体" w:hAnsi="宋体" w:cs="宋体"/>
                <w:color w:val="auto"/>
                <w:highlight w:val="none"/>
              </w:rPr>
              <w:t>定标方法</w:t>
            </w:r>
          </w:p>
        </w:tc>
        <w:tc>
          <w:tcPr>
            <w:tcW w:w="6249" w:type="dxa"/>
            <w:tcBorders>
              <w:top w:val="single" w:color="000000" w:sz="6" w:space="0"/>
              <w:left w:val="single" w:color="000000" w:sz="6" w:space="0"/>
              <w:bottom w:val="single" w:color="000000" w:sz="6" w:space="0"/>
            </w:tcBorders>
            <w:vAlign w:val="center"/>
          </w:tcPr>
          <w:p w14:paraId="2B57D554">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核查随机法  </w:t>
            </w:r>
          </w:p>
          <w:p w14:paraId="6D87E990">
            <w:pPr>
              <w:pStyle w:val="24"/>
              <w:adjustRightInd w:val="0"/>
              <w:snapToGrid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eastAsia="zh-CN"/>
              </w:rPr>
              <w:t>□</w:t>
            </w:r>
            <w:r>
              <w:rPr>
                <w:rFonts w:ascii="宋体" w:hAnsi="宋体" w:cs="宋体"/>
                <w:color w:val="auto"/>
                <w:szCs w:val="21"/>
                <w:highlight w:val="none"/>
              </w:rPr>
              <w:t xml:space="preserve"> 票决法</w:t>
            </w:r>
          </w:p>
          <w:p w14:paraId="003D8093">
            <w:pPr>
              <w:wordWrap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集体议事法</w:t>
            </w:r>
          </w:p>
          <w:p w14:paraId="5165FFDA">
            <w:pPr>
              <w:adjustRightInd w:val="0"/>
              <w:snapToGrid w:val="0"/>
              <w:spacing w:line="360" w:lineRule="auto"/>
              <w:rPr>
                <w:rFonts w:hint="eastAsia" w:ascii="宋体" w:hAnsi="宋体" w:cs="宋体"/>
                <w:color w:val="auto"/>
                <w:highlight w:val="none"/>
              </w:rPr>
            </w:pPr>
            <w:r>
              <w:rPr>
                <w:rFonts w:hint="eastAsia" w:ascii="宋体" w:hAnsi="宋体" w:cs="宋体"/>
                <w:color w:val="auto"/>
                <w:szCs w:val="21"/>
                <w:highlight w:val="none"/>
              </w:rPr>
              <w:t>□ 其他方法</w:t>
            </w:r>
          </w:p>
        </w:tc>
      </w:tr>
      <w:tr w14:paraId="65A1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E085DC7">
            <w:pPr>
              <w:spacing w:line="400" w:lineRule="exact"/>
              <w:jc w:val="center"/>
              <w:rPr>
                <w:rFonts w:hint="eastAsia" w:ascii="宋体" w:hAnsi="宋体" w:cs="宋体"/>
                <w:color w:val="auto"/>
                <w:highlight w:val="none"/>
              </w:rPr>
            </w:pPr>
            <w:r>
              <w:rPr>
                <w:rFonts w:hint="eastAsia" w:ascii="宋体" w:hAnsi="宋体" w:cs="宋体"/>
                <w:color w:val="auto"/>
                <w:highlight w:val="none"/>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37555D70">
            <w:pPr>
              <w:spacing w:line="400" w:lineRule="exact"/>
              <w:jc w:val="center"/>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.1.2</w:t>
            </w:r>
          </w:p>
        </w:tc>
        <w:tc>
          <w:tcPr>
            <w:tcW w:w="2048" w:type="dxa"/>
            <w:tcBorders>
              <w:top w:val="single" w:color="000000" w:sz="6" w:space="0"/>
              <w:left w:val="single" w:color="000000" w:sz="6" w:space="0"/>
              <w:bottom w:val="single" w:color="000000" w:sz="6" w:space="0"/>
              <w:right w:val="single" w:color="000000" w:sz="6" w:space="0"/>
            </w:tcBorders>
            <w:vAlign w:val="center"/>
          </w:tcPr>
          <w:p w14:paraId="18E4A340">
            <w:pPr>
              <w:spacing w:line="400" w:lineRule="exact"/>
              <w:jc w:val="center"/>
              <w:rPr>
                <w:rFonts w:hint="eastAsia" w:ascii="宋体" w:hAnsi="宋体" w:cs="宋体"/>
                <w:color w:val="auto"/>
                <w:highlight w:val="none"/>
              </w:rPr>
            </w:pPr>
            <w:r>
              <w:rPr>
                <w:rFonts w:hint="eastAsia" w:ascii="宋体" w:hAnsi="宋体" w:cs="宋体"/>
                <w:color w:val="auto"/>
                <w:highlight w:val="none"/>
              </w:rPr>
              <w:t>核查随机法</w:t>
            </w:r>
          </w:p>
        </w:tc>
        <w:tc>
          <w:tcPr>
            <w:tcW w:w="6249" w:type="dxa"/>
            <w:tcBorders>
              <w:top w:val="single" w:color="000000" w:sz="6" w:space="0"/>
              <w:left w:val="single" w:color="000000" w:sz="6" w:space="0"/>
              <w:bottom w:val="single" w:color="000000" w:sz="6" w:space="0"/>
            </w:tcBorders>
          </w:tcPr>
          <w:p w14:paraId="18A96FB0">
            <w:pPr>
              <w:spacing w:line="400" w:lineRule="exact"/>
              <w:rPr>
                <w:rFonts w:hint="eastAsia" w:ascii="宋体" w:hAnsi="宋体" w:cs="宋体"/>
                <w:color w:val="auto"/>
                <w:highlight w:val="none"/>
              </w:rPr>
            </w:pPr>
            <w:r>
              <w:rPr>
                <w:rFonts w:hint="eastAsia" w:ascii="宋体" w:hAnsi="宋体" w:cs="宋体"/>
                <w:color w:val="auto"/>
                <w:highlight w:val="none"/>
              </w:rPr>
              <w:t>①主持人首先介绍参会人员、项目开评标过程及评标委员会推荐定标候选人情况;定标委员会组长宣读承诺书、核查报告。</w:t>
            </w:r>
          </w:p>
          <w:p w14:paraId="16B5C286">
            <w:pPr>
              <w:spacing w:line="400" w:lineRule="exact"/>
              <w:rPr>
                <w:rFonts w:hint="eastAsia"/>
                <w:color w:val="auto"/>
                <w:highlight w:val="none"/>
              </w:rPr>
            </w:pPr>
            <w:r>
              <w:rPr>
                <w:rFonts w:hint="eastAsia" w:ascii="宋体" w:hAnsi="宋体" w:cs="宋体"/>
                <w:color w:val="auto"/>
                <w:highlight w:val="none"/>
              </w:rPr>
              <w:t>②)现场监督人员对抽取箱和号码球进行检查，检查无异常后，通过核查的中标候选人按签到顺序随机抽取号码球(未到场的由定标委员会组长随机抽取确定，抽取结果视为该中标候选人认可)，记录并签字确认，定标委员会组长随机抽取号码球确定中标号码，两球号码一致即为中标人。③招标代理机构填写中标人信息，定标委员会组长宣布中标人。</w:t>
            </w:r>
          </w:p>
        </w:tc>
      </w:tr>
      <w:tr w14:paraId="2BB9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3888572A">
            <w:pPr>
              <w:spacing w:line="400" w:lineRule="exact"/>
              <w:jc w:val="center"/>
              <w:rPr>
                <w:rFonts w:hint="eastAsia" w:ascii="宋体" w:hAnsi="宋体" w:cs="宋体"/>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五</w:t>
            </w:r>
            <w:r>
              <w:rPr>
                <w:rFonts w:hint="eastAsia" w:ascii="宋体" w:hAnsi="宋体" w:cs="宋体"/>
                <w:b/>
                <w:bCs/>
                <w:color w:val="auto"/>
                <w:highlight w:val="none"/>
              </w:rPr>
              <w:t>）定标委员会的组建</w:t>
            </w:r>
          </w:p>
        </w:tc>
      </w:tr>
      <w:tr w14:paraId="108F4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tcBorders>
              <w:top w:val="single" w:color="000000" w:sz="6" w:space="0"/>
              <w:bottom w:val="single" w:color="000000" w:sz="6" w:space="0"/>
              <w:right w:val="single" w:color="000000" w:sz="6" w:space="0"/>
            </w:tcBorders>
            <w:vAlign w:val="center"/>
          </w:tcPr>
          <w:p w14:paraId="4C7874A5">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7</w:t>
            </w:r>
          </w:p>
        </w:tc>
        <w:tc>
          <w:tcPr>
            <w:tcW w:w="1050" w:type="dxa"/>
            <w:tcBorders>
              <w:top w:val="single" w:color="000000" w:sz="6" w:space="0"/>
              <w:left w:val="single" w:color="000000" w:sz="6" w:space="0"/>
              <w:bottom w:val="single" w:color="000000" w:sz="6" w:space="0"/>
              <w:right w:val="single" w:color="000000" w:sz="6" w:space="0"/>
            </w:tcBorders>
            <w:vAlign w:val="center"/>
          </w:tcPr>
          <w:p w14:paraId="1E94ECCB">
            <w:pPr>
              <w:spacing w:line="400" w:lineRule="exact"/>
              <w:jc w:val="center"/>
              <w:rPr>
                <w:rFonts w:hint="default" w:ascii="宋体" w:hAnsi="宋体" w:eastAsia="宋体" w:cs="宋体"/>
                <w:b/>
                <w:bCs/>
                <w:color w:val="auto"/>
                <w:highlight w:val="none"/>
                <w:lang w:val="en-US" w:eastAsia="zh-CN"/>
              </w:rPr>
            </w:pPr>
            <w:r>
              <w:rPr>
                <w:rFonts w:hint="eastAsia" w:ascii="宋体" w:hAnsi="宋体" w:cs="宋体"/>
                <w:b w:val="0"/>
                <w:bCs w:val="0"/>
                <w:color w:val="auto"/>
                <w:highlight w:val="none"/>
                <w:lang w:val="en-US" w:eastAsia="zh-CN"/>
              </w:rPr>
              <w:t>5.1</w:t>
            </w:r>
          </w:p>
        </w:tc>
        <w:tc>
          <w:tcPr>
            <w:tcW w:w="8297" w:type="dxa"/>
            <w:gridSpan w:val="2"/>
            <w:tcBorders>
              <w:top w:val="single" w:color="000000" w:sz="6" w:space="0"/>
              <w:left w:val="single" w:color="000000" w:sz="6" w:space="0"/>
              <w:bottom w:val="single" w:color="000000" w:sz="6" w:space="0"/>
            </w:tcBorders>
            <w:vAlign w:val="center"/>
          </w:tcPr>
          <w:p w14:paraId="5ADB8D3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highlight w:val="none"/>
                <w:u w:val="single"/>
                <w:lang w:val="zh-CN"/>
              </w:rPr>
            </w:pPr>
            <w:r>
              <w:rPr>
                <w:rFonts w:hint="eastAsia" w:ascii="宋体" w:hAnsi="宋体" w:cs="宋体"/>
                <w:color w:val="auto"/>
                <w:highlight w:val="none"/>
                <w:u w:val="none"/>
                <w:lang w:val="zh-CN"/>
              </w:rPr>
              <w:t>招标人组建定标委员会，负责对中标候选人进行核查和组织召开定标会议。定标工作由定标委员会独立完成，定标委员会成员数量为5人，招标人单位成员不得低于成员总数的三分之二。定标委员会组长由招标人确定原则上由招标人的法定代表人、主要负责人或分管负责人担任，其他成员可由招标人自行选定。定标委员会成员与中标候选人利害关系的应当主动申请回避。定标委员会名单在中标结果确定前应当保密定标委员会应当对定标过程保密，对所提出的定标意见承担个人责任，不得私下与投标人或者其他利害关系人接触。</w:t>
            </w:r>
          </w:p>
        </w:tc>
      </w:tr>
      <w:tr w14:paraId="5D19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6CA3574">
            <w:pPr>
              <w:spacing w:line="400" w:lineRule="exact"/>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8</w:t>
            </w:r>
          </w:p>
        </w:tc>
        <w:tc>
          <w:tcPr>
            <w:tcW w:w="1050" w:type="dxa"/>
            <w:tcBorders>
              <w:top w:val="single" w:color="000000" w:sz="6" w:space="0"/>
              <w:left w:val="single" w:color="000000" w:sz="6" w:space="0"/>
              <w:bottom w:val="single" w:color="000000" w:sz="6" w:space="0"/>
              <w:right w:val="single" w:color="000000" w:sz="6" w:space="0"/>
            </w:tcBorders>
            <w:vAlign w:val="center"/>
          </w:tcPr>
          <w:p w14:paraId="7262003E">
            <w:pPr>
              <w:keepNext/>
              <w:keepLines/>
              <w:pageBreakBefore w:val="0"/>
              <w:widowControl/>
              <w:kinsoku/>
              <w:wordWrap w:val="0"/>
              <w:overflowPunct/>
              <w:topLinePunct/>
              <w:autoSpaceDE/>
              <w:autoSpaceDN/>
              <w:bidi w:val="0"/>
              <w:adjustRightInd/>
              <w:snapToGrid/>
              <w:spacing w:line="400" w:lineRule="exact"/>
              <w:ind w:firstLine="0" w:firstLineChars="0"/>
              <w:jc w:val="center"/>
              <w:textAlignment w:val="auto"/>
              <w:rPr>
                <w:rFonts w:hint="eastAsia" w:ascii="宋体" w:hAnsi="宋体" w:cs="宋体"/>
                <w:b/>
                <w:bCs/>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.2</w:t>
            </w:r>
          </w:p>
        </w:tc>
        <w:tc>
          <w:tcPr>
            <w:tcW w:w="2048" w:type="dxa"/>
            <w:tcBorders>
              <w:top w:val="single" w:color="000000" w:sz="6" w:space="0"/>
              <w:left w:val="single" w:color="000000" w:sz="6" w:space="0"/>
              <w:bottom w:val="single" w:color="000000" w:sz="6" w:space="0"/>
            </w:tcBorders>
            <w:vAlign w:val="center"/>
          </w:tcPr>
          <w:p w14:paraId="1A74B2C7">
            <w:pPr>
              <w:keepNext/>
              <w:keepLines/>
              <w:pageBreakBefore w:val="0"/>
              <w:widowControl/>
              <w:kinsoku/>
              <w:wordWrap w:val="0"/>
              <w:overflowPunct/>
              <w:topLinePunct/>
              <w:autoSpaceDE/>
              <w:autoSpaceDN/>
              <w:bidi w:val="0"/>
              <w:adjustRightInd/>
              <w:snapToGrid/>
              <w:spacing w:line="400" w:lineRule="exact"/>
              <w:ind w:firstLine="0" w:firstLineChars="0"/>
              <w:jc w:val="center"/>
              <w:textAlignment w:val="auto"/>
              <w:rPr>
                <w:rFonts w:hint="eastAsia" w:ascii="宋体" w:hAnsi="宋体" w:cs="宋体"/>
                <w:color w:val="auto"/>
                <w:highlight w:val="none"/>
                <w:u w:val="single"/>
                <w:lang w:val="zh-CN"/>
              </w:rPr>
            </w:pPr>
            <w:r>
              <w:rPr>
                <w:rFonts w:hint="eastAsia" w:ascii="宋体" w:hAnsi="宋体" w:eastAsia="宋体" w:cs="宋体"/>
                <w:color w:val="auto"/>
                <w:highlight w:val="none"/>
              </w:rPr>
              <w:t>定标委员会的人数</w:t>
            </w:r>
          </w:p>
        </w:tc>
        <w:tc>
          <w:tcPr>
            <w:tcW w:w="6249" w:type="dxa"/>
            <w:tcBorders>
              <w:top w:val="single" w:color="000000" w:sz="6" w:space="0"/>
              <w:left w:val="single" w:color="000000" w:sz="6" w:space="0"/>
              <w:bottom w:val="single" w:color="000000" w:sz="6" w:space="0"/>
            </w:tcBorders>
            <w:vAlign w:val="center"/>
          </w:tcPr>
          <w:p w14:paraId="635C79F6">
            <w:pPr>
              <w:keepNext/>
              <w:keepLines/>
              <w:pageBreakBefore w:val="0"/>
              <w:widowControl/>
              <w:kinsoku/>
              <w:wordWrap w:val="0"/>
              <w:overflowPunct/>
              <w:topLinePunct/>
              <w:autoSpaceDE/>
              <w:autoSpaceDN/>
              <w:bidi w:val="0"/>
              <w:adjustRightInd/>
              <w:snapToGrid/>
              <w:spacing w:line="400" w:lineRule="exact"/>
              <w:ind w:firstLine="0" w:firstLineChars="0"/>
              <w:jc w:val="both"/>
              <w:textAlignment w:val="auto"/>
              <w:rPr>
                <w:rFonts w:hint="eastAsia" w:ascii="宋体" w:hAnsi="宋体" w:cs="宋体"/>
                <w:color w:val="auto"/>
                <w:highlight w:val="none"/>
                <w:u w:val="single"/>
                <w:lang w:val="zh-CN"/>
              </w:rPr>
            </w:pPr>
            <w:r>
              <w:rPr>
                <w:rFonts w:hint="eastAsia" w:ascii="宋体" w:hAnsi="宋体" w:eastAsia="宋体" w:cs="宋体"/>
                <w:color w:val="auto"/>
                <w:highlight w:val="none"/>
              </w:rPr>
              <w:t>见投标人须知前附表</w:t>
            </w:r>
          </w:p>
        </w:tc>
      </w:tr>
      <w:tr w14:paraId="4052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071" w:type="dxa"/>
            <w:gridSpan w:val="4"/>
            <w:tcBorders>
              <w:top w:val="single" w:color="000000" w:sz="6" w:space="0"/>
              <w:bottom w:val="single" w:color="000000" w:sz="6" w:space="0"/>
            </w:tcBorders>
            <w:vAlign w:val="center"/>
          </w:tcPr>
          <w:p w14:paraId="68EF17A7">
            <w:pPr>
              <w:spacing w:line="400" w:lineRule="exact"/>
              <w:jc w:val="center"/>
              <w:rPr>
                <w:rFonts w:hint="eastAsia" w:ascii="宋体" w:hAnsi="宋体" w:cs="宋体"/>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六</w:t>
            </w:r>
            <w:r>
              <w:rPr>
                <w:rFonts w:hint="eastAsia" w:ascii="宋体" w:hAnsi="宋体" w:cs="宋体"/>
                <w:b/>
                <w:bCs/>
                <w:color w:val="auto"/>
                <w:highlight w:val="none"/>
              </w:rPr>
              <w:t>）定标会议主要议程</w:t>
            </w:r>
          </w:p>
        </w:tc>
      </w:tr>
      <w:tr w14:paraId="3B458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EFB8ACF">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1050" w:type="dxa"/>
            <w:tcBorders>
              <w:top w:val="single" w:color="000000" w:sz="6" w:space="0"/>
              <w:left w:val="single" w:color="000000" w:sz="6" w:space="0"/>
              <w:bottom w:val="single" w:color="000000" w:sz="6" w:space="0"/>
              <w:right w:val="single" w:color="000000" w:sz="6" w:space="0"/>
            </w:tcBorders>
            <w:vAlign w:val="center"/>
          </w:tcPr>
          <w:p w14:paraId="686AE5ED">
            <w:pPr>
              <w:spacing w:line="400" w:lineRule="exact"/>
              <w:jc w:val="center"/>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w:t>
            </w:r>
          </w:p>
        </w:tc>
        <w:tc>
          <w:tcPr>
            <w:tcW w:w="2048" w:type="dxa"/>
            <w:tcBorders>
              <w:top w:val="single" w:color="000000" w:sz="6" w:space="0"/>
              <w:left w:val="single" w:color="000000" w:sz="6" w:space="0"/>
              <w:bottom w:val="single" w:color="000000" w:sz="6" w:space="0"/>
              <w:right w:val="single" w:color="000000" w:sz="6" w:space="0"/>
            </w:tcBorders>
            <w:vAlign w:val="center"/>
          </w:tcPr>
          <w:p w14:paraId="12EB4660">
            <w:pPr>
              <w:spacing w:line="400" w:lineRule="exact"/>
              <w:jc w:val="center"/>
              <w:rPr>
                <w:rFonts w:hint="eastAsia" w:ascii="宋体" w:hAnsi="宋体" w:cs="宋体"/>
                <w:color w:val="auto"/>
                <w:highlight w:val="none"/>
              </w:rPr>
            </w:pPr>
            <w:r>
              <w:rPr>
                <w:rFonts w:hint="eastAsia" w:ascii="宋体" w:hAnsi="宋体" w:cs="宋体"/>
                <w:color w:val="auto"/>
                <w:highlight w:val="none"/>
              </w:rPr>
              <w:t>定标时间</w:t>
            </w:r>
          </w:p>
        </w:tc>
        <w:tc>
          <w:tcPr>
            <w:tcW w:w="6249" w:type="dxa"/>
            <w:tcBorders>
              <w:top w:val="single" w:color="000000" w:sz="6" w:space="0"/>
              <w:left w:val="single" w:color="000000" w:sz="6" w:space="0"/>
              <w:bottom w:val="single" w:color="000000" w:sz="6" w:space="0"/>
            </w:tcBorders>
            <w:vAlign w:val="center"/>
          </w:tcPr>
          <w:p w14:paraId="4DDE42A1">
            <w:pPr>
              <w:spacing w:line="400" w:lineRule="exact"/>
              <w:rPr>
                <w:rFonts w:hint="eastAsia" w:ascii="宋体" w:hAnsi="宋体" w:cs="宋体"/>
                <w:color w:val="auto"/>
                <w:highlight w:val="none"/>
              </w:rPr>
            </w:pPr>
            <w:r>
              <w:rPr>
                <w:rFonts w:hint="eastAsia" w:ascii="宋体" w:hAnsi="宋体" w:cs="宋体"/>
                <w:color w:val="auto"/>
                <w:highlight w:val="none"/>
              </w:rPr>
              <w:t>招标人应当在收到评标报告后10日内完成定标工作，定标过程包括核查、定标会议两个阶段。定标会议在公共资源交易中心按流程进行，应当对定标会议过程全程进行音视频记录，并存档备查。</w:t>
            </w:r>
          </w:p>
          <w:p w14:paraId="7E1E2684">
            <w:pPr>
              <w:spacing w:line="400" w:lineRule="exact"/>
              <w:rPr>
                <w:rFonts w:hint="eastAsia" w:ascii="宋体" w:hAnsi="宋体" w:cs="宋体"/>
                <w:color w:val="auto"/>
                <w:highlight w:val="none"/>
              </w:rPr>
            </w:pPr>
            <w:r>
              <w:rPr>
                <w:rFonts w:hint="eastAsia" w:ascii="宋体" w:hAnsi="宋体" w:cs="宋体"/>
                <w:color w:val="auto"/>
                <w:highlight w:val="none"/>
              </w:rPr>
              <w:t>招标人不能按时完成定标工作的，应当通过公共资源交易平台发布延期原因和最终定标时间。</w:t>
            </w:r>
          </w:p>
        </w:tc>
      </w:tr>
      <w:tr w14:paraId="1DF7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D022B77">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0</w:t>
            </w:r>
          </w:p>
        </w:tc>
        <w:tc>
          <w:tcPr>
            <w:tcW w:w="1050" w:type="dxa"/>
            <w:tcBorders>
              <w:top w:val="single" w:color="000000" w:sz="6" w:space="0"/>
              <w:left w:val="single" w:color="000000" w:sz="6" w:space="0"/>
              <w:bottom w:val="single" w:color="000000" w:sz="6" w:space="0"/>
              <w:right w:val="single" w:color="000000" w:sz="6" w:space="0"/>
            </w:tcBorders>
            <w:vAlign w:val="center"/>
          </w:tcPr>
          <w:p w14:paraId="332A2637">
            <w:pPr>
              <w:spacing w:line="400" w:lineRule="exact"/>
              <w:jc w:val="center"/>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.2</w:t>
            </w:r>
          </w:p>
        </w:tc>
        <w:tc>
          <w:tcPr>
            <w:tcW w:w="2048" w:type="dxa"/>
            <w:tcBorders>
              <w:top w:val="single" w:color="000000" w:sz="6" w:space="0"/>
              <w:left w:val="single" w:color="000000" w:sz="6" w:space="0"/>
              <w:bottom w:val="single" w:color="000000" w:sz="6" w:space="0"/>
              <w:right w:val="single" w:color="000000" w:sz="6" w:space="0"/>
            </w:tcBorders>
            <w:vAlign w:val="center"/>
          </w:tcPr>
          <w:p w14:paraId="17DED593">
            <w:pPr>
              <w:spacing w:line="400" w:lineRule="exact"/>
              <w:jc w:val="center"/>
              <w:rPr>
                <w:rFonts w:hint="eastAsia" w:ascii="宋体" w:hAnsi="宋体" w:cs="宋体"/>
                <w:color w:val="auto"/>
                <w:highlight w:val="none"/>
              </w:rPr>
            </w:pPr>
            <w:r>
              <w:rPr>
                <w:rFonts w:hint="eastAsia" w:ascii="宋体" w:hAnsi="宋体" w:cs="宋体"/>
                <w:color w:val="auto"/>
                <w:highlight w:val="none"/>
              </w:rPr>
              <w:t>定标会议主要议程</w:t>
            </w:r>
          </w:p>
        </w:tc>
        <w:tc>
          <w:tcPr>
            <w:tcW w:w="6249" w:type="dxa"/>
            <w:tcBorders>
              <w:top w:val="single" w:color="000000" w:sz="6" w:space="0"/>
              <w:left w:val="single" w:color="000000" w:sz="6" w:space="0"/>
              <w:bottom w:val="single" w:color="000000" w:sz="6" w:space="0"/>
            </w:tcBorders>
            <w:vAlign w:val="center"/>
          </w:tcPr>
          <w:p w14:paraId="327F6EA1">
            <w:pPr>
              <w:spacing w:line="400" w:lineRule="exact"/>
              <w:rPr>
                <w:rFonts w:hint="eastAsia" w:ascii="宋体" w:hAnsi="宋体" w:cs="宋体"/>
                <w:color w:val="auto"/>
                <w:highlight w:val="none"/>
              </w:rPr>
            </w:pPr>
            <w:r>
              <w:rPr>
                <w:rFonts w:hint="eastAsia" w:ascii="宋体" w:hAnsi="宋体" w:cs="宋体"/>
                <w:color w:val="auto"/>
                <w:highlight w:val="none"/>
              </w:rPr>
              <w:t>见本章</w:t>
            </w:r>
            <w:r>
              <w:rPr>
                <w:rFonts w:hint="eastAsia" w:ascii="宋体" w:hAnsi="宋体" w:cs="宋体"/>
                <w:color w:val="auto"/>
                <w:highlight w:val="none"/>
                <w:lang w:val="en-US" w:eastAsia="zh-CN"/>
              </w:rPr>
              <w:t>7</w:t>
            </w:r>
            <w:r>
              <w:rPr>
                <w:rFonts w:hint="eastAsia" w:ascii="宋体" w:hAnsi="宋体" w:cs="宋体"/>
                <w:color w:val="auto"/>
                <w:highlight w:val="none"/>
              </w:rPr>
              <w:t>定标会议主要议程</w:t>
            </w:r>
          </w:p>
        </w:tc>
      </w:tr>
      <w:tr w14:paraId="0013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6BC3E91">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1</w:t>
            </w:r>
          </w:p>
        </w:tc>
        <w:tc>
          <w:tcPr>
            <w:tcW w:w="1050" w:type="dxa"/>
            <w:tcBorders>
              <w:top w:val="single" w:color="000000" w:sz="6" w:space="0"/>
              <w:left w:val="single" w:color="000000" w:sz="6" w:space="0"/>
              <w:bottom w:val="single" w:color="000000" w:sz="6" w:space="0"/>
              <w:right w:val="single" w:color="000000" w:sz="6" w:space="0"/>
            </w:tcBorders>
            <w:vAlign w:val="center"/>
          </w:tcPr>
          <w:p w14:paraId="1FA81336">
            <w:pPr>
              <w:spacing w:line="400" w:lineRule="exact"/>
              <w:jc w:val="center"/>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.3</w:t>
            </w:r>
          </w:p>
        </w:tc>
        <w:tc>
          <w:tcPr>
            <w:tcW w:w="2048" w:type="dxa"/>
            <w:tcBorders>
              <w:top w:val="single" w:color="000000" w:sz="6" w:space="0"/>
              <w:left w:val="single" w:color="000000" w:sz="6" w:space="0"/>
              <w:bottom w:val="single" w:color="000000" w:sz="6" w:space="0"/>
              <w:right w:val="single" w:color="000000" w:sz="6" w:space="0"/>
            </w:tcBorders>
            <w:vAlign w:val="center"/>
          </w:tcPr>
          <w:p w14:paraId="67F15ED9">
            <w:pPr>
              <w:spacing w:line="400" w:lineRule="exact"/>
              <w:jc w:val="center"/>
              <w:rPr>
                <w:rFonts w:hint="eastAsia" w:ascii="宋体" w:hAnsi="宋体" w:cs="宋体"/>
                <w:color w:val="auto"/>
                <w:highlight w:val="none"/>
              </w:rPr>
            </w:pPr>
            <w:r>
              <w:rPr>
                <w:rFonts w:hint="eastAsia" w:ascii="宋体" w:hAnsi="宋体" w:cs="宋体"/>
                <w:color w:val="auto"/>
                <w:highlight w:val="none"/>
              </w:rPr>
              <w:t>定标报告编写</w:t>
            </w:r>
          </w:p>
        </w:tc>
        <w:tc>
          <w:tcPr>
            <w:tcW w:w="6249" w:type="dxa"/>
            <w:tcBorders>
              <w:top w:val="single" w:color="000000" w:sz="6" w:space="0"/>
              <w:left w:val="single" w:color="000000" w:sz="6" w:space="0"/>
              <w:bottom w:val="single" w:color="000000" w:sz="6" w:space="0"/>
            </w:tcBorders>
          </w:tcPr>
          <w:p w14:paraId="6FE336F1">
            <w:pPr>
              <w:spacing w:line="400" w:lineRule="exact"/>
              <w:rPr>
                <w:rFonts w:hint="eastAsia" w:ascii="宋体" w:hAnsi="宋体" w:cs="宋体"/>
                <w:color w:val="auto"/>
                <w:highlight w:val="none"/>
              </w:rPr>
            </w:pPr>
            <w:r>
              <w:rPr>
                <w:rFonts w:hint="eastAsia" w:ascii="宋体" w:hAnsi="宋体" w:cs="宋体"/>
                <w:color w:val="auto"/>
                <w:highlight w:val="none"/>
              </w:rPr>
              <w:t>定标报告应当包括定标时间、定标地点、定标委员会成员名单、定标方法、定标理由、定标结果等内容</w:t>
            </w:r>
          </w:p>
        </w:tc>
      </w:tr>
      <w:tr w14:paraId="28063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10071" w:type="dxa"/>
            <w:gridSpan w:val="4"/>
            <w:tcBorders>
              <w:top w:val="single" w:color="000000" w:sz="6" w:space="0"/>
              <w:bottom w:val="single" w:color="000000" w:sz="6" w:space="0"/>
            </w:tcBorders>
            <w:vAlign w:val="center"/>
          </w:tcPr>
          <w:p w14:paraId="033ACF5D">
            <w:pPr>
              <w:spacing w:line="400" w:lineRule="exact"/>
              <w:jc w:val="center"/>
              <w:rPr>
                <w:rFonts w:hint="eastAsia" w:ascii="宋体" w:hAnsi="宋体" w:cs="宋体"/>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七</w:t>
            </w:r>
            <w:r>
              <w:rPr>
                <w:rFonts w:hint="eastAsia" w:ascii="宋体" w:hAnsi="宋体" w:cs="宋体"/>
                <w:b/>
                <w:bCs/>
                <w:color w:val="auto"/>
                <w:highlight w:val="none"/>
              </w:rPr>
              <w:t>）中标结果公告</w:t>
            </w:r>
          </w:p>
        </w:tc>
      </w:tr>
      <w:tr w14:paraId="110A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338D4E0">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2</w:t>
            </w:r>
          </w:p>
        </w:tc>
        <w:tc>
          <w:tcPr>
            <w:tcW w:w="1050" w:type="dxa"/>
            <w:tcBorders>
              <w:top w:val="single" w:color="000000" w:sz="6" w:space="0"/>
              <w:left w:val="single" w:color="000000" w:sz="6" w:space="0"/>
              <w:bottom w:val="single" w:color="000000" w:sz="6" w:space="0"/>
              <w:right w:val="single" w:color="000000" w:sz="6" w:space="0"/>
            </w:tcBorders>
            <w:vAlign w:val="center"/>
          </w:tcPr>
          <w:p w14:paraId="3A106135">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7.1</w:t>
            </w:r>
          </w:p>
        </w:tc>
        <w:tc>
          <w:tcPr>
            <w:tcW w:w="2048" w:type="dxa"/>
            <w:tcBorders>
              <w:top w:val="single" w:color="000000" w:sz="6" w:space="0"/>
              <w:left w:val="single" w:color="000000" w:sz="6" w:space="0"/>
              <w:bottom w:val="single" w:color="000000" w:sz="6" w:space="0"/>
              <w:right w:val="single" w:color="000000" w:sz="6" w:space="0"/>
            </w:tcBorders>
            <w:vAlign w:val="center"/>
          </w:tcPr>
          <w:p w14:paraId="644E563F">
            <w:pPr>
              <w:spacing w:line="400" w:lineRule="exact"/>
              <w:jc w:val="center"/>
              <w:rPr>
                <w:rFonts w:hint="eastAsia" w:ascii="宋体" w:hAnsi="宋体" w:cs="宋体"/>
                <w:color w:val="auto"/>
                <w:highlight w:val="none"/>
              </w:rPr>
            </w:pPr>
            <w:r>
              <w:rPr>
                <w:rFonts w:hint="eastAsia" w:ascii="宋体" w:hAnsi="宋体" w:cs="宋体"/>
                <w:color w:val="auto"/>
                <w:highlight w:val="none"/>
              </w:rPr>
              <w:t>中标结果公告</w:t>
            </w:r>
          </w:p>
        </w:tc>
        <w:tc>
          <w:tcPr>
            <w:tcW w:w="6249" w:type="dxa"/>
            <w:tcBorders>
              <w:top w:val="single" w:color="000000" w:sz="6" w:space="0"/>
              <w:left w:val="single" w:color="000000" w:sz="6" w:space="0"/>
              <w:bottom w:val="single" w:color="000000" w:sz="6" w:space="0"/>
            </w:tcBorders>
          </w:tcPr>
          <w:p w14:paraId="4CD0B179">
            <w:pPr>
              <w:spacing w:line="400" w:lineRule="exact"/>
              <w:rPr>
                <w:rFonts w:hint="eastAsia" w:ascii="宋体" w:hAnsi="宋体" w:cs="宋体"/>
                <w:color w:val="auto"/>
                <w:highlight w:val="none"/>
              </w:rPr>
            </w:pPr>
            <w:r>
              <w:rPr>
                <w:rFonts w:hint="eastAsia" w:ascii="宋体" w:hAnsi="宋体" w:cs="宋体"/>
                <w:color w:val="auto"/>
                <w:highlight w:val="none"/>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p>
        </w:tc>
      </w:tr>
      <w:tr w14:paraId="70369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71" w:type="dxa"/>
            <w:gridSpan w:val="4"/>
            <w:tcBorders>
              <w:top w:val="single" w:color="000000" w:sz="6" w:space="0"/>
              <w:bottom w:val="single" w:color="000000" w:sz="6" w:space="0"/>
            </w:tcBorders>
            <w:vAlign w:val="center"/>
          </w:tcPr>
          <w:p w14:paraId="21AF1461">
            <w:pPr>
              <w:spacing w:line="400" w:lineRule="exact"/>
              <w:jc w:val="center"/>
              <w:rPr>
                <w:rFonts w:hint="eastAsia" w:ascii="宋体" w:hAnsi="宋体" w:cs="宋体"/>
                <w:color w:val="auto"/>
                <w:highlight w:val="none"/>
              </w:rPr>
            </w:pPr>
            <w:r>
              <w:rPr>
                <w:rFonts w:hint="eastAsia" w:ascii="宋体" w:hAnsi="宋体" w:cs="宋体"/>
                <w:b/>
                <w:bCs/>
                <w:color w:val="auto"/>
                <w:highlight w:val="none"/>
                <w:lang w:val="zh-CN"/>
              </w:rPr>
              <w:t>（</w:t>
            </w:r>
            <w:r>
              <w:rPr>
                <w:rFonts w:hint="eastAsia" w:ascii="宋体" w:hAnsi="宋体" w:cs="宋体"/>
                <w:b/>
                <w:bCs/>
                <w:color w:val="auto"/>
                <w:highlight w:val="none"/>
                <w:lang w:val="en-US" w:eastAsia="zh-CN"/>
              </w:rPr>
              <w:t>八</w:t>
            </w:r>
            <w:r>
              <w:rPr>
                <w:rFonts w:hint="eastAsia" w:ascii="宋体" w:hAnsi="宋体" w:cs="宋体"/>
                <w:b/>
                <w:bCs/>
                <w:color w:val="auto"/>
                <w:highlight w:val="none"/>
                <w:lang w:val="zh-CN"/>
              </w:rPr>
              <w:t>）</w:t>
            </w:r>
            <w:r>
              <w:rPr>
                <w:rFonts w:hint="eastAsia" w:ascii="宋体" w:hAnsi="宋体" w:cs="宋体"/>
                <w:b/>
                <w:bCs/>
                <w:color w:val="auto"/>
                <w:highlight w:val="none"/>
              </w:rPr>
              <w:t>重新定标</w:t>
            </w:r>
          </w:p>
        </w:tc>
      </w:tr>
      <w:tr w14:paraId="2C06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9B31A85">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3</w:t>
            </w:r>
          </w:p>
        </w:tc>
        <w:tc>
          <w:tcPr>
            <w:tcW w:w="1050" w:type="dxa"/>
            <w:tcBorders>
              <w:top w:val="single" w:color="000000" w:sz="6" w:space="0"/>
              <w:left w:val="single" w:color="000000" w:sz="6" w:space="0"/>
              <w:bottom w:val="single" w:color="000000" w:sz="6" w:space="0"/>
              <w:right w:val="single" w:color="000000" w:sz="6" w:space="0"/>
            </w:tcBorders>
            <w:vAlign w:val="center"/>
          </w:tcPr>
          <w:p w14:paraId="46808FB5">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8.1</w:t>
            </w:r>
          </w:p>
        </w:tc>
        <w:tc>
          <w:tcPr>
            <w:tcW w:w="2048" w:type="dxa"/>
            <w:tcBorders>
              <w:top w:val="single" w:color="000000" w:sz="6" w:space="0"/>
              <w:left w:val="single" w:color="000000" w:sz="6" w:space="0"/>
              <w:bottom w:val="single" w:color="000000" w:sz="6" w:space="0"/>
              <w:right w:val="single" w:color="000000" w:sz="6" w:space="0"/>
            </w:tcBorders>
            <w:vAlign w:val="center"/>
          </w:tcPr>
          <w:p w14:paraId="0C1219AD">
            <w:pPr>
              <w:spacing w:line="400" w:lineRule="exact"/>
              <w:jc w:val="center"/>
              <w:rPr>
                <w:rFonts w:hint="eastAsia" w:ascii="宋体" w:hAnsi="宋体" w:cs="宋体"/>
                <w:color w:val="auto"/>
                <w:highlight w:val="none"/>
              </w:rPr>
            </w:pPr>
            <w:r>
              <w:rPr>
                <w:rFonts w:hint="eastAsia" w:ascii="宋体" w:hAnsi="宋体" w:cs="宋体"/>
                <w:color w:val="auto"/>
                <w:highlight w:val="none"/>
              </w:rPr>
              <w:t>重新定标的情形</w:t>
            </w:r>
          </w:p>
        </w:tc>
        <w:tc>
          <w:tcPr>
            <w:tcW w:w="6249" w:type="dxa"/>
            <w:tcBorders>
              <w:top w:val="single" w:color="000000" w:sz="6" w:space="0"/>
              <w:left w:val="single" w:color="000000" w:sz="6" w:space="0"/>
              <w:bottom w:val="single" w:color="000000" w:sz="6" w:space="0"/>
            </w:tcBorders>
          </w:tcPr>
          <w:p w14:paraId="251A18B8">
            <w:pPr>
              <w:spacing w:line="400" w:lineRule="exact"/>
              <w:rPr>
                <w:rFonts w:hint="eastAsia" w:ascii="宋体" w:hAnsi="宋体" w:cs="宋体"/>
                <w:color w:val="auto"/>
                <w:highlight w:val="none"/>
              </w:rPr>
            </w:pPr>
            <w:r>
              <w:rPr>
                <w:rFonts w:hint="eastAsia" w:ascii="宋体" w:hAnsi="宋体" w:cs="宋体"/>
                <w:color w:val="auto"/>
                <w:highlight w:val="none"/>
              </w:rPr>
              <w:t>对中标人放弃中标、不可抗力不能履行合同、不符合投标或中标条件、被查实存在影响中标结果的违法行为等情形，招标人可以由原定标委员会在调整后的中标候选人中重新确定中标人，也可以重新组织招标。</w:t>
            </w:r>
          </w:p>
          <w:p w14:paraId="1682CC7C">
            <w:pPr>
              <w:spacing w:line="400" w:lineRule="exact"/>
              <w:rPr>
                <w:rFonts w:hint="eastAsia" w:ascii="宋体" w:hAnsi="宋体" w:cs="宋体"/>
                <w:color w:val="auto"/>
                <w:highlight w:val="none"/>
              </w:rPr>
            </w:pPr>
            <w:r>
              <w:rPr>
                <w:rFonts w:hint="eastAsia" w:ascii="宋体" w:hAnsi="宋体" w:cs="宋体"/>
                <w:color w:val="auto"/>
                <w:highlight w:val="none"/>
              </w:rPr>
              <w:t>对中标人以非正当理由放弃中标或被依法依规取消中标资格的，招标人应当移交有关行政监督部门依法依规进行处理。</w:t>
            </w:r>
          </w:p>
          <w:p w14:paraId="4AB495D0">
            <w:pPr>
              <w:spacing w:line="400" w:lineRule="exact"/>
              <w:rPr>
                <w:rFonts w:hint="eastAsia" w:ascii="宋体" w:hAnsi="宋体" w:cs="宋体"/>
                <w:color w:val="auto"/>
                <w:highlight w:val="none"/>
              </w:rPr>
            </w:pPr>
            <w:r>
              <w:rPr>
                <w:rFonts w:hint="eastAsia" w:ascii="宋体" w:hAnsi="宋体" w:cs="宋体"/>
                <w:color w:val="auto"/>
                <w:highlight w:val="none"/>
              </w:rPr>
              <w:t>定标后有下列情形之一的，应当重新定标。</w:t>
            </w:r>
          </w:p>
          <w:p w14:paraId="6A5A27DA">
            <w:pPr>
              <w:spacing w:line="400" w:lineRule="exact"/>
              <w:rPr>
                <w:rFonts w:hint="eastAsia" w:ascii="宋体" w:hAnsi="宋体" w:cs="宋体"/>
                <w:color w:val="auto"/>
                <w:highlight w:val="none"/>
              </w:rPr>
            </w:pPr>
            <w:r>
              <w:rPr>
                <w:rFonts w:hint="eastAsia" w:ascii="宋体" w:hAnsi="宋体" w:cs="宋体"/>
                <w:color w:val="auto"/>
                <w:highlight w:val="none"/>
              </w:rPr>
              <w:t>（一）定标委员会未按定标办法公正履职的；</w:t>
            </w:r>
          </w:p>
          <w:p w14:paraId="74D78F48">
            <w:pPr>
              <w:spacing w:line="400" w:lineRule="exact"/>
              <w:rPr>
                <w:rFonts w:hint="eastAsia" w:ascii="宋体" w:hAnsi="宋体" w:cs="宋体"/>
                <w:color w:val="auto"/>
                <w:highlight w:val="none"/>
              </w:rPr>
            </w:pPr>
            <w:r>
              <w:rPr>
                <w:rFonts w:hint="eastAsia" w:ascii="宋体" w:hAnsi="宋体" w:cs="宋体"/>
                <w:color w:val="auto"/>
                <w:highlight w:val="none"/>
              </w:rPr>
              <w:t>(二)定标委员会成员与中标候选人有利害关系且未回避的；</w:t>
            </w:r>
          </w:p>
          <w:p w14:paraId="4C63BDF1">
            <w:pPr>
              <w:spacing w:line="400" w:lineRule="exact"/>
              <w:rPr>
                <w:rFonts w:hint="eastAsia" w:ascii="宋体" w:hAnsi="宋体" w:cs="宋体"/>
                <w:color w:val="auto"/>
                <w:highlight w:val="none"/>
              </w:rPr>
            </w:pPr>
            <w:r>
              <w:rPr>
                <w:rFonts w:hint="eastAsia" w:ascii="宋体" w:hAnsi="宋体" w:cs="宋体"/>
                <w:color w:val="auto"/>
                <w:highlight w:val="none"/>
              </w:rPr>
              <w:t>(三)招标文件规定的其他情形。</w:t>
            </w:r>
          </w:p>
        </w:tc>
      </w:tr>
      <w:tr w14:paraId="6E25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071" w:type="dxa"/>
            <w:gridSpan w:val="4"/>
            <w:tcBorders>
              <w:top w:val="single" w:color="000000" w:sz="6" w:space="0"/>
              <w:bottom w:val="single" w:color="000000" w:sz="6" w:space="0"/>
            </w:tcBorders>
            <w:vAlign w:val="center"/>
          </w:tcPr>
          <w:p w14:paraId="1AF67AB0">
            <w:pPr>
              <w:spacing w:line="400" w:lineRule="exact"/>
              <w:jc w:val="center"/>
              <w:rPr>
                <w:rFonts w:hint="eastAsia" w:ascii="宋体" w:hAnsi="宋体" w:cs="宋体"/>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九</w:t>
            </w:r>
            <w:r>
              <w:rPr>
                <w:rFonts w:hint="eastAsia" w:ascii="宋体" w:hAnsi="宋体" w:cs="宋体"/>
                <w:b/>
                <w:bCs/>
                <w:color w:val="auto"/>
                <w:highlight w:val="none"/>
              </w:rPr>
              <w:t>）监督</w:t>
            </w:r>
          </w:p>
        </w:tc>
      </w:tr>
      <w:tr w14:paraId="7861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475BB48">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1805E45A">
            <w:pPr>
              <w:spacing w:line="400" w:lineRule="exact"/>
              <w:jc w:val="center"/>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.1</w:t>
            </w:r>
          </w:p>
        </w:tc>
        <w:tc>
          <w:tcPr>
            <w:tcW w:w="2048" w:type="dxa"/>
            <w:tcBorders>
              <w:top w:val="single" w:color="000000" w:sz="6" w:space="0"/>
              <w:left w:val="single" w:color="000000" w:sz="6" w:space="0"/>
              <w:bottom w:val="single" w:color="000000" w:sz="6" w:space="0"/>
              <w:right w:val="single" w:color="000000" w:sz="6" w:space="0"/>
            </w:tcBorders>
            <w:vAlign w:val="center"/>
          </w:tcPr>
          <w:p w14:paraId="1A067C00">
            <w:pPr>
              <w:spacing w:line="400" w:lineRule="exact"/>
              <w:jc w:val="center"/>
              <w:rPr>
                <w:rFonts w:hint="eastAsia" w:ascii="宋体" w:hAnsi="宋体" w:cs="宋体"/>
                <w:color w:val="auto"/>
                <w:highlight w:val="none"/>
              </w:rPr>
            </w:pPr>
            <w:r>
              <w:rPr>
                <w:rFonts w:hint="eastAsia" w:ascii="宋体" w:hAnsi="宋体" w:cs="宋体"/>
                <w:color w:val="auto"/>
                <w:highlight w:val="none"/>
              </w:rPr>
              <w:t>定标监督</w:t>
            </w:r>
          </w:p>
        </w:tc>
        <w:tc>
          <w:tcPr>
            <w:tcW w:w="6249" w:type="dxa"/>
            <w:tcBorders>
              <w:top w:val="single" w:color="000000" w:sz="6" w:space="0"/>
              <w:left w:val="single" w:color="000000" w:sz="6" w:space="0"/>
              <w:bottom w:val="single" w:color="000000" w:sz="6" w:space="0"/>
            </w:tcBorders>
            <w:vAlign w:val="center"/>
          </w:tcPr>
          <w:p w14:paraId="408126F1">
            <w:pPr>
              <w:spacing w:line="400" w:lineRule="exact"/>
              <w:rPr>
                <w:rFonts w:hint="eastAsia" w:ascii="宋体" w:hAnsi="宋体" w:cs="宋体"/>
                <w:color w:val="auto"/>
                <w:highlight w:val="none"/>
              </w:rPr>
            </w:pPr>
            <w:r>
              <w:rPr>
                <w:rFonts w:hint="eastAsia" w:ascii="宋体" w:hAnsi="宋体" w:cs="宋体"/>
                <w:color w:val="auto"/>
                <w:highlight w:val="none"/>
              </w:rPr>
              <w:t>定标会议在公共资源交易中心按流程进行，应当对定标会议过程全程进行音视频记录，并存档备查。</w:t>
            </w:r>
          </w:p>
        </w:tc>
      </w:tr>
      <w:tr w14:paraId="2C95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0071" w:type="dxa"/>
            <w:gridSpan w:val="4"/>
            <w:tcBorders>
              <w:top w:val="single" w:color="000000" w:sz="6" w:space="0"/>
              <w:bottom w:val="single" w:color="000000" w:sz="6" w:space="0"/>
            </w:tcBorders>
            <w:vAlign w:val="center"/>
          </w:tcPr>
          <w:p w14:paraId="3EC545AC">
            <w:pPr>
              <w:spacing w:line="400" w:lineRule="exact"/>
              <w:jc w:val="center"/>
              <w:rPr>
                <w:rFonts w:hint="eastAsia" w:ascii="宋体" w:hAnsi="宋体" w:cs="宋体"/>
                <w:color w:val="auto"/>
                <w:highlight w:val="none"/>
              </w:rPr>
            </w:pPr>
            <w:r>
              <w:rPr>
                <w:rFonts w:hint="eastAsia" w:ascii="宋体" w:hAnsi="宋体" w:cs="宋体"/>
                <w:b/>
                <w:bCs/>
                <w:color w:val="auto"/>
                <w:highlight w:val="none"/>
              </w:rPr>
              <w:t>（十）异议</w:t>
            </w:r>
          </w:p>
        </w:tc>
      </w:tr>
      <w:tr w14:paraId="77D7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1270F7CA">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3BEA5A1C">
            <w:pPr>
              <w:spacing w:line="400" w:lineRule="exact"/>
              <w:jc w:val="cente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.1</w:t>
            </w:r>
          </w:p>
        </w:tc>
        <w:tc>
          <w:tcPr>
            <w:tcW w:w="2048" w:type="dxa"/>
            <w:tcBorders>
              <w:top w:val="single" w:color="000000" w:sz="6" w:space="0"/>
              <w:left w:val="single" w:color="000000" w:sz="6" w:space="0"/>
              <w:bottom w:val="single" w:color="000000" w:sz="6" w:space="0"/>
              <w:right w:val="single" w:color="000000" w:sz="6" w:space="0"/>
            </w:tcBorders>
            <w:vAlign w:val="center"/>
          </w:tcPr>
          <w:p w14:paraId="3C0ED3CD">
            <w:pPr>
              <w:spacing w:line="400" w:lineRule="exact"/>
              <w:jc w:val="center"/>
              <w:rPr>
                <w:rFonts w:hint="eastAsia" w:ascii="宋体" w:hAnsi="宋体" w:cs="宋体"/>
                <w:color w:val="auto"/>
                <w:highlight w:val="none"/>
              </w:rPr>
            </w:pPr>
            <w:r>
              <w:rPr>
                <w:rFonts w:hint="eastAsia" w:ascii="宋体" w:hAnsi="宋体" w:cs="宋体"/>
                <w:color w:val="auto"/>
                <w:highlight w:val="none"/>
              </w:rPr>
              <w:t>异议</w:t>
            </w:r>
          </w:p>
        </w:tc>
        <w:tc>
          <w:tcPr>
            <w:tcW w:w="6249" w:type="dxa"/>
            <w:tcBorders>
              <w:top w:val="single" w:color="000000" w:sz="6" w:space="0"/>
              <w:left w:val="single" w:color="000000" w:sz="6" w:space="0"/>
              <w:bottom w:val="single" w:color="000000" w:sz="6" w:space="0"/>
            </w:tcBorders>
            <w:vAlign w:val="center"/>
          </w:tcPr>
          <w:p w14:paraId="0BE39FF2">
            <w:pPr>
              <w:spacing w:line="400" w:lineRule="exac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color w:val="auto"/>
                <w:highlight w:val="none"/>
              </w:rPr>
              <w:t>招标人不承诺将合同授予投标报价最低的投标人</w:t>
            </w:r>
            <w:r>
              <w:rPr>
                <w:rFonts w:hint="eastAsia" w:ascii="宋体" w:hAnsi="宋体" w:cs="宋体"/>
                <w:color w:val="auto"/>
                <w:highlight w:val="none"/>
                <w:lang w:eastAsia="zh-CN"/>
              </w:rPr>
              <w:t>。</w:t>
            </w:r>
          </w:p>
          <w:p w14:paraId="620666FB">
            <w:pPr>
              <w:pStyle w:val="24"/>
              <w:ind w:left="0" w:leftChars="0" w:firstLine="0" w:firstLineChars="0"/>
              <w:rPr>
                <w:rFonts w:hint="eastAsia"/>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中标人确定后，招标人无义务向未中标的中标</w:t>
            </w:r>
            <w:r>
              <w:rPr>
                <w:rFonts w:hint="eastAsia" w:ascii="宋体" w:hAnsi="宋体" w:cs="宋体"/>
                <w:color w:val="auto"/>
                <w:highlight w:val="none"/>
                <w:lang w:eastAsia="zh-CN"/>
              </w:rPr>
              <w:t>候选人</w:t>
            </w:r>
            <w:r>
              <w:rPr>
                <w:rFonts w:hint="eastAsia" w:ascii="宋体" w:hAnsi="宋体" w:eastAsia="宋体" w:cs="宋体"/>
                <w:color w:val="auto"/>
                <w:highlight w:val="none"/>
              </w:rPr>
              <w:t>就其未中标的原因作出解释</w:t>
            </w:r>
            <w:r>
              <w:rPr>
                <w:rFonts w:hint="eastAsia" w:ascii="宋体" w:hAnsi="宋体" w:eastAsia="宋体" w:cs="宋体"/>
                <w:color w:val="auto"/>
                <w:highlight w:val="none"/>
                <w:lang w:eastAsia="zh-CN"/>
              </w:rPr>
              <w:t>。</w:t>
            </w:r>
          </w:p>
        </w:tc>
      </w:tr>
      <w:tr w14:paraId="44FB8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4BB262EC">
            <w:pPr>
              <w:spacing w:line="400" w:lineRule="exact"/>
              <w:rPr>
                <w:rFonts w:hint="eastAsia" w:ascii="宋体" w:hAnsi="宋体" w:cs="宋体"/>
                <w:color w:val="auto"/>
                <w:highlight w:val="none"/>
              </w:rPr>
            </w:pPr>
            <w:r>
              <w:rPr>
                <w:rFonts w:hint="eastAsia" w:ascii="宋体" w:hAnsi="宋体" w:cs="宋体"/>
                <w:bCs/>
                <w:color w:val="auto"/>
                <w:szCs w:val="21"/>
                <w:highlight w:val="none"/>
              </w:rPr>
              <w:t>本次定标办法的制定依据《中华人民共和国招标投标法》、《河南省政府投资工程建设项目招标投标“评定分离”管理办法（试行）》、《信阳市政府投资工程建设项目招标投标“评定分离”规范指引(试行)》等相关法律法规；</w:t>
            </w:r>
          </w:p>
        </w:tc>
      </w:tr>
    </w:tbl>
    <w:p w14:paraId="4D7BB09F">
      <w:pPr>
        <w:rPr>
          <w:rFonts w:hint="eastAsia" w:ascii="宋体" w:hAnsi="宋体" w:cs="宋体"/>
          <w:color w:val="auto"/>
          <w:highlight w:val="none"/>
          <w:lang w:val="zh-CN"/>
        </w:rPr>
      </w:pPr>
      <w:r>
        <w:rPr>
          <w:rFonts w:hint="eastAsia" w:ascii="宋体" w:hAnsi="宋体" w:cs="宋体"/>
          <w:color w:val="auto"/>
          <w:highlight w:val="none"/>
          <w:lang w:val="zh-CN"/>
        </w:rPr>
        <w:br w:type="page"/>
      </w:r>
    </w:p>
    <w:p w14:paraId="5D39D4BC">
      <w:pPr>
        <w:pStyle w:val="8"/>
        <w:jc w:val="center"/>
        <w:rPr>
          <w:rFonts w:hint="eastAsia" w:ascii="宋体" w:hAnsi="宋体" w:eastAsia="宋体" w:cs="宋体"/>
          <w:color w:val="auto"/>
          <w:highlight w:val="none"/>
          <w:lang w:val="zh-CN"/>
        </w:rPr>
      </w:pPr>
      <w:bookmarkStart w:id="271" w:name="_Toc183793090"/>
      <w:bookmarkStart w:id="272" w:name="_Toc4246"/>
      <w:bookmarkStart w:id="273" w:name="_Toc23121"/>
      <w:bookmarkStart w:id="274" w:name="_Toc27560"/>
      <w:r>
        <w:rPr>
          <w:rFonts w:hint="eastAsia" w:ascii="宋体" w:hAnsi="宋体" w:eastAsia="宋体" w:cs="宋体"/>
          <w:color w:val="auto"/>
          <w:highlight w:val="none"/>
          <w:lang w:val="zh-CN"/>
        </w:rPr>
        <w:t>定标办法正文</w:t>
      </w:r>
      <w:bookmarkEnd w:id="271"/>
      <w:bookmarkEnd w:id="272"/>
      <w:bookmarkEnd w:id="273"/>
      <w:bookmarkEnd w:id="274"/>
    </w:p>
    <w:p w14:paraId="071536E7">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lang w:val="zh-CN"/>
        </w:rPr>
      </w:pPr>
      <w:bookmarkStart w:id="275" w:name="_Toc4150"/>
      <w:bookmarkStart w:id="276" w:name="_Toc183793091"/>
      <w:bookmarkStart w:id="277" w:name="_Toc27772"/>
      <w:bookmarkStart w:id="278" w:name="_Toc17085"/>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zh-CN"/>
        </w:rPr>
        <w:t>.</w:t>
      </w:r>
      <w:bookmarkEnd w:id="275"/>
      <w:bookmarkEnd w:id="276"/>
      <w:bookmarkEnd w:id="277"/>
      <w:bookmarkEnd w:id="278"/>
      <w:r>
        <w:rPr>
          <w:rFonts w:hint="eastAsia" w:asciiTheme="minorEastAsia" w:hAnsiTheme="minorEastAsia" w:eastAsiaTheme="minorEastAsia" w:cstheme="minorEastAsia"/>
          <w:color w:val="auto"/>
          <w:sz w:val="21"/>
          <w:szCs w:val="21"/>
          <w:highlight w:val="none"/>
          <w:lang w:val="zh-CN"/>
        </w:rPr>
        <w:t>定标依据</w:t>
      </w:r>
    </w:p>
    <w:p w14:paraId="5DAA1EA2">
      <w:pPr>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bookmarkStart w:id="279" w:name="_Toc161666664"/>
      <w:bookmarkStart w:id="280" w:name="_Toc1971"/>
      <w:bookmarkStart w:id="281" w:name="_Toc10225"/>
      <w:bookmarkStart w:id="282" w:name="_Toc22488"/>
      <w:bookmarkStart w:id="283" w:name="_Toc13586"/>
      <w:r>
        <w:rPr>
          <w:rFonts w:hint="eastAsia" w:asciiTheme="minorEastAsia" w:hAnsiTheme="minorEastAsia" w:eastAsiaTheme="minorEastAsia" w:cstheme="minorEastAsia"/>
          <w:color w:val="auto"/>
          <w:sz w:val="21"/>
          <w:szCs w:val="21"/>
          <w:highlight w:val="none"/>
          <w:lang w:val="zh-CN"/>
        </w:rPr>
        <w:t>1.1本次定标办法的制定依据下列文件进行：</w:t>
      </w:r>
    </w:p>
    <w:p w14:paraId="222D2E6F">
      <w:pPr>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《中华人民共和国招标投标法》；</w:t>
      </w:r>
    </w:p>
    <w:p w14:paraId="511D0B22">
      <w:pPr>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《河南省政府投资工程建设项目招标投标“评定分离”管理办法（试行）》；</w:t>
      </w:r>
    </w:p>
    <w:p w14:paraId="1A40A119">
      <w:pPr>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《信阳市政府投资工程建设项目招标投标“评定分离”规范指引（试行）》；</w:t>
      </w:r>
    </w:p>
    <w:p w14:paraId="60F7D711">
      <w:pPr>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val="zh-CN"/>
        </w:rPr>
        <w:t>本项目招标文件。</w:t>
      </w:r>
    </w:p>
    <w:p w14:paraId="2EF0B000">
      <w:pPr>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宋体" w:hAnsi="宋体" w:eastAsia="宋体" w:cs="宋体"/>
          <w:color w:val="auto"/>
          <w:sz w:val="21"/>
          <w:szCs w:val="21"/>
          <w:highlight w:val="none"/>
        </w:rPr>
        <w:t>本项目评标报告</w:t>
      </w:r>
      <w:r>
        <w:rPr>
          <w:rFonts w:hint="eastAsia" w:ascii="宋体" w:hAnsi="宋体" w:eastAsia="宋体" w:cs="宋体"/>
          <w:color w:val="auto"/>
          <w:sz w:val="21"/>
          <w:szCs w:val="21"/>
          <w:highlight w:val="none"/>
          <w:lang w:eastAsia="zh-CN"/>
        </w:rPr>
        <w:t>。</w:t>
      </w:r>
    </w:p>
    <w:p w14:paraId="2037C033">
      <w:pPr>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招标投标全过程资料</w:t>
      </w:r>
      <w:r>
        <w:rPr>
          <w:rFonts w:hint="eastAsia" w:ascii="宋体" w:hAnsi="宋体" w:eastAsia="宋体" w:cs="宋体"/>
          <w:color w:val="auto"/>
          <w:sz w:val="21"/>
          <w:szCs w:val="21"/>
          <w:highlight w:val="none"/>
          <w:lang w:eastAsia="zh-CN"/>
        </w:rPr>
        <w:t>。</w:t>
      </w:r>
    </w:p>
    <w:p w14:paraId="34F0BA46">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zh-CN"/>
        </w:rPr>
        <w:t>.定标</w:t>
      </w:r>
      <w:bookmarkEnd w:id="279"/>
      <w:bookmarkEnd w:id="280"/>
      <w:r>
        <w:rPr>
          <w:rFonts w:hint="eastAsia" w:asciiTheme="minorEastAsia" w:hAnsiTheme="minorEastAsia" w:eastAsiaTheme="minorEastAsia" w:cstheme="minorEastAsia"/>
          <w:color w:val="auto"/>
          <w:sz w:val="21"/>
          <w:szCs w:val="21"/>
          <w:highlight w:val="none"/>
          <w:lang w:val="zh-CN"/>
        </w:rPr>
        <w:t>核查</w:t>
      </w:r>
      <w:bookmarkEnd w:id="281"/>
      <w:bookmarkEnd w:id="282"/>
      <w:bookmarkEnd w:id="283"/>
    </w:p>
    <w:p w14:paraId="00EF9C8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2.1定标委员会应当首先对中标候选人进行核查:形成核查报告，核查报告在定标会议召开前应当保密。相关核查内容和方式应当在招标文件中载明，</w:t>
      </w:r>
      <w:r>
        <w:rPr>
          <w:rFonts w:hint="eastAsia" w:asciiTheme="minorEastAsia" w:hAnsiTheme="minorEastAsia" w:eastAsiaTheme="minorEastAsia" w:cstheme="minorEastAsia"/>
          <w:b/>
          <w:bCs/>
          <w:color w:val="auto"/>
          <w:szCs w:val="21"/>
          <w:highlight w:val="none"/>
          <w:u w:val="single"/>
        </w:rPr>
        <w:t>核查内容包括信用信息、履约能力（具体核查内容见“定标办法前附表”</w:t>
      </w:r>
      <w:r>
        <w:rPr>
          <w:rFonts w:hint="eastAsia" w:asciiTheme="minorEastAsia" w:hAnsiTheme="minorEastAsia" w:eastAsiaTheme="minorEastAsia" w:cstheme="minorEastAsia"/>
          <w:b/>
          <w:bCs/>
          <w:color w:val="auto"/>
          <w:szCs w:val="21"/>
          <w:highlight w:val="none"/>
          <w:u w:val="single"/>
          <w:lang w:val="en-US" w:eastAsia="zh-CN"/>
        </w:rPr>
        <w:t>2.2</w:t>
      </w:r>
      <w:r>
        <w:rPr>
          <w:rFonts w:hint="eastAsia" w:asciiTheme="minorEastAsia" w:hAnsiTheme="minorEastAsia" w:eastAsiaTheme="minorEastAsia" w:cstheme="minorEastAsia"/>
          <w:b/>
          <w:bCs/>
          <w:color w:val="auto"/>
          <w:szCs w:val="21"/>
          <w:highlight w:val="none"/>
          <w:u w:val="single"/>
        </w:rPr>
        <w:t>项）、是否采取考察或质询方式（不采取）以及招标人认为其他需要核查的内容（无）。</w:t>
      </w:r>
      <w:r>
        <w:rPr>
          <w:rFonts w:hint="eastAsia" w:asciiTheme="minorEastAsia" w:hAnsiTheme="minorEastAsia" w:eastAsiaTheme="minorEastAsia" w:cstheme="minorEastAsia"/>
          <w:color w:val="auto"/>
          <w:szCs w:val="21"/>
          <w:highlight w:val="none"/>
        </w:rPr>
        <w:t>核查需要进行考察或质询的，应当在招标文件中明确考察或质询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06756329">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lang w:val="zh-CN"/>
        </w:rPr>
      </w:pPr>
      <w:bookmarkStart w:id="284" w:name="_Toc21360"/>
      <w:bookmarkStart w:id="285" w:name="_Toc13579"/>
      <w:bookmarkStart w:id="286" w:name="_Toc183793092"/>
      <w:bookmarkStart w:id="287" w:name="_Toc15567"/>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zh-CN"/>
        </w:rPr>
        <w:t>定标原则</w:t>
      </w:r>
      <w:bookmarkEnd w:id="284"/>
      <w:bookmarkEnd w:id="285"/>
      <w:bookmarkEnd w:id="286"/>
      <w:bookmarkEnd w:id="287"/>
    </w:p>
    <w:p w14:paraId="3B67190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“评定分离”应遵循公开透明、择优竞价、科学规范、廉洁高效的原则</w:t>
      </w:r>
    </w:p>
    <w:p w14:paraId="67229C6F">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lang w:val="zh-CN"/>
        </w:rPr>
      </w:pPr>
      <w:bookmarkStart w:id="288" w:name="_Toc30992"/>
      <w:bookmarkStart w:id="289" w:name="_Toc2183"/>
      <w:bookmarkStart w:id="290" w:name="_Toc32224"/>
      <w:bookmarkStart w:id="291" w:name="_Toc183793093"/>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zh-CN"/>
        </w:rPr>
        <w:t>.定标</w:t>
      </w:r>
      <w:r>
        <w:rPr>
          <w:rFonts w:hint="eastAsia" w:asciiTheme="minorEastAsia" w:hAnsiTheme="minorEastAsia" w:eastAsiaTheme="minorEastAsia" w:cstheme="minorEastAsia"/>
          <w:color w:val="auto"/>
          <w:sz w:val="21"/>
          <w:szCs w:val="21"/>
          <w:highlight w:val="none"/>
        </w:rPr>
        <w:t>方法</w:t>
      </w:r>
      <w:bookmarkEnd w:id="288"/>
      <w:bookmarkEnd w:id="289"/>
      <w:bookmarkEnd w:id="290"/>
      <w:bookmarkEnd w:id="291"/>
    </w:p>
    <w:p w14:paraId="464EC27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1采用“评定分离”的，招标人可以采用下列定标方法在评标委员会推荐的中标候选人中确定中标人，具体细则应在招标文件中明确：</w:t>
      </w:r>
    </w:p>
    <w:p w14:paraId="26029CD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4.1.1核查随机法。定标委员会在通过核查的中标候选人中按照随机选取方式确定中标人。</w:t>
      </w:r>
    </w:p>
    <w:p w14:paraId="4F25966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票决法。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01338F6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4.1.3集体议事法。定标委员会成员集体商议，各自对通过核查的中标候选人发表意见，最终由定标委员会组长综合各成员意见确定中标人。所有定标委员会成员的意见应当作书面记录，并由定标委员会成员签字确认。</w:t>
      </w:r>
    </w:p>
    <w:p w14:paraId="67841BA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4.1.4其他方法。</w:t>
      </w:r>
      <w:bookmarkStart w:id="292" w:name="_Toc183793094"/>
      <w:r>
        <w:rPr>
          <w:rFonts w:hint="eastAsia" w:asciiTheme="minorEastAsia" w:hAnsiTheme="minorEastAsia" w:eastAsiaTheme="minorEastAsia" w:cstheme="minorEastAsia"/>
          <w:color w:val="auto"/>
          <w:szCs w:val="21"/>
          <w:highlight w:val="none"/>
        </w:rPr>
        <w:t>招标人可结合项目特点和自身实际，本着公平公正的原则，确定其他定标方法，并在招标文件中明确。</w:t>
      </w:r>
    </w:p>
    <w:p w14:paraId="00CE5D3B">
      <w:pPr>
        <w:spacing w:line="360" w:lineRule="auto"/>
        <w:ind w:firstLine="422" w:firstLineChars="200"/>
        <w:outlineLvl w:val="1"/>
        <w:rPr>
          <w:rFonts w:hint="eastAsia" w:asciiTheme="minorEastAsia" w:hAnsiTheme="minorEastAsia" w:eastAsiaTheme="minorEastAsia" w:cstheme="minorEastAsia"/>
          <w:b/>
          <w:bCs/>
          <w:color w:val="auto"/>
          <w:szCs w:val="21"/>
          <w:highlight w:val="none"/>
        </w:rPr>
      </w:pPr>
      <w:bookmarkStart w:id="293" w:name="_Toc10458"/>
      <w:bookmarkStart w:id="294" w:name="_Toc8723"/>
      <w:r>
        <w:rPr>
          <w:rFonts w:hint="eastAsia" w:asciiTheme="minorEastAsia" w:hAnsiTheme="minorEastAsia" w:eastAsiaTheme="minorEastAsia" w:cstheme="minorEastAsia"/>
          <w:b/>
          <w:bCs/>
          <w:color w:val="auto"/>
          <w:szCs w:val="21"/>
          <w:highlight w:val="none"/>
        </w:rPr>
        <w:t>5</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rPr>
        <w:t>定标因素</w:t>
      </w:r>
      <w:bookmarkEnd w:id="292"/>
      <w:bookmarkEnd w:id="293"/>
      <w:bookmarkEnd w:id="294"/>
    </w:p>
    <w:p w14:paraId="3126BD12">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295" w:name="_Toc183793095"/>
      <w:r>
        <w:rPr>
          <w:rFonts w:hint="eastAsia" w:asciiTheme="minorEastAsia" w:hAnsiTheme="minorEastAsia" w:eastAsiaTheme="minorEastAsia" w:cstheme="minorEastAsia"/>
          <w:color w:val="auto"/>
          <w:szCs w:val="21"/>
          <w:highlight w:val="none"/>
        </w:rPr>
        <w:t>5.1采用“评定分离”的，招标人应当根据招标项目的特点，客观、准确、科学、合理的选择定标因素，不得存在排斥投标人的情形。</w:t>
      </w:r>
    </w:p>
    <w:p w14:paraId="7064B51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5.2定标因素：见定标办法前附表。</w:t>
      </w:r>
    </w:p>
    <w:p w14:paraId="28DC8D06">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96" w:name="_Toc25409"/>
      <w:bookmarkStart w:id="297" w:name="_Toc17699"/>
      <w:bookmarkStart w:id="298" w:name="_Toc19177"/>
      <w:r>
        <w:rPr>
          <w:rFonts w:hint="eastAsia" w:asciiTheme="minorEastAsia" w:hAnsiTheme="minorEastAsia" w:eastAsiaTheme="minorEastAsia" w:cstheme="minorEastAsia"/>
          <w:color w:val="auto"/>
          <w:sz w:val="21"/>
          <w:szCs w:val="21"/>
          <w:highlight w:val="none"/>
        </w:rPr>
        <w:t>6.定标委员会的组建</w:t>
      </w:r>
      <w:bookmarkEnd w:id="295"/>
      <w:bookmarkEnd w:id="296"/>
      <w:bookmarkEnd w:id="297"/>
      <w:bookmarkEnd w:id="298"/>
    </w:p>
    <w:p w14:paraId="2031FEB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highlight w:val="none"/>
        </w:rPr>
        <w:t>招标人组建定标委员会，负责对中标候选人进行核查和组织召开定标会议。定标工作由定标委员会独立完成，定标委员会成员数量为5人，招标人单位成员不得低于成员总数的</w:t>
      </w:r>
      <w:r>
        <w:rPr>
          <w:rFonts w:hint="eastAsia" w:ascii="宋体" w:hAnsi="宋体" w:eastAsia="宋体" w:cs="宋体"/>
          <w:color w:val="auto"/>
          <w:highlight w:val="none"/>
          <w:lang w:val="en-US" w:eastAsia="zh-CN"/>
        </w:rPr>
        <w:t>三分之二</w:t>
      </w:r>
      <w:r>
        <w:rPr>
          <w:rFonts w:hint="eastAsia" w:ascii="宋体" w:hAnsi="宋体" w:eastAsia="宋体" w:cs="宋体"/>
          <w:color w:val="auto"/>
          <w:highlight w:val="none"/>
        </w:rPr>
        <w:t>。定标委员会组长由招标人确定原则上由招标人的法定代表人、主要负责人或分管负责人担任，其他成员可由招标人自行选定。定标委员会成员与中标候选人利害关系的应当主动申请回避。定标委员会名单在中标结果确定前应当保密定标委员会应当对定标过程保密，对所提出的定标意见承担个人责任，不得私下与投标人或者其他利害关系人接触</w:t>
      </w:r>
      <w:r>
        <w:rPr>
          <w:rFonts w:hint="eastAsia" w:asciiTheme="minorEastAsia" w:hAnsiTheme="minorEastAsia" w:eastAsiaTheme="minorEastAsia" w:cstheme="minorEastAsia"/>
          <w:color w:val="auto"/>
          <w:szCs w:val="21"/>
          <w:highlight w:val="none"/>
        </w:rPr>
        <w:t>。</w:t>
      </w:r>
    </w:p>
    <w:p w14:paraId="5346D8E3">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299" w:name="_Toc1464"/>
      <w:bookmarkStart w:id="300" w:name="_Toc6995"/>
      <w:bookmarkStart w:id="301" w:name="_Toc183793096"/>
      <w:bookmarkStart w:id="302" w:name="_Toc4987"/>
      <w:r>
        <w:rPr>
          <w:rFonts w:hint="eastAsia" w:asciiTheme="minorEastAsia" w:hAnsiTheme="minorEastAsia" w:eastAsiaTheme="minorEastAsia" w:cstheme="minorEastAsia"/>
          <w:color w:val="auto"/>
          <w:sz w:val="21"/>
          <w:szCs w:val="21"/>
          <w:highlight w:val="none"/>
        </w:rPr>
        <w:t>7.定标会议主要议程</w:t>
      </w:r>
      <w:bookmarkEnd w:id="299"/>
      <w:bookmarkEnd w:id="300"/>
      <w:bookmarkEnd w:id="301"/>
      <w:bookmarkEnd w:id="302"/>
    </w:p>
    <w:p w14:paraId="21D1887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招标人应当在收到评标报告后10日内完成定标工作，定标过程包括核查、定标会议两个阶段。定标会议由定标委员会负责组织，在公共资源交易中心定标场所内进行，并全程录音录像，招标人与代理机构要保存好录音录像等书面或影音资料。</w:t>
      </w:r>
    </w:p>
    <w:p w14:paraId="4354E9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招标人不能按时完成定标工作的，应当通过公共资源交易平台发布延期原因和最终定标时间。</w:t>
      </w:r>
    </w:p>
    <w:p w14:paraId="13407C6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7.2定标会议主要议程如下：</w:t>
      </w:r>
    </w:p>
    <w:p w14:paraId="6B74961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定标会议由招标人或招标代理机构主持，按照招标文件中载明的定标办法（核查随机法、票决法、集体议事法或其他方法）进行。</w:t>
      </w:r>
    </w:p>
    <w:p w14:paraId="07D6191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（1）核查随机法</w:t>
      </w:r>
    </w:p>
    <w:p w14:paraId="10DDF5B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①主持人首先介绍参会人员、项目开评标过程及评标委员会推荐定标候选人情况;定标委员会组长宣读承诺书、核查报告。</w:t>
      </w:r>
    </w:p>
    <w:p w14:paraId="40683AF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现场监督人员对抽取箱和号码球进行检查，检查无异常后，通过核查的中标候选人按签到顺序随机抽取号码球(未到场的由定标委员会组长随机抽取确定，抽取结果视为该中标候选人认可)，记录并签字确认，定标委员会组长随机抽取号码球确定中标号码，两球号码一致即为中标人。</w:t>
      </w:r>
    </w:p>
    <w:p w14:paraId="2FD6BA0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③招标代理机构填写中标人信息，定标委员会组长宣布中标人。</w:t>
      </w:r>
    </w:p>
    <w:p w14:paraId="4ED526A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（2）票决法</w:t>
      </w:r>
    </w:p>
    <w:p w14:paraId="4C53145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①主持人首先介绍参会人员、项目开评标过程及评标委员会推荐定标候选人情况；定标委员会组长宣读承诺书、核查报告。</w:t>
      </w:r>
    </w:p>
    <w:p w14:paraId="2E59CC1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现场监督人员检查投票箱，检查无异常后，招标代理机构人员向定标委员会成员发放选票，定标委员会成员实名制投票，并写明投票理由，代理机构人员收回选票、现场唱票、统计票数，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5EC0ED4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③定标委员会组长宣布中标候选人，招标代理机构人员出具《定标报告》。</w:t>
      </w:r>
    </w:p>
    <w:p w14:paraId="453377C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（3）集体议事法</w:t>
      </w:r>
    </w:p>
    <w:p w14:paraId="5635B61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①主持人首先介绍参会人员、项目开评标过程及评标委员会推荐定标候选人情况；定标委员会组长宣读承诺书、核查报告。</w:t>
      </w:r>
    </w:p>
    <w:p w14:paraId="123FD69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②定标委员会成员集体商议，各自对通过核查的中标候选人发表意见，定标委员会组长综合各成员意见确定中标人。会议记录员对所有定标委员会成员的意见作书面记录，并由定标委员会成员签字确认。</w:t>
      </w:r>
    </w:p>
    <w:p w14:paraId="46021D6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③定标委员会组长宣布中标候选人，招标代理机构人员出具《定标报告》。</w:t>
      </w:r>
    </w:p>
    <w:p w14:paraId="3C94D8FF">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303" w:name="_Toc26137"/>
      <w:bookmarkStart w:id="304" w:name="_Toc183793097"/>
      <w:bookmarkStart w:id="305" w:name="_Toc19860"/>
      <w:bookmarkStart w:id="306" w:name="_Toc28718"/>
      <w:r>
        <w:rPr>
          <w:rFonts w:hint="eastAsia" w:asciiTheme="minorEastAsia" w:hAnsiTheme="minorEastAsia" w:eastAsiaTheme="minorEastAsia" w:cstheme="minorEastAsia"/>
          <w:color w:val="auto"/>
          <w:sz w:val="21"/>
          <w:szCs w:val="21"/>
          <w:highlight w:val="none"/>
        </w:rPr>
        <w:t>8.中标结果公告</w:t>
      </w:r>
      <w:bookmarkEnd w:id="303"/>
      <w:bookmarkEnd w:id="304"/>
      <w:bookmarkEnd w:id="305"/>
      <w:bookmarkEnd w:id="306"/>
    </w:p>
    <w:p w14:paraId="5F1A2F1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bookmarkStart w:id="307" w:name="_Toc183793098"/>
    </w:p>
    <w:bookmarkEnd w:id="307"/>
    <w:p w14:paraId="0CA8D8A0">
      <w:pPr>
        <w:spacing w:line="360" w:lineRule="auto"/>
        <w:ind w:firstLine="422" w:firstLineChars="200"/>
        <w:outlineLvl w:val="1"/>
        <w:rPr>
          <w:rFonts w:hint="eastAsia" w:asciiTheme="minorEastAsia" w:hAnsiTheme="minorEastAsia" w:eastAsiaTheme="minorEastAsia" w:cstheme="minorEastAsia"/>
          <w:b/>
          <w:bCs/>
          <w:color w:val="auto"/>
          <w:szCs w:val="21"/>
          <w:highlight w:val="none"/>
        </w:rPr>
      </w:pPr>
      <w:bookmarkStart w:id="308" w:name="_Toc183793099"/>
      <w:bookmarkStart w:id="309" w:name="_Toc11999"/>
      <w:bookmarkStart w:id="310" w:name="_Toc32659"/>
      <w:r>
        <w:rPr>
          <w:rFonts w:hint="eastAsia" w:asciiTheme="minorEastAsia" w:hAnsiTheme="minorEastAsia" w:eastAsiaTheme="minorEastAsia" w:cstheme="minorEastAsia"/>
          <w:b/>
          <w:bCs/>
          <w:color w:val="auto"/>
          <w:szCs w:val="21"/>
          <w:highlight w:val="none"/>
        </w:rPr>
        <w:t>9.重新定标</w:t>
      </w:r>
      <w:bookmarkEnd w:id="308"/>
      <w:bookmarkEnd w:id="309"/>
      <w:bookmarkEnd w:id="310"/>
      <w:bookmarkStart w:id="311" w:name="_Toc183793100"/>
    </w:p>
    <w:p w14:paraId="7449F48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9.1对中标人放弃中标、不可抗力不能履行合同、不符合投标或中标条件、被查实存在影响中标结果的违法行为等情形，招标人可以由原定标委员会在调整后的中标候选人中重新确定中标人，也可以重新组织招标。</w:t>
      </w:r>
    </w:p>
    <w:p w14:paraId="625B22F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9.2对中标人以非正当理由放弃中标或被依法依规取消中标资格的，招标人应当移交有关行政监督部门依法依规进行处理。</w:t>
      </w:r>
    </w:p>
    <w:p w14:paraId="4EF49F9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9.3定标后有下列情形之一的，应当重新定标。</w:t>
      </w:r>
    </w:p>
    <w:p w14:paraId="37089BED">
      <w:pPr>
        <w:numPr>
          <w:ilvl w:val="0"/>
          <w:numId w:val="3"/>
        </w:num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定标委员会未按定标办法公正履职的；</w:t>
      </w:r>
    </w:p>
    <w:p w14:paraId="6B3ED78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（二）定标委员会成员与中标候选人有利害关系且未回避的；</w:t>
      </w:r>
    </w:p>
    <w:p w14:paraId="56C2FD0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（三）招标文件规定的其他情形。</w:t>
      </w:r>
    </w:p>
    <w:p w14:paraId="34E7B858">
      <w:pPr>
        <w:spacing w:line="360" w:lineRule="auto"/>
        <w:ind w:firstLine="422" w:firstLineChars="200"/>
        <w:outlineLvl w:val="1"/>
        <w:rPr>
          <w:rFonts w:hint="eastAsia" w:asciiTheme="minorEastAsia" w:hAnsiTheme="minorEastAsia" w:eastAsiaTheme="minorEastAsia" w:cstheme="minorEastAsia"/>
          <w:b/>
          <w:bCs/>
          <w:color w:val="auto"/>
          <w:szCs w:val="21"/>
          <w:highlight w:val="none"/>
        </w:rPr>
      </w:pPr>
      <w:bookmarkStart w:id="312" w:name="_Toc6597"/>
      <w:bookmarkStart w:id="313" w:name="_Toc23971"/>
      <w:r>
        <w:rPr>
          <w:rFonts w:hint="eastAsia" w:asciiTheme="minorEastAsia" w:hAnsiTheme="minorEastAsia" w:eastAsiaTheme="minorEastAsia" w:cstheme="minorEastAsia"/>
          <w:b/>
          <w:bCs/>
          <w:color w:val="auto"/>
          <w:szCs w:val="21"/>
          <w:highlight w:val="none"/>
        </w:rPr>
        <w:t>10. 监督</w:t>
      </w:r>
      <w:bookmarkEnd w:id="311"/>
      <w:bookmarkEnd w:id="312"/>
      <w:bookmarkEnd w:id="313"/>
      <w:bookmarkStart w:id="314" w:name="_Toc183793101"/>
    </w:p>
    <w:p w14:paraId="50A496C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10.1定标会议在公共资源交易中心按流程进行，应当对定标会议过程全程进行音视频记录，并存档备查。</w:t>
      </w:r>
    </w:p>
    <w:p w14:paraId="736D7B5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10.2各级行政监督部门应当按照招标投标活动监管职责分工对政府投资工程建设项目招标投标“评定分离”工作实施监督，依法依规处理投诉和查处违法违规行为。</w:t>
      </w:r>
    </w:p>
    <w:p w14:paraId="2838CA60">
      <w:pPr>
        <w:pStyle w:val="10"/>
        <w:spacing w:before="0" w:after="0" w:line="360" w:lineRule="auto"/>
        <w:ind w:firstLine="420" w:firstLineChars="200"/>
        <w:rPr>
          <w:rFonts w:hint="eastAsia" w:asciiTheme="minorEastAsia" w:hAnsiTheme="minorEastAsia" w:eastAsiaTheme="minorEastAsia" w:cstheme="minorEastAsia"/>
          <w:b w:val="0"/>
          <w:bCs w:val="0"/>
          <w:color w:val="auto"/>
          <w:sz w:val="21"/>
          <w:szCs w:val="21"/>
          <w:highlight w:val="none"/>
        </w:rPr>
      </w:pPr>
      <w:bookmarkStart w:id="315" w:name="_Toc3707"/>
      <w:r>
        <w:rPr>
          <w:rFonts w:hint="eastAsia" w:asciiTheme="minorEastAsia" w:hAnsiTheme="minorEastAsia" w:eastAsiaTheme="minorEastAsia" w:cstheme="minorEastAsia"/>
          <w:b w:val="0"/>
          <w:bCs w:val="0"/>
          <w:color w:val="auto"/>
          <w:sz w:val="21"/>
          <w:szCs w:val="21"/>
          <w:highlight w:val="none"/>
        </w:rPr>
        <w:t>10.3其他未尽事宜按国家有关法律法规执行。</w:t>
      </w:r>
      <w:bookmarkEnd w:id="315"/>
    </w:p>
    <w:p w14:paraId="4DDA90E2">
      <w:pPr>
        <w:pStyle w:val="8"/>
        <w:spacing w:before="0" w:after="0" w:line="360" w:lineRule="auto"/>
        <w:ind w:firstLine="422" w:firstLineChars="200"/>
        <w:rPr>
          <w:rFonts w:hint="eastAsia" w:asciiTheme="minorEastAsia" w:hAnsiTheme="minorEastAsia" w:eastAsiaTheme="minorEastAsia" w:cstheme="minorEastAsia"/>
          <w:color w:val="auto"/>
          <w:sz w:val="21"/>
          <w:szCs w:val="21"/>
          <w:highlight w:val="none"/>
        </w:rPr>
      </w:pPr>
      <w:bookmarkStart w:id="316" w:name="_Toc23375"/>
      <w:bookmarkStart w:id="317" w:name="_Toc1269"/>
      <w:bookmarkStart w:id="318" w:name="_Toc5443"/>
      <w:r>
        <w:rPr>
          <w:rFonts w:hint="eastAsia" w:asciiTheme="minorEastAsia" w:hAnsiTheme="minorEastAsia" w:eastAsiaTheme="minorEastAsia" w:cstheme="minorEastAsia"/>
          <w:color w:val="auto"/>
          <w:sz w:val="21"/>
          <w:szCs w:val="21"/>
          <w:highlight w:val="none"/>
        </w:rPr>
        <w:t>11. 异议</w:t>
      </w:r>
      <w:bookmarkEnd w:id="314"/>
      <w:bookmarkEnd w:id="316"/>
      <w:bookmarkEnd w:id="317"/>
      <w:bookmarkEnd w:id="318"/>
    </w:p>
    <w:p w14:paraId="48CA470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11.1招标人不承诺将合同授予投标报价最低的投标人。</w:t>
      </w:r>
    </w:p>
    <w:p w14:paraId="544062E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11.2</w:t>
      </w:r>
      <w:r>
        <w:rPr>
          <w:rFonts w:hint="eastAsia" w:asciiTheme="minorEastAsia" w:hAnsiTheme="minorEastAsia" w:eastAsiaTheme="minorEastAsia" w:cstheme="minorEastAsia"/>
          <w:color w:val="auto"/>
          <w:szCs w:val="21"/>
          <w:highlight w:val="none"/>
        </w:rPr>
        <w:t>中标人确定后，招标人无义务向未中标的中标候选人就其未中标的原因作出解释。</w:t>
      </w:r>
    </w:p>
    <w:p w14:paraId="1669120D">
      <w:pPr>
        <w:pStyle w:val="10"/>
        <w:spacing w:line="240" w:lineRule="auto"/>
        <w:rPr>
          <w:rFonts w:hint="eastAsia" w:ascii="宋体" w:hAnsi="宋体" w:cs="宋体"/>
          <w:color w:val="auto"/>
          <w:szCs w:val="21"/>
          <w:highlight w:val="none"/>
        </w:rPr>
      </w:pPr>
      <w:bookmarkStart w:id="319" w:name="_bookmark61"/>
      <w:bookmarkEnd w:id="319"/>
      <w:bookmarkStart w:id="320" w:name="_TOC_250027"/>
      <w:bookmarkEnd w:id="320"/>
      <w:bookmarkStart w:id="321" w:name="六、相关参考表式及评审因素设定"/>
      <w:bookmarkEnd w:id="321"/>
      <w:bookmarkStart w:id="322" w:name="_bookmark62"/>
      <w:bookmarkEnd w:id="322"/>
      <w:bookmarkStart w:id="323" w:name="五、签订合同"/>
      <w:bookmarkEnd w:id="323"/>
      <w:r>
        <w:rPr>
          <w:rFonts w:hint="eastAsia" w:ascii="宋体" w:hAnsi="宋体" w:cs="宋体"/>
          <w:color w:val="auto"/>
          <w:szCs w:val="21"/>
          <w:highlight w:val="none"/>
        </w:rPr>
        <w:br w:type="page"/>
      </w:r>
      <w:bookmarkStart w:id="324" w:name="_Toc161666674"/>
      <w:bookmarkStart w:id="325" w:name="_Hlk206760426"/>
    </w:p>
    <w:bookmarkEnd w:id="145"/>
    <w:bookmarkEnd w:id="146"/>
    <w:bookmarkEnd w:id="147"/>
    <w:bookmarkEnd w:id="148"/>
    <w:bookmarkEnd w:id="149"/>
    <w:bookmarkEnd w:id="324"/>
    <w:bookmarkEnd w:id="325"/>
    <w:p w14:paraId="7AAEF591">
      <w:pPr>
        <w:pStyle w:val="10"/>
        <w:keepNext/>
        <w:keepLines/>
        <w:pageBreakBefore w:val="0"/>
        <w:widowControl/>
        <w:kinsoku/>
        <w:wordWrap w:val="0"/>
        <w:overflowPunct/>
        <w:topLinePunct/>
        <w:autoSpaceDE/>
        <w:autoSpaceDN/>
        <w:bidi w:val="0"/>
        <w:spacing w:line="240" w:lineRule="auto"/>
        <w:ind w:left="0" w:leftChars="0" w:firstLine="0" w:firstLineChars="0"/>
        <w:rPr>
          <w:rFonts w:hint="eastAsia" w:ascii="宋体" w:hAnsi="宋体" w:eastAsia="宋体" w:cs="宋体"/>
          <w:color w:val="auto"/>
          <w:sz w:val="24"/>
          <w:szCs w:val="24"/>
          <w:highlight w:val="none"/>
        </w:rPr>
      </w:pPr>
      <w:bookmarkStart w:id="326" w:name="_Toc27136"/>
      <w:bookmarkStart w:id="327" w:name="_Toc22943"/>
      <w:bookmarkStart w:id="328" w:name="_Toc6145"/>
      <w:bookmarkStart w:id="329" w:name="_Toc516822661"/>
      <w:bookmarkStart w:id="330" w:name="_Toc10057"/>
      <w:r>
        <w:rPr>
          <w:rFonts w:hint="eastAsia" w:ascii="宋体" w:hAnsi="宋体" w:eastAsia="宋体" w:cs="宋体"/>
          <w:color w:val="auto"/>
          <w:sz w:val="24"/>
          <w:szCs w:val="24"/>
          <w:highlight w:val="none"/>
          <w:lang w:val="en-US" w:eastAsia="zh-CN"/>
        </w:rPr>
        <w:t>附件1</w:t>
      </w:r>
      <w:bookmarkEnd w:id="326"/>
      <w:bookmarkStart w:id="331" w:name="_Toc6826"/>
      <w:bookmarkStart w:id="332" w:name="_Toc9145"/>
      <w:bookmarkStart w:id="333" w:name="_Toc1044"/>
      <w:bookmarkStart w:id="334" w:name="_Toc8189"/>
    </w:p>
    <w:bookmarkEnd w:id="331"/>
    <w:bookmarkEnd w:id="332"/>
    <w:bookmarkEnd w:id="333"/>
    <w:bookmarkEnd w:id="334"/>
    <w:p w14:paraId="03E792F1">
      <w:pPr>
        <w:pStyle w:val="10"/>
        <w:keepNext/>
        <w:keepLines/>
        <w:pageBreakBefore w:val="0"/>
        <w:widowControl/>
        <w:kinsoku/>
        <w:wordWrap w:val="0"/>
        <w:overflowPunct/>
        <w:topLinePunct/>
        <w:autoSpaceDE/>
        <w:autoSpaceDN/>
        <w:bidi w:val="0"/>
        <w:spacing w:line="240" w:lineRule="auto"/>
        <w:ind w:left="0" w:leftChars="0" w:firstLine="0" w:firstLineChars="0"/>
        <w:jc w:val="center"/>
        <w:rPr>
          <w:rFonts w:hint="eastAsia" w:ascii="宋体" w:hAnsi="宋体" w:eastAsia="宋体" w:cs="宋体"/>
          <w:color w:val="auto"/>
          <w:szCs w:val="21"/>
          <w:highlight w:val="none"/>
        </w:rPr>
      </w:pPr>
      <w:bookmarkStart w:id="335" w:name="_Toc15031"/>
      <w:r>
        <w:rPr>
          <w:rFonts w:hint="eastAsia" w:ascii="宋体" w:hAnsi="宋体" w:cs="宋体"/>
          <w:color w:val="auto"/>
          <w:sz w:val="24"/>
          <w:szCs w:val="22"/>
          <w:highlight w:val="none"/>
          <w:lang w:val="en-US" w:eastAsia="zh-CN"/>
        </w:rPr>
        <w:t>定标委员会组建情况登记表</w:t>
      </w:r>
      <w:bookmarkEnd w:id="335"/>
    </w:p>
    <w:tbl>
      <w:tblPr>
        <w:tblStyle w:val="26"/>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03"/>
        <w:gridCol w:w="2371"/>
        <w:gridCol w:w="1534"/>
        <w:gridCol w:w="1626"/>
        <w:gridCol w:w="1396"/>
      </w:tblGrid>
      <w:tr w14:paraId="53CC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30DC20E2">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招标人</w:t>
            </w:r>
          </w:p>
        </w:tc>
        <w:tc>
          <w:tcPr>
            <w:tcW w:w="6927" w:type="dxa"/>
            <w:gridSpan w:val="4"/>
            <w:tcBorders>
              <w:top w:val="single" w:color="auto" w:sz="4" w:space="0"/>
              <w:left w:val="nil"/>
              <w:bottom w:val="single" w:color="auto" w:sz="4" w:space="0"/>
              <w:right w:val="single" w:color="auto" w:sz="4" w:space="0"/>
            </w:tcBorders>
            <w:vAlign w:val="center"/>
          </w:tcPr>
          <w:p w14:paraId="7B123EF7">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lang w:eastAsia="zh-CN"/>
                <w14:ligatures w14:val="none"/>
              </w:rPr>
            </w:pPr>
          </w:p>
        </w:tc>
      </w:tr>
      <w:tr w14:paraId="46CA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526F9D4C">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招标代理机构</w:t>
            </w:r>
          </w:p>
        </w:tc>
        <w:tc>
          <w:tcPr>
            <w:tcW w:w="6927" w:type="dxa"/>
            <w:gridSpan w:val="4"/>
            <w:tcBorders>
              <w:top w:val="single" w:color="auto" w:sz="4" w:space="0"/>
              <w:left w:val="nil"/>
              <w:bottom w:val="single" w:color="auto" w:sz="4" w:space="0"/>
              <w:right w:val="single" w:color="auto" w:sz="4" w:space="0"/>
            </w:tcBorders>
            <w:vAlign w:val="center"/>
          </w:tcPr>
          <w:p w14:paraId="402761A2">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lang w:val="en-US" w:eastAsia="zh-CN"/>
                <w14:ligatures w14:val="none"/>
              </w:rPr>
            </w:pPr>
          </w:p>
        </w:tc>
      </w:tr>
      <w:tr w14:paraId="2E4E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74B6C4E5">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招标项目名称</w:t>
            </w:r>
          </w:p>
        </w:tc>
        <w:tc>
          <w:tcPr>
            <w:tcW w:w="6927" w:type="dxa"/>
            <w:gridSpan w:val="4"/>
            <w:tcBorders>
              <w:top w:val="single" w:color="auto" w:sz="4" w:space="0"/>
              <w:left w:val="nil"/>
              <w:bottom w:val="single" w:color="auto" w:sz="4" w:space="0"/>
              <w:right w:val="single" w:color="auto" w:sz="4" w:space="0"/>
            </w:tcBorders>
            <w:vAlign w:val="center"/>
          </w:tcPr>
          <w:p w14:paraId="63BF3B47">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lang w:eastAsia="zh-CN"/>
                <w14:ligatures w14:val="none"/>
              </w:rPr>
            </w:pPr>
          </w:p>
        </w:tc>
      </w:tr>
      <w:tr w14:paraId="160B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08E7CA9F">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定标时间</w:t>
            </w:r>
          </w:p>
        </w:tc>
        <w:tc>
          <w:tcPr>
            <w:tcW w:w="6927" w:type="dxa"/>
            <w:gridSpan w:val="4"/>
            <w:tcBorders>
              <w:top w:val="single" w:color="auto" w:sz="4" w:space="0"/>
              <w:left w:val="nil"/>
              <w:bottom w:val="single" w:color="auto" w:sz="4" w:space="0"/>
              <w:right w:val="single" w:color="auto" w:sz="4" w:space="0"/>
            </w:tcBorders>
            <w:vAlign w:val="center"/>
          </w:tcPr>
          <w:p w14:paraId="20738B75">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lang w:eastAsia="zh-CN"/>
                <w14:ligatures w14:val="none"/>
              </w:rPr>
            </w:pPr>
          </w:p>
        </w:tc>
      </w:tr>
      <w:tr w14:paraId="6540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01ACF9DD">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招标文件要求</w:t>
            </w:r>
          </w:p>
        </w:tc>
        <w:tc>
          <w:tcPr>
            <w:tcW w:w="6927" w:type="dxa"/>
            <w:gridSpan w:val="4"/>
            <w:tcBorders>
              <w:top w:val="single" w:color="auto" w:sz="4" w:space="0"/>
              <w:left w:val="nil"/>
              <w:bottom w:val="single" w:color="auto" w:sz="4" w:space="0"/>
              <w:right w:val="single" w:color="auto" w:sz="4" w:space="0"/>
            </w:tcBorders>
            <w:vAlign w:val="center"/>
          </w:tcPr>
          <w:p w14:paraId="77248A78">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r>
      <w:tr w14:paraId="4ACB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4984DBDF">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其他要求</w:t>
            </w:r>
          </w:p>
        </w:tc>
        <w:tc>
          <w:tcPr>
            <w:tcW w:w="6927" w:type="dxa"/>
            <w:gridSpan w:val="4"/>
            <w:tcBorders>
              <w:top w:val="single" w:color="auto" w:sz="4" w:space="0"/>
              <w:left w:val="nil"/>
              <w:bottom w:val="single" w:color="auto" w:sz="4" w:space="0"/>
              <w:right w:val="single" w:color="auto" w:sz="4" w:space="0"/>
            </w:tcBorders>
            <w:vAlign w:val="center"/>
          </w:tcPr>
          <w:p w14:paraId="5350D4DE">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r>
      <w:tr w14:paraId="44E8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99" w:type="dxa"/>
            <w:gridSpan w:val="6"/>
            <w:tcBorders>
              <w:top w:val="single" w:color="auto" w:sz="4" w:space="0"/>
              <w:left w:val="single" w:color="auto" w:sz="4" w:space="0"/>
              <w:bottom w:val="single" w:color="auto" w:sz="4" w:space="0"/>
              <w:right w:val="single" w:color="auto" w:sz="4" w:space="0"/>
            </w:tcBorders>
            <w:vAlign w:val="center"/>
          </w:tcPr>
          <w:p w14:paraId="5E22ACCE">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定标委员会成员</w:t>
            </w:r>
            <w:r>
              <w:rPr>
                <w:rFonts w:hint="eastAsia" w:ascii="宋体" w:hAnsi="宋体" w:eastAsia="宋体" w:cs="宋体"/>
                <w:color w:val="auto"/>
                <w:sz w:val="21"/>
                <w:szCs w:val="21"/>
                <w:highlight w:val="none"/>
                <w:lang w:val="en-US" w:eastAsia="zh-CN"/>
                <w14:ligatures w14:val="none"/>
              </w:rPr>
              <w:t>情况</w:t>
            </w:r>
          </w:p>
        </w:tc>
      </w:tr>
      <w:tr w14:paraId="2106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59020EB">
            <w:pPr>
              <w:keepNext/>
              <w:keepLines/>
              <w:pageBreakBefore w:val="0"/>
              <w:widowControl/>
              <w:kinsoku/>
              <w:wordWrap w:val="0"/>
              <w:overflowPunct/>
              <w:topLinePunct/>
              <w:autoSpaceDE/>
              <w:autoSpaceDN/>
              <w:bidi w:val="0"/>
              <w:spacing w:after="0" w:line="300" w:lineRule="exact"/>
              <w:ind w:left="0" w:leftChars="0" w:firstLine="0" w:firstLineChars="0"/>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序号</w:t>
            </w:r>
          </w:p>
        </w:tc>
        <w:tc>
          <w:tcPr>
            <w:tcW w:w="1203" w:type="dxa"/>
            <w:tcBorders>
              <w:top w:val="single" w:color="auto" w:sz="4" w:space="0"/>
              <w:left w:val="nil"/>
              <w:bottom w:val="single" w:color="auto" w:sz="4" w:space="0"/>
              <w:right w:val="single" w:color="auto" w:sz="4" w:space="0"/>
            </w:tcBorders>
            <w:vAlign w:val="center"/>
          </w:tcPr>
          <w:p w14:paraId="6CA2EB5F">
            <w:pPr>
              <w:keepNext/>
              <w:keepLines/>
              <w:pageBreakBefore w:val="0"/>
              <w:widowControl/>
              <w:kinsoku/>
              <w:wordWrap w:val="0"/>
              <w:overflowPunct/>
              <w:topLinePunct/>
              <w:autoSpaceDE/>
              <w:autoSpaceDN/>
              <w:bidi w:val="0"/>
              <w:spacing w:after="0" w:line="300" w:lineRule="exact"/>
              <w:ind w:left="0" w:leftChars="0" w:firstLine="0" w:firstLineChars="0"/>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姓名</w:t>
            </w:r>
          </w:p>
        </w:tc>
        <w:tc>
          <w:tcPr>
            <w:tcW w:w="2371" w:type="dxa"/>
            <w:tcBorders>
              <w:top w:val="single" w:color="auto" w:sz="4" w:space="0"/>
              <w:left w:val="nil"/>
              <w:bottom w:val="single" w:color="auto" w:sz="4" w:space="0"/>
              <w:right w:val="single" w:color="auto" w:sz="4" w:space="0"/>
            </w:tcBorders>
            <w:vAlign w:val="center"/>
          </w:tcPr>
          <w:p w14:paraId="35935CE5">
            <w:pPr>
              <w:keepNext/>
              <w:keepLines/>
              <w:pageBreakBefore w:val="0"/>
              <w:widowControl/>
              <w:kinsoku/>
              <w:wordWrap w:val="0"/>
              <w:overflowPunct/>
              <w:topLinePunct/>
              <w:autoSpaceDE/>
              <w:autoSpaceDN/>
              <w:bidi w:val="0"/>
              <w:spacing w:after="0" w:line="300" w:lineRule="exact"/>
              <w:ind w:left="0" w:leftChars="0" w:firstLine="0" w:firstLineChars="0"/>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工作单位及职务</w:t>
            </w:r>
          </w:p>
        </w:tc>
        <w:tc>
          <w:tcPr>
            <w:tcW w:w="1534" w:type="dxa"/>
            <w:tcBorders>
              <w:top w:val="single" w:color="auto" w:sz="4" w:space="0"/>
              <w:left w:val="nil"/>
              <w:bottom w:val="single" w:color="auto" w:sz="4" w:space="0"/>
              <w:right w:val="single" w:color="auto" w:sz="4" w:space="0"/>
            </w:tcBorders>
            <w:vAlign w:val="center"/>
          </w:tcPr>
          <w:p w14:paraId="71DB024F">
            <w:pPr>
              <w:keepNext/>
              <w:keepLines/>
              <w:pageBreakBefore w:val="0"/>
              <w:widowControl/>
              <w:kinsoku/>
              <w:wordWrap w:val="0"/>
              <w:overflowPunct/>
              <w:topLinePunct/>
              <w:autoSpaceDE/>
              <w:autoSpaceDN/>
              <w:bidi w:val="0"/>
              <w:spacing w:after="0" w:line="300" w:lineRule="exact"/>
              <w:ind w:left="0" w:leftChars="0" w:firstLine="0" w:firstLineChars="0"/>
              <w:jc w:val="center"/>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联系电话</w:t>
            </w:r>
          </w:p>
        </w:tc>
        <w:tc>
          <w:tcPr>
            <w:tcW w:w="1626" w:type="dxa"/>
            <w:tcBorders>
              <w:top w:val="single" w:color="auto" w:sz="4" w:space="0"/>
              <w:left w:val="nil"/>
              <w:bottom w:val="single" w:color="auto" w:sz="4" w:space="0"/>
              <w:right w:val="single" w:color="auto" w:sz="4" w:space="0"/>
            </w:tcBorders>
            <w:vAlign w:val="center"/>
          </w:tcPr>
          <w:p w14:paraId="2292B5FD">
            <w:pPr>
              <w:keepNext/>
              <w:keepLines/>
              <w:pageBreakBefore w:val="0"/>
              <w:widowControl/>
              <w:kinsoku/>
              <w:wordWrap w:val="0"/>
              <w:overflowPunct/>
              <w:topLinePunct/>
              <w:autoSpaceDE/>
              <w:autoSpaceDN/>
              <w:bidi w:val="0"/>
              <w:spacing w:after="0" w:line="300" w:lineRule="exact"/>
              <w:ind w:left="0" w:leftChars="0" w:firstLine="0" w:firstLineChars="0"/>
              <w:jc w:val="center"/>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签</w:t>
            </w:r>
            <w:r>
              <w:rPr>
                <w:rFonts w:hint="eastAsia" w:ascii="宋体" w:hAnsi="宋体" w:eastAsia="宋体" w:cs="宋体"/>
                <w:color w:val="auto"/>
                <w:sz w:val="21"/>
                <w:szCs w:val="21"/>
                <w:highlight w:val="none"/>
                <w:lang w:val="en-US" w:eastAsia="zh-CN"/>
                <w14:ligatures w14:val="none"/>
              </w:rPr>
              <w:t>名</w:t>
            </w:r>
          </w:p>
        </w:tc>
        <w:tc>
          <w:tcPr>
            <w:tcW w:w="1396" w:type="dxa"/>
            <w:tcBorders>
              <w:top w:val="single" w:color="auto" w:sz="4" w:space="0"/>
              <w:left w:val="nil"/>
              <w:bottom w:val="single" w:color="auto" w:sz="4" w:space="0"/>
              <w:right w:val="single" w:color="auto" w:sz="4" w:space="0"/>
            </w:tcBorders>
            <w:vAlign w:val="center"/>
          </w:tcPr>
          <w:p w14:paraId="279C2CD9">
            <w:pPr>
              <w:keepNext/>
              <w:keepLines/>
              <w:pageBreakBefore w:val="0"/>
              <w:widowControl/>
              <w:kinsoku/>
              <w:wordWrap w:val="0"/>
              <w:overflowPunct/>
              <w:topLinePunct/>
              <w:autoSpaceDE/>
              <w:autoSpaceDN/>
              <w:bidi w:val="0"/>
              <w:spacing w:after="0" w:line="300" w:lineRule="exact"/>
              <w:ind w:left="0" w:leftChars="0" w:firstLine="0" w:firstLineChars="0"/>
              <w:jc w:val="center"/>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备注</w:t>
            </w:r>
          </w:p>
        </w:tc>
      </w:tr>
      <w:tr w14:paraId="6029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DDDD86">
            <w:pPr>
              <w:keepNext/>
              <w:keepLines/>
              <w:pageBreakBefore w:val="0"/>
              <w:widowControl/>
              <w:kinsoku/>
              <w:wordWrap w:val="0"/>
              <w:overflowPunct/>
              <w:topLinePunct/>
              <w:autoSpaceDE/>
              <w:autoSpaceDN/>
              <w:bidi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03" w:type="dxa"/>
            <w:tcBorders>
              <w:top w:val="single" w:color="auto" w:sz="4" w:space="0"/>
              <w:left w:val="nil"/>
              <w:bottom w:val="single" w:color="auto" w:sz="4" w:space="0"/>
              <w:right w:val="single" w:color="auto" w:sz="4" w:space="0"/>
            </w:tcBorders>
            <w:vAlign w:val="center"/>
          </w:tcPr>
          <w:p w14:paraId="74EBE716">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2371" w:type="dxa"/>
            <w:tcBorders>
              <w:top w:val="single" w:color="auto" w:sz="4" w:space="0"/>
              <w:left w:val="nil"/>
              <w:bottom w:val="single" w:color="auto" w:sz="4" w:space="0"/>
              <w:right w:val="single" w:color="auto" w:sz="4" w:space="0"/>
            </w:tcBorders>
            <w:vAlign w:val="center"/>
          </w:tcPr>
          <w:p w14:paraId="33A3E0BF">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534" w:type="dxa"/>
            <w:tcBorders>
              <w:top w:val="single" w:color="auto" w:sz="4" w:space="0"/>
              <w:left w:val="nil"/>
              <w:bottom w:val="single" w:color="auto" w:sz="4" w:space="0"/>
              <w:right w:val="single" w:color="auto" w:sz="4" w:space="0"/>
            </w:tcBorders>
            <w:vAlign w:val="center"/>
          </w:tcPr>
          <w:p w14:paraId="6E681300">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626" w:type="dxa"/>
            <w:tcBorders>
              <w:top w:val="single" w:color="auto" w:sz="4" w:space="0"/>
              <w:left w:val="nil"/>
              <w:bottom w:val="single" w:color="auto" w:sz="4" w:space="0"/>
              <w:right w:val="single" w:color="auto" w:sz="4" w:space="0"/>
            </w:tcBorders>
            <w:vAlign w:val="center"/>
          </w:tcPr>
          <w:p w14:paraId="1C5B2050">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396" w:type="dxa"/>
            <w:tcBorders>
              <w:top w:val="single" w:color="auto" w:sz="4" w:space="0"/>
              <w:left w:val="nil"/>
              <w:bottom w:val="single" w:color="auto" w:sz="4" w:space="0"/>
              <w:right w:val="single" w:color="auto" w:sz="4" w:space="0"/>
            </w:tcBorders>
            <w:vAlign w:val="center"/>
          </w:tcPr>
          <w:p w14:paraId="56099F97">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r>
      <w:tr w14:paraId="20DF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1F9FE27">
            <w:pPr>
              <w:keepNext/>
              <w:keepLines/>
              <w:pageBreakBefore w:val="0"/>
              <w:widowControl/>
              <w:kinsoku/>
              <w:wordWrap w:val="0"/>
              <w:overflowPunct/>
              <w:topLinePunct/>
              <w:autoSpaceDE/>
              <w:autoSpaceDN/>
              <w:bidi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03" w:type="dxa"/>
            <w:tcBorders>
              <w:top w:val="single" w:color="auto" w:sz="4" w:space="0"/>
              <w:left w:val="nil"/>
              <w:bottom w:val="single" w:color="auto" w:sz="4" w:space="0"/>
              <w:right w:val="single" w:color="auto" w:sz="4" w:space="0"/>
            </w:tcBorders>
            <w:vAlign w:val="center"/>
          </w:tcPr>
          <w:p w14:paraId="6B51C877">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2371" w:type="dxa"/>
            <w:tcBorders>
              <w:top w:val="single" w:color="auto" w:sz="4" w:space="0"/>
              <w:left w:val="nil"/>
              <w:bottom w:val="single" w:color="auto" w:sz="4" w:space="0"/>
              <w:right w:val="single" w:color="auto" w:sz="4" w:space="0"/>
            </w:tcBorders>
            <w:vAlign w:val="center"/>
          </w:tcPr>
          <w:p w14:paraId="01BEF6DD">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534" w:type="dxa"/>
            <w:tcBorders>
              <w:top w:val="single" w:color="auto" w:sz="4" w:space="0"/>
              <w:left w:val="nil"/>
              <w:bottom w:val="single" w:color="auto" w:sz="4" w:space="0"/>
              <w:right w:val="single" w:color="auto" w:sz="4" w:space="0"/>
            </w:tcBorders>
            <w:vAlign w:val="center"/>
          </w:tcPr>
          <w:p w14:paraId="6C68295E">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626" w:type="dxa"/>
            <w:tcBorders>
              <w:top w:val="single" w:color="auto" w:sz="4" w:space="0"/>
              <w:left w:val="nil"/>
              <w:bottom w:val="single" w:color="auto" w:sz="4" w:space="0"/>
              <w:right w:val="single" w:color="auto" w:sz="4" w:space="0"/>
            </w:tcBorders>
            <w:vAlign w:val="center"/>
          </w:tcPr>
          <w:p w14:paraId="5E9BD046">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396" w:type="dxa"/>
            <w:tcBorders>
              <w:top w:val="single" w:color="auto" w:sz="4" w:space="0"/>
              <w:left w:val="nil"/>
              <w:bottom w:val="single" w:color="auto" w:sz="4" w:space="0"/>
              <w:right w:val="single" w:color="auto" w:sz="4" w:space="0"/>
            </w:tcBorders>
            <w:vAlign w:val="center"/>
          </w:tcPr>
          <w:p w14:paraId="0F05581E">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r>
      <w:tr w14:paraId="4C77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E2EE7F8">
            <w:pPr>
              <w:keepNext/>
              <w:keepLines/>
              <w:pageBreakBefore w:val="0"/>
              <w:widowControl/>
              <w:kinsoku/>
              <w:wordWrap w:val="0"/>
              <w:overflowPunct/>
              <w:topLinePunct/>
              <w:autoSpaceDE/>
              <w:autoSpaceDN/>
              <w:bidi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03" w:type="dxa"/>
            <w:tcBorders>
              <w:top w:val="single" w:color="auto" w:sz="4" w:space="0"/>
              <w:left w:val="nil"/>
              <w:bottom w:val="single" w:color="auto" w:sz="4" w:space="0"/>
              <w:right w:val="single" w:color="auto" w:sz="4" w:space="0"/>
            </w:tcBorders>
            <w:vAlign w:val="center"/>
          </w:tcPr>
          <w:p w14:paraId="738E9CF8">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2371" w:type="dxa"/>
            <w:tcBorders>
              <w:top w:val="single" w:color="auto" w:sz="4" w:space="0"/>
              <w:left w:val="nil"/>
              <w:bottom w:val="single" w:color="auto" w:sz="4" w:space="0"/>
              <w:right w:val="single" w:color="auto" w:sz="4" w:space="0"/>
            </w:tcBorders>
            <w:vAlign w:val="center"/>
          </w:tcPr>
          <w:p w14:paraId="397E179F">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534" w:type="dxa"/>
            <w:tcBorders>
              <w:top w:val="single" w:color="auto" w:sz="4" w:space="0"/>
              <w:left w:val="nil"/>
              <w:bottom w:val="single" w:color="auto" w:sz="4" w:space="0"/>
              <w:right w:val="single" w:color="auto" w:sz="4" w:space="0"/>
            </w:tcBorders>
            <w:vAlign w:val="center"/>
          </w:tcPr>
          <w:p w14:paraId="148C32DE">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626" w:type="dxa"/>
            <w:tcBorders>
              <w:top w:val="single" w:color="auto" w:sz="4" w:space="0"/>
              <w:left w:val="nil"/>
              <w:bottom w:val="single" w:color="auto" w:sz="4" w:space="0"/>
              <w:right w:val="single" w:color="auto" w:sz="4" w:space="0"/>
            </w:tcBorders>
            <w:vAlign w:val="center"/>
          </w:tcPr>
          <w:p w14:paraId="6B3F9F20">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396" w:type="dxa"/>
            <w:tcBorders>
              <w:top w:val="single" w:color="auto" w:sz="4" w:space="0"/>
              <w:left w:val="nil"/>
              <w:bottom w:val="single" w:color="auto" w:sz="4" w:space="0"/>
              <w:right w:val="single" w:color="auto" w:sz="4" w:space="0"/>
            </w:tcBorders>
            <w:vAlign w:val="center"/>
          </w:tcPr>
          <w:p w14:paraId="3EA2AB07">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r>
      <w:tr w14:paraId="4B62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4ACD8BE">
            <w:pPr>
              <w:keepNext/>
              <w:keepLines/>
              <w:pageBreakBefore w:val="0"/>
              <w:widowControl/>
              <w:kinsoku/>
              <w:wordWrap w:val="0"/>
              <w:overflowPunct/>
              <w:topLinePunct/>
              <w:autoSpaceDE/>
              <w:autoSpaceDN/>
              <w:bidi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03" w:type="dxa"/>
            <w:tcBorders>
              <w:top w:val="single" w:color="auto" w:sz="4" w:space="0"/>
              <w:left w:val="nil"/>
              <w:bottom w:val="single" w:color="auto" w:sz="4" w:space="0"/>
              <w:right w:val="single" w:color="auto" w:sz="4" w:space="0"/>
            </w:tcBorders>
            <w:vAlign w:val="center"/>
          </w:tcPr>
          <w:p w14:paraId="3D3B1336">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2371" w:type="dxa"/>
            <w:tcBorders>
              <w:top w:val="single" w:color="auto" w:sz="4" w:space="0"/>
              <w:left w:val="nil"/>
              <w:bottom w:val="single" w:color="auto" w:sz="4" w:space="0"/>
              <w:right w:val="single" w:color="auto" w:sz="4" w:space="0"/>
            </w:tcBorders>
            <w:vAlign w:val="center"/>
          </w:tcPr>
          <w:p w14:paraId="708A98F7">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534" w:type="dxa"/>
            <w:tcBorders>
              <w:top w:val="single" w:color="auto" w:sz="4" w:space="0"/>
              <w:left w:val="nil"/>
              <w:bottom w:val="single" w:color="auto" w:sz="4" w:space="0"/>
              <w:right w:val="single" w:color="auto" w:sz="4" w:space="0"/>
            </w:tcBorders>
            <w:vAlign w:val="center"/>
          </w:tcPr>
          <w:p w14:paraId="70C341DC">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626" w:type="dxa"/>
            <w:tcBorders>
              <w:top w:val="single" w:color="auto" w:sz="4" w:space="0"/>
              <w:left w:val="nil"/>
              <w:bottom w:val="single" w:color="auto" w:sz="4" w:space="0"/>
              <w:right w:val="single" w:color="auto" w:sz="4" w:space="0"/>
            </w:tcBorders>
            <w:vAlign w:val="center"/>
          </w:tcPr>
          <w:p w14:paraId="75E47775">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396" w:type="dxa"/>
            <w:tcBorders>
              <w:top w:val="single" w:color="auto" w:sz="4" w:space="0"/>
              <w:left w:val="nil"/>
              <w:bottom w:val="single" w:color="auto" w:sz="4" w:space="0"/>
              <w:right w:val="single" w:color="auto" w:sz="4" w:space="0"/>
            </w:tcBorders>
            <w:vAlign w:val="center"/>
          </w:tcPr>
          <w:p w14:paraId="1E116358">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r>
      <w:tr w14:paraId="4144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78AC5F0">
            <w:pPr>
              <w:keepNext/>
              <w:keepLines/>
              <w:pageBreakBefore w:val="0"/>
              <w:widowControl/>
              <w:kinsoku/>
              <w:wordWrap w:val="0"/>
              <w:overflowPunct/>
              <w:topLinePunct/>
              <w:autoSpaceDE/>
              <w:autoSpaceDN/>
              <w:bidi w:val="0"/>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03" w:type="dxa"/>
            <w:tcBorders>
              <w:top w:val="single" w:color="auto" w:sz="4" w:space="0"/>
              <w:left w:val="nil"/>
              <w:bottom w:val="single" w:color="auto" w:sz="4" w:space="0"/>
              <w:right w:val="single" w:color="auto" w:sz="4" w:space="0"/>
            </w:tcBorders>
            <w:vAlign w:val="center"/>
          </w:tcPr>
          <w:p w14:paraId="698DB55E">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2371" w:type="dxa"/>
            <w:tcBorders>
              <w:top w:val="single" w:color="auto" w:sz="4" w:space="0"/>
              <w:left w:val="nil"/>
              <w:bottom w:val="single" w:color="auto" w:sz="4" w:space="0"/>
              <w:right w:val="single" w:color="auto" w:sz="4" w:space="0"/>
            </w:tcBorders>
            <w:vAlign w:val="center"/>
          </w:tcPr>
          <w:p w14:paraId="55041E12">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534" w:type="dxa"/>
            <w:tcBorders>
              <w:top w:val="single" w:color="auto" w:sz="4" w:space="0"/>
              <w:left w:val="nil"/>
              <w:bottom w:val="single" w:color="auto" w:sz="4" w:space="0"/>
              <w:right w:val="single" w:color="auto" w:sz="4" w:space="0"/>
            </w:tcBorders>
            <w:vAlign w:val="center"/>
          </w:tcPr>
          <w:p w14:paraId="05EEA938">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626" w:type="dxa"/>
            <w:tcBorders>
              <w:top w:val="single" w:color="auto" w:sz="4" w:space="0"/>
              <w:left w:val="nil"/>
              <w:bottom w:val="single" w:color="auto" w:sz="4" w:space="0"/>
              <w:right w:val="single" w:color="auto" w:sz="4" w:space="0"/>
            </w:tcBorders>
            <w:vAlign w:val="center"/>
          </w:tcPr>
          <w:p w14:paraId="6FB44D97">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c>
          <w:tcPr>
            <w:tcW w:w="1396" w:type="dxa"/>
            <w:tcBorders>
              <w:top w:val="single" w:color="auto" w:sz="4" w:space="0"/>
              <w:left w:val="nil"/>
              <w:bottom w:val="single" w:color="auto" w:sz="4" w:space="0"/>
              <w:right w:val="single" w:color="auto" w:sz="4" w:space="0"/>
            </w:tcBorders>
            <w:vAlign w:val="center"/>
          </w:tcPr>
          <w:p w14:paraId="51CB3E0C">
            <w:pPr>
              <w:keepNext/>
              <w:keepLines/>
              <w:pageBreakBefore w:val="0"/>
              <w:widowControl/>
              <w:kinsoku/>
              <w:wordWrap w:val="0"/>
              <w:overflowPunct/>
              <w:topLinePunct/>
              <w:autoSpaceDE/>
              <w:autoSpaceDN/>
              <w:bidi w:val="0"/>
              <w:spacing w:after="0" w:line="300" w:lineRule="exact"/>
              <w:jc w:val="center"/>
              <w:rPr>
                <w:rFonts w:hint="eastAsia" w:ascii="宋体" w:hAnsi="宋体" w:eastAsia="宋体" w:cs="宋体"/>
                <w:color w:val="auto"/>
                <w:sz w:val="21"/>
                <w:szCs w:val="21"/>
                <w:highlight w:val="none"/>
                <w14:ligatures w14:val="none"/>
              </w:rPr>
            </w:pPr>
          </w:p>
        </w:tc>
      </w:tr>
      <w:tr w14:paraId="5114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99" w:type="dxa"/>
            <w:gridSpan w:val="6"/>
            <w:tcBorders>
              <w:top w:val="single" w:color="auto" w:sz="4" w:space="0"/>
              <w:left w:val="single" w:color="auto" w:sz="4" w:space="0"/>
              <w:bottom w:val="single" w:color="auto" w:sz="4" w:space="0"/>
              <w:right w:val="single" w:color="auto" w:sz="4" w:space="0"/>
            </w:tcBorders>
            <w:vAlign w:val="center"/>
          </w:tcPr>
          <w:p w14:paraId="2F930110">
            <w:pPr>
              <w:keepNext/>
              <w:keepLines/>
              <w:pageBreakBefore w:val="0"/>
              <w:widowControl/>
              <w:kinsoku/>
              <w:wordWrap w:val="0"/>
              <w:overflowPunct/>
              <w:topLinePunct/>
              <w:autoSpaceDE/>
              <w:autoSpaceDN/>
              <w:bidi w:val="0"/>
              <w:spacing w:after="0" w:line="300" w:lineRule="exact"/>
              <w:ind w:left="0" w:leftChars="0" w:firstLine="0" w:firstLineChars="0"/>
              <w:jc w:val="both"/>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招标代理机构（签字/时间）：</w:t>
            </w:r>
          </w:p>
        </w:tc>
      </w:tr>
      <w:tr w14:paraId="64D1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99" w:type="dxa"/>
            <w:gridSpan w:val="6"/>
            <w:tcBorders>
              <w:top w:val="single" w:color="auto" w:sz="4" w:space="0"/>
              <w:left w:val="single" w:color="auto" w:sz="4" w:space="0"/>
              <w:bottom w:val="single" w:color="auto" w:sz="4" w:space="0"/>
              <w:right w:val="single" w:color="auto" w:sz="4" w:space="0"/>
            </w:tcBorders>
            <w:vAlign w:val="center"/>
          </w:tcPr>
          <w:p w14:paraId="615A1D66">
            <w:pPr>
              <w:keepNext/>
              <w:keepLines/>
              <w:pageBreakBefore w:val="0"/>
              <w:widowControl/>
              <w:kinsoku/>
              <w:wordWrap w:val="0"/>
              <w:overflowPunct/>
              <w:topLinePunct/>
              <w:autoSpaceDE/>
              <w:autoSpaceDN/>
              <w:bidi w:val="0"/>
              <w:spacing w:after="0" w:line="300" w:lineRule="exact"/>
              <w:ind w:left="0" w:leftChars="0" w:firstLine="0" w:firstLineChars="0"/>
              <w:jc w:val="both"/>
              <w:rPr>
                <w:rFonts w:hint="eastAsia" w:ascii="宋体" w:hAnsi="宋体" w:eastAsia="宋体" w:cs="宋体"/>
                <w:color w:val="auto"/>
                <w:sz w:val="21"/>
                <w:szCs w:val="21"/>
                <w:highlight w:val="none"/>
                <w:lang w:val="en-US" w:eastAsia="zh-CN"/>
                <w14:ligatures w14:val="none"/>
              </w:rPr>
            </w:pPr>
            <w:r>
              <w:rPr>
                <w:rFonts w:hint="eastAsia" w:ascii="宋体" w:hAnsi="宋体" w:eastAsia="宋体" w:cs="宋体"/>
                <w:color w:val="auto"/>
                <w:sz w:val="21"/>
                <w:szCs w:val="21"/>
                <w:highlight w:val="none"/>
                <w:lang w:val="en-US" w:eastAsia="zh-CN"/>
                <w14:ligatures w14:val="none"/>
              </w:rPr>
              <w:t>监督人员（签字/时间）：</w:t>
            </w:r>
          </w:p>
        </w:tc>
      </w:tr>
    </w:tbl>
    <w:p w14:paraId="10B3F783">
      <w:pPr>
        <w:keepNext/>
        <w:keepLines/>
        <w:pageBreakBefore w:val="0"/>
        <w:widowControl/>
        <w:kinsoku/>
        <w:wordWrap w:val="0"/>
        <w:overflowPunct/>
        <w:topLinePunct/>
        <w:autoSpaceDE/>
        <w:autoSpaceDN/>
        <w:bidi w:val="0"/>
        <w:rPr>
          <w:rFonts w:hint="eastAsia"/>
          <w:color w:val="auto"/>
          <w:highlight w:val="none"/>
        </w:rPr>
      </w:pPr>
    </w:p>
    <w:p w14:paraId="1777D805">
      <w:pPr>
        <w:keepNext/>
        <w:keepLines/>
        <w:pageBreakBefore w:val="0"/>
        <w:widowControl/>
        <w:kinsoku/>
        <w:wordWrap w:val="0"/>
        <w:overflowPunct/>
        <w:topLinePunct/>
        <w:autoSpaceDE/>
        <w:autoSpaceDN/>
        <w:bidi w:val="0"/>
        <w:rPr>
          <w:rFonts w:hint="eastAsia" w:ascii="宋体" w:hAnsi="宋体" w:eastAsia="宋体" w:cs="宋体"/>
          <w:color w:val="auto"/>
          <w:sz w:val="24"/>
          <w:szCs w:val="24"/>
          <w:highlight w:val="none"/>
        </w:rPr>
      </w:pPr>
      <w:bookmarkStart w:id="336" w:name="_Toc13246"/>
      <w:r>
        <w:rPr>
          <w:rFonts w:hint="eastAsia" w:ascii="宋体" w:hAnsi="宋体" w:eastAsia="宋体" w:cs="宋体"/>
          <w:color w:val="auto"/>
          <w:sz w:val="24"/>
          <w:szCs w:val="24"/>
          <w:highlight w:val="none"/>
        </w:rPr>
        <w:br w:type="page"/>
      </w:r>
    </w:p>
    <w:p w14:paraId="7049057B">
      <w:pPr>
        <w:pStyle w:val="10"/>
        <w:keepNext/>
        <w:keepLines/>
        <w:pageBreakBefore w:val="0"/>
        <w:widowControl/>
        <w:kinsoku/>
        <w:wordWrap w:val="0"/>
        <w:overflowPunct/>
        <w:topLinePunct/>
        <w:autoSpaceDE/>
        <w:autoSpaceDN/>
        <w:bidi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bookmarkEnd w:id="336"/>
    </w:p>
    <w:p w14:paraId="7D633D35">
      <w:pPr>
        <w:keepNext/>
        <w:keepLines/>
        <w:pageBreakBefore w:val="0"/>
        <w:widowControl w:val="0"/>
        <w:wordWrap w:val="0"/>
        <w:topLinePunct/>
        <w:autoSpaceDE/>
        <w:bidi w:val="0"/>
        <w:spacing w:before="260" w:after="260" w:line="240" w:lineRule="auto"/>
        <w:ind w:left="0" w:leftChars="0" w:firstLine="0" w:firstLineChars="0"/>
        <w:jc w:val="center"/>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核查报告</w:t>
      </w:r>
    </w:p>
    <w:tbl>
      <w:tblPr>
        <w:tblStyle w:val="2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3350"/>
        <w:gridCol w:w="2020"/>
        <w:gridCol w:w="1930"/>
      </w:tblGrid>
      <w:tr w14:paraId="7EFC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34" w:type="dxa"/>
            <w:vAlign w:val="center"/>
          </w:tcPr>
          <w:p w14:paraId="7F43D31A">
            <w:pPr>
              <w:pageBreakBefore w:val="0"/>
              <w:widowControl/>
              <w:wordWrap w:val="0"/>
              <w:topLinePunct/>
              <w:autoSpaceDE/>
              <w:bidi w:val="0"/>
              <w:spacing w:line="240" w:lineRule="auto"/>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项目名称</w:t>
            </w:r>
          </w:p>
        </w:tc>
        <w:tc>
          <w:tcPr>
            <w:tcW w:w="7300" w:type="dxa"/>
            <w:gridSpan w:val="3"/>
            <w:vAlign w:val="center"/>
          </w:tcPr>
          <w:p w14:paraId="2E57C062">
            <w:pPr>
              <w:pageBreakBefore w:val="0"/>
              <w:wordWrap w:val="0"/>
              <w:topLinePunct/>
              <w:autoSpaceDE/>
              <w:bidi w:val="0"/>
              <w:spacing w:line="240" w:lineRule="auto"/>
              <w:rPr>
                <w:rFonts w:hint="eastAsia" w:ascii="宋体" w:hAnsi="宋体" w:eastAsia="宋体" w:cs="宋体"/>
                <w:color w:val="auto"/>
                <w:szCs w:val="24"/>
                <w:highlight w:val="none"/>
              </w:rPr>
            </w:pPr>
          </w:p>
        </w:tc>
      </w:tr>
      <w:tr w14:paraId="4DC9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34" w:type="dxa"/>
            <w:vAlign w:val="center"/>
          </w:tcPr>
          <w:p w14:paraId="38CC942A">
            <w:pPr>
              <w:pageBreakBefore w:val="0"/>
              <w:widowControl/>
              <w:wordWrap w:val="0"/>
              <w:topLinePunct/>
              <w:autoSpaceDE/>
              <w:bidi w:val="0"/>
              <w:spacing w:line="240" w:lineRule="auto"/>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日期</w:t>
            </w:r>
          </w:p>
        </w:tc>
        <w:tc>
          <w:tcPr>
            <w:tcW w:w="7300" w:type="dxa"/>
            <w:gridSpan w:val="3"/>
            <w:vAlign w:val="center"/>
          </w:tcPr>
          <w:p w14:paraId="12181EB5">
            <w:pPr>
              <w:pageBreakBefore w:val="0"/>
              <w:wordWrap w:val="0"/>
              <w:topLinePunct/>
              <w:autoSpaceDE/>
              <w:bidi w:val="0"/>
              <w:spacing w:line="240" w:lineRule="auto"/>
              <w:ind w:left="0" w:leftChars="0" w:firstLine="0" w:firstLineChars="0"/>
              <w:rPr>
                <w:rFonts w:hint="eastAsia" w:ascii="宋体" w:hAnsi="宋体" w:eastAsia="宋体" w:cs="宋体"/>
                <w:color w:val="auto"/>
                <w:szCs w:val="24"/>
                <w:highlight w:val="none"/>
              </w:rPr>
            </w:pPr>
          </w:p>
        </w:tc>
      </w:tr>
      <w:tr w14:paraId="3480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1" w:hRule="atLeast"/>
          <w:jc w:val="center"/>
        </w:trPr>
        <w:tc>
          <w:tcPr>
            <w:tcW w:w="1834" w:type="dxa"/>
            <w:vAlign w:val="center"/>
          </w:tcPr>
          <w:p w14:paraId="4A34B391">
            <w:pPr>
              <w:pageBreakBefore w:val="0"/>
              <w:widowControl/>
              <w:wordWrap w:val="0"/>
              <w:topLinePunct/>
              <w:autoSpaceDE/>
              <w:bidi w:val="0"/>
              <w:spacing w:line="240" w:lineRule="auto"/>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核查内容</w:t>
            </w:r>
          </w:p>
        </w:tc>
        <w:tc>
          <w:tcPr>
            <w:tcW w:w="7300" w:type="dxa"/>
            <w:gridSpan w:val="3"/>
            <w:vAlign w:val="center"/>
          </w:tcPr>
          <w:p w14:paraId="3C04EAF3">
            <w:pPr>
              <w:pageBreakBefore w:val="0"/>
              <w:wordWrap w:val="0"/>
              <w:topLinePunct/>
              <w:autoSpaceDE/>
              <w:bidi w:val="0"/>
              <w:spacing w:line="240" w:lineRule="auto"/>
              <w:ind w:left="0" w:leftChars="0" w:firstLine="0" w:firstLineChars="0"/>
              <w:rPr>
                <w:rFonts w:hint="eastAsia" w:ascii="宋体" w:hAnsi="宋体" w:eastAsia="宋体" w:cs="宋体"/>
                <w:color w:val="auto"/>
                <w:szCs w:val="24"/>
                <w:highlight w:val="none"/>
                <w:lang w:val="en-US" w:eastAsia="zh-CN"/>
              </w:rPr>
            </w:pPr>
          </w:p>
        </w:tc>
      </w:tr>
      <w:tr w14:paraId="3801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34" w:type="dxa"/>
            <w:vMerge w:val="restart"/>
            <w:vAlign w:val="center"/>
          </w:tcPr>
          <w:p w14:paraId="0037FE53">
            <w:pPr>
              <w:pageBreakBefore w:val="0"/>
              <w:widowControl/>
              <w:wordWrap w:val="0"/>
              <w:topLinePunct/>
              <w:autoSpaceDE/>
              <w:bidi w:val="0"/>
              <w:spacing w:line="240" w:lineRule="auto"/>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核查结果</w:t>
            </w:r>
          </w:p>
        </w:tc>
        <w:tc>
          <w:tcPr>
            <w:tcW w:w="3350" w:type="dxa"/>
            <w:vAlign w:val="center"/>
          </w:tcPr>
          <w:p w14:paraId="741E840A">
            <w:pPr>
              <w:pageBreakBefore w:val="0"/>
              <w:wordWrap w:val="0"/>
              <w:topLinePunct/>
              <w:autoSpaceDE/>
              <w:bidi w:val="0"/>
              <w:spacing w:line="240" w:lineRule="auto"/>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中标候选人名单</w:t>
            </w:r>
          </w:p>
        </w:tc>
        <w:tc>
          <w:tcPr>
            <w:tcW w:w="2020" w:type="dxa"/>
            <w:vAlign w:val="center"/>
          </w:tcPr>
          <w:p w14:paraId="7DA7638C">
            <w:pPr>
              <w:pageBreakBefore w:val="0"/>
              <w:wordWrap w:val="0"/>
              <w:topLinePunct/>
              <w:autoSpaceDE/>
              <w:bidi w:val="0"/>
              <w:spacing w:line="240" w:lineRule="auto"/>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合格（是/否）</w:t>
            </w:r>
          </w:p>
        </w:tc>
        <w:tc>
          <w:tcPr>
            <w:tcW w:w="1930" w:type="dxa"/>
            <w:vAlign w:val="center"/>
          </w:tcPr>
          <w:p w14:paraId="7EEDF5D5">
            <w:pPr>
              <w:pageBreakBefore w:val="0"/>
              <w:wordWrap w:val="0"/>
              <w:topLinePunct/>
              <w:autoSpaceDE/>
              <w:bidi w:val="0"/>
              <w:spacing w:line="240" w:lineRule="auto"/>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不合格理由</w:t>
            </w:r>
          </w:p>
        </w:tc>
      </w:tr>
      <w:tr w14:paraId="6948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34" w:type="dxa"/>
            <w:vMerge w:val="continue"/>
            <w:vAlign w:val="center"/>
          </w:tcPr>
          <w:p w14:paraId="6D80AA62">
            <w:pPr>
              <w:pageBreakBefore w:val="0"/>
              <w:widowControl/>
              <w:wordWrap w:val="0"/>
              <w:topLinePunct/>
              <w:autoSpaceDE/>
              <w:bidi w:val="0"/>
              <w:spacing w:line="240" w:lineRule="auto"/>
              <w:ind w:firstLine="0" w:firstLineChars="0"/>
              <w:jc w:val="center"/>
              <w:rPr>
                <w:rFonts w:hint="eastAsia" w:ascii="宋体" w:hAnsi="宋体" w:eastAsia="宋体" w:cs="宋体"/>
                <w:color w:val="auto"/>
                <w:szCs w:val="24"/>
                <w:highlight w:val="none"/>
              </w:rPr>
            </w:pPr>
          </w:p>
        </w:tc>
        <w:tc>
          <w:tcPr>
            <w:tcW w:w="3350" w:type="dxa"/>
            <w:vAlign w:val="center"/>
          </w:tcPr>
          <w:p w14:paraId="72DACF60">
            <w:pPr>
              <w:pageBreakBefore w:val="0"/>
              <w:wordWrap w:val="0"/>
              <w:topLinePunct/>
              <w:autoSpaceDE/>
              <w:bidi w:val="0"/>
              <w:spacing w:line="240" w:lineRule="auto"/>
              <w:rPr>
                <w:rFonts w:hint="eastAsia" w:ascii="宋体" w:hAnsi="宋体" w:eastAsia="宋体" w:cs="宋体"/>
                <w:color w:val="auto"/>
                <w:szCs w:val="24"/>
                <w:highlight w:val="none"/>
              </w:rPr>
            </w:pPr>
          </w:p>
        </w:tc>
        <w:tc>
          <w:tcPr>
            <w:tcW w:w="2020" w:type="dxa"/>
            <w:vAlign w:val="center"/>
          </w:tcPr>
          <w:p w14:paraId="2B27C081">
            <w:pPr>
              <w:pageBreakBefore w:val="0"/>
              <w:wordWrap w:val="0"/>
              <w:topLinePunct/>
              <w:autoSpaceDE/>
              <w:bidi w:val="0"/>
              <w:spacing w:line="240" w:lineRule="auto"/>
              <w:rPr>
                <w:rFonts w:hint="eastAsia" w:ascii="宋体" w:hAnsi="宋体" w:eastAsia="宋体" w:cs="宋体"/>
                <w:color w:val="auto"/>
                <w:szCs w:val="24"/>
                <w:highlight w:val="none"/>
              </w:rPr>
            </w:pPr>
          </w:p>
        </w:tc>
        <w:tc>
          <w:tcPr>
            <w:tcW w:w="1930" w:type="dxa"/>
            <w:vAlign w:val="center"/>
          </w:tcPr>
          <w:p w14:paraId="1A331EB3">
            <w:pPr>
              <w:pageBreakBefore w:val="0"/>
              <w:wordWrap w:val="0"/>
              <w:topLinePunct/>
              <w:autoSpaceDE/>
              <w:bidi w:val="0"/>
              <w:spacing w:line="240" w:lineRule="auto"/>
              <w:rPr>
                <w:rFonts w:hint="eastAsia" w:ascii="宋体" w:hAnsi="宋体" w:eastAsia="宋体" w:cs="宋体"/>
                <w:color w:val="auto"/>
                <w:szCs w:val="24"/>
                <w:highlight w:val="none"/>
              </w:rPr>
            </w:pPr>
          </w:p>
        </w:tc>
      </w:tr>
      <w:tr w14:paraId="6996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834" w:type="dxa"/>
            <w:vMerge w:val="continue"/>
            <w:vAlign w:val="center"/>
          </w:tcPr>
          <w:p w14:paraId="63EB9680">
            <w:pPr>
              <w:pageBreakBefore w:val="0"/>
              <w:widowControl/>
              <w:wordWrap w:val="0"/>
              <w:topLinePunct/>
              <w:autoSpaceDE/>
              <w:bidi w:val="0"/>
              <w:spacing w:line="240" w:lineRule="auto"/>
              <w:ind w:firstLine="0" w:firstLineChars="0"/>
              <w:jc w:val="center"/>
              <w:rPr>
                <w:rFonts w:hint="eastAsia" w:ascii="宋体" w:hAnsi="宋体" w:eastAsia="宋体" w:cs="宋体"/>
                <w:color w:val="auto"/>
                <w:szCs w:val="24"/>
                <w:highlight w:val="none"/>
              </w:rPr>
            </w:pPr>
          </w:p>
        </w:tc>
        <w:tc>
          <w:tcPr>
            <w:tcW w:w="3350" w:type="dxa"/>
            <w:vAlign w:val="center"/>
          </w:tcPr>
          <w:p w14:paraId="128D8ED1">
            <w:pPr>
              <w:pageBreakBefore w:val="0"/>
              <w:wordWrap w:val="0"/>
              <w:topLinePunct/>
              <w:autoSpaceDE/>
              <w:bidi w:val="0"/>
              <w:spacing w:line="240" w:lineRule="auto"/>
              <w:rPr>
                <w:rFonts w:hint="eastAsia" w:ascii="宋体" w:hAnsi="宋体" w:eastAsia="宋体" w:cs="宋体"/>
                <w:color w:val="auto"/>
                <w:szCs w:val="24"/>
                <w:highlight w:val="none"/>
              </w:rPr>
            </w:pPr>
          </w:p>
        </w:tc>
        <w:tc>
          <w:tcPr>
            <w:tcW w:w="2020" w:type="dxa"/>
            <w:vAlign w:val="center"/>
          </w:tcPr>
          <w:p w14:paraId="621276EA">
            <w:pPr>
              <w:pageBreakBefore w:val="0"/>
              <w:wordWrap w:val="0"/>
              <w:topLinePunct/>
              <w:autoSpaceDE/>
              <w:bidi w:val="0"/>
              <w:spacing w:line="240" w:lineRule="auto"/>
              <w:rPr>
                <w:rFonts w:hint="eastAsia" w:ascii="宋体" w:hAnsi="宋体" w:eastAsia="宋体" w:cs="宋体"/>
                <w:color w:val="auto"/>
                <w:szCs w:val="24"/>
                <w:highlight w:val="none"/>
              </w:rPr>
            </w:pPr>
          </w:p>
        </w:tc>
        <w:tc>
          <w:tcPr>
            <w:tcW w:w="1930" w:type="dxa"/>
            <w:vAlign w:val="center"/>
          </w:tcPr>
          <w:p w14:paraId="28CE6432">
            <w:pPr>
              <w:pageBreakBefore w:val="0"/>
              <w:wordWrap w:val="0"/>
              <w:topLinePunct/>
              <w:autoSpaceDE/>
              <w:bidi w:val="0"/>
              <w:spacing w:line="240" w:lineRule="auto"/>
              <w:rPr>
                <w:rFonts w:hint="eastAsia" w:ascii="宋体" w:hAnsi="宋体" w:eastAsia="宋体" w:cs="宋体"/>
                <w:color w:val="auto"/>
                <w:szCs w:val="24"/>
                <w:highlight w:val="none"/>
              </w:rPr>
            </w:pPr>
          </w:p>
        </w:tc>
      </w:tr>
      <w:tr w14:paraId="5B5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34" w:type="dxa"/>
            <w:vMerge w:val="continue"/>
            <w:vAlign w:val="center"/>
          </w:tcPr>
          <w:p w14:paraId="349D6E74">
            <w:pPr>
              <w:pageBreakBefore w:val="0"/>
              <w:widowControl/>
              <w:wordWrap w:val="0"/>
              <w:topLinePunct/>
              <w:autoSpaceDE/>
              <w:bidi w:val="0"/>
              <w:spacing w:line="240" w:lineRule="auto"/>
              <w:ind w:firstLine="0" w:firstLineChars="0"/>
              <w:jc w:val="center"/>
              <w:rPr>
                <w:rFonts w:hint="eastAsia" w:ascii="宋体" w:hAnsi="宋体" w:eastAsia="宋体" w:cs="宋体"/>
                <w:color w:val="auto"/>
                <w:szCs w:val="24"/>
                <w:highlight w:val="none"/>
              </w:rPr>
            </w:pPr>
          </w:p>
        </w:tc>
        <w:tc>
          <w:tcPr>
            <w:tcW w:w="3350" w:type="dxa"/>
            <w:vAlign w:val="center"/>
          </w:tcPr>
          <w:p w14:paraId="4D30A92F">
            <w:pPr>
              <w:pageBreakBefore w:val="0"/>
              <w:wordWrap w:val="0"/>
              <w:topLinePunct/>
              <w:autoSpaceDE/>
              <w:bidi w:val="0"/>
              <w:spacing w:line="240" w:lineRule="auto"/>
              <w:rPr>
                <w:rFonts w:hint="eastAsia" w:ascii="宋体" w:hAnsi="宋体" w:eastAsia="宋体" w:cs="宋体"/>
                <w:color w:val="auto"/>
                <w:szCs w:val="24"/>
                <w:highlight w:val="none"/>
              </w:rPr>
            </w:pPr>
          </w:p>
        </w:tc>
        <w:tc>
          <w:tcPr>
            <w:tcW w:w="2020" w:type="dxa"/>
            <w:vAlign w:val="center"/>
          </w:tcPr>
          <w:p w14:paraId="621293F2">
            <w:pPr>
              <w:pageBreakBefore w:val="0"/>
              <w:wordWrap w:val="0"/>
              <w:topLinePunct/>
              <w:autoSpaceDE/>
              <w:bidi w:val="0"/>
              <w:spacing w:line="240" w:lineRule="auto"/>
              <w:rPr>
                <w:rFonts w:hint="eastAsia" w:ascii="宋体" w:hAnsi="宋体" w:eastAsia="宋体" w:cs="宋体"/>
                <w:color w:val="auto"/>
                <w:szCs w:val="24"/>
                <w:highlight w:val="none"/>
              </w:rPr>
            </w:pPr>
          </w:p>
        </w:tc>
        <w:tc>
          <w:tcPr>
            <w:tcW w:w="1930" w:type="dxa"/>
            <w:vAlign w:val="center"/>
          </w:tcPr>
          <w:p w14:paraId="51CF5BF8">
            <w:pPr>
              <w:pageBreakBefore w:val="0"/>
              <w:wordWrap w:val="0"/>
              <w:topLinePunct/>
              <w:autoSpaceDE/>
              <w:bidi w:val="0"/>
              <w:spacing w:line="240" w:lineRule="auto"/>
              <w:rPr>
                <w:rFonts w:hint="eastAsia" w:ascii="宋体" w:hAnsi="宋体" w:eastAsia="宋体" w:cs="宋体"/>
                <w:color w:val="auto"/>
                <w:szCs w:val="24"/>
                <w:highlight w:val="none"/>
              </w:rPr>
            </w:pPr>
          </w:p>
        </w:tc>
      </w:tr>
      <w:tr w14:paraId="3A94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834" w:type="dxa"/>
            <w:vAlign w:val="center"/>
          </w:tcPr>
          <w:p w14:paraId="01A3E86F">
            <w:pPr>
              <w:pageBreakBefore w:val="0"/>
              <w:wordWrap w:val="0"/>
              <w:topLinePunct/>
              <w:autoSpaceDE/>
              <w:bidi w:val="0"/>
              <w:spacing w:line="240" w:lineRule="auto"/>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定标委员会签字</w:t>
            </w:r>
          </w:p>
        </w:tc>
        <w:tc>
          <w:tcPr>
            <w:tcW w:w="7300" w:type="dxa"/>
            <w:gridSpan w:val="3"/>
            <w:vAlign w:val="center"/>
          </w:tcPr>
          <w:p w14:paraId="6ABD1D27">
            <w:pPr>
              <w:pageBreakBefore w:val="0"/>
              <w:wordWrap w:val="0"/>
              <w:topLinePunct/>
              <w:autoSpaceDE/>
              <w:bidi w:val="0"/>
              <w:spacing w:line="240" w:lineRule="auto"/>
              <w:ind w:left="0" w:leftChars="0" w:firstLine="0" w:firstLineChars="0"/>
              <w:rPr>
                <w:rFonts w:hint="eastAsia" w:ascii="宋体" w:hAnsi="宋体" w:eastAsia="宋体" w:cs="宋体"/>
                <w:color w:val="auto"/>
                <w:szCs w:val="24"/>
                <w:highlight w:val="none"/>
              </w:rPr>
            </w:pPr>
          </w:p>
          <w:p w14:paraId="610C0C93">
            <w:pPr>
              <w:pageBreakBefore w:val="0"/>
              <w:wordWrap w:val="0"/>
              <w:topLinePunct/>
              <w:autoSpaceDE/>
              <w:bidi w:val="0"/>
              <w:spacing w:line="240" w:lineRule="auto"/>
              <w:ind w:left="0" w:leftChars="0" w:firstLine="0" w:firstLineChars="0"/>
              <w:rPr>
                <w:rFonts w:hint="eastAsia" w:ascii="宋体" w:hAnsi="宋体" w:eastAsia="宋体" w:cs="宋体"/>
                <w:color w:val="auto"/>
                <w:szCs w:val="24"/>
                <w:highlight w:val="none"/>
              </w:rPr>
            </w:pPr>
          </w:p>
        </w:tc>
      </w:tr>
    </w:tbl>
    <w:p w14:paraId="16BAF479">
      <w:pPr>
        <w:keepNext/>
        <w:keepLines/>
        <w:pageBreakBefore w:val="0"/>
        <w:widowControl/>
        <w:kinsoku/>
        <w:wordWrap w:val="0"/>
        <w:overflowPunct/>
        <w:topLinePunct/>
        <w:autoSpaceDE/>
        <w:autoSpaceDN/>
        <w:bidi w:val="0"/>
        <w:spacing w:line="240" w:lineRule="auto"/>
        <w:ind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0709776">
      <w:pPr>
        <w:pStyle w:val="10"/>
        <w:keepNext/>
        <w:keepLines/>
        <w:pageBreakBefore w:val="0"/>
        <w:widowControl/>
        <w:kinsoku/>
        <w:wordWrap w:val="0"/>
        <w:overflowPunct/>
        <w:topLinePunct/>
        <w:autoSpaceDE/>
        <w:autoSpaceDN/>
        <w:bidi w:val="0"/>
        <w:spacing w:line="240" w:lineRule="auto"/>
        <w:ind w:left="0" w:leftChars="0" w:firstLine="0" w:firstLineChars="0"/>
        <w:rPr>
          <w:rFonts w:hint="eastAsia" w:ascii="宋体" w:hAnsi="宋体" w:cs="宋体"/>
          <w:color w:val="auto"/>
          <w:sz w:val="24"/>
          <w:szCs w:val="24"/>
          <w:highlight w:val="none"/>
          <w:lang w:val="en-US" w:eastAsia="zh-CN"/>
        </w:rPr>
      </w:pPr>
      <w:bookmarkStart w:id="337" w:name="_Toc1809"/>
      <w:r>
        <w:rPr>
          <w:rFonts w:hint="eastAsia" w:ascii="宋体" w:hAnsi="宋体" w:eastAsia="宋体" w:cs="宋体"/>
          <w:color w:val="auto"/>
          <w:sz w:val="24"/>
          <w:szCs w:val="24"/>
          <w:highlight w:val="none"/>
          <w:lang w:val="en-US" w:eastAsia="zh-CN"/>
        </w:rPr>
        <w:t>附件</w:t>
      </w:r>
      <w:r>
        <w:rPr>
          <w:rFonts w:hint="eastAsia" w:ascii="宋体" w:hAnsi="宋体" w:cs="宋体"/>
          <w:color w:val="auto"/>
          <w:sz w:val="24"/>
          <w:szCs w:val="24"/>
          <w:highlight w:val="none"/>
          <w:lang w:val="en-US" w:eastAsia="zh-CN"/>
        </w:rPr>
        <w:t>3：</w:t>
      </w:r>
      <w:bookmarkEnd w:id="337"/>
    </w:p>
    <w:p w14:paraId="2279A998">
      <w:pPr>
        <w:ind w:left="0" w:leftChars="0" w:right="0" w:rightChars="0" w:firstLine="0" w:firstLineChars="0"/>
        <w:jc w:val="center"/>
        <w:rPr>
          <w:rFonts w:hint="eastAsia" w:ascii="宋体" w:hAnsi="宋体" w:eastAsia="宋体" w:cs="宋体"/>
          <w:color w:val="auto"/>
          <w:sz w:val="30"/>
          <w:szCs w:val="30"/>
          <w:highlight w:val="none"/>
          <w:lang w:val="en-US" w:eastAsia="zh-CN"/>
        </w:rPr>
      </w:pPr>
      <w:r>
        <w:rPr>
          <w:rFonts w:hint="eastAsia" w:ascii="宋体" w:hAnsi="宋体" w:eastAsia="宋体" w:cs="宋体"/>
          <w:b/>
          <w:bCs/>
          <w:color w:val="auto"/>
          <w:spacing w:val="39"/>
          <w:sz w:val="30"/>
          <w:szCs w:val="30"/>
          <w:highlight w:val="none"/>
        </w:rPr>
        <w:t>承诺书</w:t>
      </w:r>
    </w:p>
    <w:p w14:paraId="66E829F3">
      <w:pPr>
        <w:kinsoku w:val="0"/>
        <w:autoSpaceDE w:val="0"/>
        <w:autoSpaceDN w:val="0"/>
        <w:adjustRightInd w:val="0"/>
        <w:snapToGrid w:val="0"/>
        <w:spacing w:before="97" w:line="219" w:lineRule="auto"/>
        <w:ind w:left="619"/>
        <w:jc w:val="left"/>
        <w:textAlignment w:val="baseline"/>
        <w:rPr>
          <w:rFonts w:hint="eastAsia" w:ascii="宋体" w:hAnsi="宋体" w:eastAsia="宋体" w:cs="宋体"/>
          <w:snapToGrid w:val="0"/>
          <w:color w:val="auto"/>
          <w:spacing w:val="12"/>
          <w:kern w:val="0"/>
          <w:sz w:val="21"/>
          <w:szCs w:val="21"/>
          <w:highlight w:val="none"/>
          <w:lang w:val="en-US" w:eastAsia="en-US" w:bidi="ar-SA"/>
        </w:rPr>
      </w:pPr>
    </w:p>
    <w:p w14:paraId="32DC8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我自愿担任本项目的定标委员会成员，在此郑重承诺：</w:t>
      </w:r>
    </w:p>
    <w:p w14:paraId="4BEA61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1.严格遵守《中华人民共和国招标投标法》《中华人民共和国保守国家秘密法》等相关法律及有关部门关于招投标的法规、规章，维护国家利益、社会公共利益。</w:t>
      </w:r>
    </w:p>
    <w:p w14:paraId="422D9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2.客观公正地履行职责，遵守职业道德，独立、负责地为本项目提供真实、可靠合理的定标意见，并对提出的评审意见承担个人责任。</w:t>
      </w:r>
    </w:p>
    <w:p w14:paraId="6C1356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3.履行相关保密义务，不透露定标委员会成员名单等与定标有关的情况，保守定标过程中所有商业秘密。</w:t>
      </w:r>
    </w:p>
    <w:p w14:paraId="575431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4.遵守定标纪律，不私下接触投标人或者其他利害关系人，不收受他人的财物或者其他好处，自觉抵制定标过程中一切不正当要求。</w:t>
      </w:r>
    </w:p>
    <w:p w14:paraId="4930E4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5.当发现自己与投标人有隶属关系、合作经营关系以及其他利益关系时，绝不隐瞒，主动回避。</w:t>
      </w:r>
    </w:p>
    <w:p w14:paraId="181AC1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6.自觉抵制招投标违法违规行为，积极配合有关部门的调查取证工作。</w:t>
      </w:r>
    </w:p>
    <w:p w14:paraId="6AEC85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7.自觉服从监督部门的监督和管理。</w:t>
      </w:r>
    </w:p>
    <w:p w14:paraId="71469E88">
      <w:pPr>
        <w:pStyle w:val="24"/>
        <w:rPr>
          <w:rFonts w:hint="eastAsia"/>
          <w:color w:val="auto"/>
          <w:highlight w:val="none"/>
          <w:lang w:eastAsia="en-US"/>
        </w:rPr>
      </w:pPr>
    </w:p>
    <w:p w14:paraId="16E23B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以上承诺如有违反，本人愿接受有关行政机关依法做出的任何处理。</w:t>
      </w:r>
    </w:p>
    <w:p w14:paraId="662603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p>
    <w:p w14:paraId="40CB57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p>
    <w:p w14:paraId="16EE2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r>
        <w:rPr>
          <w:rFonts w:hint="eastAsia"/>
          <w:color w:val="auto"/>
          <w:highlight w:val="none"/>
          <w:lang w:val="en-US" w:eastAsia="en-US"/>
        </w:rPr>
        <w:t>承诺人：</w:t>
      </w:r>
    </w:p>
    <w:p w14:paraId="3C7249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en-US"/>
        </w:rPr>
      </w:pPr>
    </w:p>
    <w:p w14:paraId="07560E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en-US"/>
        </w:rPr>
        <w:t>承诺日期：</w:t>
      </w:r>
    </w:p>
    <w:p w14:paraId="027A7E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br w:type="page"/>
      </w:r>
    </w:p>
    <w:p w14:paraId="03BADB74">
      <w:pPr>
        <w:keepNext/>
        <w:keepLines/>
        <w:pageBreakBefore w:val="0"/>
        <w:widowControl/>
        <w:kinsoku/>
        <w:wordWrap w:val="0"/>
        <w:overflowPunct/>
        <w:topLinePunct/>
        <w:autoSpaceDE/>
        <w:autoSpaceDN/>
        <w:bidi w:val="0"/>
        <w:spacing w:line="240" w:lineRule="auto"/>
        <w:ind w:left="0" w:leftChars="0" w:firstLine="0" w:firstLineChars="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4：</w:t>
      </w:r>
    </w:p>
    <w:p w14:paraId="59FB41B2">
      <w:pPr>
        <w:spacing w:line="440" w:lineRule="atLeast"/>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入围候选人签到表</w:t>
      </w:r>
    </w:p>
    <w:p w14:paraId="49E8080D">
      <w:pPr>
        <w:spacing w:line="440" w:lineRule="atLeast"/>
        <w:rPr>
          <w:rFonts w:hint="eastAsia" w:ascii="宋体" w:hAnsi="宋体" w:eastAsia="宋体" w:cs="宋体"/>
          <w:b/>
          <w:bCs/>
          <w:color w:val="auto"/>
          <w:kern w:val="2"/>
          <w:sz w:val="21"/>
          <w:szCs w:val="21"/>
          <w:highlight w:val="none"/>
          <w:lang w:val="en-US" w:eastAsia="zh-CN" w:bidi="ar-S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3191"/>
        <w:gridCol w:w="2211"/>
        <w:gridCol w:w="2211"/>
      </w:tblGrid>
      <w:tr w14:paraId="5433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3" w:hRule="atLeast"/>
          <w:jc w:val="center"/>
        </w:trPr>
        <w:tc>
          <w:tcPr>
            <w:tcW w:w="1229" w:type="dxa"/>
            <w:vAlign w:val="center"/>
          </w:tcPr>
          <w:p w14:paraId="1773F05C">
            <w:pPr>
              <w:spacing w:line="440" w:lineRule="atLeast"/>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3191" w:type="dxa"/>
            <w:vAlign w:val="center"/>
          </w:tcPr>
          <w:p w14:paraId="71FDF29E">
            <w:pPr>
              <w:spacing w:line="440" w:lineRule="atLeast"/>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单位名称</w:t>
            </w:r>
          </w:p>
        </w:tc>
        <w:tc>
          <w:tcPr>
            <w:tcW w:w="2211" w:type="dxa"/>
            <w:vAlign w:val="center"/>
          </w:tcPr>
          <w:p w14:paraId="4DE077E5">
            <w:pPr>
              <w:spacing w:line="440" w:lineRule="atLeast"/>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签到时间</w:t>
            </w:r>
          </w:p>
        </w:tc>
        <w:tc>
          <w:tcPr>
            <w:tcW w:w="2211" w:type="dxa"/>
            <w:vAlign w:val="center"/>
          </w:tcPr>
          <w:p w14:paraId="058C62E8">
            <w:pPr>
              <w:spacing w:line="440" w:lineRule="atLeast"/>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14:paraId="585D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29" w:type="dxa"/>
          </w:tcPr>
          <w:p w14:paraId="3EE50EB2">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1B1166A5">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7E627FF0">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79091D6F">
            <w:pPr>
              <w:spacing w:line="440" w:lineRule="atLeast"/>
              <w:rPr>
                <w:rFonts w:hint="eastAsia" w:ascii="宋体" w:hAnsi="宋体" w:eastAsia="宋体" w:cs="宋体"/>
                <w:b/>
                <w:bCs/>
                <w:color w:val="auto"/>
                <w:kern w:val="2"/>
                <w:sz w:val="21"/>
                <w:szCs w:val="21"/>
                <w:highlight w:val="none"/>
                <w:lang w:val="en-US" w:eastAsia="zh-CN" w:bidi="ar-SA"/>
              </w:rPr>
            </w:pPr>
          </w:p>
        </w:tc>
      </w:tr>
      <w:tr w14:paraId="59E5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29" w:type="dxa"/>
          </w:tcPr>
          <w:p w14:paraId="06EFD3EB">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722F5EB5">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05EE36D0">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1F759572">
            <w:pPr>
              <w:spacing w:line="440" w:lineRule="atLeast"/>
              <w:rPr>
                <w:rFonts w:hint="eastAsia" w:ascii="宋体" w:hAnsi="宋体" w:eastAsia="宋体" w:cs="宋体"/>
                <w:b/>
                <w:bCs/>
                <w:color w:val="auto"/>
                <w:kern w:val="2"/>
                <w:sz w:val="21"/>
                <w:szCs w:val="21"/>
                <w:highlight w:val="none"/>
                <w:lang w:val="en-US" w:eastAsia="zh-CN" w:bidi="ar-SA"/>
              </w:rPr>
            </w:pPr>
          </w:p>
        </w:tc>
      </w:tr>
      <w:tr w14:paraId="4F0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29" w:type="dxa"/>
          </w:tcPr>
          <w:p w14:paraId="4E40DC45">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43112B71">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00E0035B">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15E9EB4B">
            <w:pPr>
              <w:spacing w:line="440" w:lineRule="atLeast"/>
              <w:rPr>
                <w:rFonts w:hint="eastAsia" w:ascii="宋体" w:hAnsi="宋体" w:eastAsia="宋体" w:cs="宋体"/>
                <w:b/>
                <w:bCs/>
                <w:color w:val="auto"/>
                <w:kern w:val="2"/>
                <w:sz w:val="21"/>
                <w:szCs w:val="21"/>
                <w:highlight w:val="none"/>
                <w:lang w:val="en-US" w:eastAsia="zh-CN" w:bidi="ar-SA"/>
              </w:rPr>
            </w:pPr>
          </w:p>
        </w:tc>
      </w:tr>
      <w:tr w14:paraId="2284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29" w:type="dxa"/>
          </w:tcPr>
          <w:p w14:paraId="43365DAE">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60A53A39">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0BBBFC9A">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73B6DB23">
            <w:pPr>
              <w:spacing w:line="440" w:lineRule="atLeast"/>
              <w:rPr>
                <w:rFonts w:hint="eastAsia" w:ascii="宋体" w:hAnsi="宋体" w:eastAsia="宋体" w:cs="宋体"/>
                <w:b/>
                <w:bCs/>
                <w:color w:val="auto"/>
                <w:kern w:val="2"/>
                <w:sz w:val="21"/>
                <w:szCs w:val="21"/>
                <w:highlight w:val="none"/>
                <w:lang w:val="en-US" w:eastAsia="zh-CN" w:bidi="ar-SA"/>
              </w:rPr>
            </w:pPr>
          </w:p>
        </w:tc>
      </w:tr>
      <w:tr w14:paraId="1296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29" w:type="dxa"/>
          </w:tcPr>
          <w:p w14:paraId="369487BB">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15BB99C2">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0C3D0856">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72478ED6">
            <w:pPr>
              <w:spacing w:line="440" w:lineRule="atLeast"/>
              <w:rPr>
                <w:rFonts w:hint="eastAsia" w:ascii="宋体" w:hAnsi="宋体" w:eastAsia="宋体" w:cs="宋体"/>
                <w:b/>
                <w:bCs/>
                <w:color w:val="auto"/>
                <w:kern w:val="2"/>
                <w:sz w:val="21"/>
                <w:szCs w:val="21"/>
                <w:highlight w:val="none"/>
                <w:lang w:val="en-US" w:eastAsia="zh-CN" w:bidi="ar-SA"/>
              </w:rPr>
            </w:pPr>
          </w:p>
        </w:tc>
      </w:tr>
      <w:tr w14:paraId="0DE3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29" w:type="dxa"/>
          </w:tcPr>
          <w:p w14:paraId="41F68B5B">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1780D08A">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0B9CADC2">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19AF00C1">
            <w:pPr>
              <w:spacing w:line="440" w:lineRule="atLeast"/>
              <w:rPr>
                <w:rFonts w:hint="eastAsia" w:ascii="宋体" w:hAnsi="宋体" w:eastAsia="宋体" w:cs="宋体"/>
                <w:b/>
                <w:bCs/>
                <w:color w:val="auto"/>
                <w:kern w:val="2"/>
                <w:sz w:val="21"/>
                <w:szCs w:val="21"/>
                <w:highlight w:val="none"/>
                <w:lang w:val="en-US" w:eastAsia="zh-CN" w:bidi="ar-SA"/>
              </w:rPr>
            </w:pPr>
          </w:p>
        </w:tc>
      </w:tr>
      <w:tr w14:paraId="1A08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29" w:type="dxa"/>
          </w:tcPr>
          <w:p w14:paraId="21E807C2">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16A17364">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2B057D5E">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25E6A510">
            <w:pPr>
              <w:spacing w:line="440" w:lineRule="atLeast"/>
              <w:rPr>
                <w:rFonts w:hint="eastAsia" w:ascii="宋体" w:hAnsi="宋体" w:eastAsia="宋体" w:cs="宋体"/>
                <w:b/>
                <w:bCs/>
                <w:color w:val="auto"/>
                <w:kern w:val="2"/>
                <w:sz w:val="21"/>
                <w:szCs w:val="21"/>
                <w:highlight w:val="none"/>
                <w:lang w:val="en-US" w:eastAsia="zh-CN" w:bidi="ar-SA"/>
              </w:rPr>
            </w:pPr>
          </w:p>
        </w:tc>
      </w:tr>
      <w:tr w14:paraId="22C9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229" w:type="dxa"/>
          </w:tcPr>
          <w:p w14:paraId="711385A0">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13C9709C">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2532FA52">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031CE267">
            <w:pPr>
              <w:spacing w:line="440" w:lineRule="atLeast"/>
              <w:rPr>
                <w:rFonts w:hint="eastAsia" w:ascii="宋体" w:hAnsi="宋体" w:eastAsia="宋体" w:cs="宋体"/>
                <w:b/>
                <w:bCs/>
                <w:color w:val="auto"/>
                <w:kern w:val="2"/>
                <w:sz w:val="21"/>
                <w:szCs w:val="21"/>
                <w:highlight w:val="none"/>
                <w:lang w:val="en-US" w:eastAsia="zh-CN" w:bidi="ar-SA"/>
              </w:rPr>
            </w:pPr>
          </w:p>
        </w:tc>
      </w:tr>
      <w:tr w14:paraId="4B24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229" w:type="dxa"/>
          </w:tcPr>
          <w:p w14:paraId="340AF1C2">
            <w:pPr>
              <w:spacing w:line="440" w:lineRule="atLeast"/>
              <w:rPr>
                <w:rFonts w:hint="eastAsia" w:ascii="宋体" w:hAnsi="宋体" w:eastAsia="宋体" w:cs="宋体"/>
                <w:b/>
                <w:bCs/>
                <w:color w:val="auto"/>
                <w:kern w:val="2"/>
                <w:sz w:val="21"/>
                <w:szCs w:val="21"/>
                <w:highlight w:val="none"/>
                <w:lang w:val="en-US" w:eastAsia="zh-CN" w:bidi="ar-SA"/>
              </w:rPr>
            </w:pPr>
          </w:p>
        </w:tc>
        <w:tc>
          <w:tcPr>
            <w:tcW w:w="3191" w:type="dxa"/>
          </w:tcPr>
          <w:p w14:paraId="785CFF6B">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7AA49F27">
            <w:pPr>
              <w:spacing w:line="440" w:lineRule="atLeast"/>
              <w:rPr>
                <w:rFonts w:hint="eastAsia" w:ascii="宋体" w:hAnsi="宋体" w:eastAsia="宋体" w:cs="宋体"/>
                <w:b/>
                <w:bCs/>
                <w:color w:val="auto"/>
                <w:kern w:val="2"/>
                <w:sz w:val="21"/>
                <w:szCs w:val="21"/>
                <w:highlight w:val="none"/>
                <w:lang w:val="en-US" w:eastAsia="zh-CN" w:bidi="ar-SA"/>
              </w:rPr>
            </w:pPr>
          </w:p>
        </w:tc>
        <w:tc>
          <w:tcPr>
            <w:tcW w:w="2211" w:type="dxa"/>
          </w:tcPr>
          <w:p w14:paraId="7DC627CA">
            <w:pPr>
              <w:spacing w:line="440" w:lineRule="atLeast"/>
              <w:rPr>
                <w:rFonts w:hint="eastAsia" w:ascii="宋体" w:hAnsi="宋体" w:eastAsia="宋体" w:cs="宋体"/>
                <w:b/>
                <w:bCs/>
                <w:color w:val="auto"/>
                <w:kern w:val="2"/>
                <w:sz w:val="21"/>
                <w:szCs w:val="21"/>
                <w:highlight w:val="none"/>
                <w:lang w:val="en-US" w:eastAsia="zh-CN" w:bidi="ar-SA"/>
              </w:rPr>
            </w:pPr>
          </w:p>
        </w:tc>
      </w:tr>
    </w:tbl>
    <w:p w14:paraId="169C4B11">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58F2F2BC">
      <w:pPr>
        <w:pStyle w:val="10"/>
        <w:keepNext/>
        <w:keepLines/>
        <w:pageBreakBefore w:val="0"/>
        <w:widowControl/>
        <w:kinsoku/>
        <w:wordWrap w:val="0"/>
        <w:overflowPunct/>
        <w:topLinePunct/>
        <w:autoSpaceDE/>
        <w:autoSpaceDN/>
        <w:bidi w:val="0"/>
        <w:spacing w:line="240" w:lineRule="auto"/>
        <w:ind w:left="0" w:leftChars="0" w:firstLine="0" w:firstLineChars="0"/>
        <w:rPr>
          <w:rFonts w:hint="eastAsia" w:ascii="宋体" w:hAnsi="宋体" w:eastAsia="宋体" w:cs="宋体"/>
          <w:color w:val="auto"/>
          <w:sz w:val="24"/>
          <w:szCs w:val="24"/>
          <w:highlight w:val="none"/>
          <w:lang w:val="en-US" w:eastAsia="zh-CN"/>
          <w14:ligatures w14:val="none"/>
        </w:rPr>
      </w:pPr>
      <w:bookmarkStart w:id="338" w:name="_Toc28581"/>
      <w:r>
        <w:rPr>
          <w:rFonts w:hint="eastAsia" w:ascii="宋体" w:hAnsi="宋体" w:eastAsia="宋体" w:cs="宋体"/>
          <w:color w:val="auto"/>
          <w:sz w:val="24"/>
          <w:szCs w:val="24"/>
          <w:highlight w:val="none"/>
          <w:lang w:val="en-US" w:eastAsia="zh-CN"/>
          <w14:ligatures w14:val="none"/>
        </w:rPr>
        <w:t>附件</w:t>
      </w:r>
      <w:r>
        <w:rPr>
          <w:rFonts w:hint="eastAsia" w:ascii="宋体" w:hAnsi="宋体" w:cs="宋体"/>
          <w:color w:val="auto"/>
          <w:sz w:val="24"/>
          <w:szCs w:val="24"/>
          <w:highlight w:val="none"/>
          <w:lang w:val="en-US" w:eastAsia="zh-CN"/>
          <w14:ligatures w14:val="none"/>
        </w:rPr>
        <w:t>5：</w:t>
      </w:r>
      <w:bookmarkEnd w:id="338"/>
    </w:p>
    <w:p w14:paraId="75FD9F4B">
      <w:pPr>
        <w:spacing w:line="440" w:lineRule="atLeast"/>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入围候选人号码球抽取登记表</w:t>
      </w:r>
    </w:p>
    <w:p w14:paraId="0B84A08F">
      <w:pPr>
        <w:spacing w:line="440" w:lineRule="atLeast"/>
        <w:rPr>
          <w:rFonts w:hint="eastAsia" w:ascii="宋体" w:hAnsi="宋体" w:eastAsia="宋体" w:cs="宋体"/>
          <w:b/>
          <w:bCs/>
          <w:color w:val="auto"/>
          <w:kern w:val="2"/>
          <w:sz w:val="24"/>
          <w:szCs w:val="24"/>
          <w:highlight w:val="none"/>
          <w:lang w:val="en-US" w:eastAsia="zh-CN" w:bidi="ar-SA"/>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3549"/>
        <w:gridCol w:w="2407"/>
        <w:gridCol w:w="2408"/>
      </w:tblGrid>
      <w:tr w14:paraId="6F4D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vAlign w:val="center"/>
          </w:tcPr>
          <w:p w14:paraId="7DE4856D">
            <w:pPr>
              <w:spacing w:line="440" w:lineRule="atLeast"/>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3632" w:type="dxa"/>
            <w:vAlign w:val="center"/>
          </w:tcPr>
          <w:p w14:paraId="5ED63AC9">
            <w:pPr>
              <w:spacing w:line="440" w:lineRule="atLeast"/>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单位名称</w:t>
            </w:r>
          </w:p>
        </w:tc>
        <w:tc>
          <w:tcPr>
            <w:tcW w:w="2460" w:type="dxa"/>
            <w:vAlign w:val="center"/>
          </w:tcPr>
          <w:p w14:paraId="503F7768">
            <w:pPr>
              <w:spacing w:line="440" w:lineRule="atLeast"/>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号码球抽取编号</w:t>
            </w:r>
          </w:p>
        </w:tc>
        <w:tc>
          <w:tcPr>
            <w:tcW w:w="2460" w:type="dxa"/>
            <w:vAlign w:val="center"/>
          </w:tcPr>
          <w:p w14:paraId="726F9374">
            <w:pPr>
              <w:spacing w:line="440" w:lineRule="atLeast"/>
              <w:ind w:left="0" w:leftChars="0" w:right="0" w:rightChars="0" w:firstLine="0"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6637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tcPr>
          <w:p w14:paraId="260915EC">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2155D28D">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3FBA5359">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3115274F">
            <w:pPr>
              <w:spacing w:line="440" w:lineRule="atLeast"/>
              <w:rPr>
                <w:rFonts w:hint="eastAsia" w:ascii="宋体" w:hAnsi="宋体" w:eastAsia="宋体" w:cs="宋体"/>
                <w:b/>
                <w:bCs/>
                <w:color w:val="auto"/>
                <w:kern w:val="2"/>
                <w:sz w:val="24"/>
                <w:szCs w:val="24"/>
                <w:highlight w:val="none"/>
                <w:lang w:val="en-US" w:eastAsia="zh-CN" w:bidi="ar-SA"/>
              </w:rPr>
            </w:pPr>
          </w:p>
        </w:tc>
      </w:tr>
      <w:tr w14:paraId="0085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tcPr>
          <w:p w14:paraId="31C061A0">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5D112F6F">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0368AF77">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14684E47">
            <w:pPr>
              <w:spacing w:line="440" w:lineRule="atLeast"/>
              <w:rPr>
                <w:rFonts w:hint="eastAsia" w:ascii="宋体" w:hAnsi="宋体" w:eastAsia="宋体" w:cs="宋体"/>
                <w:b/>
                <w:bCs/>
                <w:color w:val="auto"/>
                <w:kern w:val="2"/>
                <w:sz w:val="24"/>
                <w:szCs w:val="24"/>
                <w:highlight w:val="none"/>
                <w:lang w:val="en-US" w:eastAsia="zh-CN" w:bidi="ar-SA"/>
              </w:rPr>
            </w:pPr>
          </w:p>
        </w:tc>
      </w:tr>
      <w:tr w14:paraId="4C58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tcPr>
          <w:p w14:paraId="252DCB2C">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148EE0EB">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2BCD06E9">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2AA1F70A">
            <w:pPr>
              <w:spacing w:line="440" w:lineRule="atLeast"/>
              <w:rPr>
                <w:rFonts w:hint="eastAsia" w:ascii="宋体" w:hAnsi="宋体" w:eastAsia="宋体" w:cs="宋体"/>
                <w:b/>
                <w:bCs/>
                <w:color w:val="auto"/>
                <w:kern w:val="2"/>
                <w:sz w:val="24"/>
                <w:szCs w:val="24"/>
                <w:highlight w:val="none"/>
                <w:lang w:val="en-US" w:eastAsia="zh-CN" w:bidi="ar-SA"/>
              </w:rPr>
            </w:pPr>
          </w:p>
        </w:tc>
      </w:tr>
      <w:tr w14:paraId="64D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tcPr>
          <w:p w14:paraId="3E06EF25">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5EDAFEC9">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1F28ECEA">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6FBC30FE">
            <w:pPr>
              <w:spacing w:line="440" w:lineRule="atLeast"/>
              <w:rPr>
                <w:rFonts w:hint="eastAsia" w:ascii="宋体" w:hAnsi="宋体" w:eastAsia="宋体" w:cs="宋体"/>
                <w:b/>
                <w:bCs/>
                <w:color w:val="auto"/>
                <w:kern w:val="2"/>
                <w:sz w:val="24"/>
                <w:szCs w:val="24"/>
                <w:highlight w:val="none"/>
                <w:lang w:val="en-US" w:eastAsia="zh-CN" w:bidi="ar-SA"/>
              </w:rPr>
            </w:pPr>
          </w:p>
        </w:tc>
      </w:tr>
      <w:tr w14:paraId="118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tcPr>
          <w:p w14:paraId="45FB66FF">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02A54C61">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56E3A28B">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60E23977">
            <w:pPr>
              <w:spacing w:line="440" w:lineRule="atLeast"/>
              <w:rPr>
                <w:rFonts w:hint="eastAsia" w:ascii="宋体" w:hAnsi="宋体" w:eastAsia="宋体" w:cs="宋体"/>
                <w:b/>
                <w:bCs/>
                <w:color w:val="auto"/>
                <w:kern w:val="2"/>
                <w:sz w:val="24"/>
                <w:szCs w:val="24"/>
                <w:highlight w:val="none"/>
                <w:lang w:val="en-US" w:eastAsia="zh-CN" w:bidi="ar-SA"/>
              </w:rPr>
            </w:pPr>
          </w:p>
        </w:tc>
      </w:tr>
      <w:tr w14:paraId="2ED2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tcPr>
          <w:p w14:paraId="30CE6A6E">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2710CC0A">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453C1983">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2EBDE4AA">
            <w:pPr>
              <w:spacing w:line="440" w:lineRule="atLeast"/>
              <w:rPr>
                <w:rFonts w:hint="eastAsia" w:ascii="宋体" w:hAnsi="宋体" w:eastAsia="宋体" w:cs="宋体"/>
                <w:b/>
                <w:bCs/>
                <w:color w:val="auto"/>
                <w:kern w:val="2"/>
                <w:sz w:val="24"/>
                <w:szCs w:val="24"/>
                <w:highlight w:val="none"/>
                <w:lang w:val="en-US" w:eastAsia="zh-CN" w:bidi="ar-SA"/>
              </w:rPr>
            </w:pPr>
          </w:p>
        </w:tc>
      </w:tr>
      <w:tr w14:paraId="52DA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86" w:type="dxa"/>
          </w:tcPr>
          <w:p w14:paraId="1B51A90C">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18B2C5B1">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1841D5B2">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6D9BB12C">
            <w:pPr>
              <w:spacing w:line="440" w:lineRule="atLeast"/>
              <w:rPr>
                <w:rFonts w:hint="eastAsia" w:ascii="宋体" w:hAnsi="宋体" w:eastAsia="宋体" w:cs="宋体"/>
                <w:b/>
                <w:bCs/>
                <w:color w:val="auto"/>
                <w:kern w:val="2"/>
                <w:sz w:val="24"/>
                <w:szCs w:val="24"/>
                <w:highlight w:val="none"/>
                <w:lang w:val="en-US" w:eastAsia="zh-CN" w:bidi="ar-SA"/>
              </w:rPr>
            </w:pPr>
          </w:p>
        </w:tc>
      </w:tr>
      <w:tr w14:paraId="4DA5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86" w:type="dxa"/>
          </w:tcPr>
          <w:p w14:paraId="4A2C552E">
            <w:pPr>
              <w:spacing w:line="440" w:lineRule="atLeast"/>
              <w:rPr>
                <w:rFonts w:hint="eastAsia" w:ascii="宋体" w:hAnsi="宋体" w:eastAsia="宋体" w:cs="宋体"/>
                <w:b/>
                <w:bCs/>
                <w:color w:val="auto"/>
                <w:kern w:val="2"/>
                <w:sz w:val="24"/>
                <w:szCs w:val="24"/>
                <w:highlight w:val="none"/>
                <w:lang w:val="en-US" w:eastAsia="zh-CN" w:bidi="ar-SA"/>
              </w:rPr>
            </w:pPr>
          </w:p>
        </w:tc>
        <w:tc>
          <w:tcPr>
            <w:tcW w:w="3632" w:type="dxa"/>
          </w:tcPr>
          <w:p w14:paraId="69AF9611">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53ADB6F0">
            <w:pPr>
              <w:spacing w:line="440" w:lineRule="atLeast"/>
              <w:rPr>
                <w:rFonts w:hint="eastAsia" w:ascii="宋体" w:hAnsi="宋体" w:eastAsia="宋体" w:cs="宋体"/>
                <w:b/>
                <w:bCs/>
                <w:color w:val="auto"/>
                <w:kern w:val="2"/>
                <w:sz w:val="24"/>
                <w:szCs w:val="24"/>
                <w:highlight w:val="none"/>
                <w:lang w:val="en-US" w:eastAsia="zh-CN" w:bidi="ar-SA"/>
              </w:rPr>
            </w:pPr>
          </w:p>
        </w:tc>
        <w:tc>
          <w:tcPr>
            <w:tcW w:w="2460" w:type="dxa"/>
          </w:tcPr>
          <w:p w14:paraId="09DEBB91">
            <w:pPr>
              <w:spacing w:line="440" w:lineRule="atLeast"/>
              <w:rPr>
                <w:rFonts w:hint="eastAsia" w:ascii="宋体" w:hAnsi="宋体" w:eastAsia="宋体" w:cs="宋体"/>
                <w:b/>
                <w:bCs/>
                <w:color w:val="auto"/>
                <w:kern w:val="2"/>
                <w:sz w:val="24"/>
                <w:szCs w:val="24"/>
                <w:highlight w:val="none"/>
                <w:lang w:val="en-US" w:eastAsia="zh-CN" w:bidi="ar-SA"/>
              </w:rPr>
            </w:pPr>
          </w:p>
        </w:tc>
      </w:tr>
    </w:tbl>
    <w:p w14:paraId="4896853A">
      <w:pPr>
        <w:pStyle w:val="10"/>
        <w:keepNext/>
        <w:keepLines/>
        <w:pageBreakBefore w:val="0"/>
        <w:widowControl/>
        <w:kinsoku/>
        <w:wordWrap w:val="0"/>
        <w:overflowPunct/>
        <w:topLinePunct/>
        <w:autoSpaceDE/>
        <w:autoSpaceDN/>
        <w:bidi w:val="0"/>
        <w:spacing w:line="240" w:lineRule="auto"/>
        <w:ind w:left="0" w:leftChars="0" w:firstLine="0" w:firstLineChars="0"/>
        <w:rPr>
          <w:rFonts w:hint="eastAsia" w:ascii="宋体" w:hAnsi="宋体" w:cs="宋体"/>
          <w:color w:val="auto"/>
          <w:sz w:val="24"/>
          <w:szCs w:val="24"/>
          <w:highlight w:val="none"/>
          <w:lang w:val="en-US" w:eastAsia="zh-CN"/>
          <w14:ligatures w14:val="none"/>
        </w:rPr>
      </w:pPr>
      <w:bookmarkStart w:id="339" w:name="_Toc4634"/>
      <w:r>
        <w:rPr>
          <w:rFonts w:hint="eastAsia" w:ascii="宋体" w:hAnsi="宋体" w:eastAsia="宋体" w:cs="宋体"/>
          <w:color w:val="auto"/>
          <w:sz w:val="24"/>
          <w:szCs w:val="24"/>
          <w:highlight w:val="none"/>
          <w:lang w:val="en-US" w:eastAsia="zh-CN"/>
          <w14:ligatures w14:val="none"/>
        </w:rPr>
        <w:t>附件</w:t>
      </w:r>
      <w:r>
        <w:rPr>
          <w:rFonts w:hint="eastAsia" w:ascii="宋体" w:hAnsi="宋体" w:cs="宋体"/>
          <w:color w:val="auto"/>
          <w:sz w:val="24"/>
          <w:szCs w:val="24"/>
          <w:highlight w:val="none"/>
          <w:lang w:val="en-US" w:eastAsia="zh-CN"/>
          <w14:ligatures w14:val="none"/>
        </w:rPr>
        <w:t>6：</w:t>
      </w:r>
      <w:bookmarkEnd w:id="339"/>
    </w:p>
    <w:p w14:paraId="719B2396">
      <w:pPr>
        <w:keepNext/>
        <w:keepLines/>
        <w:pageBreakBefore w:val="0"/>
        <w:widowControl/>
        <w:kinsoku/>
        <w:wordWrap w:val="0"/>
        <w:overflowPunct/>
        <w:topLinePunct/>
        <w:autoSpaceDE/>
        <w:autoSpaceDN/>
        <w:bidi w:val="0"/>
        <w:rPr>
          <w:rFonts w:hint="eastAsia" w:ascii="宋体" w:hAnsi="宋体" w:cs="宋体"/>
          <w:color w:val="auto"/>
          <w:sz w:val="24"/>
          <w:szCs w:val="24"/>
          <w:highlight w:val="none"/>
          <w:lang w:val="en-US" w:eastAsia="zh-CN"/>
          <w14:ligatures w14:val="none"/>
        </w:rPr>
      </w:pPr>
    </w:p>
    <w:p w14:paraId="21C6BB38">
      <w:pPr>
        <w:keepNext/>
        <w:keepLines/>
        <w:pageBreakBefore w:val="0"/>
        <w:widowControl/>
        <w:kinsoku/>
        <w:wordWrap w:val="0"/>
        <w:overflowPunct/>
        <w:topLinePunct/>
        <w:autoSpaceDE/>
        <w:autoSpaceDN/>
        <w:bidi w:val="0"/>
        <w:ind w:left="0" w:leftChars="0" w:firstLine="0" w:firstLineChars="0"/>
        <w:jc w:val="center"/>
        <w:rPr>
          <w:rFonts w:hint="eastAsia" w:ascii="宋体" w:hAnsi="宋体" w:cs="宋体"/>
          <w:b/>
          <w:bCs/>
          <w:color w:val="auto"/>
          <w:sz w:val="72"/>
          <w:szCs w:val="72"/>
          <w:highlight w:val="none"/>
          <w:lang w:val="en-US" w:eastAsia="zh-CN"/>
          <w14:ligatures w14:val="none"/>
        </w:rPr>
      </w:pPr>
    </w:p>
    <w:p w14:paraId="0FDB6F2B">
      <w:pPr>
        <w:keepNext/>
        <w:keepLines/>
        <w:pageBreakBefore w:val="0"/>
        <w:widowControl/>
        <w:kinsoku/>
        <w:wordWrap w:val="0"/>
        <w:overflowPunct/>
        <w:topLinePunct/>
        <w:autoSpaceDE/>
        <w:autoSpaceDN/>
        <w:bidi w:val="0"/>
        <w:ind w:left="0" w:leftChars="0" w:firstLine="0" w:firstLineChars="0"/>
        <w:jc w:val="center"/>
        <w:rPr>
          <w:rFonts w:hint="default" w:ascii="宋体" w:hAnsi="宋体" w:cs="宋体"/>
          <w:b/>
          <w:bCs/>
          <w:color w:val="auto"/>
          <w:sz w:val="84"/>
          <w:szCs w:val="84"/>
          <w:highlight w:val="none"/>
          <w:lang w:val="en-US" w:eastAsia="zh-CN"/>
          <w14:ligatures w14:val="none"/>
        </w:rPr>
      </w:pPr>
      <w:r>
        <w:rPr>
          <w:rFonts w:hint="eastAsia" w:ascii="宋体" w:hAnsi="宋体" w:cs="宋体"/>
          <w:b/>
          <w:bCs/>
          <w:color w:val="auto"/>
          <w:sz w:val="84"/>
          <w:szCs w:val="84"/>
          <w:highlight w:val="none"/>
          <w:lang w:val="en-US" w:eastAsia="zh-CN"/>
          <w14:ligatures w14:val="none"/>
        </w:rPr>
        <w:t>定标报告</w:t>
      </w:r>
    </w:p>
    <w:p w14:paraId="15F1E5D5">
      <w:pPr>
        <w:keepNext/>
        <w:keepLines/>
        <w:pageBreakBefore w:val="0"/>
        <w:widowControl/>
        <w:kinsoku/>
        <w:wordWrap w:val="0"/>
        <w:overflowPunct/>
        <w:topLinePunct/>
        <w:autoSpaceDE/>
        <w:autoSpaceDN/>
        <w:bidi w:val="0"/>
        <w:spacing w:line="240" w:lineRule="auto"/>
        <w:ind w:left="0" w:leftChars="0" w:firstLine="0" w:firstLineChars="0"/>
        <w:rPr>
          <w:rFonts w:hint="eastAsia"/>
          <w:color w:val="auto"/>
          <w:highlight w:val="none"/>
        </w:rPr>
      </w:pPr>
    </w:p>
    <w:p w14:paraId="35DF9F23">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r>
        <w:rPr>
          <w:rFonts w:hint="eastAsia"/>
          <w:color w:val="auto"/>
          <w:highlight w:val="none"/>
          <w:lang w:val="en-US" w:eastAsia="zh-CN"/>
        </w:rPr>
        <w:t>招标编号：</w:t>
      </w:r>
    </w:p>
    <w:p w14:paraId="7D4D4E8C">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6A50A9DD">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329A8F23">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5146D2D9">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7129F0FE">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44F9AD68">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64B29D55">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3649E66F">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26E1B755">
      <w:pPr>
        <w:pStyle w:val="24"/>
        <w:rPr>
          <w:rFonts w:hint="eastAsia"/>
          <w:color w:val="auto"/>
          <w:highlight w:val="none"/>
          <w:lang w:val="en-US" w:eastAsia="zh-CN"/>
        </w:rPr>
      </w:pPr>
    </w:p>
    <w:p w14:paraId="0956B03A">
      <w:pPr>
        <w:rPr>
          <w:rFonts w:hint="eastAsia"/>
          <w:color w:val="auto"/>
          <w:highlight w:val="none"/>
          <w:lang w:val="en-US" w:eastAsia="zh-CN"/>
        </w:rPr>
      </w:pPr>
    </w:p>
    <w:p w14:paraId="136D9E9E">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09439600">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lang w:val="en-US" w:eastAsia="zh-CN"/>
        </w:rPr>
      </w:pPr>
    </w:p>
    <w:p w14:paraId="5BDD1EE5">
      <w:pPr>
        <w:keepNext/>
        <w:keepLines/>
        <w:pageBreakBefore w:val="0"/>
        <w:widowControl/>
        <w:kinsoku/>
        <w:wordWrap w:val="0"/>
        <w:overflowPunct/>
        <w:topLinePunct/>
        <w:autoSpaceDE/>
        <w:autoSpaceDN/>
        <w:bidi w:val="0"/>
        <w:spacing w:line="720" w:lineRule="auto"/>
        <w:ind w:firstLine="2160" w:firstLineChars="900"/>
        <w:jc w:val="both"/>
        <w:rPr>
          <w:rFonts w:hint="default"/>
          <w:color w:val="auto"/>
          <w:sz w:val="24"/>
          <w:szCs w:val="32"/>
          <w:highlight w:val="none"/>
          <w:u w:val="single"/>
          <w:lang w:val="en-US" w:eastAsia="zh-CN"/>
        </w:rPr>
      </w:pPr>
      <w:r>
        <w:rPr>
          <w:rFonts w:hint="eastAsia"/>
          <w:color w:val="auto"/>
          <w:sz w:val="24"/>
          <w:szCs w:val="32"/>
          <w:highlight w:val="none"/>
          <w:lang w:val="en-US" w:eastAsia="zh-CN"/>
        </w:rPr>
        <w:t>招标人：</w:t>
      </w:r>
      <w:r>
        <w:rPr>
          <w:rFonts w:hint="eastAsia"/>
          <w:color w:val="auto"/>
          <w:sz w:val="24"/>
          <w:szCs w:val="32"/>
          <w:highlight w:val="none"/>
          <w:u w:val="single"/>
          <w:lang w:val="en-US" w:eastAsia="zh-CN"/>
        </w:rPr>
        <w:t xml:space="preserve">                              （盖章）</w:t>
      </w:r>
    </w:p>
    <w:p w14:paraId="2829D09F">
      <w:pPr>
        <w:keepNext/>
        <w:keepLines/>
        <w:pageBreakBefore w:val="0"/>
        <w:widowControl/>
        <w:kinsoku/>
        <w:wordWrap w:val="0"/>
        <w:overflowPunct/>
        <w:topLinePunct/>
        <w:autoSpaceDE/>
        <w:autoSpaceDN/>
        <w:bidi w:val="0"/>
        <w:spacing w:line="720" w:lineRule="auto"/>
        <w:ind w:left="0" w:leftChars="0" w:firstLine="2160" w:firstLineChars="900"/>
        <w:jc w:val="both"/>
        <w:rPr>
          <w:rFonts w:hint="default"/>
          <w:color w:val="auto"/>
          <w:sz w:val="24"/>
          <w:szCs w:val="32"/>
          <w:highlight w:val="none"/>
          <w:u w:val="single"/>
          <w:lang w:val="en-US" w:eastAsia="zh-CN"/>
        </w:rPr>
      </w:pPr>
      <w:r>
        <w:rPr>
          <w:rFonts w:hint="eastAsia"/>
          <w:color w:val="auto"/>
          <w:sz w:val="24"/>
          <w:szCs w:val="32"/>
          <w:highlight w:val="none"/>
          <w:lang w:val="en-US" w:eastAsia="zh-CN"/>
        </w:rPr>
        <w:t>定标委员会组长：</w:t>
      </w:r>
      <w:r>
        <w:rPr>
          <w:rFonts w:hint="eastAsia"/>
          <w:color w:val="auto"/>
          <w:sz w:val="24"/>
          <w:szCs w:val="32"/>
          <w:highlight w:val="none"/>
          <w:u w:val="single"/>
          <w:lang w:val="en-US" w:eastAsia="zh-CN"/>
        </w:rPr>
        <w:t xml:space="preserve">                       （签名）</w:t>
      </w:r>
    </w:p>
    <w:p w14:paraId="2DC9D6EB">
      <w:pPr>
        <w:keepNext/>
        <w:keepLines/>
        <w:pageBreakBefore w:val="0"/>
        <w:widowControl/>
        <w:kinsoku/>
        <w:wordWrap w:val="0"/>
        <w:overflowPunct/>
        <w:topLinePunct/>
        <w:autoSpaceDE/>
        <w:autoSpaceDN/>
        <w:bidi w:val="0"/>
        <w:spacing w:line="720" w:lineRule="auto"/>
        <w:ind w:firstLine="2160" w:firstLineChars="900"/>
        <w:rPr>
          <w:rFonts w:hint="eastAsia" w:ascii="宋体" w:hAnsi="宋体" w:eastAsia="宋体" w:cs="宋体"/>
          <w:b/>
          <w:bCs w:val="0"/>
          <w:color w:val="auto"/>
          <w:sz w:val="24"/>
          <w:szCs w:val="24"/>
          <w:highlight w:val="none"/>
          <w:lang w:val="en-US" w:eastAsia="zh-CN"/>
        </w:rPr>
      </w:pPr>
      <w:r>
        <w:rPr>
          <w:rFonts w:hint="eastAsia"/>
          <w:color w:val="auto"/>
          <w:sz w:val="24"/>
          <w:szCs w:val="32"/>
          <w:highlight w:val="none"/>
          <w:lang w:val="en-US" w:eastAsia="zh-CN"/>
        </w:rPr>
        <w:t>日期：</w:t>
      </w:r>
      <w:r>
        <w:rPr>
          <w:rFonts w:hint="eastAsia"/>
          <w:color w:val="auto"/>
          <w:sz w:val="24"/>
          <w:szCs w:val="32"/>
          <w:highlight w:val="none"/>
          <w:u w:val="single"/>
          <w:lang w:val="en-US" w:eastAsia="zh-CN"/>
        </w:rPr>
        <w:t xml:space="preserve">      </w:t>
      </w:r>
      <w:r>
        <w:rPr>
          <w:rFonts w:hint="eastAsia"/>
          <w:color w:val="auto"/>
          <w:sz w:val="24"/>
          <w:szCs w:val="32"/>
          <w:highlight w:val="none"/>
          <w:u w:val="none"/>
          <w:lang w:val="en-US" w:eastAsia="zh-CN"/>
        </w:rPr>
        <w:t>年</w:t>
      </w:r>
      <w:r>
        <w:rPr>
          <w:rFonts w:hint="eastAsia"/>
          <w:color w:val="auto"/>
          <w:sz w:val="24"/>
          <w:szCs w:val="32"/>
          <w:highlight w:val="none"/>
          <w:u w:val="single"/>
          <w:lang w:val="en-US" w:eastAsia="zh-CN"/>
        </w:rPr>
        <w:t xml:space="preserve">       </w:t>
      </w:r>
      <w:r>
        <w:rPr>
          <w:rFonts w:hint="eastAsia"/>
          <w:color w:val="auto"/>
          <w:sz w:val="24"/>
          <w:szCs w:val="32"/>
          <w:highlight w:val="none"/>
          <w:u w:val="none"/>
          <w:lang w:val="en-US" w:eastAsia="zh-CN"/>
        </w:rPr>
        <w:t>月</w:t>
      </w:r>
      <w:r>
        <w:rPr>
          <w:rFonts w:hint="eastAsia"/>
          <w:color w:val="auto"/>
          <w:sz w:val="24"/>
          <w:szCs w:val="32"/>
          <w:highlight w:val="none"/>
          <w:u w:val="single"/>
          <w:lang w:val="en-US" w:eastAsia="zh-CN"/>
        </w:rPr>
        <w:t xml:space="preserve">        </w:t>
      </w:r>
      <w:r>
        <w:rPr>
          <w:rFonts w:hint="eastAsia"/>
          <w:color w:val="auto"/>
          <w:sz w:val="24"/>
          <w:szCs w:val="32"/>
          <w:highlight w:val="none"/>
          <w:u w:val="none"/>
          <w:lang w:val="en-US" w:eastAsia="zh-CN"/>
        </w:rPr>
        <w:t>日</w:t>
      </w:r>
    </w:p>
    <w:p w14:paraId="7D2A7B4F">
      <w:pPr>
        <w:keepNext/>
        <w:keepLines/>
        <w:pageBreakBefore w:val="0"/>
        <w:widowControl/>
        <w:kinsoku/>
        <w:wordWrap w:val="0"/>
        <w:overflowPunct/>
        <w:topLinePunct/>
        <w:autoSpaceDE/>
        <w:autoSpaceDN/>
        <w:bidi w:val="0"/>
        <w:ind w:left="0" w:leftChars="0" w:firstLine="0" w:firstLineChars="0"/>
        <w:rPr>
          <w:rFonts w:hint="eastAsia"/>
          <w:color w:val="auto"/>
          <w:highlight w:val="none"/>
          <w:lang w:val="en-US" w:eastAsia="zh-CN"/>
        </w:rPr>
      </w:pPr>
    </w:p>
    <w:p w14:paraId="0024331F">
      <w:pPr>
        <w:keepNext/>
        <w:keepLines/>
        <w:pageBreakBefore w:val="0"/>
        <w:widowControl/>
        <w:kinsoku/>
        <w:wordWrap w:val="0"/>
        <w:overflowPunct/>
        <w:topLinePunct/>
        <w:autoSpaceDE/>
        <w:autoSpaceDN/>
        <w:bidi w:val="0"/>
        <w:ind w:left="0" w:leftChars="0" w:firstLine="0" w:firstLineChars="0"/>
        <w:rPr>
          <w:rFonts w:hint="eastAsia"/>
          <w:color w:val="auto"/>
          <w:highlight w:val="none"/>
          <w:lang w:val="en-US" w:eastAsia="zh-CN"/>
        </w:rPr>
      </w:pPr>
    </w:p>
    <w:p w14:paraId="0F0A8D00">
      <w:pPr>
        <w:keepNext/>
        <w:keepLines/>
        <w:pageBreakBefore w:val="0"/>
        <w:widowControl/>
        <w:kinsoku/>
        <w:wordWrap w:val="0"/>
        <w:overflowPunct/>
        <w:topLinePunct/>
        <w:autoSpaceDE/>
        <w:autoSpaceDN/>
        <w:bidi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br w:type="page"/>
      </w:r>
    </w:p>
    <w:p w14:paraId="149CD377">
      <w:pPr>
        <w:pStyle w:val="11"/>
        <w:keepNext/>
        <w:keepLines/>
        <w:pageBreakBefore w:val="0"/>
        <w:widowControl/>
        <w:kinsoku/>
        <w:wordWrap w:val="0"/>
        <w:overflowPunct/>
        <w:topLinePunct/>
        <w:autoSpaceDE/>
        <w:autoSpaceDN/>
        <w:bidi w:val="0"/>
        <w:spacing w:line="24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定标报告</w:t>
      </w:r>
    </w:p>
    <w:tbl>
      <w:tblPr>
        <w:tblStyle w:val="2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1300"/>
        <w:gridCol w:w="1617"/>
        <w:gridCol w:w="2067"/>
        <w:gridCol w:w="2450"/>
      </w:tblGrid>
      <w:tr w14:paraId="6FA0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66" w:type="dxa"/>
            <w:vMerge w:val="restart"/>
            <w:vAlign w:val="center"/>
          </w:tcPr>
          <w:p w14:paraId="3EE516E4">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定标概况</w:t>
            </w:r>
          </w:p>
        </w:tc>
        <w:tc>
          <w:tcPr>
            <w:tcW w:w="1300" w:type="dxa"/>
            <w:vAlign w:val="center"/>
          </w:tcPr>
          <w:p w14:paraId="72301F64">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项目名称</w:t>
            </w:r>
          </w:p>
        </w:tc>
        <w:tc>
          <w:tcPr>
            <w:tcW w:w="1617" w:type="dxa"/>
          </w:tcPr>
          <w:p w14:paraId="06546287">
            <w:pPr>
              <w:keepNext/>
              <w:keepLines/>
              <w:pageBreakBefore w:val="0"/>
              <w:widowControl/>
              <w:kinsoku/>
              <w:wordWrap w:val="0"/>
              <w:overflowPunct/>
              <w:topLinePunct/>
              <w:autoSpaceDE/>
              <w:autoSpaceDN/>
              <w:bidi w:val="0"/>
              <w:ind w:left="0" w:leftChars="0" w:firstLine="0" w:firstLineChars="0"/>
              <w:rPr>
                <w:rFonts w:hint="eastAsia"/>
                <w:color w:val="auto"/>
                <w:highlight w:val="none"/>
                <w:vertAlign w:val="baseline"/>
                <w:lang w:val="en-US" w:eastAsia="zh-CN"/>
              </w:rPr>
            </w:pPr>
          </w:p>
        </w:tc>
        <w:tc>
          <w:tcPr>
            <w:tcW w:w="2067" w:type="dxa"/>
            <w:vAlign w:val="center"/>
          </w:tcPr>
          <w:p w14:paraId="7E5ECDD6">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评标办法</w:t>
            </w:r>
          </w:p>
        </w:tc>
        <w:tc>
          <w:tcPr>
            <w:tcW w:w="2450" w:type="dxa"/>
            <w:vAlign w:val="center"/>
          </w:tcPr>
          <w:p w14:paraId="79472157">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合格制加定性评审</w:t>
            </w:r>
          </w:p>
        </w:tc>
      </w:tr>
      <w:tr w14:paraId="7ACC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66" w:type="dxa"/>
            <w:vMerge w:val="continue"/>
            <w:vAlign w:val="center"/>
          </w:tcPr>
          <w:p w14:paraId="5B71B7A0">
            <w:pPr>
              <w:keepNext/>
              <w:keepLines/>
              <w:pageBreakBefore w:val="0"/>
              <w:widowControl/>
              <w:kinsoku/>
              <w:wordWrap w:val="0"/>
              <w:overflowPunct/>
              <w:topLinePunct/>
              <w:autoSpaceDE/>
              <w:autoSpaceDN/>
              <w:bidi w:val="0"/>
              <w:jc w:val="center"/>
              <w:rPr>
                <w:rFonts w:hint="eastAsia"/>
                <w:color w:val="auto"/>
                <w:highlight w:val="none"/>
                <w:vertAlign w:val="baseline"/>
                <w:lang w:val="en-US" w:eastAsia="zh-CN"/>
              </w:rPr>
            </w:pPr>
          </w:p>
        </w:tc>
        <w:tc>
          <w:tcPr>
            <w:tcW w:w="1300" w:type="dxa"/>
            <w:vMerge w:val="restart"/>
            <w:vAlign w:val="center"/>
          </w:tcPr>
          <w:p w14:paraId="6EFEF999">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推荐中标候选人数</w:t>
            </w:r>
          </w:p>
        </w:tc>
        <w:tc>
          <w:tcPr>
            <w:tcW w:w="1617" w:type="dxa"/>
            <w:vMerge w:val="restart"/>
            <w:vAlign w:val="center"/>
          </w:tcPr>
          <w:p w14:paraId="3713CCB2">
            <w:pPr>
              <w:keepNext/>
              <w:keepLines/>
              <w:pageBreakBefore w:val="0"/>
              <w:widowControl/>
              <w:kinsoku/>
              <w:wordWrap w:val="0"/>
              <w:overflowPunct/>
              <w:topLinePunct/>
              <w:autoSpaceDE/>
              <w:autoSpaceDN/>
              <w:bidi w:val="0"/>
              <w:jc w:val="right"/>
              <w:rPr>
                <w:rFonts w:hint="default"/>
                <w:color w:val="auto"/>
                <w:highlight w:val="none"/>
                <w:u w:val="single"/>
                <w:vertAlign w:val="baseline"/>
                <w:lang w:val="en-US" w:eastAsia="zh-CN"/>
              </w:rPr>
            </w:pPr>
            <w:r>
              <w:rPr>
                <w:rFonts w:hint="eastAsia"/>
                <w:color w:val="auto"/>
                <w:highlight w:val="none"/>
                <w:u w:val="none"/>
                <w:vertAlign w:val="baseline"/>
                <w:lang w:val="en-US" w:eastAsia="zh-CN"/>
              </w:rPr>
              <w:t>名</w:t>
            </w:r>
          </w:p>
        </w:tc>
        <w:tc>
          <w:tcPr>
            <w:tcW w:w="2067" w:type="dxa"/>
            <w:vAlign w:val="center"/>
          </w:tcPr>
          <w:p w14:paraId="5F498CAA">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是否核查</w:t>
            </w:r>
          </w:p>
        </w:tc>
        <w:tc>
          <w:tcPr>
            <w:tcW w:w="2450" w:type="dxa"/>
            <w:vAlign w:val="center"/>
          </w:tcPr>
          <w:p w14:paraId="42104CDA">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（是或否）</w:t>
            </w:r>
          </w:p>
        </w:tc>
      </w:tr>
      <w:tr w14:paraId="3081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66" w:type="dxa"/>
            <w:vMerge w:val="continue"/>
            <w:vAlign w:val="center"/>
          </w:tcPr>
          <w:p w14:paraId="4F507BB8">
            <w:pPr>
              <w:keepNext/>
              <w:keepLines/>
              <w:pageBreakBefore w:val="0"/>
              <w:widowControl/>
              <w:kinsoku/>
              <w:wordWrap w:val="0"/>
              <w:overflowPunct/>
              <w:topLinePunct/>
              <w:autoSpaceDE/>
              <w:autoSpaceDN/>
              <w:bidi w:val="0"/>
              <w:jc w:val="center"/>
              <w:rPr>
                <w:rFonts w:hint="eastAsia"/>
                <w:color w:val="auto"/>
                <w:highlight w:val="none"/>
                <w:vertAlign w:val="baseline"/>
                <w:lang w:val="en-US" w:eastAsia="zh-CN"/>
              </w:rPr>
            </w:pPr>
          </w:p>
        </w:tc>
        <w:tc>
          <w:tcPr>
            <w:tcW w:w="1300" w:type="dxa"/>
            <w:vMerge w:val="continue"/>
          </w:tcPr>
          <w:p w14:paraId="092399EF">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c>
          <w:tcPr>
            <w:tcW w:w="1617" w:type="dxa"/>
            <w:vMerge w:val="continue"/>
          </w:tcPr>
          <w:p w14:paraId="71F00713">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c>
          <w:tcPr>
            <w:tcW w:w="2067" w:type="dxa"/>
            <w:vAlign w:val="center"/>
          </w:tcPr>
          <w:p w14:paraId="10E44A6B">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是否质询</w:t>
            </w:r>
          </w:p>
        </w:tc>
        <w:tc>
          <w:tcPr>
            <w:tcW w:w="2450" w:type="dxa"/>
            <w:vAlign w:val="center"/>
          </w:tcPr>
          <w:p w14:paraId="5E2C7694">
            <w:pPr>
              <w:keepNext/>
              <w:keepLines/>
              <w:pageBreakBefore w:val="0"/>
              <w:widowControl/>
              <w:kinsoku/>
              <w:wordWrap w:val="0"/>
              <w:overflowPunct/>
              <w:topLinePunct/>
              <w:autoSpaceDE/>
              <w:autoSpaceDN/>
              <w:bidi w:val="0"/>
              <w:ind w:left="0" w:leftChars="0"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（是或否）</w:t>
            </w:r>
          </w:p>
        </w:tc>
      </w:tr>
      <w:tr w14:paraId="1426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66" w:type="dxa"/>
            <w:vAlign w:val="center"/>
          </w:tcPr>
          <w:p w14:paraId="1B6DE0DA">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定标委员会名单</w:t>
            </w:r>
          </w:p>
        </w:tc>
        <w:tc>
          <w:tcPr>
            <w:tcW w:w="7434" w:type="dxa"/>
            <w:gridSpan w:val="4"/>
            <w:vAlign w:val="center"/>
          </w:tcPr>
          <w:p w14:paraId="25325FA9">
            <w:pPr>
              <w:keepNext/>
              <w:keepLines/>
              <w:pageBreakBefore w:val="0"/>
              <w:widowControl/>
              <w:kinsoku/>
              <w:wordWrap w:val="0"/>
              <w:overflowPunct/>
              <w:topLinePunct/>
              <w:autoSpaceDE/>
              <w:autoSpaceDN/>
              <w:bidi w:val="0"/>
              <w:ind w:left="0" w:lef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附：定标委员会全体成员名单</w:t>
            </w:r>
          </w:p>
        </w:tc>
      </w:tr>
      <w:tr w14:paraId="4AFF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66" w:type="dxa"/>
            <w:vAlign w:val="center"/>
          </w:tcPr>
          <w:p w14:paraId="34264EB3">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评标报告</w:t>
            </w:r>
          </w:p>
        </w:tc>
        <w:tc>
          <w:tcPr>
            <w:tcW w:w="7434" w:type="dxa"/>
            <w:gridSpan w:val="4"/>
            <w:vAlign w:val="center"/>
          </w:tcPr>
          <w:p w14:paraId="6C5DB505">
            <w:pPr>
              <w:keepNext/>
              <w:keepLines/>
              <w:pageBreakBefore w:val="0"/>
              <w:widowControl/>
              <w:kinsoku/>
              <w:wordWrap w:val="0"/>
              <w:overflowPunct/>
              <w:topLinePunct/>
              <w:autoSpaceDE/>
              <w:autoSpaceDN/>
              <w:bidi w:val="0"/>
              <w:ind w:left="0" w:leftChars="0" w:firstLine="0" w:firstLineChars="0"/>
              <w:jc w:val="both"/>
              <w:rPr>
                <w:rFonts w:hint="default"/>
                <w:color w:val="auto"/>
                <w:highlight w:val="none"/>
                <w:vertAlign w:val="baseline"/>
                <w:lang w:val="en-US" w:eastAsia="zh-CN"/>
              </w:rPr>
            </w:pPr>
            <w:r>
              <w:rPr>
                <w:rFonts w:hint="eastAsia"/>
                <w:color w:val="auto"/>
                <w:highlight w:val="none"/>
                <w:vertAlign w:val="baseline"/>
                <w:lang w:val="en-US" w:eastAsia="zh-CN"/>
              </w:rPr>
              <w:t>附：评标报告、开标记录</w:t>
            </w:r>
          </w:p>
        </w:tc>
      </w:tr>
      <w:tr w14:paraId="32D6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66" w:type="dxa"/>
            <w:vAlign w:val="center"/>
          </w:tcPr>
          <w:p w14:paraId="5CCF5E8F">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定标办法</w:t>
            </w:r>
          </w:p>
        </w:tc>
        <w:tc>
          <w:tcPr>
            <w:tcW w:w="7434" w:type="dxa"/>
            <w:gridSpan w:val="4"/>
            <w:vAlign w:val="center"/>
          </w:tcPr>
          <w:p w14:paraId="01D31612">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核查随机法</w:t>
            </w:r>
          </w:p>
        </w:tc>
      </w:tr>
      <w:tr w14:paraId="2380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66" w:type="dxa"/>
            <w:vAlign w:val="center"/>
          </w:tcPr>
          <w:p w14:paraId="0584B199">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中标候选人名单</w:t>
            </w:r>
          </w:p>
        </w:tc>
        <w:tc>
          <w:tcPr>
            <w:tcW w:w="7434" w:type="dxa"/>
            <w:gridSpan w:val="4"/>
          </w:tcPr>
          <w:p w14:paraId="242BD5D3">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r>
      <w:tr w14:paraId="25FE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66" w:type="dxa"/>
            <w:vAlign w:val="center"/>
          </w:tcPr>
          <w:p w14:paraId="14170534">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中标人名称</w:t>
            </w:r>
          </w:p>
        </w:tc>
        <w:tc>
          <w:tcPr>
            <w:tcW w:w="7434" w:type="dxa"/>
            <w:gridSpan w:val="4"/>
          </w:tcPr>
          <w:p w14:paraId="062C4014">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r>
      <w:tr w14:paraId="3C8D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66" w:type="dxa"/>
            <w:vAlign w:val="center"/>
          </w:tcPr>
          <w:p w14:paraId="36A95284">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定标办法操作概况</w:t>
            </w:r>
          </w:p>
        </w:tc>
        <w:tc>
          <w:tcPr>
            <w:tcW w:w="7434" w:type="dxa"/>
            <w:gridSpan w:val="4"/>
          </w:tcPr>
          <w:p w14:paraId="3AFACD17">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r>
      <w:tr w14:paraId="6F62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66" w:type="dxa"/>
            <w:vAlign w:val="center"/>
          </w:tcPr>
          <w:p w14:paraId="58ABB925">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其他需说明的事宜</w:t>
            </w:r>
          </w:p>
        </w:tc>
        <w:tc>
          <w:tcPr>
            <w:tcW w:w="7434" w:type="dxa"/>
            <w:gridSpan w:val="4"/>
          </w:tcPr>
          <w:p w14:paraId="226B17B8">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r>
      <w:tr w14:paraId="0438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66" w:type="dxa"/>
            <w:vAlign w:val="center"/>
          </w:tcPr>
          <w:p w14:paraId="5DBA0DE4">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定标委员会成员签字</w:t>
            </w:r>
          </w:p>
        </w:tc>
        <w:tc>
          <w:tcPr>
            <w:tcW w:w="7434" w:type="dxa"/>
            <w:gridSpan w:val="4"/>
          </w:tcPr>
          <w:p w14:paraId="373B8178">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r>
      <w:tr w14:paraId="4EF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2166" w:type="dxa"/>
            <w:vAlign w:val="center"/>
          </w:tcPr>
          <w:p w14:paraId="1C12F9F5">
            <w:pPr>
              <w:keepNext/>
              <w:keepLines/>
              <w:pageBreakBefore w:val="0"/>
              <w:widowControl/>
              <w:kinsoku/>
              <w:wordWrap w:val="0"/>
              <w:overflowPunct/>
              <w:topLinePunct/>
              <w:autoSpaceDE/>
              <w:autoSpaceDN/>
              <w:bidi w:val="0"/>
              <w:ind w:left="0" w:leftChars="0" w:firstLine="0" w:firstLineChars="0"/>
              <w:jc w:val="center"/>
              <w:rPr>
                <w:rFonts w:hint="default"/>
                <w:color w:val="auto"/>
                <w:highlight w:val="none"/>
                <w:vertAlign w:val="baseline"/>
                <w:lang w:val="en-US" w:eastAsia="zh-CN"/>
              </w:rPr>
            </w:pPr>
            <w:r>
              <w:rPr>
                <w:rFonts w:hint="eastAsia"/>
                <w:color w:val="auto"/>
                <w:highlight w:val="none"/>
                <w:vertAlign w:val="baseline"/>
                <w:lang w:val="en-US" w:eastAsia="zh-CN"/>
              </w:rPr>
              <w:t>监督人员签字</w:t>
            </w:r>
          </w:p>
        </w:tc>
        <w:tc>
          <w:tcPr>
            <w:tcW w:w="7434" w:type="dxa"/>
            <w:gridSpan w:val="4"/>
          </w:tcPr>
          <w:p w14:paraId="06CC7A96">
            <w:pPr>
              <w:keepNext/>
              <w:keepLines/>
              <w:pageBreakBefore w:val="0"/>
              <w:widowControl/>
              <w:kinsoku/>
              <w:wordWrap w:val="0"/>
              <w:overflowPunct/>
              <w:topLinePunct/>
              <w:autoSpaceDE/>
              <w:autoSpaceDN/>
              <w:bidi w:val="0"/>
              <w:rPr>
                <w:rFonts w:hint="eastAsia"/>
                <w:color w:val="auto"/>
                <w:highlight w:val="none"/>
                <w:vertAlign w:val="baseline"/>
                <w:lang w:val="en-US" w:eastAsia="zh-CN"/>
              </w:rPr>
            </w:pPr>
          </w:p>
        </w:tc>
      </w:tr>
    </w:tbl>
    <w:p w14:paraId="28010985">
      <w:pPr>
        <w:rPr>
          <w:rFonts w:cs="宋体"/>
          <w:b/>
          <w:bCs/>
          <w:color w:val="auto"/>
          <w:sz w:val="32"/>
          <w:szCs w:val="32"/>
          <w:highlight w:val="none"/>
        </w:rPr>
      </w:pPr>
      <w:r>
        <w:rPr>
          <w:rFonts w:hint="eastAsia" w:cs="宋体"/>
          <w:b/>
          <w:bCs/>
          <w:color w:val="auto"/>
          <w:sz w:val="32"/>
          <w:szCs w:val="32"/>
          <w:highlight w:val="none"/>
        </w:rPr>
        <w:br w:type="page"/>
      </w:r>
    </w:p>
    <w:p w14:paraId="3FFEB411">
      <w:pPr>
        <w:pStyle w:val="7"/>
        <w:keepLines w:val="0"/>
        <w:pageBreakBefore w:val="0"/>
        <w:widowControl w:val="0"/>
        <w:kinsoku/>
        <w:wordWrap w:val="0"/>
        <w:overflowPunct/>
        <w:topLinePunct/>
        <w:autoSpaceDE/>
        <w:autoSpaceDN/>
        <w:bidi w:val="0"/>
        <w:spacing w:line="360" w:lineRule="auto"/>
        <w:jc w:val="center"/>
        <w:rPr>
          <w:rFonts w:hint="eastAsia" w:ascii="宋体" w:hAnsi="宋体" w:eastAsia="宋体" w:cs="宋体"/>
          <w:b/>
          <w:bCs/>
          <w:color w:val="auto"/>
          <w:sz w:val="32"/>
          <w:szCs w:val="32"/>
          <w:highlight w:val="none"/>
        </w:rPr>
      </w:pPr>
      <w:bookmarkStart w:id="340" w:name="_Toc23986"/>
      <w:r>
        <w:rPr>
          <w:rFonts w:hint="eastAsia" w:ascii="宋体" w:hAnsi="宋体" w:eastAsia="宋体" w:cs="宋体"/>
          <w:b/>
          <w:bCs/>
          <w:color w:val="auto"/>
          <w:sz w:val="32"/>
          <w:szCs w:val="32"/>
          <w:highlight w:val="none"/>
        </w:rPr>
        <w:t>第五章 合同条款及格式</w:t>
      </w:r>
      <w:bookmarkEnd w:id="327"/>
      <w:bookmarkEnd w:id="328"/>
      <w:bookmarkEnd w:id="340"/>
      <w:bookmarkStart w:id="341" w:name="_Toc247514034"/>
      <w:bookmarkStart w:id="342" w:name="_Toc247527635"/>
      <w:bookmarkStart w:id="343" w:name="_Toc152042388"/>
      <w:bookmarkStart w:id="344" w:name="_Toc184635097"/>
      <w:bookmarkStart w:id="345" w:name="_Toc152045610"/>
      <w:bookmarkStart w:id="346" w:name="_Toc144974578"/>
    </w:p>
    <w:bookmarkEnd w:id="329"/>
    <w:bookmarkEnd w:id="330"/>
    <w:bookmarkEnd w:id="341"/>
    <w:bookmarkEnd w:id="342"/>
    <w:bookmarkEnd w:id="343"/>
    <w:bookmarkEnd w:id="344"/>
    <w:bookmarkEnd w:id="345"/>
    <w:bookmarkEnd w:id="346"/>
    <w:p w14:paraId="3D3D8D7B">
      <w:pPr>
        <w:tabs>
          <w:tab w:val="left" w:pos="2880"/>
        </w:tabs>
        <w:spacing w:before="100" w:beforeAutospacing="1" w:after="100" w:afterAutospacing="1"/>
        <w:jc w:val="center"/>
        <w:rPr>
          <w:rFonts w:hint="eastAsia" w:ascii="宋体" w:hAnsi="宋体" w:eastAsia="宋体" w:cs="宋体"/>
          <w:color w:val="auto"/>
          <w:sz w:val="36"/>
          <w:szCs w:val="36"/>
          <w:highlight w:val="none"/>
        </w:rPr>
      </w:pPr>
      <w:bookmarkStart w:id="347" w:name="_Toc9943"/>
      <w:bookmarkStart w:id="348" w:name="_Toc22474"/>
      <w:bookmarkStart w:id="349" w:name="_Toc27376"/>
      <w:r>
        <w:rPr>
          <w:rFonts w:hint="eastAsia" w:ascii="宋体" w:hAnsi="宋体" w:eastAsia="宋体" w:cs="宋体"/>
          <w:b/>
          <w:bCs/>
          <w:color w:val="auto"/>
          <w:sz w:val="22"/>
          <w:szCs w:val="22"/>
          <w:highlight w:val="none"/>
        </w:rPr>
        <w:t>（此为参考文本，具体以签订为准）</w:t>
      </w:r>
    </w:p>
    <w:p w14:paraId="2F698D08">
      <w:pPr>
        <w:spacing w:after="156"/>
        <w:jc w:val="center"/>
        <w:outlineLvl w:val="0"/>
        <w:rPr>
          <w:rFonts w:hint="eastAsia" w:ascii="宋体" w:hAnsi="宋体" w:eastAsia="宋体" w:cs="宋体"/>
          <w:b/>
          <w:bCs/>
          <w:color w:val="auto"/>
          <w:sz w:val="48"/>
          <w:szCs w:val="48"/>
          <w:highlight w:val="none"/>
        </w:rPr>
      </w:pPr>
      <w:bookmarkStart w:id="350" w:name="_Toc26488"/>
      <w:bookmarkStart w:id="351" w:name="_Toc25097"/>
      <w:bookmarkStart w:id="352" w:name="_Toc10532306"/>
      <w:bookmarkStart w:id="353" w:name="_Toc10327"/>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工程EPC总承包合同</w:t>
      </w:r>
      <w:bookmarkEnd w:id="350"/>
      <w:bookmarkEnd w:id="351"/>
      <w:bookmarkEnd w:id="352"/>
      <w:bookmarkEnd w:id="353"/>
    </w:p>
    <w:p w14:paraId="702EDE4E">
      <w:pPr>
        <w:rPr>
          <w:rFonts w:hint="eastAsia" w:ascii="宋体" w:hAnsi="宋体" w:eastAsia="宋体" w:cs="宋体"/>
          <w:b/>
          <w:bCs/>
          <w:color w:val="auto"/>
          <w:sz w:val="32"/>
          <w:szCs w:val="32"/>
          <w:highlight w:val="none"/>
        </w:rPr>
      </w:pPr>
      <w:bookmarkStart w:id="354" w:name="_Toc5926"/>
      <w:bookmarkStart w:id="355" w:name="_Toc14105"/>
      <w:bookmarkStart w:id="356" w:name="_Toc22378"/>
      <w:bookmarkStart w:id="357" w:name="_Toc6263"/>
      <w:bookmarkStart w:id="358" w:name="_Toc18966"/>
      <w:r>
        <w:rPr>
          <w:rFonts w:hint="eastAsia" w:ascii="宋体" w:hAnsi="宋体" w:eastAsia="宋体" w:cs="宋体"/>
          <w:b/>
          <w:bCs/>
          <w:color w:val="auto"/>
          <w:sz w:val="32"/>
          <w:szCs w:val="32"/>
          <w:highlight w:val="none"/>
        </w:rPr>
        <w:br w:type="page"/>
      </w:r>
    </w:p>
    <w:p w14:paraId="2A4515AB">
      <w:pPr>
        <w:spacing w:line="56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合同协议书</w:t>
      </w:r>
      <w:bookmarkEnd w:id="354"/>
      <w:bookmarkEnd w:id="355"/>
      <w:bookmarkEnd w:id="356"/>
      <w:bookmarkEnd w:id="357"/>
      <w:bookmarkEnd w:id="358"/>
    </w:p>
    <w:p w14:paraId="5EC1F79E">
      <w:pPr>
        <w:pStyle w:val="24"/>
        <w:ind w:firstLine="210"/>
        <w:rPr>
          <w:rFonts w:hint="eastAsia" w:ascii="宋体" w:hAnsi="宋体" w:eastAsia="宋体" w:cs="宋体"/>
          <w:color w:val="auto"/>
          <w:highlight w:val="none"/>
        </w:rPr>
      </w:pPr>
    </w:p>
    <w:p w14:paraId="57755B0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p>
    <w:p w14:paraId="3BE0CC3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p>
    <w:p w14:paraId="4C1A6D4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 xml:space="preserve">》、《中华人民共和国建筑法》、《中华人民共和国招标投标法》及相关法律、行政法规，遵循平等、自愿、公平和诚信原则，合同双方就 </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事宜经协商一致，订立本合同。</w:t>
      </w:r>
    </w:p>
    <w:p w14:paraId="7E4AC0DA">
      <w:pPr>
        <w:keepNext w:val="0"/>
        <w:keepLines w:val="0"/>
        <w:pageBreakBefore w:val="0"/>
        <w:widowControl w:val="0"/>
        <w:kinsoku/>
        <w:wordWrap/>
        <w:overflowPunct/>
        <w:topLinePunct w:val="0"/>
        <w:autoSpaceDE/>
        <w:autoSpaceDN/>
        <w:bidi w:val="0"/>
        <w:adjustRightInd/>
        <w:spacing w:line="360" w:lineRule="auto"/>
        <w:textAlignment w:val="auto"/>
        <w:outlineLvl w:val="1"/>
        <w:rPr>
          <w:rFonts w:hint="eastAsia" w:ascii="宋体" w:hAnsi="宋体" w:eastAsia="宋体" w:cs="宋体"/>
          <w:color w:val="auto"/>
          <w:sz w:val="21"/>
          <w:szCs w:val="21"/>
          <w:highlight w:val="none"/>
        </w:rPr>
      </w:pPr>
      <w:bookmarkStart w:id="359" w:name="_Toc3681"/>
      <w:bookmarkStart w:id="360" w:name="_Toc10924"/>
      <w:bookmarkStart w:id="361" w:name="_Toc4791_WPSOffice_Level2"/>
      <w:bookmarkStart w:id="362" w:name="_Toc13401"/>
      <w:bookmarkStart w:id="363" w:name="_Toc29313_WPSOffice_Level2"/>
      <w:r>
        <w:rPr>
          <w:rFonts w:hint="eastAsia" w:ascii="宋体" w:hAnsi="宋体" w:eastAsia="宋体" w:cs="宋体"/>
          <w:color w:val="auto"/>
          <w:sz w:val="21"/>
          <w:szCs w:val="21"/>
          <w:highlight w:val="none"/>
        </w:rPr>
        <w:t>一、工程概况</w:t>
      </w:r>
      <w:bookmarkEnd w:id="359"/>
      <w:bookmarkEnd w:id="360"/>
      <w:bookmarkEnd w:id="361"/>
      <w:bookmarkEnd w:id="362"/>
      <w:bookmarkEnd w:id="363"/>
    </w:p>
    <w:p w14:paraId="0C807D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p>
    <w:p w14:paraId="739ECAB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工程批准、核准或备案文号：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3758745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5F265A26">
      <w:pPr>
        <w:keepNext w:val="0"/>
        <w:keepLines w:val="0"/>
        <w:pageBreakBefore w:val="0"/>
        <w:widowControl w:val="0"/>
        <w:kinsoku/>
        <w:wordWrap/>
        <w:overflowPunct/>
        <w:topLinePunct w:val="0"/>
        <w:autoSpaceDE/>
        <w:autoSpaceDN/>
        <w:bidi w:val="0"/>
        <w:adjustRightInd/>
        <w:spacing w:line="360" w:lineRule="auto"/>
        <w:ind w:left="1949" w:leftChars="228" w:hanging="1470" w:hangingChars="7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工程内容及规模：</w:t>
      </w:r>
      <w:r>
        <w:rPr>
          <w:rFonts w:hint="eastAsia" w:ascii="宋体" w:hAnsi="宋体" w:eastAsia="宋体" w:cs="宋体"/>
          <w:color w:val="auto"/>
          <w:sz w:val="21"/>
          <w:szCs w:val="21"/>
          <w:highlight w:val="none"/>
          <w:u w:val="single"/>
        </w:rPr>
        <w:t xml:space="preserve">                      </w:t>
      </w:r>
    </w:p>
    <w:p w14:paraId="02AE86A7">
      <w:pPr>
        <w:keepNext w:val="0"/>
        <w:keepLines w:val="0"/>
        <w:pageBreakBefore w:val="0"/>
        <w:widowControl w:val="0"/>
        <w:kinsoku/>
        <w:wordWrap/>
        <w:overflowPunct/>
        <w:topLinePunct w:val="0"/>
        <w:autoSpaceDE/>
        <w:autoSpaceDN/>
        <w:bidi w:val="0"/>
        <w:adjustRightInd/>
        <w:spacing w:line="360" w:lineRule="auto"/>
        <w:ind w:left="1949" w:leftChars="228" w:hanging="1470" w:hangingChars="7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工程所在省市详细地址：</w:t>
      </w:r>
      <w:r>
        <w:rPr>
          <w:rFonts w:hint="eastAsia" w:ascii="宋体" w:hAnsi="宋体" w:eastAsia="宋体" w:cs="宋体"/>
          <w:color w:val="auto"/>
          <w:sz w:val="21"/>
          <w:szCs w:val="21"/>
          <w:highlight w:val="none"/>
          <w:u w:val="single"/>
        </w:rPr>
        <w:t xml:space="preserve">                                   </w:t>
      </w:r>
    </w:p>
    <w:p w14:paraId="64157C2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工程承包范围：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1EB3F84E">
      <w:pPr>
        <w:keepNext w:val="0"/>
        <w:keepLines w:val="0"/>
        <w:pageBreakBefore w:val="0"/>
        <w:widowControl w:val="0"/>
        <w:kinsoku/>
        <w:wordWrap/>
        <w:overflowPunct/>
        <w:topLinePunct w:val="0"/>
        <w:autoSpaceDE/>
        <w:autoSpaceDN/>
        <w:bidi w:val="0"/>
        <w:adjustRightInd/>
        <w:spacing w:line="360" w:lineRule="auto"/>
        <w:textAlignment w:val="auto"/>
        <w:outlineLvl w:val="1"/>
        <w:rPr>
          <w:rFonts w:hint="eastAsia" w:ascii="宋体" w:hAnsi="宋体" w:eastAsia="宋体" w:cs="宋体"/>
          <w:color w:val="auto"/>
          <w:sz w:val="21"/>
          <w:szCs w:val="21"/>
          <w:highlight w:val="none"/>
        </w:rPr>
      </w:pPr>
      <w:bookmarkStart w:id="364" w:name="_Toc25787_WPSOffice_Level2"/>
      <w:bookmarkStart w:id="365" w:name="_Toc8849_WPSOffice_Level2"/>
      <w:bookmarkStart w:id="366" w:name="_Toc16716"/>
      <w:bookmarkStart w:id="367" w:name="_Toc3534"/>
      <w:bookmarkStart w:id="368" w:name="_Toc5419"/>
      <w:r>
        <w:rPr>
          <w:rFonts w:hint="eastAsia" w:ascii="宋体" w:hAnsi="宋体" w:eastAsia="宋体" w:cs="宋体"/>
          <w:color w:val="auto"/>
          <w:sz w:val="21"/>
          <w:szCs w:val="21"/>
          <w:highlight w:val="none"/>
        </w:rPr>
        <w:t>二、工程主要生产技术（或建筑设计方案）来源</w:t>
      </w:r>
      <w:bookmarkEnd w:id="364"/>
      <w:bookmarkEnd w:id="365"/>
      <w:bookmarkEnd w:id="366"/>
      <w:bookmarkEnd w:id="367"/>
      <w:bookmarkEnd w:id="368"/>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FE406A">
      <w:pPr>
        <w:keepNext w:val="0"/>
        <w:keepLines w:val="0"/>
        <w:pageBreakBefore w:val="0"/>
        <w:widowControl w:val="0"/>
        <w:kinsoku/>
        <w:wordWrap/>
        <w:overflowPunct/>
        <w:topLinePunct w:val="0"/>
        <w:autoSpaceDE/>
        <w:autoSpaceDN/>
        <w:bidi w:val="0"/>
        <w:adjustRightInd/>
        <w:spacing w:line="360" w:lineRule="auto"/>
        <w:textAlignment w:val="auto"/>
        <w:outlineLvl w:val="1"/>
        <w:rPr>
          <w:rFonts w:hint="eastAsia" w:ascii="宋体" w:hAnsi="宋体" w:eastAsia="宋体" w:cs="宋体"/>
          <w:color w:val="auto"/>
          <w:sz w:val="21"/>
          <w:szCs w:val="21"/>
          <w:highlight w:val="none"/>
        </w:rPr>
      </w:pPr>
      <w:bookmarkStart w:id="369" w:name="_Toc21932_WPSOffice_Level2"/>
      <w:bookmarkStart w:id="370" w:name="_Toc23119_WPSOffice_Level2"/>
      <w:bookmarkStart w:id="371" w:name="_Toc21016"/>
      <w:bookmarkStart w:id="372" w:name="_Toc22063"/>
      <w:bookmarkStart w:id="373" w:name="_Toc1505"/>
      <w:r>
        <w:rPr>
          <w:rFonts w:hint="eastAsia" w:ascii="宋体" w:hAnsi="宋体" w:eastAsia="宋体" w:cs="宋体"/>
          <w:color w:val="auto"/>
          <w:sz w:val="21"/>
          <w:szCs w:val="21"/>
          <w:highlight w:val="none"/>
        </w:rPr>
        <w:t>三、</w:t>
      </w:r>
      <w:bookmarkEnd w:id="369"/>
      <w:bookmarkEnd w:id="370"/>
      <w:r>
        <w:rPr>
          <w:rFonts w:hint="eastAsia" w:ascii="宋体" w:hAnsi="宋体" w:eastAsia="宋体" w:cs="宋体"/>
          <w:color w:val="auto"/>
          <w:sz w:val="21"/>
          <w:szCs w:val="21"/>
          <w:highlight w:val="none"/>
        </w:rPr>
        <w:t>工期要求</w:t>
      </w:r>
      <w:bookmarkEnd w:id="371"/>
      <w:bookmarkEnd w:id="372"/>
      <w:bookmarkEnd w:id="373"/>
      <w:bookmarkStart w:id="374" w:name="_Toc6884_WPSOffice_Level2"/>
      <w:bookmarkStart w:id="375" w:name="_Toc28650_WPSOffice_Level2"/>
    </w:p>
    <w:p w14:paraId="1F4B023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1"/>
        <w:rPr>
          <w:rFonts w:hint="eastAsia" w:ascii="宋体" w:hAnsi="宋体" w:eastAsia="宋体" w:cs="宋体"/>
          <w:color w:val="auto"/>
          <w:sz w:val="21"/>
          <w:szCs w:val="21"/>
          <w:highlight w:val="none"/>
        </w:rPr>
      </w:pPr>
      <w:bookmarkStart w:id="376" w:name="_Toc3635"/>
      <w:bookmarkStart w:id="377" w:name="_Toc665"/>
      <w:bookmarkStart w:id="378" w:name="_Toc26053"/>
      <w:r>
        <w:rPr>
          <w:rFonts w:hint="eastAsia" w:ascii="宋体" w:hAnsi="宋体" w:eastAsia="宋体" w:cs="宋体"/>
          <w:color w:val="auto"/>
          <w:sz w:val="21"/>
          <w:szCs w:val="21"/>
          <w:highlight w:val="none"/>
        </w:rPr>
        <w:t>四、工程质量标准</w:t>
      </w:r>
      <w:bookmarkEnd w:id="374"/>
      <w:bookmarkEnd w:id="375"/>
      <w:bookmarkEnd w:id="376"/>
      <w:bookmarkEnd w:id="377"/>
      <w:bookmarkEnd w:id="378"/>
    </w:p>
    <w:p w14:paraId="5601F0D6">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工程设计质</w:t>
      </w:r>
      <w:r>
        <w:rPr>
          <w:rFonts w:hint="eastAsia" w:ascii="宋体" w:hAnsi="宋体" w:cs="宋体"/>
          <w:color w:val="auto"/>
          <w:sz w:val="21"/>
          <w:szCs w:val="21"/>
          <w:highlight w:val="none"/>
          <w:lang w:eastAsia="zh-CN"/>
        </w:rPr>
        <w:t>量标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46ADB57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工程施工质量标准: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13FC935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1"/>
        <w:rPr>
          <w:rFonts w:hint="eastAsia" w:ascii="宋体" w:hAnsi="宋体" w:eastAsia="宋体" w:cs="宋体"/>
          <w:color w:val="auto"/>
          <w:sz w:val="21"/>
          <w:szCs w:val="21"/>
          <w:highlight w:val="none"/>
        </w:rPr>
      </w:pPr>
      <w:bookmarkStart w:id="379" w:name="_Toc27373"/>
      <w:bookmarkStart w:id="380" w:name="_Toc1732"/>
      <w:bookmarkStart w:id="381" w:name="_Toc25788"/>
      <w:r>
        <w:rPr>
          <w:rFonts w:hint="eastAsia" w:ascii="宋体" w:hAnsi="宋体" w:eastAsia="宋体" w:cs="宋体"/>
          <w:color w:val="auto"/>
          <w:sz w:val="21"/>
          <w:szCs w:val="21"/>
          <w:highlight w:val="none"/>
        </w:rPr>
        <w:t>五、验收标准及方式         </w:t>
      </w:r>
      <w:bookmarkEnd w:id="379"/>
      <w:bookmarkEnd w:id="380"/>
      <w:bookmarkEnd w:id="381"/>
    </w:p>
    <w:p w14:paraId="459203D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382" w:name="_Toc2221_WPSOffice_Level2"/>
      <w:bookmarkStart w:id="383" w:name="_Toc20018_WPSOffice_Level2"/>
      <w:r>
        <w:rPr>
          <w:rFonts w:hint="eastAsia" w:ascii="宋体" w:hAnsi="宋体" w:eastAsia="宋体" w:cs="宋体"/>
          <w:color w:val="auto"/>
          <w:sz w:val="21"/>
          <w:szCs w:val="21"/>
          <w:highlight w:val="none"/>
        </w:rPr>
        <w:t>1、 验收标准：</w:t>
      </w:r>
      <w:r>
        <w:rPr>
          <w:rFonts w:hint="eastAsia" w:ascii="宋体" w:hAnsi="宋体" w:eastAsia="宋体" w:cs="宋体"/>
          <w:color w:val="auto"/>
          <w:sz w:val="21"/>
          <w:szCs w:val="21"/>
          <w:highlight w:val="none"/>
          <w:u w:val="single"/>
        </w:rPr>
        <w:t>按照国家、省、市相关标准规</w:t>
      </w:r>
      <w:r>
        <w:rPr>
          <w:rFonts w:hint="eastAsia" w:ascii="宋体" w:hAnsi="宋体" w:cs="宋体"/>
          <w:color w:val="auto"/>
          <w:sz w:val="21"/>
          <w:szCs w:val="21"/>
          <w:highlight w:val="none"/>
          <w:u w:val="single"/>
          <w:lang w:eastAsia="zh-CN"/>
        </w:rPr>
        <w:t>范和</w:t>
      </w:r>
      <w:r>
        <w:rPr>
          <w:rFonts w:hint="eastAsia" w:ascii="宋体" w:hAnsi="宋体" w:eastAsia="宋体" w:cs="宋体"/>
          <w:color w:val="auto"/>
          <w:sz w:val="21"/>
          <w:szCs w:val="21"/>
          <w:highlight w:val="none"/>
          <w:u w:val="single"/>
        </w:rPr>
        <w:t>相关要求执行</w:t>
      </w:r>
      <w:r>
        <w:rPr>
          <w:rFonts w:hint="eastAsia" w:ascii="宋体" w:hAnsi="宋体" w:eastAsia="宋体" w:cs="宋体"/>
          <w:color w:val="auto"/>
          <w:sz w:val="21"/>
          <w:szCs w:val="21"/>
          <w:highlight w:val="none"/>
        </w:rPr>
        <w:t>。</w:t>
      </w:r>
    </w:p>
    <w:p w14:paraId="138C927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验收方式：</w:t>
      </w:r>
      <w:r>
        <w:rPr>
          <w:rFonts w:hint="eastAsia" w:ascii="宋体" w:hAnsi="宋体" w:eastAsia="宋体" w:cs="宋体"/>
          <w:color w:val="auto"/>
          <w:sz w:val="21"/>
          <w:szCs w:val="21"/>
          <w:highlight w:val="none"/>
          <w:u w:val="single"/>
        </w:rPr>
        <w:t>按照国家、省、市相关标准规</w:t>
      </w:r>
      <w:r>
        <w:rPr>
          <w:rFonts w:hint="eastAsia" w:ascii="宋体" w:hAnsi="宋体" w:cs="宋体"/>
          <w:color w:val="auto"/>
          <w:sz w:val="21"/>
          <w:szCs w:val="21"/>
          <w:highlight w:val="none"/>
          <w:u w:val="single"/>
          <w:lang w:eastAsia="zh-CN"/>
        </w:rPr>
        <w:t>范和</w:t>
      </w:r>
      <w:r>
        <w:rPr>
          <w:rFonts w:hint="eastAsia" w:ascii="宋体" w:hAnsi="宋体" w:eastAsia="宋体" w:cs="宋体"/>
          <w:color w:val="auto"/>
          <w:sz w:val="21"/>
          <w:szCs w:val="21"/>
          <w:highlight w:val="none"/>
          <w:u w:val="single"/>
        </w:rPr>
        <w:t>相关要求执行</w:t>
      </w:r>
      <w:r>
        <w:rPr>
          <w:rFonts w:hint="eastAsia" w:ascii="宋体" w:hAnsi="宋体" w:eastAsia="宋体" w:cs="宋体"/>
          <w:color w:val="auto"/>
          <w:sz w:val="21"/>
          <w:szCs w:val="21"/>
          <w:highlight w:val="none"/>
        </w:rPr>
        <w:t>。</w:t>
      </w:r>
    </w:p>
    <w:p w14:paraId="5E1D244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1"/>
        <w:rPr>
          <w:rFonts w:hint="eastAsia" w:ascii="宋体" w:hAnsi="宋体" w:eastAsia="宋体" w:cs="宋体"/>
          <w:color w:val="auto"/>
          <w:sz w:val="21"/>
          <w:szCs w:val="21"/>
          <w:highlight w:val="none"/>
        </w:rPr>
      </w:pPr>
      <w:bookmarkStart w:id="384" w:name="_Toc22191"/>
      <w:bookmarkStart w:id="385" w:name="_Toc30043"/>
      <w:bookmarkStart w:id="386" w:name="_Toc32149"/>
      <w:r>
        <w:rPr>
          <w:rFonts w:hint="eastAsia" w:ascii="宋体" w:hAnsi="宋体" w:eastAsia="宋体" w:cs="宋体"/>
          <w:color w:val="auto"/>
          <w:sz w:val="21"/>
          <w:szCs w:val="21"/>
          <w:highlight w:val="none"/>
        </w:rPr>
        <w:t>六、合同价款</w:t>
      </w:r>
      <w:bookmarkEnd w:id="382"/>
      <w:bookmarkEnd w:id="383"/>
      <w:bookmarkEnd w:id="384"/>
      <w:bookmarkEnd w:id="385"/>
      <w:bookmarkEnd w:id="386"/>
    </w:p>
    <w:p w14:paraId="2966726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本项目合同价款暂定为人民币（大写）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6599B04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3EB1CDB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1、投标设计费：人民币（大写）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1FC37CF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2、工程费用：暂定人民币（大写）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0B1129C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bookmarkStart w:id="387" w:name="_Toc4034_WPSOffice_Level2"/>
      <w:bookmarkStart w:id="388" w:name="_Toc15335_WPSOffice_Level2"/>
      <w:r>
        <w:rPr>
          <w:rFonts w:hint="eastAsia" w:ascii="宋体" w:hAnsi="宋体" w:eastAsia="宋体" w:cs="宋体"/>
          <w:color w:val="auto"/>
          <w:sz w:val="21"/>
          <w:szCs w:val="21"/>
          <w:highlight w:val="none"/>
        </w:rPr>
        <w:t>3、融资补贴费用：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0CB9F1">
      <w:pPr>
        <w:keepNext w:val="0"/>
        <w:keepLines w:val="0"/>
        <w:pageBreakBefore w:val="0"/>
        <w:widowControl w:val="0"/>
        <w:kinsoku/>
        <w:wordWrap/>
        <w:overflowPunct/>
        <w:topLinePunct w:val="0"/>
        <w:autoSpaceDE/>
        <w:autoSpaceDN/>
        <w:bidi w:val="0"/>
        <w:adjustRightInd/>
        <w:spacing w:line="360" w:lineRule="auto"/>
        <w:textAlignment w:val="auto"/>
        <w:outlineLvl w:val="1"/>
        <w:rPr>
          <w:rFonts w:hint="eastAsia" w:ascii="宋体" w:hAnsi="宋体" w:eastAsia="宋体" w:cs="宋体"/>
          <w:color w:val="auto"/>
          <w:sz w:val="21"/>
          <w:szCs w:val="21"/>
          <w:highlight w:val="none"/>
        </w:rPr>
      </w:pPr>
      <w:bookmarkStart w:id="389" w:name="_Toc23768"/>
      <w:bookmarkStart w:id="390" w:name="_Toc10152"/>
      <w:bookmarkStart w:id="391" w:name="_Toc14596"/>
      <w:r>
        <w:rPr>
          <w:rFonts w:hint="eastAsia" w:ascii="宋体" w:hAnsi="宋体" w:eastAsia="宋体" w:cs="宋体"/>
          <w:color w:val="auto"/>
          <w:sz w:val="21"/>
          <w:szCs w:val="21"/>
          <w:highlight w:val="none"/>
        </w:rPr>
        <w:t>七、定义与解释</w:t>
      </w:r>
      <w:bookmarkEnd w:id="387"/>
      <w:bookmarkEnd w:id="388"/>
      <w:bookmarkEnd w:id="389"/>
      <w:bookmarkEnd w:id="390"/>
      <w:bookmarkEnd w:id="391"/>
    </w:p>
    <w:p w14:paraId="54EF9F7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本协议书中有关词语的含义与通用条款中赋予的定义与解释相同。</w:t>
      </w:r>
    </w:p>
    <w:p w14:paraId="76C22050">
      <w:pPr>
        <w:keepNext w:val="0"/>
        <w:keepLines w:val="0"/>
        <w:pageBreakBefore w:val="0"/>
        <w:widowControl w:val="0"/>
        <w:kinsoku/>
        <w:wordWrap/>
        <w:overflowPunct/>
        <w:topLinePunct w:val="0"/>
        <w:autoSpaceDE/>
        <w:autoSpaceDN/>
        <w:bidi w:val="0"/>
        <w:adjustRightInd/>
        <w:spacing w:line="360" w:lineRule="auto"/>
        <w:textAlignment w:val="auto"/>
        <w:outlineLvl w:val="1"/>
        <w:rPr>
          <w:rFonts w:hint="eastAsia" w:ascii="宋体" w:hAnsi="宋体" w:eastAsia="宋体" w:cs="宋体"/>
          <w:color w:val="auto"/>
          <w:sz w:val="21"/>
          <w:szCs w:val="21"/>
          <w:highlight w:val="none"/>
        </w:rPr>
      </w:pPr>
      <w:bookmarkStart w:id="392" w:name="_Toc1046"/>
      <w:bookmarkStart w:id="393" w:name="_Toc9793"/>
      <w:bookmarkStart w:id="394" w:name="_Toc19179_WPSOffice_Level2"/>
      <w:bookmarkStart w:id="395" w:name="_Toc32158"/>
      <w:bookmarkStart w:id="396" w:name="_Toc19335_WPSOffice_Level2"/>
      <w:r>
        <w:rPr>
          <w:rFonts w:hint="eastAsia" w:ascii="宋体" w:hAnsi="宋体" w:eastAsia="宋体" w:cs="宋体"/>
          <w:color w:val="auto"/>
          <w:sz w:val="21"/>
          <w:szCs w:val="21"/>
          <w:highlight w:val="none"/>
        </w:rPr>
        <w:t>八、合同生效</w:t>
      </w:r>
      <w:bookmarkEnd w:id="392"/>
      <w:bookmarkEnd w:id="393"/>
      <w:bookmarkEnd w:id="394"/>
      <w:bookmarkEnd w:id="395"/>
      <w:bookmarkEnd w:id="396"/>
    </w:p>
    <w:p w14:paraId="68E390C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本合同自双方法定代表人（或其委托代理人）签字并加盖单位电子签章（或合同专用章）之日起生效。</w:t>
      </w:r>
      <w:bookmarkStart w:id="397" w:name="_Toc14329"/>
      <w:bookmarkStart w:id="398" w:name="_Toc31449"/>
    </w:p>
    <w:p w14:paraId="1CBC7D6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九、其他</w:t>
      </w:r>
      <w:bookmarkEnd w:id="397"/>
      <w:bookmarkEnd w:id="398"/>
    </w:p>
    <w:p w14:paraId="4E9740E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1、合同订立时间：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3462CB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2、合同订立地点：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0A7CD6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份，发、承包双方各执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48E36F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（以下无正文，仅为签署页）</w:t>
      </w:r>
    </w:p>
    <w:p w14:paraId="2344F9B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（公章或合同专用章）             中标人：  （公章或合同专用章）</w:t>
      </w:r>
    </w:p>
    <w:p w14:paraId="06171F7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法定代表人或其委托代理人：（签字）        法定代表人或其委托代理人：（签字）              </w:t>
      </w:r>
    </w:p>
    <w:p w14:paraId="52273A9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工商注册住所：                            工商注册住所：</w:t>
      </w:r>
    </w:p>
    <w:p w14:paraId="3CC046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企业组织机构代码：                        企业组织机构代码：</w:t>
      </w:r>
    </w:p>
    <w:p w14:paraId="28D9435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　　                            邮政编码：　　</w:t>
      </w:r>
    </w:p>
    <w:p w14:paraId="4685AD6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　　　　</w:t>
      </w:r>
    </w:p>
    <w:p w14:paraId="6BAB081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　                              授权代表：　　　　</w:t>
      </w:r>
    </w:p>
    <w:p w14:paraId="394402F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　　　　</w:t>
      </w:r>
    </w:p>
    <w:p w14:paraId="534EC42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　                              传　　真：</w:t>
      </w:r>
    </w:p>
    <w:p w14:paraId="7DB5456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                                电子邮箱：　　　　</w:t>
      </w:r>
    </w:p>
    <w:p w14:paraId="43937E6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                　   　　　　</w:t>
      </w:r>
    </w:p>
    <w:p w14:paraId="3D46AB0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                                账    号：　                  　   　　</w:t>
      </w:r>
    </w:p>
    <w:p w14:paraId="29E30B5F">
      <w:pPr>
        <w:pStyle w:val="8"/>
        <w:tabs>
          <w:tab w:val="left" w:pos="2640"/>
          <w:tab w:val="left" w:pos="3599"/>
        </w:tabs>
        <w:spacing w:before="0" w:after="0" w:line="480" w:lineRule="exact"/>
        <w:jc w:val="center"/>
        <w:rPr>
          <w:rFonts w:hint="eastAsia" w:ascii="宋体" w:hAnsi="宋体" w:eastAsia="宋体" w:cs="宋体"/>
          <w:color w:val="auto"/>
          <w:highlight w:val="none"/>
        </w:rPr>
      </w:pPr>
      <w:bookmarkStart w:id="399" w:name="_Toc10532322"/>
      <w:bookmarkStart w:id="400" w:name="_Toc18667"/>
      <w:bookmarkStart w:id="401" w:name="_Toc3461"/>
      <w:r>
        <w:rPr>
          <w:rFonts w:hint="eastAsia" w:ascii="宋体" w:hAnsi="宋体" w:eastAsia="宋体" w:cs="宋体"/>
          <w:color w:val="auto"/>
          <w:highlight w:val="none"/>
        </w:rPr>
        <w:br w:type="page"/>
      </w:r>
      <w:r>
        <w:rPr>
          <w:rFonts w:hint="eastAsia" w:ascii="宋体" w:hAnsi="宋体" w:eastAsia="宋体" w:cs="宋体"/>
          <w:color w:val="auto"/>
          <w:highlight w:val="none"/>
        </w:rPr>
        <w:t>第二部分 通用条款</w:t>
      </w:r>
      <w:bookmarkEnd w:id="399"/>
      <w:bookmarkEnd w:id="400"/>
      <w:bookmarkEnd w:id="401"/>
    </w:p>
    <w:p w14:paraId="0E97008E">
      <w:pPr>
        <w:rPr>
          <w:rFonts w:hint="eastAsia" w:ascii="宋体" w:hAnsi="宋体" w:eastAsia="宋体" w:cs="宋体"/>
          <w:color w:val="auto"/>
          <w:sz w:val="24"/>
          <w:highlight w:val="none"/>
        </w:rPr>
      </w:pPr>
    </w:p>
    <w:p w14:paraId="37EEDE27">
      <w:pPr>
        <w:pStyle w:val="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（略）</w:t>
      </w:r>
    </w:p>
    <w:p w14:paraId="78ABAD3A">
      <w:pPr>
        <w:pStyle w:val="8"/>
        <w:numPr>
          <w:ilvl w:val="0"/>
          <w:numId w:val="4"/>
        </w:numPr>
        <w:tabs>
          <w:tab w:val="left" w:pos="2640"/>
          <w:tab w:val="left" w:pos="3599"/>
        </w:tabs>
        <w:spacing w:before="0" w:after="0" w:line="480" w:lineRule="exact"/>
        <w:jc w:val="center"/>
        <w:rPr>
          <w:rFonts w:hint="eastAsia" w:ascii="宋体" w:hAnsi="宋体" w:eastAsia="宋体" w:cs="宋体"/>
          <w:color w:val="auto"/>
          <w:highlight w:val="none"/>
        </w:rPr>
      </w:pPr>
      <w:bookmarkStart w:id="402" w:name="_Toc10532323"/>
      <w:bookmarkStart w:id="403" w:name="_Toc11247"/>
      <w:bookmarkStart w:id="404" w:name="_Toc520142605"/>
      <w:bookmarkStart w:id="405" w:name="_Toc3989"/>
      <w:r>
        <w:rPr>
          <w:rFonts w:hint="eastAsia" w:ascii="宋体" w:hAnsi="宋体" w:eastAsia="宋体" w:cs="宋体"/>
          <w:color w:val="auto"/>
          <w:highlight w:val="none"/>
        </w:rPr>
        <w:t>专用条款</w:t>
      </w:r>
      <w:bookmarkEnd w:id="402"/>
      <w:bookmarkEnd w:id="403"/>
      <w:bookmarkEnd w:id="404"/>
      <w:bookmarkEnd w:id="405"/>
    </w:p>
    <w:p w14:paraId="3745147A">
      <w:pPr>
        <w:rPr>
          <w:rFonts w:hint="eastAsia" w:ascii="宋体" w:hAnsi="宋体" w:eastAsia="宋体" w:cs="宋体"/>
          <w:color w:val="auto"/>
          <w:highlight w:val="none"/>
        </w:rPr>
      </w:pPr>
    </w:p>
    <w:p w14:paraId="72EBF518">
      <w:pPr>
        <w:jc w:val="center"/>
        <w:rPr>
          <w:rFonts w:hint="eastAsia" w:ascii="宋体" w:hAnsi="宋体" w:eastAsia="宋体" w:cs="宋体"/>
          <w:color w:val="auto"/>
          <w:highlight w:val="none"/>
        </w:rPr>
      </w:pPr>
      <w:r>
        <w:rPr>
          <w:rFonts w:hint="eastAsia" w:ascii="宋体" w:hAnsi="宋体" w:eastAsia="宋体" w:cs="宋体"/>
          <w:color w:val="auto"/>
          <w:highlight w:val="none"/>
        </w:rPr>
        <w:t>（甲方与中标企业签定合同时具体约定）</w:t>
      </w:r>
    </w:p>
    <w:p w14:paraId="7C39B586">
      <w:pPr>
        <w:rPr>
          <w:rFonts w:hint="eastAsia" w:ascii="宋体" w:hAnsi="宋体" w:cs="宋体"/>
          <w:b/>
          <w:bCs/>
          <w:color w:val="auto"/>
          <w:sz w:val="30"/>
          <w:highlight w:val="none"/>
        </w:rPr>
      </w:pPr>
      <w:bookmarkStart w:id="406" w:name="_Toc2636"/>
      <w:r>
        <w:rPr>
          <w:rFonts w:hint="eastAsia" w:ascii="宋体" w:hAnsi="宋体" w:cs="宋体"/>
          <w:b/>
          <w:bCs/>
          <w:color w:val="auto"/>
          <w:sz w:val="30"/>
          <w:highlight w:val="none"/>
        </w:rPr>
        <w:br w:type="page"/>
      </w:r>
    </w:p>
    <w:p w14:paraId="601640B6">
      <w:pPr>
        <w:wordWrap w:val="0"/>
        <w:topLinePunct/>
        <w:spacing w:line="360" w:lineRule="auto"/>
        <w:ind w:firstLine="600"/>
        <w:jc w:val="center"/>
        <w:outlineLvl w:val="0"/>
        <w:rPr>
          <w:rFonts w:hint="eastAsia" w:ascii="宋体" w:hAnsi="宋体" w:cs="宋体"/>
          <w:b/>
          <w:bCs/>
          <w:color w:val="auto"/>
          <w:highlight w:val="none"/>
        </w:rPr>
      </w:pPr>
      <w:r>
        <w:rPr>
          <w:rFonts w:hint="eastAsia" w:ascii="宋体" w:hAnsi="宋体" w:cs="宋体"/>
          <w:b/>
          <w:bCs/>
          <w:color w:val="auto"/>
          <w:sz w:val="30"/>
          <w:highlight w:val="none"/>
        </w:rPr>
        <w:t>第六章 发包人技术标准和要求</w:t>
      </w:r>
      <w:bookmarkEnd w:id="347"/>
      <w:bookmarkEnd w:id="348"/>
      <w:bookmarkEnd w:id="349"/>
      <w:bookmarkEnd w:id="406"/>
    </w:p>
    <w:p w14:paraId="726437C7">
      <w:pPr>
        <w:wordWrap w:val="0"/>
        <w:topLinePunct/>
        <w:spacing w:line="360" w:lineRule="auto"/>
        <w:rPr>
          <w:rFonts w:hint="eastAsia" w:ascii="宋体" w:hAnsi="宋体" w:cs="宋体"/>
          <w:color w:val="auto"/>
          <w:highlight w:val="none"/>
        </w:rPr>
      </w:pPr>
    </w:p>
    <w:p w14:paraId="6242DC7D">
      <w:pPr>
        <w:pStyle w:val="25"/>
        <w:spacing w:after="0" w:line="360" w:lineRule="auto"/>
        <w:ind w:left="0" w:lef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按照合同约定，中标人承担工程设计、材料采购、施工、安装、调试、试运行、竣工验收、移交、配合备案、工程缺陷责任期内的缺陷修复、保修服务等，并对承包工程的质量、安全、工期、造价全面负责。应遵循以下法律法规：</w:t>
      </w:r>
    </w:p>
    <w:p w14:paraId="7A9568F0">
      <w:pPr>
        <w:pStyle w:val="25"/>
        <w:spacing w:after="0" w:line="360" w:lineRule="auto"/>
        <w:ind w:left="0" w:leftChars="0"/>
        <w:jc w:val="left"/>
        <w:rPr>
          <w:rFonts w:hint="eastAsia" w:ascii="宋体" w:hAnsi="宋体" w:cs="宋体"/>
          <w:color w:val="auto"/>
          <w:sz w:val="21"/>
          <w:szCs w:val="21"/>
          <w:highlight w:val="none"/>
        </w:rPr>
      </w:pPr>
      <w:bookmarkStart w:id="407" w:name="_Toc8526"/>
      <w:bookmarkStart w:id="408" w:name="_Toc13348"/>
      <w:r>
        <w:rPr>
          <w:rFonts w:hint="eastAsia" w:ascii="宋体" w:hAnsi="宋体" w:cs="宋体"/>
          <w:color w:val="auto"/>
          <w:sz w:val="21"/>
          <w:szCs w:val="21"/>
          <w:highlight w:val="none"/>
        </w:rPr>
        <w:t>1、国家关于工程建设现行的有关法律、法规</w:t>
      </w:r>
      <w:bookmarkEnd w:id="407"/>
      <w:bookmarkEnd w:id="408"/>
      <w:r>
        <w:rPr>
          <w:rFonts w:hint="eastAsia" w:ascii="宋体" w:hAnsi="宋体" w:cs="宋体"/>
          <w:color w:val="auto"/>
          <w:sz w:val="21"/>
          <w:szCs w:val="21"/>
          <w:highlight w:val="none"/>
        </w:rPr>
        <w:t>；</w:t>
      </w:r>
    </w:p>
    <w:p w14:paraId="4079A770">
      <w:pPr>
        <w:pStyle w:val="25"/>
        <w:spacing w:after="0" w:line="360" w:lineRule="auto"/>
        <w:ind w:left="0" w:leftChars="0"/>
        <w:jc w:val="left"/>
        <w:rPr>
          <w:rFonts w:hint="eastAsia" w:ascii="宋体" w:hAnsi="宋体" w:cs="宋体"/>
          <w:color w:val="auto"/>
          <w:sz w:val="21"/>
          <w:szCs w:val="21"/>
          <w:highlight w:val="none"/>
        </w:rPr>
      </w:pPr>
      <w:bookmarkStart w:id="409" w:name="_Toc15809"/>
      <w:bookmarkStart w:id="410" w:name="_Toc11437"/>
      <w:r>
        <w:rPr>
          <w:rFonts w:hint="eastAsia" w:ascii="宋体" w:hAnsi="宋体" w:cs="宋体"/>
          <w:color w:val="auto"/>
          <w:sz w:val="21"/>
          <w:szCs w:val="21"/>
          <w:highlight w:val="none"/>
        </w:rPr>
        <w:t>2、国家关于工程建设现行的规范、标准及行业的有关规定</w:t>
      </w:r>
      <w:bookmarkEnd w:id="409"/>
      <w:bookmarkEnd w:id="410"/>
      <w:r>
        <w:rPr>
          <w:rFonts w:hint="eastAsia" w:ascii="宋体" w:hAnsi="宋体" w:cs="宋体"/>
          <w:color w:val="auto"/>
          <w:sz w:val="21"/>
          <w:szCs w:val="21"/>
          <w:highlight w:val="none"/>
        </w:rPr>
        <w:t>；</w:t>
      </w:r>
    </w:p>
    <w:p w14:paraId="1FBCA6C4">
      <w:pPr>
        <w:pStyle w:val="25"/>
        <w:spacing w:after="0" w:line="360" w:lineRule="auto"/>
        <w:ind w:left="0" w:leftChars="0"/>
        <w:jc w:val="left"/>
        <w:rPr>
          <w:rFonts w:hint="eastAsia" w:ascii="宋体" w:hAnsi="宋体" w:cs="宋体"/>
          <w:color w:val="auto"/>
          <w:sz w:val="21"/>
          <w:szCs w:val="21"/>
          <w:highlight w:val="none"/>
        </w:rPr>
      </w:pPr>
      <w:bookmarkStart w:id="411" w:name="_Toc730"/>
      <w:bookmarkStart w:id="412" w:name="_Toc26539"/>
      <w:r>
        <w:rPr>
          <w:rFonts w:hint="eastAsia" w:ascii="宋体" w:hAnsi="宋体" w:cs="宋体"/>
          <w:color w:val="auto"/>
          <w:sz w:val="21"/>
          <w:szCs w:val="21"/>
          <w:highlight w:val="none"/>
        </w:rPr>
        <w:t>3、以上两项规范涉及到的其他现行国家规范、规程、规定和地方管理规定。</w:t>
      </w:r>
      <w:bookmarkEnd w:id="411"/>
      <w:bookmarkEnd w:id="412"/>
    </w:p>
    <w:p w14:paraId="78136813">
      <w:pPr>
        <w:pStyle w:val="25"/>
        <w:spacing w:after="0" w:line="312" w:lineRule="auto"/>
        <w:ind w:left="0" w:leftChars="0"/>
        <w:jc w:val="left"/>
        <w:rPr>
          <w:rFonts w:hint="eastAsia" w:ascii="宋体" w:hAnsi="宋体" w:cs="宋体"/>
          <w:color w:val="auto"/>
          <w:sz w:val="21"/>
          <w:szCs w:val="21"/>
          <w:highlight w:val="none"/>
        </w:rPr>
      </w:pPr>
    </w:p>
    <w:p w14:paraId="0B77CEBC">
      <w:pPr>
        <w:wordWrap w:val="0"/>
        <w:topLinePunct/>
        <w:spacing w:line="360" w:lineRule="auto"/>
        <w:ind w:firstLine="630" w:firstLineChars="300"/>
        <w:rPr>
          <w:rFonts w:hint="eastAsia" w:ascii="宋体" w:hAnsi="宋体" w:cs="宋体"/>
          <w:color w:val="auto"/>
          <w:highlight w:val="none"/>
        </w:rPr>
      </w:pPr>
    </w:p>
    <w:p w14:paraId="64F225DE">
      <w:pPr>
        <w:keepLines/>
        <w:tabs>
          <w:tab w:val="left" w:pos="294"/>
        </w:tabs>
        <w:wordWrap w:val="0"/>
        <w:topLinePunct/>
        <w:spacing w:line="360" w:lineRule="auto"/>
        <w:ind w:firstLine="630" w:firstLineChars="300"/>
        <w:jc w:val="left"/>
        <w:rPr>
          <w:rFonts w:hint="eastAsia" w:ascii="宋体" w:hAnsi="宋体" w:cs="宋体"/>
          <w:bCs/>
          <w:color w:val="auto"/>
          <w:szCs w:val="21"/>
          <w:highlight w:val="none"/>
        </w:rPr>
      </w:pPr>
    </w:p>
    <w:p w14:paraId="52658AD3">
      <w:pPr>
        <w:keepLines/>
        <w:tabs>
          <w:tab w:val="left" w:pos="294"/>
        </w:tabs>
        <w:wordWrap w:val="0"/>
        <w:topLinePunct/>
        <w:spacing w:line="360" w:lineRule="auto"/>
        <w:ind w:firstLine="630" w:firstLineChars="300"/>
        <w:jc w:val="left"/>
        <w:rPr>
          <w:rFonts w:hint="eastAsia" w:ascii="宋体" w:hAnsi="宋体" w:cs="宋体"/>
          <w:bCs/>
          <w:color w:val="auto"/>
          <w:szCs w:val="21"/>
          <w:highlight w:val="none"/>
        </w:rPr>
      </w:pPr>
    </w:p>
    <w:p w14:paraId="05688351">
      <w:pPr>
        <w:pStyle w:val="7"/>
        <w:wordWrap w:val="0"/>
        <w:topLinePunct/>
        <w:spacing w:line="360" w:lineRule="auto"/>
        <w:jc w:val="center"/>
        <w:rPr>
          <w:rFonts w:hint="eastAsia" w:cs="宋体"/>
          <w:color w:val="auto"/>
          <w:highlight w:val="none"/>
        </w:rPr>
      </w:pPr>
      <w:r>
        <w:rPr>
          <w:rFonts w:hint="eastAsia" w:cs="宋体"/>
          <w:color w:val="auto"/>
          <w:highlight w:val="none"/>
        </w:rPr>
        <w:br w:type="page"/>
      </w:r>
      <w:bookmarkStart w:id="413" w:name="_Toc15202"/>
      <w:bookmarkStart w:id="414" w:name="_Toc25281"/>
      <w:bookmarkStart w:id="415" w:name="_Toc27333"/>
      <w:bookmarkStart w:id="416" w:name="_Toc29747"/>
      <w:bookmarkStart w:id="417" w:name="_Toc12638"/>
      <w:r>
        <w:rPr>
          <w:rFonts w:hint="eastAsia" w:cs="宋体"/>
          <w:b/>
          <w:bCs/>
          <w:color w:val="auto"/>
          <w:highlight w:val="none"/>
        </w:rPr>
        <w:t>第七章  发包人提供的资料</w:t>
      </w:r>
      <w:bookmarkEnd w:id="413"/>
      <w:bookmarkEnd w:id="414"/>
      <w:bookmarkEnd w:id="415"/>
      <w:bookmarkEnd w:id="416"/>
      <w:bookmarkEnd w:id="417"/>
    </w:p>
    <w:p w14:paraId="2424FED4">
      <w:pPr>
        <w:keepLines/>
        <w:tabs>
          <w:tab w:val="left" w:pos="294"/>
        </w:tabs>
        <w:wordWrap w:val="0"/>
        <w:topLinePunct/>
        <w:spacing w:line="360" w:lineRule="auto"/>
        <w:ind w:firstLine="630" w:firstLineChars="300"/>
        <w:jc w:val="left"/>
        <w:rPr>
          <w:rFonts w:hint="eastAsia" w:ascii="宋体" w:hAnsi="宋体" w:cs="宋体"/>
          <w:color w:val="auto"/>
          <w:highlight w:val="none"/>
        </w:rPr>
      </w:pPr>
    </w:p>
    <w:p w14:paraId="253FBAB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1、施工场地及毗邻区域内的供水、排水、供电、通信、广播电视等管线资料、气象和水文观测资料，相邻建筑物和构筑物、以及其他与建设工程有关的原始资料。</w:t>
      </w:r>
    </w:p>
    <w:p w14:paraId="1207E4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2、定位放线的基准点、基准线和基准标高。</w:t>
      </w:r>
    </w:p>
    <w:p w14:paraId="621131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3、发包人取得的有关审批、核准和备案材料。</w:t>
      </w:r>
    </w:p>
    <w:p w14:paraId="623137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4、为承包人就近提供所需的施工水源、电源点，承包人安装计量装置并承担由此发生的费用。</w:t>
      </w:r>
    </w:p>
    <w:p w14:paraId="6A7FEB2D">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br w:type="page"/>
      </w:r>
    </w:p>
    <w:p w14:paraId="63EB5117">
      <w:pPr>
        <w:pStyle w:val="7"/>
        <w:wordWrap w:val="0"/>
        <w:topLinePunct/>
        <w:spacing w:line="360" w:lineRule="auto"/>
        <w:jc w:val="center"/>
        <w:rPr>
          <w:rFonts w:hint="eastAsia" w:cs="宋体"/>
          <w:color w:val="auto"/>
          <w:highlight w:val="none"/>
        </w:rPr>
      </w:pPr>
      <w:bookmarkStart w:id="418" w:name="_Toc21708"/>
      <w:bookmarkStart w:id="419" w:name="_Toc16691"/>
      <w:bookmarkStart w:id="420" w:name="_Toc8980"/>
      <w:bookmarkStart w:id="421" w:name="_Toc23694"/>
      <w:r>
        <w:rPr>
          <w:rFonts w:hint="eastAsia" w:cs="宋体"/>
          <w:b/>
          <w:bCs/>
          <w:color w:val="auto"/>
          <w:sz w:val="36"/>
          <w:szCs w:val="32"/>
          <w:highlight w:val="none"/>
        </w:rPr>
        <w:t>第八章  投标文件格式</w:t>
      </w:r>
      <w:bookmarkEnd w:id="418"/>
      <w:bookmarkEnd w:id="419"/>
      <w:bookmarkEnd w:id="420"/>
      <w:bookmarkEnd w:id="421"/>
    </w:p>
    <w:p w14:paraId="5CFA019D">
      <w:pPr>
        <w:wordWrap w:val="0"/>
        <w:topLinePunct/>
        <w:spacing w:line="360" w:lineRule="auto"/>
        <w:rPr>
          <w:rFonts w:hint="eastAsia" w:ascii="宋体" w:hAnsi="宋体" w:cs="宋体"/>
          <w:color w:val="auto"/>
          <w:highlight w:val="none"/>
        </w:rPr>
      </w:pPr>
    </w:p>
    <w:p w14:paraId="4927F307">
      <w:pPr>
        <w:wordWrap w:val="0"/>
        <w:topLinePunct/>
        <w:spacing w:line="360" w:lineRule="auto"/>
        <w:rPr>
          <w:rFonts w:hint="eastAsia" w:ascii="宋体" w:hAnsi="宋体" w:cs="宋体"/>
          <w:color w:val="auto"/>
          <w:highlight w:val="none"/>
        </w:rPr>
      </w:pPr>
    </w:p>
    <w:p w14:paraId="476E37E2">
      <w:pPr>
        <w:pStyle w:val="2"/>
        <w:wordWrap w:val="0"/>
        <w:topLinePunct/>
        <w:spacing w:line="360" w:lineRule="auto"/>
        <w:rPr>
          <w:rFonts w:ascii="宋体" w:hAnsi="宋体" w:cs="宋体"/>
          <w:color w:val="auto"/>
          <w:highlight w:val="none"/>
        </w:rPr>
      </w:pPr>
    </w:p>
    <w:p w14:paraId="6C6C66E0">
      <w:pPr>
        <w:wordWrap w:val="0"/>
        <w:topLinePunct/>
        <w:spacing w:line="360" w:lineRule="auto"/>
        <w:rPr>
          <w:rFonts w:hint="eastAsia" w:ascii="宋体" w:hAnsi="宋体" w:cs="宋体"/>
          <w:color w:val="auto"/>
          <w:sz w:val="20"/>
          <w:szCs w:val="20"/>
          <w:highlight w:val="none"/>
        </w:rPr>
      </w:pPr>
    </w:p>
    <w:p w14:paraId="0EC115A3">
      <w:pPr>
        <w:wordWrap w:val="0"/>
        <w:topLinePunct/>
        <w:spacing w:line="360" w:lineRule="auto"/>
        <w:jc w:val="center"/>
        <w:rPr>
          <w:rFonts w:hint="eastAsia" w:ascii="宋体" w:hAnsi="宋体" w:cs="宋体"/>
          <w:color w:val="auto"/>
          <w:sz w:val="72"/>
          <w:szCs w:val="7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31878309">
      <w:pPr>
        <w:wordWrap w:val="0"/>
        <w:topLinePunct/>
        <w:spacing w:before="312" w:beforeLines="100" w:line="360" w:lineRule="auto"/>
        <w:jc w:val="center"/>
        <w:rPr>
          <w:rFonts w:hint="eastAsia" w:ascii="宋体" w:hAnsi="宋体" w:cs="宋体"/>
          <w:color w:val="auto"/>
          <w:sz w:val="72"/>
          <w:szCs w:val="72"/>
          <w:highlight w:val="none"/>
        </w:rPr>
      </w:pPr>
    </w:p>
    <w:p w14:paraId="4FED1E90">
      <w:pPr>
        <w:wordWrap w:val="0"/>
        <w:topLinePunct/>
        <w:spacing w:before="312" w:beforeLines="10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2A83747D">
      <w:pPr>
        <w:wordWrap w:val="0"/>
        <w:topLinePunct/>
        <w:spacing w:line="360" w:lineRule="auto"/>
        <w:rPr>
          <w:rFonts w:hint="eastAsia" w:ascii="宋体" w:hAnsi="宋体" w:cs="宋体"/>
          <w:color w:val="auto"/>
          <w:sz w:val="32"/>
          <w:szCs w:val="32"/>
          <w:highlight w:val="none"/>
        </w:rPr>
      </w:pPr>
      <w:r>
        <w:rPr>
          <w:rFonts w:hint="eastAsia" w:ascii="宋体" w:hAnsi="宋体" w:cs="宋体"/>
          <w:color w:val="auto"/>
          <w:sz w:val="24"/>
          <w:highlight w:val="none"/>
        </w:rPr>
        <w:t xml:space="preserve"> </w:t>
      </w:r>
    </w:p>
    <w:p w14:paraId="41909049">
      <w:pPr>
        <w:wordWrap w:val="0"/>
        <w:topLinePunct/>
        <w:spacing w:line="360" w:lineRule="auto"/>
        <w:jc w:val="center"/>
        <w:rPr>
          <w:rFonts w:hint="eastAsia" w:ascii="宋体" w:hAnsi="宋体" w:cs="宋体"/>
          <w:color w:val="auto"/>
          <w:sz w:val="32"/>
          <w:szCs w:val="32"/>
          <w:highlight w:val="none"/>
        </w:rPr>
      </w:pPr>
    </w:p>
    <w:p w14:paraId="1BA260CB">
      <w:pPr>
        <w:wordWrap w:val="0"/>
        <w:topLinePunct/>
        <w:spacing w:line="360" w:lineRule="auto"/>
        <w:jc w:val="center"/>
        <w:rPr>
          <w:rFonts w:hint="eastAsia" w:ascii="宋体" w:hAnsi="宋体" w:cs="宋体"/>
          <w:color w:val="auto"/>
          <w:sz w:val="32"/>
          <w:szCs w:val="32"/>
          <w:highlight w:val="none"/>
        </w:rPr>
      </w:pPr>
    </w:p>
    <w:p w14:paraId="57B736AB">
      <w:pPr>
        <w:wordWrap w:val="0"/>
        <w:topLinePunct/>
        <w:spacing w:line="360" w:lineRule="auto"/>
        <w:jc w:val="center"/>
        <w:rPr>
          <w:rFonts w:hint="eastAsia" w:ascii="宋体" w:hAnsi="宋体" w:cs="宋体"/>
          <w:color w:val="auto"/>
          <w:sz w:val="32"/>
          <w:szCs w:val="32"/>
          <w:highlight w:val="none"/>
        </w:rPr>
      </w:pPr>
    </w:p>
    <w:p w14:paraId="54300A0A">
      <w:pPr>
        <w:wordWrap w:val="0"/>
        <w:topLinePunct/>
        <w:spacing w:line="360" w:lineRule="auto"/>
        <w:jc w:val="center"/>
        <w:rPr>
          <w:rFonts w:hint="eastAsia" w:ascii="宋体" w:hAnsi="宋体" w:cs="宋体"/>
          <w:color w:val="auto"/>
          <w:sz w:val="32"/>
          <w:szCs w:val="32"/>
          <w:highlight w:val="none"/>
        </w:rPr>
      </w:pPr>
    </w:p>
    <w:p w14:paraId="0C07DB79">
      <w:pPr>
        <w:wordWrap w:val="0"/>
        <w:topLinePunct/>
        <w:spacing w:line="360" w:lineRule="auto"/>
        <w:jc w:val="center"/>
        <w:rPr>
          <w:rFonts w:hint="eastAsia" w:ascii="宋体" w:hAnsi="宋体" w:cs="宋体"/>
          <w:color w:val="auto"/>
          <w:sz w:val="32"/>
          <w:szCs w:val="32"/>
          <w:highlight w:val="none"/>
        </w:rPr>
      </w:pPr>
    </w:p>
    <w:p w14:paraId="1D3D9BD6">
      <w:pPr>
        <w:wordWrap w:val="0"/>
        <w:topLinePunct/>
        <w:spacing w:line="360" w:lineRule="auto"/>
        <w:jc w:val="center"/>
        <w:rPr>
          <w:rFonts w:hint="eastAsia" w:ascii="宋体" w:hAnsi="宋体" w:cs="宋体"/>
          <w:color w:val="auto"/>
          <w:sz w:val="28"/>
          <w:szCs w:val="28"/>
          <w:highlight w:val="none"/>
        </w:rPr>
      </w:pPr>
    </w:p>
    <w:p w14:paraId="0ECCC85C">
      <w:pPr>
        <w:wordWrap w:val="0"/>
        <w:topLinePunct/>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（盖单位电子签章）</w:t>
      </w:r>
    </w:p>
    <w:p w14:paraId="4517B0EE">
      <w:pPr>
        <w:wordWrap w:val="0"/>
        <w:topLinePunct/>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（法定代表人电子签名或盖章）</w:t>
      </w:r>
    </w:p>
    <w:p w14:paraId="59D714F4">
      <w:pPr>
        <w:wordWrap w:val="0"/>
        <w:topLinePunct/>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AD53B2F">
      <w:pPr>
        <w:wordWrap w:val="0"/>
        <w:topLinePunct/>
        <w:spacing w:line="360" w:lineRule="auto"/>
        <w:rPr>
          <w:rFonts w:hint="eastAsia" w:ascii="宋体" w:hAnsi="宋体" w:cs="宋体"/>
          <w:color w:val="auto"/>
          <w:sz w:val="28"/>
          <w:szCs w:val="28"/>
          <w:highlight w:val="none"/>
        </w:rPr>
      </w:pPr>
    </w:p>
    <w:p w14:paraId="587CB417">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F466F8A">
      <w:pPr>
        <w:wordWrap w:val="0"/>
        <w:topLinePunct/>
        <w:spacing w:line="360" w:lineRule="auto"/>
        <w:ind w:firstLine="549" w:firstLineChars="171"/>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6328163A">
      <w:pPr>
        <w:keepNext w:val="0"/>
        <w:keepLines w:val="0"/>
        <w:pageBreakBefore w:val="0"/>
        <w:widowControl w:val="0"/>
        <w:kinsoku/>
        <w:wordWrap w:val="0"/>
        <w:overflowPunct/>
        <w:topLinePunct/>
        <w:autoSpaceDE/>
        <w:autoSpaceDN/>
        <w:bidi w:val="0"/>
        <w:adjustRightInd/>
        <w:snapToGrid/>
        <w:spacing w:line="480" w:lineRule="auto"/>
        <w:ind w:firstLine="420" w:firstLineChars="175"/>
        <w:jc w:val="left"/>
        <w:textAlignment w:val="auto"/>
        <w:rPr>
          <w:rFonts w:hint="eastAsia" w:ascii="宋体" w:hAnsi="宋体" w:cs="宋体"/>
          <w:color w:val="auto"/>
          <w:sz w:val="24"/>
          <w:highlight w:val="none"/>
        </w:rPr>
      </w:pPr>
      <w:bookmarkStart w:id="422" w:name="_Toc19667"/>
      <w:bookmarkStart w:id="423" w:name="_Toc8194"/>
      <w:bookmarkStart w:id="424" w:name="_Toc514412462"/>
      <w:bookmarkStart w:id="425" w:name="_Toc247527830"/>
      <w:bookmarkStart w:id="426" w:name="_Toc144974859"/>
      <w:bookmarkStart w:id="427" w:name="_Toc247514249"/>
      <w:bookmarkStart w:id="428" w:name="_Toc152042579"/>
      <w:bookmarkStart w:id="429" w:name="_Toc152045790"/>
      <w:r>
        <w:rPr>
          <w:rFonts w:hint="eastAsia" w:ascii="宋体" w:hAnsi="宋体" w:cs="宋体"/>
          <w:color w:val="auto"/>
          <w:sz w:val="24"/>
          <w:highlight w:val="none"/>
        </w:rPr>
        <w:t>1.投标函及投标函附录</w:t>
      </w:r>
    </w:p>
    <w:p w14:paraId="27FDFD61">
      <w:pPr>
        <w:keepNext w:val="0"/>
        <w:keepLines w:val="0"/>
        <w:pageBreakBefore w:val="0"/>
        <w:widowControl w:val="0"/>
        <w:kinsoku/>
        <w:wordWrap w:val="0"/>
        <w:overflowPunct/>
        <w:topLinePunct/>
        <w:autoSpaceDE/>
        <w:autoSpaceDN/>
        <w:bidi w:val="0"/>
        <w:adjustRightInd/>
        <w:snapToGrid/>
        <w:spacing w:line="480" w:lineRule="auto"/>
        <w:ind w:firstLine="420" w:firstLineChars="175"/>
        <w:jc w:val="left"/>
        <w:textAlignment w:val="auto"/>
        <w:rPr>
          <w:rFonts w:hint="eastAsia" w:ascii="宋体" w:hAnsi="宋体" w:cs="宋体"/>
          <w:color w:val="auto"/>
          <w:sz w:val="24"/>
          <w:highlight w:val="none"/>
        </w:rPr>
      </w:pPr>
      <w:r>
        <w:rPr>
          <w:rFonts w:hint="eastAsia" w:ascii="宋体" w:hAnsi="宋体" w:cs="宋体"/>
          <w:color w:val="auto"/>
          <w:sz w:val="24"/>
          <w:highlight w:val="none"/>
        </w:rPr>
        <w:t>2.法定代表人身份证明或附有法定代表人身份证明的授权委托书</w:t>
      </w:r>
    </w:p>
    <w:p w14:paraId="01B7F6E7">
      <w:pPr>
        <w:keepNext w:val="0"/>
        <w:keepLines w:val="0"/>
        <w:pageBreakBefore w:val="0"/>
        <w:widowControl w:val="0"/>
        <w:kinsoku/>
        <w:wordWrap w:val="0"/>
        <w:overflowPunct/>
        <w:topLinePunct/>
        <w:autoSpaceDE/>
        <w:autoSpaceDN/>
        <w:bidi w:val="0"/>
        <w:adjustRightInd/>
        <w:snapToGrid/>
        <w:spacing w:line="480" w:lineRule="auto"/>
        <w:ind w:firstLine="420" w:firstLineChars="175"/>
        <w:jc w:val="left"/>
        <w:textAlignment w:val="auto"/>
        <w:rPr>
          <w:rFonts w:hint="eastAsia" w:ascii="宋体" w:hAnsi="宋体" w:cs="宋体"/>
          <w:color w:val="auto"/>
          <w:sz w:val="24"/>
          <w:highlight w:val="none"/>
        </w:rPr>
      </w:pPr>
      <w:r>
        <w:rPr>
          <w:rFonts w:hint="eastAsia" w:ascii="宋体" w:hAnsi="宋体" w:cs="宋体"/>
          <w:color w:val="auto"/>
          <w:sz w:val="24"/>
          <w:highlight w:val="none"/>
        </w:rPr>
        <w:t>3.联合体协议书（如有）</w:t>
      </w:r>
    </w:p>
    <w:p w14:paraId="58939766">
      <w:pPr>
        <w:keepNext w:val="0"/>
        <w:keepLines w:val="0"/>
        <w:pageBreakBefore w:val="0"/>
        <w:widowControl w:val="0"/>
        <w:kinsoku/>
        <w:wordWrap w:val="0"/>
        <w:overflowPunct/>
        <w:topLinePunct/>
        <w:autoSpaceDE/>
        <w:autoSpaceDN/>
        <w:bidi w:val="0"/>
        <w:adjustRightInd/>
        <w:snapToGrid/>
        <w:spacing w:line="480" w:lineRule="auto"/>
        <w:ind w:firstLine="420" w:firstLineChars="175"/>
        <w:jc w:val="left"/>
        <w:textAlignment w:val="auto"/>
        <w:rPr>
          <w:rFonts w:hint="eastAsia" w:ascii="宋体" w:hAnsi="宋体" w:cs="宋体"/>
          <w:color w:val="auto"/>
          <w:sz w:val="24"/>
          <w:highlight w:val="none"/>
        </w:rPr>
      </w:pPr>
      <w:bookmarkStart w:id="430" w:name="_Toc14829"/>
      <w:bookmarkStart w:id="431" w:name="_Toc23301"/>
      <w:r>
        <w:rPr>
          <w:rFonts w:hint="eastAsia" w:ascii="宋体" w:hAnsi="宋体" w:cs="宋体"/>
          <w:color w:val="auto"/>
          <w:sz w:val="24"/>
          <w:highlight w:val="none"/>
        </w:rPr>
        <w:t>4.项目实施技术方案</w:t>
      </w:r>
      <w:bookmarkEnd w:id="430"/>
      <w:bookmarkEnd w:id="431"/>
    </w:p>
    <w:p w14:paraId="61A1DA30">
      <w:pPr>
        <w:keepNext w:val="0"/>
        <w:keepLines w:val="0"/>
        <w:pageBreakBefore w:val="0"/>
        <w:widowControl w:val="0"/>
        <w:kinsoku/>
        <w:wordWrap w:val="0"/>
        <w:overflowPunct/>
        <w:topLinePunct/>
        <w:autoSpaceDE/>
        <w:autoSpaceDN/>
        <w:bidi w:val="0"/>
        <w:adjustRightInd/>
        <w:snapToGrid/>
        <w:spacing w:line="480" w:lineRule="auto"/>
        <w:ind w:firstLine="420" w:firstLineChars="175"/>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5.项目管理机构 </w:t>
      </w:r>
    </w:p>
    <w:p w14:paraId="0CE9A774">
      <w:pPr>
        <w:keepNext w:val="0"/>
        <w:keepLines w:val="0"/>
        <w:pageBreakBefore w:val="0"/>
        <w:widowControl w:val="0"/>
        <w:kinsoku/>
        <w:wordWrap w:val="0"/>
        <w:overflowPunct/>
        <w:topLinePunct/>
        <w:autoSpaceDE/>
        <w:autoSpaceDN/>
        <w:bidi w:val="0"/>
        <w:adjustRightInd/>
        <w:snapToGrid/>
        <w:spacing w:line="480" w:lineRule="auto"/>
        <w:ind w:firstLine="420" w:firstLineChars="175"/>
        <w:jc w:val="left"/>
        <w:textAlignment w:val="auto"/>
        <w:rPr>
          <w:rFonts w:hint="eastAsia" w:ascii="宋体" w:hAnsi="宋体" w:cs="宋体"/>
          <w:color w:val="auto"/>
          <w:sz w:val="24"/>
          <w:highlight w:val="none"/>
        </w:rPr>
      </w:pPr>
      <w:r>
        <w:rPr>
          <w:rFonts w:hint="eastAsia" w:ascii="宋体" w:hAnsi="宋体" w:cs="宋体"/>
          <w:color w:val="auto"/>
          <w:sz w:val="24"/>
          <w:highlight w:val="none"/>
        </w:rPr>
        <w:t>6.资格审查资料</w:t>
      </w:r>
    </w:p>
    <w:p w14:paraId="225BDE5D">
      <w:pPr>
        <w:keepNext w:val="0"/>
        <w:keepLines w:val="0"/>
        <w:pageBreakBefore w:val="0"/>
        <w:widowControl w:val="0"/>
        <w:kinsoku/>
        <w:wordWrap w:val="0"/>
        <w:overflowPunct/>
        <w:topLinePunct/>
        <w:autoSpaceDE/>
        <w:autoSpaceDN/>
        <w:bidi w:val="0"/>
        <w:adjustRightInd/>
        <w:snapToGrid/>
        <w:spacing w:line="480" w:lineRule="auto"/>
        <w:ind w:firstLine="420" w:firstLineChars="175"/>
        <w:jc w:val="left"/>
        <w:textAlignment w:val="auto"/>
        <w:rPr>
          <w:rFonts w:hint="eastAsia" w:ascii="宋体" w:hAnsi="宋体" w:cs="宋体"/>
          <w:color w:val="auto"/>
          <w:sz w:val="24"/>
          <w:highlight w:val="none"/>
        </w:rPr>
      </w:pPr>
      <w:r>
        <w:rPr>
          <w:rFonts w:hint="eastAsia" w:ascii="宋体" w:hAnsi="宋体" w:cs="宋体"/>
          <w:color w:val="auto"/>
          <w:sz w:val="24"/>
          <w:highlight w:val="none"/>
        </w:rPr>
        <w:t>7.其他资料</w:t>
      </w:r>
    </w:p>
    <w:p w14:paraId="4500F581">
      <w:pPr>
        <w:pStyle w:val="25"/>
        <w:ind w:left="0" w:leftChars="0" w:firstLine="0" w:firstLineChars="0"/>
        <w:rPr>
          <w:rFonts w:hint="eastAsia"/>
          <w:color w:val="auto"/>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注：为方便评审，投标人应编制有页码的目录</w:t>
      </w:r>
      <w:r>
        <w:rPr>
          <w:rFonts w:hint="eastAsia" w:ascii="宋体" w:hAnsi="宋体" w:cs="宋体"/>
          <w:color w:val="auto"/>
          <w:sz w:val="24"/>
          <w:highlight w:val="none"/>
          <w:lang w:eastAsia="zh-CN"/>
        </w:rPr>
        <w:t>）</w:t>
      </w:r>
    </w:p>
    <w:p w14:paraId="1159706A">
      <w:pPr>
        <w:wordWrap w:val="0"/>
        <w:topLinePunct/>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4BD0A89F">
      <w:pPr>
        <w:pStyle w:val="8"/>
        <w:wordWrap w:val="0"/>
        <w:topLinePunct/>
        <w:spacing w:line="360" w:lineRule="auto"/>
        <w:ind w:firstLine="118"/>
        <w:jc w:val="center"/>
        <w:rPr>
          <w:rFonts w:hint="eastAsia" w:ascii="宋体" w:hAnsi="宋体" w:eastAsia="宋体" w:cs="宋体"/>
          <w:color w:val="auto"/>
          <w:highlight w:val="none"/>
        </w:rPr>
      </w:pPr>
      <w:bookmarkStart w:id="432" w:name="_Toc15840"/>
      <w:bookmarkStart w:id="433" w:name="_Toc4228"/>
      <w:bookmarkStart w:id="434" w:name="_Toc24702"/>
      <w:bookmarkStart w:id="435" w:name="_Toc8943"/>
      <w:r>
        <w:rPr>
          <w:rFonts w:hint="eastAsia" w:ascii="宋体" w:hAnsi="宋体" w:eastAsia="宋体" w:cs="宋体"/>
          <w:color w:val="auto"/>
          <w:sz w:val="24"/>
          <w:szCs w:val="24"/>
          <w:highlight w:val="none"/>
        </w:rPr>
        <w:t>一、投标函及投标函附录</w:t>
      </w:r>
      <w:bookmarkEnd w:id="422"/>
      <w:bookmarkEnd w:id="423"/>
      <w:bookmarkEnd w:id="432"/>
      <w:bookmarkEnd w:id="433"/>
      <w:bookmarkEnd w:id="434"/>
      <w:bookmarkEnd w:id="435"/>
    </w:p>
    <w:p w14:paraId="5AFDABED">
      <w:pPr>
        <w:widowControl/>
        <w:wordWrap w:val="0"/>
        <w:topLinePunct/>
        <w:adjustRightInd w:val="0"/>
        <w:snapToGrid w:val="0"/>
        <w:spacing w:line="360" w:lineRule="auto"/>
        <w:ind w:left="720" w:hanging="720"/>
        <w:jc w:val="center"/>
        <w:rPr>
          <w:rFonts w:hint="eastAsia" w:ascii="宋体" w:hAnsi="宋体" w:cs="宋体"/>
          <w:b/>
          <w:color w:val="auto"/>
          <w:highlight w:val="none"/>
        </w:rPr>
      </w:pPr>
      <w:r>
        <w:rPr>
          <w:rFonts w:hint="eastAsia" w:ascii="宋体" w:hAnsi="宋体" w:cs="宋体"/>
          <w:b/>
          <w:color w:val="auto"/>
          <w:highlight w:val="none"/>
        </w:rPr>
        <w:t>（一）</w:t>
      </w:r>
      <w:r>
        <w:rPr>
          <w:rFonts w:hint="eastAsia" w:ascii="宋体" w:hAnsi="宋体" w:cs="宋体"/>
          <w:b/>
          <w:color w:val="auto"/>
          <w:sz w:val="24"/>
          <w:highlight w:val="none"/>
        </w:rPr>
        <w:t>投 标 函</w:t>
      </w:r>
    </w:p>
    <w:bookmarkEnd w:id="424"/>
    <w:bookmarkEnd w:id="425"/>
    <w:bookmarkEnd w:id="426"/>
    <w:bookmarkEnd w:id="427"/>
    <w:bookmarkEnd w:id="428"/>
    <w:bookmarkEnd w:id="429"/>
    <w:p w14:paraId="62A88B95">
      <w:pPr>
        <w:spacing w:line="480" w:lineRule="exact"/>
        <w:rPr>
          <w:rFonts w:hint="eastAsia" w:ascii="宋体" w:hAnsi="宋体" w:cs="宋体"/>
          <w:color w:val="auto"/>
          <w:sz w:val="21"/>
          <w:szCs w:val="21"/>
          <w:highlight w:val="none"/>
        </w:rPr>
      </w:pPr>
      <w:bookmarkStart w:id="436" w:name="_Toc18086"/>
      <w:bookmarkStart w:id="437" w:name="_Toc520896008"/>
      <w:bookmarkStart w:id="438" w:name="_Toc30715"/>
      <w:bookmarkStart w:id="439" w:name="_Toc521960406"/>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（招标人）</w:t>
      </w:r>
    </w:p>
    <w:p w14:paraId="00D30167">
      <w:pPr>
        <w:wordWrap w:val="0"/>
        <w:topLinePunct/>
        <w:adjustRightInd w:val="0"/>
        <w:snapToGrid w:val="0"/>
        <w:spacing w:line="400" w:lineRule="exact"/>
        <w:rPr>
          <w:rFonts w:ascii="宋体" w:hAnsi="宋体" w:cs="宋体"/>
          <w:color w:val="auto"/>
          <w:szCs w:val="21"/>
          <w:highlight w:val="none"/>
          <w:u w:val="single"/>
        </w:rPr>
      </w:pPr>
      <w:r>
        <w:rPr>
          <w:rFonts w:ascii="宋体" w:hAnsi="宋体" w:cs="宋体"/>
          <w:color w:val="auto"/>
          <w:szCs w:val="21"/>
          <w:highlight w:val="none"/>
        </w:rPr>
        <w:t xml:space="preserve">1.我方已仔细研究了 </w:t>
      </w:r>
      <w:r>
        <w:rPr>
          <w:rFonts w:ascii="宋体" w:hAnsi="宋体" w:cs="宋体"/>
          <w:color w:val="auto"/>
          <w:szCs w:val="21"/>
          <w:highlight w:val="none"/>
          <w:u w:val="single"/>
        </w:rPr>
        <w:t xml:space="preserve">        </w:t>
      </w:r>
      <w:r>
        <w:rPr>
          <w:rFonts w:ascii="宋体" w:hAnsi="宋体" w:cs="宋体"/>
          <w:color w:val="auto"/>
          <w:szCs w:val="21"/>
          <w:highlight w:val="none"/>
        </w:rPr>
        <w:t>（项目名称）招标文件的全部内容，</w:t>
      </w:r>
      <w:r>
        <w:rPr>
          <w:rFonts w:hint="eastAsia" w:ascii="宋体" w:hAnsi="宋体" w:cs="宋体"/>
          <w:color w:val="auto"/>
          <w:szCs w:val="21"/>
          <w:highlight w:val="none"/>
          <w:lang w:eastAsia="zh-CN"/>
        </w:rPr>
        <w:t>工程费用</w:t>
      </w:r>
      <w:r>
        <w:rPr>
          <w:rFonts w:hint="eastAsia" w:ascii="宋体" w:hAnsi="宋体" w:cs="宋体"/>
          <w:color w:val="auto"/>
          <w:szCs w:val="21"/>
          <w:highlight w:val="none"/>
        </w:rPr>
        <w:t>投标报价：投资评审价（或审计决算价）的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%；设计费投标报价</w:t>
      </w:r>
      <w:r>
        <w:rPr>
          <w:rFonts w:hint="eastAsia" w:ascii="宋体" w:hAnsi="宋体" w:cs="宋体"/>
          <w:color w:val="auto"/>
          <w:szCs w:val="21"/>
          <w:highlight w:val="none"/>
          <w:lang w:eastAsia="zh-CN"/>
        </w:rPr>
        <w:t>：投资评审价（或审计决算价）的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，遵照招标文件的要求承担并完成本合同工程全部责任、义务。</w:t>
      </w:r>
    </w:p>
    <w:p w14:paraId="1B5BC4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2．我方承诺在投标有效期60日历天内不修改、撤销投标文件。</w:t>
      </w:r>
    </w:p>
    <w:p w14:paraId="22A74B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3．如我方中标：</w:t>
      </w:r>
    </w:p>
    <w:p w14:paraId="5BBEF2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3DBFD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734B99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（3）我方承诺在合同约定的期限内完成并移交全部合同工程；</w:t>
      </w:r>
    </w:p>
    <w:p w14:paraId="5BA9BE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（4）如果我们中标，我们愿意按《中华人民共和国民法典》履行自己的全部责任；</w:t>
      </w:r>
    </w:p>
    <w:p w14:paraId="74187C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（5）我方承诺响应招标文件的所有内容。</w:t>
      </w:r>
    </w:p>
    <w:p w14:paraId="3BFA2AF0">
      <w:pPr>
        <w:spacing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293B94FE">
      <w:pPr>
        <w:spacing w:line="360" w:lineRule="auto"/>
        <w:rPr>
          <w:rFonts w:hint="eastAsia" w:ascii="宋体" w:hAnsi="宋体" w:cs="宋体"/>
          <w:color w:val="auto"/>
          <w:sz w:val="21"/>
          <w:szCs w:val="21"/>
          <w:highlight w:val="none"/>
        </w:rPr>
      </w:pPr>
    </w:p>
    <w:p w14:paraId="607564CA">
      <w:pPr>
        <w:spacing w:line="360" w:lineRule="auto"/>
        <w:rPr>
          <w:rFonts w:hint="eastAsia" w:ascii="宋体" w:hAnsi="宋体" w:cs="宋体"/>
          <w:color w:val="auto"/>
          <w:sz w:val="21"/>
          <w:szCs w:val="21"/>
          <w:highlight w:val="none"/>
        </w:rPr>
      </w:pPr>
    </w:p>
    <w:p w14:paraId="0BBACAF5">
      <w:pPr>
        <w:wordWrap w:val="0"/>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（单位电子签章）</w:t>
      </w:r>
    </w:p>
    <w:p w14:paraId="19714CB9">
      <w:pPr>
        <w:wordWrap w:val="0"/>
        <w:spacing w:line="360" w:lineRule="auto"/>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(法定代表人电子签名或盖章)</w:t>
      </w:r>
    </w:p>
    <w:p w14:paraId="65F761F3">
      <w:pPr>
        <w:spacing w:line="360" w:lineRule="auto"/>
        <w:ind w:firstLine="420" w:firstLineChars="200"/>
        <w:jc w:val="right"/>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0153B0F2">
      <w:pPr>
        <w:spacing w:line="360" w:lineRule="auto"/>
        <w:rPr>
          <w:rFonts w:hint="eastAsia" w:ascii="宋体" w:hAnsi="宋体"/>
          <w:b/>
          <w:bCs/>
          <w:color w:val="auto"/>
          <w:highlight w:val="none"/>
        </w:rPr>
      </w:pPr>
    </w:p>
    <w:p w14:paraId="52288608">
      <w:pPr>
        <w:spacing w:line="360" w:lineRule="auto"/>
        <w:rPr>
          <w:rFonts w:hint="eastAsia" w:ascii="宋体" w:hAnsi="宋体"/>
          <w:b/>
          <w:bCs/>
          <w:color w:val="auto"/>
          <w:highlight w:val="none"/>
        </w:rPr>
      </w:pPr>
      <w:r>
        <w:rPr>
          <w:rFonts w:hint="eastAsia" w:ascii="宋体" w:hAnsi="宋体"/>
          <w:b/>
          <w:bCs/>
          <w:color w:val="auto"/>
          <w:highlight w:val="none"/>
        </w:rPr>
        <w:t>备注：若投标人为联合体，则须由联合体牵头人的法定代表人签署，由联合体牵头人盖单位电子签章。</w:t>
      </w:r>
    </w:p>
    <w:p w14:paraId="52803F89">
      <w:pPr>
        <w:wordWrap w:val="0"/>
        <w:topLinePunct/>
        <w:spacing w:line="360" w:lineRule="auto"/>
        <w:ind w:left="720" w:hanging="720"/>
        <w:jc w:val="center"/>
        <w:rPr>
          <w:rFonts w:hint="eastAsia" w:ascii="宋体" w:hAnsi="宋体" w:cs="宋体"/>
          <w:b/>
          <w:bCs/>
          <w:color w:val="auto"/>
          <w:sz w:val="24"/>
          <w:highlight w:val="none"/>
        </w:rPr>
      </w:pPr>
      <w:r>
        <w:rPr>
          <w:rFonts w:hint="eastAsia" w:ascii="仿宋" w:hAnsi="仿宋" w:eastAsia="仿宋" w:cs="仿宋"/>
          <w:color w:val="auto"/>
          <w:szCs w:val="28"/>
          <w:highlight w:val="none"/>
        </w:rPr>
        <w:br w:type="page"/>
      </w:r>
      <w:r>
        <w:rPr>
          <w:rFonts w:hint="eastAsia" w:ascii="宋体" w:hAnsi="宋体" w:cs="宋体"/>
          <w:b/>
          <w:bCs/>
          <w:color w:val="auto"/>
          <w:sz w:val="24"/>
          <w:highlight w:val="none"/>
        </w:rPr>
        <w:t>（二）投标函附录</w:t>
      </w:r>
      <w:bookmarkEnd w:id="436"/>
      <w:bookmarkEnd w:id="437"/>
      <w:bookmarkEnd w:id="438"/>
      <w:bookmarkEnd w:id="439"/>
    </w:p>
    <w:p w14:paraId="2C93F7AE">
      <w:pPr>
        <w:pStyle w:val="2"/>
        <w:wordWrap w:val="0"/>
        <w:topLinePunct/>
        <w:spacing w:line="360" w:lineRule="auto"/>
        <w:rPr>
          <w:rFonts w:ascii="宋体" w:hAnsi="宋体" w:cs="宋体"/>
          <w:color w:val="auto"/>
          <w:highlight w:val="none"/>
        </w:rPr>
      </w:pPr>
    </w:p>
    <w:tbl>
      <w:tblPr>
        <w:tblStyle w:val="26"/>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9"/>
        <w:gridCol w:w="856"/>
        <w:gridCol w:w="968"/>
        <w:gridCol w:w="1077"/>
        <w:gridCol w:w="1077"/>
        <w:gridCol w:w="1076"/>
        <w:gridCol w:w="1576"/>
      </w:tblGrid>
      <w:tr w14:paraId="2F96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67230949">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项目名称</w:t>
            </w:r>
          </w:p>
        </w:tc>
        <w:tc>
          <w:tcPr>
            <w:tcW w:w="6630" w:type="dxa"/>
            <w:gridSpan w:val="6"/>
            <w:tcBorders>
              <w:top w:val="single" w:color="auto" w:sz="4" w:space="0"/>
              <w:left w:val="single" w:color="auto" w:sz="4" w:space="0"/>
              <w:bottom w:val="single" w:color="auto" w:sz="4" w:space="0"/>
              <w:right w:val="single" w:color="auto" w:sz="4" w:space="0"/>
            </w:tcBorders>
            <w:vAlign w:val="bottom"/>
          </w:tcPr>
          <w:p w14:paraId="0010B797">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w:t>
            </w:r>
          </w:p>
        </w:tc>
      </w:tr>
      <w:tr w14:paraId="0A3B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190D25B7">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投 标 人</w:t>
            </w:r>
          </w:p>
        </w:tc>
        <w:tc>
          <w:tcPr>
            <w:tcW w:w="6630" w:type="dxa"/>
            <w:gridSpan w:val="6"/>
            <w:tcBorders>
              <w:top w:val="single" w:color="auto" w:sz="4" w:space="0"/>
              <w:left w:val="single" w:color="auto" w:sz="4" w:space="0"/>
              <w:bottom w:val="single" w:color="auto" w:sz="4" w:space="0"/>
              <w:right w:val="single" w:color="auto" w:sz="4" w:space="0"/>
            </w:tcBorders>
            <w:vAlign w:val="center"/>
          </w:tcPr>
          <w:p w14:paraId="57F674D2">
            <w:pPr>
              <w:wordWrap w:val="0"/>
              <w:topLinePunct/>
              <w:spacing w:line="360" w:lineRule="auto"/>
              <w:jc w:val="left"/>
              <w:rPr>
                <w:rFonts w:hint="eastAsia" w:ascii="宋体" w:hAnsi="宋体" w:cs="宋体"/>
                <w:color w:val="auto"/>
                <w:highlight w:val="none"/>
              </w:rPr>
            </w:pPr>
          </w:p>
        </w:tc>
      </w:tr>
      <w:tr w14:paraId="706F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1E1321A1">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投标范围</w:t>
            </w:r>
          </w:p>
        </w:tc>
        <w:tc>
          <w:tcPr>
            <w:tcW w:w="6630" w:type="dxa"/>
            <w:gridSpan w:val="6"/>
            <w:tcBorders>
              <w:top w:val="single" w:color="auto" w:sz="4" w:space="0"/>
              <w:left w:val="single" w:color="auto" w:sz="4" w:space="0"/>
              <w:bottom w:val="single" w:color="auto" w:sz="4" w:space="0"/>
              <w:right w:val="single" w:color="auto" w:sz="4" w:space="0"/>
            </w:tcBorders>
            <w:vAlign w:val="center"/>
          </w:tcPr>
          <w:p w14:paraId="58237BC5">
            <w:pPr>
              <w:wordWrap w:val="0"/>
              <w:topLinePunct/>
              <w:spacing w:line="360" w:lineRule="auto"/>
              <w:jc w:val="left"/>
              <w:rPr>
                <w:rFonts w:hint="eastAsia" w:ascii="宋体" w:hAnsi="宋体" w:cs="宋体"/>
                <w:color w:val="auto"/>
                <w:highlight w:val="none"/>
              </w:rPr>
            </w:pPr>
            <w:r>
              <w:rPr>
                <w:rFonts w:hint="eastAsia" w:ascii="宋体" w:hAnsi="宋体" w:cs="宋体"/>
                <w:color w:val="auto"/>
                <w:highlight w:val="none"/>
              </w:rPr>
              <w:t>同本项目“招标范围”一致</w:t>
            </w:r>
          </w:p>
        </w:tc>
      </w:tr>
      <w:tr w14:paraId="2527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329" w:type="dxa"/>
            <w:tcBorders>
              <w:top w:val="single" w:color="auto" w:sz="4" w:space="0"/>
              <w:left w:val="single" w:color="auto" w:sz="4" w:space="0"/>
              <w:right w:val="single" w:color="auto" w:sz="4" w:space="0"/>
            </w:tcBorders>
            <w:vAlign w:val="center"/>
          </w:tcPr>
          <w:p w14:paraId="685A136A">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投标报价</w:t>
            </w:r>
          </w:p>
        </w:tc>
        <w:tc>
          <w:tcPr>
            <w:tcW w:w="6630" w:type="dxa"/>
            <w:gridSpan w:val="6"/>
            <w:tcBorders>
              <w:top w:val="single" w:color="auto" w:sz="4" w:space="0"/>
              <w:left w:val="single" w:color="auto" w:sz="4" w:space="0"/>
              <w:bottom w:val="single" w:color="auto" w:sz="4" w:space="0"/>
              <w:right w:val="single" w:color="auto" w:sz="4" w:space="0"/>
            </w:tcBorders>
            <w:vAlign w:val="center"/>
          </w:tcPr>
          <w:p w14:paraId="045D94CE">
            <w:pPr>
              <w:wordWrap w:val="0"/>
              <w:topLinePunct/>
              <w:adjustRightInd w:val="0"/>
              <w:snapToGrid w:val="0"/>
              <w:spacing w:line="400" w:lineRule="exact"/>
              <w:rPr>
                <w:rFonts w:hint="eastAsia" w:ascii="宋体" w:hAnsi="宋体" w:cs="宋体"/>
                <w:color w:val="auto"/>
                <w:highlight w:val="none"/>
              </w:rPr>
            </w:pPr>
            <w:r>
              <w:rPr>
                <w:rFonts w:hint="eastAsia" w:ascii="宋体" w:hAnsi="宋体" w:cs="宋体"/>
                <w:color w:val="auto"/>
                <w:highlight w:val="none"/>
                <w:lang w:eastAsia="zh-CN"/>
              </w:rPr>
              <w:t>工程费用</w:t>
            </w:r>
            <w:r>
              <w:rPr>
                <w:rFonts w:hint="eastAsia" w:ascii="宋体" w:hAnsi="宋体" w:cs="宋体"/>
                <w:color w:val="auto"/>
                <w:highlight w:val="none"/>
              </w:rPr>
              <w:t>投标报价：投资评审价（或审计决算价）的</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654AF7CD">
            <w:pPr>
              <w:wordWrap w:val="0"/>
              <w:topLinePunct/>
              <w:adjustRightInd w:val="0"/>
              <w:snapToGrid w:val="0"/>
              <w:spacing w:line="400" w:lineRule="exact"/>
              <w:rPr>
                <w:rFonts w:hint="eastAsia" w:ascii="宋体" w:hAnsi="宋体" w:cs="宋体"/>
                <w:color w:val="auto"/>
                <w:highlight w:val="none"/>
              </w:rPr>
            </w:pPr>
            <w:r>
              <w:rPr>
                <w:rFonts w:hint="eastAsia" w:ascii="宋体" w:hAnsi="宋体" w:cs="宋体"/>
                <w:color w:val="auto"/>
                <w:highlight w:val="none"/>
              </w:rPr>
              <w:t>设计费投标报价：投资评审价（或审计决算价）的</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tc>
      </w:tr>
      <w:tr w14:paraId="1099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5AD10545">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质量要求</w:t>
            </w:r>
          </w:p>
        </w:tc>
        <w:tc>
          <w:tcPr>
            <w:tcW w:w="6630" w:type="dxa"/>
            <w:gridSpan w:val="6"/>
            <w:tcBorders>
              <w:top w:val="single" w:color="auto" w:sz="4" w:space="0"/>
              <w:left w:val="single" w:color="auto" w:sz="4" w:space="0"/>
              <w:bottom w:val="single" w:color="auto" w:sz="4" w:space="0"/>
              <w:right w:val="single" w:color="auto" w:sz="4" w:space="0"/>
            </w:tcBorders>
            <w:vAlign w:val="center"/>
          </w:tcPr>
          <w:p w14:paraId="72C5F6D4">
            <w:pPr>
              <w:wordWrap w:val="0"/>
              <w:topLinePunct/>
              <w:spacing w:line="360" w:lineRule="auto"/>
              <w:rPr>
                <w:rFonts w:hint="eastAsia" w:ascii="宋体" w:hAnsi="宋体" w:cs="宋体"/>
                <w:color w:val="auto"/>
                <w:highlight w:val="none"/>
              </w:rPr>
            </w:pPr>
            <w:r>
              <w:rPr>
                <w:rFonts w:hint="eastAsia" w:ascii="宋体" w:hAnsi="宋体" w:cs="宋体"/>
                <w:bCs/>
                <w:color w:val="auto"/>
                <w:szCs w:val="21"/>
                <w:highlight w:val="none"/>
              </w:rPr>
              <w:t xml:space="preserve"> </w:t>
            </w:r>
          </w:p>
        </w:tc>
      </w:tr>
      <w:tr w14:paraId="041B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4114839A">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工程总承包项目经理</w:t>
            </w:r>
          </w:p>
        </w:tc>
        <w:tc>
          <w:tcPr>
            <w:tcW w:w="856" w:type="dxa"/>
            <w:tcBorders>
              <w:top w:val="single" w:color="auto" w:sz="4" w:space="0"/>
              <w:left w:val="single" w:color="auto" w:sz="4" w:space="0"/>
              <w:bottom w:val="single" w:color="auto" w:sz="4" w:space="0"/>
              <w:right w:val="single" w:color="auto" w:sz="4" w:space="0"/>
            </w:tcBorders>
            <w:vAlign w:val="center"/>
          </w:tcPr>
          <w:p w14:paraId="5ABE35BB">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968" w:type="dxa"/>
            <w:tcBorders>
              <w:top w:val="single" w:color="auto" w:sz="4" w:space="0"/>
              <w:left w:val="single" w:color="auto" w:sz="4" w:space="0"/>
              <w:bottom w:val="single" w:color="auto" w:sz="4" w:space="0"/>
              <w:right w:val="single" w:color="auto" w:sz="4" w:space="0"/>
            </w:tcBorders>
            <w:vAlign w:val="center"/>
          </w:tcPr>
          <w:p w14:paraId="173765D8">
            <w:pPr>
              <w:wordWrap w:val="0"/>
              <w:topLinePunct/>
              <w:spacing w:line="360" w:lineRule="auto"/>
              <w:jc w:val="center"/>
              <w:rPr>
                <w:rFonts w:hint="eastAsia" w:ascii="宋体" w:hAnsi="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2A01F917">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级别</w:t>
            </w:r>
          </w:p>
        </w:tc>
        <w:tc>
          <w:tcPr>
            <w:tcW w:w="1077" w:type="dxa"/>
            <w:tcBorders>
              <w:top w:val="single" w:color="auto" w:sz="4" w:space="0"/>
              <w:left w:val="single" w:color="auto" w:sz="4" w:space="0"/>
              <w:bottom w:val="single" w:color="auto" w:sz="4" w:space="0"/>
              <w:right w:val="single" w:color="auto" w:sz="4" w:space="0"/>
            </w:tcBorders>
            <w:vAlign w:val="center"/>
          </w:tcPr>
          <w:p w14:paraId="40802C4C">
            <w:pPr>
              <w:wordWrap w:val="0"/>
              <w:topLinePunct/>
              <w:spacing w:line="360" w:lineRule="auto"/>
              <w:jc w:val="center"/>
              <w:rPr>
                <w:rFonts w:hint="eastAsia" w:ascii="宋体" w:hAnsi="宋体" w:cs="宋体"/>
                <w:color w:val="auto"/>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52773D97">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编号</w:t>
            </w:r>
          </w:p>
        </w:tc>
        <w:tc>
          <w:tcPr>
            <w:tcW w:w="1576" w:type="dxa"/>
            <w:tcBorders>
              <w:top w:val="single" w:color="auto" w:sz="4" w:space="0"/>
              <w:left w:val="single" w:color="auto" w:sz="4" w:space="0"/>
              <w:bottom w:val="single" w:color="auto" w:sz="4" w:space="0"/>
              <w:right w:val="single" w:color="auto" w:sz="4" w:space="0"/>
            </w:tcBorders>
            <w:vAlign w:val="center"/>
          </w:tcPr>
          <w:p w14:paraId="02C08464">
            <w:pPr>
              <w:wordWrap w:val="0"/>
              <w:topLinePunct/>
              <w:spacing w:line="360" w:lineRule="auto"/>
              <w:rPr>
                <w:rFonts w:hint="eastAsia" w:ascii="宋体" w:hAnsi="宋体" w:cs="宋体"/>
                <w:color w:val="auto"/>
                <w:highlight w:val="none"/>
              </w:rPr>
            </w:pPr>
          </w:p>
        </w:tc>
      </w:tr>
      <w:tr w14:paraId="0460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4932E5D5">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设计负责人</w:t>
            </w:r>
          </w:p>
        </w:tc>
        <w:tc>
          <w:tcPr>
            <w:tcW w:w="856" w:type="dxa"/>
            <w:tcBorders>
              <w:top w:val="single" w:color="auto" w:sz="4" w:space="0"/>
              <w:left w:val="single" w:color="auto" w:sz="4" w:space="0"/>
              <w:bottom w:val="single" w:color="auto" w:sz="4" w:space="0"/>
              <w:right w:val="single" w:color="auto" w:sz="4" w:space="0"/>
            </w:tcBorders>
            <w:vAlign w:val="center"/>
          </w:tcPr>
          <w:p w14:paraId="7265EB96">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968" w:type="dxa"/>
            <w:tcBorders>
              <w:top w:val="single" w:color="auto" w:sz="4" w:space="0"/>
              <w:left w:val="single" w:color="auto" w:sz="4" w:space="0"/>
              <w:bottom w:val="single" w:color="auto" w:sz="4" w:space="0"/>
              <w:right w:val="single" w:color="auto" w:sz="4" w:space="0"/>
            </w:tcBorders>
            <w:vAlign w:val="center"/>
          </w:tcPr>
          <w:p w14:paraId="079EA95C">
            <w:pPr>
              <w:wordWrap w:val="0"/>
              <w:topLinePunct/>
              <w:spacing w:line="360" w:lineRule="auto"/>
              <w:jc w:val="center"/>
              <w:rPr>
                <w:rFonts w:hint="eastAsia" w:ascii="宋体" w:hAnsi="宋体" w:cs="宋体"/>
                <w:color w:val="auto"/>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14:paraId="5F34BE16">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级别</w:t>
            </w:r>
          </w:p>
        </w:tc>
        <w:tc>
          <w:tcPr>
            <w:tcW w:w="1077" w:type="dxa"/>
            <w:tcBorders>
              <w:top w:val="single" w:color="auto" w:sz="4" w:space="0"/>
              <w:left w:val="single" w:color="auto" w:sz="4" w:space="0"/>
              <w:bottom w:val="single" w:color="auto" w:sz="4" w:space="0"/>
              <w:right w:val="single" w:color="auto" w:sz="4" w:space="0"/>
            </w:tcBorders>
            <w:vAlign w:val="center"/>
          </w:tcPr>
          <w:p w14:paraId="65584F9A">
            <w:pPr>
              <w:wordWrap w:val="0"/>
              <w:topLinePunct/>
              <w:spacing w:line="360" w:lineRule="auto"/>
              <w:jc w:val="center"/>
              <w:rPr>
                <w:rFonts w:hint="eastAsia" w:ascii="宋体" w:hAnsi="宋体" w:cs="宋体"/>
                <w:color w:val="auto"/>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6199B92D">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编号</w:t>
            </w:r>
          </w:p>
        </w:tc>
        <w:tc>
          <w:tcPr>
            <w:tcW w:w="1576" w:type="dxa"/>
            <w:tcBorders>
              <w:top w:val="single" w:color="auto" w:sz="4" w:space="0"/>
              <w:left w:val="single" w:color="auto" w:sz="4" w:space="0"/>
              <w:bottom w:val="single" w:color="auto" w:sz="4" w:space="0"/>
              <w:right w:val="single" w:color="auto" w:sz="4" w:space="0"/>
            </w:tcBorders>
            <w:vAlign w:val="center"/>
          </w:tcPr>
          <w:p w14:paraId="139DF736">
            <w:pPr>
              <w:wordWrap w:val="0"/>
              <w:topLinePunct/>
              <w:spacing w:line="360" w:lineRule="auto"/>
              <w:rPr>
                <w:rFonts w:hint="eastAsia" w:ascii="宋体" w:hAnsi="宋体" w:cs="宋体"/>
                <w:color w:val="auto"/>
                <w:highlight w:val="none"/>
              </w:rPr>
            </w:pPr>
          </w:p>
        </w:tc>
      </w:tr>
      <w:tr w14:paraId="7443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329" w:type="dxa"/>
            <w:tcBorders>
              <w:top w:val="single" w:color="auto" w:sz="4" w:space="0"/>
              <w:left w:val="single" w:color="auto" w:sz="4" w:space="0"/>
              <w:right w:val="single" w:color="auto" w:sz="4" w:space="0"/>
            </w:tcBorders>
            <w:vAlign w:val="center"/>
          </w:tcPr>
          <w:p w14:paraId="7E2CEF28">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投标工期</w:t>
            </w:r>
          </w:p>
        </w:tc>
        <w:tc>
          <w:tcPr>
            <w:tcW w:w="6630" w:type="dxa"/>
            <w:gridSpan w:val="6"/>
            <w:tcBorders>
              <w:top w:val="single" w:color="auto" w:sz="4" w:space="0"/>
              <w:left w:val="single" w:color="auto" w:sz="4" w:space="0"/>
              <w:bottom w:val="single" w:color="auto" w:sz="4" w:space="0"/>
              <w:right w:val="single" w:color="auto" w:sz="4" w:space="0"/>
            </w:tcBorders>
            <w:vAlign w:val="center"/>
          </w:tcPr>
          <w:p w14:paraId="7F982BB4">
            <w:pPr>
              <w:wordWrap w:val="0"/>
              <w:topLinePunct/>
              <w:spacing w:line="360" w:lineRule="auto"/>
              <w:jc w:val="left"/>
              <w:rPr>
                <w:rFonts w:hint="eastAsia" w:ascii="宋体" w:hAnsi="宋体" w:cs="宋体"/>
                <w:color w:val="auto"/>
                <w:highlight w:val="none"/>
              </w:rPr>
            </w:pPr>
          </w:p>
        </w:tc>
      </w:tr>
      <w:tr w14:paraId="77D1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52B3A924">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投标有效期</w:t>
            </w:r>
          </w:p>
        </w:tc>
        <w:tc>
          <w:tcPr>
            <w:tcW w:w="6630" w:type="dxa"/>
            <w:gridSpan w:val="6"/>
            <w:tcBorders>
              <w:top w:val="single" w:color="auto" w:sz="4" w:space="0"/>
              <w:left w:val="single" w:color="auto" w:sz="4" w:space="0"/>
              <w:bottom w:val="single" w:color="auto" w:sz="4" w:space="0"/>
              <w:right w:val="single" w:color="auto" w:sz="4" w:space="0"/>
            </w:tcBorders>
            <w:vAlign w:val="center"/>
          </w:tcPr>
          <w:p w14:paraId="113E6038">
            <w:pPr>
              <w:wordWrap w:val="0"/>
              <w:topLinePunct/>
              <w:spacing w:line="360" w:lineRule="auto"/>
              <w:jc w:val="center"/>
              <w:rPr>
                <w:rFonts w:hint="eastAsia" w:ascii="宋体" w:hAnsi="宋体" w:cs="宋体"/>
                <w:color w:val="auto"/>
                <w:highlight w:val="none"/>
              </w:rPr>
            </w:pPr>
            <w:r>
              <w:rPr>
                <w:rFonts w:hint="eastAsia" w:ascii="宋体" w:hAnsi="宋体" w:cs="宋体"/>
                <w:color w:val="auto"/>
                <w:szCs w:val="21"/>
                <w:highlight w:val="none"/>
              </w:rPr>
              <w:t xml:space="preserve">自投标文件递交截止之日起60天 </w:t>
            </w:r>
          </w:p>
        </w:tc>
      </w:tr>
      <w:tr w14:paraId="2D40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329" w:type="dxa"/>
            <w:tcBorders>
              <w:top w:val="single" w:color="auto" w:sz="4" w:space="0"/>
              <w:left w:val="single" w:color="auto" w:sz="4" w:space="0"/>
              <w:bottom w:val="single" w:color="auto" w:sz="4" w:space="0"/>
              <w:right w:val="single" w:color="auto" w:sz="4" w:space="0"/>
            </w:tcBorders>
            <w:vAlign w:val="center"/>
          </w:tcPr>
          <w:p w14:paraId="00D7A600">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c>
          <w:tcPr>
            <w:tcW w:w="6630" w:type="dxa"/>
            <w:gridSpan w:val="6"/>
            <w:tcBorders>
              <w:top w:val="single" w:color="auto" w:sz="4" w:space="0"/>
              <w:left w:val="single" w:color="auto" w:sz="4" w:space="0"/>
              <w:bottom w:val="single" w:color="auto" w:sz="4" w:space="0"/>
              <w:right w:val="single" w:color="auto" w:sz="4" w:space="0"/>
            </w:tcBorders>
            <w:vAlign w:val="center"/>
          </w:tcPr>
          <w:p w14:paraId="6382D8E1">
            <w:pPr>
              <w:wordWrap w:val="0"/>
              <w:topLinePunct/>
              <w:spacing w:line="360" w:lineRule="auto"/>
              <w:jc w:val="left"/>
              <w:rPr>
                <w:rFonts w:hint="eastAsia" w:ascii="宋体" w:hAnsi="宋体" w:cs="宋体"/>
                <w:color w:val="auto"/>
                <w:highlight w:val="none"/>
              </w:rPr>
            </w:pPr>
          </w:p>
        </w:tc>
      </w:tr>
    </w:tbl>
    <w:p w14:paraId="2C3476F1">
      <w:pPr>
        <w:wordWrap w:val="0"/>
        <w:topLinePunct/>
        <w:spacing w:line="360" w:lineRule="auto"/>
        <w:ind w:firstLine="3360" w:firstLineChars="1600"/>
        <w:rPr>
          <w:rFonts w:hint="eastAsia"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highlight w:val="none"/>
          <w:u w:val="single"/>
        </w:rPr>
        <w:t xml:space="preserve">                      </w:t>
      </w:r>
      <w:r>
        <w:rPr>
          <w:rFonts w:hint="eastAsia" w:ascii="宋体" w:hAnsi="宋体" w:cs="宋体"/>
          <w:color w:val="auto"/>
          <w:highlight w:val="none"/>
        </w:rPr>
        <w:t>（盖单位电子签章）</w:t>
      </w:r>
    </w:p>
    <w:p w14:paraId="5DC9D0EB">
      <w:pPr>
        <w:wordWrap w:val="0"/>
        <w:topLinePunct/>
        <w:spacing w:line="360" w:lineRule="auto"/>
        <w:ind w:firstLine="3360" w:firstLineChars="1600"/>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（法定代表人电子签名或盖章）</w:t>
      </w:r>
    </w:p>
    <w:p w14:paraId="6962F39B">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FC3825F">
      <w:pPr>
        <w:spacing w:line="360" w:lineRule="auto"/>
        <w:rPr>
          <w:rFonts w:hint="eastAsia" w:ascii="宋体" w:hAnsi="宋体"/>
          <w:b/>
          <w:bCs/>
          <w:color w:val="auto"/>
          <w:highlight w:val="none"/>
        </w:rPr>
      </w:pPr>
    </w:p>
    <w:p w14:paraId="1096F526">
      <w:pPr>
        <w:spacing w:line="360" w:lineRule="auto"/>
        <w:rPr>
          <w:rFonts w:hint="eastAsia" w:ascii="宋体" w:hAnsi="宋体"/>
          <w:b/>
          <w:bCs/>
          <w:color w:val="auto"/>
          <w:highlight w:val="none"/>
        </w:rPr>
      </w:pPr>
    </w:p>
    <w:p w14:paraId="312841A1">
      <w:pPr>
        <w:spacing w:line="360" w:lineRule="auto"/>
        <w:rPr>
          <w:rFonts w:hint="eastAsia" w:ascii="宋体" w:hAnsi="宋体"/>
          <w:b/>
          <w:bCs/>
          <w:color w:val="auto"/>
          <w:highlight w:val="none"/>
        </w:rPr>
      </w:pPr>
    </w:p>
    <w:p w14:paraId="62A764B5">
      <w:pPr>
        <w:spacing w:line="360" w:lineRule="auto"/>
        <w:rPr>
          <w:rFonts w:hint="eastAsia" w:ascii="宋体" w:hAnsi="宋体"/>
          <w:b/>
          <w:bCs/>
          <w:color w:val="auto"/>
          <w:highlight w:val="none"/>
        </w:rPr>
      </w:pPr>
      <w:r>
        <w:rPr>
          <w:rFonts w:hint="eastAsia" w:ascii="宋体" w:hAnsi="宋体"/>
          <w:b/>
          <w:bCs/>
          <w:color w:val="auto"/>
          <w:highlight w:val="none"/>
        </w:rPr>
        <w:t>备注：若投标人为联合体，则须由联合体牵头人的法定代表人签署，由联合体牵头人盖单位电子签章。</w:t>
      </w:r>
    </w:p>
    <w:p w14:paraId="70CB9681">
      <w:pPr>
        <w:wordWrap w:val="0"/>
        <w:topLinePunct/>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highlight w:val="none"/>
        </w:rPr>
        <w:br w:type="page"/>
      </w:r>
      <w:bookmarkStart w:id="440" w:name="_Toc15442"/>
      <w:bookmarkStart w:id="441" w:name="_Toc7135"/>
      <w:bookmarkStart w:id="442" w:name="_Toc24066"/>
      <w:bookmarkStart w:id="443" w:name="_Toc28302"/>
      <w:bookmarkStart w:id="444" w:name="_Toc3338"/>
      <w:bookmarkStart w:id="445" w:name="_Toc247514283"/>
      <w:bookmarkStart w:id="446" w:name="_Toc247527831"/>
      <w:bookmarkStart w:id="447" w:name="_Toc144974860"/>
      <w:bookmarkStart w:id="448" w:name="_Toc152045791"/>
      <w:bookmarkStart w:id="449" w:name="_Toc152042580"/>
      <w:bookmarkStart w:id="450" w:name="_Toc30503"/>
      <w:r>
        <w:rPr>
          <w:rFonts w:hint="eastAsia" w:ascii="宋体" w:hAnsi="宋体" w:cs="宋体"/>
          <w:b/>
          <w:bCs/>
          <w:color w:val="auto"/>
          <w:sz w:val="24"/>
          <w:highlight w:val="none"/>
        </w:rPr>
        <w:t>二、法人代表身份证明或附有法定代表人身份证明的授权委托书</w:t>
      </w:r>
      <w:bookmarkEnd w:id="440"/>
      <w:bookmarkEnd w:id="441"/>
      <w:bookmarkEnd w:id="442"/>
      <w:bookmarkEnd w:id="443"/>
      <w:bookmarkEnd w:id="444"/>
    </w:p>
    <w:bookmarkEnd w:id="445"/>
    <w:bookmarkEnd w:id="446"/>
    <w:bookmarkEnd w:id="447"/>
    <w:bookmarkEnd w:id="448"/>
    <w:bookmarkEnd w:id="449"/>
    <w:bookmarkEnd w:id="450"/>
    <w:p w14:paraId="0E18C5E8">
      <w:pPr>
        <w:pStyle w:val="10"/>
        <w:wordWrap w:val="0"/>
        <w:topLinePunct/>
        <w:spacing w:line="360" w:lineRule="auto"/>
        <w:ind w:firstLine="118"/>
        <w:jc w:val="center"/>
        <w:rPr>
          <w:rFonts w:hint="eastAsia" w:ascii="宋体" w:hAnsi="宋体" w:cs="宋体"/>
          <w:color w:val="auto"/>
          <w:sz w:val="24"/>
          <w:szCs w:val="24"/>
          <w:highlight w:val="none"/>
        </w:rPr>
      </w:pPr>
      <w:bookmarkStart w:id="451" w:name="_Toc12811"/>
      <w:bookmarkStart w:id="452" w:name="_Toc15940"/>
      <w:r>
        <w:rPr>
          <w:rFonts w:hint="eastAsia" w:ascii="宋体" w:hAnsi="宋体" w:cs="宋体"/>
          <w:color w:val="auto"/>
          <w:sz w:val="24"/>
          <w:szCs w:val="24"/>
          <w:highlight w:val="none"/>
        </w:rPr>
        <w:t>（一）法定代表人身份证明</w:t>
      </w:r>
      <w:bookmarkEnd w:id="451"/>
      <w:bookmarkEnd w:id="452"/>
    </w:p>
    <w:p w14:paraId="131CFF10">
      <w:pPr>
        <w:pStyle w:val="2"/>
        <w:wordWrap w:val="0"/>
        <w:topLinePunct/>
        <w:spacing w:line="360" w:lineRule="auto"/>
        <w:rPr>
          <w:rFonts w:ascii="宋体" w:hAnsi="宋体" w:cs="宋体"/>
          <w:color w:val="auto"/>
          <w:sz w:val="20"/>
          <w:szCs w:val="20"/>
          <w:highlight w:val="none"/>
        </w:rPr>
      </w:pPr>
    </w:p>
    <w:p w14:paraId="5A0B601A">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highlight w:val="none"/>
          <w:u w:val="single"/>
        </w:rPr>
        <w:t xml:space="preserve">                                                        </w:t>
      </w:r>
    </w:p>
    <w:p w14:paraId="66E0B80B">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单位性质：</w:t>
      </w:r>
      <w:r>
        <w:rPr>
          <w:rFonts w:hint="eastAsia" w:ascii="宋体" w:hAnsi="宋体" w:cs="宋体"/>
          <w:color w:val="auto"/>
          <w:highlight w:val="none"/>
          <w:u w:val="single"/>
        </w:rPr>
        <w:t xml:space="preserve">                                                        </w:t>
      </w:r>
    </w:p>
    <w:p w14:paraId="5FFF4D37">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p>
    <w:p w14:paraId="39A1B6E9">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成立时间：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2B7F822">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经营期限：</w:t>
      </w:r>
      <w:r>
        <w:rPr>
          <w:rFonts w:hint="eastAsia" w:ascii="宋体" w:hAnsi="宋体" w:cs="宋体"/>
          <w:color w:val="auto"/>
          <w:highlight w:val="none"/>
          <w:u w:val="single"/>
        </w:rPr>
        <w:t xml:space="preserve">                                                        </w:t>
      </w:r>
    </w:p>
    <w:p w14:paraId="0EBB79ED">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p>
    <w:p w14:paraId="7F676173">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年    龄：</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p>
    <w:p w14:paraId="504CC718">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w:t>
      </w:r>
    </w:p>
    <w:p w14:paraId="1570CCDC">
      <w:pPr>
        <w:wordWrap w:val="0"/>
        <w:topLinePunct/>
        <w:spacing w:line="360" w:lineRule="auto"/>
        <w:rPr>
          <w:rFonts w:hint="eastAsia" w:ascii="宋体" w:hAnsi="宋体" w:cs="宋体"/>
          <w:color w:val="auto"/>
          <w:highlight w:val="none"/>
        </w:rPr>
      </w:pPr>
      <w:r>
        <w:rPr>
          <w:rFonts w:hint="eastAsia" w:ascii="宋体" w:hAnsi="宋体" w:cs="宋体"/>
          <w:color w:val="auto"/>
          <w:highlight w:val="none"/>
        </w:rPr>
        <w:t>特此证明。</w:t>
      </w:r>
    </w:p>
    <w:p w14:paraId="65378CE8">
      <w:pPr>
        <w:wordWrap w:val="0"/>
        <w:topLinePunct/>
        <w:spacing w:line="360" w:lineRule="auto"/>
        <w:rPr>
          <w:rFonts w:hint="eastAsia" w:ascii="宋体" w:hAnsi="宋体" w:cs="宋体"/>
          <w:color w:val="auto"/>
          <w:highlight w:val="none"/>
        </w:rPr>
      </w:pPr>
    </w:p>
    <w:p w14:paraId="09A1882D">
      <w:pPr>
        <w:wordWrap w:val="0"/>
        <w:topLinePunct/>
        <w:spacing w:line="360" w:lineRule="auto"/>
        <w:rPr>
          <w:rFonts w:hint="eastAsia" w:ascii="宋体" w:hAnsi="宋体" w:cs="宋体"/>
          <w:color w:val="auto"/>
          <w:highlight w:val="none"/>
        </w:rPr>
      </w:pPr>
    </w:p>
    <w:p w14:paraId="1239BE65">
      <w:pPr>
        <w:wordWrap w:val="0"/>
        <w:topLinePunct/>
        <w:spacing w:line="360" w:lineRule="auto"/>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（盖单位电子签章）</w:t>
      </w:r>
    </w:p>
    <w:p w14:paraId="05E557DA">
      <w:pPr>
        <w:wordWrap w:val="0"/>
        <w:topLinePunct/>
        <w:spacing w:line="360" w:lineRule="auto"/>
        <w:jc w:val="righ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17D3E57A">
      <w:pPr>
        <w:pStyle w:val="2"/>
        <w:wordWrap w:val="0"/>
        <w:topLinePunct/>
        <w:spacing w:line="360" w:lineRule="auto"/>
        <w:rPr>
          <w:rFonts w:ascii="宋体" w:hAnsi="宋体" w:cs="宋体"/>
          <w:b/>
          <w:bCs/>
          <w:color w:val="auto"/>
          <w:szCs w:val="20"/>
          <w:highlight w:val="none"/>
        </w:rPr>
      </w:pPr>
    </w:p>
    <w:p w14:paraId="7BBE0F39">
      <w:pPr>
        <w:pStyle w:val="2"/>
        <w:wordWrap w:val="0"/>
        <w:topLinePunct/>
        <w:spacing w:line="360" w:lineRule="auto"/>
        <w:rPr>
          <w:rFonts w:ascii="宋体" w:hAnsi="宋体" w:cs="宋体"/>
          <w:b/>
          <w:bCs/>
          <w:color w:val="auto"/>
          <w:highlight w:val="none"/>
        </w:rPr>
      </w:pPr>
    </w:p>
    <w:p w14:paraId="509A2E37">
      <w:pPr>
        <w:pStyle w:val="2"/>
        <w:wordWrap w:val="0"/>
        <w:topLinePunct/>
        <w:spacing w:line="360" w:lineRule="auto"/>
        <w:rPr>
          <w:rFonts w:ascii="宋体" w:hAnsi="宋体" w:cs="宋体"/>
          <w:b/>
          <w:bCs/>
          <w:color w:val="auto"/>
          <w:highlight w:val="none"/>
        </w:rPr>
      </w:pPr>
    </w:p>
    <w:p w14:paraId="37957A22">
      <w:pPr>
        <w:pStyle w:val="22"/>
        <w:wordWrap w:val="0"/>
        <w:topLinePunct/>
        <w:spacing w:line="360" w:lineRule="auto"/>
        <w:rPr>
          <w:rFonts w:hint="eastAsia" w:ascii="宋体" w:hAnsi="宋体" w:eastAsia="宋体" w:cs="宋体"/>
          <w:b/>
          <w:bCs/>
          <w:color w:val="auto"/>
          <w:highlight w:val="none"/>
        </w:rPr>
      </w:pPr>
    </w:p>
    <w:p w14:paraId="45E03762">
      <w:pPr>
        <w:jc w:val="both"/>
        <w:rPr>
          <w:rFonts w:hint="eastAsia" w:ascii="宋体" w:hAnsi="宋体" w:cs="宋体"/>
          <w:b/>
          <w:bCs/>
          <w:color w:val="auto"/>
          <w:highlight w:val="none"/>
        </w:rPr>
      </w:pPr>
      <w:r>
        <w:rPr>
          <w:rFonts w:hint="eastAsia" w:ascii="宋体" w:hAnsi="宋体" w:cs="宋体"/>
          <w:b/>
          <w:bCs/>
          <w:color w:val="auto"/>
          <w:highlight w:val="none"/>
        </w:rPr>
        <w:t>备注：若投标人为联合体，由联合体牵头人出具。</w:t>
      </w:r>
    </w:p>
    <w:p w14:paraId="14AB04A4">
      <w:pPr>
        <w:pStyle w:val="10"/>
        <w:tabs>
          <w:tab w:val="left" w:pos="3007"/>
          <w:tab w:val="center" w:pos="4252"/>
        </w:tabs>
        <w:wordWrap w:val="0"/>
        <w:topLinePunct/>
        <w:spacing w:line="360" w:lineRule="auto"/>
        <w:ind w:firstLine="118"/>
        <w:jc w:val="center"/>
        <w:rPr>
          <w:rFonts w:hint="eastAsia" w:ascii="宋体" w:hAnsi="宋体" w:cs="宋体"/>
          <w:color w:val="auto"/>
          <w:sz w:val="24"/>
          <w:szCs w:val="24"/>
          <w:highlight w:val="none"/>
        </w:rPr>
        <w:sectPr>
          <w:headerReference r:id="rId4" w:type="default"/>
          <w:footerReference r:id="rId5" w:type="default"/>
          <w:pgSz w:w="11906" w:h="16838"/>
          <w:pgMar w:top="1440" w:right="1247" w:bottom="1440" w:left="1247" w:header="851" w:footer="992" w:gutter="0"/>
          <w:pgNumType w:fmt="decimal"/>
          <w:cols w:space="425" w:num="1"/>
          <w:docGrid w:type="lines" w:linePitch="312" w:charSpace="0"/>
        </w:sectPr>
      </w:pPr>
      <w:bookmarkStart w:id="453" w:name="_Toc296602998"/>
    </w:p>
    <w:p w14:paraId="4D7C1694">
      <w:pPr>
        <w:pStyle w:val="10"/>
        <w:tabs>
          <w:tab w:val="left" w:pos="3007"/>
          <w:tab w:val="center" w:pos="4252"/>
        </w:tabs>
        <w:wordWrap w:val="0"/>
        <w:topLinePunct/>
        <w:spacing w:line="360" w:lineRule="auto"/>
        <w:ind w:firstLine="118"/>
        <w:jc w:val="center"/>
        <w:rPr>
          <w:rFonts w:hint="eastAsia" w:ascii="宋体" w:hAnsi="宋体" w:cs="宋体"/>
          <w:color w:val="auto"/>
          <w:highlight w:val="none"/>
        </w:rPr>
      </w:pPr>
      <w:r>
        <w:rPr>
          <w:rFonts w:hint="eastAsia" w:ascii="宋体" w:hAnsi="宋体" w:cs="宋体"/>
          <w:color w:val="auto"/>
          <w:sz w:val="24"/>
          <w:szCs w:val="24"/>
          <w:highlight w:val="none"/>
        </w:rPr>
        <w:t>（二）授权委托书</w:t>
      </w:r>
    </w:p>
    <w:p w14:paraId="337A0EB1">
      <w:pPr>
        <w:wordWrap w:val="0"/>
        <w:topLinePunct/>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highlight w:val="none"/>
          <w:u w:val="single"/>
        </w:rPr>
        <w:t xml:space="preserve">      </w:t>
      </w:r>
      <w:r>
        <w:rPr>
          <w:rFonts w:hint="eastAsia" w:ascii="宋体" w:hAnsi="宋体" w:cs="宋体"/>
          <w:color w:val="auto"/>
          <w:highlight w:val="none"/>
        </w:rPr>
        <w:t>（姓名）为我方代理人。代理人根据授权，以我方名义签署、澄清、说明、补正、递交、撤回、修改</w:t>
      </w: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（项目名称）投标文件、签订合同和处理有关事宜，其法律后果由我方承担。</w:t>
      </w:r>
    </w:p>
    <w:p w14:paraId="254D5002">
      <w:pPr>
        <w:wordWrap w:val="0"/>
        <w:topLinePunct/>
        <w:spacing w:before="156" w:beforeLines="50"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委托期限：</w:t>
      </w:r>
      <w:r>
        <w:rPr>
          <w:rFonts w:hint="eastAsia" w:ascii="宋体" w:hAnsi="宋体" w:cs="宋体"/>
          <w:color w:val="auto"/>
          <w:highlight w:val="none"/>
          <w:u w:val="single"/>
        </w:rPr>
        <w:t xml:space="preserve">   </w:t>
      </w:r>
      <w:r>
        <w:rPr>
          <w:rFonts w:hint="eastAsia" w:ascii="宋体" w:hAnsi="宋体" w:cs="宋体"/>
          <w:b/>
          <w:bCs/>
          <w:color w:val="auto"/>
          <w:szCs w:val="21"/>
          <w:highlight w:val="none"/>
          <w:u w:val="single"/>
        </w:rPr>
        <w:t>本授权书至投标有效期结束前始终有效。</w:t>
      </w:r>
      <w:r>
        <w:rPr>
          <w:rFonts w:hint="eastAsia" w:ascii="宋体" w:hAnsi="宋体" w:cs="宋体"/>
          <w:color w:val="auto"/>
          <w:highlight w:val="none"/>
          <w:u w:val="single"/>
        </w:rPr>
        <w:t xml:space="preserve"> </w:t>
      </w:r>
    </w:p>
    <w:p w14:paraId="44AB7535">
      <w:pPr>
        <w:wordWrap w:val="0"/>
        <w:topLinePunct/>
        <w:spacing w:before="312" w:beforeLines="100" w:after="312" w:afterLines="100"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代理人无转委托权。</w:t>
      </w:r>
    </w:p>
    <w:p w14:paraId="2DF6EDC4">
      <w:pPr>
        <w:wordWrap w:val="0"/>
        <w:topLinePunct/>
        <w:spacing w:after="312" w:afterLines="10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附：法定代表人和委托代理人身份证扫描件</w:t>
      </w:r>
    </w:p>
    <w:p w14:paraId="7C48A375">
      <w:pPr>
        <w:wordWrap w:val="0"/>
        <w:topLinePunct/>
        <w:spacing w:line="360" w:lineRule="auto"/>
        <w:rPr>
          <w:rFonts w:hint="eastAsia" w:ascii="宋体" w:hAnsi="宋体" w:cs="宋体"/>
          <w:color w:val="auto"/>
          <w:highlight w:val="none"/>
        </w:rPr>
      </w:pPr>
    </w:p>
    <w:p w14:paraId="16BC2992">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 xml:space="preserve">           投  标  人：</w:t>
      </w:r>
      <w:r>
        <w:rPr>
          <w:rFonts w:hint="eastAsia" w:ascii="宋体" w:hAnsi="宋体" w:cs="宋体"/>
          <w:color w:val="auto"/>
          <w:highlight w:val="none"/>
          <w:u w:val="single"/>
        </w:rPr>
        <w:t xml:space="preserve">                   </w:t>
      </w:r>
      <w:r>
        <w:rPr>
          <w:rFonts w:hint="eastAsia" w:ascii="宋体" w:hAnsi="宋体" w:cs="宋体"/>
          <w:color w:val="auto"/>
          <w:highlight w:val="none"/>
        </w:rPr>
        <w:t>（盖单位电子签章）</w:t>
      </w:r>
    </w:p>
    <w:p w14:paraId="01FF3989">
      <w:pPr>
        <w:wordWrap w:val="0"/>
        <w:topLinePunct/>
        <w:spacing w:line="360" w:lineRule="auto"/>
        <w:ind w:firstLine="3570" w:firstLineChars="1700"/>
        <w:jc w:val="right"/>
        <w:rPr>
          <w:rFonts w:hint="eastAsia" w:ascii="宋体" w:hAnsi="宋体" w:cs="宋体"/>
          <w:color w:val="auto"/>
          <w:highlight w:val="none"/>
        </w:rPr>
      </w:pPr>
    </w:p>
    <w:p w14:paraId="717DF90C">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w:t>
      </w:r>
      <w:r>
        <w:rPr>
          <w:rFonts w:hint="eastAsia" w:ascii="宋体" w:hAnsi="宋体" w:cs="宋体"/>
          <w:color w:val="auto"/>
          <w:highlight w:val="none"/>
        </w:rPr>
        <w:t>（法定代表人电子签名或盖章）</w:t>
      </w:r>
    </w:p>
    <w:p w14:paraId="723DAFF5">
      <w:pPr>
        <w:wordWrap w:val="0"/>
        <w:topLinePunct/>
        <w:spacing w:line="360" w:lineRule="auto"/>
        <w:ind w:firstLine="3570" w:firstLineChars="1700"/>
        <w:jc w:val="right"/>
        <w:rPr>
          <w:rFonts w:hint="eastAsia" w:ascii="宋体" w:hAnsi="宋体" w:cs="宋体"/>
          <w:color w:val="auto"/>
          <w:highlight w:val="none"/>
        </w:rPr>
      </w:pPr>
    </w:p>
    <w:p w14:paraId="2D19FB0B">
      <w:pPr>
        <w:wordWrap w:val="0"/>
        <w:topLinePunct/>
        <w:spacing w:line="360" w:lineRule="auto"/>
        <w:ind w:firstLine="2730" w:firstLineChars="1300"/>
        <w:rPr>
          <w:rFonts w:hint="eastAsia" w:ascii="宋体" w:hAnsi="宋体" w:cs="宋体"/>
          <w:color w:val="auto"/>
          <w:highlight w:val="none"/>
          <w:u w:val="single"/>
        </w:rPr>
      </w:pPr>
      <w:r>
        <w:rPr>
          <w:rFonts w:hint="eastAsia" w:ascii="宋体" w:hAnsi="宋体" w:cs="宋体"/>
          <w:color w:val="auto"/>
          <w:highlight w:val="none"/>
        </w:rPr>
        <w:t>身份证号码：</w:t>
      </w:r>
      <w:r>
        <w:rPr>
          <w:rFonts w:hint="eastAsia" w:ascii="宋体" w:hAnsi="宋体" w:cs="宋体"/>
          <w:color w:val="auto"/>
          <w:highlight w:val="none"/>
          <w:u w:val="single"/>
        </w:rPr>
        <w:t xml:space="preserve">                                   </w:t>
      </w:r>
    </w:p>
    <w:p w14:paraId="6626FCCA">
      <w:pPr>
        <w:pStyle w:val="2"/>
        <w:wordWrap w:val="0"/>
        <w:topLinePunct/>
        <w:spacing w:line="360" w:lineRule="auto"/>
        <w:ind w:firstLine="3675" w:firstLineChars="1750"/>
        <w:rPr>
          <w:rFonts w:ascii="宋体" w:hAnsi="宋体" w:cs="宋体"/>
          <w:color w:val="auto"/>
          <w:szCs w:val="21"/>
          <w:highlight w:val="none"/>
        </w:rPr>
      </w:pPr>
    </w:p>
    <w:p w14:paraId="6F2B8C36">
      <w:pPr>
        <w:pStyle w:val="2"/>
        <w:wordWrap w:val="0"/>
        <w:topLinePunct/>
        <w:spacing w:line="360" w:lineRule="auto"/>
        <w:ind w:firstLine="2730" w:firstLineChars="1300"/>
        <w:rPr>
          <w:rFonts w:ascii="宋体" w:hAnsi="宋体" w:cs="宋体"/>
          <w:color w:val="auto"/>
          <w:highlight w:val="none"/>
        </w:rPr>
      </w:pPr>
      <w:r>
        <w:rPr>
          <w:rFonts w:ascii="宋体" w:hAnsi="宋体" w:cs="宋体"/>
          <w:color w:val="auto"/>
          <w:szCs w:val="21"/>
          <w:highlight w:val="none"/>
        </w:rPr>
        <w:t>委托代理人：</w:t>
      </w:r>
      <w:r>
        <w:rPr>
          <w:rFonts w:ascii="宋体" w:hAnsi="宋体" w:cs="宋体"/>
          <w:color w:val="auto"/>
          <w:szCs w:val="21"/>
          <w:highlight w:val="none"/>
          <w:u w:val="single"/>
        </w:rPr>
        <w:t xml:space="preserve">                      </w:t>
      </w:r>
      <w:r>
        <w:rPr>
          <w:rFonts w:ascii="宋体" w:hAnsi="宋体" w:cs="宋体"/>
          <w:color w:val="auto"/>
          <w:szCs w:val="21"/>
          <w:highlight w:val="none"/>
        </w:rPr>
        <w:t>（签字或电子签名）</w:t>
      </w:r>
    </w:p>
    <w:p w14:paraId="244099C2">
      <w:pPr>
        <w:wordWrap w:val="0"/>
        <w:topLinePunct/>
        <w:spacing w:line="360" w:lineRule="auto"/>
        <w:ind w:firstLine="3570" w:firstLineChars="1700"/>
        <w:rPr>
          <w:rFonts w:hint="eastAsia" w:ascii="宋体" w:hAnsi="宋体" w:cs="宋体"/>
          <w:color w:val="auto"/>
          <w:highlight w:val="none"/>
          <w:u w:val="single"/>
        </w:rPr>
      </w:pPr>
    </w:p>
    <w:p w14:paraId="2840D93A">
      <w:pPr>
        <w:wordWrap w:val="0"/>
        <w:topLinePunct/>
        <w:spacing w:line="360" w:lineRule="auto"/>
        <w:ind w:firstLine="2730" w:firstLineChars="1300"/>
        <w:rPr>
          <w:rFonts w:hint="eastAsia" w:ascii="宋体" w:hAnsi="宋体" w:cs="宋体"/>
          <w:color w:val="auto"/>
          <w:highlight w:val="none"/>
          <w:u w:val="singl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516F59B5">
      <w:pPr>
        <w:wordWrap w:val="0"/>
        <w:topLinePunct/>
        <w:spacing w:line="360" w:lineRule="auto"/>
        <w:ind w:firstLine="3570" w:firstLineChars="1700"/>
        <w:rPr>
          <w:rFonts w:hint="eastAsia" w:ascii="宋体" w:hAnsi="宋体" w:cs="宋体"/>
          <w:color w:val="auto"/>
          <w:highlight w:val="none"/>
        </w:rPr>
      </w:pPr>
    </w:p>
    <w:p w14:paraId="59149E80">
      <w:pPr>
        <w:wordWrap w:val="0"/>
        <w:topLinePunct/>
        <w:spacing w:line="360" w:lineRule="auto"/>
        <w:ind w:firstLine="4830" w:firstLineChars="2300"/>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B9496C9">
      <w:pPr>
        <w:pStyle w:val="2"/>
        <w:wordWrap w:val="0"/>
        <w:topLinePunct/>
        <w:spacing w:line="360" w:lineRule="auto"/>
        <w:rPr>
          <w:rFonts w:ascii="宋体" w:hAnsi="宋体" w:cs="宋体"/>
          <w:color w:val="auto"/>
          <w:highlight w:val="none"/>
        </w:rPr>
      </w:pPr>
    </w:p>
    <w:p w14:paraId="7A964660">
      <w:pPr>
        <w:pStyle w:val="22"/>
        <w:wordWrap w:val="0"/>
        <w:topLinePunct/>
        <w:spacing w:line="360" w:lineRule="auto"/>
        <w:rPr>
          <w:rFonts w:hint="eastAsia" w:ascii="宋体" w:hAnsi="宋体" w:eastAsia="宋体" w:cs="宋体"/>
          <w:color w:val="auto"/>
          <w:highlight w:val="none"/>
        </w:rPr>
      </w:pPr>
    </w:p>
    <w:p w14:paraId="4A99C41E">
      <w:pPr>
        <w:pStyle w:val="24"/>
        <w:widowControl/>
        <w:ind w:firstLine="422" w:firstLineChars="200"/>
        <w:rPr>
          <w:rFonts w:hint="eastAsia" w:ascii="宋体" w:hAnsi="宋体" w:eastAsia="宋体" w:cs="Times New Roman"/>
          <w:b/>
          <w:bCs/>
          <w:color w:val="auto"/>
          <w:kern w:val="2"/>
          <w:sz w:val="21"/>
          <w:szCs w:val="24"/>
          <w:highlight w:val="none"/>
          <w:lang w:val="en-US" w:eastAsia="zh-CN" w:bidi="ar-SA"/>
        </w:rPr>
      </w:pPr>
      <w:bookmarkStart w:id="454" w:name="_Toc23163"/>
      <w:bookmarkStart w:id="455" w:name="_Toc16413"/>
      <w:r>
        <w:rPr>
          <w:rFonts w:hint="eastAsia" w:ascii="宋体" w:hAnsi="宋体" w:eastAsia="宋体" w:cs="Times New Roman"/>
          <w:b/>
          <w:bCs/>
          <w:color w:val="auto"/>
          <w:kern w:val="2"/>
          <w:sz w:val="21"/>
          <w:szCs w:val="24"/>
          <w:highlight w:val="none"/>
          <w:lang w:val="en-US" w:eastAsia="zh-CN" w:bidi="ar-SA"/>
        </w:rPr>
        <w:t>注：若投标人为联合体，由联合体牵头人出具。</w:t>
      </w:r>
    </w:p>
    <w:p w14:paraId="71739BF8">
      <w:pPr>
        <w:rPr>
          <w:rFonts w:hint="eastAsia" w:ascii="宋体" w:hAnsi="宋体" w:cs="宋体"/>
          <w:b/>
          <w:bCs/>
          <w:color w:val="auto"/>
          <w:sz w:val="22"/>
          <w:szCs w:val="20"/>
          <w:highlight w:val="none"/>
        </w:rPr>
      </w:pPr>
    </w:p>
    <w:bookmarkEnd w:id="453"/>
    <w:bookmarkEnd w:id="454"/>
    <w:bookmarkEnd w:id="455"/>
    <w:p w14:paraId="4D7419D2">
      <w:pPr>
        <w:pStyle w:val="8"/>
        <w:wordWrap w:val="0"/>
        <w:topLinePunct/>
        <w:spacing w:line="360" w:lineRule="auto"/>
        <w:jc w:val="center"/>
        <w:rPr>
          <w:rFonts w:hint="eastAsia" w:ascii="宋体" w:hAnsi="宋体" w:eastAsia="宋体" w:cs="宋体"/>
          <w:b w:val="0"/>
          <w:color w:val="auto"/>
          <w:sz w:val="24"/>
          <w:szCs w:val="24"/>
          <w:highlight w:val="none"/>
        </w:rPr>
        <w:sectPr>
          <w:pgSz w:w="11906" w:h="16838"/>
          <w:pgMar w:top="1440" w:right="1247" w:bottom="1440" w:left="1247" w:header="851" w:footer="992" w:gutter="0"/>
          <w:pgNumType w:fmt="decimal"/>
          <w:cols w:space="425" w:num="1"/>
          <w:docGrid w:type="lines" w:linePitch="312" w:charSpace="0"/>
        </w:sectPr>
      </w:pPr>
      <w:bookmarkStart w:id="456" w:name="_Toc21039"/>
      <w:bookmarkStart w:id="457" w:name="_Toc15321"/>
      <w:bookmarkStart w:id="458" w:name="_Toc15278"/>
      <w:bookmarkStart w:id="459" w:name="_Toc6192"/>
      <w:bookmarkStart w:id="460" w:name="_Toc26902"/>
      <w:bookmarkStart w:id="461" w:name="_Toc29101"/>
    </w:p>
    <w:p w14:paraId="2AACB19A">
      <w:pPr>
        <w:pStyle w:val="8"/>
        <w:wordWrap w:val="0"/>
        <w:topLinePunct/>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三、</w:t>
      </w:r>
      <w:bookmarkStart w:id="462" w:name="_Toc26550"/>
      <w:r>
        <w:rPr>
          <w:rFonts w:hint="eastAsia" w:ascii="宋体" w:hAnsi="宋体" w:eastAsia="宋体" w:cs="宋体"/>
          <w:color w:val="auto"/>
          <w:sz w:val="24"/>
          <w:szCs w:val="24"/>
          <w:highlight w:val="none"/>
        </w:rPr>
        <w:t>联合体协议书（如有）</w:t>
      </w:r>
      <w:bookmarkEnd w:id="456"/>
      <w:bookmarkEnd w:id="457"/>
      <w:bookmarkEnd w:id="458"/>
      <w:bookmarkEnd w:id="459"/>
      <w:bookmarkEnd w:id="460"/>
      <w:bookmarkEnd w:id="461"/>
    </w:p>
    <w:p w14:paraId="406C09BD">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（所有成员单位名称）自愿组成</w:t>
      </w:r>
      <w:r>
        <w:rPr>
          <w:rFonts w:hint="eastAsia" w:ascii="宋体" w:hAnsi="宋体" w:cs="宋体"/>
          <w:color w:val="auto"/>
          <w:highlight w:val="none"/>
          <w:u w:val="single"/>
        </w:rPr>
        <w:t xml:space="preserve">         </w:t>
      </w:r>
      <w:r>
        <w:rPr>
          <w:rFonts w:hint="eastAsia" w:ascii="宋体" w:hAnsi="宋体" w:cs="宋体"/>
          <w:color w:val="auto"/>
          <w:highlight w:val="none"/>
        </w:rPr>
        <w:t>（联合体名称）联合体，共同参加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（项目名称）的投标。现就联合体投标事宜订立如下协议。</w:t>
      </w:r>
    </w:p>
    <w:p w14:paraId="453C09DF">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xml:space="preserve">       </w:t>
      </w:r>
      <w:r>
        <w:rPr>
          <w:rFonts w:hint="eastAsia" w:ascii="宋体" w:hAnsi="宋体" w:cs="宋体"/>
          <w:color w:val="auto"/>
          <w:highlight w:val="none"/>
        </w:rPr>
        <w:t>（某成员单位名称）为</w:t>
      </w:r>
      <w:r>
        <w:rPr>
          <w:rFonts w:hint="eastAsia" w:ascii="宋体" w:hAnsi="宋体" w:cs="宋体"/>
          <w:color w:val="auto"/>
          <w:highlight w:val="none"/>
          <w:u w:val="single"/>
        </w:rPr>
        <w:t xml:space="preserve">        </w:t>
      </w:r>
      <w:r>
        <w:rPr>
          <w:rFonts w:hint="eastAsia" w:ascii="宋体" w:hAnsi="宋体" w:cs="宋体"/>
          <w:color w:val="auto"/>
          <w:highlight w:val="none"/>
        </w:rPr>
        <w:t>（联合体名称）牵头人。</w:t>
      </w:r>
    </w:p>
    <w:p w14:paraId="19BB7312">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79FF938">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3、联合体将严格按照招标文件的各项要求，递交投标文件，履行合同，并对外承担连带责任。</w:t>
      </w:r>
    </w:p>
    <w:p w14:paraId="607DC6A2">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4、本联合体协议书由双方签字盖章，其它费用缴纳、文件签字盖章等内容均由我方牵头人办理。</w:t>
      </w:r>
    </w:p>
    <w:p w14:paraId="574C32A6">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5、联合体各成员单位内部的职责分工如下：</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6C8508B6">
      <w:pPr>
        <w:wordWrap w:val="0"/>
        <w:topLinePunct/>
        <w:snapToGrid w:val="0"/>
        <w:spacing w:line="360" w:lineRule="auto"/>
        <w:ind w:firstLine="420" w:firstLineChars="200"/>
        <w:rPr>
          <w:rFonts w:hint="eastAsia" w:ascii="宋体" w:hAnsi="宋体" w:cs="宋体"/>
          <w:color w:val="auto"/>
          <w:highlight w:val="none"/>
        </w:rPr>
      </w:pPr>
      <w:bookmarkStart w:id="463" w:name="_Toc14102"/>
      <w:bookmarkStart w:id="464" w:name="_Toc27279"/>
      <w:r>
        <w:rPr>
          <w:rFonts w:hint="eastAsia" w:ascii="宋体" w:hAnsi="宋体" w:cs="宋体"/>
          <w:color w:val="auto"/>
          <w:highlight w:val="none"/>
        </w:rPr>
        <w:t>6、本协议书自签署之日起生效，合同履行完毕后自动失效。</w:t>
      </w:r>
      <w:bookmarkEnd w:id="463"/>
      <w:bookmarkEnd w:id="464"/>
      <w:r>
        <w:rPr>
          <w:rFonts w:hint="eastAsia" w:ascii="宋体" w:hAnsi="宋体" w:cs="宋体"/>
          <w:color w:val="auto"/>
          <w:highlight w:val="none"/>
        </w:rPr>
        <w:t xml:space="preserve"> </w:t>
      </w:r>
    </w:p>
    <w:p w14:paraId="75AD5D5B">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7、本协议书一式</w:t>
      </w:r>
      <w:r>
        <w:rPr>
          <w:rFonts w:hint="eastAsia" w:ascii="宋体" w:hAnsi="宋体" w:cs="宋体"/>
          <w:color w:val="auto"/>
          <w:highlight w:val="none"/>
          <w:u w:val="single"/>
        </w:rPr>
        <w:t xml:space="preserve">    </w:t>
      </w:r>
      <w:r>
        <w:rPr>
          <w:rFonts w:hint="eastAsia" w:ascii="宋体" w:hAnsi="宋体" w:cs="宋体"/>
          <w:color w:val="auto"/>
          <w:highlight w:val="none"/>
        </w:rPr>
        <w:t>份，联合体成员和招标人各执</w:t>
      </w:r>
      <w:r>
        <w:rPr>
          <w:rFonts w:hint="eastAsia" w:ascii="宋体" w:hAnsi="宋体" w:cs="宋体"/>
          <w:color w:val="auto"/>
          <w:highlight w:val="none"/>
          <w:u w:val="single"/>
        </w:rPr>
        <w:t xml:space="preserve">    </w:t>
      </w:r>
      <w:r>
        <w:rPr>
          <w:rFonts w:hint="eastAsia" w:ascii="宋体" w:hAnsi="宋体" w:cs="宋体"/>
          <w:color w:val="auto"/>
          <w:highlight w:val="none"/>
        </w:rPr>
        <w:t>份。</w:t>
      </w:r>
    </w:p>
    <w:p w14:paraId="30205C10">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牵头人名称：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4C897107">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（法定代表人签字或盖章）</w:t>
      </w:r>
    </w:p>
    <w:p w14:paraId="788D868C">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成员一名称：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6F6297B5">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（法定代表人签字或盖章）</w:t>
      </w:r>
    </w:p>
    <w:p w14:paraId="1E5C73F0">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成员二名称：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6D64BE2A">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（法定代表人签字或盖章）</w:t>
      </w:r>
    </w:p>
    <w:p w14:paraId="45E8A3CD">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成员三名称：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10BFE47A">
      <w:pPr>
        <w:wordWrap w:val="0"/>
        <w:topLinePunct/>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（法定代表人签字或盖章）</w:t>
      </w:r>
    </w:p>
    <w:p w14:paraId="0EBCE927">
      <w:pPr>
        <w:pStyle w:val="2"/>
        <w:wordWrap w:val="0"/>
        <w:topLinePunct/>
        <w:spacing w:line="360" w:lineRule="auto"/>
        <w:ind w:firstLine="420" w:firstLineChars="200"/>
        <w:rPr>
          <w:rFonts w:ascii="宋体" w:hAnsi="宋体" w:cs="宋体"/>
          <w:color w:val="auto"/>
          <w:highlight w:val="none"/>
        </w:rPr>
      </w:pPr>
      <w:r>
        <w:rPr>
          <w:rFonts w:ascii="宋体" w:hAnsi="宋体" w:cs="宋体"/>
          <w:color w:val="auto"/>
          <w:highlight w:val="none"/>
        </w:rPr>
        <w:t>……</w:t>
      </w:r>
    </w:p>
    <w:p w14:paraId="275ADC9C">
      <w:pPr>
        <w:wordWrap w:val="0"/>
        <w:topLinePunct/>
        <w:snapToGrid w:val="0"/>
        <w:spacing w:line="360" w:lineRule="auto"/>
        <w:ind w:firstLine="2879" w:firstLineChars="1371"/>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43E4D3F4">
      <w:pPr>
        <w:wordWrap w:val="0"/>
        <w:topLinePunct/>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注：1.联合投标时需签本协议，联合体各方成员应在本协议上共同盖章确认。</w:t>
      </w:r>
    </w:p>
    <w:p w14:paraId="34E2D265">
      <w:pPr>
        <w:wordWrap w:val="0"/>
        <w:topLinePunct/>
        <w:spacing w:line="360" w:lineRule="auto"/>
        <w:ind w:firstLine="422" w:firstLineChars="200"/>
        <w:rPr>
          <w:rFonts w:hint="eastAsia" w:ascii="宋体" w:hAnsi="宋体" w:cs="宋体"/>
          <w:color w:val="auto"/>
          <w:highlight w:val="none"/>
        </w:rPr>
      </w:pPr>
      <w:r>
        <w:rPr>
          <w:rFonts w:hint="eastAsia" w:ascii="宋体" w:hAnsi="宋体" w:cs="宋体"/>
          <w:b/>
          <w:bCs/>
          <w:color w:val="auto"/>
          <w:highlight w:val="none"/>
        </w:rPr>
        <w:t xml:space="preserve">    2.本协议书格式仅供参考，具体内容或格式以联合体成员签订的协议书为准。</w:t>
      </w:r>
    </w:p>
    <w:bookmarkEnd w:id="462"/>
    <w:p w14:paraId="363052BE">
      <w:pPr>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3CFC235B">
      <w:pPr>
        <w:wordWrap w:val="0"/>
        <w:topLinePunct/>
        <w:spacing w:line="360" w:lineRule="auto"/>
        <w:jc w:val="center"/>
        <w:outlineLvl w:val="1"/>
        <w:rPr>
          <w:rFonts w:hint="eastAsia" w:ascii="宋体" w:hAnsi="宋体" w:cs="宋体"/>
          <w:b/>
          <w:color w:val="auto"/>
          <w:sz w:val="24"/>
          <w:highlight w:val="none"/>
        </w:rPr>
      </w:pPr>
      <w:bookmarkStart w:id="465" w:name="_Toc6639"/>
      <w:bookmarkStart w:id="466" w:name="_Toc16731"/>
      <w:r>
        <w:rPr>
          <w:rFonts w:hint="eastAsia" w:ascii="宋体" w:hAnsi="宋体" w:cs="宋体"/>
          <w:b/>
          <w:color w:val="auto"/>
          <w:sz w:val="24"/>
          <w:highlight w:val="none"/>
        </w:rPr>
        <w:t>四、项目实施技术方案</w:t>
      </w:r>
      <w:bookmarkEnd w:id="465"/>
    </w:p>
    <w:p w14:paraId="0A7D0490">
      <w:pPr>
        <w:wordWrap w:val="0"/>
        <w:topLinePunct/>
        <w:spacing w:line="360" w:lineRule="auto"/>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（格式、内容自拟）</w:t>
      </w:r>
    </w:p>
    <w:p w14:paraId="2FD7F94F">
      <w:pPr>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56411792">
      <w:pPr>
        <w:wordWrap w:val="0"/>
        <w:topLinePunct/>
        <w:spacing w:line="360" w:lineRule="auto"/>
        <w:jc w:val="center"/>
        <w:outlineLvl w:val="1"/>
        <w:rPr>
          <w:rFonts w:hint="eastAsia" w:ascii="宋体" w:hAnsi="宋体" w:cs="宋体"/>
          <w:b/>
          <w:bCs/>
          <w:color w:val="auto"/>
          <w:sz w:val="24"/>
          <w:highlight w:val="none"/>
        </w:rPr>
      </w:pPr>
      <w:bookmarkStart w:id="467" w:name="_Toc17005"/>
      <w:bookmarkStart w:id="468" w:name="_Toc6137"/>
      <w:bookmarkStart w:id="469" w:name="_Toc31555"/>
      <w:bookmarkStart w:id="470" w:name="_Toc18396"/>
      <w:bookmarkStart w:id="471" w:name="_Toc19172"/>
      <w:r>
        <w:rPr>
          <w:rFonts w:hint="eastAsia" w:ascii="宋体" w:hAnsi="宋体" w:cs="宋体"/>
          <w:b/>
          <w:bCs/>
          <w:color w:val="auto"/>
          <w:sz w:val="24"/>
          <w:highlight w:val="none"/>
        </w:rPr>
        <w:t>五、</w:t>
      </w:r>
      <w:bookmarkEnd w:id="467"/>
      <w:r>
        <w:rPr>
          <w:rFonts w:hint="eastAsia" w:ascii="宋体" w:hAnsi="宋体" w:cs="宋体"/>
          <w:b/>
          <w:bCs/>
          <w:color w:val="auto"/>
          <w:sz w:val="24"/>
          <w:highlight w:val="none"/>
        </w:rPr>
        <w:t>项目管理机构</w:t>
      </w:r>
      <w:bookmarkEnd w:id="468"/>
      <w:bookmarkEnd w:id="469"/>
      <w:bookmarkEnd w:id="470"/>
      <w:bookmarkEnd w:id="471"/>
    </w:p>
    <w:p w14:paraId="3CB7AC3D">
      <w:pPr>
        <w:wordWrap w:val="0"/>
        <w:topLinePunct/>
        <w:adjustRightInd w:val="0"/>
        <w:spacing w:line="360" w:lineRule="auto"/>
        <w:ind w:left="220" w:right="-20"/>
        <w:jc w:val="center"/>
        <w:rPr>
          <w:rFonts w:hint="eastAsia" w:ascii="宋体" w:hAnsi="宋体" w:cs="宋体"/>
          <w:b/>
          <w:color w:val="auto"/>
          <w:highlight w:val="none"/>
        </w:rPr>
      </w:pPr>
      <w:r>
        <w:rPr>
          <w:rFonts w:hint="eastAsia" w:ascii="宋体" w:hAnsi="宋体" w:cs="宋体"/>
          <w:b/>
          <w:color w:val="auto"/>
          <w:sz w:val="24"/>
          <w:highlight w:val="none"/>
        </w:rPr>
        <w:t>（一）</w:t>
      </w:r>
      <w:r>
        <w:rPr>
          <w:rFonts w:hint="eastAsia" w:ascii="宋体" w:hAnsi="宋体" w:cs="宋体"/>
          <w:b/>
          <w:color w:val="auto"/>
          <w:highlight w:val="none"/>
        </w:rPr>
        <w:t>主要人员简历表</w:t>
      </w:r>
    </w:p>
    <w:tbl>
      <w:tblPr>
        <w:tblStyle w:val="2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2467"/>
        <w:gridCol w:w="786"/>
        <w:gridCol w:w="800"/>
        <w:gridCol w:w="1075"/>
        <w:gridCol w:w="1135"/>
        <w:gridCol w:w="1023"/>
        <w:gridCol w:w="1022"/>
      </w:tblGrid>
      <w:tr w14:paraId="4F88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89" w:type="dxa"/>
            <w:vMerge w:val="restart"/>
            <w:tcBorders>
              <w:top w:val="single" w:color="auto" w:sz="4" w:space="0"/>
              <w:left w:val="single" w:color="auto" w:sz="4" w:space="0"/>
              <w:bottom w:val="single" w:color="auto" w:sz="4" w:space="0"/>
              <w:right w:val="single" w:color="auto" w:sz="4" w:space="0"/>
            </w:tcBorders>
            <w:vAlign w:val="center"/>
          </w:tcPr>
          <w:p w14:paraId="6EDD18B8">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2467" w:type="dxa"/>
            <w:vMerge w:val="restart"/>
            <w:tcBorders>
              <w:top w:val="single" w:color="auto" w:sz="4" w:space="0"/>
              <w:left w:val="single" w:color="auto" w:sz="4" w:space="0"/>
              <w:bottom w:val="single" w:color="auto" w:sz="4" w:space="0"/>
              <w:right w:val="single" w:color="auto" w:sz="4" w:space="0"/>
            </w:tcBorders>
            <w:vAlign w:val="center"/>
          </w:tcPr>
          <w:p w14:paraId="400B2DAD">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职务</w:t>
            </w:r>
          </w:p>
        </w:tc>
        <w:tc>
          <w:tcPr>
            <w:tcW w:w="786" w:type="dxa"/>
            <w:vMerge w:val="restart"/>
            <w:tcBorders>
              <w:top w:val="single" w:color="auto" w:sz="4" w:space="0"/>
              <w:left w:val="single" w:color="auto" w:sz="4" w:space="0"/>
              <w:bottom w:val="single" w:color="auto" w:sz="4" w:space="0"/>
              <w:right w:val="single" w:color="auto" w:sz="4" w:space="0"/>
            </w:tcBorders>
            <w:vAlign w:val="center"/>
          </w:tcPr>
          <w:p w14:paraId="15A493C4">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7D0ED52F">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职称</w:t>
            </w:r>
          </w:p>
        </w:tc>
        <w:tc>
          <w:tcPr>
            <w:tcW w:w="3233" w:type="dxa"/>
            <w:gridSpan w:val="3"/>
            <w:tcBorders>
              <w:top w:val="single" w:color="auto" w:sz="4" w:space="0"/>
              <w:left w:val="single" w:color="auto" w:sz="4" w:space="0"/>
              <w:bottom w:val="single" w:color="auto" w:sz="4" w:space="0"/>
              <w:right w:val="single" w:color="auto" w:sz="4" w:space="0"/>
            </w:tcBorders>
            <w:vAlign w:val="center"/>
          </w:tcPr>
          <w:p w14:paraId="19906132">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执业或职业资格证明</w:t>
            </w:r>
          </w:p>
        </w:tc>
        <w:tc>
          <w:tcPr>
            <w:tcW w:w="1022" w:type="dxa"/>
            <w:tcBorders>
              <w:top w:val="single" w:color="auto" w:sz="4" w:space="0"/>
              <w:left w:val="single" w:color="auto" w:sz="4" w:space="0"/>
              <w:bottom w:val="single" w:color="auto" w:sz="4" w:space="0"/>
              <w:right w:val="single" w:color="auto" w:sz="4" w:space="0"/>
            </w:tcBorders>
            <w:vAlign w:val="center"/>
          </w:tcPr>
          <w:p w14:paraId="6E8CFF1D">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r>
      <w:tr w14:paraId="3756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89" w:type="dxa"/>
            <w:vMerge w:val="continue"/>
            <w:tcBorders>
              <w:top w:val="single" w:color="auto" w:sz="4" w:space="0"/>
              <w:left w:val="single" w:color="auto" w:sz="4" w:space="0"/>
              <w:bottom w:val="single" w:color="auto" w:sz="4" w:space="0"/>
              <w:right w:val="single" w:color="auto" w:sz="4" w:space="0"/>
            </w:tcBorders>
            <w:vAlign w:val="center"/>
          </w:tcPr>
          <w:p w14:paraId="69A760F7">
            <w:pPr>
              <w:widowControl/>
              <w:wordWrap w:val="0"/>
              <w:topLinePunct/>
              <w:spacing w:line="360" w:lineRule="auto"/>
              <w:jc w:val="left"/>
              <w:rPr>
                <w:rFonts w:hint="eastAsia" w:ascii="宋体" w:hAnsi="宋体" w:cs="宋体"/>
                <w:color w:val="auto"/>
                <w:highlight w:val="none"/>
              </w:rPr>
            </w:pPr>
          </w:p>
        </w:tc>
        <w:tc>
          <w:tcPr>
            <w:tcW w:w="2467" w:type="dxa"/>
            <w:vMerge w:val="continue"/>
            <w:tcBorders>
              <w:top w:val="single" w:color="auto" w:sz="4" w:space="0"/>
              <w:left w:val="single" w:color="auto" w:sz="4" w:space="0"/>
              <w:bottom w:val="single" w:color="auto" w:sz="4" w:space="0"/>
              <w:right w:val="single" w:color="auto" w:sz="4" w:space="0"/>
            </w:tcBorders>
            <w:vAlign w:val="center"/>
          </w:tcPr>
          <w:p w14:paraId="2C7C2BF6">
            <w:pPr>
              <w:widowControl/>
              <w:wordWrap w:val="0"/>
              <w:topLinePunct/>
              <w:spacing w:line="360" w:lineRule="auto"/>
              <w:jc w:val="left"/>
              <w:rPr>
                <w:rFonts w:hint="eastAsia" w:ascii="宋体" w:hAnsi="宋体" w:cs="宋体"/>
                <w:color w:val="auto"/>
                <w:highlight w:val="none"/>
              </w:rPr>
            </w:pPr>
          </w:p>
        </w:tc>
        <w:tc>
          <w:tcPr>
            <w:tcW w:w="786" w:type="dxa"/>
            <w:vMerge w:val="continue"/>
            <w:tcBorders>
              <w:top w:val="single" w:color="auto" w:sz="4" w:space="0"/>
              <w:left w:val="single" w:color="auto" w:sz="4" w:space="0"/>
              <w:bottom w:val="single" w:color="auto" w:sz="4" w:space="0"/>
              <w:right w:val="single" w:color="auto" w:sz="4" w:space="0"/>
            </w:tcBorders>
            <w:vAlign w:val="center"/>
          </w:tcPr>
          <w:p w14:paraId="7C1C7C8D">
            <w:pPr>
              <w:widowControl/>
              <w:wordWrap w:val="0"/>
              <w:topLinePunct/>
              <w:spacing w:line="360" w:lineRule="auto"/>
              <w:jc w:val="left"/>
              <w:rPr>
                <w:rFonts w:hint="eastAsia" w:ascii="宋体" w:hAnsi="宋体" w:cs="宋体"/>
                <w:color w:val="auto"/>
                <w:highlight w:val="none"/>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404D5E23">
            <w:pPr>
              <w:widowControl/>
              <w:wordWrap w:val="0"/>
              <w:topLinePunct/>
              <w:spacing w:line="360" w:lineRule="auto"/>
              <w:jc w:val="left"/>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1D4B4CFA">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证书名称</w:t>
            </w:r>
          </w:p>
        </w:tc>
        <w:tc>
          <w:tcPr>
            <w:tcW w:w="1135" w:type="dxa"/>
            <w:tcBorders>
              <w:top w:val="single" w:color="auto" w:sz="4" w:space="0"/>
              <w:left w:val="single" w:color="auto" w:sz="4" w:space="0"/>
              <w:bottom w:val="single" w:color="auto" w:sz="4" w:space="0"/>
              <w:right w:val="single" w:color="auto" w:sz="4" w:space="0"/>
            </w:tcBorders>
            <w:vAlign w:val="center"/>
          </w:tcPr>
          <w:p w14:paraId="608CAC12">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证号</w:t>
            </w:r>
          </w:p>
        </w:tc>
        <w:tc>
          <w:tcPr>
            <w:tcW w:w="1023" w:type="dxa"/>
            <w:tcBorders>
              <w:top w:val="single" w:color="auto" w:sz="4" w:space="0"/>
              <w:left w:val="single" w:color="auto" w:sz="4" w:space="0"/>
              <w:bottom w:val="single" w:color="auto" w:sz="4" w:space="0"/>
              <w:right w:val="single" w:color="auto" w:sz="4" w:space="0"/>
            </w:tcBorders>
            <w:vAlign w:val="center"/>
          </w:tcPr>
          <w:p w14:paraId="2AD3EB4E">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专业</w:t>
            </w:r>
          </w:p>
        </w:tc>
        <w:tc>
          <w:tcPr>
            <w:tcW w:w="1022" w:type="dxa"/>
            <w:tcBorders>
              <w:top w:val="single" w:color="auto" w:sz="4" w:space="0"/>
              <w:left w:val="single" w:color="auto" w:sz="4" w:space="0"/>
              <w:bottom w:val="single" w:color="auto" w:sz="4" w:space="0"/>
              <w:right w:val="single" w:color="auto" w:sz="4" w:space="0"/>
            </w:tcBorders>
            <w:vAlign w:val="center"/>
          </w:tcPr>
          <w:p w14:paraId="61D8F6D1">
            <w:pPr>
              <w:wordWrap w:val="0"/>
              <w:topLinePunct/>
              <w:spacing w:line="360" w:lineRule="auto"/>
              <w:jc w:val="center"/>
              <w:rPr>
                <w:rFonts w:hint="eastAsia" w:ascii="宋体" w:hAnsi="宋体" w:cs="宋体"/>
                <w:color w:val="auto"/>
                <w:highlight w:val="none"/>
              </w:rPr>
            </w:pPr>
          </w:p>
        </w:tc>
      </w:tr>
      <w:tr w14:paraId="4D33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660991D4">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一</w:t>
            </w:r>
          </w:p>
        </w:tc>
        <w:tc>
          <w:tcPr>
            <w:tcW w:w="2467" w:type="dxa"/>
            <w:tcBorders>
              <w:top w:val="single" w:color="auto" w:sz="4" w:space="0"/>
              <w:left w:val="single" w:color="auto" w:sz="4" w:space="0"/>
              <w:bottom w:val="single" w:color="auto" w:sz="4" w:space="0"/>
              <w:right w:val="single" w:color="auto" w:sz="4" w:space="0"/>
            </w:tcBorders>
            <w:vAlign w:val="center"/>
          </w:tcPr>
          <w:p w14:paraId="1C052144">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工程总承包项目经理</w:t>
            </w:r>
          </w:p>
        </w:tc>
        <w:tc>
          <w:tcPr>
            <w:tcW w:w="786" w:type="dxa"/>
            <w:tcBorders>
              <w:top w:val="single" w:color="auto" w:sz="4" w:space="0"/>
              <w:left w:val="single" w:color="auto" w:sz="4" w:space="0"/>
              <w:bottom w:val="single" w:color="auto" w:sz="4" w:space="0"/>
              <w:right w:val="single" w:color="auto" w:sz="4" w:space="0"/>
            </w:tcBorders>
            <w:vAlign w:val="center"/>
          </w:tcPr>
          <w:p w14:paraId="20CA586D">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55D32E03">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E96C2F3">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0788FBE">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D63FA84">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30EB851E">
            <w:pPr>
              <w:wordWrap w:val="0"/>
              <w:topLinePunct/>
              <w:spacing w:line="360" w:lineRule="auto"/>
              <w:jc w:val="center"/>
              <w:rPr>
                <w:rFonts w:hint="eastAsia" w:ascii="宋体" w:hAnsi="宋体" w:cs="宋体"/>
                <w:color w:val="auto"/>
                <w:highlight w:val="none"/>
              </w:rPr>
            </w:pPr>
          </w:p>
        </w:tc>
      </w:tr>
      <w:tr w14:paraId="4E34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76732682">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二</w:t>
            </w:r>
          </w:p>
        </w:tc>
        <w:tc>
          <w:tcPr>
            <w:tcW w:w="2467" w:type="dxa"/>
            <w:tcBorders>
              <w:top w:val="single" w:color="auto" w:sz="4" w:space="0"/>
              <w:left w:val="single" w:color="auto" w:sz="4" w:space="0"/>
              <w:bottom w:val="single" w:color="auto" w:sz="4" w:space="0"/>
              <w:right w:val="single" w:color="auto" w:sz="4" w:space="0"/>
            </w:tcBorders>
            <w:vAlign w:val="center"/>
          </w:tcPr>
          <w:p w14:paraId="036501B7">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设计负责人</w:t>
            </w:r>
          </w:p>
        </w:tc>
        <w:tc>
          <w:tcPr>
            <w:tcW w:w="786" w:type="dxa"/>
            <w:tcBorders>
              <w:top w:val="single" w:color="auto" w:sz="4" w:space="0"/>
              <w:left w:val="single" w:color="auto" w:sz="4" w:space="0"/>
              <w:bottom w:val="single" w:color="auto" w:sz="4" w:space="0"/>
              <w:right w:val="single" w:color="auto" w:sz="4" w:space="0"/>
            </w:tcBorders>
            <w:vAlign w:val="center"/>
          </w:tcPr>
          <w:p w14:paraId="7E4F4B0C">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18ABFE90">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1B4C12D">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5E1593B">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3AA2319">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58785450">
            <w:pPr>
              <w:wordWrap w:val="0"/>
              <w:topLinePunct/>
              <w:spacing w:line="360" w:lineRule="auto"/>
              <w:jc w:val="center"/>
              <w:rPr>
                <w:rFonts w:hint="eastAsia" w:ascii="宋体" w:hAnsi="宋体" w:cs="宋体"/>
                <w:color w:val="auto"/>
                <w:highlight w:val="none"/>
              </w:rPr>
            </w:pPr>
          </w:p>
        </w:tc>
      </w:tr>
      <w:tr w14:paraId="5807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7FCB1073">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三</w:t>
            </w:r>
          </w:p>
        </w:tc>
        <w:tc>
          <w:tcPr>
            <w:tcW w:w="4053" w:type="dxa"/>
            <w:gridSpan w:val="3"/>
            <w:tcBorders>
              <w:top w:val="single" w:color="auto" w:sz="4" w:space="0"/>
              <w:left w:val="single" w:color="auto" w:sz="4" w:space="0"/>
              <w:bottom w:val="single" w:color="auto" w:sz="4" w:space="0"/>
              <w:right w:val="single" w:color="auto" w:sz="4" w:space="0"/>
            </w:tcBorders>
            <w:vAlign w:val="center"/>
          </w:tcPr>
          <w:p w14:paraId="6CED4931">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其他主要管理人员</w:t>
            </w:r>
          </w:p>
        </w:tc>
        <w:tc>
          <w:tcPr>
            <w:tcW w:w="1075" w:type="dxa"/>
            <w:tcBorders>
              <w:top w:val="single" w:color="auto" w:sz="4" w:space="0"/>
              <w:left w:val="single" w:color="auto" w:sz="4" w:space="0"/>
              <w:bottom w:val="single" w:color="auto" w:sz="4" w:space="0"/>
              <w:right w:val="single" w:color="auto" w:sz="4" w:space="0"/>
            </w:tcBorders>
            <w:vAlign w:val="center"/>
          </w:tcPr>
          <w:p w14:paraId="55A8EAA0">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9C1F1C7">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E3BC8DD">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19CC7311">
            <w:pPr>
              <w:wordWrap w:val="0"/>
              <w:topLinePunct/>
              <w:spacing w:line="360" w:lineRule="auto"/>
              <w:jc w:val="center"/>
              <w:rPr>
                <w:rFonts w:hint="eastAsia" w:ascii="宋体" w:hAnsi="宋体" w:cs="宋体"/>
                <w:color w:val="auto"/>
                <w:highlight w:val="none"/>
              </w:rPr>
            </w:pPr>
          </w:p>
        </w:tc>
      </w:tr>
      <w:tr w14:paraId="27CF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526DCCC0">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3.1</w:t>
            </w:r>
          </w:p>
        </w:tc>
        <w:tc>
          <w:tcPr>
            <w:tcW w:w="2467" w:type="dxa"/>
            <w:tcBorders>
              <w:top w:val="single" w:color="auto" w:sz="4" w:space="0"/>
              <w:left w:val="single" w:color="auto" w:sz="4" w:space="0"/>
              <w:bottom w:val="single" w:color="auto" w:sz="4" w:space="0"/>
              <w:right w:val="single" w:color="auto" w:sz="4" w:space="0"/>
            </w:tcBorders>
            <w:vAlign w:val="center"/>
          </w:tcPr>
          <w:p w14:paraId="2248E90A">
            <w:pPr>
              <w:wordWrap w:val="0"/>
              <w:topLinePunct/>
              <w:spacing w:line="360" w:lineRule="auto"/>
              <w:jc w:val="center"/>
              <w:rPr>
                <w:rFonts w:hint="eastAsia" w:ascii="宋体" w:hAnsi="宋体" w:cs="宋体"/>
                <w:color w:val="auto"/>
                <w:highlight w:val="none"/>
              </w:rPr>
            </w:pPr>
          </w:p>
        </w:tc>
        <w:tc>
          <w:tcPr>
            <w:tcW w:w="786" w:type="dxa"/>
            <w:tcBorders>
              <w:top w:val="single" w:color="auto" w:sz="4" w:space="0"/>
              <w:left w:val="single" w:color="auto" w:sz="4" w:space="0"/>
              <w:bottom w:val="single" w:color="auto" w:sz="4" w:space="0"/>
              <w:right w:val="single" w:color="auto" w:sz="4" w:space="0"/>
            </w:tcBorders>
            <w:vAlign w:val="center"/>
          </w:tcPr>
          <w:p w14:paraId="110739FF">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03E45688">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2848DC0">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6976E48">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EBE31E8">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662D3E98">
            <w:pPr>
              <w:wordWrap w:val="0"/>
              <w:topLinePunct/>
              <w:spacing w:line="360" w:lineRule="auto"/>
              <w:jc w:val="center"/>
              <w:rPr>
                <w:rFonts w:hint="eastAsia" w:ascii="宋体" w:hAnsi="宋体" w:cs="宋体"/>
                <w:color w:val="auto"/>
                <w:highlight w:val="none"/>
              </w:rPr>
            </w:pPr>
          </w:p>
        </w:tc>
      </w:tr>
      <w:tr w14:paraId="3FF7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2E0825BD">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3.2</w:t>
            </w:r>
          </w:p>
        </w:tc>
        <w:tc>
          <w:tcPr>
            <w:tcW w:w="2467" w:type="dxa"/>
            <w:tcBorders>
              <w:top w:val="single" w:color="auto" w:sz="4" w:space="0"/>
              <w:left w:val="single" w:color="auto" w:sz="4" w:space="0"/>
              <w:bottom w:val="single" w:color="auto" w:sz="4" w:space="0"/>
              <w:right w:val="single" w:color="auto" w:sz="4" w:space="0"/>
            </w:tcBorders>
            <w:vAlign w:val="center"/>
          </w:tcPr>
          <w:p w14:paraId="27B6FAE4">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786" w:type="dxa"/>
            <w:tcBorders>
              <w:top w:val="single" w:color="auto" w:sz="4" w:space="0"/>
              <w:left w:val="single" w:color="auto" w:sz="4" w:space="0"/>
              <w:bottom w:val="single" w:color="auto" w:sz="4" w:space="0"/>
              <w:right w:val="single" w:color="auto" w:sz="4" w:space="0"/>
            </w:tcBorders>
            <w:vAlign w:val="center"/>
          </w:tcPr>
          <w:p w14:paraId="7208B1E1">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5AB99D34">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2530F32">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ED6E521">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4141BCD">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3F7150FA">
            <w:pPr>
              <w:wordWrap w:val="0"/>
              <w:topLinePunct/>
              <w:spacing w:line="360" w:lineRule="auto"/>
              <w:jc w:val="center"/>
              <w:rPr>
                <w:rFonts w:hint="eastAsia" w:ascii="宋体" w:hAnsi="宋体" w:cs="宋体"/>
                <w:color w:val="auto"/>
                <w:highlight w:val="none"/>
              </w:rPr>
            </w:pPr>
          </w:p>
        </w:tc>
      </w:tr>
      <w:tr w14:paraId="30D9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565E0CAD">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3.3</w:t>
            </w:r>
          </w:p>
        </w:tc>
        <w:tc>
          <w:tcPr>
            <w:tcW w:w="2467" w:type="dxa"/>
            <w:tcBorders>
              <w:top w:val="single" w:color="auto" w:sz="4" w:space="0"/>
              <w:left w:val="single" w:color="auto" w:sz="4" w:space="0"/>
              <w:bottom w:val="single" w:color="auto" w:sz="4" w:space="0"/>
              <w:right w:val="single" w:color="auto" w:sz="4" w:space="0"/>
            </w:tcBorders>
            <w:vAlign w:val="center"/>
          </w:tcPr>
          <w:p w14:paraId="763916CF">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w:t>
            </w:r>
          </w:p>
        </w:tc>
        <w:tc>
          <w:tcPr>
            <w:tcW w:w="786" w:type="dxa"/>
            <w:tcBorders>
              <w:top w:val="single" w:color="auto" w:sz="4" w:space="0"/>
              <w:left w:val="single" w:color="auto" w:sz="4" w:space="0"/>
              <w:bottom w:val="single" w:color="auto" w:sz="4" w:space="0"/>
              <w:right w:val="single" w:color="auto" w:sz="4" w:space="0"/>
            </w:tcBorders>
            <w:vAlign w:val="center"/>
          </w:tcPr>
          <w:p w14:paraId="68BCD7D5">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19EAD40A">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6A33A127">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535FC5DE">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1F751C9">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24353233">
            <w:pPr>
              <w:wordWrap w:val="0"/>
              <w:topLinePunct/>
              <w:spacing w:line="360" w:lineRule="auto"/>
              <w:jc w:val="center"/>
              <w:rPr>
                <w:rFonts w:hint="eastAsia" w:ascii="宋体" w:hAnsi="宋体" w:cs="宋体"/>
                <w:color w:val="auto"/>
                <w:highlight w:val="none"/>
              </w:rPr>
            </w:pPr>
          </w:p>
        </w:tc>
      </w:tr>
      <w:tr w14:paraId="772F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5F9FE6E5">
            <w:pPr>
              <w:wordWrap w:val="0"/>
              <w:topLinePunct/>
              <w:spacing w:line="360" w:lineRule="auto"/>
              <w:jc w:val="center"/>
              <w:rPr>
                <w:rFonts w:hint="eastAsia" w:ascii="宋体" w:hAnsi="宋体" w:cs="宋体"/>
                <w:color w:val="auto"/>
                <w:highlight w:val="none"/>
              </w:rPr>
            </w:pPr>
          </w:p>
        </w:tc>
        <w:tc>
          <w:tcPr>
            <w:tcW w:w="2467" w:type="dxa"/>
            <w:tcBorders>
              <w:top w:val="single" w:color="auto" w:sz="4" w:space="0"/>
              <w:left w:val="single" w:color="auto" w:sz="4" w:space="0"/>
              <w:bottom w:val="single" w:color="auto" w:sz="4" w:space="0"/>
              <w:right w:val="single" w:color="auto" w:sz="4" w:space="0"/>
            </w:tcBorders>
            <w:vAlign w:val="center"/>
          </w:tcPr>
          <w:p w14:paraId="0B393242">
            <w:pPr>
              <w:wordWrap w:val="0"/>
              <w:topLinePunct/>
              <w:spacing w:line="360" w:lineRule="auto"/>
              <w:jc w:val="center"/>
              <w:rPr>
                <w:rFonts w:hint="eastAsia" w:ascii="宋体" w:hAnsi="宋体" w:cs="宋体"/>
                <w:color w:val="auto"/>
                <w:highlight w:val="none"/>
              </w:rPr>
            </w:pPr>
          </w:p>
        </w:tc>
        <w:tc>
          <w:tcPr>
            <w:tcW w:w="786" w:type="dxa"/>
            <w:tcBorders>
              <w:top w:val="single" w:color="auto" w:sz="4" w:space="0"/>
              <w:left w:val="single" w:color="auto" w:sz="4" w:space="0"/>
              <w:bottom w:val="single" w:color="auto" w:sz="4" w:space="0"/>
              <w:right w:val="single" w:color="auto" w:sz="4" w:space="0"/>
            </w:tcBorders>
            <w:vAlign w:val="center"/>
          </w:tcPr>
          <w:p w14:paraId="51CDC0FD">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0BD449CB">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5BED5172">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5D952ED">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5608AC7">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7C0B61C2">
            <w:pPr>
              <w:wordWrap w:val="0"/>
              <w:topLinePunct/>
              <w:spacing w:line="360" w:lineRule="auto"/>
              <w:jc w:val="center"/>
              <w:rPr>
                <w:rFonts w:hint="eastAsia" w:ascii="宋体" w:hAnsi="宋体" w:cs="宋体"/>
                <w:color w:val="auto"/>
                <w:highlight w:val="none"/>
              </w:rPr>
            </w:pPr>
          </w:p>
        </w:tc>
      </w:tr>
      <w:tr w14:paraId="6F2D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221CC4F8">
            <w:pPr>
              <w:wordWrap w:val="0"/>
              <w:topLinePunct/>
              <w:spacing w:line="360" w:lineRule="auto"/>
              <w:jc w:val="center"/>
              <w:rPr>
                <w:rFonts w:hint="eastAsia" w:ascii="宋体" w:hAnsi="宋体" w:cs="宋体"/>
                <w:color w:val="auto"/>
                <w:highlight w:val="none"/>
              </w:rPr>
            </w:pPr>
          </w:p>
        </w:tc>
        <w:tc>
          <w:tcPr>
            <w:tcW w:w="2467" w:type="dxa"/>
            <w:tcBorders>
              <w:top w:val="single" w:color="auto" w:sz="4" w:space="0"/>
              <w:left w:val="single" w:color="auto" w:sz="4" w:space="0"/>
              <w:bottom w:val="single" w:color="auto" w:sz="4" w:space="0"/>
              <w:right w:val="single" w:color="auto" w:sz="4" w:space="0"/>
            </w:tcBorders>
            <w:vAlign w:val="center"/>
          </w:tcPr>
          <w:p w14:paraId="0CD95344">
            <w:pPr>
              <w:wordWrap w:val="0"/>
              <w:topLinePunct/>
              <w:spacing w:line="360" w:lineRule="auto"/>
              <w:jc w:val="center"/>
              <w:rPr>
                <w:rFonts w:hint="eastAsia" w:ascii="宋体" w:hAnsi="宋体" w:cs="宋体"/>
                <w:color w:val="auto"/>
                <w:highlight w:val="none"/>
              </w:rPr>
            </w:pPr>
          </w:p>
        </w:tc>
        <w:tc>
          <w:tcPr>
            <w:tcW w:w="786" w:type="dxa"/>
            <w:tcBorders>
              <w:top w:val="single" w:color="auto" w:sz="4" w:space="0"/>
              <w:left w:val="single" w:color="auto" w:sz="4" w:space="0"/>
              <w:bottom w:val="single" w:color="auto" w:sz="4" w:space="0"/>
              <w:right w:val="single" w:color="auto" w:sz="4" w:space="0"/>
            </w:tcBorders>
            <w:vAlign w:val="center"/>
          </w:tcPr>
          <w:p w14:paraId="1E441E3B">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1B4FB4B3">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7DF3E8C6">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B13ED54">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35407392">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4E410D98">
            <w:pPr>
              <w:wordWrap w:val="0"/>
              <w:topLinePunct/>
              <w:spacing w:line="360" w:lineRule="auto"/>
              <w:jc w:val="center"/>
              <w:rPr>
                <w:rFonts w:hint="eastAsia" w:ascii="宋体" w:hAnsi="宋体" w:cs="宋体"/>
                <w:color w:val="auto"/>
                <w:highlight w:val="none"/>
              </w:rPr>
            </w:pPr>
          </w:p>
        </w:tc>
      </w:tr>
      <w:tr w14:paraId="23F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221CAAD2">
            <w:pPr>
              <w:wordWrap w:val="0"/>
              <w:topLinePunct/>
              <w:spacing w:line="360" w:lineRule="auto"/>
              <w:jc w:val="center"/>
              <w:rPr>
                <w:rFonts w:hint="eastAsia" w:ascii="宋体" w:hAnsi="宋体" w:cs="宋体"/>
                <w:color w:val="auto"/>
                <w:highlight w:val="none"/>
              </w:rPr>
            </w:pPr>
          </w:p>
        </w:tc>
        <w:tc>
          <w:tcPr>
            <w:tcW w:w="2467" w:type="dxa"/>
            <w:tcBorders>
              <w:top w:val="single" w:color="auto" w:sz="4" w:space="0"/>
              <w:left w:val="single" w:color="auto" w:sz="4" w:space="0"/>
              <w:bottom w:val="single" w:color="auto" w:sz="4" w:space="0"/>
              <w:right w:val="single" w:color="auto" w:sz="4" w:space="0"/>
            </w:tcBorders>
            <w:vAlign w:val="center"/>
          </w:tcPr>
          <w:p w14:paraId="26B3BD40">
            <w:pPr>
              <w:wordWrap w:val="0"/>
              <w:topLinePunct/>
              <w:spacing w:line="360" w:lineRule="auto"/>
              <w:jc w:val="center"/>
              <w:rPr>
                <w:rFonts w:hint="eastAsia" w:ascii="宋体" w:hAnsi="宋体" w:cs="宋体"/>
                <w:color w:val="auto"/>
                <w:highlight w:val="none"/>
              </w:rPr>
            </w:pPr>
          </w:p>
        </w:tc>
        <w:tc>
          <w:tcPr>
            <w:tcW w:w="786" w:type="dxa"/>
            <w:tcBorders>
              <w:top w:val="single" w:color="auto" w:sz="4" w:space="0"/>
              <w:left w:val="single" w:color="auto" w:sz="4" w:space="0"/>
              <w:bottom w:val="single" w:color="auto" w:sz="4" w:space="0"/>
              <w:right w:val="single" w:color="auto" w:sz="4" w:space="0"/>
            </w:tcBorders>
            <w:vAlign w:val="center"/>
          </w:tcPr>
          <w:p w14:paraId="7E4169F2">
            <w:pPr>
              <w:wordWrap w:val="0"/>
              <w:topLinePunct/>
              <w:spacing w:line="360" w:lineRule="auto"/>
              <w:jc w:val="center"/>
              <w:rPr>
                <w:rFonts w:hint="eastAsia" w:ascii="宋体" w:hAnsi="宋体" w:cs="宋体"/>
                <w:color w:val="auto"/>
                <w:highlight w:val="none"/>
              </w:rPr>
            </w:pPr>
          </w:p>
        </w:tc>
        <w:tc>
          <w:tcPr>
            <w:tcW w:w="800" w:type="dxa"/>
            <w:tcBorders>
              <w:top w:val="single" w:color="auto" w:sz="4" w:space="0"/>
              <w:left w:val="single" w:color="auto" w:sz="4" w:space="0"/>
              <w:bottom w:val="single" w:color="auto" w:sz="4" w:space="0"/>
              <w:right w:val="single" w:color="auto" w:sz="4" w:space="0"/>
            </w:tcBorders>
            <w:vAlign w:val="center"/>
          </w:tcPr>
          <w:p w14:paraId="4D0F804A">
            <w:pPr>
              <w:wordWrap w:val="0"/>
              <w:topLinePunct/>
              <w:spacing w:line="360" w:lineRule="auto"/>
              <w:jc w:val="center"/>
              <w:rPr>
                <w:rFonts w:hint="eastAsia" w:ascii="宋体" w:hAnsi="宋体" w:cs="宋体"/>
                <w:color w:val="auto"/>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3C7CCF4C">
            <w:pPr>
              <w:wordWrap w:val="0"/>
              <w:topLinePunct/>
              <w:spacing w:line="360" w:lineRule="auto"/>
              <w:jc w:val="center"/>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3520A51">
            <w:pPr>
              <w:wordWrap w:val="0"/>
              <w:topLinePunct/>
              <w:spacing w:line="360" w:lineRule="auto"/>
              <w:jc w:val="center"/>
              <w:rPr>
                <w:rFonts w:hint="eastAsia" w:ascii="宋体" w:hAnsi="宋体" w:cs="宋体"/>
                <w:color w:val="auto"/>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14840E0">
            <w:pPr>
              <w:wordWrap w:val="0"/>
              <w:topLinePunct/>
              <w:spacing w:line="360" w:lineRule="auto"/>
              <w:jc w:val="center"/>
              <w:rPr>
                <w:rFonts w:hint="eastAsia" w:ascii="宋体" w:hAnsi="宋体" w:cs="宋体"/>
                <w:color w:val="auto"/>
                <w:highlight w:val="none"/>
              </w:rPr>
            </w:pPr>
          </w:p>
        </w:tc>
        <w:tc>
          <w:tcPr>
            <w:tcW w:w="1022" w:type="dxa"/>
            <w:tcBorders>
              <w:top w:val="single" w:color="auto" w:sz="4" w:space="0"/>
              <w:left w:val="single" w:color="auto" w:sz="4" w:space="0"/>
              <w:bottom w:val="single" w:color="auto" w:sz="4" w:space="0"/>
              <w:right w:val="single" w:color="auto" w:sz="4" w:space="0"/>
            </w:tcBorders>
            <w:vAlign w:val="center"/>
          </w:tcPr>
          <w:p w14:paraId="26D55BC7">
            <w:pPr>
              <w:wordWrap w:val="0"/>
              <w:topLinePunct/>
              <w:spacing w:line="360" w:lineRule="auto"/>
              <w:jc w:val="center"/>
              <w:rPr>
                <w:rFonts w:hint="eastAsia" w:ascii="宋体" w:hAnsi="宋体" w:cs="宋体"/>
                <w:color w:val="auto"/>
                <w:highlight w:val="none"/>
              </w:rPr>
            </w:pPr>
          </w:p>
        </w:tc>
      </w:tr>
    </w:tbl>
    <w:p w14:paraId="30DEF501">
      <w:pPr>
        <w:pStyle w:val="2"/>
        <w:wordWrap w:val="0"/>
        <w:topLinePunct/>
        <w:spacing w:line="360" w:lineRule="auto"/>
        <w:rPr>
          <w:rFonts w:ascii="宋体" w:hAnsi="宋体" w:cs="宋体"/>
          <w:color w:val="auto"/>
          <w:kern w:val="0"/>
          <w:sz w:val="20"/>
          <w:szCs w:val="20"/>
          <w:highlight w:val="none"/>
        </w:rPr>
      </w:pPr>
    </w:p>
    <w:p w14:paraId="40849DB1">
      <w:pPr>
        <w:pStyle w:val="2"/>
        <w:wordWrap w:val="0"/>
        <w:topLinePunct/>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注：后附以上人员相关主要证件，此表可根据实际情况自行扩展。</w:t>
      </w:r>
    </w:p>
    <w:p w14:paraId="2A71F722">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61DB3D9F">
      <w:pPr>
        <w:wordWrap w:val="0"/>
        <w:topLinePunct/>
        <w:spacing w:before="312" w:beforeLines="100" w:after="312" w:afterLines="100"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（二）无在建承诺书（工程总承包项目经理）</w:t>
      </w:r>
    </w:p>
    <w:p w14:paraId="47289B6F">
      <w:pPr>
        <w:wordWrap w:val="0"/>
        <w:topLinePunct/>
        <w:spacing w:after="312" w:afterLines="100" w:line="360" w:lineRule="auto"/>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（招标人名称）：</w:t>
      </w:r>
    </w:p>
    <w:p w14:paraId="1CE08FA6">
      <w:pPr>
        <w:wordWrap w:val="0"/>
        <w:topLinePunct/>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我方在此声明，我方拟派往</w:t>
      </w:r>
      <w:r>
        <w:rPr>
          <w:rFonts w:hint="eastAsia" w:ascii="宋体" w:hAnsi="宋体" w:cs="宋体"/>
          <w:color w:val="auto"/>
          <w:highlight w:val="none"/>
          <w:u w:val="single"/>
        </w:rPr>
        <w:t xml:space="preserve">        </w:t>
      </w:r>
      <w:r>
        <w:rPr>
          <w:rFonts w:hint="eastAsia" w:ascii="宋体" w:hAnsi="宋体" w:cs="宋体"/>
          <w:color w:val="auto"/>
          <w:highlight w:val="none"/>
        </w:rPr>
        <w:t>（项目名称）（以下简称“本工程”）的工程总承包项目经理</w:t>
      </w:r>
      <w:r>
        <w:rPr>
          <w:rFonts w:hint="eastAsia" w:ascii="宋体" w:hAnsi="宋体" w:cs="宋体"/>
          <w:color w:val="auto"/>
          <w:highlight w:val="none"/>
          <w:u w:val="single"/>
        </w:rPr>
        <w:t xml:space="preserve">          （工程总承包项目经理姓名）</w:t>
      </w:r>
      <w:r>
        <w:rPr>
          <w:rFonts w:hint="eastAsia" w:ascii="宋体" w:hAnsi="宋体" w:cs="宋体"/>
          <w:color w:val="auto"/>
          <w:highlight w:val="none"/>
        </w:rPr>
        <w:t>现阶段没有担任任何在施建设工程项目的项目经理、施工项目负责人。</w:t>
      </w:r>
    </w:p>
    <w:p w14:paraId="5C1BBE48">
      <w:pPr>
        <w:wordWrap w:val="0"/>
        <w:topLinePunct/>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我方保证上述信息的真实和准确，并愿意承担因我方就此弄虚作假所引起的一切法律后果。</w:t>
      </w:r>
    </w:p>
    <w:p w14:paraId="05009E60">
      <w:pPr>
        <w:wordWrap w:val="0"/>
        <w:topLinePunct/>
        <w:spacing w:line="360" w:lineRule="auto"/>
        <w:ind w:firstLine="420" w:firstLineChars="200"/>
        <w:rPr>
          <w:rFonts w:hint="eastAsia" w:ascii="宋体" w:hAnsi="宋体" w:cs="宋体"/>
          <w:color w:val="auto"/>
          <w:highlight w:val="none"/>
        </w:rPr>
      </w:pPr>
    </w:p>
    <w:p w14:paraId="5FB9AD67">
      <w:pPr>
        <w:wordWrap w:val="0"/>
        <w:topLinePunct/>
        <w:spacing w:line="360" w:lineRule="auto"/>
        <w:ind w:firstLine="420" w:firstLineChars="200"/>
        <w:rPr>
          <w:rFonts w:hint="eastAsia" w:ascii="宋体" w:hAnsi="宋体" w:cs="宋体"/>
          <w:color w:val="auto"/>
          <w:highlight w:val="none"/>
        </w:rPr>
      </w:pPr>
    </w:p>
    <w:p w14:paraId="4E0EC1E5">
      <w:pPr>
        <w:wordWrap w:val="0"/>
        <w:topLinePunct/>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特此承诺！</w:t>
      </w:r>
    </w:p>
    <w:p w14:paraId="35180BED">
      <w:pPr>
        <w:wordWrap w:val="0"/>
        <w:topLinePunct/>
        <w:spacing w:line="360" w:lineRule="auto"/>
        <w:ind w:firstLine="420" w:firstLineChars="200"/>
        <w:rPr>
          <w:rFonts w:hint="eastAsia" w:ascii="宋体" w:hAnsi="宋体" w:cs="宋体"/>
          <w:color w:val="auto"/>
          <w:highlight w:val="none"/>
        </w:rPr>
      </w:pPr>
    </w:p>
    <w:p w14:paraId="47FB7D2F">
      <w:pPr>
        <w:wordWrap w:val="0"/>
        <w:topLinePunct/>
        <w:spacing w:line="360" w:lineRule="auto"/>
        <w:ind w:firstLine="420" w:firstLineChars="200"/>
        <w:rPr>
          <w:rFonts w:hint="eastAsia" w:ascii="宋体" w:hAnsi="宋体" w:cs="宋体"/>
          <w:color w:val="auto"/>
          <w:highlight w:val="none"/>
        </w:rPr>
      </w:pPr>
    </w:p>
    <w:p w14:paraId="3A076C4E">
      <w:pPr>
        <w:wordWrap w:val="0"/>
        <w:topLinePunct/>
        <w:spacing w:line="360" w:lineRule="auto"/>
        <w:ind w:firstLine="420" w:firstLineChars="200"/>
        <w:rPr>
          <w:rFonts w:hint="eastAsia" w:ascii="宋体" w:hAnsi="宋体" w:cs="宋体"/>
          <w:color w:val="auto"/>
          <w:highlight w:val="none"/>
        </w:rPr>
      </w:pPr>
    </w:p>
    <w:p w14:paraId="23FCDBBA">
      <w:pPr>
        <w:wordWrap w:val="0"/>
        <w:topLinePunct/>
        <w:spacing w:line="360" w:lineRule="auto"/>
        <w:ind w:firstLine="420" w:firstLineChars="200"/>
        <w:rPr>
          <w:rFonts w:hint="eastAsia" w:ascii="宋体" w:hAnsi="宋体" w:cs="宋体"/>
          <w:color w:val="auto"/>
          <w:highlight w:val="none"/>
        </w:rPr>
      </w:pPr>
    </w:p>
    <w:p w14:paraId="77407ABD">
      <w:pPr>
        <w:wordWrap w:val="0"/>
        <w:topLinePunct/>
        <w:spacing w:line="360" w:lineRule="auto"/>
        <w:ind w:firstLine="420" w:firstLineChars="200"/>
        <w:rPr>
          <w:rFonts w:hint="eastAsia" w:ascii="宋体" w:hAnsi="宋体" w:cs="宋体"/>
          <w:color w:val="auto"/>
          <w:highlight w:val="none"/>
        </w:rPr>
      </w:pPr>
    </w:p>
    <w:p w14:paraId="1ECA386E">
      <w:pPr>
        <w:wordWrap w:val="0"/>
        <w:topLinePunct/>
        <w:spacing w:line="360" w:lineRule="auto"/>
        <w:ind w:firstLine="420" w:firstLineChars="200"/>
        <w:rPr>
          <w:rFonts w:hint="eastAsia" w:ascii="宋体" w:hAnsi="宋体" w:cs="宋体"/>
          <w:color w:val="auto"/>
          <w:highlight w:val="none"/>
        </w:rPr>
      </w:pPr>
    </w:p>
    <w:p w14:paraId="29CC3C20">
      <w:pPr>
        <w:wordWrap w:val="0"/>
        <w:topLinePunct/>
        <w:spacing w:line="360" w:lineRule="auto"/>
        <w:jc w:val="righ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（盖单位电子签章）</w:t>
      </w:r>
    </w:p>
    <w:p w14:paraId="14CBF4C0">
      <w:pPr>
        <w:wordWrap w:val="0"/>
        <w:topLinePunct/>
        <w:spacing w:line="360" w:lineRule="auto"/>
        <w:jc w:val="right"/>
        <w:rPr>
          <w:rFonts w:hint="eastAsia" w:ascii="宋体" w:hAnsi="宋体" w:cs="宋体"/>
          <w:color w:val="auto"/>
          <w:highlight w:val="none"/>
        </w:rPr>
      </w:pPr>
      <w:r>
        <w:rPr>
          <w:rFonts w:hint="eastAsia" w:ascii="宋体" w:hAnsi="宋体" w:cs="宋体"/>
          <w:color w:val="auto"/>
          <w:highlight w:val="none"/>
        </w:rPr>
        <w:t xml:space="preserve">  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（法定代表人电子签名或盖章）</w:t>
      </w:r>
    </w:p>
    <w:p w14:paraId="703C58B9">
      <w:pPr>
        <w:wordWrap w:val="0"/>
        <w:topLinePunct/>
        <w:spacing w:line="360" w:lineRule="auto"/>
        <w:jc w:val="right"/>
        <w:rPr>
          <w:rFonts w:hint="eastAsia" w:ascii="宋体" w:hAnsi="宋体" w:cs="宋体"/>
          <w:color w:val="auto"/>
          <w:highlight w:val="none"/>
        </w:rPr>
      </w:pPr>
    </w:p>
    <w:p w14:paraId="7A5CC901">
      <w:pPr>
        <w:wordWrap w:val="0"/>
        <w:topLinePunct/>
        <w:spacing w:line="360" w:lineRule="auto"/>
        <w:jc w:val="righ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110D5DD">
      <w:pPr>
        <w:pStyle w:val="2"/>
        <w:wordWrap w:val="0"/>
        <w:topLinePunct/>
        <w:spacing w:line="360" w:lineRule="auto"/>
        <w:rPr>
          <w:rFonts w:ascii="宋体" w:hAnsi="宋体" w:cs="宋体"/>
          <w:color w:val="auto"/>
          <w:highlight w:val="none"/>
        </w:rPr>
      </w:pPr>
    </w:p>
    <w:p w14:paraId="609DACCF">
      <w:pPr>
        <w:pStyle w:val="22"/>
        <w:wordWrap w:val="0"/>
        <w:topLinePunct/>
        <w:spacing w:line="360" w:lineRule="auto"/>
        <w:rPr>
          <w:rFonts w:hint="eastAsia" w:ascii="宋体" w:hAnsi="宋体" w:eastAsia="宋体" w:cs="宋体"/>
          <w:color w:val="auto"/>
          <w:highlight w:val="none"/>
        </w:rPr>
      </w:pPr>
    </w:p>
    <w:p w14:paraId="359F8A2B">
      <w:pPr>
        <w:pStyle w:val="22"/>
        <w:wordWrap w:val="0"/>
        <w:topLinePunct/>
        <w:spacing w:line="360" w:lineRule="auto"/>
        <w:jc w:val="both"/>
        <w:rPr>
          <w:rFonts w:hint="eastAsia" w:ascii="宋体" w:hAnsi="宋体" w:eastAsia="宋体" w:cs="宋体"/>
          <w:color w:val="auto"/>
          <w:highlight w:val="none"/>
        </w:rPr>
      </w:pPr>
    </w:p>
    <w:p w14:paraId="50E015A5">
      <w:pPr>
        <w:pStyle w:val="22"/>
        <w:wordWrap w:val="0"/>
        <w:topLinePunct/>
        <w:spacing w:line="360" w:lineRule="auto"/>
        <w:rPr>
          <w:rFonts w:hint="eastAsia" w:ascii="宋体" w:hAnsi="宋体" w:eastAsia="宋体" w:cs="宋体"/>
          <w:color w:val="auto"/>
          <w:highlight w:val="none"/>
        </w:rPr>
      </w:pPr>
    </w:p>
    <w:p w14:paraId="533EA46B">
      <w:pPr>
        <w:wordWrap w:val="0"/>
        <w:topLinePunct/>
        <w:spacing w:line="360" w:lineRule="auto"/>
        <w:rPr>
          <w:rFonts w:hint="eastAsia" w:ascii="宋体" w:hAnsi="宋体" w:cs="宋体"/>
          <w:b/>
          <w:bCs/>
          <w:color w:val="auto"/>
          <w:szCs w:val="21"/>
          <w:highlight w:val="none"/>
        </w:rPr>
      </w:pPr>
      <w:bookmarkStart w:id="472" w:name="_Toc20625"/>
      <w:bookmarkStart w:id="473" w:name="_Toc18735"/>
      <w:r>
        <w:rPr>
          <w:rFonts w:hint="eastAsia" w:ascii="宋体" w:hAnsi="宋体" w:cs="宋体"/>
          <w:b/>
          <w:bCs/>
          <w:color w:val="auto"/>
          <w:szCs w:val="21"/>
          <w:highlight w:val="none"/>
        </w:rPr>
        <w:t>备注：若投标人为联合体，由联合体施工单位出具。</w:t>
      </w:r>
      <w:bookmarkEnd w:id="472"/>
      <w:bookmarkEnd w:id="473"/>
    </w:p>
    <w:p w14:paraId="2BC30FDF">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6BD90A46">
      <w:pPr>
        <w:wordWrap w:val="0"/>
        <w:topLinePunct/>
        <w:spacing w:line="360" w:lineRule="auto"/>
        <w:jc w:val="center"/>
        <w:outlineLvl w:val="1"/>
        <w:rPr>
          <w:rFonts w:hint="eastAsia" w:ascii="宋体" w:hAnsi="宋体" w:cs="宋体"/>
          <w:b/>
          <w:bCs/>
          <w:color w:val="auto"/>
          <w:sz w:val="24"/>
          <w:highlight w:val="none"/>
        </w:rPr>
      </w:pPr>
      <w:bookmarkStart w:id="474" w:name="_Toc29367"/>
      <w:r>
        <w:rPr>
          <w:rFonts w:hint="eastAsia" w:ascii="宋体" w:hAnsi="宋体" w:cs="宋体"/>
          <w:b/>
          <w:bCs/>
          <w:color w:val="auto"/>
          <w:sz w:val="24"/>
          <w:highlight w:val="none"/>
        </w:rPr>
        <w:t>六、资格审查资料</w:t>
      </w:r>
      <w:bookmarkEnd w:id="474"/>
    </w:p>
    <w:p w14:paraId="1126740C">
      <w:pPr>
        <w:pStyle w:val="10"/>
        <w:wordWrap w:val="0"/>
        <w:topLinePunct/>
        <w:spacing w:line="360" w:lineRule="auto"/>
        <w:ind w:firstLine="138"/>
        <w:jc w:val="center"/>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（一）投标人基本情况表</w:t>
      </w:r>
    </w:p>
    <w:tbl>
      <w:tblPr>
        <w:tblStyle w:val="26"/>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986"/>
        <w:gridCol w:w="193"/>
        <w:gridCol w:w="781"/>
        <w:gridCol w:w="992"/>
        <w:gridCol w:w="462"/>
        <w:gridCol w:w="342"/>
        <w:gridCol w:w="1314"/>
        <w:gridCol w:w="406"/>
        <w:gridCol w:w="944"/>
        <w:gridCol w:w="842"/>
      </w:tblGrid>
      <w:tr w14:paraId="48016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054869FE">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投标人名称</w:t>
            </w:r>
          </w:p>
        </w:tc>
        <w:tc>
          <w:tcPr>
            <w:tcW w:w="7262" w:type="dxa"/>
            <w:gridSpan w:val="10"/>
            <w:tcBorders>
              <w:top w:val="single" w:color="auto" w:sz="4" w:space="0"/>
              <w:left w:val="single" w:color="auto" w:sz="4" w:space="0"/>
              <w:bottom w:val="single" w:color="auto" w:sz="4" w:space="0"/>
              <w:right w:val="single" w:color="auto" w:sz="4" w:space="0"/>
            </w:tcBorders>
            <w:vAlign w:val="center"/>
          </w:tcPr>
          <w:p w14:paraId="7ADEB1A3">
            <w:pPr>
              <w:wordWrap w:val="0"/>
              <w:topLinePunct/>
              <w:spacing w:line="360" w:lineRule="auto"/>
              <w:jc w:val="center"/>
              <w:rPr>
                <w:rFonts w:hint="eastAsia" w:ascii="宋体" w:hAnsi="宋体" w:cs="宋体"/>
                <w:color w:val="auto"/>
                <w:highlight w:val="none"/>
              </w:rPr>
            </w:pPr>
          </w:p>
        </w:tc>
      </w:tr>
      <w:tr w14:paraId="444FE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0ADFA53D">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注册地址</w:t>
            </w:r>
          </w:p>
        </w:tc>
        <w:tc>
          <w:tcPr>
            <w:tcW w:w="3756" w:type="dxa"/>
            <w:gridSpan w:val="6"/>
            <w:tcBorders>
              <w:top w:val="single" w:color="auto" w:sz="4" w:space="0"/>
              <w:left w:val="single" w:color="auto" w:sz="4" w:space="0"/>
              <w:bottom w:val="single" w:color="auto" w:sz="4" w:space="0"/>
              <w:right w:val="single" w:color="auto" w:sz="4" w:space="0"/>
            </w:tcBorders>
            <w:vAlign w:val="center"/>
          </w:tcPr>
          <w:p w14:paraId="48BDC1BC">
            <w:pPr>
              <w:wordWrap w:val="0"/>
              <w:topLinePunct/>
              <w:spacing w:line="360" w:lineRule="auto"/>
              <w:jc w:val="center"/>
              <w:rPr>
                <w:rFonts w:hint="eastAsia" w:ascii="宋体" w:hAnsi="宋体" w:cs="宋体"/>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584F256">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邮政编码</w:t>
            </w: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24338678">
            <w:pPr>
              <w:wordWrap w:val="0"/>
              <w:topLinePunct/>
              <w:spacing w:line="360" w:lineRule="auto"/>
              <w:jc w:val="center"/>
              <w:rPr>
                <w:rFonts w:hint="eastAsia" w:ascii="宋体" w:hAnsi="宋体" w:cs="宋体"/>
                <w:color w:val="auto"/>
                <w:highlight w:val="none"/>
              </w:rPr>
            </w:pPr>
          </w:p>
        </w:tc>
      </w:tr>
      <w:tr w14:paraId="4652C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1897" w:type="dxa"/>
            <w:vMerge w:val="restart"/>
            <w:tcBorders>
              <w:top w:val="single" w:color="auto" w:sz="4" w:space="0"/>
              <w:left w:val="single" w:color="auto" w:sz="4" w:space="0"/>
              <w:bottom w:val="single" w:color="auto" w:sz="4" w:space="0"/>
              <w:right w:val="single" w:color="auto" w:sz="4" w:space="0"/>
            </w:tcBorders>
            <w:vAlign w:val="center"/>
          </w:tcPr>
          <w:p w14:paraId="70447487">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联系方式</w:t>
            </w: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5434C48C">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联系人</w:t>
            </w:r>
          </w:p>
        </w:tc>
        <w:tc>
          <w:tcPr>
            <w:tcW w:w="2577" w:type="dxa"/>
            <w:gridSpan w:val="4"/>
            <w:tcBorders>
              <w:top w:val="single" w:color="auto" w:sz="4" w:space="0"/>
              <w:left w:val="single" w:color="auto" w:sz="4" w:space="0"/>
              <w:bottom w:val="single" w:color="auto" w:sz="4" w:space="0"/>
              <w:right w:val="single" w:color="auto" w:sz="4" w:space="0"/>
            </w:tcBorders>
            <w:vAlign w:val="center"/>
          </w:tcPr>
          <w:p w14:paraId="19C5E29D">
            <w:pPr>
              <w:wordWrap w:val="0"/>
              <w:topLinePunct/>
              <w:spacing w:line="360" w:lineRule="auto"/>
              <w:jc w:val="center"/>
              <w:rPr>
                <w:rFonts w:hint="eastAsia" w:ascii="宋体" w:hAnsi="宋体" w:cs="宋体"/>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6EE135E">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电 话</w:t>
            </w: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1F890A00">
            <w:pPr>
              <w:wordWrap w:val="0"/>
              <w:topLinePunct/>
              <w:spacing w:line="360" w:lineRule="auto"/>
              <w:jc w:val="center"/>
              <w:rPr>
                <w:rFonts w:hint="eastAsia" w:ascii="宋体" w:hAnsi="宋体" w:cs="宋体"/>
                <w:color w:val="auto"/>
                <w:highlight w:val="none"/>
              </w:rPr>
            </w:pPr>
          </w:p>
        </w:tc>
      </w:tr>
      <w:tr w14:paraId="4F028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897" w:type="dxa"/>
            <w:vMerge w:val="continue"/>
            <w:tcBorders>
              <w:top w:val="single" w:color="auto" w:sz="4" w:space="0"/>
              <w:left w:val="single" w:color="auto" w:sz="4" w:space="0"/>
              <w:bottom w:val="single" w:color="auto" w:sz="4" w:space="0"/>
              <w:right w:val="single" w:color="auto" w:sz="4" w:space="0"/>
            </w:tcBorders>
            <w:vAlign w:val="center"/>
          </w:tcPr>
          <w:p w14:paraId="195F8A47">
            <w:pPr>
              <w:wordWrap w:val="0"/>
              <w:topLinePunct/>
              <w:spacing w:line="360" w:lineRule="auto"/>
              <w:jc w:val="center"/>
              <w:rPr>
                <w:rFonts w:hint="eastAsia" w:ascii="宋体" w:hAnsi="宋体" w:cs="宋体"/>
                <w:color w:val="auto"/>
                <w:highlight w:val="none"/>
              </w:rPr>
            </w:pPr>
          </w:p>
        </w:tc>
        <w:tc>
          <w:tcPr>
            <w:tcW w:w="1179" w:type="dxa"/>
            <w:gridSpan w:val="2"/>
            <w:tcBorders>
              <w:top w:val="single" w:color="auto" w:sz="4" w:space="0"/>
              <w:left w:val="single" w:color="auto" w:sz="4" w:space="0"/>
              <w:bottom w:val="single" w:color="auto" w:sz="4" w:space="0"/>
              <w:right w:val="single" w:color="auto" w:sz="4" w:space="0"/>
            </w:tcBorders>
            <w:vAlign w:val="center"/>
          </w:tcPr>
          <w:p w14:paraId="1F257B03">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传  真</w:t>
            </w:r>
          </w:p>
        </w:tc>
        <w:tc>
          <w:tcPr>
            <w:tcW w:w="2577" w:type="dxa"/>
            <w:gridSpan w:val="4"/>
            <w:tcBorders>
              <w:top w:val="single" w:color="auto" w:sz="4" w:space="0"/>
              <w:left w:val="single" w:color="auto" w:sz="4" w:space="0"/>
              <w:bottom w:val="single" w:color="auto" w:sz="4" w:space="0"/>
              <w:right w:val="single" w:color="auto" w:sz="4" w:space="0"/>
            </w:tcBorders>
            <w:vAlign w:val="center"/>
          </w:tcPr>
          <w:p w14:paraId="14E3F655">
            <w:pPr>
              <w:wordWrap w:val="0"/>
              <w:topLinePunct/>
              <w:spacing w:line="360" w:lineRule="auto"/>
              <w:jc w:val="center"/>
              <w:rPr>
                <w:rFonts w:hint="eastAsia" w:ascii="宋体" w:hAnsi="宋体" w:cs="宋体"/>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B807A30">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网 址</w:t>
            </w: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767DADE1">
            <w:pPr>
              <w:wordWrap w:val="0"/>
              <w:topLinePunct/>
              <w:spacing w:line="360" w:lineRule="auto"/>
              <w:jc w:val="center"/>
              <w:rPr>
                <w:rFonts w:hint="eastAsia" w:ascii="宋体" w:hAnsi="宋体" w:cs="宋体"/>
                <w:color w:val="auto"/>
                <w:highlight w:val="none"/>
              </w:rPr>
            </w:pPr>
          </w:p>
        </w:tc>
      </w:tr>
      <w:tr w14:paraId="7D65E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0B7C3FA1">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组织结构</w:t>
            </w:r>
          </w:p>
        </w:tc>
        <w:tc>
          <w:tcPr>
            <w:tcW w:w="7262" w:type="dxa"/>
            <w:gridSpan w:val="10"/>
            <w:tcBorders>
              <w:top w:val="single" w:color="auto" w:sz="4" w:space="0"/>
              <w:left w:val="single" w:color="auto" w:sz="4" w:space="0"/>
              <w:bottom w:val="single" w:color="auto" w:sz="4" w:space="0"/>
              <w:right w:val="single" w:color="auto" w:sz="4" w:space="0"/>
            </w:tcBorders>
            <w:vAlign w:val="center"/>
          </w:tcPr>
          <w:p w14:paraId="42D8ED64">
            <w:pPr>
              <w:wordWrap w:val="0"/>
              <w:topLinePunct/>
              <w:spacing w:line="360" w:lineRule="auto"/>
              <w:jc w:val="center"/>
              <w:rPr>
                <w:rFonts w:hint="eastAsia" w:ascii="宋体" w:hAnsi="宋体" w:cs="宋体"/>
                <w:color w:val="auto"/>
                <w:highlight w:val="none"/>
              </w:rPr>
            </w:pPr>
          </w:p>
        </w:tc>
      </w:tr>
      <w:tr w14:paraId="7D696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4763F624">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法定代表人</w:t>
            </w:r>
          </w:p>
        </w:tc>
        <w:tc>
          <w:tcPr>
            <w:tcW w:w="986" w:type="dxa"/>
            <w:tcBorders>
              <w:top w:val="single" w:color="auto" w:sz="4" w:space="0"/>
              <w:left w:val="single" w:color="auto" w:sz="4" w:space="0"/>
              <w:bottom w:val="single" w:color="auto" w:sz="4" w:space="0"/>
              <w:right w:val="single" w:color="auto" w:sz="4" w:space="0"/>
            </w:tcBorders>
            <w:vAlign w:val="center"/>
          </w:tcPr>
          <w:p w14:paraId="4FC7787F">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974" w:type="dxa"/>
            <w:gridSpan w:val="2"/>
            <w:tcBorders>
              <w:top w:val="single" w:color="auto" w:sz="4" w:space="0"/>
              <w:left w:val="single" w:color="auto" w:sz="4" w:space="0"/>
              <w:bottom w:val="single" w:color="auto" w:sz="4" w:space="0"/>
              <w:right w:val="single" w:color="auto" w:sz="4" w:space="0"/>
            </w:tcBorders>
            <w:vAlign w:val="center"/>
          </w:tcPr>
          <w:p w14:paraId="54F4E6AF">
            <w:pPr>
              <w:wordWrap w:val="0"/>
              <w:topLinePunct/>
              <w:spacing w:line="360" w:lineRule="auto"/>
              <w:jc w:val="center"/>
              <w:rPr>
                <w:rFonts w:hint="eastAsia" w:ascii="宋体" w:hAnsi="宋体" w:cs="宋体"/>
                <w:color w:val="auto"/>
                <w:highlight w:val="none"/>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14:paraId="41F4B660">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14:paraId="4A34B10A">
            <w:pPr>
              <w:wordWrap w:val="0"/>
              <w:topLinePunct/>
              <w:spacing w:line="360" w:lineRule="auto"/>
              <w:jc w:val="center"/>
              <w:rPr>
                <w:rFonts w:hint="eastAsia" w:ascii="宋体" w:hAnsi="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23C806EE">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电话</w:t>
            </w:r>
          </w:p>
        </w:tc>
        <w:tc>
          <w:tcPr>
            <w:tcW w:w="842" w:type="dxa"/>
            <w:tcBorders>
              <w:top w:val="single" w:color="auto" w:sz="4" w:space="0"/>
              <w:left w:val="single" w:color="auto" w:sz="4" w:space="0"/>
              <w:bottom w:val="single" w:color="auto" w:sz="4" w:space="0"/>
              <w:right w:val="single" w:color="auto" w:sz="4" w:space="0"/>
            </w:tcBorders>
            <w:vAlign w:val="center"/>
          </w:tcPr>
          <w:p w14:paraId="7D61318E">
            <w:pPr>
              <w:wordWrap w:val="0"/>
              <w:topLinePunct/>
              <w:spacing w:line="360" w:lineRule="auto"/>
              <w:jc w:val="center"/>
              <w:rPr>
                <w:rFonts w:hint="eastAsia" w:ascii="宋体" w:hAnsi="宋体" w:cs="宋体"/>
                <w:color w:val="auto"/>
                <w:highlight w:val="none"/>
              </w:rPr>
            </w:pPr>
          </w:p>
        </w:tc>
      </w:tr>
      <w:tr w14:paraId="2B714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405F9F16">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技术负责人</w:t>
            </w:r>
          </w:p>
        </w:tc>
        <w:tc>
          <w:tcPr>
            <w:tcW w:w="986" w:type="dxa"/>
            <w:tcBorders>
              <w:top w:val="single" w:color="auto" w:sz="4" w:space="0"/>
              <w:left w:val="single" w:color="auto" w:sz="4" w:space="0"/>
              <w:bottom w:val="single" w:color="auto" w:sz="4" w:space="0"/>
              <w:right w:val="single" w:color="auto" w:sz="4" w:space="0"/>
            </w:tcBorders>
            <w:vAlign w:val="center"/>
          </w:tcPr>
          <w:p w14:paraId="7AE6B84E">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姓名</w:t>
            </w:r>
          </w:p>
        </w:tc>
        <w:tc>
          <w:tcPr>
            <w:tcW w:w="974" w:type="dxa"/>
            <w:gridSpan w:val="2"/>
            <w:tcBorders>
              <w:top w:val="single" w:color="auto" w:sz="4" w:space="0"/>
              <w:left w:val="single" w:color="auto" w:sz="4" w:space="0"/>
              <w:bottom w:val="single" w:color="auto" w:sz="4" w:space="0"/>
              <w:right w:val="single" w:color="auto" w:sz="4" w:space="0"/>
            </w:tcBorders>
            <w:vAlign w:val="center"/>
          </w:tcPr>
          <w:p w14:paraId="50DCE2BA">
            <w:pPr>
              <w:wordWrap w:val="0"/>
              <w:topLinePunct/>
              <w:spacing w:line="360" w:lineRule="auto"/>
              <w:jc w:val="center"/>
              <w:rPr>
                <w:rFonts w:hint="eastAsia" w:ascii="宋体" w:hAnsi="宋体" w:cs="宋体"/>
                <w:color w:val="auto"/>
                <w:highlight w:val="none"/>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14:paraId="69EA17E8">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14:paraId="6052904C">
            <w:pPr>
              <w:wordWrap w:val="0"/>
              <w:topLinePunct/>
              <w:spacing w:line="360" w:lineRule="auto"/>
              <w:jc w:val="center"/>
              <w:rPr>
                <w:rFonts w:hint="eastAsia" w:ascii="宋体" w:hAnsi="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7D00DEE0">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电话</w:t>
            </w:r>
          </w:p>
        </w:tc>
        <w:tc>
          <w:tcPr>
            <w:tcW w:w="842" w:type="dxa"/>
            <w:tcBorders>
              <w:top w:val="single" w:color="auto" w:sz="4" w:space="0"/>
              <w:left w:val="single" w:color="auto" w:sz="4" w:space="0"/>
              <w:bottom w:val="single" w:color="auto" w:sz="4" w:space="0"/>
              <w:right w:val="single" w:color="auto" w:sz="4" w:space="0"/>
            </w:tcBorders>
            <w:vAlign w:val="center"/>
          </w:tcPr>
          <w:p w14:paraId="675F9471">
            <w:pPr>
              <w:wordWrap w:val="0"/>
              <w:topLinePunct/>
              <w:spacing w:line="360" w:lineRule="auto"/>
              <w:jc w:val="center"/>
              <w:rPr>
                <w:rFonts w:hint="eastAsia" w:ascii="宋体" w:hAnsi="宋体" w:cs="宋体"/>
                <w:color w:val="auto"/>
                <w:highlight w:val="none"/>
              </w:rPr>
            </w:pPr>
          </w:p>
        </w:tc>
      </w:tr>
      <w:tr w14:paraId="0D37D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62460E79">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成立时间</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02043148">
            <w:pPr>
              <w:wordWrap w:val="0"/>
              <w:topLinePunct/>
              <w:spacing w:line="360" w:lineRule="auto"/>
              <w:jc w:val="center"/>
              <w:rPr>
                <w:rFonts w:hint="eastAsia" w:ascii="宋体" w:hAnsi="宋体" w:cs="宋体"/>
                <w:color w:val="auto"/>
                <w:highlight w:val="none"/>
              </w:rPr>
            </w:pPr>
          </w:p>
        </w:tc>
        <w:tc>
          <w:tcPr>
            <w:tcW w:w="5302" w:type="dxa"/>
            <w:gridSpan w:val="7"/>
            <w:tcBorders>
              <w:top w:val="single" w:color="auto" w:sz="4" w:space="0"/>
              <w:left w:val="single" w:color="auto" w:sz="4" w:space="0"/>
              <w:bottom w:val="single" w:color="auto" w:sz="4" w:space="0"/>
              <w:right w:val="single" w:color="auto" w:sz="4" w:space="0"/>
            </w:tcBorders>
            <w:vAlign w:val="center"/>
          </w:tcPr>
          <w:p w14:paraId="2925D29E">
            <w:pPr>
              <w:wordWrap w:val="0"/>
              <w:topLinePunct/>
              <w:spacing w:line="360" w:lineRule="auto"/>
              <w:ind w:firstLine="105" w:firstLineChars="50"/>
              <w:jc w:val="center"/>
              <w:rPr>
                <w:rFonts w:hint="eastAsia" w:ascii="宋体" w:hAnsi="宋体" w:cs="宋体"/>
                <w:color w:val="auto"/>
                <w:highlight w:val="none"/>
              </w:rPr>
            </w:pPr>
            <w:r>
              <w:rPr>
                <w:rFonts w:hint="eastAsia" w:ascii="宋体" w:hAnsi="宋体" w:cs="宋体"/>
                <w:color w:val="auto"/>
                <w:highlight w:val="none"/>
              </w:rPr>
              <w:t>员工总人数：</w:t>
            </w:r>
          </w:p>
        </w:tc>
      </w:tr>
      <w:tr w14:paraId="0D4A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022E8400">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企业资质等级</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16CBC267">
            <w:pPr>
              <w:wordWrap w:val="0"/>
              <w:topLinePunct/>
              <w:spacing w:line="360" w:lineRule="auto"/>
              <w:jc w:val="center"/>
              <w:rPr>
                <w:rFonts w:hint="eastAsia" w:ascii="宋体" w:hAnsi="宋体" w:cs="宋体"/>
                <w:color w:val="auto"/>
                <w:highlight w:val="none"/>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D20D431">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其中</w:t>
            </w:r>
          </w:p>
        </w:tc>
        <w:tc>
          <w:tcPr>
            <w:tcW w:w="2524" w:type="dxa"/>
            <w:gridSpan w:val="4"/>
            <w:tcBorders>
              <w:top w:val="single" w:color="auto" w:sz="4" w:space="0"/>
              <w:left w:val="single" w:color="auto" w:sz="4" w:space="0"/>
              <w:bottom w:val="single" w:color="auto" w:sz="4" w:space="0"/>
              <w:right w:val="single" w:color="auto" w:sz="4" w:space="0"/>
            </w:tcBorders>
            <w:vAlign w:val="center"/>
          </w:tcPr>
          <w:p w14:paraId="72936FA5">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项目负责人</w:t>
            </w:r>
          </w:p>
        </w:tc>
        <w:tc>
          <w:tcPr>
            <w:tcW w:w="1786" w:type="dxa"/>
            <w:gridSpan w:val="2"/>
            <w:tcBorders>
              <w:top w:val="single" w:color="auto" w:sz="4" w:space="0"/>
              <w:left w:val="single" w:color="auto" w:sz="4" w:space="0"/>
              <w:bottom w:val="single" w:color="auto" w:sz="4" w:space="0"/>
              <w:right w:val="single" w:color="auto" w:sz="4" w:space="0"/>
            </w:tcBorders>
            <w:vAlign w:val="center"/>
          </w:tcPr>
          <w:p w14:paraId="3662B089">
            <w:pPr>
              <w:wordWrap w:val="0"/>
              <w:topLinePunct/>
              <w:spacing w:line="360" w:lineRule="auto"/>
              <w:jc w:val="center"/>
              <w:rPr>
                <w:rFonts w:hint="eastAsia" w:ascii="宋体" w:hAnsi="宋体" w:cs="宋体"/>
                <w:color w:val="auto"/>
                <w:highlight w:val="none"/>
              </w:rPr>
            </w:pPr>
          </w:p>
        </w:tc>
      </w:tr>
      <w:tr w14:paraId="7F310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6C6D563F">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营业执照号</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44F9E8D0">
            <w:pPr>
              <w:wordWrap w:val="0"/>
              <w:topLinePunct/>
              <w:spacing w:line="360" w:lineRule="auto"/>
              <w:jc w:val="center"/>
              <w:rPr>
                <w:rFonts w:hint="eastAsia" w:ascii="宋体" w:hAnsi="宋体" w:cs="宋体"/>
                <w:color w:val="auto"/>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4FF17D4">
            <w:pPr>
              <w:wordWrap w:val="0"/>
              <w:topLinePunct/>
              <w:spacing w:line="360" w:lineRule="auto"/>
              <w:jc w:val="center"/>
              <w:rPr>
                <w:rFonts w:hint="eastAsia" w:ascii="宋体" w:hAnsi="宋体" w:cs="宋体"/>
                <w:color w:val="auto"/>
                <w:highlight w:val="none"/>
              </w:rPr>
            </w:pPr>
          </w:p>
        </w:tc>
        <w:tc>
          <w:tcPr>
            <w:tcW w:w="2524" w:type="dxa"/>
            <w:gridSpan w:val="4"/>
            <w:tcBorders>
              <w:top w:val="single" w:color="auto" w:sz="4" w:space="0"/>
              <w:left w:val="single" w:color="auto" w:sz="4" w:space="0"/>
              <w:bottom w:val="single" w:color="auto" w:sz="4" w:space="0"/>
              <w:right w:val="single" w:color="auto" w:sz="4" w:space="0"/>
            </w:tcBorders>
            <w:vAlign w:val="center"/>
          </w:tcPr>
          <w:p w14:paraId="4A6145CB">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高级职称人员</w:t>
            </w:r>
          </w:p>
        </w:tc>
        <w:tc>
          <w:tcPr>
            <w:tcW w:w="1786" w:type="dxa"/>
            <w:gridSpan w:val="2"/>
            <w:tcBorders>
              <w:top w:val="single" w:color="auto" w:sz="4" w:space="0"/>
              <w:left w:val="single" w:color="auto" w:sz="4" w:space="0"/>
              <w:bottom w:val="single" w:color="auto" w:sz="4" w:space="0"/>
              <w:right w:val="single" w:color="auto" w:sz="4" w:space="0"/>
            </w:tcBorders>
            <w:vAlign w:val="center"/>
          </w:tcPr>
          <w:p w14:paraId="262FA476">
            <w:pPr>
              <w:wordWrap w:val="0"/>
              <w:topLinePunct/>
              <w:spacing w:line="360" w:lineRule="auto"/>
              <w:jc w:val="center"/>
              <w:rPr>
                <w:rFonts w:hint="eastAsia" w:ascii="宋体" w:hAnsi="宋体" w:cs="宋体"/>
                <w:color w:val="auto"/>
                <w:highlight w:val="none"/>
              </w:rPr>
            </w:pPr>
          </w:p>
        </w:tc>
      </w:tr>
      <w:tr w14:paraId="03F06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5D590A28">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注册资金</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784F94FE">
            <w:pPr>
              <w:wordWrap w:val="0"/>
              <w:topLinePunct/>
              <w:spacing w:line="360" w:lineRule="auto"/>
              <w:jc w:val="center"/>
              <w:rPr>
                <w:rFonts w:hint="eastAsia" w:ascii="宋体" w:hAnsi="宋体" w:cs="宋体"/>
                <w:color w:val="auto"/>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712FF3D">
            <w:pPr>
              <w:wordWrap w:val="0"/>
              <w:topLinePunct/>
              <w:spacing w:line="360" w:lineRule="auto"/>
              <w:jc w:val="center"/>
              <w:rPr>
                <w:rFonts w:hint="eastAsia" w:ascii="宋体" w:hAnsi="宋体" w:cs="宋体"/>
                <w:color w:val="auto"/>
                <w:highlight w:val="none"/>
              </w:rPr>
            </w:pPr>
          </w:p>
        </w:tc>
        <w:tc>
          <w:tcPr>
            <w:tcW w:w="2524" w:type="dxa"/>
            <w:gridSpan w:val="4"/>
            <w:tcBorders>
              <w:top w:val="single" w:color="auto" w:sz="4" w:space="0"/>
              <w:left w:val="single" w:color="auto" w:sz="4" w:space="0"/>
              <w:bottom w:val="single" w:color="auto" w:sz="4" w:space="0"/>
              <w:right w:val="single" w:color="auto" w:sz="4" w:space="0"/>
            </w:tcBorders>
            <w:vAlign w:val="center"/>
          </w:tcPr>
          <w:p w14:paraId="26DE330C">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中级职称人员</w:t>
            </w:r>
          </w:p>
        </w:tc>
        <w:tc>
          <w:tcPr>
            <w:tcW w:w="1786" w:type="dxa"/>
            <w:gridSpan w:val="2"/>
            <w:tcBorders>
              <w:top w:val="single" w:color="auto" w:sz="4" w:space="0"/>
              <w:left w:val="single" w:color="auto" w:sz="4" w:space="0"/>
              <w:bottom w:val="single" w:color="auto" w:sz="4" w:space="0"/>
              <w:right w:val="single" w:color="auto" w:sz="4" w:space="0"/>
            </w:tcBorders>
            <w:vAlign w:val="center"/>
          </w:tcPr>
          <w:p w14:paraId="2983BA25">
            <w:pPr>
              <w:wordWrap w:val="0"/>
              <w:topLinePunct/>
              <w:spacing w:line="360" w:lineRule="auto"/>
              <w:jc w:val="center"/>
              <w:rPr>
                <w:rFonts w:hint="eastAsia" w:ascii="宋体" w:hAnsi="宋体" w:cs="宋体"/>
                <w:color w:val="auto"/>
                <w:highlight w:val="none"/>
              </w:rPr>
            </w:pPr>
          </w:p>
        </w:tc>
      </w:tr>
      <w:tr w14:paraId="0483C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259AE9C7">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开户银行</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032095A3">
            <w:pPr>
              <w:wordWrap w:val="0"/>
              <w:topLinePunct/>
              <w:spacing w:line="360" w:lineRule="auto"/>
              <w:jc w:val="center"/>
              <w:rPr>
                <w:rFonts w:hint="eastAsia" w:ascii="宋体" w:hAnsi="宋体" w:cs="宋体"/>
                <w:color w:val="auto"/>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EC97400">
            <w:pPr>
              <w:wordWrap w:val="0"/>
              <w:topLinePunct/>
              <w:spacing w:line="360" w:lineRule="auto"/>
              <w:jc w:val="center"/>
              <w:rPr>
                <w:rFonts w:hint="eastAsia" w:ascii="宋体" w:hAnsi="宋体" w:cs="宋体"/>
                <w:color w:val="auto"/>
                <w:highlight w:val="none"/>
              </w:rPr>
            </w:pPr>
          </w:p>
        </w:tc>
        <w:tc>
          <w:tcPr>
            <w:tcW w:w="2524" w:type="dxa"/>
            <w:gridSpan w:val="4"/>
            <w:tcBorders>
              <w:top w:val="single" w:color="auto" w:sz="4" w:space="0"/>
              <w:left w:val="single" w:color="auto" w:sz="4" w:space="0"/>
              <w:bottom w:val="single" w:color="auto" w:sz="4" w:space="0"/>
              <w:right w:val="single" w:color="auto" w:sz="4" w:space="0"/>
            </w:tcBorders>
            <w:vAlign w:val="center"/>
          </w:tcPr>
          <w:p w14:paraId="4A3312F9">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初级职称人员</w:t>
            </w:r>
          </w:p>
        </w:tc>
        <w:tc>
          <w:tcPr>
            <w:tcW w:w="1786" w:type="dxa"/>
            <w:gridSpan w:val="2"/>
            <w:tcBorders>
              <w:top w:val="single" w:color="auto" w:sz="4" w:space="0"/>
              <w:left w:val="single" w:color="auto" w:sz="4" w:space="0"/>
              <w:bottom w:val="single" w:color="auto" w:sz="4" w:space="0"/>
              <w:right w:val="single" w:color="auto" w:sz="4" w:space="0"/>
            </w:tcBorders>
            <w:vAlign w:val="center"/>
          </w:tcPr>
          <w:p w14:paraId="74604DE7">
            <w:pPr>
              <w:wordWrap w:val="0"/>
              <w:topLinePunct/>
              <w:spacing w:line="360" w:lineRule="auto"/>
              <w:jc w:val="center"/>
              <w:rPr>
                <w:rFonts w:hint="eastAsia" w:ascii="宋体" w:hAnsi="宋体" w:cs="宋体"/>
                <w:color w:val="auto"/>
                <w:highlight w:val="none"/>
              </w:rPr>
            </w:pPr>
          </w:p>
        </w:tc>
      </w:tr>
      <w:tr w14:paraId="32F97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3CF1A954">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账号</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4EC586BA">
            <w:pPr>
              <w:wordWrap w:val="0"/>
              <w:topLinePunct/>
              <w:spacing w:line="360" w:lineRule="auto"/>
              <w:jc w:val="center"/>
              <w:rPr>
                <w:rFonts w:hint="eastAsia" w:ascii="宋体" w:hAnsi="宋体" w:cs="宋体"/>
                <w:color w:val="auto"/>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8BD3519">
            <w:pPr>
              <w:wordWrap w:val="0"/>
              <w:topLinePunct/>
              <w:spacing w:line="360" w:lineRule="auto"/>
              <w:jc w:val="center"/>
              <w:rPr>
                <w:rFonts w:hint="eastAsia" w:ascii="宋体" w:hAnsi="宋体" w:cs="宋体"/>
                <w:color w:val="auto"/>
                <w:highlight w:val="none"/>
              </w:rPr>
            </w:pPr>
          </w:p>
        </w:tc>
        <w:tc>
          <w:tcPr>
            <w:tcW w:w="2524" w:type="dxa"/>
            <w:gridSpan w:val="4"/>
            <w:tcBorders>
              <w:top w:val="single" w:color="auto" w:sz="4" w:space="0"/>
              <w:left w:val="single" w:color="auto" w:sz="4" w:space="0"/>
              <w:bottom w:val="single" w:color="auto" w:sz="4" w:space="0"/>
              <w:right w:val="single" w:color="auto" w:sz="4" w:space="0"/>
            </w:tcBorders>
            <w:vAlign w:val="center"/>
          </w:tcPr>
          <w:p w14:paraId="7847AAA8">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技工</w:t>
            </w:r>
          </w:p>
        </w:tc>
        <w:tc>
          <w:tcPr>
            <w:tcW w:w="1786" w:type="dxa"/>
            <w:gridSpan w:val="2"/>
            <w:tcBorders>
              <w:top w:val="single" w:color="auto" w:sz="4" w:space="0"/>
              <w:left w:val="single" w:color="auto" w:sz="4" w:space="0"/>
              <w:bottom w:val="single" w:color="auto" w:sz="4" w:space="0"/>
              <w:right w:val="single" w:color="auto" w:sz="4" w:space="0"/>
            </w:tcBorders>
            <w:vAlign w:val="center"/>
          </w:tcPr>
          <w:p w14:paraId="30FB1B40">
            <w:pPr>
              <w:wordWrap w:val="0"/>
              <w:topLinePunct/>
              <w:spacing w:line="360" w:lineRule="auto"/>
              <w:jc w:val="center"/>
              <w:rPr>
                <w:rFonts w:hint="eastAsia" w:ascii="宋体" w:hAnsi="宋体" w:cs="宋体"/>
                <w:color w:val="auto"/>
                <w:highlight w:val="none"/>
              </w:rPr>
            </w:pPr>
          </w:p>
        </w:tc>
      </w:tr>
      <w:tr w14:paraId="0BAFD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1897" w:type="dxa"/>
            <w:tcBorders>
              <w:top w:val="single" w:color="auto" w:sz="4" w:space="0"/>
              <w:left w:val="single" w:color="auto" w:sz="4" w:space="0"/>
              <w:right w:val="single" w:color="auto" w:sz="4" w:space="0"/>
            </w:tcBorders>
            <w:vAlign w:val="center"/>
          </w:tcPr>
          <w:p w14:paraId="35235AB9">
            <w:pPr>
              <w:wordWrap w:val="0"/>
              <w:topLinePunct/>
              <w:spacing w:line="360" w:lineRule="auto"/>
              <w:ind w:firstLine="210" w:firstLineChars="100"/>
              <w:jc w:val="center"/>
              <w:rPr>
                <w:rFonts w:hint="eastAsia" w:ascii="宋体" w:hAnsi="宋体" w:cs="宋体"/>
                <w:color w:val="auto"/>
                <w:highlight w:val="none"/>
              </w:rPr>
            </w:pPr>
            <w:r>
              <w:rPr>
                <w:rFonts w:hint="eastAsia" w:ascii="宋体" w:hAnsi="宋体" w:cs="宋体"/>
                <w:color w:val="auto"/>
                <w:highlight w:val="none"/>
              </w:rPr>
              <w:t>经营范围</w:t>
            </w:r>
          </w:p>
        </w:tc>
        <w:tc>
          <w:tcPr>
            <w:tcW w:w="7262" w:type="dxa"/>
            <w:gridSpan w:val="10"/>
            <w:tcBorders>
              <w:top w:val="single" w:color="auto" w:sz="4" w:space="0"/>
              <w:left w:val="single" w:color="auto" w:sz="4" w:space="0"/>
              <w:right w:val="single" w:color="auto" w:sz="4" w:space="0"/>
            </w:tcBorders>
            <w:vAlign w:val="center"/>
          </w:tcPr>
          <w:p w14:paraId="041811F0">
            <w:pPr>
              <w:wordWrap w:val="0"/>
              <w:topLinePunct/>
              <w:spacing w:line="360" w:lineRule="auto"/>
              <w:rPr>
                <w:rFonts w:hint="eastAsia" w:ascii="宋体" w:hAnsi="宋体" w:cs="宋体"/>
                <w:color w:val="auto"/>
                <w:highlight w:val="none"/>
              </w:rPr>
            </w:pPr>
          </w:p>
        </w:tc>
      </w:tr>
      <w:tr w14:paraId="7FCF1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15B986DE">
            <w:pPr>
              <w:wordWrap w:val="0"/>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c>
          <w:tcPr>
            <w:tcW w:w="7262" w:type="dxa"/>
            <w:gridSpan w:val="10"/>
            <w:tcBorders>
              <w:top w:val="single" w:color="auto" w:sz="4" w:space="0"/>
              <w:left w:val="single" w:color="auto" w:sz="4" w:space="0"/>
              <w:bottom w:val="single" w:color="auto" w:sz="4" w:space="0"/>
              <w:right w:val="single" w:color="auto" w:sz="4" w:space="0"/>
            </w:tcBorders>
            <w:vAlign w:val="center"/>
          </w:tcPr>
          <w:p w14:paraId="12BBC555">
            <w:pPr>
              <w:wordWrap w:val="0"/>
              <w:topLinePunct/>
              <w:spacing w:line="360" w:lineRule="auto"/>
              <w:jc w:val="center"/>
              <w:rPr>
                <w:rFonts w:hint="eastAsia" w:ascii="宋体" w:hAnsi="宋体" w:cs="宋体"/>
                <w:color w:val="auto"/>
                <w:highlight w:val="none"/>
              </w:rPr>
            </w:pPr>
          </w:p>
        </w:tc>
      </w:tr>
    </w:tbl>
    <w:p w14:paraId="553FAD47">
      <w:pPr>
        <w:wordWrap w:val="0"/>
        <w:topLinePunct/>
        <w:spacing w:line="360" w:lineRule="auto"/>
        <w:rPr>
          <w:rFonts w:hint="eastAsia" w:ascii="宋体" w:hAnsi="宋体" w:cs="宋体"/>
          <w:b/>
          <w:bCs/>
          <w:color w:val="auto"/>
          <w:highlight w:val="none"/>
        </w:rPr>
      </w:pPr>
    </w:p>
    <w:p w14:paraId="2FF7FC7A">
      <w:pPr>
        <w:wordWrap w:val="0"/>
        <w:topLinePunct/>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注：</w:t>
      </w:r>
      <w:r>
        <w:rPr>
          <w:rFonts w:hint="eastAsia" w:ascii="宋体" w:hAnsi="宋体" w:cs="宋体"/>
          <w:color w:val="auto"/>
          <w:highlight w:val="none"/>
        </w:rPr>
        <w:t>后附营业执照、资质证书等资格审查资料</w:t>
      </w:r>
      <w:r>
        <w:rPr>
          <w:rFonts w:hint="eastAsia" w:ascii="宋体" w:hAnsi="宋体" w:cs="宋体"/>
          <w:color w:val="auto"/>
          <w:sz w:val="24"/>
          <w:highlight w:val="none"/>
        </w:rPr>
        <w:t>。</w:t>
      </w:r>
      <w:r>
        <w:rPr>
          <w:rFonts w:hint="eastAsia" w:ascii="宋体" w:hAnsi="宋体" w:cs="宋体"/>
          <w:color w:val="auto"/>
          <w:highlight w:val="none"/>
        </w:rPr>
        <w:t>若投标人为联合体，本表由联合体牵头人填写，后附联合体所有成员资格审查相关资料扫描件。前已附资料此处可省略。</w:t>
      </w:r>
    </w:p>
    <w:p w14:paraId="751F6BFD">
      <w:pPr>
        <w:wordWrap w:val="0"/>
        <w:topLinePunct/>
        <w:spacing w:line="360" w:lineRule="auto"/>
        <w:ind w:firstLine="420" w:firstLineChars="200"/>
        <w:rPr>
          <w:rFonts w:hint="eastAsia" w:ascii="宋体" w:hAnsi="宋体" w:cs="宋体"/>
          <w:color w:val="auto"/>
          <w:highlight w:val="none"/>
        </w:rPr>
      </w:pPr>
    </w:p>
    <w:p w14:paraId="66F7A415">
      <w:pPr>
        <w:wordWrap w:val="0"/>
        <w:topLinePunct/>
        <w:spacing w:line="360" w:lineRule="auto"/>
        <w:jc w:val="center"/>
        <w:outlineLvl w:val="2"/>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投标人财务情况</w:t>
      </w:r>
    </w:p>
    <w:p w14:paraId="64BB5D0C">
      <w:pPr>
        <w:rPr>
          <w:rFonts w:hint="eastAsia" w:ascii="宋体" w:hAnsi="宋体" w:cs="宋体"/>
          <w:b/>
          <w:bCs/>
          <w:color w:val="auto"/>
          <w:sz w:val="24"/>
          <w:highlight w:val="none"/>
        </w:rPr>
      </w:pPr>
      <w:r>
        <w:rPr>
          <w:rFonts w:hint="eastAsia" w:ascii="宋体" w:hAnsi="宋体" w:cs="宋体"/>
          <w:color w:val="auto"/>
          <w:szCs w:val="21"/>
          <w:highlight w:val="none"/>
        </w:rPr>
        <w:t>备注：投标人提供2024年度经审计的财务审计报告（成立年限不足的提供基本开户银行出具的资信证明）（若为联合体投标，仅联合体牵头人提供）。</w:t>
      </w:r>
      <w:r>
        <w:rPr>
          <w:rFonts w:hint="eastAsia" w:ascii="宋体" w:hAnsi="宋体" w:cs="宋体"/>
          <w:b/>
          <w:bCs/>
          <w:color w:val="auto"/>
          <w:sz w:val="24"/>
          <w:highlight w:val="none"/>
        </w:rPr>
        <w:br w:type="page"/>
      </w:r>
    </w:p>
    <w:p w14:paraId="7C0F7D70">
      <w:pPr>
        <w:wordWrap w:val="0"/>
        <w:topLinePunct/>
        <w:spacing w:line="360" w:lineRule="auto"/>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）企业信誉</w:t>
      </w:r>
    </w:p>
    <w:p w14:paraId="72DFB02B">
      <w:pPr>
        <w:wordWrap w:val="0"/>
        <w:topLinePunct/>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）未被列入全国或</w:t>
      </w:r>
      <w:r>
        <w:rPr>
          <w:rFonts w:hint="eastAsia" w:ascii="宋体" w:hAnsi="宋体" w:cs="宋体"/>
          <w:b w:val="0"/>
          <w:bCs/>
          <w:color w:val="auto"/>
          <w:szCs w:val="21"/>
          <w:highlight w:val="none"/>
          <w:lang w:val="en-US" w:eastAsia="zh-CN"/>
        </w:rPr>
        <w:t>河南省</w:t>
      </w:r>
      <w:r>
        <w:rPr>
          <w:rFonts w:hint="eastAsia" w:ascii="宋体" w:hAnsi="宋体" w:eastAsia="宋体" w:cs="宋体"/>
          <w:color w:val="auto"/>
          <w:highlight w:val="none"/>
          <w:lang w:eastAsia="zh-CN"/>
        </w:rPr>
        <w:t>建筑市场监管公共服务平台“黑名单”且在管理期限内的（投标人、拟派项目经理）；</w:t>
      </w:r>
    </w:p>
    <w:p w14:paraId="66A1929A">
      <w:pPr>
        <w:wordWrap w:val="0"/>
        <w:topLinePunct/>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）未被列入国家企业信用信息公示系统“严重违法失信名单”且在管理期限内的（投标人）；</w:t>
      </w:r>
    </w:p>
    <w:p w14:paraId="47F3DAE7">
      <w:pPr>
        <w:wordWrap w:val="0"/>
        <w:topLinePunct/>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）未被列入信用中国网站“失信被执行人”“重大税收违法失信主体”（投标人）；</w:t>
      </w:r>
    </w:p>
    <w:p w14:paraId="6B46DE0D">
      <w:pPr>
        <w:wordWrap w:val="0"/>
        <w:topLinePunct/>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）投标所用资质项在全国或</w:t>
      </w:r>
      <w:r>
        <w:rPr>
          <w:rFonts w:hint="eastAsia" w:ascii="宋体" w:hAnsi="宋体" w:cs="宋体"/>
          <w:b w:val="0"/>
          <w:bCs/>
          <w:color w:val="auto"/>
          <w:szCs w:val="21"/>
          <w:highlight w:val="none"/>
          <w:lang w:val="en-US" w:eastAsia="zh-CN"/>
        </w:rPr>
        <w:t>河南省</w:t>
      </w:r>
      <w:r>
        <w:rPr>
          <w:rFonts w:hint="eastAsia" w:ascii="宋体" w:hAnsi="宋体" w:eastAsia="宋体" w:cs="宋体"/>
          <w:color w:val="auto"/>
          <w:highlight w:val="none"/>
          <w:lang w:eastAsia="zh-CN"/>
        </w:rPr>
        <w:t>建筑市场监管公共服务平台资质状况被标注资质异常状态的（投标人）。</w:t>
      </w:r>
    </w:p>
    <w:p w14:paraId="64A7078A">
      <w:pPr>
        <w:wordWrap w:val="0"/>
        <w:topLinePunct/>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注：投标人需提供上述途径查询结果截图（若为联合体投标，联合体各方均需提供查询截图），并对其真实性负责。查询时间为招标公告发布之日后，投标截止时间前，查询结果需显示时间。若存在一个及以上记录的，其投标资格应予以否决。</w:t>
      </w:r>
      <w:r>
        <w:rPr>
          <w:rFonts w:hint="eastAsia" w:ascii="宋体" w:hAnsi="宋体" w:eastAsia="宋体" w:cs="宋体"/>
          <w:color w:val="auto"/>
          <w:highlight w:val="none"/>
        </w:rPr>
        <w:t>（若为联合体投标，联合体各方均需提供）</w:t>
      </w:r>
    </w:p>
    <w:p w14:paraId="704A6691">
      <w:pPr>
        <w:widowControl/>
        <w:spacing w:line="400" w:lineRule="exact"/>
        <w:jc w:val="left"/>
        <w:rPr>
          <w:rFonts w:hint="eastAsia" w:ascii="宋体" w:hAnsi="宋体" w:cs="宋体"/>
          <w:b w:val="0"/>
          <w:bCs/>
          <w:color w:val="auto"/>
          <w:szCs w:val="21"/>
          <w:highlight w:val="none"/>
          <w:lang w:eastAsia="zh-CN"/>
        </w:rPr>
      </w:pPr>
    </w:p>
    <w:p w14:paraId="041778D6">
      <w:pPr>
        <w:wordWrap w:val="0"/>
        <w:topLinePunct/>
        <w:spacing w:line="360" w:lineRule="auto"/>
        <w:ind w:firstLine="422" w:firstLineChars="200"/>
        <w:rPr>
          <w:rFonts w:hint="eastAsia" w:ascii="宋体" w:hAnsi="宋体" w:cs="宋体"/>
          <w:b/>
          <w:bCs/>
          <w:color w:val="auto"/>
          <w:sz w:val="24"/>
          <w:highlight w:val="none"/>
        </w:rPr>
      </w:pPr>
      <w:r>
        <w:rPr>
          <w:rFonts w:hint="eastAsia" w:ascii="宋体" w:hAnsi="宋体" w:cs="宋体"/>
          <w:b/>
          <w:bCs/>
          <w:color w:val="auto"/>
          <w:szCs w:val="21"/>
          <w:highlight w:val="none"/>
        </w:rPr>
        <w:br w:type="page"/>
      </w:r>
    </w:p>
    <w:p w14:paraId="448BF988">
      <w:pPr>
        <w:numPr>
          <w:ilvl w:val="0"/>
          <w:numId w:val="0"/>
        </w:numPr>
        <w:wordWrap w:val="0"/>
        <w:topLinePunct/>
        <w:spacing w:line="360" w:lineRule="auto"/>
        <w:jc w:val="center"/>
        <w:outlineLvl w:val="1"/>
        <w:rPr>
          <w:rFonts w:hint="eastAsia" w:ascii="宋体" w:hAnsi="宋体" w:cs="宋体"/>
          <w:b/>
          <w:bCs/>
          <w:color w:val="auto"/>
          <w:sz w:val="24"/>
          <w:highlight w:val="none"/>
        </w:rPr>
      </w:pPr>
      <w:bookmarkStart w:id="475" w:name="_Toc31643"/>
      <w:r>
        <w:rPr>
          <w:rFonts w:hint="eastAsia" w:ascii="宋体" w:hAnsi="宋体" w:eastAsia="宋体" w:cs="宋体"/>
          <w:b/>
          <w:bCs/>
          <w:color w:val="auto"/>
          <w:kern w:val="2"/>
          <w:sz w:val="24"/>
          <w:szCs w:val="24"/>
          <w:highlight w:val="none"/>
          <w:lang w:val="en-US" w:eastAsia="zh-CN" w:bidi="ar-SA"/>
        </w:rPr>
        <w:t>七、</w:t>
      </w:r>
      <w:r>
        <w:rPr>
          <w:rFonts w:hint="eastAsia" w:ascii="宋体" w:hAnsi="宋体" w:cs="宋体"/>
          <w:b/>
          <w:bCs/>
          <w:color w:val="auto"/>
          <w:sz w:val="24"/>
          <w:highlight w:val="none"/>
        </w:rPr>
        <w:t>其他资料</w:t>
      </w:r>
      <w:bookmarkEnd w:id="475"/>
    </w:p>
    <w:p w14:paraId="567E957E">
      <w:pPr>
        <w:wordWrap w:val="0"/>
        <w:topLinePunct/>
        <w:spacing w:line="360" w:lineRule="auto"/>
        <w:rPr>
          <w:rFonts w:hint="eastAsia" w:ascii="宋体" w:hAnsi="宋体" w:cs="宋体"/>
          <w:b/>
          <w:bCs/>
          <w:color w:val="auto"/>
          <w:sz w:val="24"/>
          <w:highlight w:val="none"/>
        </w:rPr>
      </w:pPr>
    </w:p>
    <w:p w14:paraId="6B92E08A">
      <w:pPr>
        <w:wordWrap w:val="0"/>
        <w:topLinePunct/>
        <w:spacing w:line="360" w:lineRule="auto"/>
        <w:ind w:firstLine="1680" w:firstLineChars="800"/>
        <w:rPr>
          <w:rFonts w:hint="eastAsia" w:ascii="宋体" w:hAnsi="宋体" w:cs="宋体"/>
          <w:color w:val="auto"/>
          <w:highlight w:val="none"/>
        </w:rPr>
      </w:pPr>
      <w:r>
        <w:rPr>
          <w:rFonts w:hint="eastAsia" w:ascii="宋体" w:hAnsi="宋体" w:cs="宋体"/>
          <w:color w:val="auto"/>
          <w:highlight w:val="none"/>
        </w:rPr>
        <w:t>（附投标人根据招标文件的要求，认为需要补充的其他资料）</w:t>
      </w:r>
    </w:p>
    <w:p w14:paraId="626A7F34">
      <w:pPr>
        <w:wordWrap w:val="0"/>
        <w:topLinePunct/>
        <w:spacing w:line="360" w:lineRule="auto"/>
        <w:rPr>
          <w:rFonts w:hint="eastAsia" w:ascii="宋体" w:hAnsi="宋体" w:cs="宋体"/>
          <w:color w:val="auto"/>
          <w:highlight w:val="none"/>
        </w:rPr>
      </w:pPr>
    </w:p>
    <w:bookmarkEnd w:id="466"/>
    <w:p w14:paraId="0D747E85">
      <w:pPr>
        <w:rPr>
          <w:rFonts w:hint="eastAsia" w:ascii="宋体" w:hAnsi="宋体" w:cs="宋体"/>
          <w:color w:val="auto"/>
          <w:highlight w:val="none"/>
        </w:rPr>
      </w:pPr>
    </w:p>
    <w:sectPr>
      <w:pgSz w:w="11906" w:h="16838"/>
      <w:pgMar w:top="1440" w:right="1247" w:bottom="1440"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239948C-6B1A-435B-8589-FC78BAA5D81C}"/>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A1B0DAD-2003-4748-9F70-569073003908}"/>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
    <w:altName w:val="Segoe Print"/>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embedRegular r:id="rId3" w:fontKey="{336F84BD-8F9D-4CDE-8E5C-083AFACFD734}"/>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C850">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1520B">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31520B">
                    <w:pPr>
                      <w:pStyle w:val="1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F9C0F">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0A6F">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326CF"/>
    <w:multiLevelType w:val="singleLevel"/>
    <w:tmpl w:val="69B326CF"/>
    <w:lvl w:ilvl="0" w:tentative="0">
      <w:start w:val="3"/>
      <w:numFmt w:val="decimal"/>
      <w:suff w:val="nothing"/>
      <w:lvlText w:val="%1、"/>
      <w:lvlJc w:val="left"/>
    </w:lvl>
  </w:abstractNum>
  <w:abstractNum w:abstractNumId="1">
    <w:nsid w:val="6E87019F"/>
    <w:multiLevelType w:val="multilevel"/>
    <w:tmpl w:val="6E87019F"/>
    <w:lvl w:ilvl="0" w:tentative="0">
      <w:start w:val="1"/>
      <w:numFmt w:val="chineseCountingThousand"/>
      <w:pStyle w:val="6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735DDD67"/>
    <w:multiLevelType w:val="singleLevel"/>
    <w:tmpl w:val="735DDD67"/>
    <w:lvl w:ilvl="0" w:tentative="0">
      <w:start w:val="1"/>
      <w:numFmt w:val="chineseCounting"/>
      <w:suff w:val="nothing"/>
      <w:lvlText w:val="（%1）"/>
      <w:lvlJc w:val="left"/>
      <w:rPr>
        <w:rFonts w:hint="eastAsia"/>
      </w:rPr>
    </w:lvl>
  </w:abstractNum>
  <w:abstractNum w:abstractNumId="3">
    <w:nsid w:val="7D2E83DD"/>
    <w:multiLevelType w:val="singleLevel"/>
    <w:tmpl w:val="7D2E83DD"/>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NDFlYTExYjI5OTZmYzNmODZjZWQ0NjRlODFiMmEifQ=="/>
    <w:docVar w:name="KSO_WPS_MARK_KEY" w:val="6cfa262c-5b09-46fc-b7ba-3d9515f49633"/>
  </w:docVars>
  <w:rsids>
    <w:rsidRoot w:val="6D9557ED"/>
    <w:rsid w:val="001120FE"/>
    <w:rsid w:val="004F609D"/>
    <w:rsid w:val="005C42AB"/>
    <w:rsid w:val="005C4D2E"/>
    <w:rsid w:val="00692C5C"/>
    <w:rsid w:val="006951F2"/>
    <w:rsid w:val="006D2ACD"/>
    <w:rsid w:val="0075226D"/>
    <w:rsid w:val="009F78B0"/>
    <w:rsid w:val="00A36C0E"/>
    <w:rsid w:val="00C101F8"/>
    <w:rsid w:val="00C17C45"/>
    <w:rsid w:val="00C603FA"/>
    <w:rsid w:val="00EC0F40"/>
    <w:rsid w:val="00FF5792"/>
    <w:rsid w:val="013C65F0"/>
    <w:rsid w:val="026B1746"/>
    <w:rsid w:val="02726A48"/>
    <w:rsid w:val="027B274D"/>
    <w:rsid w:val="02902A6D"/>
    <w:rsid w:val="029A38EC"/>
    <w:rsid w:val="02D33214"/>
    <w:rsid w:val="02E62FD5"/>
    <w:rsid w:val="02F2197A"/>
    <w:rsid w:val="03162321"/>
    <w:rsid w:val="03587760"/>
    <w:rsid w:val="038D4441"/>
    <w:rsid w:val="039B447C"/>
    <w:rsid w:val="03F61643"/>
    <w:rsid w:val="04F35664"/>
    <w:rsid w:val="05610E54"/>
    <w:rsid w:val="05946D18"/>
    <w:rsid w:val="05957396"/>
    <w:rsid w:val="05B20F4D"/>
    <w:rsid w:val="05D025D5"/>
    <w:rsid w:val="05DB487B"/>
    <w:rsid w:val="05F11A75"/>
    <w:rsid w:val="05FA7FBD"/>
    <w:rsid w:val="05FC1396"/>
    <w:rsid w:val="06001C02"/>
    <w:rsid w:val="060B1BC2"/>
    <w:rsid w:val="060E469E"/>
    <w:rsid w:val="06856661"/>
    <w:rsid w:val="069468A4"/>
    <w:rsid w:val="06DB44D3"/>
    <w:rsid w:val="06DD3F12"/>
    <w:rsid w:val="06E10807"/>
    <w:rsid w:val="0733618E"/>
    <w:rsid w:val="07617569"/>
    <w:rsid w:val="079B25E0"/>
    <w:rsid w:val="07A019A5"/>
    <w:rsid w:val="07A4608D"/>
    <w:rsid w:val="07BE5C53"/>
    <w:rsid w:val="08020CAE"/>
    <w:rsid w:val="08055DF9"/>
    <w:rsid w:val="08327067"/>
    <w:rsid w:val="0881423A"/>
    <w:rsid w:val="08AC6D67"/>
    <w:rsid w:val="08EA3480"/>
    <w:rsid w:val="08F11989"/>
    <w:rsid w:val="0909015D"/>
    <w:rsid w:val="091443EE"/>
    <w:rsid w:val="092D7E82"/>
    <w:rsid w:val="094D3367"/>
    <w:rsid w:val="095074C6"/>
    <w:rsid w:val="0A556D8F"/>
    <w:rsid w:val="0A9B6453"/>
    <w:rsid w:val="0AB5293C"/>
    <w:rsid w:val="0B154185"/>
    <w:rsid w:val="0B3722E0"/>
    <w:rsid w:val="0B565B8C"/>
    <w:rsid w:val="0BC53EAD"/>
    <w:rsid w:val="0BDC6D23"/>
    <w:rsid w:val="0CE20369"/>
    <w:rsid w:val="0D090458"/>
    <w:rsid w:val="0D162709"/>
    <w:rsid w:val="0D277F94"/>
    <w:rsid w:val="0D3B6518"/>
    <w:rsid w:val="0D6C68DD"/>
    <w:rsid w:val="0D7511DD"/>
    <w:rsid w:val="0D7C6A10"/>
    <w:rsid w:val="0D892BBA"/>
    <w:rsid w:val="0DB75B33"/>
    <w:rsid w:val="0DFF71CC"/>
    <w:rsid w:val="0E253291"/>
    <w:rsid w:val="0E442CC7"/>
    <w:rsid w:val="0EB61AAE"/>
    <w:rsid w:val="0EE7769E"/>
    <w:rsid w:val="0EF8435E"/>
    <w:rsid w:val="0F502CB9"/>
    <w:rsid w:val="0F63270C"/>
    <w:rsid w:val="0F6E4136"/>
    <w:rsid w:val="0F73174D"/>
    <w:rsid w:val="0F917E25"/>
    <w:rsid w:val="0FAD314E"/>
    <w:rsid w:val="10762D90"/>
    <w:rsid w:val="107D0F30"/>
    <w:rsid w:val="10AA23F3"/>
    <w:rsid w:val="10F123ED"/>
    <w:rsid w:val="111C71D8"/>
    <w:rsid w:val="11350801"/>
    <w:rsid w:val="113D0264"/>
    <w:rsid w:val="11586E4C"/>
    <w:rsid w:val="118E17A2"/>
    <w:rsid w:val="11A025A1"/>
    <w:rsid w:val="11A861D2"/>
    <w:rsid w:val="11AE2F10"/>
    <w:rsid w:val="11C30959"/>
    <w:rsid w:val="11CB6784"/>
    <w:rsid w:val="11D230A2"/>
    <w:rsid w:val="11E40DB9"/>
    <w:rsid w:val="11ED1F5E"/>
    <w:rsid w:val="1212015D"/>
    <w:rsid w:val="121A1790"/>
    <w:rsid w:val="12386F3F"/>
    <w:rsid w:val="12660AAE"/>
    <w:rsid w:val="12977F2D"/>
    <w:rsid w:val="12F4149A"/>
    <w:rsid w:val="13541895"/>
    <w:rsid w:val="13712146"/>
    <w:rsid w:val="13CB4998"/>
    <w:rsid w:val="13DA4490"/>
    <w:rsid w:val="13E26EA1"/>
    <w:rsid w:val="14481D3D"/>
    <w:rsid w:val="14EF6C6B"/>
    <w:rsid w:val="14F450DE"/>
    <w:rsid w:val="14F5656E"/>
    <w:rsid w:val="154869CC"/>
    <w:rsid w:val="157F4F34"/>
    <w:rsid w:val="15877D00"/>
    <w:rsid w:val="15FD7FC2"/>
    <w:rsid w:val="16000083"/>
    <w:rsid w:val="160631BE"/>
    <w:rsid w:val="161D2412"/>
    <w:rsid w:val="16302D6D"/>
    <w:rsid w:val="1642631D"/>
    <w:rsid w:val="16513BE6"/>
    <w:rsid w:val="168B001A"/>
    <w:rsid w:val="168E50BE"/>
    <w:rsid w:val="169A6243"/>
    <w:rsid w:val="16BA5EB3"/>
    <w:rsid w:val="16DF6442"/>
    <w:rsid w:val="170415D8"/>
    <w:rsid w:val="17116AD4"/>
    <w:rsid w:val="171A4BA4"/>
    <w:rsid w:val="17377504"/>
    <w:rsid w:val="1752258F"/>
    <w:rsid w:val="17F67D2B"/>
    <w:rsid w:val="17FD3184"/>
    <w:rsid w:val="18950D75"/>
    <w:rsid w:val="18B84B69"/>
    <w:rsid w:val="198F1763"/>
    <w:rsid w:val="19CB28E1"/>
    <w:rsid w:val="1A0A70DD"/>
    <w:rsid w:val="1A295829"/>
    <w:rsid w:val="1A6751A7"/>
    <w:rsid w:val="1A8E38DF"/>
    <w:rsid w:val="1AD83F22"/>
    <w:rsid w:val="1B1C3139"/>
    <w:rsid w:val="1B2E6E70"/>
    <w:rsid w:val="1B30470E"/>
    <w:rsid w:val="1B3849A4"/>
    <w:rsid w:val="1B690B70"/>
    <w:rsid w:val="1B75783B"/>
    <w:rsid w:val="1B8E67A7"/>
    <w:rsid w:val="1BBB65B8"/>
    <w:rsid w:val="1BEA1D7A"/>
    <w:rsid w:val="1BF8404D"/>
    <w:rsid w:val="1C3A5315"/>
    <w:rsid w:val="1C3E352E"/>
    <w:rsid w:val="1C5D5C5E"/>
    <w:rsid w:val="1C933922"/>
    <w:rsid w:val="1CD81789"/>
    <w:rsid w:val="1D1C1676"/>
    <w:rsid w:val="1D6E2503"/>
    <w:rsid w:val="1DAE466C"/>
    <w:rsid w:val="1E075E82"/>
    <w:rsid w:val="1E1A15EF"/>
    <w:rsid w:val="1E260ADA"/>
    <w:rsid w:val="1E5F06CA"/>
    <w:rsid w:val="1E7535D0"/>
    <w:rsid w:val="1E890F8D"/>
    <w:rsid w:val="1E9769A7"/>
    <w:rsid w:val="1EDC730E"/>
    <w:rsid w:val="1F040F4E"/>
    <w:rsid w:val="1F344464"/>
    <w:rsid w:val="1F357B7F"/>
    <w:rsid w:val="1F471C35"/>
    <w:rsid w:val="1F473ABB"/>
    <w:rsid w:val="1F5F584A"/>
    <w:rsid w:val="1F6F1528"/>
    <w:rsid w:val="1F7717C4"/>
    <w:rsid w:val="1F8A5C48"/>
    <w:rsid w:val="1F9C5978"/>
    <w:rsid w:val="1F9D3DFC"/>
    <w:rsid w:val="1FAD4807"/>
    <w:rsid w:val="1FB738D7"/>
    <w:rsid w:val="1FBC6138"/>
    <w:rsid w:val="1FFE5C37"/>
    <w:rsid w:val="204D7D98"/>
    <w:rsid w:val="2081287F"/>
    <w:rsid w:val="20BB288C"/>
    <w:rsid w:val="20C312FD"/>
    <w:rsid w:val="20E83F4B"/>
    <w:rsid w:val="20F13A3B"/>
    <w:rsid w:val="20F44A16"/>
    <w:rsid w:val="20F46F66"/>
    <w:rsid w:val="21125CDF"/>
    <w:rsid w:val="21590133"/>
    <w:rsid w:val="21A90109"/>
    <w:rsid w:val="21B856E5"/>
    <w:rsid w:val="22317971"/>
    <w:rsid w:val="22A53EBB"/>
    <w:rsid w:val="232C1BB8"/>
    <w:rsid w:val="235F19A7"/>
    <w:rsid w:val="236B5BA4"/>
    <w:rsid w:val="23906919"/>
    <w:rsid w:val="23B75C54"/>
    <w:rsid w:val="23C44080"/>
    <w:rsid w:val="23DD1249"/>
    <w:rsid w:val="24856BDE"/>
    <w:rsid w:val="24F72328"/>
    <w:rsid w:val="253D4C7A"/>
    <w:rsid w:val="25784775"/>
    <w:rsid w:val="25987D32"/>
    <w:rsid w:val="25D85D01"/>
    <w:rsid w:val="25F62AB4"/>
    <w:rsid w:val="26323344"/>
    <w:rsid w:val="264E62D5"/>
    <w:rsid w:val="268A58A2"/>
    <w:rsid w:val="26981881"/>
    <w:rsid w:val="26CC5EBA"/>
    <w:rsid w:val="26E011C1"/>
    <w:rsid w:val="271413C9"/>
    <w:rsid w:val="27400656"/>
    <w:rsid w:val="276702E6"/>
    <w:rsid w:val="277F6B1C"/>
    <w:rsid w:val="2782522F"/>
    <w:rsid w:val="278F251B"/>
    <w:rsid w:val="27C26ADB"/>
    <w:rsid w:val="280256A0"/>
    <w:rsid w:val="28213BC0"/>
    <w:rsid w:val="2836288D"/>
    <w:rsid w:val="28563B64"/>
    <w:rsid w:val="28864591"/>
    <w:rsid w:val="29C50461"/>
    <w:rsid w:val="29FB0865"/>
    <w:rsid w:val="2A470594"/>
    <w:rsid w:val="2A7D5065"/>
    <w:rsid w:val="2B0D009A"/>
    <w:rsid w:val="2B0F6376"/>
    <w:rsid w:val="2B5202F7"/>
    <w:rsid w:val="2B941E45"/>
    <w:rsid w:val="2BBD4024"/>
    <w:rsid w:val="2BEC68EA"/>
    <w:rsid w:val="2BF918D6"/>
    <w:rsid w:val="2BFD2672"/>
    <w:rsid w:val="2C35005E"/>
    <w:rsid w:val="2C4402A1"/>
    <w:rsid w:val="2C501B10"/>
    <w:rsid w:val="2C602C01"/>
    <w:rsid w:val="2CAC4D27"/>
    <w:rsid w:val="2CF5678B"/>
    <w:rsid w:val="2D0D4B37"/>
    <w:rsid w:val="2D692CBA"/>
    <w:rsid w:val="2D7E2119"/>
    <w:rsid w:val="2D83304B"/>
    <w:rsid w:val="2DD31EED"/>
    <w:rsid w:val="2DDD4697"/>
    <w:rsid w:val="2DF328FE"/>
    <w:rsid w:val="2E0C0E7D"/>
    <w:rsid w:val="2E177857"/>
    <w:rsid w:val="2E3E0CA5"/>
    <w:rsid w:val="2EA169A0"/>
    <w:rsid w:val="2EB95C82"/>
    <w:rsid w:val="2ED85923"/>
    <w:rsid w:val="2EE25670"/>
    <w:rsid w:val="2EE31FF3"/>
    <w:rsid w:val="2F5C461F"/>
    <w:rsid w:val="2F645E77"/>
    <w:rsid w:val="2F91646C"/>
    <w:rsid w:val="2FA44C33"/>
    <w:rsid w:val="2FB04AD9"/>
    <w:rsid w:val="2FB91767"/>
    <w:rsid w:val="2FBF0CE3"/>
    <w:rsid w:val="2FEE1F30"/>
    <w:rsid w:val="2FF72CB3"/>
    <w:rsid w:val="300F6910"/>
    <w:rsid w:val="3023750F"/>
    <w:rsid w:val="302B3A5F"/>
    <w:rsid w:val="304705C1"/>
    <w:rsid w:val="306B04F2"/>
    <w:rsid w:val="30C776F3"/>
    <w:rsid w:val="30DA38F6"/>
    <w:rsid w:val="30E056B8"/>
    <w:rsid w:val="312F3E9F"/>
    <w:rsid w:val="313A02F4"/>
    <w:rsid w:val="315D75C8"/>
    <w:rsid w:val="31666F0B"/>
    <w:rsid w:val="318E4620"/>
    <w:rsid w:val="31D1141E"/>
    <w:rsid w:val="326A6587"/>
    <w:rsid w:val="328C4750"/>
    <w:rsid w:val="32AE5736"/>
    <w:rsid w:val="32C247A4"/>
    <w:rsid w:val="32FE70D1"/>
    <w:rsid w:val="330C763F"/>
    <w:rsid w:val="3330332D"/>
    <w:rsid w:val="333B00FA"/>
    <w:rsid w:val="335D3067"/>
    <w:rsid w:val="33B201E6"/>
    <w:rsid w:val="34010539"/>
    <w:rsid w:val="34496D9C"/>
    <w:rsid w:val="344C23E9"/>
    <w:rsid w:val="34692D0C"/>
    <w:rsid w:val="34897BC5"/>
    <w:rsid w:val="34C32DD9"/>
    <w:rsid w:val="352A4C13"/>
    <w:rsid w:val="35477127"/>
    <w:rsid w:val="35714620"/>
    <w:rsid w:val="35895362"/>
    <w:rsid w:val="359963AC"/>
    <w:rsid w:val="35D933D4"/>
    <w:rsid w:val="35FA762A"/>
    <w:rsid w:val="365D4972"/>
    <w:rsid w:val="36836D18"/>
    <w:rsid w:val="36B63100"/>
    <w:rsid w:val="36C471E9"/>
    <w:rsid w:val="371B60A2"/>
    <w:rsid w:val="373D58A6"/>
    <w:rsid w:val="375C4CF7"/>
    <w:rsid w:val="378D54F8"/>
    <w:rsid w:val="37C156A9"/>
    <w:rsid w:val="381A0B36"/>
    <w:rsid w:val="382014AF"/>
    <w:rsid w:val="38804D57"/>
    <w:rsid w:val="38D46E50"/>
    <w:rsid w:val="38EA6148"/>
    <w:rsid w:val="38EB4A69"/>
    <w:rsid w:val="38EF3C8A"/>
    <w:rsid w:val="38F60B75"/>
    <w:rsid w:val="38F87A81"/>
    <w:rsid w:val="39073692"/>
    <w:rsid w:val="39301F47"/>
    <w:rsid w:val="395D0BF4"/>
    <w:rsid w:val="39641F82"/>
    <w:rsid w:val="39726038"/>
    <w:rsid w:val="39B76556"/>
    <w:rsid w:val="3A806A7C"/>
    <w:rsid w:val="3A920D71"/>
    <w:rsid w:val="3A9D5FA9"/>
    <w:rsid w:val="3AA34A27"/>
    <w:rsid w:val="3ABE6ECD"/>
    <w:rsid w:val="3AD35548"/>
    <w:rsid w:val="3B270C86"/>
    <w:rsid w:val="3B497682"/>
    <w:rsid w:val="3B5E05B5"/>
    <w:rsid w:val="3B915AA7"/>
    <w:rsid w:val="3BC92571"/>
    <w:rsid w:val="3C14794B"/>
    <w:rsid w:val="3C1B52D5"/>
    <w:rsid w:val="3C410508"/>
    <w:rsid w:val="3CBD7090"/>
    <w:rsid w:val="3CF16761"/>
    <w:rsid w:val="3D18555E"/>
    <w:rsid w:val="3D47348C"/>
    <w:rsid w:val="3D634E08"/>
    <w:rsid w:val="3D7E3E96"/>
    <w:rsid w:val="3DD52610"/>
    <w:rsid w:val="3DE03BA2"/>
    <w:rsid w:val="3DE9514C"/>
    <w:rsid w:val="3DF758E6"/>
    <w:rsid w:val="3E532D6E"/>
    <w:rsid w:val="3E84141D"/>
    <w:rsid w:val="3EF06B62"/>
    <w:rsid w:val="3EF35F66"/>
    <w:rsid w:val="3F052174"/>
    <w:rsid w:val="3F8073EA"/>
    <w:rsid w:val="3F906814"/>
    <w:rsid w:val="3FAC2D31"/>
    <w:rsid w:val="405A69C0"/>
    <w:rsid w:val="406B4527"/>
    <w:rsid w:val="40810C47"/>
    <w:rsid w:val="40F548EF"/>
    <w:rsid w:val="4177481D"/>
    <w:rsid w:val="41901368"/>
    <w:rsid w:val="41AD09C3"/>
    <w:rsid w:val="41D1217F"/>
    <w:rsid w:val="41E0182A"/>
    <w:rsid w:val="42733EF6"/>
    <w:rsid w:val="427B289F"/>
    <w:rsid w:val="427F32EA"/>
    <w:rsid w:val="429531AD"/>
    <w:rsid w:val="42E64902"/>
    <w:rsid w:val="42EF6D61"/>
    <w:rsid w:val="42FE6FA4"/>
    <w:rsid w:val="43FD6729"/>
    <w:rsid w:val="444125A0"/>
    <w:rsid w:val="445D35F5"/>
    <w:rsid w:val="446D2823"/>
    <w:rsid w:val="44842DCE"/>
    <w:rsid w:val="4492209A"/>
    <w:rsid w:val="44D52ECC"/>
    <w:rsid w:val="45056EE8"/>
    <w:rsid w:val="450E35D0"/>
    <w:rsid w:val="45216A65"/>
    <w:rsid w:val="45222404"/>
    <w:rsid w:val="45684BA8"/>
    <w:rsid w:val="45C51FFB"/>
    <w:rsid w:val="45C83B2D"/>
    <w:rsid w:val="46024300"/>
    <w:rsid w:val="465B64BB"/>
    <w:rsid w:val="46603AD2"/>
    <w:rsid w:val="46794B93"/>
    <w:rsid w:val="46982649"/>
    <w:rsid w:val="46B34F8B"/>
    <w:rsid w:val="46BC33FE"/>
    <w:rsid w:val="46BF4C9C"/>
    <w:rsid w:val="46C91677"/>
    <w:rsid w:val="471D463A"/>
    <w:rsid w:val="47454CB8"/>
    <w:rsid w:val="477172B3"/>
    <w:rsid w:val="477F7D32"/>
    <w:rsid w:val="47877BAA"/>
    <w:rsid w:val="479E6FA7"/>
    <w:rsid w:val="47B83B92"/>
    <w:rsid w:val="47C85DD2"/>
    <w:rsid w:val="47CF5B43"/>
    <w:rsid w:val="47FD02D3"/>
    <w:rsid w:val="489029F2"/>
    <w:rsid w:val="48A75767"/>
    <w:rsid w:val="48BF5A14"/>
    <w:rsid w:val="48E872EB"/>
    <w:rsid w:val="48EA3B26"/>
    <w:rsid w:val="48F94789"/>
    <w:rsid w:val="49040576"/>
    <w:rsid w:val="49042084"/>
    <w:rsid w:val="490B241B"/>
    <w:rsid w:val="492643AE"/>
    <w:rsid w:val="49431DC1"/>
    <w:rsid w:val="4A0D540C"/>
    <w:rsid w:val="4A4E1400"/>
    <w:rsid w:val="4A5C2802"/>
    <w:rsid w:val="4A8050E2"/>
    <w:rsid w:val="4AB634BC"/>
    <w:rsid w:val="4B5929D8"/>
    <w:rsid w:val="4CCE3C88"/>
    <w:rsid w:val="4CD81191"/>
    <w:rsid w:val="4CE83A7B"/>
    <w:rsid w:val="4D2731D5"/>
    <w:rsid w:val="4D281443"/>
    <w:rsid w:val="4D3F795E"/>
    <w:rsid w:val="4D534390"/>
    <w:rsid w:val="4D665E71"/>
    <w:rsid w:val="4D753A63"/>
    <w:rsid w:val="4D8519AD"/>
    <w:rsid w:val="4D95261B"/>
    <w:rsid w:val="4DBF0CB3"/>
    <w:rsid w:val="4DD4731F"/>
    <w:rsid w:val="4DE374C2"/>
    <w:rsid w:val="4DFF0847"/>
    <w:rsid w:val="4E1467CB"/>
    <w:rsid w:val="4E1824BE"/>
    <w:rsid w:val="4E5A442F"/>
    <w:rsid w:val="4E922D5C"/>
    <w:rsid w:val="4F0E1688"/>
    <w:rsid w:val="4F3072EA"/>
    <w:rsid w:val="4F4246BC"/>
    <w:rsid w:val="4F4C2BD5"/>
    <w:rsid w:val="4F74239C"/>
    <w:rsid w:val="4F7F4E05"/>
    <w:rsid w:val="4FAA48E3"/>
    <w:rsid w:val="4FAD44DF"/>
    <w:rsid w:val="4FC60F1F"/>
    <w:rsid w:val="50287353"/>
    <w:rsid w:val="502B6EFE"/>
    <w:rsid w:val="5039786D"/>
    <w:rsid w:val="507B7A10"/>
    <w:rsid w:val="507D33F9"/>
    <w:rsid w:val="50A359CB"/>
    <w:rsid w:val="50D70D28"/>
    <w:rsid w:val="50DD469C"/>
    <w:rsid w:val="515A09E8"/>
    <w:rsid w:val="51752B27"/>
    <w:rsid w:val="51B542DA"/>
    <w:rsid w:val="51B65D8B"/>
    <w:rsid w:val="51D879BF"/>
    <w:rsid w:val="51F872B4"/>
    <w:rsid w:val="52281C48"/>
    <w:rsid w:val="52E521BF"/>
    <w:rsid w:val="53456529"/>
    <w:rsid w:val="53B56473"/>
    <w:rsid w:val="53CB1546"/>
    <w:rsid w:val="541F1CF2"/>
    <w:rsid w:val="5449029B"/>
    <w:rsid w:val="546A113C"/>
    <w:rsid w:val="54941533"/>
    <w:rsid w:val="54AC6700"/>
    <w:rsid w:val="54BC0A6D"/>
    <w:rsid w:val="54C01122"/>
    <w:rsid w:val="54CB20C6"/>
    <w:rsid w:val="54CB322A"/>
    <w:rsid w:val="54FF0217"/>
    <w:rsid w:val="550E1A3B"/>
    <w:rsid w:val="5537474D"/>
    <w:rsid w:val="55410F72"/>
    <w:rsid w:val="556C0A79"/>
    <w:rsid w:val="557A53C9"/>
    <w:rsid w:val="559C5849"/>
    <w:rsid w:val="55CF6501"/>
    <w:rsid w:val="55DD5CB4"/>
    <w:rsid w:val="55FE445C"/>
    <w:rsid w:val="56042546"/>
    <w:rsid w:val="56097CE2"/>
    <w:rsid w:val="56364BFC"/>
    <w:rsid w:val="56981066"/>
    <w:rsid w:val="56DA3A20"/>
    <w:rsid w:val="57071A62"/>
    <w:rsid w:val="575F7FE6"/>
    <w:rsid w:val="57650F48"/>
    <w:rsid w:val="577E64AD"/>
    <w:rsid w:val="578515EA"/>
    <w:rsid w:val="57B40121"/>
    <w:rsid w:val="57EA4D9C"/>
    <w:rsid w:val="57F1450D"/>
    <w:rsid w:val="58006EC2"/>
    <w:rsid w:val="581B180E"/>
    <w:rsid w:val="58557A0E"/>
    <w:rsid w:val="587A6C75"/>
    <w:rsid w:val="589304D4"/>
    <w:rsid w:val="58C425E6"/>
    <w:rsid w:val="58D00F8B"/>
    <w:rsid w:val="597D3601"/>
    <w:rsid w:val="59C20FCE"/>
    <w:rsid w:val="59DE046E"/>
    <w:rsid w:val="5A720DC6"/>
    <w:rsid w:val="5A7A11AE"/>
    <w:rsid w:val="5ABF7318"/>
    <w:rsid w:val="5B7E6A7C"/>
    <w:rsid w:val="5B85605C"/>
    <w:rsid w:val="5B8F5375"/>
    <w:rsid w:val="5B9A78D7"/>
    <w:rsid w:val="5B9F6F7E"/>
    <w:rsid w:val="5BF301BA"/>
    <w:rsid w:val="5C3731DF"/>
    <w:rsid w:val="5C9E05E6"/>
    <w:rsid w:val="5CAB6EE9"/>
    <w:rsid w:val="5CEC2355"/>
    <w:rsid w:val="5CF56286"/>
    <w:rsid w:val="5D0F5E29"/>
    <w:rsid w:val="5D3F048D"/>
    <w:rsid w:val="5D4C2037"/>
    <w:rsid w:val="5DBF7146"/>
    <w:rsid w:val="5DD21ABC"/>
    <w:rsid w:val="5DEA1DD2"/>
    <w:rsid w:val="5E203E1A"/>
    <w:rsid w:val="5E2751A9"/>
    <w:rsid w:val="5E882428"/>
    <w:rsid w:val="5EC30DBA"/>
    <w:rsid w:val="5ED03A93"/>
    <w:rsid w:val="5ED12BEA"/>
    <w:rsid w:val="5F013EFE"/>
    <w:rsid w:val="5F052DA1"/>
    <w:rsid w:val="5F376A39"/>
    <w:rsid w:val="5FB3015C"/>
    <w:rsid w:val="5FD4649E"/>
    <w:rsid w:val="5FD62FB0"/>
    <w:rsid w:val="601B7EE4"/>
    <w:rsid w:val="602717A5"/>
    <w:rsid w:val="603E765F"/>
    <w:rsid w:val="60494B19"/>
    <w:rsid w:val="60594A54"/>
    <w:rsid w:val="607D37A6"/>
    <w:rsid w:val="613572B9"/>
    <w:rsid w:val="61534507"/>
    <w:rsid w:val="61754091"/>
    <w:rsid w:val="61BA17DD"/>
    <w:rsid w:val="61E55204"/>
    <w:rsid w:val="622776FA"/>
    <w:rsid w:val="623E6557"/>
    <w:rsid w:val="62471F04"/>
    <w:rsid w:val="626053D8"/>
    <w:rsid w:val="62823ABD"/>
    <w:rsid w:val="628C4380"/>
    <w:rsid w:val="628D3A49"/>
    <w:rsid w:val="6292105F"/>
    <w:rsid w:val="62B67106"/>
    <w:rsid w:val="62C946FF"/>
    <w:rsid w:val="62C970A1"/>
    <w:rsid w:val="62DA2468"/>
    <w:rsid w:val="635B58F5"/>
    <w:rsid w:val="636877B2"/>
    <w:rsid w:val="636E4056"/>
    <w:rsid w:val="63A64DC2"/>
    <w:rsid w:val="63F144BC"/>
    <w:rsid w:val="63FB7851"/>
    <w:rsid w:val="64325D17"/>
    <w:rsid w:val="6453005D"/>
    <w:rsid w:val="647153D0"/>
    <w:rsid w:val="64805D7C"/>
    <w:rsid w:val="64D264EB"/>
    <w:rsid w:val="64F456B1"/>
    <w:rsid w:val="65420B1A"/>
    <w:rsid w:val="659D7CC2"/>
    <w:rsid w:val="65A83860"/>
    <w:rsid w:val="65C94D98"/>
    <w:rsid w:val="65D3615E"/>
    <w:rsid w:val="65EF2B96"/>
    <w:rsid w:val="660A37D7"/>
    <w:rsid w:val="6615622F"/>
    <w:rsid w:val="66383CCB"/>
    <w:rsid w:val="66432148"/>
    <w:rsid w:val="6664764C"/>
    <w:rsid w:val="6693777D"/>
    <w:rsid w:val="669406BC"/>
    <w:rsid w:val="66A65D9C"/>
    <w:rsid w:val="66F85A96"/>
    <w:rsid w:val="670562A3"/>
    <w:rsid w:val="6706253D"/>
    <w:rsid w:val="67341693"/>
    <w:rsid w:val="674F5848"/>
    <w:rsid w:val="67521CAD"/>
    <w:rsid w:val="676F72F1"/>
    <w:rsid w:val="67B0203F"/>
    <w:rsid w:val="68246BFD"/>
    <w:rsid w:val="683264E5"/>
    <w:rsid w:val="68D221B5"/>
    <w:rsid w:val="69061571"/>
    <w:rsid w:val="690A4FCC"/>
    <w:rsid w:val="693F48A8"/>
    <w:rsid w:val="69B04154"/>
    <w:rsid w:val="69BA3375"/>
    <w:rsid w:val="69CC37B1"/>
    <w:rsid w:val="69CE538D"/>
    <w:rsid w:val="69D45077"/>
    <w:rsid w:val="6A0678F8"/>
    <w:rsid w:val="6A0868C0"/>
    <w:rsid w:val="6A1A2066"/>
    <w:rsid w:val="6A75634E"/>
    <w:rsid w:val="6A7F5454"/>
    <w:rsid w:val="6AC235A3"/>
    <w:rsid w:val="6ACA107A"/>
    <w:rsid w:val="6AEF6862"/>
    <w:rsid w:val="6B113469"/>
    <w:rsid w:val="6B4D07F9"/>
    <w:rsid w:val="6BB87D88"/>
    <w:rsid w:val="6C110510"/>
    <w:rsid w:val="6C3D152B"/>
    <w:rsid w:val="6C4D6722"/>
    <w:rsid w:val="6C7A503E"/>
    <w:rsid w:val="6C8C5CCF"/>
    <w:rsid w:val="6C97174C"/>
    <w:rsid w:val="6CA247C8"/>
    <w:rsid w:val="6D132AD5"/>
    <w:rsid w:val="6D286407"/>
    <w:rsid w:val="6D39438B"/>
    <w:rsid w:val="6D4D7CA0"/>
    <w:rsid w:val="6D8639CD"/>
    <w:rsid w:val="6D9557ED"/>
    <w:rsid w:val="6DF77990"/>
    <w:rsid w:val="6E3015B8"/>
    <w:rsid w:val="6E731D44"/>
    <w:rsid w:val="6E881C94"/>
    <w:rsid w:val="6E8D7C83"/>
    <w:rsid w:val="6EA55FD2"/>
    <w:rsid w:val="6EB71F26"/>
    <w:rsid w:val="6F3C65DA"/>
    <w:rsid w:val="6F843666"/>
    <w:rsid w:val="6FBD3C00"/>
    <w:rsid w:val="6FD863FA"/>
    <w:rsid w:val="700E1525"/>
    <w:rsid w:val="70263C7C"/>
    <w:rsid w:val="705B73B9"/>
    <w:rsid w:val="707A7617"/>
    <w:rsid w:val="709C43E7"/>
    <w:rsid w:val="71290DE0"/>
    <w:rsid w:val="715440AF"/>
    <w:rsid w:val="7156627F"/>
    <w:rsid w:val="716A5681"/>
    <w:rsid w:val="71BF3FE6"/>
    <w:rsid w:val="71E70E65"/>
    <w:rsid w:val="72187186"/>
    <w:rsid w:val="7275252F"/>
    <w:rsid w:val="729A6432"/>
    <w:rsid w:val="72DF11C6"/>
    <w:rsid w:val="72F910DD"/>
    <w:rsid w:val="73055478"/>
    <w:rsid w:val="73520AC2"/>
    <w:rsid w:val="73641868"/>
    <w:rsid w:val="737453FE"/>
    <w:rsid w:val="73840550"/>
    <w:rsid w:val="73AB6B89"/>
    <w:rsid w:val="73BD0509"/>
    <w:rsid w:val="73DD2D8F"/>
    <w:rsid w:val="73FE6554"/>
    <w:rsid w:val="74367A9C"/>
    <w:rsid w:val="743858E5"/>
    <w:rsid w:val="74632EA3"/>
    <w:rsid w:val="746E5488"/>
    <w:rsid w:val="74C23A26"/>
    <w:rsid w:val="74D06A8A"/>
    <w:rsid w:val="74E2704E"/>
    <w:rsid w:val="74E530AE"/>
    <w:rsid w:val="75466252"/>
    <w:rsid w:val="75815C9E"/>
    <w:rsid w:val="75A43851"/>
    <w:rsid w:val="75B25CD5"/>
    <w:rsid w:val="75C33418"/>
    <w:rsid w:val="760D677E"/>
    <w:rsid w:val="7625601A"/>
    <w:rsid w:val="7671300D"/>
    <w:rsid w:val="76724FD8"/>
    <w:rsid w:val="76B37986"/>
    <w:rsid w:val="76CC293A"/>
    <w:rsid w:val="76E91469"/>
    <w:rsid w:val="76FB1E6F"/>
    <w:rsid w:val="77130A07"/>
    <w:rsid w:val="77273B03"/>
    <w:rsid w:val="772C5B7B"/>
    <w:rsid w:val="774026EE"/>
    <w:rsid w:val="77B533CE"/>
    <w:rsid w:val="77E67A2B"/>
    <w:rsid w:val="78316B33"/>
    <w:rsid w:val="784E3ABE"/>
    <w:rsid w:val="78952D76"/>
    <w:rsid w:val="78C27919"/>
    <w:rsid w:val="79A00F02"/>
    <w:rsid w:val="79E65AC0"/>
    <w:rsid w:val="7A0073CC"/>
    <w:rsid w:val="7A4C530A"/>
    <w:rsid w:val="7A543372"/>
    <w:rsid w:val="7A8F7F06"/>
    <w:rsid w:val="7AA00365"/>
    <w:rsid w:val="7AA15E8B"/>
    <w:rsid w:val="7ABB0611"/>
    <w:rsid w:val="7B1E128A"/>
    <w:rsid w:val="7B385F26"/>
    <w:rsid w:val="7B3E48AE"/>
    <w:rsid w:val="7B586FA0"/>
    <w:rsid w:val="7B6F0EB0"/>
    <w:rsid w:val="7B897EB9"/>
    <w:rsid w:val="7BB340C8"/>
    <w:rsid w:val="7C084414"/>
    <w:rsid w:val="7C2E56C3"/>
    <w:rsid w:val="7C8F68E3"/>
    <w:rsid w:val="7CB579CC"/>
    <w:rsid w:val="7CF95B0B"/>
    <w:rsid w:val="7D021D6F"/>
    <w:rsid w:val="7D1112EA"/>
    <w:rsid w:val="7D1D1583"/>
    <w:rsid w:val="7D242CD4"/>
    <w:rsid w:val="7D24527D"/>
    <w:rsid w:val="7E1352F2"/>
    <w:rsid w:val="7E142B49"/>
    <w:rsid w:val="7E291D4D"/>
    <w:rsid w:val="7E5173F8"/>
    <w:rsid w:val="7E527BC8"/>
    <w:rsid w:val="7E8A4F78"/>
    <w:rsid w:val="7EA832D9"/>
    <w:rsid w:val="7EAA134C"/>
    <w:rsid w:val="7EF40C80"/>
    <w:rsid w:val="7F0772DB"/>
    <w:rsid w:val="7F8C5BF6"/>
    <w:rsid w:val="7F907D25"/>
    <w:rsid w:val="BDF77E00"/>
    <w:rsid w:val="DAFCA478"/>
    <w:rsid w:val="F6FA7D99"/>
    <w:rsid w:val="FF3BC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99"/>
    <w:pPr>
      <w:keepNext/>
      <w:spacing w:line="440" w:lineRule="exact"/>
      <w:outlineLvl w:val="0"/>
    </w:pPr>
    <w:rPr>
      <w:rFonts w:ascii="宋体" w:hAnsi="宋体"/>
      <w:sz w:val="30"/>
    </w:rPr>
  </w:style>
  <w:style w:type="paragraph" w:styleId="8">
    <w:name w:val="heading 2"/>
    <w:basedOn w:val="1"/>
    <w:next w:val="9"/>
    <w:qFormat/>
    <w:uiPriority w:val="99"/>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99"/>
    <w:pPr>
      <w:keepNext/>
      <w:keepLines/>
      <w:spacing w:before="260" w:after="260" w:line="416" w:lineRule="auto"/>
      <w:outlineLvl w:val="2"/>
    </w:pPr>
    <w:rPr>
      <w:b/>
      <w:bCs/>
      <w:sz w:val="32"/>
      <w:szCs w:val="32"/>
    </w:rPr>
  </w:style>
  <w:style w:type="paragraph" w:styleId="11">
    <w:name w:val="heading 4"/>
    <w:basedOn w:val="1"/>
    <w:next w:val="1"/>
    <w:autoRedefine/>
    <w:qFormat/>
    <w:uiPriority w:val="99"/>
    <w:pPr>
      <w:keepNext/>
      <w:keepLines/>
      <w:spacing w:before="280" w:after="290" w:line="376" w:lineRule="auto"/>
      <w:outlineLvl w:val="3"/>
    </w:pPr>
    <w:rPr>
      <w:rFonts w:ascii="Arial" w:hAnsi="Arial" w:eastAsia="黑体"/>
      <w:b/>
      <w:bCs/>
      <w:sz w:val="28"/>
      <w:szCs w:val="28"/>
    </w:rPr>
  </w:style>
  <w:style w:type="paragraph" w:styleId="12">
    <w:name w:val="heading 6"/>
    <w:basedOn w:val="1"/>
    <w:next w:val="1"/>
    <w:autoRedefine/>
    <w:qFormat/>
    <w:uiPriority w:val="99"/>
    <w:pPr>
      <w:keepNext/>
      <w:keepLines/>
      <w:spacing w:before="240" w:after="64" w:line="320" w:lineRule="auto"/>
      <w:outlineLvl w:val="5"/>
    </w:pPr>
    <w:rPr>
      <w:rFonts w:ascii="Arial" w:hAnsi="Arial" w:eastAsia="黑体"/>
      <w:b/>
      <w:bCs/>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hint="eastAsia"/>
    </w:rPr>
  </w:style>
  <w:style w:type="paragraph" w:customStyle="1" w:styleId="3">
    <w:name w:val="style4"/>
    <w:basedOn w:val="4"/>
    <w:next w:val="6"/>
    <w:autoRedefine/>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4">
    <w:name w:val="正文1"/>
    <w:next w:val="5"/>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5">
    <w:name w:val="正文文本1"/>
    <w:basedOn w:val="4"/>
    <w:next w:val="4"/>
    <w:autoRedefine/>
    <w:qFormat/>
    <w:uiPriority w:val="0"/>
    <w:pPr>
      <w:spacing w:after="120"/>
    </w:pPr>
    <w:rPr>
      <w:kern w:val="0"/>
      <w:sz w:val="20"/>
      <w:szCs w:val="20"/>
    </w:rPr>
  </w:style>
  <w:style w:type="paragraph" w:customStyle="1" w:styleId="6">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styleId="9">
    <w:name w:val="Normal Indent"/>
    <w:basedOn w:val="1"/>
    <w:autoRedefine/>
    <w:qFormat/>
    <w:uiPriority w:val="0"/>
    <w:pPr>
      <w:widowControl/>
      <w:adjustRightInd w:val="0"/>
      <w:spacing w:after="120" w:line="400" w:lineRule="exact"/>
      <w:ind w:firstLine="420"/>
    </w:pPr>
    <w:rPr>
      <w:sz w:val="28"/>
      <w:szCs w:val="20"/>
      <w:lang w:val="zh-CN" w:bidi="en-US"/>
    </w:rPr>
  </w:style>
  <w:style w:type="paragraph" w:styleId="13">
    <w:name w:val="caption"/>
    <w:next w:val="1"/>
    <w:autoRedefine/>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14">
    <w:name w:val="annotation text"/>
    <w:basedOn w:val="1"/>
    <w:autoRedefine/>
    <w:qFormat/>
    <w:uiPriority w:val="0"/>
    <w:pPr>
      <w:jc w:val="left"/>
    </w:pPr>
  </w:style>
  <w:style w:type="paragraph" w:styleId="15">
    <w:name w:val="Body Text Indent"/>
    <w:basedOn w:val="1"/>
    <w:next w:val="16"/>
    <w:autoRedefine/>
    <w:qFormat/>
    <w:uiPriority w:val="0"/>
    <w:pPr>
      <w:tabs>
        <w:tab w:val="left" w:pos="945"/>
        <w:tab w:val="left" w:pos="1155"/>
      </w:tabs>
      <w:ind w:firstLine="435"/>
    </w:pPr>
    <w:rPr>
      <w:rFonts w:ascii="Ari"/>
      <w:sz w:val="24"/>
      <w:szCs w:val="20"/>
    </w:rPr>
  </w:style>
  <w:style w:type="paragraph" w:styleId="16">
    <w:name w:val="envelope return"/>
    <w:basedOn w:val="1"/>
    <w:autoRedefine/>
    <w:unhideWhenUsed/>
    <w:qFormat/>
    <w:uiPriority w:val="99"/>
    <w:pPr>
      <w:snapToGrid w:val="0"/>
    </w:pPr>
    <w:rPr>
      <w:rFonts w:ascii="Arial" w:hAnsi="Arial"/>
    </w:rPr>
  </w:style>
  <w:style w:type="paragraph" w:styleId="17">
    <w:name w:val="Plain Text"/>
    <w:basedOn w:val="1"/>
    <w:next w:val="2"/>
    <w:autoRedefine/>
    <w:qFormat/>
    <w:uiPriority w:val="0"/>
    <w:rPr>
      <w:rFonts w:ascii="宋体" w:hAnsi="Courier New"/>
      <w:szCs w:val="20"/>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214"/>
      </w:tabs>
    </w:pPr>
  </w:style>
  <w:style w:type="paragraph" w:styleId="21">
    <w:name w:val="toc 2"/>
    <w:basedOn w:val="1"/>
    <w:next w:val="1"/>
    <w:autoRedefine/>
    <w:qFormat/>
    <w:uiPriority w:val="0"/>
    <w:pPr>
      <w:ind w:left="420" w:leftChars="200"/>
    </w:pPr>
  </w:style>
  <w:style w:type="paragraph" w:styleId="22">
    <w:name w:val="Body Text 2"/>
    <w:basedOn w:val="1"/>
    <w:next w:val="1"/>
    <w:autoRedefine/>
    <w:qFormat/>
    <w:uiPriority w:val="0"/>
    <w:pPr>
      <w:widowControl/>
      <w:jc w:val="center"/>
    </w:pPr>
    <w:rPr>
      <w:rFonts w:ascii="楷体_GB2312" w:eastAsia="楷体_GB2312"/>
      <w:sz w:val="28"/>
      <w:szCs w:val="20"/>
    </w:rPr>
  </w:style>
  <w:style w:type="paragraph" w:styleId="23">
    <w:name w:val="Normal (Web)"/>
    <w:basedOn w:val="1"/>
    <w:autoRedefine/>
    <w:qFormat/>
    <w:uiPriority w:val="0"/>
    <w:pPr>
      <w:jc w:val="left"/>
    </w:pPr>
    <w:rPr>
      <w:kern w:val="0"/>
      <w:sz w:val="24"/>
    </w:rPr>
  </w:style>
  <w:style w:type="paragraph" w:styleId="24">
    <w:name w:val="Body Text First Indent"/>
    <w:basedOn w:val="2"/>
    <w:next w:val="25"/>
    <w:autoRedefine/>
    <w:qFormat/>
    <w:uiPriority w:val="0"/>
    <w:pPr>
      <w:ind w:firstLine="420" w:firstLineChars="100"/>
    </w:pPr>
  </w:style>
  <w:style w:type="paragraph" w:styleId="25">
    <w:name w:val="Body Text First Indent 2"/>
    <w:basedOn w:val="15"/>
    <w:next w:val="1"/>
    <w:autoRedefine/>
    <w:qFormat/>
    <w:uiPriority w:val="0"/>
    <w:pPr>
      <w:spacing w:after="120"/>
      <w:ind w:left="420" w:leftChars="200" w:firstLine="420" w:firstLineChars="200"/>
    </w:pPr>
    <w:rPr>
      <w:rFonts w:ascii="Times New Roman" w:hAnsi="Times New Roman"/>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rFonts w:ascii="ActionIcon ! important" w:hAnsi="ActionIcon ! important" w:eastAsia="ActionIcon ! important" w:cs="ActionIcon ! important"/>
      <w:b/>
      <w:bCs/>
      <w:color w:val="5C5C5C"/>
      <w:sz w:val="21"/>
      <w:szCs w:val="21"/>
      <w:u w:val="none"/>
    </w:rPr>
  </w:style>
  <w:style w:type="character" w:styleId="30">
    <w:name w:val="FollowedHyperlink"/>
    <w:basedOn w:val="28"/>
    <w:autoRedefine/>
    <w:qFormat/>
    <w:uiPriority w:val="0"/>
    <w:rPr>
      <w:color w:val="800080"/>
      <w:u w:val="none"/>
    </w:rPr>
  </w:style>
  <w:style w:type="character" w:styleId="31">
    <w:name w:val="Emphasis"/>
    <w:basedOn w:val="28"/>
    <w:autoRedefine/>
    <w:qFormat/>
    <w:uiPriority w:val="0"/>
    <w:rPr>
      <w:b/>
      <w:bCs/>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0"/>
    <w:rPr>
      <w:color w:val="0000FF"/>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hint="default" w:ascii="monospace" w:hAnsi="monospace" w:eastAsia="monospace" w:cs="monospace"/>
      <w:sz w:val="20"/>
    </w:rPr>
  </w:style>
  <w:style w:type="character" w:styleId="40">
    <w:name w:val="HTML Sample"/>
    <w:basedOn w:val="28"/>
    <w:autoRedefine/>
    <w:qFormat/>
    <w:uiPriority w:val="0"/>
    <w:rPr>
      <w:rFonts w:ascii="monospace" w:hAnsi="monospace" w:eastAsia="monospace" w:cs="monospace"/>
    </w:rPr>
  </w:style>
  <w:style w:type="paragraph" w:customStyle="1" w:styleId="41">
    <w:name w:val="BodyText"/>
    <w:basedOn w:val="1"/>
    <w:next w:val="1"/>
    <w:autoRedefine/>
    <w:qFormat/>
    <w:uiPriority w:val="0"/>
    <w:pPr>
      <w:widowControl/>
      <w:textAlignment w:val="baseline"/>
    </w:pPr>
    <w:rPr>
      <w:sz w:val="24"/>
    </w:rPr>
  </w:style>
  <w:style w:type="paragraph" w:customStyle="1" w:styleId="42">
    <w:name w:val="正文首行缩进 21"/>
    <w:basedOn w:val="1"/>
    <w:autoRedefine/>
    <w:qFormat/>
    <w:uiPriority w:val="99"/>
    <w:pPr>
      <w:ind w:firstLine="420" w:firstLineChars="200"/>
    </w:pPr>
    <w:rPr>
      <w:sz w:val="24"/>
      <w:szCs w:val="24"/>
    </w:rPr>
  </w:style>
  <w:style w:type="paragraph" w:customStyle="1" w:styleId="43">
    <w:name w:val="正文_0"/>
    <w:basedOn w:val="44"/>
    <w:next w:val="4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
    <w:next w:val="4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文本_0"/>
    <w:basedOn w:val="44"/>
    <w:autoRedefine/>
    <w:unhideWhenUsed/>
    <w:qFormat/>
    <w:uiPriority w:val="99"/>
    <w:pPr>
      <w:spacing w:after="120"/>
    </w:pPr>
    <w:rPr>
      <w:rFonts w:ascii="Calibri" w:hAnsi="Calibri"/>
    </w:rPr>
  </w:style>
  <w:style w:type="paragraph" w:customStyle="1" w:styleId="46">
    <w:name w:val="Quote"/>
    <w:basedOn w:val="1"/>
    <w:next w:val="1"/>
    <w:qFormat/>
    <w:uiPriority w:val="0"/>
    <w:rPr>
      <w:i/>
      <w:iCs/>
      <w:color w:val="000000"/>
      <w:sz w:val="22"/>
      <w:szCs w:val="22"/>
    </w:rPr>
  </w:style>
  <w:style w:type="paragraph" w:customStyle="1" w:styleId="47">
    <w:name w:val="无间隔1"/>
    <w:basedOn w:val="1"/>
    <w:next w:val="13"/>
    <w:autoRedefine/>
    <w:qFormat/>
    <w:uiPriority w:val="1"/>
    <w:pPr>
      <w:spacing w:line="400" w:lineRule="exact"/>
    </w:pPr>
    <w:rPr>
      <w:sz w:val="24"/>
    </w:rPr>
  </w:style>
  <w:style w:type="paragraph" w:customStyle="1" w:styleId="48">
    <w:name w:val="Default"/>
    <w:basedOn w:val="17"/>
    <w:next w:val="1"/>
    <w:autoRedefine/>
    <w:qFormat/>
    <w:uiPriority w:val="0"/>
    <w:pPr>
      <w:autoSpaceDE w:val="0"/>
      <w:autoSpaceDN w:val="0"/>
      <w:adjustRightInd w:val="0"/>
    </w:pPr>
    <w:rPr>
      <w:rFonts w:hAnsi="Times New Roman"/>
      <w:color w:val="000000"/>
      <w:sz w:val="24"/>
      <w:szCs w:val="22"/>
    </w:rPr>
  </w:style>
  <w:style w:type="paragraph" w:customStyle="1" w:styleId="49">
    <w:name w:val="大标题"/>
    <w:basedOn w:val="1"/>
    <w:next w:val="25"/>
    <w:autoRedefine/>
    <w:qFormat/>
    <w:uiPriority w:val="0"/>
    <w:pPr>
      <w:jc w:val="center"/>
    </w:pPr>
    <w:rPr>
      <w:rFonts w:ascii="Arial" w:hAnsi="Arial"/>
      <w:b/>
      <w:sz w:val="28"/>
    </w:rPr>
  </w:style>
  <w:style w:type="paragraph" w:customStyle="1" w:styleId="50">
    <w:name w:val="No Spacing1"/>
    <w:basedOn w:val="1"/>
    <w:autoRedefine/>
    <w:qFormat/>
    <w:uiPriority w:val="1"/>
    <w:pPr>
      <w:spacing w:line="400" w:lineRule="exact"/>
    </w:pPr>
    <w:rPr>
      <w:sz w:val="24"/>
    </w:rPr>
  </w:style>
  <w:style w:type="paragraph" w:customStyle="1" w:styleId="51">
    <w:name w:val="*正文"/>
    <w:basedOn w:val="1"/>
    <w:next w:val="1"/>
    <w:autoRedefine/>
    <w:qFormat/>
    <w:uiPriority w:val="0"/>
    <w:pPr>
      <w:widowControl/>
      <w:ind w:firstLine="482"/>
    </w:pPr>
    <w:rPr>
      <w:rFonts w:ascii="微软雅黑" w:hAnsi="微软雅黑" w:eastAsia="微软雅黑"/>
      <w:szCs w:val="32"/>
    </w:rPr>
  </w:style>
  <w:style w:type="paragraph" w:customStyle="1" w:styleId="52">
    <w:name w:val="WPSOffice手动目录 1"/>
    <w:autoRedefine/>
    <w:qFormat/>
    <w:uiPriority w:val="0"/>
    <w:rPr>
      <w:rFonts w:ascii="Times New Roman" w:hAnsi="Times New Roman" w:eastAsia="宋体" w:cs="Times New Roman"/>
      <w:lang w:val="en-US" w:eastAsia="zh-CN" w:bidi="ar-SA"/>
    </w:rPr>
  </w:style>
  <w:style w:type="paragraph" w:customStyle="1" w:styleId="53">
    <w:name w:val="Table Paragraph"/>
    <w:basedOn w:val="1"/>
    <w:autoRedefine/>
    <w:qFormat/>
    <w:uiPriority w:val="1"/>
    <w:rPr>
      <w:rFonts w:ascii="宋体" w:hAnsi="宋体" w:cs="宋体"/>
      <w:lang w:val="zh-CN" w:bidi="zh-CN"/>
    </w:rPr>
  </w:style>
  <w:style w:type="character" w:customStyle="1" w:styleId="54">
    <w:name w:val="dash6b63_6587__char1"/>
    <w:autoRedefine/>
    <w:qFormat/>
    <w:uiPriority w:val="0"/>
    <w:rPr>
      <w:rFonts w:hint="default" w:ascii="Calibri" w:hAnsi="Calibri" w:cs="Calibri"/>
      <w:sz w:val="20"/>
      <w:szCs w:val="20"/>
    </w:rPr>
  </w:style>
  <w:style w:type="paragraph" w:customStyle="1" w:styleId="55">
    <w:name w:val="1"/>
    <w:basedOn w:val="1"/>
    <w:autoRedefine/>
    <w:qFormat/>
    <w:uiPriority w:val="0"/>
  </w:style>
  <w:style w:type="paragraph" w:customStyle="1" w:styleId="56">
    <w:name w:val="_Style 2"/>
    <w:basedOn w:val="1"/>
    <w:autoRedefine/>
    <w:qFormat/>
    <w:uiPriority w:val="0"/>
    <w:pPr>
      <w:ind w:firstLine="200" w:firstLineChars="200"/>
    </w:pPr>
    <w:rPr>
      <w:sz w:val="28"/>
    </w:rPr>
  </w:style>
  <w:style w:type="paragraph" w:customStyle="1" w:styleId="57">
    <w:name w:val="Body Text Indent 21"/>
    <w:basedOn w:val="1"/>
    <w:autoRedefine/>
    <w:qFormat/>
    <w:uiPriority w:val="0"/>
    <w:pPr>
      <w:spacing w:after="120" w:line="480" w:lineRule="auto"/>
      <w:ind w:left="420" w:leftChars="200"/>
    </w:pPr>
  </w:style>
  <w:style w:type="paragraph" w:customStyle="1" w:styleId="58">
    <w:name w:val="Normal_0"/>
    <w:next w:val="59"/>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59">
    <w:name w:val="Body Text_0"/>
    <w:basedOn w:val="58"/>
    <w:autoRedefine/>
    <w:qFormat/>
    <w:uiPriority w:val="0"/>
    <w:pPr>
      <w:spacing w:after="120"/>
    </w:pPr>
    <w:rPr>
      <w:rFonts w:ascii="Calibri" w:hAnsi="Calibri"/>
      <w:kern w:val="0"/>
      <w:sz w:val="20"/>
      <w:szCs w:val="20"/>
    </w:rPr>
  </w:style>
  <w:style w:type="paragraph" w:customStyle="1" w:styleId="60">
    <w:name w:val="协议书标题2"/>
    <w:basedOn w:val="8"/>
    <w:next w:val="1"/>
    <w:autoRedefine/>
    <w:qFormat/>
    <w:uiPriority w:val="0"/>
    <w:pPr>
      <w:keepNext w:val="0"/>
      <w:keepLines w:val="0"/>
      <w:numPr>
        <w:ilvl w:val="0"/>
        <w:numId w:val="1"/>
      </w:numPr>
      <w:tabs>
        <w:tab w:val="left" w:pos="567"/>
      </w:tabs>
      <w:spacing w:line="360" w:lineRule="auto"/>
      <w:ind w:firstLine="0"/>
      <w:jc w:val="left"/>
    </w:pPr>
    <w:rPr>
      <w:rFonts w:ascii="宋体" w:hAnsi="宋体" w:eastAsia="宋体"/>
      <w:sz w:val="24"/>
    </w:rPr>
  </w:style>
  <w:style w:type="paragraph" w:customStyle="1" w:styleId="61">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Normal_0_0"/>
    <w:next w:val="64"/>
    <w:autoRedefine/>
    <w:qFormat/>
    <w:uiPriority w:val="0"/>
    <w:rPr>
      <w:rFonts w:ascii="黑体" w:hAnsi="黑体" w:eastAsia="黑体" w:cs="Times New Roman"/>
      <w:b/>
      <w:sz w:val="32"/>
      <w:szCs w:val="24"/>
      <w:lang w:val="en-US" w:eastAsia="zh-CN" w:bidi="ar-SA"/>
    </w:rPr>
  </w:style>
  <w:style w:type="paragraph" w:customStyle="1" w:styleId="64">
    <w:name w:val="Body Text_0_0"/>
    <w:basedOn w:val="63"/>
    <w:next w:val="22"/>
    <w:autoRedefine/>
    <w:qFormat/>
    <w:uiPriority w:val="0"/>
    <w:pPr>
      <w:spacing w:after="120"/>
    </w:pPr>
    <w:rPr>
      <w:sz w:val="20"/>
      <w:szCs w:val="20"/>
    </w:rPr>
  </w:style>
  <w:style w:type="paragraph" w:customStyle="1" w:styleId="65">
    <w:name w:val="普通(网站)1"/>
    <w:basedOn w:val="4"/>
    <w:autoRedefine/>
    <w:unhideWhenUsed/>
    <w:qFormat/>
    <w:uiPriority w:val="99"/>
    <w:pPr>
      <w:widowControl/>
      <w:spacing w:before="100" w:beforeAutospacing="1" w:after="100" w:afterAutospacing="1"/>
      <w:jc w:val="left"/>
    </w:pPr>
    <w:rPr>
      <w:rFonts w:ascii="宋体" w:hAnsi="宋体" w:cs="Times New Roman"/>
      <w:kern w:val="0"/>
      <w:sz w:val="24"/>
    </w:rPr>
  </w:style>
  <w:style w:type="character" w:customStyle="1" w:styleId="66">
    <w:name w:val="NormalCharacter"/>
    <w:autoRedefine/>
    <w:semiHidden/>
    <w:qFormat/>
    <w:uiPriority w:val="0"/>
  </w:style>
  <w:style w:type="paragraph" w:customStyle="1" w:styleId="67">
    <w:name w:val="Heading 2"/>
    <w:basedOn w:val="1"/>
    <w:autoRedefine/>
    <w:qFormat/>
    <w:uiPriority w:val="1"/>
    <w:pPr>
      <w:widowControl w:val="0"/>
      <w:autoSpaceDE w:val="0"/>
      <w:autoSpaceDN w:val="0"/>
      <w:adjustRightInd w:val="0"/>
      <w:spacing w:line="360" w:lineRule="auto"/>
      <w:ind w:left="100" w:right="113"/>
      <w:outlineLvl w:val="2"/>
    </w:pPr>
    <w:rPr>
      <w:rFonts w:ascii="Microsoft JhengHei" w:hAnsi="Microsoft JhengHei" w:eastAsia="Microsoft JhengHei" w:cs="Microsoft JhengHei"/>
      <w:b/>
      <w:bCs/>
      <w:kern w:val="0"/>
      <w:sz w:val="32"/>
      <w:szCs w:val="32"/>
    </w:rPr>
  </w:style>
  <w:style w:type="paragraph" w:customStyle="1" w:styleId="68">
    <w:name w:val="Heading 4"/>
    <w:basedOn w:val="1"/>
    <w:autoRedefine/>
    <w:qFormat/>
    <w:uiPriority w:val="1"/>
    <w:pPr>
      <w:widowControl w:val="0"/>
      <w:autoSpaceDE w:val="0"/>
      <w:autoSpaceDN w:val="0"/>
      <w:adjustRightInd w:val="0"/>
      <w:spacing w:line="331" w:lineRule="exact"/>
      <w:ind w:left="513" w:right="113"/>
      <w:outlineLvl w:val="4"/>
    </w:pPr>
    <w:rPr>
      <w:rFonts w:ascii="Times New Roman" w:hAnsi="Times New Roman" w:eastAsia="Times New Roman"/>
      <w:b/>
      <w:bCs/>
      <w:kern w:val="0"/>
      <w:szCs w:val="21"/>
    </w:rPr>
  </w:style>
  <w:style w:type="paragraph" w:customStyle="1" w:styleId="69">
    <w:name w:val="普通(网站)_0"/>
    <w:basedOn w:val="70"/>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70">
    <w:name w:val="正文_0_0"/>
    <w:next w:val="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文本_0_0"/>
    <w:basedOn w:val="70"/>
    <w:qFormat/>
    <w:uiPriority w:val="99"/>
    <w:pPr>
      <w:spacing w:after="120"/>
    </w:pPr>
    <w:rPr>
      <w:rFonts w:ascii="Calibri" w:hAnsi="Calibri"/>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Text"/>
    <w:basedOn w:val="1"/>
    <w:semiHidden/>
    <w:qFormat/>
    <w:uiPriority w:val="0"/>
    <w:rPr>
      <w:rFonts w:ascii="Arial" w:hAnsi="Arial" w:eastAsia="Arial" w:cs="Arial"/>
      <w:sz w:val="21"/>
      <w:szCs w:val="21"/>
      <w:lang w:val="en-US" w:eastAsia="en-US" w:bidi="ar-SA"/>
    </w:rPr>
  </w:style>
  <w:style w:type="character" w:customStyle="1" w:styleId="74">
    <w:name w:val="hover"/>
    <w:basedOn w:val="28"/>
    <w:qFormat/>
    <w:uiPriority w:val="0"/>
    <w:rPr>
      <w:color w:val="2590EB"/>
    </w:rPr>
  </w:style>
  <w:style w:type="character" w:customStyle="1" w:styleId="75">
    <w:name w:val="hover1"/>
    <w:basedOn w:val="28"/>
    <w:qFormat/>
    <w:uiPriority w:val="0"/>
    <w:rPr>
      <w:color w:val="2590EB"/>
    </w:rPr>
  </w:style>
  <w:style w:type="character" w:customStyle="1" w:styleId="76">
    <w:name w:val="hover2"/>
    <w:basedOn w:val="28"/>
    <w:qFormat/>
    <w:uiPriority w:val="0"/>
    <w:rPr>
      <w:color w:val="2590EB"/>
      <w:shd w:val="clear" w:fill="E9F4FD"/>
    </w:rPr>
  </w:style>
  <w:style w:type="character" w:customStyle="1" w:styleId="77">
    <w:name w:val="hover3"/>
    <w:basedOn w:val="28"/>
    <w:qFormat/>
    <w:uiPriority w:val="0"/>
  </w:style>
  <w:style w:type="paragraph" w:customStyle="1" w:styleId="78">
    <w:name w:val="列表段落1"/>
    <w:basedOn w:val="1"/>
    <w:qFormat/>
    <w:uiPriority w:val="1"/>
    <w:pPr>
      <w:ind w:left="226"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17498</Words>
  <Characters>18824</Characters>
  <Lines>959</Lines>
  <Paragraphs>270</Paragraphs>
  <TotalTime>13</TotalTime>
  <ScaleCrop>false</ScaleCrop>
  <LinksUpToDate>false</LinksUpToDate>
  <CharactersWithSpaces>19080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2024-04-25T14:27:00Z</dcterms:created>
  <dc:creator>李英俊</dc:creator>
  <cp:lastModifiedBy>李英俊</cp:lastModifiedBy>
  <cp:lastPrinted>2025-08-19T03:12:00Z</cp:lastPrinted>
  <dcterms:modified xsi:type="dcterms:W3CDTF">2026-02-09T09:46:50Z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9348C57AEFE94111922DAE206260DA7C_13</vt:lpwstr>
  </property>
  <property fmtid="{D5CDD505-2E9C-101B-9397-08002B2CF9AE}" pid="4" name="KSOTemplateDocerSaveRecord">
    <vt:lpwstr>eyJoZGlkIjoiNGIyZDFhOGI0NDU2NmZhOTAzMjhiYjk2MjVjMjA0ZWYiLCJ1c2VySWQiOiIyNDM0Mjc0NjUifQ==</vt:lpwstr>
  </property>
</Properties>
</file>