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F499">
      <w:pPr>
        <w:tabs>
          <w:tab w:val="left" w:pos="2070"/>
          <w:tab w:val="center" w:pos="4365"/>
        </w:tabs>
        <w:snapToGrid w:val="0"/>
        <w:ind w:firstLine="9680" w:firstLineChars="2200"/>
        <w:rPr>
          <w:rFonts w:hint="eastAsia" w:ascii="华文中宋" w:hAnsi="华文中宋" w:eastAsia="华文中宋" w:cs="华文中宋"/>
          <w:sz w:val="44"/>
          <w:szCs w:val="44"/>
        </w:rPr>
      </w:pPr>
      <w:bookmarkStart w:id="0" w:name="_Toc2699"/>
      <w:bookmarkStart w:id="1" w:name="_Toc9756"/>
    </w:p>
    <w:p w14:paraId="67E76988">
      <w:pPr>
        <w:tabs>
          <w:tab w:val="left" w:pos="2070"/>
          <w:tab w:val="center" w:pos="4365"/>
        </w:tabs>
        <w:snapToGrid w:val="0"/>
        <w:rPr>
          <w:rFonts w:hint="eastAsia" w:ascii="华文中宋" w:hAnsi="华文中宋" w:eastAsia="华文中宋" w:cs="华文中宋"/>
          <w:sz w:val="44"/>
          <w:szCs w:val="44"/>
        </w:rPr>
      </w:pPr>
    </w:p>
    <w:p w14:paraId="245E2A10">
      <w:pPr>
        <w:tabs>
          <w:tab w:val="left" w:pos="2070"/>
          <w:tab w:val="center" w:pos="4365"/>
        </w:tabs>
        <w:snapToGrid w:val="0"/>
        <w:rPr>
          <w:rFonts w:hint="eastAsia" w:ascii="华文中宋" w:hAnsi="华文中宋" w:eastAsia="华文中宋" w:cs="华文中宋"/>
          <w:sz w:val="44"/>
          <w:szCs w:val="44"/>
        </w:rPr>
      </w:pPr>
    </w:p>
    <w:p w14:paraId="00C3353B">
      <w:pPr>
        <w:tabs>
          <w:tab w:val="left" w:pos="2070"/>
          <w:tab w:val="center" w:pos="4365"/>
        </w:tabs>
        <w:snapToGrid w:val="0"/>
        <w:jc w:val="center"/>
        <w:outlineLvl w:val="0"/>
        <w:rPr>
          <w:rFonts w:hint="eastAsia" w:ascii="华文中宋" w:hAnsi="华文中宋" w:eastAsia="华文中宋" w:cs="华文中宋"/>
          <w:b/>
          <w:sz w:val="96"/>
          <w:szCs w:val="96"/>
        </w:rPr>
      </w:pPr>
      <w:r>
        <w:rPr>
          <w:rFonts w:hint="eastAsia" w:ascii="华文中宋" w:hAnsi="华文中宋" w:eastAsia="华文中宋" w:cs="华文中宋"/>
          <w:b/>
          <w:sz w:val="96"/>
          <w:szCs w:val="96"/>
        </w:rPr>
        <w:t>招 标 文 件</w:t>
      </w:r>
    </w:p>
    <w:p w14:paraId="15BE16A4">
      <w:pPr>
        <w:tabs>
          <w:tab w:val="left" w:pos="2070"/>
          <w:tab w:val="center" w:pos="4365"/>
        </w:tabs>
        <w:snapToGrid w:val="0"/>
        <w:jc w:val="center"/>
        <w:rPr>
          <w:rFonts w:hint="eastAsia" w:ascii="华文中宋" w:hAnsi="华文中宋" w:eastAsia="华文中宋" w:cs="华文中宋"/>
          <w:sz w:val="44"/>
          <w:szCs w:val="44"/>
        </w:rPr>
      </w:pPr>
    </w:p>
    <w:p w14:paraId="32DDBB9B">
      <w:pPr>
        <w:tabs>
          <w:tab w:val="left" w:pos="2070"/>
          <w:tab w:val="center" w:pos="4365"/>
        </w:tabs>
        <w:snapToGrid w:val="0"/>
        <w:jc w:val="center"/>
        <w:rPr>
          <w:rFonts w:hint="eastAsia" w:ascii="华文中宋" w:hAnsi="华文中宋" w:eastAsia="华文中宋" w:cs="华文中宋"/>
          <w:sz w:val="44"/>
          <w:szCs w:val="44"/>
        </w:rPr>
      </w:pPr>
    </w:p>
    <w:p w14:paraId="3863981C">
      <w:pPr>
        <w:tabs>
          <w:tab w:val="left" w:pos="2070"/>
          <w:tab w:val="center" w:pos="4365"/>
        </w:tabs>
        <w:snapToGrid w:val="0"/>
        <w:jc w:val="both"/>
        <w:rPr>
          <w:rFonts w:hint="eastAsia" w:ascii="华文中宋" w:hAnsi="华文中宋" w:eastAsia="华文中宋" w:cs="华文中宋"/>
          <w:sz w:val="44"/>
          <w:szCs w:val="44"/>
        </w:rPr>
      </w:pPr>
    </w:p>
    <w:p w14:paraId="25C130AD">
      <w:pPr>
        <w:tabs>
          <w:tab w:val="left" w:pos="2070"/>
          <w:tab w:val="center" w:pos="4365"/>
        </w:tabs>
        <w:snapToGrid w:val="0"/>
        <w:jc w:val="center"/>
        <w:rPr>
          <w:rFonts w:hint="eastAsia" w:ascii="华文中宋" w:hAnsi="华文中宋" w:eastAsia="华文中宋" w:cs="华文中宋"/>
          <w:sz w:val="44"/>
          <w:szCs w:val="44"/>
        </w:rPr>
      </w:pPr>
    </w:p>
    <w:p w14:paraId="4E4077E8">
      <w:pPr>
        <w:pStyle w:val="70"/>
        <w:spacing w:line="880" w:lineRule="exact"/>
        <w:ind w:left="418" w:leftChars="199" w:firstLine="900" w:firstLineChars="300"/>
        <w:jc w:val="left"/>
        <w:rPr>
          <w:rFonts w:hint="default"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项目编号：1405812025AGK00186</w:t>
      </w:r>
    </w:p>
    <w:p w14:paraId="11426078">
      <w:pPr>
        <w:pStyle w:val="70"/>
        <w:spacing w:line="880" w:lineRule="exact"/>
        <w:ind w:left="418" w:leftChars="199" w:firstLine="900" w:firstLineChars="300"/>
        <w:jc w:val="left"/>
        <w:rPr>
          <w:rFonts w:hint="default"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项目名称：高平市公安局视频图像信息系统建设项目</w:t>
      </w:r>
    </w:p>
    <w:p w14:paraId="1CC0571C">
      <w:pPr>
        <w:pStyle w:val="70"/>
        <w:spacing w:line="880" w:lineRule="exact"/>
        <w:ind w:left="418" w:leftChars="199" w:firstLine="900" w:firstLineChars="300"/>
        <w:jc w:val="left"/>
        <w:rPr>
          <w:rFonts w:hint="default"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招 标 人:  高平市公安局</w:t>
      </w:r>
    </w:p>
    <w:p w14:paraId="7383E5BF">
      <w:pPr>
        <w:pStyle w:val="70"/>
        <w:spacing w:line="880" w:lineRule="exact"/>
        <w:ind w:left="418" w:leftChars="199" w:firstLine="900" w:firstLineChars="300"/>
        <w:jc w:val="left"/>
        <w:rPr>
          <w:rFonts w:hint="eastAsia" w:ascii="华文中宋" w:hAnsi="华文中宋" w:eastAsia="华文中宋" w:cs="微软雅黑"/>
          <w:sz w:val="30"/>
          <w:szCs w:val="30"/>
        </w:rPr>
      </w:pPr>
      <w:r>
        <w:rPr>
          <w:rFonts w:hint="eastAsia" w:ascii="华文中宋" w:hAnsi="华文中宋" w:eastAsia="华文中宋" w:cs="华文中宋"/>
          <w:kern w:val="2"/>
          <w:sz w:val="30"/>
          <w:szCs w:val="30"/>
          <w:lang w:val="en-US" w:eastAsia="zh-CN" w:bidi="ar-SA"/>
        </w:rPr>
        <w:t>采购代理机构: 高平</w:t>
      </w:r>
      <w:r>
        <w:rPr>
          <w:rFonts w:hint="eastAsia" w:ascii="华文中宋" w:hAnsi="华文中宋" w:eastAsia="华文中宋" w:cs="微软雅黑"/>
          <w:sz w:val="30"/>
          <w:szCs w:val="30"/>
        </w:rPr>
        <w:t>市公共资源交易中心</w:t>
      </w:r>
    </w:p>
    <w:p w14:paraId="3BC5EA36">
      <w:pPr>
        <w:pStyle w:val="70"/>
        <w:spacing w:line="880" w:lineRule="exact"/>
        <w:ind w:left="418" w:leftChars="199" w:firstLine="0" w:firstLineChars="0"/>
        <w:rPr>
          <w:rFonts w:hint="eastAsia" w:ascii="华文中宋" w:hAnsi="华文中宋" w:eastAsia="华文中宋" w:cs="微软雅黑"/>
          <w:sz w:val="32"/>
          <w:szCs w:val="32"/>
        </w:rPr>
      </w:pPr>
    </w:p>
    <w:p w14:paraId="27ACB6D7">
      <w:pPr>
        <w:pStyle w:val="70"/>
        <w:spacing w:line="880" w:lineRule="exact"/>
        <w:ind w:left="418" w:leftChars="199" w:firstLine="0" w:firstLineChars="0"/>
        <w:rPr>
          <w:rFonts w:hint="eastAsia" w:ascii="华文中宋" w:hAnsi="华文中宋" w:eastAsia="华文中宋" w:cs="微软雅黑"/>
          <w:sz w:val="32"/>
          <w:szCs w:val="32"/>
        </w:rPr>
      </w:pPr>
      <w:r>
        <w:rPr>
          <w:rFonts w:hint="eastAsia" w:ascii="华文中宋" w:hAnsi="华文中宋" w:eastAsia="华文中宋" w:cs="微软雅黑"/>
          <w:sz w:val="32"/>
          <w:szCs w:val="32"/>
        </w:rPr>
        <w:t xml:space="preserve">                    </w:t>
      </w:r>
    </w:p>
    <w:p w14:paraId="5487CC0E">
      <w:pPr>
        <w:pStyle w:val="70"/>
        <w:spacing w:line="880" w:lineRule="exact"/>
        <w:ind w:left="418" w:leftChars="199" w:firstLine="0" w:firstLineChars="0"/>
        <w:rPr>
          <w:rFonts w:hint="eastAsia" w:ascii="华文中宋" w:hAnsi="华文中宋" w:eastAsia="华文中宋" w:cs="微软雅黑"/>
          <w:sz w:val="32"/>
          <w:szCs w:val="32"/>
        </w:rPr>
      </w:pPr>
    </w:p>
    <w:p w14:paraId="04AD9DE0">
      <w:pPr>
        <w:pStyle w:val="70"/>
        <w:spacing w:line="880" w:lineRule="exact"/>
        <w:ind w:firstLine="6" w:firstLineChars="2"/>
        <w:jc w:val="center"/>
        <w:rPr>
          <w:rFonts w:hint="eastAsia" w:ascii="华文中宋" w:hAnsi="华文中宋" w:eastAsia="华文中宋" w:cs="微软雅黑"/>
          <w:sz w:val="32"/>
          <w:szCs w:val="32"/>
        </w:rPr>
      </w:pPr>
      <w:r>
        <w:rPr>
          <w:rFonts w:hint="eastAsia" w:ascii="华文中宋" w:hAnsi="华文中宋" w:eastAsia="华文中宋" w:cs="微软雅黑"/>
          <w:sz w:val="32"/>
          <w:szCs w:val="32"/>
          <w:lang w:eastAsia="zh-CN"/>
        </w:rPr>
        <w:t>202</w:t>
      </w:r>
      <w:r>
        <w:rPr>
          <w:rFonts w:hint="eastAsia" w:ascii="华文中宋" w:hAnsi="华文中宋" w:eastAsia="华文中宋" w:cs="微软雅黑"/>
          <w:sz w:val="32"/>
          <w:szCs w:val="32"/>
          <w:lang w:val="en-US" w:eastAsia="zh-CN"/>
        </w:rPr>
        <w:t>5</w:t>
      </w:r>
      <w:r>
        <w:rPr>
          <w:rFonts w:hint="eastAsia" w:ascii="华文中宋" w:hAnsi="华文中宋" w:eastAsia="华文中宋" w:cs="微软雅黑"/>
          <w:sz w:val="32"/>
          <w:szCs w:val="32"/>
          <w:lang w:eastAsia="zh-CN"/>
        </w:rPr>
        <w:t>年</w:t>
      </w:r>
      <w:r>
        <w:rPr>
          <w:rFonts w:hint="eastAsia" w:ascii="华文中宋" w:hAnsi="华文中宋" w:eastAsia="华文中宋" w:cs="微软雅黑"/>
          <w:sz w:val="32"/>
          <w:szCs w:val="32"/>
          <w:lang w:val="en-US" w:eastAsia="zh-CN"/>
        </w:rPr>
        <w:t>11</w:t>
      </w:r>
      <w:r>
        <w:rPr>
          <w:rFonts w:hint="eastAsia" w:ascii="华文中宋" w:hAnsi="华文中宋" w:eastAsia="华文中宋" w:cs="微软雅黑"/>
          <w:sz w:val="32"/>
          <w:szCs w:val="32"/>
        </w:rPr>
        <w:t>月</w:t>
      </w:r>
    </w:p>
    <w:p w14:paraId="797DE174">
      <w:pPr>
        <w:pStyle w:val="36"/>
        <w:rPr>
          <w:rFonts w:ascii="华文中宋" w:hAnsi="华文中宋" w:eastAsia="华文中宋"/>
          <w:color w:val="auto"/>
        </w:rPr>
      </w:pPr>
    </w:p>
    <w:bookmarkEnd w:id="0"/>
    <w:bookmarkEnd w:id="1"/>
    <w:p w14:paraId="366DE6EE">
      <w:pPr>
        <w:pStyle w:val="15"/>
        <w:tabs>
          <w:tab w:val="left" w:pos="3473"/>
        </w:tabs>
        <w:spacing w:after="0"/>
        <w:ind w:left="0" w:leftChars="0" w:firstLine="0" w:firstLineChars="0"/>
        <w:jc w:val="center"/>
        <w:rPr>
          <w:rFonts w:hint="eastAsia" w:ascii="华文中宋" w:hAnsi="华文中宋" w:eastAsia="华文中宋" w:cs="微软雅黑"/>
          <w:b/>
          <w:bCs/>
          <w:color w:val="auto"/>
          <w:sz w:val="44"/>
          <w:szCs w:val="44"/>
          <w:highlight w:val="none"/>
        </w:rPr>
      </w:pPr>
    </w:p>
    <w:p w14:paraId="797A47BA">
      <w:pPr>
        <w:pStyle w:val="15"/>
        <w:tabs>
          <w:tab w:val="left" w:pos="3473"/>
        </w:tabs>
        <w:spacing w:after="0"/>
        <w:ind w:left="0" w:leftChars="0" w:firstLine="0" w:firstLineChars="0"/>
        <w:jc w:val="center"/>
        <w:rPr>
          <w:rFonts w:hint="eastAsia" w:ascii="华文中宋" w:hAnsi="华文中宋" w:eastAsia="华文中宋" w:cs="微软雅黑"/>
          <w:b/>
          <w:bCs/>
          <w:color w:val="auto"/>
          <w:sz w:val="44"/>
          <w:szCs w:val="44"/>
        </w:rPr>
      </w:pPr>
    </w:p>
    <w:p w14:paraId="24DDAC47">
      <w:pPr>
        <w:pStyle w:val="15"/>
        <w:tabs>
          <w:tab w:val="left" w:pos="3473"/>
        </w:tabs>
        <w:spacing w:after="0"/>
        <w:ind w:left="0" w:leftChars="0" w:firstLine="0" w:firstLineChars="0"/>
        <w:jc w:val="center"/>
        <w:outlineLvl w:val="0"/>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14:paraId="4B24CA39">
      <w:pPr>
        <w:widowControl/>
        <w:spacing w:line="460" w:lineRule="exact"/>
        <w:rPr>
          <w:rFonts w:ascii="华文中宋" w:hAnsi="华文中宋" w:eastAsia="华文中宋" w:cs="宋体"/>
          <w:bCs/>
          <w:color w:val="auto"/>
          <w:sz w:val="24"/>
        </w:rPr>
      </w:pPr>
    </w:p>
    <w:p w14:paraId="7268C3EE">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14:paraId="1EF1AC57">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w:t>
      </w:r>
      <w:r>
        <w:rPr>
          <w:rFonts w:hint="eastAsia" w:ascii="华文中宋" w:hAnsi="华文中宋" w:eastAsia="华文中宋" w:cs="宋体"/>
          <w:bCs/>
          <w:color w:val="auto"/>
          <w:sz w:val="24"/>
          <w:lang w:val="en-US" w:eastAsia="zh-CN"/>
        </w:rPr>
        <w:t>投标人</w:t>
      </w:r>
      <w:r>
        <w:rPr>
          <w:rFonts w:hint="eastAsia" w:ascii="华文中宋" w:hAnsi="华文中宋" w:eastAsia="华文中宋" w:cs="宋体"/>
          <w:bCs/>
          <w:color w:val="auto"/>
          <w:sz w:val="24"/>
        </w:rPr>
        <w:t>顺利参与本项目开评标活动，我们对</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的重要内容及要求进行了全面梳理，结合</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制作及有关事宜，现将重要事项告知如下：</w:t>
      </w:r>
    </w:p>
    <w:p w14:paraId="24895E0A">
      <w:pPr>
        <w:widowControl/>
        <w:spacing w:line="460" w:lineRule="exact"/>
        <w:ind w:firstLine="480"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14:paraId="6DD40CE9">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第一部分投标邀请中第六项“其他补充事宜”进行编制操作。请认真研读相关要求，避免由于制作失误造成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无效。</w:t>
      </w:r>
    </w:p>
    <w:p w14:paraId="4F375E7E">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2.编制的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的投标人代表证明、投标函、开标报价一览表等要求进行电子签章的文件及资料，必须按照要求加盖法人电子签章和法定代表人电子签章。</w:t>
      </w:r>
    </w:p>
    <w:p w14:paraId="6E43BCE8">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中的“资格证明文件”时，必须严格按照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规定的格式，对照第五部分“资格审查内容及标准”进行制作。对于不允许在开标时进行补正的内容要特别注意，避免由于某一项内容未提供或达不到检查标准而导致不具备投标资格。</w:t>
      </w:r>
    </w:p>
    <w:p w14:paraId="5C862483">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4.在编制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中的“商务技术文件”时，必须严格按照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规定的格式，对照第六部分“评标标准和评标方法”进行制作。如果</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未通过符合性审查，将导致投标无效。</w:t>
      </w:r>
    </w:p>
    <w:p w14:paraId="66B52C62">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5.对照政府采购政策要求，</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中如涉及“政府强制采购品目清单中的产品”、“网络关键设备和网络安全专用产品目录”尤其是要特别注意的重点和关键，投报的相关产品必须提供与品牌型号对应的、有效的认证证书，否则将导致投标无效。</w:t>
      </w:r>
    </w:p>
    <w:p w14:paraId="677F30A1">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14:paraId="4C15552F">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在递交时出现差错，各潜在供应商可以登录山西政府采购平台，通过“采云直播”查看系统操作流程的视频，熟悉电子招投标的操作。</w:t>
      </w:r>
    </w:p>
    <w:p w14:paraId="5CBBA6C3">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递交时间及地点，提前到达开标现场，按时递交</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，未按时提交的将导致投标被拒绝。</w:t>
      </w:r>
    </w:p>
    <w:p w14:paraId="4A1712F5">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eastAsia="zh-CN"/>
        </w:rPr>
        <w:t>95763</w:t>
      </w:r>
      <w:r>
        <w:rPr>
          <w:rFonts w:hint="eastAsia" w:ascii="华文中宋" w:hAnsi="华文中宋" w:eastAsia="华文中宋" w:cs="华文中宋"/>
          <w:color w:val="auto"/>
          <w:sz w:val="24"/>
        </w:rPr>
        <w:t>。</w:t>
      </w:r>
    </w:p>
    <w:p w14:paraId="67826C9F">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14:paraId="42A8F942">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中标黑或加粗的位置及描述，为潜在供应商特别需要注意的重要事项，请认真阅读，仔细研究，慎重对待。</w:t>
      </w:r>
    </w:p>
    <w:p w14:paraId="7643813D">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2.获取</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的各潜在供应商，如对文件中描述不清、理解不明以及存在疑义或认为需要修正的内容，请在规定的时间内以书面形式及时向</w:t>
      </w:r>
      <w:r>
        <w:rPr>
          <w:rFonts w:hint="eastAsia" w:ascii="华文中宋" w:hAnsi="华文中宋" w:eastAsia="华文中宋" w:cs="宋体"/>
          <w:bCs/>
          <w:color w:val="auto"/>
          <w:sz w:val="24"/>
          <w:lang w:eastAsia="zh-CN"/>
        </w:rPr>
        <w:t>招标人</w:t>
      </w:r>
      <w:r>
        <w:rPr>
          <w:rFonts w:hint="eastAsia" w:ascii="华文中宋" w:hAnsi="华文中宋" w:eastAsia="华文中宋" w:cs="宋体"/>
          <w:bCs/>
          <w:color w:val="auto"/>
          <w:sz w:val="24"/>
        </w:rPr>
        <w:t>、采购代理机构反映，以便统一更正。</w:t>
      </w:r>
    </w:p>
    <w:p w14:paraId="1DB51D55">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、评标过程以及中标（成交）结果如侵害到参与本项目供应商的合法权益时，可依法以书面形式向</w:t>
      </w:r>
      <w:r>
        <w:rPr>
          <w:rFonts w:hint="eastAsia" w:ascii="华文中宋" w:hAnsi="华文中宋" w:eastAsia="华文中宋" w:cs="宋体"/>
          <w:bCs/>
          <w:color w:val="auto"/>
          <w:sz w:val="24"/>
          <w:lang w:eastAsia="zh-CN"/>
        </w:rPr>
        <w:t>招标人</w:t>
      </w:r>
      <w:r>
        <w:rPr>
          <w:rFonts w:hint="eastAsia" w:ascii="华文中宋" w:hAnsi="华文中宋" w:eastAsia="华文中宋" w:cs="宋体"/>
          <w:bCs/>
          <w:color w:val="auto"/>
          <w:sz w:val="24"/>
        </w:rPr>
        <w:t>、采购代理机构提出质疑；对质疑答复不满意的，可向同级财政部门提起投诉。</w:t>
      </w:r>
    </w:p>
    <w:p w14:paraId="7B15B468">
      <w:pPr>
        <w:tabs>
          <w:tab w:val="left" w:pos="2070"/>
          <w:tab w:val="center" w:pos="4365"/>
        </w:tabs>
        <w:snapToGrid w:val="0"/>
        <w:jc w:val="center"/>
        <w:rPr>
          <w:rFonts w:hint="eastAsia" w:ascii="华文中宋" w:hAnsi="华文中宋" w:eastAsia="华文中宋" w:cs="华文中宋"/>
          <w:b/>
          <w:sz w:val="28"/>
          <w:szCs w:val="28"/>
        </w:rPr>
      </w:pPr>
    </w:p>
    <w:p w14:paraId="7C6A7BFE">
      <w:pPr>
        <w:tabs>
          <w:tab w:val="left" w:pos="2070"/>
          <w:tab w:val="center" w:pos="4365"/>
        </w:tabs>
        <w:snapToGrid w:val="0"/>
        <w:jc w:val="center"/>
        <w:rPr>
          <w:rFonts w:hint="eastAsia" w:ascii="华文中宋" w:hAnsi="华文中宋" w:eastAsia="华文中宋" w:cs="华文中宋"/>
          <w:b/>
          <w:sz w:val="28"/>
          <w:szCs w:val="28"/>
        </w:rPr>
      </w:pPr>
    </w:p>
    <w:p w14:paraId="7A10DE67">
      <w:pPr>
        <w:tabs>
          <w:tab w:val="left" w:pos="2070"/>
          <w:tab w:val="center" w:pos="4365"/>
        </w:tabs>
        <w:snapToGrid w:val="0"/>
        <w:jc w:val="center"/>
        <w:rPr>
          <w:rFonts w:hint="eastAsia" w:ascii="华文中宋" w:hAnsi="华文中宋" w:eastAsia="华文中宋" w:cs="华文中宋"/>
          <w:b/>
          <w:sz w:val="28"/>
          <w:szCs w:val="28"/>
        </w:rPr>
      </w:pPr>
    </w:p>
    <w:p w14:paraId="2FFA40E3">
      <w:pPr>
        <w:tabs>
          <w:tab w:val="left" w:pos="2070"/>
          <w:tab w:val="center" w:pos="4365"/>
        </w:tabs>
        <w:snapToGrid w:val="0"/>
        <w:jc w:val="center"/>
        <w:rPr>
          <w:rFonts w:hint="eastAsia" w:ascii="华文中宋" w:hAnsi="华文中宋" w:eastAsia="华文中宋" w:cs="华文中宋"/>
          <w:b/>
          <w:sz w:val="28"/>
          <w:szCs w:val="28"/>
        </w:rPr>
      </w:pPr>
    </w:p>
    <w:p w14:paraId="4A30D369">
      <w:pPr>
        <w:tabs>
          <w:tab w:val="left" w:pos="2070"/>
          <w:tab w:val="center" w:pos="4365"/>
        </w:tabs>
        <w:snapToGrid w:val="0"/>
        <w:jc w:val="center"/>
        <w:rPr>
          <w:rFonts w:hint="eastAsia" w:ascii="华文中宋" w:hAnsi="华文中宋" w:eastAsia="华文中宋" w:cs="华文中宋"/>
          <w:b/>
          <w:sz w:val="28"/>
          <w:szCs w:val="28"/>
        </w:rPr>
      </w:pPr>
    </w:p>
    <w:p w14:paraId="42A8FF3A">
      <w:pPr>
        <w:tabs>
          <w:tab w:val="left" w:pos="2070"/>
          <w:tab w:val="center" w:pos="4365"/>
        </w:tabs>
        <w:snapToGrid w:val="0"/>
        <w:jc w:val="center"/>
        <w:rPr>
          <w:rFonts w:hint="eastAsia" w:ascii="华文中宋" w:hAnsi="华文中宋" w:eastAsia="华文中宋" w:cs="华文中宋"/>
          <w:b/>
          <w:sz w:val="28"/>
          <w:szCs w:val="28"/>
        </w:rPr>
      </w:pPr>
    </w:p>
    <w:p w14:paraId="274B97C8">
      <w:pPr>
        <w:tabs>
          <w:tab w:val="left" w:pos="2070"/>
          <w:tab w:val="center" w:pos="4365"/>
        </w:tabs>
        <w:snapToGrid w:val="0"/>
        <w:jc w:val="center"/>
        <w:rPr>
          <w:rFonts w:hint="eastAsia" w:ascii="华文中宋" w:hAnsi="华文中宋" w:eastAsia="华文中宋" w:cs="华文中宋"/>
          <w:b/>
          <w:sz w:val="28"/>
          <w:szCs w:val="28"/>
        </w:rPr>
      </w:pPr>
    </w:p>
    <w:p w14:paraId="32540E6F">
      <w:pPr>
        <w:tabs>
          <w:tab w:val="left" w:pos="2070"/>
          <w:tab w:val="center" w:pos="4365"/>
        </w:tabs>
        <w:snapToGrid w:val="0"/>
        <w:jc w:val="center"/>
        <w:rPr>
          <w:rFonts w:hint="eastAsia" w:ascii="华文中宋" w:hAnsi="华文中宋" w:eastAsia="华文中宋" w:cs="华文中宋"/>
          <w:b/>
          <w:sz w:val="28"/>
          <w:szCs w:val="28"/>
        </w:rPr>
      </w:pPr>
    </w:p>
    <w:p w14:paraId="5A6CE04F">
      <w:pPr>
        <w:tabs>
          <w:tab w:val="left" w:pos="2070"/>
          <w:tab w:val="center" w:pos="4365"/>
        </w:tabs>
        <w:snapToGrid w:val="0"/>
        <w:jc w:val="center"/>
        <w:rPr>
          <w:rFonts w:hint="eastAsia" w:ascii="华文中宋" w:hAnsi="华文中宋" w:eastAsia="华文中宋" w:cs="华文中宋"/>
          <w:b/>
          <w:sz w:val="28"/>
          <w:szCs w:val="28"/>
        </w:rPr>
      </w:pPr>
    </w:p>
    <w:p w14:paraId="4F0ACC1A">
      <w:pPr>
        <w:tabs>
          <w:tab w:val="left" w:pos="2070"/>
          <w:tab w:val="center" w:pos="4365"/>
        </w:tabs>
        <w:snapToGrid w:val="0"/>
        <w:jc w:val="center"/>
        <w:rPr>
          <w:rFonts w:hint="eastAsia" w:ascii="华文中宋" w:hAnsi="华文中宋" w:eastAsia="华文中宋" w:cs="华文中宋"/>
          <w:b/>
          <w:sz w:val="28"/>
          <w:szCs w:val="28"/>
        </w:rPr>
      </w:pPr>
    </w:p>
    <w:p w14:paraId="493FB807">
      <w:pPr>
        <w:tabs>
          <w:tab w:val="left" w:pos="2070"/>
          <w:tab w:val="center" w:pos="4365"/>
        </w:tabs>
        <w:snapToGrid w:val="0"/>
        <w:jc w:val="center"/>
        <w:rPr>
          <w:rFonts w:hint="eastAsia" w:ascii="华文中宋" w:hAnsi="华文中宋" w:eastAsia="华文中宋" w:cs="华文中宋"/>
          <w:b/>
          <w:sz w:val="28"/>
          <w:szCs w:val="28"/>
        </w:rPr>
      </w:pPr>
    </w:p>
    <w:p w14:paraId="43A7FCF4">
      <w:pPr>
        <w:tabs>
          <w:tab w:val="left" w:pos="2070"/>
          <w:tab w:val="center" w:pos="4365"/>
        </w:tabs>
        <w:snapToGrid w:val="0"/>
        <w:jc w:val="center"/>
        <w:rPr>
          <w:rFonts w:hint="eastAsia" w:ascii="华文中宋" w:hAnsi="华文中宋" w:eastAsia="华文中宋" w:cs="华文中宋"/>
          <w:b/>
          <w:sz w:val="28"/>
          <w:szCs w:val="28"/>
        </w:rPr>
      </w:pPr>
    </w:p>
    <w:p w14:paraId="15C1545A">
      <w:pPr>
        <w:tabs>
          <w:tab w:val="left" w:pos="2070"/>
          <w:tab w:val="center" w:pos="4365"/>
        </w:tabs>
        <w:snapToGrid w:val="0"/>
        <w:jc w:val="center"/>
        <w:rPr>
          <w:rFonts w:hint="eastAsia" w:ascii="华文中宋" w:hAnsi="华文中宋" w:eastAsia="华文中宋" w:cs="华文中宋"/>
          <w:b/>
          <w:sz w:val="28"/>
          <w:szCs w:val="28"/>
        </w:rPr>
      </w:pPr>
    </w:p>
    <w:p w14:paraId="17026C18">
      <w:pPr>
        <w:tabs>
          <w:tab w:val="left" w:pos="2070"/>
          <w:tab w:val="center" w:pos="4365"/>
        </w:tabs>
        <w:snapToGrid w:val="0"/>
        <w:jc w:val="center"/>
        <w:rPr>
          <w:rFonts w:hint="eastAsia" w:ascii="华文中宋" w:hAnsi="华文中宋" w:eastAsia="华文中宋" w:cs="华文中宋"/>
          <w:b/>
          <w:sz w:val="28"/>
          <w:szCs w:val="28"/>
        </w:rPr>
      </w:pPr>
    </w:p>
    <w:p w14:paraId="3A2C5616">
      <w:pPr>
        <w:tabs>
          <w:tab w:val="left" w:pos="2070"/>
          <w:tab w:val="center" w:pos="4365"/>
        </w:tabs>
        <w:snapToGrid w:val="0"/>
        <w:jc w:val="center"/>
        <w:rPr>
          <w:rFonts w:hint="eastAsia" w:ascii="华文中宋" w:hAnsi="华文中宋" w:eastAsia="华文中宋" w:cs="华文中宋"/>
          <w:b/>
          <w:sz w:val="28"/>
          <w:szCs w:val="28"/>
        </w:rPr>
      </w:pPr>
    </w:p>
    <w:p w14:paraId="431F79E6">
      <w:pPr>
        <w:tabs>
          <w:tab w:val="left" w:pos="2070"/>
          <w:tab w:val="center" w:pos="4365"/>
        </w:tabs>
        <w:snapToGrid w:val="0"/>
        <w:jc w:val="center"/>
        <w:rPr>
          <w:rFonts w:hint="eastAsia" w:ascii="华文中宋" w:hAnsi="华文中宋" w:eastAsia="华文中宋" w:cs="华文中宋"/>
          <w:b/>
          <w:sz w:val="28"/>
          <w:szCs w:val="28"/>
        </w:rPr>
      </w:pPr>
    </w:p>
    <w:p w14:paraId="4296741B">
      <w:pPr>
        <w:tabs>
          <w:tab w:val="left" w:pos="2070"/>
          <w:tab w:val="center" w:pos="4365"/>
        </w:tabs>
        <w:snapToGrid w:val="0"/>
        <w:jc w:val="center"/>
        <w:rPr>
          <w:rFonts w:hint="eastAsia" w:ascii="华文中宋" w:hAnsi="华文中宋" w:eastAsia="华文中宋" w:cs="华文中宋"/>
          <w:b/>
          <w:sz w:val="28"/>
          <w:szCs w:val="28"/>
        </w:rPr>
      </w:pPr>
    </w:p>
    <w:p w14:paraId="3DB503CB">
      <w:pPr>
        <w:tabs>
          <w:tab w:val="left" w:pos="2070"/>
          <w:tab w:val="center" w:pos="4365"/>
        </w:tabs>
        <w:snapToGrid w:val="0"/>
        <w:jc w:val="center"/>
        <w:rPr>
          <w:rFonts w:hint="eastAsia" w:ascii="华文中宋" w:hAnsi="华文中宋" w:eastAsia="华文中宋" w:cs="华文中宋"/>
          <w:b/>
          <w:sz w:val="28"/>
          <w:szCs w:val="28"/>
        </w:rPr>
      </w:pPr>
    </w:p>
    <w:p w14:paraId="608110AB">
      <w:pPr>
        <w:tabs>
          <w:tab w:val="left" w:pos="2070"/>
          <w:tab w:val="center" w:pos="4365"/>
        </w:tabs>
        <w:snapToGrid w:val="0"/>
        <w:jc w:val="center"/>
        <w:rPr>
          <w:rFonts w:hint="eastAsia" w:ascii="华文中宋" w:hAnsi="华文中宋" w:eastAsia="华文中宋" w:cs="华文中宋"/>
          <w:b/>
          <w:sz w:val="28"/>
          <w:szCs w:val="28"/>
        </w:rPr>
      </w:pPr>
    </w:p>
    <w:p w14:paraId="4BA6791B">
      <w:pPr>
        <w:tabs>
          <w:tab w:val="left" w:pos="2070"/>
          <w:tab w:val="center" w:pos="4365"/>
        </w:tabs>
        <w:snapToGrid w:val="0"/>
        <w:jc w:val="center"/>
        <w:rPr>
          <w:rFonts w:hint="eastAsia" w:ascii="华文中宋" w:hAnsi="华文中宋" w:eastAsia="华文中宋" w:cs="华文中宋"/>
          <w:b/>
          <w:sz w:val="28"/>
          <w:szCs w:val="28"/>
        </w:rPr>
      </w:pPr>
    </w:p>
    <w:p w14:paraId="79C2A852">
      <w:pPr>
        <w:tabs>
          <w:tab w:val="left" w:pos="2070"/>
          <w:tab w:val="center" w:pos="4365"/>
        </w:tabs>
        <w:snapToGrid w:val="0"/>
        <w:jc w:val="center"/>
        <w:rPr>
          <w:rFonts w:hint="eastAsia" w:ascii="华文中宋" w:hAnsi="华文中宋" w:eastAsia="华文中宋" w:cs="华文中宋"/>
          <w:b/>
          <w:sz w:val="28"/>
          <w:szCs w:val="28"/>
        </w:rPr>
      </w:pPr>
    </w:p>
    <w:p w14:paraId="7DAAE109">
      <w:pPr>
        <w:tabs>
          <w:tab w:val="left" w:pos="2070"/>
          <w:tab w:val="center" w:pos="4365"/>
        </w:tabs>
        <w:snapToGrid w:val="0"/>
        <w:jc w:val="center"/>
        <w:rPr>
          <w:rFonts w:hint="eastAsia" w:ascii="华文中宋" w:hAnsi="华文中宋" w:eastAsia="华文中宋" w:cs="华文中宋"/>
          <w:b/>
          <w:sz w:val="28"/>
          <w:szCs w:val="28"/>
        </w:rPr>
      </w:pPr>
    </w:p>
    <w:p w14:paraId="6A501B32">
      <w:pPr>
        <w:tabs>
          <w:tab w:val="left" w:pos="2070"/>
          <w:tab w:val="center" w:pos="4365"/>
        </w:tabs>
        <w:snapToGrid w:val="0"/>
        <w:jc w:val="center"/>
        <w:rPr>
          <w:rFonts w:hint="eastAsia" w:ascii="华文中宋" w:hAnsi="华文中宋" w:eastAsia="华文中宋" w:cs="华文中宋"/>
          <w:b/>
          <w:sz w:val="28"/>
          <w:szCs w:val="28"/>
        </w:rPr>
      </w:pPr>
    </w:p>
    <w:p w14:paraId="7E419948">
      <w:pPr>
        <w:tabs>
          <w:tab w:val="left" w:pos="2070"/>
          <w:tab w:val="center" w:pos="4365"/>
        </w:tabs>
        <w:snapToGrid w:val="0"/>
        <w:jc w:val="center"/>
        <w:rPr>
          <w:rFonts w:hint="eastAsia" w:ascii="华文中宋" w:hAnsi="华文中宋" w:eastAsia="华文中宋" w:cs="华文中宋"/>
          <w:b/>
          <w:sz w:val="28"/>
          <w:szCs w:val="28"/>
        </w:rPr>
      </w:pPr>
    </w:p>
    <w:p w14:paraId="5A111652">
      <w:pPr>
        <w:tabs>
          <w:tab w:val="left" w:pos="2070"/>
          <w:tab w:val="center" w:pos="4365"/>
        </w:tabs>
        <w:snapToGrid w:val="0"/>
        <w:jc w:val="both"/>
        <w:rPr>
          <w:rFonts w:hint="eastAsia" w:ascii="华文中宋" w:hAnsi="华文中宋" w:eastAsia="华文中宋" w:cs="华文中宋"/>
          <w:b/>
          <w:sz w:val="28"/>
          <w:szCs w:val="28"/>
        </w:rPr>
      </w:pPr>
    </w:p>
    <w:p w14:paraId="55C5534B">
      <w:pPr>
        <w:tabs>
          <w:tab w:val="left" w:pos="2070"/>
          <w:tab w:val="center" w:pos="4365"/>
        </w:tabs>
        <w:snapToGrid w:val="0"/>
        <w:jc w:val="center"/>
        <w:rPr>
          <w:rFonts w:hint="eastAsia" w:ascii="华文中宋" w:hAnsi="华文中宋" w:eastAsia="华文中宋" w:cs="华文中宋"/>
          <w:b/>
          <w:sz w:val="28"/>
          <w:szCs w:val="28"/>
        </w:rPr>
      </w:pPr>
    </w:p>
    <w:p w14:paraId="67F58005">
      <w:pPr>
        <w:tabs>
          <w:tab w:val="left" w:pos="2070"/>
          <w:tab w:val="center" w:pos="4365"/>
        </w:tabs>
        <w:snapToGrid w:val="0"/>
        <w:jc w:val="center"/>
        <w:rPr>
          <w:rFonts w:hint="eastAsia" w:ascii="华文中宋" w:hAnsi="华文中宋" w:eastAsia="华文中宋" w:cs="华文中宋"/>
          <w:b/>
          <w:sz w:val="28"/>
          <w:szCs w:val="28"/>
        </w:rPr>
      </w:pPr>
    </w:p>
    <w:p w14:paraId="5FEC5B3E">
      <w:pPr>
        <w:tabs>
          <w:tab w:val="left" w:pos="2070"/>
          <w:tab w:val="center" w:pos="4365"/>
        </w:tabs>
        <w:snapToGrid w:val="0"/>
        <w:jc w:val="center"/>
        <w:outlineLvl w:val="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目    录</w:t>
      </w:r>
    </w:p>
    <w:p w14:paraId="09307B83">
      <w:pPr>
        <w:pStyle w:val="23"/>
        <w:tabs>
          <w:tab w:val="right" w:leader="dot" w:pos="9004"/>
        </w:tabs>
        <w:rPr>
          <w:rFonts w:hint="eastAsia" w:ascii="华文中宋" w:hAnsi="华文中宋" w:eastAsia="华文中宋" w:cs="华文中宋"/>
        </w:rPr>
      </w:pPr>
    </w:p>
    <w:p w14:paraId="7031F073">
      <w:pPr>
        <w:pStyle w:val="23"/>
        <w:tabs>
          <w:tab w:val="right" w:leader="dot" w:pos="9004"/>
        </w:tabs>
        <w:rPr>
          <w:rFonts w:hint="eastAsia" w:ascii="华文中宋" w:hAnsi="华文中宋" w:eastAsia="华文中宋" w:cs="华文中宋"/>
          <w:sz w:val="24"/>
          <w:szCs w:val="24"/>
        </w:rPr>
      </w:pPr>
    </w:p>
    <w:p w14:paraId="20892F3C">
      <w:pPr>
        <w:pStyle w:val="23"/>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TOC \o "1-2" \h \z \u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"_Toc91694417"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第一部分 投标邀请</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5</w:t>
      </w:r>
      <w:r>
        <w:rPr>
          <w:rFonts w:hint="eastAsia" w:ascii="华文中宋" w:hAnsi="华文中宋" w:eastAsia="华文中宋" w:cs="华文中宋"/>
          <w:sz w:val="24"/>
          <w:szCs w:val="24"/>
        </w:rPr>
        <w:fldChar w:fldCharType="end"/>
      </w:r>
    </w:p>
    <w:p w14:paraId="06E5E61D">
      <w:pPr>
        <w:pStyle w:val="23"/>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"_Toc91694418"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第二部分 投标人须知前附表</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8</w:t>
      </w:r>
      <w:r>
        <w:rPr>
          <w:rFonts w:hint="eastAsia" w:ascii="华文中宋" w:hAnsi="华文中宋" w:eastAsia="华文中宋" w:cs="华文中宋"/>
          <w:sz w:val="24"/>
          <w:szCs w:val="24"/>
        </w:rPr>
        <w:fldChar w:fldCharType="end"/>
      </w:r>
    </w:p>
    <w:p w14:paraId="2D138C0A">
      <w:pPr>
        <w:pStyle w:val="23"/>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"_Toc91694419"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第三部分 投标人须知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w:t>
      </w:r>
    </w:p>
    <w:p w14:paraId="1D4ADD58">
      <w:pPr>
        <w:pStyle w:val="24"/>
        <w:tabs>
          <w:tab w:val="left" w:pos="1260"/>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"_Toc91694420"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10"/>
          <w:sz w:val="24"/>
          <w:szCs w:val="24"/>
        </w:rPr>
        <w:t>一、总则</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w:t>
      </w:r>
    </w:p>
    <w:p w14:paraId="4F61D974">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"_Toc91694421"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10"/>
          <w:sz w:val="24"/>
          <w:szCs w:val="24"/>
        </w:rPr>
        <w:t>二、招标文件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75E7FB66">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"_Toc91694422"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10"/>
          <w:sz w:val="24"/>
          <w:szCs w:val="24"/>
        </w:rPr>
        <w:t>三、投标文件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7</w:t>
      </w:r>
    </w:p>
    <w:p w14:paraId="086468F9">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四</w:t>
      </w:r>
      <w:r>
        <w:rPr>
          <w:rStyle w:val="34"/>
          <w:rFonts w:hint="eastAsia" w:ascii="华文中宋" w:hAnsi="华文中宋" w:eastAsia="华文中宋" w:cs="华文中宋"/>
          <w:color w:val="auto"/>
          <w:spacing w:val="10"/>
          <w:sz w:val="24"/>
          <w:szCs w:val="24"/>
        </w:rPr>
        <w:t>、投标文件</w:t>
      </w:r>
      <w:r>
        <w:rPr>
          <w:rStyle w:val="34"/>
          <w:rFonts w:hint="eastAsia" w:ascii="华文中宋" w:hAnsi="华文中宋" w:eastAsia="华文中宋" w:cs="华文中宋"/>
          <w:color w:val="auto"/>
          <w:spacing w:val="10"/>
          <w:sz w:val="24"/>
          <w:szCs w:val="24"/>
          <w:lang w:val="en-US" w:eastAsia="zh-CN"/>
        </w:rPr>
        <w:t>的递交</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1A399E0D">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五</w:t>
      </w:r>
      <w:r>
        <w:rPr>
          <w:rStyle w:val="34"/>
          <w:rFonts w:hint="eastAsia" w:ascii="华文中宋" w:hAnsi="华文中宋" w:eastAsia="华文中宋" w:cs="华文中宋"/>
          <w:color w:val="auto"/>
          <w:spacing w:val="10"/>
          <w:sz w:val="24"/>
          <w:szCs w:val="24"/>
        </w:rPr>
        <w:t>、开标</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00E135FC">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"_Toc91694424"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六</w:t>
      </w:r>
      <w:r>
        <w:rPr>
          <w:rStyle w:val="34"/>
          <w:rFonts w:hint="eastAsia" w:ascii="华文中宋" w:hAnsi="华文中宋" w:eastAsia="华文中宋" w:cs="华文中宋"/>
          <w:color w:val="auto"/>
          <w:spacing w:val="10"/>
          <w:sz w:val="24"/>
          <w:szCs w:val="24"/>
        </w:rPr>
        <w:t>、评标程序和要求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5243583E">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"_Toc91694425"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七</w:t>
      </w:r>
      <w:r>
        <w:rPr>
          <w:rStyle w:val="34"/>
          <w:rFonts w:hint="eastAsia" w:ascii="华文中宋" w:hAnsi="华文中宋" w:eastAsia="华文中宋" w:cs="华文中宋"/>
          <w:color w:val="auto"/>
          <w:spacing w:val="10"/>
          <w:sz w:val="24"/>
          <w:szCs w:val="24"/>
        </w:rPr>
        <w:t>、签订合同</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3</w:t>
      </w:r>
    </w:p>
    <w:p w14:paraId="4A9EABC4">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"_Toc91694426"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八</w:t>
      </w:r>
      <w:r>
        <w:rPr>
          <w:rStyle w:val="34"/>
          <w:rFonts w:hint="eastAsia" w:ascii="华文中宋" w:hAnsi="华文中宋" w:eastAsia="华文中宋" w:cs="华文中宋"/>
          <w:color w:val="auto"/>
          <w:spacing w:val="10"/>
          <w:sz w:val="24"/>
          <w:szCs w:val="24"/>
        </w:rPr>
        <w:t>、服务费</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567B2827">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"_Toc91694427"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九</w:t>
      </w:r>
      <w:r>
        <w:rPr>
          <w:rStyle w:val="34"/>
          <w:rFonts w:hint="eastAsia" w:ascii="华文中宋" w:hAnsi="华文中宋" w:eastAsia="华文中宋" w:cs="华文中宋"/>
          <w:color w:val="auto"/>
          <w:spacing w:val="10"/>
          <w:sz w:val="24"/>
          <w:szCs w:val="24"/>
        </w:rPr>
        <w:t>、保密和披露</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367C515C">
      <w:pPr>
        <w:pStyle w:val="24"/>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"_Toc91694428"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lang w:val="en-US" w:eastAsia="zh-CN"/>
        </w:rPr>
        <w:t>十</w:t>
      </w:r>
      <w:r>
        <w:rPr>
          <w:rStyle w:val="34"/>
          <w:rFonts w:hint="eastAsia" w:ascii="华文中宋" w:hAnsi="华文中宋" w:eastAsia="华文中宋" w:cs="华文中宋"/>
          <w:color w:val="auto"/>
          <w:spacing w:val="10"/>
          <w:sz w:val="24"/>
          <w:szCs w:val="24"/>
        </w:rPr>
        <w:t>、询问和质疑</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14:paraId="64AEE7AF">
      <w:pPr>
        <w:pStyle w:val="23"/>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"_Toc91694429"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第四部分 采购需求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w:t>
      </w:r>
    </w:p>
    <w:p w14:paraId="525B448A">
      <w:pPr>
        <w:pStyle w:val="23"/>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"_Toc91694430"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第五部分 资格审查内容及标准</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93</w:t>
      </w:r>
    </w:p>
    <w:p w14:paraId="4E78C22A">
      <w:pPr>
        <w:pStyle w:val="23"/>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"_Toc91694431"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sz w:val="24"/>
          <w:szCs w:val="24"/>
        </w:rPr>
        <w:t>第六部分 评标标准和评标方法</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94</w:t>
      </w:r>
    </w:p>
    <w:p w14:paraId="7B351566">
      <w:pPr>
        <w:pStyle w:val="23"/>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第七部分   合同文本</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101</w:t>
      </w:r>
    </w:p>
    <w:p w14:paraId="101AA156">
      <w:pPr>
        <w:pStyle w:val="23"/>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"_Toc91694433" </w:instrText>
      </w:r>
      <w:r>
        <w:rPr>
          <w:rFonts w:hint="eastAsia" w:ascii="华文中宋" w:hAnsi="华文中宋" w:eastAsia="华文中宋" w:cs="华文中宋"/>
          <w:sz w:val="24"/>
          <w:szCs w:val="24"/>
        </w:rPr>
        <w:fldChar w:fldCharType="separate"/>
      </w:r>
      <w:r>
        <w:rPr>
          <w:rStyle w:val="34"/>
          <w:rFonts w:hint="eastAsia" w:ascii="华文中宋" w:hAnsi="华文中宋" w:eastAsia="华文中宋" w:cs="华文中宋"/>
          <w:color w:val="auto"/>
          <w:spacing w:val="20"/>
          <w:kern w:val="44"/>
          <w:sz w:val="24"/>
          <w:szCs w:val="24"/>
        </w:rPr>
        <w:t>第八部分 投标文件内容要求及格式</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119</w:t>
      </w:r>
    </w:p>
    <w:p w14:paraId="00835DB3">
      <w:pPr>
        <w:rPr>
          <w:rFonts w:hint="eastAsia" w:ascii="华文中宋" w:hAnsi="华文中宋" w:eastAsia="华文中宋" w:cs="华文中宋"/>
        </w:rPr>
        <w:sectPr>
          <w:headerReference r:id="rId3" w:type="default"/>
          <w:footerReference r:id="rId4" w:type="default"/>
          <w:pgSz w:w="11906" w:h="16838"/>
          <w:pgMar w:top="1134" w:right="1361" w:bottom="1021" w:left="1531" w:header="851" w:footer="992" w:gutter="0"/>
          <w:pgNumType w:fmt="decimal"/>
          <w:cols w:space="720" w:num="1"/>
          <w:docGrid w:type="lines" w:linePitch="312" w:charSpace="0"/>
        </w:sectPr>
      </w:pPr>
      <w:r>
        <w:rPr>
          <w:rFonts w:hint="eastAsia" w:ascii="华文中宋" w:hAnsi="华文中宋" w:eastAsia="华文中宋" w:cs="华文中宋"/>
          <w:sz w:val="24"/>
          <w:szCs w:val="24"/>
        </w:rPr>
        <w:fldChar w:fldCharType="end"/>
      </w:r>
    </w:p>
    <w:p w14:paraId="4B2676BE">
      <w:pPr>
        <w:pStyle w:val="72"/>
        <w:numPr>
          <w:ilvl w:val="0"/>
          <w:numId w:val="0"/>
        </w:numPr>
        <w:snapToGrid w:val="0"/>
        <w:spacing w:before="0" w:after="0"/>
        <w:rPr>
          <w:rFonts w:hint="eastAsia" w:ascii="华文中宋" w:hAnsi="华文中宋" w:eastAsia="华文中宋" w:cs="华文中宋"/>
          <w:spacing w:val="20"/>
          <w:szCs w:val="28"/>
        </w:rPr>
      </w:pPr>
      <w:bookmarkStart w:id="2" w:name="_Toc352761927"/>
      <w:bookmarkStart w:id="3" w:name="_Toc424378682"/>
      <w:bookmarkStart w:id="4" w:name="_Toc91694417"/>
      <w:r>
        <w:rPr>
          <w:rFonts w:hint="eastAsia" w:ascii="华文中宋" w:hAnsi="华文中宋" w:eastAsia="华文中宋" w:cs="华文中宋"/>
          <w:spacing w:val="20"/>
          <w:szCs w:val="28"/>
        </w:rPr>
        <w:t>第一部分  投标邀请</w:t>
      </w:r>
      <w:bookmarkEnd w:id="2"/>
      <w:bookmarkEnd w:id="3"/>
      <w:bookmarkEnd w:id="4"/>
    </w:p>
    <w:p w14:paraId="7B8DA34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textAlignment w:val="auto"/>
        <w:rPr>
          <w:rFonts w:hint="eastAsia" w:ascii="华文中宋" w:hAnsi="华文中宋" w:eastAsia="华文中宋" w:cs="微软雅黑"/>
          <w:szCs w:val="21"/>
        </w:rPr>
      </w:pPr>
      <w:bookmarkStart w:id="5" w:name="OLE_LINK46"/>
      <w:r>
        <w:rPr>
          <w:rFonts w:hint="eastAsia" w:ascii="华文中宋" w:hAnsi="华文中宋" w:eastAsia="华文中宋" w:cs="微软雅黑"/>
          <w:szCs w:val="21"/>
        </w:rPr>
        <w:t>项目概况</w:t>
      </w:r>
    </w:p>
    <w:p w14:paraId="22AB97A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微软雅黑"/>
          <w:szCs w:val="21"/>
          <w:u w:val="single"/>
        </w:rPr>
        <w:t>高平市公安局视频图像信息系统建设项目</w:t>
      </w:r>
      <w:r>
        <w:rPr>
          <w:rFonts w:hint="eastAsia" w:ascii="华文中宋" w:hAnsi="华文中宋" w:eastAsia="华文中宋" w:cs="微软雅黑"/>
          <w:szCs w:val="21"/>
        </w:rPr>
        <w:t>的潜在投标人应在</w:t>
      </w:r>
      <w:r>
        <w:rPr>
          <w:rFonts w:hint="eastAsia" w:ascii="华文中宋" w:hAnsi="华文中宋" w:eastAsia="华文中宋" w:cs="微软雅黑"/>
          <w:szCs w:val="21"/>
          <w:u w:val="single"/>
        </w:rPr>
        <w:t>山西省政府采购网（</w:t>
      </w:r>
      <w:r>
        <w:rPr>
          <w:rFonts w:hint="eastAsia" w:ascii="华文中宋" w:hAnsi="华文中宋" w:eastAsia="华文中宋" w:cs="微软雅黑"/>
          <w:szCs w:val="21"/>
          <w:u w:val="single"/>
          <w:lang w:eastAsia="zh-CN"/>
        </w:rPr>
        <w:t>http://www.ccgp-shanxi.gov.cn/home.html</w:t>
      </w:r>
      <w:r>
        <w:rPr>
          <w:rFonts w:hint="eastAsia" w:ascii="华文中宋" w:hAnsi="华文中宋" w:eastAsia="华文中宋" w:cs="微软雅黑"/>
          <w:szCs w:val="21"/>
          <w:u w:val="single"/>
        </w:rPr>
        <w:t>）</w:t>
      </w:r>
      <w:r>
        <w:rPr>
          <w:rFonts w:hint="eastAsia" w:ascii="华文中宋" w:hAnsi="华文中宋" w:eastAsia="华文中宋" w:cs="微软雅黑"/>
          <w:szCs w:val="21"/>
        </w:rPr>
        <w:t>获取招标文件，并于</w:t>
      </w:r>
      <w:r>
        <w:rPr>
          <w:rFonts w:hint="eastAsia" w:ascii="华文中宋" w:hAnsi="华文中宋" w:eastAsia="华文中宋" w:cs="微软雅黑"/>
          <w:szCs w:val="21"/>
          <w:u w:val="single"/>
          <w:lang w:eastAsia="zh-CN"/>
        </w:rPr>
        <w:t>202</w:t>
      </w:r>
      <w:r>
        <w:rPr>
          <w:rFonts w:hint="eastAsia" w:ascii="华文中宋" w:hAnsi="华文中宋" w:eastAsia="华文中宋" w:cs="微软雅黑"/>
          <w:szCs w:val="21"/>
          <w:u w:val="single"/>
          <w:lang w:val="en-US" w:eastAsia="zh-CN"/>
        </w:rPr>
        <w:t>5</w:t>
      </w:r>
      <w:r>
        <w:rPr>
          <w:rFonts w:hint="eastAsia" w:ascii="华文中宋" w:hAnsi="华文中宋" w:eastAsia="华文中宋" w:cs="微软雅黑"/>
          <w:szCs w:val="21"/>
          <w:u w:val="none"/>
          <w:lang w:eastAsia="zh-CN"/>
        </w:rPr>
        <w:t>年</w:t>
      </w:r>
      <w:r>
        <w:rPr>
          <w:rFonts w:hint="eastAsia" w:ascii="华文中宋" w:hAnsi="华文中宋" w:eastAsia="华文中宋" w:cs="微软雅黑"/>
          <w:szCs w:val="21"/>
          <w:u w:val="single"/>
          <w:lang w:val="en-US" w:eastAsia="zh-CN"/>
        </w:rPr>
        <w:t>12</w:t>
      </w:r>
      <w:r>
        <w:rPr>
          <w:rFonts w:hint="eastAsia" w:ascii="华文中宋" w:hAnsi="华文中宋" w:eastAsia="华文中宋" w:cs="微软雅黑"/>
          <w:bCs/>
          <w:szCs w:val="21"/>
        </w:rPr>
        <w:t>月</w:t>
      </w:r>
      <w:r>
        <w:rPr>
          <w:rFonts w:hint="eastAsia" w:ascii="华文中宋" w:hAnsi="华文中宋" w:eastAsia="华文中宋" w:cs="微软雅黑"/>
          <w:bCs/>
          <w:szCs w:val="21"/>
          <w:u w:val="single"/>
          <w:lang w:val="en-US" w:eastAsia="zh-CN"/>
        </w:rPr>
        <w:t>1</w:t>
      </w:r>
      <w:r>
        <w:rPr>
          <w:rFonts w:hint="eastAsia" w:ascii="华文中宋" w:hAnsi="华文中宋" w:eastAsia="华文中宋" w:cs="微软雅黑"/>
          <w:bCs/>
          <w:szCs w:val="21"/>
          <w:u w:val="single"/>
          <w:lang w:eastAsia="zh-CN"/>
        </w:rPr>
        <w:t xml:space="preserve"> </w:t>
      </w:r>
      <w:r>
        <w:rPr>
          <w:rFonts w:hint="eastAsia" w:ascii="华文中宋" w:hAnsi="华文中宋" w:eastAsia="华文中宋" w:cs="微软雅黑"/>
          <w:bCs/>
          <w:szCs w:val="21"/>
        </w:rPr>
        <w:t>日</w:t>
      </w:r>
      <w:r>
        <w:rPr>
          <w:rFonts w:hint="eastAsia" w:ascii="华文中宋" w:hAnsi="华文中宋" w:eastAsia="华文中宋" w:cs="微软雅黑"/>
          <w:bCs/>
          <w:szCs w:val="21"/>
          <w:u w:val="single"/>
          <w:lang w:val="en-US" w:eastAsia="zh-CN"/>
        </w:rPr>
        <w:t>9</w:t>
      </w:r>
      <w:r>
        <w:rPr>
          <w:rFonts w:hint="eastAsia" w:ascii="华文中宋" w:hAnsi="华文中宋" w:eastAsia="华文中宋" w:cs="微软雅黑"/>
          <w:bCs/>
          <w:szCs w:val="21"/>
        </w:rPr>
        <w:t>点</w:t>
      </w:r>
      <w:r>
        <w:rPr>
          <w:rFonts w:hint="eastAsia" w:ascii="华文中宋" w:hAnsi="华文中宋" w:eastAsia="华文中宋" w:cs="微软雅黑"/>
          <w:bCs/>
          <w:szCs w:val="21"/>
          <w:u w:val="single"/>
        </w:rPr>
        <w:t>30</w:t>
      </w:r>
      <w:r>
        <w:rPr>
          <w:rFonts w:hint="eastAsia" w:ascii="华文中宋" w:hAnsi="华文中宋" w:eastAsia="华文中宋" w:cs="微软雅黑"/>
          <w:bCs/>
          <w:szCs w:val="21"/>
        </w:rPr>
        <w:t>分（北京时间）前递交投标文件</w:t>
      </w:r>
      <w:r>
        <w:rPr>
          <w:rFonts w:hint="eastAsia" w:ascii="华文中宋" w:hAnsi="华文中宋" w:eastAsia="华文中宋" w:cs="微软雅黑"/>
          <w:szCs w:val="21"/>
        </w:rPr>
        <w:t>。</w:t>
      </w:r>
    </w:p>
    <w:p w14:paraId="64BD44CD">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一、项目基本情况</w:t>
      </w:r>
    </w:p>
    <w:p w14:paraId="09749C6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项目编号：1405812025AGK00186</w:t>
      </w:r>
    </w:p>
    <w:p w14:paraId="6F403F3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项目名称：</w:t>
      </w:r>
      <w:bookmarkStart w:id="6" w:name="OLE_LINK1"/>
      <w:r>
        <w:rPr>
          <w:rFonts w:hint="eastAsia" w:ascii="华文中宋" w:hAnsi="华文中宋" w:eastAsia="华文中宋" w:cs="华文中宋"/>
          <w:szCs w:val="21"/>
        </w:rPr>
        <w:t>高平市公安局视频图像信息系统建设项目</w:t>
      </w:r>
    </w:p>
    <w:p w14:paraId="52E0FF3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3.</w:t>
      </w:r>
      <w:bookmarkEnd w:id="6"/>
      <w:r>
        <w:rPr>
          <w:rFonts w:hint="eastAsia" w:ascii="华文中宋" w:hAnsi="华文中宋" w:eastAsia="华文中宋" w:cs="华文中宋"/>
          <w:kern w:val="2"/>
          <w:sz w:val="21"/>
          <w:szCs w:val="21"/>
          <w:lang w:val="en-US" w:eastAsia="zh-CN" w:bidi="ar-SA"/>
        </w:rPr>
        <w:t>预算金额：</w:t>
      </w:r>
      <w:r>
        <w:rPr>
          <w:rFonts w:hint="eastAsia" w:ascii="华文中宋" w:hAnsi="华文中宋" w:eastAsia="华文中宋" w:cs="华文中宋"/>
          <w:kern w:val="2"/>
          <w:sz w:val="21"/>
          <w:szCs w:val="21"/>
          <w:lang w:val="en-US" w:eastAsia="zh" w:bidi="ar-SA"/>
        </w:rPr>
        <w:t>16179562.07</w:t>
      </w:r>
      <w:r>
        <w:rPr>
          <w:rFonts w:hint="eastAsia" w:ascii="华文中宋" w:hAnsi="华文中宋" w:eastAsia="华文中宋" w:cs="华文中宋"/>
          <w:kern w:val="2"/>
          <w:sz w:val="21"/>
          <w:szCs w:val="21"/>
          <w:lang w:val="en-US" w:eastAsia="zh-CN" w:bidi="ar-SA"/>
        </w:rPr>
        <w:t>元</w:t>
      </w:r>
    </w:p>
    <w:p w14:paraId="79CF4C3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4.最高限价：</w:t>
      </w:r>
      <w:r>
        <w:rPr>
          <w:rFonts w:hint="eastAsia" w:ascii="华文中宋" w:hAnsi="华文中宋" w:eastAsia="华文中宋" w:cs="华文中宋"/>
          <w:kern w:val="2"/>
          <w:sz w:val="21"/>
          <w:szCs w:val="21"/>
          <w:lang w:val="en-US" w:eastAsia="zh" w:bidi="ar-SA"/>
        </w:rPr>
        <w:t>16179562.07</w:t>
      </w:r>
      <w:r>
        <w:rPr>
          <w:rFonts w:hint="eastAsia" w:ascii="华文中宋" w:hAnsi="华文中宋" w:eastAsia="华文中宋" w:cs="华文中宋"/>
          <w:kern w:val="2"/>
          <w:sz w:val="21"/>
          <w:szCs w:val="21"/>
          <w:lang w:val="en-US" w:eastAsia="zh-CN" w:bidi="ar-SA"/>
        </w:rPr>
        <w:t>元</w:t>
      </w:r>
    </w:p>
    <w:p w14:paraId="765697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采购需求：共</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包，详见招标文件“第四部分 技术需求书”</w:t>
      </w:r>
    </w:p>
    <w:p w14:paraId="46D50A7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6.</w:t>
      </w:r>
      <w:r>
        <w:rPr>
          <w:rFonts w:hint="eastAsia" w:ascii="华文中宋" w:hAnsi="华文中宋" w:eastAsia="华文中宋" w:cs="华文中宋"/>
          <w:szCs w:val="21"/>
        </w:rPr>
        <w:t>合同履行期限：</w:t>
      </w:r>
      <w:bookmarkStart w:id="7" w:name="OLE_LINK6"/>
      <w:r>
        <w:rPr>
          <w:rFonts w:hint="eastAsia" w:ascii="华文中宋" w:hAnsi="华文中宋" w:eastAsia="华文中宋" w:cs="华文中宋"/>
          <w:szCs w:val="21"/>
          <w:lang w:eastAsia="zh-CN"/>
        </w:rPr>
        <w:t>设备交付期限</w:t>
      </w:r>
      <w:r>
        <w:rPr>
          <w:rFonts w:hint="eastAsia" w:ascii="华文中宋" w:hAnsi="华文中宋" w:eastAsia="华文中宋" w:cs="华文中宋"/>
          <w:szCs w:val="21"/>
          <w:lang w:val="en-US" w:eastAsia="zh-CN"/>
        </w:rPr>
        <w:t>2026年6月；运维期限</w:t>
      </w:r>
      <w:r>
        <w:rPr>
          <w:rFonts w:hint="eastAsia" w:ascii="华文中宋" w:hAnsi="华文中宋" w:eastAsia="华文中宋" w:cs="华文中宋"/>
          <w:lang w:val="en-US" w:eastAsia="zh-CN"/>
        </w:rPr>
        <w:t>自项目验收合格后三年</w:t>
      </w:r>
    </w:p>
    <w:bookmarkEnd w:id="7"/>
    <w:p w14:paraId="4B041C8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本项目（是</w:t>
      </w:r>
      <w:r>
        <w:rPr>
          <w:rFonts w:hint="eastAsia" w:ascii="华文中宋" w:hAnsi="华文中宋" w:eastAsia="华文中宋" w:cs="华文中宋"/>
          <w:szCs w:val="21"/>
        </w:rPr>
        <w:sym w:font="Wingdings 2" w:char="0052"/>
      </w:r>
      <w:r>
        <w:rPr>
          <w:rFonts w:hint="eastAsia" w:ascii="华文中宋" w:hAnsi="华文中宋" w:eastAsia="华文中宋" w:cs="华文中宋"/>
          <w:szCs w:val="21"/>
        </w:rPr>
        <w:t>/否</w:t>
      </w:r>
      <w:r>
        <w:rPr>
          <w:rFonts w:ascii="华文中宋" w:hAnsi="华文中宋" w:eastAsia="华文中宋" w:cs="华文中宋"/>
          <w:szCs w:val="21"/>
        </w:rPr>
        <w:fldChar w:fldCharType="begin"/>
      </w:r>
      <w:r>
        <w:rPr>
          <w:rFonts w:ascii="华文中宋" w:hAnsi="华文中宋" w:eastAsia="华文中宋" w:cs="华文中宋"/>
          <w:szCs w:val="21"/>
        </w:rPr>
        <w:instrText xml:space="preserve"> </w:instrText>
      </w:r>
      <w:r>
        <w:rPr>
          <w:rFonts w:hint="eastAsia" w:ascii="华文中宋" w:hAnsi="华文中宋" w:eastAsia="华文中宋" w:cs="华文中宋"/>
          <w:szCs w:val="21"/>
        </w:rPr>
        <w:instrText xml:space="preserve">eq \o\ac(□)</w:instrText>
      </w:r>
      <w:r>
        <w:rPr>
          <w:rFonts w:ascii="华文中宋" w:hAnsi="华文中宋" w:eastAsia="华文中宋" w:cs="华文中宋"/>
          <w:szCs w:val="21"/>
        </w:rPr>
        <w:fldChar w:fldCharType="end"/>
      </w:r>
      <w:r>
        <w:rPr>
          <w:rFonts w:hint="eastAsia" w:ascii="华文中宋" w:hAnsi="华文中宋" w:eastAsia="华文中宋" w:cs="华文中宋"/>
          <w:szCs w:val="21"/>
        </w:rPr>
        <w:t>）接受联合体投标</w:t>
      </w:r>
      <w:r>
        <w:rPr>
          <w:rFonts w:hint="eastAsia" w:ascii="华文中宋" w:hAnsi="华文中宋" w:eastAsia="华文中宋" w:cs="华文中宋"/>
          <w:lang w:eastAsia="zh-CN"/>
        </w:rPr>
        <w:t>（</w:t>
      </w:r>
      <w:r>
        <w:rPr>
          <w:rFonts w:hint="eastAsia" w:ascii="华文中宋" w:hAnsi="华文中宋" w:eastAsia="华文中宋" w:cs="华文中宋"/>
        </w:rPr>
        <w:t>允许集成商和电信运营商以联合体</w:t>
      </w:r>
      <w:r>
        <w:rPr>
          <w:rFonts w:hint="eastAsia" w:ascii="华文中宋" w:hAnsi="华文中宋" w:eastAsia="华文中宋" w:cs="华文中宋"/>
          <w:lang w:eastAsia="zh-CN"/>
        </w:rPr>
        <w:t>投标）</w:t>
      </w:r>
    </w:p>
    <w:p w14:paraId="54A2C5A8">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bookmarkStart w:id="8" w:name="OLE_LINK89"/>
      <w:r>
        <w:rPr>
          <w:rFonts w:hint="eastAsia" w:ascii="华文中宋" w:hAnsi="华文中宋" w:eastAsia="华文中宋" w:cs="Times New Roman"/>
          <w:b/>
          <w:color w:val="auto"/>
          <w:szCs w:val="21"/>
          <w:highlight w:val="none"/>
        </w:rPr>
        <w:t>二、投标人的资格要求：</w:t>
      </w:r>
    </w:p>
    <w:p w14:paraId="794A876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1.满足《中华人民共和国政府采购法》第二十二条规定.</w:t>
      </w:r>
    </w:p>
    <w:p w14:paraId="298FF9F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b/>
          <w:bCs/>
          <w:szCs w:val="21"/>
          <w:lang w:val="en-US" w:eastAsia="zh-CN"/>
        </w:rPr>
        <w:t>2.以下内容</w:t>
      </w:r>
      <w:r>
        <w:rPr>
          <w:rFonts w:hint="eastAsia" w:ascii="华文中宋" w:hAnsi="华文中宋" w:eastAsia="华文中宋" w:cs="华文中宋"/>
          <w:b/>
          <w:bCs/>
          <w:szCs w:val="21"/>
        </w:rPr>
        <w:t>提供《政府集中采购供应商信用承诺书》</w:t>
      </w:r>
      <w:r>
        <w:rPr>
          <w:rFonts w:hint="eastAsia" w:ascii="华文中宋" w:hAnsi="华文中宋" w:eastAsia="华文中宋" w:cs="华文中宋"/>
          <w:szCs w:val="21"/>
        </w:rPr>
        <w:t>（详见招标文件“第</w:t>
      </w:r>
      <w:r>
        <w:rPr>
          <w:rFonts w:hint="eastAsia" w:ascii="华文中宋" w:hAnsi="华文中宋" w:eastAsia="华文中宋" w:cs="华文中宋"/>
          <w:szCs w:val="21"/>
          <w:lang w:val="en-US" w:eastAsia="zh-CN"/>
        </w:rPr>
        <w:t>八</w:t>
      </w:r>
      <w:r>
        <w:rPr>
          <w:rFonts w:hint="eastAsia" w:ascii="华文中宋" w:hAnsi="华文中宋" w:eastAsia="华文中宋" w:cs="华文中宋"/>
          <w:szCs w:val="21"/>
        </w:rPr>
        <w:t>部分 投标文件内容要求及格式”）</w:t>
      </w:r>
    </w:p>
    <w:p w14:paraId="14AEECD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具有独立承担民事责任的能力</w:t>
      </w:r>
    </w:p>
    <w:p w14:paraId="1586FBC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具有良好的商业信誉和健全的财务会计制度</w:t>
      </w:r>
    </w:p>
    <w:p w14:paraId="15415D0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具有依法缴纳税收和社会保障资金的良好记录</w:t>
      </w:r>
    </w:p>
    <w:p w14:paraId="7A43C49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具有履行合同所必需的设备和专业技术能力</w:t>
      </w:r>
    </w:p>
    <w:p w14:paraId="201F275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参加政府采购活动前三年内，在经营活动中没有重大违法记录</w:t>
      </w:r>
    </w:p>
    <w:p w14:paraId="68B3534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b/>
          <w:bCs/>
          <w:szCs w:val="21"/>
          <w:lang w:val="en-US" w:eastAsia="zh-CN"/>
        </w:rPr>
      </w:pPr>
      <w:bookmarkStart w:id="9" w:name="_Toc352761928"/>
      <w:bookmarkStart w:id="10" w:name="_Toc58507722"/>
      <w:bookmarkStart w:id="11" w:name="_Toc424378683"/>
      <w:r>
        <w:rPr>
          <w:rFonts w:hint="eastAsia" w:ascii="华文中宋" w:hAnsi="华文中宋" w:eastAsia="华文中宋" w:cs="华文中宋"/>
          <w:b/>
          <w:bCs/>
          <w:szCs w:val="21"/>
          <w:lang w:val="en-US" w:eastAsia="zh-CN"/>
        </w:rPr>
        <w:t>3.落实政府采购政策需满足的资格要求：</w:t>
      </w:r>
      <w:r>
        <w:rPr>
          <w:rFonts w:hint="eastAsia" w:ascii="华文中宋" w:hAnsi="华文中宋" w:eastAsia="华文中宋" w:cs="华文中宋"/>
          <w:szCs w:val="21"/>
          <w:lang w:val="en-US" w:eastAsia="zh-CN"/>
        </w:rPr>
        <w:t>无。</w:t>
      </w:r>
    </w:p>
    <w:p w14:paraId="1733A91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color w:val="auto"/>
          <w:szCs w:val="21"/>
          <w:lang w:val="en-US" w:eastAsia="zh-CN"/>
        </w:rPr>
      </w:pPr>
      <w:r>
        <w:rPr>
          <w:rFonts w:hint="eastAsia" w:ascii="华文中宋" w:hAnsi="华文中宋" w:eastAsia="华文中宋" w:cs="华文中宋"/>
          <w:b/>
          <w:bCs/>
          <w:szCs w:val="21"/>
          <w:lang w:val="en-US" w:eastAsia="zh-CN"/>
        </w:rPr>
        <w:t>4.本项目的特定资格要求：</w:t>
      </w:r>
      <w:r>
        <w:rPr>
          <w:rFonts w:hint="eastAsia" w:ascii="华文中宋" w:hAnsi="华文中宋" w:eastAsia="华文中宋" w:cs="华文中宋"/>
          <w:szCs w:val="21"/>
          <w:lang w:val="en-US" w:eastAsia="zh-CN"/>
        </w:rPr>
        <w:t>无</w:t>
      </w:r>
    </w:p>
    <w:p w14:paraId="0E2EF4C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b/>
          <w:bCs/>
          <w:szCs w:val="21"/>
          <w:lang w:val="en-US" w:eastAsia="zh-CN"/>
        </w:rPr>
        <w:t>5.本项目是否接受代理商投标：</w:t>
      </w:r>
      <w:r>
        <w:rPr>
          <w:rFonts w:hint="eastAsia" w:ascii="华文中宋" w:hAnsi="华文中宋" w:eastAsia="华文中宋" w:cs="华文中宋"/>
          <w:szCs w:val="21"/>
          <w:lang w:val="en-US" w:eastAsia="zh-CN"/>
        </w:rPr>
        <w:t>是</w:t>
      </w:r>
    </w:p>
    <w:p w14:paraId="16CD9135">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三</w:t>
      </w:r>
      <w:r>
        <w:rPr>
          <w:rFonts w:hint="eastAsia" w:ascii="华文中宋" w:hAnsi="华文中宋" w:eastAsia="华文中宋" w:cs="Times New Roman"/>
          <w:b/>
          <w:color w:val="auto"/>
          <w:szCs w:val="21"/>
          <w:highlight w:val="none"/>
        </w:rPr>
        <w:t>、投标、开标方式及评审方式</w:t>
      </w:r>
    </w:p>
    <w:p w14:paraId="11C6939C">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 投标方式：本项目无需递交纸质版投标文件，采用网上提交电子投标文件的方式进行。</w:t>
      </w:r>
    </w:p>
    <w:p w14:paraId="2ECADE99">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2. 开标方式：本项目采用网上电子开标的方式进行，因不可抗因素导致业务执行系统无法正常运行时，集采机构将等待系统恢复正常后继续进行开标。系统不能及时恢复正常时，集采机构将待系统恢复正常后继续开标。</w:t>
      </w:r>
    </w:p>
    <w:p w14:paraId="763546F9">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3. 评审方式：本项目采用网上电子评审的方式进行，依据上传至系统的投标文件进行评审，因不可抗因素导致业务执行系统无法正常运行时，集采机构将等待系统恢复正常后继续进行评审。系统不能及时恢复正常时，集采机构将封标，待系统恢复正常后继续或重新进行评审。</w:t>
      </w:r>
    </w:p>
    <w:p w14:paraId="58F8AB9F">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四</w:t>
      </w:r>
      <w:r>
        <w:rPr>
          <w:rFonts w:hint="eastAsia" w:ascii="华文中宋" w:hAnsi="华文中宋" w:eastAsia="华文中宋" w:cs="Times New Roman"/>
          <w:b/>
          <w:color w:val="auto"/>
          <w:szCs w:val="21"/>
          <w:highlight w:val="none"/>
        </w:rPr>
        <w:t>、投标文件获取时间、投标文件上传截止时间、解密时间及开启</w:t>
      </w:r>
      <w:r>
        <w:rPr>
          <w:rFonts w:hint="eastAsia" w:ascii="华文中宋" w:hAnsi="华文中宋" w:eastAsia="华文中宋" w:cs="Times New Roman"/>
          <w:b/>
          <w:color w:val="auto"/>
          <w:szCs w:val="21"/>
          <w:highlight w:val="none"/>
          <w:lang w:val="en-US" w:eastAsia="zh-CN"/>
        </w:rPr>
        <w:t>时间、地点及方式</w:t>
      </w:r>
    </w:p>
    <w:p w14:paraId="2F9D7E4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招标文件获取时间：202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9</w:t>
      </w:r>
      <w:r>
        <w:rPr>
          <w:rFonts w:hint="eastAsia" w:ascii="华文中宋" w:hAnsi="华文中宋" w:eastAsia="华文中宋" w:cs="华文中宋"/>
          <w:szCs w:val="21"/>
        </w:rPr>
        <w:t>日至202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rPr>
        <w:t>日</w:t>
      </w:r>
      <w:r>
        <w:rPr>
          <w:rFonts w:hint="eastAsia" w:ascii="华文中宋" w:hAnsi="华文中宋" w:eastAsia="华文中宋" w:cs="华文中宋"/>
          <w:szCs w:val="21"/>
          <w:lang w:eastAsia="zh-CN"/>
        </w:rPr>
        <w:t>。</w:t>
      </w:r>
    </w:p>
    <w:p w14:paraId="4354EC8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地点：山西省政府采购网（</w:t>
      </w:r>
      <w:r>
        <w:rPr>
          <w:rFonts w:hint="eastAsia" w:ascii="华文中宋" w:hAnsi="华文中宋" w:eastAsia="华文中宋" w:cs="华文中宋"/>
          <w:szCs w:val="21"/>
          <w:lang w:eastAsia="zh-CN"/>
        </w:rPr>
        <w:t>http://www.ccgp-shanxi.gov.cn/home.html</w:t>
      </w:r>
      <w:r>
        <w:rPr>
          <w:rFonts w:hint="eastAsia" w:ascii="华文中宋" w:hAnsi="华文中宋" w:eastAsia="华文中宋" w:cs="华文中宋"/>
          <w:szCs w:val="21"/>
        </w:rPr>
        <w:t>）</w:t>
      </w:r>
      <w:r>
        <w:rPr>
          <w:rFonts w:hint="eastAsia" w:ascii="华文中宋" w:hAnsi="华文中宋" w:eastAsia="华文中宋" w:cs="华文中宋"/>
          <w:szCs w:val="21"/>
          <w:lang w:eastAsia="zh-CN"/>
        </w:rPr>
        <w:t>。</w:t>
      </w:r>
    </w:p>
    <w:p w14:paraId="1E1FEC7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方式：通过“山西省政府采购网”在线获取（采购公告下方选取“潜在供应商”处“获取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”），不提供纸质版</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；供应商只有在“山西省政府采购网”完成获取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申请并下载了</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后才视作依法获取</w:t>
      </w:r>
      <w:r>
        <w:rPr>
          <w:rFonts w:hint="eastAsia" w:ascii="华文中宋" w:hAnsi="华文中宋" w:eastAsia="华文中宋" w:cs="华文中宋"/>
          <w:szCs w:val="21"/>
          <w:lang w:eastAsia="zh-CN"/>
        </w:rPr>
        <w:t>招标文件。</w:t>
      </w:r>
    </w:p>
    <w:p w14:paraId="0409719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投标文件上传截止时间：202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14:paraId="06F86A9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电子响应文件方式：请登录山西政府采购平台电子投标客户端提交</w:t>
      </w:r>
      <w:r>
        <w:rPr>
          <w:rFonts w:hint="eastAsia" w:ascii="华文中宋" w:hAnsi="华文中宋" w:eastAsia="华文中宋" w:cs="华文中宋"/>
          <w:szCs w:val="21"/>
          <w:lang w:eastAsia="zh-CN"/>
        </w:rPr>
        <w:t>。</w:t>
      </w:r>
    </w:p>
    <w:p w14:paraId="3347DCD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投标文件解密时间: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分至10点。</w:t>
      </w:r>
    </w:p>
    <w:p w14:paraId="27C5752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投标文件开启时间: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14:paraId="1DB99BB3">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五、公告期限</w:t>
      </w:r>
    </w:p>
    <w:p w14:paraId="0162FCA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自本公告发布之日起5个工作日。</w:t>
      </w:r>
    </w:p>
    <w:p w14:paraId="0D2A427F">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bookmarkStart w:id="12" w:name="_Toc35393795"/>
      <w:bookmarkStart w:id="13" w:name="_Toc35393626"/>
      <w:r>
        <w:rPr>
          <w:rFonts w:hint="eastAsia" w:ascii="华文中宋" w:hAnsi="华文中宋" w:eastAsia="华文中宋" w:cs="Times New Roman"/>
          <w:b/>
          <w:color w:val="auto"/>
          <w:szCs w:val="21"/>
          <w:highlight w:val="none"/>
          <w:lang w:val="en-US" w:eastAsia="zh-CN"/>
        </w:rPr>
        <w:t>六、</w:t>
      </w:r>
      <w:r>
        <w:rPr>
          <w:rFonts w:hint="eastAsia" w:ascii="华文中宋" w:hAnsi="华文中宋" w:eastAsia="华文中宋" w:cs="Times New Roman"/>
          <w:b/>
          <w:color w:val="auto"/>
          <w:szCs w:val="21"/>
          <w:highlight w:val="none"/>
        </w:rPr>
        <w:t>其他补充事宜</w:t>
      </w:r>
      <w:bookmarkEnd w:id="12"/>
      <w:bookmarkEnd w:id="13"/>
    </w:p>
    <w:p w14:paraId="44A124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电子投标文件的编制、递交及要求</w:t>
      </w:r>
      <w:r>
        <w:rPr>
          <w:rFonts w:hint="eastAsia" w:ascii="华文中宋" w:hAnsi="华文中宋" w:eastAsia="华文中宋" w:cs="华文中宋"/>
          <w:szCs w:val="21"/>
          <w:lang w:eastAsia="zh-CN"/>
        </w:rPr>
        <w:t>：</w:t>
      </w:r>
    </w:p>
    <w:p w14:paraId="4267D36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投标人按招标文件第八部分投标文件内容、要求及格式，在本地使用文字办公软件进行投标文件的编制；</w:t>
      </w:r>
    </w:p>
    <w:p w14:paraId="7AA216F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将编制完成的投标文件另存为PDF格式文件按照“山西政府采购平台电子投标客户端”中“投标文件编制”-“导入投标文件”-“标书关联”的要求进行投标文件模块化拆分、上传和标书关联；</w:t>
      </w:r>
    </w:p>
    <w:p w14:paraId="01831A5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1.3</w:t>
      </w:r>
      <w:r>
        <w:rPr>
          <w:rFonts w:hint="eastAsia" w:ascii="华文中宋" w:hAnsi="华文中宋" w:eastAsia="华文中宋" w:cs="华文中宋"/>
          <w:szCs w:val="21"/>
        </w:rPr>
        <w:t>按照“山西政府采购平台电子投标客户端”中“电子签名”，使用CA数字证书签章工具按照招标文件要求分别对各模块化中需要加盖电子签章的投标文件进行电子签章的加盖（包括法人电子签章和法定代表人电子签章）；</w:t>
      </w:r>
    </w:p>
    <w:p w14:paraId="23B04E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rPr>
        <w:t>投标人登录 “山西政府采购平台电子投标客户端”-“投标文件上传”，在投标文件截止时间前提交网上应答；</w:t>
      </w:r>
    </w:p>
    <w:p w14:paraId="5E53C66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特别注意事项：</w:t>
      </w:r>
    </w:p>
    <w:p w14:paraId="3DD7210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2.1公告发布媒介：山西省政府采购网</w:t>
      </w:r>
    </w:p>
    <w:p w14:paraId="733B984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2.2在线投标响应说明：</w:t>
      </w:r>
    </w:p>
    <w:p w14:paraId="3CC1538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1）本项目采用电子化交易；电子化交易流程操作指南“山西省政府采购网→下载专区”获取；</w:t>
      </w:r>
    </w:p>
    <w:p w14:paraId="6FE7AB3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应在提交投标文件前完成CA数字证书办理。（办理事项详见“山西省政府采购网→下载专区”）；</w:t>
      </w:r>
    </w:p>
    <w:p w14:paraId="2AEF6DD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应安装“山西政府采购平台电子投标客户端”，请</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自行前往“山西省政府采购网→下载专区”获取并安装；</w:t>
      </w:r>
    </w:p>
    <w:p w14:paraId="035CADD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2.3中标</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应在合同签订前完成山西省政府采购网全部注册步骤并成为正式</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w:t>
      </w:r>
    </w:p>
    <w:p w14:paraId="2FB9E587">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微软雅黑"/>
          <w:color w:val="auto"/>
          <w:szCs w:val="21"/>
          <w:highlight w:val="none"/>
          <w:lang w:eastAsia="zh-CN"/>
        </w:rPr>
      </w:pPr>
      <w:r>
        <w:rPr>
          <w:rFonts w:hint="eastAsia" w:ascii="华文中宋" w:hAnsi="华文中宋" w:eastAsia="华文中宋" w:cs="微软雅黑"/>
          <w:color w:val="auto"/>
          <w:kern w:val="2"/>
          <w:sz w:val="21"/>
          <w:szCs w:val="21"/>
          <w:lang w:val="en-US" w:eastAsia="zh-CN" w:bidi="ar-SA"/>
        </w:rPr>
        <w:t>3.</w:t>
      </w:r>
      <w:r>
        <w:rPr>
          <w:rFonts w:hint="eastAsia" w:ascii="华文中宋" w:hAnsi="华文中宋" w:eastAsia="华文中宋" w:cs="华文中宋"/>
          <w:szCs w:val="21"/>
        </w:rPr>
        <w:t>主体库注册登记指南：</w:t>
      </w:r>
      <w:r>
        <w:rPr>
          <w:rFonts w:hint="eastAsia" w:ascii="华文中宋" w:hAnsi="华文中宋" w:eastAsia="华文中宋" w:cs="微软雅黑"/>
          <w:color w:val="auto"/>
          <w:szCs w:val="21"/>
          <w:highlight w:val="none"/>
          <w:lang w:eastAsia="zh-CN"/>
        </w:rPr>
        <w:fldChar w:fldCharType="begin"/>
      </w:r>
      <w:r>
        <w:rPr>
          <w:rFonts w:hint="eastAsia" w:ascii="华文中宋" w:hAnsi="华文中宋" w:eastAsia="华文中宋" w:cs="微软雅黑"/>
          <w:color w:val="auto"/>
          <w:szCs w:val="21"/>
          <w:highlight w:val="none"/>
          <w:lang w:eastAsia="zh-CN"/>
        </w:rPr>
        <w:instrText xml:space="preserve"> HYPERLINK "http://jyzt.sxzwfw.gov.cn/ztxxzc/index.jhtml" </w:instrText>
      </w:r>
      <w:r>
        <w:rPr>
          <w:rFonts w:hint="eastAsia" w:ascii="华文中宋" w:hAnsi="华文中宋" w:eastAsia="华文中宋" w:cs="微软雅黑"/>
          <w:color w:val="auto"/>
          <w:szCs w:val="21"/>
          <w:highlight w:val="none"/>
          <w:lang w:eastAsia="zh-CN"/>
        </w:rPr>
        <w:fldChar w:fldCharType="separate"/>
      </w:r>
      <w:r>
        <w:rPr>
          <w:rStyle w:val="33"/>
          <w:rFonts w:hint="eastAsia" w:ascii="华文中宋" w:hAnsi="华文中宋" w:eastAsia="华文中宋" w:cs="微软雅黑"/>
          <w:szCs w:val="21"/>
          <w:highlight w:val="none"/>
          <w:lang w:eastAsia="zh-CN"/>
        </w:rPr>
        <w:t>http://jyzt.sxzwfw.gov.cn/ztxxzc/index.jhtml</w:t>
      </w:r>
      <w:r>
        <w:rPr>
          <w:rFonts w:hint="eastAsia" w:ascii="华文中宋" w:hAnsi="华文中宋" w:eastAsia="华文中宋" w:cs="微软雅黑"/>
          <w:color w:val="auto"/>
          <w:szCs w:val="21"/>
          <w:highlight w:val="none"/>
          <w:lang w:eastAsia="zh-CN"/>
        </w:rPr>
        <w:fldChar w:fldCharType="end"/>
      </w:r>
    </w:p>
    <w:p w14:paraId="26B215B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数字证书办理</w:t>
      </w:r>
    </w:p>
    <w:p w14:paraId="427DC52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.1山西CA办理地址：晋城市兰花路汉通大厦B座911室；电话：19935689388；晋城市开发区凤台街合聚大厦13层1310室；电话：15364569120</w:t>
      </w:r>
      <w:r>
        <w:rPr>
          <w:rFonts w:hint="eastAsia" w:ascii="华文中宋" w:hAnsi="华文中宋" w:eastAsia="华文中宋" w:cs="华文中宋"/>
          <w:szCs w:val="21"/>
          <w:lang w:eastAsia="zh-CN"/>
        </w:rPr>
        <w:t>。</w:t>
      </w:r>
    </w:p>
    <w:p w14:paraId="56633F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.2北京CA办理地址：晋城市白水东街鑫超财富广场A座1709室；电话：0356-3030006。</w:t>
      </w:r>
    </w:p>
    <w:p w14:paraId="73083F5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.3数字证书（CA）生效时限以主体信息生效时限为准，主体信息生效时限为在“山西省统一主体库”完成主体注册且通过现场核验后第二日上午9时起。</w:t>
      </w:r>
    </w:p>
    <w:p w14:paraId="653FE99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电子投标技术支持咨询电话：</w:t>
      </w:r>
      <w:r>
        <w:rPr>
          <w:rFonts w:hint="eastAsia" w:ascii="华文中宋" w:hAnsi="华文中宋" w:eastAsia="华文中宋" w:cs="微软雅黑"/>
          <w:color w:val="auto"/>
          <w:szCs w:val="21"/>
          <w:highlight w:val="none"/>
          <w:lang w:eastAsia="zh-CN"/>
        </w:rPr>
        <w:t>95763</w:t>
      </w:r>
      <w:r>
        <w:rPr>
          <w:rFonts w:hint="eastAsia" w:ascii="华文中宋" w:hAnsi="华文中宋" w:eastAsia="华文中宋" w:cs="微软雅黑"/>
          <w:color w:val="auto"/>
          <w:szCs w:val="21"/>
          <w:highlight w:val="none"/>
        </w:rPr>
        <w:t>。</w:t>
      </w:r>
    </w:p>
    <w:p w14:paraId="4107AD3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6.政采云平台</w:t>
      </w:r>
      <w:r>
        <w:rPr>
          <w:rFonts w:hint="eastAsia" w:ascii="华文中宋" w:hAnsi="华文中宋" w:eastAsia="华文中宋" w:cs="华文中宋"/>
          <w:szCs w:val="21"/>
        </w:rPr>
        <w:t xml:space="preserve">技术支持电话：0351-7731616  </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 xml:space="preserve">  </w:t>
      </w:r>
      <w:r>
        <w:rPr>
          <w:rFonts w:hint="eastAsia" w:ascii="华文中宋" w:hAnsi="华文中宋" w:eastAsia="华文中宋" w:cs="微软雅黑"/>
          <w:color w:val="auto"/>
          <w:szCs w:val="21"/>
          <w:highlight w:val="none"/>
          <w:lang w:eastAsia="zh-CN"/>
        </w:rPr>
        <w:t>95763</w:t>
      </w:r>
      <w:r>
        <w:rPr>
          <w:rFonts w:hint="eastAsia" w:ascii="华文中宋" w:hAnsi="华文中宋" w:eastAsia="华文中宋" w:cs="微软雅黑"/>
          <w:color w:val="auto"/>
          <w:szCs w:val="21"/>
          <w:highlight w:val="none"/>
        </w:rPr>
        <w:t>。</w:t>
      </w:r>
    </w:p>
    <w:p w14:paraId="1176F8C7">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七</w:t>
      </w:r>
      <w:r>
        <w:rPr>
          <w:rFonts w:hint="eastAsia" w:ascii="华文中宋" w:hAnsi="华文中宋" w:eastAsia="华文中宋" w:cs="Times New Roman"/>
          <w:b/>
          <w:color w:val="auto"/>
          <w:szCs w:val="21"/>
          <w:highlight w:val="none"/>
        </w:rPr>
        <w:t>、基本信息</w:t>
      </w:r>
    </w:p>
    <w:p w14:paraId="270B6210">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1.招标人基本信息</w:t>
      </w:r>
    </w:p>
    <w:p w14:paraId="4D0CBCA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单位名称：</w:t>
      </w:r>
      <w:r>
        <w:rPr>
          <w:rFonts w:hint="eastAsia" w:ascii="华文中宋" w:hAnsi="华文中宋" w:eastAsia="华文中宋" w:cs="华文中宋"/>
        </w:rPr>
        <w:t>高平市公安局</w:t>
      </w:r>
    </w:p>
    <w:p w14:paraId="595EA96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  址：</w:t>
      </w:r>
      <w:r>
        <w:rPr>
          <w:rFonts w:hint="eastAsia" w:ascii="华文中宋" w:hAnsi="华文中宋" w:eastAsia="华文中宋" w:cs="华文中宋"/>
        </w:rPr>
        <w:t>高平市新华街9号</w:t>
      </w:r>
    </w:p>
    <w:p w14:paraId="0F3B3C2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eastAsia="zh-CN"/>
        </w:rPr>
        <w:t>联系人：邢女士</w:t>
      </w:r>
    </w:p>
    <w:p w14:paraId="7F58126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联系电话：</w:t>
      </w:r>
      <w:r>
        <w:rPr>
          <w:rFonts w:hint="eastAsia" w:ascii="华文中宋" w:hAnsi="华文中宋" w:eastAsia="华文中宋" w:cs="华文中宋"/>
        </w:rPr>
        <w:t>0356-5682333</w:t>
      </w:r>
    </w:p>
    <w:p w14:paraId="16812D3C">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2.集采机构基本信息</w:t>
      </w:r>
    </w:p>
    <w:p w14:paraId="26AC414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单位名称：</w:t>
      </w:r>
      <w:r>
        <w:rPr>
          <w:rFonts w:hint="eastAsia" w:ascii="华文中宋" w:hAnsi="华文中宋" w:eastAsia="华文中宋" w:cs="华文中宋"/>
          <w:szCs w:val="21"/>
          <w:lang w:eastAsia="zh-CN"/>
        </w:rPr>
        <w:t>高平</w:t>
      </w:r>
      <w:r>
        <w:rPr>
          <w:rFonts w:hint="eastAsia" w:ascii="华文中宋" w:hAnsi="华文中宋" w:eastAsia="华文中宋" w:cs="华文中宋"/>
          <w:szCs w:val="21"/>
        </w:rPr>
        <w:t>市公共资源交易中心</w:t>
      </w:r>
    </w:p>
    <w:p w14:paraId="1C18658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址：</w:t>
      </w:r>
      <w:r>
        <w:rPr>
          <w:rFonts w:hint="eastAsia" w:ascii="华文中宋" w:hAnsi="华文中宋" w:eastAsia="华文中宋" w:cs="华文中宋"/>
          <w:szCs w:val="21"/>
          <w:lang w:eastAsia="zh-CN"/>
        </w:rPr>
        <w:t>高平</w:t>
      </w:r>
      <w:r>
        <w:rPr>
          <w:rFonts w:hint="eastAsia" w:ascii="华文中宋" w:hAnsi="华文中宋" w:eastAsia="华文中宋" w:cs="华文中宋"/>
          <w:szCs w:val="21"/>
        </w:rPr>
        <w:t>市政务服务中心四楼</w:t>
      </w:r>
    </w:p>
    <w:p w14:paraId="0336C93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联</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系</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人</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刘女士</w:t>
      </w:r>
    </w:p>
    <w:p w14:paraId="52D76E6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rPr>
      </w:pPr>
      <w:r>
        <w:rPr>
          <w:rFonts w:hint="eastAsia" w:ascii="华文中宋" w:hAnsi="华文中宋" w:eastAsia="华文中宋" w:cs="华文中宋"/>
          <w:szCs w:val="21"/>
        </w:rPr>
        <w:t>联系电话：</w:t>
      </w:r>
      <w:r>
        <w:rPr>
          <w:rFonts w:hint="eastAsia" w:ascii="华文中宋" w:hAnsi="华文中宋" w:eastAsia="华文中宋" w:cs="华文中宋"/>
          <w:szCs w:val="21"/>
          <w:lang w:val="en-US" w:eastAsia="zh-CN"/>
        </w:rPr>
        <w:t>0356-</w:t>
      </w:r>
      <w:bookmarkEnd w:id="5"/>
      <w:bookmarkEnd w:id="8"/>
      <w:r>
        <w:rPr>
          <w:rFonts w:hint="eastAsia" w:ascii="华文中宋" w:hAnsi="华文中宋" w:eastAsia="华文中宋" w:cs="华文中宋"/>
          <w:szCs w:val="21"/>
          <w:lang w:val="en-US" w:eastAsia="zh-CN"/>
        </w:rPr>
        <w:t>5686812</w:t>
      </w:r>
      <w:bookmarkStart w:id="107" w:name="_GoBack"/>
      <w:bookmarkEnd w:id="107"/>
    </w:p>
    <w:p w14:paraId="173AB7E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注：本招标文件所表述的时间均为北京时间。</w:t>
      </w:r>
    </w:p>
    <w:bookmarkEnd w:id="9"/>
    <w:bookmarkEnd w:id="10"/>
    <w:bookmarkEnd w:id="11"/>
    <w:p w14:paraId="0A807D32">
      <w:pPr>
        <w:pStyle w:val="72"/>
        <w:snapToGrid w:val="0"/>
        <w:spacing w:before="0" w:after="0"/>
        <w:ind w:left="0" w:firstLine="0"/>
        <w:rPr>
          <w:rFonts w:hint="eastAsia" w:ascii="华文中宋" w:hAnsi="华文中宋" w:eastAsia="华文中宋"/>
          <w:spacing w:val="20"/>
          <w:szCs w:val="28"/>
        </w:rPr>
        <w:sectPr>
          <w:headerReference r:id="rId5" w:type="default"/>
          <w:footerReference r:id="rId6" w:type="default"/>
          <w:pgSz w:w="11906" w:h="16838"/>
          <w:pgMar w:top="1134" w:right="1361" w:bottom="1021" w:left="1531" w:header="851" w:footer="992" w:gutter="0"/>
          <w:pgNumType w:fmt="decimal"/>
          <w:cols w:space="720" w:num="1"/>
          <w:docGrid w:type="lines" w:linePitch="312" w:charSpace="0"/>
        </w:sectPr>
      </w:pPr>
    </w:p>
    <w:p w14:paraId="44603959">
      <w:pPr>
        <w:pStyle w:val="72"/>
        <w:snapToGrid w:val="0"/>
        <w:spacing w:before="0" w:after="0"/>
        <w:ind w:left="0" w:firstLine="0"/>
        <w:rPr>
          <w:rFonts w:ascii="华文中宋" w:hAnsi="华文中宋" w:eastAsia="华文中宋"/>
          <w:spacing w:val="20"/>
          <w:szCs w:val="28"/>
        </w:rPr>
      </w:pPr>
      <w:r>
        <w:rPr>
          <w:rFonts w:hint="eastAsia" w:ascii="华文中宋" w:hAnsi="华文中宋" w:eastAsia="华文中宋"/>
          <w:spacing w:val="20"/>
          <w:szCs w:val="28"/>
        </w:rPr>
        <w:t>第二部分  投标人须知前附表</w:t>
      </w:r>
    </w:p>
    <w:p w14:paraId="5179F190">
      <w:pPr>
        <w:pStyle w:val="14"/>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9"/>
        <w:gridCol w:w="6610"/>
      </w:tblGrid>
      <w:tr w14:paraId="23A8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noWrap w:val="0"/>
            <w:vAlign w:val="center"/>
          </w:tcPr>
          <w:p w14:paraId="5B44F86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序号</w:t>
            </w:r>
          </w:p>
        </w:tc>
        <w:tc>
          <w:tcPr>
            <w:tcW w:w="1849" w:type="dxa"/>
            <w:noWrap w:val="0"/>
            <w:vAlign w:val="center"/>
          </w:tcPr>
          <w:p w14:paraId="1CC34F0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内</w:t>
            </w:r>
            <w:r>
              <w:rPr>
                <w:rFonts w:hint="eastAsia" w:ascii="华文中宋" w:hAnsi="华文中宋" w:eastAsia="华文中宋"/>
                <w:b/>
                <w:szCs w:val="21"/>
              </w:rPr>
              <w:t xml:space="preserve">  </w:t>
            </w:r>
            <w:r>
              <w:rPr>
                <w:rFonts w:hint="eastAsia" w:ascii="华文中宋" w:hAnsi="华文中宋" w:eastAsia="华文中宋" w:cs="宋体"/>
                <w:b/>
                <w:szCs w:val="21"/>
              </w:rPr>
              <w:t>容</w:t>
            </w:r>
          </w:p>
        </w:tc>
        <w:tc>
          <w:tcPr>
            <w:tcW w:w="6610" w:type="dxa"/>
            <w:noWrap w:val="0"/>
            <w:vAlign w:val="center"/>
          </w:tcPr>
          <w:p w14:paraId="182CD0AB">
            <w:pPr>
              <w:pStyle w:val="17"/>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rPr>
            </w:pPr>
            <w:r>
              <w:rPr>
                <w:rFonts w:hint="eastAsia" w:ascii="华文中宋" w:hAnsi="华文中宋" w:eastAsia="华文中宋" w:cs="宋体"/>
                <w:b/>
                <w:kern w:val="0"/>
              </w:rPr>
              <w:t>说明与要求</w:t>
            </w:r>
          </w:p>
        </w:tc>
      </w:tr>
      <w:tr w14:paraId="7477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noWrap w:val="0"/>
            <w:vAlign w:val="center"/>
          </w:tcPr>
          <w:p w14:paraId="5AB1B466">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1</w:t>
            </w:r>
          </w:p>
        </w:tc>
        <w:tc>
          <w:tcPr>
            <w:tcW w:w="1849" w:type="dxa"/>
            <w:noWrap w:val="0"/>
            <w:vAlign w:val="center"/>
          </w:tcPr>
          <w:p w14:paraId="2EAA41E6">
            <w:pPr>
              <w:pStyle w:val="63"/>
              <w:suppressLineNumbers w:val="0"/>
              <w:tabs>
                <w:tab w:val="clear" w:pos="2880"/>
              </w:tabs>
              <w:snapToGrid w:val="0"/>
              <w:spacing w:beforeAutospacing="0" w:afterAutospacing="0" w:line="390" w:lineRule="exact"/>
              <w:ind w:left="0" w:right="0" w:firstLine="105" w:firstLineChars="50"/>
              <w:jc w:val="center"/>
              <w:rPr>
                <w:rFonts w:hint="eastAsia" w:ascii="华文中宋" w:hAnsi="华文中宋" w:eastAsia="华文中宋"/>
                <w:sz w:val="21"/>
                <w:szCs w:val="21"/>
              </w:rPr>
            </w:pPr>
            <w:r>
              <w:rPr>
                <w:rFonts w:hint="eastAsia" w:ascii="华文中宋" w:hAnsi="华文中宋" w:eastAsia="华文中宋"/>
                <w:sz w:val="21"/>
                <w:szCs w:val="21"/>
              </w:rPr>
              <w:t>投标人应</w:t>
            </w:r>
          </w:p>
          <w:p w14:paraId="1C997DA7">
            <w:pPr>
              <w:pStyle w:val="63"/>
              <w:suppressLineNumbers w:val="0"/>
              <w:tabs>
                <w:tab w:val="clear" w:pos="2880"/>
              </w:tabs>
              <w:snapToGrid w:val="0"/>
              <w:spacing w:beforeAutospacing="0" w:afterAutospacing="0" w:line="390" w:lineRule="exact"/>
              <w:ind w:left="0" w:righ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610" w:type="dxa"/>
            <w:noWrap w:val="0"/>
            <w:vAlign w:val="center"/>
          </w:tcPr>
          <w:p w14:paraId="2E510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206532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2．本</w:t>
            </w:r>
            <w:r>
              <w:rPr>
                <w:rFonts w:hint="eastAsia" w:ascii="华文中宋" w:hAnsi="华文中宋" w:eastAsia="华文中宋" w:cs="华文中宋"/>
                <w:szCs w:val="21"/>
                <w:lang w:val="en-US" w:eastAsia="zh-CN"/>
              </w:rPr>
              <w:t>项目</w:t>
            </w:r>
            <w:r>
              <w:rPr>
                <w:rFonts w:hint="eastAsia" w:ascii="华文中宋" w:hAnsi="华文中宋" w:eastAsia="华文中宋" w:cs="华文中宋"/>
                <w:szCs w:val="21"/>
              </w:rPr>
              <w:t>是否接受联合体：</w:t>
            </w:r>
            <w:r>
              <w:rPr>
                <w:rFonts w:hint="eastAsia" w:ascii="华文中宋" w:hAnsi="华文中宋" w:eastAsia="华文中宋" w:cs="华文中宋"/>
                <w:szCs w:val="21"/>
                <w:lang w:eastAsia="zh-CN"/>
              </w:rPr>
              <w:t>是</w:t>
            </w:r>
            <w:r>
              <w:rPr>
                <w:rFonts w:hint="eastAsia" w:ascii="华文中宋" w:hAnsi="华文中宋" w:eastAsia="华文中宋" w:cs="华文中宋"/>
                <w:lang w:eastAsia="zh-CN"/>
              </w:rPr>
              <w:t>（</w:t>
            </w:r>
            <w:r>
              <w:rPr>
                <w:rFonts w:hint="eastAsia" w:ascii="华文中宋" w:hAnsi="华文中宋" w:eastAsia="华文中宋" w:cs="华文中宋"/>
              </w:rPr>
              <w:t>允许集成商和电信运营商以联合体</w:t>
            </w:r>
            <w:r>
              <w:rPr>
                <w:rFonts w:hint="eastAsia" w:ascii="华文中宋" w:hAnsi="华文中宋" w:eastAsia="华文中宋" w:cs="华文中宋"/>
                <w:lang w:eastAsia="zh-CN"/>
              </w:rPr>
              <w:t>投标）</w:t>
            </w:r>
          </w:p>
          <w:p w14:paraId="4122C1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3．本项目所需的其他特定资格条件：无</w:t>
            </w:r>
          </w:p>
          <w:p w14:paraId="293AF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4．是否专门面向中小企业采购（定向采购）：</w:t>
            </w:r>
            <w:r>
              <w:rPr>
                <w:rFonts w:hint="eastAsia" w:ascii="华文中宋" w:hAnsi="华文中宋" w:eastAsia="华文中宋" w:cs="华文中宋"/>
                <w:szCs w:val="21"/>
                <w:lang w:eastAsia="zh-CN"/>
              </w:rPr>
              <w:t>否</w:t>
            </w:r>
          </w:p>
          <w:p w14:paraId="697A8E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default" w:eastAsia="华文中宋"/>
                <w:lang w:val="en-US" w:eastAsia="zh-CN"/>
              </w:rPr>
            </w:pPr>
            <w:r>
              <w:rPr>
                <w:rFonts w:hint="eastAsia" w:ascii="华文中宋" w:hAnsi="华文中宋" w:eastAsia="华文中宋" w:cs="华文中宋"/>
                <w:szCs w:val="21"/>
              </w:rPr>
              <w:t>5．本</w:t>
            </w:r>
            <w:r>
              <w:rPr>
                <w:rFonts w:hint="eastAsia" w:ascii="华文中宋" w:hAnsi="华文中宋" w:eastAsia="华文中宋" w:cs="华文中宋"/>
                <w:szCs w:val="21"/>
                <w:lang w:val="en-US" w:eastAsia="zh-CN"/>
              </w:rPr>
              <w:t>项目</w:t>
            </w:r>
            <w:r>
              <w:rPr>
                <w:rFonts w:hint="eastAsia" w:ascii="华文中宋" w:hAnsi="华文中宋" w:eastAsia="华文中宋" w:cs="华文中宋"/>
                <w:szCs w:val="21"/>
              </w:rPr>
              <w:t>是否接受代理商投标：</w:t>
            </w:r>
            <w:r>
              <w:rPr>
                <w:rFonts w:hint="eastAsia" w:ascii="华文中宋" w:hAnsi="华文中宋" w:eastAsia="华文中宋" w:cs="华文中宋"/>
                <w:szCs w:val="21"/>
                <w:lang w:val="en-US" w:eastAsia="zh-CN"/>
              </w:rPr>
              <w:t>是</w:t>
            </w:r>
          </w:p>
        </w:tc>
      </w:tr>
      <w:tr w14:paraId="6AB2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6BEA11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2</w:t>
            </w:r>
          </w:p>
        </w:tc>
        <w:tc>
          <w:tcPr>
            <w:tcW w:w="1849" w:type="dxa"/>
            <w:noWrap w:val="0"/>
            <w:vAlign w:val="center"/>
          </w:tcPr>
          <w:p w14:paraId="7FD2B14E">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华文中宋"/>
                <w:b/>
                <w:szCs w:val="21"/>
              </w:rPr>
              <w:t>投标文件</w:t>
            </w:r>
          </w:p>
        </w:tc>
        <w:tc>
          <w:tcPr>
            <w:tcW w:w="6610" w:type="dxa"/>
            <w:noWrap w:val="0"/>
            <w:vAlign w:val="center"/>
          </w:tcPr>
          <w:p w14:paraId="1A375414">
            <w:pPr>
              <w:pStyle w:val="6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ascii="华文中宋" w:hAnsi="华文中宋" w:eastAsia="华文中宋"/>
              </w:rPr>
            </w:pPr>
            <w:r>
              <w:rPr>
                <w:rFonts w:hint="eastAsia" w:ascii="华文中宋" w:hAnsi="华文中宋" w:eastAsia="华文中宋"/>
                <w:b/>
                <w:bCs/>
              </w:rPr>
              <w:t>电子投标文件（网上递交）：</w:t>
            </w:r>
            <w:r>
              <w:rPr>
                <w:rFonts w:hint="eastAsia" w:ascii="华文中宋" w:hAnsi="华文中宋" w:eastAsia="华文中宋"/>
              </w:rPr>
              <w:t>投标人上传一份经投标人CA数字证书加密的投标文件至“山西政府采购平台”。因供应商自身原因而导致投标文件无法导入“山西政府采购平台”电子开标、评标系统，该投标视为无效投标，供应商自行承担由此导致的全部责任。</w:t>
            </w:r>
          </w:p>
          <w:p w14:paraId="15522533">
            <w:pPr>
              <w:pStyle w:val="6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ascii="华文中宋" w:hAnsi="华文中宋" w:eastAsia="华文中宋"/>
                <w:b/>
              </w:rPr>
            </w:pPr>
            <w:r>
              <w:rPr>
                <w:rFonts w:hint="eastAsia" w:ascii="华文中宋" w:hAnsi="华文中宋" w:eastAsia="华文中宋"/>
                <w:b/>
              </w:rPr>
              <w:t>本项目实行远程不见面开评标，不需要递交纸质响应文件。</w:t>
            </w:r>
          </w:p>
        </w:tc>
      </w:tr>
      <w:tr w14:paraId="272F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14EE12E">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3</w:t>
            </w:r>
          </w:p>
        </w:tc>
        <w:tc>
          <w:tcPr>
            <w:tcW w:w="1849" w:type="dxa"/>
            <w:noWrap w:val="0"/>
            <w:vAlign w:val="center"/>
          </w:tcPr>
          <w:p w14:paraId="77582C62">
            <w:pPr>
              <w:keepNext w:val="0"/>
              <w:keepLines w:val="0"/>
              <w:suppressLineNumbers w:val="0"/>
              <w:snapToGrid w:val="0"/>
              <w:spacing w:before="0" w:beforeAutospacing="0" w:after="0" w:afterAutospacing="0" w:line="360" w:lineRule="auto"/>
              <w:ind w:left="0" w:right="0" w:firstLine="105" w:firstLineChars="50"/>
              <w:jc w:val="center"/>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14:paraId="14318224">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华文中宋"/>
                <w:b/>
                <w:szCs w:val="21"/>
              </w:rPr>
              <w:t>（资格证明文件）</w:t>
            </w:r>
          </w:p>
        </w:tc>
        <w:tc>
          <w:tcPr>
            <w:tcW w:w="6610" w:type="dxa"/>
            <w:noWrap w:val="0"/>
            <w:vAlign w:val="center"/>
          </w:tcPr>
          <w:p w14:paraId="2AA6F1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1．投标人代表的证明（格式见第八部分）</w:t>
            </w:r>
          </w:p>
          <w:p w14:paraId="6CFAB7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法定代表人（负责人）参加投标的，提供“法定代表人（负责人）证明书”</w:t>
            </w:r>
            <w:r>
              <w:rPr>
                <w:rFonts w:hint="eastAsia" w:ascii="华文中宋" w:hAnsi="华文中宋" w:eastAsia="华文中宋" w:cs="华文中宋"/>
                <w:szCs w:val="21"/>
                <w:lang w:eastAsia="zh-CN"/>
              </w:rPr>
              <w:t>。</w:t>
            </w:r>
          </w:p>
          <w:p w14:paraId="4A6AE7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委托代理人参加投标的，提供“法定代表人（负责人）证明书</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法定代表人（负责人）授权委托书”</w:t>
            </w:r>
            <w:r>
              <w:rPr>
                <w:rFonts w:hint="eastAsia" w:ascii="华文中宋" w:hAnsi="华文中宋" w:eastAsia="华文中宋" w:cs="华文中宋"/>
                <w:szCs w:val="21"/>
                <w:lang w:eastAsia="zh-CN"/>
              </w:rPr>
              <w:t>。</w:t>
            </w:r>
          </w:p>
          <w:p w14:paraId="2AB16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华文中宋" w:hAnsi="华文中宋" w:eastAsia="华文中宋" w:cs="华文中宋"/>
                <w:szCs w:val="21"/>
              </w:rPr>
            </w:pPr>
            <w:r>
              <w:rPr>
                <w:rFonts w:hint="eastAsia" w:ascii="华文中宋" w:hAnsi="华文中宋" w:eastAsia="华文中宋" w:cs="华文中宋"/>
                <w:szCs w:val="21"/>
              </w:rPr>
              <w:t>自然人参加投标的，提供个人身份证明</w:t>
            </w:r>
            <w:r>
              <w:rPr>
                <w:rFonts w:hint="eastAsia" w:ascii="华文中宋" w:hAnsi="华文中宋" w:eastAsia="华文中宋" w:cs="华文中宋"/>
                <w:szCs w:val="21"/>
                <w:lang w:eastAsia="zh-CN"/>
              </w:rPr>
              <w:t>影印件。</w:t>
            </w:r>
          </w:p>
          <w:p w14:paraId="43130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2．投标函（格式见第八部分）</w:t>
            </w:r>
          </w:p>
          <w:p w14:paraId="086A23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．以下内容提供《政府集中采购供应商信用承诺书》（格式见第八部分）</w:t>
            </w:r>
          </w:p>
          <w:p w14:paraId="626368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具有独立承担民事责任的能力</w:t>
            </w:r>
          </w:p>
          <w:p w14:paraId="0DCF51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具有良好的商业信誉和健全的财务会计制度</w:t>
            </w:r>
          </w:p>
          <w:p w14:paraId="12177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具有依法缴纳税收和社会保障资金的良好记录</w:t>
            </w:r>
          </w:p>
          <w:p w14:paraId="2F9522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具有履行合同所必需的设备和专业技术能力</w:t>
            </w:r>
          </w:p>
          <w:p w14:paraId="3ADE23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参加政府采购活动前三年内，在经营活动中没有重大违法记录</w:t>
            </w:r>
          </w:p>
          <w:p w14:paraId="02BD9E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4</w:t>
            </w:r>
            <w:r>
              <w:rPr>
                <w:rFonts w:hint="eastAsia" w:ascii="华文中宋" w:hAnsi="华文中宋" w:eastAsia="华文中宋" w:cs="华文中宋"/>
                <w:b/>
                <w:szCs w:val="21"/>
              </w:rPr>
              <w:t>．本项目所需的其他特定资格条件</w:t>
            </w:r>
          </w:p>
          <w:p w14:paraId="62D8E4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zCs w:val="21"/>
              </w:rPr>
            </w:pPr>
            <w:r>
              <w:rPr>
                <w:rFonts w:hint="eastAsia" w:ascii="华文中宋" w:hAnsi="华文中宋" w:eastAsia="华文中宋" w:cs="华文中宋"/>
                <w:szCs w:val="21"/>
              </w:rPr>
              <w:t>按照本部分序号1“</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p>
          <w:p w14:paraId="53CB95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5</w:t>
            </w:r>
            <w:r>
              <w:rPr>
                <w:rFonts w:hint="eastAsia" w:ascii="华文中宋" w:hAnsi="华文中宋" w:eastAsia="华文中宋" w:cs="华文中宋"/>
                <w:b/>
                <w:szCs w:val="21"/>
              </w:rPr>
              <w:t>．基本存款账户信息</w:t>
            </w:r>
          </w:p>
          <w:p w14:paraId="6CA61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提供投标人基本存款账户信息。</w:t>
            </w:r>
          </w:p>
          <w:p w14:paraId="4083232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6</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联合体投标协议(若有的话)</w:t>
            </w:r>
            <w:r>
              <w:rPr>
                <w:rFonts w:hint="eastAsia" w:ascii="华文中宋" w:hAnsi="华文中宋" w:eastAsia="华文中宋" w:cs="华文中宋"/>
                <w:b/>
                <w:szCs w:val="21"/>
              </w:rPr>
              <w:t>（格式见第八部分）</w:t>
            </w:r>
          </w:p>
          <w:p w14:paraId="7CE77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提供联合体投标协议。</w:t>
            </w:r>
          </w:p>
          <w:p w14:paraId="72FAF96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7．中小企业声明函（若有的话）</w:t>
            </w:r>
          </w:p>
          <w:p w14:paraId="6C1FF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说明：</w:t>
            </w:r>
          </w:p>
          <w:p w14:paraId="229BB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1．第</w:t>
            </w: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项提供《政府集中采购供应商信用承诺书》一份。</w:t>
            </w:r>
          </w:p>
          <w:p w14:paraId="57673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b/>
                <w:szCs w:val="21"/>
              </w:rPr>
            </w:pPr>
            <w:r>
              <w:rPr>
                <w:rFonts w:hint="eastAsia" w:ascii="华文中宋" w:hAnsi="华文中宋" w:eastAsia="华文中宋" w:cs="华文中宋"/>
                <w:b/>
                <w:szCs w:val="21"/>
              </w:rPr>
              <w:t>2．本项目将根据投标人提供的上述文件进行资格审查，具体资格审查内容及标准见第五部分。</w:t>
            </w:r>
          </w:p>
        </w:tc>
      </w:tr>
      <w:tr w14:paraId="0BB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83D8DC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4</w:t>
            </w:r>
          </w:p>
        </w:tc>
        <w:tc>
          <w:tcPr>
            <w:tcW w:w="1849" w:type="dxa"/>
            <w:noWrap w:val="0"/>
            <w:vAlign w:val="center"/>
          </w:tcPr>
          <w:p w14:paraId="1DDC0E4C">
            <w:pPr>
              <w:keepNext w:val="0"/>
              <w:keepLines w:val="0"/>
              <w:suppressLineNumbers w:val="0"/>
              <w:snapToGrid w:val="0"/>
              <w:spacing w:before="0" w:beforeAutospacing="0" w:after="0" w:afterAutospacing="0" w:line="360" w:lineRule="auto"/>
              <w:ind w:left="0" w:right="0" w:firstLine="105" w:firstLineChars="50"/>
              <w:jc w:val="center"/>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14:paraId="00537F0E">
            <w:pPr>
              <w:keepNext w:val="0"/>
              <w:keepLines w:val="0"/>
              <w:suppressLineNumbers w:val="0"/>
              <w:snapToGrid w:val="0"/>
              <w:spacing w:before="0" w:beforeAutospacing="0" w:after="0" w:afterAutospacing="0" w:line="390" w:lineRule="exact"/>
              <w:ind w:left="0" w:right="0"/>
              <w:rPr>
                <w:rFonts w:ascii="华文中宋" w:hAnsi="华文中宋" w:eastAsia="华文中宋"/>
                <w:b/>
                <w:szCs w:val="21"/>
              </w:rPr>
            </w:pPr>
            <w:r>
              <w:rPr>
                <w:rFonts w:hint="eastAsia" w:ascii="华文中宋" w:hAnsi="华文中宋" w:eastAsia="华文中宋" w:cs="华文中宋"/>
                <w:b/>
                <w:szCs w:val="21"/>
              </w:rPr>
              <w:t>（商务技术文件）</w:t>
            </w:r>
          </w:p>
        </w:tc>
        <w:tc>
          <w:tcPr>
            <w:tcW w:w="6610" w:type="dxa"/>
            <w:noWrap w:val="0"/>
            <w:vAlign w:val="center"/>
          </w:tcPr>
          <w:p w14:paraId="33C7A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b/>
                <w:szCs w:val="21"/>
              </w:rPr>
              <w:t>1</w:t>
            </w:r>
            <w:r>
              <w:rPr>
                <w:rFonts w:hint="eastAsia" w:ascii="华文中宋" w:hAnsi="华文中宋" w:eastAsia="华文中宋" w:cs="宋体"/>
                <w:b/>
                <w:szCs w:val="21"/>
              </w:rPr>
              <w:t>、开标报价一览表；</w:t>
            </w:r>
          </w:p>
          <w:p w14:paraId="65463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b/>
                <w:szCs w:val="21"/>
              </w:rPr>
              <w:t>2</w:t>
            </w:r>
            <w:r>
              <w:rPr>
                <w:rFonts w:hint="eastAsia" w:ascii="华文中宋" w:hAnsi="华文中宋" w:eastAsia="华文中宋" w:cs="宋体"/>
                <w:b/>
                <w:szCs w:val="21"/>
              </w:rPr>
              <w:t>、对商务要求的响应内容；</w:t>
            </w:r>
          </w:p>
          <w:p w14:paraId="2AD03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b/>
                <w:szCs w:val="21"/>
              </w:rPr>
              <w:t>3</w:t>
            </w:r>
            <w:r>
              <w:rPr>
                <w:rFonts w:hint="eastAsia" w:ascii="华文中宋" w:hAnsi="华文中宋" w:eastAsia="华文中宋" w:cs="宋体"/>
                <w:b/>
                <w:szCs w:val="21"/>
              </w:rPr>
              <w:t>、对实质性要求的响应内容；</w:t>
            </w:r>
          </w:p>
          <w:p w14:paraId="5F6B4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b/>
                <w:szCs w:val="21"/>
              </w:rPr>
              <w:t>4</w:t>
            </w:r>
            <w:r>
              <w:rPr>
                <w:rFonts w:hint="eastAsia" w:ascii="华文中宋" w:hAnsi="华文中宋" w:eastAsia="华文中宋" w:cs="宋体"/>
                <w:b/>
                <w:szCs w:val="21"/>
              </w:rPr>
              <w:t>、对非实质性要求的响应内容；</w:t>
            </w:r>
          </w:p>
          <w:p w14:paraId="1F519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b/>
                <w:szCs w:val="21"/>
              </w:rPr>
              <w:t>5</w:t>
            </w:r>
            <w:r>
              <w:rPr>
                <w:rFonts w:hint="eastAsia" w:ascii="华文中宋" w:hAnsi="华文中宋" w:eastAsia="华文中宋" w:cs="宋体"/>
                <w:b/>
                <w:szCs w:val="21"/>
              </w:rPr>
              <w:t>、对服务要求的响应内容；</w:t>
            </w:r>
          </w:p>
          <w:p w14:paraId="0EF26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hint="eastAsia" w:ascii="华文中宋" w:hAnsi="华文中宋" w:eastAsia="华文中宋" w:cs="宋体"/>
                <w:b/>
                <w:szCs w:val="21"/>
              </w:rPr>
            </w:pPr>
            <w:r>
              <w:rPr>
                <w:rFonts w:hint="eastAsia" w:ascii="华文中宋" w:hAnsi="华文中宋" w:eastAsia="华文中宋"/>
                <w:b/>
                <w:szCs w:val="21"/>
              </w:rPr>
              <w:t>6</w:t>
            </w:r>
            <w:r>
              <w:rPr>
                <w:rFonts w:hint="eastAsia" w:ascii="华文中宋" w:hAnsi="华文中宋" w:eastAsia="华文中宋" w:cs="宋体"/>
                <w:b/>
                <w:szCs w:val="21"/>
              </w:rPr>
              <w:t>、对技术要求的响应内容；</w:t>
            </w:r>
          </w:p>
          <w:p w14:paraId="6153D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b/>
                <w:szCs w:val="21"/>
              </w:rPr>
            </w:pPr>
            <w:r>
              <w:rPr>
                <w:rFonts w:hint="eastAsia" w:ascii="华文中宋" w:hAnsi="华文中宋" w:eastAsia="华文中宋" w:cs="宋体"/>
                <w:b/>
                <w:szCs w:val="21"/>
                <w:lang w:val="en-US" w:eastAsia="zh-CN"/>
              </w:rPr>
              <w:t>7</w:t>
            </w:r>
            <w:r>
              <w:rPr>
                <w:rFonts w:hint="eastAsia" w:ascii="华文中宋" w:hAnsi="华文中宋" w:eastAsia="华文中宋" w:cs="宋体"/>
                <w:b/>
                <w:szCs w:val="21"/>
              </w:rPr>
              <w:t>、招标文件要求或投标人认为需要提供的其他商务技术材料</w:t>
            </w:r>
            <w:r>
              <w:rPr>
                <w:rFonts w:hint="eastAsia" w:ascii="华文中宋" w:hAnsi="华文中宋" w:eastAsia="华文中宋"/>
                <w:b/>
                <w:szCs w:val="21"/>
              </w:rPr>
              <w:t>/</w:t>
            </w:r>
            <w:r>
              <w:rPr>
                <w:rFonts w:hint="eastAsia" w:ascii="华文中宋" w:hAnsi="华文中宋" w:eastAsia="华文中宋" w:cs="宋体"/>
                <w:b/>
                <w:szCs w:val="21"/>
              </w:rPr>
              <w:t>文件；</w:t>
            </w:r>
          </w:p>
          <w:p w14:paraId="225AC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hint="eastAsia" w:ascii="华文中宋" w:hAnsi="华文中宋" w:eastAsia="华文中宋" w:cs="宋体"/>
                <w:b/>
                <w:szCs w:val="21"/>
                <w:lang w:val="en-US" w:eastAsia="zh-CN"/>
              </w:rPr>
            </w:pPr>
            <w:r>
              <w:rPr>
                <w:rFonts w:hint="eastAsia" w:ascii="华文中宋" w:hAnsi="华文中宋" w:eastAsia="华文中宋"/>
                <w:b/>
                <w:szCs w:val="21"/>
                <w:lang w:val="en-US" w:eastAsia="zh-CN"/>
              </w:rPr>
              <w:t>8</w:t>
            </w:r>
            <w:r>
              <w:rPr>
                <w:rFonts w:hint="eastAsia" w:ascii="华文中宋" w:hAnsi="华文中宋" w:eastAsia="华文中宋" w:cs="宋体"/>
                <w:b/>
                <w:szCs w:val="21"/>
              </w:rPr>
              <w:t>、投标人业绩情况</w:t>
            </w:r>
            <w:r>
              <w:rPr>
                <w:rFonts w:hint="eastAsia" w:ascii="华文中宋" w:hAnsi="华文中宋" w:eastAsia="华文中宋" w:cs="宋体"/>
                <w:b/>
                <w:szCs w:val="21"/>
                <w:lang w:eastAsia="zh-CN"/>
              </w:rPr>
              <w:t>。</w:t>
            </w:r>
          </w:p>
          <w:p w14:paraId="7CFEE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szCs w:val="21"/>
              </w:rPr>
            </w:pPr>
            <w:r>
              <w:rPr>
                <w:rFonts w:hint="eastAsia" w:ascii="华文中宋" w:hAnsi="华文中宋" w:eastAsia="华文中宋"/>
                <w:szCs w:val="21"/>
              </w:rPr>
              <w:t>说明：以上内容涉及的格式资料详见第八部分；</w:t>
            </w:r>
          </w:p>
          <w:p w14:paraId="31338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ascii="华文中宋" w:hAnsi="华文中宋" w:eastAsia="华文中宋"/>
                <w:szCs w:val="21"/>
              </w:rPr>
            </w:pPr>
            <w:r>
              <w:rPr>
                <w:rFonts w:hint="eastAsia" w:ascii="华文中宋" w:hAnsi="华文中宋" w:eastAsia="华文中宋"/>
                <w:szCs w:val="21"/>
              </w:rPr>
              <w:t>以上涉及相关要求的内容见本文件第四部分相对应内容。</w:t>
            </w:r>
          </w:p>
        </w:tc>
      </w:tr>
      <w:tr w14:paraId="612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DA83749">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5</w:t>
            </w:r>
          </w:p>
        </w:tc>
        <w:tc>
          <w:tcPr>
            <w:tcW w:w="1849" w:type="dxa"/>
            <w:noWrap w:val="0"/>
            <w:vAlign w:val="center"/>
          </w:tcPr>
          <w:p w14:paraId="42A486E2">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投标保证金</w:t>
            </w:r>
          </w:p>
        </w:tc>
        <w:tc>
          <w:tcPr>
            <w:tcW w:w="6610" w:type="dxa"/>
            <w:noWrap w:val="0"/>
            <w:vAlign w:val="center"/>
          </w:tcPr>
          <w:p w14:paraId="76CD6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pacing w:val="10"/>
                <w:kern w:val="0"/>
              </w:rPr>
            </w:pPr>
            <w:r>
              <w:rPr>
                <w:rFonts w:hint="eastAsia" w:ascii="华文中宋" w:hAnsi="华文中宋" w:eastAsia="华文中宋" w:cs="华文中宋"/>
                <w:szCs w:val="21"/>
              </w:rPr>
              <w:t>本项目不需要提交投标保证金</w:t>
            </w:r>
          </w:p>
        </w:tc>
      </w:tr>
      <w:tr w14:paraId="1F6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559C83C">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6</w:t>
            </w:r>
          </w:p>
        </w:tc>
        <w:tc>
          <w:tcPr>
            <w:tcW w:w="1849" w:type="dxa"/>
            <w:noWrap w:val="0"/>
            <w:vAlign w:val="center"/>
          </w:tcPr>
          <w:p w14:paraId="62F702D1">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cs="宋体"/>
                <w:b/>
                <w:bCs/>
                <w:szCs w:val="21"/>
              </w:rPr>
            </w:pPr>
            <w:r>
              <w:rPr>
                <w:rFonts w:hint="eastAsia" w:ascii="华文中宋" w:hAnsi="华文中宋" w:eastAsia="华文中宋" w:cs="宋体"/>
                <w:b/>
                <w:szCs w:val="21"/>
              </w:rPr>
              <w:t>投标有效期</w:t>
            </w:r>
          </w:p>
        </w:tc>
        <w:tc>
          <w:tcPr>
            <w:tcW w:w="6610" w:type="dxa"/>
            <w:noWrap w:val="0"/>
            <w:vAlign w:val="center"/>
          </w:tcPr>
          <w:p w14:paraId="49A26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ascii="华文中宋" w:hAnsi="华文中宋" w:eastAsia="华文中宋"/>
                <w:szCs w:val="21"/>
              </w:rPr>
            </w:pPr>
            <w:r>
              <w:rPr>
                <w:rFonts w:hint="eastAsia" w:ascii="华文中宋" w:hAnsi="华文中宋" w:eastAsia="华文中宋"/>
                <w:szCs w:val="21"/>
              </w:rPr>
              <w:t>90个日历天（自递交投标文件之日起计算）</w:t>
            </w:r>
          </w:p>
        </w:tc>
      </w:tr>
      <w:tr w14:paraId="6BD1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D8EDDC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7</w:t>
            </w:r>
          </w:p>
        </w:tc>
        <w:tc>
          <w:tcPr>
            <w:tcW w:w="1849" w:type="dxa"/>
            <w:noWrap w:val="0"/>
            <w:vAlign w:val="center"/>
          </w:tcPr>
          <w:p w14:paraId="2FB553D5">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政府采购</w:t>
            </w:r>
          </w:p>
          <w:p w14:paraId="258BD9E6">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相关政策要求</w:t>
            </w:r>
          </w:p>
          <w:p w14:paraId="174E7588">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（如涉及的话）</w:t>
            </w:r>
          </w:p>
        </w:tc>
        <w:tc>
          <w:tcPr>
            <w:tcW w:w="6610" w:type="dxa"/>
            <w:noWrap w:val="0"/>
            <w:vAlign w:val="center"/>
          </w:tcPr>
          <w:p w14:paraId="1B319F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1．涉及进口产品的要求：</w:t>
            </w:r>
          </w:p>
          <w:p w14:paraId="004CFF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（1）本项目采购标的物未特别注明“进口产品”（通过中国海关报关验放进入中国境内且产自境外的产品）字样的，均必须采购国产产品。</w:t>
            </w:r>
          </w:p>
          <w:p w14:paraId="0585B5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AC2EA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2．涉及“节能产品政府采购品目清单”政府强制采购产品的要求：</w:t>
            </w:r>
          </w:p>
          <w:p w14:paraId="360C9D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采购标的涉及最新公布的《节能产品政府采购品目清单》标注“★”政府强制采购节能产品的，投标人必须投报“节能产品政府采购品目清单”范围内的产品，须提供处于有效期之内的节能产品认证证书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，并将政府强制采购产品如实填写到《政府强制采购产品明细表》（格式见第八部分）。</w:t>
            </w:r>
          </w:p>
          <w:p w14:paraId="3A05256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3．涉及非政府强制采购产品的要求：</w:t>
            </w:r>
          </w:p>
          <w:p w14:paraId="5CDB2E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（1）投标货物</w:t>
            </w:r>
            <w:r>
              <w:rPr>
                <w:rFonts w:hint="eastAsia" w:ascii="华文中宋" w:hAnsi="华文中宋" w:eastAsia="华文中宋" w:cs="华文中宋"/>
                <w:szCs w:val="21"/>
                <w:lang w:val="en-US" w:eastAsia="zh-CN"/>
              </w:rPr>
              <w:t>涉及</w:t>
            </w:r>
            <w:r>
              <w:rPr>
                <w:rFonts w:hint="eastAsia" w:ascii="华文中宋" w:hAnsi="华文中宋" w:eastAsia="华文中宋" w:cs="华文中宋"/>
                <w:szCs w:val="21"/>
              </w:rPr>
              <w:t>“节能产品政府采购品目清单、环境标志产品政府采购品目清单”中非政府强制采购产品的将给予适当加分。</w:t>
            </w:r>
          </w:p>
          <w:p w14:paraId="1A5BED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（2）投标人提供处于有效期之内的节能产品、环境标志产品认证证书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，并需如实填写《非政府强制采购产品明细表》（格式见第八部分）。</w:t>
            </w:r>
          </w:p>
          <w:p w14:paraId="2BB421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4．涉及正版软件的要求：</w:t>
            </w:r>
          </w:p>
          <w:p w14:paraId="3A68BC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本项目采购标的物涉及计算机产品或硬件产品内预装软件的，投标人须填写《正版软件承诺》（格式见第八部分）</w:t>
            </w:r>
            <w:r>
              <w:rPr>
                <w:rFonts w:hint="eastAsia" w:ascii="华文中宋" w:hAnsi="华文中宋" w:eastAsia="华文中宋" w:cs="华文中宋"/>
              </w:rPr>
              <w:t>。</w:t>
            </w:r>
          </w:p>
          <w:p w14:paraId="79AB98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b/>
                <w:szCs w:val="21"/>
              </w:rPr>
              <w:t>5．</w:t>
            </w:r>
            <w:r>
              <w:rPr>
                <w:rFonts w:hint="eastAsia" w:ascii="华文中宋" w:hAnsi="华文中宋" w:eastAsia="华文中宋" w:cs="华文中宋"/>
                <w:b/>
                <w:bCs w:val="0"/>
                <w:szCs w:val="21"/>
                <w:lang w:val="en-US" w:eastAsia="zh-CN"/>
              </w:rPr>
              <w:t>涉及网络关键设备和网络安全专用产品的要求</w:t>
            </w:r>
            <w:r>
              <w:rPr>
                <w:rFonts w:hint="eastAsia" w:ascii="华文中宋" w:hAnsi="华文中宋" w:eastAsia="华文中宋" w:cs="华文中宋"/>
                <w:b/>
                <w:szCs w:val="21"/>
              </w:rPr>
              <w:t>：</w:t>
            </w:r>
          </w:p>
          <w:p w14:paraId="2D0973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投标货物中如含有《网络关键设备和网络安全专用产品目录》中的产品，须提供具备资格的机构出具的安全认证合格或者安全检测符合要求的相关证明材料影印件。</w:t>
            </w:r>
          </w:p>
          <w:p w14:paraId="221168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具备资格的机构是指列入《承担网络关键设备和网络安全专用产品安全认证和安全检测任务机构名录》的机构。</w:t>
            </w:r>
          </w:p>
          <w:p w14:paraId="114C0D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6．涉及小型、微型企业参加投标的要求：</w:t>
            </w:r>
          </w:p>
          <w:p w14:paraId="67EB3DF2">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lang w:val="en-US" w:eastAsia="zh-CN"/>
              </w:rPr>
              <w:t>中小</w:t>
            </w:r>
            <w:r>
              <w:rPr>
                <w:rFonts w:hint="eastAsia" w:ascii="华文中宋" w:hAnsi="华文中宋" w:eastAsia="华文中宋" w:cs="华文中宋"/>
              </w:rPr>
              <w:t>企业声明函》（格式见第八部分）。</w:t>
            </w:r>
          </w:p>
          <w:p w14:paraId="6982A6C6">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594F5FFA">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（3）小型、微型企业提供的货物既有中小企业制造货物，也有大型企业制造货物的，不享受价格折扣。</w:t>
            </w:r>
          </w:p>
          <w:p w14:paraId="679A9804">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59B6B173">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512CE6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7．涉及残疾人福利性单位参加投标的要求：</w:t>
            </w:r>
          </w:p>
          <w:p w14:paraId="4940566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（1）须根据财库【2017】141号《关于促进残疾人就业政府采购政策的通知》的要求，如实填写《残疾人福利性单位声明函》（格式见第八部分）。</w:t>
            </w:r>
          </w:p>
          <w:p w14:paraId="0F7C89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6DA07B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b/>
                <w:szCs w:val="21"/>
              </w:rPr>
              <w:t>8．涉及创新产品、创新服务的要求：</w:t>
            </w:r>
          </w:p>
          <w:p w14:paraId="2B9D0E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（1）投标人投标产品或服务属于《山西省创新产品和服务推荐清单》中创新产品或创新服务的，在评审时，享受投标产品价格折扣。</w:t>
            </w:r>
          </w:p>
          <w:p w14:paraId="0F0F0879">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（2）投标人投标创新产品或创新服务的，需如实填写《创新产品或创新服务明细表》，并提供《山西省创新产品和服务推荐清单》（格式见第八部分）。</w:t>
            </w:r>
          </w:p>
          <w:p w14:paraId="032CB2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9．涉及监狱企业参加投标的要求：</w:t>
            </w:r>
          </w:p>
          <w:p w14:paraId="107C91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（1）监狱企业参加投标视同小、微企业，需提供由省级以上监狱管理局或戒毒管理局出具的属于监狱企业的证明文件。</w:t>
            </w:r>
          </w:p>
          <w:p w14:paraId="3C4FCD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监狱企业只有提供本企业制造的货物或服务，或者提供其他小、微企业制造的货物，享受投标货物的价格折扣。若有的话，如实填写《小、微企业/残疾人福利性单位提供货物/服务明细表》（格式见第八部分）。</w:t>
            </w:r>
          </w:p>
          <w:p w14:paraId="7F45FC0A">
            <w:pPr>
              <w:pStyle w:val="68"/>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210" w:firstLineChars="100"/>
              <w:rPr>
                <w:rFonts w:hint="eastAsia" w:ascii="华文中宋" w:hAnsi="华文中宋" w:eastAsia="华文中宋" w:cs="华文中宋"/>
              </w:rPr>
            </w:pPr>
            <w:r>
              <w:rPr>
                <w:rFonts w:hint="eastAsia" w:ascii="华文中宋" w:hAnsi="华文中宋" w:eastAsia="华文中宋" w:cs="华文中宋"/>
              </w:rPr>
              <w:t>（3）监狱企业与中型企业组成联合体参加投标的，或者向监狱企业分包，且联合体协议或分包意向协议约定监狱企业的协议金额占到合同金额30%以上的，享受投标标的价格折扣，用扣除后的价格参与评审。</w:t>
            </w:r>
          </w:p>
          <w:p w14:paraId="3413D5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rPr>
                <w:rFonts w:hint="eastAsia" w:ascii="华文中宋" w:hAnsi="华文中宋" w:eastAsia="华文中宋" w:cs="华文中宋"/>
                <w:b/>
                <w:szCs w:val="21"/>
              </w:rPr>
            </w:pPr>
            <w:r>
              <w:rPr>
                <w:rFonts w:hint="eastAsia" w:ascii="华文中宋" w:hAnsi="华文中宋" w:eastAsia="华文中宋" w:cs="华文中宋"/>
                <w:b/>
                <w:szCs w:val="21"/>
              </w:rPr>
              <w:t>10．涉及商品包装和快递包装的要求：</w:t>
            </w:r>
          </w:p>
          <w:p w14:paraId="0EF32A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38" w:leftChars="-18" w:right="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本项目涉及商品包装和快递包装要求的，投标人须填写《商品包装和快递包装承诺函》（格式见第八部分）。</w:t>
            </w:r>
          </w:p>
          <w:p w14:paraId="1A9D3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b/>
                <w:bCs/>
                <w:kern w:val="2"/>
                <w:sz w:val="21"/>
                <w:szCs w:val="21"/>
                <w:lang w:val="en-US" w:eastAsia="zh-CN" w:bidi="ar-SA"/>
              </w:rPr>
              <w:t>11．</w:t>
            </w:r>
            <w:r>
              <w:rPr>
                <w:rFonts w:hint="eastAsia" w:ascii="华文中宋" w:hAnsi="华文中宋" w:eastAsia="华文中宋" w:cs="华文中宋"/>
                <w:szCs w:val="21"/>
                <w:lang w:val="en-US" w:eastAsia="zh-CN"/>
              </w:rPr>
              <w:t>专门面向中小企业采购的项目，不重复执行中小企业发展、促进残疾人就业、支持监狱企业发展的价格优惠政策。</w:t>
            </w:r>
          </w:p>
          <w:p w14:paraId="414B6D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default" w:ascii="华文中宋" w:hAnsi="华文中宋" w:eastAsia="华文中宋" w:cs="华文中宋"/>
                <w:szCs w:val="21"/>
                <w:lang w:val="en-US" w:eastAsia="zh-CN"/>
              </w:rPr>
            </w:pPr>
          </w:p>
        </w:tc>
      </w:tr>
      <w:tr w14:paraId="6960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1F56912">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8</w:t>
            </w:r>
          </w:p>
        </w:tc>
        <w:tc>
          <w:tcPr>
            <w:tcW w:w="1849" w:type="dxa"/>
            <w:noWrap w:val="0"/>
            <w:vAlign w:val="center"/>
          </w:tcPr>
          <w:p w14:paraId="3AEE3820">
            <w:pPr>
              <w:pStyle w:val="64"/>
              <w:keepNext w:val="0"/>
              <w:keepLines w:val="0"/>
              <w:suppressLineNumbers w:val="0"/>
              <w:spacing w:before="0" w:beforeAutospacing="0" w:after="0" w:afterAutospacing="0" w:line="360" w:lineRule="exact"/>
              <w:ind w:right="0"/>
              <w:jc w:val="both"/>
              <w:rPr>
                <w:rFonts w:ascii="华文中宋" w:hAnsi="华文中宋" w:eastAsia="华文中宋"/>
                <w:bCs w:val="0"/>
                <w:szCs w:val="21"/>
              </w:rPr>
            </w:pPr>
            <w:r>
              <w:rPr>
                <w:rFonts w:hint="eastAsia" w:ascii="华文中宋" w:hAnsi="华文中宋" w:eastAsia="华文中宋" w:cs="宋体"/>
                <w:bCs w:val="0"/>
                <w:szCs w:val="21"/>
              </w:rPr>
              <w:t>本项目预算金额和投标最高限价</w:t>
            </w:r>
          </w:p>
        </w:tc>
        <w:tc>
          <w:tcPr>
            <w:tcW w:w="6610" w:type="dxa"/>
            <w:noWrap w:val="0"/>
            <w:vAlign w:val="center"/>
          </w:tcPr>
          <w:p w14:paraId="03D551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预算金额:</w:t>
            </w:r>
          </w:p>
          <w:p w14:paraId="3C7BCA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420" w:firstLineChars="200"/>
              <w:textAlignment w:val="auto"/>
              <w:rPr>
                <w:rFonts w:hint="default"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人民币（大写）：壹仟陆佰壹拾柒万玖仟伍佰陆拾贰元零柒分（￥：</w:t>
            </w:r>
            <w:r>
              <w:rPr>
                <w:rFonts w:hint="eastAsia" w:ascii="华文中宋" w:hAnsi="华文中宋" w:eastAsia="华文中宋" w:cs="华文中宋"/>
                <w:kern w:val="2"/>
                <w:sz w:val="21"/>
                <w:szCs w:val="21"/>
                <w:lang w:val="en-US" w:eastAsia="zh" w:bidi="ar-SA"/>
              </w:rPr>
              <w:t>16179562.07</w:t>
            </w:r>
            <w:r>
              <w:rPr>
                <w:rFonts w:hint="eastAsia" w:ascii="华文中宋" w:hAnsi="华文中宋" w:eastAsia="华文中宋" w:cs="华文中宋"/>
                <w:szCs w:val="21"/>
                <w:highlight w:val="none"/>
                <w:lang w:val="en-US" w:eastAsia="zh-CN"/>
              </w:rPr>
              <w:t>元）</w:t>
            </w:r>
          </w:p>
          <w:p w14:paraId="083C47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210" w:firstLineChars="1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 xml:space="preserve">最高限价: </w:t>
            </w:r>
          </w:p>
          <w:p w14:paraId="3DB7EF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20" w:firstLineChars="200"/>
              <w:textAlignment w:val="auto"/>
              <w:rPr>
                <w:rFonts w:hint="eastAsia" w:ascii="华文中宋" w:hAnsi="华文中宋" w:eastAsia="华文中宋" w:cs="华文中宋"/>
                <w:szCs w:val="21"/>
                <w:highlight w:val="yellow"/>
                <w:lang w:val="en-US" w:eastAsia="zh-CN"/>
              </w:rPr>
            </w:pPr>
            <w:r>
              <w:rPr>
                <w:rFonts w:hint="eastAsia" w:ascii="华文中宋" w:hAnsi="华文中宋" w:eastAsia="华文中宋" w:cs="华文中宋"/>
                <w:szCs w:val="21"/>
                <w:highlight w:val="none"/>
                <w:lang w:val="en-US" w:eastAsia="zh-CN"/>
              </w:rPr>
              <w:t>人民币（大写）：壹仟陆佰壹拾柒万玖仟伍佰陆拾贰元零柒分（￥</w:t>
            </w:r>
            <w:r>
              <w:rPr>
                <w:rFonts w:hint="eastAsia" w:ascii="华文中宋" w:hAnsi="华文中宋" w:eastAsia="华文中宋" w:cs="华文中宋"/>
                <w:kern w:val="2"/>
                <w:sz w:val="21"/>
                <w:szCs w:val="21"/>
                <w:lang w:val="en-US" w:eastAsia="zh-CN" w:bidi="ar-SA"/>
              </w:rPr>
              <w:t>：</w:t>
            </w:r>
            <w:r>
              <w:rPr>
                <w:rFonts w:hint="eastAsia" w:ascii="华文中宋" w:hAnsi="华文中宋" w:eastAsia="华文中宋" w:cs="华文中宋"/>
                <w:kern w:val="2"/>
                <w:sz w:val="21"/>
                <w:szCs w:val="21"/>
                <w:lang w:val="en-US" w:eastAsia="zh" w:bidi="ar-SA"/>
              </w:rPr>
              <w:t>16179562.07</w:t>
            </w:r>
            <w:r>
              <w:rPr>
                <w:rFonts w:hint="eastAsia" w:ascii="华文中宋" w:hAnsi="华文中宋" w:eastAsia="华文中宋" w:cs="华文中宋"/>
                <w:szCs w:val="21"/>
                <w:highlight w:val="none"/>
                <w:lang w:val="en-US" w:eastAsia="zh-CN"/>
              </w:rPr>
              <w:t>元）</w:t>
            </w:r>
          </w:p>
        </w:tc>
      </w:tr>
      <w:tr w14:paraId="4A5A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A08EB2B">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9</w:t>
            </w:r>
          </w:p>
        </w:tc>
        <w:tc>
          <w:tcPr>
            <w:tcW w:w="1849" w:type="dxa"/>
            <w:noWrap w:val="0"/>
            <w:vAlign w:val="center"/>
          </w:tcPr>
          <w:p w14:paraId="64AE9885">
            <w:pPr>
              <w:pStyle w:val="64"/>
              <w:keepNext w:val="0"/>
              <w:keepLines w:val="0"/>
              <w:suppressLineNumbers w:val="0"/>
              <w:spacing w:before="0" w:beforeAutospacing="0" w:after="0" w:afterAutospacing="0" w:line="360" w:lineRule="exact"/>
              <w:ind w:right="0" w:firstLine="315" w:firstLineChars="150"/>
              <w:jc w:val="both"/>
              <w:rPr>
                <w:rFonts w:ascii="华文中宋" w:hAnsi="华文中宋" w:eastAsia="华文中宋"/>
                <w:szCs w:val="21"/>
              </w:rPr>
            </w:pPr>
            <w:r>
              <w:rPr>
                <w:rFonts w:hint="eastAsia" w:ascii="华文中宋" w:hAnsi="华文中宋" w:eastAsia="华文中宋" w:cs="宋体"/>
                <w:szCs w:val="21"/>
              </w:rPr>
              <w:t>现场勘查</w:t>
            </w:r>
          </w:p>
          <w:p w14:paraId="69B32287">
            <w:pPr>
              <w:pStyle w:val="64"/>
              <w:keepNext w:val="0"/>
              <w:keepLines w:val="0"/>
              <w:suppressLineNumbers w:val="0"/>
              <w:spacing w:before="0" w:beforeAutospacing="0" w:after="0" w:afterAutospacing="0" w:line="360" w:lineRule="exact"/>
              <w:ind w:right="0"/>
              <w:jc w:val="both"/>
              <w:rPr>
                <w:rFonts w:ascii="华文中宋" w:hAnsi="华文中宋" w:eastAsia="华文中宋"/>
                <w:bCs w:val="0"/>
                <w:szCs w:val="21"/>
              </w:rPr>
            </w:pPr>
            <w:r>
              <w:rPr>
                <w:rFonts w:hint="eastAsia" w:ascii="华文中宋" w:hAnsi="华文中宋" w:eastAsia="华文中宋" w:cs="宋体"/>
                <w:szCs w:val="21"/>
              </w:rPr>
              <w:t>（或标前答疑会）</w:t>
            </w:r>
          </w:p>
        </w:tc>
        <w:tc>
          <w:tcPr>
            <w:tcW w:w="6610" w:type="dxa"/>
            <w:noWrap w:val="0"/>
            <w:vAlign w:val="center"/>
          </w:tcPr>
          <w:p w14:paraId="1CDCF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b w:val="0"/>
                <w:bCs w:val="0"/>
                <w:szCs w:val="21"/>
              </w:rPr>
            </w:pPr>
            <w:r>
              <w:rPr>
                <w:rFonts w:hint="eastAsia" w:ascii="华文中宋" w:hAnsi="华文中宋" w:eastAsia="华文中宋" w:cs="华文中宋"/>
                <w:b w:val="0"/>
                <w:bCs w:val="0"/>
                <w:szCs w:val="21"/>
              </w:rPr>
              <w:sym w:font="Wingdings" w:char="00A8"/>
            </w:r>
            <w:r>
              <w:rPr>
                <w:rFonts w:hint="eastAsia" w:ascii="华文中宋" w:hAnsi="华文中宋" w:eastAsia="华文中宋" w:cs="华文中宋"/>
                <w:b w:val="0"/>
                <w:bCs w:val="0"/>
                <w:szCs w:val="21"/>
              </w:rPr>
              <w:t>组织</w:t>
            </w:r>
          </w:p>
          <w:p w14:paraId="5A6AB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有关踏勘现场</w:t>
            </w:r>
          </w:p>
          <w:p w14:paraId="7698C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1、潜在供应商可在</w:t>
            </w:r>
            <w:r>
              <w:rPr>
                <w:rFonts w:hint="eastAsia" w:ascii="华文中宋" w:hAnsi="华文中宋" w:eastAsia="华文中宋" w:cs="华文中宋"/>
                <w:szCs w:val="21"/>
                <w:lang w:val="en-US" w:eastAsia="zh-CN"/>
              </w:rPr>
              <w:t>招标</w:t>
            </w:r>
            <w:r>
              <w:rPr>
                <w:rFonts w:hint="eastAsia" w:ascii="华文中宋" w:hAnsi="华文中宋" w:eastAsia="华文中宋" w:cs="华文中宋"/>
                <w:szCs w:val="21"/>
              </w:rPr>
              <w:t>前对工程现场及周围环境进行踏勘，以便获取有关编制响应文件和签署合同所需的所有材料和信息。踏勘现场所发生的费用由潜在供应商自己负担；</w:t>
            </w:r>
          </w:p>
          <w:p w14:paraId="00093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潜在供应商及其人员（拟担任本项目的项目经理）经过采购单位的允许，可为踏勘目的进入采购单位工程现场，但潜在供应商及其人员不得因此使采购方及其人员承担有关责任和蒙受损失。潜在供应商应对由此踏勘现场而造成的人生伤害、财产损失、损害以及其他任何损失，损害所引起的费用和开支承担责任；</w:t>
            </w:r>
          </w:p>
          <w:p w14:paraId="399CA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3、采购人只向潜在供应商提供的有关现场的资料，这是采购人现有的能使潜在供应商利用的资料。采购人对潜在供应商由此而做出的推论，理解和结论概不负责；</w:t>
            </w:r>
          </w:p>
          <w:p w14:paraId="226D9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4、踏勘现场地点：XXXX。联系人：XXXX，联系电话：XXX；踏勘现场时间：XXXX年X月X日上午X时。采购人不会组织单个或者部分潜在供应商踏勘现场。</w:t>
            </w:r>
          </w:p>
          <w:p w14:paraId="0F9D4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各供应商按照上述要求的踏勘现场时间在采购人代表的指引下统一进行现场踏勘。在踏勘现场时，如对施工现场有不清晰、不明确的地方，可以现场向采购人代表进行询问答疑，采购人代表向各供应商的答疑是一致的。采购人不再另行组织答疑会。</w:t>
            </w:r>
          </w:p>
          <w:p w14:paraId="12E52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潜在供应商可以根据自己投标需要决定是否参加现场踏勘，未参加现场踏勘不会导致其投标被拒绝，但引起的后果由潜在供应商自己承担。</w:t>
            </w:r>
          </w:p>
          <w:p w14:paraId="339DE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cs="华文中宋"/>
                <w:szCs w:val="21"/>
              </w:rPr>
            </w:pPr>
          </w:p>
          <w:p w14:paraId="300C0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cs="华文中宋"/>
                <w:szCs w:val="21"/>
              </w:rPr>
            </w:pPr>
            <w:r>
              <w:rPr>
                <w:rFonts w:hint="eastAsia" w:ascii="华文中宋" w:hAnsi="华文中宋" w:eastAsia="华文中宋" w:cs="华文中宋"/>
                <w:szCs w:val="21"/>
              </w:rPr>
              <w:sym w:font="Wingdings" w:char="00FE"/>
            </w:r>
            <w:r>
              <w:rPr>
                <w:rFonts w:hint="eastAsia" w:ascii="华文中宋" w:hAnsi="华文中宋" w:eastAsia="华文中宋" w:cs="华文中宋"/>
                <w:szCs w:val="21"/>
              </w:rPr>
              <w:t>不组织</w:t>
            </w:r>
          </w:p>
        </w:tc>
      </w:tr>
      <w:tr w14:paraId="1984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0552178">
            <w:pPr>
              <w:keepNext w:val="0"/>
              <w:keepLines w:val="0"/>
              <w:suppressLineNumbers w:val="0"/>
              <w:snapToGrid w:val="0"/>
              <w:spacing w:before="0" w:beforeAutospacing="0" w:after="0" w:afterAutospacing="0" w:line="390" w:lineRule="exact"/>
              <w:ind w:left="0" w:leftChars="0" w:right="0" w:rightChars="0"/>
              <w:jc w:val="center"/>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b/>
                <w:szCs w:val="21"/>
              </w:rPr>
              <w:t>10</w:t>
            </w:r>
          </w:p>
        </w:tc>
        <w:tc>
          <w:tcPr>
            <w:tcW w:w="1849" w:type="dxa"/>
            <w:noWrap w:val="0"/>
            <w:vAlign w:val="center"/>
          </w:tcPr>
          <w:p w14:paraId="051C9E14">
            <w:pPr>
              <w:pStyle w:val="64"/>
              <w:keepNext w:val="0"/>
              <w:keepLines w:val="0"/>
              <w:suppressLineNumbers w:val="0"/>
              <w:spacing w:before="0" w:beforeAutospacing="0" w:after="0" w:afterAutospacing="0" w:line="360" w:lineRule="exact"/>
              <w:ind w:left="0" w:leftChars="0" w:right="0" w:rightChars="0" w:firstLine="315" w:firstLineChars="150"/>
              <w:jc w:val="both"/>
              <w:rPr>
                <w:rFonts w:hint="eastAsia" w:ascii="华文中宋" w:hAnsi="华文中宋" w:eastAsia="华文中宋" w:cs="宋体"/>
                <w:b/>
                <w:bCs/>
                <w:kern w:val="0"/>
                <w:sz w:val="21"/>
                <w:szCs w:val="21"/>
                <w:lang w:val="en-US" w:eastAsia="zh-CN" w:bidi="ar-SA"/>
              </w:rPr>
            </w:pPr>
            <w:r>
              <w:rPr>
                <w:rFonts w:hint="eastAsia" w:ascii="华文中宋" w:hAnsi="华文中宋" w:eastAsia="华文中宋" w:cs="宋体"/>
                <w:szCs w:val="21"/>
              </w:rPr>
              <w:t>合同分包</w:t>
            </w:r>
          </w:p>
        </w:tc>
        <w:tc>
          <w:tcPr>
            <w:tcW w:w="6610" w:type="dxa"/>
            <w:noWrap w:val="0"/>
            <w:vAlign w:val="center"/>
          </w:tcPr>
          <w:p w14:paraId="51EAD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sym w:font="Wingdings" w:char="00FE"/>
            </w:r>
            <w:r>
              <w:rPr>
                <w:rFonts w:hint="eastAsia" w:ascii="华文中宋" w:hAnsi="华文中宋" w:eastAsia="华文中宋"/>
                <w:szCs w:val="21"/>
              </w:rPr>
              <w:t>本项目不接受合同分包；</w:t>
            </w:r>
          </w:p>
          <w:p w14:paraId="7D6B4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hint="eastAsia" w:ascii="华文中宋" w:hAnsi="华文中宋" w:eastAsia="华文中宋"/>
                <w:szCs w:val="21"/>
              </w:rPr>
            </w:pPr>
          </w:p>
          <w:p w14:paraId="16E57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sym w:font="Wingdings" w:char="00A8"/>
            </w:r>
            <w:r>
              <w:rPr>
                <w:rFonts w:hint="eastAsia" w:ascii="华文中宋" w:hAnsi="华文中宋" w:eastAsia="华文中宋"/>
                <w:szCs w:val="21"/>
              </w:rPr>
              <w:t>本项目接受合同分包具体要求如下：</w:t>
            </w:r>
          </w:p>
          <w:p w14:paraId="606AE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t>1.供应商根据招标文件的规定和采购项目的实际情况，拟在成交后将成交项目的非主体、非关键性工作分包的，应当在投标文件中事前载明。分包供应商履行的分包项目的技术要求等，必须与成交的一致。</w:t>
            </w:r>
          </w:p>
          <w:p w14:paraId="6A39F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firstLine="210" w:firstLineChars="100"/>
              <w:textAlignment w:val="auto"/>
              <w:rPr>
                <w:rFonts w:ascii="华文中宋" w:hAnsi="华文中宋" w:eastAsia="华文中宋"/>
                <w:szCs w:val="21"/>
              </w:rPr>
            </w:pPr>
            <w:r>
              <w:rPr>
                <w:rFonts w:hint="eastAsia" w:ascii="华文中宋" w:hAnsi="华文中宋" w:eastAsia="华文中宋"/>
                <w:szCs w:val="21"/>
              </w:rPr>
              <w:t>2.分包履行合同的部分应当为采购项目的非主体、非关键性工作，不属于成交供应商的主要合同义务。</w:t>
            </w:r>
          </w:p>
          <w:p w14:paraId="06A7C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8" w:leftChars="-18" w:right="0" w:rightChars="0" w:firstLine="210" w:firstLineChars="100"/>
              <w:textAlignment w:val="auto"/>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szCs w:val="21"/>
              </w:rPr>
              <w:t>3.本项目分包履行的具体内容、金额或者比例：XXXX。</w:t>
            </w:r>
          </w:p>
        </w:tc>
      </w:tr>
      <w:tr w14:paraId="7D12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CF5E3A7">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lang w:eastAsia="zh-CN"/>
              </w:rPr>
            </w:pPr>
            <w:r>
              <w:rPr>
                <w:rFonts w:hint="eastAsia" w:ascii="华文中宋" w:hAnsi="华文中宋" w:eastAsia="华文中宋" w:cs="微软雅黑"/>
                <w:b/>
                <w:szCs w:val="21"/>
              </w:rPr>
              <w:t>1</w:t>
            </w:r>
            <w:r>
              <w:rPr>
                <w:rFonts w:hint="eastAsia" w:ascii="华文中宋" w:hAnsi="华文中宋" w:eastAsia="华文中宋" w:cs="微软雅黑"/>
                <w:b/>
                <w:szCs w:val="21"/>
                <w:lang w:val="en-US" w:eastAsia="zh-CN"/>
              </w:rPr>
              <w:t>1</w:t>
            </w:r>
          </w:p>
        </w:tc>
        <w:tc>
          <w:tcPr>
            <w:tcW w:w="1849" w:type="dxa"/>
            <w:noWrap w:val="0"/>
            <w:vAlign w:val="center"/>
          </w:tcPr>
          <w:p w14:paraId="23424DAD">
            <w:pPr>
              <w:pStyle w:val="64"/>
              <w:keepNext w:val="0"/>
              <w:keepLines w:val="0"/>
              <w:suppressLineNumbers w:val="0"/>
              <w:snapToGrid w:val="0"/>
              <w:spacing w:before="0" w:beforeAutospacing="0" w:after="0" w:afterAutospacing="0"/>
              <w:ind w:right="0"/>
              <w:jc w:val="center"/>
              <w:rPr>
                <w:rFonts w:ascii="华文中宋" w:hAnsi="华文中宋" w:eastAsia="华文中宋" w:cs="微软雅黑"/>
                <w:szCs w:val="21"/>
              </w:rPr>
            </w:pPr>
            <w:r>
              <w:rPr>
                <w:rFonts w:hint="eastAsia" w:ascii="华文中宋" w:hAnsi="华文中宋" w:eastAsia="华文中宋" w:cs="微软雅黑"/>
                <w:szCs w:val="21"/>
              </w:rPr>
              <w:t>解密方式</w:t>
            </w:r>
          </w:p>
        </w:tc>
        <w:tc>
          <w:tcPr>
            <w:tcW w:w="6610" w:type="dxa"/>
            <w:noWrap w:val="0"/>
            <w:vAlign w:val="center"/>
          </w:tcPr>
          <w:p w14:paraId="11C9D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sym w:font="Wingdings" w:char="00FE"/>
            </w:r>
            <w:r>
              <w:rPr>
                <w:rFonts w:hint="eastAsia" w:ascii="华文中宋" w:hAnsi="华文中宋" w:eastAsia="华文中宋" w:cs="华文中宋"/>
              </w:rPr>
              <w:t xml:space="preserve"> 本次采用在线开标远程解密方式，供应商须准备好响应文件加密时使用的CA数字证书准时参加在线开标，并在规定的时间内远程完成解密；因供应商原因造成响应文件未解密的，视为撤销其响应文件，造成的一切后果，由供应商自行承担。</w:t>
            </w:r>
          </w:p>
          <w:p w14:paraId="68AF4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14:paraId="0CB81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hint="eastAsia" w:ascii="华文中宋" w:hAnsi="华文中宋" w:eastAsia="华文中宋" w:cs="华文中宋"/>
              </w:rPr>
            </w:pPr>
          </w:p>
          <w:p w14:paraId="363618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sym w:font="Wingdings" w:char="00A8"/>
            </w:r>
            <w:r>
              <w:rPr>
                <w:rFonts w:hint="eastAsia" w:ascii="华文中宋" w:hAnsi="华文中宋" w:eastAsia="华文中宋" w:cs="华文中宋"/>
              </w:rPr>
              <w:t xml:space="preserve"> 本次采用在线开标现场解密方式，供应商须准备好响应文件加密时使用的CA数字证书准时参加在线开标，并在规定的时间内现场完成解密；供应商未到现场解密或因供应商原因造成响应文件未解密的，视为撤销其响应文件，造成的一切后果，由供应商自行承担。</w:t>
            </w:r>
          </w:p>
          <w:p w14:paraId="11F4F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14:paraId="6B2B5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10" w:firstLineChars="100"/>
              <w:textAlignment w:val="auto"/>
              <w:rPr>
                <w:rFonts w:ascii="华文中宋" w:hAnsi="华文中宋" w:eastAsia="华文中宋" w:cs="华文中宋"/>
              </w:rPr>
            </w:pPr>
            <w:r>
              <w:rPr>
                <w:rFonts w:hint="eastAsia" w:ascii="华文中宋" w:hAnsi="华文中宋" w:eastAsia="华文中宋" w:cs="华文中宋"/>
              </w:rPr>
              <w:t>注：供应商需自行准备电脑终端设备，电脑终端设备的浏览器推荐使用Chrome 浏览器、360极速浏览器，和CA数字证书驱动，同时自行解决所需网络。</w:t>
            </w:r>
          </w:p>
        </w:tc>
      </w:tr>
    </w:tbl>
    <w:p w14:paraId="48931D62">
      <w:pPr>
        <w:snapToGrid w:val="0"/>
        <w:rPr>
          <w:rFonts w:ascii="华文中宋" w:hAnsi="华文中宋" w:eastAsia="华文中宋"/>
          <w:szCs w:val="21"/>
        </w:rPr>
      </w:pPr>
      <w:r>
        <w:rPr>
          <w:rFonts w:hint="eastAsia" w:ascii="华文中宋" w:hAnsi="华文中宋" w:eastAsia="华文中宋"/>
          <w:szCs w:val="21"/>
        </w:rPr>
        <w:t>注：本表内容与投标人须知内容不一致的，以本表内容为准。</w:t>
      </w:r>
    </w:p>
    <w:p w14:paraId="2DE40FB7">
      <w:pPr>
        <w:rPr>
          <w:rFonts w:ascii="华文中宋" w:hAnsi="华文中宋" w:eastAsia="华文中宋"/>
        </w:rPr>
      </w:pPr>
    </w:p>
    <w:p w14:paraId="06E2A191">
      <w:pPr>
        <w:pStyle w:val="72"/>
        <w:snapToGrid w:val="0"/>
        <w:spacing w:before="0" w:after="0"/>
        <w:ind w:left="0" w:firstLine="0"/>
        <w:rPr>
          <w:rFonts w:hint="eastAsia" w:ascii="华文中宋" w:hAnsi="华文中宋" w:eastAsia="华文中宋"/>
          <w:spacing w:val="20"/>
          <w:szCs w:val="28"/>
        </w:rPr>
        <w:sectPr>
          <w:pgSz w:w="11906" w:h="16838"/>
          <w:pgMar w:top="1134" w:right="1361" w:bottom="1021" w:left="1531" w:header="851" w:footer="992" w:gutter="0"/>
          <w:pgNumType w:fmt="decimal"/>
          <w:cols w:space="720" w:num="1"/>
          <w:docGrid w:type="lines" w:linePitch="312" w:charSpace="0"/>
        </w:sectPr>
      </w:pPr>
      <w:bookmarkStart w:id="14" w:name="_Toc58507723"/>
      <w:bookmarkStart w:id="15" w:name="_Toc424378684"/>
      <w:bookmarkStart w:id="16" w:name="_Toc352761929"/>
      <w:bookmarkStart w:id="17" w:name="_Toc18768"/>
      <w:bookmarkStart w:id="18" w:name="_Toc58507734"/>
      <w:bookmarkStart w:id="19" w:name="_Toc352761941"/>
    </w:p>
    <w:p w14:paraId="1F2D908A">
      <w:pPr>
        <w:pStyle w:val="72"/>
        <w:snapToGrid w:val="0"/>
        <w:spacing w:before="0" w:after="0"/>
        <w:ind w:left="0" w:firstLine="0"/>
        <w:rPr>
          <w:rFonts w:ascii="华文中宋" w:hAnsi="华文中宋" w:eastAsia="华文中宋"/>
          <w:spacing w:val="20"/>
          <w:szCs w:val="28"/>
        </w:rPr>
      </w:pPr>
      <w:r>
        <w:rPr>
          <w:rFonts w:hint="eastAsia" w:ascii="华文中宋" w:hAnsi="华文中宋" w:eastAsia="华文中宋"/>
          <w:spacing w:val="20"/>
          <w:szCs w:val="28"/>
        </w:rPr>
        <w:t>第三部分  投标人须知</w:t>
      </w:r>
      <w:bookmarkEnd w:id="14"/>
      <w:bookmarkEnd w:id="15"/>
      <w:bookmarkEnd w:id="16"/>
    </w:p>
    <w:p w14:paraId="5369A83D">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0" w:name="_Toc352761930"/>
      <w:bookmarkStart w:id="21" w:name="_Toc424378685"/>
      <w:bookmarkStart w:id="22" w:name="_Toc58507724"/>
      <w:r>
        <w:rPr>
          <w:rFonts w:hint="eastAsia" w:ascii="华文中宋" w:hAnsi="华文中宋" w:eastAsia="华文中宋" w:cs="Times New Roman"/>
          <w:color w:val="auto"/>
          <w:kern w:val="2"/>
          <w:sz w:val="24"/>
          <w:szCs w:val="24"/>
          <w:lang w:val="en-US" w:eastAsia="zh-CN"/>
        </w:rPr>
        <w:t>一、</w:t>
      </w:r>
      <w:r>
        <w:rPr>
          <w:rFonts w:hint="eastAsia" w:ascii="华文中宋" w:hAnsi="华文中宋" w:eastAsia="华文中宋" w:cs="Times New Roman"/>
          <w:color w:val="auto"/>
          <w:kern w:val="2"/>
          <w:sz w:val="24"/>
          <w:szCs w:val="24"/>
        </w:rPr>
        <w:t>总则</w:t>
      </w:r>
      <w:bookmarkEnd w:id="20"/>
      <w:bookmarkEnd w:id="21"/>
      <w:bookmarkEnd w:id="22"/>
    </w:p>
    <w:p w14:paraId="5B99EDA5">
      <w:pPr>
        <w:pStyle w:val="68"/>
        <w:keepNext w:val="0"/>
        <w:keepLines w:val="0"/>
        <w:pageBreakBefore w:val="0"/>
        <w:widowControl w:val="0"/>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1. </w:t>
      </w:r>
      <w:r>
        <w:rPr>
          <w:rFonts w:hint="eastAsia" w:ascii="华文中宋" w:hAnsi="华文中宋" w:eastAsia="华文中宋" w:cs="宋体"/>
          <w:b/>
          <w:spacing w:val="10"/>
        </w:rPr>
        <w:t>适用范围</w:t>
      </w:r>
    </w:p>
    <w:p w14:paraId="67FFD1E8">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69FDD6A6">
      <w:pPr>
        <w:pStyle w:val="68"/>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2. </w:t>
      </w:r>
      <w:r>
        <w:rPr>
          <w:rFonts w:hint="eastAsia" w:ascii="华文中宋" w:hAnsi="华文中宋" w:eastAsia="华文中宋" w:cs="宋体"/>
          <w:b/>
          <w:spacing w:val="10"/>
        </w:rPr>
        <w:t>定义</w:t>
      </w:r>
    </w:p>
    <w:p w14:paraId="6177C656">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 “</w:t>
      </w:r>
      <w:r>
        <w:rPr>
          <w:rFonts w:hint="eastAsia" w:ascii="华文中宋" w:hAnsi="华文中宋" w:eastAsia="华文中宋"/>
          <w:lang w:eastAsia="zh-CN"/>
        </w:rPr>
        <w:t>招标人</w:t>
      </w:r>
      <w:r>
        <w:rPr>
          <w:rFonts w:hint="eastAsia" w:ascii="华文中宋" w:hAnsi="华文中宋" w:eastAsia="华文中宋"/>
        </w:rPr>
        <w:t>”指本次招标活动的采购单位。</w:t>
      </w:r>
    </w:p>
    <w:p w14:paraId="45DF3FF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 “集采机构”指组织本次招标活动的执行机构，即“</w:t>
      </w:r>
      <w:r>
        <w:rPr>
          <w:rFonts w:hint="eastAsia" w:ascii="华文中宋" w:hAnsi="华文中宋" w:eastAsia="华文中宋"/>
          <w:lang w:eastAsia="zh-CN"/>
        </w:rPr>
        <w:t>高平</w:t>
      </w:r>
      <w:r>
        <w:rPr>
          <w:rFonts w:hint="eastAsia" w:ascii="华文中宋" w:hAnsi="华文中宋" w:eastAsia="华文中宋"/>
        </w:rPr>
        <w:t>市公共资源交易中心”。</w:t>
      </w:r>
    </w:p>
    <w:p w14:paraId="623E17E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 “投标人”指符合本招标文件规定并向集采机构提交投标文件的供应商。</w:t>
      </w:r>
    </w:p>
    <w:p w14:paraId="52CDD93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2.4 “货物”指投标人按招标文件的规定，须向</w:t>
      </w:r>
      <w:r>
        <w:rPr>
          <w:rFonts w:hint="eastAsia" w:ascii="华文中宋" w:hAnsi="华文中宋" w:eastAsia="华文中宋"/>
          <w:lang w:eastAsia="zh-CN"/>
        </w:rPr>
        <w:t>招标人</w:t>
      </w:r>
      <w:r>
        <w:rPr>
          <w:rFonts w:hint="eastAsia" w:ascii="华文中宋" w:hAnsi="华文中宋" w:eastAsia="华文中宋"/>
        </w:rPr>
        <w:t>提供的各种形态和种类的物品及其他有关技术资料和材料。</w:t>
      </w:r>
    </w:p>
    <w:p w14:paraId="2CB94CC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2.5 “服务”指招标文件所表述的投标人须向</w:t>
      </w:r>
      <w:r>
        <w:rPr>
          <w:rFonts w:hint="eastAsia" w:ascii="华文中宋" w:hAnsi="华文中宋" w:eastAsia="华文中宋"/>
          <w:lang w:eastAsia="zh-CN"/>
        </w:rPr>
        <w:t>招标人</w:t>
      </w:r>
      <w:r>
        <w:rPr>
          <w:rFonts w:hint="eastAsia" w:ascii="华文中宋" w:hAnsi="华文中宋" w:eastAsia="华文中宋"/>
        </w:rPr>
        <w:t>提供的服务和应当履行的承诺和义务。</w:t>
      </w:r>
    </w:p>
    <w:p w14:paraId="2D35CE2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2.6 “电子签章”指可通过电子签章客户端软件（如：Winaip等）正确读取签章信息的电子签章，电子签章包含法人电子签章和法定代表人电子签章。</w:t>
      </w:r>
    </w:p>
    <w:p w14:paraId="5584EC48">
      <w:pPr>
        <w:pStyle w:val="68"/>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2.7“影印件”指文件的复印件或扫描件。</w:t>
      </w:r>
    </w:p>
    <w:p w14:paraId="7D12A684">
      <w:pPr>
        <w:pStyle w:val="68"/>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2.8本招标文件各部分规定的期间以时、日、月、年计算。期间开始的时和日，不计算在期间内。</w:t>
      </w:r>
    </w:p>
    <w:p w14:paraId="14C3830F">
      <w:pPr>
        <w:pStyle w:val="68"/>
        <w:keepNext w:val="0"/>
        <w:keepLines w:val="0"/>
        <w:pageBreakBefore w:val="0"/>
        <w:widowControl w:val="0"/>
        <w:kinsoku/>
        <w:wordWrap/>
        <w:overflowPunct/>
        <w:topLinePunct w:val="0"/>
        <w:autoSpaceDE/>
        <w:autoSpaceDN/>
        <w:bidi w:val="0"/>
        <w:adjustRightInd w:val="0"/>
        <w:spacing w:line="480" w:lineRule="exact"/>
        <w:ind w:firstLine="315" w:firstLineChars="150"/>
        <w:rPr>
          <w:rFonts w:ascii="华文中宋" w:hAnsi="华文中宋" w:eastAsia="华文中宋"/>
        </w:rPr>
      </w:pPr>
      <w:r>
        <w:rPr>
          <w:rFonts w:hint="eastAsia" w:ascii="华文中宋" w:hAnsi="华文中宋" w:eastAsia="华文中宋"/>
        </w:rPr>
        <w:t>2.9本须知中单独对货物/服务所描述的要求，只针对涉及采购货物/服务。</w:t>
      </w:r>
    </w:p>
    <w:p w14:paraId="01A28667">
      <w:pPr>
        <w:pStyle w:val="68"/>
        <w:keepNext w:val="0"/>
        <w:keepLines w:val="0"/>
        <w:pageBreakBefore w:val="0"/>
        <w:widowControl w:val="0"/>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cs="宋体"/>
          <w:b/>
          <w:spacing w:val="10"/>
        </w:rPr>
      </w:pPr>
      <w:r>
        <w:rPr>
          <w:rFonts w:hint="eastAsia" w:ascii="华文中宋" w:hAnsi="华文中宋" w:eastAsia="华文中宋" w:cs="宋体"/>
          <w:b/>
          <w:spacing w:val="10"/>
        </w:rPr>
        <w:t>3. 合格的投标人</w:t>
      </w:r>
    </w:p>
    <w:p w14:paraId="551EDD62">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3.1 具有本项目生产、制造、供应及/或实施能力，符合、承认并承诺履行本招标文件各项规定的国内供应商。</w:t>
      </w:r>
    </w:p>
    <w:p w14:paraId="0F6A4E80">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3.2 投标人必须是已在中国境内依法登记注册，并持有符合法律法规规定的有效证件的供应商。</w:t>
      </w:r>
    </w:p>
    <w:p w14:paraId="64B15CD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14:paraId="6FECB87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 本次招标是否允许代理商参加投标，详见投标人须知前附表序号1的规定。</w:t>
      </w:r>
    </w:p>
    <w:p w14:paraId="2E2DB29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FF86C1D">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 本次招标是否允许由两个以上供应商组成一个联合体以一个投标人身份共同参加投标，详见投标人须知前附表序号1的规定。</w:t>
      </w:r>
    </w:p>
    <w:p w14:paraId="1238CBE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3.6.1 联合体各方均应当符合《政府采购法》第二十二条规定的条件，联合体各方均应按照本部分3.3条的要求提供相关材料。</w:t>
      </w:r>
    </w:p>
    <w:p w14:paraId="7892671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520AEB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3.6.3 联合体各方之间应当签订联合投标协议，明确约定联合体各方承担的工作和相应的责任，并将联合投标协议连同投标文件一并提交，联合投标协议格式见本招标文件第八部分。</w:t>
      </w:r>
    </w:p>
    <w:p w14:paraId="342C498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4. </w:t>
      </w:r>
      <w:r>
        <w:rPr>
          <w:rFonts w:hint="eastAsia" w:ascii="华文中宋" w:hAnsi="华文中宋" w:eastAsia="华文中宋" w:cs="宋体"/>
          <w:b/>
        </w:rPr>
        <w:t>投标费用</w:t>
      </w:r>
    </w:p>
    <w:p w14:paraId="71C6F5B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w:t>
      </w:r>
      <w:r>
        <w:rPr>
          <w:rFonts w:hint="eastAsia" w:ascii="华文中宋" w:hAnsi="华文中宋" w:eastAsia="华文中宋"/>
          <w:lang w:eastAsia="zh-CN"/>
        </w:rPr>
        <w:t>招标人</w:t>
      </w:r>
      <w:r>
        <w:rPr>
          <w:rFonts w:hint="eastAsia" w:ascii="华文中宋" w:hAnsi="华文中宋" w:eastAsia="华文中宋"/>
        </w:rPr>
        <w:t>在任何情况下均无义务和责任承担这些费用。</w:t>
      </w:r>
    </w:p>
    <w:p w14:paraId="65880D68">
      <w:pPr>
        <w:pStyle w:val="68"/>
        <w:keepNext w:val="0"/>
        <w:keepLines w:val="0"/>
        <w:pageBreakBefore w:val="0"/>
        <w:widowControl w:val="0"/>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5. </w:t>
      </w:r>
      <w:r>
        <w:rPr>
          <w:rFonts w:hint="eastAsia" w:ascii="华文中宋" w:hAnsi="华文中宋" w:eastAsia="华文中宋" w:cs="宋体"/>
          <w:b/>
        </w:rPr>
        <w:t>通知的告知及获取</w:t>
      </w:r>
    </w:p>
    <w:p w14:paraId="3442FDBF">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5.1通知的告知</w:t>
      </w:r>
    </w:p>
    <w:p w14:paraId="3CC93ACA">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对与本项目有关的通知，集采机构将以在本次招标公告刊登的媒体上发布公告的形式告知所有已获取了招标文件的投标人及潜在投标人。</w:t>
      </w:r>
    </w:p>
    <w:p w14:paraId="1E205B86">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5.2通知的获取</w:t>
      </w:r>
    </w:p>
    <w:p w14:paraId="383E31B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已获取了招标文件的投标人，可在本次招标公告刊登的媒体上查看已发布的通知，或登录“山西政府采购平台”后，查看获取相关通知。</w:t>
      </w:r>
    </w:p>
    <w:p w14:paraId="30D6631A">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未获取招标文件的潜在投标人可在本次招标公告刊登的媒体上查看获取已发布的通知。</w:t>
      </w:r>
    </w:p>
    <w:p w14:paraId="6B37F89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因线路故障导致通知延迟获取或无法获取，集采机构不因此承担任何责任，有关的招标活动可以继续有效地进行。</w:t>
      </w:r>
    </w:p>
    <w:p w14:paraId="0FE6319C">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3" w:name="_Toc424378686"/>
      <w:bookmarkStart w:id="24" w:name="_Toc352761931"/>
      <w:bookmarkStart w:id="25" w:name="_Toc58507725"/>
      <w:bookmarkStart w:id="26" w:name="_Toc24133"/>
      <w:r>
        <w:rPr>
          <w:rFonts w:hint="eastAsia" w:ascii="华文中宋" w:hAnsi="华文中宋" w:eastAsia="华文中宋" w:cs="Times New Roman"/>
          <w:color w:val="auto"/>
          <w:kern w:val="2"/>
          <w:sz w:val="24"/>
          <w:szCs w:val="24"/>
        </w:rPr>
        <w:t>二、招标文件</w:t>
      </w:r>
      <w:bookmarkEnd w:id="23"/>
      <w:bookmarkEnd w:id="24"/>
      <w:bookmarkEnd w:id="25"/>
      <w:bookmarkEnd w:id="26"/>
    </w:p>
    <w:p w14:paraId="02BE5D34">
      <w:pPr>
        <w:pStyle w:val="68"/>
        <w:keepNext w:val="0"/>
        <w:keepLines w:val="0"/>
        <w:pageBreakBefore w:val="0"/>
        <w:widowControl w:val="0"/>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6. </w:t>
      </w:r>
      <w:r>
        <w:rPr>
          <w:rFonts w:hint="eastAsia" w:ascii="华文中宋" w:hAnsi="华文中宋" w:eastAsia="华文中宋" w:cs="宋体"/>
          <w:b/>
          <w:spacing w:val="10"/>
        </w:rPr>
        <w:t>招标文件的内容</w:t>
      </w:r>
    </w:p>
    <w:p w14:paraId="1E41DDB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6.1 招标文件由下列八部分内容组成：</w:t>
      </w:r>
    </w:p>
    <w:p w14:paraId="6CB12280">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第一部分 投标邀请；</w:t>
      </w:r>
    </w:p>
    <w:p w14:paraId="6636A968">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第二部分 投标人须知前附表;</w:t>
      </w:r>
    </w:p>
    <w:p w14:paraId="631EFF7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第三部分 投标人须知；</w:t>
      </w:r>
    </w:p>
    <w:p w14:paraId="0F01903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第四部分 商务技术要求；</w:t>
      </w:r>
    </w:p>
    <w:p w14:paraId="1925932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第五部分 资格审查内容及标准；</w:t>
      </w:r>
    </w:p>
    <w:p w14:paraId="0A279940">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第六部分 评标标准和评分方法；</w:t>
      </w:r>
    </w:p>
    <w:p w14:paraId="70EAFD8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第七部分 合同文本；</w:t>
      </w:r>
    </w:p>
    <w:p w14:paraId="79D6E0E8">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26AE26D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6.2 招标文件中落实政府采购政策的相关要求详见前附表序号7的规定。</w:t>
      </w:r>
    </w:p>
    <w:p w14:paraId="7FEE944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6.3</w:t>
      </w:r>
      <w:r>
        <w:rPr>
          <w:rFonts w:hint="eastAsia" w:ascii="华文中宋" w:hAnsi="华文中宋" w:eastAsia="华文中宋"/>
          <w:lang w:eastAsia="zh-CN"/>
        </w:rPr>
        <w:t>资格审查小组</w:t>
      </w:r>
      <w:r>
        <w:rPr>
          <w:rFonts w:hint="eastAsia" w:ascii="华文中宋" w:hAnsi="华文中宋" w:eastAsia="华文中宋"/>
        </w:rPr>
        <w:t>开标后对投标人的信用信息进行查询</w:t>
      </w:r>
      <w:r>
        <w:rPr>
          <w:rFonts w:hint="eastAsia" w:ascii="华文中宋" w:hAnsi="华文中宋" w:eastAsia="华文中宋" w:cs="华文中宋"/>
        </w:rPr>
        <w:t>，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24E8C7F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6.4除非特殊要求，招标文件不单独提供招标项目使用地的自然环境、气候条件、公用设施情况，投标人被视为熟悉上述与履行合同有关的一切情况。</w:t>
      </w:r>
    </w:p>
    <w:p w14:paraId="1015D6EF">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6.5 招标文件的解释权归集采机构所有。当对一个问题有多种解释时以集采机构解释为准。</w:t>
      </w:r>
    </w:p>
    <w:p w14:paraId="5DE314D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6.6招标文件未作须知明示，而又有法律、法规规定的，集采机构将依据法律法规的规定进行解释。</w:t>
      </w:r>
    </w:p>
    <w:p w14:paraId="3D9FEB0A">
      <w:pPr>
        <w:pStyle w:val="68"/>
        <w:keepNext w:val="0"/>
        <w:keepLines w:val="0"/>
        <w:pageBreakBefore w:val="0"/>
        <w:widowControl w:val="0"/>
        <w:kinsoku/>
        <w:wordWrap/>
        <w:overflowPunct/>
        <w:topLinePunct w:val="0"/>
        <w:autoSpaceDE/>
        <w:autoSpaceDN/>
        <w:bidi w:val="0"/>
        <w:adjustRightInd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7. </w:t>
      </w:r>
      <w:r>
        <w:rPr>
          <w:rFonts w:hint="eastAsia" w:ascii="华文中宋" w:hAnsi="华文中宋" w:eastAsia="华文中宋" w:cs="宋体"/>
          <w:b/>
          <w:spacing w:val="10"/>
        </w:rPr>
        <w:t>招标文件的澄清和修改</w:t>
      </w:r>
    </w:p>
    <w:p w14:paraId="503E72F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7.1集采机构可以对已发出的招标文件进行必要的澄清或者修改，澄清或者修改在原公告发布媒体上发布澄清公告。澄清或者修改的内容为招标文件的组成部分，对所有投标人均具有约束作用。</w:t>
      </w:r>
    </w:p>
    <w:p w14:paraId="09227DC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7.2澄清或者修改的内容可能影响投标文件编制的，集采机构在投标截止时间至少15日前，以</w:t>
      </w:r>
      <w:r>
        <w:rPr>
          <w:rFonts w:hint="eastAsia" w:ascii="华文中宋" w:hAnsi="华文中宋" w:eastAsia="华文中宋" w:cs="华文中宋"/>
        </w:rPr>
        <w:t>发布公告的</w:t>
      </w:r>
      <w:r>
        <w:rPr>
          <w:rFonts w:hint="eastAsia" w:ascii="华文中宋" w:hAnsi="华文中宋" w:eastAsia="华文中宋"/>
        </w:rPr>
        <w:t>形式通知所有获取招标文件的潜在投标人；不足15日的，顺延提交投标文件的截止时间。</w:t>
      </w:r>
    </w:p>
    <w:p w14:paraId="18A9C8C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7.3投标人对招标文件有疑问，可要求澄清，</w:t>
      </w:r>
      <w:r>
        <w:rPr>
          <w:rFonts w:hint="eastAsia" w:ascii="华文中宋" w:hAnsi="华文中宋" w:eastAsia="华文中宋" w:cs="华文中宋"/>
        </w:rPr>
        <w:t>需在“山西政府采购平台”内以PDF加盖电子签章的</w:t>
      </w:r>
      <w:r>
        <w:rPr>
          <w:rFonts w:hint="eastAsia" w:ascii="华文中宋" w:hAnsi="华文中宋" w:eastAsia="华文中宋"/>
        </w:rPr>
        <w:t>形式通知到集采机构。集采机构将视情况确定采用适当方式予以澄清答复，并认为必要时，将不标明查询来源的答复</w:t>
      </w:r>
      <w:r>
        <w:rPr>
          <w:rFonts w:hint="eastAsia" w:ascii="华文中宋" w:hAnsi="华文中宋" w:eastAsia="华文中宋" w:cs="华文中宋"/>
        </w:rPr>
        <w:t>在“山西政府采购平台”内通知</w:t>
      </w:r>
      <w:r>
        <w:rPr>
          <w:rFonts w:hint="eastAsia" w:ascii="华文中宋" w:hAnsi="华文中宋" w:eastAsia="华文中宋"/>
        </w:rPr>
        <w:t>已获取招标文件的所有投标人。</w:t>
      </w:r>
    </w:p>
    <w:p w14:paraId="45E479B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7.</w:t>
      </w:r>
      <w:r>
        <w:rPr>
          <w:rFonts w:hint="eastAsia" w:ascii="华文中宋" w:hAnsi="华文中宋" w:eastAsia="华文中宋" w:cs="华文中宋"/>
        </w:rPr>
        <w:t>4</w:t>
      </w:r>
      <w:r>
        <w:rPr>
          <w:rFonts w:hint="eastAsia" w:ascii="华文中宋" w:hAnsi="华文中宋" w:eastAsia="华文中宋"/>
        </w:rPr>
        <w:t>集采机构将视情况确定是否</w:t>
      </w:r>
      <w:r>
        <w:rPr>
          <w:rFonts w:hint="eastAsia" w:ascii="华文中宋" w:hAnsi="华文中宋" w:eastAsia="华文中宋" w:cs="华文中宋"/>
        </w:rPr>
        <w:t>进行现场勘查或</w:t>
      </w:r>
      <w:r>
        <w:rPr>
          <w:rFonts w:hint="eastAsia" w:ascii="华文中宋" w:hAnsi="华文中宋" w:eastAsia="华文中宋"/>
        </w:rPr>
        <w:t>召开标前</w:t>
      </w:r>
      <w:r>
        <w:rPr>
          <w:rFonts w:hint="eastAsia" w:ascii="华文中宋" w:hAnsi="华文中宋" w:eastAsia="华文中宋" w:cs="华文中宋"/>
        </w:rPr>
        <w:t>答疑</w:t>
      </w:r>
      <w:r>
        <w:rPr>
          <w:rFonts w:hint="eastAsia" w:ascii="华文中宋" w:hAnsi="华文中宋" w:eastAsia="华文中宋"/>
        </w:rPr>
        <w:t>会，</w:t>
      </w:r>
      <w:r>
        <w:rPr>
          <w:rFonts w:hint="eastAsia" w:ascii="华文中宋" w:hAnsi="华文中宋" w:eastAsia="华文中宋" w:cs="华文中宋"/>
        </w:rPr>
        <w:t>详细内容见第二部分</w:t>
      </w:r>
      <w:r>
        <w:rPr>
          <w:rFonts w:hint="eastAsia" w:ascii="华文中宋" w:hAnsi="华文中宋" w:eastAsia="华文中宋"/>
        </w:rPr>
        <w:t>投标人</w:t>
      </w:r>
      <w:r>
        <w:rPr>
          <w:rFonts w:hint="eastAsia" w:ascii="华文中宋" w:hAnsi="华文中宋" w:eastAsia="华文中宋" w:cs="华文中宋"/>
        </w:rPr>
        <w:t>须知前附表序号9的要求</w:t>
      </w:r>
    </w:p>
    <w:p w14:paraId="30077C0E">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27" w:name="_Toc424378687"/>
      <w:bookmarkStart w:id="28" w:name="_Toc12041"/>
      <w:bookmarkStart w:id="29" w:name="_Toc352761932"/>
      <w:bookmarkStart w:id="30" w:name="_Toc58507726"/>
      <w:r>
        <w:rPr>
          <w:rFonts w:hint="eastAsia" w:ascii="华文中宋" w:hAnsi="华文中宋" w:eastAsia="华文中宋" w:cs="Times New Roman"/>
          <w:color w:val="auto"/>
          <w:kern w:val="2"/>
          <w:sz w:val="24"/>
          <w:szCs w:val="24"/>
        </w:rPr>
        <w:t>三、投标文件</w:t>
      </w:r>
      <w:bookmarkEnd w:id="27"/>
      <w:bookmarkEnd w:id="28"/>
      <w:bookmarkEnd w:id="29"/>
      <w:bookmarkEnd w:id="30"/>
      <w:r>
        <w:rPr>
          <w:rFonts w:hint="eastAsia" w:ascii="华文中宋" w:hAnsi="华文中宋" w:eastAsia="华文中宋" w:cs="Times New Roman"/>
          <w:color w:val="auto"/>
          <w:kern w:val="2"/>
          <w:sz w:val="24"/>
          <w:szCs w:val="24"/>
        </w:rPr>
        <w:t xml:space="preserve"> </w:t>
      </w:r>
    </w:p>
    <w:p w14:paraId="79F8C4FE">
      <w:pPr>
        <w:pStyle w:val="68"/>
        <w:keepNext w:val="0"/>
        <w:keepLines w:val="0"/>
        <w:pageBreakBefore w:val="0"/>
        <w:widowControl w:val="0"/>
        <w:kinsoku/>
        <w:wordWrap/>
        <w:overflowPunct/>
        <w:topLinePunct w:val="0"/>
        <w:autoSpaceDE/>
        <w:autoSpaceDN/>
        <w:bidi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8. </w:t>
      </w:r>
      <w:r>
        <w:rPr>
          <w:rFonts w:hint="eastAsia" w:ascii="华文中宋" w:hAnsi="华文中宋" w:eastAsia="华文中宋" w:cs="宋体"/>
          <w:b/>
          <w:spacing w:val="10"/>
        </w:rPr>
        <w:t>投标文件的语言和计量单位</w:t>
      </w:r>
    </w:p>
    <w:p w14:paraId="4B5AB83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8.1 投标人提交的投标文件（包括技术文件和资料、图纸中的说明）以及投标人与集采机构就有关投标的所有来往函电均应使用中文简体字。外文资料必须提供中文译文，并保持与原文一致，否则，产生的不利后果由投标人承担。</w:t>
      </w:r>
    </w:p>
    <w:p w14:paraId="3278976E">
      <w:pPr>
        <w:pStyle w:val="68"/>
        <w:keepNext w:val="0"/>
        <w:keepLines w:val="0"/>
        <w:pageBreakBefore w:val="0"/>
        <w:widowControl w:val="0"/>
        <w:tabs>
          <w:tab w:val="left" w:pos="7050"/>
        </w:tabs>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spacing w:val="10"/>
        </w:rPr>
      </w:pPr>
      <w:r>
        <w:rPr>
          <w:rFonts w:hint="eastAsia" w:ascii="华文中宋" w:hAnsi="华文中宋" w:eastAsia="华文中宋"/>
        </w:rPr>
        <w:t>8.2 投标文件所使用的计量单位，必须使用国家法定计量单位。</w:t>
      </w:r>
    </w:p>
    <w:p w14:paraId="4609073D">
      <w:pPr>
        <w:pStyle w:val="68"/>
        <w:keepNext w:val="0"/>
        <w:keepLines w:val="0"/>
        <w:pageBreakBefore w:val="0"/>
        <w:widowControl w:val="0"/>
        <w:kinsoku/>
        <w:wordWrap/>
        <w:overflowPunct/>
        <w:topLinePunct w:val="0"/>
        <w:autoSpaceDE/>
        <w:autoSpaceDN/>
        <w:bidi w:val="0"/>
        <w:snapToGrid w:val="0"/>
        <w:spacing w:line="480" w:lineRule="exact"/>
        <w:ind w:firstLine="345" w:firstLineChars="150"/>
        <w:textAlignment w:val="auto"/>
        <w:rPr>
          <w:rFonts w:ascii="华文中宋" w:hAnsi="华文中宋" w:eastAsia="华文中宋"/>
          <w:b/>
          <w:spacing w:val="10"/>
        </w:rPr>
      </w:pPr>
      <w:r>
        <w:rPr>
          <w:rFonts w:hint="eastAsia" w:ascii="华文中宋" w:hAnsi="华文中宋" w:eastAsia="华文中宋"/>
          <w:b/>
          <w:spacing w:val="10"/>
        </w:rPr>
        <w:t xml:space="preserve">9. </w:t>
      </w:r>
      <w:r>
        <w:rPr>
          <w:rFonts w:hint="eastAsia" w:ascii="华文中宋" w:hAnsi="华文中宋" w:eastAsia="华文中宋" w:cs="宋体"/>
          <w:b/>
          <w:spacing w:val="10"/>
        </w:rPr>
        <w:t>投标文件的组成及相关要求</w:t>
      </w:r>
    </w:p>
    <w:p w14:paraId="15FB4344">
      <w:pPr>
        <w:pStyle w:val="68"/>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9.1 投标文件分为资格证明文件和商务、技术文件。</w:t>
      </w:r>
    </w:p>
    <w:p w14:paraId="4A44775B">
      <w:pPr>
        <w:pStyle w:val="68"/>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投标文件（资格证明文件）和投标文件（商务技术文件）按各自内容分别以系统要求的格式上传。</w:t>
      </w:r>
    </w:p>
    <w:p w14:paraId="056BC1D3">
      <w:pPr>
        <w:pStyle w:val="68"/>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bCs/>
        </w:rPr>
      </w:pPr>
      <w:r>
        <w:rPr>
          <w:rFonts w:hint="eastAsia" w:ascii="华文中宋" w:hAnsi="华文中宋" w:eastAsia="华文中宋"/>
        </w:rPr>
        <w:t>投标文件的编制、递交及要求按第一部分第六条规定执行。</w:t>
      </w:r>
    </w:p>
    <w:p w14:paraId="00A990C1">
      <w:pPr>
        <w:pStyle w:val="68"/>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2AF77595">
      <w:pPr>
        <w:pStyle w:val="68"/>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9.3 保证金交纳</w:t>
      </w:r>
    </w:p>
    <w:p w14:paraId="0BF3E484">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9.3.1 如本项目需缴纳投标保证金，要求投标人应提交的投标保证金金额详见投标人须知前附表序号5的相关规定。</w:t>
      </w:r>
    </w:p>
    <w:p w14:paraId="74F43EBC">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9.3.2 未按上述要求提交投标保证金或提交的投标保证金金额不足的，其投标无效。</w:t>
      </w:r>
    </w:p>
    <w:p w14:paraId="0CD79ED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9.3.3 未中标投标人的投标保证金自中标通知书发出之日起5个工作日内退还。</w:t>
      </w:r>
    </w:p>
    <w:p w14:paraId="6011B72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9.3.4 中标人与</w:t>
      </w:r>
      <w:r>
        <w:rPr>
          <w:rFonts w:hint="eastAsia" w:ascii="华文中宋" w:hAnsi="华文中宋" w:eastAsia="华文中宋"/>
          <w:lang w:eastAsia="zh-CN"/>
        </w:rPr>
        <w:t>招标人</w:t>
      </w:r>
      <w:r>
        <w:rPr>
          <w:rFonts w:hint="eastAsia" w:ascii="华文中宋" w:hAnsi="华文中宋" w:eastAsia="华文中宋"/>
        </w:rPr>
        <w:t>签订政府采购合同后，需提交集采机构进行合同备案。自采购合同签订之日起5个工作日内退还中标人的投标保证金。</w:t>
      </w:r>
    </w:p>
    <w:p w14:paraId="4448C8A5">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9.3.5</w:t>
      </w:r>
      <w:r>
        <w:rPr>
          <w:rFonts w:hint="eastAsia" w:ascii="华文中宋" w:hAnsi="华文中宋" w:eastAsia="华文中宋"/>
          <w:lang w:eastAsia="zh-CN"/>
        </w:rPr>
        <w:t>招标人</w:t>
      </w:r>
      <w:r>
        <w:rPr>
          <w:rFonts w:hint="eastAsia" w:ascii="华文中宋" w:hAnsi="华文中宋" w:eastAsia="华文中宋"/>
        </w:rPr>
        <w:t>因重大变故取消采购任务的，集采机构在财政部门指定的政府采购信息发布媒体上发布终止公告，并以发布公告的形式通知已经获取</w:t>
      </w:r>
      <w:r>
        <w:rPr>
          <w:rFonts w:hint="eastAsia" w:ascii="华文中宋" w:hAnsi="华文中宋" w:eastAsia="华文中宋"/>
          <w:lang w:eastAsia="zh-CN"/>
        </w:rPr>
        <w:t>招标文件</w:t>
      </w:r>
      <w:r>
        <w:rPr>
          <w:rFonts w:hint="eastAsia" w:ascii="华文中宋" w:hAnsi="华文中宋" w:eastAsia="华文中宋"/>
        </w:rPr>
        <w:t>的潜在投标人，对已经交纳投标保证金的，集采机构在终止公告发布后5个工作日内予以退还。</w:t>
      </w:r>
    </w:p>
    <w:p w14:paraId="0246F95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9.3.6投标有效期内投标人撤销投标文件的，</w:t>
      </w:r>
      <w:r>
        <w:rPr>
          <w:rFonts w:hint="eastAsia" w:ascii="华文中宋" w:hAnsi="华文中宋" w:eastAsia="华文中宋"/>
          <w:lang w:eastAsia="zh-CN"/>
        </w:rPr>
        <w:t>招标人</w:t>
      </w:r>
      <w:r>
        <w:rPr>
          <w:rFonts w:hint="eastAsia" w:ascii="华文中宋" w:hAnsi="华文中宋" w:eastAsia="华文中宋"/>
        </w:rPr>
        <w:t>或者采购代理机构不退还投标保证金。</w:t>
      </w:r>
    </w:p>
    <w:p w14:paraId="4D3B0C8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 投标报价</w:t>
      </w:r>
    </w:p>
    <w:p w14:paraId="21595CB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66C1FB5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9.4.2 投标人投报多包的，应对每包分别报价并分别填报开标报价一览表。投标人报出的总价为货物/服务全部完成交付的最终价格。</w:t>
      </w:r>
    </w:p>
    <w:p w14:paraId="21937AC7">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9.4.3投标人必须整包进行投标，不得拆包分项投标。</w:t>
      </w:r>
    </w:p>
    <w:p w14:paraId="0C4A687A">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9.4.4 本次招标不接受可选择或可调整的投标和报价。</w:t>
      </w:r>
    </w:p>
    <w:p w14:paraId="5AD358F3">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9.4.5 投标人应提供货物/服务的单价（包括货物报价、装箱、包装、包装物料、送货、安装调试费、保险费用及其他应有的费用）、总价及其他事项。</w:t>
      </w:r>
    </w:p>
    <w:p w14:paraId="1A6E377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9.4.6 任何超出招标文件要求而额外赠送的货物、服务等其他形式的优惠，在评标时将不作为价格折算的必备条件。</w:t>
      </w:r>
    </w:p>
    <w:p w14:paraId="4351D6C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9.4.7项目实施过程中需要主要辅材的项目，投标人自行设计表格，填写主要辅材清单，注明品牌、型号、产地、单价、数量等内容。</w:t>
      </w:r>
    </w:p>
    <w:p w14:paraId="6AF848B5">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10. </w:t>
      </w:r>
      <w:r>
        <w:rPr>
          <w:rFonts w:hint="eastAsia" w:ascii="华文中宋" w:hAnsi="华文中宋" w:eastAsia="华文中宋" w:cs="宋体"/>
          <w:b/>
        </w:rPr>
        <w:t>投标内容填写说明</w:t>
      </w:r>
    </w:p>
    <w:p w14:paraId="20D448CC">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762145DC">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rPr>
        <w:t>10.2  投标文件有固定格式要求的须按第八部分提供的统一格式逐项填写；无相应内容可填的项填写“无”、“未测试”、“没有相应指标”、“/”等明确的回答。</w:t>
      </w:r>
    </w:p>
    <w:p w14:paraId="067FFE50">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10.3开标报价一览表要求按格式统一填写</w:t>
      </w:r>
      <w:r>
        <w:rPr>
          <w:rFonts w:hint="eastAsia" w:ascii="华文中宋" w:hAnsi="华文中宋" w:eastAsia="华文中宋"/>
        </w:rPr>
        <w:t>，不得自行增减内容</w:t>
      </w:r>
      <w:r>
        <w:rPr>
          <w:rFonts w:hint="eastAsia" w:ascii="华文中宋" w:hAnsi="华文中宋" w:eastAsia="华文中宋"/>
          <w:szCs w:val="21"/>
        </w:rPr>
        <w:t>。</w:t>
      </w:r>
    </w:p>
    <w:p w14:paraId="54D09C61">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10.4投标人必须保证投标文件所提供的全部资料真实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00FC8991">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rPr>
        <w:t>10.5</w:t>
      </w:r>
      <w:r>
        <w:rPr>
          <w:rFonts w:hint="eastAsia" w:ascii="华文中宋" w:hAnsi="华文中宋" w:eastAsia="华文中宋"/>
          <w:szCs w:val="21"/>
        </w:rPr>
        <w:t>因投标文件字迹潦草、提交资料不清晰或表达不清楚所引起的不利后果由投标人承担。</w:t>
      </w:r>
    </w:p>
    <w:p w14:paraId="02509638">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b/>
          <w:szCs w:val="21"/>
        </w:rPr>
        <w:t>11.</w:t>
      </w:r>
      <w:r>
        <w:rPr>
          <w:rFonts w:hint="eastAsia" w:ascii="华文中宋" w:hAnsi="华文中宋" w:eastAsia="华文中宋" w:cs="宋体"/>
          <w:b/>
          <w:szCs w:val="21"/>
        </w:rPr>
        <w:t>投标文件的有效期限</w:t>
      </w:r>
    </w:p>
    <w:p w14:paraId="367C943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本项目投标文件的有效期见投标人须知前附表序号6的规定。</w:t>
      </w:r>
    </w:p>
    <w:p w14:paraId="29995CF1">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b/>
          <w:szCs w:val="21"/>
        </w:rPr>
        <w:t>12.</w:t>
      </w:r>
      <w:r>
        <w:rPr>
          <w:rFonts w:hint="eastAsia" w:ascii="华文中宋" w:hAnsi="华文中宋" w:eastAsia="华文中宋" w:cs="宋体"/>
          <w:b/>
          <w:szCs w:val="21"/>
        </w:rPr>
        <w:t>投标文件的签署</w:t>
      </w:r>
    </w:p>
    <w:p w14:paraId="316B433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12.1 组成投标文件的各种文件均应遵守本条规定。</w:t>
      </w:r>
    </w:p>
    <w:p w14:paraId="2806645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12.2 投标人在</w:t>
      </w:r>
      <w:r>
        <w:rPr>
          <w:rFonts w:hint="eastAsia" w:ascii="华文中宋" w:hAnsi="华文中宋" w:eastAsia="华文中宋" w:cs="华文中宋"/>
        </w:rPr>
        <w:t>电子</w:t>
      </w:r>
      <w:r>
        <w:rPr>
          <w:rFonts w:hint="eastAsia" w:ascii="华文中宋" w:hAnsi="华文中宋" w:eastAsia="华文中宋"/>
        </w:rPr>
        <w:t>投标文件及相关文件的签订、履行、通知等事项中的“盖章”、“印章”、“公章”等处均仅指与投标人名称全称相一致的标准公章的电子签章，不得使用其它（如带有“专用章”等字样）的印章。</w:t>
      </w:r>
    </w:p>
    <w:p w14:paraId="2531E7D2">
      <w:pPr>
        <w:pStyle w:val="2"/>
        <w:keepNext/>
        <w:keepLines/>
        <w:pageBreakBefore w:val="0"/>
        <w:widowControl w:val="0"/>
        <w:kinsoku/>
        <w:wordWrap/>
        <w:overflowPunct/>
        <w:topLinePunct w:val="0"/>
        <w:autoSpaceDE/>
        <w:autoSpaceDN/>
        <w:bidi w:val="0"/>
        <w:adjustRightInd w:val="0"/>
        <w:snapToGrid/>
        <w:spacing w:beforeLines="10" w:afterLines="10" w:line="360" w:lineRule="auto"/>
        <w:ind w:left="0" w:leftChars="0" w:firstLine="0" w:firstLineChars="0"/>
        <w:jc w:val="both"/>
        <w:textAlignment w:val="baseline"/>
        <w:rPr>
          <w:rFonts w:ascii="华文中宋" w:hAnsi="华文中宋" w:eastAsia="华文中宋"/>
          <w:spacing w:val="10"/>
          <w:sz w:val="24"/>
          <w:szCs w:val="24"/>
        </w:rPr>
      </w:pPr>
      <w:bookmarkStart w:id="31" w:name="_Toc424378688"/>
      <w:bookmarkStart w:id="32" w:name="_Toc58507727"/>
      <w:bookmarkStart w:id="33" w:name="_Toc27187"/>
      <w:r>
        <w:rPr>
          <w:rFonts w:hint="eastAsia" w:ascii="华文中宋" w:hAnsi="华文中宋" w:eastAsia="华文中宋" w:cs="Times New Roman"/>
          <w:color w:val="auto"/>
          <w:kern w:val="2"/>
          <w:sz w:val="24"/>
          <w:szCs w:val="24"/>
        </w:rPr>
        <w:t>四、投标文件的递交</w:t>
      </w:r>
      <w:bookmarkEnd w:id="31"/>
      <w:bookmarkEnd w:id="32"/>
      <w:bookmarkEnd w:id="33"/>
      <w:r>
        <w:rPr>
          <w:rFonts w:hint="eastAsia" w:ascii="华文中宋" w:hAnsi="华文中宋" w:eastAsia="华文中宋" w:cs="Times New Roman"/>
          <w:color w:val="auto"/>
          <w:kern w:val="2"/>
          <w:sz w:val="24"/>
          <w:szCs w:val="24"/>
        </w:rPr>
        <w:t xml:space="preserve">   </w:t>
      </w:r>
      <w:r>
        <w:rPr>
          <w:rFonts w:hint="eastAsia" w:ascii="华文中宋" w:hAnsi="华文中宋" w:eastAsia="华文中宋"/>
          <w:spacing w:val="10"/>
          <w:sz w:val="24"/>
          <w:szCs w:val="24"/>
        </w:rPr>
        <w:t xml:space="preserve">  </w:t>
      </w:r>
    </w:p>
    <w:p w14:paraId="37E438FB">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szCs w:val="21"/>
        </w:rPr>
      </w:pPr>
      <w:r>
        <w:rPr>
          <w:rFonts w:hint="eastAsia" w:ascii="华文中宋" w:hAnsi="华文中宋" w:eastAsia="华文中宋"/>
          <w:szCs w:val="21"/>
        </w:rPr>
        <w:t>13.1</w:t>
      </w:r>
      <w:r>
        <w:rPr>
          <w:rFonts w:hint="eastAsia" w:ascii="华文中宋" w:hAnsi="华文中宋" w:eastAsia="华文中宋"/>
          <w:bCs/>
          <w:szCs w:val="21"/>
        </w:rPr>
        <w:t>电子</w:t>
      </w:r>
      <w:r>
        <w:rPr>
          <w:rFonts w:hint="eastAsia" w:ascii="华文中宋" w:hAnsi="华文中宋" w:eastAsia="华文中宋"/>
          <w:szCs w:val="21"/>
        </w:rPr>
        <w:t>投标文件</w:t>
      </w:r>
      <w:r>
        <w:rPr>
          <w:rFonts w:hint="eastAsia" w:ascii="华文中宋" w:hAnsi="华文中宋" w:eastAsia="华文中宋"/>
          <w:bCs/>
          <w:szCs w:val="21"/>
        </w:rPr>
        <w:t>须按照招标文件第一部分投标邀请中规定的提交投标文件截止时间前在线递交。</w:t>
      </w:r>
    </w:p>
    <w:p w14:paraId="244CEA2B">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szCs w:val="21"/>
        </w:rPr>
        <w:t xml:space="preserve">13.2 </w:t>
      </w:r>
      <w:r>
        <w:rPr>
          <w:rFonts w:hint="eastAsia" w:ascii="华文中宋" w:hAnsi="华文中宋" w:eastAsia="华文中宋"/>
          <w:szCs w:val="21"/>
          <w:lang w:val="en-US" w:eastAsia="zh-CN"/>
        </w:rPr>
        <w:t>如需递交纸质版投标文件</w:t>
      </w:r>
      <w:r>
        <w:rPr>
          <w:rFonts w:hint="eastAsia" w:ascii="华文中宋" w:hAnsi="华文中宋" w:eastAsia="华文中宋"/>
          <w:szCs w:val="21"/>
        </w:rPr>
        <w:t>应按以下方法密封：</w:t>
      </w:r>
      <w:r>
        <w:rPr>
          <w:rFonts w:hint="eastAsia" w:ascii="华文中宋" w:hAnsi="华文中宋" w:eastAsia="华文中宋"/>
          <w:kern w:val="0"/>
          <w:szCs w:val="21"/>
        </w:rPr>
        <w:t>投标人须将</w:t>
      </w:r>
      <w:r>
        <w:rPr>
          <w:rFonts w:hint="eastAsia" w:ascii="华文中宋" w:hAnsi="华文中宋" w:eastAsia="华文中宋" w:cs="华文中宋"/>
          <w:szCs w:val="21"/>
        </w:rPr>
        <w:t>纸质</w:t>
      </w:r>
      <w:r>
        <w:rPr>
          <w:rFonts w:hint="eastAsia" w:ascii="华文中宋" w:hAnsi="华文中宋" w:eastAsia="华文中宋"/>
          <w:kern w:val="0"/>
          <w:szCs w:val="21"/>
        </w:rPr>
        <w:t>投标文件（资格证明文件）</w:t>
      </w:r>
      <w:r>
        <w:rPr>
          <w:rFonts w:hint="eastAsia" w:ascii="华文中宋" w:hAnsi="华文中宋" w:eastAsia="华文中宋" w:cs="华文中宋"/>
          <w:szCs w:val="21"/>
        </w:rPr>
        <w:t>和</w:t>
      </w:r>
      <w:r>
        <w:rPr>
          <w:rFonts w:hint="eastAsia" w:ascii="华文中宋" w:hAnsi="华文中宋" w:eastAsia="华文中宋"/>
          <w:kern w:val="0"/>
          <w:szCs w:val="21"/>
        </w:rPr>
        <w:t>纸质投标文件（商务技术文件）及投标人认为有必要提交的其他资料密封提交。封皮上须写明项目编号、项目名称、投标人全称、地址，并加盖投标人公章。</w:t>
      </w:r>
    </w:p>
    <w:p w14:paraId="6E41F988">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kern w:val="0"/>
          <w:szCs w:val="21"/>
        </w:rPr>
        <w:t>13.3 如果投标人未按要求对投标文件进行密封、盖章的，将做无效投标处理。集采机构对由此带来的问题和后果概不承担任何责任。</w:t>
      </w:r>
    </w:p>
    <w:p w14:paraId="5DCEA98E">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kern w:val="0"/>
          <w:szCs w:val="21"/>
        </w:rPr>
      </w:pPr>
      <w:r>
        <w:rPr>
          <w:rFonts w:hint="eastAsia" w:ascii="华文中宋" w:hAnsi="华文中宋" w:eastAsia="华文中宋"/>
          <w:b/>
          <w:kern w:val="0"/>
          <w:szCs w:val="21"/>
        </w:rPr>
        <w:t>14</w:t>
      </w:r>
      <w:r>
        <w:rPr>
          <w:rFonts w:hint="eastAsia" w:ascii="华文中宋" w:hAnsi="华文中宋" w:eastAsia="华文中宋" w:cs="宋体"/>
          <w:b/>
          <w:kern w:val="0"/>
          <w:szCs w:val="21"/>
        </w:rPr>
        <w:t>．投标截止时间</w:t>
      </w:r>
    </w:p>
    <w:p w14:paraId="24D6F0AE">
      <w:pPr>
        <w:pStyle w:val="68"/>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 xml:space="preserve">14.1 </w:t>
      </w:r>
      <w:r>
        <w:rPr>
          <w:rFonts w:hint="eastAsia" w:ascii="华文中宋" w:hAnsi="华文中宋" w:eastAsia="华文中宋"/>
          <w:lang w:val="en-US" w:eastAsia="zh-CN"/>
        </w:rPr>
        <w:t>投标人</w:t>
      </w:r>
      <w:r>
        <w:rPr>
          <w:rFonts w:hint="eastAsia" w:ascii="华文中宋" w:hAnsi="华文中宋" w:eastAsia="华文中宋"/>
        </w:rPr>
        <w:t>须在规定时间对响应文件进行上传并解密，如遇到外部环境原因而造成解密失败的，不利后果由</w:t>
      </w:r>
      <w:r>
        <w:rPr>
          <w:rFonts w:hint="eastAsia" w:ascii="华文中宋" w:hAnsi="华文中宋" w:eastAsia="华文中宋"/>
          <w:lang w:val="en-US" w:eastAsia="zh-CN"/>
        </w:rPr>
        <w:t>投标人</w:t>
      </w:r>
      <w:r>
        <w:rPr>
          <w:rFonts w:hint="eastAsia" w:ascii="华文中宋" w:hAnsi="华文中宋" w:eastAsia="华文中宋"/>
        </w:rPr>
        <w:t>自行承担。</w:t>
      </w:r>
    </w:p>
    <w:p w14:paraId="3BE27407">
      <w:pPr>
        <w:pStyle w:val="68"/>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14.2 集采机构根据本须知的规定，通过修改招标文件或自行决定延长投标截止日期的，</w:t>
      </w:r>
      <w:r>
        <w:rPr>
          <w:rFonts w:hint="eastAsia" w:ascii="华文中宋" w:hAnsi="华文中宋" w:eastAsia="华文中宋"/>
          <w:lang w:eastAsia="zh-CN"/>
        </w:rPr>
        <w:t>招标人</w:t>
      </w:r>
      <w:r>
        <w:rPr>
          <w:rFonts w:hint="eastAsia" w:ascii="华文中宋" w:hAnsi="华文中宋" w:eastAsia="华文中宋"/>
        </w:rPr>
        <w:t>和投标人受投标截止日期制约的所有权利和义务均延长至新的截止日期。</w:t>
      </w:r>
    </w:p>
    <w:p w14:paraId="32746A8C">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kern w:val="0"/>
          <w:szCs w:val="21"/>
        </w:rPr>
      </w:pPr>
      <w:r>
        <w:rPr>
          <w:rFonts w:hint="eastAsia" w:ascii="华文中宋" w:hAnsi="华文中宋" w:eastAsia="华文中宋"/>
          <w:b/>
          <w:kern w:val="0"/>
          <w:szCs w:val="21"/>
        </w:rPr>
        <w:t>15</w:t>
      </w:r>
      <w:r>
        <w:rPr>
          <w:rFonts w:hint="eastAsia" w:ascii="华文中宋" w:hAnsi="华文中宋" w:eastAsia="华文中宋" w:cs="宋体"/>
          <w:b/>
          <w:kern w:val="0"/>
          <w:szCs w:val="21"/>
        </w:rPr>
        <w:t>．投标文件的补充、修改和撤回</w:t>
      </w:r>
    </w:p>
    <w:p w14:paraId="754B31E0">
      <w:pPr>
        <w:pageBreakBefore w:val="0"/>
        <w:widowControl w:val="0"/>
        <w:kinsoku/>
        <w:wordWrap/>
        <w:overflowPunct/>
        <w:topLinePunct w:val="0"/>
        <w:autoSpaceDE/>
        <w:autoSpaceDN/>
        <w:bidi w:val="0"/>
        <w:spacing w:line="480" w:lineRule="exact"/>
        <w:ind w:firstLine="315" w:firstLineChars="150"/>
        <w:rPr>
          <w:rFonts w:hint="eastAsia" w:ascii="华文中宋" w:hAnsi="华文中宋" w:eastAsia="华文中宋"/>
        </w:rPr>
      </w:pPr>
      <w:r>
        <w:rPr>
          <w:rFonts w:hint="eastAsia" w:ascii="华文中宋" w:hAnsi="华文中宋" w:eastAsia="华文中宋"/>
          <w:kern w:val="0"/>
          <w:szCs w:val="21"/>
        </w:rPr>
        <w:t xml:space="preserve">15.1 </w:t>
      </w:r>
      <w:r>
        <w:rPr>
          <w:rFonts w:hint="eastAsia" w:ascii="华文中宋" w:hAnsi="华文中宋" w:eastAsia="华文中宋"/>
          <w:lang w:val="en-US" w:eastAsia="zh-CN"/>
        </w:rPr>
        <w:t>投标人</w:t>
      </w:r>
      <w:r>
        <w:rPr>
          <w:rFonts w:hint="eastAsia" w:ascii="华文中宋" w:hAnsi="华文中宋" w:eastAsia="华文中宋"/>
        </w:rPr>
        <w:t>在响应文件解密截止时间前，可以对响应文件进行补充、修改或者撤回，补充、修改的内容作为响应文件的组成部分，补充、修改的内容与响应文件不一致的，以补充、修改的内容为准。</w:t>
      </w:r>
    </w:p>
    <w:p w14:paraId="6227E6FD">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rPr>
      </w:pPr>
      <w:r>
        <w:rPr>
          <w:rFonts w:hint="eastAsia" w:ascii="华文中宋" w:hAnsi="华文中宋" w:eastAsia="华文中宋"/>
          <w:kern w:val="0"/>
          <w:szCs w:val="21"/>
        </w:rPr>
        <w:t>15.</w:t>
      </w:r>
      <w:r>
        <w:rPr>
          <w:rFonts w:hint="eastAsia" w:ascii="华文中宋" w:hAnsi="华文中宋" w:eastAsia="华文中宋"/>
          <w:kern w:val="0"/>
          <w:szCs w:val="21"/>
          <w:lang w:val="en-US" w:eastAsia="zh-CN"/>
        </w:rPr>
        <w:t>2</w:t>
      </w:r>
      <w:r>
        <w:rPr>
          <w:rFonts w:hint="eastAsia" w:ascii="华文中宋" w:hAnsi="华文中宋" w:eastAsia="华文中宋"/>
        </w:rPr>
        <w:t>在</w:t>
      </w:r>
      <w:r>
        <w:rPr>
          <w:rFonts w:hint="eastAsia" w:ascii="华文中宋" w:hAnsi="华文中宋" w:eastAsia="华文中宋"/>
          <w:lang w:val="en-US" w:eastAsia="zh-CN"/>
        </w:rPr>
        <w:t>投标文件</w:t>
      </w:r>
      <w:r>
        <w:rPr>
          <w:rFonts w:hint="eastAsia" w:ascii="华文中宋" w:hAnsi="华文中宋" w:eastAsia="华文中宋"/>
        </w:rPr>
        <w:t>要求的响应文件提交截止时间之后，</w:t>
      </w:r>
      <w:r>
        <w:rPr>
          <w:rFonts w:hint="eastAsia" w:ascii="华文中宋" w:hAnsi="华文中宋" w:eastAsia="华文中宋"/>
          <w:lang w:val="en-US" w:eastAsia="zh-CN"/>
        </w:rPr>
        <w:t>投标人</w:t>
      </w:r>
      <w:r>
        <w:rPr>
          <w:rFonts w:hint="eastAsia" w:ascii="华文中宋" w:hAnsi="华文中宋" w:eastAsia="华文中宋"/>
        </w:rPr>
        <w:t>不得对其响应文件进行补充、修改或撤回。</w:t>
      </w:r>
    </w:p>
    <w:p w14:paraId="013FB31B">
      <w:pPr>
        <w:pStyle w:val="2"/>
        <w:pageBreakBefore w:val="0"/>
        <w:widowControl w:val="0"/>
        <w:kinsoku/>
        <w:wordWrap/>
        <w:overflowPunct/>
        <w:topLinePunct w:val="0"/>
        <w:autoSpaceDE/>
        <w:autoSpaceDN/>
        <w:bidi w:val="0"/>
        <w:spacing w:beforeLines="10" w:afterLines="10" w:line="480" w:lineRule="exact"/>
        <w:ind w:left="0" w:firstLine="390" w:firstLineChars="150"/>
        <w:jc w:val="both"/>
        <w:rPr>
          <w:rFonts w:ascii="华文中宋" w:hAnsi="华文中宋" w:eastAsia="华文中宋"/>
          <w:spacing w:val="10"/>
          <w:sz w:val="24"/>
          <w:szCs w:val="24"/>
        </w:rPr>
      </w:pPr>
      <w:bookmarkStart w:id="34" w:name="_Toc829"/>
      <w:bookmarkStart w:id="35" w:name="_Toc352761934"/>
      <w:bookmarkStart w:id="36" w:name="_Toc424378689"/>
      <w:bookmarkStart w:id="37" w:name="_Toc58507728"/>
      <w:r>
        <w:rPr>
          <w:rFonts w:hint="eastAsia" w:ascii="华文中宋" w:hAnsi="华文中宋" w:eastAsia="华文中宋"/>
          <w:spacing w:val="10"/>
          <w:sz w:val="24"/>
          <w:szCs w:val="24"/>
        </w:rPr>
        <w:t>五、开标</w:t>
      </w:r>
      <w:bookmarkEnd w:id="34"/>
      <w:bookmarkEnd w:id="35"/>
      <w:bookmarkEnd w:id="36"/>
      <w:bookmarkEnd w:id="37"/>
      <w:r>
        <w:rPr>
          <w:rFonts w:hint="eastAsia" w:ascii="华文中宋" w:hAnsi="华文中宋" w:eastAsia="华文中宋"/>
          <w:spacing w:val="10"/>
          <w:sz w:val="24"/>
          <w:szCs w:val="24"/>
        </w:rPr>
        <w:t xml:space="preserve">     </w:t>
      </w:r>
    </w:p>
    <w:p w14:paraId="7B0E5144">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b/>
          <w:szCs w:val="21"/>
        </w:rPr>
        <w:t xml:space="preserve">16. </w:t>
      </w:r>
      <w:r>
        <w:rPr>
          <w:rFonts w:hint="eastAsia" w:ascii="华文中宋" w:hAnsi="华文中宋" w:eastAsia="华文中宋" w:cs="宋体"/>
          <w:b/>
          <w:szCs w:val="21"/>
        </w:rPr>
        <w:t>开标及其有关事项</w:t>
      </w:r>
    </w:p>
    <w:p w14:paraId="7B016972">
      <w:pPr>
        <w:pStyle w:val="68"/>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bookmarkStart w:id="38" w:name="_Toc352761935"/>
      <w:bookmarkStart w:id="39" w:name="_Toc424378690"/>
      <w:r>
        <w:rPr>
          <w:rFonts w:hint="eastAsia" w:ascii="华文中宋" w:hAnsi="华文中宋" w:eastAsia="华文中宋"/>
        </w:rPr>
        <w:t>16.1投标人不足三家的，不得开标。</w:t>
      </w:r>
    </w:p>
    <w:p w14:paraId="64A61D17">
      <w:pPr>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kern w:val="0"/>
          <w:szCs w:val="21"/>
        </w:rPr>
      </w:pPr>
      <w:r>
        <w:rPr>
          <w:rFonts w:hint="eastAsia" w:ascii="华文中宋" w:hAnsi="华文中宋" w:eastAsia="华文中宋"/>
        </w:rPr>
        <w:t>16.2</w:t>
      </w:r>
      <w:r>
        <w:rPr>
          <w:rFonts w:hint="eastAsia" w:ascii="华文中宋" w:hAnsi="华文中宋" w:eastAsia="华文中宋"/>
          <w:kern w:val="0"/>
          <w:szCs w:val="21"/>
        </w:rPr>
        <w:t>开标时，投标人在开标现场或登录“山西政府采购平台”在规定时间内解密电子投标文件，规定时间内未完成解密将导致</w:t>
      </w:r>
      <w:r>
        <w:rPr>
          <w:rFonts w:hint="eastAsia" w:ascii="华文中宋" w:hAnsi="华文中宋" w:eastAsia="华文中宋"/>
          <w:b/>
          <w:bCs/>
          <w:kern w:val="0"/>
          <w:szCs w:val="21"/>
        </w:rPr>
        <w:t>投标无效</w:t>
      </w:r>
      <w:r>
        <w:rPr>
          <w:rFonts w:hint="eastAsia" w:ascii="华文中宋" w:hAnsi="华文中宋" w:eastAsia="华文中宋"/>
          <w:kern w:val="0"/>
          <w:szCs w:val="21"/>
        </w:rPr>
        <w:t>。</w:t>
      </w:r>
    </w:p>
    <w:p w14:paraId="48ACBFC2">
      <w:pPr>
        <w:pStyle w:val="68"/>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16.3投标人在开标现场或登录“山西政府采购平台”中自行查看开标结果，并进行确认，在规定时间内未进行确认的，系统默认为已确认开标结果。</w:t>
      </w:r>
    </w:p>
    <w:p w14:paraId="745AF941">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0" w:name="_Toc8119"/>
      <w:bookmarkStart w:id="41" w:name="_Toc58507729"/>
      <w:r>
        <w:rPr>
          <w:rFonts w:hint="eastAsia" w:ascii="华文中宋" w:hAnsi="华文中宋" w:eastAsia="华文中宋" w:cs="Times New Roman"/>
          <w:color w:val="auto"/>
          <w:kern w:val="2"/>
          <w:sz w:val="24"/>
          <w:szCs w:val="24"/>
        </w:rPr>
        <w:t>六、评标程序和要求</w:t>
      </w:r>
      <w:bookmarkEnd w:id="38"/>
      <w:bookmarkEnd w:id="39"/>
      <w:bookmarkEnd w:id="40"/>
      <w:bookmarkEnd w:id="41"/>
    </w:p>
    <w:p w14:paraId="77632636">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17.</w:t>
      </w:r>
      <w:r>
        <w:rPr>
          <w:rFonts w:hint="eastAsia" w:ascii="华文中宋" w:hAnsi="华文中宋" w:eastAsia="华文中宋" w:cs="宋体"/>
          <w:b/>
        </w:rPr>
        <w:t>项目组织</w:t>
      </w:r>
    </w:p>
    <w:p w14:paraId="1D3A640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集采机构负责组织评标工作并履行相关职责。</w:t>
      </w:r>
    </w:p>
    <w:p w14:paraId="3284B69F">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18. </w:t>
      </w:r>
      <w:r>
        <w:rPr>
          <w:rFonts w:hint="eastAsia" w:ascii="华文中宋" w:hAnsi="华文中宋" w:eastAsia="华文中宋" w:cs="宋体"/>
          <w:b/>
        </w:rPr>
        <w:t>投标人资格审查</w:t>
      </w:r>
    </w:p>
    <w:p w14:paraId="05601D22">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公开招标采购项目开标结束后，</w:t>
      </w:r>
      <w:r>
        <w:rPr>
          <w:rFonts w:hint="eastAsia" w:ascii="华文中宋" w:hAnsi="华文中宋" w:eastAsia="华文中宋"/>
          <w:lang w:eastAsia="zh-CN"/>
        </w:rPr>
        <w:t>招标人</w:t>
      </w:r>
      <w:r>
        <w:rPr>
          <w:rFonts w:hint="eastAsia" w:ascii="华文中宋" w:hAnsi="华文中宋" w:eastAsia="华文中宋"/>
        </w:rPr>
        <w:t>或集采机构按照招标文件第五部分中资格审查的内容及标准对投标人提交的投标文件（资格证明文件）进行资格审查，以确定投标人是否具备投标资格。审查后合格投标人不足3家的不得评标。</w:t>
      </w:r>
    </w:p>
    <w:p w14:paraId="0CDFB542">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19. </w:t>
      </w:r>
      <w:r>
        <w:rPr>
          <w:rFonts w:hint="eastAsia" w:ascii="华文中宋" w:hAnsi="华文中宋" w:eastAsia="华文中宋" w:cs="宋体"/>
          <w:b/>
        </w:rPr>
        <w:t>组建评标委员会</w:t>
      </w:r>
    </w:p>
    <w:p w14:paraId="136F83A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19.1 集采机构根据政府采购有关法律法规和本招标文件的规定，结合本招标项目的特点组建评标委员会，评标委员会由五人及以上单数组成，其中评审专家不少于成员总数的三分之二。</w:t>
      </w:r>
    </w:p>
    <w:p w14:paraId="1F642C4C">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19.2评标委员会的组成人员为</w:t>
      </w:r>
      <w:r>
        <w:rPr>
          <w:rFonts w:hint="eastAsia" w:ascii="华文中宋" w:hAnsi="华文中宋" w:eastAsia="华文中宋" w:cs="华文中宋"/>
          <w:lang w:eastAsia="zh-CN"/>
        </w:rPr>
        <w:t>招标人</w:t>
      </w:r>
      <w:r>
        <w:rPr>
          <w:rFonts w:hint="eastAsia" w:ascii="华文中宋" w:hAnsi="华文中宋" w:eastAsia="华文中宋" w:cs="华文中宋"/>
        </w:rPr>
        <w:t>或采购代理机构就招标文件征询过意见的专家，不得参加本项目评审。</w:t>
      </w:r>
    </w:p>
    <w:p w14:paraId="5083AB5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19.3 评标委员会负责对符合资格的投标人的投标文件（商务技术文件）进行符合性审查和商务、技术部分的评标事务，出具经评标委员会签字的评标报告。</w:t>
      </w:r>
    </w:p>
    <w:p w14:paraId="2CADF032">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19.4 采购代理机构负责组织项目的评标工作。</w:t>
      </w:r>
    </w:p>
    <w:p w14:paraId="22830106">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20.</w:t>
      </w:r>
      <w:r>
        <w:rPr>
          <w:rFonts w:hint="eastAsia" w:ascii="华文中宋" w:hAnsi="华文中宋" w:eastAsia="华文中宋" w:cs="宋体"/>
          <w:b/>
        </w:rPr>
        <w:t>投标文件（商务技术文件）符合性审查</w:t>
      </w:r>
    </w:p>
    <w:p w14:paraId="55BB3D24">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评标委员会按照招标文件第六部分评标标准和评标办法中符合性审查的内容及标准对投标文件进行符合性审查，以确定投标文件是否对招标文件的商务、技术等实质性要求作出响应。</w:t>
      </w:r>
    </w:p>
    <w:p w14:paraId="28852C3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21.</w:t>
      </w:r>
      <w:r>
        <w:rPr>
          <w:rFonts w:hint="eastAsia" w:ascii="华文中宋" w:hAnsi="华文中宋" w:eastAsia="华文中宋" w:cs="宋体"/>
          <w:b/>
        </w:rPr>
        <w:t>评审中遵循的原则</w:t>
      </w:r>
    </w:p>
    <w:p w14:paraId="7961F69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lang w:val="en-US" w:eastAsia="zh-CN"/>
        </w:rPr>
        <w:t>1</w:t>
      </w:r>
      <w:r>
        <w:rPr>
          <w:rFonts w:ascii="华文中宋" w:hAnsi="华文中宋" w:eastAsia="华文中宋"/>
        </w:rPr>
        <w:t>.1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6065E312">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r>
        <w:rPr>
          <w:rFonts w:hint="eastAsia" w:ascii="华文中宋" w:hAnsi="华文中宋" w:eastAsia="华文中宋"/>
          <w:lang w:eastAsia="zh-CN"/>
        </w:rPr>
        <w:t>（</w:t>
      </w:r>
      <w:r>
        <w:rPr>
          <w:rFonts w:hint="eastAsia" w:ascii="华文中宋" w:hAnsi="华文中宋" w:eastAsia="华文中宋"/>
          <w:lang w:val="en-US" w:eastAsia="zh-CN"/>
        </w:rPr>
        <w:t>如有的话</w:t>
      </w:r>
      <w:r>
        <w:rPr>
          <w:rFonts w:hint="eastAsia" w:ascii="华文中宋" w:hAnsi="华文中宋" w:eastAsia="华文中宋"/>
          <w:lang w:eastAsia="zh-CN"/>
        </w:rPr>
        <w:t>）</w:t>
      </w:r>
    </w:p>
    <w:p w14:paraId="7670591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）投标文件未按招标文件要求签署、盖章的；</w:t>
      </w:r>
    </w:p>
    <w:p w14:paraId="1B6D2CE4">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7A3ED1F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007B1F4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w:t>
      </w:r>
      <w:r>
        <w:rPr>
          <w:rFonts w:hint="eastAsia" w:ascii="华文中宋" w:hAnsi="华文中宋" w:eastAsia="华文中宋"/>
          <w:lang w:eastAsia="zh-CN"/>
        </w:rPr>
        <w:t>招标人</w:t>
      </w:r>
      <w:r>
        <w:rPr>
          <w:rFonts w:hint="eastAsia" w:ascii="华文中宋" w:hAnsi="华文中宋" w:eastAsia="华文中宋"/>
        </w:rPr>
        <w:t>不能接受的附加条件的；</w:t>
      </w:r>
    </w:p>
    <w:p w14:paraId="00FE41A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3A6C2E0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lang w:val="en-US" w:eastAsia="zh-CN"/>
        </w:rPr>
        <w:t>1</w:t>
      </w:r>
      <w:r>
        <w:rPr>
          <w:rFonts w:ascii="华文中宋" w:hAnsi="华文中宋" w:eastAsia="华文中宋"/>
        </w:rPr>
        <w:t>.2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p>
    <w:p w14:paraId="1EA62435">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72DA2A95">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5824706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EC72D6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016DCAE2">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评标委员会将要求投标人按上述原则在山西政府采购平台内调整确认，确认方式为PDF</w:t>
      </w:r>
      <w:r>
        <w:rPr>
          <w:rFonts w:hint="eastAsia" w:ascii="华文中宋" w:hAnsi="华文中宋" w:eastAsia="华文中宋" w:cs="华文中宋"/>
        </w:rPr>
        <w:t>加盖法人</w:t>
      </w:r>
      <w:r>
        <w:rPr>
          <w:rFonts w:hint="eastAsia" w:ascii="华文中宋" w:hAnsi="华文中宋" w:eastAsia="华文中宋"/>
        </w:rPr>
        <w:t>+电子签章。投标人确认后的报价对投标人具有约束力，如果投标人不予确认，其投标无效。</w:t>
      </w:r>
    </w:p>
    <w:p w14:paraId="50B2FF3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rPr>
      </w:pPr>
      <w:r>
        <w:rPr>
          <w:rFonts w:hint="eastAsia" w:ascii="华文中宋" w:hAnsi="华文中宋" w:eastAsia="华文中宋"/>
        </w:rPr>
        <w:t>2</w:t>
      </w:r>
      <w:r>
        <w:rPr>
          <w:rFonts w:hint="eastAsia" w:ascii="华文中宋" w:hAnsi="华文中宋" w:eastAsia="华文中宋"/>
          <w:lang w:val="en-US" w:eastAsia="zh-CN"/>
        </w:rPr>
        <w:t>1</w:t>
      </w:r>
      <w:r>
        <w:rPr>
          <w:rFonts w:hint="eastAsia" w:ascii="华文中宋" w:hAnsi="华文中宋" w:eastAsia="华文中宋"/>
        </w:rPr>
        <w:t>.3未通过资格性检查或未实质性响应</w:t>
      </w:r>
      <w:r>
        <w:rPr>
          <w:rFonts w:hint="eastAsia" w:ascii="华文中宋" w:hAnsi="华文中宋" w:eastAsia="华文中宋"/>
          <w:lang w:val="en-US" w:eastAsia="zh-CN"/>
        </w:rPr>
        <w:t>招标</w:t>
      </w:r>
      <w:r>
        <w:rPr>
          <w:rFonts w:hint="eastAsia" w:ascii="华文中宋" w:hAnsi="华文中宋" w:eastAsia="华文中宋"/>
        </w:rPr>
        <w:t>文件规定要求的</w:t>
      </w:r>
      <w:r>
        <w:rPr>
          <w:rFonts w:hint="eastAsia" w:ascii="华文中宋" w:hAnsi="华文中宋" w:eastAsia="华文中宋"/>
          <w:lang w:val="en-US" w:eastAsia="zh-CN"/>
        </w:rPr>
        <w:t>投标</w:t>
      </w:r>
      <w:r>
        <w:rPr>
          <w:rFonts w:hint="eastAsia" w:ascii="华文中宋" w:hAnsi="华文中宋" w:eastAsia="华文中宋"/>
        </w:rPr>
        <w:t>文件按无效响应处理，须在评审报告中提供充分的事实依据和法律依据，依据可为采购文件条款。同时，</w:t>
      </w:r>
      <w:r>
        <w:rPr>
          <w:rFonts w:hint="eastAsia" w:ascii="华文中宋" w:hAnsi="华文中宋" w:eastAsia="华文中宋"/>
          <w:lang w:val="en-US" w:eastAsia="zh-CN"/>
        </w:rPr>
        <w:t>评审</w:t>
      </w:r>
      <w:r>
        <w:rPr>
          <w:rFonts w:hint="eastAsia" w:ascii="华文中宋" w:hAnsi="华文中宋" w:eastAsia="华文中宋"/>
        </w:rPr>
        <w:t>小组须及时告知有关</w:t>
      </w:r>
      <w:r>
        <w:rPr>
          <w:rFonts w:hint="eastAsia" w:ascii="华文中宋" w:hAnsi="华文中宋" w:eastAsia="华文中宋"/>
          <w:lang w:val="en-US" w:eastAsia="zh-CN"/>
        </w:rPr>
        <w:t>投标</w:t>
      </w:r>
      <w:r>
        <w:rPr>
          <w:rFonts w:hint="eastAsia" w:ascii="华文中宋" w:hAnsi="华文中宋" w:eastAsia="华文中宋"/>
        </w:rPr>
        <w:t>供应商。</w:t>
      </w:r>
    </w:p>
    <w:p w14:paraId="0ACEA6E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4</w:t>
      </w:r>
      <w:r>
        <w:rPr>
          <w:rFonts w:hint="eastAsia" w:ascii="华文中宋" w:hAnsi="华文中宋" w:eastAsia="华文中宋"/>
        </w:rPr>
        <w:t xml:space="preserve">在评标过程中发现投标人有下列情形的，评标委员会应认定其投标无效，并书面报告本级财政部门： </w:t>
      </w:r>
    </w:p>
    <w:p w14:paraId="345AF4D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A、有恶意串通的；</w:t>
      </w:r>
    </w:p>
    <w:p w14:paraId="65C8998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B、有妨碍其他投标人的竞争行为的；</w:t>
      </w:r>
    </w:p>
    <w:p w14:paraId="11D643C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C、有损害</w:t>
      </w:r>
      <w:r>
        <w:rPr>
          <w:rFonts w:hint="eastAsia" w:ascii="华文中宋" w:hAnsi="华文中宋" w:eastAsia="华文中宋"/>
          <w:lang w:eastAsia="zh-CN"/>
        </w:rPr>
        <w:t>招标人</w:t>
      </w:r>
      <w:r>
        <w:rPr>
          <w:rFonts w:hint="eastAsia" w:ascii="华文中宋" w:hAnsi="华文中宋" w:eastAsia="华文中宋"/>
        </w:rPr>
        <w:t>或者其他投标人的合法权益的。</w:t>
      </w:r>
    </w:p>
    <w:p w14:paraId="4B5B83C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5</w:t>
      </w:r>
      <w:r>
        <w:rPr>
          <w:rFonts w:hint="eastAsia" w:ascii="华文中宋" w:hAnsi="华文中宋" w:eastAsia="华文中宋"/>
        </w:rPr>
        <w:t>投标人有下列情形之一的，视为串通投标，其投标无效：</w:t>
      </w:r>
    </w:p>
    <w:p w14:paraId="2C8C7CD7">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315" w:firstLineChars="150"/>
        <w:textAlignment w:val="baseline"/>
        <w:rPr>
          <w:rFonts w:hint="eastAsia" w:ascii="华文中宋" w:hAnsi="华文中宋" w:eastAsia="华文中宋"/>
          <w:lang w:eastAsia="zh-CN"/>
        </w:rPr>
      </w:pPr>
      <w:r>
        <w:rPr>
          <w:rFonts w:hint="eastAsia" w:ascii="华文中宋" w:hAnsi="华文中宋" w:eastAsia="华文中宋"/>
        </w:rPr>
        <w:t>A、不同投标人的投标保证金转出账户的银行账户名称相同的</w:t>
      </w:r>
      <w:r>
        <w:rPr>
          <w:rFonts w:hint="eastAsia" w:ascii="华文中宋" w:hAnsi="华文中宋" w:eastAsia="华文中宋"/>
          <w:lang w:eastAsia="zh-CN"/>
        </w:rPr>
        <w:t>；</w:t>
      </w:r>
    </w:p>
    <w:p w14:paraId="34B15AA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B、系统记录的参加同一项目的不同投标人编制电子投标文件使用的计算机或上传电子投标文件使用的计算机网卡MAC地址、IP地址一致的</w:t>
      </w:r>
      <w:r>
        <w:rPr>
          <w:rFonts w:hint="eastAsia" w:ascii="华文中宋" w:hAnsi="华文中宋" w:eastAsia="华文中宋"/>
          <w:lang w:eastAsia="zh-CN"/>
        </w:rPr>
        <w:t>；</w:t>
      </w:r>
    </w:p>
    <w:p w14:paraId="18BCEBA5">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C、投标人上传的电子投标文件若出现使用本项目其他投标人的数字证书加密的或加盖本项目的其他投标人的电子印章的</w:t>
      </w:r>
      <w:r>
        <w:rPr>
          <w:rFonts w:hint="eastAsia" w:ascii="华文中宋" w:hAnsi="华文中宋" w:eastAsia="华文中宋"/>
          <w:lang w:eastAsia="zh-CN"/>
        </w:rPr>
        <w:t>。</w:t>
      </w:r>
    </w:p>
    <w:p w14:paraId="2BA103E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hint="eastAsia" w:ascii="华文中宋" w:hAnsi="华文中宋" w:eastAsia="华文中宋"/>
        </w:rPr>
      </w:pPr>
      <w:r>
        <w:rPr>
          <w:rFonts w:hint="eastAsia" w:ascii="华文中宋" w:hAnsi="华文中宋" w:eastAsia="华文中宋"/>
        </w:rPr>
        <w:t>D、不同投标人委托同一单位或者个人办理投标事宜；</w:t>
      </w:r>
    </w:p>
    <w:p w14:paraId="56845FC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E、</w:t>
      </w:r>
      <w:r>
        <w:rPr>
          <w:rFonts w:hint="eastAsia" w:ascii="华文中宋" w:hAnsi="华文中宋" w:eastAsia="华文中宋" w:cs="Times New Roman"/>
          <w:color w:val="auto"/>
        </w:rPr>
        <w:t>不同投标人的投标文件载明的项目管理成员或者联系人为同一人；</w:t>
      </w:r>
    </w:p>
    <w:p w14:paraId="5B8B643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F、</w:t>
      </w:r>
      <w:r>
        <w:rPr>
          <w:rFonts w:hint="eastAsia" w:ascii="华文中宋" w:hAnsi="华文中宋" w:eastAsia="华文中宋" w:cs="Times New Roman"/>
          <w:color w:val="auto"/>
        </w:rPr>
        <w:t>不同投标人的投标文件异常一致或者投标报价呈规律性差异；</w:t>
      </w:r>
    </w:p>
    <w:p w14:paraId="15B50DF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6</w:t>
      </w:r>
      <w:r>
        <w:rPr>
          <w:rFonts w:hint="eastAsia" w:ascii="华文中宋" w:hAnsi="华文中宋" w:eastAsia="华文中宋"/>
        </w:rPr>
        <w:t xml:space="preserve"> 如果多个投标人所投核心产品全部为同一品牌的按下述原则处理：</w:t>
      </w:r>
    </w:p>
    <w:p w14:paraId="31A59A7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6B83B70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789D182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rPr>
        <w:t xml:space="preserve">C、非单一产品采购项目，技术需求书中标注“※”的产品为核心产品。多家投标人提供的核心产品品牌完全相同的，按前两款规定处理。  </w:t>
      </w:r>
      <w:r>
        <w:rPr>
          <w:rFonts w:hint="eastAsia" w:ascii="华文中宋" w:hAnsi="华文中宋" w:eastAsia="华文中宋"/>
          <w:b/>
        </w:rPr>
        <w:t xml:space="preserve">  </w:t>
      </w:r>
    </w:p>
    <w:p w14:paraId="796403A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22. </w:t>
      </w:r>
      <w:r>
        <w:rPr>
          <w:rFonts w:hint="eastAsia" w:ascii="华文中宋" w:hAnsi="华文中宋" w:eastAsia="华文中宋" w:cs="宋体"/>
          <w:b/>
        </w:rPr>
        <w:t>投标的澄清、说明或者补正</w:t>
      </w:r>
      <w:r>
        <w:rPr>
          <w:rFonts w:hint="eastAsia" w:ascii="华文中宋" w:hAnsi="华文中宋" w:eastAsia="华文中宋"/>
          <w:b/>
        </w:rPr>
        <w:t xml:space="preserve"> </w:t>
      </w:r>
    </w:p>
    <w:p w14:paraId="4DE914B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22.1 对于投标文件中含义不明确、同类问题表述不一致或者有明显文字和计算错误的内容，评标委员会应要求投标人作出必要的澄清、说明或者补正。该澄清、说明或者补正应当采用PDF</w:t>
      </w:r>
      <w:r>
        <w:rPr>
          <w:rFonts w:hint="eastAsia" w:ascii="华文中宋" w:hAnsi="华文中宋" w:eastAsia="华文中宋" w:cs="华文中宋"/>
        </w:rPr>
        <w:t>格式加盖</w:t>
      </w:r>
      <w:r>
        <w:rPr>
          <w:rFonts w:hint="eastAsia" w:ascii="华文中宋" w:hAnsi="华文中宋" w:eastAsia="华文中宋" w:cs="宋体"/>
        </w:rPr>
        <w:t>法人</w:t>
      </w:r>
      <w:r>
        <w:rPr>
          <w:rFonts w:hint="eastAsia" w:ascii="华文中宋" w:hAnsi="华文中宋" w:eastAsia="华文中宋"/>
        </w:rPr>
        <w:t>电子签章形式。投标人的澄清、说明或者补正不得超出投标文件的范围或者改变投标文件的实质性内容。</w:t>
      </w:r>
    </w:p>
    <w:p w14:paraId="4F14AA7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22.2 评标委员会认为投标人的报价明显低于其他通过符合性审查投标人的报价，有可能影响产品质量或者不能诚信履约的，应当要求其在合理的时间内在系统中采用PDF</w:t>
      </w:r>
      <w:r>
        <w:rPr>
          <w:rFonts w:hint="eastAsia" w:ascii="华文中宋" w:hAnsi="华文中宋" w:eastAsia="华文中宋" w:cs="华文中宋"/>
        </w:rPr>
        <w:t>加盖法人</w:t>
      </w:r>
      <w:r>
        <w:rPr>
          <w:rFonts w:hint="eastAsia" w:ascii="华文中宋" w:hAnsi="华文中宋" w:eastAsia="华文中宋"/>
        </w:rPr>
        <w:t>电子签章形式提供说明，必要时提交相关证明材料；投标人不能证明其报价合理性的，评标委员会应当将其作为无效投标处理。</w:t>
      </w:r>
    </w:p>
    <w:p w14:paraId="1BB3310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23. </w:t>
      </w:r>
      <w:r>
        <w:rPr>
          <w:rFonts w:hint="eastAsia" w:ascii="华文中宋" w:hAnsi="华文中宋" w:eastAsia="华文中宋" w:cs="宋体"/>
          <w:b/>
        </w:rPr>
        <w:t>比较与评价</w:t>
      </w:r>
      <w:r>
        <w:rPr>
          <w:rFonts w:hint="eastAsia" w:ascii="华文中宋" w:hAnsi="华文中宋" w:eastAsia="华文中宋"/>
          <w:b/>
        </w:rPr>
        <w:t xml:space="preserve">  </w:t>
      </w:r>
    </w:p>
    <w:p w14:paraId="1ED0D8A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23.1 评标委员会按照招标文件中第六部分规定的评标标准和评标办法，对符合性审查合格的投标文件（商务技术文件）进行商务和技术评估，综合比较和评价。</w:t>
      </w:r>
    </w:p>
    <w:p w14:paraId="6132B5C6">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23.2 采用综合评分法评审的应按照招标文件第六部分评标标准和评标办法中规定的评标方法、中标条件以及评分细则进行。</w:t>
      </w:r>
    </w:p>
    <w:p w14:paraId="554746A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24. </w:t>
      </w:r>
      <w:r>
        <w:rPr>
          <w:rFonts w:hint="eastAsia" w:ascii="华文中宋" w:hAnsi="华文中宋" w:eastAsia="华文中宋" w:cs="宋体"/>
          <w:b/>
        </w:rPr>
        <w:t>评审复核</w:t>
      </w:r>
      <w:r>
        <w:rPr>
          <w:rFonts w:hint="eastAsia" w:ascii="华文中宋" w:hAnsi="华文中宋" w:eastAsia="华文中宋"/>
          <w:b/>
        </w:rPr>
        <w:t xml:space="preserve">    </w:t>
      </w:r>
    </w:p>
    <w:p w14:paraId="0D62255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24.1评标结果汇总完成后，除下列情形外，任何人不得修改评标结果：</w:t>
      </w:r>
    </w:p>
    <w:p w14:paraId="15FE906F">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A、分值汇总计算错误的；</w:t>
      </w:r>
    </w:p>
    <w:p w14:paraId="7CE6944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B、分项评分超出评分标准范围的；</w:t>
      </w:r>
    </w:p>
    <w:p w14:paraId="3074830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C、评标委员会成员对客观评审因素评分不一致的；</w:t>
      </w:r>
    </w:p>
    <w:p w14:paraId="35941814">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D、经评标委员会认定评分畸高、畸低的；</w:t>
      </w:r>
    </w:p>
    <w:p w14:paraId="63079A2B">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宋体"/>
        </w:rPr>
      </w:pPr>
      <w:r>
        <w:rPr>
          <w:rFonts w:hint="eastAsia" w:ascii="华文中宋" w:hAnsi="华文中宋" w:eastAsia="华文中宋" w:cs="宋体"/>
        </w:rPr>
        <w:t>24.2评标报告签署前，经复核发现存在以上情形之一的，评标委员会应当当场修改评标结果，并在评标报告中记载；评标报告签署后，</w:t>
      </w:r>
      <w:r>
        <w:rPr>
          <w:rFonts w:hint="eastAsia" w:ascii="华文中宋" w:hAnsi="华文中宋" w:eastAsia="华文中宋" w:cs="宋体"/>
          <w:lang w:eastAsia="zh-CN"/>
        </w:rPr>
        <w:t>招标人</w:t>
      </w:r>
      <w:r>
        <w:rPr>
          <w:rFonts w:hint="eastAsia" w:ascii="华文中宋" w:hAnsi="华文中宋" w:eastAsia="华文中宋" w:cs="宋体"/>
        </w:rPr>
        <w:t>或者集采机构发现存在以上情形之一的，应当组织原评标委员会进行重新评审，重新评审改变评标结果的，书面报告本级财政部门。</w:t>
      </w:r>
    </w:p>
    <w:p w14:paraId="03C31EC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b/>
        </w:rPr>
        <w:t xml:space="preserve">25. </w:t>
      </w:r>
      <w:r>
        <w:rPr>
          <w:rFonts w:hint="eastAsia" w:ascii="华文中宋" w:hAnsi="华文中宋" w:eastAsia="华文中宋" w:cs="宋体"/>
          <w:b/>
        </w:rPr>
        <w:t>确定</w:t>
      </w:r>
      <w:r>
        <w:rPr>
          <w:rFonts w:hint="eastAsia" w:ascii="华文中宋" w:hAnsi="华文中宋" w:eastAsia="华文中宋"/>
          <w:b/>
        </w:rPr>
        <w:t>/</w:t>
      </w:r>
      <w:r>
        <w:rPr>
          <w:rFonts w:hint="eastAsia" w:ascii="华文中宋" w:hAnsi="华文中宋" w:eastAsia="华文中宋" w:cs="宋体"/>
          <w:b/>
        </w:rPr>
        <w:t>推荐中标候选供应商名单</w:t>
      </w:r>
    </w:p>
    <w:p w14:paraId="419A5170">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25.1 </w:t>
      </w:r>
      <w:r>
        <w:rPr>
          <w:rFonts w:hint="eastAsia" w:ascii="华文中宋" w:hAnsi="华文中宋" w:eastAsia="华文中宋" w:cs="华文中宋"/>
          <w:b/>
        </w:rPr>
        <w:t>确定中标人</w:t>
      </w:r>
    </w:p>
    <w:p w14:paraId="2B8C0BD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招标文件第六部分规定采用最低评标价法评标的，评标结果按投标报价由低到高顺序排列，投标报价最低的投标人为中标人。投标报价相同的采取随机抽取的方式确定中标人。</w:t>
      </w:r>
    </w:p>
    <w:p w14:paraId="3C5B4C0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综合评分法评标的，评标结果按评审后得分由高到低顺序排列，得分最高的投标人为中标人。得分相同的，按投标报价由低到高顺序排列。得分且投标报价相同的采取随机抽取的方式确定中标人。</w:t>
      </w:r>
    </w:p>
    <w:p w14:paraId="003E4FCF">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25.2 </w:t>
      </w:r>
      <w:r>
        <w:rPr>
          <w:rFonts w:hint="eastAsia" w:ascii="华文中宋" w:hAnsi="华文中宋" w:eastAsia="华文中宋" w:cs="华文中宋"/>
          <w:b/>
        </w:rPr>
        <w:t>推荐中标候选人名单</w:t>
      </w:r>
    </w:p>
    <w:p w14:paraId="237E963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招标文件第六部分规定采用最低评标价法评标的，评标结果按投标报价由低到高顺序排列，投标报价最低的投标人推荐为中标候选人。投标报价相同的采取随机抽取的方式推荐为中标候选人。</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14:paraId="0BBEDCC4">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综合评分法评标的，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14:paraId="1C1E51C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26. </w:t>
      </w:r>
      <w:r>
        <w:rPr>
          <w:rFonts w:hint="eastAsia" w:ascii="华文中宋" w:hAnsi="华文中宋" w:eastAsia="华文中宋" w:cs="宋体"/>
          <w:b/>
        </w:rPr>
        <w:t>编写评标报告</w:t>
      </w:r>
    </w:p>
    <w:p w14:paraId="679A68ED">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142D6B5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27. </w:t>
      </w:r>
      <w:r>
        <w:rPr>
          <w:rFonts w:hint="eastAsia" w:ascii="华文中宋" w:hAnsi="华文中宋" w:eastAsia="华文中宋" w:cs="宋体"/>
          <w:b/>
        </w:rPr>
        <w:t>评标过程保密</w:t>
      </w:r>
      <w:r>
        <w:rPr>
          <w:rFonts w:hint="eastAsia" w:ascii="华文中宋" w:hAnsi="华文中宋" w:eastAsia="华文中宋"/>
          <w:b/>
        </w:rPr>
        <w:t xml:space="preserve">    </w:t>
      </w:r>
    </w:p>
    <w:p w14:paraId="403E894E">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lang w:eastAsia="zh-CN"/>
        </w:rPr>
        <w:t>招标人</w:t>
      </w:r>
      <w:r>
        <w:rPr>
          <w:rFonts w:hint="eastAsia" w:ascii="华文中宋" w:hAnsi="华文中宋" w:eastAsia="华文中宋"/>
        </w:rPr>
        <w:t>、集采机构要采取必要措施，保证评标在严格保密的情况下进行。除</w:t>
      </w:r>
      <w:r>
        <w:rPr>
          <w:rFonts w:hint="eastAsia" w:ascii="华文中宋" w:hAnsi="华文中宋" w:eastAsia="华文中宋"/>
          <w:lang w:eastAsia="zh-CN"/>
        </w:rPr>
        <w:t>招标人</w:t>
      </w:r>
      <w:r>
        <w:rPr>
          <w:rFonts w:hint="eastAsia" w:ascii="华文中宋" w:hAnsi="华文中宋" w:eastAsia="华文中宋"/>
        </w:rPr>
        <w:t>代表、评标现场组织人员外，</w:t>
      </w:r>
      <w:r>
        <w:rPr>
          <w:rFonts w:hint="eastAsia" w:ascii="华文中宋" w:hAnsi="华文中宋" w:eastAsia="华文中宋"/>
          <w:lang w:eastAsia="zh-CN"/>
        </w:rPr>
        <w:t>招标人</w:t>
      </w:r>
      <w:r>
        <w:rPr>
          <w:rFonts w:hint="eastAsia" w:ascii="华文中宋" w:hAnsi="华文中宋" w:eastAsia="华文中宋"/>
        </w:rPr>
        <w:t>的其他工作人员以及与评标工作无关的人员不得进入评标现场。</w:t>
      </w:r>
    </w:p>
    <w:p w14:paraId="60FF61C8">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77A772D7">
      <w:pPr>
        <w:keepNext w:val="0"/>
        <w:keepLines w:val="0"/>
        <w:pageBreakBefore w:val="0"/>
        <w:widowControl w:val="0"/>
        <w:kinsoku/>
        <w:wordWrap/>
        <w:overflowPunct/>
        <w:topLinePunct w:val="0"/>
        <w:autoSpaceDE/>
        <w:autoSpaceDN/>
        <w:bidi w:val="0"/>
        <w:spacing w:line="480" w:lineRule="exact"/>
        <w:ind w:firstLine="315" w:firstLineChars="150"/>
        <w:rPr>
          <w:rFonts w:ascii="华文中宋" w:hAnsi="华文中宋" w:eastAsia="华文中宋"/>
          <w:b/>
          <w:szCs w:val="21"/>
        </w:rPr>
      </w:pPr>
      <w:r>
        <w:rPr>
          <w:rFonts w:hint="eastAsia" w:ascii="华文中宋" w:hAnsi="华文中宋" w:eastAsia="华文中宋"/>
          <w:b/>
          <w:szCs w:val="21"/>
        </w:rPr>
        <w:t xml:space="preserve">28. </w:t>
      </w:r>
      <w:r>
        <w:rPr>
          <w:rFonts w:hint="eastAsia" w:ascii="华文中宋" w:hAnsi="华文中宋" w:eastAsia="华文中宋" w:cs="宋体"/>
          <w:b/>
          <w:szCs w:val="21"/>
        </w:rPr>
        <w:t>采购项目废标</w:t>
      </w:r>
    </w:p>
    <w:p w14:paraId="1F0EE50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28.1 在评标过程中，评标委员会发现有下列情形之一的，应对采购项目予以废标：</w:t>
      </w:r>
    </w:p>
    <w:p w14:paraId="176CCC47">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A、符合专业条件的投标人或者对招标文件作实质响应的投标人数量不足3家的；</w:t>
      </w:r>
    </w:p>
    <w:p w14:paraId="278D6AF6">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B、投标人的报价均超过采购预算或最高限价的；</w:t>
      </w:r>
    </w:p>
    <w:p w14:paraId="52AFEC4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C、出现影响采购公正的违法、违规行为的；</w:t>
      </w:r>
    </w:p>
    <w:p w14:paraId="795A955A">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D、因重大变故，采购任务取消的。</w:t>
      </w:r>
    </w:p>
    <w:p w14:paraId="27228F11">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5D37AC6C">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28.2 废标后，集采机构将在财政部门指定的媒体上发布废标结果公告。</w:t>
      </w:r>
    </w:p>
    <w:p w14:paraId="214A52D1">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2" w:name="_Toc424378691"/>
      <w:bookmarkStart w:id="43" w:name="_Toc58507730"/>
      <w:bookmarkStart w:id="44" w:name="_Toc32242"/>
      <w:r>
        <w:rPr>
          <w:rFonts w:hint="eastAsia" w:ascii="华文中宋" w:hAnsi="华文中宋" w:eastAsia="华文中宋" w:cs="Times New Roman"/>
          <w:color w:val="auto"/>
          <w:kern w:val="2"/>
          <w:sz w:val="24"/>
          <w:szCs w:val="24"/>
        </w:rPr>
        <w:t>七、签订合同</w:t>
      </w:r>
      <w:bookmarkEnd w:id="42"/>
      <w:bookmarkEnd w:id="43"/>
      <w:bookmarkEnd w:id="44"/>
    </w:p>
    <w:p w14:paraId="12635745">
      <w:pPr>
        <w:keepNext w:val="0"/>
        <w:keepLines w:val="0"/>
        <w:pageBreakBefore w:val="0"/>
        <w:kinsoku/>
        <w:wordWrap/>
        <w:overflowPunct/>
        <w:topLinePunct w:val="0"/>
        <w:autoSpaceDE/>
        <w:autoSpaceDN/>
        <w:bidi w:val="0"/>
        <w:spacing w:line="480" w:lineRule="exact"/>
        <w:ind w:firstLine="315" w:firstLineChars="150"/>
        <w:textAlignment w:val="auto"/>
        <w:rPr>
          <w:rFonts w:ascii="华文中宋" w:hAnsi="华文中宋" w:eastAsia="华文中宋"/>
          <w:b/>
          <w:szCs w:val="21"/>
        </w:rPr>
      </w:pPr>
      <w:r>
        <w:rPr>
          <w:rFonts w:hint="eastAsia" w:ascii="华文中宋" w:hAnsi="华文中宋" w:eastAsia="华文中宋"/>
          <w:b/>
          <w:szCs w:val="21"/>
        </w:rPr>
        <w:t>29</w:t>
      </w:r>
      <w:r>
        <w:rPr>
          <w:rFonts w:hint="eastAsia" w:ascii="华文中宋" w:hAnsi="华文中宋" w:eastAsia="华文中宋" w:cs="宋体"/>
          <w:b/>
          <w:szCs w:val="21"/>
        </w:rPr>
        <w:t>．中标通知</w:t>
      </w:r>
    </w:p>
    <w:p w14:paraId="17FFE2A5">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rPr>
        <w:t>29.1</w:t>
      </w:r>
      <w:r>
        <w:rPr>
          <w:rFonts w:hint="eastAsia" w:ascii="华文中宋" w:hAnsi="华文中宋" w:eastAsia="华文中宋" w:cs="华文中宋"/>
        </w:rPr>
        <w:t>中标人确定之日起2个工作日内，采购代理机构在刊登本次招标公告的媒体上发布中标公告，中标人</w:t>
      </w:r>
      <w:r>
        <w:rPr>
          <w:rFonts w:hint="eastAsia" w:ascii="华文中宋" w:hAnsi="华文中宋" w:eastAsia="华文中宋" w:cs="Times New Roman"/>
          <w:color w:val="auto"/>
          <w:kern w:val="0"/>
          <w:sz w:val="21"/>
          <w:szCs w:val="21"/>
          <w:highlight w:val="none"/>
          <w:lang w:val="en-US" w:eastAsia="zh-CN" w:bidi="ar-SA"/>
        </w:rPr>
        <w:t>须在山西政府采购云平台自行打印中标（成交）通知书，</w:t>
      </w:r>
      <w:r>
        <w:rPr>
          <w:rFonts w:hint="eastAsia" w:ascii="华文中宋" w:hAnsi="华文中宋" w:eastAsia="华文中宋" w:cs="华文中宋"/>
        </w:rPr>
        <w:t>但该中标结果的有效性不依赖于未中标的投标人是否知道中标结果。中标通知书对</w:t>
      </w:r>
      <w:r>
        <w:rPr>
          <w:rFonts w:hint="eastAsia" w:ascii="华文中宋" w:hAnsi="华文中宋" w:eastAsia="华文中宋" w:cs="华文中宋"/>
          <w:lang w:eastAsia="zh-CN"/>
        </w:rPr>
        <w:t>招标人</w:t>
      </w:r>
      <w:r>
        <w:rPr>
          <w:rFonts w:hint="eastAsia" w:ascii="华文中宋" w:hAnsi="华文中宋" w:eastAsia="华文中宋" w:cs="华文中宋"/>
        </w:rPr>
        <w:t>和中标人具有同等法律效力。中标通知书发出以后，</w:t>
      </w:r>
      <w:r>
        <w:rPr>
          <w:rFonts w:hint="eastAsia" w:ascii="华文中宋" w:hAnsi="华文中宋" w:eastAsia="华文中宋" w:cs="华文中宋"/>
          <w:lang w:eastAsia="zh-CN"/>
        </w:rPr>
        <w:t>招标人</w:t>
      </w:r>
      <w:r>
        <w:rPr>
          <w:rFonts w:hint="eastAsia" w:ascii="华文中宋" w:hAnsi="华文中宋" w:eastAsia="华文中宋" w:cs="华文中宋"/>
        </w:rPr>
        <w:t>改变中标结果或者中标人放弃中标，应当承担相应的法律责任。</w:t>
      </w:r>
    </w:p>
    <w:p w14:paraId="57483799">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29.2未通过资格审查的供应商，采购代理机构应当在评审结束前书面或者口头告知其未通过的原因；对未中标的供应商，采购代理机构应当书面或者口头告知评审得分与排序。</w:t>
      </w:r>
    </w:p>
    <w:p w14:paraId="11BE0B2B">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29.3 中标通知书是合同的组成部分。</w:t>
      </w:r>
    </w:p>
    <w:p w14:paraId="18C51735">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b/>
        </w:rPr>
        <w:t>30</w:t>
      </w:r>
      <w:r>
        <w:rPr>
          <w:rFonts w:hint="eastAsia" w:ascii="华文中宋" w:hAnsi="华文中宋" w:eastAsia="华文中宋" w:cs="宋体"/>
          <w:b/>
        </w:rPr>
        <w:t>．签订合同</w:t>
      </w:r>
    </w:p>
    <w:p w14:paraId="116915FB">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 xml:space="preserve">30.1 </w:t>
      </w:r>
      <w:r>
        <w:rPr>
          <w:rFonts w:hint="eastAsia" w:ascii="华文中宋" w:hAnsi="华文中宋" w:eastAsia="华文中宋" w:cs="华文中宋"/>
          <w:lang w:eastAsia="zh-CN"/>
        </w:rPr>
        <w:t>招标人</w:t>
      </w:r>
      <w:r>
        <w:rPr>
          <w:rFonts w:hint="eastAsia" w:ascii="华文中宋" w:hAnsi="华文中宋" w:eastAsia="华文中宋" w:cs="华文中宋"/>
        </w:rPr>
        <w:t>应当自中标通知书发出之日起1</w:t>
      </w:r>
      <w:r>
        <w:rPr>
          <w:rFonts w:hint="eastAsia" w:ascii="华文中宋" w:hAnsi="华文中宋" w:eastAsia="华文中宋" w:cs="华文中宋"/>
          <w:lang w:val="en-US" w:eastAsia="zh-CN"/>
        </w:rPr>
        <w:t>0</w:t>
      </w:r>
      <w:r>
        <w:rPr>
          <w:rFonts w:hint="eastAsia" w:ascii="华文中宋" w:hAnsi="华文中宋" w:eastAsia="华文中宋" w:cs="华文中宋"/>
        </w:rPr>
        <w:t>日内与中标人签订书面合同。</w:t>
      </w:r>
    </w:p>
    <w:p w14:paraId="5D6AF90D">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30.2 中标人应按照招标文件、投标文件及评标过程中的有关澄清、说明或者补正文件的内容与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签订合同。中标人不得再与</w:t>
      </w:r>
      <w:r>
        <w:rPr>
          <w:rFonts w:hint="eastAsia" w:ascii="华文中宋" w:hAnsi="华文中宋" w:eastAsia="华文中宋" w:cs="华文中宋"/>
          <w:lang w:eastAsia="zh-CN"/>
        </w:rPr>
        <w:t>招标人</w:t>
      </w:r>
      <w:r>
        <w:rPr>
          <w:rFonts w:hint="eastAsia" w:ascii="华文中宋" w:hAnsi="华文中宋" w:eastAsia="华文中宋" w:cs="华文中宋"/>
        </w:rPr>
        <w:t>签订背离合同实质性内容的其它协议或声明。</w:t>
      </w:r>
    </w:p>
    <w:p w14:paraId="08631C8E">
      <w:pPr>
        <w:keepNext w:val="0"/>
        <w:keepLines w:val="0"/>
        <w:pageBreakBefore w:val="0"/>
        <w:widowControl/>
        <w:kinsoku/>
        <w:wordWrap/>
        <w:overflowPunct/>
        <w:topLinePunct w:val="0"/>
        <w:autoSpaceDE/>
        <w:autoSpaceDN/>
        <w:bidi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30.3如中标人拒绝与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签订合同的，</w:t>
      </w:r>
      <w:r>
        <w:rPr>
          <w:rFonts w:hint="eastAsia" w:ascii="华文中宋" w:hAnsi="华文中宋" w:eastAsia="华文中宋" w:cs="华文中宋"/>
          <w:lang w:eastAsia="zh-CN"/>
        </w:rPr>
        <w:t>招标人</w:t>
      </w:r>
      <w:r>
        <w:rPr>
          <w:rFonts w:hint="eastAsia" w:ascii="华文中宋" w:hAnsi="华文中宋" w:eastAsia="华文中宋" w:cs="华文中宋"/>
        </w:rPr>
        <w:t>可以按照评审报告推荐的中标候人名单排序，确定下一中标候选人为中标人，也可以重新开展政府采购活动。</w:t>
      </w:r>
    </w:p>
    <w:p w14:paraId="49A7ED50">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30.4当出现法律法规等规定的中标无效或中标结果无效情形时，</w:t>
      </w:r>
      <w:r>
        <w:rPr>
          <w:rFonts w:hint="eastAsia" w:ascii="华文中宋" w:hAnsi="华文中宋" w:eastAsia="华文中宋" w:cs="华文中宋"/>
          <w:lang w:eastAsia="zh-CN"/>
        </w:rPr>
        <w:t>招标人</w:t>
      </w:r>
      <w:r>
        <w:rPr>
          <w:rFonts w:hint="eastAsia" w:ascii="华文中宋" w:hAnsi="华文中宋" w:eastAsia="华文中宋" w:cs="华文中宋"/>
        </w:rPr>
        <w:t>依法依规可与排名下一位的中标候选人另行签订合同，或依法重新开展采购活动。</w:t>
      </w:r>
    </w:p>
    <w:p w14:paraId="2BB12F8D">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rPr>
      </w:pPr>
      <w:r>
        <w:rPr>
          <w:rFonts w:hint="eastAsia" w:ascii="华文中宋" w:hAnsi="华文中宋" w:eastAsia="华文中宋" w:cs="华文中宋"/>
        </w:rPr>
        <w:t>30.5 中标人应当自合同或补充合同签订之日起三个工作日内将合同提交同级政府采购监督管理部门和采购代理机构进行备案。</w:t>
      </w:r>
    </w:p>
    <w:p w14:paraId="2813DCF5">
      <w:pPr>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5" w:firstLineChars="150"/>
        <w:jc w:val="both"/>
        <w:textAlignment w:val="auto"/>
        <w:rPr>
          <w:rFonts w:hint="eastAsia" w:ascii="华文中宋" w:hAnsi="华文中宋" w:eastAsia="华文中宋" w:cs="华文中宋"/>
        </w:rPr>
      </w:pPr>
      <w:r>
        <w:rPr>
          <w:rFonts w:hint="eastAsia" w:ascii="华文中宋" w:hAnsi="华文中宋" w:eastAsia="华文中宋" w:cs="华文中宋"/>
        </w:rPr>
        <w:t>30.6对诚信记录良好的中标人免收履约保证金；如需收取履约保证金的，中标人须按照规定向</w:t>
      </w:r>
      <w:r>
        <w:rPr>
          <w:rFonts w:hint="eastAsia" w:ascii="华文中宋" w:hAnsi="华文中宋" w:eastAsia="华文中宋" w:cs="华文中宋"/>
          <w:lang w:eastAsia="zh-CN"/>
        </w:rPr>
        <w:t>招标人</w:t>
      </w:r>
      <w:r>
        <w:rPr>
          <w:rFonts w:hint="eastAsia" w:ascii="华文中宋" w:hAnsi="华文中宋" w:eastAsia="华文中宋" w:cs="华文中宋"/>
        </w:rPr>
        <w:t>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735BECA9">
      <w:pPr>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5" w:firstLineChars="150"/>
        <w:jc w:val="both"/>
        <w:textAlignment w:val="auto"/>
        <w:rPr>
          <w:rFonts w:hint="eastAsia" w:ascii="华文中宋" w:hAnsi="华文中宋" w:eastAsia="华文中宋" w:cs="Times New Roman"/>
          <w:b/>
          <w:color w:val="auto"/>
          <w:kern w:val="0"/>
          <w:sz w:val="21"/>
          <w:szCs w:val="21"/>
          <w:lang w:val="en-US" w:eastAsia="zh-CN" w:bidi="ar-SA"/>
        </w:rPr>
      </w:pPr>
      <w:r>
        <w:rPr>
          <w:rFonts w:hint="eastAsia" w:ascii="华文中宋" w:hAnsi="华文中宋" w:eastAsia="华文中宋"/>
          <w:b/>
        </w:rPr>
        <w:t>3</w:t>
      </w:r>
      <w:r>
        <w:rPr>
          <w:rFonts w:hint="eastAsia" w:ascii="华文中宋" w:hAnsi="华文中宋" w:eastAsia="华文中宋"/>
          <w:b/>
          <w:lang w:val="en-US" w:eastAsia="zh-CN"/>
        </w:rPr>
        <w:t>1</w:t>
      </w:r>
      <w:r>
        <w:rPr>
          <w:rFonts w:hint="eastAsia" w:ascii="华文中宋" w:hAnsi="华文中宋" w:eastAsia="华文中宋" w:cs="宋体"/>
          <w:b/>
        </w:rPr>
        <w:t>．</w:t>
      </w:r>
      <w:r>
        <w:rPr>
          <w:rFonts w:hint="eastAsia" w:ascii="华文中宋" w:hAnsi="华文中宋" w:eastAsia="华文中宋" w:cs="Times New Roman"/>
          <w:b/>
          <w:color w:val="auto"/>
          <w:kern w:val="0"/>
          <w:sz w:val="21"/>
          <w:szCs w:val="21"/>
          <w:lang w:val="en-US" w:eastAsia="zh-CN" w:bidi="ar-SA"/>
        </w:rPr>
        <w:t>合同分包</w:t>
      </w:r>
    </w:p>
    <w:p w14:paraId="2EAEDDF9">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31.1本项目合同接受分包与否，以“投标人须知前附表”勾选项为准。</w:t>
      </w:r>
    </w:p>
    <w:p w14:paraId="1D18B192">
      <w:pPr>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31.2采购合同实行分包履行的，中标人就采购项目和分包项目向采购人负责，分包中标人就分包项目承担责任。履行分包项目事项应当具备法定资质规定要求的，分包中标人应当具备相应资质。</w:t>
      </w:r>
    </w:p>
    <w:p w14:paraId="6C1B1064">
      <w:pPr>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31.3中小企业依据《政府采购促进中小企业发展管理办法》</w:t>
      </w:r>
      <w:r>
        <w:rPr>
          <w:rFonts w:hint="eastAsia" w:ascii="华文中宋" w:hAnsi="华文中宋" w:eastAsia="华文中宋" w:cs="微软雅黑"/>
          <w:color w:val="auto"/>
        </w:rPr>
        <w:t>（财库﹝2020﹞46 号）</w:t>
      </w:r>
      <w:r>
        <w:rPr>
          <w:rFonts w:hint="eastAsia" w:ascii="华文中宋" w:hAnsi="华文中宋" w:eastAsia="华文中宋" w:cs="Times New Roman"/>
          <w:color w:val="auto"/>
          <w:kern w:val="0"/>
          <w:sz w:val="21"/>
          <w:szCs w:val="21"/>
          <w:lang w:val="en-US" w:eastAsia="zh-CN" w:bidi="ar-SA"/>
        </w:rPr>
        <w:t>规定的政策获取政府采购合同后，小微企业不得将合同分包给大中型企业，中型企业不得将合同分包给大型企业。</w:t>
      </w:r>
    </w:p>
    <w:p w14:paraId="4E41B0F1">
      <w:pPr>
        <w:pStyle w:val="68"/>
        <w:keepNext w:val="0"/>
        <w:keepLines w:val="0"/>
        <w:pageBreakBefore w:val="0"/>
        <w:widowControl w:val="0"/>
        <w:kinsoku/>
        <w:wordWrap/>
        <w:overflowPunct/>
        <w:topLinePunct w:val="0"/>
        <w:autoSpaceDE/>
        <w:autoSpaceDN/>
        <w:bidi w:val="0"/>
        <w:adjustRightInd w:val="0"/>
        <w:snapToGrid w:val="0"/>
        <w:spacing w:after="48" w:afterLines="15" w:afterAutospacing="0" w:line="480" w:lineRule="exact"/>
        <w:ind w:firstLine="315" w:firstLineChars="150"/>
        <w:textAlignment w:val="auto"/>
        <w:rPr>
          <w:rFonts w:hint="eastAsia" w:ascii="华文中宋" w:hAnsi="华文中宋" w:eastAsia="华文中宋" w:cs="Times New Roman"/>
          <w:b/>
          <w:lang w:val="en-US" w:eastAsia="zh-CN"/>
        </w:rPr>
      </w:pPr>
      <w:r>
        <w:rPr>
          <w:rFonts w:hint="eastAsia" w:ascii="华文中宋" w:hAnsi="华文中宋" w:eastAsia="华文中宋"/>
          <w:b/>
        </w:rPr>
        <w:t>3</w:t>
      </w:r>
      <w:r>
        <w:rPr>
          <w:rFonts w:hint="eastAsia" w:ascii="华文中宋" w:hAnsi="华文中宋" w:eastAsia="华文中宋"/>
          <w:b/>
          <w:lang w:val="en-US" w:eastAsia="zh-CN"/>
        </w:rPr>
        <w:t>1.4</w:t>
      </w:r>
      <w:r>
        <w:rPr>
          <w:rFonts w:hint="eastAsia" w:ascii="华文中宋" w:hAnsi="华文中宋" w:eastAsia="华文中宋" w:cs="Times New Roman"/>
          <w:b/>
          <w:lang w:val="en-US" w:eastAsia="zh-CN"/>
        </w:rPr>
        <w:t>合同转包</w:t>
      </w:r>
    </w:p>
    <w:p w14:paraId="0EA46FF1">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551A332C">
      <w:pPr>
        <w:keepNext w:val="0"/>
        <w:keepLines w:val="0"/>
        <w:pageBreakBefore w:val="0"/>
        <w:widowControl w:val="0"/>
        <w:kinsoku/>
        <w:wordWrap/>
        <w:overflowPunct/>
        <w:topLinePunct w:val="0"/>
        <w:autoSpaceDE/>
        <w:autoSpaceDN/>
        <w:bidi w:val="0"/>
        <w:adjustRightInd w:val="0"/>
        <w:snapToGrid w:val="0"/>
        <w:spacing w:beforeAutospacing="0" w:line="480" w:lineRule="exact"/>
        <w:ind w:firstLine="315" w:firstLineChars="150"/>
        <w:jc w:val="both"/>
        <w:textAlignment w:val="auto"/>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成交供应商转包的，视同拒绝履行政府采购合同义务，将依法追究法律责任。</w:t>
      </w:r>
    </w:p>
    <w:p w14:paraId="0FC2374C">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cs="华文中宋"/>
          <w:b/>
        </w:rPr>
      </w:pPr>
      <w:r>
        <w:rPr>
          <w:rFonts w:hint="eastAsia" w:ascii="华文中宋" w:hAnsi="华文中宋" w:eastAsia="华文中宋" w:cs="华文中宋"/>
          <w:b/>
          <w:lang w:val="en-US" w:eastAsia="zh-CN"/>
        </w:rPr>
        <w:t>31.5</w:t>
      </w:r>
      <w:r>
        <w:rPr>
          <w:rFonts w:hint="eastAsia" w:ascii="华文中宋" w:hAnsi="华文中宋" w:eastAsia="华文中宋" w:cs="华文中宋"/>
          <w:b/>
        </w:rPr>
        <w:t>预付款</w:t>
      </w:r>
    </w:p>
    <w:p w14:paraId="4C4F1B45">
      <w:pPr>
        <w:pStyle w:val="68"/>
        <w:keepNext w:val="0"/>
        <w:keepLines w:val="0"/>
        <w:pageBreakBefore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cs="华文中宋"/>
        </w:rPr>
        <w:t>预付款是指政府采购合同签订生效并具备实施条件后</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向供应商支付部分合同款项，预付款比例按照双方签订合同中的规定执行，原则上不超过合同金额的</w:t>
      </w:r>
      <w:r>
        <w:rPr>
          <w:rFonts w:hint="eastAsia" w:ascii="华文中宋" w:hAnsi="华文中宋" w:eastAsia="华文中宋" w:cs="华文中宋"/>
          <w:lang w:val="en-US" w:eastAsia="zh-CN"/>
        </w:rPr>
        <w:t>40</w:t>
      </w:r>
      <w:r>
        <w:rPr>
          <w:rFonts w:hint="eastAsia" w:ascii="华文中宋" w:hAnsi="华文中宋" w:eastAsia="华文中宋" w:cs="华文中宋"/>
        </w:rPr>
        <w:t>%。预付款比例及预付款保函提交要求要在</w:t>
      </w:r>
      <w:r>
        <w:rPr>
          <w:rFonts w:hint="eastAsia" w:ascii="华文中宋" w:hAnsi="华文中宋" w:eastAsia="华文中宋" w:cs="华文中宋"/>
          <w:lang w:eastAsia="zh-CN"/>
        </w:rPr>
        <w:t>招标文件</w:t>
      </w:r>
      <w:r>
        <w:rPr>
          <w:rFonts w:hint="eastAsia" w:ascii="华文中宋" w:hAnsi="华文中宋" w:eastAsia="华文中宋" w:cs="华文中宋"/>
        </w:rPr>
        <w:t>和合同中约定。</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向供应商支付预付款的，应要求供应商提供与预付款同等额度的保函。</w:t>
      </w:r>
    </w:p>
    <w:p w14:paraId="361B91C9">
      <w:pPr>
        <w:pStyle w:val="2"/>
        <w:keepNext/>
        <w:keepLines/>
        <w:pageBreakBefore w:val="0"/>
        <w:widowControl w:val="0"/>
        <w:numPr>
          <w:ilvl w:val="1"/>
          <w:numId w:val="0"/>
        </w:numPr>
        <w:kinsoku/>
        <w:wordWrap/>
        <w:overflowPunct/>
        <w:topLinePunct w:val="0"/>
        <w:autoSpaceDE/>
        <w:autoSpaceDN/>
        <w:bidi w:val="0"/>
        <w:adjustRightInd w:val="0"/>
        <w:snapToGrid/>
        <w:spacing w:beforeLines="10" w:afterLines="10" w:line="360" w:lineRule="auto"/>
        <w:jc w:val="both"/>
        <w:textAlignment w:val="baseline"/>
        <w:rPr>
          <w:rFonts w:ascii="华文中宋" w:hAnsi="华文中宋" w:eastAsia="华文中宋"/>
          <w:spacing w:val="10"/>
          <w:sz w:val="24"/>
          <w:szCs w:val="24"/>
        </w:rPr>
      </w:pPr>
      <w:bookmarkStart w:id="45" w:name="_Toc424378692"/>
      <w:bookmarkStart w:id="46" w:name="_Toc421716587"/>
      <w:bookmarkStart w:id="47" w:name="_Toc58507731"/>
      <w:bookmarkStart w:id="48" w:name="_Toc18682"/>
      <w:r>
        <w:rPr>
          <w:rFonts w:hint="eastAsia" w:ascii="华文中宋" w:hAnsi="华文中宋" w:eastAsia="华文中宋" w:cs="Times New Roman"/>
          <w:color w:val="auto"/>
          <w:kern w:val="2"/>
          <w:sz w:val="24"/>
          <w:szCs w:val="24"/>
        </w:rPr>
        <w:t>八、服务费</w:t>
      </w:r>
      <w:bookmarkEnd w:id="45"/>
      <w:bookmarkEnd w:id="46"/>
      <w:bookmarkEnd w:id="47"/>
      <w:bookmarkEnd w:id="48"/>
      <w:r>
        <w:rPr>
          <w:rFonts w:hint="eastAsia" w:ascii="华文中宋" w:hAnsi="华文中宋" w:eastAsia="华文中宋" w:cs="Times New Roman"/>
          <w:color w:val="auto"/>
          <w:kern w:val="2"/>
          <w:sz w:val="24"/>
          <w:szCs w:val="24"/>
        </w:rPr>
        <w:t>　</w:t>
      </w:r>
      <w:r>
        <w:rPr>
          <w:rFonts w:hint="eastAsia" w:ascii="华文中宋" w:hAnsi="华文中宋" w:eastAsia="华文中宋"/>
          <w:spacing w:val="10"/>
          <w:sz w:val="24"/>
          <w:szCs w:val="24"/>
        </w:rPr>
        <w:t>　</w:t>
      </w:r>
    </w:p>
    <w:p w14:paraId="0D3C63C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31. </w:t>
      </w:r>
      <w:r>
        <w:rPr>
          <w:rFonts w:hint="eastAsia" w:ascii="华文中宋" w:hAnsi="华文中宋" w:eastAsia="华文中宋" w:cs="宋体"/>
          <w:b/>
        </w:rPr>
        <w:t>服务费</w:t>
      </w:r>
    </w:p>
    <w:p w14:paraId="58114742">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30AC7A26">
      <w:pPr>
        <w:pStyle w:val="2"/>
        <w:adjustRightInd/>
        <w:spacing w:line="360" w:lineRule="auto"/>
        <w:ind w:left="0" w:firstLine="0"/>
        <w:jc w:val="both"/>
        <w:textAlignment w:val="auto"/>
        <w:rPr>
          <w:rFonts w:hint="eastAsia" w:ascii="华文中宋" w:hAnsi="华文中宋" w:eastAsia="华文中宋" w:cs="Times New Roman"/>
          <w:color w:val="auto"/>
          <w:kern w:val="2"/>
          <w:sz w:val="24"/>
          <w:szCs w:val="24"/>
        </w:rPr>
      </w:pPr>
      <w:bookmarkStart w:id="49" w:name="_Toc424378693"/>
      <w:bookmarkStart w:id="50" w:name="_Toc58507732"/>
      <w:bookmarkStart w:id="51" w:name="_Toc29869"/>
      <w:bookmarkStart w:id="52" w:name="_Toc421716588"/>
      <w:r>
        <w:rPr>
          <w:rFonts w:hint="eastAsia" w:ascii="华文中宋" w:hAnsi="华文中宋" w:eastAsia="华文中宋" w:cs="Times New Roman"/>
          <w:color w:val="auto"/>
          <w:kern w:val="2"/>
          <w:sz w:val="24"/>
          <w:szCs w:val="24"/>
        </w:rPr>
        <w:t>九、保密和披露</w:t>
      </w:r>
      <w:bookmarkEnd w:id="49"/>
      <w:bookmarkEnd w:id="50"/>
      <w:bookmarkEnd w:id="51"/>
      <w:bookmarkEnd w:id="52"/>
    </w:p>
    <w:p w14:paraId="229DD858">
      <w:pPr>
        <w:pStyle w:val="68"/>
        <w:keepNext w:val="0"/>
        <w:keepLines w:val="0"/>
        <w:pageBreakBefore w:val="0"/>
        <w:widowControl w:val="0"/>
        <w:kinsoku/>
        <w:wordWrap/>
        <w:overflowPunct/>
        <w:topLinePunct w:val="0"/>
        <w:autoSpaceDE/>
        <w:autoSpaceDN/>
        <w:bidi w:val="0"/>
        <w:adjustRightInd/>
        <w:spacing w:line="480" w:lineRule="exact"/>
        <w:ind w:left="1" w:firstLine="315" w:firstLineChars="150"/>
        <w:textAlignment w:val="auto"/>
        <w:rPr>
          <w:rFonts w:ascii="华文中宋" w:hAnsi="华文中宋" w:eastAsia="华文中宋"/>
          <w:b/>
        </w:rPr>
      </w:pPr>
      <w:r>
        <w:rPr>
          <w:rFonts w:hint="eastAsia" w:ascii="华文中宋" w:hAnsi="华文中宋" w:eastAsia="华文中宋"/>
          <w:b/>
        </w:rPr>
        <w:t xml:space="preserve">32. </w:t>
      </w:r>
      <w:r>
        <w:rPr>
          <w:rFonts w:hint="eastAsia" w:ascii="华文中宋" w:hAnsi="华文中宋" w:eastAsia="华文中宋" w:cs="宋体"/>
          <w:b/>
        </w:rPr>
        <w:t>保密</w:t>
      </w:r>
    </w:p>
    <w:p w14:paraId="6DDA4DDC">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5A4223F4">
      <w:pPr>
        <w:pStyle w:val="68"/>
        <w:keepNext w:val="0"/>
        <w:keepLines w:val="0"/>
        <w:pageBreakBefore w:val="0"/>
        <w:widowControl w:val="0"/>
        <w:kinsoku/>
        <w:wordWrap/>
        <w:overflowPunct/>
        <w:topLinePunct w:val="0"/>
        <w:autoSpaceDE/>
        <w:autoSpaceDN/>
        <w:bidi w:val="0"/>
        <w:adjustRightInd/>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 xml:space="preserve">33. </w:t>
      </w:r>
      <w:r>
        <w:rPr>
          <w:rFonts w:hint="eastAsia" w:ascii="华文中宋" w:hAnsi="华文中宋" w:eastAsia="华文中宋" w:cs="宋体"/>
          <w:b/>
        </w:rPr>
        <w:t>披露</w:t>
      </w:r>
    </w:p>
    <w:p w14:paraId="6DDAB7B6">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33.1 集采机构有权将投标人提供的所有资料向有关政府部门或评审标书的有关人员披露。</w:t>
      </w:r>
    </w:p>
    <w:p w14:paraId="0529D869">
      <w:pPr>
        <w:pStyle w:val="68"/>
        <w:keepNext w:val="0"/>
        <w:keepLines w:val="0"/>
        <w:pageBreakBefore w:val="0"/>
        <w:widowControl w:val="0"/>
        <w:kinsoku/>
        <w:wordWrap/>
        <w:overflowPunct/>
        <w:topLinePunct w:val="0"/>
        <w:autoSpaceDE/>
        <w:autoSpaceDN/>
        <w:bidi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33.2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263D72D">
      <w:pPr>
        <w:pStyle w:val="2"/>
        <w:pageBreakBefore w:val="0"/>
        <w:widowControl w:val="0"/>
        <w:kinsoku/>
        <w:wordWrap/>
        <w:overflowPunct/>
        <w:topLinePunct w:val="0"/>
        <w:autoSpaceDE/>
        <w:autoSpaceDN/>
        <w:bidi w:val="0"/>
        <w:adjustRightInd/>
        <w:spacing w:line="480" w:lineRule="exact"/>
        <w:ind w:left="0" w:firstLine="0" w:firstLineChars="0"/>
        <w:jc w:val="both"/>
        <w:textAlignment w:val="auto"/>
        <w:rPr>
          <w:rFonts w:hint="eastAsia" w:ascii="华文中宋" w:hAnsi="华文中宋" w:eastAsia="华文中宋" w:cs="Times New Roman"/>
          <w:color w:val="auto"/>
          <w:kern w:val="2"/>
          <w:sz w:val="24"/>
          <w:szCs w:val="24"/>
        </w:rPr>
      </w:pPr>
      <w:bookmarkStart w:id="53" w:name="_Toc58507733"/>
      <w:bookmarkStart w:id="54" w:name="_Toc20833"/>
      <w:r>
        <w:rPr>
          <w:rFonts w:hint="eastAsia" w:ascii="华文中宋" w:hAnsi="华文中宋" w:eastAsia="华文中宋" w:cs="Times New Roman"/>
          <w:color w:val="auto"/>
          <w:kern w:val="2"/>
          <w:sz w:val="24"/>
          <w:szCs w:val="24"/>
        </w:rPr>
        <w:t>十、询问和质疑</w:t>
      </w:r>
      <w:bookmarkEnd w:id="53"/>
      <w:bookmarkEnd w:id="54"/>
    </w:p>
    <w:p w14:paraId="78992B93">
      <w:pPr>
        <w:pStyle w:val="68"/>
        <w:keepNext w:val="0"/>
        <w:keepLines w:val="0"/>
        <w:pageBreakBefore w:val="0"/>
        <w:widowControl w:val="0"/>
        <w:kinsoku/>
        <w:wordWrap/>
        <w:overflowPunct/>
        <w:topLinePunct w:val="0"/>
        <w:autoSpaceDE/>
        <w:autoSpaceDN/>
        <w:bidi w:val="0"/>
        <w:adjustRightInd/>
        <w:spacing w:line="480" w:lineRule="exact"/>
        <w:ind w:firstLine="315" w:firstLineChars="150"/>
        <w:textAlignment w:val="auto"/>
        <w:rPr>
          <w:rFonts w:hint="eastAsia" w:ascii="华文中宋" w:hAnsi="华文中宋" w:eastAsia="华文中宋" w:cs="Times New Roman"/>
          <w:b/>
        </w:rPr>
      </w:pPr>
      <w:r>
        <w:rPr>
          <w:rFonts w:hint="eastAsia" w:ascii="华文中宋" w:hAnsi="华文中宋" w:eastAsia="华文中宋" w:cs="Times New Roman"/>
          <w:b/>
        </w:rPr>
        <w:t>34.询问</w:t>
      </w:r>
    </w:p>
    <w:p w14:paraId="746A7EEA">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34.1</w:t>
      </w:r>
      <w:r>
        <w:rPr>
          <w:rFonts w:hint="eastAsia" w:ascii="华文中宋" w:hAnsi="华文中宋" w:eastAsia="华文中宋" w:cs="华文中宋"/>
        </w:rPr>
        <w:t>投标人对招标文件的采购需求、综合评分细则进行询问或质疑的，须通过山西政府采购平台向集采机构递交询问函或质疑函。</w:t>
      </w:r>
      <w:r>
        <w:rPr>
          <w:rFonts w:hint="eastAsia" w:ascii="华文中宋" w:hAnsi="华文中宋" w:eastAsia="华文中宋"/>
        </w:rPr>
        <w:t>投标人对评审过程、采购结果有疑问的，可按中标（成交）公告中载明的联系方式、地址提出质疑。</w:t>
      </w:r>
    </w:p>
    <w:p w14:paraId="08CD5CD0">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34.2询问事项若属于</w:t>
      </w:r>
      <w:r>
        <w:rPr>
          <w:rFonts w:hint="eastAsia" w:ascii="华文中宋" w:hAnsi="华文中宋" w:eastAsia="华文中宋"/>
          <w:lang w:eastAsia="zh-CN"/>
        </w:rPr>
        <w:t>招标人</w:t>
      </w:r>
      <w:r>
        <w:rPr>
          <w:rFonts w:hint="eastAsia" w:ascii="华文中宋" w:hAnsi="华文中宋" w:eastAsia="华文中宋"/>
        </w:rPr>
        <w:t>提交的采购需求范畴的，询问方式为口头询问的，集采机构告知询问对象直接向</w:t>
      </w:r>
      <w:r>
        <w:rPr>
          <w:rFonts w:hint="eastAsia" w:ascii="华文中宋" w:hAnsi="华文中宋" w:eastAsia="华文中宋"/>
          <w:lang w:eastAsia="zh-CN"/>
        </w:rPr>
        <w:t>招标人</w:t>
      </w:r>
      <w:r>
        <w:rPr>
          <w:rFonts w:hint="eastAsia" w:ascii="华文中宋" w:hAnsi="华文中宋" w:eastAsia="华文中宋"/>
        </w:rPr>
        <w:t>询问；询问方式为书面询问的，</w:t>
      </w:r>
      <w:r>
        <w:rPr>
          <w:rFonts w:hint="eastAsia" w:ascii="华文中宋" w:hAnsi="华文中宋" w:eastAsia="华文中宋"/>
          <w:lang w:eastAsia="zh-CN"/>
        </w:rPr>
        <w:t>招标人</w:t>
      </w:r>
      <w:r>
        <w:rPr>
          <w:rFonts w:hint="eastAsia" w:ascii="华文中宋" w:hAnsi="华文中宋" w:eastAsia="华文中宋"/>
        </w:rPr>
        <w:t>须在法定时间内</w:t>
      </w:r>
      <w:r>
        <w:rPr>
          <w:rFonts w:hint="eastAsia" w:ascii="华文中宋" w:hAnsi="华文中宋" w:eastAsia="华文中宋" w:cs="Times New Roman"/>
          <w:color w:val="auto"/>
          <w:lang w:val="en-US" w:eastAsia="zh-CN"/>
        </w:rPr>
        <w:t>通过山西政府采购平台</w:t>
      </w:r>
      <w:r>
        <w:rPr>
          <w:rFonts w:hint="eastAsia" w:ascii="华文中宋" w:hAnsi="华文中宋" w:eastAsia="华文中宋"/>
        </w:rPr>
        <w:t>向询问投标人进行答复。</w:t>
      </w:r>
    </w:p>
    <w:p w14:paraId="39D3078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b/>
        </w:rPr>
      </w:pPr>
      <w:r>
        <w:rPr>
          <w:rFonts w:hint="eastAsia" w:ascii="华文中宋" w:hAnsi="华文中宋" w:eastAsia="华文中宋"/>
          <w:b/>
        </w:rPr>
        <w:t>35.</w:t>
      </w:r>
      <w:r>
        <w:rPr>
          <w:rFonts w:hint="eastAsia" w:ascii="华文中宋" w:hAnsi="华文中宋" w:eastAsia="华文中宋" w:cs="宋体"/>
          <w:b/>
        </w:rPr>
        <w:t>质疑</w:t>
      </w:r>
    </w:p>
    <w:p w14:paraId="71A8090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35.1投标人认为招标文件、评标过程和采购结果使自己的权益受到损害，应当在法定质疑期限内以</w:t>
      </w:r>
      <w:r>
        <w:rPr>
          <w:rFonts w:hint="eastAsia" w:ascii="华文中宋" w:hAnsi="华文中宋" w:eastAsia="华文中宋" w:cs="Times New Roman"/>
          <w:lang w:eastAsia="zh-CN"/>
        </w:rPr>
        <w:t>，</w:t>
      </w:r>
      <w:r>
        <w:rPr>
          <w:rFonts w:hint="eastAsia" w:ascii="华文中宋" w:hAnsi="华文中宋" w:eastAsia="华文中宋" w:cs="Times New Roman"/>
          <w:lang w:val="en-US" w:eastAsia="zh-CN"/>
        </w:rPr>
        <w:t>在山西政府采购平台</w:t>
      </w:r>
      <w:r>
        <w:rPr>
          <w:rFonts w:hint="eastAsia" w:ascii="华文中宋" w:hAnsi="华文中宋" w:eastAsia="华文中宋" w:cs="Times New Roman"/>
        </w:rPr>
        <w:t>一次性提出针对同一采购程序环节的质疑。</w:t>
      </w:r>
    </w:p>
    <w:p w14:paraId="600EE95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对可以质疑的</w:t>
      </w:r>
      <w:r>
        <w:rPr>
          <w:rFonts w:hint="eastAsia" w:ascii="华文中宋" w:hAnsi="华文中宋" w:eastAsia="华文中宋" w:cs="Times New Roman"/>
          <w:lang w:eastAsia="zh-CN"/>
        </w:rPr>
        <w:t>招标文件</w:t>
      </w:r>
      <w:r>
        <w:rPr>
          <w:rFonts w:hint="eastAsia" w:ascii="华文中宋" w:hAnsi="华文中宋" w:eastAsia="华文中宋" w:cs="Times New Roman"/>
        </w:rPr>
        <w:t>提出质疑的，在收到</w:t>
      </w:r>
      <w:r>
        <w:rPr>
          <w:rFonts w:hint="eastAsia" w:ascii="华文中宋" w:hAnsi="华文中宋" w:eastAsia="华文中宋" w:cs="Times New Roman"/>
          <w:lang w:eastAsia="zh-CN"/>
        </w:rPr>
        <w:t>招标文件</w:t>
      </w:r>
      <w:r>
        <w:rPr>
          <w:rFonts w:hint="eastAsia" w:ascii="华文中宋" w:hAnsi="华文中宋" w:eastAsia="华文中宋" w:cs="Times New Roman"/>
        </w:rPr>
        <w:t>之日起七个工作日内提出；</w:t>
      </w:r>
    </w:p>
    <w:p w14:paraId="2161DC11">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对采购过程提出质疑的，在各采购程序环节结束之日起七个工作日内提出；</w:t>
      </w:r>
    </w:p>
    <w:p w14:paraId="71ADD475">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对中标结果提出质疑的，在中标公告期限届满之日起七个工作日内提出。</w:t>
      </w:r>
    </w:p>
    <w:p w14:paraId="1E35A5E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35.2质疑投标人质疑时须提供以下资料：</w:t>
      </w:r>
    </w:p>
    <w:p w14:paraId="2AF8275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（1）法定代表人身份证明书；</w:t>
      </w:r>
    </w:p>
    <w:p w14:paraId="07C078B5">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（2）法定代表人授权委托书（内容包括：代理人的姓名或者名称、代理事项、具体权限、期限和相关事项。法定代表人质疑时不提供此项内容）；</w:t>
      </w:r>
    </w:p>
    <w:p w14:paraId="5DFC64D6">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（3）委托人和被委托人的身份证</w:t>
      </w:r>
      <w:r>
        <w:rPr>
          <w:rFonts w:hint="eastAsia" w:ascii="华文中宋" w:hAnsi="华文中宋" w:eastAsia="华文中宋" w:cs="Times New Roman"/>
          <w:lang w:eastAsia="zh-CN"/>
        </w:rPr>
        <w:t>影印件</w:t>
      </w:r>
      <w:r>
        <w:rPr>
          <w:rFonts w:hint="eastAsia" w:ascii="华文中宋" w:hAnsi="华文中宋" w:eastAsia="华文中宋" w:cs="Times New Roman"/>
        </w:rPr>
        <w:t>；</w:t>
      </w:r>
    </w:p>
    <w:p w14:paraId="1348EAD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（4）质疑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领取</w:t>
      </w:r>
      <w:r>
        <w:rPr>
          <w:rFonts w:hint="eastAsia" w:ascii="华文中宋" w:hAnsi="华文中宋" w:eastAsia="华文中宋" w:cs="Times New Roman"/>
          <w:lang w:val="en-US" w:eastAsia="zh-CN"/>
        </w:rPr>
        <w:t>投标</w:t>
      </w:r>
      <w:r>
        <w:rPr>
          <w:rFonts w:hint="eastAsia" w:ascii="华文中宋" w:hAnsi="华文中宋" w:eastAsia="华文中宋" w:cs="Times New Roman"/>
        </w:rPr>
        <w:t>文件时间的证明材料；</w:t>
      </w:r>
    </w:p>
    <w:p w14:paraId="088AD97F">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（5）质疑函。</w:t>
      </w:r>
    </w:p>
    <w:p w14:paraId="6D6395A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投标人为自然人的，应当由本人签字；投标人为法人或者其他组织的，应当由法定代表人、主要负责人签字或者盖章，并加盖公章。</w:t>
      </w:r>
    </w:p>
    <w:p w14:paraId="593E7611">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35.3投标人提出质疑时应当提交质疑函和必要的证明材料。质疑函应当包括下列内容：</w:t>
      </w:r>
    </w:p>
    <w:p w14:paraId="5C3C5C4D">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的姓名或者名称、地址、邮编、联系人及联系电话；</w:t>
      </w:r>
    </w:p>
    <w:p w14:paraId="422ADA5E">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（2）质疑项目的名称、编号；</w:t>
      </w:r>
    </w:p>
    <w:p w14:paraId="2A06F06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（3）具体、明确的质疑事项和与质疑事项相关的请求；</w:t>
      </w:r>
    </w:p>
    <w:p w14:paraId="0FBF6968">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（4）事实依据；</w:t>
      </w:r>
    </w:p>
    <w:p w14:paraId="156743F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（5）必要的法律依据；</w:t>
      </w:r>
    </w:p>
    <w:p w14:paraId="74A41CF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（6）提出质疑的日期。</w:t>
      </w:r>
    </w:p>
    <w:p w14:paraId="3BF107C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35.4对</w:t>
      </w:r>
      <w:r>
        <w:rPr>
          <w:rFonts w:hint="eastAsia" w:ascii="华文中宋" w:hAnsi="华文中宋" w:eastAsia="华文中宋" w:cs="Times New Roman"/>
          <w:lang w:eastAsia="zh-CN"/>
        </w:rPr>
        <w:t>招标文件</w:t>
      </w:r>
      <w:r>
        <w:rPr>
          <w:rFonts w:hint="eastAsia" w:ascii="华文中宋" w:hAnsi="华文中宋" w:eastAsia="华文中宋" w:cs="Times New Roman"/>
        </w:rPr>
        <w:t>编制内容（不包括采购需求）、评审过程、提出质疑的，由集采机构进行答复。</w:t>
      </w:r>
      <w:r>
        <w:rPr>
          <w:rFonts w:hint="eastAsia" w:ascii="华文中宋" w:hAnsi="华文中宋" w:eastAsia="华文中宋" w:cs="Times New Roman"/>
          <w:lang w:eastAsia="zh-CN"/>
        </w:rPr>
        <w:t>招标人</w:t>
      </w:r>
      <w:r>
        <w:rPr>
          <w:rFonts w:hint="eastAsia" w:ascii="华文中宋" w:hAnsi="华文中宋" w:eastAsia="华文中宋" w:cs="Times New Roman"/>
        </w:rPr>
        <w:t>要发挥主体责任配合答复。</w:t>
      </w:r>
    </w:p>
    <w:p w14:paraId="16C3A37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w:t>
      </w:r>
      <w:r>
        <w:rPr>
          <w:rFonts w:hint="eastAsia" w:ascii="华文中宋" w:hAnsi="华文中宋" w:eastAsia="华文中宋"/>
          <w:lang w:eastAsia="zh-CN"/>
        </w:rPr>
        <w:t>招标文件</w:t>
      </w:r>
      <w:r>
        <w:rPr>
          <w:rFonts w:hint="eastAsia" w:ascii="华文中宋" w:hAnsi="华文中宋" w:eastAsia="华文中宋"/>
        </w:rPr>
        <w:t>编制内容（不包括采购需求）提出质疑的，请按本文件第一部分投标邀请“十、集采机构基本信息”中载明的单位名称、地址、联系人、联系方式进行沟通联系。</w:t>
      </w:r>
    </w:p>
    <w:p w14:paraId="5AA732F1">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对评审过程、采购结果提出质疑的，请按结果公告中载明的联系人、联系方式进行沟通联系，并提交 35.2、35.3要求提交的相关资料。</w:t>
      </w:r>
    </w:p>
    <w:p w14:paraId="662AC736">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对</w:t>
      </w:r>
      <w:r>
        <w:rPr>
          <w:rFonts w:hint="eastAsia" w:ascii="华文中宋" w:hAnsi="华文中宋" w:eastAsia="华文中宋"/>
          <w:lang w:eastAsia="zh-CN"/>
        </w:rPr>
        <w:t>招标文件</w:t>
      </w:r>
      <w:r>
        <w:rPr>
          <w:rFonts w:hint="eastAsia" w:ascii="华文中宋" w:hAnsi="华文中宋" w:eastAsia="华文中宋"/>
        </w:rPr>
        <w:t>中采购需求、</w:t>
      </w:r>
      <w:r>
        <w:rPr>
          <w:rFonts w:hint="eastAsia" w:ascii="华文中宋" w:hAnsi="华文中宋" w:eastAsia="华文中宋"/>
          <w:lang w:val="en-US" w:eastAsia="zh-CN"/>
        </w:rPr>
        <w:t>采购结果、</w:t>
      </w:r>
      <w:r>
        <w:rPr>
          <w:rFonts w:hint="eastAsia" w:ascii="华文中宋" w:hAnsi="华文中宋" w:eastAsia="华文中宋"/>
        </w:rPr>
        <w:t>综合评分细则提出质疑的，</w:t>
      </w:r>
      <w:r>
        <w:rPr>
          <w:rFonts w:hint="eastAsia" w:ascii="华文中宋" w:hAnsi="华文中宋" w:eastAsia="华文中宋"/>
          <w:lang w:eastAsia="zh-CN"/>
        </w:rPr>
        <w:t>招标人</w:t>
      </w:r>
      <w:r>
        <w:rPr>
          <w:rFonts w:hint="eastAsia" w:ascii="华文中宋" w:hAnsi="华文中宋" w:eastAsia="华文中宋"/>
        </w:rPr>
        <w:t>依据《中华人民共和国政府采购法实施条例》第五十二条第一款的规定时限对供应商的质疑做出处理和答复。</w:t>
      </w:r>
    </w:p>
    <w:bookmarkEnd w:id="17"/>
    <w:bookmarkEnd w:id="18"/>
    <w:bookmarkEnd w:id="19"/>
    <w:p w14:paraId="29818808">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bookmarkStart w:id="55" w:name="_Toc91694429"/>
      <w:r>
        <w:rPr>
          <w:rFonts w:hint="eastAsia" w:ascii="华文中宋" w:hAnsi="华文中宋" w:eastAsia="华文中宋"/>
        </w:rPr>
        <w:t>35.5 集采机构、</w:t>
      </w:r>
      <w:r>
        <w:rPr>
          <w:rFonts w:hint="eastAsia" w:ascii="华文中宋" w:hAnsi="华文中宋" w:eastAsia="华文中宋"/>
          <w:lang w:eastAsia="zh-CN"/>
        </w:rPr>
        <w:t>招标人</w:t>
      </w:r>
      <w:r>
        <w:rPr>
          <w:rFonts w:hint="eastAsia" w:ascii="华文中宋" w:hAnsi="华文中宋" w:eastAsia="华文中宋"/>
        </w:rPr>
        <w:t>将依据《中华人民共和国政府采购法实施条例》第五十二条第一款的规定时限</w:t>
      </w:r>
      <w:r>
        <w:rPr>
          <w:rFonts w:hint="eastAsia" w:ascii="华文中宋" w:hAnsi="华文中宋" w:eastAsia="华文中宋"/>
          <w:lang w:val="en-US" w:eastAsia="zh-CN"/>
        </w:rPr>
        <w:t>通过</w:t>
      </w:r>
      <w:r>
        <w:rPr>
          <w:rFonts w:hint="eastAsia" w:ascii="华文中宋" w:hAnsi="华文中宋" w:eastAsia="华文中宋"/>
          <w:color w:val="auto"/>
        </w:rPr>
        <w:t>山西政府采购平台</w:t>
      </w:r>
      <w:r>
        <w:rPr>
          <w:rFonts w:hint="eastAsia" w:ascii="华文中宋" w:hAnsi="华文中宋" w:eastAsia="华文中宋"/>
          <w:color w:val="auto"/>
          <w:lang w:val="en-US" w:eastAsia="zh-CN"/>
        </w:rPr>
        <w:t>对</w:t>
      </w:r>
      <w:r>
        <w:rPr>
          <w:rFonts w:hint="eastAsia" w:ascii="华文中宋" w:hAnsi="华文中宋" w:eastAsia="华文中宋"/>
        </w:rPr>
        <w:t>投标人的询问、质疑做出处理和答复。</w:t>
      </w:r>
    </w:p>
    <w:p w14:paraId="7E136DF1">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质疑答复应当包括下列内容：</w:t>
      </w:r>
    </w:p>
    <w:p w14:paraId="6E60323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A.质疑</w:t>
      </w:r>
      <w:r>
        <w:rPr>
          <w:rFonts w:hint="eastAsia" w:ascii="华文中宋" w:hAnsi="华文中宋" w:eastAsia="华文中宋"/>
          <w:lang w:val="en-US" w:eastAsia="zh-CN"/>
        </w:rPr>
        <w:t>投标人</w:t>
      </w:r>
      <w:r>
        <w:rPr>
          <w:rFonts w:hint="eastAsia" w:ascii="华文中宋" w:hAnsi="华文中宋" w:eastAsia="华文中宋"/>
        </w:rPr>
        <w:t>的姓名或者名称；</w:t>
      </w:r>
    </w:p>
    <w:p w14:paraId="6D14E3F4">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B.收到质疑函的日期、质疑项目名称及编号；</w:t>
      </w:r>
    </w:p>
    <w:p w14:paraId="578FF575">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C.质疑事项、质疑答复的具体内容、事实依据和法律依据；</w:t>
      </w:r>
    </w:p>
    <w:p w14:paraId="0C82EE2F">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D.告知质疑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依法投诉的权利；</w:t>
      </w:r>
    </w:p>
    <w:p w14:paraId="745A17C3">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E.质疑答复人名称；</w:t>
      </w:r>
    </w:p>
    <w:p w14:paraId="5A0E395A">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F.答复质疑的日期。质疑答复的内容不得涉及商业秘密。</w:t>
      </w:r>
    </w:p>
    <w:p w14:paraId="00CF1E67">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35.6质疑</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撤回质疑的，集采机构、</w:t>
      </w:r>
      <w:r>
        <w:rPr>
          <w:rFonts w:hint="eastAsia" w:ascii="华文中宋" w:hAnsi="华文中宋" w:eastAsia="华文中宋" w:cs="Times New Roman"/>
          <w:lang w:eastAsia="zh-CN"/>
        </w:rPr>
        <w:t>招标人</w:t>
      </w:r>
      <w:r>
        <w:rPr>
          <w:rFonts w:hint="eastAsia" w:ascii="华文中宋" w:hAnsi="华文中宋" w:eastAsia="华文中宋" w:cs="Times New Roman"/>
        </w:rPr>
        <w:t>终止质疑处理。</w:t>
      </w:r>
    </w:p>
    <w:p w14:paraId="5C74E95C">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35.</w:t>
      </w:r>
      <w:r>
        <w:rPr>
          <w:rFonts w:hint="eastAsia" w:ascii="华文中宋" w:hAnsi="华文中宋" w:eastAsia="华文中宋" w:cs="Times New Roman"/>
          <w:lang w:val="en-US" w:eastAsia="zh-CN"/>
        </w:rPr>
        <w:t>7投标人</w:t>
      </w:r>
      <w:r>
        <w:rPr>
          <w:rFonts w:hint="eastAsia" w:ascii="华文中宋" w:hAnsi="华文中宋" w:eastAsia="华文中宋" w:cs="Times New Roman"/>
        </w:rPr>
        <w:t>质疑不成立，或者成立但未对成交结果构成影响的，继续开展采购活动；认为</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质疑成立且影响或者可能影响成交结果的，按照下列情况处理：</w:t>
      </w:r>
    </w:p>
    <w:p w14:paraId="5310DE4B">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（1）对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文件提出的质疑，依法通过澄清或者修改可以继续开展采购活动的，澄清或者修改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文件后继续开展采购活动；否则应修改</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文件后重新开展采购活动。</w:t>
      </w:r>
    </w:p>
    <w:p w14:paraId="424B9839">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（2）对</w:t>
      </w:r>
      <w:r>
        <w:rPr>
          <w:rFonts w:hint="eastAsia" w:ascii="华文中宋" w:hAnsi="华文中宋" w:eastAsia="华文中宋" w:cs="Times New Roman"/>
          <w:lang w:val="en-US" w:eastAsia="zh-CN"/>
        </w:rPr>
        <w:t>投标</w:t>
      </w:r>
      <w:r>
        <w:rPr>
          <w:rFonts w:hint="eastAsia" w:ascii="华文中宋" w:hAnsi="华文中宋" w:eastAsia="华文中宋" w:cs="Times New Roman"/>
        </w:rPr>
        <w:t>过程、成交结果提出的质疑，合格</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符合法定数量时，可以从合格的</w:t>
      </w:r>
      <w:r>
        <w:rPr>
          <w:rFonts w:hint="eastAsia" w:ascii="华文中宋" w:hAnsi="华文中宋" w:eastAsia="华文中宋" w:cs="Times New Roman"/>
          <w:lang w:val="en-US" w:eastAsia="zh-CN"/>
        </w:rPr>
        <w:t>中标</w:t>
      </w:r>
      <w:r>
        <w:rPr>
          <w:rFonts w:hint="eastAsia" w:ascii="华文中宋" w:hAnsi="华文中宋" w:eastAsia="华文中宋" w:cs="Times New Roman"/>
        </w:rPr>
        <w:t>候选人中另行确定</w:t>
      </w:r>
      <w:r>
        <w:rPr>
          <w:rFonts w:hint="eastAsia" w:ascii="华文中宋" w:hAnsi="华文中宋" w:eastAsia="华文中宋" w:cs="Times New Roman"/>
          <w:lang w:val="en-US" w:eastAsia="zh-CN"/>
        </w:rPr>
        <w:t>中标人的</w:t>
      </w:r>
      <w:r>
        <w:rPr>
          <w:rFonts w:hint="eastAsia" w:ascii="华文中宋" w:hAnsi="华文中宋" w:eastAsia="华文中宋" w:cs="Times New Roman"/>
        </w:rPr>
        <w:t>，应当依法另行确定</w:t>
      </w:r>
      <w:r>
        <w:rPr>
          <w:rFonts w:hint="eastAsia" w:ascii="华文中宋" w:hAnsi="华文中宋" w:eastAsia="华文中宋" w:cs="Times New Roman"/>
          <w:lang w:val="en-US" w:eastAsia="zh-CN"/>
        </w:rPr>
        <w:t>中标人</w:t>
      </w:r>
      <w:r>
        <w:rPr>
          <w:rFonts w:hint="eastAsia" w:ascii="华文中宋" w:hAnsi="华文中宋" w:eastAsia="华文中宋" w:cs="Times New Roman"/>
        </w:rPr>
        <w:t>；否则应重新开展采购活动。</w:t>
      </w:r>
    </w:p>
    <w:p w14:paraId="53B30BEF">
      <w:pPr>
        <w:pStyle w:val="68"/>
        <w:keepNext w:val="0"/>
        <w:keepLines w:val="0"/>
        <w:pageBreakBefore w:val="0"/>
        <w:widowControl w:val="0"/>
        <w:kinsoku/>
        <w:wordWrap/>
        <w:overflowPunct/>
        <w:topLinePunct w:val="0"/>
        <w:autoSpaceDE/>
        <w:autoSpaceDN/>
        <w:bidi w:val="0"/>
        <w:adjustRightInd w:val="0"/>
        <w:snapToGrid w:val="0"/>
        <w:spacing w:line="480" w:lineRule="exact"/>
        <w:ind w:firstLine="315" w:firstLineChars="150"/>
        <w:textAlignment w:val="auto"/>
        <w:rPr>
          <w:rFonts w:hint="eastAsia" w:ascii="华文中宋" w:hAnsi="华文中宋" w:eastAsia="华文中宋" w:cs="Times New Roman"/>
        </w:rPr>
      </w:pPr>
      <w:r>
        <w:rPr>
          <w:rFonts w:hint="eastAsia" w:ascii="华文中宋" w:hAnsi="华文中宋" w:eastAsia="华文中宋" w:cs="Times New Roman"/>
        </w:rPr>
        <w:t>（3）质疑答复导致成交结果改变的，</w:t>
      </w:r>
      <w:r>
        <w:rPr>
          <w:rFonts w:hint="eastAsia" w:ascii="华文中宋" w:hAnsi="华文中宋" w:eastAsia="华文中宋" w:cs="Times New Roman"/>
          <w:lang w:eastAsia="zh-CN"/>
        </w:rPr>
        <w:t>招标人</w:t>
      </w:r>
      <w:r>
        <w:rPr>
          <w:rFonts w:hint="eastAsia" w:ascii="华文中宋" w:hAnsi="华文中宋" w:eastAsia="华文中宋" w:cs="Times New Roman"/>
        </w:rPr>
        <w:t>或者集采机构应当将有关情况书面报告本级财政部门。</w:t>
      </w:r>
    </w:p>
    <w:p w14:paraId="664562DA">
      <w:pPr>
        <w:pStyle w:val="72"/>
        <w:pageBreakBefore/>
        <w:numPr>
          <w:ilvl w:val="0"/>
          <w:numId w:val="0"/>
        </w:numPr>
        <w:snapToGrid w:val="0"/>
        <w:spacing w:before="0" w:after="0"/>
        <w:jc w:val="center"/>
        <w:rPr>
          <w:rFonts w:hint="eastAsia" w:ascii="华文中宋" w:hAnsi="华文中宋" w:eastAsia="华文中宋" w:cs="华文中宋"/>
          <w:spacing w:val="20"/>
          <w:szCs w:val="28"/>
        </w:rPr>
      </w:pPr>
      <w:r>
        <w:rPr>
          <w:rFonts w:hint="eastAsia" w:ascii="华文中宋" w:hAnsi="华文中宋" w:eastAsia="华文中宋" w:cs="华文中宋"/>
          <w:spacing w:val="20"/>
          <w:szCs w:val="28"/>
        </w:rPr>
        <w:t>第四部分  采购需求</w:t>
      </w:r>
      <w:bookmarkEnd w:id="55"/>
    </w:p>
    <w:p w14:paraId="0D412EE8">
      <w:pPr>
        <w:spacing w:line="360" w:lineRule="auto"/>
        <w:rPr>
          <w:rFonts w:ascii="华文中宋" w:hAnsi="华文中宋" w:eastAsia="华文中宋"/>
          <w:szCs w:val="21"/>
        </w:rPr>
      </w:pPr>
    </w:p>
    <w:p w14:paraId="35515299">
      <w:pPr>
        <w:pStyle w:val="68"/>
        <w:snapToGrid w:val="0"/>
        <w:spacing w:line="480" w:lineRule="exact"/>
        <w:ind w:firstLine="420" w:firstLineChars="200"/>
        <w:textAlignment w:val="auto"/>
        <w:rPr>
          <w:rFonts w:ascii="华文中宋" w:hAnsi="华文中宋" w:eastAsia="华文中宋" w:cs="宋体"/>
          <w:b/>
        </w:rPr>
      </w:pPr>
      <w:r>
        <w:rPr>
          <w:rFonts w:hint="eastAsia" w:ascii="华文中宋" w:hAnsi="华文中宋" w:eastAsia="华文中宋" w:cs="宋体"/>
          <w:b/>
        </w:rPr>
        <w:t>一、项目概况</w:t>
      </w:r>
    </w:p>
    <w:tbl>
      <w:tblPr>
        <w:tblStyle w:val="28"/>
        <w:tblW w:w="0" w:type="auto"/>
        <w:tblInd w:w="0" w:type="dxa"/>
        <w:tblLayout w:type="fixed"/>
        <w:tblCellMar>
          <w:top w:w="0" w:type="dxa"/>
          <w:left w:w="108" w:type="dxa"/>
          <w:bottom w:w="0" w:type="dxa"/>
          <w:right w:w="108" w:type="dxa"/>
        </w:tblCellMar>
      </w:tblPr>
      <w:tblGrid>
        <w:gridCol w:w="9150"/>
      </w:tblGrid>
      <w:tr w14:paraId="11393604">
        <w:tblPrEx>
          <w:tblCellMar>
            <w:top w:w="0" w:type="dxa"/>
            <w:left w:w="108" w:type="dxa"/>
            <w:bottom w:w="0" w:type="dxa"/>
            <w:right w:w="108" w:type="dxa"/>
          </w:tblCellMar>
        </w:tblPrEx>
        <w:tc>
          <w:tcPr>
            <w:tcW w:w="9150" w:type="dxa"/>
            <w:noWrap w:val="0"/>
            <w:vAlign w:val="top"/>
          </w:tcPr>
          <w:p w14:paraId="2541DE9F">
            <w:pPr>
              <w:pStyle w:val="68"/>
              <w:keepNext w:val="0"/>
              <w:keepLines w:val="0"/>
              <w:suppressLineNumbers w:val="0"/>
              <w:snapToGrid w:val="0"/>
              <w:spacing w:before="0" w:beforeAutospacing="0" w:after="0" w:afterAutospacing="0" w:line="480" w:lineRule="exact"/>
              <w:ind w:left="0" w:right="0" w:firstLine="420" w:firstLineChars="200"/>
              <w:rPr>
                <w:rFonts w:hint="default" w:ascii="华文中宋" w:hAnsi="华文中宋" w:eastAsia="华文中宋" w:cs="宋体"/>
                <w:color w:val="000000"/>
                <w:lang w:val="en-US" w:eastAsia="zh-CN"/>
              </w:rPr>
            </w:pPr>
            <w:r>
              <w:rPr>
                <w:rFonts w:hint="eastAsia" w:ascii="华文中宋" w:hAnsi="华文中宋" w:eastAsia="华文中宋" w:cs="华文中宋"/>
                <w:lang w:val="en-US" w:eastAsia="zh-CN"/>
              </w:rPr>
              <w:t>在高平市市区及各乡镇主要交通道路建设前端感知体系建设、视频综合管理平台升级改造、网络传输设备、AI服务器及存储设备配置、网络安全系统建设及专线租赁。</w:t>
            </w:r>
          </w:p>
        </w:tc>
      </w:tr>
    </w:tbl>
    <w:p w14:paraId="6EF4E809">
      <w:pPr>
        <w:pStyle w:val="68"/>
        <w:snapToGrid w:val="0"/>
        <w:spacing w:line="480" w:lineRule="exact"/>
        <w:ind w:firstLine="420" w:firstLineChars="200"/>
        <w:textAlignment w:val="auto"/>
        <w:rPr>
          <w:rFonts w:ascii="华文中宋" w:hAnsi="华文中宋" w:eastAsia="华文中宋" w:cs="宋体"/>
          <w:b/>
        </w:rPr>
      </w:pPr>
      <w:r>
        <w:rPr>
          <w:rFonts w:hint="eastAsia" w:ascii="华文中宋" w:hAnsi="华文中宋" w:eastAsia="华文中宋" w:cs="宋体"/>
          <w:b/>
        </w:rPr>
        <w:t>二、商务要求</w:t>
      </w:r>
    </w:p>
    <w:tbl>
      <w:tblPr>
        <w:tblStyle w:val="28"/>
        <w:tblW w:w="0" w:type="auto"/>
        <w:tblInd w:w="0" w:type="dxa"/>
        <w:tblLayout w:type="fixed"/>
        <w:tblCellMar>
          <w:top w:w="0" w:type="dxa"/>
          <w:left w:w="108" w:type="dxa"/>
          <w:bottom w:w="0" w:type="dxa"/>
          <w:right w:w="108" w:type="dxa"/>
        </w:tblCellMar>
      </w:tblPr>
      <w:tblGrid>
        <w:gridCol w:w="9150"/>
      </w:tblGrid>
      <w:tr w14:paraId="327567AD">
        <w:tblPrEx>
          <w:tblCellMar>
            <w:top w:w="0" w:type="dxa"/>
            <w:left w:w="108" w:type="dxa"/>
            <w:bottom w:w="0" w:type="dxa"/>
            <w:right w:w="108" w:type="dxa"/>
          </w:tblCellMar>
        </w:tblPrEx>
        <w:tc>
          <w:tcPr>
            <w:tcW w:w="9150" w:type="dxa"/>
            <w:noWrap w:val="0"/>
            <w:vAlign w:val="top"/>
          </w:tcPr>
          <w:p w14:paraId="2D5538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80" w:lineRule="exact"/>
              <w:ind w:left="0" w:right="0" w:firstLine="420" w:firstLineChars="200"/>
              <w:textAlignment w:val="auto"/>
              <w:rPr>
                <w:rFonts w:hint="default" w:ascii="华文中宋" w:hAnsi="华文中宋" w:eastAsia="华文中宋" w:cs="Times New Roman"/>
                <w:lang w:val="en-US" w:eastAsia="zh-CN"/>
              </w:rPr>
            </w:pPr>
            <w:r>
              <w:rPr>
                <w:rFonts w:hint="eastAsia" w:ascii="华文中宋" w:hAnsi="华文中宋" w:eastAsia="华文中宋" w:cs="Times New Roman"/>
                <w:b w:val="0"/>
                <w:bCs w:val="0"/>
              </w:rPr>
              <w:t>1</w:t>
            </w:r>
            <w:r>
              <w:rPr>
                <w:rFonts w:hint="eastAsia" w:ascii="华文中宋" w:hAnsi="华文中宋" w:eastAsia="华文中宋" w:cs="Times New Roman"/>
                <w:b w:val="0"/>
                <w:bCs w:val="0"/>
                <w:lang w:eastAsia="zh-CN"/>
              </w:rPr>
              <w:t>、</w:t>
            </w:r>
            <w:r>
              <w:rPr>
                <w:rFonts w:hint="eastAsia" w:ascii="华文中宋" w:hAnsi="华文中宋" w:eastAsia="华文中宋" w:cs="Times New Roman"/>
                <w:b w:val="0"/>
                <w:bCs w:val="0"/>
              </w:rPr>
              <w:t>交货时间：</w:t>
            </w:r>
            <w:bookmarkStart w:id="56" w:name="OLE_LINK25"/>
            <w:r>
              <w:rPr>
                <w:rFonts w:hint="eastAsia" w:ascii="华文中宋" w:hAnsi="华文中宋" w:eastAsia="华文中宋" w:cs="华文中宋"/>
                <w:szCs w:val="21"/>
                <w:lang w:eastAsia="zh-CN"/>
              </w:rPr>
              <w:t>设备交付期限</w:t>
            </w:r>
            <w:r>
              <w:rPr>
                <w:rFonts w:hint="eastAsia" w:ascii="华文中宋" w:hAnsi="华文中宋" w:eastAsia="华文中宋" w:cs="华文中宋"/>
                <w:szCs w:val="21"/>
                <w:lang w:val="en-US" w:eastAsia="zh-CN"/>
              </w:rPr>
              <w:t>2026年6月；运维期限</w:t>
            </w:r>
            <w:r>
              <w:rPr>
                <w:rFonts w:hint="eastAsia" w:ascii="华文中宋" w:hAnsi="华文中宋" w:eastAsia="华文中宋" w:cs="华文中宋"/>
                <w:lang w:val="en-US" w:eastAsia="zh-CN"/>
              </w:rPr>
              <w:t>自项目验收合格后三年</w:t>
            </w:r>
            <w:r>
              <w:rPr>
                <w:rFonts w:hint="eastAsia" w:ascii="华文中宋" w:hAnsi="华文中宋" w:eastAsia="华文中宋" w:cs="Times New Roman"/>
                <w:lang w:val="en-US" w:eastAsia="zh-CN"/>
              </w:rPr>
              <w:t>。</w:t>
            </w:r>
          </w:p>
          <w:bookmarkEnd w:id="56"/>
          <w:p w14:paraId="4B16D306">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default" w:ascii="华文中宋" w:hAnsi="华文中宋" w:eastAsia="华文中宋" w:cs="Times New Roman"/>
                <w:lang w:val="en-US" w:eastAsia="zh-CN"/>
              </w:rPr>
            </w:pPr>
            <w:r>
              <w:rPr>
                <w:rFonts w:hint="eastAsia" w:ascii="华文中宋" w:hAnsi="华文中宋" w:eastAsia="华文中宋" w:cs="Times New Roman"/>
              </w:rPr>
              <w:t>2</w:t>
            </w:r>
            <w:r>
              <w:rPr>
                <w:rFonts w:hint="eastAsia" w:ascii="华文中宋" w:hAnsi="华文中宋" w:eastAsia="华文中宋" w:cs="Times New Roman"/>
                <w:lang w:eastAsia="zh-CN"/>
              </w:rPr>
              <w:t>、</w:t>
            </w:r>
            <w:r>
              <w:rPr>
                <w:rFonts w:hint="eastAsia" w:ascii="华文中宋" w:hAnsi="华文中宋" w:eastAsia="华文中宋" w:cs="Times New Roman"/>
              </w:rPr>
              <w:t>交货地点</w:t>
            </w:r>
            <w:r>
              <w:rPr>
                <w:rFonts w:hint="eastAsia" w:ascii="华文中宋" w:hAnsi="华文中宋" w:eastAsia="华文中宋" w:cs="Times New Roman"/>
                <w:lang w:eastAsia="zh-CN"/>
              </w:rPr>
              <w:t>：高平市公安局和高平市市区及各乡镇主要交通道路</w:t>
            </w:r>
            <w:r>
              <w:rPr>
                <w:rFonts w:hint="eastAsia" w:ascii="华文中宋" w:hAnsi="华文中宋" w:eastAsia="华文中宋" w:cs="Times New Roman"/>
                <w:lang w:val="en-US" w:eastAsia="zh-CN"/>
              </w:rPr>
              <w:t>。</w:t>
            </w:r>
          </w:p>
          <w:p w14:paraId="4DD5FC06">
            <w:pPr>
              <w:pStyle w:val="68"/>
              <w:keepNext w:val="0"/>
              <w:keepLines w:val="0"/>
              <w:suppressLineNumbers w:val="0"/>
              <w:snapToGrid w:val="0"/>
              <w:spacing w:before="0" w:beforeAutospacing="0" w:after="0" w:afterAutospacing="0" w:line="480" w:lineRule="exact"/>
              <w:ind w:left="0" w:right="0" w:firstLine="420" w:firstLineChars="200"/>
              <w:rPr>
                <w:rFonts w:hint="eastAsia" w:ascii="华文中宋" w:hAnsi="华文中宋" w:eastAsia="华文中宋" w:cs="华文中宋"/>
              </w:rPr>
            </w:pPr>
            <w:r>
              <w:rPr>
                <w:rFonts w:hint="eastAsia" w:ascii="华文中宋" w:hAnsi="华文中宋" w:eastAsia="华文中宋" w:cs="Times New Roman"/>
              </w:rPr>
              <w:t>3</w:t>
            </w:r>
            <w:r>
              <w:rPr>
                <w:rFonts w:hint="eastAsia" w:ascii="华文中宋" w:hAnsi="华文中宋" w:eastAsia="华文中宋" w:cs="Times New Roman"/>
                <w:lang w:eastAsia="zh-CN"/>
              </w:rPr>
              <w:t>、</w:t>
            </w:r>
            <w:r>
              <w:rPr>
                <w:rFonts w:hint="eastAsia" w:ascii="华文中宋" w:hAnsi="华文中宋" w:eastAsia="华文中宋" w:cs="Times New Roman"/>
              </w:rPr>
              <w:t>付款方式</w:t>
            </w:r>
            <w:r>
              <w:rPr>
                <w:rFonts w:hint="eastAsia" w:ascii="华文中宋" w:hAnsi="华文中宋" w:eastAsia="华文中宋" w:cs="Times New Roman"/>
                <w:lang w:eastAsia="zh-CN"/>
              </w:rPr>
              <w:t>：</w:t>
            </w:r>
            <w:r>
              <w:rPr>
                <w:rFonts w:hint="eastAsia" w:ascii="华文中宋" w:hAnsi="华文中宋" w:eastAsia="华文中宋" w:cs="华文中宋"/>
              </w:rPr>
              <w:t>合同签订后</w:t>
            </w:r>
            <w:r>
              <w:rPr>
                <w:rFonts w:ascii="华文中宋" w:hAnsi="华文中宋" w:eastAsia="华文中宋" w:cs="华文中宋"/>
              </w:rPr>
              <w:t>，</w:t>
            </w:r>
            <w:r>
              <w:rPr>
                <w:rFonts w:hint="eastAsia" w:ascii="华文中宋" w:hAnsi="华文中宋" w:eastAsia="华文中宋" w:cs="华文中宋"/>
                <w:lang w:val="en-US" w:eastAsia="zh-CN"/>
              </w:rPr>
              <w:t>预付</w:t>
            </w:r>
            <w:r>
              <w:rPr>
                <w:rFonts w:hint="eastAsia" w:ascii="华文中宋" w:hAnsi="华文中宋" w:eastAsia="华文中宋" w:cs="华文中宋"/>
              </w:rPr>
              <w:t>设备款项40%，待项目验收合格后支付剩余设备款项。</w:t>
            </w:r>
          </w:p>
          <w:p w14:paraId="5EC79CFB">
            <w:pPr>
              <w:pStyle w:val="68"/>
              <w:keepNext w:val="0"/>
              <w:keepLines w:val="0"/>
              <w:suppressLineNumbers w:val="0"/>
              <w:snapToGrid w:val="0"/>
              <w:spacing w:before="0" w:beforeAutospacing="0" w:after="0" w:afterAutospacing="0" w:line="480" w:lineRule="exact"/>
              <w:ind w:left="0" w:right="0" w:firstLine="420" w:firstLineChars="200"/>
              <w:rPr>
                <w:rFonts w:hint="eastAsia" w:ascii="华文中宋" w:hAnsi="华文中宋" w:eastAsia="华文中宋" w:cs="Times New Roman"/>
              </w:rPr>
            </w:pPr>
            <w:r>
              <w:rPr>
                <w:rFonts w:hint="eastAsia" w:ascii="华文中宋" w:hAnsi="华文中宋" w:eastAsia="华文中宋" w:cs="华文中宋"/>
              </w:rPr>
              <w:t>运维费用分三年进行支付逐年</w:t>
            </w:r>
            <w:r>
              <w:rPr>
                <w:rFonts w:ascii="华文中宋" w:hAnsi="华文中宋" w:eastAsia="华文中宋" w:cs="华文中宋"/>
              </w:rPr>
              <w:t>支付</w:t>
            </w:r>
            <w:r>
              <w:rPr>
                <w:rFonts w:hint="eastAsia" w:ascii="华文中宋" w:hAnsi="华文中宋" w:eastAsia="华文中宋" w:cs="华文中宋"/>
              </w:rPr>
              <w:t>运维</w:t>
            </w:r>
            <w:r>
              <w:rPr>
                <w:rFonts w:ascii="华文中宋" w:hAnsi="华文中宋" w:eastAsia="华文中宋" w:cs="华文中宋"/>
              </w:rPr>
              <w:t>费用，</w:t>
            </w:r>
            <w:r>
              <w:rPr>
                <w:rFonts w:hint="eastAsia" w:ascii="华文中宋" w:hAnsi="华文中宋" w:eastAsia="华文中宋" w:cs="华文中宋"/>
              </w:rPr>
              <w:t>前半年</w:t>
            </w:r>
            <w:r>
              <w:rPr>
                <w:rFonts w:ascii="华文中宋" w:hAnsi="华文中宋" w:eastAsia="华文中宋" w:cs="华文中宋"/>
              </w:rPr>
              <w:t>预</w:t>
            </w:r>
            <w:r>
              <w:rPr>
                <w:rFonts w:hint="eastAsia" w:ascii="华文中宋" w:hAnsi="华文中宋" w:eastAsia="华文中宋" w:cs="华文中宋"/>
              </w:rPr>
              <w:t>支付</w:t>
            </w:r>
            <w:r>
              <w:rPr>
                <w:rFonts w:ascii="华文中宋" w:hAnsi="华文中宋" w:eastAsia="华文中宋" w:cs="华文中宋"/>
              </w:rPr>
              <w:t>当年</w:t>
            </w:r>
            <w:r>
              <w:rPr>
                <w:rFonts w:hint="eastAsia" w:ascii="华文中宋" w:hAnsi="华文中宋" w:eastAsia="华文中宋" w:cs="华文中宋"/>
              </w:rPr>
              <w:t>50%的运维服务费，满</w:t>
            </w:r>
            <w:r>
              <w:rPr>
                <w:rFonts w:ascii="华文中宋" w:hAnsi="华文中宋" w:eastAsia="华文中宋" w:cs="华文中宋"/>
              </w:rPr>
              <w:t>一个年度后</w:t>
            </w:r>
            <w:r>
              <w:rPr>
                <w:rFonts w:hint="eastAsia" w:ascii="华文中宋" w:hAnsi="华文中宋" w:eastAsia="华文中宋" w:cs="华文中宋"/>
              </w:rPr>
              <w:t>按照</w:t>
            </w:r>
            <w:r>
              <w:rPr>
                <w:rFonts w:ascii="华文中宋" w:hAnsi="华文中宋" w:eastAsia="华文中宋" w:cs="华文中宋"/>
              </w:rPr>
              <w:t>运维情况支付</w:t>
            </w:r>
            <w:r>
              <w:rPr>
                <w:rFonts w:hint="eastAsia" w:ascii="华文中宋" w:hAnsi="华文中宋" w:eastAsia="华文中宋" w:cs="华文中宋"/>
              </w:rPr>
              <w:t>当年</w:t>
            </w:r>
            <w:r>
              <w:rPr>
                <w:rFonts w:ascii="华文中宋" w:hAnsi="华文中宋" w:eastAsia="华文中宋" w:cs="华文中宋"/>
              </w:rPr>
              <w:t>剩余运维服务费</w:t>
            </w:r>
            <w:r>
              <w:rPr>
                <w:rFonts w:hint="eastAsia" w:ascii="华文中宋" w:hAnsi="华文中宋" w:eastAsia="华文中宋" w:cs="华文中宋"/>
              </w:rPr>
              <w:t>。</w:t>
            </w:r>
          </w:p>
          <w:p w14:paraId="71CF9EC7">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rPr>
              <w:t>4</w:t>
            </w:r>
            <w:r>
              <w:rPr>
                <w:rFonts w:hint="eastAsia" w:ascii="华文中宋" w:hAnsi="华文中宋" w:eastAsia="华文中宋" w:cs="Times New Roman"/>
                <w:lang w:eastAsia="zh-CN"/>
              </w:rPr>
              <w:t>、</w:t>
            </w:r>
            <w:r>
              <w:rPr>
                <w:rFonts w:hint="eastAsia" w:ascii="华文中宋" w:hAnsi="华文中宋" w:eastAsia="华文中宋" w:cs="Times New Roman"/>
              </w:rPr>
              <w:t>履约保证金：无</w:t>
            </w:r>
          </w:p>
          <w:p w14:paraId="3DAA2FCD">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sym w:font="Wingdings" w:char="00FE"/>
            </w:r>
            <w:r>
              <w:rPr>
                <w:rFonts w:hint="eastAsia" w:ascii="华文中宋" w:hAnsi="华文中宋" w:eastAsia="华文中宋" w:cs="Times New Roman"/>
                <w:lang w:val="en-US" w:eastAsia="zh-CN"/>
              </w:rPr>
              <w:t>本项目不需要提交履约保证金</w:t>
            </w:r>
          </w:p>
          <w:p w14:paraId="30187A52">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sym w:font="Wingdings" w:char="00A8"/>
            </w:r>
            <w:r>
              <w:rPr>
                <w:rFonts w:hint="eastAsia" w:ascii="华文中宋" w:hAnsi="华文中宋" w:eastAsia="华文中宋" w:cs="Times New Roman"/>
                <w:lang w:val="en-US" w:eastAsia="zh-CN"/>
              </w:rPr>
              <w:t xml:space="preserve"> 本项目需要提交履约保证金</w:t>
            </w:r>
          </w:p>
          <w:p w14:paraId="3A56E8D2">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（1）本项目要求成交供应商提交履约保证金。</w:t>
            </w:r>
          </w:p>
          <w:p w14:paraId="58BCA228">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（2）中标供应商在收到成交通知书后五个工作日内，向招标人提交合同额2%的履约保证金。</w:t>
            </w:r>
          </w:p>
          <w:p w14:paraId="17374635">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（3）提交履约保证金按照招标人的要求以支票、汇票、本票或者金融机构、担保机构出具的保函等形式提交，不得限制缴纳的形式。</w:t>
            </w:r>
          </w:p>
          <w:p w14:paraId="28330860">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（4）中标供应商合同主要义务履行完毕，项目验收合格后，招标人无息退还履约保证金。</w:t>
            </w:r>
          </w:p>
          <w:p w14:paraId="26C44E1E">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宋体"/>
                <w:color w:val="000000"/>
                <w:lang w:eastAsia="zh-CN"/>
              </w:rPr>
            </w:pPr>
            <w:r>
              <w:rPr>
                <w:rFonts w:hint="eastAsia" w:ascii="华文中宋" w:hAnsi="华文中宋" w:eastAsia="华文中宋" w:cs="Times New Roman"/>
              </w:rPr>
              <w:t>5、质量及其它要求：符合国家标准</w:t>
            </w:r>
            <w:r>
              <w:rPr>
                <w:rFonts w:hint="eastAsia" w:ascii="华文中宋" w:hAnsi="华文中宋" w:eastAsia="华文中宋" w:cs="Times New Roman"/>
                <w:lang w:eastAsia="zh-CN"/>
              </w:rPr>
              <w:t>，</w:t>
            </w:r>
            <w:r>
              <w:rPr>
                <w:rFonts w:hint="eastAsia" w:ascii="华文中宋" w:hAnsi="华文中宋" w:eastAsia="华文中宋" w:cs="Times New Roman"/>
              </w:rPr>
              <w:t>满足招标文件技术参数要求</w:t>
            </w:r>
            <w:r>
              <w:rPr>
                <w:rFonts w:hint="eastAsia" w:ascii="华文中宋" w:hAnsi="华文中宋" w:eastAsia="华文中宋" w:cs="Times New Roman"/>
                <w:lang w:eastAsia="zh-CN"/>
              </w:rPr>
              <w:t>。</w:t>
            </w:r>
          </w:p>
        </w:tc>
      </w:tr>
    </w:tbl>
    <w:p w14:paraId="3B91BBA0">
      <w:pPr>
        <w:pStyle w:val="68"/>
        <w:snapToGrid w:val="0"/>
        <w:spacing w:line="480" w:lineRule="exact"/>
        <w:ind w:firstLine="420" w:firstLineChars="200"/>
        <w:textAlignment w:val="auto"/>
        <w:rPr>
          <w:rFonts w:ascii="华文中宋" w:hAnsi="华文中宋" w:eastAsia="华文中宋" w:cs="宋体"/>
          <w:b/>
        </w:rPr>
      </w:pPr>
      <w:r>
        <w:rPr>
          <w:rFonts w:ascii="华文中宋" w:hAnsi="华文中宋" w:eastAsia="华文中宋" w:cs="宋体"/>
          <w:b/>
        </w:rPr>
        <w:t>三</w:t>
      </w:r>
      <w:r>
        <w:rPr>
          <w:rFonts w:hint="eastAsia" w:ascii="华文中宋" w:hAnsi="华文中宋" w:eastAsia="华文中宋" w:cs="宋体"/>
          <w:b/>
        </w:rPr>
        <w:t>、实质性要求</w:t>
      </w:r>
    </w:p>
    <w:tbl>
      <w:tblPr>
        <w:tblStyle w:val="28"/>
        <w:tblW w:w="0" w:type="auto"/>
        <w:tblInd w:w="0" w:type="dxa"/>
        <w:tblLayout w:type="fixed"/>
        <w:tblCellMar>
          <w:top w:w="0" w:type="dxa"/>
          <w:left w:w="108" w:type="dxa"/>
          <w:bottom w:w="0" w:type="dxa"/>
          <w:right w:w="108" w:type="dxa"/>
        </w:tblCellMar>
      </w:tblPr>
      <w:tblGrid>
        <w:gridCol w:w="9150"/>
      </w:tblGrid>
      <w:tr w14:paraId="328BFDED">
        <w:tblPrEx>
          <w:tblCellMar>
            <w:top w:w="0" w:type="dxa"/>
            <w:left w:w="108" w:type="dxa"/>
            <w:bottom w:w="0" w:type="dxa"/>
            <w:right w:w="108" w:type="dxa"/>
          </w:tblCellMar>
        </w:tblPrEx>
        <w:tc>
          <w:tcPr>
            <w:tcW w:w="9150" w:type="dxa"/>
            <w:noWrap w:val="0"/>
            <w:vAlign w:val="top"/>
          </w:tcPr>
          <w:p w14:paraId="71BDB280">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1、政府强制采购品目清单中的产品。</w:t>
            </w:r>
          </w:p>
          <w:p w14:paraId="2AC3BBDD">
            <w:pPr>
              <w:pStyle w:val="6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kern w:val="0"/>
                <w:sz w:val="21"/>
                <w:szCs w:val="21"/>
                <w:lang w:val="en-US" w:eastAsia="zh-CN" w:bidi="ar-SA"/>
              </w:rPr>
              <w:t>2、</w:t>
            </w:r>
            <w:r>
              <w:rPr>
                <w:rFonts w:hint="eastAsia" w:ascii="华文中宋" w:hAnsi="华文中宋" w:eastAsia="华文中宋" w:cs="Times New Roman"/>
                <w:lang w:val="en-US" w:eastAsia="zh-CN"/>
              </w:rPr>
              <w:t>《网络关键设备和网络安全专用产品目录》中（2类38项）的产品。</w:t>
            </w:r>
          </w:p>
          <w:p w14:paraId="380A111C">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 xml:space="preserve">3、正版软件承诺：承诺所投报的计算机预装正版操作系统，硬件产品内的预装软件为正版软件。 </w:t>
            </w:r>
          </w:p>
          <w:p w14:paraId="6626E834">
            <w:pPr>
              <w:pStyle w:val="6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rPr>
              <w:t>4、其他强制性要求或标准。</w:t>
            </w:r>
            <w:r>
              <w:rPr>
                <w:rFonts w:hint="eastAsia" w:ascii="华文中宋" w:hAnsi="华文中宋" w:eastAsia="华文中宋" w:cs="Times New Roman"/>
                <w:lang w:val="en-US" w:eastAsia="zh-CN"/>
              </w:rPr>
              <w:t>无</w:t>
            </w:r>
          </w:p>
        </w:tc>
      </w:tr>
    </w:tbl>
    <w:p w14:paraId="4802C0BB">
      <w:pPr>
        <w:pStyle w:val="68"/>
        <w:snapToGrid w:val="0"/>
        <w:spacing w:line="480" w:lineRule="exact"/>
        <w:ind w:firstLine="420" w:firstLineChars="200"/>
        <w:textAlignment w:val="auto"/>
        <w:rPr>
          <w:rFonts w:ascii="华文中宋" w:hAnsi="华文中宋" w:eastAsia="华文中宋" w:cs="宋体"/>
          <w:b/>
        </w:rPr>
      </w:pPr>
      <w:r>
        <w:rPr>
          <w:rFonts w:hint="eastAsia" w:ascii="华文中宋" w:hAnsi="华文中宋" w:eastAsia="华文中宋" w:cs="宋体"/>
          <w:b/>
        </w:rPr>
        <w:t>四、非实质性要求</w:t>
      </w:r>
    </w:p>
    <w:tbl>
      <w:tblPr>
        <w:tblStyle w:val="28"/>
        <w:tblW w:w="0" w:type="auto"/>
        <w:tblInd w:w="0" w:type="dxa"/>
        <w:tblLayout w:type="fixed"/>
        <w:tblCellMar>
          <w:top w:w="0" w:type="dxa"/>
          <w:left w:w="108" w:type="dxa"/>
          <w:bottom w:w="0" w:type="dxa"/>
          <w:right w:w="108" w:type="dxa"/>
        </w:tblCellMar>
      </w:tblPr>
      <w:tblGrid>
        <w:gridCol w:w="9150"/>
      </w:tblGrid>
      <w:tr w14:paraId="3FBDC236">
        <w:tblPrEx>
          <w:tblCellMar>
            <w:top w:w="0" w:type="dxa"/>
            <w:left w:w="108" w:type="dxa"/>
            <w:bottom w:w="0" w:type="dxa"/>
            <w:right w:w="108" w:type="dxa"/>
          </w:tblCellMar>
        </w:tblPrEx>
        <w:tc>
          <w:tcPr>
            <w:tcW w:w="9150" w:type="dxa"/>
            <w:noWrap w:val="0"/>
            <w:vAlign w:val="top"/>
          </w:tcPr>
          <w:p w14:paraId="1B39D612">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投标人应保证所提供服务内容不会出现因第三方提出侵犯其专利权、商标权或其它知识产权而引发法律或经济纠纷，否则由投标人承担全部责任。任何被投标人用于未经授权的商业目的行为所造成的违约或侵权责任由投标人承担。</w:t>
            </w:r>
          </w:p>
          <w:p w14:paraId="722CABDF">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rPr>
            </w:pPr>
            <w:r>
              <w:rPr>
                <w:rFonts w:hint="eastAsia" w:ascii="华文中宋" w:hAnsi="华文中宋" w:eastAsia="华文中宋" w:cs="华文中宋"/>
              </w:rPr>
              <w:t>投标人未按合同要求提供服务或服务质量不能满足要求，且在规定时间内未使采购人满意的，采购人有权终止合同，同时报请政府采购监管部门对其违约行为进行追究。</w:t>
            </w:r>
          </w:p>
        </w:tc>
      </w:tr>
    </w:tbl>
    <w:p w14:paraId="093FBF9C">
      <w:pPr>
        <w:pStyle w:val="68"/>
        <w:snapToGrid w:val="0"/>
        <w:spacing w:line="480" w:lineRule="exact"/>
        <w:ind w:firstLine="420" w:firstLineChars="200"/>
        <w:textAlignment w:val="auto"/>
        <w:rPr>
          <w:rFonts w:ascii="华文中宋" w:hAnsi="华文中宋" w:eastAsia="华文中宋" w:cs="宋体"/>
          <w:b/>
        </w:rPr>
      </w:pPr>
      <w:r>
        <w:rPr>
          <w:rFonts w:hint="eastAsia" w:ascii="华文中宋" w:hAnsi="华文中宋" w:eastAsia="华文中宋" w:cs="宋体"/>
          <w:b/>
        </w:rPr>
        <w:t>五、服务要求：</w:t>
      </w:r>
    </w:p>
    <w:tbl>
      <w:tblPr>
        <w:tblStyle w:val="28"/>
        <w:tblW w:w="0" w:type="auto"/>
        <w:tblInd w:w="0" w:type="dxa"/>
        <w:tblLayout w:type="fixed"/>
        <w:tblCellMar>
          <w:top w:w="0" w:type="dxa"/>
          <w:left w:w="108" w:type="dxa"/>
          <w:bottom w:w="0" w:type="dxa"/>
          <w:right w:w="108" w:type="dxa"/>
        </w:tblCellMar>
      </w:tblPr>
      <w:tblGrid>
        <w:gridCol w:w="9150"/>
      </w:tblGrid>
      <w:tr w14:paraId="53D4C611">
        <w:tblPrEx>
          <w:tblCellMar>
            <w:top w:w="0" w:type="dxa"/>
            <w:left w:w="108" w:type="dxa"/>
            <w:bottom w:w="0" w:type="dxa"/>
            <w:right w:w="108" w:type="dxa"/>
          </w:tblCellMar>
        </w:tblPrEx>
        <w:tc>
          <w:tcPr>
            <w:tcW w:w="9150" w:type="dxa"/>
            <w:noWrap w:val="0"/>
            <w:vAlign w:val="top"/>
          </w:tcPr>
          <w:p w14:paraId="15FFE116">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bookmarkStart w:id="57" w:name="_Toc27156"/>
            <w:bookmarkStart w:id="58" w:name="_Toc12556_WPSOffice_Level2"/>
            <w:bookmarkStart w:id="59" w:name="_Toc27890"/>
            <w:r>
              <w:rPr>
                <w:rFonts w:hint="eastAsia" w:ascii="华文中宋" w:hAnsi="华文中宋" w:eastAsia="华文中宋" w:cs="华文中宋"/>
              </w:rPr>
              <w:t>1、按照公安机关公共安全视频监控工作的要求，结合高平实际，通过“人力+系统”的运维模式，切实做好自建前端、系统平台、数据汇聚、机房设备维护、视频考核等相关工作。目标是自建前端在线率98%以上（除去电网停电、市政改造拆除等因素外），发生故障后30分钟以内响应，图像质量有效保证，硬件设备和软件的24小时故障修复率必须达到100%，系统运行稳定，及时进行系统升级，不发生安全泄密事故，不发生重大系统故障，全力保障重大安保工作等。</w:t>
            </w:r>
            <w:bookmarkEnd w:id="57"/>
            <w:bookmarkEnd w:id="58"/>
            <w:bookmarkEnd w:id="59"/>
          </w:p>
          <w:p w14:paraId="107F794E">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2、运维人员配置</w:t>
            </w:r>
          </w:p>
          <w:p w14:paraId="4E430A56">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(1)、前端维护小组：需要配备不少于4人的前端运维团队。划分至少2支小队，负责日常巡检、应急突发事件处理。</w:t>
            </w:r>
          </w:p>
          <w:p w14:paraId="276AEA3A">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(2)、驻场维护小组：需要配备不少于2人，至少配备1名项目经理、1名工程师。</w:t>
            </w:r>
          </w:p>
          <w:p w14:paraId="3CB246AC">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3、★投标人应确保整个维护过程中的人身安全、施工安全、财产安全、并对其发生的人身、财产安全责任事故承担全部法律和经济责任。</w:t>
            </w:r>
          </w:p>
          <w:p w14:paraId="42BD46E4">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4、★投标人应保证维护人员遵守保密守则，严禁将保障内容有关事宜（包括公安内部信息、安保勤务活动、设备品牌、技术指标等）泄露给第三方。</w:t>
            </w:r>
          </w:p>
          <w:p w14:paraId="1C139B97">
            <w:pPr>
              <w:pStyle w:val="68"/>
              <w:keepNext w:val="0"/>
              <w:keepLines w:val="0"/>
              <w:suppressLineNumbers w:val="0"/>
              <w:snapToGrid w:val="0"/>
              <w:spacing w:before="0" w:beforeAutospacing="0" w:after="0" w:afterAutospacing="0" w:line="480" w:lineRule="exact"/>
              <w:ind w:left="0" w:right="0" w:firstLine="420" w:firstLineChars="200"/>
              <w:rPr>
                <w:rFonts w:ascii="华文中宋" w:hAnsi="华文中宋" w:eastAsia="华文中宋" w:cs="华文中宋"/>
              </w:rPr>
            </w:pPr>
            <w:r>
              <w:rPr>
                <w:rFonts w:hint="eastAsia" w:ascii="华文中宋" w:hAnsi="华文中宋" w:eastAsia="华文中宋" w:cs="华文中宋"/>
              </w:rPr>
              <w:t>5、维护保障车辆：运维公司参与维护保障服务车辆不少于2辆工程车，包括高空车辆不少于1辆、巡检车辆不少于1辆。（注：采购人不另行支付车辆产生的相关费用。）</w:t>
            </w:r>
          </w:p>
          <w:p w14:paraId="6B4DFF46">
            <w:pPr>
              <w:pStyle w:val="25"/>
              <w:keepNext w:val="0"/>
              <w:keepLines w:val="0"/>
              <w:widowControl/>
              <w:suppressLineNumbers w:val="0"/>
              <w:wordWrap w:val="0"/>
              <w:spacing w:before="60" w:beforeAutospacing="0" w:after="60" w:afterAutospacing="0" w:line="288" w:lineRule="atLeast"/>
              <w:ind w:left="0" w:right="0" w:firstLine="751" w:firstLineChars="358"/>
              <w:rPr>
                <w:rFonts w:hint="default" w:ascii="华文中宋" w:hAnsi="华文中宋" w:eastAsia="华文中宋" w:cs="Times New Roman"/>
                <w:kern w:val="0"/>
                <w:sz w:val="21"/>
                <w:szCs w:val="21"/>
                <w:lang w:val="en-US" w:eastAsia="zh-CN" w:bidi="ar-SA"/>
              </w:rPr>
            </w:pPr>
          </w:p>
        </w:tc>
      </w:tr>
    </w:tbl>
    <w:p w14:paraId="0310B57C">
      <w:pPr>
        <w:pStyle w:val="68"/>
        <w:snapToGrid w:val="0"/>
        <w:spacing w:line="480" w:lineRule="exact"/>
        <w:ind w:firstLine="420" w:firstLineChars="200"/>
        <w:textAlignment w:val="auto"/>
        <w:rPr>
          <w:rFonts w:ascii="华文中宋" w:hAnsi="华文中宋" w:eastAsia="华文中宋" w:cs="宋体"/>
          <w:b/>
        </w:rPr>
      </w:pPr>
      <w:r>
        <w:rPr>
          <w:rFonts w:hint="eastAsia" w:ascii="华文中宋" w:hAnsi="华文中宋" w:eastAsia="华文中宋" w:cs="宋体"/>
          <w:b/>
        </w:rPr>
        <w:t>六、验收标准</w:t>
      </w:r>
    </w:p>
    <w:tbl>
      <w:tblPr>
        <w:tblStyle w:val="28"/>
        <w:tblW w:w="0" w:type="auto"/>
        <w:tblInd w:w="0" w:type="dxa"/>
        <w:tblLayout w:type="fixed"/>
        <w:tblCellMar>
          <w:top w:w="0" w:type="dxa"/>
          <w:left w:w="108" w:type="dxa"/>
          <w:bottom w:w="0" w:type="dxa"/>
          <w:right w:w="108" w:type="dxa"/>
        </w:tblCellMar>
      </w:tblPr>
      <w:tblGrid>
        <w:gridCol w:w="9150"/>
      </w:tblGrid>
      <w:tr w14:paraId="3BD3F7F7">
        <w:tblPrEx>
          <w:tblCellMar>
            <w:top w:w="0" w:type="dxa"/>
            <w:left w:w="108" w:type="dxa"/>
            <w:bottom w:w="0" w:type="dxa"/>
            <w:right w:w="108" w:type="dxa"/>
          </w:tblCellMar>
        </w:tblPrEx>
        <w:tc>
          <w:tcPr>
            <w:tcW w:w="9150" w:type="dxa"/>
            <w:noWrap w:val="0"/>
            <w:vAlign w:val="top"/>
          </w:tcPr>
          <w:p w14:paraId="5C16E01C">
            <w:pPr>
              <w:pStyle w:val="68"/>
              <w:keepNext w:val="0"/>
              <w:keepLines w:val="0"/>
              <w:suppressLineNumbers w:val="0"/>
              <w:snapToGrid w:val="0"/>
              <w:spacing w:before="0" w:beforeAutospacing="0" w:after="0" w:afterAutospacing="0" w:line="480" w:lineRule="exact"/>
              <w:ind w:left="0" w:right="0" w:firstLine="420" w:firstLineChars="200"/>
              <w:rPr>
                <w:rFonts w:hint="default" w:ascii="华文中宋" w:hAnsi="华文中宋" w:eastAsia="华文中宋"/>
                <w:lang w:val="en-US" w:eastAsia="zh-CN"/>
              </w:rPr>
            </w:pPr>
            <w:r>
              <w:rPr>
                <w:rFonts w:hint="eastAsia" w:ascii="华文中宋" w:hAnsi="华文中宋" w:eastAsia="华文中宋" w:cs="华文中宋"/>
              </w:rPr>
              <w:t>采购人自行组织或委托第三机构邀请相关行业技术专家按照国家相关标准、行业标准或者其他标准、规范及本项目招标文件、投标文件、合同文本进行验收。验收结束后，填写“合同履约情况验收报告”，并由验收双方共同签署。</w:t>
            </w:r>
          </w:p>
        </w:tc>
      </w:tr>
    </w:tbl>
    <w:p w14:paraId="3084934D">
      <w:pPr>
        <w:pStyle w:val="68"/>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cs="宋体"/>
          <w:b/>
        </w:rPr>
        <w:t>七、技术要求</w:t>
      </w:r>
    </w:p>
    <w:p w14:paraId="30BC3EE4">
      <w:pPr>
        <w:pStyle w:val="68"/>
        <w:pageBreakBefore w:val="0"/>
        <w:widowControl w:val="0"/>
        <w:kinsoku/>
        <w:wordWrap/>
        <w:overflowPunct/>
        <w:topLinePunct w:val="0"/>
        <w:autoSpaceDE/>
        <w:autoSpaceDN/>
        <w:bidi w:val="0"/>
        <w:snapToGrid w:val="0"/>
        <w:spacing w:line="480" w:lineRule="exact"/>
        <w:ind w:left="0" w:leftChars="0" w:right="0" w:rightChars="0" w:firstLine="420" w:firstLineChars="200"/>
        <w:jc w:val="both"/>
        <w:textAlignment w:val="auto"/>
        <w:rPr>
          <w:rFonts w:ascii="华文中宋" w:hAnsi="华文中宋" w:eastAsia="华文中宋"/>
          <w:b/>
        </w:rPr>
      </w:pPr>
      <w:r>
        <w:rPr>
          <w:rFonts w:hint="eastAsia" w:ascii="华文中宋" w:hAnsi="华文中宋" w:eastAsia="华文中宋" w:cs="华文中宋"/>
          <w:color w:val="auto"/>
          <w:sz w:val="21"/>
          <w:szCs w:val="21"/>
          <w:highlight w:val="none"/>
        </w:rPr>
        <w:t>详见《技术需求书》</w:t>
      </w:r>
      <w:r>
        <w:rPr>
          <w:rFonts w:hint="eastAsia" w:ascii="华文中宋" w:hAnsi="华文中宋" w:eastAsia="华文中宋"/>
          <w:b/>
        </w:rPr>
        <w:t xml:space="preserve"> </w:t>
      </w:r>
    </w:p>
    <w:p w14:paraId="3C7143C7">
      <w:pPr>
        <w:pStyle w:val="68"/>
        <w:snapToGrid w:val="0"/>
        <w:spacing w:line="480" w:lineRule="exact"/>
        <w:ind w:firstLine="420" w:firstLineChars="200"/>
        <w:textAlignment w:val="auto"/>
        <w:rPr>
          <w:rFonts w:hint="eastAsia" w:ascii="华文中宋" w:hAnsi="华文中宋" w:eastAsia="华文中宋" w:cs="宋体"/>
          <w:b/>
        </w:rPr>
      </w:pPr>
      <w:r>
        <w:rPr>
          <w:rFonts w:hint="eastAsia" w:ascii="华文中宋" w:hAnsi="华文中宋" w:eastAsia="华文中宋" w:cs="宋体"/>
          <w:b/>
        </w:rPr>
        <w:t xml:space="preserve">八、其他  </w:t>
      </w:r>
    </w:p>
    <w:p w14:paraId="0EF5A8C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1、本招标文件中未明确但国家法律、法规有明确规定的，均需满足国家相关法律、法规要求。 </w:t>
      </w:r>
    </w:p>
    <w:p w14:paraId="0D9D1C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2、投标人应按照招标文件规定的投标文件截止时间前上传电子投标文件，未按时上传电子投标文件，将导致投标被拒绝。</w:t>
      </w:r>
    </w:p>
    <w:p w14:paraId="033ED1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3、本项目实行远程不见面开评标，投标人及委托人无需到达开标现场，但在本项目开评标结束前应保持山西政府采购平台在线沟通顺畅，如因沟通不及时引起的一切后果由投标人自己承担。</w:t>
      </w:r>
    </w:p>
    <w:p w14:paraId="3857FD38">
      <w:pPr>
        <w:pStyle w:val="68"/>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 </w:t>
      </w:r>
    </w:p>
    <w:p w14:paraId="7F2081A0">
      <w:pPr>
        <w:pStyle w:val="4"/>
        <w:numPr>
          <w:ilvl w:val="2"/>
          <w:numId w:val="0"/>
        </w:numPr>
        <w:spacing w:before="240" w:after="240" w:line="360" w:lineRule="auto"/>
        <w:ind w:leftChars="0"/>
        <w:jc w:val="center"/>
        <w:rPr>
          <w:rFonts w:ascii="宋体" w:hAnsi="宋体" w:cs="宋体"/>
          <w:sz w:val="22"/>
        </w:rPr>
      </w:pPr>
      <w:r>
        <w:rPr>
          <w:rFonts w:ascii="华文中宋" w:hAnsi="华文中宋" w:eastAsia="华文中宋" w:cs="宋体"/>
          <w:b/>
          <w:sz w:val="28"/>
          <w:szCs w:val="28"/>
        </w:rPr>
        <w:br w:type="page"/>
      </w:r>
      <w:r>
        <w:rPr>
          <w:rFonts w:hint="eastAsia" w:ascii="华文中宋" w:hAnsi="华文中宋" w:eastAsia="华文中宋" w:cs="华文中宋"/>
          <w:b/>
          <w:bCs/>
        </w:rPr>
        <w:t>技术</w:t>
      </w:r>
      <w:r>
        <w:rPr>
          <w:rFonts w:hint="eastAsia" w:ascii="华文中宋" w:hAnsi="华文中宋" w:eastAsia="华文中宋" w:cs="华文中宋"/>
          <w:b/>
          <w:bCs/>
          <w:lang w:eastAsia="zh-CN"/>
        </w:rPr>
        <w:t>、</w:t>
      </w:r>
      <w:r>
        <w:rPr>
          <w:rFonts w:hint="eastAsia" w:ascii="华文中宋" w:hAnsi="华文中宋" w:eastAsia="华文中宋" w:cs="华文中宋"/>
          <w:b/>
          <w:bCs/>
        </w:rPr>
        <w:t>服务需求</w:t>
      </w:r>
    </w:p>
    <w:p w14:paraId="60CFC267">
      <w:pPr>
        <w:pStyle w:val="4"/>
        <w:numPr>
          <w:ilvl w:val="0"/>
          <w:numId w:val="1"/>
        </w:numPr>
        <w:spacing w:before="240" w:after="240" w:line="360" w:lineRule="auto"/>
        <w:jc w:val="both"/>
        <w:rPr>
          <w:rFonts w:ascii="宋体" w:hAnsi="宋体" w:cs="宋体"/>
          <w:sz w:val="22"/>
        </w:rPr>
      </w:pPr>
      <w:bookmarkStart w:id="60" w:name="_Toc192705275"/>
      <w:bookmarkStart w:id="61" w:name="_Toc58507735"/>
      <w:bookmarkStart w:id="62" w:name="_Toc400718590"/>
      <w:r>
        <w:rPr>
          <w:rFonts w:hint="eastAsia"/>
          <w:sz w:val="22"/>
        </w:rPr>
        <w:t>前端感知体系建设</w:t>
      </w:r>
      <w:bookmarkEnd w:id="60"/>
      <w:r>
        <w:rPr>
          <w:rFonts w:hint="eastAsia" w:ascii="宋体" w:hAnsi="宋体" w:cs="宋体"/>
          <w:sz w:val="22"/>
        </w:rPr>
        <w:t>（根据所投产品填写）</w:t>
      </w:r>
    </w:p>
    <w:tbl>
      <w:tblPr>
        <w:tblStyle w:val="28"/>
        <w:tblW w:w="8915" w:type="dxa"/>
        <w:tblInd w:w="0" w:type="dxa"/>
        <w:tblLayout w:type="autofit"/>
        <w:tblCellMar>
          <w:top w:w="0" w:type="dxa"/>
          <w:left w:w="108" w:type="dxa"/>
          <w:bottom w:w="0" w:type="dxa"/>
          <w:right w:w="108" w:type="dxa"/>
        </w:tblCellMar>
      </w:tblPr>
      <w:tblGrid>
        <w:gridCol w:w="541"/>
        <w:gridCol w:w="1116"/>
        <w:gridCol w:w="5436"/>
        <w:gridCol w:w="664"/>
        <w:gridCol w:w="620"/>
        <w:gridCol w:w="538"/>
      </w:tblGrid>
      <w:tr w14:paraId="53FEBAE7">
        <w:tblPrEx>
          <w:tblCellMar>
            <w:top w:w="0" w:type="dxa"/>
            <w:left w:w="108" w:type="dxa"/>
            <w:bottom w:w="0" w:type="dxa"/>
            <w:right w:w="108" w:type="dxa"/>
          </w:tblCellMar>
        </w:tblPrEx>
        <w:trPr>
          <w:trHeight w:val="285"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944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1016" w:type="dxa"/>
            <w:tcBorders>
              <w:top w:val="single" w:color="000000" w:sz="4" w:space="0"/>
              <w:left w:val="nil"/>
              <w:bottom w:val="single" w:color="000000" w:sz="4" w:space="0"/>
              <w:right w:val="single" w:color="000000" w:sz="4" w:space="0"/>
            </w:tcBorders>
            <w:shd w:val="clear" w:color="auto" w:fill="auto"/>
            <w:vAlign w:val="center"/>
          </w:tcPr>
          <w:p w14:paraId="20EA81B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设备名称</w:t>
            </w:r>
          </w:p>
        </w:tc>
        <w:tc>
          <w:tcPr>
            <w:tcW w:w="5522" w:type="dxa"/>
            <w:tcBorders>
              <w:top w:val="single" w:color="000000" w:sz="4" w:space="0"/>
              <w:left w:val="nil"/>
              <w:bottom w:val="single" w:color="000000" w:sz="4" w:space="0"/>
              <w:right w:val="single" w:color="000000" w:sz="4" w:space="0"/>
            </w:tcBorders>
            <w:shd w:val="clear" w:color="auto" w:fill="auto"/>
            <w:vAlign w:val="center"/>
          </w:tcPr>
          <w:p w14:paraId="41D7D88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rPr>
              <w:t>设备技术要求</w:t>
            </w:r>
          </w:p>
        </w:tc>
        <w:tc>
          <w:tcPr>
            <w:tcW w:w="671" w:type="dxa"/>
            <w:tcBorders>
              <w:top w:val="single" w:color="000000" w:sz="4" w:space="0"/>
              <w:left w:val="nil"/>
              <w:bottom w:val="single" w:color="000000" w:sz="4" w:space="0"/>
              <w:right w:val="single" w:color="000000" w:sz="4" w:space="0"/>
            </w:tcBorders>
            <w:shd w:val="clear" w:color="auto" w:fill="auto"/>
            <w:vAlign w:val="center"/>
          </w:tcPr>
          <w:p w14:paraId="55F8257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620" w:type="dxa"/>
            <w:tcBorders>
              <w:top w:val="single" w:color="000000" w:sz="4" w:space="0"/>
              <w:left w:val="nil"/>
              <w:bottom w:val="single" w:color="000000" w:sz="4" w:space="0"/>
              <w:right w:val="single" w:color="000000" w:sz="4" w:space="0"/>
            </w:tcBorders>
            <w:shd w:val="clear" w:color="auto" w:fill="auto"/>
            <w:vAlign w:val="center"/>
          </w:tcPr>
          <w:p w14:paraId="029B2F8B">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541" w:type="dxa"/>
            <w:tcBorders>
              <w:top w:val="single" w:color="000000" w:sz="4" w:space="0"/>
              <w:left w:val="nil"/>
              <w:bottom w:val="single" w:color="000000" w:sz="4" w:space="0"/>
              <w:right w:val="single" w:color="000000" w:sz="4" w:space="0"/>
            </w:tcBorders>
            <w:shd w:val="clear" w:color="auto" w:fill="auto"/>
            <w:vAlign w:val="center"/>
          </w:tcPr>
          <w:p w14:paraId="121AD9E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07DBE6A3">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FEBF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（一）人像识别前端</w:t>
            </w:r>
          </w:p>
        </w:tc>
        <w:tc>
          <w:tcPr>
            <w:tcW w:w="541" w:type="dxa"/>
            <w:tcBorders>
              <w:top w:val="nil"/>
              <w:left w:val="nil"/>
              <w:bottom w:val="single" w:color="000000" w:sz="4" w:space="0"/>
              <w:right w:val="single" w:color="000000" w:sz="4" w:space="0"/>
            </w:tcBorders>
            <w:shd w:val="clear" w:color="auto" w:fill="auto"/>
            <w:vAlign w:val="center"/>
          </w:tcPr>
          <w:p w14:paraId="75A647D4">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2F183430">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CA40E5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25401BB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人脸识别相机</w:t>
            </w:r>
          </w:p>
        </w:tc>
        <w:tc>
          <w:tcPr>
            <w:tcW w:w="5522" w:type="dxa"/>
            <w:tcBorders>
              <w:top w:val="nil"/>
              <w:left w:val="nil"/>
              <w:bottom w:val="single" w:color="000000" w:sz="4" w:space="0"/>
              <w:right w:val="single" w:color="000000" w:sz="4" w:space="0"/>
            </w:tcBorders>
            <w:shd w:val="clear" w:color="auto" w:fill="auto"/>
            <w:vAlign w:val="center"/>
          </w:tcPr>
          <w:p w14:paraId="230B48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★像素不低于: 800 万;</w:t>
            </w:r>
          </w:p>
          <w:p w14:paraId="13FAF76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不低于3840x2160;</w:t>
            </w:r>
          </w:p>
          <w:p w14:paraId="7296818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★最低照度≤0.0002lux(彩色模式);≤0.0001lux (黑白模式);</w:t>
            </w:r>
          </w:p>
          <w:p w14:paraId="5A835A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0863363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433F67C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798688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3138D4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6A927BB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3EA3E7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28181；GA/T 1400 视图库标准、GB3514 标准；</w:t>
            </w:r>
          </w:p>
          <w:p w14:paraId="5D734A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2FA69D5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7E6380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0FA8D1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7C2E6E1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204CC93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7780C1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5A8F97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044660C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★支持检测同时出现在画面中的不少于100 个人脸目标；</w:t>
            </w:r>
          </w:p>
          <w:p w14:paraId="2F2BF6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4509391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293BECE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18F9519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7B67A6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5E48075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3BD9C1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328EBA0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337095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不少于2 路；</w:t>
            </w:r>
          </w:p>
          <w:p w14:paraId="4971CF3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41098B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1E9242E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3FFB633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903E2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70</w:t>
            </w:r>
          </w:p>
        </w:tc>
        <w:tc>
          <w:tcPr>
            <w:tcW w:w="541" w:type="dxa"/>
            <w:tcBorders>
              <w:top w:val="nil"/>
              <w:left w:val="nil"/>
              <w:bottom w:val="single" w:color="000000" w:sz="4" w:space="0"/>
              <w:right w:val="single" w:color="000000" w:sz="4" w:space="0"/>
            </w:tcBorders>
            <w:shd w:val="clear" w:color="auto" w:fill="auto"/>
            <w:vAlign w:val="center"/>
          </w:tcPr>
          <w:p w14:paraId="736506E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75ED993">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8F7874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2</w:t>
            </w:r>
          </w:p>
        </w:tc>
        <w:tc>
          <w:tcPr>
            <w:tcW w:w="1016" w:type="dxa"/>
            <w:tcBorders>
              <w:top w:val="nil"/>
              <w:left w:val="nil"/>
              <w:bottom w:val="single" w:color="000000" w:sz="4" w:space="0"/>
              <w:right w:val="single" w:color="000000" w:sz="4" w:space="0"/>
            </w:tcBorders>
            <w:shd w:val="clear" w:color="auto" w:fill="auto"/>
            <w:vAlign w:val="center"/>
          </w:tcPr>
          <w:p w14:paraId="6DAD023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横臂L1（1m）</w:t>
            </w:r>
          </w:p>
        </w:tc>
        <w:tc>
          <w:tcPr>
            <w:tcW w:w="5522" w:type="dxa"/>
            <w:tcBorders>
              <w:top w:val="nil"/>
              <w:left w:val="nil"/>
              <w:bottom w:val="single" w:color="000000" w:sz="4" w:space="0"/>
              <w:right w:val="single" w:color="000000" w:sz="4" w:space="0"/>
            </w:tcBorders>
            <w:shd w:val="clear" w:color="auto" w:fill="auto"/>
            <w:vAlign w:val="center"/>
          </w:tcPr>
          <w:p w14:paraId="2E1254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422AA65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3DC68B0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541" w:type="dxa"/>
            <w:tcBorders>
              <w:top w:val="nil"/>
              <w:left w:val="nil"/>
              <w:bottom w:val="single" w:color="000000" w:sz="4" w:space="0"/>
              <w:right w:val="single" w:color="000000" w:sz="4" w:space="0"/>
            </w:tcBorders>
            <w:shd w:val="clear" w:color="auto" w:fill="auto"/>
            <w:vAlign w:val="center"/>
          </w:tcPr>
          <w:p w14:paraId="47B3B91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6CF5130">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4F0238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3</w:t>
            </w:r>
          </w:p>
        </w:tc>
        <w:tc>
          <w:tcPr>
            <w:tcW w:w="1016" w:type="dxa"/>
            <w:tcBorders>
              <w:top w:val="nil"/>
              <w:left w:val="nil"/>
              <w:bottom w:val="single" w:color="000000" w:sz="4" w:space="0"/>
              <w:right w:val="single" w:color="000000" w:sz="4" w:space="0"/>
            </w:tcBorders>
            <w:shd w:val="clear" w:color="auto" w:fill="auto"/>
            <w:vAlign w:val="center"/>
          </w:tcPr>
          <w:p w14:paraId="7D5D7B9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横臂L2（2m）</w:t>
            </w:r>
          </w:p>
        </w:tc>
        <w:tc>
          <w:tcPr>
            <w:tcW w:w="5522" w:type="dxa"/>
            <w:tcBorders>
              <w:top w:val="nil"/>
              <w:left w:val="nil"/>
              <w:bottom w:val="single" w:color="000000" w:sz="4" w:space="0"/>
              <w:right w:val="single" w:color="000000" w:sz="4" w:space="0"/>
            </w:tcBorders>
            <w:shd w:val="clear" w:color="auto" w:fill="auto"/>
            <w:vAlign w:val="center"/>
          </w:tcPr>
          <w:p w14:paraId="360194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5A7A35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3198F29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541" w:type="dxa"/>
            <w:tcBorders>
              <w:top w:val="nil"/>
              <w:left w:val="nil"/>
              <w:bottom w:val="single" w:color="000000" w:sz="4" w:space="0"/>
              <w:right w:val="single" w:color="000000" w:sz="4" w:space="0"/>
            </w:tcBorders>
            <w:shd w:val="clear" w:color="auto" w:fill="auto"/>
            <w:vAlign w:val="center"/>
          </w:tcPr>
          <w:p w14:paraId="11DFAF4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0468E5">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DF2293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4</w:t>
            </w:r>
          </w:p>
        </w:tc>
        <w:tc>
          <w:tcPr>
            <w:tcW w:w="1016" w:type="dxa"/>
            <w:tcBorders>
              <w:top w:val="nil"/>
              <w:left w:val="nil"/>
              <w:bottom w:val="single" w:color="000000" w:sz="4" w:space="0"/>
              <w:right w:val="single" w:color="000000" w:sz="4" w:space="0"/>
            </w:tcBorders>
            <w:shd w:val="clear" w:color="auto" w:fill="auto"/>
            <w:vAlign w:val="center"/>
          </w:tcPr>
          <w:p w14:paraId="1DE6EBE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横臂L3（3m）</w:t>
            </w:r>
          </w:p>
        </w:tc>
        <w:tc>
          <w:tcPr>
            <w:tcW w:w="5522" w:type="dxa"/>
            <w:tcBorders>
              <w:top w:val="nil"/>
              <w:left w:val="nil"/>
              <w:bottom w:val="single" w:color="000000" w:sz="4" w:space="0"/>
              <w:right w:val="single" w:color="000000" w:sz="4" w:space="0"/>
            </w:tcBorders>
            <w:shd w:val="clear" w:color="auto" w:fill="auto"/>
            <w:vAlign w:val="center"/>
          </w:tcPr>
          <w:p w14:paraId="56A3612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69AF2A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02143EB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541" w:type="dxa"/>
            <w:tcBorders>
              <w:top w:val="nil"/>
              <w:left w:val="nil"/>
              <w:bottom w:val="single" w:color="000000" w:sz="4" w:space="0"/>
              <w:right w:val="single" w:color="000000" w:sz="4" w:space="0"/>
            </w:tcBorders>
            <w:shd w:val="clear" w:color="auto" w:fill="auto"/>
            <w:vAlign w:val="center"/>
          </w:tcPr>
          <w:p w14:paraId="7FC95E5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A3ED392">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3ADFE5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 xml:space="preserve"> </w:t>
            </w:r>
          </w:p>
        </w:tc>
        <w:tc>
          <w:tcPr>
            <w:tcW w:w="1016" w:type="dxa"/>
            <w:tcBorders>
              <w:top w:val="nil"/>
              <w:left w:val="nil"/>
              <w:bottom w:val="single" w:color="000000" w:sz="4" w:space="0"/>
              <w:right w:val="single" w:color="000000" w:sz="4" w:space="0"/>
            </w:tcBorders>
            <w:shd w:val="clear" w:color="auto" w:fill="auto"/>
            <w:vAlign w:val="center"/>
          </w:tcPr>
          <w:p w14:paraId="57398BA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横臂L4（4m）</w:t>
            </w:r>
          </w:p>
        </w:tc>
        <w:tc>
          <w:tcPr>
            <w:tcW w:w="5522" w:type="dxa"/>
            <w:tcBorders>
              <w:top w:val="nil"/>
              <w:left w:val="nil"/>
              <w:bottom w:val="single" w:color="000000" w:sz="4" w:space="0"/>
              <w:right w:val="single" w:color="000000" w:sz="4" w:space="0"/>
            </w:tcBorders>
            <w:shd w:val="clear" w:color="auto" w:fill="auto"/>
            <w:vAlign w:val="center"/>
          </w:tcPr>
          <w:p w14:paraId="3FB711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55C6F6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7E9DA54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3E0A1C4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8A50231">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870B53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 xml:space="preserve"> </w:t>
            </w:r>
          </w:p>
        </w:tc>
        <w:tc>
          <w:tcPr>
            <w:tcW w:w="1016" w:type="dxa"/>
            <w:tcBorders>
              <w:top w:val="nil"/>
              <w:left w:val="nil"/>
              <w:bottom w:val="single" w:color="000000" w:sz="4" w:space="0"/>
              <w:right w:val="single" w:color="000000" w:sz="4" w:space="0"/>
            </w:tcBorders>
            <w:shd w:val="clear" w:color="auto" w:fill="auto"/>
            <w:vAlign w:val="center"/>
          </w:tcPr>
          <w:p w14:paraId="7851D89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横臂L5（5m）</w:t>
            </w:r>
          </w:p>
        </w:tc>
        <w:tc>
          <w:tcPr>
            <w:tcW w:w="5522" w:type="dxa"/>
            <w:tcBorders>
              <w:top w:val="nil"/>
              <w:left w:val="nil"/>
              <w:bottom w:val="single" w:color="000000" w:sz="4" w:space="0"/>
              <w:right w:val="single" w:color="000000" w:sz="4" w:space="0"/>
            </w:tcBorders>
            <w:shd w:val="clear" w:color="auto" w:fill="auto"/>
            <w:vAlign w:val="center"/>
          </w:tcPr>
          <w:p w14:paraId="5234B17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D7C6D9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0C8FA81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001D37C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14BE5A6">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BF8662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7</w:t>
            </w:r>
          </w:p>
        </w:tc>
        <w:tc>
          <w:tcPr>
            <w:tcW w:w="1016" w:type="dxa"/>
            <w:tcBorders>
              <w:top w:val="nil"/>
              <w:left w:val="nil"/>
              <w:bottom w:val="single" w:color="000000" w:sz="4" w:space="0"/>
              <w:right w:val="single" w:color="000000" w:sz="4" w:space="0"/>
            </w:tcBorders>
            <w:shd w:val="clear" w:color="auto" w:fill="auto"/>
            <w:vAlign w:val="center"/>
          </w:tcPr>
          <w:p w14:paraId="7D11FAD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8口交换机</w:t>
            </w:r>
          </w:p>
        </w:tc>
        <w:tc>
          <w:tcPr>
            <w:tcW w:w="5522" w:type="dxa"/>
            <w:tcBorders>
              <w:top w:val="nil"/>
              <w:left w:val="nil"/>
              <w:bottom w:val="single" w:color="000000" w:sz="4" w:space="0"/>
              <w:right w:val="single" w:color="000000" w:sz="4" w:space="0"/>
            </w:tcBorders>
            <w:shd w:val="clear" w:color="auto" w:fill="auto"/>
            <w:vAlign w:val="center"/>
          </w:tcPr>
          <w:p w14:paraId="69D929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1.名称：8口交换机</w:t>
            </w:r>
            <w:r>
              <w:rPr>
                <w:rFonts w:hint="eastAsia" w:ascii="宋体" w:hAnsi="宋体" w:cs="宋体"/>
                <w:kern w:val="0"/>
                <w:sz w:val="20"/>
                <w:szCs w:val="20"/>
              </w:rPr>
              <w:br w:type="textWrapping"/>
            </w:r>
            <w:r>
              <w:rPr>
                <w:rFonts w:hint="eastAsia" w:ascii="宋体" w:hAnsi="宋体" w:cs="宋体"/>
                <w:kern w:val="0"/>
                <w:sz w:val="20"/>
                <w:szCs w:val="20"/>
              </w:rPr>
              <w:t>2.规格：8个百兆电口；-40～75℃；交直流电源；二层非网管</w:t>
            </w:r>
          </w:p>
        </w:tc>
        <w:tc>
          <w:tcPr>
            <w:tcW w:w="671" w:type="dxa"/>
            <w:tcBorders>
              <w:top w:val="nil"/>
              <w:left w:val="nil"/>
              <w:bottom w:val="single" w:color="000000" w:sz="4" w:space="0"/>
              <w:right w:val="single" w:color="000000" w:sz="4" w:space="0"/>
            </w:tcBorders>
            <w:shd w:val="clear" w:color="auto" w:fill="auto"/>
            <w:vAlign w:val="center"/>
          </w:tcPr>
          <w:p w14:paraId="31B7097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B30CC2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63433C4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63A544C">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E4530C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8</w:t>
            </w:r>
          </w:p>
        </w:tc>
        <w:tc>
          <w:tcPr>
            <w:tcW w:w="1016" w:type="dxa"/>
            <w:tcBorders>
              <w:top w:val="nil"/>
              <w:left w:val="nil"/>
              <w:bottom w:val="single" w:color="000000" w:sz="4" w:space="0"/>
              <w:right w:val="single" w:color="000000" w:sz="4" w:space="0"/>
            </w:tcBorders>
            <w:shd w:val="clear" w:color="auto" w:fill="auto"/>
            <w:vAlign w:val="center"/>
          </w:tcPr>
          <w:p w14:paraId="422AA36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0346F4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2A9683C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451987C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101 </w:t>
            </w:r>
          </w:p>
        </w:tc>
        <w:tc>
          <w:tcPr>
            <w:tcW w:w="541" w:type="dxa"/>
            <w:tcBorders>
              <w:top w:val="nil"/>
              <w:left w:val="nil"/>
              <w:bottom w:val="single" w:color="000000" w:sz="4" w:space="0"/>
              <w:right w:val="single" w:color="000000" w:sz="4" w:space="0"/>
            </w:tcBorders>
            <w:shd w:val="clear" w:color="auto" w:fill="auto"/>
            <w:vAlign w:val="center"/>
          </w:tcPr>
          <w:p w14:paraId="593502F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C5C903A">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1BE3E9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9</w:t>
            </w:r>
          </w:p>
        </w:tc>
        <w:tc>
          <w:tcPr>
            <w:tcW w:w="1016" w:type="dxa"/>
            <w:tcBorders>
              <w:top w:val="nil"/>
              <w:left w:val="nil"/>
              <w:bottom w:val="single" w:color="000000" w:sz="4" w:space="0"/>
              <w:right w:val="single" w:color="000000" w:sz="4" w:space="0"/>
            </w:tcBorders>
            <w:shd w:val="clear" w:color="auto" w:fill="auto"/>
            <w:vAlign w:val="center"/>
          </w:tcPr>
          <w:p w14:paraId="6EBF638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097D06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38FAC62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6DB0156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1710 </w:t>
            </w:r>
          </w:p>
        </w:tc>
        <w:tc>
          <w:tcPr>
            <w:tcW w:w="541" w:type="dxa"/>
            <w:tcBorders>
              <w:top w:val="nil"/>
              <w:left w:val="nil"/>
              <w:bottom w:val="single" w:color="000000" w:sz="4" w:space="0"/>
              <w:right w:val="single" w:color="000000" w:sz="4" w:space="0"/>
            </w:tcBorders>
            <w:shd w:val="clear" w:color="auto" w:fill="auto"/>
            <w:vAlign w:val="center"/>
          </w:tcPr>
          <w:p w14:paraId="68C2411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6E5E59E">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F0266F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rPr>
              <w:t xml:space="preserve"> </w:t>
            </w:r>
          </w:p>
        </w:tc>
        <w:tc>
          <w:tcPr>
            <w:tcW w:w="1016" w:type="dxa"/>
            <w:tcBorders>
              <w:top w:val="nil"/>
              <w:left w:val="nil"/>
              <w:bottom w:val="single" w:color="000000" w:sz="4" w:space="0"/>
              <w:right w:val="single" w:color="000000" w:sz="4" w:space="0"/>
            </w:tcBorders>
            <w:shd w:val="clear" w:color="auto" w:fill="auto"/>
            <w:vAlign w:val="center"/>
          </w:tcPr>
          <w:p w14:paraId="5F60D83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3DC0BB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18D8E59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CDA412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1710</w:t>
            </w:r>
          </w:p>
        </w:tc>
        <w:tc>
          <w:tcPr>
            <w:tcW w:w="541" w:type="dxa"/>
            <w:tcBorders>
              <w:top w:val="nil"/>
              <w:left w:val="nil"/>
              <w:bottom w:val="single" w:color="000000" w:sz="4" w:space="0"/>
              <w:right w:val="single" w:color="000000" w:sz="4" w:space="0"/>
            </w:tcBorders>
            <w:shd w:val="clear" w:color="auto" w:fill="auto"/>
            <w:vAlign w:val="center"/>
          </w:tcPr>
          <w:p w14:paraId="669F942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D8E700E">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B5E483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 xml:space="preserve"> </w:t>
            </w:r>
          </w:p>
        </w:tc>
        <w:tc>
          <w:tcPr>
            <w:tcW w:w="1016" w:type="dxa"/>
            <w:tcBorders>
              <w:top w:val="nil"/>
              <w:left w:val="nil"/>
              <w:bottom w:val="single" w:color="000000" w:sz="4" w:space="0"/>
              <w:right w:val="single" w:color="000000" w:sz="4" w:space="0"/>
            </w:tcBorders>
            <w:shd w:val="clear" w:color="auto" w:fill="auto"/>
            <w:vAlign w:val="center"/>
          </w:tcPr>
          <w:p w14:paraId="73A1872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6DE1AC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4B65E70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89C21A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130</w:t>
            </w:r>
          </w:p>
        </w:tc>
        <w:tc>
          <w:tcPr>
            <w:tcW w:w="541" w:type="dxa"/>
            <w:tcBorders>
              <w:top w:val="nil"/>
              <w:left w:val="nil"/>
              <w:bottom w:val="single" w:color="000000" w:sz="4" w:space="0"/>
              <w:right w:val="single" w:color="000000" w:sz="4" w:space="0"/>
            </w:tcBorders>
            <w:shd w:val="clear" w:color="auto" w:fill="auto"/>
            <w:vAlign w:val="center"/>
          </w:tcPr>
          <w:p w14:paraId="471865B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B20CEDB">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316D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0824A9F3">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2D13DFB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697D862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4DB8BAB">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8C6B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（二）高清卡口前端</w:t>
            </w:r>
          </w:p>
        </w:tc>
        <w:tc>
          <w:tcPr>
            <w:tcW w:w="541" w:type="dxa"/>
            <w:tcBorders>
              <w:top w:val="nil"/>
              <w:left w:val="nil"/>
              <w:bottom w:val="single" w:color="000000" w:sz="4" w:space="0"/>
              <w:right w:val="single" w:color="000000" w:sz="4" w:space="0"/>
            </w:tcBorders>
            <w:shd w:val="clear" w:color="auto" w:fill="auto"/>
            <w:vAlign w:val="center"/>
          </w:tcPr>
          <w:p w14:paraId="66FC6C73">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7B13BA2">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3EA4B9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35D6016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高清智能摄像机（900万卡口）</w:t>
            </w:r>
          </w:p>
        </w:tc>
        <w:tc>
          <w:tcPr>
            <w:tcW w:w="5522" w:type="dxa"/>
            <w:tcBorders>
              <w:top w:val="nil"/>
              <w:left w:val="nil"/>
              <w:bottom w:val="single" w:color="000000" w:sz="4" w:space="0"/>
              <w:right w:val="single" w:color="000000" w:sz="4" w:space="0"/>
            </w:tcBorders>
            <w:shd w:val="clear" w:color="auto" w:fill="auto"/>
            <w:vAlign w:val="center"/>
          </w:tcPr>
          <w:p w14:paraId="11316BC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★视频分辨率：4096(H) × 2160(V)</w:t>
            </w:r>
          </w:p>
          <w:p w14:paraId="6149EEF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帧率：不低于25fps</w:t>
            </w:r>
          </w:p>
          <w:p w14:paraId="688390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图像控制：曝光速度、AGC 控制、白平衡方式控制等</w:t>
            </w:r>
          </w:p>
          <w:p w14:paraId="1040E0E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压缩输出码率：32 Kbps~16 Mbps</w:t>
            </w:r>
          </w:p>
          <w:p w14:paraId="330FEC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镜头规格：≤25mm</w:t>
            </w:r>
          </w:p>
          <w:p w14:paraId="5AAE312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视频压缩标准：H.264, H.265, MJPEG</w:t>
            </w:r>
          </w:p>
          <w:p w14:paraId="15CC2D5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抓拍图片格式：JPEG</w:t>
            </w:r>
          </w:p>
          <w:p w14:paraId="11BAF84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支持协议：ISAPI，GB/T 28181-2022 视频联网标准，GA/T 1400 视图库标准，FTP 协议等</w:t>
            </w:r>
          </w:p>
          <w:p w14:paraId="2BFDF6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卡口抓拍单元由防护罩组件及高清智能摄像机组成，抓拍单元防护罩前面板具有防尘、防水功能，单元内置LED 暖光灯，单元支持网络防雷、防浪涌，宽温宽压等。</w:t>
            </w:r>
          </w:p>
          <w:p w14:paraId="42522F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采用多光谱融合技术，可以在晚间使用内置LED 灯结合红外爆闪灯的情况下，仍得到全彩的图片，解决夜间白光爆闪光污染。</w:t>
            </w:r>
          </w:p>
          <w:p w14:paraId="64F6BB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分辨率须达到4096 × 2160，帧率不低于25 帧，具有清晰度高、照度低、帧率高、色彩还原度好等特点。</w:t>
            </w:r>
          </w:p>
          <w:p w14:paraId="35B9B0F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视频须满足H.265、H.264 或MJPEG 编码，低延时，低码率，压缩比高，处理灵活。</w:t>
            </w:r>
          </w:p>
          <w:p w14:paraId="75C7192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支持白天用白光爆闪，晚上用内置灯或外置LED 灯加红外爆闪同步补光。</w:t>
            </w:r>
          </w:p>
          <w:p w14:paraId="4693FB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★支持视频触发等多种触发模式并实现全结构化：支持深度学习算法，支持多目标混合场景应用，实时提取机动车、非机动车、行人、目标等目标全结构化信息。</w:t>
            </w:r>
          </w:p>
          <w:p w14:paraId="589101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支持机动车的车牌，车身颜色，车型，子品牌，驾驶室人员等特征检测，支持机动车的过车记</w:t>
            </w:r>
          </w:p>
          <w:p w14:paraId="730681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录和违章行为检测抓拍。</w:t>
            </w:r>
          </w:p>
          <w:p w14:paraId="7789F7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支持非机动车和行人的抓拍和特征检测。</w:t>
            </w:r>
          </w:p>
          <w:p w14:paraId="7DE038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支持车辆检测处理器、雷达、补光灯的接入。</w:t>
            </w:r>
          </w:p>
          <w:p w14:paraId="3A314B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支持远程数据上传，GB/T 28181-2022 视频联网标准、GA/T 1400 视图库标准、FTP 协议，可将抓拍的图片上传给终端服务器或者后端平台。</w:t>
            </w:r>
          </w:p>
          <w:p w14:paraId="754F44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可支持TF 插卡本地存储，可支持至256G，抓拍图片可断网续传</w:t>
            </w:r>
          </w:p>
          <w:p w14:paraId="5DCFFEF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非机动车：车型识别、特征识别</w:t>
            </w:r>
          </w:p>
          <w:p w14:paraId="39B1E8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机动车：车牌识别：民用车牌，新能源车牌；</w:t>
            </w:r>
          </w:p>
          <w:p w14:paraId="2A04811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车身颜色识别：白、灰、黄、红、紫、绿、蓝、棕、黑；</w:t>
            </w:r>
          </w:p>
          <w:p w14:paraId="101C7EB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车型识别：大客车、中型客车、大货车、小货车、面包车、皮卡、轿车、SUV/MPV、二轮车、三轮车；</w:t>
            </w:r>
          </w:p>
          <w:p w14:paraId="05D5E4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车辆品牌，子品牌识别</w:t>
            </w:r>
          </w:p>
          <w:p w14:paraId="59A39D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违章检测：超速、压车道线、违章变道、未系安全带、未戴头盔、非机动车载人、不礼让行人、逆行、低速、机动车闯禁令、打电话、占用机动车道、摩托车闯禁令、加塞等违法行为行人：人体识别、目标识别、特征识别</w:t>
            </w:r>
          </w:p>
        </w:tc>
        <w:tc>
          <w:tcPr>
            <w:tcW w:w="671" w:type="dxa"/>
            <w:tcBorders>
              <w:top w:val="nil"/>
              <w:left w:val="nil"/>
              <w:bottom w:val="single" w:color="000000" w:sz="4" w:space="0"/>
              <w:right w:val="single" w:color="000000" w:sz="4" w:space="0"/>
            </w:tcBorders>
            <w:shd w:val="clear" w:color="auto" w:fill="auto"/>
            <w:vAlign w:val="center"/>
          </w:tcPr>
          <w:p w14:paraId="71A35A0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4F4DAFE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6D9AC2A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r>
      <w:tr w14:paraId="629F5717">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283AE7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0496A6C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LED爆闪灯</w:t>
            </w:r>
          </w:p>
        </w:tc>
        <w:tc>
          <w:tcPr>
            <w:tcW w:w="5522" w:type="dxa"/>
            <w:tcBorders>
              <w:top w:val="nil"/>
              <w:left w:val="nil"/>
              <w:bottom w:val="single" w:color="000000" w:sz="4" w:space="0"/>
              <w:right w:val="single" w:color="000000" w:sz="4" w:space="0"/>
            </w:tcBorders>
            <w:shd w:val="clear" w:color="auto" w:fill="auto"/>
            <w:vAlign w:val="center"/>
          </w:tcPr>
          <w:p w14:paraId="35E5109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LED 灯珠数量：不少于24 颗</w:t>
            </w:r>
          </w:p>
          <w:p w14:paraId="0D40B92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色温：白光＜4000K，红外光</w:t>
            </w:r>
          </w:p>
          <w:p w14:paraId="59E4736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发光角度：单车道</w:t>
            </w:r>
          </w:p>
          <w:p w14:paraId="5464593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气体爆闪峰值闪光持续时间：1/30ms</w:t>
            </w:r>
          </w:p>
          <w:p w14:paraId="686DD0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气体爆闪回电时间：＜67ms</w:t>
            </w:r>
          </w:p>
          <w:p w14:paraId="25C608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气体闪光次数：＞2000 万次（2S 闪一次）</w:t>
            </w:r>
          </w:p>
          <w:p w14:paraId="18C4C0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覆盖范围：单车道</w:t>
            </w:r>
          </w:p>
          <w:p w14:paraId="138AA76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最佳补光距离：16 米～30 米</w:t>
            </w:r>
          </w:p>
          <w:p w14:paraId="049C8DB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触发方式：电平量触发</w:t>
            </w:r>
          </w:p>
          <w:p w14:paraId="3DC042D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触发信号电平：4V~6V</w:t>
            </w:r>
          </w:p>
          <w:p w14:paraId="48BD23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触发频率：0Hz~250 Hz</w:t>
            </w:r>
          </w:p>
          <w:p w14:paraId="34421F0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触发占空比：1%~39%</w:t>
            </w:r>
          </w:p>
          <w:p w14:paraId="4271F2E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响应时间：≤20us</w:t>
            </w:r>
          </w:p>
          <w:p w14:paraId="44E46CA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补光灯是一款集成高亮度LED 光源、疝气灯管光源与一体的监控用特殊专业灯具，可实现暖光</w:t>
            </w:r>
          </w:p>
          <w:p w14:paraId="783847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LED 频闪，白光气体爆闪及红外气体爆闪切换功能。产品采用大功率LED 芯片，经过精确的光学</w:t>
            </w:r>
          </w:p>
          <w:p w14:paraId="66FB61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设计，使光强均匀有效分布，达到整体高亮效果，为视频监控、车辆行人等目标检测和抓拍提</w:t>
            </w:r>
          </w:p>
          <w:p w14:paraId="2B3A0AD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供专业补光。在满足补光的同时尽可能的减少光污染。产品可应用于电子警察、治安卡口、道路监控等系统中。</w:t>
            </w:r>
          </w:p>
          <w:p w14:paraId="4D829C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铝合金灯体，面罩采用特殊工艺的耐高温的PC 材料，透光效果好</w:t>
            </w:r>
          </w:p>
          <w:p w14:paraId="77A1C96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采用24 颗高亮度LED 芯片，寿命长，稳定性好，发光效率高</w:t>
            </w:r>
          </w:p>
          <w:p w14:paraId="457387B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带LED 格栅，有效减少周边光污染</w:t>
            </w:r>
          </w:p>
          <w:p w14:paraId="713D90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经专业光学设计，发光均匀，目标光斑明显，有效减少光污染</w:t>
            </w:r>
          </w:p>
          <w:p w14:paraId="3A8B34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气体光源回电时间小于67ms，支持超速连拍</w:t>
            </w:r>
          </w:p>
          <w:p w14:paraId="271262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气体补光控制具有峰值抑制功能</w:t>
            </w:r>
          </w:p>
          <w:p w14:paraId="2B904C9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支持LED 灯频闪、白光气体爆闪，红外气体爆闪</w:t>
            </w:r>
          </w:p>
          <w:p w14:paraId="17BC342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支持相机误触发保护功能，触发信号输入异常时自动保护、且自动恢复</w:t>
            </w:r>
          </w:p>
        </w:tc>
        <w:tc>
          <w:tcPr>
            <w:tcW w:w="671" w:type="dxa"/>
            <w:tcBorders>
              <w:top w:val="nil"/>
              <w:left w:val="nil"/>
              <w:bottom w:val="single" w:color="000000" w:sz="4" w:space="0"/>
              <w:right w:val="single" w:color="000000" w:sz="4" w:space="0"/>
            </w:tcBorders>
            <w:shd w:val="clear" w:color="auto" w:fill="auto"/>
            <w:vAlign w:val="center"/>
          </w:tcPr>
          <w:p w14:paraId="213AA9C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1D81EF9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6A35F49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1FD8897">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A1BC6F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3CE508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0F84B3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1BD2831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44B47A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6A9E47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431D5C5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21C0D67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1FB5EF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07F68B8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57ADCC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39BDB5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757B61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15D9A04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6272D6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4D3DAA0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7759432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451A23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548651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273B30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0F8C276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5EE820F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1EA319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31F8AE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56A8E4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555855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28BAF6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1C53289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25F334E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2A09B0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390617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671C017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250594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31 </w:t>
            </w:r>
          </w:p>
        </w:tc>
        <w:tc>
          <w:tcPr>
            <w:tcW w:w="541" w:type="dxa"/>
            <w:tcBorders>
              <w:top w:val="nil"/>
              <w:left w:val="nil"/>
              <w:bottom w:val="single" w:color="000000" w:sz="4" w:space="0"/>
              <w:right w:val="single" w:color="000000" w:sz="4" w:space="0"/>
            </w:tcBorders>
            <w:shd w:val="clear" w:color="auto" w:fill="auto"/>
            <w:vAlign w:val="center"/>
          </w:tcPr>
          <w:p w14:paraId="63A485E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C0E2A77">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2E0550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524B555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摄像机支架（立柱高6.5m，横臂2m）</w:t>
            </w:r>
          </w:p>
        </w:tc>
        <w:tc>
          <w:tcPr>
            <w:tcW w:w="5522" w:type="dxa"/>
            <w:tcBorders>
              <w:top w:val="nil"/>
              <w:left w:val="nil"/>
              <w:bottom w:val="single" w:color="000000" w:sz="4" w:space="0"/>
              <w:right w:val="single" w:color="000000" w:sz="4" w:space="0"/>
            </w:tcBorders>
            <w:shd w:val="clear" w:color="auto" w:fill="auto"/>
            <w:vAlign w:val="center"/>
          </w:tcPr>
          <w:p w14:paraId="32827D9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CE1C3B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269B8CE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541" w:type="dxa"/>
            <w:tcBorders>
              <w:top w:val="nil"/>
              <w:left w:val="nil"/>
              <w:bottom w:val="single" w:color="000000" w:sz="4" w:space="0"/>
              <w:right w:val="single" w:color="000000" w:sz="4" w:space="0"/>
            </w:tcBorders>
            <w:shd w:val="clear" w:color="auto" w:fill="auto"/>
            <w:vAlign w:val="center"/>
          </w:tcPr>
          <w:p w14:paraId="70C506F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75A52B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DF0522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277B6B2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501F100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28D767E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79DAD2C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541" w:type="dxa"/>
            <w:tcBorders>
              <w:top w:val="nil"/>
              <w:left w:val="nil"/>
              <w:bottom w:val="single" w:color="000000" w:sz="4" w:space="0"/>
              <w:right w:val="single" w:color="000000" w:sz="4" w:space="0"/>
            </w:tcBorders>
            <w:shd w:val="clear" w:color="auto" w:fill="auto"/>
            <w:vAlign w:val="center"/>
          </w:tcPr>
          <w:p w14:paraId="569BDA5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1E2798E">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B1C6B2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164554D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摄像机支架（立柱高6.5m，横臂8m）</w:t>
            </w:r>
          </w:p>
        </w:tc>
        <w:tc>
          <w:tcPr>
            <w:tcW w:w="5522" w:type="dxa"/>
            <w:tcBorders>
              <w:top w:val="nil"/>
              <w:left w:val="nil"/>
              <w:bottom w:val="single" w:color="000000" w:sz="4" w:space="0"/>
              <w:right w:val="single" w:color="000000" w:sz="4" w:space="0"/>
            </w:tcBorders>
            <w:shd w:val="clear" w:color="auto" w:fill="auto"/>
            <w:vAlign w:val="center"/>
          </w:tcPr>
          <w:p w14:paraId="4F11BC5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439E3A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6D4557A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7F4B724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AE84FC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DD35E1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01E2EDF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3571739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FF3A10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4D006E3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6319417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305327E">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6F40AB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5085DEF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摄像机支架（立柱高6.5m，横臂10m）</w:t>
            </w:r>
          </w:p>
        </w:tc>
        <w:tc>
          <w:tcPr>
            <w:tcW w:w="5522" w:type="dxa"/>
            <w:tcBorders>
              <w:top w:val="nil"/>
              <w:left w:val="nil"/>
              <w:bottom w:val="single" w:color="000000" w:sz="4" w:space="0"/>
              <w:right w:val="single" w:color="000000" w:sz="4" w:space="0"/>
            </w:tcBorders>
            <w:shd w:val="clear" w:color="auto" w:fill="auto"/>
            <w:vAlign w:val="center"/>
          </w:tcPr>
          <w:p w14:paraId="6106B22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88BC1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4C4B5A2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400F261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020BA54">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1A6505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5BB05A8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6FA56B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3038819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58655DC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01893D6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3DF0612">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7ED09F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16" w:type="dxa"/>
            <w:tcBorders>
              <w:top w:val="nil"/>
              <w:left w:val="nil"/>
              <w:bottom w:val="single" w:color="000000" w:sz="4" w:space="0"/>
              <w:right w:val="single" w:color="000000" w:sz="4" w:space="0"/>
            </w:tcBorders>
            <w:shd w:val="clear" w:color="auto" w:fill="auto"/>
            <w:vAlign w:val="center"/>
          </w:tcPr>
          <w:p w14:paraId="35B3246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69BEA4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098F706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2DC28C4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21 </w:t>
            </w:r>
          </w:p>
        </w:tc>
        <w:tc>
          <w:tcPr>
            <w:tcW w:w="541" w:type="dxa"/>
            <w:tcBorders>
              <w:top w:val="nil"/>
              <w:left w:val="nil"/>
              <w:bottom w:val="single" w:color="000000" w:sz="4" w:space="0"/>
              <w:right w:val="single" w:color="000000" w:sz="4" w:space="0"/>
            </w:tcBorders>
            <w:shd w:val="clear" w:color="auto" w:fill="auto"/>
            <w:vAlign w:val="center"/>
          </w:tcPr>
          <w:p w14:paraId="78ED0D5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43BEA9C">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3E64B9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16" w:type="dxa"/>
            <w:tcBorders>
              <w:top w:val="nil"/>
              <w:left w:val="nil"/>
              <w:bottom w:val="single" w:color="000000" w:sz="4" w:space="0"/>
              <w:right w:val="single" w:color="000000" w:sz="4" w:space="0"/>
            </w:tcBorders>
            <w:shd w:val="clear" w:color="auto" w:fill="auto"/>
            <w:vAlign w:val="center"/>
          </w:tcPr>
          <w:p w14:paraId="03EC75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1C0431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5F1588E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319F340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390 </w:t>
            </w:r>
          </w:p>
        </w:tc>
        <w:tc>
          <w:tcPr>
            <w:tcW w:w="541" w:type="dxa"/>
            <w:tcBorders>
              <w:top w:val="nil"/>
              <w:left w:val="nil"/>
              <w:bottom w:val="single" w:color="000000" w:sz="4" w:space="0"/>
              <w:right w:val="single" w:color="000000" w:sz="4" w:space="0"/>
            </w:tcBorders>
            <w:shd w:val="clear" w:color="auto" w:fill="auto"/>
            <w:vAlign w:val="center"/>
          </w:tcPr>
          <w:p w14:paraId="00B54BA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6706220">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1B076B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16" w:type="dxa"/>
            <w:tcBorders>
              <w:top w:val="nil"/>
              <w:left w:val="nil"/>
              <w:bottom w:val="single" w:color="000000" w:sz="4" w:space="0"/>
              <w:right w:val="single" w:color="000000" w:sz="4" w:space="0"/>
            </w:tcBorders>
            <w:shd w:val="clear" w:color="auto" w:fill="auto"/>
            <w:vAlign w:val="center"/>
          </w:tcPr>
          <w:p w14:paraId="7A12607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3532E02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309C0C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FCD4A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470</w:t>
            </w:r>
          </w:p>
        </w:tc>
        <w:tc>
          <w:tcPr>
            <w:tcW w:w="541" w:type="dxa"/>
            <w:tcBorders>
              <w:top w:val="nil"/>
              <w:left w:val="nil"/>
              <w:bottom w:val="single" w:color="000000" w:sz="4" w:space="0"/>
              <w:right w:val="single" w:color="000000" w:sz="4" w:space="0"/>
            </w:tcBorders>
            <w:shd w:val="clear" w:color="auto" w:fill="auto"/>
            <w:vAlign w:val="center"/>
          </w:tcPr>
          <w:p w14:paraId="078D69F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E9EE83">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B33AF1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1016" w:type="dxa"/>
            <w:tcBorders>
              <w:top w:val="nil"/>
              <w:left w:val="nil"/>
              <w:bottom w:val="single" w:color="000000" w:sz="4" w:space="0"/>
              <w:right w:val="single" w:color="000000" w:sz="4" w:space="0"/>
            </w:tcBorders>
            <w:shd w:val="clear" w:color="auto" w:fill="auto"/>
            <w:vAlign w:val="center"/>
          </w:tcPr>
          <w:p w14:paraId="1670F32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2DC34DE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602BF23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20BAD1C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4402</w:t>
            </w:r>
          </w:p>
        </w:tc>
        <w:tc>
          <w:tcPr>
            <w:tcW w:w="541" w:type="dxa"/>
            <w:tcBorders>
              <w:top w:val="nil"/>
              <w:left w:val="nil"/>
              <w:bottom w:val="single" w:color="000000" w:sz="4" w:space="0"/>
              <w:right w:val="single" w:color="000000" w:sz="4" w:space="0"/>
            </w:tcBorders>
            <w:shd w:val="clear" w:color="auto" w:fill="auto"/>
            <w:vAlign w:val="center"/>
          </w:tcPr>
          <w:p w14:paraId="692585E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F13395B">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10F763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1016" w:type="dxa"/>
            <w:tcBorders>
              <w:top w:val="nil"/>
              <w:left w:val="nil"/>
              <w:bottom w:val="single" w:color="000000" w:sz="4" w:space="0"/>
              <w:right w:val="single" w:color="000000" w:sz="4" w:space="0"/>
            </w:tcBorders>
            <w:shd w:val="clear" w:color="auto" w:fill="auto"/>
            <w:vAlign w:val="center"/>
          </w:tcPr>
          <w:p w14:paraId="590936F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开挖花带</w:t>
            </w:r>
          </w:p>
        </w:tc>
        <w:tc>
          <w:tcPr>
            <w:tcW w:w="5522" w:type="dxa"/>
            <w:tcBorders>
              <w:top w:val="nil"/>
              <w:left w:val="nil"/>
              <w:bottom w:val="single" w:color="000000" w:sz="4" w:space="0"/>
              <w:right w:val="single" w:color="000000" w:sz="4" w:space="0"/>
            </w:tcBorders>
            <w:shd w:val="clear" w:color="auto" w:fill="auto"/>
            <w:vAlign w:val="center"/>
          </w:tcPr>
          <w:p w14:paraId="52B25D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绿化带、土路开挖及恢复</w:t>
            </w:r>
          </w:p>
        </w:tc>
        <w:tc>
          <w:tcPr>
            <w:tcW w:w="671" w:type="dxa"/>
            <w:tcBorders>
              <w:top w:val="nil"/>
              <w:left w:val="nil"/>
              <w:bottom w:val="single" w:color="000000" w:sz="4" w:space="0"/>
              <w:right w:val="single" w:color="000000" w:sz="4" w:space="0"/>
            </w:tcBorders>
            <w:shd w:val="clear" w:color="auto" w:fill="auto"/>
            <w:vAlign w:val="center"/>
          </w:tcPr>
          <w:p w14:paraId="47D905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6080C59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2525</w:t>
            </w:r>
          </w:p>
        </w:tc>
        <w:tc>
          <w:tcPr>
            <w:tcW w:w="541" w:type="dxa"/>
            <w:tcBorders>
              <w:top w:val="nil"/>
              <w:left w:val="nil"/>
              <w:bottom w:val="single" w:color="000000" w:sz="4" w:space="0"/>
              <w:right w:val="single" w:color="000000" w:sz="4" w:space="0"/>
            </w:tcBorders>
            <w:shd w:val="clear" w:color="auto" w:fill="auto"/>
            <w:vAlign w:val="center"/>
          </w:tcPr>
          <w:p w14:paraId="70AB4B5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B69E5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624749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1016" w:type="dxa"/>
            <w:tcBorders>
              <w:top w:val="nil"/>
              <w:left w:val="nil"/>
              <w:bottom w:val="single" w:color="000000" w:sz="4" w:space="0"/>
              <w:right w:val="single" w:color="000000" w:sz="4" w:space="0"/>
            </w:tcBorders>
            <w:shd w:val="clear" w:color="auto" w:fill="auto"/>
            <w:vAlign w:val="center"/>
          </w:tcPr>
          <w:p w14:paraId="13DE841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顶管</w:t>
            </w:r>
          </w:p>
        </w:tc>
        <w:tc>
          <w:tcPr>
            <w:tcW w:w="5522" w:type="dxa"/>
            <w:tcBorders>
              <w:top w:val="nil"/>
              <w:left w:val="nil"/>
              <w:bottom w:val="single" w:color="000000" w:sz="4" w:space="0"/>
              <w:right w:val="single" w:color="000000" w:sz="4" w:space="0"/>
            </w:tcBorders>
            <w:shd w:val="clear" w:color="auto" w:fill="auto"/>
            <w:vAlign w:val="center"/>
          </w:tcPr>
          <w:p w14:paraId="4FFE85B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柏油路顶管</w:t>
            </w:r>
          </w:p>
        </w:tc>
        <w:tc>
          <w:tcPr>
            <w:tcW w:w="671" w:type="dxa"/>
            <w:tcBorders>
              <w:top w:val="nil"/>
              <w:left w:val="nil"/>
              <w:bottom w:val="single" w:color="000000" w:sz="4" w:space="0"/>
              <w:right w:val="single" w:color="000000" w:sz="4" w:space="0"/>
            </w:tcBorders>
            <w:shd w:val="clear" w:color="auto" w:fill="auto"/>
            <w:vAlign w:val="center"/>
          </w:tcPr>
          <w:p w14:paraId="5E44758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912C7C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115 </w:t>
            </w:r>
          </w:p>
        </w:tc>
        <w:tc>
          <w:tcPr>
            <w:tcW w:w="541" w:type="dxa"/>
            <w:tcBorders>
              <w:top w:val="nil"/>
              <w:left w:val="nil"/>
              <w:bottom w:val="single" w:color="000000" w:sz="4" w:space="0"/>
              <w:right w:val="single" w:color="000000" w:sz="4" w:space="0"/>
            </w:tcBorders>
            <w:shd w:val="clear" w:color="auto" w:fill="auto"/>
            <w:vAlign w:val="center"/>
          </w:tcPr>
          <w:p w14:paraId="6E56615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A357ED4">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1AF1EA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1016" w:type="dxa"/>
            <w:tcBorders>
              <w:top w:val="nil"/>
              <w:left w:val="nil"/>
              <w:bottom w:val="single" w:color="000000" w:sz="4" w:space="0"/>
              <w:right w:val="single" w:color="000000" w:sz="4" w:space="0"/>
            </w:tcBorders>
            <w:shd w:val="clear" w:color="auto" w:fill="auto"/>
            <w:vAlign w:val="center"/>
          </w:tcPr>
          <w:p w14:paraId="0F9E94F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碳素波纹管 DN50</w:t>
            </w:r>
          </w:p>
        </w:tc>
        <w:tc>
          <w:tcPr>
            <w:tcW w:w="5522" w:type="dxa"/>
            <w:tcBorders>
              <w:top w:val="nil"/>
              <w:left w:val="nil"/>
              <w:bottom w:val="single" w:color="000000" w:sz="4" w:space="0"/>
              <w:right w:val="single" w:color="000000" w:sz="4" w:space="0"/>
            </w:tcBorders>
            <w:shd w:val="clear" w:color="auto" w:fill="auto"/>
            <w:vAlign w:val="center"/>
          </w:tcPr>
          <w:p w14:paraId="49609DC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1.名称:配管</w:t>
            </w:r>
            <w:r>
              <w:rPr>
                <w:rFonts w:hint="eastAsia" w:ascii="宋体" w:hAnsi="宋体" w:cs="宋体"/>
                <w:kern w:val="0"/>
                <w:sz w:val="20"/>
                <w:szCs w:val="20"/>
              </w:rPr>
              <w:br w:type="textWrapping"/>
            </w:r>
            <w:r>
              <w:rPr>
                <w:rFonts w:hint="eastAsia" w:ascii="宋体" w:hAnsi="宋体" w:cs="宋体"/>
                <w:kern w:val="0"/>
                <w:sz w:val="20"/>
                <w:szCs w:val="20"/>
              </w:rPr>
              <w:t>2.材质:碳素波纹管</w:t>
            </w:r>
            <w:r>
              <w:rPr>
                <w:rFonts w:hint="eastAsia" w:ascii="宋体" w:hAnsi="宋体" w:cs="宋体"/>
                <w:kern w:val="0"/>
                <w:sz w:val="20"/>
                <w:szCs w:val="20"/>
              </w:rPr>
              <w:br w:type="textWrapping"/>
            </w:r>
            <w:r>
              <w:rPr>
                <w:rFonts w:hint="eastAsia" w:ascii="宋体" w:hAnsi="宋体" w:cs="宋体"/>
                <w:kern w:val="0"/>
                <w:sz w:val="20"/>
                <w:szCs w:val="20"/>
              </w:rPr>
              <w:t>3.规格:DN50</w:t>
            </w:r>
          </w:p>
        </w:tc>
        <w:tc>
          <w:tcPr>
            <w:tcW w:w="671" w:type="dxa"/>
            <w:tcBorders>
              <w:top w:val="nil"/>
              <w:left w:val="nil"/>
              <w:bottom w:val="single" w:color="000000" w:sz="4" w:space="0"/>
              <w:right w:val="single" w:color="000000" w:sz="4" w:space="0"/>
            </w:tcBorders>
            <w:shd w:val="clear" w:color="auto" w:fill="auto"/>
            <w:vAlign w:val="center"/>
          </w:tcPr>
          <w:p w14:paraId="1D47D6B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21B60F2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2640 </w:t>
            </w:r>
          </w:p>
        </w:tc>
        <w:tc>
          <w:tcPr>
            <w:tcW w:w="541" w:type="dxa"/>
            <w:tcBorders>
              <w:top w:val="nil"/>
              <w:left w:val="nil"/>
              <w:bottom w:val="single" w:color="000000" w:sz="4" w:space="0"/>
              <w:right w:val="single" w:color="000000" w:sz="4" w:space="0"/>
            </w:tcBorders>
            <w:shd w:val="clear" w:color="auto" w:fill="auto"/>
            <w:vAlign w:val="center"/>
          </w:tcPr>
          <w:p w14:paraId="234CC0F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82292F0">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E332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052F2EC0">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282607F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7EE2733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A0CA54F">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CAC8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（三）</w:t>
            </w:r>
            <w:r>
              <w:rPr>
                <w:rFonts w:hint="eastAsia" w:ascii="宋体" w:hAnsi="宋体" w:cs="宋体"/>
                <w:kern w:val="0"/>
                <w:sz w:val="20"/>
                <w:szCs w:val="20"/>
              </w:rPr>
              <w:t xml:space="preserve"> </w:t>
            </w:r>
            <w:r>
              <w:rPr>
                <w:rFonts w:hint="eastAsia" w:ascii="宋体" w:hAnsi="宋体" w:cs="宋体"/>
                <w:b/>
                <w:bCs/>
                <w:kern w:val="0"/>
                <w:sz w:val="20"/>
                <w:szCs w:val="20"/>
              </w:rPr>
              <w:t>“天网工程”结构化前端</w:t>
            </w:r>
          </w:p>
        </w:tc>
        <w:tc>
          <w:tcPr>
            <w:tcW w:w="541" w:type="dxa"/>
            <w:tcBorders>
              <w:top w:val="nil"/>
              <w:left w:val="nil"/>
              <w:bottom w:val="single" w:color="000000" w:sz="4" w:space="0"/>
              <w:right w:val="single" w:color="000000" w:sz="4" w:space="0"/>
            </w:tcBorders>
            <w:shd w:val="clear" w:color="auto" w:fill="auto"/>
            <w:vAlign w:val="center"/>
          </w:tcPr>
          <w:p w14:paraId="276BE4B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DD56EE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77AF3C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460176F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0DEEE4A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1AC97ED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6AF6F9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684F4D7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62B291B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3098A58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77E7D1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145E11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6085399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6A14A4A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414A97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3BDB4C6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5D80381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2C8C8D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0FB412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1B05FD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59A8561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2D81474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1CDBB0E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59B778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3AB5FA3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530CBFF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508249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05E11D7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5440DAC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564974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6A96002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60514C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472D5E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6FA9BA9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1A41B4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087B4E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07691C6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3503835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102</w:t>
            </w:r>
          </w:p>
        </w:tc>
        <w:tc>
          <w:tcPr>
            <w:tcW w:w="541" w:type="dxa"/>
            <w:tcBorders>
              <w:top w:val="nil"/>
              <w:left w:val="nil"/>
              <w:bottom w:val="single" w:color="000000" w:sz="4" w:space="0"/>
              <w:right w:val="single" w:color="000000" w:sz="4" w:space="0"/>
            </w:tcBorders>
            <w:shd w:val="clear" w:color="auto" w:fill="auto"/>
            <w:vAlign w:val="center"/>
          </w:tcPr>
          <w:p w14:paraId="3C46704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05B6D42">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A52C43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0F857B6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2504B2E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54439E3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4A61192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0C4D4D9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53984FD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10F1FE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4A02517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7F6EAC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38F04C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2066B8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331BC4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0F4F8B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25518AA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4404BA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4953B0D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639601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03AA671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7AE6866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8A875B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7E4B4EC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6FAE935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501E1AD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64DC532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072D38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23A535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458C51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167A1E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1D0A59D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381C6B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45C181E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F044E9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30 </w:t>
            </w:r>
          </w:p>
        </w:tc>
        <w:tc>
          <w:tcPr>
            <w:tcW w:w="541" w:type="dxa"/>
            <w:tcBorders>
              <w:top w:val="nil"/>
              <w:left w:val="nil"/>
              <w:bottom w:val="single" w:color="000000" w:sz="4" w:space="0"/>
              <w:right w:val="single" w:color="000000" w:sz="4" w:space="0"/>
            </w:tcBorders>
            <w:shd w:val="clear" w:color="auto" w:fill="auto"/>
            <w:vAlign w:val="center"/>
          </w:tcPr>
          <w:p w14:paraId="0E8D642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A92A29A">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BDB7D7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1BB73A6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人脸识别相机</w:t>
            </w:r>
          </w:p>
        </w:tc>
        <w:tc>
          <w:tcPr>
            <w:tcW w:w="5522" w:type="dxa"/>
            <w:tcBorders>
              <w:top w:val="nil"/>
              <w:left w:val="nil"/>
              <w:bottom w:val="single" w:color="000000" w:sz="4" w:space="0"/>
              <w:right w:val="single" w:color="000000" w:sz="4" w:space="0"/>
            </w:tcBorders>
            <w:shd w:val="clear" w:color="auto" w:fill="auto"/>
            <w:vAlign w:val="center"/>
          </w:tcPr>
          <w:p w14:paraId="55BECAE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★像素不低于: 800 万;</w:t>
            </w:r>
          </w:p>
          <w:p w14:paraId="3510887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不低于3840x2160;</w:t>
            </w:r>
          </w:p>
          <w:p w14:paraId="4B07090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★最低照度≤0.0002lux(彩色模式);≤0.0001lux (黑白模式);</w:t>
            </w:r>
          </w:p>
          <w:p w14:paraId="42D53B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0239E8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3646E07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5BE72FA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2E439B6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4C6842B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45E5CF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28181；GA/T 1400 视图库标准、GB3514 标准；</w:t>
            </w:r>
          </w:p>
          <w:p w14:paraId="6DABABF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77465D2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1AAF9F0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5728D9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33928C0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6DC366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7CDC0C2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3102D3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1E66A8D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★支持检测同时出现在画面中的不少于100 个人脸目标；</w:t>
            </w:r>
          </w:p>
          <w:p w14:paraId="2A6A72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064A811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4FC302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4EE34D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0BD1E72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27AC8C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1E8FE2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3E02FD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5B192C1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不少于2 路；</w:t>
            </w:r>
          </w:p>
          <w:p w14:paraId="4D9EC5F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629BE2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59BCA1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727F90A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58FC57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541" w:type="dxa"/>
            <w:tcBorders>
              <w:top w:val="nil"/>
              <w:left w:val="nil"/>
              <w:bottom w:val="single" w:color="000000" w:sz="4" w:space="0"/>
              <w:right w:val="single" w:color="000000" w:sz="4" w:space="0"/>
            </w:tcBorders>
            <w:shd w:val="clear" w:color="auto" w:fill="auto"/>
            <w:vAlign w:val="center"/>
          </w:tcPr>
          <w:p w14:paraId="680998F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EC19808">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41AF7D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408D90C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摄像机支架（立柱高6.5m，横臂2m）</w:t>
            </w:r>
          </w:p>
        </w:tc>
        <w:tc>
          <w:tcPr>
            <w:tcW w:w="5522" w:type="dxa"/>
            <w:tcBorders>
              <w:top w:val="nil"/>
              <w:left w:val="nil"/>
              <w:bottom w:val="single" w:color="000000" w:sz="4" w:space="0"/>
              <w:right w:val="single" w:color="000000" w:sz="4" w:space="0"/>
            </w:tcBorders>
            <w:shd w:val="clear" w:color="auto" w:fill="auto"/>
            <w:vAlign w:val="center"/>
          </w:tcPr>
          <w:p w14:paraId="2715066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A3D15B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5996943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14</w:t>
            </w:r>
          </w:p>
        </w:tc>
        <w:tc>
          <w:tcPr>
            <w:tcW w:w="541" w:type="dxa"/>
            <w:tcBorders>
              <w:top w:val="nil"/>
              <w:left w:val="nil"/>
              <w:bottom w:val="single" w:color="000000" w:sz="4" w:space="0"/>
              <w:right w:val="single" w:color="000000" w:sz="4" w:space="0"/>
            </w:tcBorders>
            <w:shd w:val="clear" w:color="auto" w:fill="auto"/>
            <w:vAlign w:val="center"/>
          </w:tcPr>
          <w:p w14:paraId="35329B9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7EC705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EA84C6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6B7066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044BB4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7900AD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4942950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14</w:t>
            </w:r>
          </w:p>
        </w:tc>
        <w:tc>
          <w:tcPr>
            <w:tcW w:w="541" w:type="dxa"/>
            <w:tcBorders>
              <w:top w:val="nil"/>
              <w:left w:val="nil"/>
              <w:bottom w:val="single" w:color="000000" w:sz="4" w:space="0"/>
              <w:right w:val="single" w:color="000000" w:sz="4" w:space="0"/>
            </w:tcBorders>
            <w:shd w:val="clear" w:color="auto" w:fill="auto"/>
            <w:vAlign w:val="center"/>
          </w:tcPr>
          <w:p w14:paraId="5E30F20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545D45">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39F9EA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4AD87FE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摄像机支架（立柱高6.5m，横臂10m）</w:t>
            </w:r>
          </w:p>
        </w:tc>
        <w:tc>
          <w:tcPr>
            <w:tcW w:w="5522" w:type="dxa"/>
            <w:tcBorders>
              <w:top w:val="nil"/>
              <w:left w:val="nil"/>
              <w:bottom w:val="single" w:color="000000" w:sz="4" w:space="0"/>
              <w:right w:val="single" w:color="000000" w:sz="4" w:space="0"/>
            </w:tcBorders>
            <w:shd w:val="clear" w:color="auto" w:fill="auto"/>
            <w:vAlign w:val="center"/>
          </w:tcPr>
          <w:p w14:paraId="471B0E3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EE7801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324CB15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541" w:type="dxa"/>
            <w:tcBorders>
              <w:top w:val="nil"/>
              <w:left w:val="nil"/>
              <w:bottom w:val="single" w:color="000000" w:sz="4" w:space="0"/>
              <w:right w:val="single" w:color="000000" w:sz="4" w:space="0"/>
            </w:tcBorders>
            <w:shd w:val="clear" w:color="auto" w:fill="auto"/>
            <w:vAlign w:val="center"/>
          </w:tcPr>
          <w:p w14:paraId="6ED08FA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AD8F771">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6C9967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221657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5774B23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02EC9F7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2A96FFE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68C10BA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3D2D2EC">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F067CB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1C0F0DD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22FF88C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7D71C4A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45A9362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94 </w:t>
            </w:r>
          </w:p>
        </w:tc>
        <w:tc>
          <w:tcPr>
            <w:tcW w:w="541" w:type="dxa"/>
            <w:tcBorders>
              <w:top w:val="nil"/>
              <w:left w:val="nil"/>
              <w:bottom w:val="single" w:color="000000" w:sz="4" w:space="0"/>
              <w:right w:val="single" w:color="000000" w:sz="4" w:space="0"/>
            </w:tcBorders>
            <w:shd w:val="clear" w:color="auto" w:fill="auto"/>
            <w:vAlign w:val="center"/>
          </w:tcPr>
          <w:p w14:paraId="43E48DD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34FCEC5">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918679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6D9F43C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38FFFF3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453AEB2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291EA4B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1320 </w:t>
            </w:r>
          </w:p>
        </w:tc>
        <w:tc>
          <w:tcPr>
            <w:tcW w:w="541" w:type="dxa"/>
            <w:tcBorders>
              <w:top w:val="nil"/>
              <w:left w:val="nil"/>
              <w:bottom w:val="single" w:color="000000" w:sz="4" w:space="0"/>
              <w:right w:val="single" w:color="000000" w:sz="4" w:space="0"/>
            </w:tcBorders>
            <w:shd w:val="clear" w:color="auto" w:fill="auto"/>
            <w:vAlign w:val="center"/>
          </w:tcPr>
          <w:p w14:paraId="5FA8B59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8008D6B">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B5E01B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16" w:type="dxa"/>
            <w:tcBorders>
              <w:top w:val="nil"/>
              <w:left w:val="nil"/>
              <w:bottom w:val="single" w:color="000000" w:sz="4" w:space="0"/>
              <w:right w:val="single" w:color="000000" w:sz="4" w:space="0"/>
            </w:tcBorders>
            <w:shd w:val="clear" w:color="auto" w:fill="auto"/>
            <w:vAlign w:val="center"/>
          </w:tcPr>
          <w:p w14:paraId="57DBCB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06E7887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331CDD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3DDA6FA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1320</w:t>
            </w:r>
          </w:p>
        </w:tc>
        <w:tc>
          <w:tcPr>
            <w:tcW w:w="541" w:type="dxa"/>
            <w:tcBorders>
              <w:top w:val="nil"/>
              <w:left w:val="nil"/>
              <w:bottom w:val="single" w:color="000000" w:sz="4" w:space="0"/>
              <w:right w:val="single" w:color="000000" w:sz="4" w:space="0"/>
            </w:tcBorders>
            <w:shd w:val="clear" w:color="auto" w:fill="auto"/>
            <w:vAlign w:val="center"/>
          </w:tcPr>
          <w:p w14:paraId="0110308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2E3A9BB">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CA5B2C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16" w:type="dxa"/>
            <w:tcBorders>
              <w:top w:val="nil"/>
              <w:left w:val="nil"/>
              <w:bottom w:val="single" w:color="000000" w:sz="4" w:space="0"/>
              <w:right w:val="single" w:color="000000" w:sz="4" w:space="0"/>
            </w:tcBorders>
            <w:shd w:val="clear" w:color="auto" w:fill="auto"/>
            <w:vAlign w:val="center"/>
          </w:tcPr>
          <w:p w14:paraId="5DA6376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52BF871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30193DB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39E64BC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1650</w:t>
            </w:r>
          </w:p>
        </w:tc>
        <w:tc>
          <w:tcPr>
            <w:tcW w:w="541" w:type="dxa"/>
            <w:tcBorders>
              <w:top w:val="nil"/>
              <w:left w:val="nil"/>
              <w:bottom w:val="single" w:color="000000" w:sz="4" w:space="0"/>
              <w:right w:val="single" w:color="000000" w:sz="4" w:space="0"/>
            </w:tcBorders>
            <w:shd w:val="clear" w:color="auto" w:fill="auto"/>
            <w:vAlign w:val="center"/>
          </w:tcPr>
          <w:p w14:paraId="18150E8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116B1A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B37E63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16" w:type="dxa"/>
            <w:tcBorders>
              <w:top w:val="nil"/>
              <w:left w:val="nil"/>
              <w:bottom w:val="single" w:color="000000" w:sz="4" w:space="0"/>
              <w:right w:val="single" w:color="000000" w:sz="4" w:space="0"/>
            </w:tcBorders>
            <w:shd w:val="clear" w:color="auto" w:fill="auto"/>
            <w:vAlign w:val="center"/>
          </w:tcPr>
          <w:p w14:paraId="0B3BA05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开挖花带</w:t>
            </w:r>
          </w:p>
        </w:tc>
        <w:tc>
          <w:tcPr>
            <w:tcW w:w="5522" w:type="dxa"/>
            <w:tcBorders>
              <w:top w:val="nil"/>
              <w:left w:val="nil"/>
              <w:bottom w:val="single" w:color="000000" w:sz="4" w:space="0"/>
              <w:right w:val="single" w:color="000000" w:sz="4" w:space="0"/>
            </w:tcBorders>
            <w:shd w:val="clear" w:color="auto" w:fill="auto"/>
            <w:vAlign w:val="center"/>
          </w:tcPr>
          <w:p w14:paraId="582C303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绿化带、土路开挖及恢复</w:t>
            </w:r>
          </w:p>
        </w:tc>
        <w:tc>
          <w:tcPr>
            <w:tcW w:w="671" w:type="dxa"/>
            <w:tcBorders>
              <w:top w:val="nil"/>
              <w:left w:val="nil"/>
              <w:bottom w:val="single" w:color="000000" w:sz="4" w:space="0"/>
              <w:right w:val="single" w:color="000000" w:sz="4" w:space="0"/>
            </w:tcBorders>
            <w:shd w:val="clear" w:color="auto" w:fill="auto"/>
            <w:vAlign w:val="center"/>
          </w:tcPr>
          <w:p w14:paraId="2A3AE48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EF4951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440</w:t>
            </w:r>
          </w:p>
        </w:tc>
        <w:tc>
          <w:tcPr>
            <w:tcW w:w="541" w:type="dxa"/>
            <w:tcBorders>
              <w:top w:val="nil"/>
              <w:left w:val="nil"/>
              <w:bottom w:val="single" w:color="000000" w:sz="4" w:space="0"/>
              <w:right w:val="single" w:color="000000" w:sz="4" w:space="0"/>
            </w:tcBorders>
            <w:shd w:val="clear" w:color="auto" w:fill="auto"/>
            <w:vAlign w:val="center"/>
          </w:tcPr>
          <w:p w14:paraId="6B36B3E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83D8F84">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286A77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1016" w:type="dxa"/>
            <w:tcBorders>
              <w:top w:val="nil"/>
              <w:left w:val="nil"/>
              <w:bottom w:val="single" w:color="000000" w:sz="4" w:space="0"/>
              <w:right w:val="single" w:color="000000" w:sz="4" w:space="0"/>
            </w:tcBorders>
            <w:shd w:val="clear" w:color="auto" w:fill="auto"/>
            <w:vAlign w:val="center"/>
          </w:tcPr>
          <w:p w14:paraId="7FFC899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顶管</w:t>
            </w:r>
          </w:p>
        </w:tc>
        <w:tc>
          <w:tcPr>
            <w:tcW w:w="5522" w:type="dxa"/>
            <w:tcBorders>
              <w:top w:val="nil"/>
              <w:left w:val="nil"/>
              <w:bottom w:val="single" w:color="000000" w:sz="4" w:space="0"/>
              <w:right w:val="single" w:color="000000" w:sz="4" w:space="0"/>
            </w:tcBorders>
            <w:shd w:val="clear" w:color="auto" w:fill="auto"/>
            <w:vAlign w:val="center"/>
          </w:tcPr>
          <w:p w14:paraId="567C5FD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柏油路顶管</w:t>
            </w:r>
          </w:p>
        </w:tc>
        <w:tc>
          <w:tcPr>
            <w:tcW w:w="671" w:type="dxa"/>
            <w:tcBorders>
              <w:top w:val="nil"/>
              <w:left w:val="nil"/>
              <w:bottom w:val="single" w:color="000000" w:sz="4" w:space="0"/>
              <w:right w:val="single" w:color="000000" w:sz="4" w:space="0"/>
            </w:tcBorders>
            <w:shd w:val="clear" w:color="auto" w:fill="auto"/>
            <w:vAlign w:val="center"/>
          </w:tcPr>
          <w:p w14:paraId="3441792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0833318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30 </w:t>
            </w:r>
          </w:p>
        </w:tc>
        <w:tc>
          <w:tcPr>
            <w:tcW w:w="541" w:type="dxa"/>
            <w:tcBorders>
              <w:top w:val="nil"/>
              <w:left w:val="nil"/>
              <w:bottom w:val="single" w:color="000000" w:sz="4" w:space="0"/>
              <w:right w:val="single" w:color="000000" w:sz="4" w:space="0"/>
            </w:tcBorders>
            <w:shd w:val="clear" w:color="auto" w:fill="auto"/>
            <w:vAlign w:val="center"/>
          </w:tcPr>
          <w:p w14:paraId="67E9A4F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AD74710">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373FBB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1016" w:type="dxa"/>
            <w:tcBorders>
              <w:top w:val="nil"/>
              <w:left w:val="nil"/>
              <w:bottom w:val="single" w:color="000000" w:sz="4" w:space="0"/>
              <w:right w:val="single" w:color="000000" w:sz="4" w:space="0"/>
            </w:tcBorders>
            <w:shd w:val="clear" w:color="auto" w:fill="auto"/>
            <w:vAlign w:val="center"/>
          </w:tcPr>
          <w:p w14:paraId="0A8B165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碳素波纹管 DN50</w:t>
            </w:r>
          </w:p>
        </w:tc>
        <w:tc>
          <w:tcPr>
            <w:tcW w:w="5522" w:type="dxa"/>
            <w:tcBorders>
              <w:top w:val="nil"/>
              <w:left w:val="nil"/>
              <w:bottom w:val="single" w:color="000000" w:sz="4" w:space="0"/>
              <w:right w:val="single" w:color="000000" w:sz="4" w:space="0"/>
            </w:tcBorders>
            <w:shd w:val="clear" w:color="auto" w:fill="auto"/>
            <w:vAlign w:val="center"/>
          </w:tcPr>
          <w:p w14:paraId="220ABE3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1.名称:配管</w:t>
            </w:r>
            <w:r>
              <w:rPr>
                <w:rFonts w:hint="eastAsia" w:ascii="宋体" w:hAnsi="宋体" w:cs="宋体"/>
                <w:kern w:val="0"/>
                <w:sz w:val="20"/>
                <w:szCs w:val="20"/>
              </w:rPr>
              <w:br w:type="textWrapping"/>
            </w:r>
            <w:r>
              <w:rPr>
                <w:rFonts w:hint="eastAsia" w:ascii="宋体" w:hAnsi="宋体" w:cs="宋体"/>
                <w:kern w:val="0"/>
                <w:sz w:val="20"/>
                <w:szCs w:val="20"/>
              </w:rPr>
              <w:t>2.材质:碳素波纹管</w:t>
            </w:r>
            <w:r>
              <w:rPr>
                <w:rFonts w:hint="eastAsia" w:ascii="宋体" w:hAnsi="宋体" w:cs="宋体"/>
                <w:kern w:val="0"/>
                <w:sz w:val="20"/>
                <w:szCs w:val="20"/>
              </w:rPr>
              <w:br w:type="textWrapping"/>
            </w:r>
            <w:r>
              <w:rPr>
                <w:rFonts w:hint="eastAsia" w:ascii="宋体" w:hAnsi="宋体" w:cs="宋体"/>
                <w:kern w:val="0"/>
                <w:sz w:val="20"/>
                <w:szCs w:val="20"/>
              </w:rPr>
              <w:t>3.规格:DN50</w:t>
            </w:r>
          </w:p>
        </w:tc>
        <w:tc>
          <w:tcPr>
            <w:tcW w:w="671" w:type="dxa"/>
            <w:tcBorders>
              <w:top w:val="nil"/>
              <w:left w:val="nil"/>
              <w:bottom w:val="single" w:color="000000" w:sz="4" w:space="0"/>
              <w:right w:val="single" w:color="000000" w:sz="4" w:space="0"/>
            </w:tcBorders>
            <w:shd w:val="clear" w:color="auto" w:fill="auto"/>
            <w:vAlign w:val="center"/>
          </w:tcPr>
          <w:p w14:paraId="29FC573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5411E6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470 </w:t>
            </w:r>
          </w:p>
        </w:tc>
        <w:tc>
          <w:tcPr>
            <w:tcW w:w="541" w:type="dxa"/>
            <w:tcBorders>
              <w:top w:val="nil"/>
              <w:left w:val="nil"/>
              <w:bottom w:val="single" w:color="000000" w:sz="4" w:space="0"/>
              <w:right w:val="single" w:color="000000" w:sz="4" w:space="0"/>
            </w:tcBorders>
            <w:shd w:val="clear" w:color="auto" w:fill="auto"/>
            <w:vAlign w:val="center"/>
          </w:tcPr>
          <w:p w14:paraId="1E6947E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75764A6">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3E95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22B0BF2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2F3AB0C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29B950CC">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1D90294">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DE9AC">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（四）米山工业园视频前端</w:t>
            </w:r>
          </w:p>
        </w:tc>
        <w:tc>
          <w:tcPr>
            <w:tcW w:w="541" w:type="dxa"/>
            <w:tcBorders>
              <w:top w:val="nil"/>
              <w:left w:val="nil"/>
              <w:bottom w:val="single" w:color="000000" w:sz="4" w:space="0"/>
              <w:right w:val="single" w:color="000000" w:sz="4" w:space="0"/>
            </w:tcBorders>
            <w:shd w:val="clear" w:color="auto" w:fill="auto"/>
            <w:vAlign w:val="center"/>
          </w:tcPr>
          <w:p w14:paraId="31F165A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2AE93434">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054E3D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07E53E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29C402D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738854D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122BE01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3BDC21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3065231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54311A6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4391BB1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4C49011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0B7AF8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24167D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2B5FE3E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5A56CE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786A36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14E5358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6D18C92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5ED4A4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7D74FD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1469738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34BE02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319FCA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96AB0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77A9662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3D8868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2210E3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7DB3882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4F26C24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0C4E427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178630E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26A5755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402909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65DD39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135792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60AE219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6912EB7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2B1D5A1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82E5A6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0CD1F0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4C9A1D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648B5E5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47AC3E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2A031B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3CB6A19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1977F6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0B9D770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57582E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2E0F2C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7CF4A8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1AF077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49245BB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315740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178C1B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2094526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365578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6B503C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07A40C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3971C68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4F38CE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36EBA11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0B0D5C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63134B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7566D84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0EB9F01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053E8E2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37DF645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66990A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5B9987F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2F5282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515C611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C60A63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541" w:type="dxa"/>
            <w:tcBorders>
              <w:top w:val="nil"/>
              <w:left w:val="nil"/>
              <w:bottom w:val="single" w:color="000000" w:sz="4" w:space="0"/>
              <w:right w:val="single" w:color="000000" w:sz="4" w:space="0"/>
            </w:tcBorders>
            <w:shd w:val="clear" w:color="auto" w:fill="auto"/>
            <w:vAlign w:val="center"/>
          </w:tcPr>
          <w:p w14:paraId="2B0CA5B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4A65705">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AC9E45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49EF903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人脸识别相机</w:t>
            </w:r>
          </w:p>
        </w:tc>
        <w:tc>
          <w:tcPr>
            <w:tcW w:w="5522" w:type="dxa"/>
            <w:tcBorders>
              <w:top w:val="nil"/>
              <w:left w:val="nil"/>
              <w:bottom w:val="single" w:color="000000" w:sz="4" w:space="0"/>
              <w:right w:val="single" w:color="000000" w:sz="4" w:space="0"/>
            </w:tcBorders>
            <w:shd w:val="clear" w:color="auto" w:fill="auto"/>
            <w:vAlign w:val="center"/>
          </w:tcPr>
          <w:p w14:paraId="2130DE0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★像素不低于: 800 万;</w:t>
            </w:r>
          </w:p>
          <w:p w14:paraId="35D0218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不低于3840x2160;</w:t>
            </w:r>
          </w:p>
          <w:p w14:paraId="7390708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★最低照度≤0.0002lux(彩色模式);≤0.0001lux (黑白模式);</w:t>
            </w:r>
          </w:p>
          <w:p w14:paraId="21A569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0ACFC64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1CAB5F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5303AC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56B914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562535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5552BF0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28181；GA/T 1400 视图库标准、GB3514 标准；</w:t>
            </w:r>
          </w:p>
          <w:p w14:paraId="2FABA9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5CD1FBC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37D23DA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522FEB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2AD549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538758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3983CB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009B13C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6126CC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★支持检测同时出现在画面中的不少于100 个人脸目标；</w:t>
            </w:r>
          </w:p>
          <w:p w14:paraId="29B441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274D180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2D8A7C9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556521D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0551098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103374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6A3BBE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4D7427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4C0EC0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不少于2 路；</w:t>
            </w:r>
          </w:p>
          <w:p w14:paraId="6FC6E4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0CBA56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3242ED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0D4E396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EC7A49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541" w:type="dxa"/>
            <w:tcBorders>
              <w:top w:val="nil"/>
              <w:left w:val="nil"/>
              <w:bottom w:val="single" w:color="000000" w:sz="4" w:space="0"/>
              <w:right w:val="single" w:color="000000" w:sz="4" w:space="0"/>
            </w:tcBorders>
            <w:shd w:val="clear" w:color="auto" w:fill="auto"/>
            <w:vAlign w:val="center"/>
          </w:tcPr>
          <w:p w14:paraId="099F91D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D2668FF">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D55B52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317395A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52B9874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00F9076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13F3D01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7E36DB7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044AC2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401A7A9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739F26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7BC964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01F653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0D3E8E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1D3F15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056173E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5B4C3E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2CD52AF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1A5B4F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8AD058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2AD103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640314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FAEDD4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2FD519A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35566CB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2541B9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3B39DA1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3E25BB2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045367A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36B8DB1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4E24632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1D0F19A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7E8349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61F5D21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30B2EFF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541" w:type="dxa"/>
            <w:tcBorders>
              <w:top w:val="nil"/>
              <w:left w:val="nil"/>
              <w:bottom w:val="single" w:color="000000" w:sz="4" w:space="0"/>
              <w:right w:val="single" w:color="000000" w:sz="4" w:space="0"/>
            </w:tcBorders>
            <w:shd w:val="clear" w:color="auto" w:fill="auto"/>
            <w:vAlign w:val="center"/>
          </w:tcPr>
          <w:p w14:paraId="52D18F0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5C6C86F">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709119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1ECD515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高清智能摄像机（900万卡口）</w:t>
            </w:r>
          </w:p>
        </w:tc>
        <w:tc>
          <w:tcPr>
            <w:tcW w:w="5522" w:type="dxa"/>
            <w:tcBorders>
              <w:top w:val="nil"/>
              <w:left w:val="nil"/>
              <w:bottom w:val="single" w:color="000000" w:sz="4" w:space="0"/>
              <w:right w:val="single" w:color="000000" w:sz="4" w:space="0"/>
            </w:tcBorders>
            <w:shd w:val="clear" w:color="auto" w:fill="auto"/>
            <w:vAlign w:val="center"/>
          </w:tcPr>
          <w:p w14:paraId="15EB82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★视频分辨率：4096(H) × 2160(V)</w:t>
            </w:r>
          </w:p>
          <w:p w14:paraId="29B310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帧率：不低于25fps</w:t>
            </w:r>
          </w:p>
          <w:p w14:paraId="4600F5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图像控制：曝光速度、AGC 控制、白平衡方式控制等</w:t>
            </w:r>
          </w:p>
          <w:p w14:paraId="3D65BB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压缩输出码率：32 Kbps~16 Mbps</w:t>
            </w:r>
          </w:p>
          <w:p w14:paraId="4FB5F4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镜头规格：≤25mm</w:t>
            </w:r>
          </w:p>
          <w:p w14:paraId="578078E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视频压缩标准：H.264, H.265, MJPEG</w:t>
            </w:r>
          </w:p>
          <w:p w14:paraId="2FF052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抓拍图片格式：JPEG</w:t>
            </w:r>
          </w:p>
          <w:p w14:paraId="4B15C8A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支持协议：ISAPI，GB/T 28181-2022 视频联网标准，GA/T 1400 视图库标准，FTP 协议等</w:t>
            </w:r>
          </w:p>
          <w:p w14:paraId="324B55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卡口抓拍单元由防护罩组件及高清智能摄像机组成，抓拍单元防护罩前面板具有防尘、防水功能，单元内置LED 暖光灯，单元支持网络防雷、防浪涌，宽温宽压等。</w:t>
            </w:r>
          </w:p>
          <w:p w14:paraId="296C4A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采用多光谱融合技术，可以在晚间使用内置LED 灯结合红外爆闪灯的情况下，仍得到全彩的图片，解决夜间白光爆闪光污染。</w:t>
            </w:r>
          </w:p>
          <w:p w14:paraId="412F9C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分辨率须达到4096 × 2160，帧率不低于25 帧，具有清晰度高、照度低、帧率高、色彩还原度好等特点。</w:t>
            </w:r>
          </w:p>
          <w:p w14:paraId="0D6A78D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视频须满足H.265、H.264 或MJPEG 编码，低延时，低码率，压缩比高，处理灵活。</w:t>
            </w:r>
          </w:p>
          <w:p w14:paraId="25A918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支持白天用白光爆闪，晚上用内置灯或外置LED 灯加红外爆闪同步补光。</w:t>
            </w:r>
          </w:p>
          <w:p w14:paraId="0BFFE7E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★支持视频触发等多种触发模式并实现全结构化：支持深度学习算法，支持多目标混合场景应用，实时提取机动车、非机动车、行人、目标等目标全结构化信息。</w:t>
            </w:r>
          </w:p>
          <w:p w14:paraId="6AB7896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支持机动车的车牌，车身颜色，车型，子品牌，驾驶室人员等特征检测，支持机动车的过车记</w:t>
            </w:r>
          </w:p>
          <w:p w14:paraId="0B08868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录和违章行为检测抓拍。</w:t>
            </w:r>
          </w:p>
          <w:p w14:paraId="2047B0A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支持非机动车和行人的抓拍和特征检测。</w:t>
            </w:r>
          </w:p>
          <w:p w14:paraId="40B51DF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支持车辆检测处理器、雷达、补光灯的接入。</w:t>
            </w:r>
          </w:p>
          <w:p w14:paraId="58FA303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支持远程数据上传，GB/T 28181-2022 视频联网标准、GA/T 1400 视图库标准、FTP 协议，可将抓拍的图片上传给终端服务器或者后端平台。</w:t>
            </w:r>
          </w:p>
          <w:p w14:paraId="637FA43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可支持TF 插卡本地存储，可支持至256G，抓拍图片可断网续传</w:t>
            </w:r>
          </w:p>
          <w:p w14:paraId="5EAE3D6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非机动车：车型识别、特征识别</w:t>
            </w:r>
          </w:p>
          <w:p w14:paraId="2B38296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机动车：车牌识别：民用车牌，新能源车牌；</w:t>
            </w:r>
          </w:p>
          <w:p w14:paraId="3F1873E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车身颜色识别：白、灰、黄、红、紫、绿、蓝、棕、黑；</w:t>
            </w:r>
          </w:p>
          <w:p w14:paraId="1FEAB0A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车型识别：大客车、中型客车、大货车、小货车、面包车、皮卡、轿车、SUV/MPV、二轮车、三轮车；</w:t>
            </w:r>
          </w:p>
          <w:p w14:paraId="37F1D6B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车辆品牌，子品牌识别</w:t>
            </w:r>
          </w:p>
          <w:p w14:paraId="3EE7412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违章检测：超速、压车道线、违章变道、未系安全带、未戴头盔、非机动车载人、不礼让行人、逆行、低速、机动车闯禁令、打电话、占用机动车道、摩托车闯禁令、加塞等违法行为行人：人体识别、目标识别、特征识别</w:t>
            </w:r>
          </w:p>
        </w:tc>
        <w:tc>
          <w:tcPr>
            <w:tcW w:w="671" w:type="dxa"/>
            <w:tcBorders>
              <w:top w:val="nil"/>
              <w:left w:val="nil"/>
              <w:bottom w:val="single" w:color="000000" w:sz="4" w:space="0"/>
              <w:right w:val="single" w:color="000000" w:sz="4" w:space="0"/>
            </w:tcBorders>
            <w:shd w:val="clear" w:color="auto" w:fill="auto"/>
            <w:vAlign w:val="center"/>
          </w:tcPr>
          <w:p w14:paraId="5F342D9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FDA063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541" w:type="dxa"/>
            <w:tcBorders>
              <w:top w:val="nil"/>
              <w:left w:val="nil"/>
              <w:bottom w:val="single" w:color="000000" w:sz="4" w:space="0"/>
              <w:right w:val="single" w:color="000000" w:sz="4" w:space="0"/>
            </w:tcBorders>
            <w:shd w:val="clear" w:color="auto" w:fill="auto"/>
            <w:vAlign w:val="center"/>
          </w:tcPr>
          <w:p w14:paraId="502A93B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A874F3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7FDC00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24E24F8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LED爆闪灯</w:t>
            </w:r>
          </w:p>
        </w:tc>
        <w:tc>
          <w:tcPr>
            <w:tcW w:w="5522" w:type="dxa"/>
            <w:tcBorders>
              <w:top w:val="nil"/>
              <w:left w:val="nil"/>
              <w:bottom w:val="single" w:color="000000" w:sz="4" w:space="0"/>
              <w:right w:val="single" w:color="000000" w:sz="4" w:space="0"/>
            </w:tcBorders>
            <w:shd w:val="clear" w:color="auto" w:fill="auto"/>
            <w:vAlign w:val="center"/>
          </w:tcPr>
          <w:p w14:paraId="0A6ED11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LED 灯珠数量：不少于24 颗</w:t>
            </w:r>
          </w:p>
          <w:p w14:paraId="3F2C098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色温：白光＜4000K，红外光</w:t>
            </w:r>
          </w:p>
          <w:p w14:paraId="44AA78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发光角度：单车道</w:t>
            </w:r>
          </w:p>
          <w:p w14:paraId="434B66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气体爆闪峰值闪光持续时间：1/30ms</w:t>
            </w:r>
          </w:p>
          <w:p w14:paraId="7A81359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气体爆闪回电时间：＜67ms</w:t>
            </w:r>
          </w:p>
          <w:p w14:paraId="409C673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气体闪光次数：＞2000 万次（2S 闪一次）</w:t>
            </w:r>
          </w:p>
          <w:p w14:paraId="2F91878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覆盖范围：单车道</w:t>
            </w:r>
          </w:p>
          <w:p w14:paraId="3288825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最佳补光距离：16 米～30 米</w:t>
            </w:r>
          </w:p>
          <w:p w14:paraId="007070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触发方式：电平量触发</w:t>
            </w:r>
          </w:p>
          <w:p w14:paraId="278D4AA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触发信号电平：4V~6V</w:t>
            </w:r>
          </w:p>
          <w:p w14:paraId="769F1BB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触发频率：0Hz~250 Hz</w:t>
            </w:r>
          </w:p>
          <w:p w14:paraId="0689B42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触发占空比：1%~39%</w:t>
            </w:r>
          </w:p>
          <w:p w14:paraId="4F204C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响应时间：≤20us</w:t>
            </w:r>
          </w:p>
          <w:p w14:paraId="1AE3B60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补光灯是一款集成高亮度LED 光源、疝气灯管光源与一体的监控用特殊专业灯具，可实现暖光</w:t>
            </w:r>
          </w:p>
          <w:p w14:paraId="4045CD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LED 频闪，白光气体爆闪及红外气体爆闪切换功能。产品采用大功率LED 芯片，经过精确的光学</w:t>
            </w:r>
          </w:p>
          <w:p w14:paraId="54FCCD3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设计，使光强均匀有效分布，达到整体高亮效果，为视频监控、车辆行人等目标检测和抓拍提</w:t>
            </w:r>
          </w:p>
          <w:p w14:paraId="278DB4A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供专业补光。在满足补光的同时尽可能的减少光污染。产品可应用于电子警察、治安卡口、道路监控等系统中。</w:t>
            </w:r>
          </w:p>
          <w:p w14:paraId="5146889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铝合金灯体，面罩采用特殊工艺的耐高温的PC 材料，透光效果好</w:t>
            </w:r>
          </w:p>
          <w:p w14:paraId="562C75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采用24 颗高亮度LED 芯片，寿命长，稳定性好，发光效率高</w:t>
            </w:r>
          </w:p>
          <w:p w14:paraId="1F9B531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带LED 格栅，有效减少周边光污染</w:t>
            </w:r>
          </w:p>
          <w:p w14:paraId="699F1E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经专业光学设计，发光均匀，目标光斑明显，有效减少光污染</w:t>
            </w:r>
          </w:p>
          <w:p w14:paraId="7E9FA1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气体光源回电时间小于67ms，支持超速连拍</w:t>
            </w:r>
          </w:p>
          <w:p w14:paraId="6383B8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气体补光控制具有峰值抑制功能</w:t>
            </w:r>
          </w:p>
          <w:p w14:paraId="519C06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支持LED 灯频闪、白光气体爆闪，红外气体爆闪</w:t>
            </w:r>
          </w:p>
          <w:p w14:paraId="44F0130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支持相机误触发保护功能，触发信号输入异常时自动保护、且自动恢复</w:t>
            </w:r>
          </w:p>
        </w:tc>
        <w:tc>
          <w:tcPr>
            <w:tcW w:w="671" w:type="dxa"/>
            <w:tcBorders>
              <w:top w:val="nil"/>
              <w:left w:val="nil"/>
              <w:bottom w:val="single" w:color="000000" w:sz="4" w:space="0"/>
              <w:right w:val="single" w:color="000000" w:sz="4" w:space="0"/>
            </w:tcBorders>
            <w:shd w:val="clear" w:color="auto" w:fill="auto"/>
            <w:vAlign w:val="center"/>
          </w:tcPr>
          <w:p w14:paraId="33FD664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1D27D3C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541" w:type="dxa"/>
            <w:tcBorders>
              <w:top w:val="nil"/>
              <w:left w:val="nil"/>
              <w:bottom w:val="single" w:color="000000" w:sz="4" w:space="0"/>
              <w:right w:val="single" w:color="000000" w:sz="4" w:space="0"/>
            </w:tcBorders>
            <w:shd w:val="clear" w:color="auto" w:fill="auto"/>
            <w:vAlign w:val="center"/>
          </w:tcPr>
          <w:p w14:paraId="552C9C6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B20E402">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6C3034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597353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摄像机支架（立柱高5m，横臂4m）</w:t>
            </w:r>
          </w:p>
        </w:tc>
        <w:tc>
          <w:tcPr>
            <w:tcW w:w="5522" w:type="dxa"/>
            <w:tcBorders>
              <w:top w:val="nil"/>
              <w:left w:val="nil"/>
              <w:bottom w:val="single" w:color="000000" w:sz="4" w:space="0"/>
              <w:right w:val="single" w:color="000000" w:sz="4" w:space="0"/>
            </w:tcBorders>
            <w:shd w:val="clear" w:color="auto" w:fill="auto"/>
            <w:vAlign w:val="center"/>
          </w:tcPr>
          <w:p w14:paraId="4FA41E48">
            <w:pPr>
              <w:keepNext w:val="0"/>
              <w:keepLines w:val="0"/>
              <w:widowControl/>
              <w:suppressLineNumbers w:val="0"/>
              <w:spacing w:before="0" w:beforeAutospacing="0" w:after="0" w:afterAutospacing="0"/>
              <w:ind w:left="0" w:right="0"/>
              <w:jc w:val="left"/>
              <w:rPr>
                <w:rFonts w:ascii="宋体" w:hAnsi="宋体" w:cs="宋体"/>
                <w:kern w:val="0"/>
                <w:sz w:val="20"/>
                <w:szCs w:val="20"/>
              </w:rPr>
            </w:pPr>
          </w:p>
        </w:tc>
        <w:tc>
          <w:tcPr>
            <w:tcW w:w="671" w:type="dxa"/>
            <w:tcBorders>
              <w:top w:val="nil"/>
              <w:left w:val="nil"/>
              <w:bottom w:val="single" w:color="000000" w:sz="4" w:space="0"/>
              <w:right w:val="single" w:color="000000" w:sz="4" w:space="0"/>
            </w:tcBorders>
            <w:shd w:val="clear" w:color="auto" w:fill="auto"/>
            <w:vAlign w:val="center"/>
          </w:tcPr>
          <w:p w14:paraId="6ECBEAF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2F24975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4C44AA2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76DE90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558BA9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6E4B3FD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645400A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3983A19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3321AF7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51B9FE1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98CF3A">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4C0921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1440C3A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摄像机支架（立柱高6.5m，横臂8m）</w:t>
            </w:r>
          </w:p>
        </w:tc>
        <w:tc>
          <w:tcPr>
            <w:tcW w:w="5522" w:type="dxa"/>
            <w:tcBorders>
              <w:top w:val="nil"/>
              <w:left w:val="nil"/>
              <w:bottom w:val="single" w:color="000000" w:sz="4" w:space="0"/>
              <w:right w:val="single" w:color="000000" w:sz="4" w:space="0"/>
            </w:tcBorders>
            <w:shd w:val="clear" w:color="auto" w:fill="auto"/>
            <w:vAlign w:val="center"/>
          </w:tcPr>
          <w:p w14:paraId="370E5BC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0A5556F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0048435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49E0D37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72E50FA">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BBC229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16" w:type="dxa"/>
            <w:tcBorders>
              <w:top w:val="nil"/>
              <w:left w:val="nil"/>
              <w:bottom w:val="single" w:color="000000" w:sz="4" w:space="0"/>
              <w:right w:val="single" w:color="000000" w:sz="4" w:space="0"/>
            </w:tcBorders>
            <w:shd w:val="clear" w:color="auto" w:fill="auto"/>
            <w:vAlign w:val="center"/>
          </w:tcPr>
          <w:p w14:paraId="059F18D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317DF0F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0C37023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7C333DD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28EAA5D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C447D94">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3986F4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16" w:type="dxa"/>
            <w:tcBorders>
              <w:top w:val="nil"/>
              <w:left w:val="nil"/>
              <w:bottom w:val="single" w:color="000000" w:sz="4" w:space="0"/>
              <w:right w:val="single" w:color="000000" w:sz="4" w:space="0"/>
            </w:tcBorders>
            <w:shd w:val="clear" w:color="auto" w:fill="auto"/>
            <w:vAlign w:val="center"/>
          </w:tcPr>
          <w:p w14:paraId="3C12232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摄像机支架（立柱高6.5m，横臂10m）</w:t>
            </w:r>
          </w:p>
        </w:tc>
        <w:tc>
          <w:tcPr>
            <w:tcW w:w="5522" w:type="dxa"/>
            <w:tcBorders>
              <w:top w:val="nil"/>
              <w:left w:val="nil"/>
              <w:bottom w:val="single" w:color="000000" w:sz="4" w:space="0"/>
              <w:right w:val="single" w:color="000000" w:sz="4" w:space="0"/>
            </w:tcBorders>
            <w:shd w:val="clear" w:color="auto" w:fill="auto"/>
            <w:vAlign w:val="center"/>
          </w:tcPr>
          <w:p w14:paraId="136E763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53F5C85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4200344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6EA930C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605211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2E2328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16" w:type="dxa"/>
            <w:tcBorders>
              <w:top w:val="nil"/>
              <w:left w:val="nil"/>
              <w:bottom w:val="single" w:color="000000" w:sz="4" w:space="0"/>
              <w:right w:val="single" w:color="000000" w:sz="4" w:space="0"/>
            </w:tcBorders>
            <w:shd w:val="clear" w:color="auto" w:fill="auto"/>
            <w:vAlign w:val="center"/>
          </w:tcPr>
          <w:p w14:paraId="63604C5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324728D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2063A4A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6ACA216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583859E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5E373F7">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965AA3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1016" w:type="dxa"/>
            <w:tcBorders>
              <w:top w:val="nil"/>
              <w:left w:val="nil"/>
              <w:bottom w:val="single" w:color="000000" w:sz="4" w:space="0"/>
              <w:right w:val="single" w:color="000000" w:sz="4" w:space="0"/>
            </w:tcBorders>
            <w:shd w:val="clear" w:color="auto" w:fill="auto"/>
            <w:vAlign w:val="center"/>
          </w:tcPr>
          <w:p w14:paraId="097CE12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摄像机支架（立柱高6.5m，横臂12m）</w:t>
            </w:r>
          </w:p>
        </w:tc>
        <w:tc>
          <w:tcPr>
            <w:tcW w:w="5522" w:type="dxa"/>
            <w:tcBorders>
              <w:top w:val="nil"/>
              <w:left w:val="nil"/>
              <w:bottom w:val="single" w:color="000000" w:sz="4" w:space="0"/>
              <w:right w:val="single" w:color="000000" w:sz="4" w:space="0"/>
            </w:tcBorders>
            <w:shd w:val="clear" w:color="auto" w:fill="auto"/>
            <w:vAlign w:val="center"/>
          </w:tcPr>
          <w:p w14:paraId="56BFC9F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E2807C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445E84E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38D14B1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1AE80E6">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D9E0A3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1016" w:type="dxa"/>
            <w:tcBorders>
              <w:top w:val="nil"/>
              <w:left w:val="nil"/>
              <w:bottom w:val="single" w:color="000000" w:sz="4" w:space="0"/>
              <w:right w:val="single" w:color="000000" w:sz="4" w:space="0"/>
            </w:tcBorders>
            <w:shd w:val="clear" w:color="auto" w:fill="auto"/>
            <w:vAlign w:val="center"/>
          </w:tcPr>
          <w:p w14:paraId="256371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610810C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5EC4DB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0F39159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18E04FE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F61AED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1DCEDD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1016" w:type="dxa"/>
            <w:tcBorders>
              <w:top w:val="nil"/>
              <w:left w:val="nil"/>
              <w:bottom w:val="single" w:color="000000" w:sz="4" w:space="0"/>
              <w:right w:val="single" w:color="000000" w:sz="4" w:space="0"/>
            </w:tcBorders>
            <w:shd w:val="clear" w:color="auto" w:fill="auto"/>
            <w:vAlign w:val="center"/>
          </w:tcPr>
          <w:p w14:paraId="0ADB3F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37507B8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7993AD4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4756889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541" w:type="dxa"/>
            <w:tcBorders>
              <w:top w:val="nil"/>
              <w:left w:val="nil"/>
              <w:bottom w:val="single" w:color="000000" w:sz="4" w:space="0"/>
              <w:right w:val="single" w:color="000000" w:sz="4" w:space="0"/>
            </w:tcBorders>
            <w:shd w:val="clear" w:color="auto" w:fill="auto"/>
            <w:vAlign w:val="center"/>
          </w:tcPr>
          <w:p w14:paraId="11EB1DB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1CAE67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ABFA26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1016" w:type="dxa"/>
            <w:tcBorders>
              <w:top w:val="nil"/>
              <w:left w:val="nil"/>
              <w:bottom w:val="single" w:color="000000" w:sz="4" w:space="0"/>
              <w:right w:val="single" w:color="000000" w:sz="4" w:space="0"/>
            </w:tcBorders>
            <w:shd w:val="clear" w:color="auto" w:fill="auto"/>
            <w:vAlign w:val="center"/>
          </w:tcPr>
          <w:p w14:paraId="4C227E1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31BCE00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7C40F05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F4FEDB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350 </w:t>
            </w:r>
          </w:p>
        </w:tc>
        <w:tc>
          <w:tcPr>
            <w:tcW w:w="541" w:type="dxa"/>
            <w:tcBorders>
              <w:top w:val="nil"/>
              <w:left w:val="nil"/>
              <w:bottom w:val="single" w:color="000000" w:sz="4" w:space="0"/>
              <w:right w:val="single" w:color="000000" w:sz="4" w:space="0"/>
            </w:tcBorders>
            <w:shd w:val="clear" w:color="auto" w:fill="auto"/>
            <w:vAlign w:val="center"/>
          </w:tcPr>
          <w:p w14:paraId="7E1DC2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4EC3503">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115696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 </w:t>
            </w:r>
          </w:p>
        </w:tc>
        <w:tc>
          <w:tcPr>
            <w:tcW w:w="1016" w:type="dxa"/>
            <w:tcBorders>
              <w:top w:val="nil"/>
              <w:left w:val="nil"/>
              <w:bottom w:val="single" w:color="000000" w:sz="4" w:space="0"/>
              <w:right w:val="single" w:color="000000" w:sz="4" w:space="0"/>
            </w:tcBorders>
            <w:shd w:val="clear" w:color="auto" w:fill="auto"/>
            <w:vAlign w:val="center"/>
          </w:tcPr>
          <w:p w14:paraId="2FA5AF6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光缆（12芯）</w:t>
            </w:r>
          </w:p>
        </w:tc>
        <w:tc>
          <w:tcPr>
            <w:tcW w:w="5522" w:type="dxa"/>
            <w:tcBorders>
              <w:top w:val="nil"/>
              <w:left w:val="nil"/>
              <w:bottom w:val="single" w:color="000000" w:sz="4" w:space="0"/>
              <w:right w:val="single" w:color="000000" w:sz="4" w:space="0"/>
            </w:tcBorders>
            <w:shd w:val="clear" w:color="auto" w:fill="auto"/>
            <w:vAlign w:val="center"/>
          </w:tcPr>
          <w:p w14:paraId="70CEC5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1.名称：光缆</w:t>
            </w:r>
            <w:r>
              <w:rPr>
                <w:rFonts w:hint="eastAsia" w:ascii="宋体" w:hAnsi="宋体" w:cs="宋体"/>
                <w:kern w:val="0"/>
                <w:sz w:val="20"/>
                <w:szCs w:val="20"/>
              </w:rPr>
              <w:br w:type="textWrapping"/>
            </w:r>
            <w:r>
              <w:rPr>
                <w:rFonts w:hint="eastAsia" w:ascii="宋体" w:hAnsi="宋体" w:cs="宋体"/>
                <w:kern w:val="0"/>
                <w:sz w:val="20"/>
                <w:szCs w:val="20"/>
              </w:rPr>
              <w:t>2.规格：12芯</w:t>
            </w:r>
          </w:p>
        </w:tc>
        <w:tc>
          <w:tcPr>
            <w:tcW w:w="671" w:type="dxa"/>
            <w:tcBorders>
              <w:top w:val="nil"/>
              <w:left w:val="nil"/>
              <w:bottom w:val="single" w:color="000000" w:sz="4" w:space="0"/>
              <w:right w:val="single" w:color="000000" w:sz="4" w:space="0"/>
            </w:tcBorders>
            <w:shd w:val="clear" w:color="auto" w:fill="auto"/>
            <w:vAlign w:val="center"/>
          </w:tcPr>
          <w:p w14:paraId="03E353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20B8EEB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210 </w:t>
            </w:r>
          </w:p>
        </w:tc>
        <w:tc>
          <w:tcPr>
            <w:tcW w:w="541" w:type="dxa"/>
            <w:tcBorders>
              <w:top w:val="nil"/>
              <w:left w:val="nil"/>
              <w:bottom w:val="single" w:color="000000" w:sz="4" w:space="0"/>
              <w:right w:val="single" w:color="000000" w:sz="4" w:space="0"/>
            </w:tcBorders>
            <w:shd w:val="clear" w:color="auto" w:fill="auto"/>
            <w:vAlign w:val="center"/>
          </w:tcPr>
          <w:p w14:paraId="415DD0B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6AAFE9D">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7C29A8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18 </w:t>
            </w:r>
          </w:p>
        </w:tc>
        <w:tc>
          <w:tcPr>
            <w:tcW w:w="1016" w:type="dxa"/>
            <w:tcBorders>
              <w:top w:val="nil"/>
              <w:left w:val="nil"/>
              <w:bottom w:val="single" w:color="000000" w:sz="4" w:space="0"/>
              <w:right w:val="single" w:color="000000" w:sz="4" w:space="0"/>
            </w:tcBorders>
            <w:shd w:val="clear" w:color="auto" w:fill="auto"/>
            <w:vAlign w:val="center"/>
          </w:tcPr>
          <w:p w14:paraId="17418C7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09D59E1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30F2A9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02AB5CE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400 </w:t>
            </w:r>
          </w:p>
        </w:tc>
        <w:tc>
          <w:tcPr>
            <w:tcW w:w="541" w:type="dxa"/>
            <w:tcBorders>
              <w:top w:val="nil"/>
              <w:left w:val="nil"/>
              <w:bottom w:val="single" w:color="000000" w:sz="4" w:space="0"/>
              <w:right w:val="single" w:color="000000" w:sz="4" w:space="0"/>
            </w:tcBorders>
            <w:shd w:val="clear" w:color="auto" w:fill="auto"/>
            <w:vAlign w:val="center"/>
          </w:tcPr>
          <w:p w14:paraId="67EC8A0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0C84BB4">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3FD52B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19 </w:t>
            </w:r>
          </w:p>
        </w:tc>
        <w:tc>
          <w:tcPr>
            <w:tcW w:w="1016" w:type="dxa"/>
            <w:tcBorders>
              <w:top w:val="nil"/>
              <w:left w:val="nil"/>
              <w:bottom w:val="single" w:color="000000" w:sz="4" w:space="0"/>
              <w:right w:val="single" w:color="000000" w:sz="4" w:space="0"/>
            </w:tcBorders>
            <w:shd w:val="clear" w:color="auto" w:fill="auto"/>
            <w:vAlign w:val="center"/>
          </w:tcPr>
          <w:p w14:paraId="083940E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0510E5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40242C2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71D04E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1260 </w:t>
            </w:r>
          </w:p>
        </w:tc>
        <w:tc>
          <w:tcPr>
            <w:tcW w:w="541" w:type="dxa"/>
            <w:tcBorders>
              <w:top w:val="nil"/>
              <w:left w:val="nil"/>
              <w:bottom w:val="single" w:color="000000" w:sz="4" w:space="0"/>
              <w:right w:val="single" w:color="000000" w:sz="4" w:space="0"/>
            </w:tcBorders>
            <w:shd w:val="clear" w:color="auto" w:fill="auto"/>
            <w:vAlign w:val="center"/>
          </w:tcPr>
          <w:p w14:paraId="1DA6AE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1A5583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4B80A1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1016" w:type="dxa"/>
            <w:tcBorders>
              <w:top w:val="nil"/>
              <w:left w:val="nil"/>
              <w:bottom w:val="single" w:color="000000" w:sz="4" w:space="0"/>
              <w:right w:val="single" w:color="000000" w:sz="4" w:space="0"/>
            </w:tcBorders>
            <w:shd w:val="clear" w:color="auto" w:fill="auto"/>
            <w:vAlign w:val="center"/>
          </w:tcPr>
          <w:p w14:paraId="09EEBE0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顶管</w:t>
            </w:r>
          </w:p>
        </w:tc>
        <w:tc>
          <w:tcPr>
            <w:tcW w:w="5522" w:type="dxa"/>
            <w:tcBorders>
              <w:top w:val="nil"/>
              <w:left w:val="nil"/>
              <w:bottom w:val="single" w:color="000000" w:sz="4" w:space="0"/>
              <w:right w:val="single" w:color="000000" w:sz="4" w:space="0"/>
            </w:tcBorders>
            <w:shd w:val="clear" w:color="auto" w:fill="auto"/>
            <w:vAlign w:val="center"/>
          </w:tcPr>
          <w:p w14:paraId="1CF41E4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柏油路顶管</w:t>
            </w:r>
          </w:p>
        </w:tc>
        <w:tc>
          <w:tcPr>
            <w:tcW w:w="671" w:type="dxa"/>
            <w:tcBorders>
              <w:top w:val="nil"/>
              <w:left w:val="nil"/>
              <w:bottom w:val="single" w:color="000000" w:sz="4" w:space="0"/>
              <w:right w:val="single" w:color="000000" w:sz="4" w:space="0"/>
            </w:tcBorders>
            <w:shd w:val="clear" w:color="auto" w:fill="auto"/>
            <w:vAlign w:val="center"/>
          </w:tcPr>
          <w:p w14:paraId="19FBE5C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7DE941C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168 </w:t>
            </w:r>
          </w:p>
        </w:tc>
        <w:tc>
          <w:tcPr>
            <w:tcW w:w="541" w:type="dxa"/>
            <w:tcBorders>
              <w:top w:val="nil"/>
              <w:left w:val="nil"/>
              <w:bottom w:val="single" w:color="000000" w:sz="4" w:space="0"/>
              <w:right w:val="single" w:color="000000" w:sz="4" w:space="0"/>
            </w:tcBorders>
            <w:shd w:val="clear" w:color="auto" w:fill="auto"/>
            <w:vAlign w:val="center"/>
          </w:tcPr>
          <w:p w14:paraId="30D9B09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873C635">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4AEB94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21 </w:t>
            </w:r>
          </w:p>
        </w:tc>
        <w:tc>
          <w:tcPr>
            <w:tcW w:w="1016" w:type="dxa"/>
            <w:tcBorders>
              <w:top w:val="nil"/>
              <w:left w:val="nil"/>
              <w:bottom w:val="single" w:color="000000" w:sz="4" w:space="0"/>
              <w:right w:val="single" w:color="000000" w:sz="4" w:space="0"/>
            </w:tcBorders>
            <w:shd w:val="clear" w:color="auto" w:fill="auto"/>
            <w:vAlign w:val="center"/>
          </w:tcPr>
          <w:p w14:paraId="5C4B134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碳素波纹管 DN50</w:t>
            </w:r>
          </w:p>
        </w:tc>
        <w:tc>
          <w:tcPr>
            <w:tcW w:w="5522" w:type="dxa"/>
            <w:tcBorders>
              <w:top w:val="nil"/>
              <w:left w:val="nil"/>
              <w:bottom w:val="single" w:color="000000" w:sz="4" w:space="0"/>
              <w:right w:val="single" w:color="000000" w:sz="4" w:space="0"/>
            </w:tcBorders>
            <w:shd w:val="clear" w:color="auto" w:fill="auto"/>
            <w:vAlign w:val="center"/>
          </w:tcPr>
          <w:p w14:paraId="2C8FC8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1.名称:配管</w:t>
            </w:r>
            <w:r>
              <w:rPr>
                <w:rFonts w:hint="eastAsia" w:ascii="宋体" w:hAnsi="宋体" w:cs="宋体"/>
                <w:kern w:val="0"/>
                <w:sz w:val="20"/>
                <w:szCs w:val="20"/>
              </w:rPr>
              <w:br w:type="textWrapping"/>
            </w:r>
            <w:r>
              <w:rPr>
                <w:rFonts w:hint="eastAsia" w:ascii="宋体" w:hAnsi="宋体" w:cs="宋体"/>
                <w:kern w:val="0"/>
                <w:sz w:val="20"/>
                <w:szCs w:val="20"/>
              </w:rPr>
              <w:t>2.材质:碳素波纹管</w:t>
            </w:r>
            <w:r>
              <w:rPr>
                <w:rFonts w:hint="eastAsia" w:ascii="宋体" w:hAnsi="宋体" w:cs="宋体"/>
                <w:kern w:val="0"/>
                <w:sz w:val="20"/>
                <w:szCs w:val="20"/>
              </w:rPr>
              <w:br w:type="textWrapping"/>
            </w:r>
            <w:r>
              <w:rPr>
                <w:rFonts w:hint="eastAsia" w:ascii="宋体" w:hAnsi="宋体" w:cs="宋体"/>
                <w:kern w:val="0"/>
                <w:sz w:val="20"/>
                <w:szCs w:val="20"/>
              </w:rPr>
              <w:t>3.规格:DN50</w:t>
            </w:r>
          </w:p>
        </w:tc>
        <w:tc>
          <w:tcPr>
            <w:tcW w:w="671" w:type="dxa"/>
            <w:tcBorders>
              <w:top w:val="nil"/>
              <w:left w:val="nil"/>
              <w:bottom w:val="single" w:color="000000" w:sz="4" w:space="0"/>
              <w:right w:val="single" w:color="000000" w:sz="4" w:space="0"/>
            </w:tcBorders>
            <w:shd w:val="clear" w:color="auto" w:fill="auto"/>
            <w:vAlign w:val="center"/>
          </w:tcPr>
          <w:p w14:paraId="01076EB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0327515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168 </w:t>
            </w:r>
          </w:p>
        </w:tc>
        <w:tc>
          <w:tcPr>
            <w:tcW w:w="541" w:type="dxa"/>
            <w:tcBorders>
              <w:top w:val="nil"/>
              <w:left w:val="nil"/>
              <w:bottom w:val="single" w:color="000000" w:sz="4" w:space="0"/>
              <w:right w:val="single" w:color="000000" w:sz="4" w:space="0"/>
            </w:tcBorders>
            <w:shd w:val="clear" w:color="auto" w:fill="auto"/>
            <w:vAlign w:val="center"/>
          </w:tcPr>
          <w:p w14:paraId="3A4C77D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242517F">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26E85D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22 </w:t>
            </w:r>
          </w:p>
        </w:tc>
        <w:tc>
          <w:tcPr>
            <w:tcW w:w="1016" w:type="dxa"/>
            <w:tcBorders>
              <w:top w:val="nil"/>
              <w:left w:val="nil"/>
              <w:bottom w:val="single" w:color="000000" w:sz="4" w:space="0"/>
              <w:right w:val="single" w:color="000000" w:sz="4" w:space="0"/>
            </w:tcBorders>
            <w:shd w:val="clear" w:color="auto" w:fill="auto"/>
            <w:vAlign w:val="center"/>
          </w:tcPr>
          <w:p w14:paraId="7D6AC78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砖砌手孔井</w:t>
            </w:r>
          </w:p>
        </w:tc>
        <w:tc>
          <w:tcPr>
            <w:tcW w:w="5522" w:type="dxa"/>
            <w:tcBorders>
              <w:top w:val="nil"/>
              <w:left w:val="nil"/>
              <w:bottom w:val="single" w:color="000000" w:sz="4" w:space="0"/>
              <w:right w:val="single" w:color="000000" w:sz="4" w:space="0"/>
            </w:tcBorders>
            <w:shd w:val="clear" w:color="auto" w:fill="auto"/>
            <w:vAlign w:val="center"/>
          </w:tcPr>
          <w:p w14:paraId="2DDF78A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1.名称：砖砌手孔井</w:t>
            </w:r>
            <w:r>
              <w:rPr>
                <w:rFonts w:hint="eastAsia" w:ascii="宋体" w:hAnsi="宋体" w:cs="宋体"/>
                <w:kern w:val="0"/>
                <w:sz w:val="20"/>
                <w:szCs w:val="20"/>
              </w:rPr>
              <w:br w:type="textWrapping"/>
            </w:r>
            <w:r>
              <w:rPr>
                <w:rFonts w:hint="eastAsia" w:ascii="宋体" w:hAnsi="宋体" w:cs="宋体"/>
                <w:kern w:val="0"/>
                <w:sz w:val="20"/>
                <w:szCs w:val="20"/>
              </w:rPr>
              <w:t>2.规格：400*400*600mm</w:t>
            </w:r>
            <w:r>
              <w:rPr>
                <w:rFonts w:hint="eastAsia" w:ascii="宋体" w:hAnsi="宋体" w:cs="宋体"/>
                <w:kern w:val="0"/>
                <w:sz w:val="20"/>
                <w:szCs w:val="20"/>
              </w:rPr>
              <w:br w:type="textWrapping"/>
            </w:r>
            <w:r>
              <w:rPr>
                <w:rFonts w:hint="eastAsia" w:ascii="宋体" w:hAnsi="宋体" w:cs="宋体"/>
                <w:kern w:val="0"/>
                <w:sz w:val="20"/>
                <w:szCs w:val="20"/>
              </w:rPr>
              <w:t>3.具体做法详见图纸</w:t>
            </w:r>
          </w:p>
        </w:tc>
        <w:tc>
          <w:tcPr>
            <w:tcW w:w="671" w:type="dxa"/>
            <w:tcBorders>
              <w:top w:val="nil"/>
              <w:left w:val="nil"/>
              <w:bottom w:val="single" w:color="000000" w:sz="4" w:space="0"/>
              <w:right w:val="single" w:color="000000" w:sz="4" w:space="0"/>
            </w:tcBorders>
            <w:shd w:val="clear" w:color="auto" w:fill="auto"/>
            <w:vAlign w:val="center"/>
          </w:tcPr>
          <w:p w14:paraId="450E437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20A8814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541" w:type="dxa"/>
            <w:tcBorders>
              <w:top w:val="nil"/>
              <w:left w:val="nil"/>
              <w:bottom w:val="single" w:color="000000" w:sz="4" w:space="0"/>
              <w:right w:val="single" w:color="000000" w:sz="4" w:space="0"/>
            </w:tcBorders>
            <w:shd w:val="clear" w:color="auto" w:fill="auto"/>
            <w:vAlign w:val="center"/>
          </w:tcPr>
          <w:p w14:paraId="6449B0D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BC7318C">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0F34">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5EB96703">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1B151F0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6BE8EC8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1BAC47F1">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7ACC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（五）高空高点前端</w:t>
            </w:r>
          </w:p>
        </w:tc>
        <w:tc>
          <w:tcPr>
            <w:tcW w:w="541" w:type="dxa"/>
            <w:tcBorders>
              <w:top w:val="nil"/>
              <w:left w:val="nil"/>
              <w:bottom w:val="single" w:color="000000" w:sz="4" w:space="0"/>
              <w:right w:val="single" w:color="000000" w:sz="4" w:space="0"/>
            </w:tcBorders>
            <w:shd w:val="clear" w:color="auto" w:fill="auto"/>
            <w:vAlign w:val="center"/>
          </w:tcPr>
          <w:p w14:paraId="41D874A5">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F8281D0">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D675EB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6830A2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2400万270°球型相机</w:t>
            </w:r>
          </w:p>
        </w:tc>
        <w:tc>
          <w:tcPr>
            <w:tcW w:w="5522" w:type="dxa"/>
            <w:tcBorders>
              <w:top w:val="nil"/>
              <w:left w:val="nil"/>
              <w:bottom w:val="single" w:color="000000" w:sz="4" w:space="0"/>
              <w:right w:val="single" w:color="000000" w:sz="4" w:space="0"/>
            </w:tcBorders>
            <w:shd w:val="clear" w:color="auto" w:fill="auto"/>
            <w:vAlign w:val="center"/>
          </w:tcPr>
          <w:p w14:paraId="382325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2400 万270°球型相机</w:t>
            </w:r>
          </w:p>
          <w:p w14:paraId="1A03E8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★全景画面可支持关注区域畸变矫正，细节内置40 倍变焦镜头</w:t>
            </w:r>
          </w:p>
          <w:p w14:paraId="2AEEA20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★全景摄像机:6 个1/1.8＂ 4MP Progressive Scan CMOS，最高分辨率及帧率可达8160 × 2400@30 fps</w:t>
            </w:r>
          </w:p>
          <w:p w14:paraId="3CE6F5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视场角：水平270°，垂直85°</w:t>
            </w:r>
          </w:p>
          <w:p w14:paraId="4E1D483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星光级超低照度，0.0005Lux/F1.0（彩色），0.0001Lux/F1.0（黑白）</w:t>
            </w:r>
          </w:p>
          <w:p w14:paraId="412AA9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★细节摄像机:1/1.8＂ 4MP Progressive Scan CMOS，最高分辨率及帧率可达2560 × 1440@30 fps</w:t>
            </w:r>
          </w:p>
          <w:p w14:paraId="607B3BB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超低照度，0.0005 Lux/F1.2（彩色），0.0001 Lux/F1.2（黑白），0 Lux with IR</w:t>
            </w:r>
          </w:p>
          <w:p w14:paraId="00E2A32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★40 倍光学变倍，16 倍数字变倍</w:t>
            </w:r>
          </w:p>
          <w:p w14:paraId="1FA707A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水平360°连续旋转，垂直-15°~90°（自动翻转）</w:t>
            </w:r>
          </w:p>
          <w:p w14:paraId="22C6B76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照射距离最远可达250m</w:t>
            </w:r>
          </w:p>
          <w:p w14:paraId="73AF2EB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补光灯类型：红外</w:t>
            </w:r>
          </w:p>
          <w:p w14:paraId="31726AC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激光照射距离：250m</w:t>
            </w:r>
          </w:p>
          <w:p w14:paraId="7103240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防补光过曝：支持</w:t>
            </w:r>
          </w:p>
          <w:p w14:paraId="4003407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水平范围：360°</w:t>
            </w:r>
          </w:p>
          <w:p w14:paraId="051324D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垂直范围：-15°-90°(自动翻转)</w:t>
            </w:r>
          </w:p>
          <w:p w14:paraId="3BE787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视频压缩标准：H.265;H.264;MJPEG</w:t>
            </w:r>
          </w:p>
          <w:p w14:paraId="048978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卫星定位：内置北斗卫星定位模块和电子罗盘，支持将视场角、镜头指向、安装位置经纬度等</w:t>
            </w:r>
          </w:p>
          <w:p w14:paraId="67ABF29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信息上传中心管理平台”</w:t>
            </w:r>
          </w:p>
          <w:p w14:paraId="45CD7C5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电子罗盘：支持</w:t>
            </w:r>
          </w:p>
          <w:p w14:paraId="1BD599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网口;自适应10M/100M/1000M 网络数据</w:t>
            </w:r>
          </w:p>
          <w:p w14:paraId="48AFF71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光纤接口：FC 接口;内置光纤模块;波长TX1310/RX1550nm;20km 传输距离;单模单纤;1000M 网络</w:t>
            </w:r>
          </w:p>
          <w:p w14:paraId="0DC873C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数据：SD 卡扩展：支持Micro SD/Micro SDHC/Micro SDXC 卡,最大支持256G</w:t>
            </w:r>
          </w:p>
          <w:p w14:paraId="415175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支持报警输入</w:t>
            </w:r>
          </w:p>
          <w:p w14:paraId="5EA573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防护：IP67；</w:t>
            </w:r>
          </w:p>
          <w:p w14:paraId="09512BD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需符合GB28181、GB35114、GA1400 等标准。</w:t>
            </w:r>
          </w:p>
          <w:p w14:paraId="2DC567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设备需具备功能</w:t>
            </w:r>
          </w:p>
          <w:p w14:paraId="2293FFA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支持区域入侵侦测、越界侦测、进入区域、离开区域事件侦测功能</w:t>
            </w:r>
          </w:p>
          <w:p w14:paraId="02E2DE5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★支持人员密度检测功能，检测覆盖范围半径不小于100 米</w:t>
            </w:r>
          </w:p>
          <w:p w14:paraId="051426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★支持车辆拥堵检测功能，检测覆盖范围半径不小于150 米</w:t>
            </w:r>
          </w:p>
          <w:p w14:paraId="3716181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支持区域入侵侦测、越界侦测、进入区域、离开区域事件侦测功能</w:t>
            </w:r>
          </w:p>
          <w:p w14:paraId="0A696DB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支持全结构化：支持细节路混合目标检测，对检测区域内的人、非机动车、车进行同时抓拍上传，人脸人体关联输出，并实现对人脸、人体、车辆结构化属性特征信息提取</w:t>
            </w:r>
          </w:p>
          <w:p w14:paraId="431C877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支持点击联动功能，通过在客户端点击或者框选全景摄像机画面任意位置，细节跟踪摄像机可自动通过云台调整与变焦，将该区域置于画面中心。</w:t>
            </w:r>
          </w:p>
          <w:p w14:paraId="5A2EAED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支持目标自动跟踪功能，通过设置智能事件规则，对设定区域内触发事件的运动目标在设定的</w:t>
            </w:r>
          </w:p>
          <w:p w14:paraId="49122D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跟踪时间内进行持续稳定跟踪。并可在跟踪过程中手动切换跟踪目标</w:t>
            </w:r>
          </w:p>
          <w:p w14:paraId="646E055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支持手动选择跟踪目标，在设定跟踪时间内进行持续稳定跟踪。</w:t>
            </w:r>
          </w:p>
        </w:tc>
        <w:tc>
          <w:tcPr>
            <w:tcW w:w="671" w:type="dxa"/>
            <w:tcBorders>
              <w:top w:val="nil"/>
              <w:left w:val="nil"/>
              <w:bottom w:val="single" w:color="000000" w:sz="4" w:space="0"/>
              <w:right w:val="single" w:color="000000" w:sz="4" w:space="0"/>
            </w:tcBorders>
            <w:shd w:val="clear" w:color="auto" w:fill="auto"/>
            <w:vAlign w:val="center"/>
          </w:tcPr>
          <w:p w14:paraId="193F21B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6208444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541" w:type="dxa"/>
            <w:tcBorders>
              <w:top w:val="nil"/>
              <w:left w:val="nil"/>
              <w:bottom w:val="single" w:color="000000" w:sz="4" w:space="0"/>
              <w:right w:val="single" w:color="000000" w:sz="4" w:space="0"/>
            </w:tcBorders>
            <w:shd w:val="clear" w:color="auto" w:fill="auto"/>
            <w:vAlign w:val="center"/>
          </w:tcPr>
          <w:p w14:paraId="530C9C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51D3D66">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729E0D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4B9F784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定制支架</w:t>
            </w:r>
          </w:p>
        </w:tc>
        <w:tc>
          <w:tcPr>
            <w:tcW w:w="5522" w:type="dxa"/>
            <w:tcBorders>
              <w:top w:val="nil"/>
              <w:left w:val="nil"/>
              <w:bottom w:val="single" w:color="000000" w:sz="4" w:space="0"/>
              <w:right w:val="single" w:color="000000" w:sz="4" w:space="0"/>
            </w:tcBorders>
            <w:shd w:val="clear" w:color="auto" w:fill="auto"/>
            <w:vAlign w:val="center"/>
          </w:tcPr>
          <w:p w14:paraId="08BAEF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1.名称：定制支架</w:t>
            </w:r>
          </w:p>
        </w:tc>
        <w:tc>
          <w:tcPr>
            <w:tcW w:w="671" w:type="dxa"/>
            <w:tcBorders>
              <w:top w:val="nil"/>
              <w:left w:val="nil"/>
              <w:bottom w:val="single" w:color="000000" w:sz="4" w:space="0"/>
              <w:right w:val="single" w:color="000000" w:sz="4" w:space="0"/>
            </w:tcBorders>
            <w:shd w:val="clear" w:color="auto" w:fill="auto"/>
            <w:vAlign w:val="center"/>
          </w:tcPr>
          <w:p w14:paraId="112350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62E8DD3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541" w:type="dxa"/>
            <w:tcBorders>
              <w:top w:val="nil"/>
              <w:left w:val="nil"/>
              <w:bottom w:val="single" w:color="000000" w:sz="4" w:space="0"/>
              <w:right w:val="single" w:color="000000" w:sz="4" w:space="0"/>
            </w:tcBorders>
            <w:shd w:val="clear" w:color="auto" w:fill="auto"/>
            <w:vAlign w:val="center"/>
          </w:tcPr>
          <w:p w14:paraId="6A74894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17ACF8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B0D605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09E28F6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设备柜</w:t>
            </w:r>
          </w:p>
        </w:tc>
        <w:tc>
          <w:tcPr>
            <w:tcW w:w="5522" w:type="dxa"/>
            <w:tcBorders>
              <w:top w:val="nil"/>
              <w:left w:val="nil"/>
              <w:bottom w:val="single" w:color="000000" w:sz="4" w:space="0"/>
              <w:right w:val="single" w:color="000000" w:sz="4" w:space="0"/>
            </w:tcBorders>
            <w:shd w:val="clear" w:color="auto" w:fill="auto"/>
            <w:vAlign w:val="center"/>
          </w:tcPr>
          <w:p w14:paraId="3F081D4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483B287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5B8C7E8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541" w:type="dxa"/>
            <w:tcBorders>
              <w:top w:val="nil"/>
              <w:left w:val="nil"/>
              <w:bottom w:val="single" w:color="000000" w:sz="4" w:space="0"/>
              <w:right w:val="single" w:color="000000" w:sz="4" w:space="0"/>
            </w:tcBorders>
            <w:shd w:val="clear" w:color="auto" w:fill="auto"/>
            <w:vAlign w:val="center"/>
          </w:tcPr>
          <w:p w14:paraId="4F732D2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CC52C1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74D31A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4721069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213092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3FC259F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0332B33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300 </w:t>
            </w:r>
          </w:p>
        </w:tc>
        <w:tc>
          <w:tcPr>
            <w:tcW w:w="541" w:type="dxa"/>
            <w:tcBorders>
              <w:top w:val="nil"/>
              <w:left w:val="nil"/>
              <w:bottom w:val="single" w:color="000000" w:sz="4" w:space="0"/>
              <w:right w:val="single" w:color="000000" w:sz="4" w:space="0"/>
            </w:tcBorders>
            <w:shd w:val="clear" w:color="auto" w:fill="auto"/>
            <w:vAlign w:val="center"/>
          </w:tcPr>
          <w:p w14:paraId="02C767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D338DAF">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18FFCC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75C1017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254F7A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56546F6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35CF79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840 </w:t>
            </w:r>
          </w:p>
        </w:tc>
        <w:tc>
          <w:tcPr>
            <w:tcW w:w="541" w:type="dxa"/>
            <w:tcBorders>
              <w:top w:val="nil"/>
              <w:left w:val="nil"/>
              <w:bottom w:val="single" w:color="000000" w:sz="4" w:space="0"/>
              <w:right w:val="single" w:color="000000" w:sz="4" w:space="0"/>
            </w:tcBorders>
            <w:shd w:val="clear" w:color="auto" w:fill="auto"/>
            <w:vAlign w:val="center"/>
          </w:tcPr>
          <w:p w14:paraId="2FF72FB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17950B5">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E1C2BC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2C737D4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04F8EC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167C71A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3B6CF47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1200 </w:t>
            </w:r>
          </w:p>
        </w:tc>
        <w:tc>
          <w:tcPr>
            <w:tcW w:w="541" w:type="dxa"/>
            <w:tcBorders>
              <w:top w:val="nil"/>
              <w:left w:val="nil"/>
              <w:bottom w:val="single" w:color="000000" w:sz="4" w:space="0"/>
              <w:right w:val="single" w:color="000000" w:sz="4" w:space="0"/>
            </w:tcBorders>
            <w:shd w:val="clear" w:color="auto" w:fill="auto"/>
            <w:vAlign w:val="center"/>
          </w:tcPr>
          <w:p w14:paraId="67E006B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071E030">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CF726">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36846A8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36C23D6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3DB01A6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340E9073">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18F3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（六）重点乡镇（寺庄）前端</w:t>
            </w:r>
          </w:p>
        </w:tc>
        <w:tc>
          <w:tcPr>
            <w:tcW w:w="541" w:type="dxa"/>
            <w:tcBorders>
              <w:top w:val="nil"/>
              <w:left w:val="nil"/>
              <w:bottom w:val="single" w:color="000000" w:sz="4" w:space="0"/>
              <w:right w:val="single" w:color="000000" w:sz="4" w:space="0"/>
            </w:tcBorders>
            <w:shd w:val="clear" w:color="auto" w:fill="auto"/>
            <w:vAlign w:val="center"/>
          </w:tcPr>
          <w:p w14:paraId="2B4273D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89E6B06">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2E353F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656F1AD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人脸识别相机</w:t>
            </w:r>
          </w:p>
        </w:tc>
        <w:tc>
          <w:tcPr>
            <w:tcW w:w="5522" w:type="dxa"/>
            <w:tcBorders>
              <w:top w:val="nil"/>
              <w:left w:val="nil"/>
              <w:bottom w:val="single" w:color="000000" w:sz="4" w:space="0"/>
              <w:right w:val="single" w:color="000000" w:sz="4" w:space="0"/>
            </w:tcBorders>
            <w:shd w:val="clear" w:color="auto" w:fill="auto"/>
            <w:vAlign w:val="center"/>
          </w:tcPr>
          <w:p w14:paraId="2C1DDB8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★像素不低于: 800 万;</w:t>
            </w:r>
          </w:p>
          <w:p w14:paraId="4A436C0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不低于3840x2160;</w:t>
            </w:r>
          </w:p>
          <w:p w14:paraId="0C1BF35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★最低照度≤0.0002lux(彩色模式);≤0.0001lux (黑白模式);</w:t>
            </w:r>
          </w:p>
          <w:p w14:paraId="3DBD6D5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601D50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32A07CE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676FBC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6022D0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030470D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09BB9DE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28181；GA/T 1400 视图库标准、GB3514 标准；</w:t>
            </w:r>
          </w:p>
          <w:p w14:paraId="1124689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149C8B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75AA3E1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57BC73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41594E2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4F73626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33C2AE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052D33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73A622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★支持检测同时出现在画面中的不少于100 个人脸目标；</w:t>
            </w:r>
          </w:p>
          <w:p w14:paraId="6EBF07E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3C91E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587EF51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424C65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39C680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780904A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6B31D36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1C2424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4324C18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不少于2 路；</w:t>
            </w:r>
          </w:p>
          <w:p w14:paraId="1ABDF7E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054FB2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0ABEB6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39FAC7E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3BD887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541" w:type="dxa"/>
            <w:tcBorders>
              <w:top w:val="nil"/>
              <w:left w:val="nil"/>
              <w:bottom w:val="single" w:color="000000" w:sz="4" w:space="0"/>
              <w:right w:val="single" w:color="000000" w:sz="4" w:space="0"/>
            </w:tcBorders>
            <w:shd w:val="clear" w:color="auto" w:fill="auto"/>
            <w:vAlign w:val="center"/>
          </w:tcPr>
          <w:p w14:paraId="5048A7B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75A2CD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83AC47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650FC9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4184E05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0700B2C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1207492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289CE7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050588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00F5472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1ECADA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17C16C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036F67A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19827E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11140D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2669EB6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7C8C23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095310D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2FDEDC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37D4A43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2E33421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FB1D3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5851AA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7745525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F29EA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745F35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3FF5C7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30429CD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660692A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42FD805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1C60AC5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136DF0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61BB580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67F2692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761EDA6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4F02988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5EAFEB1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C8822F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541" w:type="dxa"/>
            <w:tcBorders>
              <w:top w:val="nil"/>
              <w:left w:val="nil"/>
              <w:bottom w:val="single" w:color="000000" w:sz="4" w:space="0"/>
              <w:right w:val="single" w:color="000000" w:sz="4" w:space="0"/>
            </w:tcBorders>
            <w:shd w:val="clear" w:color="auto" w:fill="auto"/>
            <w:vAlign w:val="center"/>
          </w:tcPr>
          <w:p w14:paraId="7525BC0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7989586">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97235B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52D1FF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0515EF4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655D872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6BBE36F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73C4E2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06C46C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5EB5C2B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7F4399B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6371A11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24AFBDD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157E86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66016F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67A6B6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7D74F9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7CF83D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0C198E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1FCBFE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648E92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56EB8A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605099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23D53A7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30562AA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488189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4C6177A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6FB44F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55E907A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49F6688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679ADD1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252593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67D68A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52B5D4E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BB77E8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541" w:type="dxa"/>
            <w:tcBorders>
              <w:top w:val="nil"/>
              <w:left w:val="nil"/>
              <w:bottom w:val="single" w:color="000000" w:sz="4" w:space="0"/>
              <w:right w:val="single" w:color="000000" w:sz="4" w:space="0"/>
            </w:tcBorders>
            <w:shd w:val="clear" w:color="auto" w:fill="auto"/>
            <w:vAlign w:val="center"/>
          </w:tcPr>
          <w:p w14:paraId="0BE2A0B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4515F23">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BF7AA8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633B548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摄像机支架（立柱高5m，横臂4m）</w:t>
            </w:r>
          </w:p>
        </w:tc>
        <w:tc>
          <w:tcPr>
            <w:tcW w:w="5522" w:type="dxa"/>
            <w:tcBorders>
              <w:top w:val="nil"/>
              <w:left w:val="nil"/>
              <w:bottom w:val="single" w:color="000000" w:sz="4" w:space="0"/>
              <w:right w:val="single" w:color="000000" w:sz="4" w:space="0"/>
            </w:tcBorders>
            <w:shd w:val="clear" w:color="auto" w:fill="auto"/>
            <w:vAlign w:val="center"/>
          </w:tcPr>
          <w:p w14:paraId="5424ED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503731D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318EE37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541" w:type="dxa"/>
            <w:tcBorders>
              <w:top w:val="nil"/>
              <w:left w:val="nil"/>
              <w:bottom w:val="single" w:color="000000" w:sz="4" w:space="0"/>
              <w:right w:val="single" w:color="000000" w:sz="4" w:space="0"/>
            </w:tcBorders>
            <w:shd w:val="clear" w:color="auto" w:fill="auto"/>
            <w:vAlign w:val="center"/>
          </w:tcPr>
          <w:p w14:paraId="16DDE0A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4C4B2F9">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754F0A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3880D36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63ECB7C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3E1DB3D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69B2251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541" w:type="dxa"/>
            <w:tcBorders>
              <w:top w:val="nil"/>
              <w:left w:val="nil"/>
              <w:bottom w:val="single" w:color="000000" w:sz="4" w:space="0"/>
              <w:right w:val="single" w:color="000000" w:sz="4" w:space="0"/>
            </w:tcBorders>
            <w:shd w:val="clear" w:color="auto" w:fill="auto"/>
            <w:vAlign w:val="center"/>
          </w:tcPr>
          <w:p w14:paraId="7378450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8934945">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80C321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67CA12E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摄像机支架（立柱高6.5m，横臂6m）</w:t>
            </w:r>
          </w:p>
        </w:tc>
        <w:tc>
          <w:tcPr>
            <w:tcW w:w="5522" w:type="dxa"/>
            <w:tcBorders>
              <w:top w:val="nil"/>
              <w:left w:val="nil"/>
              <w:bottom w:val="single" w:color="000000" w:sz="4" w:space="0"/>
              <w:right w:val="single" w:color="000000" w:sz="4" w:space="0"/>
            </w:tcBorders>
            <w:shd w:val="clear" w:color="auto" w:fill="auto"/>
            <w:vAlign w:val="center"/>
          </w:tcPr>
          <w:p w14:paraId="61B9C26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39364F5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6F6C847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7FA6B0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11B49F">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C52D5C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1B7B03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7F05B01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762E8D6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5FFECB7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626BAB9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7A7A617">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25D8C1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7574E3F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069D407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0FA7C7B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个</w:t>
            </w:r>
          </w:p>
        </w:tc>
        <w:tc>
          <w:tcPr>
            <w:tcW w:w="620" w:type="dxa"/>
            <w:tcBorders>
              <w:top w:val="nil"/>
              <w:left w:val="nil"/>
              <w:bottom w:val="single" w:color="000000" w:sz="4" w:space="0"/>
              <w:right w:val="single" w:color="000000" w:sz="4" w:space="0"/>
            </w:tcBorders>
            <w:shd w:val="clear" w:color="auto" w:fill="auto"/>
            <w:vAlign w:val="center"/>
          </w:tcPr>
          <w:p w14:paraId="22C9EA0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541" w:type="dxa"/>
            <w:tcBorders>
              <w:top w:val="nil"/>
              <w:left w:val="nil"/>
              <w:bottom w:val="single" w:color="000000" w:sz="4" w:space="0"/>
              <w:right w:val="single" w:color="000000" w:sz="4" w:space="0"/>
            </w:tcBorders>
            <w:shd w:val="clear" w:color="auto" w:fill="auto"/>
            <w:vAlign w:val="center"/>
          </w:tcPr>
          <w:p w14:paraId="00E7601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F0548A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5E8611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68B0A40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1E9ED86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0C1689F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71D6E2D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170 </w:t>
            </w:r>
          </w:p>
        </w:tc>
        <w:tc>
          <w:tcPr>
            <w:tcW w:w="541" w:type="dxa"/>
            <w:tcBorders>
              <w:top w:val="nil"/>
              <w:left w:val="nil"/>
              <w:bottom w:val="single" w:color="000000" w:sz="4" w:space="0"/>
              <w:right w:val="single" w:color="000000" w:sz="4" w:space="0"/>
            </w:tcBorders>
            <w:shd w:val="clear" w:color="auto" w:fill="auto"/>
            <w:vAlign w:val="center"/>
          </w:tcPr>
          <w:p w14:paraId="4F04F9F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A5BF4A2">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AEAA2D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16" w:type="dxa"/>
            <w:tcBorders>
              <w:top w:val="nil"/>
              <w:left w:val="nil"/>
              <w:bottom w:val="single" w:color="000000" w:sz="4" w:space="0"/>
              <w:right w:val="single" w:color="000000" w:sz="4" w:space="0"/>
            </w:tcBorders>
            <w:shd w:val="clear" w:color="auto" w:fill="auto"/>
            <w:vAlign w:val="center"/>
          </w:tcPr>
          <w:p w14:paraId="48AD38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663CFF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63B073B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1340D77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170 </w:t>
            </w:r>
          </w:p>
        </w:tc>
        <w:tc>
          <w:tcPr>
            <w:tcW w:w="541" w:type="dxa"/>
            <w:tcBorders>
              <w:top w:val="nil"/>
              <w:left w:val="nil"/>
              <w:bottom w:val="single" w:color="000000" w:sz="4" w:space="0"/>
              <w:right w:val="single" w:color="000000" w:sz="4" w:space="0"/>
            </w:tcBorders>
            <w:shd w:val="clear" w:color="auto" w:fill="auto"/>
            <w:vAlign w:val="center"/>
          </w:tcPr>
          <w:p w14:paraId="1058FCC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E1EFD7A">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F835E9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16" w:type="dxa"/>
            <w:tcBorders>
              <w:top w:val="nil"/>
              <w:left w:val="nil"/>
              <w:bottom w:val="single" w:color="000000" w:sz="4" w:space="0"/>
              <w:right w:val="single" w:color="000000" w:sz="4" w:space="0"/>
            </w:tcBorders>
            <w:shd w:val="clear" w:color="auto" w:fill="auto"/>
            <w:vAlign w:val="center"/>
          </w:tcPr>
          <w:p w14:paraId="15DC598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4A8BAE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4F63386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7A1D324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1180 </w:t>
            </w:r>
          </w:p>
        </w:tc>
        <w:tc>
          <w:tcPr>
            <w:tcW w:w="541" w:type="dxa"/>
            <w:tcBorders>
              <w:top w:val="nil"/>
              <w:left w:val="nil"/>
              <w:bottom w:val="single" w:color="000000" w:sz="4" w:space="0"/>
              <w:right w:val="single" w:color="000000" w:sz="4" w:space="0"/>
            </w:tcBorders>
            <w:shd w:val="clear" w:color="auto" w:fill="auto"/>
            <w:vAlign w:val="center"/>
          </w:tcPr>
          <w:p w14:paraId="480CCCA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8F4BC30">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041C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01A325E1">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1A3D5F5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3F1E56F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DBE280B">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2F3CE">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（七）北城社区</w:t>
            </w:r>
          </w:p>
        </w:tc>
        <w:tc>
          <w:tcPr>
            <w:tcW w:w="541" w:type="dxa"/>
            <w:tcBorders>
              <w:top w:val="nil"/>
              <w:left w:val="nil"/>
              <w:bottom w:val="single" w:color="000000" w:sz="4" w:space="0"/>
              <w:right w:val="single" w:color="000000" w:sz="4" w:space="0"/>
            </w:tcBorders>
            <w:shd w:val="clear" w:color="auto" w:fill="auto"/>
            <w:vAlign w:val="center"/>
          </w:tcPr>
          <w:p w14:paraId="0412E9A4">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23CD99A">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B2DE35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57FBB7A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0A2985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6907276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464399B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63AB65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18A18E6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089A191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576F16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32E6444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582B6A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301B05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7333624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30854C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139C68B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70EC9E8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48F31F5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7D375A1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2F1A38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5CE1AC0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351934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7576C88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2CA8BB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031A54A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03E58B1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3A504B7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052F24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4BA7B4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2A18421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4B6A26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6807E5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052B75A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71A9469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74424C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670FB6A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00E75B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136</w:t>
            </w:r>
          </w:p>
        </w:tc>
        <w:tc>
          <w:tcPr>
            <w:tcW w:w="541" w:type="dxa"/>
            <w:tcBorders>
              <w:top w:val="nil"/>
              <w:left w:val="nil"/>
              <w:bottom w:val="single" w:color="000000" w:sz="4" w:space="0"/>
              <w:right w:val="single" w:color="000000" w:sz="4" w:space="0"/>
            </w:tcBorders>
            <w:shd w:val="clear" w:color="auto" w:fill="auto"/>
            <w:vAlign w:val="center"/>
          </w:tcPr>
          <w:p w14:paraId="3CCB5D3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9E8E01C">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F8BA60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476808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45BFC68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4F5721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57E8A6B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24B2496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2C17C7D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4FA953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57A71F8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29AA63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446765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36EBCF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0AC6477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03C88AB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5A9D498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2D87E6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15479A1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E8293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243B206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235E6C2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423B24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7D3898A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730A8F9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5FD67D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1F6BD48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0C68629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3078DC1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4421B99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249CD3D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3E6782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062D98A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53AB7C9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2C8088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19 </w:t>
            </w:r>
          </w:p>
        </w:tc>
        <w:tc>
          <w:tcPr>
            <w:tcW w:w="541" w:type="dxa"/>
            <w:tcBorders>
              <w:top w:val="nil"/>
              <w:left w:val="nil"/>
              <w:bottom w:val="single" w:color="000000" w:sz="4" w:space="0"/>
              <w:right w:val="single" w:color="000000" w:sz="4" w:space="0"/>
            </w:tcBorders>
            <w:shd w:val="clear" w:color="auto" w:fill="auto"/>
            <w:vAlign w:val="center"/>
          </w:tcPr>
          <w:p w14:paraId="72FB0D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0514585">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ACCFF7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728FA94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横臂L1（1m）</w:t>
            </w:r>
          </w:p>
        </w:tc>
        <w:tc>
          <w:tcPr>
            <w:tcW w:w="5522" w:type="dxa"/>
            <w:tcBorders>
              <w:top w:val="nil"/>
              <w:left w:val="nil"/>
              <w:bottom w:val="single" w:color="000000" w:sz="4" w:space="0"/>
              <w:right w:val="single" w:color="000000" w:sz="4" w:space="0"/>
            </w:tcBorders>
            <w:shd w:val="clear" w:color="auto" w:fill="auto"/>
            <w:vAlign w:val="center"/>
          </w:tcPr>
          <w:p w14:paraId="4D65C2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1.名称：横臂L1</w:t>
            </w:r>
            <w:r>
              <w:rPr>
                <w:rFonts w:hint="eastAsia" w:ascii="宋体" w:hAnsi="宋体" w:cs="宋体"/>
                <w:kern w:val="0"/>
                <w:sz w:val="20"/>
                <w:szCs w:val="20"/>
              </w:rPr>
              <w:br w:type="textWrapping"/>
            </w:r>
            <w:r>
              <w:rPr>
                <w:rFonts w:hint="eastAsia" w:ascii="宋体" w:hAnsi="宋体" w:cs="宋体"/>
                <w:kern w:val="0"/>
                <w:sz w:val="20"/>
                <w:szCs w:val="20"/>
              </w:rPr>
              <w:t>2.规格：1m</w:t>
            </w:r>
          </w:p>
        </w:tc>
        <w:tc>
          <w:tcPr>
            <w:tcW w:w="671" w:type="dxa"/>
            <w:tcBorders>
              <w:top w:val="nil"/>
              <w:left w:val="nil"/>
              <w:bottom w:val="single" w:color="000000" w:sz="4" w:space="0"/>
              <w:right w:val="single" w:color="000000" w:sz="4" w:space="0"/>
            </w:tcBorders>
            <w:shd w:val="clear" w:color="auto" w:fill="auto"/>
            <w:vAlign w:val="center"/>
          </w:tcPr>
          <w:p w14:paraId="00CCE53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7D8B248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541" w:type="dxa"/>
            <w:tcBorders>
              <w:top w:val="nil"/>
              <w:left w:val="nil"/>
              <w:bottom w:val="single" w:color="000000" w:sz="4" w:space="0"/>
              <w:right w:val="single" w:color="000000" w:sz="4" w:space="0"/>
            </w:tcBorders>
            <w:shd w:val="clear" w:color="auto" w:fill="auto"/>
            <w:vAlign w:val="center"/>
          </w:tcPr>
          <w:p w14:paraId="3DF51D7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18774A8">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9C3340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2ED941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横臂L10（10m）</w:t>
            </w:r>
          </w:p>
        </w:tc>
        <w:tc>
          <w:tcPr>
            <w:tcW w:w="5522" w:type="dxa"/>
            <w:tcBorders>
              <w:top w:val="nil"/>
              <w:left w:val="nil"/>
              <w:bottom w:val="single" w:color="000000" w:sz="4" w:space="0"/>
              <w:right w:val="single" w:color="000000" w:sz="4" w:space="0"/>
            </w:tcBorders>
            <w:shd w:val="clear" w:color="auto" w:fill="auto"/>
            <w:vAlign w:val="center"/>
          </w:tcPr>
          <w:p w14:paraId="706CDF8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1.名称：横臂L10</w:t>
            </w:r>
            <w:r>
              <w:rPr>
                <w:rFonts w:hint="eastAsia" w:ascii="宋体" w:hAnsi="宋体" w:cs="宋体"/>
                <w:kern w:val="0"/>
                <w:sz w:val="20"/>
                <w:szCs w:val="20"/>
              </w:rPr>
              <w:br w:type="textWrapping"/>
            </w:r>
            <w:r>
              <w:rPr>
                <w:rFonts w:hint="eastAsia" w:ascii="宋体" w:hAnsi="宋体" w:cs="宋体"/>
                <w:kern w:val="0"/>
                <w:sz w:val="20"/>
                <w:szCs w:val="20"/>
              </w:rPr>
              <w:t>2.规格：10m</w:t>
            </w:r>
          </w:p>
        </w:tc>
        <w:tc>
          <w:tcPr>
            <w:tcW w:w="671" w:type="dxa"/>
            <w:tcBorders>
              <w:top w:val="nil"/>
              <w:left w:val="nil"/>
              <w:bottom w:val="single" w:color="000000" w:sz="4" w:space="0"/>
              <w:right w:val="single" w:color="000000" w:sz="4" w:space="0"/>
            </w:tcBorders>
            <w:shd w:val="clear" w:color="auto" w:fill="auto"/>
            <w:vAlign w:val="center"/>
          </w:tcPr>
          <w:p w14:paraId="652E241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68DC5E2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541" w:type="dxa"/>
            <w:tcBorders>
              <w:top w:val="nil"/>
              <w:left w:val="nil"/>
              <w:bottom w:val="single" w:color="000000" w:sz="4" w:space="0"/>
              <w:right w:val="single" w:color="000000" w:sz="4" w:space="0"/>
            </w:tcBorders>
            <w:shd w:val="clear" w:color="auto" w:fill="auto"/>
            <w:vAlign w:val="center"/>
          </w:tcPr>
          <w:p w14:paraId="248E7B5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61EC5E4">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1A6C0B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1A6E697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机柜</w:t>
            </w:r>
          </w:p>
        </w:tc>
        <w:tc>
          <w:tcPr>
            <w:tcW w:w="5522" w:type="dxa"/>
            <w:tcBorders>
              <w:top w:val="nil"/>
              <w:left w:val="nil"/>
              <w:bottom w:val="single" w:color="000000" w:sz="4" w:space="0"/>
              <w:right w:val="single" w:color="000000" w:sz="4" w:space="0"/>
            </w:tcBorders>
            <w:shd w:val="clear" w:color="auto" w:fill="auto"/>
            <w:vAlign w:val="center"/>
          </w:tcPr>
          <w:p w14:paraId="28D5F75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1750321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6AD3E45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3E8DB17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400A08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BE06A5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64E311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390A9F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75F5B06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D4A3C3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541" w:type="dxa"/>
            <w:tcBorders>
              <w:top w:val="nil"/>
              <w:left w:val="nil"/>
              <w:bottom w:val="single" w:color="000000" w:sz="4" w:space="0"/>
              <w:right w:val="single" w:color="000000" w:sz="4" w:space="0"/>
            </w:tcBorders>
            <w:shd w:val="clear" w:color="auto" w:fill="auto"/>
            <w:vAlign w:val="center"/>
          </w:tcPr>
          <w:p w14:paraId="2725385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A193A4E">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BAA51F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5410B49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壁挂机柜</w:t>
            </w:r>
          </w:p>
        </w:tc>
        <w:tc>
          <w:tcPr>
            <w:tcW w:w="5522" w:type="dxa"/>
            <w:tcBorders>
              <w:top w:val="nil"/>
              <w:left w:val="nil"/>
              <w:bottom w:val="single" w:color="000000" w:sz="4" w:space="0"/>
              <w:right w:val="single" w:color="000000" w:sz="4" w:space="0"/>
            </w:tcBorders>
            <w:shd w:val="clear" w:color="auto" w:fill="auto"/>
            <w:vAlign w:val="center"/>
          </w:tcPr>
          <w:p w14:paraId="181DE90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5FB0095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CE054C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95 </w:t>
            </w:r>
          </w:p>
        </w:tc>
        <w:tc>
          <w:tcPr>
            <w:tcW w:w="541" w:type="dxa"/>
            <w:tcBorders>
              <w:top w:val="nil"/>
              <w:left w:val="nil"/>
              <w:bottom w:val="single" w:color="000000" w:sz="4" w:space="0"/>
              <w:right w:val="single" w:color="000000" w:sz="4" w:space="0"/>
            </w:tcBorders>
            <w:shd w:val="clear" w:color="auto" w:fill="auto"/>
            <w:vAlign w:val="center"/>
          </w:tcPr>
          <w:p w14:paraId="6F63350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3F2423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CF4A6C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77D3884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27F0B9E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4A57CC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1CC876E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2370 </w:t>
            </w:r>
          </w:p>
        </w:tc>
        <w:tc>
          <w:tcPr>
            <w:tcW w:w="541" w:type="dxa"/>
            <w:tcBorders>
              <w:top w:val="nil"/>
              <w:left w:val="nil"/>
              <w:bottom w:val="single" w:color="000000" w:sz="4" w:space="0"/>
              <w:right w:val="single" w:color="000000" w:sz="4" w:space="0"/>
            </w:tcBorders>
            <w:shd w:val="clear" w:color="auto" w:fill="auto"/>
            <w:vAlign w:val="center"/>
          </w:tcPr>
          <w:p w14:paraId="657809C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283B091">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DF80A1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403E93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7D6DBA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2A98E37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51B92D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2370 </w:t>
            </w:r>
          </w:p>
        </w:tc>
        <w:tc>
          <w:tcPr>
            <w:tcW w:w="541" w:type="dxa"/>
            <w:tcBorders>
              <w:top w:val="nil"/>
              <w:left w:val="nil"/>
              <w:bottom w:val="single" w:color="000000" w:sz="4" w:space="0"/>
              <w:right w:val="single" w:color="000000" w:sz="4" w:space="0"/>
            </w:tcBorders>
            <w:shd w:val="clear" w:color="auto" w:fill="auto"/>
            <w:vAlign w:val="center"/>
          </w:tcPr>
          <w:p w14:paraId="406CA44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60BCBE6">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EA0B89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16" w:type="dxa"/>
            <w:tcBorders>
              <w:top w:val="nil"/>
              <w:left w:val="nil"/>
              <w:bottom w:val="single" w:color="000000" w:sz="4" w:space="0"/>
              <w:right w:val="single" w:color="000000" w:sz="4" w:space="0"/>
            </w:tcBorders>
            <w:shd w:val="clear" w:color="auto" w:fill="auto"/>
            <w:vAlign w:val="center"/>
          </w:tcPr>
          <w:p w14:paraId="098EA7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3E92CCC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6E5C1A8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5511B29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5130 </w:t>
            </w:r>
          </w:p>
        </w:tc>
        <w:tc>
          <w:tcPr>
            <w:tcW w:w="541" w:type="dxa"/>
            <w:tcBorders>
              <w:top w:val="nil"/>
              <w:left w:val="nil"/>
              <w:bottom w:val="single" w:color="000000" w:sz="4" w:space="0"/>
              <w:right w:val="single" w:color="000000" w:sz="4" w:space="0"/>
            </w:tcBorders>
            <w:shd w:val="clear" w:color="auto" w:fill="auto"/>
            <w:vAlign w:val="center"/>
          </w:tcPr>
          <w:p w14:paraId="4E51E63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1FE478">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9A7F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74C89C9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3FDE494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41CA3979">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BD51351">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CC716">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（八）东城社区</w:t>
            </w:r>
          </w:p>
        </w:tc>
        <w:tc>
          <w:tcPr>
            <w:tcW w:w="541" w:type="dxa"/>
            <w:tcBorders>
              <w:top w:val="nil"/>
              <w:left w:val="nil"/>
              <w:bottom w:val="single" w:color="000000" w:sz="4" w:space="0"/>
              <w:right w:val="single" w:color="000000" w:sz="4" w:space="0"/>
            </w:tcBorders>
            <w:shd w:val="clear" w:color="auto" w:fill="auto"/>
            <w:vAlign w:val="center"/>
          </w:tcPr>
          <w:p w14:paraId="68E9FEE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0094770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1E2BC3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54ED64C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4C956DB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1A35E3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5C736B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34BB19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4A997E3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1429683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2496889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71A200C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1C1BC06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29DD433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201FAD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51ADE5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028ED7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2E8AB00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736A2A6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5DECC5D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5A404C6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4C06CF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04567B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013AA3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45A4AE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539F5F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4A25E2E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48BBA5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247DC62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6BF4C28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6CE5E8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5E06058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320A478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30F20FE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119D7B2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3A4664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56BD7A4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286B888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73</w:t>
            </w:r>
          </w:p>
        </w:tc>
        <w:tc>
          <w:tcPr>
            <w:tcW w:w="541" w:type="dxa"/>
            <w:tcBorders>
              <w:top w:val="nil"/>
              <w:left w:val="nil"/>
              <w:bottom w:val="single" w:color="000000" w:sz="4" w:space="0"/>
              <w:right w:val="single" w:color="000000" w:sz="4" w:space="0"/>
            </w:tcBorders>
            <w:shd w:val="clear" w:color="auto" w:fill="auto"/>
            <w:vAlign w:val="center"/>
          </w:tcPr>
          <w:p w14:paraId="5389931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EE1CC2">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AE8966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45F1AF3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1C8EC97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4B5EA1C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6636044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3B21679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5486833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5D7FD9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0CAC79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57E65B4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69B0C5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05F77BF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758D63F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1BFD12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2A1C1E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5D9B61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29CB2F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B407EB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08CCE8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0A727E6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05021D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6A3D186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1149D7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28C4C61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38F5161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3861F63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40636ED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1833DAF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4D2C228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4AB7565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7D3AEF9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6F88531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07CC6E4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541" w:type="dxa"/>
            <w:tcBorders>
              <w:top w:val="nil"/>
              <w:left w:val="nil"/>
              <w:bottom w:val="single" w:color="000000" w:sz="4" w:space="0"/>
              <w:right w:val="single" w:color="000000" w:sz="4" w:space="0"/>
            </w:tcBorders>
            <w:shd w:val="clear" w:color="auto" w:fill="auto"/>
            <w:vAlign w:val="center"/>
          </w:tcPr>
          <w:p w14:paraId="381991F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6804D6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2F59B16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7CEFFAA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4A61CBD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194CA41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6F5C51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48 </w:t>
            </w:r>
          </w:p>
        </w:tc>
        <w:tc>
          <w:tcPr>
            <w:tcW w:w="541" w:type="dxa"/>
            <w:tcBorders>
              <w:top w:val="nil"/>
              <w:left w:val="nil"/>
              <w:bottom w:val="single" w:color="000000" w:sz="4" w:space="0"/>
              <w:right w:val="single" w:color="000000" w:sz="4" w:space="0"/>
            </w:tcBorders>
            <w:shd w:val="clear" w:color="auto" w:fill="auto"/>
            <w:vAlign w:val="center"/>
          </w:tcPr>
          <w:p w14:paraId="6404462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7198369">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D0BA0F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5EFCE77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060595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39217F7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35E733D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2775 </w:t>
            </w:r>
          </w:p>
        </w:tc>
        <w:tc>
          <w:tcPr>
            <w:tcW w:w="541" w:type="dxa"/>
            <w:tcBorders>
              <w:top w:val="nil"/>
              <w:left w:val="nil"/>
              <w:bottom w:val="single" w:color="000000" w:sz="4" w:space="0"/>
              <w:right w:val="single" w:color="000000" w:sz="4" w:space="0"/>
            </w:tcBorders>
            <w:shd w:val="clear" w:color="auto" w:fill="auto"/>
            <w:vAlign w:val="center"/>
          </w:tcPr>
          <w:p w14:paraId="798A882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EBAC3A9">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CC6DDB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1359BFF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2CE341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3E75914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687BB45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2775 </w:t>
            </w:r>
          </w:p>
        </w:tc>
        <w:tc>
          <w:tcPr>
            <w:tcW w:w="541" w:type="dxa"/>
            <w:tcBorders>
              <w:top w:val="nil"/>
              <w:left w:val="nil"/>
              <w:bottom w:val="single" w:color="000000" w:sz="4" w:space="0"/>
              <w:right w:val="single" w:color="000000" w:sz="4" w:space="0"/>
            </w:tcBorders>
            <w:shd w:val="clear" w:color="auto" w:fill="auto"/>
            <w:vAlign w:val="center"/>
          </w:tcPr>
          <w:p w14:paraId="28C38D0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8FCFE9E">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607DDE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2D704EC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2588C43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5CB111E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C0A4E5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2400 </w:t>
            </w:r>
          </w:p>
        </w:tc>
        <w:tc>
          <w:tcPr>
            <w:tcW w:w="541" w:type="dxa"/>
            <w:tcBorders>
              <w:top w:val="nil"/>
              <w:left w:val="nil"/>
              <w:bottom w:val="single" w:color="000000" w:sz="4" w:space="0"/>
              <w:right w:val="single" w:color="000000" w:sz="4" w:space="0"/>
            </w:tcBorders>
            <w:shd w:val="clear" w:color="auto" w:fill="auto"/>
            <w:vAlign w:val="center"/>
          </w:tcPr>
          <w:p w14:paraId="75D4B4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A02120C">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8AC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5F92598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7E7BCED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578D859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1D89C502">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3C993">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（九）南城社区</w:t>
            </w:r>
          </w:p>
        </w:tc>
        <w:tc>
          <w:tcPr>
            <w:tcW w:w="541" w:type="dxa"/>
            <w:tcBorders>
              <w:top w:val="nil"/>
              <w:left w:val="nil"/>
              <w:bottom w:val="single" w:color="000000" w:sz="4" w:space="0"/>
              <w:right w:val="single" w:color="000000" w:sz="4" w:space="0"/>
            </w:tcBorders>
            <w:shd w:val="clear" w:color="auto" w:fill="auto"/>
            <w:vAlign w:val="center"/>
          </w:tcPr>
          <w:p w14:paraId="3CDDB4C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9374A84">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2EDDC2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5C51DA5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290CAA9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2F9AC6E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7B30462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01B568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21667C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5AC2EE6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51C4C24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31CAA5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40ADD35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11023C3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3D73BC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737CBE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3FFD4ED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2728757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757487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382878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25949B3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083CA4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6FF003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0B5359E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4E11F29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37D072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1229D16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79C0C63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178F98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56399A3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380C4CA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7C4329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1904239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326E668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291E02E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4D46658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tc>
        <w:tc>
          <w:tcPr>
            <w:tcW w:w="671" w:type="dxa"/>
            <w:tcBorders>
              <w:top w:val="nil"/>
              <w:left w:val="nil"/>
              <w:bottom w:val="single" w:color="000000" w:sz="4" w:space="0"/>
              <w:right w:val="single" w:color="000000" w:sz="4" w:space="0"/>
            </w:tcBorders>
            <w:shd w:val="clear" w:color="auto" w:fill="auto"/>
            <w:vAlign w:val="center"/>
          </w:tcPr>
          <w:p w14:paraId="35BFB2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34675B8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104</w:t>
            </w:r>
          </w:p>
        </w:tc>
        <w:tc>
          <w:tcPr>
            <w:tcW w:w="541" w:type="dxa"/>
            <w:tcBorders>
              <w:top w:val="nil"/>
              <w:left w:val="nil"/>
              <w:bottom w:val="single" w:color="000000" w:sz="4" w:space="0"/>
              <w:right w:val="single" w:color="000000" w:sz="4" w:space="0"/>
            </w:tcBorders>
            <w:shd w:val="clear" w:color="auto" w:fill="auto"/>
            <w:vAlign w:val="center"/>
          </w:tcPr>
          <w:p w14:paraId="23EAD1B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47D9733">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8D9739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4F9CA5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6B3F7A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2799A78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2075D4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69DD3A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57EAE27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7D7527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222D49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726C5F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2755C5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1EF8E09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271DE9C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631B433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313B8BB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6BACA18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590EED8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2BE856F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0A95D8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1FF8FA3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1A866B9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18CDBFF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1D9F88C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604CC1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19DE3D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53A909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0FEEE1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05129B9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1F6B89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4EB50A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50FB56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13E4322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10F94EC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42 </w:t>
            </w:r>
          </w:p>
        </w:tc>
        <w:tc>
          <w:tcPr>
            <w:tcW w:w="541" w:type="dxa"/>
            <w:tcBorders>
              <w:top w:val="nil"/>
              <w:left w:val="nil"/>
              <w:bottom w:val="single" w:color="000000" w:sz="4" w:space="0"/>
              <w:right w:val="single" w:color="000000" w:sz="4" w:space="0"/>
            </w:tcBorders>
            <w:shd w:val="clear" w:color="auto" w:fill="auto"/>
            <w:vAlign w:val="center"/>
          </w:tcPr>
          <w:p w14:paraId="605AFB0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9FED442">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BD8850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624E13C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横臂L1（1m）</w:t>
            </w:r>
          </w:p>
        </w:tc>
        <w:tc>
          <w:tcPr>
            <w:tcW w:w="5522" w:type="dxa"/>
            <w:tcBorders>
              <w:top w:val="nil"/>
              <w:left w:val="nil"/>
              <w:bottom w:val="single" w:color="000000" w:sz="4" w:space="0"/>
              <w:right w:val="single" w:color="000000" w:sz="4" w:space="0"/>
            </w:tcBorders>
            <w:shd w:val="clear" w:color="auto" w:fill="auto"/>
            <w:vAlign w:val="center"/>
          </w:tcPr>
          <w:p w14:paraId="69D7D22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1.名称：横臂L1</w:t>
            </w:r>
            <w:r>
              <w:rPr>
                <w:rFonts w:hint="eastAsia" w:ascii="宋体" w:hAnsi="宋体" w:cs="宋体"/>
                <w:kern w:val="0"/>
                <w:sz w:val="20"/>
                <w:szCs w:val="20"/>
              </w:rPr>
              <w:br w:type="textWrapping"/>
            </w:r>
            <w:r>
              <w:rPr>
                <w:rFonts w:hint="eastAsia" w:ascii="宋体" w:hAnsi="宋体" w:cs="宋体"/>
                <w:kern w:val="0"/>
                <w:sz w:val="20"/>
                <w:szCs w:val="20"/>
              </w:rPr>
              <w:t>2.规格：1m</w:t>
            </w:r>
          </w:p>
        </w:tc>
        <w:tc>
          <w:tcPr>
            <w:tcW w:w="671" w:type="dxa"/>
            <w:tcBorders>
              <w:top w:val="nil"/>
              <w:left w:val="nil"/>
              <w:bottom w:val="single" w:color="000000" w:sz="4" w:space="0"/>
              <w:right w:val="single" w:color="000000" w:sz="4" w:space="0"/>
            </w:tcBorders>
            <w:shd w:val="clear" w:color="auto" w:fill="auto"/>
            <w:vAlign w:val="center"/>
          </w:tcPr>
          <w:p w14:paraId="4F0DC7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39925B5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5F0ACFA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08D0E92">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589B51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017CAB5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横臂L2（2m）</w:t>
            </w:r>
          </w:p>
        </w:tc>
        <w:tc>
          <w:tcPr>
            <w:tcW w:w="5522" w:type="dxa"/>
            <w:tcBorders>
              <w:top w:val="nil"/>
              <w:left w:val="nil"/>
              <w:bottom w:val="single" w:color="000000" w:sz="4" w:space="0"/>
              <w:right w:val="single" w:color="000000" w:sz="4" w:space="0"/>
            </w:tcBorders>
            <w:shd w:val="clear" w:color="auto" w:fill="auto"/>
            <w:vAlign w:val="center"/>
          </w:tcPr>
          <w:p w14:paraId="76B917B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1.名称：横臂L2</w:t>
            </w:r>
            <w:r>
              <w:rPr>
                <w:rFonts w:hint="eastAsia" w:ascii="宋体" w:hAnsi="宋体" w:cs="宋体"/>
                <w:kern w:val="0"/>
                <w:sz w:val="20"/>
                <w:szCs w:val="20"/>
              </w:rPr>
              <w:br w:type="textWrapping"/>
            </w:r>
            <w:r>
              <w:rPr>
                <w:rFonts w:hint="eastAsia" w:ascii="宋体" w:hAnsi="宋体" w:cs="宋体"/>
                <w:kern w:val="0"/>
                <w:sz w:val="20"/>
                <w:szCs w:val="20"/>
              </w:rPr>
              <w:t>2.规格：2m</w:t>
            </w:r>
          </w:p>
        </w:tc>
        <w:tc>
          <w:tcPr>
            <w:tcW w:w="671" w:type="dxa"/>
            <w:tcBorders>
              <w:top w:val="nil"/>
              <w:left w:val="nil"/>
              <w:bottom w:val="single" w:color="000000" w:sz="4" w:space="0"/>
              <w:right w:val="single" w:color="000000" w:sz="4" w:space="0"/>
            </w:tcBorders>
            <w:shd w:val="clear" w:color="auto" w:fill="auto"/>
            <w:vAlign w:val="center"/>
          </w:tcPr>
          <w:p w14:paraId="3C4BE5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2D427FB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7CEC01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88130BD">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805733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2CA9DF6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机柜</w:t>
            </w:r>
          </w:p>
        </w:tc>
        <w:tc>
          <w:tcPr>
            <w:tcW w:w="5522" w:type="dxa"/>
            <w:tcBorders>
              <w:top w:val="nil"/>
              <w:left w:val="nil"/>
              <w:bottom w:val="single" w:color="000000" w:sz="4" w:space="0"/>
              <w:right w:val="single" w:color="000000" w:sz="4" w:space="0"/>
            </w:tcBorders>
            <w:shd w:val="clear" w:color="auto" w:fill="auto"/>
            <w:vAlign w:val="center"/>
          </w:tcPr>
          <w:p w14:paraId="2CDA943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0D0D902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05428B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109 </w:t>
            </w:r>
          </w:p>
        </w:tc>
        <w:tc>
          <w:tcPr>
            <w:tcW w:w="541" w:type="dxa"/>
            <w:tcBorders>
              <w:top w:val="nil"/>
              <w:left w:val="nil"/>
              <w:bottom w:val="single" w:color="000000" w:sz="4" w:space="0"/>
              <w:right w:val="single" w:color="000000" w:sz="4" w:space="0"/>
            </w:tcBorders>
            <w:shd w:val="clear" w:color="auto" w:fill="auto"/>
            <w:vAlign w:val="center"/>
          </w:tcPr>
          <w:p w14:paraId="5973212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D4E22E7">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4FC64D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48D34F0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72E6411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79E76B0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18355F1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7AA1D6B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30D7823">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2A4499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3360013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1BB009B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11725E9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73B2816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2430 </w:t>
            </w:r>
          </w:p>
        </w:tc>
        <w:tc>
          <w:tcPr>
            <w:tcW w:w="541" w:type="dxa"/>
            <w:tcBorders>
              <w:top w:val="nil"/>
              <w:left w:val="nil"/>
              <w:bottom w:val="single" w:color="000000" w:sz="4" w:space="0"/>
              <w:right w:val="single" w:color="000000" w:sz="4" w:space="0"/>
            </w:tcBorders>
            <w:shd w:val="clear" w:color="auto" w:fill="auto"/>
            <w:vAlign w:val="center"/>
          </w:tcPr>
          <w:p w14:paraId="5EF0242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8D0174E">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9FD759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16" w:type="dxa"/>
            <w:tcBorders>
              <w:top w:val="nil"/>
              <w:left w:val="nil"/>
              <w:bottom w:val="single" w:color="000000" w:sz="4" w:space="0"/>
              <w:right w:val="single" w:color="000000" w:sz="4" w:space="0"/>
            </w:tcBorders>
            <w:shd w:val="clear" w:color="auto" w:fill="auto"/>
            <w:vAlign w:val="center"/>
          </w:tcPr>
          <w:p w14:paraId="744D504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2E85399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6B11A07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72B3CDA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2430 </w:t>
            </w:r>
          </w:p>
        </w:tc>
        <w:tc>
          <w:tcPr>
            <w:tcW w:w="541" w:type="dxa"/>
            <w:tcBorders>
              <w:top w:val="nil"/>
              <w:left w:val="nil"/>
              <w:bottom w:val="single" w:color="000000" w:sz="4" w:space="0"/>
              <w:right w:val="single" w:color="000000" w:sz="4" w:space="0"/>
            </w:tcBorders>
            <w:shd w:val="clear" w:color="auto" w:fill="auto"/>
            <w:vAlign w:val="center"/>
          </w:tcPr>
          <w:p w14:paraId="57D0407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3CC5304">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00E27A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16" w:type="dxa"/>
            <w:tcBorders>
              <w:top w:val="nil"/>
              <w:left w:val="nil"/>
              <w:bottom w:val="single" w:color="000000" w:sz="4" w:space="0"/>
              <w:right w:val="single" w:color="000000" w:sz="4" w:space="0"/>
            </w:tcBorders>
            <w:shd w:val="clear" w:color="auto" w:fill="auto"/>
            <w:vAlign w:val="center"/>
          </w:tcPr>
          <w:p w14:paraId="764706C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2A19F1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327E40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1BCEA2E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5330 </w:t>
            </w:r>
          </w:p>
        </w:tc>
        <w:tc>
          <w:tcPr>
            <w:tcW w:w="541" w:type="dxa"/>
            <w:tcBorders>
              <w:top w:val="nil"/>
              <w:left w:val="nil"/>
              <w:bottom w:val="single" w:color="000000" w:sz="4" w:space="0"/>
              <w:right w:val="single" w:color="000000" w:sz="4" w:space="0"/>
            </w:tcBorders>
            <w:shd w:val="clear" w:color="auto" w:fill="auto"/>
            <w:vAlign w:val="center"/>
          </w:tcPr>
          <w:p w14:paraId="7E904AB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DFFFA3F">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9A8FE">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12DE404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70C27B4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5C2F732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4E05A1C">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5FC5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（十）乡镇</w:t>
            </w:r>
          </w:p>
        </w:tc>
        <w:tc>
          <w:tcPr>
            <w:tcW w:w="541" w:type="dxa"/>
            <w:tcBorders>
              <w:top w:val="nil"/>
              <w:left w:val="nil"/>
              <w:bottom w:val="single" w:color="000000" w:sz="4" w:space="0"/>
              <w:right w:val="single" w:color="000000" w:sz="4" w:space="0"/>
            </w:tcBorders>
            <w:shd w:val="clear" w:color="auto" w:fill="auto"/>
            <w:vAlign w:val="center"/>
          </w:tcPr>
          <w:p w14:paraId="7E2ECB0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6F3AAC0">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5D4F42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0E72692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结构化枪机</w:t>
            </w:r>
          </w:p>
        </w:tc>
        <w:tc>
          <w:tcPr>
            <w:tcW w:w="5522" w:type="dxa"/>
            <w:tcBorders>
              <w:top w:val="nil"/>
              <w:left w:val="nil"/>
              <w:bottom w:val="single" w:color="000000" w:sz="4" w:space="0"/>
              <w:right w:val="single" w:color="000000" w:sz="4" w:space="0"/>
            </w:tcBorders>
            <w:shd w:val="clear" w:color="auto" w:fill="auto"/>
            <w:vAlign w:val="center"/>
          </w:tcPr>
          <w:p w14:paraId="770549A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★像素不低于: 400 万;</w:t>
            </w:r>
          </w:p>
          <w:p w14:paraId="1DE8DB9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英寸CMOS;最大分辨率: 不低于2688 x 1520;</w:t>
            </w:r>
          </w:p>
          <w:p w14:paraId="6741C34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★最低照度≤0.0005lux(彩色模式);≤0.0001lux (黑白模式);</w:t>
            </w:r>
          </w:p>
          <w:p w14:paraId="54BA0DA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设备内置GPU 芯片、智能算法；</w:t>
            </w:r>
          </w:p>
          <w:p w14:paraId="0B3A203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 不少于80m(视频监控距离 ) 不少于28m (人脸检测距离);</w:t>
            </w:r>
          </w:p>
          <w:p w14:paraId="2DA9EF9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补光灯:LED 补光灯;</w:t>
            </w:r>
          </w:p>
          <w:p w14:paraId="17F310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镜头类型:电动变焦镜头;</w:t>
            </w:r>
          </w:p>
          <w:p w14:paraId="5E2E0CF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视频编解码格式：H.265/H.264/MJPEG</w:t>
            </w:r>
          </w:p>
          <w:p w14:paraId="41AF206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支持透雾、强光抑制、背光补偿、宽动态；</w:t>
            </w:r>
          </w:p>
          <w:p w14:paraId="3C1F9FB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 标准；</w:t>
            </w:r>
          </w:p>
          <w:p w14:paraId="38DAB73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通用行为分析:物品遗留;物品搬移;周界防范:绊线入侵;区域入侵;快速移动(三项均支持人车分</w:t>
            </w:r>
          </w:p>
          <w:p w14:paraId="031B1D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类及精准检测); 人员聚集，停车检测；</w:t>
            </w:r>
          </w:p>
          <w:p w14:paraId="03B05D8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人脸抓拍:支持;</w:t>
            </w:r>
          </w:p>
          <w:p w14:paraId="22723A3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w:t>
            </w:r>
          </w:p>
          <w:p w14:paraId="4F0365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★支持行人检测、车辆检测、行人加车辆检测三种检测抓拍模式；</w:t>
            </w:r>
          </w:p>
          <w:p w14:paraId="7888744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589FF6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1CFA6ED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在车辆检测模式下，支持车辆、车牌和车辆加车牌三种输出模式、支持输出非机动车；</w:t>
            </w:r>
          </w:p>
          <w:p w14:paraId="18A345A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★支持检测同时出现在画面中的100 个人脸目标；</w:t>
            </w:r>
          </w:p>
          <w:p w14:paraId="2FB77C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6B5ECB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w:t>
            </w:r>
          </w:p>
          <w:p w14:paraId="76CD2A6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态正清晰度高的人脸目标图片；</w:t>
            </w:r>
          </w:p>
          <w:p w14:paraId="416C2A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5FA0468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抓拍全景图支持选择是否叠加检测目标框</w:t>
            </w:r>
          </w:p>
          <w:p w14:paraId="7B0E7CF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支持对经过监控画面中的行人目标、非机动车目标、机动车目标进行（自上而下、自下而上）</w:t>
            </w:r>
          </w:p>
          <w:p w14:paraId="23BD62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双向通行的人员进行计数</w:t>
            </w:r>
          </w:p>
          <w:p w14:paraId="4268E9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支持检测骑自行车、骑电瓶车、骑摩托车、骑电动三轮车等行进状态的非机动车目标；</w:t>
            </w:r>
          </w:p>
          <w:p w14:paraId="24F05F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网络接口：RJ-45 网口不少于1 个；</w:t>
            </w:r>
          </w:p>
          <w:p w14:paraId="1037EFF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 不少于1 路；</w:t>
            </w:r>
          </w:p>
          <w:p w14:paraId="66495F1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790D0A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供电方式：DC12V；</w:t>
            </w:r>
          </w:p>
          <w:p w14:paraId="281F19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防护等级：不低于IP67。</w:t>
            </w:r>
          </w:p>
          <w:p w14:paraId="374DDB24">
            <w:pPr>
              <w:keepNext w:val="0"/>
              <w:keepLines w:val="0"/>
              <w:widowControl/>
              <w:suppressLineNumbers w:val="0"/>
              <w:spacing w:before="0" w:beforeAutospacing="0" w:after="0" w:afterAutospacing="0"/>
              <w:ind w:left="0" w:right="0"/>
              <w:jc w:val="left"/>
              <w:rPr>
                <w:rFonts w:ascii="宋体" w:hAnsi="宋体" w:cs="宋体"/>
                <w:kern w:val="0"/>
                <w:sz w:val="20"/>
                <w:szCs w:val="20"/>
              </w:rPr>
            </w:pPr>
          </w:p>
        </w:tc>
        <w:tc>
          <w:tcPr>
            <w:tcW w:w="671" w:type="dxa"/>
            <w:tcBorders>
              <w:top w:val="nil"/>
              <w:left w:val="nil"/>
              <w:bottom w:val="single" w:color="000000" w:sz="4" w:space="0"/>
              <w:right w:val="single" w:color="000000" w:sz="4" w:space="0"/>
            </w:tcBorders>
            <w:shd w:val="clear" w:color="auto" w:fill="auto"/>
            <w:vAlign w:val="center"/>
          </w:tcPr>
          <w:p w14:paraId="496C61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4F37B12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5</w:t>
            </w:r>
          </w:p>
        </w:tc>
        <w:tc>
          <w:tcPr>
            <w:tcW w:w="541" w:type="dxa"/>
            <w:tcBorders>
              <w:top w:val="nil"/>
              <w:left w:val="nil"/>
              <w:bottom w:val="single" w:color="000000" w:sz="4" w:space="0"/>
              <w:right w:val="single" w:color="000000" w:sz="4" w:space="0"/>
            </w:tcBorders>
            <w:shd w:val="clear" w:color="auto" w:fill="auto"/>
            <w:vAlign w:val="center"/>
          </w:tcPr>
          <w:p w14:paraId="52DD774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EF72C09">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CB7965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0AA1AB4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摄像机支架（立柱高5m，横臂1m）</w:t>
            </w:r>
          </w:p>
        </w:tc>
        <w:tc>
          <w:tcPr>
            <w:tcW w:w="5522" w:type="dxa"/>
            <w:tcBorders>
              <w:top w:val="nil"/>
              <w:left w:val="nil"/>
              <w:bottom w:val="single" w:color="000000" w:sz="4" w:space="0"/>
              <w:right w:val="single" w:color="000000" w:sz="4" w:space="0"/>
            </w:tcBorders>
            <w:shd w:val="clear" w:color="auto" w:fill="auto"/>
            <w:vAlign w:val="center"/>
          </w:tcPr>
          <w:p w14:paraId="3115A0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C7E079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0457869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7BA60BF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CD32A0B">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E6E729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68D329D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31A6D7D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7D4F03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3607A86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13F4F7B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81DC0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4EC511B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4CF9A27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机柜</w:t>
            </w:r>
          </w:p>
        </w:tc>
        <w:tc>
          <w:tcPr>
            <w:tcW w:w="5522" w:type="dxa"/>
            <w:tcBorders>
              <w:top w:val="nil"/>
              <w:left w:val="nil"/>
              <w:bottom w:val="single" w:color="000000" w:sz="4" w:space="0"/>
              <w:right w:val="single" w:color="000000" w:sz="4" w:space="0"/>
            </w:tcBorders>
            <w:shd w:val="clear" w:color="auto" w:fill="auto"/>
            <w:vAlign w:val="center"/>
          </w:tcPr>
          <w:p w14:paraId="5ADF54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不锈钢监控配电箱 、10A/2P 空气开关*1，防雷模块*1，5 位接地端子*1，3 位新国标 5 孔插座*2，DC12V/50W开关电源*1，含防雷接电红蓝、红绿电源线辅材</w:t>
            </w:r>
          </w:p>
        </w:tc>
        <w:tc>
          <w:tcPr>
            <w:tcW w:w="671" w:type="dxa"/>
            <w:tcBorders>
              <w:top w:val="nil"/>
              <w:left w:val="nil"/>
              <w:bottom w:val="single" w:color="000000" w:sz="4" w:space="0"/>
              <w:right w:val="single" w:color="000000" w:sz="4" w:space="0"/>
            </w:tcBorders>
            <w:shd w:val="clear" w:color="auto" w:fill="auto"/>
            <w:vAlign w:val="center"/>
          </w:tcPr>
          <w:p w14:paraId="5009D2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3BF63ED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541" w:type="dxa"/>
            <w:tcBorders>
              <w:top w:val="nil"/>
              <w:left w:val="nil"/>
              <w:bottom w:val="single" w:color="000000" w:sz="4" w:space="0"/>
              <w:right w:val="single" w:color="000000" w:sz="4" w:space="0"/>
            </w:tcBorders>
            <w:shd w:val="clear" w:color="auto" w:fill="auto"/>
            <w:vAlign w:val="center"/>
          </w:tcPr>
          <w:p w14:paraId="4AB9FE1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D402189">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66A01B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02E9A88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1EDC3EF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6C4CB1C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2C9388D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155 </w:t>
            </w:r>
          </w:p>
        </w:tc>
        <w:tc>
          <w:tcPr>
            <w:tcW w:w="541" w:type="dxa"/>
            <w:tcBorders>
              <w:top w:val="nil"/>
              <w:left w:val="nil"/>
              <w:bottom w:val="single" w:color="000000" w:sz="4" w:space="0"/>
              <w:right w:val="single" w:color="000000" w:sz="4" w:space="0"/>
            </w:tcBorders>
            <w:shd w:val="clear" w:color="auto" w:fill="auto"/>
            <w:vAlign w:val="center"/>
          </w:tcPr>
          <w:p w14:paraId="35FC8AA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32E0AED">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E5981B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69A9835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4436193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52109A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6F4810B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155 </w:t>
            </w:r>
          </w:p>
        </w:tc>
        <w:tc>
          <w:tcPr>
            <w:tcW w:w="541" w:type="dxa"/>
            <w:tcBorders>
              <w:top w:val="nil"/>
              <w:left w:val="nil"/>
              <w:bottom w:val="single" w:color="000000" w:sz="4" w:space="0"/>
              <w:right w:val="single" w:color="000000" w:sz="4" w:space="0"/>
            </w:tcBorders>
            <w:shd w:val="clear" w:color="auto" w:fill="auto"/>
            <w:vAlign w:val="center"/>
          </w:tcPr>
          <w:p w14:paraId="4ED6367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58FA85F">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D0D490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488DB6B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71146CE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77BAFE0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265ED2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170 </w:t>
            </w:r>
          </w:p>
        </w:tc>
        <w:tc>
          <w:tcPr>
            <w:tcW w:w="541" w:type="dxa"/>
            <w:tcBorders>
              <w:top w:val="nil"/>
              <w:left w:val="nil"/>
              <w:bottom w:val="single" w:color="000000" w:sz="4" w:space="0"/>
              <w:right w:val="single" w:color="000000" w:sz="4" w:space="0"/>
            </w:tcBorders>
            <w:shd w:val="clear" w:color="auto" w:fill="auto"/>
            <w:vAlign w:val="center"/>
          </w:tcPr>
          <w:p w14:paraId="78B058A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1D7528A">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6930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6992143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1E01DD76">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215C63E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4CF36FB">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65C7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（十一）</w:t>
            </w:r>
            <w:r>
              <w:rPr>
                <w:rFonts w:hint="eastAsia" w:ascii="宋体" w:hAnsi="宋体" w:cs="宋体"/>
                <w:kern w:val="0"/>
                <w:sz w:val="20"/>
                <w:szCs w:val="20"/>
              </w:rPr>
              <w:t xml:space="preserve"> </w:t>
            </w:r>
            <w:r>
              <w:rPr>
                <w:rFonts w:hint="eastAsia" w:ascii="宋体" w:hAnsi="宋体" w:cs="宋体"/>
                <w:b/>
                <w:bCs/>
                <w:kern w:val="0"/>
                <w:sz w:val="20"/>
                <w:szCs w:val="20"/>
              </w:rPr>
              <w:t>5G</w:t>
            </w:r>
            <w:r>
              <w:rPr>
                <w:rFonts w:hint="eastAsia" w:ascii="宋体" w:hAnsi="宋体" w:cs="宋体"/>
                <w:kern w:val="0"/>
                <w:sz w:val="20"/>
                <w:szCs w:val="20"/>
              </w:rPr>
              <w:t xml:space="preserve"> </w:t>
            </w:r>
            <w:r>
              <w:rPr>
                <w:rFonts w:hint="eastAsia" w:ascii="宋体" w:hAnsi="宋体" w:cs="宋体"/>
                <w:b/>
                <w:bCs/>
                <w:kern w:val="0"/>
                <w:sz w:val="20"/>
                <w:szCs w:val="20"/>
              </w:rPr>
              <w:t>视频图像移动/车载采集前端</w:t>
            </w:r>
          </w:p>
        </w:tc>
        <w:tc>
          <w:tcPr>
            <w:tcW w:w="541" w:type="dxa"/>
            <w:tcBorders>
              <w:top w:val="nil"/>
              <w:left w:val="nil"/>
              <w:bottom w:val="single" w:color="000000" w:sz="4" w:space="0"/>
              <w:right w:val="single" w:color="000000" w:sz="4" w:space="0"/>
            </w:tcBorders>
            <w:shd w:val="clear" w:color="auto" w:fill="auto"/>
            <w:vAlign w:val="center"/>
          </w:tcPr>
          <w:p w14:paraId="703DDD48">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8CCB138">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D36C39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18E0629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5G视频图像移动采集前端</w:t>
            </w:r>
          </w:p>
        </w:tc>
        <w:tc>
          <w:tcPr>
            <w:tcW w:w="5522" w:type="dxa"/>
            <w:tcBorders>
              <w:top w:val="nil"/>
              <w:left w:val="nil"/>
              <w:bottom w:val="single" w:color="000000" w:sz="4" w:space="0"/>
              <w:right w:val="single" w:color="000000" w:sz="4" w:space="0"/>
            </w:tcBorders>
            <w:shd w:val="clear" w:color="auto" w:fill="auto"/>
            <w:vAlign w:val="center"/>
          </w:tcPr>
          <w:p w14:paraId="4016304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★前置不低于800 万像素相机，后置不小于4800 万像素相机</w:t>
            </w:r>
          </w:p>
          <w:p w14:paraId="01D33F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★ARM 八核处理器，8GB RAM，256GB ROM</w:t>
            </w:r>
          </w:p>
          <w:p w14:paraId="1900960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★支持1080P 高清录像并支持高清网传；</w:t>
            </w:r>
          </w:p>
          <w:p w14:paraId="6F7344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5G 全网通</w:t>
            </w:r>
          </w:p>
          <w:p w14:paraId="4FF7018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支持WIFI6</w:t>
            </w:r>
          </w:p>
          <w:p w14:paraId="56AC00F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★内置高灵敏度卫星定位模块，支持单北斗定位；</w:t>
            </w:r>
          </w:p>
          <w:p w14:paraId="582B531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防水、防尘、防摔（IP68）,支持1.5 米防摔，适合全天候野外作业</w:t>
            </w:r>
          </w:p>
          <w:p w14:paraId="29D8A0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屏幕尺寸：6.3 英寸</w:t>
            </w:r>
          </w:p>
          <w:p w14:paraId="593A079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分辨率：1080x2340</w:t>
            </w:r>
          </w:p>
          <w:p w14:paraId="3ACE91C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前置：1080P、720P、480P</w:t>
            </w:r>
          </w:p>
          <w:p w14:paraId="2B4F14C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后置：1080P、720P、480P</w:t>
            </w:r>
          </w:p>
          <w:p w14:paraId="463C77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Wi-Fi：802.11a/b/g/n/ac/ax，支持2.4GHz/5.8GHz 双频,支持WIFI6</w:t>
            </w:r>
          </w:p>
          <w:p w14:paraId="53CDCED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定位：单北斗</w:t>
            </w:r>
          </w:p>
          <w:p w14:paraId="41F4F0C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蓝牙：5.1</w:t>
            </w:r>
          </w:p>
          <w:p w14:paraId="2F83493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NFC：支持</w:t>
            </w:r>
          </w:p>
          <w:p w14:paraId="5554BD4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CPU：8 核</w:t>
            </w:r>
          </w:p>
          <w:p w14:paraId="6E4BB8D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操作系统：国产</w:t>
            </w:r>
          </w:p>
          <w:p w14:paraId="2F72B64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闪光灯：支持</w:t>
            </w:r>
          </w:p>
          <w:p w14:paraId="276658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指示灯：三色状态灯</w:t>
            </w:r>
          </w:p>
          <w:p w14:paraId="2DAF86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指纹：支持</w:t>
            </w:r>
          </w:p>
          <w:p w14:paraId="4D10154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传感器：光线/距离传感器、G-Sensor、陀螺仪、地磁传感器</w:t>
            </w:r>
          </w:p>
          <w:p w14:paraId="5702C38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震动：支持</w:t>
            </w:r>
          </w:p>
          <w:p w14:paraId="579EE0E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防护等级：IP68</w:t>
            </w:r>
          </w:p>
        </w:tc>
        <w:tc>
          <w:tcPr>
            <w:tcW w:w="671" w:type="dxa"/>
            <w:tcBorders>
              <w:top w:val="nil"/>
              <w:left w:val="nil"/>
              <w:bottom w:val="single" w:color="000000" w:sz="4" w:space="0"/>
              <w:right w:val="single" w:color="000000" w:sz="4" w:space="0"/>
            </w:tcBorders>
            <w:shd w:val="clear" w:color="auto" w:fill="auto"/>
            <w:vAlign w:val="center"/>
          </w:tcPr>
          <w:p w14:paraId="7200E6E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6C92DC3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5B322A8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CC273A8">
        <w:tblPrEx>
          <w:tblCellMar>
            <w:top w:w="0" w:type="dxa"/>
            <w:left w:w="108" w:type="dxa"/>
            <w:bottom w:w="0" w:type="dxa"/>
            <w:right w:w="108" w:type="dxa"/>
          </w:tblCellMar>
        </w:tblPrEx>
        <w:trPr>
          <w:trHeight w:val="72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F945D8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03DC486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5G视频图像车载采集前端</w:t>
            </w:r>
          </w:p>
        </w:tc>
        <w:tc>
          <w:tcPr>
            <w:tcW w:w="5522" w:type="dxa"/>
            <w:tcBorders>
              <w:top w:val="nil"/>
              <w:left w:val="nil"/>
              <w:bottom w:val="single" w:color="000000" w:sz="4" w:space="0"/>
              <w:right w:val="single" w:color="000000" w:sz="4" w:space="0"/>
            </w:tcBorders>
            <w:shd w:val="clear" w:color="auto" w:fill="auto"/>
            <w:vAlign w:val="center"/>
          </w:tcPr>
          <w:p w14:paraId="667082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支持5G 网络（支持SA/NSA），同时向下兼容4G</w:t>
            </w:r>
          </w:p>
          <w:p w14:paraId="7CFD9DA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★400 万机芯：星光级36 倍光学变倍，焦距：6-216mm</w:t>
            </w:r>
          </w:p>
          <w:p w14:paraId="025612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★800 万定焦镜头：水平视角102°，焦距2.8mm</w:t>
            </w:r>
          </w:p>
          <w:p w14:paraId="7545510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自带2.4 寸全触控显示屏</w:t>
            </w:r>
          </w:p>
          <w:p w14:paraId="3BDA7FA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支持MIC、扬声器，可选配支持LINE IN\LINE OUT</w:t>
            </w:r>
          </w:p>
          <w:p w14:paraId="1EC3E9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底部配置高吸力磁铁，支持三脚架、车顶支架安装</w:t>
            </w:r>
          </w:p>
          <w:p w14:paraId="54DCCD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双TF 卡,可定制TF 卡加密,接入加密网关</w:t>
            </w:r>
          </w:p>
          <w:p w14:paraId="5A920BA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焦距：6~216mm</w:t>
            </w:r>
          </w:p>
          <w:p w14:paraId="787289C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★变倍：光学36 倍+数字12 倍</w:t>
            </w:r>
          </w:p>
          <w:p w14:paraId="3DF1279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日夜转换模式：ICR 红外滤片式</w:t>
            </w:r>
          </w:p>
          <w:p w14:paraId="2DB6A84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红外补光距离：100m 看清人体轮廓</w:t>
            </w:r>
          </w:p>
          <w:p w14:paraId="20A3E64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800 万定焦</w:t>
            </w:r>
          </w:p>
          <w:p w14:paraId="52E60A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最大分辨率：3840*2160</w:t>
            </w:r>
          </w:p>
          <w:p w14:paraId="67A5CF7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焦距：不小于2.8mm</w:t>
            </w:r>
          </w:p>
          <w:p w14:paraId="60F2E2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水平视角：102°</w:t>
            </w:r>
          </w:p>
          <w:p w14:paraId="47CB524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近摄距：不小于300mm</w:t>
            </w:r>
          </w:p>
          <w:p w14:paraId="246FC26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存储：支持双TF 卡,单卡最大512G</w:t>
            </w:r>
          </w:p>
          <w:p w14:paraId="190789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智能：车辆检测及抓拍、佩戴安全帽检测、岗位值守情况检测、区域入侵、前端目标抓拍及比</w:t>
            </w:r>
          </w:p>
          <w:p w14:paraId="53C0260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可存储30W 张目标名单（需配TF 卡）、100W 车牌名单(需配TF 卡)</w:t>
            </w:r>
          </w:p>
          <w:p w14:paraId="37B7DB6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3D 定位：支持</w:t>
            </w:r>
          </w:p>
          <w:p w14:paraId="6783548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无线:定位系统：北斗，支持校时</w:t>
            </w:r>
          </w:p>
          <w:p w14:paraId="22E5DCE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蓝牙：支持</w:t>
            </w:r>
          </w:p>
          <w:p w14:paraId="3436866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WIFI：支持2.4GHz/5GHz，802.11b/g/n/ac</w:t>
            </w:r>
          </w:p>
          <w:p w14:paraId="299681C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WIFI AP: 支持</w:t>
            </w:r>
          </w:p>
          <w:p w14:paraId="5BD5C6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拨号：单5G（支持SA/NSA），同时向下兼容4G</w:t>
            </w:r>
          </w:p>
          <w:p w14:paraId="14126CC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是否外置天线：无需</w:t>
            </w:r>
          </w:p>
          <w:p w14:paraId="6073C2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9 芯副航 空头(选配)：支持RS485、LINE IN/LINE OUT、5V 输出、报警输入输出</w:t>
            </w:r>
          </w:p>
          <w:p w14:paraId="71FCECD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电池：锂离子，容量不小于12000mAh，可拆卸</w:t>
            </w:r>
          </w:p>
          <w:p w14:paraId="397FDA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录像续航时间：室温20℃，仅录像的续航时间为9 小时</w:t>
            </w:r>
          </w:p>
          <w:p w14:paraId="76C1E28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关机充电时间：＜4 小时</w:t>
            </w:r>
          </w:p>
          <w:p w14:paraId="0F3CD0A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其他：安装方式：高吸力磁吸，支持三脚架、车顶支架安装</w:t>
            </w:r>
          </w:p>
          <w:p w14:paraId="2E16B8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把手：设备含抽拉式把手，携带方便</w:t>
            </w:r>
          </w:p>
          <w:p w14:paraId="3965040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防护等级：IP66</w:t>
            </w:r>
          </w:p>
        </w:tc>
        <w:tc>
          <w:tcPr>
            <w:tcW w:w="671" w:type="dxa"/>
            <w:tcBorders>
              <w:top w:val="nil"/>
              <w:left w:val="nil"/>
              <w:bottom w:val="single" w:color="000000" w:sz="4" w:space="0"/>
              <w:right w:val="single" w:color="000000" w:sz="4" w:space="0"/>
            </w:tcBorders>
            <w:shd w:val="clear" w:color="auto" w:fill="auto"/>
            <w:vAlign w:val="center"/>
          </w:tcPr>
          <w:p w14:paraId="4268A69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A4F002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541" w:type="dxa"/>
            <w:tcBorders>
              <w:top w:val="nil"/>
              <w:left w:val="nil"/>
              <w:bottom w:val="single" w:color="000000" w:sz="4" w:space="0"/>
              <w:right w:val="single" w:color="000000" w:sz="4" w:space="0"/>
            </w:tcBorders>
            <w:shd w:val="clear" w:color="auto" w:fill="auto"/>
            <w:vAlign w:val="center"/>
          </w:tcPr>
          <w:p w14:paraId="553B69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E05B511">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1B5B1F0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5AD1844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流量卡</w:t>
            </w:r>
          </w:p>
        </w:tc>
        <w:tc>
          <w:tcPr>
            <w:tcW w:w="5522" w:type="dxa"/>
            <w:tcBorders>
              <w:top w:val="nil"/>
              <w:left w:val="nil"/>
              <w:bottom w:val="single" w:color="000000" w:sz="4" w:space="0"/>
              <w:right w:val="single" w:color="000000" w:sz="4" w:space="0"/>
            </w:tcBorders>
            <w:shd w:val="clear" w:color="auto" w:fill="auto"/>
            <w:vAlign w:val="center"/>
          </w:tcPr>
          <w:p w14:paraId="6D16C6F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1.名称：流量卡</w:t>
            </w:r>
            <w:r>
              <w:rPr>
                <w:rFonts w:hint="eastAsia" w:ascii="宋体" w:hAnsi="宋体" w:cs="宋体"/>
                <w:kern w:val="0"/>
                <w:sz w:val="20"/>
                <w:szCs w:val="20"/>
              </w:rPr>
              <w:br w:type="textWrapping"/>
            </w:r>
            <w:r>
              <w:rPr>
                <w:rFonts w:hint="eastAsia" w:ascii="宋体" w:hAnsi="宋体" w:cs="宋体"/>
                <w:kern w:val="0"/>
                <w:sz w:val="20"/>
                <w:szCs w:val="20"/>
              </w:rPr>
              <w:t>2.规格：年流量≥500G</w:t>
            </w:r>
          </w:p>
        </w:tc>
        <w:tc>
          <w:tcPr>
            <w:tcW w:w="671" w:type="dxa"/>
            <w:tcBorders>
              <w:top w:val="nil"/>
              <w:left w:val="nil"/>
              <w:bottom w:val="single" w:color="000000" w:sz="4" w:space="0"/>
              <w:right w:val="single" w:color="000000" w:sz="4" w:space="0"/>
            </w:tcBorders>
            <w:shd w:val="clear" w:color="auto" w:fill="auto"/>
            <w:vAlign w:val="center"/>
          </w:tcPr>
          <w:p w14:paraId="6F57923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张</w:t>
            </w:r>
          </w:p>
        </w:tc>
        <w:tc>
          <w:tcPr>
            <w:tcW w:w="620" w:type="dxa"/>
            <w:tcBorders>
              <w:top w:val="nil"/>
              <w:left w:val="nil"/>
              <w:bottom w:val="single" w:color="000000" w:sz="4" w:space="0"/>
              <w:right w:val="single" w:color="000000" w:sz="4" w:space="0"/>
            </w:tcBorders>
            <w:shd w:val="clear" w:color="auto" w:fill="auto"/>
            <w:vAlign w:val="center"/>
          </w:tcPr>
          <w:p w14:paraId="6776901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541" w:type="dxa"/>
            <w:tcBorders>
              <w:top w:val="nil"/>
              <w:left w:val="nil"/>
              <w:bottom w:val="single" w:color="000000" w:sz="4" w:space="0"/>
              <w:right w:val="single" w:color="000000" w:sz="4" w:space="0"/>
            </w:tcBorders>
            <w:shd w:val="clear" w:color="auto" w:fill="auto"/>
            <w:vAlign w:val="center"/>
          </w:tcPr>
          <w:p w14:paraId="27887C2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615A09B">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31FC6">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2BBC97B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4A19378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595EDD99">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0FFA3E2E">
        <w:tblPrEx>
          <w:tblCellMar>
            <w:top w:w="0" w:type="dxa"/>
            <w:left w:w="108" w:type="dxa"/>
            <w:bottom w:w="0" w:type="dxa"/>
            <w:right w:w="108" w:type="dxa"/>
          </w:tblCellMar>
        </w:tblPrEx>
        <w:trPr>
          <w:trHeight w:val="285" w:hRule="atLeast"/>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0961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（十二）文保单位</w:t>
            </w:r>
          </w:p>
        </w:tc>
        <w:tc>
          <w:tcPr>
            <w:tcW w:w="541" w:type="dxa"/>
            <w:tcBorders>
              <w:top w:val="nil"/>
              <w:left w:val="nil"/>
              <w:bottom w:val="single" w:color="000000" w:sz="4" w:space="0"/>
              <w:right w:val="single" w:color="000000" w:sz="4" w:space="0"/>
            </w:tcBorders>
            <w:shd w:val="clear" w:color="auto" w:fill="auto"/>
            <w:vAlign w:val="center"/>
          </w:tcPr>
          <w:p w14:paraId="1569688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433DBE9">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37FE66A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16" w:type="dxa"/>
            <w:tcBorders>
              <w:top w:val="nil"/>
              <w:left w:val="nil"/>
              <w:bottom w:val="single" w:color="000000" w:sz="4" w:space="0"/>
              <w:right w:val="single" w:color="000000" w:sz="4" w:space="0"/>
            </w:tcBorders>
            <w:shd w:val="clear" w:color="auto" w:fill="auto"/>
            <w:vAlign w:val="center"/>
          </w:tcPr>
          <w:p w14:paraId="3663C7D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结构化球机</w:t>
            </w:r>
          </w:p>
        </w:tc>
        <w:tc>
          <w:tcPr>
            <w:tcW w:w="5522" w:type="dxa"/>
            <w:tcBorders>
              <w:top w:val="nil"/>
              <w:left w:val="nil"/>
              <w:bottom w:val="single" w:color="000000" w:sz="4" w:space="0"/>
              <w:right w:val="single" w:color="000000" w:sz="4" w:space="0"/>
            </w:tcBorders>
            <w:shd w:val="clear" w:color="auto" w:fill="auto"/>
            <w:vAlign w:val="center"/>
          </w:tcPr>
          <w:p w14:paraId="369115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★不低于400 万像素；</w:t>
            </w:r>
          </w:p>
          <w:p w14:paraId="74882DB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★最大分辨率：不低于2688×1520;</w:t>
            </w:r>
          </w:p>
          <w:p w14:paraId="7F9481A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视频帧率：不低于25 帧；</w:t>
            </w:r>
          </w:p>
          <w:p w14:paraId="4313FFC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视频编解码格式：支持H.265/H.264/MJPEG；</w:t>
            </w:r>
          </w:p>
          <w:p w14:paraId="6311691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传感器类型：1/1.8 英寸CMOS；</w:t>
            </w:r>
          </w:p>
          <w:p w14:paraId="15BEB17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6.5-143mm 电动变焦；</w:t>
            </w:r>
          </w:p>
          <w:p w14:paraId="3945AD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最低照度：0.0001lux；</w:t>
            </w:r>
          </w:p>
          <w:p w14:paraId="377875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宽动态范围：120dB；</w:t>
            </w:r>
          </w:p>
          <w:p w14:paraId="07EDC83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最大补光距离：不低于100m;具备红外补光功能；</w:t>
            </w:r>
          </w:p>
          <w:p w14:paraId="7B64B00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★光学变焦：不低于33 倍；</w:t>
            </w:r>
          </w:p>
          <w:p w14:paraId="5D263A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云台：支持360 度连续旋转；</w:t>
            </w:r>
          </w:p>
          <w:p w14:paraId="4ABAB2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支持GB/T 28181 视频联网标准；GA/T 1400 视图库标准、GB3514—2017A 级别标准；</w:t>
            </w:r>
          </w:p>
          <w:p w14:paraId="1F619D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★至少支持4 种智能模式切换：混行检测、人脸检测、深度周界、人脸比对等；</w:t>
            </w:r>
          </w:p>
          <w:p w14:paraId="5D00247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系统支持抓拍输出七种类型的图片，包含人脸局部图片、人像全身局部图片、场景全景图片、</w:t>
            </w:r>
          </w:p>
          <w:p w14:paraId="23227A3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压缩场景全景照片、车辆照片、车牌照片、车辆加车牌照片；</w:t>
            </w:r>
          </w:p>
          <w:p w14:paraId="7F5965D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混行检测：支持机动车、非机动车、行人分类检测抓拍及属性提取；</w:t>
            </w:r>
          </w:p>
          <w:p w14:paraId="720F81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人脸检测：支持人脸、人体检测抓拍及属性提取，并实现人脸、人体关联；</w:t>
            </w:r>
          </w:p>
          <w:p w14:paraId="6C1780F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人脸抠图方式支持：头肩、上半身、肩膀以上等模式；</w:t>
            </w:r>
          </w:p>
          <w:p w14:paraId="6F7F0D1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支持优选输出正面向前的人脸目标图片、优选输出姿态正尺寸大的人脸目标图片、优选输出姿态正清晰度高的人脸目标图片；</w:t>
            </w:r>
          </w:p>
          <w:p w14:paraId="48210C7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支持每个行人目标行进过程中随意组合输出人脸特写图片、 人像全身特写图片、场景全景图片及压缩场景全景图；</w:t>
            </w:r>
          </w:p>
          <w:p w14:paraId="31A3A39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★支持前端人脸识别检测，可同时实现至少100 张人脸检测；</w:t>
            </w:r>
          </w:p>
          <w:p w14:paraId="336115D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深度周界：支持越界检测、进入区域、离开区域、区域入侵至少4 种布防模式，可对机、非、人分类检测布防；</w:t>
            </w:r>
          </w:p>
          <w:p w14:paraId="374C702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人脸比对：支持前端人脸识别比对，支持黑名单比对；</w:t>
            </w:r>
          </w:p>
          <w:p w14:paraId="42AE428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支持抓拍优选，自动筛选出抓拍质量最优的图片；</w:t>
            </w:r>
          </w:p>
          <w:p w14:paraId="5C965D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支持电子防抖、光学透雾；</w:t>
            </w:r>
          </w:p>
          <w:p w14:paraId="5A17852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音频输入：不少于1 路；</w:t>
            </w:r>
          </w:p>
          <w:p w14:paraId="098BD9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音频输出：不少于1 路；</w:t>
            </w:r>
          </w:p>
          <w:p w14:paraId="031641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网络接口：不少于1 个RJ-45 母头网口；</w:t>
            </w:r>
          </w:p>
          <w:p w14:paraId="02ABAB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防护等级：IP67。</w:t>
            </w:r>
          </w:p>
        </w:tc>
        <w:tc>
          <w:tcPr>
            <w:tcW w:w="671" w:type="dxa"/>
            <w:tcBorders>
              <w:top w:val="nil"/>
              <w:left w:val="nil"/>
              <w:bottom w:val="single" w:color="000000" w:sz="4" w:space="0"/>
              <w:right w:val="single" w:color="000000" w:sz="4" w:space="0"/>
            </w:tcBorders>
            <w:shd w:val="clear" w:color="auto" w:fill="auto"/>
            <w:vAlign w:val="center"/>
          </w:tcPr>
          <w:p w14:paraId="19F50C2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5429869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541" w:type="dxa"/>
            <w:tcBorders>
              <w:top w:val="nil"/>
              <w:left w:val="nil"/>
              <w:bottom w:val="single" w:color="000000" w:sz="4" w:space="0"/>
              <w:right w:val="single" w:color="000000" w:sz="4" w:space="0"/>
            </w:tcBorders>
            <w:shd w:val="clear" w:color="auto" w:fill="auto"/>
            <w:vAlign w:val="center"/>
          </w:tcPr>
          <w:p w14:paraId="24C6168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2480178">
        <w:tblPrEx>
          <w:tblCellMar>
            <w:top w:w="0" w:type="dxa"/>
            <w:left w:w="108" w:type="dxa"/>
            <w:bottom w:w="0" w:type="dxa"/>
            <w:right w:w="108" w:type="dxa"/>
          </w:tblCellMar>
        </w:tblPrEx>
        <w:trPr>
          <w:trHeight w:val="96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6E5FE13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16" w:type="dxa"/>
            <w:tcBorders>
              <w:top w:val="nil"/>
              <w:left w:val="nil"/>
              <w:bottom w:val="single" w:color="000000" w:sz="4" w:space="0"/>
              <w:right w:val="single" w:color="000000" w:sz="4" w:space="0"/>
            </w:tcBorders>
            <w:shd w:val="clear" w:color="auto" w:fill="auto"/>
            <w:vAlign w:val="center"/>
          </w:tcPr>
          <w:p w14:paraId="566CB9D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摄像机支架（立柱高5m，横臂1m）</w:t>
            </w:r>
          </w:p>
        </w:tc>
        <w:tc>
          <w:tcPr>
            <w:tcW w:w="5522" w:type="dxa"/>
            <w:tcBorders>
              <w:top w:val="nil"/>
              <w:left w:val="nil"/>
              <w:bottom w:val="single" w:color="000000" w:sz="4" w:space="0"/>
              <w:right w:val="single" w:color="000000" w:sz="4" w:space="0"/>
            </w:tcBorders>
            <w:shd w:val="clear" w:color="auto" w:fill="auto"/>
            <w:vAlign w:val="center"/>
          </w:tcPr>
          <w:p w14:paraId="18F799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5155FA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20" w:type="dxa"/>
            <w:tcBorders>
              <w:top w:val="nil"/>
              <w:left w:val="nil"/>
              <w:bottom w:val="single" w:color="000000" w:sz="4" w:space="0"/>
              <w:right w:val="single" w:color="000000" w:sz="4" w:space="0"/>
            </w:tcBorders>
            <w:shd w:val="clear" w:color="auto" w:fill="auto"/>
            <w:vAlign w:val="center"/>
          </w:tcPr>
          <w:p w14:paraId="158C56B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541" w:type="dxa"/>
            <w:tcBorders>
              <w:top w:val="nil"/>
              <w:left w:val="nil"/>
              <w:bottom w:val="single" w:color="000000" w:sz="4" w:space="0"/>
              <w:right w:val="single" w:color="000000" w:sz="4" w:space="0"/>
            </w:tcBorders>
            <w:shd w:val="clear" w:color="auto" w:fill="auto"/>
            <w:vAlign w:val="center"/>
          </w:tcPr>
          <w:p w14:paraId="120C617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6191836">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5A7B13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16" w:type="dxa"/>
            <w:tcBorders>
              <w:top w:val="nil"/>
              <w:left w:val="nil"/>
              <w:bottom w:val="single" w:color="000000" w:sz="4" w:space="0"/>
              <w:right w:val="single" w:color="000000" w:sz="4" w:space="0"/>
            </w:tcBorders>
            <w:shd w:val="clear" w:color="auto" w:fill="auto"/>
            <w:vAlign w:val="center"/>
          </w:tcPr>
          <w:p w14:paraId="0947AFE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独立基础</w:t>
            </w:r>
          </w:p>
        </w:tc>
        <w:tc>
          <w:tcPr>
            <w:tcW w:w="5522" w:type="dxa"/>
            <w:tcBorders>
              <w:top w:val="nil"/>
              <w:left w:val="nil"/>
              <w:bottom w:val="single" w:color="000000" w:sz="4" w:space="0"/>
              <w:right w:val="single" w:color="000000" w:sz="4" w:space="0"/>
            </w:tcBorders>
            <w:shd w:val="clear" w:color="auto" w:fill="auto"/>
            <w:vAlign w:val="center"/>
          </w:tcPr>
          <w:p w14:paraId="6AF6173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1D86551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座</w:t>
            </w:r>
          </w:p>
        </w:tc>
        <w:tc>
          <w:tcPr>
            <w:tcW w:w="620" w:type="dxa"/>
            <w:tcBorders>
              <w:top w:val="nil"/>
              <w:left w:val="nil"/>
              <w:bottom w:val="single" w:color="000000" w:sz="4" w:space="0"/>
              <w:right w:val="single" w:color="000000" w:sz="4" w:space="0"/>
            </w:tcBorders>
            <w:shd w:val="clear" w:color="auto" w:fill="auto"/>
            <w:vAlign w:val="center"/>
          </w:tcPr>
          <w:p w14:paraId="64A367F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541" w:type="dxa"/>
            <w:tcBorders>
              <w:top w:val="nil"/>
              <w:left w:val="nil"/>
              <w:bottom w:val="single" w:color="000000" w:sz="4" w:space="0"/>
              <w:right w:val="single" w:color="000000" w:sz="4" w:space="0"/>
            </w:tcBorders>
            <w:shd w:val="clear" w:color="auto" w:fill="auto"/>
            <w:vAlign w:val="center"/>
          </w:tcPr>
          <w:p w14:paraId="5B369CB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310E888">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31ED4C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16" w:type="dxa"/>
            <w:tcBorders>
              <w:top w:val="nil"/>
              <w:left w:val="nil"/>
              <w:bottom w:val="single" w:color="000000" w:sz="4" w:space="0"/>
              <w:right w:val="single" w:color="000000" w:sz="4" w:space="0"/>
            </w:tcBorders>
            <w:shd w:val="clear" w:color="auto" w:fill="auto"/>
            <w:vAlign w:val="center"/>
          </w:tcPr>
          <w:p w14:paraId="05BA277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抱杆机柜</w:t>
            </w:r>
          </w:p>
        </w:tc>
        <w:tc>
          <w:tcPr>
            <w:tcW w:w="5522" w:type="dxa"/>
            <w:tcBorders>
              <w:top w:val="nil"/>
              <w:left w:val="nil"/>
              <w:bottom w:val="single" w:color="000000" w:sz="4" w:space="0"/>
              <w:right w:val="single" w:color="000000" w:sz="4" w:space="0"/>
            </w:tcBorders>
            <w:shd w:val="clear" w:color="auto" w:fill="auto"/>
            <w:vAlign w:val="center"/>
          </w:tcPr>
          <w:p w14:paraId="2303786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71" w:type="dxa"/>
            <w:tcBorders>
              <w:top w:val="nil"/>
              <w:left w:val="nil"/>
              <w:bottom w:val="single" w:color="000000" w:sz="4" w:space="0"/>
              <w:right w:val="single" w:color="000000" w:sz="4" w:space="0"/>
            </w:tcBorders>
            <w:shd w:val="clear" w:color="auto" w:fill="auto"/>
            <w:vAlign w:val="center"/>
          </w:tcPr>
          <w:p w14:paraId="646AAC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620" w:type="dxa"/>
            <w:tcBorders>
              <w:top w:val="nil"/>
              <w:left w:val="nil"/>
              <w:bottom w:val="single" w:color="000000" w:sz="4" w:space="0"/>
              <w:right w:val="single" w:color="000000" w:sz="4" w:space="0"/>
            </w:tcBorders>
            <w:shd w:val="clear" w:color="auto" w:fill="auto"/>
            <w:vAlign w:val="center"/>
          </w:tcPr>
          <w:p w14:paraId="7C125B9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541" w:type="dxa"/>
            <w:tcBorders>
              <w:top w:val="nil"/>
              <w:left w:val="nil"/>
              <w:bottom w:val="single" w:color="000000" w:sz="4" w:space="0"/>
              <w:right w:val="single" w:color="000000" w:sz="4" w:space="0"/>
            </w:tcBorders>
            <w:shd w:val="clear" w:color="auto" w:fill="auto"/>
            <w:vAlign w:val="center"/>
          </w:tcPr>
          <w:p w14:paraId="27F144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EA92945">
        <w:tblPrEx>
          <w:tblCellMar>
            <w:top w:w="0" w:type="dxa"/>
            <w:left w:w="108" w:type="dxa"/>
            <w:bottom w:w="0" w:type="dxa"/>
            <w:right w:w="108" w:type="dxa"/>
          </w:tblCellMar>
        </w:tblPrEx>
        <w:trPr>
          <w:trHeight w:val="285"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5FE89E5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16" w:type="dxa"/>
            <w:tcBorders>
              <w:top w:val="nil"/>
              <w:left w:val="nil"/>
              <w:bottom w:val="single" w:color="000000" w:sz="4" w:space="0"/>
              <w:right w:val="single" w:color="000000" w:sz="4" w:space="0"/>
            </w:tcBorders>
            <w:shd w:val="clear" w:color="auto" w:fill="auto"/>
            <w:vAlign w:val="center"/>
          </w:tcPr>
          <w:p w14:paraId="5C8358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超五类网线</w:t>
            </w:r>
          </w:p>
        </w:tc>
        <w:tc>
          <w:tcPr>
            <w:tcW w:w="5522" w:type="dxa"/>
            <w:tcBorders>
              <w:top w:val="nil"/>
              <w:left w:val="nil"/>
              <w:bottom w:val="single" w:color="000000" w:sz="4" w:space="0"/>
              <w:right w:val="single" w:color="000000" w:sz="4" w:space="0"/>
            </w:tcBorders>
            <w:shd w:val="clear" w:color="auto" w:fill="auto"/>
            <w:vAlign w:val="center"/>
          </w:tcPr>
          <w:p w14:paraId="1018ABD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1.名称：超五类网线</w:t>
            </w:r>
          </w:p>
        </w:tc>
        <w:tc>
          <w:tcPr>
            <w:tcW w:w="671" w:type="dxa"/>
            <w:tcBorders>
              <w:top w:val="nil"/>
              <w:left w:val="nil"/>
              <w:bottom w:val="single" w:color="000000" w:sz="4" w:space="0"/>
              <w:right w:val="single" w:color="000000" w:sz="4" w:space="0"/>
            </w:tcBorders>
            <w:shd w:val="clear" w:color="auto" w:fill="auto"/>
            <w:vAlign w:val="center"/>
          </w:tcPr>
          <w:p w14:paraId="1D7FA6E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42D5F6A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300 </w:t>
            </w:r>
          </w:p>
        </w:tc>
        <w:tc>
          <w:tcPr>
            <w:tcW w:w="541" w:type="dxa"/>
            <w:tcBorders>
              <w:top w:val="nil"/>
              <w:left w:val="nil"/>
              <w:bottom w:val="single" w:color="000000" w:sz="4" w:space="0"/>
              <w:right w:val="single" w:color="000000" w:sz="4" w:space="0"/>
            </w:tcBorders>
            <w:shd w:val="clear" w:color="auto" w:fill="auto"/>
            <w:vAlign w:val="center"/>
          </w:tcPr>
          <w:p w14:paraId="1A2F7F3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BA733E0">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03155EE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16" w:type="dxa"/>
            <w:tcBorders>
              <w:top w:val="nil"/>
              <w:left w:val="nil"/>
              <w:bottom w:val="single" w:color="000000" w:sz="4" w:space="0"/>
              <w:right w:val="single" w:color="000000" w:sz="4" w:space="0"/>
            </w:tcBorders>
            <w:shd w:val="clear" w:color="auto" w:fill="auto"/>
            <w:vAlign w:val="center"/>
          </w:tcPr>
          <w:p w14:paraId="6D7A28F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RVV2*1.5</w:t>
            </w:r>
            <w:r>
              <w:rPr>
                <w:rFonts w:hint="eastAsia" w:ascii="宋体" w:hAnsi="宋体" w:cs="宋体"/>
                <w:kern w:val="0"/>
                <w:sz w:val="20"/>
                <w:szCs w:val="20"/>
              </w:rPr>
              <w:br w:type="textWrapping"/>
            </w:r>
            <w:r>
              <w:rPr>
                <w:rFonts w:hint="eastAsia" w:ascii="宋体" w:hAnsi="宋体" w:cs="宋体"/>
                <w:kern w:val="0"/>
                <w:sz w:val="20"/>
                <w:szCs w:val="20"/>
              </w:rPr>
              <w:t>mm²</w:t>
            </w:r>
          </w:p>
        </w:tc>
        <w:tc>
          <w:tcPr>
            <w:tcW w:w="5522" w:type="dxa"/>
            <w:tcBorders>
              <w:top w:val="nil"/>
              <w:left w:val="nil"/>
              <w:bottom w:val="single" w:color="000000" w:sz="4" w:space="0"/>
              <w:right w:val="single" w:color="000000" w:sz="4" w:space="0"/>
            </w:tcBorders>
            <w:shd w:val="clear" w:color="auto" w:fill="auto"/>
            <w:vAlign w:val="center"/>
          </w:tcPr>
          <w:p w14:paraId="29C1F7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1.名称:电源线</w:t>
            </w:r>
            <w:r>
              <w:rPr>
                <w:rFonts w:hint="eastAsia" w:ascii="宋体" w:hAnsi="宋体" w:cs="宋体"/>
                <w:kern w:val="0"/>
                <w:sz w:val="20"/>
                <w:szCs w:val="20"/>
              </w:rPr>
              <w:br w:type="textWrapping"/>
            </w:r>
            <w:r>
              <w:rPr>
                <w:rFonts w:hint="eastAsia" w:ascii="宋体" w:hAnsi="宋体" w:cs="宋体"/>
                <w:kern w:val="0"/>
                <w:sz w:val="20"/>
                <w:szCs w:val="20"/>
              </w:rPr>
              <w:t>2.型号:RVV-2*1.5mm²</w:t>
            </w:r>
          </w:p>
        </w:tc>
        <w:tc>
          <w:tcPr>
            <w:tcW w:w="671" w:type="dxa"/>
            <w:tcBorders>
              <w:top w:val="nil"/>
              <w:left w:val="nil"/>
              <w:bottom w:val="single" w:color="000000" w:sz="4" w:space="0"/>
              <w:right w:val="single" w:color="000000" w:sz="4" w:space="0"/>
            </w:tcBorders>
            <w:shd w:val="clear" w:color="auto" w:fill="auto"/>
            <w:vAlign w:val="center"/>
          </w:tcPr>
          <w:p w14:paraId="1C52C59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095F83C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160 </w:t>
            </w:r>
          </w:p>
        </w:tc>
        <w:tc>
          <w:tcPr>
            <w:tcW w:w="541" w:type="dxa"/>
            <w:tcBorders>
              <w:top w:val="nil"/>
              <w:left w:val="nil"/>
              <w:bottom w:val="single" w:color="000000" w:sz="4" w:space="0"/>
              <w:right w:val="single" w:color="000000" w:sz="4" w:space="0"/>
            </w:tcBorders>
            <w:shd w:val="clear" w:color="auto" w:fill="auto"/>
            <w:vAlign w:val="center"/>
          </w:tcPr>
          <w:p w14:paraId="0C25C50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6EC585F">
        <w:tblPrEx>
          <w:tblCellMar>
            <w:top w:w="0" w:type="dxa"/>
            <w:left w:w="108" w:type="dxa"/>
            <w:bottom w:w="0" w:type="dxa"/>
            <w:right w:w="108" w:type="dxa"/>
          </w:tblCellMar>
        </w:tblPrEx>
        <w:trPr>
          <w:trHeight w:val="480" w:hRule="atLeast"/>
        </w:trPr>
        <w:tc>
          <w:tcPr>
            <w:tcW w:w="545" w:type="dxa"/>
            <w:tcBorders>
              <w:top w:val="nil"/>
              <w:left w:val="single" w:color="000000" w:sz="4" w:space="0"/>
              <w:bottom w:val="single" w:color="000000" w:sz="4" w:space="0"/>
              <w:right w:val="single" w:color="000000" w:sz="4" w:space="0"/>
            </w:tcBorders>
            <w:shd w:val="clear" w:color="auto" w:fill="auto"/>
            <w:vAlign w:val="center"/>
          </w:tcPr>
          <w:p w14:paraId="7E56D1D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16" w:type="dxa"/>
            <w:tcBorders>
              <w:top w:val="nil"/>
              <w:left w:val="nil"/>
              <w:bottom w:val="single" w:color="000000" w:sz="4" w:space="0"/>
              <w:right w:val="single" w:color="000000" w:sz="4" w:space="0"/>
            </w:tcBorders>
            <w:shd w:val="clear" w:color="auto" w:fill="auto"/>
            <w:vAlign w:val="center"/>
          </w:tcPr>
          <w:p w14:paraId="09F95F7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YJV2*4mm²</w:t>
            </w:r>
          </w:p>
        </w:tc>
        <w:tc>
          <w:tcPr>
            <w:tcW w:w="5522" w:type="dxa"/>
            <w:tcBorders>
              <w:top w:val="nil"/>
              <w:left w:val="nil"/>
              <w:bottom w:val="single" w:color="000000" w:sz="4" w:space="0"/>
              <w:right w:val="single" w:color="000000" w:sz="4" w:space="0"/>
            </w:tcBorders>
            <w:shd w:val="clear" w:color="auto" w:fill="auto"/>
            <w:vAlign w:val="center"/>
          </w:tcPr>
          <w:p w14:paraId="791EDA2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1.名称：动力电缆</w:t>
            </w:r>
            <w:r>
              <w:rPr>
                <w:rFonts w:hint="eastAsia" w:ascii="宋体" w:hAnsi="宋体" w:cs="宋体"/>
                <w:kern w:val="0"/>
                <w:sz w:val="20"/>
                <w:szCs w:val="20"/>
              </w:rPr>
              <w:br w:type="textWrapping"/>
            </w:r>
            <w:r>
              <w:rPr>
                <w:rFonts w:hint="eastAsia" w:ascii="宋体" w:hAnsi="宋体" w:cs="宋体"/>
                <w:kern w:val="0"/>
                <w:sz w:val="20"/>
                <w:szCs w:val="20"/>
              </w:rPr>
              <w:t>2.型号：YJV-2*4mm²</w:t>
            </w:r>
          </w:p>
        </w:tc>
        <w:tc>
          <w:tcPr>
            <w:tcW w:w="671" w:type="dxa"/>
            <w:tcBorders>
              <w:top w:val="nil"/>
              <w:left w:val="nil"/>
              <w:bottom w:val="single" w:color="000000" w:sz="4" w:space="0"/>
              <w:right w:val="single" w:color="000000" w:sz="4" w:space="0"/>
            </w:tcBorders>
            <w:shd w:val="clear" w:color="auto" w:fill="auto"/>
            <w:vAlign w:val="center"/>
          </w:tcPr>
          <w:p w14:paraId="79987F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米</w:t>
            </w:r>
          </w:p>
        </w:tc>
        <w:tc>
          <w:tcPr>
            <w:tcW w:w="620" w:type="dxa"/>
            <w:tcBorders>
              <w:top w:val="nil"/>
              <w:left w:val="nil"/>
              <w:bottom w:val="single" w:color="000000" w:sz="4" w:space="0"/>
              <w:right w:val="single" w:color="000000" w:sz="4" w:space="0"/>
            </w:tcBorders>
            <w:shd w:val="clear" w:color="auto" w:fill="auto"/>
            <w:vAlign w:val="center"/>
          </w:tcPr>
          <w:p w14:paraId="126E9C9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400 </w:t>
            </w:r>
          </w:p>
        </w:tc>
        <w:tc>
          <w:tcPr>
            <w:tcW w:w="541" w:type="dxa"/>
            <w:tcBorders>
              <w:top w:val="nil"/>
              <w:left w:val="nil"/>
              <w:bottom w:val="single" w:color="000000" w:sz="4" w:space="0"/>
              <w:right w:val="single" w:color="000000" w:sz="4" w:space="0"/>
            </w:tcBorders>
            <w:shd w:val="clear" w:color="auto" w:fill="auto"/>
            <w:vAlign w:val="center"/>
          </w:tcPr>
          <w:p w14:paraId="39B60EC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B91D03B">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9816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71" w:type="dxa"/>
            <w:tcBorders>
              <w:top w:val="nil"/>
              <w:left w:val="nil"/>
              <w:bottom w:val="single" w:color="000000" w:sz="4" w:space="0"/>
              <w:right w:val="single" w:color="000000" w:sz="4" w:space="0"/>
            </w:tcBorders>
            <w:shd w:val="clear" w:color="auto" w:fill="auto"/>
            <w:vAlign w:val="center"/>
          </w:tcPr>
          <w:p w14:paraId="5581500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7E5DF731">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24208613">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50636B2E">
        <w:tblPrEx>
          <w:tblCellMar>
            <w:top w:w="0" w:type="dxa"/>
            <w:left w:w="108" w:type="dxa"/>
            <w:bottom w:w="0" w:type="dxa"/>
            <w:right w:w="108" w:type="dxa"/>
          </w:tblCellMar>
        </w:tblPrEx>
        <w:trPr>
          <w:trHeight w:val="285" w:hRule="atLeast"/>
        </w:trPr>
        <w:tc>
          <w:tcPr>
            <w:tcW w:w="7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0BEA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671" w:type="dxa"/>
            <w:tcBorders>
              <w:top w:val="nil"/>
              <w:left w:val="nil"/>
              <w:bottom w:val="single" w:color="000000" w:sz="4" w:space="0"/>
              <w:right w:val="single" w:color="000000" w:sz="4" w:space="0"/>
            </w:tcBorders>
            <w:shd w:val="clear" w:color="auto" w:fill="auto"/>
            <w:vAlign w:val="center"/>
          </w:tcPr>
          <w:p w14:paraId="68A371D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20" w:type="dxa"/>
            <w:tcBorders>
              <w:top w:val="nil"/>
              <w:left w:val="nil"/>
              <w:bottom w:val="single" w:color="000000" w:sz="4" w:space="0"/>
              <w:right w:val="single" w:color="000000" w:sz="4" w:space="0"/>
            </w:tcBorders>
            <w:shd w:val="clear" w:color="auto" w:fill="auto"/>
            <w:vAlign w:val="center"/>
          </w:tcPr>
          <w:p w14:paraId="179115D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541" w:type="dxa"/>
            <w:tcBorders>
              <w:top w:val="nil"/>
              <w:left w:val="nil"/>
              <w:bottom w:val="single" w:color="000000" w:sz="4" w:space="0"/>
              <w:right w:val="single" w:color="000000" w:sz="4" w:space="0"/>
            </w:tcBorders>
            <w:shd w:val="clear" w:color="auto" w:fill="auto"/>
            <w:vAlign w:val="center"/>
          </w:tcPr>
          <w:p w14:paraId="51446F7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4DFFFA02">
      <w:pPr>
        <w:rPr>
          <w:rFonts w:ascii="宋体" w:hAnsi="宋体" w:cs="宋体"/>
        </w:rPr>
        <w:sectPr>
          <w:footerReference r:id="rId7" w:type="default"/>
          <w:pgSz w:w="11906" w:h="16838"/>
          <w:pgMar w:top="1418" w:right="1701" w:bottom="1418" w:left="1871" w:header="851" w:footer="992" w:gutter="0"/>
          <w:cols w:space="720" w:num="1"/>
          <w:docGrid w:type="lines" w:linePitch="326" w:charSpace="0"/>
        </w:sectPr>
      </w:pPr>
      <w:bookmarkStart w:id="63" w:name="_Toc494492612"/>
    </w:p>
    <w:p w14:paraId="30E86B0A">
      <w:pPr>
        <w:rPr>
          <w:rFonts w:ascii="宋体" w:hAnsi="宋体" w:cs="宋体"/>
          <w:b/>
          <w:bCs/>
        </w:rPr>
      </w:pPr>
      <w:r>
        <w:rPr>
          <w:rFonts w:hint="eastAsia" w:ascii="宋体" w:hAnsi="宋体" w:cs="宋体"/>
          <w:b/>
          <w:bCs/>
        </w:rPr>
        <w:t>2、</w:t>
      </w:r>
      <w:bookmarkEnd w:id="63"/>
      <w:r>
        <w:rPr>
          <w:rFonts w:hint="eastAsia" w:ascii="宋体" w:hAnsi="宋体" w:cs="宋体"/>
          <w:b/>
          <w:bCs/>
        </w:rPr>
        <w:t>主机设备（根据所投产品填写）</w:t>
      </w:r>
    </w:p>
    <w:p w14:paraId="5DF3C15F">
      <w:pPr>
        <w:rPr>
          <w:rFonts w:ascii="宋体" w:hAnsi="宋体" w:cs="宋体"/>
          <w:b/>
          <w:bCs/>
        </w:rPr>
      </w:pPr>
    </w:p>
    <w:tbl>
      <w:tblPr>
        <w:tblStyle w:val="28"/>
        <w:tblW w:w="8130" w:type="dxa"/>
        <w:tblInd w:w="0" w:type="dxa"/>
        <w:tblLayout w:type="fixed"/>
        <w:tblCellMar>
          <w:top w:w="0" w:type="dxa"/>
          <w:left w:w="108" w:type="dxa"/>
          <w:bottom w:w="0" w:type="dxa"/>
          <w:right w:w="108" w:type="dxa"/>
        </w:tblCellMar>
      </w:tblPr>
      <w:tblGrid>
        <w:gridCol w:w="1053"/>
        <w:gridCol w:w="2344"/>
        <w:gridCol w:w="1913"/>
        <w:gridCol w:w="795"/>
        <w:gridCol w:w="1020"/>
        <w:gridCol w:w="1005"/>
      </w:tblGrid>
      <w:tr w14:paraId="26587AD0">
        <w:tblPrEx>
          <w:tblCellMar>
            <w:top w:w="0" w:type="dxa"/>
            <w:left w:w="108" w:type="dxa"/>
            <w:bottom w:w="0" w:type="dxa"/>
            <w:right w:w="108" w:type="dxa"/>
          </w:tblCellMar>
        </w:tblPrEx>
        <w:trPr>
          <w:trHeight w:val="5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EBF5">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序号</w:t>
            </w:r>
          </w:p>
        </w:tc>
        <w:tc>
          <w:tcPr>
            <w:tcW w:w="2344" w:type="dxa"/>
            <w:tcBorders>
              <w:top w:val="single" w:color="000000" w:sz="4" w:space="0"/>
              <w:left w:val="nil"/>
              <w:bottom w:val="single" w:color="000000" w:sz="4" w:space="0"/>
              <w:right w:val="single" w:color="000000" w:sz="4" w:space="0"/>
            </w:tcBorders>
            <w:shd w:val="clear" w:color="auto" w:fill="auto"/>
            <w:vAlign w:val="center"/>
          </w:tcPr>
          <w:p w14:paraId="37B338F7">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名称</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D4C29C9">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项目特征描述</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BB6F5D5">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单位</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3B59D56">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数量</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CFDFD3A">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备注</w:t>
            </w:r>
          </w:p>
        </w:tc>
      </w:tr>
      <w:tr w14:paraId="78AE58AA">
        <w:tblPrEx>
          <w:tblCellMar>
            <w:top w:w="0" w:type="dxa"/>
            <w:left w:w="108" w:type="dxa"/>
            <w:bottom w:w="0" w:type="dxa"/>
            <w:right w:w="108" w:type="dxa"/>
          </w:tblCellMar>
        </w:tblPrEx>
        <w:trPr>
          <w:trHeight w:val="540" w:hRule="atLeast"/>
        </w:trPr>
        <w:tc>
          <w:tcPr>
            <w:tcW w:w="1053" w:type="dxa"/>
            <w:tcBorders>
              <w:top w:val="nil"/>
              <w:left w:val="single" w:color="000000" w:sz="4" w:space="0"/>
              <w:bottom w:val="single" w:color="000000" w:sz="4" w:space="0"/>
              <w:right w:val="single" w:color="000000" w:sz="4" w:space="0"/>
            </w:tcBorders>
            <w:shd w:val="clear" w:color="auto" w:fill="auto"/>
            <w:vAlign w:val="center"/>
          </w:tcPr>
          <w:p w14:paraId="1631B9F7">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1 </w:t>
            </w:r>
          </w:p>
        </w:tc>
        <w:tc>
          <w:tcPr>
            <w:tcW w:w="2344" w:type="dxa"/>
            <w:tcBorders>
              <w:top w:val="nil"/>
              <w:left w:val="nil"/>
              <w:bottom w:val="single" w:color="000000" w:sz="4" w:space="0"/>
              <w:right w:val="single" w:color="000000" w:sz="4" w:space="0"/>
            </w:tcBorders>
            <w:shd w:val="clear" w:color="auto" w:fill="auto"/>
            <w:vAlign w:val="center"/>
          </w:tcPr>
          <w:p w14:paraId="4E9EF4EF">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图形计算服务器</w:t>
            </w:r>
          </w:p>
        </w:tc>
        <w:tc>
          <w:tcPr>
            <w:tcW w:w="1913" w:type="dxa"/>
            <w:tcBorders>
              <w:top w:val="nil"/>
              <w:left w:val="nil"/>
              <w:bottom w:val="single" w:color="000000" w:sz="4" w:space="0"/>
              <w:right w:val="single" w:color="000000" w:sz="4" w:space="0"/>
            </w:tcBorders>
            <w:shd w:val="clear" w:color="auto" w:fill="auto"/>
            <w:vAlign w:val="center"/>
          </w:tcPr>
          <w:p w14:paraId="373EADE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标准机架式服务器，2颗国产处理器；128GB内存（32G*4）；480GB SSD系统盘；每台1块960G SSD；12个硬盘插槽，每台2张AI算力卡，支持2.5寸/3.5寸SATA机械硬盘或SSD固态硬盘；不少于2个千兆以太网口， 可选配2个万兆以太网光口SFP+；1+1冗余备份电源</w:t>
            </w:r>
          </w:p>
        </w:tc>
        <w:tc>
          <w:tcPr>
            <w:tcW w:w="795" w:type="dxa"/>
            <w:tcBorders>
              <w:top w:val="nil"/>
              <w:left w:val="nil"/>
              <w:bottom w:val="single" w:color="000000" w:sz="4" w:space="0"/>
              <w:right w:val="single" w:color="000000" w:sz="4" w:space="0"/>
            </w:tcBorders>
            <w:shd w:val="clear" w:color="auto" w:fill="auto"/>
            <w:vAlign w:val="center"/>
          </w:tcPr>
          <w:p w14:paraId="321097A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1020" w:type="dxa"/>
            <w:tcBorders>
              <w:top w:val="nil"/>
              <w:left w:val="nil"/>
              <w:bottom w:val="single" w:color="000000" w:sz="4" w:space="0"/>
              <w:right w:val="single" w:color="000000" w:sz="4" w:space="0"/>
            </w:tcBorders>
            <w:shd w:val="clear" w:color="auto" w:fill="auto"/>
            <w:vAlign w:val="center"/>
          </w:tcPr>
          <w:p w14:paraId="7191B1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6</w:t>
            </w:r>
          </w:p>
        </w:tc>
        <w:tc>
          <w:tcPr>
            <w:tcW w:w="1005" w:type="dxa"/>
            <w:tcBorders>
              <w:top w:val="nil"/>
              <w:left w:val="nil"/>
              <w:bottom w:val="single" w:color="000000" w:sz="4" w:space="0"/>
              <w:right w:val="single" w:color="000000" w:sz="4" w:space="0"/>
            </w:tcBorders>
            <w:shd w:val="clear" w:color="auto" w:fill="auto"/>
            <w:vAlign w:val="center"/>
          </w:tcPr>
          <w:p w14:paraId="2EF73500">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6A250B31">
        <w:tblPrEx>
          <w:tblCellMar>
            <w:top w:w="0" w:type="dxa"/>
            <w:left w:w="108" w:type="dxa"/>
            <w:bottom w:w="0" w:type="dxa"/>
            <w:right w:w="108" w:type="dxa"/>
          </w:tblCellMar>
        </w:tblPrEx>
        <w:trPr>
          <w:trHeight w:val="285" w:hRule="atLeast"/>
        </w:trPr>
        <w:tc>
          <w:tcPr>
            <w:tcW w:w="5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69450">
            <w:pPr>
              <w:keepNext w:val="0"/>
              <w:keepLines w:val="0"/>
              <w:widowControl/>
              <w:suppressLineNumbers w:val="0"/>
              <w:spacing w:before="0" w:beforeAutospacing="0" w:after="0" w:afterAutospacing="0"/>
              <w:ind w:left="0" w:right="0"/>
              <w:jc w:val="center"/>
              <w:rPr>
                <w:rFonts w:ascii="宋体" w:hAnsi="宋体" w:cs="宋体"/>
                <w:b/>
                <w:bCs/>
                <w:kern w:val="0"/>
                <w:sz w:val="24"/>
              </w:rPr>
            </w:pPr>
            <w:r>
              <w:rPr>
                <w:rFonts w:hint="eastAsia" w:ascii="宋体" w:hAnsi="宋体" w:cs="宋体"/>
                <w:b/>
                <w:bCs/>
                <w:kern w:val="0"/>
                <w:sz w:val="24"/>
              </w:rPr>
              <w:t>合计</w:t>
            </w:r>
          </w:p>
        </w:tc>
        <w:tc>
          <w:tcPr>
            <w:tcW w:w="795" w:type="dxa"/>
            <w:tcBorders>
              <w:top w:val="nil"/>
              <w:left w:val="nil"/>
              <w:bottom w:val="single" w:color="000000" w:sz="4" w:space="0"/>
              <w:right w:val="single" w:color="000000" w:sz="4" w:space="0"/>
            </w:tcBorders>
            <w:shd w:val="clear" w:color="auto" w:fill="auto"/>
            <w:vAlign w:val="center"/>
          </w:tcPr>
          <w:p w14:paraId="6D2E1058">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c>
          <w:tcPr>
            <w:tcW w:w="1020" w:type="dxa"/>
            <w:tcBorders>
              <w:top w:val="nil"/>
              <w:left w:val="nil"/>
              <w:bottom w:val="single" w:color="000000" w:sz="4" w:space="0"/>
              <w:right w:val="single" w:color="000000" w:sz="4" w:space="0"/>
            </w:tcBorders>
            <w:shd w:val="clear" w:color="auto" w:fill="auto"/>
            <w:vAlign w:val="center"/>
          </w:tcPr>
          <w:p w14:paraId="7AA612D4">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c>
          <w:tcPr>
            <w:tcW w:w="1005" w:type="dxa"/>
            <w:tcBorders>
              <w:top w:val="nil"/>
              <w:left w:val="nil"/>
              <w:bottom w:val="single" w:color="000000" w:sz="4" w:space="0"/>
              <w:right w:val="single" w:color="000000" w:sz="4" w:space="0"/>
            </w:tcBorders>
            <w:shd w:val="clear" w:color="auto" w:fill="auto"/>
            <w:vAlign w:val="center"/>
          </w:tcPr>
          <w:p w14:paraId="25D6FD25">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r>
    </w:tbl>
    <w:p w14:paraId="7834487F">
      <w:pPr>
        <w:rPr>
          <w:rFonts w:ascii="宋体" w:hAnsi="宋体" w:cs="宋体"/>
          <w:b/>
          <w:bCs/>
        </w:rPr>
      </w:pPr>
    </w:p>
    <w:p w14:paraId="63541A13">
      <w:pPr>
        <w:rPr>
          <w:rFonts w:ascii="宋体" w:hAnsi="宋体" w:cs="宋体"/>
          <w:b/>
          <w:bCs/>
        </w:rPr>
      </w:pPr>
      <w:r>
        <w:rPr>
          <w:rFonts w:hint="eastAsia" w:ascii="宋体" w:hAnsi="宋体" w:cs="宋体"/>
        </w:rPr>
        <w:br w:type="page"/>
      </w:r>
      <w:bookmarkStart w:id="64" w:name="_Toc494492613"/>
      <w:r>
        <w:rPr>
          <w:rFonts w:hint="eastAsia" w:ascii="宋体" w:hAnsi="宋体" w:cs="宋体"/>
          <w:b/>
          <w:bCs/>
        </w:rPr>
        <w:t>3、</w:t>
      </w:r>
      <w:bookmarkEnd w:id="64"/>
      <w:r>
        <w:rPr>
          <w:rFonts w:hint="eastAsia" w:ascii="宋体" w:hAnsi="宋体" w:cs="宋体"/>
          <w:b/>
          <w:bCs/>
        </w:rPr>
        <w:t>网络传输设备（根据所投产品填写）</w:t>
      </w:r>
      <w:r>
        <w:rPr>
          <w:rFonts w:ascii="宋体" w:hAnsi="宋体" w:cs="宋体"/>
          <w:b/>
          <w:bCs/>
        </w:rPr>
        <w:tab/>
      </w:r>
    </w:p>
    <w:p w14:paraId="7DAF9120">
      <w:pPr>
        <w:rPr>
          <w:rFonts w:ascii="宋体" w:hAnsi="宋体" w:cs="宋体"/>
          <w:b/>
          <w:bCs/>
        </w:rPr>
      </w:pPr>
    </w:p>
    <w:tbl>
      <w:tblPr>
        <w:tblStyle w:val="28"/>
        <w:tblW w:w="8995" w:type="dxa"/>
        <w:tblInd w:w="0" w:type="dxa"/>
        <w:tblLayout w:type="autofit"/>
        <w:tblCellMar>
          <w:top w:w="0" w:type="dxa"/>
          <w:left w:w="108" w:type="dxa"/>
          <w:bottom w:w="0" w:type="dxa"/>
          <w:right w:w="108" w:type="dxa"/>
        </w:tblCellMar>
      </w:tblPr>
      <w:tblGrid>
        <w:gridCol w:w="562"/>
        <w:gridCol w:w="900"/>
        <w:gridCol w:w="4293"/>
        <w:gridCol w:w="1080"/>
        <w:gridCol w:w="1080"/>
        <w:gridCol w:w="1080"/>
      </w:tblGrid>
      <w:tr w14:paraId="3FFD68BF">
        <w:tblPrEx>
          <w:tblCellMar>
            <w:top w:w="0" w:type="dxa"/>
            <w:left w:w="108" w:type="dxa"/>
            <w:bottom w:w="0" w:type="dxa"/>
            <w:right w:w="108"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135">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6C5809F7">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4293" w:type="dxa"/>
            <w:tcBorders>
              <w:top w:val="single" w:color="000000" w:sz="4" w:space="0"/>
              <w:left w:val="nil"/>
              <w:bottom w:val="single" w:color="000000" w:sz="4" w:space="0"/>
              <w:right w:val="single" w:color="000000" w:sz="4" w:space="0"/>
            </w:tcBorders>
            <w:shd w:val="clear" w:color="auto" w:fill="auto"/>
            <w:vAlign w:val="center"/>
          </w:tcPr>
          <w:p w14:paraId="45D303D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53B1AE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2CFACC6">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3C7129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262386A3">
        <w:tblPrEx>
          <w:tblCellMar>
            <w:top w:w="0" w:type="dxa"/>
            <w:left w:w="108" w:type="dxa"/>
            <w:bottom w:w="0" w:type="dxa"/>
            <w:right w:w="108" w:type="dxa"/>
          </w:tblCellMar>
        </w:tblPrEx>
        <w:trPr>
          <w:trHeight w:val="285"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3F1DC9D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900" w:type="dxa"/>
            <w:tcBorders>
              <w:top w:val="nil"/>
              <w:left w:val="nil"/>
              <w:bottom w:val="single" w:color="000000" w:sz="4" w:space="0"/>
              <w:right w:val="single" w:color="000000" w:sz="4" w:space="0"/>
            </w:tcBorders>
            <w:shd w:val="clear" w:color="auto" w:fill="auto"/>
            <w:vAlign w:val="center"/>
          </w:tcPr>
          <w:p w14:paraId="4DAEEA6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核心交换机</w:t>
            </w:r>
          </w:p>
        </w:tc>
        <w:tc>
          <w:tcPr>
            <w:tcW w:w="4293" w:type="dxa"/>
            <w:tcBorders>
              <w:top w:val="nil"/>
              <w:left w:val="nil"/>
              <w:bottom w:val="single" w:color="000000" w:sz="4" w:space="0"/>
              <w:right w:val="single" w:color="000000" w:sz="4" w:space="0"/>
            </w:tcBorders>
            <w:shd w:val="clear" w:color="auto" w:fill="auto"/>
            <w:vAlign w:val="center"/>
          </w:tcPr>
          <w:p w14:paraId="61E6EB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设备CPU及交换芯片采用国产芯片；</w:t>
            </w:r>
          </w:p>
          <w:p w14:paraId="4C0B4EF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采用正交CLOS架构，支持独立的交换网板，主控板、业务板；</w:t>
            </w:r>
          </w:p>
          <w:p w14:paraId="45EFE7A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★业务插槽：整机业务槽位数量≥8个；交换网板插槽数量≥6个；</w:t>
            </w:r>
          </w:p>
          <w:p w14:paraId="4A81407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★设备性能：交换容量≥3441Tbps，转发性能≥460800Mpps；</w:t>
            </w:r>
          </w:p>
          <w:p w14:paraId="64DA6C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★配置要求：配置≥2个主控引擎，≥6个交换网板，≥4个电源模块，≥2个风扇，≥144个万兆光口，≥144个万兆电口（可向下兼容千兆电），≥6个100G光口，≥4个万兆光模块；</w:t>
            </w:r>
          </w:p>
          <w:p w14:paraId="1C4B48E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扩展能力：考虑用户网络未来5年扩展性及兼容性，无需更换主控及网板，即可支持扩展10G、40G、100G、400G全系列线卡；</w:t>
            </w:r>
          </w:p>
          <w:p w14:paraId="79C1D5F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为保障IPv6网络安全功能，检查ND及DHCPv6源地址，避免非法报文通过接入设备进入内部网络。要求设备支持SAVI源地址有效性验证；</w:t>
            </w:r>
          </w:p>
          <w:p w14:paraId="0D5B4A0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可靠性：10G/40G/100G端口时延均小于1.2us；</w:t>
            </w:r>
          </w:p>
          <w:p w14:paraId="395A544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支持DRNI或M-LAG 跨设备链路聚合及DRNI或M-LAG升级功能，保证业务不中断；</w:t>
            </w:r>
          </w:p>
          <w:p w14:paraId="3DD4EF7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支持VxLan功能，支持RIP、RIPng、OSPFv2、OSPFv3、BGP等路由协议；</w:t>
            </w:r>
          </w:p>
        </w:tc>
        <w:tc>
          <w:tcPr>
            <w:tcW w:w="1080" w:type="dxa"/>
            <w:tcBorders>
              <w:top w:val="nil"/>
              <w:left w:val="nil"/>
              <w:bottom w:val="single" w:color="000000" w:sz="4" w:space="0"/>
              <w:right w:val="single" w:color="000000" w:sz="4" w:space="0"/>
            </w:tcBorders>
            <w:shd w:val="clear" w:color="auto" w:fill="auto"/>
            <w:vAlign w:val="center"/>
          </w:tcPr>
          <w:p w14:paraId="32A8CBB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台</w:t>
            </w:r>
          </w:p>
        </w:tc>
        <w:tc>
          <w:tcPr>
            <w:tcW w:w="1080" w:type="dxa"/>
            <w:tcBorders>
              <w:top w:val="nil"/>
              <w:left w:val="nil"/>
              <w:bottom w:val="single" w:color="000000" w:sz="4" w:space="0"/>
              <w:right w:val="single" w:color="000000" w:sz="4" w:space="0"/>
            </w:tcBorders>
            <w:shd w:val="clear" w:color="auto" w:fill="auto"/>
            <w:vAlign w:val="center"/>
          </w:tcPr>
          <w:p w14:paraId="3B0582D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14:paraId="141AFC2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159418C">
        <w:tblPrEx>
          <w:tblCellMar>
            <w:top w:w="0" w:type="dxa"/>
            <w:left w:w="108" w:type="dxa"/>
            <w:bottom w:w="0" w:type="dxa"/>
            <w:right w:w="108" w:type="dxa"/>
          </w:tblCellMar>
        </w:tblPrEx>
        <w:trPr>
          <w:trHeight w:val="81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753395C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900" w:type="dxa"/>
            <w:tcBorders>
              <w:top w:val="nil"/>
              <w:left w:val="nil"/>
              <w:bottom w:val="single" w:color="000000" w:sz="4" w:space="0"/>
              <w:right w:val="single" w:color="000000" w:sz="4" w:space="0"/>
            </w:tcBorders>
            <w:shd w:val="clear" w:color="auto" w:fill="auto"/>
            <w:vAlign w:val="center"/>
          </w:tcPr>
          <w:p w14:paraId="0315965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千兆多模光模块</w:t>
            </w:r>
          </w:p>
        </w:tc>
        <w:tc>
          <w:tcPr>
            <w:tcW w:w="4293" w:type="dxa"/>
            <w:tcBorders>
              <w:top w:val="nil"/>
              <w:left w:val="nil"/>
              <w:bottom w:val="single" w:color="000000" w:sz="4" w:space="0"/>
              <w:right w:val="single" w:color="000000" w:sz="4" w:space="0"/>
            </w:tcBorders>
            <w:shd w:val="clear" w:color="auto" w:fill="auto"/>
            <w:vAlign w:val="center"/>
          </w:tcPr>
          <w:p w14:paraId="356243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光模块-SFP-GE-多模模块-(850nm,0.55km,LC)</w:t>
            </w:r>
          </w:p>
        </w:tc>
        <w:tc>
          <w:tcPr>
            <w:tcW w:w="1080" w:type="dxa"/>
            <w:tcBorders>
              <w:top w:val="nil"/>
              <w:left w:val="nil"/>
              <w:bottom w:val="single" w:color="000000" w:sz="4" w:space="0"/>
              <w:right w:val="single" w:color="000000" w:sz="4" w:space="0"/>
            </w:tcBorders>
            <w:shd w:val="clear" w:color="auto" w:fill="auto"/>
            <w:vAlign w:val="center"/>
          </w:tcPr>
          <w:p w14:paraId="70EAF8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1080" w:type="dxa"/>
            <w:tcBorders>
              <w:top w:val="nil"/>
              <w:left w:val="nil"/>
              <w:bottom w:val="single" w:color="000000" w:sz="4" w:space="0"/>
              <w:right w:val="single" w:color="000000" w:sz="4" w:space="0"/>
            </w:tcBorders>
            <w:shd w:val="clear" w:color="auto" w:fill="auto"/>
            <w:vAlign w:val="center"/>
          </w:tcPr>
          <w:p w14:paraId="2262C08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4" w:space="0"/>
              <w:right w:val="single" w:color="000000" w:sz="4" w:space="0"/>
            </w:tcBorders>
            <w:shd w:val="clear" w:color="auto" w:fill="auto"/>
            <w:vAlign w:val="center"/>
          </w:tcPr>
          <w:p w14:paraId="27E9895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FCC736B">
        <w:tblPrEx>
          <w:tblCellMar>
            <w:top w:w="0" w:type="dxa"/>
            <w:left w:w="108" w:type="dxa"/>
            <w:bottom w:w="0" w:type="dxa"/>
            <w:right w:w="108" w:type="dxa"/>
          </w:tblCellMar>
        </w:tblPrEx>
        <w:trPr>
          <w:trHeight w:val="81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08C69D4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900" w:type="dxa"/>
            <w:tcBorders>
              <w:top w:val="nil"/>
              <w:left w:val="nil"/>
              <w:bottom w:val="single" w:color="000000" w:sz="4" w:space="0"/>
              <w:right w:val="single" w:color="000000" w:sz="4" w:space="0"/>
            </w:tcBorders>
            <w:shd w:val="clear" w:color="auto" w:fill="auto"/>
            <w:vAlign w:val="center"/>
          </w:tcPr>
          <w:p w14:paraId="5F5BF10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千兆单模光模块</w:t>
            </w:r>
          </w:p>
        </w:tc>
        <w:tc>
          <w:tcPr>
            <w:tcW w:w="4293" w:type="dxa"/>
            <w:tcBorders>
              <w:top w:val="nil"/>
              <w:left w:val="nil"/>
              <w:bottom w:val="single" w:color="000000" w:sz="4" w:space="0"/>
              <w:right w:val="single" w:color="000000" w:sz="4" w:space="0"/>
            </w:tcBorders>
            <w:shd w:val="clear" w:color="auto" w:fill="auto"/>
            <w:vAlign w:val="center"/>
          </w:tcPr>
          <w:p w14:paraId="451BAAE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光模块-SFP-GE-单模模块-(1310nm,10km,LC)</w:t>
            </w:r>
          </w:p>
        </w:tc>
        <w:tc>
          <w:tcPr>
            <w:tcW w:w="1080" w:type="dxa"/>
            <w:tcBorders>
              <w:top w:val="nil"/>
              <w:left w:val="nil"/>
              <w:bottom w:val="single" w:color="000000" w:sz="4" w:space="0"/>
              <w:right w:val="single" w:color="000000" w:sz="4" w:space="0"/>
            </w:tcBorders>
            <w:shd w:val="clear" w:color="auto" w:fill="auto"/>
            <w:vAlign w:val="center"/>
          </w:tcPr>
          <w:p w14:paraId="4BFB0A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1080" w:type="dxa"/>
            <w:tcBorders>
              <w:top w:val="nil"/>
              <w:left w:val="nil"/>
              <w:bottom w:val="single" w:color="000000" w:sz="4" w:space="0"/>
              <w:right w:val="single" w:color="000000" w:sz="4" w:space="0"/>
            </w:tcBorders>
            <w:shd w:val="clear" w:color="auto" w:fill="auto"/>
            <w:vAlign w:val="center"/>
          </w:tcPr>
          <w:p w14:paraId="3DAB012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4" w:space="0"/>
              <w:right w:val="single" w:color="000000" w:sz="4" w:space="0"/>
            </w:tcBorders>
            <w:shd w:val="clear" w:color="auto" w:fill="auto"/>
            <w:vAlign w:val="center"/>
          </w:tcPr>
          <w:p w14:paraId="5AF7CB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B4C7E91">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4167E40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900" w:type="dxa"/>
            <w:tcBorders>
              <w:top w:val="nil"/>
              <w:left w:val="nil"/>
              <w:bottom w:val="single" w:color="000000" w:sz="4" w:space="0"/>
              <w:right w:val="single" w:color="000000" w:sz="4" w:space="0"/>
            </w:tcBorders>
            <w:shd w:val="clear" w:color="auto" w:fill="auto"/>
            <w:vAlign w:val="center"/>
          </w:tcPr>
          <w:p w14:paraId="3CE11EE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万兆多模光模块</w:t>
            </w:r>
          </w:p>
        </w:tc>
        <w:tc>
          <w:tcPr>
            <w:tcW w:w="4293" w:type="dxa"/>
            <w:tcBorders>
              <w:top w:val="nil"/>
              <w:left w:val="nil"/>
              <w:bottom w:val="single" w:color="000000" w:sz="4" w:space="0"/>
              <w:right w:val="single" w:color="000000" w:sz="4" w:space="0"/>
            </w:tcBorders>
            <w:shd w:val="clear" w:color="auto" w:fill="auto"/>
            <w:vAlign w:val="center"/>
          </w:tcPr>
          <w:p w14:paraId="51E23C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SFP+ 万兆模块(850nm,300m,LC)</w:t>
            </w:r>
          </w:p>
        </w:tc>
        <w:tc>
          <w:tcPr>
            <w:tcW w:w="1080" w:type="dxa"/>
            <w:tcBorders>
              <w:top w:val="nil"/>
              <w:left w:val="nil"/>
              <w:bottom w:val="single" w:color="000000" w:sz="4" w:space="0"/>
              <w:right w:val="single" w:color="000000" w:sz="4" w:space="0"/>
            </w:tcBorders>
            <w:shd w:val="clear" w:color="auto" w:fill="auto"/>
            <w:vAlign w:val="center"/>
          </w:tcPr>
          <w:p w14:paraId="07D244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1080" w:type="dxa"/>
            <w:tcBorders>
              <w:top w:val="nil"/>
              <w:left w:val="nil"/>
              <w:bottom w:val="single" w:color="000000" w:sz="4" w:space="0"/>
              <w:right w:val="single" w:color="000000" w:sz="4" w:space="0"/>
            </w:tcBorders>
            <w:shd w:val="clear" w:color="auto" w:fill="auto"/>
            <w:vAlign w:val="center"/>
          </w:tcPr>
          <w:p w14:paraId="63187B0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4" w:space="0"/>
              <w:right w:val="single" w:color="000000" w:sz="4" w:space="0"/>
            </w:tcBorders>
            <w:shd w:val="clear" w:color="auto" w:fill="auto"/>
            <w:vAlign w:val="center"/>
          </w:tcPr>
          <w:p w14:paraId="778AAD7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BD4BB90">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379E6B2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900" w:type="dxa"/>
            <w:tcBorders>
              <w:top w:val="nil"/>
              <w:left w:val="nil"/>
              <w:bottom w:val="single" w:color="000000" w:sz="4" w:space="0"/>
              <w:right w:val="single" w:color="000000" w:sz="4" w:space="0"/>
            </w:tcBorders>
            <w:shd w:val="clear" w:color="auto" w:fill="auto"/>
            <w:vAlign w:val="center"/>
          </w:tcPr>
          <w:p w14:paraId="47359AB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万兆单模光模块</w:t>
            </w:r>
          </w:p>
        </w:tc>
        <w:tc>
          <w:tcPr>
            <w:tcW w:w="4293" w:type="dxa"/>
            <w:tcBorders>
              <w:top w:val="nil"/>
              <w:left w:val="nil"/>
              <w:bottom w:val="single" w:color="000000" w:sz="4" w:space="0"/>
              <w:right w:val="single" w:color="000000" w:sz="4" w:space="0"/>
            </w:tcBorders>
            <w:shd w:val="clear" w:color="auto" w:fill="auto"/>
            <w:vAlign w:val="center"/>
          </w:tcPr>
          <w:p w14:paraId="1F40D2A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SFP+ 万兆模块(1310nm,10km,LC)</w:t>
            </w:r>
          </w:p>
        </w:tc>
        <w:tc>
          <w:tcPr>
            <w:tcW w:w="1080" w:type="dxa"/>
            <w:tcBorders>
              <w:top w:val="nil"/>
              <w:left w:val="nil"/>
              <w:bottom w:val="single" w:color="000000" w:sz="4" w:space="0"/>
              <w:right w:val="single" w:color="000000" w:sz="4" w:space="0"/>
            </w:tcBorders>
            <w:shd w:val="clear" w:color="auto" w:fill="auto"/>
            <w:vAlign w:val="center"/>
          </w:tcPr>
          <w:p w14:paraId="2684717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1080" w:type="dxa"/>
            <w:tcBorders>
              <w:top w:val="nil"/>
              <w:left w:val="nil"/>
              <w:bottom w:val="single" w:color="000000" w:sz="4" w:space="0"/>
              <w:right w:val="single" w:color="000000" w:sz="4" w:space="0"/>
            </w:tcBorders>
            <w:shd w:val="clear" w:color="auto" w:fill="auto"/>
            <w:vAlign w:val="center"/>
          </w:tcPr>
          <w:p w14:paraId="4789B10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4" w:space="0"/>
              <w:right w:val="single" w:color="000000" w:sz="4" w:space="0"/>
            </w:tcBorders>
            <w:shd w:val="clear" w:color="auto" w:fill="auto"/>
            <w:vAlign w:val="center"/>
          </w:tcPr>
          <w:p w14:paraId="0060C4C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020456B">
        <w:tblPrEx>
          <w:tblCellMar>
            <w:top w:w="0" w:type="dxa"/>
            <w:left w:w="108" w:type="dxa"/>
            <w:bottom w:w="0" w:type="dxa"/>
            <w:right w:w="108" w:type="dxa"/>
          </w:tblCellMar>
        </w:tblPrEx>
        <w:trPr>
          <w:trHeight w:val="285" w:hRule="atLeast"/>
        </w:trPr>
        <w:tc>
          <w:tcPr>
            <w:tcW w:w="5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C36D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1080" w:type="dxa"/>
            <w:tcBorders>
              <w:top w:val="nil"/>
              <w:left w:val="nil"/>
              <w:bottom w:val="single" w:color="000000" w:sz="4" w:space="0"/>
              <w:right w:val="single" w:color="000000" w:sz="4" w:space="0"/>
            </w:tcBorders>
            <w:shd w:val="clear" w:color="auto" w:fill="auto"/>
            <w:vAlign w:val="center"/>
          </w:tcPr>
          <w:p w14:paraId="3D34996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5D510165">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35B293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617247BD">
      <w:pPr>
        <w:rPr>
          <w:rFonts w:ascii="宋体" w:hAnsi="宋体" w:cs="宋体"/>
          <w:b/>
          <w:bCs/>
        </w:rPr>
      </w:pPr>
    </w:p>
    <w:p w14:paraId="11470C5B">
      <w:pPr>
        <w:rPr>
          <w:rFonts w:ascii="宋体" w:hAnsi="宋体" w:cs="宋体"/>
        </w:rPr>
      </w:pPr>
    </w:p>
    <w:p w14:paraId="4352FC10">
      <w:pPr>
        <w:rPr>
          <w:rFonts w:ascii="宋体" w:hAnsi="宋体" w:cs="宋体"/>
        </w:rPr>
      </w:pPr>
    </w:p>
    <w:p w14:paraId="36F08943">
      <w:pPr>
        <w:rPr>
          <w:rFonts w:ascii="宋体" w:hAnsi="宋体" w:cs="宋体"/>
          <w:b/>
          <w:bCs/>
        </w:rPr>
      </w:pPr>
      <w:bookmarkStart w:id="65" w:name="_Toc494492614"/>
      <w:r>
        <w:rPr>
          <w:rFonts w:hint="eastAsia" w:ascii="宋体" w:hAnsi="宋体" w:cs="宋体"/>
          <w:b/>
          <w:bCs/>
        </w:rPr>
        <w:t>4、</w:t>
      </w:r>
      <w:bookmarkEnd w:id="65"/>
      <w:r>
        <w:rPr>
          <w:rFonts w:hint="eastAsia" w:ascii="宋体" w:hAnsi="宋体" w:cs="宋体"/>
          <w:b/>
          <w:bCs/>
        </w:rPr>
        <w:t>存储和备份设备（根据所投产品填写）</w:t>
      </w:r>
    </w:p>
    <w:tbl>
      <w:tblPr>
        <w:tblStyle w:val="28"/>
        <w:tblpPr w:leftFromText="180" w:rightFromText="180" w:vertAnchor="text" w:horzAnchor="page" w:tblpXSpec="center" w:tblpY="7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4"/>
        <w:gridCol w:w="2592"/>
        <w:gridCol w:w="683"/>
        <w:gridCol w:w="850"/>
        <w:gridCol w:w="700"/>
      </w:tblGrid>
      <w:tr w14:paraId="0EA1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6" w:type="dxa"/>
            <w:vAlign w:val="center"/>
          </w:tcPr>
          <w:p w14:paraId="3E5F2D38">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序号</w:t>
            </w:r>
          </w:p>
        </w:tc>
        <w:tc>
          <w:tcPr>
            <w:tcW w:w="2134" w:type="dxa"/>
            <w:vAlign w:val="center"/>
          </w:tcPr>
          <w:p w14:paraId="062F74E8">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设备名称</w:t>
            </w:r>
          </w:p>
        </w:tc>
        <w:tc>
          <w:tcPr>
            <w:tcW w:w="2592" w:type="dxa"/>
            <w:vAlign w:val="center"/>
          </w:tcPr>
          <w:p w14:paraId="5858F674">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设备技术要求</w:t>
            </w:r>
          </w:p>
        </w:tc>
        <w:tc>
          <w:tcPr>
            <w:tcW w:w="683" w:type="dxa"/>
            <w:vAlign w:val="center"/>
          </w:tcPr>
          <w:p w14:paraId="227A6E97">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单位</w:t>
            </w:r>
          </w:p>
        </w:tc>
        <w:tc>
          <w:tcPr>
            <w:tcW w:w="850" w:type="dxa"/>
            <w:vAlign w:val="center"/>
          </w:tcPr>
          <w:p w14:paraId="59F35FA0">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数量</w:t>
            </w:r>
          </w:p>
        </w:tc>
        <w:tc>
          <w:tcPr>
            <w:tcW w:w="700" w:type="dxa"/>
            <w:vAlign w:val="center"/>
          </w:tcPr>
          <w:p w14:paraId="11A9E0F5">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备注</w:t>
            </w:r>
          </w:p>
        </w:tc>
      </w:tr>
      <w:tr w14:paraId="3B56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6" w:type="dxa"/>
            <w:vAlign w:val="center"/>
          </w:tcPr>
          <w:p w14:paraId="12FDB358">
            <w:pPr>
              <w:keepNext w:val="0"/>
              <w:keepLines w:val="0"/>
              <w:suppressLineNumbers w:val="0"/>
              <w:spacing w:before="0" w:beforeAutospacing="0" w:after="0" w:afterAutospacing="0"/>
              <w:ind w:left="0" w:right="0"/>
              <w:rPr>
                <w:rFonts w:ascii="宋体" w:hAnsi="宋体" w:cs="宋体"/>
                <w:sz w:val="20"/>
                <w:szCs w:val="20"/>
              </w:rPr>
            </w:pPr>
            <w:r>
              <w:rPr>
                <w:rFonts w:hint="eastAsia" w:ascii="宋体" w:hAnsi="宋体" w:cs="宋体"/>
                <w:sz w:val="20"/>
                <w:szCs w:val="20"/>
              </w:rPr>
              <w:t>1</w:t>
            </w:r>
          </w:p>
        </w:tc>
        <w:tc>
          <w:tcPr>
            <w:tcW w:w="2134" w:type="dxa"/>
            <w:vAlign w:val="center"/>
          </w:tcPr>
          <w:p w14:paraId="09D587D3">
            <w:pPr>
              <w:keepNext w:val="0"/>
              <w:keepLines w:val="0"/>
              <w:suppressLineNumbers w:val="0"/>
              <w:spacing w:before="0" w:beforeAutospacing="0" w:after="0" w:afterAutospacing="0"/>
              <w:ind w:left="0" w:right="0"/>
              <w:rPr>
                <w:rFonts w:ascii="宋体" w:hAnsi="宋体" w:cs="宋体"/>
                <w:sz w:val="20"/>
                <w:szCs w:val="20"/>
              </w:rPr>
            </w:pPr>
            <w:r>
              <w:rPr>
                <w:rFonts w:hint="eastAsia" w:ascii="宋体" w:hAnsi="宋体"/>
                <w:color w:val="000000"/>
                <w:kern w:val="0"/>
                <w:sz w:val="20"/>
                <w:szCs w:val="20"/>
              </w:rPr>
              <w:t>云存储设备</w:t>
            </w:r>
          </w:p>
        </w:tc>
        <w:tc>
          <w:tcPr>
            <w:tcW w:w="2592" w:type="dxa"/>
            <w:vAlign w:val="center"/>
          </w:tcPr>
          <w:p w14:paraId="3E430517">
            <w:pPr>
              <w:keepNext w:val="0"/>
              <w:keepLines w:val="0"/>
              <w:suppressLineNumbers w:val="0"/>
              <w:spacing w:before="0" w:beforeAutospacing="0" w:after="0" w:afterAutospacing="0"/>
              <w:ind w:left="0" w:right="0"/>
              <w:rPr>
                <w:rFonts w:ascii="宋体" w:hAnsi="宋体" w:cs="宋体"/>
                <w:sz w:val="20"/>
                <w:szCs w:val="20"/>
              </w:rPr>
            </w:pPr>
            <w:r>
              <w:rPr>
                <w:rFonts w:hint="eastAsia" w:ascii="宋体" w:hAnsi="宋体" w:cs="宋体"/>
                <w:sz w:val="20"/>
                <w:szCs w:val="20"/>
              </w:rPr>
              <w:t>36盘位万兆光口云存储；2颗多核高性能CPU处理器；128GB内存；2块240GB SSD系统盘；2*万兆SFP+光口，2个RJ45千兆以太网电口；支持36个硬盘插槽。1+1冗余电源；含36块8TB企业级硬盘，总容量288TB；分布式对象存储架构，支持纠删码存储，支持N+M冗余机制；支持流媒体直存服务；支持图片存储服务；支持web运维管理。</w:t>
            </w:r>
          </w:p>
        </w:tc>
        <w:tc>
          <w:tcPr>
            <w:tcW w:w="683" w:type="dxa"/>
            <w:vAlign w:val="center"/>
          </w:tcPr>
          <w:p w14:paraId="67308139">
            <w:pPr>
              <w:keepNext w:val="0"/>
              <w:keepLines w:val="0"/>
              <w:suppressLineNumbers w:val="0"/>
              <w:spacing w:before="0" w:beforeAutospacing="0" w:after="0" w:afterAutospacing="0"/>
              <w:ind w:left="0" w:right="0"/>
              <w:rPr>
                <w:rFonts w:ascii="宋体" w:hAnsi="宋体" w:cs="宋体"/>
                <w:sz w:val="20"/>
                <w:szCs w:val="20"/>
              </w:rPr>
            </w:pPr>
            <w:r>
              <w:rPr>
                <w:rFonts w:hint="eastAsia" w:ascii="宋体" w:hAnsi="宋体" w:cs="宋体"/>
                <w:sz w:val="20"/>
                <w:szCs w:val="20"/>
              </w:rPr>
              <w:t>台</w:t>
            </w:r>
          </w:p>
        </w:tc>
        <w:tc>
          <w:tcPr>
            <w:tcW w:w="850" w:type="dxa"/>
            <w:vAlign w:val="center"/>
          </w:tcPr>
          <w:p w14:paraId="0B03F2ED">
            <w:pPr>
              <w:keepNext w:val="0"/>
              <w:keepLines w:val="0"/>
              <w:suppressLineNumbers w:val="0"/>
              <w:spacing w:before="0" w:beforeAutospacing="0" w:after="0" w:afterAutospacing="0"/>
              <w:ind w:left="0" w:right="0"/>
              <w:rPr>
                <w:rFonts w:ascii="宋体" w:hAnsi="宋体" w:cs="宋体"/>
                <w:sz w:val="20"/>
                <w:szCs w:val="20"/>
              </w:rPr>
            </w:pPr>
            <w:r>
              <w:rPr>
                <w:rFonts w:ascii="宋体" w:hAnsi="宋体" w:cs="宋体"/>
                <w:sz w:val="20"/>
                <w:szCs w:val="20"/>
              </w:rPr>
              <w:t>8</w:t>
            </w:r>
          </w:p>
        </w:tc>
        <w:tc>
          <w:tcPr>
            <w:tcW w:w="700" w:type="dxa"/>
            <w:vAlign w:val="center"/>
          </w:tcPr>
          <w:p w14:paraId="435FE5DD">
            <w:pPr>
              <w:keepNext w:val="0"/>
              <w:keepLines w:val="0"/>
              <w:suppressLineNumbers w:val="0"/>
              <w:spacing w:before="0" w:beforeAutospacing="0" w:after="0" w:afterAutospacing="0"/>
              <w:ind w:left="0" w:right="0"/>
              <w:rPr>
                <w:rFonts w:ascii="宋体" w:hAnsi="宋体" w:cs="宋体"/>
                <w:sz w:val="20"/>
                <w:szCs w:val="20"/>
              </w:rPr>
            </w:pPr>
            <w:r>
              <w:rPr>
                <w:rFonts w:hint="eastAsia" w:ascii="宋体" w:hAnsi="宋体" w:cs="宋体"/>
                <w:sz w:val="20"/>
                <w:szCs w:val="20"/>
              </w:rPr>
              <w:t>存储总容量≥2304T</w:t>
            </w:r>
          </w:p>
        </w:tc>
      </w:tr>
    </w:tbl>
    <w:p w14:paraId="38B66064">
      <w:pPr>
        <w:rPr>
          <w:b/>
        </w:rPr>
      </w:pPr>
      <w:r>
        <w:rPr>
          <w:rFonts w:hint="eastAsia" w:ascii="宋体" w:hAnsi="宋体" w:cs="宋体"/>
        </w:rPr>
        <w:br w:type="page"/>
      </w:r>
      <w:bookmarkStart w:id="66" w:name="_Toc494492615"/>
      <w:r>
        <w:rPr>
          <w:rFonts w:hint="eastAsia" w:ascii="宋体" w:hAnsi="宋体" w:cs="宋体"/>
          <w:b/>
          <w:bCs/>
        </w:rPr>
        <w:t>5、</w:t>
      </w:r>
      <w:r>
        <w:rPr>
          <w:rFonts w:hint="eastAsia"/>
          <w:b/>
        </w:rPr>
        <w:t>网络安全系统配置设备（具备</w:t>
      </w:r>
      <w:r>
        <w:rPr>
          <w:b/>
        </w:rPr>
        <w:t>相应功能，</w:t>
      </w:r>
      <w:r>
        <w:rPr>
          <w:rFonts w:hint="eastAsia"/>
          <w:b/>
        </w:rPr>
        <w:t>根据所投</w:t>
      </w:r>
      <w:r>
        <w:rPr>
          <w:b/>
        </w:rPr>
        <w:t>产品填写</w:t>
      </w:r>
      <w:r>
        <w:rPr>
          <w:rFonts w:hint="eastAsia"/>
          <w:b/>
        </w:rPr>
        <w:t>）</w:t>
      </w:r>
    </w:p>
    <w:p w14:paraId="5184CA67">
      <w:pPr>
        <w:rPr>
          <w:b/>
        </w:rPr>
      </w:pPr>
    </w:p>
    <w:tbl>
      <w:tblPr>
        <w:tblStyle w:val="28"/>
        <w:tblW w:w="8926" w:type="dxa"/>
        <w:tblInd w:w="0" w:type="dxa"/>
        <w:tblLayout w:type="autofit"/>
        <w:tblCellMar>
          <w:top w:w="0" w:type="dxa"/>
          <w:left w:w="108" w:type="dxa"/>
          <w:bottom w:w="0" w:type="dxa"/>
          <w:right w:w="108" w:type="dxa"/>
        </w:tblCellMar>
      </w:tblPr>
      <w:tblGrid>
        <w:gridCol w:w="562"/>
        <w:gridCol w:w="900"/>
        <w:gridCol w:w="5337"/>
        <w:gridCol w:w="709"/>
        <w:gridCol w:w="709"/>
        <w:gridCol w:w="709"/>
      </w:tblGrid>
      <w:tr w14:paraId="24183799">
        <w:tblPrEx>
          <w:tblCellMar>
            <w:top w:w="0" w:type="dxa"/>
            <w:left w:w="108" w:type="dxa"/>
            <w:bottom w:w="0" w:type="dxa"/>
            <w:right w:w="108" w:type="dxa"/>
          </w:tblCellMar>
        </w:tblPrEx>
        <w:trPr>
          <w:trHeight w:val="57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173">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6E0FDEE0">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5337" w:type="dxa"/>
            <w:tcBorders>
              <w:top w:val="single" w:color="000000" w:sz="4" w:space="0"/>
              <w:left w:val="nil"/>
              <w:bottom w:val="single" w:color="000000" w:sz="4" w:space="0"/>
              <w:right w:val="single" w:color="000000" w:sz="4" w:space="0"/>
            </w:tcBorders>
            <w:shd w:val="clear" w:color="auto" w:fill="auto"/>
            <w:vAlign w:val="center"/>
          </w:tcPr>
          <w:p w14:paraId="1E07B833">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2780364A">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01B6B67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1D7CDFEA">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77CBBF0D">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211390FA">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1 </w:t>
            </w:r>
          </w:p>
        </w:tc>
        <w:tc>
          <w:tcPr>
            <w:tcW w:w="900" w:type="dxa"/>
            <w:tcBorders>
              <w:top w:val="nil"/>
              <w:left w:val="nil"/>
              <w:bottom w:val="single" w:color="000000" w:sz="4" w:space="0"/>
              <w:right w:val="single" w:color="000000" w:sz="4" w:space="0"/>
            </w:tcBorders>
            <w:shd w:val="clear" w:color="auto" w:fill="auto"/>
            <w:vAlign w:val="center"/>
          </w:tcPr>
          <w:p w14:paraId="7E131AA4">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防火墙（万兆）</w:t>
            </w:r>
          </w:p>
        </w:tc>
        <w:tc>
          <w:tcPr>
            <w:tcW w:w="5337" w:type="dxa"/>
            <w:tcBorders>
              <w:top w:val="nil"/>
              <w:left w:val="nil"/>
              <w:bottom w:val="single" w:color="000000" w:sz="4" w:space="0"/>
              <w:right w:val="single" w:color="000000" w:sz="4" w:space="0"/>
            </w:tcBorders>
            <w:shd w:val="clear" w:color="auto" w:fill="auto"/>
            <w:vAlign w:val="center"/>
          </w:tcPr>
          <w:p w14:paraId="1AACE88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★硬件及性能要求：产品须符合信创要求，采用国产化CPU及国产化操作系统，标准2U设备，本次配置双电源；至少配置10个千兆电接口、4个千兆SFP接口、4个SFP+万兆接口，及2个接口扩展槽；硬盘≥256G SSD；吞吐≥47G，并发连接数≥2900万。</w:t>
            </w:r>
          </w:p>
          <w:p w14:paraId="2D13E1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功能要求：</w:t>
            </w:r>
          </w:p>
          <w:p w14:paraId="7EC99C1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1）、支持一体化安全策略配置，可以通过一条策略实现用户认证、IPS、AV、URL过滤、协议控制、流量控制、并发、新建限制、垃圾邮件过滤、审计等功能。</w:t>
            </w:r>
          </w:p>
          <w:p w14:paraId="1031E33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2）、持同一个地址对象中可以包含IP、IP段、IP range、排除地址等多种类型。</w:t>
            </w:r>
          </w:p>
          <w:p w14:paraId="2A6A78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3）、支持将源MAC作为独立的访问控制条件，防止非法设备接入。</w:t>
            </w:r>
          </w:p>
          <w:p w14:paraId="067E703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4）、支持针对策略中的源、目的地址进行新建限制，可以针对单IP(或地址范围)进行新建控制。</w:t>
            </w:r>
          </w:p>
          <w:p w14:paraId="6ABC7C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5）、支持HTTP类攻击重定向功能，能够把HTTP协议的攻击类型重定向到指定蜜罐系统，便于对攻击进行审计与分析。</w:t>
            </w:r>
          </w:p>
          <w:p w14:paraId="7004415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6）、支持基于策略的病毒扫描与防护，可针对不同的源目IP地址、源MAC地址、服务、时间、安全域、用户等，采用不同的病毒防护策略。</w:t>
            </w:r>
          </w:p>
          <w:p w14:paraId="20B63E1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7）、支持隔离病毒源地址，防止病毒源主机访问内部网络，提高网络整体安全性。</w:t>
            </w:r>
          </w:p>
          <w:p w14:paraId="32CC7B6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8）、支持依据协议、源目的端口、二进制特征码等条件自定义应用</w:t>
            </w:r>
          </w:p>
        </w:tc>
        <w:tc>
          <w:tcPr>
            <w:tcW w:w="709" w:type="dxa"/>
            <w:tcBorders>
              <w:top w:val="nil"/>
              <w:left w:val="nil"/>
              <w:bottom w:val="single" w:color="000000" w:sz="4" w:space="0"/>
              <w:right w:val="single" w:color="000000" w:sz="4" w:space="0"/>
            </w:tcBorders>
            <w:shd w:val="clear" w:color="auto" w:fill="auto"/>
            <w:vAlign w:val="center"/>
          </w:tcPr>
          <w:p w14:paraId="52430EC5">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21675975">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2</w:t>
            </w:r>
          </w:p>
        </w:tc>
        <w:tc>
          <w:tcPr>
            <w:tcW w:w="709" w:type="dxa"/>
            <w:tcBorders>
              <w:top w:val="nil"/>
              <w:left w:val="nil"/>
              <w:bottom w:val="single" w:color="000000" w:sz="4" w:space="0"/>
              <w:right w:val="single" w:color="000000" w:sz="4" w:space="0"/>
            </w:tcBorders>
            <w:shd w:val="clear" w:color="auto" w:fill="auto"/>
            <w:vAlign w:val="center"/>
          </w:tcPr>
          <w:p w14:paraId="7113C95C">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637D17A6">
        <w:tblPrEx>
          <w:tblCellMar>
            <w:top w:w="0" w:type="dxa"/>
            <w:left w:w="108" w:type="dxa"/>
            <w:bottom w:w="0" w:type="dxa"/>
            <w:right w:w="108" w:type="dxa"/>
          </w:tblCellMar>
        </w:tblPrEx>
        <w:trPr>
          <w:trHeight w:val="285"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21C8AF18">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2 </w:t>
            </w:r>
          </w:p>
        </w:tc>
        <w:tc>
          <w:tcPr>
            <w:tcW w:w="900" w:type="dxa"/>
            <w:tcBorders>
              <w:top w:val="nil"/>
              <w:left w:val="nil"/>
              <w:bottom w:val="single" w:color="000000" w:sz="4" w:space="0"/>
              <w:right w:val="single" w:color="000000" w:sz="4" w:space="0"/>
            </w:tcBorders>
            <w:shd w:val="clear" w:color="auto" w:fill="auto"/>
            <w:vAlign w:val="center"/>
          </w:tcPr>
          <w:p w14:paraId="3D6308D9">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堡垒机</w:t>
            </w:r>
          </w:p>
        </w:tc>
        <w:tc>
          <w:tcPr>
            <w:tcW w:w="5337" w:type="dxa"/>
            <w:tcBorders>
              <w:top w:val="nil"/>
              <w:left w:val="nil"/>
              <w:bottom w:val="single" w:color="000000" w:sz="4" w:space="0"/>
              <w:right w:val="single" w:color="000000" w:sz="4" w:space="0"/>
            </w:tcBorders>
            <w:shd w:val="clear" w:color="auto" w:fill="auto"/>
            <w:vAlign w:val="center"/>
          </w:tcPr>
          <w:p w14:paraId="2FBA538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硬件及性能要求：产品须符合信创要求，采用国产化CPU及国产化操作系统，1U机架式软硬一体设备，专用硬件平台和安全操作系统，至少配置6个千兆电口，扩展槽≥1；本次配置单电源。支持≥2000路字符会话或≥500路图形会话并发，内存≥8G，硬盘≥500G。资源授权≥100个；至少提供三年硬件质保。</w:t>
            </w:r>
          </w:p>
          <w:p w14:paraId="04E72B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功能要求：</w:t>
            </w:r>
          </w:p>
          <w:p w14:paraId="325EB9C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1）、支持NAT地址映射部署，通过映射后的IP地址访问堡垒机进行管理和运维操作，支持从多个映射地址访问，适用于内外网隔离的复杂网络环境；</w:t>
            </w:r>
          </w:p>
          <w:p w14:paraId="2C1EED8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2）、支持管理员帐号设置双因认证、IP/MAC限制，提升帐号安全性；</w:t>
            </w:r>
          </w:p>
          <w:p w14:paraId="0BECE9B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3）、支持限定配置中可指定用户通过指定的应用发布服务器对资源进行访问；</w:t>
            </w:r>
          </w:p>
          <w:p w14:paraId="09C534A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4）、支持数据库协议自动改密，改密类型支持：Oracle、PostgreSQL、MySql、DB2、Informix 、SYBASE，Mssql(2005,2008,2012)；</w:t>
            </w:r>
          </w:p>
          <w:p w14:paraId="1EE9F61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5）、支持WEB界面上传改密脚本，通过自定义脚本模式实现新增改密类型，满足多种改密需求；</w:t>
            </w:r>
          </w:p>
          <w:p w14:paraId="190F00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6）、支持管理员通过WEB界面自定义上传用户手册，保证使用手册及时更新；</w:t>
            </w:r>
          </w:p>
          <w:p w14:paraId="01ABB4A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7）、支持Oracle、Postgresql、Sybase、MySQL、SQL server、MSSQL、DM8、DB2、informix、KingBase、Sybase、Teradata、Oracle数据库下行返回行数记录。</w:t>
            </w:r>
          </w:p>
        </w:tc>
        <w:tc>
          <w:tcPr>
            <w:tcW w:w="709" w:type="dxa"/>
            <w:tcBorders>
              <w:top w:val="nil"/>
              <w:left w:val="nil"/>
              <w:bottom w:val="single" w:color="000000" w:sz="4" w:space="0"/>
              <w:right w:val="single" w:color="000000" w:sz="4" w:space="0"/>
            </w:tcBorders>
            <w:shd w:val="clear" w:color="auto" w:fill="auto"/>
            <w:vAlign w:val="center"/>
          </w:tcPr>
          <w:p w14:paraId="3FBE3931">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795B3015">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3FD9D511">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0EBABB1D">
        <w:tblPrEx>
          <w:tblCellMar>
            <w:top w:w="0" w:type="dxa"/>
            <w:left w:w="108" w:type="dxa"/>
            <w:bottom w:w="0" w:type="dxa"/>
            <w:right w:w="108" w:type="dxa"/>
          </w:tblCellMar>
        </w:tblPrEx>
        <w:trPr>
          <w:trHeight w:val="285"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366BF9EE">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3 </w:t>
            </w:r>
          </w:p>
        </w:tc>
        <w:tc>
          <w:tcPr>
            <w:tcW w:w="900" w:type="dxa"/>
            <w:tcBorders>
              <w:top w:val="nil"/>
              <w:left w:val="nil"/>
              <w:bottom w:val="single" w:color="000000" w:sz="4" w:space="0"/>
              <w:right w:val="single" w:color="000000" w:sz="4" w:space="0"/>
            </w:tcBorders>
            <w:shd w:val="clear" w:color="auto" w:fill="auto"/>
            <w:vAlign w:val="center"/>
          </w:tcPr>
          <w:p w14:paraId="34F2EDF5">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日志审计</w:t>
            </w:r>
          </w:p>
        </w:tc>
        <w:tc>
          <w:tcPr>
            <w:tcW w:w="5337" w:type="dxa"/>
            <w:tcBorders>
              <w:top w:val="nil"/>
              <w:left w:val="nil"/>
              <w:bottom w:val="single" w:color="000000" w:sz="4" w:space="0"/>
              <w:right w:val="single" w:color="000000" w:sz="4" w:space="0"/>
            </w:tcBorders>
            <w:shd w:val="clear" w:color="auto" w:fill="auto"/>
            <w:vAlign w:val="center"/>
          </w:tcPr>
          <w:p w14:paraId="211C5A0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硬件性能要求：产品须符合信创要求，采用国产化CPU及国产化操作系统，2U标准机架式，至少配置6个千兆电口，扩展槽≥3，USB≥2内存≥16G，硬盘容量≥2T，至少提供40个审计对象授权，提供三年硬件维保服务。日志处理性能≥3000EPS。</w:t>
            </w:r>
          </w:p>
          <w:p w14:paraId="683744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功能要求：</w:t>
            </w:r>
          </w:p>
          <w:p w14:paraId="08F315E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1）、支持Lotus Domino、Check Point、VMWare的日志采集任务；</w:t>
            </w:r>
          </w:p>
          <w:p w14:paraId="72EB712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2）、支持定制任务进行日志数据采集扩展，包括文本格式、目录下文本和数据库格式日志采集，支持编辑正则表达式和SQL语句进行日志采集，支持设置自定义任务时间；</w:t>
            </w:r>
          </w:p>
          <w:p w14:paraId="1BA716C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支持对范式化字段进行枚举，范式化字段至少包括事件接收时间、用户名称、源地址、源端口、操作、目的地址、目的端口、对象、结果、持续时间、响应、归并条目、事件名称、事件内容摘要、事件分类、等级、原始等级、原始类型、产生时间、网络协议、网络应用协议、设备地址、设备名称、设备类型、程序名称、原始消息、厂商、产品、解析关联等65个字段，字段名称支持自定义；</w:t>
            </w:r>
          </w:p>
          <w:p w14:paraId="3A2349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4）、支持与Kafka、HDFS、ES、MongoDB大数据存储组件对接进行日志数据采集；</w:t>
            </w:r>
          </w:p>
          <w:p w14:paraId="1EC9CF4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支持对范式化字段进行枚举，范式化字段至少包括事件接收时间、用户名称、源地址、源端口、操作、目的地址、目的端口、对象、结果、持续时间、响应、归并条目、事件名称、事件内容摘要、事件分类、等级、原始等级、原始类型、产生时间、网络协议、网络应用协议、设备地址、设备名称、设备类型、程序名称、原始消息、厂商、产品、解析关联等65个字段，字段名称支持自定义；</w:t>
            </w:r>
          </w:p>
          <w:p w14:paraId="2F5A3EE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★6）、支持全智能范式化解析模式，支持解析字段的编辑和调整，如修改字段名称；</w:t>
            </w:r>
          </w:p>
          <w:p w14:paraId="116C126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★7）、支持内置Cisco PIX和交换机的事件编码知识库；内置Windows、Linux、Solaris、AIX操作系统的事件ID知识库；内置Oracle、SQL Server、MySQL、Informix、DB2数据库的事件错误号；能够查看系统内置的事件库中事件类型名称及其描述信息；内置等级保护知识库；内置病毒爆发、网络攻击、网络拥堵、网络扫描、设备故障、系统瘫痪、信息泄密等案例库；</w:t>
            </w:r>
          </w:p>
          <w:p w14:paraId="36817F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8）、支持配置多种告警方式和告警动作，包括弹出提示框、播放警示音、发送邮件、发送微信消息、发送飞书消息、发送钉钉消息等；</w:t>
            </w:r>
          </w:p>
          <w:p w14:paraId="2380DC9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★9）、支持基于规则的关联分析引擎，能够提供逻辑关联、统计关联的关联分析能力；关联规则支持规则嵌套和引用，支持多规则联合；</w:t>
            </w:r>
          </w:p>
          <w:p w14:paraId="29F0C19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10）、支持对日志提供在线/离线地图定位、支持源IP与目的IP分布走向的视网膜图展示、支持事件拓扑分析用于描述整个事件的访问关系及过程、支持多维分析；</w:t>
            </w:r>
          </w:p>
        </w:tc>
        <w:tc>
          <w:tcPr>
            <w:tcW w:w="709" w:type="dxa"/>
            <w:tcBorders>
              <w:top w:val="nil"/>
              <w:left w:val="nil"/>
              <w:bottom w:val="single" w:color="000000" w:sz="4" w:space="0"/>
              <w:right w:val="single" w:color="000000" w:sz="4" w:space="0"/>
            </w:tcBorders>
            <w:shd w:val="clear" w:color="auto" w:fill="auto"/>
            <w:vAlign w:val="center"/>
          </w:tcPr>
          <w:p w14:paraId="0C8E2651">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5C6774E9">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19923A07">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6BE5CF8C">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003561AF">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4 </w:t>
            </w:r>
          </w:p>
        </w:tc>
        <w:tc>
          <w:tcPr>
            <w:tcW w:w="900" w:type="dxa"/>
            <w:tcBorders>
              <w:top w:val="nil"/>
              <w:left w:val="nil"/>
              <w:bottom w:val="single" w:color="000000" w:sz="4" w:space="0"/>
              <w:right w:val="single" w:color="000000" w:sz="4" w:space="0"/>
            </w:tcBorders>
            <w:shd w:val="clear" w:color="auto" w:fill="auto"/>
            <w:vAlign w:val="center"/>
          </w:tcPr>
          <w:p w14:paraId="615CC5A9">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数据库审计</w:t>
            </w:r>
          </w:p>
        </w:tc>
        <w:tc>
          <w:tcPr>
            <w:tcW w:w="5337" w:type="dxa"/>
            <w:tcBorders>
              <w:top w:val="nil"/>
              <w:left w:val="nil"/>
              <w:bottom w:val="single" w:color="000000" w:sz="4" w:space="0"/>
              <w:right w:val="single" w:color="000000" w:sz="4" w:space="0"/>
            </w:tcBorders>
            <w:shd w:val="clear" w:color="auto" w:fill="auto"/>
            <w:vAlign w:val="center"/>
          </w:tcPr>
          <w:p w14:paraId="42FD83F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2"/>
                <w:szCs w:val="22"/>
              </w:rPr>
              <w:t>　★</w:t>
            </w:r>
            <w:r>
              <w:rPr>
                <w:rFonts w:hint="eastAsia" w:ascii="宋体" w:hAnsi="宋体" w:cs="宋体"/>
                <w:kern w:val="0"/>
                <w:sz w:val="20"/>
                <w:szCs w:val="20"/>
              </w:rPr>
              <w:t>硬件及性能要求：产品须符合信创要求，采用国产化CPU及国产化操作系统，2U上架专用设备，至少配置10个千兆电口，8个千兆光口，8个万兆光口，可用存储空间≥4T；被审计DB服务数≥13个。至少提供三年质保服务。</w:t>
            </w:r>
          </w:p>
          <w:p w14:paraId="59029C9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功能要求：</w:t>
            </w:r>
          </w:p>
          <w:p w14:paraId="06D30A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★1）、支持高斯（Gauss）、人大金仓KingBase、神通(OSCAR)、达梦(DM)、南大通用(GBase) 等数据库进行审计；</w:t>
            </w:r>
          </w:p>
          <w:p w14:paraId="5A8E0E8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★2）、支持MongoDB、Redis、Hbase、hive、ES等数据库进行审计；</w:t>
            </w:r>
          </w:p>
          <w:p w14:paraId="7D68F91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3）、系统应内置规则集，对数据库DML、DCL、DDL等语句及FTP、Telnet等协议中的命令进行归类；</w:t>
            </w:r>
          </w:p>
          <w:p w14:paraId="1317431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4）、审计策略支持数据库客户端软件名称、数据库名、数据库表名、数据库字段名、数据库返回码作为响应条件；</w:t>
            </w:r>
          </w:p>
          <w:p w14:paraId="1489FBA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5）、支持Select操作返回行数和返回内容的审计；</w:t>
            </w:r>
          </w:p>
          <w:p w14:paraId="5A6846F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6）、支持与Web应用防火墙的联动，可对WAF上报的应用系统攻击实现场景还原展示；</w:t>
            </w:r>
          </w:p>
          <w:p w14:paraId="0674DA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7）、支持访问数据库的源主机名、源主机用户、SQL操作响应时间、数据库操作成功、失败的审计；</w:t>
            </w:r>
          </w:p>
          <w:p w14:paraId="3A6D85BB">
            <w:pPr>
              <w:keepNext w:val="0"/>
              <w:keepLines w:val="0"/>
              <w:widowControl/>
              <w:suppressLineNumbers w:val="0"/>
              <w:spacing w:before="0" w:beforeAutospacing="0" w:after="0" w:afterAutospacing="0"/>
              <w:ind w:left="0" w:right="0"/>
              <w:jc w:val="left"/>
              <w:rPr>
                <w:rFonts w:ascii="宋体" w:hAnsi="宋体" w:cs="宋体"/>
                <w:kern w:val="0"/>
                <w:sz w:val="22"/>
                <w:szCs w:val="22"/>
              </w:rPr>
            </w:pPr>
            <w:r>
              <w:rPr>
                <w:rFonts w:hint="eastAsia" w:ascii="宋体" w:hAnsi="宋体" w:cs="宋体"/>
                <w:kern w:val="0"/>
                <w:sz w:val="20"/>
                <w:szCs w:val="20"/>
              </w:rPr>
              <w:t>★8）、数据库审计支持用户数据库中敏感信息的自动发现，方便针对敏感信息配置针对性的审计策略，敏感信息发现支持探测器和正则表达式两种方式，探测器至少包含：姓名、地名、银行卡、身份证、IP地址、密码等多种探测器。</w:t>
            </w:r>
          </w:p>
        </w:tc>
        <w:tc>
          <w:tcPr>
            <w:tcW w:w="709" w:type="dxa"/>
            <w:tcBorders>
              <w:top w:val="nil"/>
              <w:left w:val="nil"/>
              <w:bottom w:val="single" w:color="000000" w:sz="4" w:space="0"/>
              <w:right w:val="single" w:color="000000" w:sz="4" w:space="0"/>
            </w:tcBorders>
            <w:shd w:val="clear" w:color="auto" w:fill="auto"/>
            <w:vAlign w:val="center"/>
          </w:tcPr>
          <w:p w14:paraId="243CC234">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18907E62">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0A01C93D">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6CAAF797">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0F3BBDD0">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5 </w:t>
            </w:r>
          </w:p>
        </w:tc>
        <w:tc>
          <w:tcPr>
            <w:tcW w:w="900" w:type="dxa"/>
            <w:tcBorders>
              <w:top w:val="nil"/>
              <w:left w:val="nil"/>
              <w:bottom w:val="single" w:color="000000" w:sz="4" w:space="0"/>
              <w:right w:val="single" w:color="000000" w:sz="4" w:space="0"/>
            </w:tcBorders>
            <w:shd w:val="clear" w:color="auto" w:fill="auto"/>
            <w:vAlign w:val="center"/>
          </w:tcPr>
          <w:p w14:paraId="24981E8C">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终端安全管理系统</w:t>
            </w:r>
          </w:p>
        </w:tc>
        <w:tc>
          <w:tcPr>
            <w:tcW w:w="5337" w:type="dxa"/>
            <w:tcBorders>
              <w:top w:val="nil"/>
              <w:left w:val="nil"/>
              <w:bottom w:val="single" w:color="000000" w:sz="4" w:space="0"/>
              <w:right w:val="single" w:color="000000" w:sz="4" w:space="0"/>
            </w:tcBorders>
            <w:shd w:val="clear" w:color="auto" w:fill="auto"/>
            <w:vAlign w:val="center"/>
          </w:tcPr>
          <w:p w14:paraId="378E78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★客户端安装支持离线打包安装、命令行安装、下载器安装、Portal引导安装。此次提供Windows客户端（可部署在Windows PC端与Windows Server端）≥30点，Linux客户端≥10点，含三年升级维护及规则库升级服务；</w:t>
            </w:r>
          </w:p>
          <w:p w14:paraId="39DCA0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功能应包括资产管理、运维管理、病毒查杀、外设管理、非法外联监控、网络管理、终端响应、日志管理等基础功能；</w:t>
            </w:r>
          </w:p>
          <w:p w14:paraId="5A9C81B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1、支持对局域网内的服务器进行扫描，支持ARP、PING、NMAP三种扫描方式；通过NMAP方式能够获取服务器相关信息，包括MAC地址、设备类型、未知主机IP、操作系统、发现方式、首次发现时间等；</w:t>
            </w:r>
          </w:p>
          <w:p w14:paraId="670BB94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2、支持对终端进行一键体检，体检项目包括漏洞管理、基线合规、弱密码检查、病毒查杀、Webshell、内存马检测、反弹shell；</w:t>
            </w:r>
          </w:p>
          <w:p w14:paraId="271A30B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3、支持展示全网失陷资产，展示失陷资产关联的威胁事件，支持对威胁事件进行一键隔离；</w:t>
            </w:r>
          </w:p>
          <w:p w14:paraId="1251B81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4、支持通过概览方式汇总全网终端威胁趋势、攻击阶段趋势、攻击源趋势、受攻击资产趋势。攻击阶段趋势支持以试图攻击、入侵成功、控制执行、横向渗透、痕迹清理在内的五大攻击阶段维度统计呈现；</w:t>
            </w:r>
          </w:p>
          <w:p w14:paraId="3078FF5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5、支持展示存在勒索风险的终端，便于用户评估勒索风险，且支持以列表形式展示存在勒索风险端口、存在勒索应用弱密码、存在勒索风险漏洞的终端信息；</w:t>
            </w:r>
          </w:p>
          <w:p w14:paraId="2026EF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6、支持以统计图的方式展示已处理和未处理的病毒数量，统计类型包括病毒总数、勒索病毒数、挖矿病毒数、蠕虫病毒数；</w:t>
            </w:r>
          </w:p>
          <w:p w14:paraId="13FEB4E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7、具备全网自动响应功能，在检测到告警时，可以自动提取告警中的特征，依据预置的处置策略，自动对该终端或全网进行响应处置，提高响应时效；</w:t>
            </w:r>
          </w:p>
          <w:p w14:paraId="14113A4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★8、提供第三方测试报告证明产品病毒检出率≥99%、勒索病毒专项检出率达到100%、病毒检测误报率＜1%；</w:t>
            </w:r>
          </w:p>
        </w:tc>
        <w:tc>
          <w:tcPr>
            <w:tcW w:w="709" w:type="dxa"/>
            <w:tcBorders>
              <w:top w:val="nil"/>
              <w:left w:val="nil"/>
              <w:bottom w:val="single" w:color="000000" w:sz="4" w:space="0"/>
              <w:right w:val="single" w:color="000000" w:sz="4" w:space="0"/>
            </w:tcBorders>
            <w:shd w:val="clear" w:color="auto" w:fill="auto"/>
            <w:vAlign w:val="center"/>
          </w:tcPr>
          <w:p w14:paraId="2CF7493E">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套</w:t>
            </w:r>
          </w:p>
        </w:tc>
        <w:tc>
          <w:tcPr>
            <w:tcW w:w="709" w:type="dxa"/>
            <w:tcBorders>
              <w:top w:val="nil"/>
              <w:left w:val="nil"/>
              <w:bottom w:val="single" w:color="000000" w:sz="4" w:space="0"/>
              <w:right w:val="single" w:color="000000" w:sz="4" w:space="0"/>
            </w:tcBorders>
            <w:shd w:val="clear" w:color="auto" w:fill="auto"/>
            <w:vAlign w:val="center"/>
          </w:tcPr>
          <w:p w14:paraId="64789316">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4287B7DD">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7D8A46B4">
        <w:tblPrEx>
          <w:tblCellMar>
            <w:top w:w="0" w:type="dxa"/>
            <w:left w:w="108" w:type="dxa"/>
            <w:bottom w:w="0" w:type="dxa"/>
            <w:right w:w="108" w:type="dxa"/>
          </w:tblCellMar>
        </w:tblPrEx>
        <w:trPr>
          <w:trHeight w:val="285"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6B1891A0">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6 </w:t>
            </w:r>
          </w:p>
        </w:tc>
        <w:tc>
          <w:tcPr>
            <w:tcW w:w="900" w:type="dxa"/>
            <w:tcBorders>
              <w:top w:val="nil"/>
              <w:left w:val="nil"/>
              <w:bottom w:val="single" w:color="000000" w:sz="4" w:space="0"/>
              <w:right w:val="single" w:color="000000" w:sz="4" w:space="0"/>
            </w:tcBorders>
            <w:shd w:val="clear" w:color="auto" w:fill="auto"/>
            <w:vAlign w:val="center"/>
          </w:tcPr>
          <w:p w14:paraId="6D0B2155">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入侵检测</w:t>
            </w:r>
          </w:p>
        </w:tc>
        <w:tc>
          <w:tcPr>
            <w:tcW w:w="5337" w:type="dxa"/>
            <w:tcBorders>
              <w:top w:val="nil"/>
              <w:left w:val="nil"/>
              <w:bottom w:val="single" w:color="000000" w:sz="4" w:space="0"/>
              <w:right w:val="single" w:color="000000" w:sz="4" w:space="0"/>
            </w:tcBorders>
            <w:shd w:val="clear" w:color="auto" w:fill="auto"/>
            <w:vAlign w:val="center"/>
          </w:tcPr>
          <w:p w14:paraId="03A506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硬件及性能要求：产品须符合信创要求，采用国产化CPU及国产化操作系统，2U上架专用设备，至少配置8个千兆电口，8个千兆光口，4个万兆光口，硬盘≥8T，内存≥32G；满检速率≥20000Mbps，最大并发连接数≥1000万。至少提供三年质保及特征库升级服务。</w:t>
            </w:r>
          </w:p>
          <w:p w14:paraId="1AE8BFC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功能要求：</w:t>
            </w:r>
          </w:p>
          <w:p w14:paraId="677676A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★1）、系统应支持IP碎片重组、TCP流重组、TCP流状态跟踪、2至7层的协议分析、超7层应用协议（如：HTTP Tunnel）识别与分析，系统应支持工作在非默认端口下的周知服务（如运行在8000端口下的Web Server）的协议识别与协议分析能力；</w:t>
            </w:r>
          </w:p>
          <w:p w14:paraId="4075542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2）、系统具有抗逃避检测机制，可以针对分片逃逸攻击、重叠逃逸攻击、加入多余或者无用字节逃逸攻击进行有效防范；</w:t>
            </w:r>
          </w:p>
          <w:p w14:paraId="304407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3）、系统支持对缓冲区溢出、网络蠕虫、网络数据库攻击、木马软件、间谍软件等各种攻击行为进行检测；</w:t>
            </w:r>
          </w:p>
          <w:p w14:paraId="56C8D2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4）、系统支持在首页提供最近24小时内网络发生的展示界面，包括对拒绝服务事件、扫描事件、蠕虫事件、木马病事件、网络整体状况等展示；</w:t>
            </w:r>
          </w:p>
          <w:p w14:paraId="5FE7A37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★5）、系统提供的攻击特征不应少于5600条有效最新攻击特征，并支持展示共计特征的事件名称、事件别名、优化状态、有效性、事件级别、响应方式、合并方式、操作等信息；</w:t>
            </w:r>
          </w:p>
          <w:p w14:paraId="0610B10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6）、系统需提供对事件的二次检测能力，即对已生成的事件进行二次分析与统计，并根据统计结果进行报警，同时，系统需支持对统计阈值进行设定的图形化用户接口；</w:t>
            </w:r>
          </w:p>
          <w:p w14:paraId="7E9F7E8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系统需具备针对如下几种拒绝服务攻击的检测能力：SACN_ICMP扫描探测、SACN_UDP端口扫描、SACN_SYNONLY_TCP端口扫描、DOS_TCP_FLOOD_拒绝服务[STREAM]、DOS_TCP_FLOOD_拒绝服务[HALFSESSION]、DOS_TCP_FLOOD_拒绝服务[SYNRST]、DOS_SYN_FLOOD_拒绝服务[SYNONLY]、DOS_UDP_FLOOD_拒绝服务、DOS_ICMP_FLOOD_拒绝服务；对上述所有攻击检测都可通过控制界面配置统计时间、报警阈值；</w:t>
            </w:r>
          </w:p>
          <w:p w14:paraId="47D58F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8）、系统首页需提供如下关键报警及汇总数据：重点威胁的今日发生情况、历史日均发生情况、今日发生事件的Top5事件、今日流量曲线。</w:t>
            </w:r>
          </w:p>
        </w:tc>
        <w:tc>
          <w:tcPr>
            <w:tcW w:w="709" w:type="dxa"/>
            <w:tcBorders>
              <w:top w:val="nil"/>
              <w:left w:val="nil"/>
              <w:bottom w:val="single" w:color="000000" w:sz="4" w:space="0"/>
              <w:right w:val="single" w:color="000000" w:sz="4" w:space="0"/>
            </w:tcBorders>
            <w:shd w:val="clear" w:color="auto" w:fill="auto"/>
            <w:vAlign w:val="center"/>
          </w:tcPr>
          <w:p w14:paraId="2FF9FDF2">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78675548">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7F836668">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3DC1B70D">
        <w:tblPrEx>
          <w:tblCellMar>
            <w:top w:w="0" w:type="dxa"/>
            <w:left w:w="108" w:type="dxa"/>
            <w:bottom w:w="0" w:type="dxa"/>
            <w:right w:w="108" w:type="dxa"/>
          </w:tblCellMar>
        </w:tblPrEx>
        <w:trPr>
          <w:trHeight w:val="285"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12599B1F">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7 </w:t>
            </w:r>
          </w:p>
        </w:tc>
        <w:tc>
          <w:tcPr>
            <w:tcW w:w="900" w:type="dxa"/>
            <w:tcBorders>
              <w:top w:val="nil"/>
              <w:left w:val="nil"/>
              <w:bottom w:val="single" w:color="000000" w:sz="4" w:space="0"/>
              <w:right w:val="single" w:color="000000" w:sz="4" w:space="0"/>
            </w:tcBorders>
            <w:shd w:val="clear" w:color="auto" w:fill="auto"/>
            <w:vAlign w:val="center"/>
          </w:tcPr>
          <w:p w14:paraId="1BD7C21B">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单向光闸</w:t>
            </w:r>
          </w:p>
        </w:tc>
        <w:tc>
          <w:tcPr>
            <w:tcW w:w="5337" w:type="dxa"/>
            <w:tcBorders>
              <w:top w:val="nil"/>
              <w:left w:val="nil"/>
              <w:bottom w:val="single" w:color="000000" w:sz="4" w:space="0"/>
              <w:right w:val="single" w:color="000000" w:sz="4" w:space="0"/>
            </w:tcBorders>
            <w:shd w:val="clear" w:color="auto" w:fill="auto"/>
            <w:vAlign w:val="center"/>
          </w:tcPr>
          <w:p w14:paraId="1C2EA10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2"/>
                <w:szCs w:val="22"/>
              </w:rPr>
              <w:t>　</w:t>
            </w:r>
            <w:r>
              <w:rPr>
                <w:rFonts w:hint="eastAsia" w:ascii="宋体" w:hAnsi="宋体" w:cs="宋体"/>
                <w:kern w:val="0"/>
                <w:sz w:val="20"/>
                <w:szCs w:val="20"/>
              </w:rPr>
              <w:t>★1）硬件要求：标准机架式设备,冗余电源；国产化CPU，国产化操作系统；内外网接口要求：各提供≥4个千兆电口、≥4个千兆光口、≥4个万兆光口。内存≥16GB，硬盘≥4TB。</w:t>
            </w:r>
          </w:p>
          <w:p w14:paraId="76ECF76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★2）性能要求：文件传输速率≥4Gbps。</w:t>
            </w:r>
          </w:p>
          <w:p w14:paraId="6D48549F">
            <w:pPr>
              <w:keepNext w:val="0"/>
              <w:keepLines w:val="0"/>
              <w:widowControl/>
              <w:suppressLineNumbers w:val="0"/>
              <w:spacing w:before="0" w:beforeAutospacing="0" w:after="0" w:afterAutospacing="0"/>
              <w:ind w:left="0" w:right="0"/>
              <w:jc w:val="left"/>
              <w:rPr>
                <w:rFonts w:ascii="宋体" w:hAnsi="宋体" w:cs="宋体"/>
                <w:kern w:val="0"/>
                <w:sz w:val="22"/>
                <w:szCs w:val="22"/>
              </w:rPr>
            </w:pPr>
            <w:r>
              <w:rPr>
                <w:rFonts w:hint="eastAsia" w:ascii="宋体" w:hAnsi="宋体" w:cs="宋体"/>
                <w:kern w:val="0"/>
                <w:sz w:val="20"/>
                <w:szCs w:val="20"/>
              </w:rPr>
              <w:t>3）功能要求：产品串联部署在网络环境中，通过物理方式构造信息单向传输的唯一通道，基于默认禁止的传输规则，提供应用数据的单向传输功能，并具有关键字、文件类型和病毒过滤等功能，支持双机冗余部署提高可用性。此外，产品支持IPV6网络环境。</w:t>
            </w:r>
          </w:p>
        </w:tc>
        <w:tc>
          <w:tcPr>
            <w:tcW w:w="709" w:type="dxa"/>
            <w:tcBorders>
              <w:top w:val="nil"/>
              <w:left w:val="nil"/>
              <w:bottom w:val="single" w:color="000000" w:sz="4" w:space="0"/>
              <w:right w:val="single" w:color="000000" w:sz="4" w:space="0"/>
            </w:tcBorders>
            <w:shd w:val="clear" w:color="auto" w:fill="auto"/>
            <w:vAlign w:val="center"/>
          </w:tcPr>
          <w:p w14:paraId="70A6EF9E">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7AD6A8D8">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7E0E6D72">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437C5F34">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09C639B7">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8 </w:t>
            </w:r>
          </w:p>
        </w:tc>
        <w:tc>
          <w:tcPr>
            <w:tcW w:w="900" w:type="dxa"/>
            <w:tcBorders>
              <w:top w:val="nil"/>
              <w:left w:val="nil"/>
              <w:bottom w:val="single" w:color="000000" w:sz="4" w:space="0"/>
              <w:right w:val="single" w:color="000000" w:sz="4" w:space="0"/>
            </w:tcBorders>
            <w:shd w:val="clear" w:color="auto" w:fill="auto"/>
            <w:vAlign w:val="center"/>
          </w:tcPr>
          <w:p w14:paraId="7BA41889">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视频用户认证设备</w:t>
            </w:r>
          </w:p>
        </w:tc>
        <w:tc>
          <w:tcPr>
            <w:tcW w:w="5337" w:type="dxa"/>
            <w:tcBorders>
              <w:top w:val="nil"/>
              <w:left w:val="nil"/>
              <w:bottom w:val="single" w:color="000000" w:sz="4" w:space="0"/>
              <w:right w:val="single" w:color="000000" w:sz="4" w:space="0"/>
            </w:tcBorders>
            <w:shd w:val="clear" w:color="auto" w:fill="auto"/>
            <w:vAlign w:val="center"/>
          </w:tcPr>
          <w:p w14:paraId="6AEBEA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2"/>
                <w:szCs w:val="22"/>
              </w:rPr>
              <w:t>　</w:t>
            </w:r>
            <w:r>
              <w:rPr>
                <w:rFonts w:hint="eastAsia" w:ascii="宋体" w:hAnsi="宋体" w:cs="宋体"/>
                <w:kern w:val="0"/>
                <w:sz w:val="20"/>
                <w:szCs w:val="20"/>
              </w:rPr>
              <w:t>硬件形态：标准机架式机箱，</w:t>
            </w:r>
          </w:p>
          <w:p w14:paraId="6654997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网络接口：标配1个100/1000M Base-TX管理接口，5个100/1000M Base-TX网络接口，2个10000M Base-FX网络接口</w:t>
            </w:r>
          </w:p>
          <w:p w14:paraId="69C8450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★性能：吞吐量≥4000Mbps；</w:t>
            </w:r>
          </w:p>
          <w:p w14:paraId="77D9324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主要功能：</w:t>
            </w:r>
          </w:p>
          <w:p w14:paraId="6C08F8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1、支持主流视频协议类型包括：GB28181,DB33及主流厂家；</w:t>
            </w:r>
          </w:p>
          <w:p w14:paraId="7234657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2、能够直接识别各种主流的视频格式，仅允许合法的视频数据通过；</w:t>
            </w:r>
          </w:p>
          <w:p w14:paraId="3767429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3、可以直接认证内网用户使用的数字证书；</w:t>
            </w:r>
          </w:p>
          <w:p w14:paraId="59DBA20F">
            <w:pPr>
              <w:keepNext w:val="0"/>
              <w:keepLines w:val="0"/>
              <w:widowControl/>
              <w:suppressLineNumbers w:val="0"/>
              <w:spacing w:before="0" w:beforeAutospacing="0" w:after="0" w:afterAutospacing="0"/>
              <w:ind w:left="0" w:right="0"/>
              <w:jc w:val="left"/>
              <w:rPr>
                <w:rFonts w:ascii="宋体" w:hAnsi="宋体" w:cs="宋体"/>
                <w:kern w:val="0"/>
                <w:sz w:val="22"/>
                <w:szCs w:val="22"/>
              </w:rPr>
            </w:pPr>
            <w:r>
              <w:rPr>
                <w:rFonts w:hint="eastAsia" w:ascii="宋体" w:hAnsi="宋体" w:cs="宋体"/>
                <w:kern w:val="0"/>
                <w:sz w:val="20"/>
                <w:szCs w:val="20"/>
              </w:rPr>
              <w:t>4、对用户行为进行审计，包括正常登录，非法登录，非法请求，退出等；</w:t>
            </w:r>
          </w:p>
        </w:tc>
        <w:tc>
          <w:tcPr>
            <w:tcW w:w="709" w:type="dxa"/>
            <w:tcBorders>
              <w:top w:val="nil"/>
              <w:left w:val="nil"/>
              <w:bottom w:val="single" w:color="000000" w:sz="4" w:space="0"/>
              <w:right w:val="single" w:color="000000" w:sz="4" w:space="0"/>
            </w:tcBorders>
            <w:shd w:val="clear" w:color="auto" w:fill="auto"/>
            <w:vAlign w:val="center"/>
          </w:tcPr>
          <w:p w14:paraId="3352B28A">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6E1F14F4">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158763A8">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03468216">
        <w:tblPrEx>
          <w:tblCellMar>
            <w:top w:w="0" w:type="dxa"/>
            <w:left w:w="108" w:type="dxa"/>
            <w:bottom w:w="0" w:type="dxa"/>
            <w:right w:w="108"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32D9743D">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9 </w:t>
            </w:r>
          </w:p>
        </w:tc>
        <w:tc>
          <w:tcPr>
            <w:tcW w:w="900" w:type="dxa"/>
            <w:tcBorders>
              <w:top w:val="nil"/>
              <w:left w:val="nil"/>
              <w:bottom w:val="single" w:color="000000" w:sz="4" w:space="0"/>
              <w:right w:val="single" w:color="000000" w:sz="4" w:space="0"/>
            </w:tcBorders>
            <w:shd w:val="clear" w:color="auto" w:fill="auto"/>
            <w:vAlign w:val="center"/>
          </w:tcPr>
          <w:p w14:paraId="421AD710">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视频接入认证设备</w:t>
            </w:r>
          </w:p>
        </w:tc>
        <w:tc>
          <w:tcPr>
            <w:tcW w:w="5337" w:type="dxa"/>
            <w:tcBorders>
              <w:top w:val="nil"/>
              <w:left w:val="nil"/>
              <w:bottom w:val="single" w:color="000000" w:sz="4" w:space="0"/>
              <w:right w:val="single" w:color="000000" w:sz="4" w:space="0"/>
            </w:tcBorders>
            <w:shd w:val="clear" w:color="auto" w:fill="auto"/>
            <w:vAlign w:val="center"/>
          </w:tcPr>
          <w:p w14:paraId="4E8A6F1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硬件形态：标准机架式机箱，</w:t>
            </w:r>
          </w:p>
          <w:p w14:paraId="1330003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网络接口：标配1个100/1000M Base-TX管理接口，5个100/1000M Base-TX网络接口，2个10000M Base-FX网络接口</w:t>
            </w:r>
          </w:p>
          <w:p w14:paraId="34D569B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★性能：吞吐量≥4000Mbps；</w:t>
            </w:r>
          </w:p>
          <w:p w14:paraId="0551098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主要功能：</w:t>
            </w:r>
          </w:p>
          <w:p w14:paraId="290945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1、支持主流视频协议类型包括：GB28181,DB33及主流厂家；</w:t>
            </w:r>
          </w:p>
          <w:p w14:paraId="1905C4D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2、能够直接识别各种主流的视频格式，仅允许合法的视频数据通过；</w:t>
            </w:r>
          </w:p>
          <w:p w14:paraId="7F35882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3、可以直接认证内网用户使用的数字证书；</w:t>
            </w:r>
          </w:p>
          <w:p w14:paraId="2754FF34">
            <w:pPr>
              <w:keepNext w:val="0"/>
              <w:keepLines w:val="0"/>
              <w:widowControl/>
              <w:suppressLineNumbers w:val="0"/>
              <w:spacing w:before="0" w:beforeAutospacing="0" w:after="0" w:afterAutospacing="0"/>
              <w:ind w:left="0" w:right="0"/>
              <w:jc w:val="left"/>
              <w:rPr>
                <w:rFonts w:ascii="宋体" w:hAnsi="宋体" w:cs="宋体"/>
                <w:kern w:val="0"/>
                <w:sz w:val="22"/>
                <w:szCs w:val="22"/>
              </w:rPr>
            </w:pPr>
            <w:r>
              <w:rPr>
                <w:rFonts w:hint="eastAsia" w:ascii="宋体" w:hAnsi="宋体" w:cs="宋体"/>
                <w:kern w:val="0"/>
                <w:sz w:val="20"/>
                <w:szCs w:val="20"/>
              </w:rPr>
              <w:t>4、对用户行为进行审计，包括正常登录，非法登录，非法请求，退出等；</w:t>
            </w:r>
          </w:p>
        </w:tc>
        <w:tc>
          <w:tcPr>
            <w:tcW w:w="709" w:type="dxa"/>
            <w:tcBorders>
              <w:top w:val="nil"/>
              <w:left w:val="nil"/>
              <w:bottom w:val="single" w:color="000000" w:sz="4" w:space="0"/>
              <w:right w:val="single" w:color="000000" w:sz="4" w:space="0"/>
            </w:tcBorders>
            <w:shd w:val="clear" w:color="auto" w:fill="auto"/>
            <w:vAlign w:val="center"/>
          </w:tcPr>
          <w:p w14:paraId="1600FCD1">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3BECDE3F">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502CC60D">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2891E564">
        <w:tblPrEx>
          <w:tblCellMar>
            <w:top w:w="0" w:type="dxa"/>
            <w:left w:w="108" w:type="dxa"/>
            <w:bottom w:w="0" w:type="dxa"/>
            <w:right w:w="108" w:type="dxa"/>
          </w:tblCellMar>
        </w:tblPrEx>
        <w:trPr>
          <w:trHeight w:val="810" w:hRule="atLeast"/>
        </w:trPr>
        <w:tc>
          <w:tcPr>
            <w:tcW w:w="562" w:type="dxa"/>
            <w:tcBorders>
              <w:top w:val="nil"/>
              <w:left w:val="single" w:color="000000" w:sz="4" w:space="0"/>
              <w:bottom w:val="single" w:color="000000" w:sz="4" w:space="0"/>
              <w:right w:val="single" w:color="000000" w:sz="4" w:space="0"/>
            </w:tcBorders>
            <w:shd w:val="clear" w:color="auto" w:fill="auto"/>
            <w:vAlign w:val="center"/>
          </w:tcPr>
          <w:p w14:paraId="4821C8D3">
            <w:pPr>
              <w:keepNext w:val="0"/>
              <w:keepLines w:val="0"/>
              <w:widowControl/>
              <w:suppressLineNumbers w:val="0"/>
              <w:spacing w:before="0" w:beforeAutospacing="0" w:after="0" w:afterAutospacing="0"/>
              <w:ind w:left="0" w:right="0"/>
              <w:jc w:val="center"/>
              <w:rPr>
                <w:rFonts w:ascii="宋体" w:hAnsi="宋体" w:cs="宋体"/>
                <w:color w:val="000000"/>
                <w:kern w:val="0"/>
                <w:sz w:val="22"/>
                <w:szCs w:val="22"/>
              </w:rPr>
            </w:pPr>
            <w:r>
              <w:rPr>
                <w:rFonts w:hint="eastAsia" w:ascii="宋体" w:hAnsi="宋体" w:cs="宋体"/>
                <w:color w:val="000000"/>
                <w:kern w:val="0"/>
                <w:sz w:val="22"/>
                <w:szCs w:val="22"/>
              </w:rPr>
              <w:t xml:space="preserve">10 </w:t>
            </w:r>
          </w:p>
        </w:tc>
        <w:tc>
          <w:tcPr>
            <w:tcW w:w="900" w:type="dxa"/>
            <w:tcBorders>
              <w:top w:val="nil"/>
              <w:left w:val="nil"/>
              <w:bottom w:val="single" w:color="000000" w:sz="4" w:space="0"/>
              <w:right w:val="single" w:color="000000" w:sz="4" w:space="0"/>
            </w:tcBorders>
            <w:shd w:val="clear" w:color="auto" w:fill="auto"/>
            <w:vAlign w:val="center"/>
          </w:tcPr>
          <w:p w14:paraId="54F24255">
            <w:pPr>
              <w:keepNext w:val="0"/>
              <w:keepLines w:val="0"/>
              <w:widowControl/>
              <w:suppressLineNumbers w:val="0"/>
              <w:spacing w:before="0" w:beforeAutospacing="0" w:after="0" w:afterAutospacing="0"/>
              <w:ind w:left="0" w:right="0"/>
              <w:jc w:val="center"/>
              <w:rPr>
                <w:rFonts w:ascii="宋体" w:hAnsi="宋体" w:cs="宋体"/>
                <w:kern w:val="0"/>
                <w:sz w:val="20"/>
                <w:szCs w:val="22"/>
              </w:rPr>
            </w:pPr>
            <w:r>
              <w:rPr>
                <w:rFonts w:hint="eastAsia" w:ascii="宋体" w:hAnsi="宋体" w:cs="宋体"/>
                <w:kern w:val="0"/>
                <w:sz w:val="20"/>
                <w:szCs w:val="22"/>
              </w:rPr>
              <w:t>视频专网安全隐患监测平台</w:t>
            </w:r>
          </w:p>
        </w:tc>
        <w:tc>
          <w:tcPr>
            <w:tcW w:w="5337" w:type="dxa"/>
            <w:tcBorders>
              <w:top w:val="nil"/>
              <w:left w:val="nil"/>
              <w:bottom w:val="single" w:color="000000" w:sz="4" w:space="0"/>
              <w:right w:val="single" w:color="000000" w:sz="4" w:space="0"/>
            </w:tcBorders>
            <w:shd w:val="clear" w:color="auto" w:fill="auto"/>
            <w:vAlign w:val="center"/>
          </w:tcPr>
          <w:p w14:paraId="29A237E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(1)硬件规格:</w:t>
            </w:r>
          </w:p>
          <w:p w14:paraId="5AFA052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★形态:软硬件一体化独立机架式服务器；电源:交流冗余电源；CPU:支持采用国产化CPU芯片；操作系统：支持采用国产化操作系统；内存:≥64GB；网络接口:≥2个千兆电口+2个万兆光口；硬盘存储: ≥2*480GB SSD（支持Raid 1)+2*4TB SAS（支持Raid 1）；旁路部署，不影响服务器处理性能和网络架构；</w:t>
            </w:r>
          </w:p>
          <w:p w14:paraId="010E454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(2)处理性能</w:t>
            </w:r>
          </w:p>
          <w:p w14:paraId="4A753BA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监测授权：配置不少于5000个IP资产安全监管能力；提供不少于100个网络末梢传感器授权；提供不少于1个静态JS监测授权。具备无代理远程主动探测采集全网安全行为数据能力；数据处理性能:并发会话数不低于10万并发；</w:t>
            </w:r>
          </w:p>
          <w:p w14:paraId="0BE6212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(3)数据采集</w:t>
            </w:r>
          </w:p>
          <w:p w14:paraId="6B0298E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网中网监测，对访问指定业务门户的NAT设备进行监测；支持移动终端监测，对访问指定业务门户的移动终端进行监测；具备分光/分流、交换机端口镜像等旁路方式采集网络流量能力；具备数据汇聚能力，对多条链路流量汇聚统一分析或独立分析；</w:t>
            </w:r>
          </w:p>
          <w:p w14:paraId="4AB6C60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(4)数据分析</w:t>
            </w:r>
          </w:p>
          <w:p w14:paraId="71351C4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具备数据过滤能力，对指定范围内IP地址进行数据过滤或只对指定范围内的IP地址进行数据分析；具备原始数据存储能力，对原始通信数据包压缩存储并提供自动检索和关联提取功能；</w:t>
            </w:r>
          </w:p>
          <w:p w14:paraId="4567D4F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(5)取证分析</w:t>
            </w:r>
          </w:p>
          <w:p w14:paraId="33CCF6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具备触发式取证采集能力，支持多维度取证数据留存；具备安全事件自动化取证能力，定位涉事资产和对威胁行为进行行为画像，提取网络原始流量、明细会话记录以及行为数据等数据证据；</w:t>
            </w:r>
          </w:p>
          <w:p w14:paraId="446E97C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xml:space="preserve"> (6)网络空间测绘</w:t>
            </w:r>
          </w:p>
          <w:p w14:paraId="5CD6BC5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网络空间测绘，展现从顶级节点到目标IP的完整网络路径，支持对全网所有入网资产的逻辑关系拓扑展示以及任意IP的网络路径查询，提供对应路由节点的ip地址段划分和资产数量等详细信息，主动发现网内存在的高危互联网路由、其他专网路由、私网路由、过长路由、环线路由等；</w:t>
            </w:r>
          </w:p>
          <w:p w14:paraId="66AB03B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(7)资产识别</w:t>
            </w:r>
          </w:p>
          <w:p w14:paraId="52E10CE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资产识别能力，智能识别资产类型、品牌型号、应用/服务、端口、版本、IPmac等资产信息，支持模糊、精准多样化查询能力，内置全网资产的分析视图，提供资产分布、操作系统分布、厂家分布等；系统支持资产指纹聚类功能，支持对网页截图、关键字、网页图标等信息进行主动采集，形成资产要素底账，用户可以根据实际情况对已自动识别的资产进行再分类，可对新型资产自定义指纹规则自动匹配网内资产；</w:t>
            </w:r>
          </w:p>
          <w:p w14:paraId="57AEE2E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(8)资产画像</w:t>
            </w:r>
          </w:p>
          <w:p w14:paraId="67A1C5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★具备资产画像分析能力，系统自动生成资产的画像卡片，包括资产的责任人、联系方式、IP地址、MAC地址、安全漏洞、弱口令、访问轨迹、在线状态、应用服务、端口、风险隐患等；</w:t>
            </w:r>
          </w:p>
          <w:p w14:paraId="71DF0BB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(9)脆弱性扫描</w:t>
            </w:r>
          </w:p>
          <w:p w14:paraId="4422216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支持对视频网中视频监控类设备、应用系统、Windows/Linux 操作系统、数据库、服务器、网络设备等进行漏洞检测，支持检测统中的中危以上安全漏洞，支持提供漏洞整改方案；</w:t>
            </w:r>
          </w:p>
          <w:p w14:paraId="22CFB5E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★系统内置漏洞整改知识库，显示系统漏洞清单及影响范围，输出整改方案。支持漏洞库更新支持关键字搜索、高级筛选、收藏、导出；</w:t>
            </w:r>
          </w:p>
          <w:p w14:paraId="16664B1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支持弱口令检测能力：支持对视频网中视频类设备/应用系统的空口令、默认口令、弱口令等进行检测；支持对操作系统远程桌面、常见数据库（如：SQL server、MySQL、Mongodb、Elasticsearch、Oracle等）、常见协议（SNMP、SSH、Telnet、FTP等）的空口令、默认口令、弱口令等进行检测；支持对扫描库的灵活配置，手动增加弱口令字典；</w:t>
            </w:r>
          </w:p>
          <w:p w14:paraId="3811219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(10)IP资源分析</w:t>
            </w:r>
          </w:p>
          <w:p w14:paraId="1B80F5D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具备IP资源分析能力，提供网内IP 资源的使用情况，包括各个vlan段IP 使用率、使用趋势，支持按状态分布详细的IP情况等统计信息，包括主机活跃、离线、闲置、空闲等状态分析；</w:t>
            </w:r>
          </w:p>
          <w:p w14:paraId="316780A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(11)边界监测</w:t>
            </w:r>
          </w:p>
          <w:p w14:paraId="3410624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边界违规接入监管能力，主动发现网中网、局域网、第三方网络违规接入内网的违规线路，提供违规线路的接入位置、网络、网关、IP地址、时间等信息；具备边界风险设备监测能力，主动发现网内存在的边界风险设备，包括违规外联/专网透传/多网卡多IP设备/异常路由设备/移动终端接入/无线wifi等，提供报警设备的位置、网关、IP地址、时间等信息；具备边界风险服务监测能力，主动发现网内开启边界风险服务，包括虚拟主机服务、DHCP服务、代理服务/互联网DNS域名解析服务等，提供风险服务的位置、网关、IP地址、时间等信息；边界设备监测，支持对边界平台、网闸、VPN、防火墙、安全网管姐准入控制等边界的监测；支持对终端后门工具，发现网内对拷线、向日葵控控的监测发现；</w:t>
            </w:r>
          </w:p>
          <w:p w14:paraId="3425C02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(12)违规外联</w:t>
            </w:r>
          </w:p>
          <w:p w14:paraId="1E8F4CC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具备终端违规外联互联网监测能力，支持IPv4、IPv6双栈协议违规外联监测；基于无客户端方式主动发现网内办公电脑、网络设备、视频监控、打印机、物联网设备、服务器等各类资产的违规连接互联网行为。</w:t>
            </w:r>
          </w:p>
          <w:p w14:paraId="11BD7B9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★提供违规外联设备相关信息，包括：内网ip、MAC、设备厂商、位置、出口侧ip、位置等相关信息，支持通过短信/邮件方式通知责任人；</w:t>
            </w:r>
          </w:p>
          <w:p w14:paraId="7FEC70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(13)门户网站</w:t>
            </w:r>
          </w:p>
          <w:p w14:paraId="67F57CF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支持对私自拷贝门户网站页面数据至互联网环境的进行监测，提供内网ip、出口ip等相关信息，通过短信/邮件方式通知责任人；</w:t>
            </w:r>
          </w:p>
          <w:p w14:paraId="1C32B9B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(14)资源泄漏</w:t>
            </w:r>
          </w:p>
          <w:p w14:paraId="6BE9DFB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支持对具备互联网环境终端打开门户网站的场景进行监测，提供内网ip、出口ip等相关信息，通过短信/邮件方式通知责任人；</w:t>
            </w:r>
          </w:p>
          <w:p w14:paraId="5918CF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(15)网络攻击监测</w:t>
            </w:r>
          </w:p>
          <w:p w14:paraId="226F7C4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★具备网络攻击监测能力，分析网络中攻击和病毒传播行为，包括异常扫描/异常访问/FTP掘金病毒/DNS域名病毒等；</w:t>
            </w:r>
          </w:p>
          <w:p w14:paraId="3ADBE7F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(16)异常访问监测</w:t>
            </w:r>
          </w:p>
          <w:p w14:paraId="69E6C60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具备异常访问监测能力，定位网络中对重要或敏感业务、应用、数据、资产的异常连接访问行为，包括跨区域访问/非工时高频访问/数据库异常访问等；</w:t>
            </w:r>
          </w:p>
          <w:p w14:paraId="5A935FB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(17)风险隐患监测</w:t>
            </w:r>
          </w:p>
          <w:p w14:paraId="0242099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具备风险隐患监测能力，主动监测网内存在的FTP服务/匿名FTP服务/远程工具（向日葵、Radmin）等安全风险隐患；</w:t>
            </w:r>
          </w:p>
          <w:p w14:paraId="4871C7E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(18)信令安全监测</w:t>
            </w:r>
          </w:p>
          <w:p w14:paraId="0928722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★具备信令安全监测能力，还原信令类型、格式和内容，对控制信令进行格式检查和内容过滤审计，包括对高危操作信令、异常信令交互高危的告警；</w:t>
            </w:r>
          </w:p>
          <w:p w14:paraId="3BAC684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(19)会话明细分析功能</w:t>
            </w:r>
          </w:p>
          <w:p w14:paraId="2934F1D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提供会话明细分析视图，包括应用会话详细记录、HTTP访问详细记录、FTP详细记录、DNS会话、链路流量分析、主机通讯流量、未知通讯流量、加密会话流量、视频信令明细等；</w:t>
            </w:r>
          </w:p>
          <w:p w14:paraId="1E72AC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(20)报表自定义</w:t>
            </w:r>
          </w:p>
          <w:p w14:paraId="31D8C38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提供灵活的报表自定义功能，提供日报、周报和月报功能，提供灵活的报表策略管理，根据策略自动生成报表，并自动通过邮件发送给接收者；</w:t>
            </w:r>
          </w:p>
          <w:p w14:paraId="6D8FCD0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(21)服务要求</w:t>
            </w:r>
          </w:p>
          <w:p w14:paraId="37D3E67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提供原厂商3年免费质保和升级服务。</w:t>
            </w:r>
          </w:p>
        </w:tc>
        <w:tc>
          <w:tcPr>
            <w:tcW w:w="709" w:type="dxa"/>
            <w:tcBorders>
              <w:top w:val="nil"/>
              <w:left w:val="nil"/>
              <w:bottom w:val="single" w:color="000000" w:sz="4" w:space="0"/>
              <w:right w:val="single" w:color="000000" w:sz="4" w:space="0"/>
            </w:tcBorders>
            <w:shd w:val="clear" w:color="auto" w:fill="auto"/>
            <w:vAlign w:val="center"/>
          </w:tcPr>
          <w:p w14:paraId="46E97A93">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台</w:t>
            </w:r>
          </w:p>
        </w:tc>
        <w:tc>
          <w:tcPr>
            <w:tcW w:w="709" w:type="dxa"/>
            <w:tcBorders>
              <w:top w:val="nil"/>
              <w:left w:val="nil"/>
              <w:bottom w:val="single" w:color="000000" w:sz="4" w:space="0"/>
              <w:right w:val="single" w:color="000000" w:sz="4" w:space="0"/>
            </w:tcBorders>
            <w:shd w:val="clear" w:color="auto" w:fill="auto"/>
            <w:vAlign w:val="center"/>
          </w:tcPr>
          <w:p w14:paraId="27217AE1">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1</w:t>
            </w:r>
          </w:p>
        </w:tc>
        <w:tc>
          <w:tcPr>
            <w:tcW w:w="709" w:type="dxa"/>
            <w:tcBorders>
              <w:top w:val="nil"/>
              <w:left w:val="nil"/>
              <w:bottom w:val="single" w:color="000000" w:sz="4" w:space="0"/>
              <w:right w:val="single" w:color="000000" w:sz="4" w:space="0"/>
            </w:tcBorders>
            <w:shd w:val="clear" w:color="auto" w:fill="auto"/>
            <w:vAlign w:val="center"/>
          </w:tcPr>
          <w:p w14:paraId="2D3AB2BC">
            <w:pPr>
              <w:keepNext w:val="0"/>
              <w:keepLines w:val="0"/>
              <w:widowControl/>
              <w:suppressLineNumbers w:val="0"/>
              <w:spacing w:before="0" w:beforeAutospacing="0" w:after="0" w:afterAutospacing="0"/>
              <w:ind w:left="0" w:right="0"/>
              <w:jc w:val="center"/>
              <w:rPr>
                <w:rFonts w:ascii="宋体" w:hAnsi="宋体" w:cs="宋体"/>
                <w:kern w:val="0"/>
                <w:sz w:val="22"/>
                <w:szCs w:val="22"/>
              </w:rPr>
            </w:pPr>
            <w:r>
              <w:rPr>
                <w:rFonts w:hint="eastAsia" w:ascii="宋体" w:hAnsi="宋体" w:cs="宋体"/>
                <w:kern w:val="0"/>
                <w:sz w:val="22"/>
                <w:szCs w:val="22"/>
              </w:rPr>
              <w:t>　</w:t>
            </w:r>
          </w:p>
        </w:tc>
      </w:tr>
      <w:tr w14:paraId="54B06FD9">
        <w:tblPrEx>
          <w:tblCellMar>
            <w:top w:w="0" w:type="dxa"/>
            <w:left w:w="108" w:type="dxa"/>
            <w:bottom w:w="0" w:type="dxa"/>
            <w:right w:w="108" w:type="dxa"/>
          </w:tblCellMar>
        </w:tblPrEx>
        <w:trPr>
          <w:trHeight w:val="285" w:hRule="atLeast"/>
        </w:trPr>
        <w:tc>
          <w:tcPr>
            <w:tcW w:w="6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4267">
            <w:pPr>
              <w:keepNext w:val="0"/>
              <w:keepLines w:val="0"/>
              <w:widowControl/>
              <w:suppressLineNumbers w:val="0"/>
              <w:spacing w:before="0" w:beforeAutospacing="0" w:after="0" w:afterAutospacing="0"/>
              <w:ind w:left="0" w:right="0"/>
              <w:jc w:val="center"/>
              <w:rPr>
                <w:rFonts w:ascii="宋体" w:hAnsi="宋体" w:cs="宋体"/>
                <w:b/>
                <w:bCs/>
                <w:kern w:val="0"/>
                <w:sz w:val="24"/>
              </w:rPr>
            </w:pPr>
            <w:r>
              <w:rPr>
                <w:rFonts w:hint="eastAsia" w:ascii="宋体" w:hAnsi="宋体" w:cs="宋体"/>
                <w:b/>
                <w:bCs/>
                <w:kern w:val="0"/>
                <w:sz w:val="20"/>
              </w:rPr>
              <w:t>合计</w:t>
            </w:r>
          </w:p>
        </w:tc>
        <w:tc>
          <w:tcPr>
            <w:tcW w:w="709" w:type="dxa"/>
            <w:tcBorders>
              <w:top w:val="nil"/>
              <w:left w:val="nil"/>
              <w:bottom w:val="single" w:color="000000" w:sz="4" w:space="0"/>
              <w:right w:val="single" w:color="000000" w:sz="4" w:space="0"/>
            </w:tcBorders>
            <w:shd w:val="clear" w:color="auto" w:fill="auto"/>
            <w:vAlign w:val="center"/>
          </w:tcPr>
          <w:p w14:paraId="340667E5">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c>
          <w:tcPr>
            <w:tcW w:w="709" w:type="dxa"/>
            <w:tcBorders>
              <w:top w:val="nil"/>
              <w:left w:val="nil"/>
              <w:bottom w:val="single" w:color="000000" w:sz="4" w:space="0"/>
              <w:right w:val="single" w:color="000000" w:sz="4" w:space="0"/>
            </w:tcBorders>
            <w:shd w:val="clear" w:color="auto" w:fill="auto"/>
            <w:vAlign w:val="center"/>
          </w:tcPr>
          <w:p w14:paraId="4B57C327">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c>
          <w:tcPr>
            <w:tcW w:w="709" w:type="dxa"/>
            <w:tcBorders>
              <w:top w:val="nil"/>
              <w:left w:val="nil"/>
              <w:bottom w:val="single" w:color="000000" w:sz="4" w:space="0"/>
              <w:right w:val="single" w:color="000000" w:sz="4" w:space="0"/>
            </w:tcBorders>
            <w:shd w:val="clear" w:color="auto" w:fill="auto"/>
            <w:vAlign w:val="center"/>
          </w:tcPr>
          <w:p w14:paraId="0C8A3652">
            <w:pPr>
              <w:keepNext w:val="0"/>
              <w:keepLines w:val="0"/>
              <w:widowControl/>
              <w:suppressLineNumbers w:val="0"/>
              <w:spacing w:before="0" w:beforeAutospacing="0" w:after="0" w:afterAutospacing="0"/>
              <w:ind w:left="0" w:right="0"/>
              <w:jc w:val="center"/>
              <w:rPr>
                <w:rFonts w:ascii="宋体" w:hAnsi="宋体" w:cs="宋体"/>
                <w:b/>
                <w:bCs/>
                <w:color w:val="000000"/>
                <w:kern w:val="0"/>
                <w:sz w:val="24"/>
              </w:rPr>
            </w:pPr>
            <w:r>
              <w:rPr>
                <w:rFonts w:hint="eastAsia" w:ascii="宋体" w:hAnsi="宋体" w:cs="宋体"/>
                <w:b/>
                <w:bCs/>
                <w:color w:val="000000"/>
                <w:kern w:val="0"/>
                <w:sz w:val="24"/>
              </w:rPr>
              <w:t>　</w:t>
            </w:r>
          </w:p>
        </w:tc>
      </w:tr>
    </w:tbl>
    <w:p w14:paraId="038D2E9F">
      <w:pPr>
        <w:rPr>
          <w:rFonts w:ascii="宋体" w:hAnsi="宋体" w:cs="宋体"/>
          <w:b/>
          <w:bCs/>
        </w:rPr>
      </w:pPr>
    </w:p>
    <w:p w14:paraId="2AF0F404">
      <w:pPr>
        <w:rPr>
          <w:rFonts w:ascii="宋体" w:hAnsi="宋体" w:cs="宋体"/>
          <w:b/>
          <w:bCs/>
        </w:rPr>
      </w:pPr>
    </w:p>
    <w:p w14:paraId="4B627DDD">
      <w:pPr>
        <w:rPr>
          <w:rFonts w:ascii="宋体" w:hAnsi="宋体" w:cs="宋体"/>
          <w:b/>
          <w:bCs/>
        </w:rPr>
      </w:pPr>
      <w:r>
        <w:rPr>
          <w:rFonts w:hint="eastAsia" w:ascii="宋体" w:hAnsi="宋体" w:cs="宋体"/>
          <w:b/>
          <w:bCs/>
        </w:rPr>
        <w:t>6、应用软件</w:t>
      </w:r>
    </w:p>
    <w:tbl>
      <w:tblPr>
        <w:tblStyle w:val="28"/>
        <w:tblW w:w="8515" w:type="dxa"/>
        <w:tblInd w:w="0" w:type="dxa"/>
        <w:tblLayout w:type="autofit"/>
        <w:tblCellMar>
          <w:top w:w="0" w:type="dxa"/>
          <w:left w:w="108" w:type="dxa"/>
          <w:bottom w:w="0" w:type="dxa"/>
          <w:right w:w="108" w:type="dxa"/>
        </w:tblCellMar>
      </w:tblPr>
      <w:tblGrid>
        <w:gridCol w:w="615"/>
        <w:gridCol w:w="1081"/>
        <w:gridCol w:w="5139"/>
        <w:gridCol w:w="654"/>
        <w:gridCol w:w="608"/>
        <w:gridCol w:w="390"/>
        <w:gridCol w:w="28"/>
      </w:tblGrid>
      <w:tr w14:paraId="3BD673A8">
        <w:tblPrEx>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E1C">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1081" w:type="dxa"/>
            <w:tcBorders>
              <w:top w:val="single" w:color="000000" w:sz="4" w:space="0"/>
              <w:left w:val="nil"/>
              <w:bottom w:val="single" w:color="000000" w:sz="4" w:space="0"/>
              <w:right w:val="single" w:color="000000" w:sz="4" w:space="0"/>
            </w:tcBorders>
            <w:shd w:val="clear" w:color="auto" w:fill="auto"/>
            <w:vAlign w:val="center"/>
          </w:tcPr>
          <w:p w14:paraId="163682AD">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5139" w:type="dxa"/>
            <w:tcBorders>
              <w:top w:val="single" w:color="000000" w:sz="4" w:space="0"/>
              <w:left w:val="nil"/>
              <w:bottom w:val="single" w:color="000000" w:sz="4" w:space="0"/>
              <w:right w:val="single" w:color="000000" w:sz="4" w:space="0"/>
            </w:tcBorders>
            <w:shd w:val="clear" w:color="auto" w:fill="auto"/>
            <w:vAlign w:val="center"/>
          </w:tcPr>
          <w:p w14:paraId="4CC37516">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D3CA480">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8C032A0">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14:paraId="3A93AEF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553B0B0F">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494B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（一）视频实战应用平台扩容升级</w:t>
            </w:r>
          </w:p>
        </w:tc>
        <w:tc>
          <w:tcPr>
            <w:tcW w:w="390" w:type="dxa"/>
            <w:tcBorders>
              <w:top w:val="nil"/>
              <w:left w:val="nil"/>
              <w:bottom w:val="single" w:color="000000" w:sz="4" w:space="0"/>
              <w:right w:val="single" w:color="000000" w:sz="4" w:space="0"/>
            </w:tcBorders>
            <w:shd w:val="clear" w:color="auto" w:fill="auto"/>
            <w:vAlign w:val="center"/>
          </w:tcPr>
          <w:p w14:paraId="58F0C051">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2EC18BC8">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2CA703B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2B2D4AE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设备标签管理</w:t>
            </w:r>
          </w:p>
        </w:tc>
        <w:tc>
          <w:tcPr>
            <w:tcW w:w="5139" w:type="dxa"/>
            <w:tcBorders>
              <w:top w:val="nil"/>
              <w:left w:val="nil"/>
              <w:bottom w:val="single" w:color="000000" w:sz="4" w:space="0"/>
              <w:right w:val="single" w:color="000000" w:sz="4" w:space="0"/>
            </w:tcBorders>
            <w:shd w:val="clear" w:color="auto" w:fill="auto"/>
            <w:vAlign w:val="center"/>
          </w:tcPr>
          <w:p w14:paraId="69875D6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提供业务层的系统管理，支持对接入的设备类型进行标签管理，对角色设备资源进行授权配置等功能；</w:t>
            </w:r>
          </w:p>
        </w:tc>
        <w:tc>
          <w:tcPr>
            <w:tcW w:w="654" w:type="dxa"/>
            <w:tcBorders>
              <w:top w:val="nil"/>
              <w:left w:val="nil"/>
              <w:bottom w:val="single" w:color="000000" w:sz="4" w:space="0"/>
              <w:right w:val="single" w:color="000000" w:sz="4" w:space="0"/>
            </w:tcBorders>
            <w:shd w:val="clear" w:color="auto" w:fill="auto"/>
            <w:vAlign w:val="center"/>
          </w:tcPr>
          <w:p w14:paraId="517F49F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6384F7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073FA0E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E81113C">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248753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7EF4494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门户展示应用</w:t>
            </w:r>
          </w:p>
        </w:tc>
        <w:tc>
          <w:tcPr>
            <w:tcW w:w="5139" w:type="dxa"/>
            <w:tcBorders>
              <w:top w:val="nil"/>
              <w:left w:val="nil"/>
              <w:bottom w:val="single" w:color="000000" w:sz="4" w:space="0"/>
              <w:right w:val="single" w:color="000000" w:sz="4" w:space="0"/>
            </w:tcBorders>
            <w:shd w:val="clear" w:color="auto" w:fill="auto"/>
            <w:vAlign w:val="center"/>
          </w:tcPr>
          <w:p w14:paraId="0D7764D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提供通过统一应用门户展示现场对接的应用、第三方系统、统计数据、通知公告、地图信息的功能；</w:t>
            </w:r>
          </w:p>
        </w:tc>
        <w:tc>
          <w:tcPr>
            <w:tcW w:w="654" w:type="dxa"/>
            <w:tcBorders>
              <w:top w:val="nil"/>
              <w:left w:val="nil"/>
              <w:bottom w:val="single" w:color="000000" w:sz="4" w:space="0"/>
              <w:right w:val="single" w:color="000000" w:sz="4" w:space="0"/>
            </w:tcBorders>
            <w:shd w:val="clear" w:color="auto" w:fill="auto"/>
            <w:vAlign w:val="center"/>
          </w:tcPr>
          <w:p w14:paraId="0228547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DDF83C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3D5ABB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769EE9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8A750E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0D9F03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统计展示应用</w:t>
            </w:r>
          </w:p>
        </w:tc>
        <w:tc>
          <w:tcPr>
            <w:tcW w:w="5139" w:type="dxa"/>
            <w:tcBorders>
              <w:top w:val="nil"/>
              <w:left w:val="nil"/>
              <w:bottom w:val="single" w:color="000000" w:sz="4" w:space="0"/>
              <w:right w:val="single" w:color="000000" w:sz="4" w:space="0"/>
            </w:tcBorders>
            <w:shd w:val="clear" w:color="auto" w:fill="auto"/>
            <w:vAlign w:val="center"/>
          </w:tcPr>
          <w:p w14:paraId="0E5428F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对人、车、案的情况进行汇总可视化展示，包括重点人员流动信息、24小时过车统计的功能；提供对算法分析情况进行统计，能够按小时、天进行数据分析，状态包含任务总数、成功数、失败数、当前选中；任务占比展示成功与失败的占比情况；失败原因分析包含分析失败、句柄为空、下载失败、图片过小、加载图片失败；机动车分析包含分析出 0 个、1 个、2 个的占比；非机动车分析包含分析出 0 个、1 个、2 个的占比的功能；提供系统对各类型、各特征、各区域以及不同时间段内非 机动车过车情况统计，对非机动车过车流量进行统计（默认按天统计）；支持按多种时间维度进行统计（按月统计、 按周统计和按日统计，或自定义时间统计）；支持查看时 间段内非机动车的总流量、未戴头盔数量、载人数量、加 装伞具数量、外卖车辆数量、戴墨镜数量、戴口罩数量， 且可以查看各数量的同环比情况；支持以柱状图的方式查 看区域统计、点位统计、按时间统计三种维度的统计图， 且支持查看同环比的功能；</w:t>
            </w:r>
          </w:p>
        </w:tc>
        <w:tc>
          <w:tcPr>
            <w:tcW w:w="654" w:type="dxa"/>
            <w:tcBorders>
              <w:top w:val="nil"/>
              <w:left w:val="nil"/>
              <w:bottom w:val="single" w:color="000000" w:sz="4" w:space="0"/>
              <w:right w:val="single" w:color="000000" w:sz="4" w:space="0"/>
            </w:tcBorders>
            <w:shd w:val="clear" w:color="auto" w:fill="auto"/>
            <w:vAlign w:val="center"/>
          </w:tcPr>
          <w:p w14:paraId="45B9CB3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2230546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14696FD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59B71EC">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535397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7778C7A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设备集中管理</w:t>
            </w:r>
          </w:p>
        </w:tc>
        <w:tc>
          <w:tcPr>
            <w:tcW w:w="5139" w:type="dxa"/>
            <w:tcBorders>
              <w:top w:val="nil"/>
              <w:left w:val="nil"/>
              <w:bottom w:val="single" w:color="000000" w:sz="4" w:space="0"/>
              <w:right w:val="single" w:color="000000" w:sz="4" w:space="0"/>
            </w:tcBorders>
            <w:shd w:val="clear" w:color="auto" w:fill="auto"/>
            <w:vAlign w:val="center"/>
          </w:tcPr>
          <w:p w14:paraId="3B33422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提供10000路监控点位的设备集中管理；</w:t>
            </w:r>
          </w:p>
        </w:tc>
        <w:tc>
          <w:tcPr>
            <w:tcW w:w="654" w:type="dxa"/>
            <w:tcBorders>
              <w:top w:val="nil"/>
              <w:left w:val="nil"/>
              <w:bottom w:val="single" w:color="000000" w:sz="4" w:space="0"/>
              <w:right w:val="single" w:color="000000" w:sz="4" w:space="0"/>
            </w:tcBorders>
            <w:shd w:val="clear" w:color="auto" w:fill="auto"/>
            <w:vAlign w:val="center"/>
          </w:tcPr>
          <w:p w14:paraId="413D81D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52911B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244175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3918E06">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DC5A13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2925870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地图切换功能</w:t>
            </w:r>
          </w:p>
        </w:tc>
        <w:tc>
          <w:tcPr>
            <w:tcW w:w="5139" w:type="dxa"/>
            <w:tcBorders>
              <w:top w:val="nil"/>
              <w:left w:val="nil"/>
              <w:bottom w:val="single" w:color="000000" w:sz="4" w:space="0"/>
              <w:right w:val="single" w:color="000000" w:sz="4" w:space="0"/>
            </w:tcBorders>
            <w:shd w:val="clear" w:color="auto" w:fill="auto"/>
            <w:vAlign w:val="center"/>
          </w:tcPr>
          <w:p w14:paraId="49E6690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系统支持展示矢量与三维地图两种地图模式，并能在两者之间切换的功能；</w:t>
            </w:r>
          </w:p>
        </w:tc>
        <w:tc>
          <w:tcPr>
            <w:tcW w:w="654" w:type="dxa"/>
            <w:tcBorders>
              <w:top w:val="nil"/>
              <w:left w:val="nil"/>
              <w:bottom w:val="single" w:color="000000" w:sz="4" w:space="0"/>
              <w:right w:val="single" w:color="000000" w:sz="4" w:space="0"/>
            </w:tcBorders>
            <w:shd w:val="clear" w:color="auto" w:fill="auto"/>
            <w:vAlign w:val="center"/>
          </w:tcPr>
          <w:p w14:paraId="35921C6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DAD788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1780513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6D39055">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448C72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81" w:type="dxa"/>
            <w:tcBorders>
              <w:top w:val="nil"/>
              <w:left w:val="nil"/>
              <w:bottom w:val="single" w:color="000000" w:sz="4" w:space="0"/>
              <w:right w:val="single" w:color="000000" w:sz="4" w:space="0"/>
            </w:tcBorders>
            <w:shd w:val="clear" w:color="auto" w:fill="auto"/>
            <w:vAlign w:val="center"/>
          </w:tcPr>
          <w:p w14:paraId="3A1487A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标签过滤功能</w:t>
            </w:r>
          </w:p>
        </w:tc>
        <w:tc>
          <w:tcPr>
            <w:tcW w:w="5139" w:type="dxa"/>
            <w:tcBorders>
              <w:top w:val="nil"/>
              <w:left w:val="nil"/>
              <w:bottom w:val="single" w:color="000000" w:sz="4" w:space="0"/>
              <w:right w:val="single" w:color="000000" w:sz="4" w:space="0"/>
            </w:tcBorders>
            <w:shd w:val="clear" w:color="auto" w:fill="auto"/>
            <w:vAlign w:val="center"/>
          </w:tcPr>
          <w:p w14:paraId="06401EB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系统支持在地图的设备树上通过标签过滤展示不同的设备，支持多标签筛选，支持给设备树上的设备快速添加标签的功能；</w:t>
            </w:r>
          </w:p>
        </w:tc>
        <w:tc>
          <w:tcPr>
            <w:tcW w:w="654" w:type="dxa"/>
            <w:tcBorders>
              <w:top w:val="nil"/>
              <w:left w:val="nil"/>
              <w:bottom w:val="single" w:color="000000" w:sz="4" w:space="0"/>
              <w:right w:val="single" w:color="000000" w:sz="4" w:space="0"/>
            </w:tcBorders>
            <w:shd w:val="clear" w:color="auto" w:fill="auto"/>
            <w:vAlign w:val="center"/>
          </w:tcPr>
          <w:p w14:paraId="0787A02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C26C13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DEAC44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DD0D467">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0AE844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81" w:type="dxa"/>
            <w:tcBorders>
              <w:top w:val="nil"/>
              <w:left w:val="nil"/>
              <w:bottom w:val="single" w:color="000000" w:sz="4" w:space="0"/>
              <w:right w:val="single" w:color="000000" w:sz="4" w:space="0"/>
            </w:tcBorders>
            <w:shd w:val="clear" w:color="auto" w:fill="auto"/>
            <w:vAlign w:val="center"/>
          </w:tcPr>
          <w:p w14:paraId="4DE18E6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地图展示功能</w:t>
            </w:r>
          </w:p>
        </w:tc>
        <w:tc>
          <w:tcPr>
            <w:tcW w:w="5139" w:type="dxa"/>
            <w:tcBorders>
              <w:top w:val="nil"/>
              <w:left w:val="nil"/>
              <w:bottom w:val="single" w:color="000000" w:sz="4" w:space="0"/>
              <w:right w:val="single" w:color="000000" w:sz="4" w:space="0"/>
            </w:tcBorders>
            <w:shd w:val="clear" w:color="auto" w:fill="auto"/>
            <w:vAlign w:val="center"/>
          </w:tcPr>
          <w:p w14:paraId="08B32B4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系统支持在地图上进行视频调度时，快捷播放，通过图上四联屏的方式同时进行展示的功能；</w:t>
            </w:r>
          </w:p>
        </w:tc>
        <w:tc>
          <w:tcPr>
            <w:tcW w:w="654" w:type="dxa"/>
            <w:tcBorders>
              <w:top w:val="nil"/>
              <w:left w:val="nil"/>
              <w:bottom w:val="single" w:color="000000" w:sz="4" w:space="0"/>
              <w:right w:val="single" w:color="000000" w:sz="4" w:space="0"/>
            </w:tcBorders>
            <w:shd w:val="clear" w:color="auto" w:fill="auto"/>
            <w:vAlign w:val="center"/>
          </w:tcPr>
          <w:p w14:paraId="02C79CB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139A67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0EEE023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CDE8E85">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6FBA3A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81" w:type="dxa"/>
            <w:tcBorders>
              <w:top w:val="nil"/>
              <w:left w:val="nil"/>
              <w:bottom w:val="single" w:color="000000" w:sz="4" w:space="0"/>
              <w:right w:val="single" w:color="000000" w:sz="4" w:space="0"/>
            </w:tcBorders>
            <w:shd w:val="clear" w:color="auto" w:fill="auto"/>
            <w:vAlign w:val="center"/>
          </w:tcPr>
          <w:p w14:paraId="6A38E41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一键搜索功能</w:t>
            </w:r>
          </w:p>
        </w:tc>
        <w:tc>
          <w:tcPr>
            <w:tcW w:w="5139" w:type="dxa"/>
            <w:tcBorders>
              <w:top w:val="nil"/>
              <w:left w:val="nil"/>
              <w:bottom w:val="single" w:color="000000" w:sz="4" w:space="0"/>
              <w:right w:val="single" w:color="000000" w:sz="4" w:space="0"/>
            </w:tcBorders>
            <w:shd w:val="clear" w:color="auto" w:fill="auto"/>
            <w:vAlign w:val="center"/>
          </w:tcPr>
          <w:p w14:paraId="17D9A4E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通过智能搜索引擎进行一键搜索，支持全称检索、模糊检索、全拼检索、拼音首字母检索等检索方式，可检索：枪机、球机、电警、人员卡口、车辆卡口、AR设备、道路、路口、移动设备、社会兴趣点、关注区、道路和路口等，在地图上快速定位及快速调阅实时视频，实时视频通过图上四联屏的方式进行展示的功能等。</w:t>
            </w:r>
          </w:p>
        </w:tc>
        <w:tc>
          <w:tcPr>
            <w:tcW w:w="654" w:type="dxa"/>
            <w:tcBorders>
              <w:top w:val="nil"/>
              <w:left w:val="nil"/>
              <w:bottom w:val="single" w:color="000000" w:sz="4" w:space="0"/>
              <w:right w:val="single" w:color="000000" w:sz="4" w:space="0"/>
            </w:tcBorders>
            <w:shd w:val="clear" w:color="auto" w:fill="auto"/>
            <w:vAlign w:val="center"/>
          </w:tcPr>
          <w:p w14:paraId="1CAD870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7FE2E02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1462F92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BAE9EF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444E59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81" w:type="dxa"/>
            <w:tcBorders>
              <w:top w:val="nil"/>
              <w:left w:val="nil"/>
              <w:bottom w:val="single" w:color="000000" w:sz="4" w:space="0"/>
              <w:right w:val="single" w:color="000000" w:sz="4" w:space="0"/>
            </w:tcBorders>
            <w:shd w:val="clear" w:color="auto" w:fill="auto"/>
            <w:vAlign w:val="center"/>
          </w:tcPr>
          <w:p w14:paraId="51217C6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基础运维管理</w:t>
            </w:r>
          </w:p>
        </w:tc>
        <w:tc>
          <w:tcPr>
            <w:tcW w:w="5139" w:type="dxa"/>
            <w:tcBorders>
              <w:top w:val="nil"/>
              <w:left w:val="nil"/>
              <w:bottom w:val="single" w:color="000000" w:sz="4" w:space="0"/>
              <w:right w:val="single" w:color="000000" w:sz="4" w:space="0"/>
            </w:tcBorders>
            <w:shd w:val="clear" w:color="auto" w:fill="auto"/>
            <w:vAlign w:val="center"/>
          </w:tcPr>
          <w:p w14:paraId="5C9E645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提供系统基础运维管理，支持进程级健康检查及业务级健康检查；支持故障服务自动恢复的功能；提供系统基础运维管理，系统支持版本配置、变更、发布、历史版本管理、版本回滚的功能；</w:t>
            </w:r>
          </w:p>
        </w:tc>
        <w:tc>
          <w:tcPr>
            <w:tcW w:w="654" w:type="dxa"/>
            <w:tcBorders>
              <w:top w:val="nil"/>
              <w:left w:val="nil"/>
              <w:bottom w:val="single" w:color="000000" w:sz="4" w:space="0"/>
              <w:right w:val="single" w:color="000000" w:sz="4" w:space="0"/>
            </w:tcBorders>
            <w:shd w:val="clear" w:color="auto" w:fill="auto"/>
            <w:vAlign w:val="center"/>
          </w:tcPr>
          <w:p w14:paraId="5B035D4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CA2C5D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437B64C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EB6A084">
        <w:tblPrEx>
          <w:tblCellMar>
            <w:top w:w="0" w:type="dxa"/>
            <w:left w:w="108" w:type="dxa"/>
            <w:bottom w:w="0" w:type="dxa"/>
            <w:right w:w="108" w:type="dxa"/>
          </w:tblCellMar>
        </w:tblPrEx>
        <w:trPr>
          <w:trHeight w:val="375" w:hRule="atLeast"/>
        </w:trPr>
        <w:tc>
          <w:tcPr>
            <w:tcW w:w="615" w:type="dxa"/>
            <w:vMerge w:val="restart"/>
            <w:tcBorders>
              <w:top w:val="nil"/>
              <w:left w:val="single" w:color="000000" w:sz="4" w:space="0"/>
              <w:right w:val="single" w:color="000000" w:sz="4" w:space="0"/>
            </w:tcBorders>
            <w:shd w:val="clear" w:color="auto" w:fill="auto"/>
            <w:vAlign w:val="center"/>
          </w:tcPr>
          <w:p w14:paraId="3F1C136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81" w:type="dxa"/>
            <w:vMerge w:val="restart"/>
            <w:tcBorders>
              <w:top w:val="nil"/>
              <w:left w:val="nil"/>
              <w:right w:val="single" w:color="000000" w:sz="4" w:space="0"/>
            </w:tcBorders>
            <w:shd w:val="clear" w:color="auto" w:fill="auto"/>
            <w:vAlign w:val="center"/>
          </w:tcPr>
          <w:p w14:paraId="26790CF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接入授权扩容</w:t>
            </w:r>
          </w:p>
        </w:tc>
        <w:tc>
          <w:tcPr>
            <w:tcW w:w="5139" w:type="dxa"/>
            <w:tcBorders>
              <w:top w:val="nil"/>
              <w:left w:val="nil"/>
              <w:bottom w:val="single" w:color="auto" w:sz="4" w:space="0"/>
              <w:right w:val="single" w:color="000000" w:sz="4" w:space="0"/>
            </w:tcBorders>
            <w:shd w:val="clear" w:color="auto" w:fill="auto"/>
            <w:vAlign w:val="center"/>
          </w:tcPr>
          <w:p w14:paraId="07EE46E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w:t>
            </w:r>
            <w:r>
              <w:rPr>
                <w:rFonts w:ascii="宋体" w:hAnsi="宋体" w:cs="宋体"/>
                <w:kern w:val="0"/>
                <w:sz w:val="20"/>
                <w:szCs w:val="20"/>
              </w:rPr>
              <w:t>人像前端和结构化前端授权接入许可</w:t>
            </w:r>
            <w:r>
              <w:rPr>
                <w:rFonts w:hint="eastAsia" w:ascii="宋体" w:hAnsi="宋体" w:cs="宋体"/>
                <w:kern w:val="0"/>
                <w:sz w:val="20"/>
                <w:szCs w:val="20"/>
              </w:rPr>
              <w:t>扩容</w:t>
            </w:r>
            <w:r>
              <w:rPr>
                <w:rFonts w:ascii="宋体" w:hAnsi="宋体" w:cs="宋体"/>
                <w:kern w:val="0"/>
                <w:sz w:val="20"/>
                <w:szCs w:val="20"/>
              </w:rPr>
              <w:t>服务</w:t>
            </w:r>
          </w:p>
        </w:tc>
        <w:tc>
          <w:tcPr>
            <w:tcW w:w="654" w:type="dxa"/>
            <w:tcBorders>
              <w:top w:val="nil"/>
              <w:left w:val="nil"/>
              <w:bottom w:val="single" w:color="auto" w:sz="4" w:space="0"/>
              <w:right w:val="single" w:color="000000" w:sz="4" w:space="0"/>
            </w:tcBorders>
            <w:shd w:val="clear" w:color="auto" w:fill="auto"/>
            <w:vAlign w:val="center"/>
          </w:tcPr>
          <w:p w14:paraId="7D297A4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路</w:t>
            </w:r>
          </w:p>
        </w:tc>
        <w:tc>
          <w:tcPr>
            <w:tcW w:w="608" w:type="dxa"/>
            <w:tcBorders>
              <w:top w:val="nil"/>
              <w:left w:val="nil"/>
              <w:bottom w:val="single" w:color="auto" w:sz="4" w:space="0"/>
              <w:right w:val="single" w:color="000000" w:sz="4" w:space="0"/>
            </w:tcBorders>
            <w:shd w:val="clear" w:color="auto" w:fill="auto"/>
            <w:vAlign w:val="center"/>
          </w:tcPr>
          <w:p w14:paraId="7AE8C39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ascii="宋体" w:hAnsi="宋体" w:cs="宋体"/>
                <w:kern w:val="0"/>
                <w:sz w:val="20"/>
                <w:szCs w:val="20"/>
              </w:rPr>
              <w:t>400</w:t>
            </w:r>
          </w:p>
        </w:tc>
        <w:tc>
          <w:tcPr>
            <w:tcW w:w="418" w:type="dxa"/>
            <w:gridSpan w:val="2"/>
            <w:vMerge w:val="restart"/>
            <w:tcBorders>
              <w:top w:val="nil"/>
              <w:left w:val="nil"/>
              <w:right w:val="single" w:color="000000" w:sz="4" w:space="0"/>
            </w:tcBorders>
            <w:shd w:val="clear" w:color="auto" w:fill="auto"/>
            <w:vAlign w:val="center"/>
          </w:tcPr>
          <w:p w14:paraId="46C8BCA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4F44FD0">
        <w:tblPrEx>
          <w:tblCellMar>
            <w:top w:w="0" w:type="dxa"/>
            <w:left w:w="108" w:type="dxa"/>
            <w:bottom w:w="0" w:type="dxa"/>
            <w:right w:w="108" w:type="dxa"/>
          </w:tblCellMar>
        </w:tblPrEx>
        <w:trPr>
          <w:trHeight w:val="234"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326340C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p>
        </w:tc>
        <w:tc>
          <w:tcPr>
            <w:tcW w:w="1081" w:type="dxa"/>
            <w:vMerge w:val="continue"/>
            <w:tcBorders>
              <w:left w:val="nil"/>
              <w:bottom w:val="single" w:color="000000" w:sz="4" w:space="0"/>
              <w:right w:val="single" w:color="000000" w:sz="4" w:space="0"/>
            </w:tcBorders>
            <w:shd w:val="clear" w:color="auto" w:fill="auto"/>
            <w:vAlign w:val="center"/>
          </w:tcPr>
          <w:p w14:paraId="4F61C248">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5139" w:type="dxa"/>
            <w:tcBorders>
              <w:top w:val="single" w:color="auto" w:sz="4" w:space="0"/>
              <w:left w:val="nil"/>
              <w:bottom w:val="single" w:color="000000" w:sz="4" w:space="0"/>
              <w:right w:val="single" w:color="000000" w:sz="4" w:space="0"/>
            </w:tcBorders>
            <w:shd w:val="clear" w:color="auto" w:fill="auto"/>
            <w:vAlign w:val="center"/>
          </w:tcPr>
          <w:p w14:paraId="08E7E83B">
            <w:pPr>
              <w:keepNext w:val="0"/>
              <w:keepLines w:val="0"/>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w:t>
            </w:r>
            <w:r>
              <w:rPr>
                <w:rFonts w:ascii="宋体" w:hAnsi="宋体" w:cs="宋体"/>
                <w:kern w:val="0"/>
                <w:sz w:val="20"/>
                <w:szCs w:val="20"/>
              </w:rPr>
              <w:t>单路监控点的接入许可扩容服务</w:t>
            </w:r>
          </w:p>
        </w:tc>
        <w:tc>
          <w:tcPr>
            <w:tcW w:w="654" w:type="dxa"/>
            <w:tcBorders>
              <w:top w:val="single" w:color="auto" w:sz="4" w:space="0"/>
              <w:left w:val="nil"/>
              <w:bottom w:val="single" w:color="000000" w:sz="4" w:space="0"/>
              <w:right w:val="single" w:color="000000" w:sz="4" w:space="0"/>
            </w:tcBorders>
            <w:shd w:val="clear" w:color="auto" w:fill="auto"/>
            <w:vAlign w:val="center"/>
          </w:tcPr>
          <w:p w14:paraId="050DDB00">
            <w:pPr>
              <w:keepNext w:val="0"/>
              <w:keepLines w:val="0"/>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路</w:t>
            </w:r>
          </w:p>
        </w:tc>
        <w:tc>
          <w:tcPr>
            <w:tcW w:w="608" w:type="dxa"/>
            <w:tcBorders>
              <w:top w:val="single" w:color="auto" w:sz="4" w:space="0"/>
              <w:left w:val="nil"/>
              <w:bottom w:val="single" w:color="000000" w:sz="4" w:space="0"/>
              <w:right w:val="single" w:color="000000" w:sz="4" w:space="0"/>
            </w:tcBorders>
            <w:shd w:val="clear" w:color="auto" w:fill="auto"/>
            <w:vAlign w:val="center"/>
          </w:tcPr>
          <w:p w14:paraId="5A17901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400</w:t>
            </w:r>
          </w:p>
        </w:tc>
        <w:tc>
          <w:tcPr>
            <w:tcW w:w="418" w:type="dxa"/>
            <w:gridSpan w:val="2"/>
            <w:vMerge w:val="continue"/>
            <w:tcBorders>
              <w:left w:val="nil"/>
              <w:bottom w:val="single" w:color="000000" w:sz="4" w:space="0"/>
              <w:right w:val="single" w:color="000000" w:sz="4" w:space="0"/>
            </w:tcBorders>
            <w:shd w:val="clear" w:color="auto" w:fill="auto"/>
            <w:vAlign w:val="center"/>
          </w:tcPr>
          <w:p w14:paraId="22B44FD1">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4E6F773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04A242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81" w:type="dxa"/>
            <w:tcBorders>
              <w:top w:val="nil"/>
              <w:left w:val="nil"/>
              <w:bottom w:val="single" w:color="000000" w:sz="4" w:space="0"/>
              <w:right w:val="single" w:color="000000" w:sz="4" w:space="0"/>
            </w:tcBorders>
            <w:shd w:val="clear" w:color="auto" w:fill="auto"/>
            <w:vAlign w:val="center"/>
          </w:tcPr>
          <w:p w14:paraId="5FDFDFC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违法研判</w:t>
            </w:r>
          </w:p>
        </w:tc>
        <w:tc>
          <w:tcPr>
            <w:tcW w:w="5139" w:type="dxa"/>
            <w:tcBorders>
              <w:top w:val="nil"/>
              <w:left w:val="nil"/>
              <w:bottom w:val="single" w:color="000000" w:sz="4" w:space="0"/>
              <w:right w:val="single" w:color="000000" w:sz="4" w:space="0"/>
            </w:tcBorders>
            <w:shd w:val="clear" w:color="auto" w:fill="auto"/>
            <w:vAlign w:val="center"/>
          </w:tcPr>
          <w:p w14:paraId="0192D5C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系统支持选中车辆后在右侧显示相应车辆信息的过车图片详情及违法信息详情，包括当事人、违法时间、违法地点、违法行为、违法记分、发现机关、类别等信息的功能；</w:t>
            </w:r>
          </w:p>
        </w:tc>
        <w:tc>
          <w:tcPr>
            <w:tcW w:w="654" w:type="dxa"/>
            <w:tcBorders>
              <w:top w:val="nil"/>
              <w:left w:val="nil"/>
              <w:bottom w:val="single" w:color="000000" w:sz="4" w:space="0"/>
              <w:right w:val="single" w:color="000000" w:sz="4" w:space="0"/>
            </w:tcBorders>
            <w:shd w:val="clear" w:color="auto" w:fill="auto"/>
            <w:vAlign w:val="center"/>
          </w:tcPr>
          <w:p w14:paraId="285F18C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85F1DE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7AD8436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1ABAB6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54A79A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81" w:type="dxa"/>
            <w:tcBorders>
              <w:top w:val="nil"/>
              <w:left w:val="nil"/>
              <w:bottom w:val="single" w:color="000000" w:sz="4" w:space="0"/>
              <w:right w:val="single" w:color="000000" w:sz="4" w:space="0"/>
            </w:tcBorders>
            <w:shd w:val="clear" w:color="auto" w:fill="auto"/>
            <w:vAlign w:val="center"/>
          </w:tcPr>
          <w:p w14:paraId="3E06904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非机动车研判</w:t>
            </w:r>
          </w:p>
        </w:tc>
        <w:tc>
          <w:tcPr>
            <w:tcW w:w="5139" w:type="dxa"/>
            <w:tcBorders>
              <w:top w:val="nil"/>
              <w:left w:val="nil"/>
              <w:bottom w:val="single" w:color="000000" w:sz="4" w:space="0"/>
              <w:right w:val="single" w:color="000000" w:sz="4" w:space="0"/>
            </w:tcBorders>
            <w:shd w:val="clear" w:color="auto" w:fill="auto"/>
            <w:vAlign w:val="center"/>
          </w:tcPr>
          <w:p w14:paraId="6D2F5C0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非机动车的特征进行检索，包括车辆类别（自行车、简易电瓶车、踏板电瓶车、摩托车、三轮车）、时间（昨天、今天、近一周、近一个月）、骑行人员特征（戴头盔、戴帽子、戴口罩、戴墨镜）、加装伞具、外卖广告标识（美团、饿了么）、载人、正背面等特征，查询结果能够跳转非机动车以图搜图的功能；系统支持导入非机动车图片以图搜图，根据特征检索相似过车图片，相似度从高到低展示，并可根据时间、相似度、设备等条件提高检索精度的功能；系统支持根据非机动车类型（包括自行车、三轮车、带棚三轮车、简易电动车、踏板电动车、摩托车）检索符合条件的非机动车信息的功能等；</w:t>
            </w:r>
          </w:p>
        </w:tc>
        <w:tc>
          <w:tcPr>
            <w:tcW w:w="654" w:type="dxa"/>
            <w:tcBorders>
              <w:top w:val="nil"/>
              <w:left w:val="nil"/>
              <w:bottom w:val="single" w:color="000000" w:sz="4" w:space="0"/>
              <w:right w:val="single" w:color="000000" w:sz="4" w:space="0"/>
            </w:tcBorders>
            <w:shd w:val="clear" w:color="auto" w:fill="auto"/>
            <w:vAlign w:val="center"/>
          </w:tcPr>
          <w:p w14:paraId="6603BF6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7046F9D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201736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BA5D35">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2A9296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1081" w:type="dxa"/>
            <w:tcBorders>
              <w:top w:val="nil"/>
              <w:left w:val="nil"/>
              <w:bottom w:val="single" w:color="000000" w:sz="4" w:space="0"/>
              <w:right w:val="single" w:color="000000" w:sz="4" w:space="0"/>
            </w:tcBorders>
            <w:shd w:val="clear" w:color="auto" w:fill="auto"/>
            <w:vAlign w:val="center"/>
          </w:tcPr>
          <w:p w14:paraId="7B6CA56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服务监控告警管理</w:t>
            </w:r>
          </w:p>
        </w:tc>
        <w:tc>
          <w:tcPr>
            <w:tcW w:w="5139" w:type="dxa"/>
            <w:tcBorders>
              <w:top w:val="nil"/>
              <w:left w:val="nil"/>
              <w:bottom w:val="single" w:color="000000" w:sz="4" w:space="0"/>
              <w:right w:val="single" w:color="000000" w:sz="4" w:space="0"/>
            </w:tcBorders>
            <w:shd w:val="clear" w:color="auto" w:fill="auto"/>
            <w:vAlign w:val="center"/>
          </w:tcPr>
          <w:p w14:paraId="4AAE954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服务监控及告警服务，支持对监控内容进行可视化展示，包括主机监控、组件监控、集群监控等；提供服务监控及告警服务，支持对监控内容进行可视化展示，包括主机监控（主机状态、内存使用、CPU使用、磁盘空间、主机负载、网络流量、TCP 连接数、磁盘读写速度、磁盘利用率）、组件监控（Mysql、Elasticsearch、Kafka、Redis）、集群监控（node 不可用数量、Pod Terminated 数量、Pod pending 数量、Pod unknown 数量）的功能；</w:t>
            </w:r>
          </w:p>
        </w:tc>
        <w:tc>
          <w:tcPr>
            <w:tcW w:w="654" w:type="dxa"/>
            <w:tcBorders>
              <w:top w:val="nil"/>
              <w:left w:val="nil"/>
              <w:bottom w:val="single" w:color="000000" w:sz="4" w:space="0"/>
              <w:right w:val="single" w:color="000000" w:sz="4" w:space="0"/>
            </w:tcBorders>
            <w:shd w:val="clear" w:color="auto" w:fill="auto"/>
            <w:vAlign w:val="center"/>
          </w:tcPr>
          <w:p w14:paraId="31596B3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E14E5A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7823156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BFFF41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27E7B71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1081" w:type="dxa"/>
            <w:tcBorders>
              <w:top w:val="nil"/>
              <w:left w:val="nil"/>
              <w:bottom w:val="single" w:color="000000" w:sz="4" w:space="0"/>
              <w:right w:val="single" w:color="000000" w:sz="4" w:space="0"/>
            </w:tcBorders>
            <w:shd w:val="clear" w:color="auto" w:fill="auto"/>
            <w:vAlign w:val="center"/>
          </w:tcPr>
          <w:p w14:paraId="338CFD4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3D地图对接服务</w:t>
            </w:r>
          </w:p>
        </w:tc>
        <w:tc>
          <w:tcPr>
            <w:tcW w:w="5139" w:type="dxa"/>
            <w:tcBorders>
              <w:top w:val="nil"/>
              <w:left w:val="nil"/>
              <w:bottom w:val="single" w:color="000000" w:sz="4" w:space="0"/>
              <w:right w:val="single" w:color="000000" w:sz="4" w:space="0"/>
            </w:tcBorders>
            <w:shd w:val="clear" w:color="auto" w:fill="auto"/>
            <w:vAlign w:val="center"/>
          </w:tcPr>
          <w:p w14:paraId="15901CA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3</w:t>
            </w:r>
            <w:r>
              <w:rPr>
                <w:rFonts w:ascii="宋体" w:hAnsi="宋体" w:cs="宋体"/>
                <w:kern w:val="0"/>
                <w:sz w:val="20"/>
                <w:szCs w:val="20"/>
              </w:rPr>
              <w:t>D地图对接服务，通过</w:t>
            </w:r>
            <w:r>
              <w:rPr>
                <w:rFonts w:hint="eastAsia" w:ascii="宋体" w:hAnsi="宋体" w:cs="宋体"/>
                <w:kern w:val="0"/>
                <w:sz w:val="20"/>
                <w:szCs w:val="20"/>
              </w:rPr>
              <w:t>接入无人机航拍的实景地图，实现全实景化管理。</w:t>
            </w:r>
          </w:p>
        </w:tc>
        <w:tc>
          <w:tcPr>
            <w:tcW w:w="654" w:type="dxa"/>
            <w:tcBorders>
              <w:top w:val="nil"/>
              <w:left w:val="nil"/>
              <w:bottom w:val="single" w:color="000000" w:sz="4" w:space="0"/>
              <w:right w:val="single" w:color="000000" w:sz="4" w:space="0"/>
            </w:tcBorders>
            <w:shd w:val="clear" w:color="auto" w:fill="auto"/>
            <w:vAlign w:val="center"/>
          </w:tcPr>
          <w:p w14:paraId="1342CE0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2028586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4D177D1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E5C62C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C9096F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1081" w:type="dxa"/>
            <w:tcBorders>
              <w:top w:val="nil"/>
              <w:left w:val="nil"/>
              <w:bottom w:val="single" w:color="000000" w:sz="4" w:space="0"/>
              <w:right w:val="single" w:color="000000" w:sz="4" w:space="0"/>
            </w:tcBorders>
            <w:shd w:val="clear" w:color="auto" w:fill="auto"/>
            <w:vAlign w:val="center"/>
          </w:tcPr>
          <w:p w14:paraId="5E2BD58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原有定制内容迁移</w:t>
            </w:r>
          </w:p>
        </w:tc>
        <w:tc>
          <w:tcPr>
            <w:tcW w:w="5139" w:type="dxa"/>
            <w:tcBorders>
              <w:top w:val="nil"/>
              <w:left w:val="nil"/>
              <w:bottom w:val="single" w:color="000000" w:sz="4" w:space="0"/>
              <w:right w:val="single" w:color="000000" w:sz="4" w:space="0"/>
            </w:tcBorders>
            <w:shd w:val="clear" w:color="auto" w:fill="auto"/>
            <w:vAlign w:val="center"/>
          </w:tcPr>
          <w:p w14:paraId="0B89E0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原有一期二期定制内容升级迁移。</w:t>
            </w:r>
          </w:p>
        </w:tc>
        <w:tc>
          <w:tcPr>
            <w:tcW w:w="654" w:type="dxa"/>
            <w:tcBorders>
              <w:top w:val="nil"/>
              <w:left w:val="nil"/>
              <w:bottom w:val="single" w:color="000000" w:sz="4" w:space="0"/>
              <w:right w:val="single" w:color="000000" w:sz="4" w:space="0"/>
            </w:tcBorders>
            <w:shd w:val="clear" w:color="auto" w:fill="auto"/>
            <w:vAlign w:val="center"/>
          </w:tcPr>
          <w:p w14:paraId="6150B7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608" w:type="dxa"/>
            <w:tcBorders>
              <w:top w:val="nil"/>
              <w:left w:val="nil"/>
              <w:bottom w:val="single" w:color="000000" w:sz="4" w:space="0"/>
              <w:right w:val="single" w:color="000000" w:sz="4" w:space="0"/>
            </w:tcBorders>
            <w:shd w:val="clear" w:color="auto" w:fill="auto"/>
            <w:vAlign w:val="center"/>
          </w:tcPr>
          <w:p w14:paraId="6085BB8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0E1E58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52FA412">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9C73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555ED0A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4812E13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6889FAF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40657A11">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F88EE">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（二）视频图像信息数据库扩容升级</w:t>
            </w:r>
          </w:p>
        </w:tc>
        <w:tc>
          <w:tcPr>
            <w:tcW w:w="390" w:type="dxa"/>
            <w:tcBorders>
              <w:top w:val="nil"/>
              <w:left w:val="nil"/>
              <w:bottom w:val="single" w:color="000000" w:sz="4" w:space="0"/>
              <w:right w:val="single" w:color="000000" w:sz="4" w:space="0"/>
            </w:tcBorders>
            <w:shd w:val="clear" w:color="auto" w:fill="auto"/>
            <w:vAlign w:val="center"/>
          </w:tcPr>
          <w:p w14:paraId="3DC01905">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374F615E">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E79A2A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456B9DE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视图库基础服务组件</w:t>
            </w:r>
          </w:p>
        </w:tc>
        <w:tc>
          <w:tcPr>
            <w:tcW w:w="5139" w:type="dxa"/>
            <w:tcBorders>
              <w:top w:val="nil"/>
              <w:left w:val="nil"/>
              <w:bottom w:val="single" w:color="000000" w:sz="4" w:space="0"/>
              <w:right w:val="single" w:color="000000" w:sz="4" w:space="0"/>
            </w:tcBorders>
            <w:shd w:val="clear" w:color="auto" w:fill="auto"/>
            <w:vAlign w:val="center"/>
          </w:tcPr>
          <w:p w14:paraId="6D91B17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提供视图库服务的基础服务组件；</w:t>
            </w:r>
          </w:p>
        </w:tc>
        <w:tc>
          <w:tcPr>
            <w:tcW w:w="654" w:type="dxa"/>
            <w:tcBorders>
              <w:top w:val="nil"/>
              <w:left w:val="nil"/>
              <w:bottom w:val="single" w:color="000000" w:sz="4" w:space="0"/>
              <w:right w:val="single" w:color="000000" w:sz="4" w:space="0"/>
            </w:tcBorders>
            <w:shd w:val="clear" w:color="auto" w:fill="auto"/>
            <w:vAlign w:val="center"/>
          </w:tcPr>
          <w:p w14:paraId="33CDE00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514288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189D6DD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r>
      <w:tr w14:paraId="7F97B7E8">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B59BF1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632A76C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视图库管理调度组件</w:t>
            </w:r>
          </w:p>
        </w:tc>
        <w:tc>
          <w:tcPr>
            <w:tcW w:w="5139" w:type="dxa"/>
            <w:tcBorders>
              <w:top w:val="nil"/>
              <w:left w:val="nil"/>
              <w:bottom w:val="single" w:color="000000" w:sz="4" w:space="0"/>
              <w:right w:val="single" w:color="000000" w:sz="4" w:space="0"/>
            </w:tcBorders>
            <w:shd w:val="clear" w:color="auto" w:fill="auto"/>
            <w:vAlign w:val="center"/>
          </w:tcPr>
          <w:p w14:paraId="123BAAF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提供视图库服务的管理调度框架；</w:t>
            </w:r>
          </w:p>
        </w:tc>
        <w:tc>
          <w:tcPr>
            <w:tcW w:w="654" w:type="dxa"/>
            <w:tcBorders>
              <w:top w:val="nil"/>
              <w:left w:val="nil"/>
              <w:bottom w:val="single" w:color="000000" w:sz="4" w:space="0"/>
              <w:right w:val="single" w:color="000000" w:sz="4" w:space="0"/>
            </w:tcBorders>
            <w:shd w:val="clear" w:color="auto" w:fill="auto"/>
            <w:vAlign w:val="center"/>
          </w:tcPr>
          <w:p w14:paraId="4CB1520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24D89F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B0E53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1BC09A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012ED3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7DD8BD2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视图库基础数据管理</w:t>
            </w:r>
          </w:p>
        </w:tc>
        <w:tc>
          <w:tcPr>
            <w:tcW w:w="5139" w:type="dxa"/>
            <w:tcBorders>
              <w:top w:val="nil"/>
              <w:left w:val="nil"/>
              <w:bottom w:val="single" w:color="000000" w:sz="4" w:space="0"/>
              <w:right w:val="single" w:color="000000" w:sz="4" w:space="0"/>
            </w:tcBorders>
            <w:shd w:val="clear" w:color="auto" w:fill="auto"/>
            <w:vAlign w:val="center"/>
          </w:tcPr>
          <w:p w14:paraId="6B04AD5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提供视图库服务的设备基础数据管理服务；</w:t>
            </w:r>
          </w:p>
        </w:tc>
        <w:tc>
          <w:tcPr>
            <w:tcW w:w="654" w:type="dxa"/>
            <w:tcBorders>
              <w:top w:val="nil"/>
              <w:left w:val="nil"/>
              <w:bottom w:val="single" w:color="000000" w:sz="4" w:space="0"/>
              <w:right w:val="single" w:color="000000" w:sz="4" w:space="0"/>
            </w:tcBorders>
            <w:shd w:val="clear" w:color="auto" w:fill="auto"/>
            <w:vAlign w:val="center"/>
          </w:tcPr>
          <w:p w14:paraId="5D28E82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C9F0EC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021FA7A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9634175">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8E718E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198AED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视图库基础权限管理</w:t>
            </w:r>
          </w:p>
        </w:tc>
        <w:tc>
          <w:tcPr>
            <w:tcW w:w="5139" w:type="dxa"/>
            <w:tcBorders>
              <w:top w:val="nil"/>
              <w:left w:val="nil"/>
              <w:bottom w:val="single" w:color="000000" w:sz="4" w:space="0"/>
              <w:right w:val="single" w:color="000000" w:sz="4" w:space="0"/>
            </w:tcBorders>
            <w:shd w:val="clear" w:color="auto" w:fill="auto"/>
            <w:vAlign w:val="center"/>
          </w:tcPr>
          <w:p w14:paraId="3614F7C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提供视图库服务的基础权限管理服务；</w:t>
            </w:r>
          </w:p>
        </w:tc>
        <w:tc>
          <w:tcPr>
            <w:tcW w:w="654" w:type="dxa"/>
            <w:tcBorders>
              <w:top w:val="nil"/>
              <w:left w:val="nil"/>
              <w:bottom w:val="single" w:color="000000" w:sz="4" w:space="0"/>
              <w:right w:val="single" w:color="000000" w:sz="4" w:space="0"/>
            </w:tcBorders>
            <w:shd w:val="clear" w:color="auto" w:fill="auto"/>
            <w:vAlign w:val="center"/>
          </w:tcPr>
          <w:p w14:paraId="46BEA16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967126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1C1419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93725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893831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2E6E9EE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视图库日志管理</w:t>
            </w:r>
          </w:p>
        </w:tc>
        <w:tc>
          <w:tcPr>
            <w:tcW w:w="5139" w:type="dxa"/>
            <w:tcBorders>
              <w:top w:val="nil"/>
              <w:left w:val="nil"/>
              <w:bottom w:val="single" w:color="000000" w:sz="4" w:space="0"/>
              <w:right w:val="single" w:color="000000" w:sz="4" w:space="0"/>
            </w:tcBorders>
            <w:shd w:val="clear" w:color="auto" w:fill="auto"/>
            <w:vAlign w:val="center"/>
          </w:tcPr>
          <w:p w14:paraId="7D52D5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提供视图库服务的日志管理服务；</w:t>
            </w:r>
          </w:p>
        </w:tc>
        <w:tc>
          <w:tcPr>
            <w:tcW w:w="654" w:type="dxa"/>
            <w:tcBorders>
              <w:top w:val="nil"/>
              <w:left w:val="nil"/>
              <w:bottom w:val="single" w:color="000000" w:sz="4" w:space="0"/>
              <w:right w:val="single" w:color="000000" w:sz="4" w:space="0"/>
            </w:tcBorders>
            <w:shd w:val="clear" w:color="auto" w:fill="auto"/>
            <w:vAlign w:val="center"/>
          </w:tcPr>
          <w:p w14:paraId="5E03D35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1B8FA7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3A1C334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75A5B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429DF9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81" w:type="dxa"/>
            <w:tcBorders>
              <w:top w:val="nil"/>
              <w:left w:val="nil"/>
              <w:bottom w:val="single" w:color="000000" w:sz="4" w:space="0"/>
              <w:right w:val="single" w:color="000000" w:sz="4" w:space="0"/>
            </w:tcBorders>
            <w:shd w:val="clear" w:color="auto" w:fill="auto"/>
            <w:vAlign w:val="center"/>
          </w:tcPr>
          <w:p w14:paraId="2D48B75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数据检索</w:t>
            </w:r>
          </w:p>
        </w:tc>
        <w:tc>
          <w:tcPr>
            <w:tcW w:w="5139" w:type="dxa"/>
            <w:tcBorders>
              <w:top w:val="nil"/>
              <w:left w:val="nil"/>
              <w:bottom w:val="single" w:color="000000" w:sz="4" w:space="0"/>
              <w:right w:val="single" w:color="000000" w:sz="4" w:space="0"/>
            </w:tcBorders>
            <w:shd w:val="clear" w:color="auto" w:fill="auto"/>
            <w:vAlign w:val="center"/>
          </w:tcPr>
          <w:p w14:paraId="2B24762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提供人脸、人员、机动车对象的数据检索；支持检索结果的详细信息展示；</w:t>
            </w:r>
          </w:p>
        </w:tc>
        <w:tc>
          <w:tcPr>
            <w:tcW w:w="654" w:type="dxa"/>
            <w:tcBorders>
              <w:top w:val="nil"/>
              <w:left w:val="nil"/>
              <w:bottom w:val="single" w:color="000000" w:sz="4" w:space="0"/>
              <w:right w:val="single" w:color="000000" w:sz="4" w:space="0"/>
            </w:tcBorders>
            <w:shd w:val="clear" w:color="auto" w:fill="auto"/>
            <w:vAlign w:val="center"/>
          </w:tcPr>
          <w:p w14:paraId="5B497E5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CD7F9A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D4A630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8FF6B24">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5EBE32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81" w:type="dxa"/>
            <w:tcBorders>
              <w:top w:val="nil"/>
              <w:left w:val="nil"/>
              <w:bottom w:val="single" w:color="000000" w:sz="4" w:space="0"/>
              <w:right w:val="single" w:color="000000" w:sz="4" w:space="0"/>
            </w:tcBorders>
            <w:shd w:val="clear" w:color="auto" w:fill="auto"/>
            <w:vAlign w:val="center"/>
          </w:tcPr>
          <w:p w14:paraId="01E8D96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规则存储管理</w:t>
            </w:r>
          </w:p>
        </w:tc>
        <w:tc>
          <w:tcPr>
            <w:tcW w:w="5139" w:type="dxa"/>
            <w:tcBorders>
              <w:top w:val="nil"/>
              <w:left w:val="nil"/>
              <w:bottom w:val="single" w:color="000000" w:sz="4" w:space="0"/>
              <w:right w:val="single" w:color="000000" w:sz="4" w:space="0"/>
            </w:tcBorders>
            <w:shd w:val="clear" w:color="auto" w:fill="auto"/>
            <w:vAlign w:val="center"/>
          </w:tcPr>
          <w:p w14:paraId="3E3076D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提供布控规则的存储管理功能；</w:t>
            </w:r>
          </w:p>
        </w:tc>
        <w:tc>
          <w:tcPr>
            <w:tcW w:w="654" w:type="dxa"/>
            <w:tcBorders>
              <w:top w:val="nil"/>
              <w:left w:val="nil"/>
              <w:bottom w:val="single" w:color="000000" w:sz="4" w:space="0"/>
              <w:right w:val="single" w:color="000000" w:sz="4" w:space="0"/>
            </w:tcBorders>
            <w:shd w:val="clear" w:color="auto" w:fill="auto"/>
            <w:vAlign w:val="center"/>
          </w:tcPr>
          <w:p w14:paraId="3B3A777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8BD1F2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3470973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256750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2EABA2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81" w:type="dxa"/>
            <w:tcBorders>
              <w:top w:val="nil"/>
              <w:left w:val="nil"/>
              <w:bottom w:val="single" w:color="000000" w:sz="4" w:space="0"/>
              <w:right w:val="single" w:color="000000" w:sz="4" w:space="0"/>
            </w:tcBorders>
            <w:shd w:val="clear" w:color="auto" w:fill="auto"/>
            <w:vAlign w:val="center"/>
          </w:tcPr>
          <w:p w14:paraId="721EF08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预警任务事件管理</w:t>
            </w:r>
          </w:p>
        </w:tc>
        <w:tc>
          <w:tcPr>
            <w:tcW w:w="5139" w:type="dxa"/>
            <w:tcBorders>
              <w:top w:val="nil"/>
              <w:left w:val="nil"/>
              <w:bottom w:val="single" w:color="000000" w:sz="4" w:space="0"/>
              <w:right w:val="single" w:color="000000" w:sz="4" w:space="0"/>
            </w:tcBorders>
            <w:shd w:val="clear" w:color="auto" w:fill="auto"/>
            <w:vAlign w:val="center"/>
          </w:tcPr>
          <w:p w14:paraId="419BFB5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提供预警任务的展示以及预警事件的展示功能。</w:t>
            </w:r>
          </w:p>
        </w:tc>
        <w:tc>
          <w:tcPr>
            <w:tcW w:w="654" w:type="dxa"/>
            <w:tcBorders>
              <w:top w:val="nil"/>
              <w:left w:val="nil"/>
              <w:bottom w:val="single" w:color="000000" w:sz="4" w:space="0"/>
              <w:right w:val="single" w:color="000000" w:sz="4" w:space="0"/>
            </w:tcBorders>
            <w:shd w:val="clear" w:color="auto" w:fill="auto"/>
            <w:vAlign w:val="center"/>
          </w:tcPr>
          <w:p w14:paraId="30275A4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C18AF0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4A161EB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C5A61F6">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19135E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81" w:type="dxa"/>
            <w:tcBorders>
              <w:top w:val="nil"/>
              <w:left w:val="nil"/>
              <w:bottom w:val="single" w:color="000000" w:sz="4" w:space="0"/>
              <w:right w:val="single" w:color="000000" w:sz="4" w:space="0"/>
            </w:tcBorders>
            <w:shd w:val="clear" w:color="auto" w:fill="auto"/>
            <w:vAlign w:val="center"/>
          </w:tcPr>
          <w:p w14:paraId="099C978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历史数据迁移开发</w:t>
            </w:r>
          </w:p>
        </w:tc>
        <w:tc>
          <w:tcPr>
            <w:tcW w:w="5139" w:type="dxa"/>
            <w:tcBorders>
              <w:top w:val="nil"/>
              <w:left w:val="nil"/>
              <w:bottom w:val="single" w:color="000000" w:sz="4" w:space="0"/>
              <w:right w:val="single" w:color="000000" w:sz="4" w:space="0"/>
            </w:tcBorders>
            <w:shd w:val="clear" w:color="auto" w:fill="auto"/>
            <w:vAlign w:val="center"/>
          </w:tcPr>
          <w:p w14:paraId="38E3149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实现视图库升级、完成历史数据的迁移工作。</w:t>
            </w:r>
          </w:p>
        </w:tc>
        <w:tc>
          <w:tcPr>
            <w:tcW w:w="654" w:type="dxa"/>
            <w:tcBorders>
              <w:top w:val="nil"/>
              <w:left w:val="nil"/>
              <w:bottom w:val="single" w:color="000000" w:sz="4" w:space="0"/>
              <w:right w:val="single" w:color="000000" w:sz="4" w:space="0"/>
            </w:tcBorders>
            <w:shd w:val="clear" w:color="auto" w:fill="auto"/>
            <w:vAlign w:val="center"/>
          </w:tcPr>
          <w:p w14:paraId="12FAE42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608" w:type="dxa"/>
            <w:tcBorders>
              <w:top w:val="nil"/>
              <w:left w:val="nil"/>
              <w:bottom w:val="single" w:color="000000" w:sz="4" w:space="0"/>
              <w:right w:val="single" w:color="000000" w:sz="4" w:space="0"/>
            </w:tcBorders>
            <w:shd w:val="clear" w:color="auto" w:fill="auto"/>
            <w:vAlign w:val="center"/>
          </w:tcPr>
          <w:p w14:paraId="383CE9F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E184E1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502507A">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ACE2A">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4356578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0277081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4F4617D5">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790D26B2">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F2C1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（三）人像应用平台软件升级</w:t>
            </w:r>
          </w:p>
        </w:tc>
        <w:tc>
          <w:tcPr>
            <w:tcW w:w="390" w:type="dxa"/>
            <w:tcBorders>
              <w:top w:val="nil"/>
              <w:left w:val="nil"/>
              <w:bottom w:val="single" w:color="000000" w:sz="4" w:space="0"/>
              <w:right w:val="single" w:color="000000" w:sz="4" w:space="0"/>
            </w:tcBorders>
            <w:shd w:val="clear" w:color="auto" w:fill="auto"/>
            <w:vAlign w:val="center"/>
          </w:tcPr>
          <w:p w14:paraId="783486B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4D5F3B82">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585666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41EEBE1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★本地照片身份核查</w:t>
            </w:r>
          </w:p>
        </w:tc>
        <w:tc>
          <w:tcPr>
            <w:tcW w:w="5139" w:type="dxa"/>
            <w:tcBorders>
              <w:top w:val="nil"/>
              <w:left w:val="nil"/>
              <w:bottom w:val="single" w:color="000000" w:sz="4" w:space="0"/>
              <w:right w:val="single" w:color="000000" w:sz="4" w:space="0"/>
            </w:tcBorders>
            <w:shd w:val="clear" w:color="auto" w:fill="auto"/>
            <w:vAlign w:val="center"/>
          </w:tcPr>
          <w:p w14:paraId="11C1606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系统支持上传一张本地照片，选择平台接入的算法引擎（支持多选）与选中的人员库（支持多选）进行身份核查，找出人员库照片的功能；</w:t>
            </w:r>
          </w:p>
        </w:tc>
        <w:tc>
          <w:tcPr>
            <w:tcW w:w="654" w:type="dxa"/>
            <w:tcBorders>
              <w:top w:val="nil"/>
              <w:left w:val="nil"/>
              <w:bottom w:val="single" w:color="000000" w:sz="4" w:space="0"/>
              <w:right w:val="single" w:color="000000" w:sz="4" w:space="0"/>
            </w:tcBorders>
            <w:shd w:val="clear" w:color="auto" w:fill="auto"/>
            <w:vAlign w:val="center"/>
          </w:tcPr>
          <w:p w14:paraId="0E4ECEF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9FC96D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571F0C8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D938A20">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6255BB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0AF6E3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目标时空范围抓拍功能</w:t>
            </w:r>
          </w:p>
        </w:tc>
        <w:tc>
          <w:tcPr>
            <w:tcW w:w="5139" w:type="dxa"/>
            <w:tcBorders>
              <w:top w:val="nil"/>
              <w:left w:val="nil"/>
              <w:bottom w:val="single" w:color="000000" w:sz="4" w:space="0"/>
              <w:right w:val="single" w:color="000000" w:sz="4" w:space="0"/>
            </w:tcBorders>
            <w:shd w:val="clear" w:color="auto" w:fill="auto"/>
            <w:vAlign w:val="center"/>
          </w:tcPr>
          <w:p w14:paraId="1FD417C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支持人员基础检索功能，系统支持上传一张本地照片，选择平台接入的算法引擎（支持多选），在选中的时间、区域范围里对抓拍人脸进行比对，找出原始照片在目标时空范围里的抓拍记录的功能；</w:t>
            </w:r>
          </w:p>
        </w:tc>
        <w:tc>
          <w:tcPr>
            <w:tcW w:w="654" w:type="dxa"/>
            <w:tcBorders>
              <w:top w:val="nil"/>
              <w:left w:val="nil"/>
              <w:bottom w:val="single" w:color="000000" w:sz="4" w:space="0"/>
              <w:right w:val="single" w:color="000000" w:sz="4" w:space="0"/>
            </w:tcBorders>
            <w:shd w:val="clear" w:color="auto" w:fill="auto"/>
            <w:vAlign w:val="center"/>
          </w:tcPr>
          <w:p w14:paraId="065717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98DFFB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98823D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112DD1B">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153ABA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67CECC5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重新比对功能</w:t>
            </w:r>
          </w:p>
        </w:tc>
        <w:tc>
          <w:tcPr>
            <w:tcW w:w="5139" w:type="dxa"/>
            <w:tcBorders>
              <w:top w:val="nil"/>
              <w:left w:val="nil"/>
              <w:bottom w:val="single" w:color="000000" w:sz="4" w:space="0"/>
              <w:right w:val="single" w:color="000000" w:sz="4" w:space="0"/>
            </w:tcBorders>
            <w:shd w:val="clear" w:color="auto" w:fill="auto"/>
            <w:vAlign w:val="center"/>
          </w:tcPr>
          <w:p w14:paraId="44721BB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系统支持比对照片位置互换，重新比对的功能；</w:t>
            </w:r>
          </w:p>
        </w:tc>
        <w:tc>
          <w:tcPr>
            <w:tcW w:w="654" w:type="dxa"/>
            <w:tcBorders>
              <w:top w:val="nil"/>
              <w:left w:val="nil"/>
              <w:bottom w:val="single" w:color="000000" w:sz="4" w:space="0"/>
              <w:right w:val="single" w:color="000000" w:sz="4" w:space="0"/>
            </w:tcBorders>
            <w:shd w:val="clear" w:color="auto" w:fill="auto"/>
            <w:vAlign w:val="center"/>
          </w:tcPr>
          <w:p w14:paraId="59905A1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856FCE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DB894F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73D9D0">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CF2E12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2ACB4E4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抓拍详情信息</w:t>
            </w:r>
          </w:p>
        </w:tc>
        <w:tc>
          <w:tcPr>
            <w:tcW w:w="5139" w:type="dxa"/>
            <w:tcBorders>
              <w:top w:val="nil"/>
              <w:left w:val="nil"/>
              <w:bottom w:val="single" w:color="000000" w:sz="4" w:space="0"/>
              <w:right w:val="single" w:color="000000" w:sz="4" w:space="0"/>
            </w:tcBorders>
            <w:shd w:val="clear" w:color="auto" w:fill="auto"/>
            <w:vAlign w:val="center"/>
          </w:tcPr>
          <w:p w14:paraId="1600A45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系统支持查看某一个抓拍详情信息，包括该人员各类行为属性、已聚类入档案的身份信息的功能等；</w:t>
            </w:r>
          </w:p>
        </w:tc>
        <w:tc>
          <w:tcPr>
            <w:tcW w:w="654" w:type="dxa"/>
            <w:tcBorders>
              <w:top w:val="nil"/>
              <w:left w:val="nil"/>
              <w:bottom w:val="single" w:color="000000" w:sz="4" w:space="0"/>
              <w:right w:val="single" w:color="000000" w:sz="4" w:space="0"/>
            </w:tcBorders>
            <w:shd w:val="clear" w:color="auto" w:fill="auto"/>
            <w:vAlign w:val="center"/>
          </w:tcPr>
          <w:p w14:paraId="1286559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7166F6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5D66CD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154A58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869553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7B1AA9D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布控任务列表展示</w:t>
            </w:r>
          </w:p>
        </w:tc>
        <w:tc>
          <w:tcPr>
            <w:tcW w:w="5139" w:type="dxa"/>
            <w:tcBorders>
              <w:top w:val="nil"/>
              <w:left w:val="nil"/>
              <w:bottom w:val="single" w:color="000000" w:sz="4" w:space="0"/>
              <w:right w:val="single" w:color="000000" w:sz="4" w:space="0"/>
            </w:tcBorders>
            <w:shd w:val="clear" w:color="auto" w:fill="auto"/>
            <w:vAlign w:val="center"/>
          </w:tcPr>
          <w:p w14:paraId="59A9810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系统支持布控任务以列表形式展示，包括布控任务名称、创建人、布控级别、布控时间、告警灵敏度，并能检索布控任务的功能；</w:t>
            </w:r>
          </w:p>
        </w:tc>
        <w:tc>
          <w:tcPr>
            <w:tcW w:w="654" w:type="dxa"/>
            <w:tcBorders>
              <w:top w:val="nil"/>
              <w:left w:val="nil"/>
              <w:bottom w:val="single" w:color="000000" w:sz="4" w:space="0"/>
              <w:right w:val="single" w:color="000000" w:sz="4" w:space="0"/>
            </w:tcBorders>
            <w:shd w:val="clear" w:color="auto" w:fill="auto"/>
            <w:vAlign w:val="center"/>
          </w:tcPr>
          <w:p w14:paraId="167E69E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941B17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3E69BA2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746994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2829BED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81" w:type="dxa"/>
            <w:tcBorders>
              <w:top w:val="nil"/>
              <w:left w:val="nil"/>
              <w:bottom w:val="single" w:color="000000" w:sz="4" w:space="0"/>
              <w:right w:val="single" w:color="000000" w:sz="4" w:space="0"/>
            </w:tcBorders>
            <w:shd w:val="clear" w:color="auto" w:fill="auto"/>
            <w:vAlign w:val="center"/>
          </w:tcPr>
          <w:p w14:paraId="4D3B4BA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自定义设置布控任务</w:t>
            </w:r>
          </w:p>
        </w:tc>
        <w:tc>
          <w:tcPr>
            <w:tcW w:w="5139" w:type="dxa"/>
            <w:tcBorders>
              <w:top w:val="nil"/>
              <w:left w:val="nil"/>
              <w:bottom w:val="single" w:color="000000" w:sz="4" w:space="0"/>
              <w:right w:val="single" w:color="000000" w:sz="4" w:space="0"/>
            </w:tcBorders>
            <w:shd w:val="clear" w:color="auto" w:fill="auto"/>
            <w:vAlign w:val="center"/>
          </w:tcPr>
          <w:p w14:paraId="4F59324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系统支持自定义设置布控任务名称、布控级别、布控时间、告警灵敏度、多引擎校验严格程度、告警声音、告警通知人、反馈人、布控区域、布控算法、布控人员库的功能；</w:t>
            </w:r>
          </w:p>
        </w:tc>
        <w:tc>
          <w:tcPr>
            <w:tcW w:w="654" w:type="dxa"/>
            <w:tcBorders>
              <w:top w:val="nil"/>
              <w:left w:val="nil"/>
              <w:bottom w:val="single" w:color="000000" w:sz="4" w:space="0"/>
              <w:right w:val="single" w:color="000000" w:sz="4" w:space="0"/>
            </w:tcBorders>
            <w:shd w:val="clear" w:color="auto" w:fill="auto"/>
            <w:vAlign w:val="center"/>
          </w:tcPr>
          <w:p w14:paraId="157E1B3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6BB4B0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451829C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961E782">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401B67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81" w:type="dxa"/>
            <w:tcBorders>
              <w:top w:val="nil"/>
              <w:left w:val="nil"/>
              <w:bottom w:val="single" w:color="000000" w:sz="4" w:space="0"/>
              <w:right w:val="single" w:color="000000" w:sz="4" w:space="0"/>
            </w:tcBorders>
            <w:shd w:val="clear" w:color="auto" w:fill="auto"/>
            <w:vAlign w:val="center"/>
          </w:tcPr>
          <w:p w14:paraId="3130AD0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自定义设置告警推送路径</w:t>
            </w:r>
          </w:p>
        </w:tc>
        <w:tc>
          <w:tcPr>
            <w:tcW w:w="5139" w:type="dxa"/>
            <w:tcBorders>
              <w:top w:val="nil"/>
              <w:left w:val="nil"/>
              <w:bottom w:val="single" w:color="000000" w:sz="4" w:space="0"/>
              <w:right w:val="single" w:color="000000" w:sz="4" w:space="0"/>
            </w:tcBorders>
            <w:shd w:val="clear" w:color="auto" w:fill="auto"/>
            <w:vAlign w:val="center"/>
          </w:tcPr>
          <w:p w14:paraId="1AE1612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系统支持自定义设置告警推送路径，包括推送至指定账户、推送至设置手机号、推送至主责机构、推送至接入的第三方平台的功能；</w:t>
            </w:r>
          </w:p>
        </w:tc>
        <w:tc>
          <w:tcPr>
            <w:tcW w:w="654" w:type="dxa"/>
            <w:tcBorders>
              <w:top w:val="nil"/>
              <w:left w:val="nil"/>
              <w:bottom w:val="single" w:color="000000" w:sz="4" w:space="0"/>
              <w:right w:val="single" w:color="000000" w:sz="4" w:space="0"/>
            </w:tcBorders>
            <w:shd w:val="clear" w:color="auto" w:fill="auto"/>
            <w:vAlign w:val="center"/>
          </w:tcPr>
          <w:p w14:paraId="0DA0F0B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9DC072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51D6A22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4C6DC74">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DD7A05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81" w:type="dxa"/>
            <w:tcBorders>
              <w:top w:val="nil"/>
              <w:left w:val="nil"/>
              <w:bottom w:val="single" w:color="000000" w:sz="4" w:space="0"/>
              <w:right w:val="single" w:color="000000" w:sz="4" w:space="0"/>
            </w:tcBorders>
            <w:shd w:val="clear" w:color="auto" w:fill="auto"/>
            <w:vAlign w:val="center"/>
          </w:tcPr>
          <w:p w14:paraId="5D9DBF0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人员处理与反馈</w:t>
            </w:r>
          </w:p>
        </w:tc>
        <w:tc>
          <w:tcPr>
            <w:tcW w:w="5139" w:type="dxa"/>
            <w:tcBorders>
              <w:top w:val="nil"/>
              <w:left w:val="nil"/>
              <w:bottom w:val="single" w:color="000000" w:sz="4" w:space="0"/>
              <w:right w:val="single" w:color="000000" w:sz="4" w:space="0"/>
            </w:tcBorders>
            <w:shd w:val="clear" w:color="auto" w:fill="auto"/>
            <w:vAlign w:val="center"/>
          </w:tcPr>
          <w:p w14:paraId="6C23429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人员告警进行处理与反馈，包括：未处理、已收到、未查证-属实、未查证-误告、未查证-不需属实、未查证-其他、已查证-属实、已查证-误报、已控制-属实、已控制-误报、未控制-不确定等11种情况反馈，并支持输入文字反馈说明的功能等；</w:t>
            </w:r>
          </w:p>
        </w:tc>
        <w:tc>
          <w:tcPr>
            <w:tcW w:w="654" w:type="dxa"/>
            <w:tcBorders>
              <w:top w:val="nil"/>
              <w:left w:val="nil"/>
              <w:bottom w:val="single" w:color="000000" w:sz="4" w:space="0"/>
              <w:right w:val="single" w:color="000000" w:sz="4" w:space="0"/>
            </w:tcBorders>
            <w:shd w:val="clear" w:color="auto" w:fill="auto"/>
            <w:vAlign w:val="center"/>
          </w:tcPr>
          <w:p w14:paraId="3F3DBAD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2CA02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6C8296E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E8DF9B4">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824BE1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81" w:type="dxa"/>
            <w:tcBorders>
              <w:top w:val="nil"/>
              <w:left w:val="nil"/>
              <w:bottom w:val="single" w:color="000000" w:sz="4" w:space="0"/>
              <w:right w:val="single" w:color="000000" w:sz="4" w:space="0"/>
            </w:tcBorders>
            <w:shd w:val="clear" w:color="auto" w:fill="auto"/>
            <w:vAlign w:val="center"/>
          </w:tcPr>
          <w:p w14:paraId="4D64380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★查看抓拍记录</w:t>
            </w:r>
          </w:p>
        </w:tc>
        <w:tc>
          <w:tcPr>
            <w:tcW w:w="5139" w:type="dxa"/>
            <w:tcBorders>
              <w:top w:val="nil"/>
              <w:left w:val="nil"/>
              <w:bottom w:val="single" w:color="000000" w:sz="4" w:space="0"/>
              <w:right w:val="single" w:color="000000" w:sz="4" w:space="0"/>
            </w:tcBorders>
            <w:shd w:val="clear" w:color="auto" w:fill="auto"/>
            <w:vAlign w:val="center"/>
          </w:tcPr>
          <w:p w14:paraId="2970C78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支持查看符合要求的所有人员初次出现的抓拍记录，支持对抓拍记录进行身份核查、以图搜图、查看场景大图等操作的功能；</w:t>
            </w:r>
          </w:p>
        </w:tc>
        <w:tc>
          <w:tcPr>
            <w:tcW w:w="654" w:type="dxa"/>
            <w:tcBorders>
              <w:top w:val="nil"/>
              <w:left w:val="nil"/>
              <w:bottom w:val="single" w:color="000000" w:sz="4" w:space="0"/>
              <w:right w:val="single" w:color="000000" w:sz="4" w:space="0"/>
            </w:tcBorders>
            <w:shd w:val="clear" w:color="auto" w:fill="auto"/>
            <w:vAlign w:val="center"/>
          </w:tcPr>
          <w:p w14:paraId="5984F22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9602B4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1079682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DF20CF0">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938B85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81" w:type="dxa"/>
            <w:tcBorders>
              <w:top w:val="nil"/>
              <w:left w:val="nil"/>
              <w:bottom w:val="single" w:color="000000" w:sz="4" w:space="0"/>
              <w:right w:val="single" w:color="000000" w:sz="4" w:space="0"/>
            </w:tcBorders>
            <w:shd w:val="clear" w:color="auto" w:fill="auto"/>
            <w:vAlign w:val="center"/>
          </w:tcPr>
          <w:p w14:paraId="0BAC69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人员轨迹刻画</w:t>
            </w:r>
          </w:p>
        </w:tc>
        <w:tc>
          <w:tcPr>
            <w:tcW w:w="5139" w:type="dxa"/>
            <w:tcBorders>
              <w:top w:val="nil"/>
              <w:left w:val="nil"/>
              <w:bottom w:val="single" w:color="000000" w:sz="4" w:space="0"/>
              <w:right w:val="single" w:color="000000" w:sz="4" w:space="0"/>
            </w:tcBorders>
            <w:shd w:val="clear" w:color="auto" w:fill="auto"/>
            <w:vAlign w:val="center"/>
          </w:tcPr>
          <w:p w14:paraId="44A479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系统支持在地图屏通过身份证号及查询时段进行人员轨迹信息查询，并在地图上刻画出人员轨迹路线的功能；</w:t>
            </w:r>
          </w:p>
        </w:tc>
        <w:tc>
          <w:tcPr>
            <w:tcW w:w="654" w:type="dxa"/>
            <w:tcBorders>
              <w:top w:val="nil"/>
              <w:left w:val="nil"/>
              <w:bottom w:val="single" w:color="000000" w:sz="4" w:space="0"/>
              <w:right w:val="single" w:color="000000" w:sz="4" w:space="0"/>
            </w:tcBorders>
            <w:shd w:val="clear" w:color="auto" w:fill="auto"/>
            <w:vAlign w:val="center"/>
          </w:tcPr>
          <w:p w14:paraId="0EFF343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A98AD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7853F08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26CF3E9">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C30B61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81" w:type="dxa"/>
            <w:tcBorders>
              <w:top w:val="nil"/>
              <w:left w:val="nil"/>
              <w:bottom w:val="single" w:color="000000" w:sz="4" w:space="0"/>
              <w:right w:val="single" w:color="000000" w:sz="4" w:space="0"/>
            </w:tcBorders>
            <w:shd w:val="clear" w:color="auto" w:fill="FFFFFF" w:themeFill="background1"/>
            <w:vAlign w:val="center"/>
          </w:tcPr>
          <w:p w14:paraId="1E783A2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★人像算法</w:t>
            </w:r>
          </w:p>
        </w:tc>
        <w:tc>
          <w:tcPr>
            <w:tcW w:w="5139" w:type="dxa"/>
            <w:tcBorders>
              <w:top w:val="nil"/>
              <w:left w:val="nil"/>
              <w:bottom w:val="single" w:color="000000" w:sz="4" w:space="0"/>
              <w:right w:val="single" w:color="000000" w:sz="4" w:space="0"/>
            </w:tcBorders>
            <w:shd w:val="clear" w:color="auto" w:fill="FFFFFF" w:themeFill="background1"/>
            <w:vAlign w:val="center"/>
          </w:tcPr>
          <w:p w14:paraId="1E5284C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支持检测两眼间距为20像素以上的人脸目标，支持检测同时出现在画面中的人脸目标不少于80个；支持检测目标宽度80像素以上的人员目标，支持检测同时出现在画面中的人员目标不少于80个；支持人脸数据特征属性包含但不限于：设备编码、位置标记时间、性别、年龄、发型、是否戴口罩、是否戴眼镜等数据项；支持人体数据特征属性包含但不限于：设备编码、位置标记时间、性别、上衣颜色、下衣颜色、是否打伞等数据项；支持识别人脸特征属性，包含但不限于：是否戴眼镜、是否戴口罩、是否戴帽子、年龄上限、年龄下限、性别、民族、发型、帽子款式、眼镜款式、头发颜色、是否有胡子等；支持识别人体特征属性，包含但不限于：是否背包、是否戴眼镜、是否戴帽子、是否戴口罩、性别、上衣颜色、下衣颜色、年龄上限、年龄下限、是否骑行、打电话、上衣长度、上衣款式、发型、是否拎物、是否抱小孩、头发颜色、是否打伞、下衣款式、下衣长度、背包款式等；</w:t>
            </w:r>
          </w:p>
        </w:tc>
        <w:tc>
          <w:tcPr>
            <w:tcW w:w="654" w:type="dxa"/>
            <w:tcBorders>
              <w:top w:val="nil"/>
              <w:left w:val="nil"/>
              <w:bottom w:val="single" w:color="000000" w:sz="4" w:space="0"/>
              <w:right w:val="single" w:color="000000" w:sz="4" w:space="0"/>
            </w:tcBorders>
            <w:shd w:val="clear" w:color="auto" w:fill="auto"/>
            <w:vAlign w:val="center"/>
          </w:tcPr>
          <w:p w14:paraId="0649EE9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AE53BE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7765D10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2E72A27">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CA7180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81" w:type="dxa"/>
            <w:tcBorders>
              <w:top w:val="nil"/>
              <w:left w:val="nil"/>
              <w:bottom w:val="single" w:color="000000" w:sz="4" w:space="0"/>
              <w:right w:val="single" w:color="000000" w:sz="4" w:space="0"/>
            </w:tcBorders>
            <w:shd w:val="clear" w:color="auto" w:fill="auto"/>
            <w:vAlign w:val="center"/>
          </w:tcPr>
          <w:p w14:paraId="74BCBA1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人像分析能力</w:t>
            </w:r>
          </w:p>
        </w:tc>
        <w:tc>
          <w:tcPr>
            <w:tcW w:w="5139" w:type="dxa"/>
            <w:tcBorders>
              <w:top w:val="nil"/>
              <w:left w:val="nil"/>
              <w:bottom w:val="single" w:color="000000" w:sz="4" w:space="0"/>
              <w:right w:val="single" w:color="000000" w:sz="4" w:space="0"/>
            </w:tcBorders>
            <w:shd w:val="clear" w:color="auto" w:fill="auto"/>
            <w:vAlign w:val="center"/>
          </w:tcPr>
          <w:p w14:paraId="5A448F9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提供每日200万过人数据的分析能力；</w:t>
            </w:r>
          </w:p>
        </w:tc>
        <w:tc>
          <w:tcPr>
            <w:tcW w:w="654" w:type="dxa"/>
            <w:tcBorders>
              <w:top w:val="nil"/>
              <w:left w:val="nil"/>
              <w:bottom w:val="single" w:color="000000" w:sz="4" w:space="0"/>
              <w:right w:val="single" w:color="000000" w:sz="4" w:space="0"/>
            </w:tcBorders>
            <w:shd w:val="clear" w:color="auto" w:fill="auto"/>
            <w:vAlign w:val="center"/>
          </w:tcPr>
          <w:p w14:paraId="779082A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608" w:type="dxa"/>
            <w:tcBorders>
              <w:top w:val="nil"/>
              <w:left w:val="nil"/>
              <w:bottom w:val="single" w:color="000000" w:sz="4" w:space="0"/>
              <w:right w:val="single" w:color="000000" w:sz="4" w:space="0"/>
            </w:tcBorders>
            <w:shd w:val="clear" w:color="auto" w:fill="auto"/>
            <w:vAlign w:val="center"/>
          </w:tcPr>
          <w:p w14:paraId="07D2A46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28DB12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EF2BE15">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7C100B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1081" w:type="dxa"/>
            <w:tcBorders>
              <w:top w:val="nil"/>
              <w:left w:val="nil"/>
              <w:bottom w:val="single" w:color="000000" w:sz="4" w:space="0"/>
              <w:right w:val="single" w:color="000000" w:sz="4" w:space="0"/>
            </w:tcBorders>
            <w:shd w:val="clear" w:color="auto" w:fill="auto"/>
            <w:vAlign w:val="center"/>
          </w:tcPr>
          <w:p w14:paraId="1021DBD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底库服务</w:t>
            </w:r>
          </w:p>
        </w:tc>
        <w:tc>
          <w:tcPr>
            <w:tcW w:w="5139" w:type="dxa"/>
            <w:tcBorders>
              <w:top w:val="nil"/>
              <w:left w:val="nil"/>
              <w:bottom w:val="single" w:color="000000" w:sz="4" w:space="0"/>
              <w:right w:val="single" w:color="000000" w:sz="4" w:space="0"/>
            </w:tcBorders>
            <w:shd w:val="clear" w:color="auto" w:fill="auto"/>
            <w:vAlign w:val="center"/>
          </w:tcPr>
          <w:p w14:paraId="4645849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升级底库</w:t>
            </w:r>
            <w:r>
              <w:rPr>
                <w:rFonts w:ascii="宋体" w:hAnsi="宋体" w:cs="宋体"/>
                <w:kern w:val="0"/>
                <w:sz w:val="20"/>
                <w:szCs w:val="20"/>
              </w:rPr>
              <w:t>接入数量，提供底库接入服务</w:t>
            </w:r>
          </w:p>
        </w:tc>
        <w:tc>
          <w:tcPr>
            <w:tcW w:w="654" w:type="dxa"/>
            <w:tcBorders>
              <w:top w:val="nil"/>
              <w:left w:val="nil"/>
              <w:bottom w:val="single" w:color="000000" w:sz="4" w:space="0"/>
              <w:right w:val="single" w:color="000000" w:sz="4" w:space="0"/>
            </w:tcBorders>
            <w:shd w:val="clear" w:color="auto" w:fill="auto"/>
            <w:vAlign w:val="center"/>
          </w:tcPr>
          <w:p w14:paraId="51BC3D6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608" w:type="dxa"/>
            <w:tcBorders>
              <w:top w:val="nil"/>
              <w:left w:val="nil"/>
              <w:bottom w:val="single" w:color="000000" w:sz="4" w:space="0"/>
              <w:right w:val="single" w:color="000000" w:sz="4" w:space="0"/>
            </w:tcBorders>
            <w:shd w:val="clear" w:color="auto" w:fill="auto"/>
            <w:vAlign w:val="center"/>
          </w:tcPr>
          <w:p w14:paraId="54D4DCE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024ABE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DA0161E">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538A70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1081" w:type="dxa"/>
            <w:tcBorders>
              <w:top w:val="nil"/>
              <w:left w:val="nil"/>
              <w:bottom w:val="single" w:color="000000" w:sz="4" w:space="0"/>
              <w:right w:val="single" w:color="000000" w:sz="4" w:space="0"/>
            </w:tcBorders>
            <w:shd w:val="clear" w:color="auto" w:fill="auto"/>
            <w:vAlign w:val="center"/>
          </w:tcPr>
          <w:p w14:paraId="20209A7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多引擎</w:t>
            </w:r>
          </w:p>
        </w:tc>
        <w:tc>
          <w:tcPr>
            <w:tcW w:w="5139" w:type="dxa"/>
            <w:tcBorders>
              <w:top w:val="nil"/>
              <w:left w:val="nil"/>
              <w:bottom w:val="single" w:color="000000" w:sz="4" w:space="0"/>
              <w:right w:val="single" w:color="000000" w:sz="4" w:space="0"/>
            </w:tcBorders>
            <w:shd w:val="clear" w:color="auto" w:fill="auto"/>
            <w:vAlign w:val="center"/>
          </w:tcPr>
          <w:p w14:paraId="7F4A17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通过多引擎的方式，进行人脸的1:1、1:N、M:N比对，并展示各个引擎的比对结果的功能；系统支持通过多引擎的方式，进行人员布控，并展示各个引擎的告警结果的功能；系统支持自动记录每个引擎的每次的人脸比对命中结果、告警核查属实结果，包括第几位命中、响应时间等信息，形成各算法引擎的综合考核机制的功能等；</w:t>
            </w:r>
          </w:p>
        </w:tc>
        <w:tc>
          <w:tcPr>
            <w:tcW w:w="654" w:type="dxa"/>
            <w:tcBorders>
              <w:top w:val="nil"/>
              <w:left w:val="nil"/>
              <w:bottom w:val="single" w:color="000000" w:sz="4" w:space="0"/>
              <w:right w:val="single" w:color="000000" w:sz="4" w:space="0"/>
            </w:tcBorders>
            <w:shd w:val="clear" w:color="auto" w:fill="auto"/>
            <w:vAlign w:val="center"/>
          </w:tcPr>
          <w:p w14:paraId="7C92A32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97A2D3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4C71F4C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3CBC02F">
        <w:tblPrEx>
          <w:tblCellMar>
            <w:top w:w="0" w:type="dxa"/>
            <w:left w:w="108" w:type="dxa"/>
            <w:bottom w:w="0" w:type="dxa"/>
            <w:right w:w="108" w:type="dxa"/>
          </w:tblCellMar>
        </w:tblPrEx>
        <w:trPr>
          <w:trHeight w:val="1110" w:hRule="atLeast"/>
        </w:trPr>
        <w:tc>
          <w:tcPr>
            <w:tcW w:w="615" w:type="dxa"/>
            <w:vMerge w:val="restart"/>
            <w:tcBorders>
              <w:top w:val="nil"/>
              <w:left w:val="single" w:color="000000" w:sz="4" w:space="0"/>
              <w:right w:val="single" w:color="000000" w:sz="4" w:space="0"/>
            </w:tcBorders>
            <w:shd w:val="clear" w:color="auto" w:fill="auto"/>
            <w:vAlign w:val="center"/>
          </w:tcPr>
          <w:p w14:paraId="02F65EC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1081" w:type="dxa"/>
            <w:vMerge w:val="restart"/>
            <w:tcBorders>
              <w:top w:val="nil"/>
              <w:left w:val="nil"/>
              <w:right w:val="single" w:color="000000" w:sz="4" w:space="0"/>
            </w:tcBorders>
            <w:shd w:val="clear" w:color="auto" w:fill="FFFFFF" w:themeFill="background1"/>
            <w:vAlign w:val="center"/>
          </w:tcPr>
          <w:p w14:paraId="496C759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条件设置</w:t>
            </w:r>
          </w:p>
        </w:tc>
        <w:tc>
          <w:tcPr>
            <w:tcW w:w="5139" w:type="dxa"/>
            <w:tcBorders>
              <w:top w:val="nil"/>
              <w:left w:val="nil"/>
              <w:bottom w:val="single" w:color="auto" w:sz="4" w:space="0"/>
              <w:right w:val="single" w:color="000000" w:sz="4" w:space="0"/>
            </w:tcBorders>
            <w:shd w:val="clear" w:color="auto" w:fill="FFFFFF" w:themeFill="background1"/>
            <w:vAlign w:val="center"/>
          </w:tcPr>
          <w:p w14:paraId="5CCBD1DA">
            <w:pPr>
              <w:keepNext w:val="0"/>
              <w:keepLines w:val="0"/>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设置分析区域范围、初次入城时间、向前追溯天数、特征条件（包括是否戴口罩、墨镜、帽子，背包、上下衣服颜色等特征）检索在目标时间范围内出现、在目标时间范围向前追溯天数范围内未出现、特征符合设置的所有人员，人员按最近出现时间倒序排序；</w:t>
            </w:r>
          </w:p>
        </w:tc>
        <w:tc>
          <w:tcPr>
            <w:tcW w:w="654" w:type="dxa"/>
            <w:vMerge w:val="restart"/>
            <w:tcBorders>
              <w:top w:val="nil"/>
              <w:left w:val="nil"/>
              <w:right w:val="single" w:color="000000" w:sz="4" w:space="0"/>
            </w:tcBorders>
            <w:shd w:val="clear" w:color="auto" w:fill="auto"/>
            <w:vAlign w:val="center"/>
          </w:tcPr>
          <w:p w14:paraId="69B7A585">
            <w:pPr>
              <w:keepNext w:val="0"/>
              <w:keepLines w:val="0"/>
              <w:widowControl/>
              <w:suppressLineNumbers w:val="0"/>
              <w:spacing w:before="0" w:beforeAutospacing="0" w:after="0" w:afterAutospacing="0"/>
              <w:ind w:left="0" w:right="0"/>
              <w:jc w:val="center"/>
              <w:rPr>
                <w:rFonts w:ascii="宋体" w:hAnsi="宋体" w:cs="宋体"/>
                <w:kern w:val="0"/>
                <w:sz w:val="20"/>
                <w:szCs w:val="20"/>
              </w:rPr>
            </w:pPr>
          </w:p>
          <w:p w14:paraId="49DCFED4">
            <w:pPr>
              <w:keepNext w:val="0"/>
              <w:keepLines w:val="0"/>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vMerge w:val="restart"/>
            <w:tcBorders>
              <w:top w:val="nil"/>
              <w:left w:val="nil"/>
              <w:right w:val="single" w:color="000000" w:sz="4" w:space="0"/>
            </w:tcBorders>
            <w:shd w:val="clear" w:color="auto" w:fill="auto"/>
            <w:vAlign w:val="center"/>
          </w:tcPr>
          <w:p w14:paraId="43FFA23B">
            <w:pPr>
              <w:keepNext w:val="0"/>
              <w:keepLines w:val="0"/>
              <w:suppressLineNumbers w:val="0"/>
              <w:spacing w:before="0" w:beforeAutospacing="0" w:after="0" w:afterAutospacing="0"/>
              <w:ind w:left="0" w:right="0"/>
              <w:jc w:val="center"/>
              <w:rPr>
                <w:rFonts w:ascii="宋体" w:hAnsi="宋体" w:cs="宋体"/>
                <w:kern w:val="0"/>
                <w:sz w:val="20"/>
                <w:szCs w:val="20"/>
              </w:rPr>
            </w:pPr>
          </w:p>
          <w:p w14:paraId="3996B916">
            <w:pPr>
              <w:keepNext w:val="0"/>
              <w:keepLines w:val="0"/>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auto" w:sz="4" w:space="0"/>
              <w:right w:val="single" w:color="000000" w:sz="4" w:space="0"/>
            </w:tcBorders>
            <w:shd w:val="clear" w:color="auto" w:fill="auto"/>
            <w:vAlign w:val="center"/>
          </w:tcPr>
          <w:p w14:paraId="0C23F091">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4CBEB627">
        <w:tblPrEx>
          <w:tblCellMar>
            <w:top w:w="0" w:type="dxa"/>
            <w:left w:w="108" w:type="dxa"/>
            <w:bottom w:w="0" w:type="dxa"/>
            <w:right w:w="108" w:type="dxa"/>
          </w:tblCellMar>
        </w:tblPrEx>
        <w:trPr>
          <w:trHeight w:val="435"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67D22CA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p>
        </w:tc>
        <w:tc>
          <w:tcPr>
            <w:tcW w:w="1081" w:type="dxa"/>
            <w:vMerge w:val="continue"/>
            <w:tcBorders>
              <w:left w:val="nil"/>
              <w:bottom w:val="single" w:color="000000" w:sz="4" w:space="0"/>
              <w:right w:val="single" w:color="000000" w:sz="4" w:space="0"/>
            </w:tcBorders>
            <w:shd w:val="clear" w:color="auto" w:fill="FFFFFF" w:themeFill="background1"/>
            <w:vAlign w:val="center"/>
          </w:tcPr>
          <w:p w14:paraId="1A1937B4">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5139" w:type="dxa"/>
            <w:tcBorders>
              <w:top w:val="single" w:color="auto" w:sz="4" w:space="0"/>
              <w:left w:val="nil"/>
              <w:bottom w:val="single" w:color="000000" w:sz="4" w:space="0"/>
              <w:right w:val="single" w:color="000000" w:sz="4" w:space="0"/>
            </w:tcBorders>
            <w:shd w:val="clear" w:color="auto" w:fill="FFFFFF" w:themeFill="background1"/>
            <w:vAlign w:val="center"/>
          </w:tcPr>
          <w:p w14:paraId="12820B60">
            <w:pPr>
              <w:keepNext w:val="0"/>
              <w:keepLines w:val="0"/>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设置分析区域范围、最后一次出现时间范围、特征条件（包括是否戴口罩、墨镜、帽子，背包、上下衣服颜色等特征）检索在目标时间范围内出现、此后至今未再出现、特征符合设置的所有人员，人员按最近出现时间倒序排序；</w:t>
            </w:r>
          </w:p>
          <w:p w14:paraId="56D46A9A">
            <w:pPr>
              <w:keepNext w:val="0"/>
              <w:keepLines w:val="0"/>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设置目标时间、区域范围、白天时段及最多出现次数、晚上时段及最少出现次数、特征条件（包括是否戴口罩、墨镜、帽子，背包、上下衣服颜色等特征）检索在目标时间区域里，白天夜晚出现次数、人员特征均符合要求的所有人员，人员按夜晚出现次数从多到少排序；</w:t>
            </w:r>
          </w:p>
        </w:tc>
        <w:tc>
          <w:tcPr>
            <w:tcW w:w="654" w:type="dxa"/>
            <w:vMerge w:val="continue"/>
            <w:tcBorders>
              <w:left w:val="nil"/>
              <w:bottom w:val="single" w:color="000000" w:sz="4" w:space="0"/>
              <w:right w:val="single" w:color="000000" w:sz="4" w:space="0"/>
            </w:tcBorders>
            <w:shd w:val="clear" w:color="auto" w:fill="auto"/>
            <w:vAlign w:val="center"/>
          </w:tcPr>
          <w:p w14:paraId="4BD98FFD">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608" w:type="dxa"/>
            <w:vMerge w:val="continue"/>
            <w:tcBorders>
              <w:left w:val="nil"/>
              <w:bottom w:val="single" w:color="000000" w:sz="4" w:space="0"/>
              <w:right w:val="single" w:color="000000" w:sz="4" w:space="0"/>
            </w:tcBorders>
            <w:shd w:val="clear" w:color="auto" w:fill="auto"/>
            <w:vAlign w:val="center"/>
          </w:tcPr>
          <w:p w14:paraId="11DBAE53">
            <w:pPr>
              <w:keepNext w:val="0"/>
              <w:keepLines w:val="0"/>
              <w:suppressLineNumbers w:val="0"/>
              <w:spacing w:before="0" w:beforeAutospacing="0" w:after="0" w:afterAutospacing="0"/>
              <w:ind w:left="0" w:right="0"/>
              <w:jc w:val="center"/>
              <w:rPr>
                <w:rFonts w:ascii="宋体" w:hAnsi="宋体" w:cs="宋体"/>
                <w:kern w:val="0"/>
                <w:sz w:val="20"/>
                <w:szCs w:val="20"/>
              </w:rPr>
            </w:pPr>
          </w:p>
        </w:tc>
        <w:tc>
          <w:tcPr>
            <w:tcW w:w="418" w:type="dxa"/>
            <w:gridSpan w:val="2"/>
            <w:tcBorders>
              <w:top w:val="single" w:color="auto" w:sz="4" w:space="0"/>
              <w:left w:val="nil"/>
              <w:bottom w:val="single" w:color="000000" w:sz="4" w:space="0"/>
              <w:right w:val="single" w:color="000000" w:sz="4" w:space="0"/>
            </w:tcBorders>
            <w:shd w:val="clear" w:color="auto" w:fill="auto"/>
            <w:vAlign w:val="center"/>
          </w:tcPr>
          <w:p w14:paraId="0337B369">
            <w:pPr>
              <w:keepNext w:val="0"/>
              <w:keepLines w:val="0"/>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8C26E6">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5E6300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1081" w:type="dxa"/>
            <w:tcBorders>
              <w:top w:val="nil"/>
              <w:left w:val="nil"/>
              <w:bottom w:val="single" w:color="000000" w:sz="4" w:space="0"/>
              <w:right w:val="single" w:color="000000" w:sz="4" w:space="0"/>
            </w:tcBorders>
            <w:shd w:val="clear" w:color="auto" w:fill="auto"/>
            <w:vAlign w:val="center"/>
          </w:tcPr>
          <w:p w14:paraId="69FB665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★人脸关联视频片段功能</w:t>
            </w:r>
          </w:p>
        </w:tc>
        <w:tc>
          <w:tcPr>
            <w:tcW w:w="5139" w:type="dxa"/>
            <w:tcBorders>
              <w:top w:val="nil"/>
              <w:left w:val="nil"/>
              <w:bottom w:val="single" w:color="000000" w:sz="4" w:space="0"/>
              <w:right w:val="single" w:color="000000" w:sz="4" w:space="0"/>
            </w:tcBorders>
            <w:shd w:val="clear" w:color="auto" w:fill="auto"/>
            <w:vAlign w:val="center"/>
          </w:tcPr>
          <w:p w14:paraId="607584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系统支持查询人脸时可关联视频片段；</w:t>
            </w:r>
          </w:p>
        </w:tc>
        <w:tc>
          <w:tcPr>
            <w:tcW w:w="654" w:type="dxa"/>
            <w:tcBorders>
              <w:top w:val="nil"/>
              <w:left w:val="nil"/>
              <w:bottom w:val="single" w:color="000000" w:sz="4" w:space="0"/>
              <w:right w:val="single" w:color="000000" w:sz="4" w:space="0"/>
            </w:tcBorders>
            <w:shd w:val="clear" w:color="auto" w:fill="auto"/>
            <w:vAlign w:val="center"/>
          </w:tcPr>
          <w:p w14:paraId="09A37F6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21D9A6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4CE8E3E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8D033F4">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306499B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17 </w:t>
            </w:r>
          </w:p>
        </w:tc>
        <w:tc>
          <w:tcPr>
            <w:tcW w:w="1081" w:type="dxa"/>
            <w:tcBorders>
              <w:top w:val="nil"/>
              <w:left w:val="nil"/>
              <w:bottom w:val="single" w:color="000000" w:sz="4" w:space="0"/>
              <w:right w:val="single" w:color="000000" w:sz="4" w:space="0"/>
            </w:tcBorders>
            <w:shd w:val="clear" w:color="auto" w:fill="auto"/>
            <w:vAlign w:val="center"/>
          </w:tcPr>
          <w:p w14:paraId="078C70C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关键区域人数统计</w:t>
            </w:r>
          </w:p>
        </w:tc>
        <w:tc>
          <w:tcPr>
            <w:tcW w:w="5139" w:type="dxa"/>
            <w:tcBorders>
              <w:top w:val="nil"/>
              <w:left w:val="nil"/>
              <w:bottom w:val="single" w:color="000000" w:sz="4" w:space="0"/>
              <w:right w:val="single" w:color="000000" w:sz="4" w:space="0"/>
            </w:tcBorders>
            <w:shd w:val="clear" w:color="auto" w:fill="auto"/>
            <w:vAlign w:val="center"/>
          </w:tcPr>
          <w:p w14:paraId="5636D03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实现关键区域人数统计和人员分类统计功能；满足通过系统实现人脸数量统计功能。</w:t>
            </w:r>
          </w:p>
        </w:tc>
        <w:tc>
          <w:tcPr>
            <w:tcW w:w="654" w:type="dxa"/>
            <w:tcBorders>
              <w:top w:val="nil"/>
              <w:left w:val="nil"/>
              <w:bottom w:val="single" w:color="000000" w:sz="4" w:space="0"/>
              <w:right w:val="single" w:color="000000" w:sz="4" w:space="0"/>
            </w:tcBorders>
            <w:shd w:val="clear" w:color="auto" w:fill="auto"/>
            <w:vAlign w:val="center"/>
          </w:tcPr>
          <w:p w14:paraId="690EAE0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26D6F2B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418" w:type="dxa"/>
            <w:gridSpan w:val="2"/>
            <w:tcBorders>
              <w:top w:val="nil"/>
              <w:left w:val="nil"/>
              <w:bottom w:val="single" w:color="000000" w:sz="4" w:space="0"/>
              <w:right w:val="single" w:color="000000" w:sz="4" w:space="0"/>
            </w:tcBorders>
            <w:shd w:val="clear" w:color="auto" w:fill="auto"/>
            <w:vAlign w:val="center"/>
          </w:tcPr>
          <w:p w14:paraId="1D1061B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0D52A61">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C4A9D">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6C02E0E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6713491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1F5F1DE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14911437">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96BD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（四）车辆大数据系统(卡口数据结构化)升级</w:t>
            </w:r>
          </w:p>
        </w:tc>
        <w:tc>
          <w:tcPr>
            <w:tcW w:w="390" w:type="dxa"/>
            <w:tcBorders>
              <w:top w:val="nil"/>
              <w:left w:val="nil"/>
              <w:bottom w:val="single" w:color="000000" w:sz="4" w:space="0"/>
              <w:right w:val="single" w:color="000000" w:sz="4" w:space="0"/>
            </w:tcBorders>
            <w:shd w:val="clear" w:color="auto" w:fill="auto"/>
            <w:vAlign w:val="center"/>
          </w:tcPr>
          <w:p w14:paraId="7060CBF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39D29F67">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48A048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0340FC5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卡口信息检索</w:t>
            </w:r>
          </w:p>
        </w:tc>
        <w:tc>
          <w:tcPr>
            <w:tcW w:w="5139" w:type="dxa"/>
            <w:tcBorders>
              <w:top w:val="nil"/>
              <w:left w:val="nil"/>
              <w:bottom w:val="single" w:color="000000" w:sz="4" w:space="0"/>
              <w:right w:val="single" w:color="000000" w:sz="4" w:space="0"/>
            </w:tcBorders>
            <w:shd w:val="clear" w:color="auto" w:fill="auto"/>
            <w:vAlign w:val="center"/>
          </w:tcPr>
          <w:p w14:paraId="43CC507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系统支持对卡口信息进行检索，检索条件包括号牌号码、号牌颜色、车辆速度、车道方向、车道编号、经过时间、设备位置等，其中号牌号码支持精确查询和模糊查询(可以模糊任意多位)的功能；</w:t>
            </w:r>
          </w:p>
          <w:p w14:paraId="7D3DC73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系统支持卡口多条件复合查询，支持号牌规则的包含与剔除正则表达式，支持多时间段检索，支持某一段日期中的某一时段检索，支持列表模式和缩略图模式，支持按时间升序或降序展示的功能；</w:t>
            </w:r>
          </w:p>
        </w:tc>
        <w:tc>
          <w:tcPr>
            <w:tcW w:w="654" w:type="dxa"/>
            <w:tcBorders>
              <w:top w:val="nil"/>
              <w:left w:val="nil"/>
              <w:bottom w:val="single" w:color="000000" w:sz="4" w:space="0"/>
              <w:right w:val="single" w:color="000000" w:sz="4" w:space="0"/>
            </w:tcBorders>
            <w:shd w:val="clear" w:color="auto" w:fill="auto"/>
            <w:vAlign w:val="center"/>
          </w:tcPr>
          <w:p w14:paraId="1664B54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C51A32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7CA61A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52D765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FC8A94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0B23C8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卡口多条件复合查询</w:t>
            </w:r>
          </w:p>
        </w:tc>
        <w:tc>
          <w:tcPr>
            <w:tcW w:w="5139" w:type="dxa"/>
            <w:tcBorders>
              <w:top w:val="nil"/>
              <w:left w:val="nil"/>
              <w:bottom w:val="single" w:color="000000" w:sz="4" w:space="0"/>
              <w:right w:val="single" w:color="000000" w:sz="4" w:space="0"/>
            </w:tcBorders>
            <w:shd w:val="clear" w:color="auto" w:fill="auto"/>
            <w:vAlign w:val="center"/>
          </w:tcPr>
          <w:p w14:paraId="3350F2D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w:t>
            </w:r>
          </w:p>
        </w:tc>
        <w:tc>
          <w:tcPr>
            <w:tcW w:w="654" w:type="dxa"/>
            <w:tcBorders>
              <w:top w:val="nil"/>
              <w:left w:val="nil"/>
              <w:bottom w:val="single" w:color="000000" w:sz="4" w:space="0"/>
              <w:right w:val="single" w:color="000000" w:sz="4" w:space="0"/>
            </w:tcBorders>
            <w:shd w:val="clear" w:color="auto" w:fill="auto"/>
            <w:vAlign w:val="center"/>
          </w:tcPr>
          <w:p w14:paraId="1577BB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A33685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06C775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7A8A04">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21E5DF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04ADAC5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卡口一键增强</w:t>
            </w:r>
          </w:p>
        </w:tc>
        <w:tc>
          <w:tcPr>
            <w:tcW w:w="5139" w:type="dxa"/>
            <w:tcBorders>
              <w:top w:val="nil"/>
              <w:left w:val="nil"/>
              <w:bottom w:val="single" w:color="000000" w:sz="4" w:space="0"/>
              <w:right w:val="single" w:color="000000" w:sz="4" w:space="0"/>
            </w:tcBorders>
            <w:shd w:val="clear" w:color="auto" w:fill="auto"/>
            <w:vAlign w:val="center"/>
          </w:tcPr>
          <w:p w14:paraId="633489DE">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系统支持对卡口图片进行一键增强，支持对图片进行去雾增强、低照度增强、过度曝光增强、去挡风玻璃增强、亮度矫正增强、对比度矫正增强、去模糊增强等，支持全局增强和区域增强的功能；</w:t>
            </w:r>
          </w:p>
        </w:tc>
        <w:tc>
          <w:tcPr>
            <w:tcW w:w="654" w:type="dxa"/>
            <w:tcBorders>
              <w:top w:val="nil"/>
              <w:left w:val="nil"/>
              <w:bottom w:val="single" w:color="000000" w:sz="4" w:space="0"/>
              <w:right w:val="single" w:color="000000" w:sz="4" w:space="0"/>
            </w:tcBorders>
            <w:shd w:val="clear" w:color="auto" w:fill="auto"/>
            <w:vAlign w:val="center"/>
          </w:tcPr>
          <w:p w14:paraId="42ED6E3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D9CA00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A04E53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4A094A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726236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2D941DC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特种车辆检索</w:t>
            </w:r>
          </w:p>
        </w:tc>
        <w:tc>
          <w:tcPr>
            <w:tcW w:w="5139" w:type="dxa"/>
            <w:tcBorders>
              <w:top w:val="nil"/>
              <w:left w:val="nil"/>
              <w:bottom w:val="single" w:color="000000" w:sz="4" w:space="0"/>
              <w:right w:val="single" w:color="000000" w:sz="4" w:space="0"/>
            </w:tcBorders>
            <w:shd w:val="clear" w:color="auto" w:fill="auto"/>
            <w:vAlign w:val="center"/>
          </w:tcPr>
          <w:p w14:paraId="67F9E97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系统支持对多类特种车辆进行过车抓拍记录检索,包括罐 车、混凝土车、栏板车、渣土车、危险品车、吊车等，根据时间（昨天、今天、近一周、近一个月）、时间段、号牌号码、号牌颜色、特种车辆类型、车辆品牌、车身颜色、 设备等条件，以缩略图形式展示过车信息，包括车辆图片、 车牌号、经过时间、设备名称及车辆品牌，选中可查看车 辆详细信息及车管库信息，特种车辆类别包括罐车、混凝 土车、栏板车、渣土车、危险品车、吊车等，结果可快速切换，支持点击“更多”进入以图搜图、跟车策略、车档详情、轨迹复现、号牌布控、落脚点分析、相似车牌串并、 入线索库和纠错上报的功能等；</w:t>
            </w:r>
          </w:p>
        </w:tc>
        <w:tc>
          <w:tcPr>
            <w:tcW w:w="654" w:type="dxa"/>
            <w:tcBorders>
              <w:top w:val="nil"/>
              <w:left w:val="nil"/>
              <w:bottom w:val="single" w:color="000000" w:sz="4" w:space="0"/>
              <w:right w:val="single" w:color="000000" w:sz="4" w:space="0"/>
            </w:tcBorders>
            <w:shd w:val="clear" w:color="auto" w:fill="auto"/>
            <w:vAlign w:val="center"/>
          </w:tcPr>
          <w:p w14:paraId="0B5AB0D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37B2FC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3A45A02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CAD55E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353384F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358CC43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单车辆布控</w:t>
            </w:r>
          </w:p>
        </w:tc>
        <w:tc>
          <w:tcPr>
            <w:tcW w:w="5139" w:type="dxa"/>
            <w:tcBorders>
              <w:top w:val="nil"/>
              <w:left w:val="nil"/>
              <w:bottom w:val="single" w:color="000000" w:sz="4" w:space="0"/>
              <w:right w:val="single" w:color="000000" w:sz="4" w:space="0"/>
            </w:tcBorders>
            <w:shd w:val="clear" w:color="auto" w:fill="auto"/>
            <w:vAlign w:val="center"/>
          </w:tcPr>
          <w:p w14:paraId="21BE26B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系统支持输入车牌号码、时间段对单个车辆进行布控的功能；</w:t>
            </w:r>
          </w:p>
        </w:tc>
        <w:tc>
          <w:tcPr>
            <w:tcW w:w="654" w:type="dxa"/>
            <w:tcBorders>
              <w:top w:val="nil"/>
              <w:left w:val="nil"/>
              <w:bottom w:val="single" w:color="000000" w:sz="4" w:space="0"/>
              <w:right w:val="single" w:color="000000" w:sz="4" w:space="0"/>
            </w:tcBorders>
            <w:shd w:val="clear" w:color="auto" w:fill="auto"/>
            <w:vAlign w:val="center"/>
          </w:tcPr>
          <w:p w14:paraId="2446431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1540B8D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077FD57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F05275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27915C4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81" w:type="dxa"/>
            <w:tcBorders>
              <w:top w:val="nil"/>
              <w:left w:val="nil"/>
              <w:bottom w:val="single" w:color="000000" w:sz="4" w:space="0"/>
              <w:right w:val="single" w:color="000000" w:sz="4" w:space="0"/>
            </w:tcBorders>
            <w:shd w:val="clear" w:color="auto" w:fill="auto"/>
            <w:vAlign w:val="center"/>
          </w:tcPr>
          <w:p w14:paraId="2BEAB65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审核审批撤控管理</w:t>
            </w:r>
          </w:p>
        </w:tc>
        <w:tc>
          <w:tcPr>
            <w:tcW w:w="5139" w:type="dxa"/>
            <w:tcBorders>
              <w:top w:val="nil"/>
              <w:left w:val="nil"/>
              <w:bottom w:val="single" w:color="000000" w:sz="4" w:space="0"/>
              <w:right w:val="single" w:color="000000" w:sz="4" w:space="0"/>
            </w:tcBorders>
            <w:shd w:val="clear" w:color="auto" w:fill="auto"/>
            <w:vAlign w:val="center"/>
          </w:tcPr>
          <w:p w14:paraId="240929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系统支持有权限用户对布控车辆进行审核、审批及撤控反馈的功能；</w:t>
            </w:r>
          </w:p>
        </w:tc>
        <w:tc>
          <w:tcPr>
            <w:tcW w:w="654" w:type="dxa"/>
            <w:tcBorders>
              <w:top w:val="nil"/>
              <w:left w:val="nil"/>
              <w:bottom w:val="single" w:color="000000" w:sz="4" w:space="0"/>
              <w:right w:val="single" w:color="000000" w:sz="4" w:space="0"/>
            </w:tcBorders>
            <w:shd w:val="clear" w:color="auto" w:fill="auto"/>
            <w:vAlign w:val="center"/>
          </w:tcPr>
          <w:p w14:paraId="52A303C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7B8B154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3EF1DD8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48C4E99">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495706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81" w:type="dxa"/>
            <w:tcBorders>
              <w:top w:val="nil"/>
              <w:left w:val="nil"/>
              <w:bottom w:val="single" w:color="000000" w:sz="4" w:space="0"/>
              <w:right w:val="single" w:color="000000" w:sz="4" w:space="0"/>
            </w:tcBorders>
            <w:shd w:val="clear" w:color="auto" w:fill="auto"/>
            <w:vAlign w:val="center"/>
          </w:tcPr>
          <w:p w14:paraId="24E00DF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★导入图片布控</w:t>
            </w:r>
          </w:p>
        </w:tc>
        <w:tc>
          <w:tcPr>
            <w:tcW w:w="5139" w:type="dxa"/>
            <w:tcBorders>
              <w:top w:val="nil"/>
              <w:left w:val="nil"/>
              <w:bottom w:val="single" w:color="000000" w:sz="4" w:space="0"/>
              <w:right w:val="single" w:color="000000" w:sz="4" w:space="0"/>
            </w:tcBorders>
            <w:shd w:val="clear" w:color="auto" w:fill="auto"/>
            <w:vAlign w:val="center"/>
          </w:tcPr>
          <w:p w14:paraId="1F85015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系统支持导入图片，对车辆进行布控的功能；</w:t>
            </w:r>
          </w:p>
        </w:tc>
        <w:tc>
          <w:tcPr>
            <w:tcW w:w="654" w:type="dxa"/>
            <w:tcBorders>
              <w:top w:val="nil"/>
              <w:left w:val="nil"/>
              <w:bottom w:val="single" w:color="000000" w:sz="4" w:space="0"/>
              <w:right w:val="single" w:color="000000" w:sz="4" w:space="0"/>
            </w:tcBorders>
            <w:shd w:val="clear" w:color="auto" w:fill="auto"/>
            <w:vAlign w:val="center"/>
          </w:tcPr>
          <w:p w14:paraId="6829CDF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BFF6BE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1AE75E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44D1249">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462854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81" w:type="dxa"/>
            <w:tcBorders>
              <w:top w:val="nil"/>
              <w:left w:val="nil"/>
              <w:bottom w:val="single" w:color="000000" w:sz="4" w:space="0"/>
              <w:right w:val="single" w:color="000000" w:sz="4" w:space="0"/>
            </w:tcBorders>
            <w:shd w:val="clear" w:color="auto" w:fill="auto"/>
            <w:vAlign w:val="center"/>
          </w:tcPr>
          <w:p w14:paraId="2D6958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特征布控</w:t>
            </w:r>
          </w:p>
        </w:tc>
        <w:tc>
          <w:tcPr>
            <w:tcW w:w="5139" w:type="dxa"/>
            <w:tcBorders>
              <w:top w:val="nil"/>
              <w:left w:val="nil"/>
              <w:bottom w:val="single" w:color="000000" w:sz="4" w:space="0"/>
              <w:right w:val="single" w:color="000000" w:sz="4" w:space="0"/>
            </w:tcBorders>
            <w:shd w:val="clear" w:color="auto" w:fill="auto"/>
            <w:vAlign w:val="center"/>
          </w:tcPr>
          <w:p w14:paraId="65EBB97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系统支持对车辆特征进行布控，包括车辆类别、特种车辆等条件，并且根据相似度阈值、时间、布控等级、布控原因、布控区域、设备来提高布控精度的功能等；</w:t>
            </w:r>
          </w:p>
        </w:tc>
        <w:tc>
          <w:tcPr>
            <w:tcW w:w="654" w:type="dxa"/>
            <w:tcBorders>
              <w:top w:val="nil"/>
              <w:left w:val="nil"/>
              <w:bottom w:val="single" w:color="000000" w:sz="4" w:space="0"/>
              <w:right w:val="single" w:color="000000" w:sz="4" w:space="0"/>
            </w:tcBorders>
            <w:shd w:val="clear" w:color="auto" w:fill="auto"/>
            <w:vAlign w:val="center"/>
          </w:tcPr>
          <w:p w14:paraId="333A637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E8CAA1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1F117BE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25FC75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300ECFE2">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081" w:type="dxa"/>
            <w:tcBorders>
              <w:top w:val="nil"/>
              <w:left w:val="nil"/>
              <w:bottom w:val="single" w:color="000000" w:sz="4" w:space="0"/>
              <w:right w:val="single" w:color="000000" w:sz="4" w:space="0"/>
            </w:tcBorders>
            <w:shd w:val="clear" w:color="auto" w:fill="auto"/>
            <w:vAlign w:val="center"/>
          </w:tcPr>
          <w:p w14:paraId="7522E6C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车辆轨迹</w:t>
            </w:r>
          </w:p>
        </w:tc>
        <w:tc>
          <w:tcPr>
            <w:tcW w:w="5139" w:type="dxa"/>
            <w:tcBorders>
              <w:top w:val="nil"/>
              <w:left w:val="nil"/>
              <w:bottom w:val="single" w:color="000000" w:sz="4" w:space="0"/>
              <w:right w:val="single" w:color="000000" w:sz="4" w:space="0"/>
            </w:tcBorders>
            <w:shd w:val="clear" w:color="auto" w:fill="auto"/>
            <w:vAlign w:val="center"/>
          </w:tcPr>
          <w:p w14:paraId="380A3C7F">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w:t>
            </w:r>
            <w:r>
              <w:rPr>
                <w:rFonts w:ascii="宋体" w:hAnsi="宋体" w:cs="宋体"/>
                <w:kern w:val="0"/>
                <w:sz w:val="20"/>
                <w:szCs w:val="20"/>
              </w:rPr>
              <w:t>支持在查看卡口过车数据时一键查看车辆轨迹；</w:t>
            </w:r>
            <w:r>
              <w:rPr>
                <w:rFonts w:hint="eastAsia" w:ascii="宋体" w:hAnsi="宋体" w:cs="宋体"/>
                <w:kern w:val="0"/>
                <w:sz w:val="20"/>
                <w:szCs w:val="20"/>
              </w:rPr>
              <w:t>系统支持通过添加车辆图片、设置相似阈值、选择设备， 进行车辆比对；其中，号牌号码、号牌颜色、车量类别、车辆品牌、细分车型、车辆年款、特种车辆和车身颜色可 根据上传的图片自动识别，也支持手动修改；可对比对结 果进行确认及排除，查看车辆出现的位置，实时定位车辆 位置，支持替换定位目标，支持同时对多辆车进行实时定位的功能；系统支持通过添加车辆图片、设置相似阈值、行驶时间、 速度、选择设备，进行车辆比对；其中，号牌号码、号牌颜色、车辆类别、车辆品牌、细分车型、车辆年款、特种 车辆和车身颜色可根据上传的图片自动识别，也支持手动修改；可对比对结果进行确认及排除，查看车辆出现的位 置，对车辆进行实时跟踪，支持替换跟踪目标、新增跟踪目标的功能等；</w:t>
            </w:r>
          </w:p>
        </w:tc>
        <w:tc>
          <w:tcPr>
            <w:tcW w:w="654" w:type="dxa"/>
            <w:tcBorders>
              <w:top w:val="nil"/>
              <w:left w:val="nil"/>
              <w:bottom w:val="single" w:color="000000" w:sz="4" w:space="0"/>
              <w:right w:val="single" w:color="000000" w:sz="4" w:space="0"/>
            </w:tcBorders>
            <w:shd w:val="clear" w:color="auto" w:fill="auto"/>
            <w:vAlign w:val="center"/>
          </w:tcPr>
          <w:p w14:paraId="393113F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EFDB01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ACA174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12AF8D9">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19F3FB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081" w:type="dxa"/>
            <w:tcBorders>
              <w:top w:val="nil"/>
              <w:left w:val="nil"/>
              <w:bottom w:val="single" w:color="000000" w:sz="4" w:space="0"/>
              <w:right w:val="single" w:color="000000" w:sz="4" w:space="0"/>
            </w:tcBorders>
            <w:shd w:val="clear" w:color="auto" w:fill="auto"/>
            <w:vAlign w:val="center"/>
          </w:tcPr>
          <w:p w14:paraId="262C2A1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车辆技战法</w:t>
            </w:r>
          </w:p>
        </w:tc>
        <w:tc>
          <w:tcPr>
            <w:tcW w:w="5139" w:type="dxa"/>
            <w:tcBorders>
              <w:top w:val="nil"/>
              <w:left w:val="nil"/>
              <w:bottom w:val="single" w:color="000000" w:sz="4" w:space="0"/>
              <w:right w:val="single" w:color="000000" w:sz="4" w:space="0"/>
            </w:tcBorders>
            <w:shd w:val="clear" w:color="auto" w:fill="auto"/>
            <w:vAlign w:val="center"/>
          </w:tcPr>
          <w:p w14:paraId="42BC170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查找车辆过车轨迹，根据检测时间段，在地图展示过车记录，并支持单辆车和多辆车的轨迹上图展示，多车轨迹展示时，对车辆轨迹进行单独查看；可根据时间（昨天、今天、近一周、近一个月）、号牌号码、号牌颜色、号牌种类、车辆类别、车辆品牌、车身颜色等其他条件提高检索精度；支持点击“更多”进入落脚点分析、跟车策略、车档详情、轨迹复现、号牌布控、相似车牌串并的功能；系统支持自动分析一段时间内晚上出现频次高于白天出现频次的嫌疑车辆，并按照昼夜出现频次差异从高到低的顺序进行排列展示的功能；系统支持对校车、大客车、出租车、危险品车、工程车（油罐车、渣土车）等重点车辆经常存在的未系安全带、打电话、玩手机、抽烟等违法行为进行重点分析的功能等。</w:t>
            </w:r>
          </w:p>
        </w:tc>
        <w:tc>
          <w:tcPr>
            <w:tcW w:w="654" w:type="dxa"/>
            <w:tcBorders>
              <w:top w:val="nil"/>
              <w:left w:val="nil"/>
              <w:bottom w:val="single" w:color="000000" w:sz="4" w:space="0"/>
              <w:right w:val="single" w:color="000000" w:sz="4" w:space="0"/>
            </w:tcBorders>
            <w:shd w:val="clear" w:color="auto" w:fill="auto"/>
            <w:vAlign w:val="center"/>
          </w:tcPr>
          <w:p w14:paraId="62F1F0A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2BB830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56C47D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04B5253">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E27A8D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1081" w:type="dxa"/>
            <w:tcBorders>
              <w:top w:val="nil"/>
              <w:left w:val="nil"/>
              <w:bottom w:val="single" w:color="000000" w:sz="4" w:space="0"/>
              <w:right w:val="single" w:color="000000" w:sz="4" w:space="0"/>
            </w:tcBorders>
            <w:shd w:val="clear" w:color="auto" w:fill="auto"/>
            <w:vAlign w:val="center"/>
          </w:tcPr>
          <w:p w14:paraId="6C98AF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★车辆算法</w:t>
            </w:r>
          </w:p>
        </w:tc>
        <w:tc>
          <w:tcPr>
            <w:tcW w:w="5139" w:type="dxa"/>
            <w:tcBorders>
              <w:top w:val="nil"/>
              <w:left w:val="nil"/>
              <w:bottom w:val="single" w:color="000000" w:sz="4" w:space="0"/>
              <w:right w:val="single" w:color="000000" w:sz="4" w:space="0"/>
            </w:tcBorders>
            <w:shd w:val="clear" w:color="auto" w:fill="auto"/>
            <w:vAlign w:val="center"/>
          </w:tcPr>
          <w:p w14:paraId="4FFAA73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支持车辆特征属性，包含但不限于：号牌种类、车牌颜色、车牌号、车身颜色、颜色深浅、车辆品牌、车辆型号、车辆年款、车辆类型、遮阳板状态、特种车辆等。支持车辆数据特征属性，包含但不限于：设备编码、位置标记时间、车牌照片、车牌号、车身颜色等数据项；系统能识别非机动车种类为 5 种：自行车、简易电瓶车、踏板电瓶车、摩托车、三轮车。</w:t>
            </w:r>
          </w:p>
        </w:tc>
        <w:tc>
          <w:tcPr>
            <w:tcW w:w="654" w:type="dxa"/>
            <w:tcBorders>
              <w:top w:val="nil"/>
              <w:left w:val="nil"/>
              <w:bottom w:val="single" w:color="000000" w:sz="4" w:space="0"/>
              <w:right w:val="single" w:color="000000" w:sz="4" w:space="0"/>
            </w:tcBorders>
            <w:shd w:val="clear" w:color="auto" w:fill="auto"/>
            <w:vAlign w:val="center"/>
          </w:tcPr>
          <w:p w14:paraId="79B7D13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180618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A86451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52CF9CB">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557F70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1081" w:type="dxa"/>
            <w:tcBorders>
              <w:top w:val="nil"/>
              <w:left w:val="nil"/>
              <w:bottom w:val="single" w:color="000000" w:sz="4" w:space="0"/>
              <w:right w:val="single" w:color="000000" w:sz="4" w:space="0"/>
            </w:tcBorders>
            <w:shd w:val="clear" w:color="auto" w:fill="auto"/>
            <w:vAlign w:val="center"/>
          </w:tcPr>
          <w:p w14:paraId="545AA0A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★车辆分析能力</w:t>
            </w:r>
          </w:p>
        </w:tc>
        <w:tc>
          <w:tcPr>
            <w:tcW w:w="5139" w:type="dxa"/>
            <w:tcBorders>
              <w:top w:val="nil"/>
              <w:left w:val="nil"/>
              <w:bottom w:val="single" w:color="000000" w:sz="4" w:space="0"/>
              <w:right w:val="single" w:color="000000" w:sz="4" w:space="0"/>
            </w:tcBorders>
            <w:shd w:val="clear" w:color="auto" w:fill="auto"/>
            <w:vAlign w:val="center"/>
          </w:tcPr>
          <w:p w14:paraId="20613A0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对</w:t>
            </w:r>
            <w:r>
              <w:rPr>
                <w:rFonts w:ascii="宋体" w:hAnsi="宋体" w:cs="宋体"/>
                <w:kern w:val="0"/>
                <w:sz w:val="20"/>
                <w:szCs w:val="20"/>
              </w:rPr>
              <w:t>系统的车辆分析能力进行提示，</w:t>
            </w:r>
            <w:r>
              <w:rPr>
                <w:rFonts w:hint="eastAsia" w:ascii="宋体" w:hAnsi="宋体" w:cs="宋体"/>
                <w:kern w:val="0"/>
                <w:sz w:val="20"/>
                <w:szCs w:val="20"/>
              </w:rPr>
              <w:t>提供每日300万车辆数据的分析能力。</w:t>
            </w:r>
          </w:p>
        </w:tc>
        <w:tc>
          <w:tcPr>
            <w:tcW w:w="654" w:type="dxa"/>
            <w:tcBorders>
              <w:top w:val="nil"/>
              <w:left w:val="nil"/>
              <w:bottom w:val="single" w:color="000000" w:sz="4" w:space="0"/>
              <w:right w:val="single" w:color="000000" w:sz="4" w:space="0"/>
            </w:tcBorders>
            <w:shd w:val="clear" w:color="auto" w:fill="auto"/>
            <w:vAlign w:val="center"/>
          </w:tcPr>
          <w:p w14:paraId="3748543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608" w:type="dxa"/>
            <w:tcBorders>
              <w:top w:val="nil"/>
              <w:left w:val="nil"/>
              <w:bottom w:val="single" w:color="000000" w:sz="4" w:space="0"/>
              <w:right w:val="single" w:color="000000" w:sz="4" w:space="0"/>
            </w:tcBorders>
            <w:shd w:val="clear" w:color="auto" w:fill="auto"/>
            <w:vAlign w:val="center"/>
          </w:tcPr>
          <w:p w14:paraId="37EC919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B3F76F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9B4275F">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0D9F7">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574F8CA4">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73669932">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4D939FDD">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4673969F">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E19C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（五）多维大数据平台（新建）</w:t>
            </w:r>
          </w:p>
        </w:tc>
        <w:tc>
          <w:tcPr>
            <w:tcW w:w="390" w:type="dxa"/>
            <w:tcBorders>
              <w:top w:val="nil"/>
              <w:left w:val="nil"/>
              <w:bottom w:val="single" w:color="000000" w:sz="4" w:space="0"/>
              <w:right w:val="single" w:color="000000" w:sz="4" w:space="0"/>
            </w:tcBorders>
            <w:shd w:val="clear" w:color="auto" w:fill="auto"/>
            <w:vAlign w:val="center"/>
          </w:tcPr>
          <w:p w14:paraId="4846E701">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1E58159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5AAB58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11B2A8F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人员画像</w:t>
            </w:r>
          </w:p>
        </w:tc>
        <w:tc>
          <w:tcPr>
            <w:tcW w:w="5139" w:type="dxa"/>
            <w:tcBorders>
              <w:top w:val="nil"/>
              <w:left w:val="nil"/>
              <w:bottom w:val="single" w:color="000000" w:sz="4" w:space="0"/>
              <w:right w:val="single" w:color="000000" w:sz="4" w:space="0"/>
            </w:tcBorders>
            <w:shd w:val="clear" w:color="auto" w:fill="auto"/>
            <w:vAlign w:val="center"/>
          </w:tcPr>
          <w:p w14:paraId="7476F63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根据该人员所在的不同人员库，为人员打库标签（常住、流动、在逃、扒窃、涉毒、涉黄、上访、易肇事、出入境等多类库标签）的功能；系统支持通过人员聚类数据，分析该人员的出行规律，包括近30天出现次数、近30天出现天数、首次出现时间、最后一次出现时间等；支持通过人员聚类数据挖掘该人员的落脚点的功能；系统支持各组织机构创建自己的人员库，提供组织结构树管理自己及下级人员库的功能。</w:t>
            </w:r>
          </w:p>
        </w:tc>
        <w:tc>
          <w:tcPr>
            <w:tcW w:w="654" w:type="dxa"/>
            <w:tcBorders>
              <w:top w:val="nil"/>
              <w:left w:val="nil"/>
              <w:bottom w:val="single" w:color="000000" w:sz="4" w:space="0"/>
              <w:right w:val="single" w:color="000000" w:sz="4" w:space="0"/>
            </w:tcBorders>
            <w:shd w:val="clear" w:color="auto" w:fill="auto"/>
            <w:vAlign w:val="center"/>
          </w:tcPr>
          <w:p w14:paraId="33DB61D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3E8A24D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965047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CA2D1B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1F519E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44B1A18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车辆画像</w:t>
            </w:r>
          </w:p>
        </w:tc>
        <w:tc>
          <w:tcPr>
            <w:tcW w:w="5139" w:type="dxa"/>
            <w:tcBorders>
              <w:top w:val="nil"/>
              <w:left w:val="nil"/>
              <w:bottom w:val="single" w:color="000000" w:sz="4" w:space="0"/>
              <w:right w:val="single" w:color="000000" w:sz="4" w:space="0"/>
            </w:tcBorders>
            <w:shd w:val="clear" w:color="auto" w:fill="auto"/>
            <w:vAlign w:val="center"/>
          </w:tcPr>
          <w:p w14:paraId="15A5C3BD">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通过车辆标签进行检索，检索关系包含“与”和“或”，标签包含二次识别标签、数据标签、行为标签的功能；系统支持统计实有车辆数量、今日实有过车辆、按小时统计本地外地车牌数量、过车数量、本地号牌与外地号牌占比情况的功能；系统支持查看外地车档信息，包含： 近期行驶记录（近一月、近一周、今日的数据，可以通过数据展示或者地图展示的方式）、近期行迹分析、落脚点分析、司乘人员比对、关系图谱、车辆标签和车辆积分以及近 30 天出现总次数、近 30 天出现天数、首次入城、最后一次出现的功能。</w:t>
            </w:r>
          </w:p>
        </w:tc>
        <w:tc>
          <w:tcPr>
            <w:tcW w:w="654" w:type="dxa"/>
            <w:tcBorders>
              <w:top w:val="nil"/>
              <w:left w:val="nil"/>
              <w:bottom w:val="single" w:color="000000" w:sz="4" w:space="0"/>
              <w:right w:val="single" w:color="000000" w:sz="4" w:space="0"/>
            </w:tcBorders>
            <w:shd w:val="clear" w:color="auto" w:fill="auto"/>
            <w:vAlign w:val="center"/>
          </w:tcPr>
          <w:p w14:paraId="60218F6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BF5CA6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21CF0C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FD86713">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321CBA2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15FA32F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人员聚类</w:t>
            </w:r>
          </w:p>
        </w:tc>
        <w:tc>
          <w:tcPr>
            <w:tcW w:w="5139" w:type="dxa"/>
            <w:tcBorders>
              <w:top w:val="nil"/>
              <w:left w:val="nil"/>
              <w:bottom w:val="single" w:color="000000" w:sz="4" w:space="0"/>
              <w:right w:val="single" w:color="000000" w:sz="4" w:space="0"/>
            </w:tcBorders>
            <w:shd w:val="clear" w:color="auto" w:fill="auto"/>
            <w:vAlign w:val="center"/>
          </w:tcPr>
          <w:p w14:paraId="3CF82B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查看人员某段时间的抓拍记录，包括抓拍点位名称、抓拍时间、抓拍照片，并能在地图中绘制人员轨迹的功能；系统支持通过人员聚类数据，分析该人员的出行规律，包括近30天出现次数、近30天出现天数、首次出现时间、最后一次出现时间等；支持通过人员聚类数据挖掘该人员的落脚点的功能等；支持对卡口抓拍照片，通过与档案照片进行人脸比对，达到阈值以上聚类进对应档案中，阈值以下创建VID档案，构建一人一档。</w:t>
            </w:r>
          </w:p>
        </w:tc>
        <w:tc>
          <w:tcPr>
            <w:tcW w:w="654" w:type="dxa"/>
            <w:tcBorders>
              <w:top w:val="nil"/>
              <w:left w:val="nil"/>
              <w:bottom w:val="single" w:color="000000" w:sz="4" w:space="0"/>
              <w:right w:val="single" w:color="000000" w:sz="4" w:space="0"/>
            </w:tcBorders>
            <w:shd w:val="clear" w:color="auto" w:fill="auto"/>
            <w:vAlign w:val="center"/>
          </w:tcPr>
          <w:p w14:paraId="2AF53A1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0CD2A9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5BA06E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D1E5D3B">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6C40C8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5DD6426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多维一键搜</w:t>
            </w:r>
          </w:p>
        </w:tc>
        <w:tc>
          <w:tcPr>
            <w:tcW w:w="5139" w:type="dxa"/>
            <w:tcBorders>
              <w:top w:val="nil"/>
              <w:left w:val="nil"/>
              <w:bottom w:val="single" w:color="000000" w:sz="4" w:space="0"/>
              <w:right w:val="single" w:color="000000" w:sz="4" w:space="0"/>
            </w:tcBorders>
            <w:shd w:val="clear" w:color="auto" w:fill="auto"/>
            <w:vAlign w:val="center"/>
          </w:tcPr>
          <w:p w14:paraId="7774E65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通过关键字、实体目标（车牌号，身份证号，姓名，案件编号，案件名称，手机号码等）在全息档案中检索人员，车辆，案件等多维信息的功能；考察系统对多维一键搜索搜到的人员，快速跳转到关系图谱、轨迹刻画、收藏、人员技战法、图像取证、图像增强、查看大图、以图搜人等应用的功能；考察系统对多维一键搜索搜到的车辆，快速跳转到车卡检索、添加布控、关系图谱、轨迹刻画、一键收藏、车辆技战法、图像取证、图像增强、查看大图、以图搜车等应用的功能等；</w:t>
            </w:r>
          </w:p>
        </w:tc>
        <w:tc>
          <w:tcPr>
            <w:tcW w:w="654" w:type="dxa"/>
            <w:tcBorders>
              <w:top w:val="nil"/>
              <w:left w:val="nil"/>
              <w:bottom w:val="single" w:color="000000" w:sz="4" w:space="0"/>
              <w:right w:val="single" w:color="000000" w:sz="4" w:space="0"/>
            </w:tcBorders>
            <w:shd w:val="clear" w:color="auto" w:fill="auto"/>
            <w:vAlign w:val="center"/>
          </w:tcPr>
          <w:p w14:paraId="209BB814">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A2BEBA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D9EEE2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FBEA1F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8BFDD7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44DC96E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人员档案库</w:t>
            </w:r>
          </w:p>
        </w:tc>
        <w:tc>
          <w:tcPr>
            <w:tcW w:w="5139" w:type="dxa"/>
            <w:tcBorders>
              <w:top w:val="nil"/>
              <w:left w:val="nil"/>
              <w:bottom w:val="single" w:color="000000" w:sz="4" w:space="0"/>
              <w:right w:val="single" w:color="000000" w:sz="4" w:space="0"/>
            </w:tcBorders>
            <w:shd w:val="clear" w:color="auto" w:fill="auto"/>
            <w:vAlign w:val="center"/>
          </w:tcPr>
          <w:p w14:paraId="7ED97FC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人员建立档案库，存储人员关联信息，档案包括人员基础信息、所在人员库、户籍信息、住址信息、工作地信息、出行信息、住宿信息、通讯信息、抓拍记录、落脚点分析、关系图谱等分类全面展示人员相关信息；</w:t>
            </w:r>
          </w:p>
        </w:tc>
        <w:tc>
          <w:tcPr>
            <w:tcW w:w="654" w:type="dxa"/>
            <w:tcBorders>
              <w:top w:val="nil"/>
              <w:left w:val="nil"/>
              <w:bottom w:val="single" w:color="000000" w:sz="4" w:space="0"/>
              <w:right w:val="single" w:color="000000" w:sz="4" w:space="0"/>
            </w:tcBorders>
            <w:shd w:val="clear" w:color="auto" w:fill="auto"/>
            <w:vAlign w:val="center"/>
          </w:tcPr>
          <w:p w14:paraId="42C2BDA0">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12579A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AB949D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F9452A6">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4E00ED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081" w:type="dxa"/>
            <w:tcBorders>
              <w:top w:val="nil"/>
              <w:left w:val="nil"/>
              <w:bottom w:val="single" w:color="000000" w:sz="4" w:space="0"/>
              <w:right w:val="single" w:color="000000" w:sz="4" w:space="0"/>
            </w:tcBorders>
            <w:shd w:val="clear" w:color="auto" w:fill="auto"/>
            <w:vAlign w:val="center"/>
          </w:tcPr>
          <w:p w14:paraId="04D522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车辆档案库</w:t>
            </w:r>
          </w:p>
        </w:tc>
        <w:tc>
          <w:tcPr>
            <w:tcW w:w="5139" w:type="dxa"/>
            <w:tcBorders>
              <w:top w:val="nil"/>
              <w:left w:val="nil"/>
              <w:bottom w:val="single" w:color="000000" w:sz="4" w:space="0"/>
              <w:right w:val="single" w:color="000000" w:sz="4" w:space="0"/>
            </w:tcBorders>
            <w:shd w:val="clear" w:color="auto" w:fill="auto"/>
            <w:vAlign w:val="center"/>
          </w:tcPr>
          <w:p w14:paraId="6C098CA3">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系统支持对车辆建立档案库，存储车辆关联信息，包括车辆基本信息、车主信息、违法记录、事故记录、近期行驶记录、近期行迹分析、落脚点分析、司乘人员抓拍比对、关系图谱、车辆标签的功能；</w:t>
            </w:r>
          </w:p>
        </w:tc>
        <w:tc>
          <w:tcPr>
            <w:tcW w:w="654" w:type="dxa"/>
            <w:tcBorders>
              <w:top w:val="nil"/>
              <w:left w:val="nil"/>
              <w:bottom w:val="single" w:color="000000" w:sz="4" w:space="0"/>
              <w:right w:val="single" w:color="000000" w:sz="4" w:space="0"/>
            </w:tcBorders>
            <w:shd w:val="clear" w:color="auto" w:fill="auto"/>
            <w:vAlign w:val="center"/>
          </w:tcPr>
          <w:p w14:paraId="5024AC4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5A83C7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88AADE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4D8AD3D">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5160C3D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081" w:type="dxa"/>
            <w:tcBorders>
              <w:top w:val="nil"/>
              <w:left w:val="nil"/>
              <w:bottom w:val="single" w:color="000000" w:sz="4" w:space="0"/>
              <w:right w:val="single" w:color="000000" w:sz="4" w:space="0"/>
            </w:tcBorders>
            <w:shd w:val="clear" w:color="auto" w:fill="auto"/>
            <w:vAlign w:val="center"/>
          </w:tcPr>
          <w:p w14:paraId="492CDD8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多维度展示</w:t>
            </w:r>
          </w:p>
        </w:tc>
        <w:tc>
          <w:tcPr>
            <w:tcW w:w="5139" w:type="dxa"/>
            <w:tcBorders>
              <w:top w:val="nil"/>
              <w:left w:val="nil"/>
              <w:bottom w:val="single" w:color="000000" w:sz="4" w:space="0"/>
              <w:right w:val="single" w:color="000000" w:sz="4" w:space="0"/>
            </w:tcBorders>
            <w:shd w:val="clear" w:color="auto" w:fill="auto"/>
            <w:vAlign w:val="center"/>
          </w:tcPr>
          <w:p w14:paraId="79E4094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多维关系图谱多维度展示，支持以人为中心、车为中心、案件为中心展示人、车、案等实体的关系图谱的功能；系统支持多维关系图谱多级展示模式，一级模式展示与中心实体有直接关联的实体，二级模式进一步展示与中心实体有间接关联的实体的功能；系统支持多维关系图谱通过图标的方式实现可视化展示，支持可视化展示按照实体的类别进行筛选展示，支持按照人、车等类别进行筛选，不同类别的实体采用不同的颜色进行区分，支持对可视化多维关系图谱的放大缩小，支持关系图谱实体之间关联关系文字说明的开关显示设置的功能等；</w:t>
            </w:r>
          </w:p>
        </w:tc>
        <w:tc>
          <w:tcPr>
            <w:tcW w:w="654" w:type="dxa"/>
            <w:tcBorders>
              <w:top w:val="nil"/>
              <w:left w:val="nil"/>
              <w:bottom w:val="single" w:color="000000" w:sz="4" w:space="0"/>
              <w:right w:val="single" w:color="000000" w:sz="4" w:space="0"/>
            </w:tcBorders>
            <w:shd w:val="clear" w:color="auto" w:fill="auto"/>
            <w:vAlign w:val="center"/>
          </w:tcPr>
          <w:p w14:paraId="739D8BE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21CEAA0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0F7BBDF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2F4ED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642448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081" w:type="dxa"/>
            <w:tcBorders>
              <w:top w:val="nil"/>
              <w:left w:val="nil"/>
              <w:bottom w:val="single" w:color="000000" w:sz="4" w:space="0"/>
              <w:right w:val="single" w:color="000000" w:sz="4" w:space="0"/>
            </w:tcBorders>
            <w:shd w:val="clear" w:color="auto" w:fill="auto"/>
            <w:vAlign w:val="center"/>
          </w:tcPr>
          <w:p w14:paraId="06B5FC7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★人车关联分析</w:t>
            </w:r>
          </w:p>
        </w:tc>
        <w:tc>
          <w:tcPr>
            <w:tcW w:w="5139" w:type="dxa"/>
            <w:tcBorders>
              <w:top w:val="nil"/>
              <w:left w:val="nil"/>
              <w:bottom w:val="single" w:color="000000" w:sz="4" w:space="0"/>
              <w:right w:val="single" w:color="000000" w:sz="4" w:space="0"/>
            </w:tcBorders>
            <w:shd w:val="clear" w:color="auto" w:fill="auto"/>
            <w:vAlign w:val="center"/>
          </w:tcPr>
          <w:p w14:paraId="4EBC26C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提供车与司乘人员的关联分析服务。</w:t>
            </w:r>
          </w:p>
        </w:tc>
        <w:tc>
          <w:tcPr>
            <w:tcW w:w="654" w:type="dxa"/>
            <w:tcBorders>
              <w:top w:val="nil"/>
              <w:left w:val="nil"/>
              <w:bottom w:val="single" w:color="000000" w:sz="4" w:space="0"/>
              <w:right w:val="single" w:color="000000" w:sz="4" w:space="0"/>
            </w:tcBorders>
            <w:shd w:val="clear" w:color="auto" w:fill="auto"/>
            <w:vAlign w:val="center"/>
          </w:tcPr>
          <w:p w14:paraId="5EC746F8">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46A8DE4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086B34F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542FCC3D">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F1B87">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0AE3D78C">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0FB94789">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17C37698">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2DBA64DC">
        <w:tblPrEx>
          <w:tblCellMar>
            <w:top w:w="0" w:type="dxa"/>
            <w:left w:w="108" w:type="dxa"/>
            <w:bottom w:w="0" w:type="dxa"/>
            <w:right w:w="108" w:type="dxa"/>
          </w:tblCellMar>
        </w:tblPrEx>
        <w:trPr>
          <w:gridAfter w:val="1"/>
          <w:wAfter w:w="28" w:type="dxa"/>
          <w:trHeight w:val="285"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D04E4">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（六）结构化大数据系统（升级）</w:t>
            </w:r>
          </w:p>
        </w:tc>
        <w:tc>
          <w:tcPr>
            <w:tcW w:w="390" w:type="dxa"/>
            <w:tcBorders>
              <w:top w:val="nil"/>
              <w:left w:val="nil"/>
              <w:bottom w:val="single" w:color="000000" w:sz="4" w:space="0"/>
              <w:right w:val="single" w:color="000000" w:sz="4" w:space="0"/>
            </w:tcBorders>
            <w:shd w:val="clear" w:color="auto" w:fill="auto"/>
            <w:vAlign w:val="center"/>
          </w:tcPr>
          <w:p w14:paraId="2CE76E08">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4FE55793">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3ADBF0F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081" w:type="dxa"/>
            <w:tcBorders>
              <w:top w:val="nil"/>
              <w:left w:val="nil"/>
              <w:bottom w:val="single" w:color="000000" w:sz="4" w:space="0"/>
              <w:right w:val="single" w:color="000000" w:sz="4" w:space="0"/>
            </w:tcBorders>
            <w:shd w:val="clear" w:color="auto" w:fill="auto"/>
            <w:vAlign w:val="center"/>
          </w:tcPr>
          <w:p w14:paraId="4C7E583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★实时视频离线视频分析功能</w:t>
            </w:r>
          </w:p>
        </w:tc>
        <w:tc>
          <w:tcPr>
            <w:tcW w:w="5139" w:type="dxa"/>
            <w:tcBorders>
              <w:top w:val="nil"/>
              <w:left w:val="nil"/>
              <w:bottom w:val="single" w:color="000000" w:sz="4" w:space="0"/>
              <w:right w:val="single" w:color="000000" w:sz="4" w:space="0"/>
            </w:tcBorders>
            <w:shd w:val="clear" w:color="auto" w:fill="auto"/>
            <w:vAlign w:val="center"/>
          </w:tcPr>
          <w:p w14:paraId="7716A180">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提供对200路实时视频或者离线视频进行视频结构化的授权；</w:t>
            </w:r>
          </w:p>
        </w:tc>
        <w:tc>
          <w:tcPr>
            <w:tcW w:w="654" w:type="dxa"/>
            <w:tcBorders>
              <w:top w:val="nil"/>
              <w:left w:val="nil"/>
              <w:bottom w:val="single" w:color="000000" w:sz="4" w:space="0"/>
              <w:right w:val="single" w:color="000000" w:sz="4" w:space="0"/>
            </w:tcBorders>
            <w:shd w:val="clear" w:color="auto" w:fill="auto"/>
            <w:vAlign w:val="center"/>
          </w:tcPr>
          <w:p w14:paraId="0939373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21DD078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45D3F8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292F36EB">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399F3A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081" w:type="dxa"/>
            <w:tcBorders>
              <w:top w:val="nil"/>
              <w:left w:val="nil"/>
              <w:bottom w:val="single" w:color="000000" w:sz="4" w:space="0"/>
              <w:right w:val="single" w:color="000000" w:sz="4" w:space="0"/>
            </w:tcBorders>
            <w:shd w:val="clear" w:color="auto" w:fill="auto"/>
            <w:vAlign w:val="center"/>
          </w:tcPr>
          <w:p w14:paraId="0EE863B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独立人员全身快照功能</w:t>
            </w:r>
          </w:p>
        </w:tc>
        <w:tc>
          <w:tcPr>
            <w:tcW w:w="5139" w:type="dxa"/>
            <w:tcBorders>
              <w:top w:val="nil"/>
              <w:left w:val="nil"/>
              <w:bottom w:val="single" w:color="000000" w:sz="4" w:space="0"/>
              <w:right w:val="single" w:color="000000" w:sz="4" w:space="0"/>
            </w:tcBorders>
            <w:shd w:val="clear" w:color="auto" w:fill="auto"/>
            <w:vAlign w:val="center"/>
          </w:tcPr>
          <w:p w14:paraId="6D86D28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w:t>
            </w:r>
            <w:r>
              <w:rPr>
                <w:rFonts w:ascii="宋体" w:hAnsi="宋体" w:cs="宋体"/>
                <w:kern w:val="0"/>
                <w:sz w:val="20"/>
                <w:szCs w:val="20"/>
              </w:rPr>
              <w:t>支持党多个人员目标出现在</w:t>
            </w:r>
            <w:r>
              <w:rPr>
                <w:rFonts w:hint="eastAsia" w:ascii="宋体" w:hAnsi="宋体" w:cs="宋体"/>
                <w:kern w:val="0"/>
                <w:sz w:val="20"/>
                <w:szCs w:val="20"/>
              </w:rPr>
              <w:t>同一</w:t>
            </w:r>
            <w:r>
              <w:rPr>
                <w:rFonts w:ascii="宋体" w:hAnsi="宋体" w:cs="宋体"/>
                <w:kern w:val="0"/>
                <w:sz w:val="20"/>
                <w:szCs w:val="20"/>
              </w:rPr>
              <w:t>画面中且相互粘粘、交错</w:t>
            </w:r>
            <w:r>
              <w:rPr>
                <w:rFonts w:hint="eastAsia" w:ascii="宋体" w:hAnsi="宋体" w:cs="宋体"/>
                <w:kern w:val="0"/>
                <w:sz w:val="20"/>
                <w:szCs w:val="20"/>
              </w:rPr>
              <w:t>、</w:t>
            </w:r>
            <w:r>
              <w:rPr>
                <w:rFonts w:ascii="宋体" w:hAnsi="宋体" w:cs="宋体"/>
                <w:kern w:val="0"/>
                <w:sz w:val="20"/>
                <w:szCs w:val="20"/>
              </w:rPr>
              <w:t>局部遮挡时，同时独立检测到所有人员目标，并上报独立人员全身快照的功能；</w:t>
            </w:r>
          </w:p>
        </w:tc>
        <w:tc>
          <w:tcPr>
            <w:tcW w:w="654" w:type="dxa"/>
            <w:tcBorders>
              <w:top w:val="nil"/>
              <w:left w:val="nil"/>
              <w:bottom w:val="single" w:color="000000" w:sz="4" w:space="0"/>
              <w:right w:val="single" w:color="000000" w:sz="4" w:space="0"/>
            </w:tcBorders>
            <w:shd w:val="clear" w:color="auto" w:fill="auto"/>
            <w:vAlign w:val="center"/>
          </w:tcPr>
          <w:p w14:paraId="4D6568D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76260AF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512BDD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009C91F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46EFE43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081" w:type="dxa"/>
            <w:tcBorders>
              <w:top w:val="nil"/>
              <w:left w:val="nil"/>
              <w:bottom w:val="single" w:color="000000" w:sz="4" w:space="0"/>
              <w:right w:val="single" w:color="000000" w:sz="4" w:space="0"/>
            </w:tcBorders>
            <w:shd w:val="clear" w:color="auto" w:fill="auto"/>
            <w:vAlign w:val="center"/>
          </w:tcPr>
          <w:p w14:paraId="628B4D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人像结构化功能</w:t>
            </w:r>
          </w:p>
        </w:tc>
        <w:tc>
          <w:tcPr>
            <w:tcW w:w="5139" w:type="dxa"/>
            <w:tcBorders>
              <w:top w:val="nil"/>
              <w:left w:val="nil"/>
              <w:bottom w:val="single" w:color="000000" w:sz="4" w:space="0"/>
              <w:right w:val="single" w:color="000000" w:sz="4" w:space="0"/>
            </w:tcBorders>
            <w:shd w:val="clear" w:color="auto" w:fill="auto"/>
            <w:vAlign w:val="center"/>
          </w:tcPr>
          <w:p w14:paraId="31723A2C">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w:t>
            </w:r>
            <w:r>
              <w:rPr>
                <w:rFonts w:ascii="宋体" w:hAnsi="宋体" w:cs="宋体"/>
                <w:kern w:val="0"/>
                <w:sz w:val="20"/>
                <w:szCs w:val="20"/>
              </w:rPr>
              <w:t>支持人像解析结果特征包括：性别、年龄段、发型、头发颜色、上衣款式、裤子款式、上衣长度、上衣颜色、上衣纹理、裤子长度、裤子颜色、</w:t>
            </w:r>
            <w:r>
              <w:rPr>
                <w:rFonts w:hint="eastAsia" w:ascii="宋体" w:hAnsi="宋体" w:cs="宋体"/>
                <w:kern w:val="0"/>
                <w:sz w:val="20"/>
                <w:szCs w:val="20"/>
              </w:rPr>
              <w:t>下衣</w:t>
            </w:r>
            <w:r>
              <w:rPr>
                <w:rFonts w:ascii="宋体" w:hAnsi="宋体" w:cs="宋体"/>
                <w:kern w:val="0"/>
                <w:sz w:val="20"/>
                <w:szCs w:val="20"/>
              </w:rPr>
              <w:t>纹理、运动方向、是否戴眼镜、眼镜款式、人员速度、是否戴口罩、口罩颜色、是否需戴帽子、帽子款式、</w:t>
            </w:r>
            <w:r>
              <w:rPr>
                <w:rFonts w:hint="eastAsia" w:ascii="宋体" w:hAnsi="宋体" w:cs="宋体"/>
                <w:kern w:val="0"/>
                <w:sz w:val="20"/>
                <w:szCs w:val="20"/>
              </w:rPr>
              <w:t>是否</w:t>
            </w:r>
            <w:r>
              <w:rPr>
                <w:rFonts w:ascii="宋体" w:hAnsi="宋体" w:cs="宋体"/>
                <w:kern w:val="0"/>
                <w:sz w:val="20"/>
                <w:szCs w:val="20"/>
              </w:rPr>
              <w:t>背包、背包款式、背包颜色、是</w:t>
            </w:r>
            <w:r>
              <w:rPr>
                <w:rFonts w:hint="eastAsia" w:ascii="宋体" w:hAnsi="宋体" w:cs="宋体"/>
                <w:kern w:val="0"/>
                <w:sz w:val="20"/>
                <w:szCs w:val="20"/>
              </w:rPr>
              <w:t>否</w:t>
            </w:r>
            <w:r>
              <w:rPr>
                <w:rFonts w:ascii="宋体" w:hAnsi="宋体" w:cs="宋体"/>
                <w:kern w:val="0"/>
                <w:sz w:val="20"/>
                <w:szCs w:val="20"/>
              </w:rPr>
              <w:t>拎物、是否</w:t>
            </w:r>
            <w:r>
              <w:rPr>
                <w:rFonts w:hint="eastAsia" w:ascii="宋体" w:hAnsi="宋体" w:cs="宋体"/>
                <w:kern w:val="0"/>
                <w:sz w:val="20"/>
                <w:szCs w:val="20"/>
              </w:rPr>
              <w:t>打伞</w:t>
            </w:r>
            <w:r>
              <w:rPr>
                <w:rFonts w:ascii="宋体" w:hAnsi="宋体" w:cs="宋体"/>
                <w:kern w:val="0"/>
                <w:sz w:val="20"/>
                <w:szCs w:val="20"/>
              </w:rPr>
              <w:t>、是否骑行、是否抱小孩、是否打电话</w:t>
            </w:r>
            <w:r>
              <w:rPr>
                <w:rFonts w:hint="eastAsia" w:ascii="宋体" w:hAnsi="宋体" w:cs="宋体"/>
                <w:kern w:val="0"/>
                <w:sz w:val="20"/>
                <w:szCs w:val="20"/>
              </w:rPr>
              <w:t>的</w:t>
            </w:r>
            <w:r>
              <w:rPr>
                <w:rFonts w:ascii="宋体" w:hAnsi="宋体" w:cs="宋体"/>
                <w:kern w:val="0"/>
                <w:sz w:val="20"/>
                <w:szCs w:val="20"/>
              </w:rPr>
              <w:t>功能；</w:t>
            </w:r>
          </w:p>
        </w:tc>
        <w:tc>
          <w:tcPr>
            <w:tcW w:w="654" w:type="dxa"/>
            <w:tcBorders>
              <w:top w:val="nil"/>
              <w:left w:val="nil"/>
              <w:bottom w:val="single" w:color="000000" w:sz="4" w:space="0"/>
              <w:right w:val="single" w:color="000000" w:sz="4" w:space="0"/>
            </w:tcBorders>
            <w:shd w:val="clear" w:color="auto" w:fill="auto"/>
            <w:vAlign w:val="center"/>
          </w:tcPr>
          <w:p w14:paraId="13C681C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4E6207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4B07C8F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13B6EF8">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49A2C6E">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081" w:type="dxa"/>
            <w:tcBorders>
              <w:top w:val="nil"/>
              <w:left w:val="nil"/>
              <w:bottom w:val="single" w:color="000000" w:sz="4" w:space="0"/>
              <w:right w:val="single" w:color="000000" w:sz="4" w:space="0"/>
            </w:tcBorders>
            <w:shd w:val="clear" w:color="auto" w:fill="auto"/>
            <w:vAlign w:val="center"/>
          </w:tcPr>
          <w:p w14:paraId="6B7F0C6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车辆结构化功能</w:t>
            </w:r>
          </w:p>
        </w:tc>
        <w:tc>
          <w:tcPr>
            <w:tcW w:w="5139" w:type="dxa"/>
            <w:tcBorders>
              <w:top w:val="nil"/>
              <w:left w:val="nil"/>
              <w:bottom w:val="single" w:color="000000" w:sz="4" w:space="0"/>
              <w:right w:val="single" w:color="000000" w:sz="4" w:space="0"/>
            </w:tcBorders>
            <w:shd w:val="clear" w:color="auto" w:fill="auto"/>
            <w:vAlign w:val="center"/>
          </w:tcPr>
          <w:p w14:paraId="0CB2FCA9">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系统支持车辆解析结果特征包括：车牌号、车牌颜色、号 牌种类、车身颜色、颜色深浅、车辆品牌、车辆型号、车辆年款、车辆尺寸、车辆类型、特种车辆类型、制造厂商、 行驶方向、遮阳板状态、安全带状态、打电话状态的功能</w:t>
            </w:r>
          </w:p>
        </w:tc>
        <w:tc>
          <w:tcPr>
            <w:tcW w:w="654" w:type="dxa"/>
            <w:tcBorders>
              <w:top w:val="nil"/>
              <w:left w:val="nil"/>
              <w:bottom w:val="single" w:color="000000" w:sz="4" w:space="0"/>
              <w:right w:val="single" w:color="000000" w:sz="4" w:space="0"/>
            </w:tcBorders>
            <w:shd w:val="clear" w:color="auto" w:fill="auto"/>
            <w:vAlign w:val="center"/>
          </w:tcPr>
          <w:p w14:paraId="77C9756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33C5117">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18256BD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4441977">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A641BD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081" w:type="dxa"/>
            <w:tcBorders>
              <w:top w:val="nil"/>
              <w:left w:val="nil"/>
              <w:bottom w:val="single" w:color="000000" w:sz="4" w:space="0"/>
              <w:right w:val="single" w:color="000000" w:sz="4" w:space="0"/>
            </w:tcBorders>
            <w:shd w:val="clear" w:color="auto" w:fill="auto"/>
            <w:vAlign w:val="center"/>
          </w:tcPr>
          <w:p w14:paraId="0A57AE3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非机动车结构化功能</w:t>
            </w:r>
          </w:p>
        </w:tc>
        <w:tc>
          <w:tcPr>
            <w:tcW w:w="5139" w:type="dxa"/>
            <w:tcBorders>
              <w:top w:val="nil"/>
              <w:left w:val="nil"/>
              <w:bottom w:val="single" w:color="000000" w:sz="4" w:space="0"/>
              <w:right w:val="single" w:color="000000" w:sz="4" w:space="0"/>
            </w:tcBorders>
            <w:shd w:val="clear" w:color="auto" w:fill="auto"/>
            <w:vAlign w:val="center"/>
          </w:tcPr>
          <w:p w14:paraId="51F5EC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　系统支持非机动车解析目标特征包括：车牌号码、非机动车颜 色、伞具类型、是否有后视镜、是否载人、载人数量、是否有后备箱、是否戴头盔、头盔颜色的功能</w:t>
            </w:r>
          </w:p>
        </w:tc>
        <w:tc>
          <w:tcPr>
            <w:tcW w:w="654" w:type="dxa"/>
            <w:tcBorders>
              <w:top w:val="nil"/>
              <w:left w:val="nil"/>
              <w:bottom w:val="single" w:color="000000" w:sz="4" w:space="0"/>
              <w:right w:val="single" w:color="000000" w:sz="4" w:space="0"/>
            </w:tcBorders>
            <w:shd w:val="clear" w:color="auto" w:fill="auto"/>
            <w:vAlign w:val="center"/>
          </w:tcPr>
          <w:p w14:paraId="3AD6B6D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16CE07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12820F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7DDB8D9F">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610A04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1" w:type="dxa"/>
            <w:tcBorders>
              <w:top w:val="nil"/>
              <w:left w:val="nil"/>
              <w:bottom w:val="single" w:color="000000" w:sz="4" w:space="0"/>
              <w:right w:val="single" w:color="000000" w:sz="4" w:space="0"/>
            </w:tcBorders>
            <w:shd w:val="clear" w:color="auto" w:fill="auto"/>
            <w:vAlign w:val="center"/>
          </w:tcPr>
          <w:p w14:paraId="09DA718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对话式</w:t>
            </w:r>
            <w:r>
              <w:rPr>
                <w:rFonts w:ascii="宋体" w:hAnsi="宋体" w:cs="宋体"/>
                <w:kern w:val="0"/>
                <w:sz w:val="20"/>
                <w:szCs w:val="20"/>
              </w:rPr>
              <w:t>极简</w:t>
            </w:r>
            <w:r>
              <w:rPr>
                <w:rFonts w:hint="eastAsia" w:ascii="宋体" w:hAnsi="宋体" w:cs="宋体"/>
                <w:kern w:val="0"/>
                <w:sz w:val="20"/>
                <w:szCs w:val="20"/>
              </w:rPr>
              <w:t>检索</w:t>
            </w:r>
          </w:p>
        </w:tc>
        <w:tc>
          <w:tcPr>
            <w:tcW w:w="5139" w:type="dxa"/>
            <w:tcBorders>
              <w:top w:val="nil"/>
              <w:left w:val="nil"/>
              <w:bottom w:val="single" w:color="000000" w:sz="4" w:space="0"/>
              <w:right w:val="single" w:color="000000" w:sz="4" w:space="0"/>
            </w:tcBorders>
            <w:shd w:val="clear" w:color="auto" w:fill="auto"/>
            <w:vAlign w:val="center"/>
          </w:tcPr>
          <w:p w14:paraId="1832674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支持自然语言问答式直接检索，直接以日常语言描述目标，系统即可精准解析语义并触发检索，大幅降低操作门槛。</w:t>
            </w:r>
          </w:p>
        </w:tc>
        <w:tc>
          <w:tcPr>
            <w:tcW w:w="654" w:type="dxa"/>
            <w:tcBorders>
              <w:top w:val="nil"/>
              <w:left w:val="nil"/>
              <w:bottom w:val="single" w:color="000000" w:sz="4" w:space="0"/>
              <w:right w:val="single" w:color="000000" w:sz="4" w:space="0"/>
            </w:tcBorders>
            <w:shd w:val="clear" w:color="auto" w:fill="auto"/>
            <w:vAlign w:val="center"/>
          </w:tcPr>
          <w:p w14:paraId="32FAFBB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75F8A82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6F9E1480">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06A565E7">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98E42A3">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1" w:type="dxa"/>
            <w:tcBorders>
              <w:top w:val="nil"/>
              <w:left w:val="nil"/>
              <w:bottom w:val="single" w:color="000000" w:sz="4" w:space="0"/>
              <w:right w:val="single" w:color="000000" w:sz="4" w:space="0"/>
            </w:tcBorders>
            <w:shd w:val="clear" w:color="auto" w:fill="auto"/>
            <w:vAlign w:val="center"/>
          </w:tcPr>
          <w:p w14:paraId="483A4BF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★复杂指令识别</w:t>
            </w:r>
          </w:p>
        </w:tc>
        <w:tc>
          <w:tcPr>
            <w:tcW w:w="5139" w:type="dxa"/>
            <w:tcBorders>
              <w:top w:val="nil"/>
              <w:left w:val="nil"/>
              <w:bottom w:val="single" w:color="000000" w:sz="4" w:space="0"/>
              <w:right w:val="single" w:color="000000" w:sz="4" w:space="0"/>
            </w:tcBorders>
            <w:shd w:val="clear" w:color="auto" w:fill="auto"/>
            <w:vAlign w:val="center"/>
          </w:tcPr>
          <w:p w14:paraId="6D77F55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融合视图库、实时相机流、特定事件语料等专业知识库，强化业务场景下的指令理解能力。尤其针对反向特征指令，可精准识别语义逻辑，快速定位违规目标，提升复杂场景下的检索准确性。</w:t>
            </w:r>
          </w:p>
        </w:tc>
        <w:tc>
          <w:tcPr>
            <w:tcW w:w="654" w:type="dxa"/>
            <w:tcBorders>
              <w:top w:val="nil"/>
              <w:left w:val="nil"/>
              <w:bottom w:val="single" w:color="000000" w:sz="4" w:space="0"/>
              <w:right w:val="single" w:color="000000" w:sz="4" w:space="0"/>
            </w:tcBorders>
            <w:shd w:val="clear" w:color="auto" w:fill="auto"/>
            <w:vAlign w:val="center"/>
          </w:tcPr>
          <w:p w14:paraId="72DFD74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5F80356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4E42905">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504881E9">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B3338A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1" w:type="dxa"/>
            <w:tcBorders>
              <w:top w:val="nil"/>
              <w:left w:val="nil"/>
              <w:bottom w:val="single" w:color="000000" w:sz="4" w:space="0"/>
              <w:right w:val="single" w:color="000000" w:sz="4" w:space="0"/>
            </w:tcBorders>
            <w:shd w:val="clear" w:color="auto" w:fill="auto"/>
            <w:vAlign w:val="center"/>
          </w:tcPr>
          <w:p w14:paraId="778A315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sz w:val="24"/>
              </w:rPr>
              <w:t>★</w:t>
            </w:r>
            <w:r>
              <w:rPr>
                <w:rFonts w:hint="eastAsia" w:ascii="宋体" w:hAnsi="宋体" w:cs="宋体"/>
                <w:kern w:val="0"/>
                <w:sz w:val="20"/>
                <w:szCs w:val="20"/>
              </w:rPr>
              <w:t>万物级动态感知</w:t>
            </w:r>
          </w:p>
        </w:tc>
        <w:tc>
          <w:tcPr>
            <w:tcW w:w="5139" w:type="dxa"/>
            <w:tcBorders>
              <w:top w:val="nil"/>
              <w:left w:val="nil"/>
              <w:bottom w:val="single" w:color="000000" w:sz="4" w:space="0"/>
              <w:right w:val="single" w:color="000000" w:sz="4" w:space="0"/>
            </w:tcBorders>
            <w:shd w:val="clear" w:color="auto" w:fill="auto"/>
            <w:vAlign w:val="center"/>
          </w:tcPr>
          <w:p w14:paraId="066C3798">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依托视觉大模型，实现 “人、车、物、地点、事件” 全要素泛化识别，覆盖常规与非常规目标（如遗留物品、异常聚集事件）。通过大模型蒸馏技术与本地训练微调以及在线持续优化模型，针对用户关注的特定目标（如区域内高频事件）进行定向训练，进一步提升识别精度。</w:t>
            </w:r>
          </w:p>
        </w:tc>
        <w:tc>
          <w:tcPr>
            <w:tcW w:w="654" w:type="dxa"/>
            <w:tcBorders>
              <w:top w:val="nil"/>
              <w:left w:val="nil"/>
              <w:bottom w:val="single" w:color="000000" w:sz="4" w:space="0"/>
              <w:right w:val="single" w:color="000000" w:sz="4" w:space="0"/>
            </w:tcBorders>
            <w:shd w:val="clear" w:color="auto" w:fill="auto"/>
            <w:vAlign w:val="center"/>
          </w:tcPr>
          <w:p w14:paraId="0ACD54C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68DBF1B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53D7DC90">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00DA49AA">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03C658A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1" w:type="dxa"/>
            <w:tcBorders>
              <w:top w:val="nil"/>
              <w:left w:val="nil"/>
              <w:bottom w:val="single" w:color="000000" w:sz="4" w:space="0"/>
              <w:right w:val="single" w:color="000000" w:sz="4" w:space="0"/>
            </w:tcBorders>
            <w:shd w:val="clear" w:color="auto" w:fill="auto"/>
            <w:vAlign w:val="center"/>
          </w:tcPr>
          <w:p w14:paraId="261D5D2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智能图片检索</w:t>
            </w:r>
          </w:p>
        </w:tc>
        <w:tc>
          <w:tcPr>
            <w:tcW w:w="5139" w:type="dxa"/>
            <w:tcBorders>
              <w:top w:val="nil"/>
              <w:left w:val="nil"/>
              <w:bottom w:val="single" w:color="000000" w:sz="4" w:space="0"/>
              <w:right w:val="single" w:color="000000" w:sz="4" w:space="0"/>
            </w:tcBorders>
            <w:shd w:val="clear" w:color="auto" w:fill="auto"/>
            <w:vAlign w:val="center"/>
          </w:tcPr>
          <w:p w14:paraId="0BBC89FA">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便捷的图片上传或拖拽功能进行以图搜图，特别针对人脸、人体进行高效比对检索。用户可灵活运用时段、来源、相似度阈值等条件进行精细化二次检索，快速锁定目标。提供视频图片文件统一管理，支持离线上传、实时解析，可查看进度和信息，进行检索、筛选和批量操作；提供指定资料库文件件检索</w:t>
            </w:r>
          </w:p>
        </w:tc>
        <w:tc>
          <w:tcPr>
            <w:tcW w:w="654" w:type="dxa"/>
            <w:tcBorders>
              <w:top w:val="nil"/>
              <w:left w:val="nil"/>
              <w:bottom w:val="single" w:color="000000" w:sz="4" w:space="0"/>
              <w:right w:val="single" w:color="000000" w:sz="4" w:space="0"/>
            </w:tcBorders>
            <w:shd w:val="clear" w:color="auto" w:fill="auto"/>
            <w:vAlign w:val="center"/>
          </w:tcPr>
          <w:p w14:paraId="52EC2CD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EC09A1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269EE132">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491C4C36">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1F98CBD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1" w:type="dxa"/>
            <w:tcBorders>
              <w:top w:val="nil"/>
              <w:left w:val="nil"/>
              <w:bottom w:val="single" w:color="000000" w:sz="4" w:space="0"/>
              <w:right w:val="single" w:color="000000" w:sz="4" w:space="0"/>
            </w:tcBorders>
            <w:shd w:val="clear" w:color="auto" w:fill="auto"/>
            <w:vAlign w:val="center"/>
          </w:tcPr>
          <w:p w14:paraId="530E7916">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★设备接入与</w:t>
            </w:r>
            <w:r>
              <w:rPr>
                <w:rFonts w:ascii="宋体" w:hAnsi="宋体" w:cs="宋体"/>
                <w:kern w:val="0"/>
                <w:sz w:val="20"/>
                <w:szCs w:val="20"/>
              </w:rPr>
              <w:t>管理</w:t>
            </w:r>
          </w:p>
        </w:tc>
        <w:tc>
          <w:tcPr>
            <w:tcW w:w="5139" w:type="dxa"/>
            <w:tcBorders>
              <w:top w:val="nil"/>
              <w:left w:val="nil"/>
              <w:bottom w:val="single" w:color="000000" w:sz="4" w:space="0"/>
              <w:right w:val="single" w:color="000000" w:sz="4" w:space="0"/>
            </w:tcBorders>
            <w:shd w:val="clear" w:color="auto" w:fill="auto"/>
            <w:vAlign w:val="center"/>
          </w:tcPr>
          <w:p w14:paraId="0108C067">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提供对设备接入的多协议配置管理，全面支持 ONVIF, RTSP, GB/T 28181 (GB28181) 等主流标准协议。支持对已接入的视频监控设备进行一键启停视频分析任务，操作便捷高效。</w:t>
            </w:r>
          </w:p>
        </w:tc>
        <w:tc>
          <w:tcPr>
            <w:tcW w:w="654" w:type="dxa"/>
            <w:tcBorders>
              <w:top w:val="nil"/>
              <w:left w:val="nil"/>
              <w:bottom w:val="single" w:color="000000" w:sz="4" w:space="0"/>
              <w:right w:val="single" w:color="000000" w:sz="4" w:space="0"/>
            </w:tcBorders>
            <w:shd w:val="clear" w:color="auto" w:fill="auto"/>
            <w:vAlign w:val="center"/>
          </w:tcPr>
          <w:p w14:paraId="11DE349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4130B71">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18" w:type="dxa"/>
            <w:gridSpan w:val="2"/>
            <w:tcBorders>
              <w:top w:val="nil"/>
              <w:left w:val="nil"/>
              <w:bottom w:val="single" w:color="000000" w:sz="4" w:space="0"/>
              <w:right w:val="single" w:color="000000" w:sz="4" w:space="0"/>
            </w:tcBorders>
            <w:shd w:val="clear" w:color="auto" w:fill="auto"/>
            <w:vAlign w:val="center"/>
          </w:tcPr>
          <w:p w14:paraId="78916F5E">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2A0CF1CB">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4979E6A">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1" w:type="dxa"/>
            <w:tcBorders>
              <w:top w:val="nil"/>
              <w:left w:val="nil"/>
              <w:bottom w:val="single" w:color="000000" w:sz="4" w:space="0"/>
              <w:right w:val="single" w:color="000000" w:sz="4" w:space="0"/>
            </w:tcBorders>
            <w:shd w:val="clear" w:color="auto" w:fill="auto"/>
            <w:vAlign w:val="center"/>
          </w:tcPr>
          <w:p w14:paraId="46CE3C6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实时分析效率突破</w:t>
            </w:r>
          </w:p>
        </w:tc>
        <w:tc>
          <w:tcPr>
            <w:tcW w:w="5139" w:type="dxa"/>
            <w:tcBorders>
              <w:top w:val="nil"/>
              <w:left w:val="nil"/>
              <w:bottom w:val="single" w:color="000000" w:sz="4" w:space="0"/>
              <w:right w:val="single" w:color="000000" w:sz="4" w:space="0"/>
            </w:tcBorders>
            <w:shd w:val="clear" w:color="auto" w:fill="auto"/>
            <w:vAlign w:val="center"/>
          </w:tcPr>
          <w:p w14:paraId="40390F5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革新大语言图文识别模型秒级性能瓶颈，实现图文的实时解析，可以实现海量图片的预分析处理。</w:t>
            </w:r>
          </w:p>
        </w:tc>
        <w:tc>
          <w:tcPr>
            <w:tcW w:w="654" w:type="dxa"/>
            <w:tcBorders>
              <w:top w:val="nil"/>
              <w:left w:val="nil"/>
              <w:bottom w:val="single" w:color="000000" w:sz="4" w:space="0"/>
              <w:right w:val="single" w:color="000000" w:sz="4" w:space="0"/>
            </w:tcBorders>
            <w:shd w:val="clear" w:color="auto" w:fill="auto"/>
            <w:vAlign w:val="center"/>
          </w:tcPr>
          <w:p w14:paraId="17201770">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608" w:type="dxa"/>
            <w:tcBorders>
              <w:top w:val="nil"/>
              <w:left w:val="nil"/>
              <w:bottom w:val="single" w:color="000000" w:sz="4" w:space="0"/>
              <w:right w:val="single" w:color="000000" w:sz="4" w:space="0"/>
            </w:tcBorders>
            <w:shd w:val="clear" w:color="auto" w:fill="auto"/>
            <w:vAlign w:val="center"/>
          </w:tcPr>
          <w:p w14:paraId="07ACD0E9">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p>
        </w:tc>
        <w:tc>
          <w:tcPr>
            <w:tcW w:w="418" w:type="dxa"/>
            <w:gridSpan w:val="2"/>
            <w:tcBorders>
              <w:top w:val="nil"/>
              <w:left w:val="nil"/>
              <w:bottom w:val="single" w:color="000000" w:sz="4" w:space="0"/>
              <w:right w:val="single" w:color="000000" w:sz="4" w:space="0"/>
            </w:tcBorders>
            <w:shd w:val="clear" w:color="auto" w:fill="auto"/>
            <w:vAlign w:val="center"/>
          </w:tcPr>
          <w:p w14:paraId="47EC2C54">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422FF77E">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61056875">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2</w:t>
            </w:r>
          </w:p>
        </w:tc>
        <w:tc>
          <w:tcPr>
            <w:tcW w:w="1081" w:type="dxa"/>
            <w:tcBorders>
              <w:top w:val="nil"/>
              <w:left w:val="nil"/>
              <w:bottom w:val="single" w:color="000000" w:sz="4" w:space="0"/>
              <w:right w:val="single" w:color="000000" w:sz="4" w:space="0"/>
            </w:tcBorders>
            <w:shd w:val="clear" w:color="auto" w:fill="auto"/>
            <w:vAlign w:val="center"/>
          </w:tcPr>
          <w:p w14:paraId="0E34036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系统</w:t>
            </w:r>
            <w:r>
              <w:rPr>
                <w:rFonts w:ascii="宋体" w:hAnsi="宋体" w:cs="宋体"/>
                <w:kern w:val="0"/>
                <w:sz w:val="20"/>
                <w:szCs w:val="20"/>
              </w:rPr>
              <w:t>管理</w:t>
            </w:r>
          </w:p>
        </w:tc>
        <w:tc>
          <w:tcPr>
            <w:tcW w:w="5139" w:type="dxa"/>
            <w:tcBorders>
              <w:top w:val="nil"/>
              <w:left w:val="nil"/>
              <w:bottom w:val="single" w:color="000000" w:sz="4" w:space="0"/>
              <w:right w:val="single" w:color="000000" w:sz="4" w:space="0"/>
            </w:tcBorders>
            <w:shd w:val="clear" w:color="auto" w:fill="auto"/>
            <w:vAlign w:val="center"/>
          </w:tcPr>
          <w:p w14:paraId="55E0C6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管理员可对用户账号进行新增、修改、授权、锁定、删除、密码重置等操作，支持对用户信息筛选和部门编辑，新增用户界面字段展示优化，部门关联角色自动继承。配置用户角色的菜单权限和算法权限，可创建新角色并授权功能模块权限。记录平台所有操作，支持根据多种条件检索操作日志，并提供导出功能，最大导出 1000 条记录。</w:t>
            </w:r>
          </w:p>
        </w:tc>
        <w:tc>
          <w:tcPr>
            <w:tcW w:w="654" w:type="dxa"/>
            <w:tcBorders>
              <w:top w:val="nil"/>
              <w:left w:val="nil"/>
              <w:bottom w:val="single" w:color="000000" w:sz="4" w:space="0"/>
              <w:right w:val="single" w:color="000000" w:sz="4" w:space="0"/>
            </w:tcBorders>
            <w:shd w:val="clear" w:color="auto" w:fill="auto"/>
            <w:vAlign w:val="center"/>
          </w:tcPr>
          <w:p w14:paraId="7D2F823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套</w:t>
            </w:r>
          </w:p>
        </w:tc>
        <w:tc>
          <w:tcPr>
            <w:tcW w:w="608" w:type="dxa"/>
            <w:tcBorders>
              <w:top w:val="nil"/>
              <w:left w:val="nil"/>
              <w:bottom w:val="single" w:color="000000" w:sz="4" w:space="0"/>
              <w:right w:val="single" w:color="000000" w:sz="4" w:space="0"/>
            </w:tcBorders>
            <w:shd w:val="clear" w:color="auto" w:fill="auto"/>
            <w:vAlign w:val="center"/>
          </w:tcPr>
          <w:p w14:paraId="0A0D683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p>
        </w:tc>
        <w:tc>
          <w:tcPr>
            <w:tcW w:w="418" w:type="dxa"/>
            <w:gridSpan w:val="2"/>
            <w:tcBorders>
              <w:top w:val="nil"/>
              <w:left w:val="nil"/>
              <w:bottom w:val="single" w:color="000000" w:sz="4" w:space="0"/>
              <w:right w:val="single" w:color="000000" w:sz="4" w:space="0"/>
            </w:tcBorders>
            <w:shd w:val="clear" w:color="auto" w:fill="auto"/>
            <w:vAlign w:val="center"/>
          </w:tcPr>
          <w:p w14:paraId="42926D7C">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6BE225F1">
        <w:tblPrEx>
          <w:tblCellMar>
            <w:top w:w="0" w:type="dxa"/>
            <w:left w:w="108" w:type="dxa"/>
            <w:bottom w:w="0" w:type="dxa"/>
            <w:right w:w="108" w:type="dxa"/>
          </w:tblCellMar>
        </w:tblPrEx>
        <w:trPr>
          <w:trHeight w:val="240" w:hRule="atLeast"/>
        </w:trPr>
        <w:tc>
          <w:tcPr>
            <w:tcW w:w="615" w:type="dxa"/>
            <w:tcBorders>
              <w:top w:val="nil"/>
              <w:left w:val="single" w:color="000000" w:sz="4" w:space="0"/>
              <w:bottom w:val="single" w:color="000000" w:sz="4" w:space="0"/>
              <w:right w:val="single" w:color="000000" w:sz="4" w:space="0"/>
            </w:tcBorders>
            <w:shd w:val="clear" w:color="auto" w:fill="auto"/>
            <w:vAlign w:val="center"/>
          </w:tcPr>
          <w:p w14:paraId="7BFA837D">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3</w:t>
            </w:r>
          </w:p>
        </w:tc>
        <w:tc>
          <w:tcPr>
            <w:tcW w:w="1081" w:type="dxa"/>
            <w:tcBorders>
              <w:top w:val="nil"/>
              <w:left w:val="nil"/>
              <w:bottom w:val="single" w:color="000000" w:sz="4" w:space="0"/>
              <w:right w:val="single" w:color="000000" w:sz="4" w:space="0"/>
            </w:tcBorders>
            <w:shd w:val="clear" w:color="auto" w:fill="auto"/>
            <w:vAlign w:val="center"/>
          </w:tcPr>
          <w:p w14:paraId="33250E11">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5139" w:type="dxa"/>
            <w:tcBorders>
              <w:top w:val="nil"/>
              <w:left w:val="nil"/>
              <w:bottom w:val="single" w:color="000000" w:sz="4" w:space="0"/>
              <w:right w:val="single" w:color="000000" w:sz="4" w:space="0"/>
            </w:tcBorders>
            <w:shd w:val="clear" w:color="auto" w:fill="auto"/>
            <w:vAlign w:val="center"/>
          </w:tcPr>
          <w:p w14:paraId="69EB7361">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支持通过语义检索系统接入的视频监控资源，查看监控点位视频；支持接入公安局已有视频综合管理平台，实现统一管理和统一登录。</w:t>
            </w:r>
          </w:p>
        </w:tc>
        <w:tc>
          <w:tcPr>
            <w:tcW w:w="654" w:type="dxa"/>
            <w:tcBorders>
              <w:top w:val="nil"/>
              <w:left w:val="nil"/>
              <w:bottom w:val="single" w:color="000000" w:sz="4" w:space="0"/>
              <w:right w:val="single" w:color="000000" w:sz="4" w:space="0"/>
            </w:tcBorders>
            <w:shd w:val="clear" w:color="auto" w:fill="auto"/>
            <w:vAlign w:val="center"/>
          </w:tcPr>
          <w:p w14:paraId="0A2D3F74">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c>
          <w:tcPr>
            <w:tcW w:w="608" w:type="dxa"/>
            <w:tcBorders>
              <w:top w:val="nil"/>
              <w:left w:val="nil"/>
              <w:bottom w:val="single" w:color="000000" w:sz="4" w:space="0"/>
              <w:right w:val="single" w:color="000000" w:sz="4" w:space="0"/>
            </w:tcBorders>
            <w:shd w:val="clear" w:color="auto" w:fill="auto"/>
            <w:vAlign w:val="center"/>
          </w:tcPr>
          <w:p w14:paraId="659A20D0">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p>
        </w:tc>
        <w:tc>
          <w:tcPr>
            <w:tcW w:w="418" w:type="dxa"/>
            <w:gridSpan w:val="2"/>
            <w:tcBorders>
              <w:top w:val="nil"/>
              <w:left w:val="nil"/>
              <w:bottom w:val="single" w:color="000000" w:sz="4" w:space="0"/>
              <w:right w:val="single" w:color="000000" w:sz="4" w:space="0"/>
            </w:tcBorders>
            <w:shd w:val="clear" w:color="auto" w:fill="auto"/>
            <w:vAlign w:val="center"/>
          </w:tcPr>
          <w:p w14:paraId="68721547">
            <w:pPr>
              <w:keepNext w:val="0"/>
              <w:keepLines w:val="0"/>
              <w:widowControl/>
              <w:suppressLineNumbers w:val="0"/>
              <w:spacing w:before="0" w:beforeAutospacing="0" w:after="0" w:afterAutospacing="0"/>
              <w:ind w:left="0" w:right="0"/>
              <w:jc w:val="center"/>
              <w:rPr>
                <w:rFonts w:ascii="宋体" w:hAnsi="宋体" w:cs="宋体"/>
                <w:kern w:val="0"/>
                <w:sz w:val="20"/>
                <w:szCs w:val="20"/>
              </w:rPr>
            </w:pPr>
          </w:p>
        </w:tc>
      </w:tr>
      <w:tr w14:paraId="0DD617A1">
        <w:tblPrEx>
          <w:tblCellMar>
            <w:top w:w="0" w:type="dxa"/>
            <w:left w:w="108" w:type="dxa"/>
            <w:bottom w:w="0" w:type="dxa"/>
            <w:right w:w="108" w:type="dxa"/>
          </w:tblCellMar>
        </w:tblPrEx>
        <w:trPr>
          <w:trHeight w:val="270"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FE1B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小计</w:t>
            </w:r>
          </w:p>
        </w:tc>
        <w:tc>
          <w:tcPr>
            <w:tcW w:w="654" w:type="dxa"/>
            <w:tcBorders>
              <w:top w:val="nil"/>
              <w:left w:val="nil"/>
              <w:bottom w:val="single" w:color="000000" w:sz="4" w:space="0"/>
              <w:right w:val="single" w:color="000000" w:sz="4" w:space="0"/>
            </w:tcBorders>
            <w:shd w:val="clear" w:color="auto" w:fill="auto"/>
            <w:vAlign w:val="center"/>
          </w:tcPr>
          <w:p w14:paraId="02BAB2C7">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4617516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06078B50">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687F0900">
        <w:tblPrEx>
          <w:tblCellMar>
            <w:top w:w="0" w:type="dxa"/>
            <w:left w:w="108" w:type="dxa"/>
            <w:bottom w:w="0" w:type="dxa"/>
            <w:right w:w="108" w:type="dxa"/>
          </w:tblCellMar>
        </w:tblPrEx>
        <w:trPr>
          <w:trHeight w:val="285" w:hRule="atLeast"/>
        </w:trPr>
        <w:tc>
          <w:tcPr>
            <w:tcW w:w="6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D127">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654" w:type="dxa"/>
            <w:tcBorders>
              <w:top w:val="nil"/>
              <w:left w:val="nil"/>
              <w:bottom w:val="single" w:color="000000" w:sz="4" w:space="0"/>
              <w:right w:val="single" w:color="000000" w:sz="4" w:space="0"/>
            </w:tcBorders>
            <w:shd w:val="clear" w:color="auto" w:fill="auto"/>
            <w:vAlign w:val="center"/>
          </w:tcPr>
          <w:p w14:paraId="780B124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608" w:type="dxa"/>
            <w:tcBorders>
              <w:top w:val="nil"/>
              <w:left w:val="nil"/>
              <w:bottom w:val="single" w:color="000000" w:sz="4" w:space="0"/>
              <w:right w:val="single" w:color="000000" w:sz="4" w:space="0"/>
            </w:tcBorders>
            <w:shd w:val="clear" w:color="auto" w:fill="auto"/>
            <w:vAlign w:val="center"/>
          </w:tcPr>
          <w:p w14:paraId="37CCCDFF">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418" w:type="dxa"/>
            <w:gridSpan w:val="2"/>
            <w:tcBorders>
              <w:top w:val="nil"/>
              <w:left w:val="nil"/>
              <w:bottom w:val="single" w:color="000000" w:sz="4" w:space="0"/>
              <w:right w:val="single" w:color="000000" w:sz="4" w:space="0"/>
            </w:tcBorders>
            <w:shd w:val="clear" w:color="auto" w:fill="auto"/>
            <w:vAlign w:val="center"/>
          </w:tcPr>
          <w:p w14:paraId="5C9C174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02C65B65">
      <w:pPr>
        <w:rPr>
          <w:rFonts w:ascii="宋体" w:hAnsi="宋体" w:cs="宋体"/>
          <w:b/>
          <w:bCs/>
        </w:rPr>
      </w:pPr>
    </w:p>
    <w:p w14:paraId="2547A206">
      <w:pPr>
        <w:rPr>
          <w:rFonts w:ascii="宋体" w:hAnsi="宋体" w:cs="宋体"/>
          <w:b/>
          <w:bCs/>
        </w:rPr>
      </w:pPr>
    </w:p>
    <w:p w14:paraId="4E700645">
      <w:pPr>
        <w:rPr>
          <w:rFonts w:ascii="宋体" w:hAnsi="宋体" w:cs="宋体"/>
          <w:b/>
          <w:bCs/>
        </w:rPr>
      </w:pPr>
    </w:p>
    <w:p w14:paraId="25EAF988">
      <w:pPr>
        <w:rPr>
          <w:rFonts w:ascii="宋体" w:hAnsi="宋体" w:cs="宋体"/>
          <w:b/>
          <w:bCs/>
        </w:rPr>
      </w:pPr>
    </w:p>
    <w:p w14:paraId="40BFB55E">
      <w:pPr>
        <w:rPr>
          <w:rFonts w:ascii="宋体" w:hAnsi="宋体" w:cs="宋体"/>
          <w:b/>
          <w:bCs/>
        </w:rPr>
      </w:pPr>
    </w:p>
    <w:p w14:paraId="0E693AD5">
      <w:pPr>
        <w:rPr>
          <w:rFonts w:ascii="宋体" w:hAnsi="宋体" w:cs="宋体"/>
          <w:b/>
          <w:bCs/>
        </w:rPr>
      </w:pPr>
    </w:p>
    <w:p w14:paraId="478ABD58">
      <w:pPr>
        <w:rPr>
          <w:rFonts w:ascii="宋体" w:hAnsi="宋体" w:cs="宋体"/>
          <w:b/>
          <w:bCs/>
        </w:rPr>
      </w:pPr>
    </w:p>
    <w:p w14:paraId="5ECA219C">
      <w:pPr>
        <w:rPr>
          <w:rFonts w:ascii="宋体" w:hAnsi="宋体" w:cs="宋体"/>
          <w:b/>
          <w:bCs/>
        </w:rPr>
      </w:pPr>
    </w:p>
    <w:p w14:paraId="3CE85B72">
      <w:pPr>
        <w:rPr>
          <w:rFonts w:ascii="宋体" w:hAnsi="宋体" w:cs="宋体"/>
          <w:b/>
          <w:bCs/>
        </w:rPr>
      </w:pPr>
    </w:p>
    <w:p w14:paraId="3D433C5A">
      <w:pPr>
        <w:rPr>
          <w:rFonts w:ascii="宋体" w:hAnsi="宋体" w:cs="宋体"/>
          <w:b/>
          <w:bCs/>
        </w:rPr>
      </w:pPr>
    </w:p>
    <w:p w14:paraId="4680E33A">
      <w:pPr>
        <w:rPr>
          <w:rFonts w:ascii="宋体" w:hAnsi="宋体" w:cs="宋体"/>
          <w:b/>
          <w:bCs/>
        </w:rPr>
      </w:pPr>
      <w:r>
        <w:rPr>
          <w:rFonts w:ascii="宋体" w:hAnsi="宋体" w:cs="宋体"/>
          <w:b/>
          <w:bCs/>
        </w:rPr>
        <w:t>7</w:t>
      </w:r>
      <w:r>
        <w:rPr>
          <w:rFonts w:hint="eastAsia" w:ascii="宋体" w:hAnsi="宋体" w:cs="宋体"/>
          <w:b/>
          <w:bCs/>
        </w:rPr>
        <w:t>、</w:t>
      </w:r>
      <w:bookmarkEnd w:id="66"/>
      <w:r>
        <w:rPr>
          <w:rFonts w:hint="eastAsia" w:ascii="宋体" w:hAnsi="宋体" w:cs="宋体"/>
          <w:b/>
          <w:bCs/>
        </w:rPr>
        <w:t>专线租赁（三年）</w:t>
      </w:r>
    </w:p>
    <w:tbl>
      <w:tblPr>
        <w:tblStyle w:val="28"/>
        <w:tblW w:w="8289" w:type="dxa"/>
        <w:tblInd w:w="0" w:type="dxa"/>
        <w:tblLayout w:type="autofit"/>
        <w:tblCellMar>
          <w:top w:w="0" w:type="dxa"/>
          <w:left w:w="108" w:type="dxa"/>
          <w:bottom w:w="0" w:type="dxa"/>
          <w:right w:w="108" w:type="dxa"/>
        </w:tblCellMar>
      </w:tblPr>
      <w:tblGrid>
        <w:gridCol w:w="620"/>
        <w:gridCol w:w="1260"/>
        <w:gridCol w:w="4069"/>
        <w:gridCol w:w="780"/>
        <w:gridCol w:w="700"/>
        <w:gridCol w:w="860"/>
      </w:tblGrid>
      <w:tr w14:paraId="73F0B924">
        <w:tblPrEx>
          <w:tblCellMar>
            <w:top w:w="0" w:type="dxa"/>
            <w:left w:w="108" w:type="dxa"/>
            <w:bottom w:w="0" w:type="dxa"/>
            <w:right w:w="108" w:type="dxa"/>
          </w:tblCellMar>
        </w:tblPrEx>
        <w:trPr>
          <w:trHeight w:val="58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AD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38C428D8">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4069" w:type="dxa"/>
            <w:tcBorders>
              <w:top w:val="single" w:color="000000" w:sz="4" w:space="0"/>
              <w:left w:val="nil"/>
              <w:bottom w:val="single" w:color="000000" w:sz="4" w:space="0"/>
              <w:right w:val="single" w:color="000000" w:sz="4" w:space="0"/>
            </w:tcBorders>
            <w:shd w:val="clear" w:color="auto" w:fill="auto"/>
            <w:vAlign w:val="center"/>
          </w:tcPr>
          <w:p w14:paraId="047ED80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763001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700" w:type="dxa"/>
            <w:tcBorders>
              <w:top w:val="single" w:color="000000" w:sz="4" w:space="0"/>
              <w:left w:val="nil"/>
              <w:bottom w:val="single" w:color="000000" w:sz="4" w:space="0"/>
              <w:right w:val="single" w:color="000000" w:sz="4" w:space="0"/>
            </w:tcBorders>
            <w:shd w:val="clear" w:color="auto" w:fill="auto"/>
            <w:vAlign w:val="center"/>
          </w:tcPr>
          <w:p w14:paraId="6F31132D">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52B1AAEC">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5DB2D7BC">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63D2529B">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260" w:type="dxa"/>
            <w:tcBorders>
              <w:top w:val="nil"/>
              <w:left w:val="nil"/>
              <w:bottom w:val="single" w:color="000000" w:sz="4" w:space="0"/>
              <w:right w:val="single" w:color="000000" w:sz="4" w:space="0"/>
            </w:tcBorders>
            <w:shd w:val="clear" w:color="auto" w:fill="auto"/>
            <w:vAlign w:val="center"/>
          </w:tcPr>
          <w:p w14:paraId="01822F1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10M 专线</w:t>
            </w:r>
          </w:p>
        </w:tc>
        <w:tc>
          <w:tcPr>
            <w:tcW w:w="4069" w:type="dxa"/>
            <w:tcBorders>
              <w:top w:val="nil"/>
              <w:left w:val="nil"/>
              <w:bottom w:val="single" w:color="000000" w:sz="4" w:space="0"/>
              <w:right w:val="single" w:color="000000" w:sz="4" w:space="0"/>
            </w:tcBorders>
            <w:shd w:val="clear" w:color="auto" w:fill="auto"/>
            <w:vAlign w:val="center"/>
          </w:tcPr>
          <w:p w14:paraId="78F4AB5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10M 专线（三年）</w:t>
            </w:r>
          </w:p>
        </w:tc>
        <w:tc>
          <w:tcPr>
            <w:tcW w:w="780" w:type="dxa"/>
            <w:tcBorders>
              <w:top w:val="nil"/>
              <w:left w:val="nil"/>
              <w:bottom w:val="single" w:color="000000" w:sz="4" w:space="0"/>
              <w:right w:val="single" w:color="000000" w:sz="4" w:space="0"/>
            </w:tcBorders>
            <w:shd w:val="clear" w:color="auto" w:fill="auto"/>
            <w:vAlign w:val="center"/>
          </w:tcPr>
          <w:p w14:paraId="57ECA91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条</w:t>
            </w:r>
          </w:p>
        </w:tc>
        <w:tc>
          <w:tcPr>
            <w:tcW w:w="700" w:type="dxa"/>
            <w:tcBorders>
              <w:top w:val="nil"/>
              <w:left w:val="nil"/>
              <w:bottom w:val="single" w:color="000000" w:sz="4" w:space="0"/>
              <w:right w:val="single" w:color="000000" w:sz="4" w:space="0"/>
            </w:tcBorders>
            <w:shd w:val="clear" w:color="auto" w:fill="auto"/>
            <w:vAlign w:val="center"/>
          </w:tcPr>
          <w:p w14:paraId="0643A83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326</w:t>
            </w:r>
          </w:p>
        </w:tc>
        <w:tc>
          <w:tcPr>
            <w:tcW w:w="860" w:type="dxa"/>
            <w:tcBorders>
              <w:top w:val="nil"/>
              <w:left w:val="nil"/>
              <w:bottom w:val="single" w:color="000000" w:sz="4" w:space="0"/>
              <w:right w:val="single" w:color="000000" w:sz="4" w:space="0"/>
            </w:tcBorders>
            <w:shd w:val="clear" w:color="auto" w:fill="auto"/>
            <w:vAlign w:val="center"/>
          </w:tcPr>
          <w:p w14:paraId="4C73651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EAEC94B">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26494EC6">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260" w:type="dxa"/>
            <w:tcBorders>
              <w:top w:val="nil"/>
              <w:left w:val="nil"/>
              <w:bottom w:val="single" w:color="000000" w:sz="4" w:space="0"/>
              <w:right w:val="single" w:color="000000" w:sz="4" w:space="0"/>
            </w:tcBorders>
            <w:shd w:val="clear" w:color="auto" w:fill="auto"/>
            <w:vAlign w:val="center"/>
          </w:tcPr>
          <w:p w14:paraId="7B213865">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20M 专线</w:t>
            </w:r>
          </w:p>
        </w:tc>
        <w:tc>
          <w:tcPr>
            <w:tcW w:w="4069" w:type="dxa"/>
            <w:tcBorders>
              <w:top w:val="nil"/>
              <w:left w:val="nil"/>
              <w:bottom w:val="single" w:color="000000" w:sz="4" w:space="0"/>
              <w:right w:val="single" w:color="000000" w:sz="4" w:space="0"/>
            </w:tcBorders>
            <w:shd w:val="clear" w:color="auto" w:fill="auto"/>
            <w:vAlign w:val="center"/>
          </w:tcPr>
          <w:p w14:paraId="4B7D17B5">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20M 专线（三年）</w:t>
            </w:r>
          </w:p>
        </w:tc>
        <w:tc>
          <w:tcPr>
            <w:tcW w:w="780" w:type="dxa"/>
            <w:tcBorders>
              <w:top w:val="nil"/>
              <w:left w:val="nil"/>
              <w:bottom w:val="single" w:color="000000" w:sz="4" w:space="0"/>
              <w:right w:val="single" w:color="000000" w:sz="4" w:space="0"/>
            </w:tcBorders>
            <w:shd w:val="clear" w:color="auto" w:fill="auto"/>
            <w:vAlign w:val="center"/>
          </w:tcPr>
          <w:p w14:paraId="2C2A99B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条</w:t>
            </w:r>
          </w:p>
        </w:tc>
        <w:tc>
          <w:tcPr>
            <w:tcW w:w="700" w:type="dxa"/>
            <w:tcBorders>
              <w:top w:val="nil"/>
              <w:left w:val="nil"/>
              <w:bottom w:val="single" w:color="000000" w:sz="4" w:space="0"/>
              <w:right w:val="single" w:color="000000" w:sz="4" w:space="0"/>
            </w:tcBorders>
            <w:shd w:val="clear" w:color="auto" w:fill="auto"/>
            <w:vAlign w:val="center"/>
          </w:tcPr>
          <w:p w14:paraId="60AE4E3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22</w:t>
            </w:r>
          </w:p>
        </w:tc>
        <w:tc>
          <w:tcPr>
            <w:tcW w:w="860" w:type="dxa"/>
            <w:tcBorders>
              <w:top w:val="nil"/>
              <w:left w:val="nil"/>
              <w:bottom w:val="single" w:color="000000" w:sz="4" w:space="0"/>
              <w:right w:val="single" w:color="000000" w:sz="4" w:space="0"/>
            </w:tcBorders>
            <w:shd w:val="clear" w:color="auto" w:fill="auto"/>
            <w:vAlign w:val="center"/>
          </w:tcPr>
          <w:p w14:paraId="09C0109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25BE0E4">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296698A4">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260" w:type="dxa"/>
            <w:tcBorders>
              <w:top w:val="nil"/>
              <w:left w:val="nil"/>
              <w:bottom w:val="single" w:color="000000" w:sz="4" w:space="0"/>
              <w:right w:val="single" w:color="000000" w:sz="4" w:space="0"/>
            </w:tcBorders>
            <w:shd w:val="clear" w:color="auto" w:fill="auto"/>
            <w:vAlign w:val="center"/>
          </w:tcPr>
          <w:p w14:paraId="61ACBEE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30M 专线</w:t>
            </w:r>
          </w:p>
        </w:tc>
        <w:tc>
          <w:tcPr>
            <w:tcW w:w="4069" w:type="dxa"/>
            <w:tcBorders>
              <w:top w:val="nil"/>
              <w:left w:val="nil"/>
              <w:bottom w:val="single" w:color="000000" w:sz="4" w:space="0"/>
              <w:right w:val="single" w:color="000000" w:sz="4" w:space="0"/>
            </w:tcBorders>
            <w:shd w:val="clear" w:color="auto" w:fill="auto"/>
            <w:vAlign w:val="center"/>
          </w:tcPr>
          <w:p w14:paraId="23C4712B">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30M 专线（三年）</w:t>
            </w:r>
          </w:p>
        </w:tc>
        <w:tc>
          <w:tcPr>
            <w:tcW w:w="780" w:type="dxa"/>
            <w:tcBorders>
              <w:top w:val="nil"/>
              <w:left w:val="nil"/>
              <w:bottom w:val="single" w:color="000000" w:sz="4" w:space="0"/>
              <w:right w:val="single" w:color="000000" w:sz="4" w:space="0"/>
            </w:tcBorders>
            <w:shd w:val="clear" w:color="auto" w:fill="auto"/>
            <w:vAlign w:val="center"/>
          </w:tcPr>
          <w:p w14:paraId="171AFF2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条</w:t>
            </w:r>
          </w:p>
        </w:tc>
        <w:tc>
          <w:tcPr>
            <w:tcW w:w="700" w:type="dxa"/>
            <w:tcBorders>
              <w:top w:val="nil"/>
              <w:left w:val="nil"/>
              <w:bottom w:val="single" w:color="000000" w:sz="4" w:space="0"/>
              <w:right w:val="single" w:color="000000" w:sz="4" w:space="0"/>
            </w:tcBorders>
            <w:shd w:val="clear" w:color="auto" w:fill="auto"/>
            <w:vAlign w:val="center"/>
          </w:tcPr>
          <w:p w14:paraId="171E0EE3">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860" w:type="dxa"/>
            <w:tcBorders>
              <w:top w:val="nil"/>
              <w:left w:val="nil"/>
              <w:bottom w:val="single" w:color="000000" w:sz="4" w:space="0"/>
              <w:right w:val="single" w:color="000000" w:sz="4" w:space="0"/>
            </w:tcBorders>
            <w:shd w:val="clear" w:color="auto" w:fill="auto"/>
            <w:vAlign w:val="center"/>
          </w:tcPr>
          <w:p w14:paraId="786486F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18930BCC">
        <w:tblPrEx>
          <w:tblCellMar>
            <w:top w:w="0" w:type="dxa"/>
            <w:left w:w="108" w:type="dxa"/>
            <w:bottom w:w="0" w:type="dxa"/>
            <w:right w:w="108" w:type="dxa"/>
          </w:tblCellMar>
        </w:tblPrEx>
        <w:trPr>
          <w:trHeight w:val="600" w:hRule="atLeast"/>
        </w:trPr>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B2D2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780" w:type="dxa"/>
            <w:tcBorders>
              <w:top w:val="nil"/>
              <w:left w:val="nil"/>
              <w:bottom w:val="single" w:color="000000" w:sz="4" w:space="0"/>
              <w:right w:val="single" w:color="000000" w:sz="4" w:space="0"/>
            </w:tcBorders>
            <w:shd w:val="clear" w:color="auto" w:fill="auto"/>
            <w:vAlign w:val="center"/>
          </w:tcPr>
          <w:p w14:paraId="1BAA764A">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14:paraId="14E3707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14:paraId="10F87695">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3F212F41">
      <w:pPr>
        <w:spacing w:line="360" w:lineRule="auto"/>
        <w:ind w:firstLine="420" w:firstLineChars="200"/>
        <w:rPr>
          <w:rFonts w:ascii="宋体" w:hAnsi="宋体" w:cs="宋体"/>
        </w:rPr>
      </w:pPr>
      <w:r>
        <w:rPr>
          <w:rFonts w:hint="eastAsia" w:ascii="宋体" w:hAnsi="宋体" w:cs="宋体"/>
        </w:rPr>
        <w:t>备注：视频无卡顿、无延时，链路带宽必须提供充足</w:t>
      </w:r>
    </w:p>
    <w:p w14:paraId="2335B6BA">
      <w:pPr>
        <w:spacing w:line="360" w:lineRule="auto"/>
        <w:ind w:firstLine="420" w:firstLineChars="200"/>
        <w:rPr>
          <w:rFonts w:ascii="宋体" w:hAnsi="宋体" w:cs="宋体"/>
        </w:rPr>
      </w:pPr>
    </w:p>
    <w:p w14:paraId="40186F4B">
      <w:pPr>
        <w:spacing w:line="360" w:lineRule="auto"/>
        <w:ind w:firstLine="420" w:firstLineChars="200"/>
        <w:rPr>
          <w:rFonts w:ascii="宋体" w:hAnsi="宋体" w:cs="宋体"/>
        </w:rPr>
      </w:pPr>
      <w:r>
        <w:rPr>
          <w:rFonts w:hint="eastAsia" w:ascii="宋体" w:hAnsi="宋体" w:cs="宋体"/>
        </w:rPr>
        <w:br w:type="page"/>
      </w:r>
      <w:bookmarkStart w:id="67" w:name="_Toc494492623"/>
      <w:r>
        <w:rPr>
          <w:rFonts w:ascii="宋体" w:hAnsi="宋体" w:cs="宋体"/>
          <w:b/>
          <w:bCs/>
        </w:rPr>
        <w:t>8</w:t>
      </w:r>
      <w:r>
        <w:rPr>
          <w:rFonts w:hint="eastAsia" w:ascii="宋体" w:hAnsi="宋体" w:cs="宋体"/>
          <w:b/>
          <w:bCs/>
        </w:rPr>
        <w:t>、</w:t>
      </w:r>
      <w:bookmarkEnd w:id="67"/>
      <w:r>
        <w:rPr>
          <w:rFonts w:hint="eastAsia" w:ascii="宋体" w:hAnsi="宋体" w:cs="宋体"/>
          <w:b/>
          <w:bCs/>
        </w:rPr>
        <w:t>系统集成费</w:t>
      </w:r>
    </w:p>
    <w:tbl>
      <w:tblPr>
        <w:tblStyle w:val="28"/>
        <w:tblW w:w="8502" w:type="dxa"/>
        <w:tblInd w:w="0" w:type="dxa"/>
        <w:tblLayout w:type="autofit"/>
        <w:tblCellMar>
          <w:top w:w="0" w:type="dxa"/>
          <w:left w:w="108" w:type="dxa"/>
          <w:bottom w:w="0" w:type="dxa"/>
          <w:right w:w="108" w:type="dxa"/>
        </w:tblCellMar>
      </w:tblPr>
      <w:tblGrid>
        <w:gridCol w:w="620"/>
        <w:gridCol w:w="1260"/>
        <w:gridCol w:w="3502"/>
        <w:gridCol w:w="780"/>
        <w:gridCol w:w="1480"/>
        <w:gridCol w:w="860"/>
      </w:tblGrid>
      <w:tr w14:paraId="79704B48">
        <w:tblPrEx>
          <w:tblCellMar>
            <w:top w:w="0" w:type="dxa"/>
            <w:left w:w="108" w:type="dxa"/>
            <w:bottom w:w="0" w:type="dxa"/>
            <w:right w:w="108" w:type="dxa"/>
          </w:tblCellMar>
        </w:tblPrEx>
        <w:trPr>
          <w:trHeight w:val="58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3AF">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935261D">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3502" w:type="dxa"/>
            <w:tcBorders>
              <w:top w:val="single" w:color="000000" w:sz="4" w:space="0"/>
              <w:left w:val="nil"/>
              <w:bottom w:val="single" w:color="000000" w:sz="4" w:space="0"/>
              <w:right w:val="single" w:color="000000" w:sz="4" w:space="0"/>
            </w:tcBorders>
            <w:shd w:val="clear" w:color="auto" w:fill="auto"/>
            <w:vAlign w:val="center"/>
          </w:tcPr>
          <w:p w14:paraId="16149E1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A25ADF0">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1480" w:type="dxa"/>
            <w:tcBorders>
              <w:top w:val="single" w:color="000000" w:sz="4" w:space="0"/>
              <w:left w:val="nil"/>
              <w:bottom w:val="single" w:color="000000" w:sz="4" w:space="0"/>
              <w:right w:val="single" w:color="000000" w:sz="4" w:space="0"/>
            </w:tcBorders>
            <w:shd w:val="clear" w:color="auto" w:fill="auto"/>
            <w:vAlign w:val="center"/>
          </w:tcPr>
          <w:p w14:paraId="77C6C103">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4EBB63C">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0492AFBB">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7FDD0DD8">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260" w:type="dxa"/>
            <w:tcBorders>
              <w:top w:val="nil"/>
              <w:left w:val="nil"/>
              <w:bottom w:val="single" w:color="000000" w:sz="4" w:space="0"/>
              <w:right w:val="single" w:color="000000" w:sz="4" w:space="0"/>
            </w:tcBorders>
            <w:shd w:val="clear" w:color="auto" w:fill="auto"/>
            <w:vAlign w:val="center"/>
          </w:tcPr>
          <w:p w14:paraId="05ADFC1B">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系统集成费</w:t>
            </w:r>
          </w:p>
        </w:tc>
        <w:tc>
          <w:tcPr>
            <w:tcW w:w="3502" w:type="dxa"/>
            <w:tcBorders>
              <w:top w:val="nil"/>
              <w:left w:val="nil"/>
              <w:bottom w:val="single" w:color="000000" w:sz="4" w:space="0"/>
              <w:right w:val="single" w:color="000000" w:sz="4" w:space="0"/>
            </w:tcBorders>
            <w:shd w:val="clear" w:color="auto" w:fill="auto"/>
            <w:vAlign w:val="center"/>
          </w:tcPr>
          <w:p w14:paraId="10B573A2">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系统集成费</w:t>
            </w:r>
          </w:p>
        </w:tc>
        <w:tc>
          <w:tcPr>
            <w:tcW w:w="780" w:type="dxa"/>
            <w:tcBorders>
              <w:top w:val="nil"/>
              <w:left w:val="nil"/>
              <w:bottom w:val="single" w:color="000000" w:sz="4" w:space="0"/>
              <w:right w:val="single" w:color="000000" w:sz="4" w:space="0"/>
            </w:tcBorders>
            <w:shd w:val="clear" w:color="auto" w:fill="auto"/>
            <w:vAlign w:val="center"/>
          </w:tcPr>
          <w:p w14:paraId="4C7275E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项</w:t>
            </w:r>
          </w:p>
        </w:tc>
        <w:tc>
          <w:tcPr>
            <w:tcW w:w="1480" w:type="dxa"/>
            <w:tcBorders>
              <w:top w:val="nil"/>
              <w:left w:val="nil"/>
              <w:bottom w:val="single" w:color="000000" w:sz="4" w:space="0"/>
              <w:right w:val="single" w:color="000000" w:sz="4" w:space="0"/>
            </w:tcBorders>
            <w:shd w:val="clear" w:color="auto" w:fill="auto"/>
            <w:vAlign w:val="center"/>
          </w:tcPr>
          <w:p w14:paraId="24CDF95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1</w:t>
            </w:r>
          </w:p>
        </w:tc>
        <w:tc>
          <w:tcPr>
            <w:tcW w:w="860" w:type="dxa"/>
            <w:tcBorders>
              <w:top w:val="nil"/>
              <w:left w:val="nil"/>
              <w:bottom w:val="single" w:color="000000" w:sz="4" w:space="0"/>
              <w:right w:val="single" w:color="000000" w:sz="4" w:space="0"/>
            </w:tcBorders>
            <w:shd w:val="clear" w:color="auto" w:fill="auto"/>
            <w:vAlign w:val="center"/>
          </w:tcPr>
          <w:p w14:paraId="4640627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EEDE51B">
        <w:tblPrEx>
          <w:tblCellMar>
            <w:top w:w="0" w:type="dxa"/>
            <w:left w:w="108" w:type="dxa"/>
            <w:bottom w:w="0" w:type="dxa"/>
            <w:right w:w="108" w:type="dxa"/>
          </w:tblCellMar>
        </w:tblPrEx>
        <w:trPr>
          <w:trHeight w:val="600" w:hRule="atLeast"/>
        </w:trPr>
        <w:tc>
          <w:tcPr>
            <w:tcW w:w="5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AF5EA">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780" w:type="dxa"/>
            <w:tcBorders>
              <w:top w:val="nil"/>
              <w:left w:val="nil"/>
              <w:bottom w:val="single" w:color="000000" w:sz="4" w:space="0"/>
              <w:right w:val="single" w:color="000000" w:sz="4" w:space="0"/>
            </w:tcBorders>
            <w:shd w:val="clear" w:color="auto" w:fill="auto"/>
            <w:vAlign w:val="center"/>
          </w:tcPr>
          <w:p w14:paraId="143D1B1E">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480" w:type="dxa"/>
            <w:tcBorders>
              <w:top w:val="nil"/>
              <w:left w:val="nil"/>
              <w:bottom w:val="single" w:color="000000" w:sz="4" w:space="0"/>
              <w:right w:val="single" w:color="000000" w:sz="4" w:space="0"/>
            </w:tcBorders>
            <w:shd w:val="clear" w:color="auto" w:fill="auto"/>
            <w:vAlign w:val="center"/>
          </w:tcPr>
          <w:p w14:paraId="4352B30B">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14:paraId="3775ACE0">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6BA4A790">
      <w:pPr>
        <w:spacing w:line="360" w:lineRule="auto"/>
        <w:ind w:firstLine="420" w:firstLineChars="200"/>
        <w:rPr>
          <w:rFonts w:ascii="宋体" w:hAnsi="宋体" w:cs="宋体"/>
        </w:rPr>
      </w:pPr>
    </w:p>
    <w:p w14:paraId="201B309D">
      <w:pPr>
        <w:spacing w:line="360" w:lineRule="auto"/>
        <w:rPr>
          <w:rFonts w:ascii="宋体" w:hAnsi="宋体" w:cs="宋体"/>
        </w:rPr>
      </w:pPr>
      <w:r>
        <w:rPr>
          <w:rFonts w:hint="eastAsia" w:ascii="宋体" w:hAnsi="宋体" w:cs="宋体"/>
          <w:b/>
          <w:bCs/>
        </w:rPr>
        <w:t>9、运维费（三年）</w:t>
      </w:r>
    </w:p>
    <w:tbl>
      <w:tblPr>
        <w:tblStyle w:val="28"/>
        <w:tblW w:w="8502" w:type="dxa"/>
        <w:tblInd w:w="0" w:type="dxa"/>
        <w:tblLayout w:type="autofit"/>
        <w:tblCellMar>
          <w:top w:w="0" w:type="dxa"/>
          <w:left w:w="108" w:type="dxa"/>
          <w:bottom w:w="0" w:type="dxa"/>
          <w:right w:w="108" w:type="dxa"/>
        </w:tblCellMar>
      </w:tblPr>
      <w:tblGrid>
        <w:gridCol w:w="620"/>
        <w:gridCol w:w="1260"/>
        <w:gridCol w:w="3502"/>
        <w:gridCol w:w="780"/>
        <w:gridCol w:w="1480"/>
        <w:gridCol w:w="860"/>
      </w:tblGrid>
      <w:tr w14:paraId="3DA0645C">
        <w:tblPrEx>
          <w:tblCellMar>
            <w:top w:w="0" w:type="dxa"/>
            <w:left w:w="108" w:type="dxa"/>
            <w:bottom w:w="0" w:type="dxa"/>
            <w:right w:w="108" w:type="dxa"/>
          </w:tblCellMar>
        </w:tblPrEx>
        <w:trPr>
          <w:trHeight w:val="58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59F9">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序号</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CC8B654">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名称</w:t>
            </w:r>
          </w:p>
        </w:tc>
        <w:tc>
          <w:tcPr>
            <w:tcW w:w="3502" w:type="dxa"/>
            <w:tcBorders>
              <w:top w:val="single" w:color="000000" w:sz="4" w:space="0"/>
              <w:left w:val="nil"/>
              <w:bottom w:val="single" w:color="000000" w:sz="4" w:space="0"/>
              <w:right w:val="single" w:color="000000" w:sz="4" w:space="0"/>
            </w:tcBorders>
            <w:shd w:val="clear" w:color="auto" w:fill="auto"/>
            <w:vAlign w:val="center"/>
          </w:tcPr>
          <w:p w14:paraId="79AAB3AD">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项目特征描述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0036D8A">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单位</w:t>
            </w:r>
          </w:p>
        </w:tc>
        <w:tc>
          <w:tcPr>
            <w:tcW w:w="1480" w:type="dxa"/>
            <w:tcBorders>
              <w:top w:val="single" w:color="000000" w:sz="4" w:space="0"/>
              <w:left w:val="nil"/>
              <w:bottom w:val="single" w:color="000000" w:sz="4" w:space="0"/>
              <w:right w:val="single" w:color="000000" w:sz="4" w:space="0"/>
            </w:tcBorders>
            <w:shd w:val="clear" w:color="auto" w:fill="auto"/>
            <w:vAlign w:val="center"/>
          </w:tcPr>
          <w:p w14:paraId="7621384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数量</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305C8C2">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备注</w:t>
            </w:r>
          </w:p>
        </w:tc>
      </w:tr>
      <w:tr w14:paraId="47DAD4E1">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1B2A73D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260" w:type="dxa"/>
            <w:tcBorders>
              <w:top w:val="nil"/>
              <w:left w:val="nil"/>
              <w:bottom w:val="single" w:color="000000" w:sz="4" w:space="0"/>
              <w:right w:val="single" w:color="000000" w:sz="4" w:space="0"/>
            </w:tcBorders>
            <w:shd w:val="clear" w:color="auto" w:fill="auto"/>
            <w:vAlign w:val="center"/>
          </w:tcPr>
          <w:p w14:paraId="51DBC97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机柜租赁费</w:t>
            </w:r>
          </w:p>
        </w:tc>
        <w:tc>
          <w:tcPr>
            <w:tcW w:w="3502" w:type="dxa"/>
            <w:tcBorders>
              <w:top w:val="nil"/>
              <w:left w:val="nil"/>
              <w:bottom w:val="single" w:color="000000" w:sz="4" w:space="0"/>
              <w:right w:val="single" w:color="000000" w:sz="4" w:space="0"/>
            </w:tcBorders>
            <w:shd w:val="clear" w:color="auto" w:fill="auto"/>
            <w:vAlign w:val="center"/>
          </w:tcPr>
          <w:p w14:paraId="10727F7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1.机柜租赁费 42U（三年）</w:t>
            </w:r>
          </w:p>
        </w:tc>
        <w:tc>
          <w:tcPr>
            <w:tcW w:w="780" w:type="dxa"/>
            <w:tcBorders>
              <w:top w:val="nil"/>
              <w:left w:val="nil"/>
              <w:bottom w:val="single" w:color="000000" w:sz="4" w:space="0"/>
              <w:right w:val="single" w:color="000000" w:sz="4" w:space="0"/>
            </w:tcBorders>
            <w:shd w:val="clear" w:color="auto" w:fill="auto"/>
            <w:vAlign w:val="center"/>
          </w:tcPr>
          <w:p w14:paraId="44809C91">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架/年</w:t>
            </w:r>
          </w:p>
        </w:tc>
        <w:tc>
          <w:tcPr>
            <w:tcW w:w="1480" w:type="dxa"/>
            <w:tcBorders>
              <w:top w:val="nil"/>
              <w:left w:val="nil"/>
              <w:bottom w:val="single" w:color="000000" w:sz="4" w:space="0"/>
              <w:right w:val="single" w:color="000000" w:sz="4" w:space="0"/>
            </w:tcBorders>
            <w:shd w:val="clear" w:color="auto" w:fill="auto"/>
            <w:vAlign w:val="center"/>
          </w:tcPr>
          <w:p w14:paraId="11D089CF">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9</w:t>
            </w:r>
          </w:p>
        </w:tc>
        <w:tc>
          <w:tcPr>
            <w:tcW w:w="860" w:type="dxa"/>
            <w:tcBorders>
              <w:top w:val="nil"/>
              <w:left w:val="nil"/>
              <w:bottom w:val="single" w:color="000000" w:sz="4" w:space="0"/>
              <w:right w:val="single" w:color="000000" w:sz="4" w:space="0"/>
            </w:tcBorders>
            <w:shd w:val="clear" w:color="auto" w:fill="auto"/>
            <w:vAlign w:val="center"/>
          </w:tcPr>
          <w:p w14:paraId="72EA3B8E">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3DFEE93F">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4CA655CC">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260" w:type="dxa"/>
            <w:tcBorders>
              <w:top w:val="nil"/>
              <w:left w:val="nil"/>
              <w:bottom w:val="single" w:color="000000" w:sz="4" w:space="0"/>
              <w:right w:val="single" w:color="000000" w:sz="4" w:space="0"/>
            </w:tcBorders>
            <w:shd w:val="clear" w:color="auto" w:fill="auto"/>
            <w:vAlign w:val="center"/>
          </w:tcPr>
          <w:p w14:paraId="59F3079D">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电费</w:t>
            </w:r>
          </w:p>
        </w:tc>
        <w:tc>
          <w:tcPr>
            <w:tcW w:w="3502" w:type="dxa"/>
            <w:tcBorders>
              <w:top w:val="nil"/>
              <w:left w:val="nil"/>
              <w:bottom w:val="single" w:color="000000" w:sz="4" w:space="0"/>
              <w:right w:val="single" w:color="000000" w:sz="4" w:space="0"/>
            </w:tcBorders>
            <w:shd w:val="clear" w:color="auto" w:fill="auto"/>
            <w:vAlign w:val="center"/>
          </w:tcPr>
          <w:p w14:paraId="08CFE084">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电费（三年）</w:t>
            </w:r>
          </w:p>
        </w:tc>
        <w:tc>
          <w:tcPr>
            <w:tcW w:w="780" w:type="dxa"/>
            <w:tcBorders>
              <w:top w:val="nil"/>
              <w:left w:val="nil"/>
              <w:bottom w:val="single" w:color="000000" w:sz="4" w:space="0"/>
              <w:right w:val="single" w:color="000000" w:sz="4" w:space="0"/>
            </w:tcBorders>
            <w:shd w:val="clear" w:color="auto" w:fill="auto"/>
            <w:vAlign w:val="center"/>
          </w:tcPr>
          <w:p w14:paraId="5411D14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KW.h</w:t>
            </w:r>
          </w:p>
        </w:tc>
        <w:tc>
          <w:tcPr>
            <w:tcW w:w="1480" w:type="dxa"/>
            <w:tcBorders>
              <w:top w:val="nil"/>
              <w:left w:val="nil"/>
              <w:bottom w:val="single" w:color="000000" w:sz="4" w:space="0"/>
              <w:right w:val="single" w:color="000000" w:sz="4" w:space="0"/>
            </w:tcBorders>
            <w:shd w:val="clear" w:color="auto" w:fill="auto"/>
            <w:vAlign w:val="center"/>
          </w:tcPr>
          <w:p w14:paraId="6B5E595A">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626646.6</w:t>
            </w:r>
          </w:p>
        </w:tc>
        <w:tc>
          <w:tcPr>
            <w:tcW w:w="860" w:type="dxa"/>
            <w:tcBorders>
              <w:top w:val="nil"/>
              <w:left w:val="nil"/>
              <w:bottom w:val="single" w:color="000000" w:sz="4" w:space="0"/>
              <w:right w:val="single" w:color="000000" w:sz="4" w:space="0"/>
            </w:tcBorders>
            <w:shd w:val="clear" w:color="auto" w:fill="auto"/>
            <w:vAlign w:val="center"/>
          </w:tcPr>
          <w:p w14:paraId="13F7E9C9">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44DC5E8F">
        <w:tblPrEx>
          <w:tblCellMar>
            <w:top w:w="0" w:type="dxa"/>
            <w:left w:w="108" w:type="dxa"/>
            <w:bottom w:w="0" w:type="dxa"/>
            <w:right w:w="108" w:type="dxa"/>
          </w:tblCellMar>
        </w:tblPrEx>
        <w:trPr>
          <w:trHeight w:val="919"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14:paraId="490C69AF">
            <w:pPr>
              <w:keepNext w:val="0"/>
              <w:keepLines w:val="0"/>
              <w:widowControl/>
              <w:suppressLineNumbers w:val="0"/>
              <w:spacing w:before="0" w:beforeAutospacing="0" w:after="0" w:afterAutospacing="0"/>
              <w:ind w:left="0" w:right="0"/>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260" w:type="dxa"/>
            <w:tcBorders>
              <w:top w:val="nil"/>
              <w:left w:val="nil"/>
              <w:bottom w:val="single" w:color="000000" w:sz="4" w:space="0"/>
              <w:right w:val="single" w:color="000000" w:sz="4" w:space="0"/>
            </w:tcBorders>
            <w:shd w:val="clear" w:color="auto" w:fill="auto"/>
            <w:vAlign w:val="center"/>
          </w:tcPr>
          <w:p w14:paraId="725E351C">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运维费</w:t>
            </w:r>
          </w:p>
        </w:tc>
        <w:tc>
          <w:tcPr>
            <w:tcW w:w="3502" w:type="dxa"/>
            <w:tcBorders>
              <w:top w:val="nil"/>
              <w:left w:val="nil"/>
              <w:bottom w:val="single" w:color="000000" w:sz="4" w:space="0"/>
              <w:right w:val="single" w:color="000000" w:sz="4" w:space="0"/>
            </w:tcBorders>
            <w:shd w:val="clear" w:color="auto" w:fill="auto"/>
            <w:vAlign w:val="center"/>
          </w:tcPr>
          <w:p w14:paraId="35A2E306">
            <w:pPr>
              <w:keepNext w:val="0"/>
              <w:keepLines w:val="0"/>
              <w:widowControl/>
              <w:suppressLineNumbers w:val="0"/>
              <w:spacing w:before="0" w:beforeAutospacing="0" w:after="0" w:afterAutospacing="0"/>
              <w:ind w:left="0" w:right="0"/>
              <w:jc w:val="left"/>
              <w:rPr>
                <w:rFonts w:ascii="宋体" w:hAnsi="宋体" w:cs="宋体"/>
                <w:kern w:val="0"/>
                <w:sz w:val="20"/>
                <w:szCs w:val="20"/>
              </w:rPr>
            </w:pPr>
            <w:r>
              <w:rPr>
                <w:rFonts w:hint="eastAsia" w:ascii="宋体" w:hAnsi="宋体" w:cs="宋体"/>
                <w:kern w:val="0"/>
                <w:sz w:val="20"/>
                <w:szCs w:val="20"/>
              </w:rPr>
              <w:t>运维费（三年）</w:t>
            </w:r>
          </w:p>
        </w:tc>
        <w:tc>
          <w:tcPr>
            <w:tcW w:w="780" w:type="dxa"/>
            <w:tcBorders>
              <w:top w:val="nil"/>
              <w:left w:val="nil"/>
              <w:bottom w:val="single" w:color="000000" w:sz="4" w:space="0"/>
              <w:right w:val="single" w:color="000000" w:sz="4" w:space="0"/>
            </w:tcBorders>
            <w:shd w:val="clear" w:color="auto" w:fill="auto"/>
            <w:vAlign w:val="center"/>
          </w:tcPr>
          <w:p w14:paraId="02CE4CE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年</w:t>
            </w:r>
          </w:p>
        </w:tc>
        <w:tc>
          <w:tcPr>
            <w:tcW w:w="1480" w:type="dxa"/>
            <w:tcBorders>
              <w:top w:val="nil"/>
              <w:left w:val="nil"/>
              <w:bottom w:val="single" w:color="000000" w:sz="4" w:space="0"/>
              <w:right w:val="single" w:color="000000" w:sz="4" w:space="0"/>
            </w:tcBorders>
            <w:shd w:val="clear" w:color="auto" w:fill="auto"/>
            <w:vAlign w:val="center"/>
          </w:tcPr>
          <w:p w14:paraId="34BA8DF2">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3</w:t>
            </w:r>
          </w:p>
        </w:tc>
        <w:tc>
          <w:tcPr>
            <w:tcW w:w="860" w:type="dxa"/>
            <w:tcBorders>
              <w:top w:val="nil"/>
              <w:left w:val="nil"/>
              <w:bottom w:val="single" w:color="000000" w:sz="4" w:space="0"/>
              <w:right w:val="single" w:color="000000" w:sz="4" w:space="0"/>
            </w:tcBorders>
            <w:shd w:val="clear" w:color="auto" w:fill="auto"/>
            <w:vAlign w:val="center"/>
          </w:tcPr>
          <w:p w14:paraId="33BCC2D7">
            <w:pPr>
              <w:keepNext w:val="0"/>
              <w:keepLines w:val="0"/>
              <w:widowControl/>
              <w:suppressLineNumbers w:val="0"/>
              <w:spacing w:before="0" w:beforeAutospacing="0" w:after="0" w:afterAutospacing="0"/>
              <w:ind w:left="0" w:right="0"/>
              <w:jc w:val="center"/>
              <w:rPr>
                <w:rFonts w:ascii="宋体" w:hAnsi="宋体" w:cs="宋体"/>
                <w:kern w:val="0"/>
                <w:sz w:val="20"/>
                <w:szCs w:val="20"/>
              </w:rPr>
            </w:pPr>
            <w:r>
              <w:rPr>
                <w:rFonts w:hint="eastAsia" w:ascii="宋体" w:hAnsi="宋体" w:cs="宋体"/>
                <w:kern w:val="0"/>
                <w:sz w:val="20"/>
                <w:szCs w:val="20"/>
              </w:rPr>
              <w:t>　</w:t>
            </w:r>
          </w:p>
        </w:tc>
      </w:tr>
      <w:tr w14:paraId="6C6A5AE6">
        <w:tblPrEx>
          <w:tblCellMar>
            <w:top w:w="0" w:type="dxa"/>
            <w:left w:w="108" w:type="dxa"/>
            <w:bottom w:w="0" w:type="dxa"/>
            <w:right w:w="108" w:type="dxa"/>
          </w:tblCellMar>
        </w:tblPrEx>
        <w:trPr>
          <w:trHeight w:val="600" w:hRule="atLeast"/>
        </w:trPr>
        <w:tc>
          <w:tcPr>
            <w:tcW w:w="5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134B1">
            <w:pPr>
              <w:keepNext w:val="0"/>
              <w:keepLines w:val="0"/>
              <w:widowControl/>
              <w:suppressLineNumbers w:val="0"/>
              <w:spacing w:before="0" w:beforeAutospacing="0" w:after="0" w:afterAutospacing="0"/>
              <w:ind w:left="0" w:right="0"/>
              <w:jc w:val="center"/>
              <w:rPr>
                <w:rFonts w:ascii="宋体" w:hAnsi="宋体" w:cs="宋体"/>
                <w:b/>
                <w:bCs/>
                <w:kern w:val="0"/>
                <w:sz w:val="20"/>
                <w:szCs w:val="20"/>
              </w:rPr>
            </w:pPr>
            <w:r>
              <w:rPr>
                <w:rFonts w:hint="eastAsia" w:ascii="宋体" w:hAnsi="宋体" w:cs="宋体"/>
                <w:b/>
                <w:bCs/>
                <w:kern w:val="0"/>
                <w:sz w:val="20"/>
                <w:szCs w:val="20"/>
              </w:rPr>
              <w:t>合计</w:t>
            </w:r>
          </w:p>
        </w:tc>
        <w:tc>
          <w:tcPr>
            <w:tcW w:w="780" w:type="dxa"/>
            <w:tcBorders>
              <w:top w:val="nil"/>
              <w:left w:val="nil"/>
              <w:bottom w:val="single" w:color="000000" w:sz="4" w:space="0"/>
              <w:right w:val="single" w:color="000000" w:sz="4" w:space="0"/>
            </w:tcBorders>
            <w:shd w:val="clear" w:color="auto" w:fill="auto"/>
            <w:vAlign w:val="center"/>
          </w:tcPr>
          <w:p w14:paraId="4010AA03">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480" w:type="dxa"/>
            <w:tcBorders>
              <w:top w:val="nil"/>
              <w:left w:val="nil"/>
              <w:bottom w:val="single" w:color="000000" w:sz="4" w:space="0"/>
              <w:right w:val="single" w:color="000000" w:sz="4" w:space="0"/>
            </w:tcBorders>
            <w:shd w:val="clear" w:color="auto" w:fill="auto"/>
            <w:vAlign w:val="center"/>
          </w:tcPr>
          <w:p w14:paraId="43CDA36C">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14:paraId="4DE294B4">
            <w:pPr>
              <w:keepNext w:val="0"/>
              <w:keepLines w:val="0"/>
              <w:widowControl/>
              <w:suppressLineNumbers w:val="0"/>
              <w:spacing w:before="0" w:beforeAutospacing="0" w:after="0" w:afterAutospacing="0"/>
              <w:ind w:left="0" w:right="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4372C8C4">
      <w:pPr>
        <w:spacing w:line="360" w:lineRule="auto"/>
        <w:ind w:left="105" w:leftChars="50" w:firstLine="482" w:firstLineChars="200"/>
        <w:rPr>
          <w:rFonts w:ascii="宋体" w:hAnsi="宋体" w:cs="宋体"/>
          <w:b/>
          <w:sz w:val="24"/>
        </w:rPr>
      </w:pPr>
      <w:r>
        <w:rPr>
          <w:rFonts w:hint="eastAsia" w:ascii="宋体" w:hAnsi="宋体" w:cs="宋体"/>
          <w:b/>
          <w:sz w:val="24"/>
        </w:rPr>
        <w:t>说明：技术参数前加‘★’号的参数指标为主要技术指标（符合性审查内容），投标人所投产品必须满足或优于这些指标，★部分必须提供检验报告复印件或产品手册/产品介绍/产品说明书等材料，在材料中必须体现上述加“★”项；未加‘★’号的参数指标为一般性技术指标（评分考量内容），投标人所投产品应尽量满足这些技术指标要求，若所投产品不能满足一般性技术指标要求，评标委员会将按照评标标准和方法对一般性技术指标响应情况进行扣分。</w:t>
      </w:r>
    </w:p>
    <w:p w14:paraId="5902E729">
      <w:pPr>
        <w:pStyle w:val="68"/>
        <w:snapToGrid w:val="0"/>
        <w:spacing w:line="360" w:lineRule="auto"/>
        <w:ind w:firstLine="420" w:firstLineChars="200"/>
        <w:textAlignment w:val="auto"/>
        <w:rPr>
          <w:rFonts w:ascii="华文中宋" w:hAnsi="华文中宋" w:eastAsia="华文中宋"/>
          <w:bCs/>
          <w:color w:val="FF0000"/>
        </w:rPr>
      </w:pPr>
    </w:p>
    <w:p w14:paraId="119A0015">
      <w:pPr>
        <w:pStyle w:val="68"/>
        <w:snapToGrid w:val="0"/>
        <w:spacing w:line="360" w:lineRule="auto"/>
        <w:ind w:firstLine="420" w:firstLineChars="200"/>
        <w:textAlignment w:val="auto"/>
        <w:rPr>
          <w:rFonts w:ascii="华文中宋" w:hAnsi="华文中宋" w:eastAsia="华文中宋"/>
          <w:bCs/>
          <w:color w:val="FF0000"/>
        </w:rPr>
      </w:pPr>
    </w:p>
    <w:p w14:paraId="7F9FBFBE">
      <w:pPr>
        <w:pStyle w:val="68"/>
        <w:snapToGrid w:val="0"/>
        <w:spacing w:line="360" w:lineRule="auto"/>
        <w:ind w:firstLine="420" w:firstLineChars="200"/>
        <w:textAlignment w:val="auto"/>
        <w:rPr>
          <w:rFonts w:ascii="华文中宋" w:hAnsi="华文中宋" w:eastAsia="华文中宋"/>
          <w:bCs/>
          <w:color w:val="FF0000"/>
        </w:rPr>
      </w:pPr>
    </w:p>
    <w:p w14:paraId="597C7233">
      <w:pPr>
        <w:pStyle w:val="68"/>
        <w:snapToGrid w:val="0"/>
        <w:spacing w:line="360" w:lineRule="auto"/>
        <w:ind w:firstLine="420" w:firstLineChars="200"/>
        <w:textAlignment w:val="auto"/>
        <w:rPr>
          <w:rFonts w:ascii="华文中宋" w:hAnsi="华文中宋" w:eastAsia="华文中宋"/>
          <w:bCs/>
          <w:color w:val="FF0000"/>
        </w:rPr>
      </w:pPr>
    </w:p>
    <w:p w14:paraId="2EFD60FC">
      <w:pPr>
        <w:pStyle w:val="68"/>
        <w:snapToGrid w:val="0"/>
        <w:spacing w:line="360" w:lineRule="auto"/>
        <w:ind w:firstLine="420" w:firstLineChars="200"/>
        <w:textAlignment w:val="auto"/>
        <w:rPr>
          <w:rFonts w:ascii="华文中宋" w:hAnsi="华文中宋" w:eastAsia="华文中宋"/>
          <w:bCs/>
          <w:color w:val="FF0000"/>
        </w:rPr>
      </w:pPr>
    </w:p>
    <w:p w14:paraId="01901816">
      <w:pPr>
        <w:pStyle w:val="68"/>
        <w:snapToGrid w:val="0"/>
        <w:spacing w:line="360" w:lineRule="auto"/>
        <w:ind w:firstLine="420" w:firstLineChars="200"/>
        <w:textAlignment w:val="auto"/>
        <w:rPr>
          <w:rFonts w:ascii="华文中宋" w:hAnsi="华文中宋" w:eastAsia="华文中宋"/>
          <w:bCs/>
          <w:color w:val="FF0000"/>
        </w:rPr>
      </w:pPr>
    </w:p>
    <w:p w14:paraId="5741C5D0">
      <w:pPr>
        <w:pStyle w:val="68"/>
        <w:snapToGrid w:val="0"/>
        <w:spacing w:line="360" w:lineRule="auto"/>
        <w:ind w:firstLine="420" w:firstLineChars="200"/>
        <w:textAlignment w:val="auto"/>
        <w:rPr>
          <w:rFonts w:ascii="华文中宋" w:hAnsi="华文中宋" w:eastAsia="华文中宋"/>
          <w:bCs/>
          <w:color w:val="FF0000"/>
        </w:rPr>
      </w:pPr>
    </w:p>
    <w:p w14:paraId="1A39BCDC">
      <w:pPr>
        <w:pStyle w:val="68"/>
        <w:snapToGrid w:val="0"/>
        <w:spacing w:line="360" w:lineRule="auto"/>
        <w:ind w:firstLine="420" w:firstLineChars="200"/>
        <w:textAlignment w:val="auto"/>
        <w:rPr>
          <w:rFonts w:ascii="华文中宋" w:hAnsi="华文中宋" w:eastAsia="华文中宋"/>
          <w:bCs/>
          <w:color w:val="FF0000"/>
        </w:rPr>
      </w:pPr>
    </w:p>
    <w:p w14:paraId="082B48ED">
      <w:pPr>
        <w:pStyle w:val="68"/>
        <w:snapToGrid w:val="0"/>
        <w:spacing w:line="360" w:lineRule="auto"/>
        <w:ind w:firstLine="420" w:firstLineChars="200"/>
        <w:textAlignment w:val="auto"/>
        <w:rPr>
          <w:rFonts w:ascii="华文中宋" w:hAnsi="华文中宋" w:eastAsia="华文中宋"/>
          <w:bCs/>
          <w:color w:val="FF0000"/>
        </w:rPr>
      </w:pPr>
    </w:p>
    <w:p w14:paraId="56A08BA4">
      <w:pPr>
        <w:spacing w:line="360" w:lineRule="auto"/>
        <w:ind w:firstLine="720" w:firstLineChars="200"/>
        <w:jc w:val="center"/>
        <w:rPr>
          <w:rFonts w:hint="eastAsia" w:ascii="黑体" w:hAnsi="黑体" w:eastAsia="黑体" w:cs="黑体"/>
          <w:sz w:val="36"/>
          <w:szCs w:val="36"/>
        </w:rPr>
      </w:pPr>
    </w:p>
    <w:p w14:paraId="40C889CA">
      <w:pPr>
        <w:spacing w:line="360" w:lineRule="auto"/>
        <w:ind w:firstLine="720" w:firstLineChars="200"/>
        <w:jc w:val="center"/>
        <w:rPr>
          <w:rFonts w:ascii="黑体" w:hAnsi="黑体" w:eastAsia="黑体" w:cs="黑体"/>
          <w:sz w:val="36"/>
          <w:szCs w:val="36"/>
        </w:rPr>
      </w:pPr>
      <w:r>
        <w:rPr>
          <w:rFonts w:hint="eastAsia" w:ascii="黑体" w:hAnsi="黑体" w:eastAsia="黑体" w:cs="黑体"/>
          <w:sz w:val="36"/>
          <w:szCs w:val="36"/>
        </w:rPr>
        <w:t>商务技术说明</w:t>
      </w:r>
    </w:p>
    <w:p w14:paraId="7F6D27BF">
      <w:pPr>
        <w:spacing w:line="360" w:lineRule="auto"/>
        <w:ind w:firstLine="482" w:firstLineChars="200"/>
        <w:rPr>
          <w:rFonts w:ascii="宋体" w:hAnsi="宋体" w:cs="宋体"/>
          <w:b/>
          <w:sz w:val="24"/>
        </w:rPr>
      </w:pPr>
      <w:r>
        <w:rPr>
          <w:rFonts w:hint="eastAsia" w:ascii="宋体" w:hAnsi="宋体" w:cs="宋体"/>
          <w:b/>
          <w:sz w:val="24"/>
        </w:rPr>
        <w:t>一、建设方式</w:t>
      </w:r>
    </w:p>
    <w:p w14:paraId="44834BA5">
      <w:pPr>
        <w:spacing w:line="360" w:lineRule="auto"/>
        <w:ind w:firstLine="480" w:firstLineChars="200"/>
        <w:rPr>
          <w:rFonts w:ascii="宋体" w:hAnsi="宋体" w:cs="宋体"/>
          <w:sz w:val="24"/>
        </w:rPr>
      </w:pPr>
      <w:r>
        <w:rPr>
          <w:rFonts w:hint="eastAsia" w:ascii="宋体" w:hAnsi="宋体" w:cs="宋体"/>
          <w:sz w:val="24"/>
        </w:rPr>
        <w:t>本项目按照提出的建设标准和要求进行建设。承建单位要遵循可靠性、实用性、开放性、经济性、安全性、可扩展性和易维护性的原则，按照有关视频监控建设标准建设，供有需求的政府相关部门共享、应用。</w:t>
      </w:r>
    </w:p>
    <w:p w14:paraId="1AB0CD97">
      <w:pPr>
        <w:spacing w:line="360" w:lineRule="auto"/>
        <w:ind w:firstLine="482" w:firstLineChars="200"/>
        <w:rPr>
          <w:rFonts w:ascii="宋体" w:hAnsi="宋体" w:cs="宋体"/>
          <w:b/>
          <w:sz w:val="24"/>
        </w:rPr>
      </w:pPr>
      <w:r>
        <w:rPr>
          <w:rFonts w:hint="eastAsia" w:ascii="宋体" w:hAnsi="宋体" w:cs="宋体"/>
          <w:b/>
          <w:sz w:val="24"/>
        </w:rPr>
        <w:t>二、承建方要求</w:t>
      </w:r>
    </w:p>
    <w:p w14:paraId="020D5E07">
      <w:pPr>
        <w:spacing w:line="360" w:lineRule="auto"/>
        <w:ind w:firstLine="480" w:firstLineChars="200"/>
        <w:rPr>
          <w:rFonts w:ascii="宋体" w:hAnsi="宋体" w:cs="宋体"/>
          <w:sz w:val="24"/>
        </w:rPr>
      </w:pPr>
      <w:r>
        <w:rPr>
          <w:rFonts w:hint="eastAsia" w:ascii="宋体" w:hAnsi="宋体" w:cs="宋体"/>
          <w:sz w:val="24"/>
        </w:rPr>
        <w:t>建设方要有建设、运维两支专业队伍，能够提供及时优质的运维服务，保障系统正常运营。</w:t>
      </w:r>
    </w:p>
    <w:p w14:paraId="180BCA1A">
      <w:pPr>
        <w:spacing w:line="360" w:lineRule="auto"/>
        <w:ind w:firstLine="482" w:firstLineChars="200"/>
        <w:rPr>
          <w:rFonts w:ascii="宋体" w:hAnsi="宋体" w:cs="宋体"/>
          <w:b/>
          <w:sz w:val="24"/>
        </w:rPr>
      </w:pPr>
      <w:r>
        <w:rPr>
          <w:rFonts w:hint="eastAsia" w:ascii="宋体" w:hAnsi="宋体" w:cs="宋体"/>
          <w:b/>
          <w:sz w:val="24"/>
        </w:rPr>
        <w:t>三、基本功能</w:t>
      </w:r>
    </w:p>
    <w:p w14:paraId="56782B23">
      <w:pPr>
        <w:spacing w:line="360" w:lineRule="auto"/>
        <w:ind w:firstLine="480" w:firstLineChars="200"/>
        <w:rPr>
          <w:rFonts w:ascii="宋体" w:hAnsi="宋体" w:cs="宋体"/>
          <w:sz w:val="24"/>
        </w:rPr>
      </w:pPr>
      <w:r>
        <w:rPr>
          <w:rFonts w:hint="eastAsia" w:ascii="宋体" w:hAnsi="宋体" w:cs="宋体"/>
          <w:sz w:val="24"/>
        </w:rPr>
        <w:t>采用成熟的网络、通信、图像编解码等先进技术，实现快速获取主要监控点的监控信息，能准确、直观、快捷的反映和记录现场的动态情况，并实现联网、达到资源共享、信息共享的功能。</w:t>
      </w:r>
    </w:p>
    <w:p w14:paraId="0602940D">
      <w:pPr>
        <w:spacing w:line="360" w:lineRule="auto"/>
        <w:ind w:firstLine="480" w:firstLineChars="200"/>
        <w:rPr>
          <w:rFonts w:ascii="宋体" w:hAnsi="宋体" w:cs="宋体"/>
          <w:sz w:val="24"/>
        </w:rPr>
      </w:pPr>
      <w:r>
        <w:rPr>
          <w:rFonts w:hint="eastAsia" w:ascii="宋体" w:hAnsi="宋体" w:cs="宋体"/>
          <w:sz w:val="24"/>
        </w:rPr>
        <w:t>1．全天候、全方位监视功能</w:t>
      </w:r>
    </w:p>
    <w:p w14:paraId="520D3305">
      <w:pPr>
        <w:spacing w:line="360" w:lineRule="auto"/>
        <w:ind w:firstLine="480" w:firstLineChars="200"/>
        <w:rPr>
          <w:rFonts w:ascii="宋体" w:hAnsi="宋体" w:cs="宋体"/>
          <w:sz w:val="24"/>
        </w:rPr>
      </w:pPr>
      <w:r>
        <w:rPr>
          <w:rFonts w:hint="eastAsia" w:ascii="宋体" w:hAnsi="宋体" w:cs="宋体"/>
          <w:sz w:val="24"/>
        </w:rPr>
        <w:t>能清晰监视各监控点的图像，无论白天晚上，无论晴天雨天，都能清晰监视目标场所，在各种光照、气候条件下，摄像机都能得到清晰稳定的现场图像。</w:t>
      </w:r>
    </w:p>
    <w:p w14:paraId="219BFEFA">
      <w:pPr>
        <w:spacing w:line="360" w:lineRule="auto"/>
        <w:ind w:firstLine="480" w:firstLineChars="200"/>
        <w:rPr>
          <w:rFonts w:ascii="宋体" w:hAnsi="宋体" w:cs="宋体"/>
          <w:sz w:val="24"/>
        </w:rPr>
      </w:pPr>
      <w:r>
        <w:rPr>
          <w:rFonts w:hint="eastAsia" w:ascii="宋体" w:hAnsi="宋体" w:cs="宋体"/>
          <w:sz w:val="24"/>
        </w:rPr>
        <w:t>2．采用当今最先进的图像压缩技术（</w:t>
      </w:r>
      <w:r>
        <w:rPr>
          <w:rFonts w:hint="eastAsia" w:ascii="宋体" w:hAnsi="宋体" w:cs="宋体"/>
          <w:kern w:val="44"/>
          <w:sz w:val="24"/>
        </w:rPr>
        <w:t>H.264/H.265/MPEG4/MJPEG</w:t>
      </w:r>
      <w:r>
        <w:rPr>
          <w:rFonts w:hint="eastAsia" w:ascii="宋体" w:hAnsi="宋体" w:cs="宋体"/>
          <w:sz w:val="24"/>
        </w:rPr>
        <w:t xml:space="preserve">），将视频图像数字化接入监控专网，能做到信息共享，优化系统的组成，节约建设成本。 </w:t>
      </w:r>
    </w:p>
    <w:p w14:paraId="55702AAF">
      <w:pPr>
        <w:spacing w:line="360" w:lineRule="auto"/>
        <w:ind w:firstLine="480" w:firstLineChars="200"/>
        <w:rPr>
          <w:rFonts w:ascii="宋体" w:hAnsi="宋体" w:cs="宋体"/>
          <w:sz w:val="24"/>
        </w:rPr>
      </w:pPr>
      <w:r>
        <w:rPr>
          <w:rFonts w:hint="eastAsia" w:ascii="宋体" w:hAnsi="宋体" w:cs="宋体"/>
          <w:sz w:val="24"/>
        </w:rPr>
        <w:t>3．对前端的图像进行实时录像存储，采用视频流直接存储的方式，运用成熟且已有案例的云存储模式以保障数据的安全性，并支持秒级回放便于对事件进行追溯、检索及科学分析。</w:t>
      </w:r>
    </w:p>
    <w:p w14:paraId="3D3BFAC1">
      <w:pPr>
        <w:spacing w:line="360" w:lineRule="auto"/>
        <w:ind w:firstLine="480" w:firstLineChars="200"/>
        <w:rPr>
          <w:rFonts w:ascii="宋体" w:hAnsi="宋体" w:cs="宋体"/>
          <w:sz w:val="24"/>
        </w:rPr>
      </w:pPr>
      <w:r>
        <w:rPr>
          <w:rFonts w:hint="eastAsia" w:ascii="宋体" w:hAnsi="宋体" w:cs="宋体"/>
          <w:sz w:val="24"/>
        </w:rPr>
        <w:t>4．平台界面友好，操作简便，便于实时、直观的调阅各个重点监控点，能够实现登录一个界面，对整个系统所有功能进行操作，无需平台之间切换，提高工作效率。</w:t>
      </w:r>
    </w:p>
    <w:p w14:paraId="360F7DE9">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rPr>
        <w:t xml:space="preserve"> </w:t>
      </w:r>
      <w:r>
        <w:rPr>
          <w:rFonts w:hint="eastAsia" w:ascii="宋体" w:hAnsi="宋体" w:cs="宋体"/>
          <w:sz w:val="24"/>
        </w:rPr>
        <w:t>可全天候对经过卡口的车辆进行实时记录和监测（包括车型、颜色、车牌号码、驾驶者及车内前排座的详细情况、时速等），同时提供带有车牌号码自动识别技术的图片型数据与实时视频录像记录两种类别的卡口记录方式，视频管理平台支持海量图片检索，便于查找。</w:t>
      </w:r>
    </w:p>
    <w:p w14:paraId="499A54B5">
      <w:pPr>
        <w:spacing w:line="360" w:lineRule="auto"/>
        <w:ind w:firstLine="480" w:firstLineChars="200"/>
        <w:rPr>
          <w:rFonts w:ascii="宋体" w:hAnsi="宋体" w:cs="宋体"/>
          <w:kern w:val="44"/>
          <w:sz w:val="24"/>
        </w:rPr>
      </w:pPr>
      <w:r>
        <w:rPr>
          <w:rFonts w:hint="eastAsia" w:ascii="宋体" w:hAnsi="宋体" w:cs="宋体"/>
          <w:sz w:val="24"/>
        </w:rPr>
        <w:t>6.</w:t>
      </w:r>
      <w:r>
        <w:rPr>
          <w:rFonts w:hint="eastAsia" w:ascii="宋体" w:hAnsi="宋体" w:cs="宋体"/>
          <w:kern w:val="44"/>
          <w:sz w:val="24"/>
        </w:rPr>
        <w:t xml:space="preserve"> 保证高平市公安局视频监控共享平台在调取图像清晰、流畅、无拖影、无卡顿。</w:t>
      </w:r>
    </w:p>
    <w:p w14:paraId="12C44A66">
      <w:pPr>
        <w:spacing w:line="360" w:lineRule="auto"/>
        <w:ind w:firstLine="482" w:firstLineChars="200"/>
        <w:rPr>
          <w:rFonts w:ascii="宋体" w:hAnsi="宋体" w:cs="宋体"/>
          <w:b/>
          <w:sz w:val="24"/>
        </w:rPr>
      </w:pPr>
      <w:r>
        <w:rPr>
          <w:rFonts w:hint="eastAsia" w:ascii="宋体" w:hAnsi="宋体" w:cs="宋体"/>
          <w:b/>
          <w:sz w:val="24"/>
        </w:rPr>
        <w:t>四、技术指标及要求</w:t>
      </w:r>
    </w:p>
    <w:p w14:paraId="497BA357">
      <w:pPr>
        <w:spacing w:line="360" w:lineRule="auto"/>
        <w:ind w:firstLine="482" w:firstLineChars="200"/>
        <w:rPr>
          <w:rFonts w:ascii="宋体" w:hAnsi="宋体" w:cs="宋体"/>
          <w:b/>
          <w:sz w:val="24"/>
        </w:rPr>
      </w:pPr>
      <w:r>
        <w:rPr>
          <w:rFonts w:hint="eastAsia" w:ascii="宋体" w:hAnsi="宋体" w:cs="宋体"/>
          <w:b/>
          <w:sz w:val="24"/>
        </w:rPr>
        <w:t>1．承载网络：</w:t>
      </w:r>
    </w:p>
    <w:p w14:paraId="25A208D0">
      <w:pPr>
        <w:spacing w:line="360" w:lineRule="auto"/>
        <w:ind w:firstLine="480" w:firstLineChars="200"/>
        <w:rPr>
          <w:rFonts w:ascii="宋体" w:hAnsi="宋体" w:cs="宋体"/>
          <w:kern w:val="24"/>
          <w:sz w:val="24"/>
        </w:rPr>
      </w:pPr>
      <w:r>
        <w:rPr>
          <w:rFonts w:hint="eastAsia" w:ascii="宋体" w:hAnsi="宋体" w:cs="宋体"/>
          <w:sz w:val="24"/>
        </w:rPr>
        <w:t>采用基于IP技术宽带网络的视频监控系统来建设系统，建立一个独立的专用的数字监控图像传输专网，有专门的系统维护和安全保护机制。</w:t>
      </w:r>
      <w:r>
        <w:rPr>
          <w:rFonts w:hint="eastAsia" w:ascii="宋体" w:hAnsi="宋体" w:cs="宋体"/>
          <w:color w:val="000000"/>
          <w:sz w:val="24"/>
        </w:rPr>
        <w:t>同时采用</w:t>
      </w:r>
      <w:r>
        <w:rPr>
          <w:rFonts w:hint="eastAsia" w:ascii="宋体" w:hAnsi="宋体" w:cs="宋体"/>
          <w:sz w:val="24"/>
        </w:rPr>
        <w:t>网络集中存储管理的监控平台模式，具有海量数据传输、网络带宽近似恒定以及前端视频监控点向各级监控中心的汇聚型传输方式等特点，组网方式根据现场实际情况，选择最科学经济的组网方式。</w:t>
      </w:r>
    </w:p>
    <w:p w14:paraId="142D3549">
      <w:pPr>
        <w:spacing w:line="360" w:lineRule="auto"/>
        <w:ind w:firstLine="480" w:firstLineChars="200"/>
        <w:rPr>
          <w:rFonts w:ascii="宋体" w:hAnsi="宋体" w:cs="宋体"/>
          <w:sz w:val="24"/>
        </w:rPr>
      </w:pPr>
      <w:r>
        <w:rPr>
          <w:rFonts w:hint="eastAsia" w:ascii="宋体" w:hAnsi="宋体" w:cs="宋体"/>
          <w:sz w:val="24"/>
        </w:rPr>
        <w:t>（1）联网系统网络层应支持 IP 协议，传输层应支持TCP 和UDP 协议。 要按照指定</w:t>
      </w:r>
      <w:r>
        <w:rPr>
          <w:rFonts w:ascii="宋体" w:hAnsi="宋体" w:cs="宋体"/>
          <w:sz w:val="24"/>
        </w:rPr>
        <w:t>的IP地址进行</w:t>
      </w:r>
      <w:r>
        <w:rPr>
          <w:rFonts w:hint="eastAsia" w:ascii="宋体" w:hAnsi="宋体" w:cs="宋体"/>
          <w:sz w:val="24"/>
        </w:rPr>
        <w:t>VLAN规划，与前</w:t>
      </w:r>
      <w:r>
        <w:rPr>
          <w:rFonts w:ascii="宋体" w:hAnsi="宋体" w:cs="宋体"/>
          <w:sz w:val="24"/>
        </w:rPr>
        <w:t>期建设内容进行</w:t>
      </w:r>
      <w:r>
        <w:rPr>
          <w:rFonts w:hint="eastAsia" w:ascii="宋体" w:hAnsi="宋体" w:cs="宋体"/>
          <w:sz w:val="24"/>
        </w:rPr>
        <w:t>有效</w:t>
      </w:r>
      <w:r>
        <w:rPr>
          <w:rFonts w:ascii="宋体" w:hAnsi="宋体" w:cs="宋体"/>
          <w:sz w:val="24"/>
        </w:rPr>
        <w:t>融合；</w:t>
      </w:r>
      <w:r>
        <w:rPr>
          <w:rFonts w:hint="eastAsia" w:ascii="宋体" w:hAnsi="宋体" w:cs="宋体"/>
          <w:sz w:val="24"/>
        </w:rPr>
        <w:t>采用合理网络传输协议和路由规划，满足传输需求，</w:t>
      </w:r>
      <w:r>
        <w:rPr>
          <w:rFonts w:hint="eastAsia" w:ascii="宋体" w:hAnsi="宋体" w:cs="宋体"/>
          <w:b/>
          <w:sz w:val="24"/>
        </w:rPr>
        <w:t>要有链路和设备双冗余备份，满足电信级网络的可靠性、安全性要求</w:t>
      </w:r>
      <w:r>
        <w:rPr>
          <w:rFonts w:hint="eastAsia" w:ascii="宋体" w:hAnsi="宋体" w:cs="宋体"/>
          <w:sz w:val="24"/>
        </w:rPr>
        <w:t>。</w:t>
      </w:r>
    </w:p>
    <w:p w14:paraId="4322DB2D">
      <w:pPr>
        <w:spacing w:line="360" w:lineRule="auto"/>
        <w:ind w:firstLine="480" w:firstLineChars="200"/>
        <w:rPr>
          <w:rFonts w:ascii="宋体" w:hAnsi="宋体" w:cs="宋体"/>
          <w:sz w:val="24"/>
        </w:rPr>
      </w:pPr>
      <w:r>
        <w:rPr>
          <w:rFonts w:hint="eastAsia" w:ascii="宋体" w:hAnsi="宋体" w:cs="宋体"/>
          <w:sz w:val="24"/>
        </w:rPr>
        <w:t>（2）视音频流在基于IP的网络上传输时应支持RTP/RTCP协议； 视音频流的数据封装格式应符合GB/T 28181-2022标准要求。</w:t>
      </w:r>
    </w:p>
    <w:p w14:paraId="23C3E1D0">
      <w:pPr>
        <w:spacing w:line="360" w:lineRule="auto"/>
        <w:ind w:firstLine="480" w:firstLineChars="200"/>
        <w:rPr>
          <w:rFonts w:ascii="宋体" w:hAnsi="宋体" w:cs="宋体"/>
          <w:sz w:val="24"/>
        </w:rPr>
      </w:pPr>
      <w:r>
        <w:rPr>
          <w:rFonts w:hint="eastAsia" w:ascii="宋体" w:hAnsi="宋体" w:cs="宋体"/>
          <w:sz w:val="24"/>
        </w:rPr>
        <w:t>（3）网络带宽要求：视频监控前端接入线路满足视频监控前端数据传输需求，通过GPON传输方式接入。运营商传输接入核心机房带宽不得低于10Gbps。</w:t>
      </w:r>
    </w:p>
    <w:p w14:paraId="5234A958">
      <w:pPr>
        <w:spacing w:line="360" w:lineRule="auto"/>
        <w:ind w:firstLine="480" w:firstLineChars="200"/>
        <w:rPr>
          <w:rFonts w:ascii="宋体" w:hAnsi="宋体" w:cs="宋体"/>
          <w:sz w:val="24"/>
        </w:rPr>
      </w:pPr>
      <w:r>
        <w:rPr>
          <w:rFonts w:hint="eastAsia" w:ascii="宋体" w:hAnsi="宋体" w:cs="宋体"/>
          <w:sz w:val="24"/>
        </w:rPr>
        <w:t>核心机房内部服务器不得低于千兆，存储带宽需要</w:t>
      </w:r>
      <w:r>
        <w:rPr>
          <w:rFonts w:ascii="宋体" w:hAnsi="宋体" w:cs="宋体"/>
          <w:sz w:val="24"/>
        </w:rPr>
        <w:t>用万</w:t>
      </w:r>
      <w:r>
        <w:rPr>
          <w:rFonts w:hint="eastAsia" w:ascii="宋体" w:hAnsi="宋体" w:cs="宋体"/>
          <w:sz w:val="24"/>
        </w:rPr>
        <w:t>兆</w:t>
      </w:r>
      <w:r>
        <w:rPr>
          <w:rFonts w:ascii="宋体" w:hAnsi="宋体" w:cs="宋体"/>
          <w:sz w:val="24"/>
        </w:rPr>
        <w:t>光口</w:t>
      </w:r>
      <w:r>
        <w:rPr>
          <w:rFonts w:hint="eastAsia" w:ascii="宋体" w:hAnsi="宋体" w:cs="宋体"/>
          <w:sz w:val="24"/>
        </w:rPr>
        <w:t>；</w:t>
      </w:r>
    </w:p>
    <w:p w14:paraId="5C82B11D">
      <w:pPr>
        <w:spacing w:line="360" w:lineRule="auto"/>
        <w:ind w:firstLine="480" w:firstLineChars="200"/>
        <w:rPr>
          <w:rFonts w:ascii="宋体" w:hAnsi="宋体" w:cs="宋体"/>
          <w:sz w:val="24"/>
        </w:rPr>
      </w:pPr>
      <w:r>
        <w:rPr>
          <w:rFonts w:hint="eastAsia" w:ascii="宋体" w:hAnsi="宋体" w:cs="宋体"/>
          <w:sz w:val="24"/>
        </w:rPr>
        <w:t>（4） 网络质量要求：</w:t>
      </w:r>
    </w:p>
    <w:p w14:paraId="0BA2523E">
      <w:pPr>
        <w:spacing w:line="360" w:lineRule="auto"/>
        <w:ind w:firstLine="480" w:firstLineChars="200"/>
        <w:rPr>
          <w:rFonts w:ascii="宋体" w:hAnsi="宋体" w:cs="宋体"/>
          <w:sz w:val="24"/>
        </w:rPr>
      </w:pPr>
      <w:r>
        <w:rPr>
          <w:rFonts w:hint="eastAsia" w:ascii="宋体" w:hAnsi="宋体" w:cs="宋体"/>
          <w:sz w:val="24"/>
        </w:rPr>
        <w:t xml:space="preserve">网络时延上限值为 200ms； </w:t>
      </w:r>
    </w:p>
    <w:p w14:paraId="0EC6D50F">
      <w:pPr>
        <w:spacing w:line="360" w:lineRule="auto"/>
        <w:ind w:firstLine="480" w:firstLineChars="200"/>
        <w:rPr>
          <w:rFonts w:ascii="宋体" w:hAnsi="宋体" w:cs="宋体"/>
          <w:sz w:val="24"/>
        </w:rPr>
      </w:pPr>
      <w:r>
        <w:rPr>
          <w:rFonts w:hint="eastAsia" w:ascii="宋体" w:hAnsi="宋体" w:cs="宋体"/>
          <w:sz w:val="24"/>
        </w:rPr>
        <w:t xml:space="preserve">时延抖动上限值为 50ms； </w:t>
      </w:r>
    </w:p>
    <w:p w14:paraId="4E5D7DA9">
      <w:pPr>
        <w:spacing w:line="360" w:lineRule="auto"/>
        <w:ind w:firstLine="480" w:firstLineChars="200"/>
        <w:rPr>
          <w:rFonts w:ascii="宋体" w:hAnsi="宋体" w:cs="宋体"/>
          <w:sz w:val="24"/>
        </w:rPr>
      </w:pPr>
      <w:r>
        <w:rPr>
          <w:rFonts w:hint="eastAsia" w:ascii="宋体" w:hAnsi="宋体" w:cs="宋体"/>
          <w:sz w:val="24"/>
        </w:rPr>
        <w:t xml:space="preserve">丢包率上限值为1×10^-3； </w:t>
      </w:r>
    </w:p>
    <w:p w14:paraId="671D2C34">
      <w:pPr>
        <w:spacing w:line="360" w:lineRule="auto"/>
        <w:ind w:firstLine="480" w:firstLineChars="200"/>
        <w:rPr>
          <w:rFonts w:ascii="宋体" w:hAnsi="宋体" w:cs="宋体"/>
          <w:sz w:val="24"/>
        </w:rPr>
      </w:pPr>
      <w:r>
        <w:rPr>
          <w:rFonts w:hint="eastAsia" w:ascii="宋体" w:hAnsi="宋体" w:cs="宋体"/>
          <w:sz w:val="24"/>
        </w:rPr>
        <w:t>包误差率上限值为 1×10^-4</w:t>
      </w:r>
    </w:p>
    <w:p w14:paraId="41A16934">
      <w:pPr>
        <w:spacing w:line="360" w:lineRule="auto"/>
        <w:ind w:firstLine="480" w:firstLineChars="200"/>
        <w:rPr>
          <w:rFonts w:ascii="宋体" w:hAnsi="宋体" w:cs="宋体"/>
          <w:sz w:val="24"/>
        </w:rPr>
      </w:pPr>
      <w:r>
        <w:rPr>
          <w:rFonts w:hint="eastAsia" w:ascii="宋体" w:hAnsi="宋体" w:cs="宋体"/>
          <w:sz w:val="24"/>
        </w:rPr>
        <w:t>（5）为了便于网络管理维护，要能够将前端摄像机、网络设备以及相应端口进行对应，能够及时发现故障点，初步判断故障原因。</w:t>
      </w:r>
    </w:p>
    <w:p w14:paraId="56587525">
      <w:pPr>
        <w:spacing w:line="360" w:lineRule="auto"/>
        <w:ind w:firstLine="480" w:firstLineChars="200"/>
        <w:rPr>
          <w:rFonts w:ascii="宋体" w:hAnsi="宋体" w:cs="宋体"/>
          <w:kern w:val="24"/>
          <w:sz w:val="24"/>
        </w:rPr>
      </w:pPr>
      <w:r>
        <w:rPr>
          <w:rFonts w:hint="eastAsia" w:ascii="宋体" w:hAnsi="宋体" w:cs="宋体"/>
          <w:sz w:val="24"/>
        </w:rPr>
        <w:t>（6）该视频监控网络及所承载的视频监控平台未经承建方允许，不得向第三方提供视频监控服务。</w:t>
      </w:r>
    </w:p>
    <w:p w14:paraId="19831E1E">
      <w:pPr>
        <w:spacing w:line="360" w:lineRule="auto"/>
        <w:ind w:firstLine="482" w:firstLineChars="200"/>
        <w:rPr>
          <w:rFonts w:ascii="宋体" w:hAnsi="宋体" w:cs="宋体"/>
          <w:sz w:val="24"/>
        </w:rPr>
      </w:pPr>
      <w:r>
        <w:rPr>
          <w:rFonts w:hint="eastAsia" w:ascii="宋体" w:hAnsi="宋体" w:cs="宋体"/>
          <w:b/>
          <w:sz w:val="24"/>
        </w:rPr>
        <w:t>2．前端基础</w:t>
      </w:r>
    </w:p>
    <w:p w14:paraId="0CAD4A4B">
      <w:pPr>
        <w:spacing w:line="360" w:lineRule="auto"/>
        <w:ind w:firstLine="480" w:firstLineChars="200"/>
        <w:rPr>
          <w:rFonts w:ascii="宋体" w:hAnsi="宋体" w:cs="宋体"/>
          <w:sz w:val="24"/>
        </w:rPr>
      </w:pPr>
      <w:r>
        <w:rPr>
          <w:rFonts w:hint="eastAsia" w:ascii="宋体" w:hAnsi="宋体" w:cs="宋体"/>
          <w:color w:val="000000"/>
          <w:sz w:val="24"/>
          <w:lang w:val="zh-CN"/>
        </w:rPr>
        <w:t>（1）</w:t>
      </w:r>
      <w:r>
        <w:rPr>
          <w:rFonts w:hint="eastAsia" w:ascii="宋体" w:hAnsi="宋体" w:cs="宋体"/>
          <w:sz w:val="24"/>
        </w:rPr>
        <w:t>立杆高度5米，采用</w:t>
      </w:r>
      <w:r>
        <w:rPr>
          <w:rFonts w:ascii="宋体" w:hAnsi="宋体" w:cs="宋体"/>
          <w:sz w:val="24"/>
        </w:rPr>
        <w:t>圆</w:t>
      </w:r>
      <w:r>
        <w:rPr>
          <w:rFonts w:hint="eastAsia" w:ascii="宋体" w:hAnsi="宋体" w:cs="宋体"/>
          <w:sz w:val="24"/>
        </w:rPr>
        <w:t>柱型</w:t>
      </w:r>
      <w:r>
        <w:rPr>
          <w:rFonts w:ascii="宋体" w:hAnsi="宋体" w:cs="宋体"/>
          <w:sz w:val="24"/>
        </w:rPr>
        <w:t>杆</w:t>
      </w:r>
      <w:r>
        <w:rPr>
          <w:rFonts w:hint="eastAsia" w:ascii="宋体" w:hAnsi="宋体" w:cs="宋体"/>
          <w:sz w:val="24"/>
        </w:rPr>
        <w:t>件</w:t>
      </w:r>
      <w:r>
        <w:rPr>
          <w:rFonts w:ascii="宋体" w:hAnsi="宋体" w:cs="宋体"/>
          <w:sz w:val="24"/>
        </w:rPr>
        <w:t>，</w:t>
      </w:r>
      <w:r>
        <w:rPr>
          <w:rFonts w:hint="eastAsia" w:ascii="宋体" w:hAnsi="宋体" w:cs="宋体"/>
          <w:sz w:val="24"/>
        </w:rPr>
        <w:t>采用</w:t>
      </w:r>
      <w:r>
        <w:rPr>
          <w:rFonts w:ascii="宋体" w:hAnsi="宋体" w:cs="宋体"/>
          <w:sz w:val="24"/>
        </w:rPr>
        <w:t>优质热镀锌钢管DN150</w:t>
      </w:r>
      <w:r>
        <w:rPr>
          <w:rFonts w:hint="eastAsia" w:ascii="宋体" w:hAnsi="宋体" w:cs="宋体"/>
          <w:sz w:val="24"/>
        </w:rPr>
        <w:t>材料</w:t>
      </w:r>
      <w:r>
        <w:rPr>
          <w:rFonts w:ascii="宋体" w:hAnsi="宋体" w:cs="宋体"/>
          <w:sz w:val="24"/>
        </w:rPr>
        <w:t>，</w:t>
      </w:r>
      <w:r>
        <w:rPr>
          <w:rFonts w:hint="eastAsia" w:ascii="宋体" w:hAnsi="宋体" w:cs="宋体"/>
          <w:sz w:val="24"/>
        </w:rPr>
        <w:t>外</w:t>
      </w:r>
      <w:r>
        <w:rPr>
          <w:rFonts w:ascii="宋体" w:hAnsi="宋体" w:cs="宋体"/>
          <w:sz w:val="24"/>
        </w:rPr>
        <w:t>径</w:t>
      </w:r>
      <w:r>
        <w:rPr>
          <w:rFonts w:hint="eastAsia" w:ascii="宋体" w:hAnsi="宋体" w:cs="宋体"/>
          <w:sz w:val="24"/>
        </w:rPr>
        <w:t>159毫米，立杆管璧厚</w:t>
      </w:r>
      <w:r>
        <w:rPr>
          <w:rFonts w:ascii="宋体" w:hAnsi="宋体" w:cs="宋体"/>
          <w:sz w:val="24"/>
        </w:rPr>
        <w:t>5mm</w:t>
      </w:r>
      <w:r>
        <w:rPr>
          <w:rFonts w:hint="eastAsia" w:ascii="宋体" w:hAnsi="宋体" w:cs="宋体"/>
          <w:sz w:val="24"/>
        </w:rPr>
        <w:t>，杆件</w:t>
      </w:r>
      <w:r>
        <w:rPr>
          <w:rFonts w:ascii="宋体" w:hAnsi="宋体" w:cs="宋体"/>
          <w:sz w:val="24"/>
        </w:rPr>
        <w:t>横臂采用优质</w:t>
      </w:r>
      <w:r>
        <w:rPr>
          <w:rFonts w:hint="eastAsia" w:ascii="宋体" w:hAnsi="宋体" w:cs="宋体"/>
          <w:sz w:val="24"/>
        </w:rPr>
        <w:t>热镀锌</w:t>
      </w:r>
      <w:r>
        <w:rPr>
          <w:rFonts w:ascii="宋体" w:hAnsi="宋体" w:cs="宋体"/>
          <w:sz w:val="24"/>
        </w:rPr>
        <w:t>Q235B</w:t>
      </w:r>
      <w:r>
        <w:rPr>
          <w:rFonts w:hint="eastAsia" w:ascii="宋体" w:hAnsi="宋体" w:cs="宋体"/>
          <w:sz w:val="24"/>
        </w:rPr>
        <w:t>材料</w:t>
      </w:r>
      <w:r>
        <w:rPr>
          <w:rFonts w:ascii="宋体" w:hAnsi="宋体" w:cs="宋体"/>
          <w:sz w:val="24"/>
        </w:rPr>
        <w:t>，外径</w:t>
      </w:r>
      <w:r>
        <w:rPr>
          <w:rFonts w:hint="eastAsia" w:ascii="宋体" w:hAnsi="宋体" w:cs="宋体"/>
          <w:sz w:val="24"/>
        </w:rPr>
        <w:t>60</w:t>
      </w:r>
      <w:r>
        <w:rPr>
          <w:rFonts w:ascii="宋体" w:hAnsi="宋体" w:cs="宋体"/>
          <w:sz w:val="24"/>
        </w:rPr>
        <w:t>mm,</w:t>
      </w:r>
      <w:r>
        <w:rPr>
          <w:rFonts w:hint="eastAsia" w:ascii="宋体" w:hAnsi="宋体" w:cs="宋体"/>
          <w:sz w:val="24"/>
        </w:rPr>
        <w:t>壁厚3</w:t>
      </w:r>
      <w:r>
        <w:rPr>
          <w:rFonts w:ascii="宋体" w:hAnsi="宋体" w:cs="宋体"/>
          <w:sz w:val="24"/>
        </w:rPr>
        <w:t>mm</w:t>
      </w:r>
      <w:r>
        <w:rPr>
          <w:rFonts w:hint="eastAsia" w:ascii="宋体" w:hAnsi="宋体" w:cs="宋体"/>
          <w:sz w:val="24"/>
        </w:rPr>
        <w:t>；焊接平整</w:t>
      </w:r>
      <w:r>
        <w:rPr>
          <w:rFonts w:ascii="宋体" w:hAnsi="宋体" w:cs="宋体"/>
          <w:sz w:val="24"/>
        </w:rPr>
        <w:t>、光滑、牢固可靠，杆件特镀锌处理喷塑处理</w:t>
      </w:r>
      <w:r>
        <w:rPr>
          <w:rFonts w:hint="eastAsia" w:ascii="宋体" w:hAnsi="宋体" w:cs="宋体"/>
          <w:sz w:val="24"/>
        </w:rPr>
        <w:t>，表面</w:t>
      </w:r>
      <w:r>
        <w:rPr>
          <w:rFonts w:ascii="宋体" w:hAnsi="宋体" w:cs="宋体"/>
          <w:sz w:val="24"/>
        </w:rPr>
        <w:t>喷白漆，</w:t>
      </w:r>
      <w:r>
        <w:rPr>
          <w:rFonts w:hint="eastAsia" w:ascii="宋体" w:hAnsi="宋体" w:cs="宋体"/>
          <w:sz w:val="24"/>
        </w:rPr>
        <w:t>立臂</w:t>
      </w:r>
      <w:r>
        <w:rPr>
          <w:rFonts w:ascii="宋体" w:hAnsi="宋体" w:cs="宋体"/>
          <w:sz w:val="24"/>
        </w:rPr>
        <w:t>下</w:t>
      </w:r>
      <w:r>
        <w:rPr>
          <w:rFonts w:hint="eastAsia" w:ascii="宋体" w:hAnsi="宋体" w:cs="宋体"/>
          <w:sz w:val="24"/>
        </w:rPr>
        <w:t>部</w:t>
      </w:r>
      <w:r>
        <w:rPr>
          <w:rFonts w:ascii="宋体" w:hAnsi="宋体" w:cs="宋体"/>
          <w:sz w:val="24"/>
        </w:rPr>
        <w:t>喷</w:t>
      </w:r>
      <w:r>
        <w:rPr>
          <w:rFonts w:hint="eastAsia" w:ascii="宋体" w:hAnsi="宋体" w:cs="宋体"/>
          <w:sz w:val="24"/>
        </w:rPr>
        <w:t>1.5米</w:t>
      </w:r>
      <w:r>
        <w:rPr>
          <w:rFonts w:ascii="宋体" w:hAnsi="宋体" w:cs="宋体"/>
          <w:sz w:val="24"/>
        </w:rPr>
        <w:t>公安蓝漆，</w:t>
      </w:r>
      <w:r>
        <w:rPr>
          <w:rFonts w:hint="eastAsia" w:ascii="宋体" w:hAnsi="宋体" w:cs="宋体"/>
          <w:sz w:val="24"/>
        </w:rPr>
        <w:t>立杆基础须做灌筑基础，基础深度1.</w:t>
      </w:r>
      <w:r>
        <w:rPr>
          <w:rFonts w:ascii="宋体" w:hAnsi="宋体" w:cs="宋体"/>
          <w:sz w:val="24"/>
        </w:rPr>
        <w:t>5</w:t>
      </w:r>
      <w:r>
        <w:rPr>
          <w:rFonts w:hint="eastAsia" w:ascii="宋体" w:hAnsi="宋体" w:cs="宋体"/>
          <w:sz w:val="24"/>
        </w:rPr>
        <w:t>米左右，见方1</w:t>
      </w:r>
      <w:r>
        <w:rPr>
          <w:rFonts w:ascii="宋体" w:hAnsi="宋体" w:cs="宋体"/>
          <w:sz w:val="24"/>
        </w:rPr>
        <w:t>.2</w:t>
      </w:r>
      <w:r>
        <w:rPr>
          <w:rFonts w:hint="eastAsia" w:ascii="宋体" w:hAnsi="宋体" w:cs="宋体"/>
          <w:sz w:val="24"/>
        </w:rPr>
        <w:t>米,确保绝对安全。基础</w:t>
      </w:r>
      <w:r>
        <w:rPr>
          <w:rFonts w:ascii="宋体" w:hAnsi="宋体" w:cs="宋体"/>
          <w:sz w:val="24"/>
        </w:rPr>
        <w:t>设计等级为丙级，基础混凝土采用C25</w:t>
      </w:r>
      <w:r>
        <w:rPr>
          <w:rFonts w:hint="eastAsia" w:ascii="宋体" w:hAnsi="宋体" w:cs="宋体"/>
          <w:sz w:val="24"/>
        </w:rPr>
        <w:t>，</w:t>
      </w:r>
      <w:r>
        <w:rPr>
          <w:rFonts w:ascii="宋体" w:hAnsi="宋体" w:cs="宋体"/>
          <w:sz w:val="24"/>
        </w:rPr>
        <w:t>钢筋采用HRB400</w:t>
      </w:r>
      <w:r>
        <w:rPr>
          <w:rFonts w:hint="eastAsia" w:ascii="宋体" w:hAnsi="宋体" w:cs="宋体"/>
          <w:sz w:val="24"/>
        </w:rPr>
        <w:t>高强度</w:t>
      </w:r>
      <w:r>
        <w:rPr>
          <w:rFonts w:ascii="宋体" w:hAnsi="宋体" w:cs="宋体"/>
          <w:sz w:val="24"/>
        </w:rPr>
        <w:t>钢筋。</w:t>
      </w:r>
    </w:p>
    <w:p w14:paraId="0495689D">
      <w:pPr>
        <w:spacing w:line="360" w:lineRule="auto"/>
        <w:ind w:firstLine="480" w:firstLineChars="200"/>
        <w:rPr>
          <w:rFonts w:ascii="宋体" w:hAnsi="宋体" w:cs="宋体"/>
          <w:sz w:val="24"/>
        </w:rPr>
      </w:pPr>
      <w:r>
        <w:rPr>
          <w:rFonts w:hint="eastAsia" w:ascii="宋体" w:hAnsi="宋体" w:cs="宋体"/>
          <w:sz w:val="24"/>
          <w:lang w:val="zh-CN"/>
        </w:rPr>
        <w:t>（2）高杆</w:t>
      </w:r>
      <w:r>
        <w:rPr>
          <w:rFonts w:hint="eastAsia" w:ascii="宋体" w:hAnsi="宋体" w:cs="宋体"/>
          <w:sz w:val="24"/>
        </w:rPr>
        <w:t>立杆高度6.5米八棱杆，下口径</w:t>
      </w:r>
      <w:r>
        <w:rPr>
          <w:rFonts w:ascii="宋体" w:hAnsi="宋体" w:cs="宋体"/>
          <w:sz w:val="24"/>
        </w:rPr>
        <w:t>,340</w:t>
      </w:r>
      <w:r>
        <w:rPr>
          <w:rFonts w:hint="eastAsia" w:ascii="宋体" w:hAnsi="宋体" w:cs="宋体"/>
          <w:sz w:val="24"/>
        </w:rPr>
        <w:t>毫米，上口径300毫米，立杆管璧厚6</w:t>
      </w:r>
      <w:r>
        <w:rPr>
          <w:rFonts w:ascii="宋体" w:hAnsi="宋体" w:cs="宋体"/>
          <w:sz w:val="24"/>
        </w:rPr>
        <w:t>mm</w:t>
      </w:r>
      <w:r>
        <w:rPr>
          <w:rFonts w:hint="eastAsia" w:ascii="宋体" w:hAnsi="宋体" w:cs="宋体"/>
          <w:sz w:val="24"/>
        </w:rPr>
        <w:t>，横</w:t>
      </w:r>
      <w:r>
        <w:rPr>
          <w:rFonts w:ascii="宋体" w:hAnsi="宋体" w:cs="宋体"/>
          <w:sz w:val="24"/>
        </w:rPr>
        <w:t>杆</w:t>
      </w:r>
      <w:r>
        <w:rPr>
          <w:rFonts w:hint="eastAsia" w:ascii="宋体" w:hAnsi="宋体" w:cs="宋体"/>
          <w:sz w:val="24"/>
        </w:rPr>
        <w:t>璧厚5mm，横臂</w:t>
      </w:r>
      <w:r>
        <w:rPr>
          <w:rFonts w:ascii="宋体" w:hAnsi="宋体" w:cs="宋体"/>
          <w:sz w:val="24"/>
        </w:rPr>
        <w:t>长</w:t>
      </w:r>
      <w:r>
        <w:rPr>
          <w:rFonts w:hint="eastAsia" w:ascii="宋体" w:hAnsi="宋体" w:cs="宋体"/>
          <w:sz w:val="24"/>
        </w:rPr>
        <w:t>6米</w:t>
      </w:r>
      <w:r>
        <w:rPr>
          <w:rFonts w:ascii="宋体" w:hAnsi="宋体" w:cs="宋体"/>
          <w:sz w:val="24"/>
        </w:rPr>
        <w:t>，</w:t>
      </w:r>
      <w:r>
        <w:rPr>
          <w:rFonts w:hint="eastAsia" w:ascii="宋体" w:hAnsi="宋体" w:cs="宋体"/>
          <w:sz w:val="24"/>
        </w:rPr>
        <w:t>横</w:t>
      </w:r>
      <w:r>
        <w:rPr>
          <w:rFonts w:ascii="宋体" w:hAnsi="宋体" w:cs="宋体"/>
          <w:sz w:val="24"/>
        </w:rPr>
        <w:t>杆</w:t>
      </w:r>
      <w:r>
        <w:rPr>
          <w:rFonts w:hint="eastAsia" w:ascii="宋体" w:hAnsi="宋体" w:cs="宋体"/>
          <w:sz w:val="24"/>
        </w:rPr>
        <w:t>璧厚5mm，材料</w:t>
      </w:r>
      <w:r>
        <w:rPr>
          <w:rFonts w:ascii="宋体" w:hAnsi="宋体" w:cs="宋体"/>
          <w:sz w:val="24"/>
        </w:rPr>
        <w:t>采用</w:t>
      </w:r>
      <w:r>
        <w:rPr>
          <w:rFonts w:hint="eastAsia" w:ascii="宋体" w:hAnsi="宋体" w:cs="宋体"/>
          <w:sz w:val="24"/>
        </w:rPr>
        <w:t>热镀锌</w:t>
      </w:r>
      <w:r>
        <w:rPr>
          <w:rFonts w:ascii="宋体" w:hAnsi="宋体" w:cs="宋体"/>
          <w:sz w:val="24"/>
        </w:rPr>
        <w:t>Q235B</w:t>
      </w:r>
      <w:r>
        <w:rPr>
          <w:rFonts w:hint="eastAsia" w:ascii="宋体" w:hAnsi="宋体" w:cs="宋体"/>
          <w:sz w:val="24"/>
        </w:rPr>
        <w:t>材料，</w:t>
      </w:r>
      <w:r>
        <w:rPr>
          <w:rFonts w:ascii="宋体" w:hAnsi="宋体" w:cs="宋体"/>
          <w:sz w:val="24"/>
        </w:rPr>
        <w:t>杆件特镀锌处理喷塑处理</w:t>
      </w:r>
      <w:r>
        <w:rPr>
          <w:rFonts w:hint="eastAsia" w:ascii="宋体" w:hAnsi="宋体" w:cs="宋体"/>
          <w:sz w:val="24"/>
        </w:rPr>
        <w:t>，表面</w:t>
      </w:r>
      <w:r>
        <w:rPr>
          <w:rFonts w:ascii="宋体" w:hAnsi="宋体" w:cs="宋体"/>
          <w:sz w:val="24"/>
        </w:rPr>
        <w:t>喷白漆，</w:t>
      </w:r>
      <w:r>
        <w:rPr>
          <w:rFonts w:hint="eastAsia" w:ascii="宋体" w:hAnsi="宋体" w:cs="宋体"/>
          <w:sz w:val="24"/>
        </w:rPr>
        <w:t>立臂</w:t>
      </w:r>
      <w:r>
        <w:rPr>
          <w:rFonts w:ascii="宋体" w:hAnsi="宋体" w:cs="宋体"/>
          <w:sz w:val="24"/>
        </w:rPr>
        <w:t>下</w:t>
      </w:r>
      <w:r>
        <w:rPr>
          <w:rFonts w:hint="eastAsia" w:ascii="宋体" w:hAnsi="宋体" w:cs="宋体"/>
          <w:sz w:val="24"/>
        </w:rPr>
        <w:t>部</w:t>
      </w:r>
      <w:r>
        <w:rPr>
          <w:rFonts w:ascii="宋体" w:hAnsi="宋体" w:cs="宋体"/>
          <w:sz w:val="24"/>
        </w:rPr>
        <w:t>喷</w:t>
      </w:r>
      <w:r>
        <w:rPr>
          <w:rFonts w:hint="eastAsia" w:ascii="宋体" w:hAnsi="宋体" w:cs="宋体"/>
          <w:sz w:val="24"/>
        </w:rPr>
        <w:t>1.5米</w:t>
      </w:r>
      <w:r>
        <w:rPr>
          <w:rFonts w:ascii="宋体" w:hAnsi="宋体" w:cs="宋体"/>
          <w:sz w:val="24"/>
        </w:rPr>
        <w:t>公安蓝漆，</w:t>
      </w:r>
      <w:r>
        <w:rPr>
          <w:rFonts w:hint="eastAsia" w:ascii="宋体" w:hAnsi="宋体" w:cs="宋体"/>
          <w:sz w:val="24"/>
        </w:rPr>
        <w:t>立杆基础须做灌筑基础，基础深度1.</w:t>
      </w:r>
      <w:r>
        <w:rPr>
          <w:rFonts w:ascii="宋体" w:hAnsi="宋体" w:cs="宋体"/>
          <w:sz w:val="24"/>
        </w:rPr>
        <w:t>5</w:t>
      </w:r>
      <w:r>
        <w:rPr>
          <w:rFonts w:hint="eastAsia" w:ascii="宋体" w:hAnsi="宋体" w:cs="宋体"/>
          <w:sz w:val="24"/>
        </w:rPr>
        <w:t>米左右，见方</w:t>
      </w:r>
      <w:r>
        <w:rPr>
          <w:rFonts w:ascii="宋体" w:hAnsi="宋体" w:cs="宋体"/>
          <w:sz w:val="24"/>
        </w:rPr>
        <w:t>1</w:t>
      </w:r>
      <w:r>
        <w:rPr>
          <w:rFonts w:hint="eastAsia" w:ascii="宋体" w:hAnsi="宋体" w:cs="宋体"/>
          <w:sz w:val="24"/>
        </w:rPr>
        <w:t>.2左右，确保绝对安全。报杆机柜和立杆统一接地，每个监控点做一套独立接地系统，要求接地电阻≤10Ω。前端基础设备具有抗风、抗震、防雷、防雨、防尘、防盐雾、防锈蚀、防变形的功能。基础</w:t>
      </w:r>
      <w:r>
        <w:rPr>
          <w:rFonts w:ascii="宋体" w:hAnsi="宋体" w:cs="宋体"/>
          <w:sz w:val="24"/>
        </w:rPr>
        <w:t>设计等级为丙级，基础混凝土采用C25</w:t>
      </w:r>
      <w:r>
        <w:rPr>
          <w:rFonts w:hint="eastAsia" w:ascii="宋体" w:hAnsi="宋体" w:cs="宋体"/>
          <w:sz w:val="24"/>
        </w:rPr>
        <w:t>，</w:t>
      </w:r>
      <w:r>
        <w:rPr>
          <w:rFonts w:ascii="宋体" w:hAnsi="宋体" w:cs="宋体"/>
          <w:sz w:val="24"/>
        </w:rPr>
        <w:t>钢筋采用HRB400</w:t>
      </w:r>
      <w:r>
        <w:rPr>
          <w:rFonts w:hint="eastAsia" w:ascii="宋体" w:hAnsi="宋体" w:cs="宋体"/>
          <w:sz w:val="24"/>
        </w:rPr>
        <w:t>高强度</w:t>
      </w:r>
      <w:r>
        <w:rPr>
          <w:rFonts w:ascii="宋体" w:hAnsi="宋体" w:cs="宋体"/>
          <w:sz w:val="24"/>
        </w:rPr>
        <w:t>钢筋。</w:t>
      </w:r>
    </w:p>
    <w:p w14:paraId="5EB2A503">
      <w:pPr>
        <w:spacing w:line="360" w:lineRule="auto"/>
        <w:ind w:firstLine="480" w:firstLineChars="200"/>
        <w:rPr>
          <w:rFonts w:ascii="宋体" w:hAnsi="宋体" w:cs="宋体"/>
          <w:sz w:val="24"/>
        </w:rPr>
      </w:pPr>
      <w:r>
        <w:rPr>
          <w:rFonts w:hint="eastAsia" w:ascii="宋体" w:hAnsi="宋体" w:cs="宋体"/>
          <w:sz w:val="24"/>
          <w:lang w:val="zh-CN"/>
        </w:rPr>
        <w:t>（</w:t>
      </w:r>
      <w:r>
        <w:rPr>
          <w:rFonts w:ascii="宋体" w:hAnsi="宋体" w:cs="宋体"/>
          <w:sz w:val="24"/>
          <w:lang w:val="zh-CN"/>
        </w:rPr>
        <w:t>3</w:t>
      </w:r>
      <w:r>
        <w:rPr>
          <w:rFonts w:hint="eastAsia" w:ascii="宋体" w:hAnsi="宋体" w:cs="宋体"/>
          <w:sz w:val="24"/>
          <w:lang w:val="zh-CN"/>
        </w:rPr>
        <w:t>）高杆</w:t>
      </w:r>
      <w:r>
        <w:rPr>
          <w:rFonts w:hint="eastAsia" w:ascii="宋体" w:hAnsi="宋体" w:cs="宋体"/>
          <w:sz w:val="24"/>
        </w:rPr>
        <w:t>立杆高度6.5米八棱杆，下口径</w:t>
      </w:r>
      <w:r>
        <w:rPr>
          <w:rFonts w:ascii="宋体" w:hAnsi="宋体" w:cs="宋体"/>
          <w:sz w:val="24"/>
        </w:rPr>
        <w:t>,340</w:t>
      </w:r>
      <w:r>
        <w:rPr>
          <w:rFonts w:hint="eastAsia" w:ascii="宋体" w:hAnsi="宋体" w:cs="宋体"/>
          <w:sz w:val="24"/>
        </w:rPr>
        <w:t>毫米，上口径300毫米，立杆管璧厚6</w:t>
      </w:r>
      <w:r>
        <w:rPr>
          <w:rFonts w:ascii="宋体" w:hAnsi="宋体" w:cs="宋体"/>
          <w:sz w:val="24"/>
        </w:rPr>
        <w:t>mm</w:t>
      </w:r>
      <w:r>
        <w:rPr>
          <w:rFonts w:hint="eastAsia" w:ascii="宋体" w:hAnsi="宋体" w:cs="宋体"/>
          <w:sz w:val="24"/>
        </w:rPr>
        <w:t>，横</w:t>
      </w:r>
      <w:r>
        <w:rPr>
          <w:rFonts w:ascii="宋体" w:hAnsi="宋体" w:cs="宋体"/>
          <w:sz w:val="24"/>
        </w:rPr>
        <w:t>杆</w:t>
      </w:r>
      <w:r>
        <w:rPr>
          <w:rFonts w:hint="eastAsia" w:ascii="宋体" w:hAnsi="宋体" w:cs="宋体"/>
          <w:sz w:val="24"/>
        </w:rPr>
        <w:t>璧厚5mm，横臂</w:t>
      </w:r>
      <w:r>
        <w:rPr>
          <w:rFonts w:ascii="宋体" w:hAnsi="宋体" w:cs="宋体"/>
          <w:sz w:val="24"/>
        </w:rPr>
        <w:t>长10</w:t>
      </w:r>
      <w:r>
        <w:rPr>
          <w:rFonts w:hint="eastAsia" w:ascii="宋体" w:hAnsi="宋体" w:cs="宋体"/>
          <w:sz w:val="24"/>
        </w:rPr>
        <w:t>米</w:t>
      </w:r>
      <w:r>
        <w:rPr>
          <w:rFonts w:ascii="宋体" w:hAnsi="宋体" w:cs="宋体"/>
          <w:sz w:val="24"/>
        </w:rPr>
        <w:t>，</w:t>
      </w:r>
      <w:r>
        <w:rPr>
          <w:rFonts w:hint="eastAsia" w:ascii="宋体" w:hAnsi="宋体" w:cs="宋体"/>
          <w:sz w:val="24"/>
        </w:rPr>
        <w:t>横</w:t>
      </w:r>
      <w:r>
        <w:rPr>
          <w:rFonts w:ascii="宋体" w:hAnsi="宋体" w:cs="宋体"/>
          <w:sz w:val="24"/>
        </w:rPr>
        <w:t>杆</w:t>
      </w:r>
      <w:r>
        <w:rPr>
          <w:rFonts w:hint="eastAsia" w:ascii="宋体" w:hAnsi="宋体" w:cs="宋体"/>
          <w:sz w:val="24"/>
        </w:rPr>
        <w:t>璧厚5mm，材料</w:t>
      </w:r>
      <w:r>
        <w:rPr>
          <w:rFonts w:ascii="宋体" w:hAnsi="宋体" w:cs="宋体"/>
          <w:sz w:val="24"/>
        </w:rPr>
        <w:t>采用</w:t>
      </w:r>
      <w:r>
        <w:rPr>
          <w:rFonts w:hint="eastAsia" w:ascii="宋体" w:hAnsi="宋体" w:cs="宋体"/>
          <w:sz w:val="24"/>
        </w:rPr>
        <w:t>热镀锌</w:t>
      </w:r>
      <w:r>
        <w:rPr>
          <w:rFonts w:ascii="宋体" w:hAnsi="宋体" w:cs="宋体"/>
          <w:sz w:val="24"/>
        </w:rPr>
        <w:t>Q235B</w:t>
      </w:r>
      <w:r>
        <w:rPr>
          <w:rFonts w:hint="eastAsia" w:ascii="宋体" w:hAnsi="宋体" w:cs="宋体"/>
          <w:sz w:val="24"/>
        </w:rPr>
        <w:t>材料，</w:t>
      </w:r>
      <w:r>
        <w:rPr>
          <w:rFonts w:ascii="宋体" w:hAnsi="宋体" w:cs="宋体"/>
          <w:sz w:val="24"/>
        </w:rPr>
        <w:t>杆件特镀锌处理喷塑处理</w:t>
      </w:r>
      <w:r>
        <w:rPr>
          <w:rFonts w:hint="eastAsia" w:ascii="宋体" w:hAnsi="宋体" w:cs="宋体"/>
          <w:sz w:val="24"/>
        </w:rPr>
        <w:t>，表面</w:t>
      </w:r>
      <w:r>
        <w:rPr>
          <w:rFonts w:ascii="宋体" w:hAnsi="宋体" w:cs="宋体"/>
          <w:sz w:val="24"/>
        </w:rPr>
        <w:t>喷白漆，</w:t>
      </w:r>
      <w:r>
        <w:rPr>
          <w:rFonts w:hint="eastAsia" w:ascii="宋体" w:hAnsi="宋体" w:cs="宋体"/>
          <w:sz w:val="24"/>
        </w:rPr>
        <w:t>立臂</w:t>
      </w:r>
      <w:r>
        <w:rPr>
          <w:rFonts w:ascii="宋体" w:hAnsi="宋体" w:cs="宋体"/>
          <w:sz w:val="24"/>
        </w:rPr>
        <w:t>下</w:t>
      </w:r>
      <w:r>
        <w:rPr>
          <w:rFonts w:hint="eastAsia" w:ascii="宋体" w:hAnsi="宋体" w:cs="宋体"/>
          <w:sz w:val="24"/>
        </w:rPr>
        <w:t>部</w:t>
      </w:r>
      <w:r>
        <w:rPr>
          <w:rFonts w:ascii="宋体" w:hAnsi="宋体" w:cs="宋体"/>
          <w:sz w:val="24"/>
        </w:rPr>
        <w:t>喷</w:t>
      </w:r>
      <w:r>
        <w:rPr>
          <w:rFonts w:hint="eastAsia" w:ascii="宋体" w:hAnsi="宋体" w:cs="宋体"/>
          <w:sz w:val="24"/>
        </w:rPr>
        <w:t>1.5米</w:t>
      </w:r>
      <w:r>
        <w:rPr>
          <w:rFonts w:ascii="宋体" w:hAnsi="宋体" w:cs="宋体"/>
          <w:sz w:val="24"/>
        </w:rPr>
        <w:t>公安蓝漆，</w:t>
      </w:r>
      <w:r>
        <w:rPr>
          <w:rFonts w:hint="eastAsia" w:ascii="宋体" w:hAnsi="宋体" w:cs="宋体"/>
          <w:sz w:val="24"/>
        </w:rPr>
        <w:t>立杆基础须做灌筑基础，基础深度1.</w:t>
      </w:r>
      <w:r>
        <w:rPr>
          <w:rFonts w:ascii="宋体" w:hAnsi="宋体" w:cs="宋体"/>
          <w:sz w:val="24"/>
        </w:rPr>
        <w:t>8</w:t>
      </w:r>
      <w:r>
        <w:rPr>
          <w:rFonts w:hint="eastAsia" w:ascii="宋体" w:hAnsi="宋体" w:cs="宋体"/>
          <w:sz w:val="24"/>
        </w:rPr>
        <w:t>m左右，见方</w:t>
      </w:r>
      <w:r>
        <w:rPr>
          <w:rFonts w:ascii="宋体" w:hAnsi="宋体" w:cs="宋体"/>
          <w:sz w:val="24"/>
        </w:rPr>
        <w:t>1</w:t>
      </w:r>
      <w:r>
        <w:rPr>
          <w:rFonts w:hint="eastAsia" w:ascii="宋体" w:hAnsi="宋体" w:cs="宋体"/>
          <w:sz w:val="24"/>
        </w:rPr>
        <w:t>.</w:t>
      </w:r>
      <w:r>
        <w:rPr>
          <w:rFonts w:ascii="宋体" w:hAnsi="宋体" w:cs="宋体"/>
          <w:sz w:val="24"/>
        </w:rPr>
        <w:t>5m</w:t>
      </w:r>
      <w:r>
        <w:rPr>
          <w:rFonts w:hint="eastAsia" w:ascii="宋体" w:hAnsi="宋体" w:cs="宋体"/>
          <w:sz w:val="24"/>
        </w:rPr>
        <w:t>左右，确保绝对安全。报杆机柜和立杆统一接地，每个监控点做一套独立接地系统，要求接地电阻≤10Ω。前端基础设备具有抗风、抗震、防雷、防雨、防尘、防盐雾、防锈蚀、防变形的功能。基础</w:t>
      </w:r>
      <w:r>
        <w:rPr>
          <w:rFonts w:ascii="宋体" w:hAnsi="宋体" w:cs="宋体"/>
          <w:sz w:val="24"/>
        </w:rPr>
        <w:t>设计等级为丙级，基础混凝土采用C25</w:t>
      </w:r>
      <w:r>
        <w:rPr>
          <w:rFonts w:hint="eastAsia" w:ascii="宋体" w:hAnsi="宋体" w:cs="宋体"/>
          <w:sz w:val="24"/>
        </w:rPr>
        <w:t>，</w:t>
      </w:r>
      <w:r>
        <w:rPr>
          <w:rFonts w:ascii="宋体" w:hAnsi="宋体" w:cs="宋体"/>
          <w:sz w:val="24"/>
        </w:rPr>
        <w:t>钢筋采用HRB400</w:t>
      </w:r>
      <w:r>
        <w:rPr>
          <w:rFonts w:hint="eastAsia" w:ascii="宋体" w:hAnsi="宋体" w:cs="宋体"/>
          <w:sz w:val="24"/>
        </w:rPr>
        <w:t>高强度</w:t>
      </w:r>
      <w:r>
        <w:rPr>
          <w:rFonts w:ascii="宋体" w:hAnsi="宋体" w:cs="宋体"/>
          <w:sz w:val="24"/>
        </w:rPr>
        <w:t>钢筋。</w:t>
      </w:r>
    </w:p>
    <w:p w14:paraId="29F76704">
      <w:pPr>
        <w:spacing w:line="360" w:lineRule="auto"/>
        <w:ind w:firstLine="480" w:firstLineChars="200"/>
        <w:rPr>
          <w:rFonts w:ascii="宋体" w:hAnsi="宋体" w:cs="宋体"/>
          <w:sz w:val="24"/>
        </w:rPr>
      </w:pPr>
      <w:r>
        <w:rPr>
          <w:rFonts w:hint="eastAsia" w:ascii="宋体" w:hAnsi="宋体" w:cs="宋体"/>
          <w:sz w:val="24"/>
        </w:rPr>
        <w:t>（4）抱杆</w:t>
      </w:r>
      <w:r>
        <w:rPr>
          <w:rFonts w:ascii="宋体" w:hAnsi="宋体" w:cs="宋体"/>
          <w:sz w:val="24"/>
        </w:rPr>
        <w:t>机柜</w:t>
      </w:r>
      <w:r>
        <w:rPr>
          <w:rFonts w:hint="eastAsia" w:ascii="宋体" w:hAnsi="宋体" w:cs="宋体"/>
          <w:sz w:val="24"/>
        </w:rPr>
        <w:t>/机柜</w:t>
      </w:r>
      <w:r>
        <w:rPr>
          <w:rFonts w:ascii="宋体" w:hAnsi="宋体" w:cs="宋体"/>
          <w:sz w:val="24"/>
        </w:rPr>
        <w:t>/</w:t>
      </w:r>
      <w:r>
        <w:rPr>
          <w:rFonts w:hint="eastAsia" w:ascii="宋体" w:hAnsi="宋体" w:cs="宋体"/>
          <w:sz w:val="24"/>
        </w:rPr>
        <w:t>壁挂</w:t>
      </w:r>
      <w:r>
        <w:rPr>
          <w:rFonts w:ascii="宋体" w:hAnsi="宋体" w:cs="宋体"/>
          <w:sz w:val="24"/>
        </w:rPr>
        <w:t>机柜：</w:t>
      </w:r>
      <w:r>
        <w:rPr>
          <w:rFonts w:hint="eastAsia" w:ascii="宋体" w:hAnsi="宋体" w:cs="宋体"/>
          <w:sz w:val="24"/>
        </w:rPr>
        <w:t>不锈钢监控配电箱 、10A/2P 空气开关*1，防雷模块*1，5 位接地端子*1，3 位新国标 5 孔插座*2，DC12V/50W开关电源*1，含防雷接电红蓝、红绿电源线辅材</w:t>
      </w:r>
    </w:p>
    <w:p w14:paraId="21302FC8">
      <w:pPr>
        <w:spacing w:line="360" w:lineRule="auto"/>
        <w:ind w:firstLine="480" w:firstLineChars="200"/>
        <w:rPr>
          <w:rFonts w:ascii="宋体" w:hAnsi="宋体" w:cs="宋体"/>
          <w:sz w:val="24"/>
        </w:rPr>
      </w:pPr>
      <w:r>
        <w:rPr>
          <w:rFonts w:hint="eastAsia" w:ascii="宋体" w:hAnsi="宋体" w:cs="宋体"/>
          <w:sz w:val="24"/>
        </w:rPr>
        <w:t>（5）前端砖砌</w:t>
      </w:r>
      <w:r>
        <w:rPr>
          <w:rFonts w:ascii="宋体" w:hAnsi="宋体" w:cs="宋体"/>
          <w:sz w:val="24"/>
        </w:rPr>
        <w:t>配线手孔（</w:t>
      </w:r>
      <w:r>
        <w:rPr>
          <w:rFonts w:hint="eastAsia" w:ascii="宋体" w:hAnsi="宋体" w:cs="宋体"/>
          <w:sz w:val="24"/>
        </w:rPr>
        <w:t>小号</w:t>
      </w:r>
      <w:r>
        <w:rPr>
          <w:rFonts w:ascii="宋体" w:hAnsi="宋体" w:cs="宋体"/>
          <w:sz w:val="24"/>
        </w:rPr>
        <w:t>手孔SSK）</w:t>
      </w:r>
      <w:r>
        <w:rPr>
          <w:rFonts w:hint="eastAsia" w:ascii="宋体" w:hAnsi="宋体" w:cs="宋体"/>
          <w:sz w:val="24"/>
        </w:rPr>
        <w:t>：内径400</w:t>
      </w:r>
      <w:r>
        <w:rPr>
          <w:rFonts w:ascii="宋体" w:hAnsi="宋体" w:cs="宋体"/>
          <w:sz w:val="24"/>
        </w:rPr>
        <w:t>mm*400mm*400mm,</w:t>
      </w:r>
      <w:r>
        <w:rPr>
          <w:rFonts w:hint="eastAsia" w:ascii="宋体" w:hAnsi="宋体" w:cs="宋体"/>
          <w:sz w:val="24"/>
        </w:rPr>
        <w:t>找平、夯实、制、支、拆模板，砌砖，手孔内外壁抹灰，抹八字，安装电缆支架、拉力环，浇灌混凝土，安装手孔口圈，养护等，包括水泥、手孔口圈等材料。包括：手孔盖 。</w:t>
      </w:r>
    </w:p>
    <w:p w14:paraId="1C17B9E4">
      <w:pPr>
        <w:spacing w:line="360" w:lineRule="auto"/>
        <w:ind w:firstLine="482" w:firstLineChars="200"/>
        <w:rPr>
          <w:rFonts w:ascii="宋体" w:hAnsi="宋体" w:cs="宋体"/>
          <w:sz w:val="24"/>
        </w:rPr>
      </w:pPr>
      <w:r>
        <w:rPr>
          <w:rFonts w:hint="eastAsia" w:ascii="宋体" w:hAnsi="宋体" w:cs="宋体"/>
          <w:b/>
          <w:sz w:val="24"/>
        </w:rPr>
        <w:t>3．管理平台</w:t>
      </w:r>
    </w:p>
    <w:p w14:paraId="6DF38094">
      <w:pPr>
        <w:spacing w:line="360" w:lineRule="auto"/>
        <w:ind w:firstLine="480" w:firstLineChars="200"/>
        <w:rPr>
          <w:rFonts w:ascii="宋体" w:hAnsi="宋体" w:cs="宋体"/>
          <w:sz w:val="24"/>
        </w:rPr>
      </w:pPr>
      <w:r>
        <w:rPr>
          <w:rFonts w:hint="eastAsia" w:ascii="宋体" w:hAnsi="宋体" w:cs="宋体"/>
          <w:sz w:val="24"/>
        </w:rPr>
        <w:t>能对监控系统前端、网络传输、集中存储等设备的状态实时监控、统计、管理；支持DB33/T 629-2011和GB/T 28181</w:t>
      </w:r>
      <w:r>
        <w:rPr>
          <w:rFonts w:ascii="宋体" w:hAnsi="宋体" w:cs="宋体"/>
          <w:sz w:val="24"/>
        </w:rPr>
        <w:t xml:space="preserve"> 2016</w:t>
      </w:r>
      <w:r>
        <w:rPr>
          <w:rFonts w:hint="eastAsia" w:ascii="宋体" w:hAnsi="宋体" w:cs="宋体"/>
          <w:sz w:val="24"/>
        </w:rPr>
        <w:t>等联网标准,兼容ONVIF2.0标准，SVAC2.0标准，采用统一的IP地址规划，能够与公安现有视频监控系统相兼容，与上级公安机关实现数据对接。</w:t>
      </w:r>
    </w:p>
    <w:p w14:paraId="0B66DA79">
      <w:pPr>
        <w:spacing w:line="360" w:lineRule="auto"/>
        <w:ind w:firstLine="482" w:firstLineChars="200"/>
        <w:rPr>
          <w:rFonts w:ascii="宋体" w:hAnsi="宋体" w:cs="宋体"/>
          <w:b/>
          <w:sz w:val="24"/>
        </w:rPr>
      </w:pPr>
      <w:r>
        <w:rPr>
          <w:rFonts w:hint="eastAsia" w:ascii="宋体" w:hAnsi="宋体" w:cs="宋体"/>
          <w:b/>
          <w:sz w:val="24"/>
        </w:rPr>
        <w:t>4．存储质量</w:t>
      </w:r>
    </w:p>
    <w:p w14:paraId="36061E79">
      <w:pPr>
        <w:spacing w:line="360" w:lineRule="auto"/>
        <w:ind w:firstLine="480" w:firstLineChars="200"/>
        <w:rPr>
          <w:rFonts w:ascii="宋体" w:hAnsi="宋体" w:cs="宋体"/>
          <w:sz w:val="24"/>
        </w:rPr>
      </w:pPr>
      <w:r>
        <w:rPr>
          <w:rFonts w:hint="eastAsia" w:ascii="宋体" w:hAnsi="宋体" w:cs="宋体"/>
          <w:sz w:val="24"/>
        </w:rPr>
        <w:t>监控区域画质要求高清达到1080P效果以上，</w:t>
      </w:r>
      <w:r>
        <w:rPr>
          <w:rFonts w:ascii="宋体" w:hAnsi="宋体" w:cs="宋体"/>
          <w:sz w:val="24"/>
        </w:rPr>
        <w:t>30</w:t>
      </w:r>
      <w:r>
        <w:rPr>
          <w:rFonts w:hint="eastAsia" w:ascii="宋体" w:hAnsi="宋体" w:cs="宋体"/>
          <w:sz w:val="24"/>
        </w:rPr>
        <w:t>帧/秒以上。实现30天24小时（高清4M码流以上）录像资料的存储，并且可以调用录像资料，做到可存储，可追溯</w:t>
      </w:r>
      <w:r>
        <w:rPr>
          <w:rFonts w:ascii="宋体" w:hAnsi="宋体" w:cs="宋体"/>
          <w:sz w:val="24"/>
        </w:rPr>
        <w:t>；</w:t>
      </w:r>
      <w:r>
        <w:rPr>
          <w:rFonts w:hint="eastAsia" w:ascii="宋体" w:hAnsi="宋体" w:cs="宋体"/>
          <w:sz w:val="24"/>
        </w:rPr>
        <w:t>卡口抓拍图片、</w:t>
      </w:r>
      <w:r>
        <w:rPr>
          <w:rFonts w:ascii="宋体" w:hAnsi="宋体" w:cs="宋体"/>
          <w:sz w:val="24"/>
        </w:rPr>
        <w:t>人脸抓拍图片、结构化相机抓拍图片</w:t>
      </w:r>
      <w:r>
        <w:rPr>
          <w:rFonts w:hint="eastAsia" w:ascii="宋体" w:hAnsi="宋体" w:cs="宋体"/>
          <w:sz w:val="24"/>
        </w:rPr>
        <w:t>长期保存（不少于6个月），且云存储系统需</w:t>
      </w:r>
      <w:r>
        <w:rPr>
          <w:rFonts w:hint="eastAsia" w:ascii="宋体" w:hAnsi="宋体" w:cs="宋体"/>
          <w:color w:val="000000"/>
          <w:kern w:val="0"/>
          <w:sz w:val="24"/>
        </w:rPr>
        <w:t>支持视音频、图片直接写入云存储系统无需经过服务器中转。</w:t>
      </w:r>
      <w:r>
        <w:rPr>
          <w:rFonts w:ascii="宋体" w:hAnsi="宋体" w:cs="宋体"/>
          <w:color w:val="000000"/>
          <w:kern w:val="0"/>
          <w:sz w:val="24"/>
        </w:rPr>
        <w:t>能够与原有云存储有效融合</w:t>
      </w:r>
      <w:r>
        <w:rPr>
          <w:rFonts w:hint="eastAsia" w:ascii="宋体" w:hAnsi="宋体" w:cs="宋体"/>
          <w:sz w:val="24"/>
        </w:rPr>
        <w:t>。</w:t>
      </w:r>
    </w:p>
    <w:p w14:paraId="39299896">
      <w:pPr>
        <w:spacing w:line="360" w:lineRule="auto"/>
        <w:ind w:firstLine="480" w:firstLineChars="200"/>
        <w:outlineLvl w:val="0"/>
        <w:rPr>
          <w:rFonts w:ascii="宋体" w:hAnsi="宋体" w:cs="宋体"/>
          <w:kern w:val="44"/>
          <w:sz w:val="24"/>
        </w:rPr>
      </w:pPr>
      <w:r>
        <w:rPr>
          <w:rFonts w:hint="eastAsia" w:ascii="宋体" w:hAnsi="宋体" w:cs="宋体"/>
          <w:kern w:val="44"/>
          <w:sz w:val="24"/>
        </w:rPr>
        <w:t>云存储设备性能要求：</w:t>
      </w:r>
    </w:p>
    <w:tbl>
      <w:tblPr>
        <w:tblStyle w:val="28"/>
        <w:tblW w:w="5000" w:type="pct"/>
        <w:tblInd w:w="0" w:type="dxa"/>
        <w:tblLayout w:type="autofit"/>
        <w:tblCellMar>
          <w:top w:w="0" w:type="dxa"/>
          <w:left w:w="108" w:type="dxa"/>
          <w:bottom w:w="0" w:type="dxa"/>
          <w:right w:w="108" w:type="dxa"/>
        </w:tblCellMar>
      </w:tblPr>
      <w:tblGrid>
        <w:gridCol w:w="1344"/>
        <w:gridCol w:w="7886"/>
      </w:tblGrid>
      <w:tr w14:paraId="0CDF104C">
        <w:tblPrEx>
          <w:tblCellMar>
            <w:top w:w="0" w:type="dxa"/>
            <w:left w:w="108" w:type="dxa"/>
            <w:bottom w:w="0" w:type="dxa"/>
            <w:right w:w="108" w:type="dxa"/>
          </w:tblCellMar>
        </w:tblPrEx>
        <w:trPr>
          <w:trHeight w:val="397" w:hRule="atLeast"/>
          <w:tblHeader/>
        </w:trPr>
        <w:tc>
          <w:tcPr>
            <w:tcW w:w="728" w:type="pct"/>
            <w:tcBorders>
              <w:top w:val="single" w:color="auto" w:sz="4" w:space="0"/>
              <w:left w:val="single" w:color="auto" w:sz="4" w:space="0"/>
              <w:bottom w:val="single" w:color="auto" w:sz="4" w:space="0"/>
              <w:right w:val="single" w:color="auto" w:sz="4" w:space="0"/>
            </w:tcBorders>
            <w:shd w:val="clear" w:color="000000" w:fill="FFFFFF"/>
            <w:vAlign w:val="center"/>
          </w:tcPr>
          <w:p w14:paraId="79A77BE0">
            <w:pPr>
              <w:keepNext w:val="0"/>
              <w:keepLines w:val="0"/>
              <w:widowControl/>
              <w:suppressLineNumbers w:val="0"/>
              <w:spacing w:before="0" w:beforeAutospacing="0" w:after="0" w:afterAutospacing="0"/>
              <w:ind w:left="0" w:right="0"/>
              <w:jc w:val="center"/>
              <w:rPr>
                <w:rFonts w:ascii="宋体" w:hAnsi="宋体" w:cs="宋体"/>
                <w:b/>
                <w:bCs/>
                <w:color w:val="000000"/>
                <w:kern w:val="0"/>
                <w:szCs w:val="21"/>
              </w:rPr>
            </w:pPr>
            <w:r>
              <w:rPr>
                <w:rFonts w:hint="eastAsia" w:ascii="宋体" w:hAnsi="宋体" w:cs="宋体"/>
                <w:b/>
                <w:bCs/>
                <w:color w:val="000000"/>
                <w:kern w:val="0"/>
                <w:szCs w:val="21"/>
              </w:rPr>
              <w:t>功能项</w:t>
            </w:r>
          </w:p>
        </w:tc>
        <w:tc>
          <w:tcPr>
            <w:tcW w:w="4272" w:type="pct"/>
            <w:tcBorders>
              <w:top w:val="single" w:color="auto" w:sz="4" w:space="0"/>
              <w:left w:val="nil"/>
              <w:bottom w:val="single" w:color="auto" w:sz="4" w:space="0"/>
              <w:right w:val="single" w:color="auto" w:sz="4" w:space="0"/>
            </w:tcBorders>
            <w:shd w:val="clear" w:color="000000" w:fill="FFFFFF"/>
            <w:vAlign w:val="center"/>
          </w:tcPr>
          <w:p w14:paraId="2DDB24AF">
            <w:pPr>
              <w:keepNext w:val="0"/>
              <w:keepLines w:val="0"/>
              <w:widowControl/>
              <w:suppressLineNumbers w:val="0"/>
              <w:spacing w:before="0" w:beforeAutospacing="0" w:after="0" w:afterAutospacing="0"/>
              <w:ind w:left="0" w:right="0"/>
              <w:jc w:val="center"/>
              <w:rPr>
                <w:rFonts w:ascii="宋体" w:hAnsi="宋体" w:cs="宋体"/>
                <w:b/>
                <w:bCs/>
                <w:color w:val="000000"/>
                <w:kern w:val="0"/>
                <w:szCs w:val="21"/>
              </w:rPr>
            </w:pPr>
            <w:r>
              <w:rPr>
                <w:rFonts w:hint="eastAsia" w:ascii="宋体" w:hAnsi="宋体" w:cs="宋体"/>
                <w:b/>
                <w:bCs/>
                <w:color w:val="000000"/>
                <w:kern w:val="0"/>
                <w:szCs w:val="21"/>
              </w:rPr>
              <w:t>功能说明</w:t>
            </w:r>
          </w:p>
        </w:tc>
      </w:tr>
      <w:tr w14:paraId="06EF9328">
        <w:tblPrEx>
          <w:tblCellMar>
            <w:top w:w="0" w:type="dxa"/>
            <w:left w:w="108" w:type="dxa"/>
            <w:bottom w:w="0" w:type="dxa"/>
            <w:right w:w="108" w:type="dxa"/>
          </w:tblCellMar>
        </w:tblPrEx>
        <w:trPr>
          <w:trHeight w:val="288"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9BE797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集群管理</w:t>
            </w:r>
          </w:p>
        </w:tc>
      </w:tr>
      <w:tr w14:paraId="18796EF7">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2EF0462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索引集群管理</w:t>
            </w:r>
          </w:p>
        </w:tc>
        <w:tc>
          <w:tcPr>
            <w:tcW w:w="4272" w:type="pct"/>
            <w:tcBorders>
              <w:top w:val="nil"/>
              <w:left w:val="nil"/>
              <w:bottom w:val="single" w:color="auto" w:sz="4" w:space="0"/>
              <w:right w:val="single" w:color="auto" w:sz="4" w:space="0"/>
            </w:tcBorders>
            <w:shd w:val="clear" w:color="000000" w:fill="FFFFFF"/>
            <w:vAlign w:val="center"/>
          </w:tcPr>
          <w:p w14:paraId="7C0E95E6">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视频录像索引采用集群方式，无单点故障，保证索引数据的安全性。</w:t>
            </w:r>
          </w:p>
        </w:tc>
      </w:tr>
      <w:tr w14:paraId="19974B8A">
        <w:tblPrEx>
          <w:tblCellMar>
            <w:top w:w="0" w:type="dxa"/>
            <w:left w:w="108" w:type="dxa"/>
            <w:bottom w:w="0" w:type="dxa"/>
            <w:right w:w="108" w:type="dxa"/>
          </w:tblCellMar>
        </w:tblPrEx>
        <w:trPr>
          <w:trHeight w:val="576" w:hRule="atLeast"/>
        </w:trPr>
        <w:tc>
          <w:tcPr>
            <w:tcW w:w="728" w:type="pct"/>
            <w:vMerge w:val="continue"/>
            <w:tcBorders>
              <w:top w:val="nil"/>
              <w:left w:val="single" w:color="auto" w:sz="4" w:space="0"/>
              <w:bottom w:val="single" w:color="auto" w:sz="4" w:space="0"/>
              <w:right w:val="single" w:color="auto" w:sz="4" w:space="0"/>
            </w:tcBorders>
            <w:vAlign w:val="center"/>
          </w:tcPr>
          <w:p w14:paraId="1883D5D0">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5A228AD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集群采用一级索引管理，能根据用户的各种查询条件(录像类型、锁定类型、报警类型、时间段等)进行快速定位。</w:t>
            </w:r>
          </w:p>
        </w:tc>
      </w:tr>
      <w:tr w14:paraId="0756024B">
        <w:tblPrEx>
          <w:tblCellMar>
            <w:top w:w="0" w:type="dxa"/>
            <w:left w:w="108" w:type="dxa"/>
            <w:bottom w:w="0" w:type="dxa"/>
            <w:right w:w="108" w:type="dxa"/>
          </w:tblCellMar>
        </w:tblPrEx>
        <w:trPr>
          <w:trHeight w:val="576"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24922B0C">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负载均衡管理</w:t>
            </w:r>
          </w:p>
        </w:tc>
        <w:tc>
          <w:tcPr>
            <w:tcW w:w="4272" w:type="pct"/>
            <w:tcBorders>
              <w:top w:val="nil"/>
              <w:left w:val="nil"/>
              <w:bottom w:val="single" w:color="auto" w:sz="4" w:space="0"/>
              <w:right w:val="single" w:color="auto" w:sz="4" w:space="0"/>
            </w:tcBorders>
            <w:shd w:val="clear" w:color="000000" w:fill="FFFFFF"/>
            <w:vAlign w:val="center"/>
          </w:tcPr>
          <w:p w14:paraId="156A652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集群前端采用虚拟IP技术，对外提供统一的入口IP形式，将集群的访问在集群中根据各种算法进行分摊，降低单个节点的访问压力。</w:t>
            </w:r>
          </w:p>
        </w:tc>
      </w:tr>
      <w:tr w14:paraId="44FFE5CF">
        <w:tblPrEx>
          <w:tblCellMar>
            <w:top w:w="0" w:type="dxa"/>
            <w:left w:w="108" w:type="dxa"/>
            <w:bottom w:w="0" w:type="dxa"/>
            <w:right w:w="108" w:type="dxa"/>
          </w:tblCellMar>
        </w:tblPrEx>
        <w:trPr>
          <w:trHeight w:val="576" w:hRule="atLeast"/>
        </w:trPr>
        <w:tc>
          <w:tcPr>
            <w:tcW w:w="728" w:type="pct"/>
            <w:vMerge w:val="continue"/>
            <w:tcBorders>
              <w:top w:val="nil"/>
              <w:left w:val="single" w:color="auto" w:sz="4" w:space="0"/>
              <w:bottom w:val="single" w:color="auto" w:sz="4" w:space="0"/>
              <w:right w:val="single" w:color="auto" w:sz="4" w:space="0"/>
            </w:tcBorders>
            <w:vAlign w:val="center"/>
          </w:tcPr>
          <w:p w14:paraId="409392AF">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1902E7EC">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后端存储节点压力进行实时监控，当单台存储节点压力过大时能根据智能算法将业务平滑迁移至其他存储节点，达到整个集群间负载均衡目的。</w:t>
            </w:r>
          </w:p>
        </w:tc>
      </w:tr>
      <w:tr w14:paraId="4D82914D">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0D6095FE">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虚拟化管理</w:t>
            </w:r>
          </w:p>
        </w:tc>
        <w:tc>
          <w:tcPr>
            <w:tcW w:w="4272" w:type="pct"/>
            <w:tcBorders>
              <w:top w:val="nil"/>
              <w:left w:val="nil"/>
              <w:bottom w:val="single" w:color="auto" w:sz="4" w:space="0"/>
              <w:right w:val="single" w:color="auto" w:sz="4" w:space="0"/>
            </w:tcBorders>
            <w:shd w:val="clear" w:color="000000" w:fill="FFFFFF"/>
            <w:vAlign w:val="center"/>
          </w:tcPr>
          <w:p w14:paraId="48A348D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支持将整个存储端统一管理，虚拟化为资源池，且将虚拟资源划分为块进行管理。</w:t>
            </w:r>
          </w:p>
        </w:tc>
      </w:tr>
      <w:tr w14:paraId="467256F3">
        <w:tblPrEx>
          <w:tblCellMar>
            <w:top w:w="0" w:type="dxa"/>
            <w:left w:w="108" w:type="dxa"/>
            <w:bottom w:w="0" w:type="dxa"/>
            <w:right w:w="108" w:type="dxa"/>
          </w:tblCellMar>
        </w:tblPrEx>
        <w:trPr>
          <w:trHeight w:val="576" w:hRule="atLeast"/>
        </w:trPr>
        <w:tc>
          <w:tcPr>
            <w:tcW w:w="728" w:type="pct"/>
            <w:vMerge w:val="continue"/>
            <w:tcBorders>
              <w:top w:val="nil"/>
              <w:left w:val="single" w:color="auto" w:sz="4" w:space="0"/>
              <w:bottom w:val="single" w:color="auto" w:sz="4" w:space="0"/>
              <w:right w:val="single" w:color="auto" w:sz="4" w:space="0"/>
            </w:tcBorders>
            <w:vAlign w:val="center"/>
          </w:tcPr>
          <w:p w14:paraId="24F6D43F">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21EE9A08">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对用户重要数据，通过虚拟块之间的相互复制技术，达到多份备份目的。使用户数据处于长期在线状态</w:t>
            </w:r>
          </w:p>
        </w:tc>
      </w:tr>
      <w:tr w14:paraId="2DFD27E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4FA5F37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自动精简管理</w:t>
            </w:r>
          </w:p>
        </w:tc>
        <w:tc>
          <w:tcPr>
            <w:tcW w:w="4272" w:type="pct"/>
            <w:tcBorders>
              <w:top w:val="nil"/>
              <w:left w:val="nil"/>
              <w:bottom w:val="single" w:color="auto" w:sz="4" w:space="0"/>
              <w:right w:val="single" w:color="auto" w:sz="4" w:space="0"/>
            </w:tcBorders>
            <w:shd w:val="clear" w:color="000000" w:fill="FFFFFF"/>
            <w:vAlign w:val="center"/>
          </w:tcPr>
          <w:p w14:paraId="1070318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集群内部将不同类型存储设备接入，对外提供统一接口控制。</w:t>
            </w:r>
          </w:p>
        </w:tc>
      </w:tr>
      <w:tr w14:paraId="49197A90">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1498AF0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分散存储管理</w:t>
            </w:r>
          </w:p>
        </w:tc>
        <w:tc>
          <w:tcPr>
            <w:tcW w:w="4272" w:type="pct"/>
            <w:tcBorders>
              <w:top w:val="nil"/>
              <w:left w:val="nil"/>
              <w:bottom w:val="single" w:color="auto" w:sz="4" w:space="0"/>
              <w:right w:val="single" w:color="auto" w:sz="4" w:space="0"/>
            </w:tcBorders>
            <w:shd w:val="clear" w:color="000000" w:fill="FFFFFF"/>
            <w:vAlign w:val="center"/>
          </w:tcPr>
          <w:p w14:paraId="5F899E4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将前端数据通过特定算法，平滑分散至各个存储几点，从而降低大量回放对单台存储节点的压力。</w:t>
            </w:r>
          </w:p>
        </w:tc>
      </w:tr>
      <w:tr w14:paraId="4CCC2116">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7E2C0208">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分布式数据库</w:t>
            </w:r>
          </w:p>
        </w:tc>
        <w:tc>
          <w:tcPr>
            <w:tcW w:w="4272" w:type="pct"/>
            <w:tcBorders>
              <w:top w:val="nil"/>
              <w:left w:val="nil"/>
              <w:bottom w:val="single" w:color="auto" w:sz="4" w:space="0"/>
              <w:right w:val="single" w:color="auto" w:sz="4" w:space="0"/>
            </w:tcBorders>
            <w:shd w:val="clear" w:color="000000" w:fill="FFFFFF"/>
            <w:vAlign w:val="center"/>
          </w:tcPr>
          <w:p w14:paraId="68BAD08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索引服务器采用分布式数据库，保证索引数据的安全性。</w:t>
            </w:r>
          </w:p>
        </w:tc>
      </w:tr>
      <w:tr w14:paraId="28EADF59">
        <w:tblPrEx>
          <w:tblCellMar>
            <w:top w:w="0" w:type="dxa"/>
            <w:left w:w="108" w:type="dxa"/>
            <w:bottom w:w="0" w:type="dxa"/>
            <w:right w:w="108" w:type="dxa"/>
          </w:tblCellMar>
        </w:tblPrEx>
        <w:trPr>
          <w:trHeight w:val="288"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753949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视频功能</w:t>
            </w:r>
          </w:p>
        </w:tc>
      </w:tr>
      <w:tr w14:paraId="65527229">
        <w:tblPrEx>
          <w:tblCellMar>
            <w:top w:w="0" w:type="dxa"/>
            <w:left w:w="108" w:type="dxa"/>
            <w:bottom w:w="0" w:type="dxa"/>
            <w:right w:w="108" w:type="dxa"/>
          </w:tblCellMar>
        </w:tblPrEx>
        <w:trPr>
          <w:trHeight w:val="576"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06FA4E8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视频录像</w:t>
            </w:r>
          </w:p>
        </w:tc>
        <w:tc>
          <w:tcPr>
            <w:tcW w:w="4272" w:type="pct"/>
            <w:tcBorders>
              <w:top w:val="nil"/>
              <w:left w:val="nil"/>
              <w:bottom w:val="single" w:color="auto" w:sz="4" w:space="0"/>
              <w:right w:val="single" w:color="auto" w:sz="4" w:space="0"/>
            </w:tcBorders>
            <w:shd w:val="clear" w:color="000000" w:fill="FFFFFF"/>
            <w:vAlign w:val="center"/>
          </w:tcPr>
          <w:p w14:paraId="3049956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系统可以按照用户制定的计划保存前端设备采集的录像数据，录像类型、录像头由用户指定，存储开启相关的资源。</w:t>
            </w:r>
          </w:p>
        </w:tc>
      </w:tr>
      <w:tr w14:paraId="51D883FA">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34D0554E">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3479946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补录：断网等条件下，前端设备能够将本地保存的数据补录到系统中。</w:t>
            </w:r>
          </w:p>
        </w:tc>
      </w:tr>
      <w:tr w14:paraId="0CBE2FB3">
        <w:tblPrEx>
          <w:tblCellMar>
            <w:top w:w="0" w:type="dxa"/>
            <w:left w:w="108" w:type="dxa"/>
            <w:bottom w:w="0" w:type="dxa"/>
            <w:right w:w="108" w:type="dxa"/>
          </w:tblCellMar>
        </w:tblPrEx>
        <w:trPr>
          <w:trHeight w:val="576" w:hRule="atLeast"/>
        </w:trPr>
        <w:tc>
          <w:tcPr>
            <w:tcW w:w="728" w:type="pct"/>
            <w:vMerge w:val="continue"/>
            <w:tcBorders>
              <w:top w:val="nil"/>
              <w:left w:val="single" w:color="auto" w:sz="4" w:space="0"/>
              <w:bottom w:val="single" w:color="auto" w:sz="4" w:space="0"/>
              <w:right w:val="single" w:color="auto" w:sz="4" w:space="0"/>
            </w:tcBorders>
            <w:vAlign w:val="center"/>
          </w:tcPr>
          <w:p w14:paraId="79D21EF3">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796C3DD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动态修订录像类型：前端采集视频数据过程中，按报警类型可以修改录像的类型，修改后采集的视频数据即时保存到系统中，并在数据保存类型上得到反映。</w:t>
            </w:r>
          </w:p>
        </w:tc>
      </w:tr>
      <w:tr w14:paraId="10154B1C">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6C78D732">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160FB45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周期覆盖：系统保存的历史录像数据可以按照指定的循环覆盖策略进行删除。</w:t>
            </w:r>
          </w:p>
        </w:tc>
      </w:tr>
      <w:tr w14:paraId="5B06629B">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FD7CF5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视频检索</w:t>
            </w:r>
          </w:p>
        </w:tc>
        <w:tc>
          <w:tcPr>
            <w:tcW w:w="4272" w:type="pct"/>
            <w:tcBorders>
              <w:top w:val="nil"/>
              <w:left w:val="nil"/>
              <w:bottom w:val="single" w:color="auto" w:sz="4" w:space="0"/>
              <w:right w:val="single" w:color="auto" w:sz="4" w:space="0"/>
            </w:tcBorders>
            <w:shd w:val="clear" w:color="000000" w:fill="FFFFFF"/>
            <w:vAlign w:val="center"/>
          </w:tcPr>
          <w:p w14:paraId="08F49ED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用户可以按监控点编号、录像类型、时间组合、锁定、标注等条件查询录像数据。</w:t>
            </w:r>
          </w:p>
        </w:tc>
      </w:tr>
      <w:tr w14:paraId="3957349D">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70EF53B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视频回放</w:t>
            </w:r>
          </w:p>
        </w:tc>
        <w:tc>
          <w:tcPr>
            <w:tcW w:w="4272" w:type="pct"/>
            <w:tcBorders>
              <w:top w:val="nil"/>
              <w:left w:val="nil"/>
              <w:bottom w:val="single" w:color="auto" w:sz="4" w:space="0"/>
              <w:right w:val="single" w:color="auto" w:sz="4" w:space="0"/>
            </w:tcBorders>
            <w:shd w:val="clear" w:color="000000" w:fill="FFFFFF"/>
            <w:vAlign w:val="center"/>
          </w:tcPr>
          <w:p w14:paraId="36A8E46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支持根据编码器名称以及时间段、录像类型对录像数据进行回放。</w:t>
            </w:r>
          </w:p>
        </w:tc>
      </w:tr>
      <w:tr w14:paraId="366CFFB0">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12DB2748">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7E2D427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支持根据编码器名称以及时间段对录像数据进行回放时间定位。</w:t>
            </w:r>
          </w:p>
        </w:tc>
      </w:tr>
      <w:tr w14:paraId="1FEB2F01">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53016723">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4E426794">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支持快放、慢放。</w:t>
            </w:r>
          </w:p>
        </w:tc>
      </w:tr>
      <w:tr w14:paraId="60E6FC5C">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53797A73">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4083227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支持倒序回放。</w:t>
            </w:r>
          </w:p>
        </w:tc>
      </w:tr>
      <w:tr w14:paraId="5E44E7DE">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138F991C">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5AE17904">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支持I帧回放。</w:t>
            </w:r>
          </w:p>
        </w:tc>
      </w:tr>
      <w:tr w14:paraId="3AAFB0A7">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1C6CECFA">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61F33A18">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支持手动停止回放。</w:t>
            </w:r>
          </w:p>
        </w:tc>
      </w:tr>
      <w:tr w14:paraId="664C5825">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1735298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视频下载</w:t>
            </w:r>
          </w:p>
        </w:tc>
        <w:tc>
          <w:tcPr>
            <w:tcW w:w="4272" w:type="pct"/>
            <w:tcBorders>
              <w:top w:val="nil"/>
              <w:left w:val="nil"/>
              <w:bottom w:val="single" w:color="auto" w:sz="4" w:space="0"/>
              <w:right w:val="single" w:color="auto" w:sz="4" w:space="0"/>
            </w:tcBorders>
            <w:shd w:val="clear" w:color="000000" w:fill="FFFFFF"/>
            <w:vAlign w:val="center"/>
          </w:tcPr>
          <w:p w14:paraId="0B1CD29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支持根据编码器名称以及时间段对录像数据进行下载。</w:t>
            </w:r>
          </w:p>
        </w:tc>
      </w:tr>
      <w:tr w14:paraId="1A1E3C02">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60BDC5C9">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2B673A85">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支持断点续传。</w:t>
            </w:r>
          </w:p>
        </w:tc>
      </w:tr>
      <w:tr w14:paraId="2A3C3ED6">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1C7401E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视频锁定</w:t>
            </w:r>
          </w:p>
        </w:tc>
        <w:tc>
          <w:tcPr>
            <w:tcW w:w="4272" w:type="pct"/>
            <w:tcBorders>
              <w:top w:val="nil"/>
              <w:left w:val="nil"/>
              <w:bottom w:val="single" w:color="auto" w:sz="4" w:space="0"/>
              <w:right w:val="single" w:color="auto" w:sz="4" w:space="0"/>
            </w:tcBorders>
            <w:shd w:val="clear" w:color="000000" w:fill="FFFFFF"/>
            <w:vAlign w:val="center"/>
          </w:tcPr>
          <w:p w14:paraId="3176D4B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支持指定的录像片段进行锁定，锁定后的数据不被循环覆盖掉。</w:t>
            </w:r>
          </w:p>
        </w:tc>
      </w:tr>
      <w:tr w14:paraId="696B64C9">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7C28AEEB">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2B4C8829">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支持已锁定的录像片段锁定时长到期自动解锁。</w:t>
            </w:r>
          </w:p>
        </w:tc>
      </w:tr>
      <w:tr w14:paraId="744D1D18">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5595C6E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视频删除</w:t>
            </w:r>
          </w:p>
        </w:tc>
        <w:tc>
          <w:tcPr>
            <w:tcW w:w="4272" w:type="pct"/>
            <w:tcBorders>
              <w:top w:val="nil"/>
              <w:left w:val="nil"/>
              <w:bottom w:val="single" w:color="auto" w:sz="4" w:space="0"/>
              <w:right w:val="single" w:color="auto" w:sz="4" w:space="0"/>
            </w:tcBorders>
            <w:shd w:val="clear" w:color="000000" w:fill="FFFFFF"/>
            <w:vAlign w:val="center"/>
          </w:tcPr>
          <w:p w14:paraId="05EDEDE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支持根据监控点编号、录像时间、录像类型删除视频录像。</w:t>
            </w:r>
          </w:p>
        </w:tc>
      </w:tr>
      <w:tr w14:paraId="15756F7D">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250DD96E">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周期存储</w:t>
            </w:r>
          </w:p>
        </w:tc>
        <w:tc>
          <w:tcPr>
            <w:tcW w:w="4272" w:type="pct"/>
            <w:tcBorders>
              <w:top w:val="nil"/>
              <w:left w:val="nil"/>
              <w:bottom w:val="single" w:color="auto" w:sz="4" w:space="0"/>
              <w:right w:val="single" w:color="auto" w:sz="4" w:space="0"/>
            </w:tcBorders>
            <w:shd w:val="clear" w:color="000000" w:fill="FFFFFF"/>
            <w:vAlign w:val="center"/>
          </w:tcPr>
          <w:p w14:paraId="31C1D7EE">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按策略支持按周期、容量进行录像数据的周期覆盖式存储。</w:t>
            </w:r>
          </w:p>
        </w:tc>
      </w:tr>
      <w:tr w14:paraId="5598F85C">
        <w:tblPrEx>
          <w:tblCellMar>
            <w:top w:w="0" w:type="dxa"/>
            <w:left w:w="108" w:type="dxa"/>
            <w:bottom w:w="0" w:type="dxa"/>
            <w:right w:w="108" w:type="dxa"/>
          </w:tblCellMar>
        </w:tblPrEx>
        <w:trPr>
          <w:trHeight w:val="288"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FD8878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图片功能</w:t>
            </w:r>
          </w:p>
        </w:tc>
      </w:tr>
      <w:tr w14:paraId="67ECB2E8">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7CBCC4F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图片写入</w:t>
            </w:r>
          </w:p>
        </w:tc>
        <w:tc>
          <w:tcPr>
            <w:tcW w:w="4272" w:type="pct"/>
            <w:tcBorders>
              <w:top w:val="nil"/>
              <w:left w:val="nil"/>
              <w:bottom w:val="single" w:color="auto" w:sz="4" w:space="0"/>
              <w:right w:val="single" w:color="auto" w:sz="4" w:space="0"/>
            </w:tcBorders>
            <w:shd w:val="clear" w:color="000000" w:fill="FFFFFF"/>
            <w:vAlign w:val="center"/>
          </w:tcPr>
          <w:p w14:paraId="2609A3EE">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支持按照用户制定的计划保存前端设备采集的图片数据</w:t>
            </w:r>
          </w:p>
        </w:tc>
      </w:tr>
      <w:tr w14:paraId="0B1E1E04">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33C7A73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图片下载</w:t>
            </w:r>
          </w:p>
        </w:tc>
        <w:tc>
          <w:tcPr>
            <w:tcW w:w="4272" w:type="pct"/>
            <w:tcBorders>
              <w:top w:val="nil"/>
              <w:left w:val="nil"/>
              <w:bottom w:val="single" w:color="auto" w:sz="4" w:space="0"/>
              <w:right w:val="single" w:color="auto" w:sz="4" w:space="0"/>
            </w:tcBorders>
            <w:shd w:val="clear" w:color="000000" w:fill="FFFFFF"/>
            <w:vAlign w:val="center"/>
          </w:tcPr>
          <w:p w14:paraId="1328089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支持按时间段下载图片。</w:t>
            </w:r>
          </w:p>
        </w:tc>
      </w:tr>
      <w:tr w14:paraId="19E128EA">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5F01D74C">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162AA40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支持http的URL方式下载图片。</w:t>
            </w:r>
          </w:p>
        </w:tc>
      </w:tr>
      <w:tr w14:paraId="0CCF8B3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23CDF18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图片压缩</w:t>
            </w:r>
          </w:p>
        </w:tc>
        <w:tc>
          <w:tcPr>
            <w:tcW w:w="4272" w:type="pct"/>
            <w:tcBorders>
              <w:top w:val="nil"/>
              <w:left w:val="nil"/>
              <w:bottom w:val="single" w:color="auto" w:sz="4" w:space="0"/>
              <w:right w:val="single" w:color="auto" w:sz="4" w:space="0"/>
            </w:tcBorders>
            <w:shd w:val="clear" w:color="000000" w:fill="FFFFFF"/>
            <w:vAlign w:val="center"/>
          </w:tcPr>
          <w:p w14:paraId="0409FE48">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支持图片大小压缩和尺寸缩放。</w:t>
            </w:r>
          </w:p>
        </w:tc>
      </w:tr>
      <w:tr w14:paraId="23F19AB2">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362C54A9">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图片锁定</w:t>
            </w:r>
          </w:p>
        </w:tc>
        <w:tc>
          <w:tcPr>
            <w:tcW w:w="4272" w:type="pct"/>
            <w:tcBorders>
              <w:top w:val="nil"/>
              <w:left w:val="nil"/>
              <w:bottom w:val="single" w:color="auto" w:sz="4" w:space="0"/>
              <w:right w:val="single" w:color="auto" w:sz="4" w:space="0"/>
            </w:tcBorders>
            <w:shd w:val="clear" w:color="000000" w:fill="FFFFFF"/>
            <w:vAlign w:val="center"/>
          </w:tcPr>
          <w:p w14:paraId="3108AA5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支持指定的录像片段进行锁定，锁定后的数据不被循环覆盖掉。</w:t>
            </w:r>
          </w:p>
        </w:tc>
      </w:tr>
      <w:tr w14:paraId="02D03015">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150DE0E2">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1C90D5B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支持已锁定的录像片段锁定时长到期自动解锁。</w:t>
            </w:r>
          </w:p>
        </w:tc>
      </w:tr>
      <w:tr w14:paraId="2EDF8FEE">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46580B59">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图片删除</w:t>
            </w:r>
          </w:p>
        </w:tc>
        <w:tc>
          <w:tcPr>
            <w:tcW w:w="4272" w:type="pct"/>
            <w:tcBorders>
              <w:top w:val="nil"/>
              <w:left w:val="nil"/>
              <w:bottom w:val="single" w:color="auto" w:sz="4" w:space="0"/>
              <w:right w:val="single" w:color="auto" w:sz="4" w:space="0"/>
            </w:tcBorders>
            <w:shd w:val="clear" w:color="000000" w:fill="FFFFFF"/>
            <w:vAlign w:val="center"/>
          </w:tcPr>
          <w:p w14:paraId="37BBEE9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支持单张图片URL方式删除。</w:t>
            </w:r>
          </w:p>
        </w:tc>
      </w:tr>
      <w:tr w14:paraId="03DEFB94">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7CC1CC40">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5981F4B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支持按照时间段删除图片。</w:t>
            </w:r>
          </w:p>
        </w:tc>
      </w:tr>
      <w:tr w14:paraId="70D35D3C">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5C2D620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周期覆盖</w:t>
            </w:r>
          </w:p>
        </w:tc>
        <w:tc>
          <w:tcPr>
            <w:tcW w:w="4272" w:type="pct"/>
            <w:tcBorders>
              <w:top w:val="nil"/>
              <w:left w:val="nil"/>
              <w:bottom w:val="single" w:color="auto" w:sz="4" w:space="0"/>
              <w:right w:val="single" w:color="auto" w:sz="4" w:space="0"/>
            </w:tcBorders>
            <w:shd w:val="clear" w:color="000000" w:fill="FFFFFF"/>
            <w:vAlign w:val="center"/>
          </w:tcPr>
          <w:p w14:paraId="7B27432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按策略支持按周期、容量进行图片数据的周期覆盖式存储。</w:t>
            </w:r>
          </w:p>
        </w:tc>
      </w:tr>
      <w:tr w14:paraId="7E67A296">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A201A4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http访问</w:t>
            </w:r>
          </w:p>
        </w:tc>
        <w:tc>
          <w:tcPr>
            <w:tcW w:w="4272" w:type="pct"/>
            <w:tcBorders>
              <w:top w:val="nil"/>
              <w:left w:val="nil"/>
              <w:bottom w:val="single" w:color="auto" w:sz="4" w:space="0"/>
              <w:right w:val="single" w:color="auto" w:sz="4" w:space="0"/>
            </w:tcBorders>
            <w:shd w:val="clear" w:color="000000" w:fill="FFFFFF"/>
            <w:vAlign w:val="center"/>
          </w:tcPr>
          <w:p w14:paraId="61E75DF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支持用户使用浏览器直接查看图片。</w:t>
            </w:r>
          </w:p>
        </w:tc>
      </w:tr>
      <w:tr w14:paraId="5156A07D">
        <w:tblPrEx>
          <w:tblCellMar>
            <w:top w:w="0" w:type="dxa"/>
            <w:left w:w="108" w:type="dxa"/>
            <w:bottom w:w="0" w:type="dxa"/>
            <w:right w:w="108" w:type="dxa"/>
          </w:tblCellMar>
        </w:tblPrEx>
        <w:trPr>
          <w:trHeight w:val="288"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C3FC40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运维管理</w:t>
            </w:r>
          </w:p>
        </w:tc>
      </w:tr>
      <w:tr w14:paraId="20E757E5">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6475F17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系统信息获取</w:t>
            </w:r>
          </w:p>
        </w:tc>
        <w:tc>
          <w:tcPr>
            <w:tcW w:w="4272" w:type="pct"/>
            <w:tcBorders>
              <w:top w:val="nil"/>
              <w:left w:val="nil"/>
              <w:bottom w:val="single" w:color="auto" w:sz="4" w:space="0"/>
              <w:right w:val="single" w:color="auto" w:sz="4" w:space="0"/>
            </w:tcBorders>
            <w:shd w:val="clear" w:color="000000" w:fill="FFFFFF"/>
            <w:vAlign w:val="center"/>
          </w:tcPr>
          <w:p w14:paraId="52A287C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支持系统信息：版本、CPU、内存、网卡、磁盘等信息的获取。</w:t>
            </w:r>
          </w:p>
        </w:tc>
      </w:tr>
      <w:tr w14:paraId="5C306758">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225D1F3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系统故障告警</w:t>
            </w:r>
          </w:p>
        </w:tc>
        <w:tc>
          <w:tcPr>
            <w:tcW w:w="4272" w:type="pct"/>
            <w:tcBorders>
              <w:top w:val="nil"/>
              <w:left w:val="nil"/>
              <w:bottom w:val="single" w:color="auto" w:sz="4" w:space="0"/>
              <w:right w:val="single" w:color="auto" w:sz="4" w:space="0"/>
            </w:tcBorders>
            <w:shd w:val="clear" w:color="000000" w:fill="FFFFFF"/>
            <w:vAlign w:val="center"/>
          </w:tcPr>
          <w:p w14:paraId="14132CE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支持系统故障(CPU、内存等超过阈值)主动告警到运维平台。</w:t>
            </w:r>
          </w:p>
        </w:tc>
      </w:tr>
      <w:tr w14:paraId="5647B271">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692E97D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存储设备告警</w:t>
            </w:r>
          </w:p>
        </w:tc>
        <w:tc>
          <w:tcPr>
            <w:tcW w:w="4272" w:type="pct"/>
            <w:tcBorders>
              <w:top w:val="nil"/>
              <w:left w:val="nil"/>
              <w:bottom w:val="single" w:color="auto" w:sz="4" w:space="0"/>
              <w:right w:val="single" w:color="auto" w:sz="4" w:space="0"/>
            </w:tcBorders>
            <w:shd w:val="clear" w:color="000000" w:fill="FFFFFF"/>
            <w:vAlign w:val="center"/>
          </w:tcPr>
          <w:p w14:paraId="250A3C4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支持设备故障、掉线主动告警到运维平台。</w:t>
            </w:r>
          </w:p>
        </w:tc>
      </w:tr>
      <w:tr w14:paraId="6D3F5AB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7A2E198E">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标准协议对接</w:t>
            </w:r>
          </w:p>
        </w:tc>
        <w:tc>
          <w:tcPr>
            <w:tcW w:w="4272" w:type="pct"/>
            <w:tcBorders>
              <w:top w:val="nil"/>
              <w:left w:val="nil"/>
              <w:bottom w:val="single" w:color="auto" w:sz="4" w:space="0"/>
              <w:right w:val="single" w:color="auto" w:sz="4" w:space="0"/>
            </w:tcBorders>
            <w:shd w:val="clear" w:color="000000" w:fill="FFFFFF"/>
            <w:vAlign w:val="center"/>
          </w:tcPr>
          <w:p w14:paraId="2CFEA18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支持标准的SNMP协议对接，采用Mibs文件。</w:t>
            </w:r>
          </w:p>
        </w:tc>
      </w:tr>
      <w:tr w14:paraId="73D56A30">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78B541D0">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接口功能</w:t>
            </w:r>
          </w:p>
        </w:tc>
        <w:tc>
          <w:tcPr>
            <w:tcW w:w="4272" w:type="pct"/>
            <w:tcBorders>
              <w:top w:val="nil"/>
              <w:left w:val="nil"/>
              <w:bottom w:val="single" w:color="auto" w:sz="4" w:space="0"/>
              <w:right w:val="single" w:color="auto" w:sz="4" w:space="0"/>
            </w:tcBorders>
            <w:shd w:val="clear" w:color="000000" w:fill="FFFFFF"/>
            <w:vAlign w:val="center"/>
          </w:tcPr>
          <w:p w14:paraId="5A8FD4B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　</w:t>
            </w:r>
          </w:p>
        </w:tc>
      </w:tr>
      <w:tr w14:paraId="626FFF97">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490415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云认证接口</w:t>
            </w:r>
          </w:p>
        </w:tc>
        <w:tc>
          <w:tcPr>
            <w:tcW w:w="4272" w:type="pct"/>
            <w:tcBorders>
              <w:top w:val="nil"/>
              <w:left w:val="nil"/>
              <w:bottom w:val="single" w:color="auto" w:sz="4" w:space="0"/>
              <w:right w:val="single" w:color="auto" w:sz="4" w:space="0"/>
            </w:tcBorders>
            <w:shd w:val="clear" w:color="000000" w:fill="FFFFFF"/>
            <w:vAlign w:val="center"/>
          </w:tcPr>
          <w:p w14:paraId="64749ED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视频云存储对外提供登陆、认证接口，保证系统安全性。</w:t>
            </w:r>
          </w:p>
        </w:tc>
      </w:tr>
      <w:tr w14:paraId="0BF53236">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1E225584">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视频存储接口</w:t>
            </w:r>
          </w:p>
        </w:tc>
        <w:tc>
          <w:tcPr>
            <w:tcW w:w="4272" w:type="pct"/>
            <w:tcBorders>
              <w:top w:val="nil"/>
              <w:left w:val="nil"/>
              <w:bottom w:val="single" w:color="auto" w:sz="4" w:space="0"/>
              <w:right w:val="single" w:color="auto" w:sz="4" w:space="0"/>
            </w:tcBorders>
            <w:shd w:val="clear" w:color="000000" w:fill="FFFFFF"/>
            <w:vAlign w:val="center"/>
          </w:tcPr>
          <w:p w14:paraId="1E7D8998">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提供统一的视频存储相关的接口：视频写入、视频检、索视频下载、视频回放等。</w:t>
            </w:r>
          </w:p>
        </w:tc>
      </w:tr>
      <w:tr w14:paraId="6B76D43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29F78626">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视频管理接口</w:t>
            </w:r>
          </w:p>
        </w:tc>
        <w:tc>
          <w:tcPr>
            <w:tcW w:w="4272" w:type="pct"/>
            <w:tcBorders>
              <w:top w:val="nil"/>
              <w:left w:val="nil"/>
              <w:bottom w:val="single" w:color="auto" w:sz="4" w:space="0"/>
              <w:right w:val="single" w:color="auto" w:sz="4" w:space="0"/>
            </w:tcBorders>
            <w:shd w:val="clear" w:color="000000" w:fill="FFFFFF"/>
            <w:vAlign w:val="center"/>
          </w:tcPr>
          <w:p w14:paraId="36975B2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提供统一的视频管理相关的接口：视频锁定、解锁、删除等。</w:t>
            </w:r>
          </w:p>
        </w:tc>
      </w:tr>
      <w:tr w14:paraId="72426D70">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520730C">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图片存储接口</w:t>
            </w:r>
          </w:p>
        </w:tc>
        <w:tc>
          <w:tcPr>
            <w:tcW w:w="4272" w:type="pct"/>
            <w:tcBorders>
              <w:top w:val="nil"/>
              <w:left w:val="nil"/>
              <w:bottom w:val="single" w:color="auto" w:sz="4" w:space="0"/>
              <w:right w:val="single" w:color="auto" w:sz="4" w:space="0"/>
            </w:tcBorders>
            <w:shd w:val="clear" w:color="000000" w:fill="FFFFFF"/>
            <w:vAlign w:val="center"/>
          </w:tcPr>
          <w:p w14:paraId="3378BBF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提供统一的图片存储相关的接口：图片写入、图片下载等。</w:t>
            </w:r>
          </w:p>
        </w:tc>
      </w:tr>
      <w:tr w14:paraId="74B1235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3A21FE2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图片管理接口</w:t>
            </w:r>
          </w:p>
        </w:tc>
        <w:tc>
          <w:tcPr>
            <w:tcW w:w="4272" w:type="pct"/>
            <w:tcBorders>
              <w:top w:val="nil"/>
              <w:left w:val="nil"/>
              <w:bottom w:val="single" w:color="auto" w:sz="4" w:space="0"/>
              <w:right w:val="single" w:color="auto" w:sz="4" w:space="0"/>
            </w:tcBorders>
            <w:shd w:val="clear" w:color="000000" w:fill="FFFFFF"/>
            <w:vAlign w:val="center"/>
          </w:tcPr>
          <w:p w14:paraId="316A95B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提供统一的图片管理相关的接口：视频锁定、解锁、删除等。</w:t>
            </w:r>
          </w:p>
        </w:tc>
      </w:tr>
      <w:tr w14:paraId="49525A01">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988EE2D">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存储空间管理</w:t>
            </w:r>
          </w:p>
        </w:tc>
        <w:tc>
          <w:tcPr>
            <w:tcW w:w="4272" w:type="pct"/>
            <w:tcBorders>
              <w:top w:val="nil"/>
              <w:left w:val="nil"/>
              <w:bottom w:val="single" w:color="auto" w:sz="4" w:space="0"/>
              <w:right w:val="single" w:color="auto" w:sz="4" w:space="0"/>
            </w:tcBorders>
            <w:shd w:val="clear" w:color="000000" w:fill="FFFFFF"/>
            <w:vAlign w:val="center"/>
          </w:tcPr>
          <w:p w14:paraId="5BD5F09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提供统一的图片管理相关的接口：创建/删除/修订资源池。</w:t>
            </w:r>
          </w:p>
        </w:tc>
      </w:tr>
      <w:tr w14:paraId="4829FF46">
        <w:tblPrEx>
          <w:tblCellMar>
            <w:top w:w="0" w:type="dxa"/>
            <w:left w:w="108" w:type="dxa"/>
            <w:bottom w:w="0" w:type="dxa"/>
            <w:right w:w="108" w:type="dxa"/>
          </w:tblCellMar>
        </w:tblPrEx>
        <w:trPr>
          <w:trHeight w:val="288"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BC9BF2">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系统功能</w:t>
            </w:r>
          </w:p>
        </w:tc>
      </w:tr>
      <w:tr w14:paraId="21FBBAC9">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031F451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远程配置</w:t>
            </w:r>
          </w:p>
        </w:tc>
        <w:tc>
          <w:tcPr>
            <w:tcW w:w="4272" w:type="pct"/>
            <w:tcBorders>
              <w:top w:val="nil"/>
              <w:left w:val="nil"/>
              <w:bottom w:val="single" w:color="auto" w:sz="4" w:space="0"/>
              <w:right w:val="single" w:color="auto" w:sz="4" w:space="0"/>
            </w:tcBorders>
            <w:shd w:val="clear" w:color="000000" w:fill="FFFFFF"/>
            <w:vAlign w:val="center"/>
          </w:tcPr>
          <w:p w14:paraId="33746AB5">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通过web管理界面，用户可完成节点的初始化配置。</w:t>
            </w:r>
          </w:p>
        </w:tc>
      </w:tr>
      <w:tr w14:paraId="3E1CCD73">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596D5269">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可靠性</w:t>
            </w:r>
          </w:p>
        </w:tc>
        <w:tc>
          <w:tcPr>
            <w:tcW w:w="4272" w:type="pct"/>
            <w:tcBorders>
              <w:top w:val="nil"/>
              <w:left w:val="nil"/>
              <w:bottom w:val="single" w:color="auto" w:sz="4" w:space="0"/>
              <w:right w:val="single" w:color="auto" w:sz="4" w:space="0"/>
            </w:tcBorders>
            <w:shd w:val="clear" w:color="000000" w:fill="FFFFFF"/>
            <w:vAlign w:val="center"/>
          </w:tcPr>
          <w:p w14:paraId="1D052DD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系统可以提供7*24小时不间断的服务，不会因系统内部分服务器宕机，造成系统服务中断。</w:t>
            </w:r>
          </w:p>
        </w:tc>
      </w:tr>
      <w:tr w14:paraId="63A9AF0C">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65231705">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460721DF">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管理服务器采用集群方案保证系统的稳定性。</w:t>
            </w:r>
          </w:p>
        </w:tc>
      </w:tr>
      <w:tr w14:paraId="19D96B05">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0A056D0C">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0A2E8049">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单节点故障不影响系统业务的持续性。</w:t>
            </w:r>
          </w:p>
        </w:tc>
      </w:tr>
      <w:tr w14:paraId="415EC890">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30D8F5CB">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可用性</w:t>
            </w:r>
          </w:p>
        </w:tc>
        <w:tc>
          <w:tcPr>
            <w:tcW w:w="4272" w:type="pct"/>
            <w:tcBorders>
              <w:top w:val="nil"/>
              <w:left w:val="nil"/>
              <w:bottom w:val="single" w:color="auto" w:sz="4" w:space="0"/>
              <w:right w:val="single" w:color="auto" w:sz="4" w:space="0"/>
            </w:tcBorders>
            <w:shd w:val="clear" w:color="000000" w:fill="FFFFFF"/>
            <w:vAlign w:val="center"/>
          </w:tcPr>
          <w:p w14:paraId="4A1C9751">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历史视频图像的点击回放的延迟时间小于1s，图像无卡顿现象，播放清晰、流畅。</w:t>
            </w:r>
          </w:p>
        </w:tc>
      </w:tr>
      <w:tr w14:paraId="1C573E5A">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310ABAAF">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5C1299C3">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视频数据检索秒级响应。</w:t>
            </w:r>
          </w:p>
        </w:tc>
      </w:tr>
      <w:tr w14:paraId="0545BDE4">
        <w:tblPrEx>
          <w:tblCellMar>
            <w:top w:w="0" w:type="dxa"/>
            <w:left w:w="108" w:type="dxa"/>
            <w:bottom w:w="0" w:type="dxa"/>
            <w:right w:w="108" w:type="dxa"/>
          </w:tblCellMar>
        </w:tblPrEx>
        <w:trPr>
          <w:trHeight w:val="288" w:hRule="atLeast"/>
        </w:trPr>
        <w:tc>
          <w:tcPr>
            <w:tcW w:w="728" w:type="pct"/>
            <w:tcBorders>
              <w:top w:val="nil"/>
              <w:left w:val="single" w:color="auto" w:sz="4" w:space="0"/>
              <w:bottom w:val="single" w:color="auto" w:sz="4" w:space="0"/>
              <w:right w:val="single" w:color="auto" w:sz="4" w:space="0"/>
            </w:tcBorders>
            <w:shd w:val="clear" w:color="000000" w:fill="FFFFFF"/>
            <w:vAlign w:val="center"/>
          </w:tcPr>
          <w:p w14:paraId="42DA278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安全性</w:t>
            </w:r>
          </w:p>
        </w:tc>
        <w:tc>
          <w:tcPr>
            <w:tcW w:w="4272" w:type="pct"/>
            <w:tcBorders>
              <w:top w:val="nil"/>
              <w:left w:val="nil"/>
              <w:bottom w:val="single" w:color="auto" w:sz="4" w:space="0"/>
              <w:right w:val="single" w:color="auto" w:sz="4" w:space="0"/>
            </w:tcBorders>
            <w:shd w:val="clear" w:color="000000" w:fill="FFFFFF"/>
            <w:vAlign w:val="center"/>
          </w:tcPr>
          <w:p w14:paraId="7F5BF0EC">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云存储子系统管理采用权限、密码验证机制</w:t>
            </w:r>
          </w:p>
        </w:tc>
      </w:tr>
      <w:tr w14:paraId="11CA8B56">
        <w:tblPrEx>
          <w:tblCellMar>
            <w:top w:w="0" w:type="dxa"/>
            <w:left w:w="108" w:type="dxa"/>
            <w:bottom w:w="0" w:type="dxa"/>
            <w:right w:w="108" w:type="dxa"/>
          </w:tblCellMar>
        </w:tblPrEx>
        <w:trPr>
          <w:trHeight w:val="288" w:hRule="atLeast"/>
        </w:trPr>
        <w:tc>
          <w:tcPr>
            <w:tcW w:w="728" w:type="pct"/>
            <w:vMerge w:val="restart"/>
            <w:tcBorders>
              <w:top w:val="nil"/>
              <w:left w:val="single" w:color="auto" w:sz="4" w:space="0"/>
              <w:bottom w:val="single" w:color="auto" w:sz="4" w:space="0"/>
              <w:right w:val="single" w:color="auto" w:sz="4" w:space="0"/>
            </w:tcBorders>
            <w:shd w:val="clear" w:color="000000" w:fill="FFFFFF"/>
            <w:vAlign w:val="center"/>
          </w:tcPr>
          <w:p w14:paraId="5DCA36E7">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可维护性</w:t>
            </w:r>
          </w:p>
        </w:tc>
        <w:tc>
          <w:tcPr>
            <w:tcW w:w="4272" w:type="pct"/>
            <w:tcBorders>
              <w:top w:val="nil"/>
              <w:left w:val="nil"/>
              <w:bottom w:val="single" w:color="auto" w:sz="4" w:space="0"/>
              <w:right w:val="single" w:color="auto" w:sz="4" w:space="0"/>
            </w:tcBorders>
            <w:shd w:val="clear" w:color="000000" w:fill="FFFFFF"/>
            <w:vAlign w:val="center"/>
          </w:tcPr>
          <w:p w14:paraId="39C13BC5">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系统支持在线扩容，云存储集群规模调整</w:t>
            </w:r>
          </w:p>
        </w:tc>
      </w:tr>
      <w:tr w14:paraId="1B25A475">
        <w:tblPrEx>
          <w:tblCellMar>
            <w:top w:w="0" w:type="dxa"/>
            <w:left w:w="108" w:type="dxa"/>
            <w:bottom w:w="0" w:type="dxa"/>
            <w:right w:w="108" w:type="dxa"/>
          </w:tblCellMar>
        </w:tblPrEx>
        <w:trPr>
          <w:trHeight w:val="288" w:hRule="atLeast"/>
        </w:trPr>
        <w:tc>
          <w:tcPr>
            <w:tcW w:w="728" w:type="pct"/>
            <w:vMerge w:val="continue"/>
            <w:tcBorders>
              <w:top w:val="nil"/>
              <w:left w:val="single" w:color="auto" w:sz="4" w:space="0"/>
              <w:bottom w:val="single" w:color="auto" w:sz="4" w:space="0"/>
              <w:right w:val="single" w:color="auto" w:sz="4" w:space="0"/>
            </w:tcBorders>
            <w:vAlign w:val="center"/>
          </w:tcPr>
          <w:p w14:paraId="01E91BE1">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4272" w:type="pct"/>
            <w:tcBorders>
              <w:top w:val="nil"/>
              <w:left w:val="nil"/>
              <w:bottom w:val="single" w:color="auto" w:sz="4" w:space="0"/>
              <w:right w:val="single" w:color="auto" w:sz="4" w:space="0"/>
            </w:tcBorders>
            <w:shd w:val="clear" w:color="000000" w:fill="FFFFFF"/>
            <w:vAlign w:val="center"/>
          </w:tcPr>
          <w:p w14:paraId="6993D29A">
            <w:pPr>
              <w:keepNext w:val="0"/>
              <w:keepLines w:val="0"/>
              <w:widowControl/>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支持不中断业务模式下进行系统升级</w:t>
            </w:r>
          </w:p>
        </w:tc>
      </w:tr>
    </w:tbl>
    <w:p w14:paraId="4652F0DE">
      <w:pPr>
        <w:spacing w:line="360" w:lineRule="auto"/>
        <w:ind w:left="105" w:leftChars="50" w:firstLine="482" w:firstLineChars="200"/>
        <w:rPr>
          <w:rFonts w:ascii="宋体" w:hAnsi="宋体" w:cs="宋体"/>
          <w:b/>
          <w:color w:val="000000"/>
          <w:kern w:val="0"/>
          <w:sz w:val="24"/>
        </w:rPr>
      </w:pPr>
      <w:r>
        <w:rPr>
          <w:rFonts w:hint="eastAsia" w:ascii="宋体" w:hAnsi="宋体" w:cs="宋体"/>
          <w:b/>
          <w:sz w:val="24"/>
        </w:rPr>
        <w:t>5．</w:t>
      </w:r>
      <w:r>
        <w:rPr>
          <w:rFonts w:hint="eastAsia" w:ascii="宋体" w:hAnsi="宋体" w:cs="宋体"/>
          <w:b/>
          <w:color w:val="000000"/>
          <w:kern w:val="0"/>
          <w:sz w:val="24"/>
        </w:rPr>
        <w:t>项目建设</w:t>
      </w:r>
    </w:p>
    <w:p w14:paraId="696D6180">
      <w:pPr>
        <w:spacing w:line="360" w:lineRule="auto"/>
        <w:ind w:left="105" w:leftChars="50" w:firstLine="480" w:firstLineChars="200"/>
        <w:rPr>
          <w:rFonts w:ascii="宋体" w:hAnsi="宋体" w:cs="宋体"/>
          <w:color w:val="000000"/>
          <w:kern w:val="0"/>
          <w:sz w:val="24"/>
          <w:szCs w:val="21"/>
        </w:rPr>
      </w:pPr>
      <w:r>
        <w:rPr>
          <w:rFonts w:hint="eastAsia" w:ascii="宋体" w:hAnsi="宋体" w:cs="宋体"/>
          <w:color w:val="000000"/>
          <w:kern w:val="0"/>
          <w:sz w:val="24"/>
          <w:szCs w:val="21"/>
        </w:rPr>
        <w:t>按照《高平市人民政府办公室关于印发高平市信息化建设管理办法》，本项目依托高平市政务云中心机房进行建设，要充分利用高平政务云机房，形成云计算、云存储集群，提高资源利用率。</w:t>
      </w:r>
    </w:p>
    <w:p w14:paraId="44FD84AE">
      <w:pPr>
        <w:spacing w:line="360" w:lineRule="auto"/>
        <w:ind w:left="105" w:leftChars="50" w:firstLine="482" w:firstLineChars="200"/>
        <w:rPr>
          <w:rFonts w:ascii="宋体" w:hAnsi="宋体" w:cs="宋体"/>
          <w:b/>
          <w:sz w:val="24"/>
        </w:rPr>
      </w:pPr>
      <w:r>
        <w:rPr>
          <w:rFonts w:hint="eastAsia" w:ascii="宋体" w:hAnsi="宋体" w:cs="宋体"/>
          <w:b/>
          <w:sz w:val="24"/>
        </w:rPr>
        <w:t>6、</w:t>
      </w:r>
      <w:r>
        <w:rPr>
          <w:rFonts w:ascii="宋体" w:hAnsi="宋体" w:cs="宋体"/>
          <w:b/>
          <w:sz w:val="24"/>
        </w:rPr>
        <w:t>运维要求</w:t>
      </w:r>
    </w:p>
    <w:p w14:paraId="457D9E9B">
      <w:pPr>
        <w:spacing w:line="360" w:lineRule="auto"/>
        <w:ind w:left="105" w:leftChars="50" w:firstLine="480" w:firstLineChars="200"/>
        <w:rPr>
          <w:rFonts w:ascii="宋体" w:hAnsi="宋体" w:cs="宋体"/>
          <w:sz w:val="24"/>
        </w:rPr>
      </w:pPr>
      <w:r>
        <w:rPr>
          <w:rFonts w:hint="eastAsia" w:ascii="宋体" w:hAnsi="宋体" w:cs="宋体"/>
          <w:sz w:val="24"/>
        </w:rPr>
        <w:t>（1）前端维护要求：</w:t>
      </w:r>
    </w:p>
    <w:p w14:paraId="1792EEE8">
      <w:pPr>
        <w:spacing w:line="360" w:lineRule="auto"/>
        <w:ind w:left="105" w:leftChars="50" w:firstLine="480" w:firstLineChars="200"/>
        <w:rPr>
          <w:rFonts w:ascii="宋体" w:hAnsi="宋体" w:cs="宋体"/>
          <w:sz w:val="24"/>
        </w:rPr>
      </w:pPr>
      <w:r>
        <w:rPr>
          <w:rFonts w:hint="eastAsia" w:ascii="宋体" w:hAnsi="宋体" w:cs="宋体"/>
          <w:sz w:val="24"/>
        </w:rPr>
        <w:t>目标要求：在线率98%以上（除去因电网停电、市政改造拆除等因素外）。</w:t>
      </w:r>
    </w:p>
    <w:p w14:paraId="06045596">
      <w:pPr>
        <w:spacing w:line="360" w:lineRule="auto"/>
        <w:ind w:left="105" w:leftChars="50" w:firstLine="480" w:firstLineChars="200"/>
        <w:rPr>
          <w:rFonts w:ascii="宋体" w:hAnsi="宋体" w:cs="宋体"/>
          <w:sz w:val="24"/>
        </w:rPr>
      </w:pPr>
      <w:r>
        <w:rPr>
          <w:rFonts w:hint="eastAsia" w:ascii="宋体" w:hAnsi="宋体" w:cs="宋体"/>
          <w:sz w:val="24"/>
        </w:rPr>
        <w:t>具体内容：每月进行一次全面维护。包括：检查杆件、摄像机、设备箱等前端设备及时进行维修；对前端配电箱维修维护、检修电路，解决断电问题，防范配电隐患；对杆件、摄像机、设备箱、手井内部进行清洁、除锈；对摄像机镜头清洁、调整角度、清除遮挡物等。</w:t>
      </w:r>
    </w:p>
    <w:p w14:paraId="0859720A">
      <w:pPr>
        <w:spacing w:line="360" w:lineRule="auto"/>
        <w:ind w:left="105" w:leftChars="50" w:firstLine="480" w:firstLineChars="200"/>
        <w:rPr>
          <w:rFonts w:ascii="宋体" w:hAnsi="宋体" w:cs="宋体"/>
          <w:sz w:val="24"/>
        </w:rPr>
      </w:pPr>
      <w:r>
        <w:rPr>
          <w:rFonts w:hint="eastAsia" w:ascii="宋体" w:hAnsi="宋体" w:cs="宋体"/>
          <w:sz w:val="24"/>
        </w:rPr>
        <w:t>工作资料：运维月度报告、运维季度报告、运维年度报告、月度巡检记录、系统运行故障记录表、设备维修单、季度巡检记录、应急处理过程记录。</w:t>
      </w:r>
    </w:p>
    <w:p w14:paraId="54BEBE1C">
      <w:pPr>
        <w:spacing w:line="360" w:lineRule="auto"/>
        <w:ind w:left="105" w:leftChars="50" w:firstLine="480" w:firstLineChars="200"/>
        <w:rPr>
          <w:rFonts w:ascii="宋体" w:hAnsi="宋体" w:cs="宋体"/>
          <w:sz w:val="24"/>
        </w:rPr>
      </w:pPr>
      <w:r>
        <w:rPr>
          <w:rFonts w:hint="eastAsia" w:ascii="宋体" w:hAnsi="宋体" w:cs="宋体"/>
          <w:sz w:val="24"/>
        </w:rPr>
        <w:t>（2）系统维护要求：</w:t>
      </w:r>
    </w:p>
    <w:p w14:paraId="411A7E95">
      <w:pPr>
        <w:spacing w:line="360" w:lineRule="auto"/>
        <w:ind w:left="105" w:leftChars="50" w:firstLine="480" w:firstLineChars="200"/>
        <w:rPr>
          <w:rFonts w:ascii="宋体" w:hAnsi="宋体" w:cs="宋体"/>
          <w:sz w:val="24"/>
        </w:rPr>
      </w:pPr>
      <w:r>
        <w:rPr>
          <w:rFonts w:hint="eastAsia" w:ascii="宋体" w:hAnsi="宋体" w:cs="宋体"/>
          <w:sz w:val="24"/>
        </w:rPr>
        <w:t>目标要求：保障各平台系统全天候稳定在线。系统崩溃导致大范围系统和设备停止运行，数据丢失等故障，响应时间为30分钟以内，达到现场时间为1小时以内，故障恢复时间为2小时以内。当系统平台出现故障且无法通过常规手段解决时，需提供有针对性的现场技术支持服务；且能够获得平台系统厂家的技术服务支撑，全天24小时响应。</w:t>
      </w:r>
    </w:p>
    <w:p w14:paraId="27788254">
      <w:pPr>
        <w:spacing w:line="360" w:lineRule="auto"/>
        <w:ind w:left="105" w:leftChars="50" w:firstLine="480" w:firstLineChars="200"/>
        <w:rPr>
          <w:rFonts w:ascii="宋体" w:hAnsi="宋体" w:cs="宋体"/>
          <w:sz w:val="24"/>
        </w:rPr>
      </w:pPr>
      <w:r>
        <w:rPr>
          <w:rFonts w:hint="eastAsia" w:ascii="宋体" w:hAnsi="宋体" w:cs="宋体"/>
          <w:sz w:val="24"/>
        </w:rPr>
        <w:t>具体内容：数据库系统、云存储、人像平台、网络系统等进行巡检，确保所有系统平台运行正常。及时对应用系统进行版本升级，并保障平台在升级期间的平稳运行，使造成的影响降至最低。</w:t>
      </w:r>
    </w:p>
    <w:p w14:paraId="743C1D30">
      <w:pPr>
        <w:spacing w:line="360" w:lineRule="auto"/>
        <w:ind w:left="105" w:leftChars="50" w:firstLine="480" w:firstLineChars="200"/>
        <w:rPr>
          <w:rFonts w:ascii="宋体" w:hAnsi="宋体" w:cs="宋体"/>
          <w:sz w:val="24"/>
        </w:rPr>
      </w:pPr>
      <w:r>
        <w:rPr>
          <w:rFonts w:hint="eastAsia" w:ascii="宋体" w:hAnsi="宋体" w:cs="宋体"/>
          <w:sz w:val="24"/>
        </w:rPr>
        <w:t>工作资料：运维月度报告、运维季度报告、运维年度报告、系统运行故障记录表、系统升级记录/网络优化建议、测试报告、应急处理过程记录。</w:t>
      </w:r>
    </w:p>
    <w:p w14:paraId="365691D5">
      <w:pPr>
        <w:spacing w:line="360" w:lineRule="auto"/>
        <w:ind w:left="105" w:leftChars="50" w:firstLine="480" w:firstLineChars="200"/>
        <w:rPr>
          <w:rFonts w:ascii="宋体" w:hAnsi="宋体" w:cs="宋体"/>
          <w:sz w:val="24"/>
        </w:rPr>
      </w:pPr>
      <w:r>
        <w:rPr>
          <w:rFonts w:hint="eastAsia" w:ascii="宋体" w:hAnsi="宋体" w:cs="宋体"/>
          <w:sz w:val="24"/>
        </w:rPr>
        <w:t>（3）机房设备维护要求：</w:t>
      </w:r>
    </w:p>
    <w:p w14:paraId="0DE17556">
      <w:pPr>
        <w:spacing w:line="360" w:lineRule="auto"/>
        <w:ind w:left="105" w:leftChars="50" w:firstLine="480" w:firstLineChars="200"/>
        <w:rPr>
          <w:rFonts w:ascii="宋体" w:hAnsi="宋体" w:cs="宋体"/>
          <w:sz w:val="24"/>
        </w:rPr>
      </w:pPr>
      <w:r>
        <w:rPr>
          <w:rFonts w:hint="eastAsia" w:ascii="宋体" w:hAnsi="宋体" w:cs="宋体"/>
          <w:sz w:val="24"/>
        </w:rPr>
        <w:t>目标要求：对服务器及网络设备进行巡查巡检，及时发现硬件故障，响应时间为30分钟以内，达到现场时间为1小时以内，故障恢复时间为2小时以内。</w:t>
      </w:r>
    </w:p>
    <w:p w14:paraId="79553BC7">
      <w:pPr>
        <w:spacing w:line="360" w:lineRule="auto"/>
        <w:ind w:left="105" w:leftChars="50" w:firstLine="480" w:firstLineChars="200"/>
        <w:rPr>
          <w:rFonts w:ascii="宋体" w:hAnsi="宋体" w:cs="宋体"/>
          <w:sz w:val="24"/>
        </w:rPr>
      </w:pPr>
      <w:r>
        <w:rPr>
          <w:rFonts w:hint="eastAsia" w:ascii="宋体" w:hAnsi="宋体" w:cs="宋体"/>
          <w:sz w:val="24"/>
        </w:rPr>
        <w:t>具体内容：机房主机设备维护管理：计算机服务器(包括PC 服务器、存储服务器)、网络设备(路由及交换设备等)；网络进行全面维护、升级硬件设备建立计算机信息卡，并以标签的形式粘贴在计算机主机上。信息卡内容包括：机器名、机器编号、使用人、机器配置、IP 地址、备注等。网线测试，水晶头更换，电源线的安全，漏电，负载测试等；多模尾纤和单模尾纤的更换，接头盒和终端盒的密封检查，法兰盘的除尘，光衰测试，节点衰耗测试等。</w:t>
      </w:r>
    </w:p>
    <w:p w14:paraId="197E5779">
      <w:pPr>
        <w:spacing w:line="360" w:lineRule="auto"/>
        <w:ind w:left="105" w:leftChars="50" w:firstLine="480" w:firstLineChars="200"/>
        <w:rPr>
          <w:rFonts w:ascii="宋体" w:hAnsi="宋体" w:cs="宋体"/>
          <w:sz w:val="24"/>
        </w:rPr>
      </w:pPr>
      <w:r>
        <w:rPr>
          <w:rFonts w:hint="eastAsia" w:ascii="宋体" w:hAnsi="宋体" w:cs="宋体"/>
          <w:sz w:val="24"/>
        </w:rPr>
        <w:t>工作资料：运维月度报告、运维季度报告、运维年度报告、系统运行故障记录表、系统升级记录/网络优化建议、测试报告、应急处理过程记录。</w:t>
      </w:r>
    </w:p>
    <w:p w14:paraId="6105312A">
      <w:pPr>
        <w:spacing w:line="360" w:lineRule="auto"/>
        <w:ind w:left="105" w:leftChars="50" w:firstLine="480" w:firstLineChars="200"/>
        <w:rPr>
          <w:rFonts w:ascii="宋体" w:hAnsi="宋体" w:cs="宋体"/>
          <w:sz w:val="24"/>
        </w:rPr>
      </w:pPr>
      <w:r>
        <w:rPr>
          <w:rFonts w:hint="eastAsia" w:ascii="宋体" w:hAnsi="宋体" w:cs="宋体"/>
          <w:sz w:val="24"/>
        </w:rPr>
        <w:t>（4）突发情况及安保保障要求：</w:t>
      </w:r>
    </w:p>
    <w:p w14:paraId="6F6CE872">
      <w:pPr>
        <w:spacing w:line="360" w:lineRule="auto"/>
        <w:ind w:left="105" w:leftChars="50" w:firstLine="480" w:firstLineChars="200"/>
        <w:rPr>
          <w:rFonts w:ascii="宋体" w:hAnsi="宋体" w:cs="宋体"/>
          <w:sz w:val="24"/>
        </w:rPr>
      </w:pPr>
      <w:r>
        <w:rPr>
          <w:rFonts w:hint="eastAsia" w:ascii="宋体" w:hAnsi="宋体" w:cs="宋体"/>
          <w:sz w:val="24"/>
        </w:rPr>
        <w:t>目标要求：对应急突发情况及重大安保期间的运行进安全保障，确保整体平台正常运行。</w:t>
      </w:r>
    </w:p>
    <w:p w14:paraId="08971FC5">
      <w:pPr>
        <w:spacing w:line="360" w:lineRule="auto"/>
        <w:ind w:left="105" w:leftChars="50" w:firstLine="480" w:firstLineChars="200"/>
        <w:rPr>
          <w:rFonts w:ascii="宋体" w:hAnsi="宋体" w:cs="宋体"/>
          <w:sz w:val="24"/>
        </w:rPr>
      </w:pPr>
      <w:r>
        <w:rPr>
          <w:rFonts w:hint="eastAsia" w:ascii="宋体" w:hAnsi="宋体" w:cs="宋体"/>
          <w:sz w:val="24"/>
        </w:rPr>
        <w:t>具体内容：协助指挥中心做好重大安全保障期间的视频监控保障工作；在各类敏感节点、重大安保活动和紧急事项等期间，根据安排要求，开展重大安保敏感运维保障工作，至少安排2名工程师进行24小时专人值守，同时安排前端人员开展视频巡查，保障平台稳定运行。</w:t>
      </w:r>
    </w:p>
    <w:p w14:paraId="1A6C9D21">
      <w:pPr>
        <w:spacing w:line="360" w:lineRule="auto"/>
        <w:ind w:left="105" w:leftChars="50" w:firstLine="480" w:firstLineChars="200"/>
        <w:rPr>
          <w:rFonts w:ascii="宋体" w:hAnsi="宋体" w:cs="宋体"/>
          <w:sz w:val="24"/>
        </w:rPr>
      </w:pPr>
      <w:r>
        <w:rPr>
          <w:rFonts w:hint="eastAsia" w:ascii="宋体" w:hAnsi="宋体" w:cs="宋体"/>
          <w:sz w:val="24"/>
        </w:rPr>
        <w:t>工作资料：应急处理过程记录、人员值班及交班记录。</w:t>
      </w:r>
    </w:p>
    <w:p w14:paraId="5B90BCC5">
      <w:pPr>
        <w:spacing w:line="360" w:lineRule="auto"/>
        <w:ind w:left="105" w:leftChars="50" w:firstLine="480" w:firstLineChars="200"/>
        <w:rPr>
          <w:rFonts w:ascii="宋体" w:hAnsi="宋体" w:cs="宋体"/>
          <w:sz w:val="24"/>
        </w:rPr>
      </w:pPr>
      <w:r>
        <w:rPr>
          <w:rFonts w:hint="eastAsia" w:ascii="宋体" w:hAnsi="宋体" w:cs="宋体"/>
          <w:sz w:val="24"/>
        </w:rPr>
        <w:t>（5）维护原则</w:t>
      </w:r>
    </w:p>
    <w:p w14:paraId="3F4C2E98">
      <w:pPr>
        <w:spacing w:line="360" w:lineRule="auto"/>
        <w:ind w:left="105" w:leftChars="50" w:firstLine="480" w:firstLineChars="200"/>
        <w:rPr>
          <w:rFonts w:ascii="宋体" w:hAnsi="宋体" w:cs="宋体"/>
          <w:sz w:val="24"/>
        </w:rPr>
      </w:pPr>
      <w:r>
        <w:rPr>
          <w:rFonts w:hint="eastAsia" w:ascii="宋体" w:hAnsi="宋体" w:cs="宋体"/>
          <w:sz w:val="24"/>
        </w:rPr>
        <w:t>规范性原则：系统维护人员严格按照规定的维护流程进行维护、升级、改造等工作，严格遵守业务管理的相关技术规定和泽州公安局的工作要求，并做好工作记录。</w:t>
      </w:r>
    </w:p>
    <w:p w14:paraId="13741956">
      <w:pPr>
        <w:spacing w:line="360" w:lineRule="auto"/>
        <w:ind w:left="105" w:leftChars="50" w:firstLine="480" w:firstLineChars="200"/>
        <w:rPr>
          <w:rFonts w:ascii="宋体" w:hAnsi="宋体" w:cs="宋体"/>
          <w:sz w:val="24"/>
        </w:rPr>
      </w:pPr>
      <w:r>
        <w:rPr>
          <w:rFonts w:hint="eastAsia" w:ascii="宋体" w:hAnsi="宋体" w:cs="宋体"/>
          <w:sz w:val="24"/>
        </w:rPr>
        <w:t>安全性原则：维护人员需有工伤保险和意外保险、专业的高空车辆、维护要以保证车辆及行人安全、设备安全、系统运行安全为前提。</w:t>
      </w:r>
    </w:p>
    <w:p w14:paraId="114688FC">
      <w:pPr>
        <w:spacing w:line="360" w:lineRule="auto"/>
        <w:ind w:left="105" w:leftChars="50" w:firstLine="480" w:firstLineChars="200"/>
        <w:rPr>
          <w:rFonts w:ascii="宋体" w:hAnsi="宋体" w:cs="宋体"/>
          <w:sz w:val="24"/>
        </w:rPr>
      </w:pPr>
      <w:r>
        <w:rPr>
          <w:rFonts w:hint="eastAsia" w:ascii="宋体" w:hAnsi="宋体" w:cs="宋体"/>
          <w:sz w:val="24"/>
        </w:rPr>
        <w:t>高效原则：建立系统维护的快速响应机制，保证业务问题解答、系统故障排除、重大故障现场处理、紧急工作任务处理等。</w:t>
      </w:r>
    </w:p>
    <w:p w14:paraId="302B3512">
      <w:pPr>
        <w:spacing w:line="360" w:lineRule="auto"/>
        <w:ind w:left="105" w:leftChars="50" w:firstLine="480" w:firstLineChars="200"/>
        <w:rPr>
          <w:rFonts w:ascii="宋体" w:hAnsi="宋体" w:cs="宋体"/>
          <w:sz w:val="24"/>
        </w:rPr>
      </w:pPr>
      <w:r>
        <w:rPr>
          <w:rFonts w:hint="eastAsia" w:ascii="宋体" w:hAnsi="宋体" w:cs="宋体"/>
          <w:sz w:val="24"/>
        </w:rPr>
        <w:t>投标人应保证维护人员遵守保密守则，严禁将保障内容有关事宜（包括勤务活动、设备品牌、技术指标等）泄露给第三方，严禁发生违规外等安全事件。</w:t>
      </w:r>
    </w:p>
    <w:p w14:paraId="1A0BEE0F">
      <w:pPr>
        <w:spacing w:line="360" w:lineRule="auto"/>
        <w:ind w:left="105" w:leftChars="50" w:firstLine="480" w:firstLineChars="200"/>
        <w:rPr>
          <w:rFonts w:ascii="宋体" w:hAnsi="宋体" w:cs="宋体"/>
          <w:sz w:val="24"/>
        </w:rPr>
      </w:pPr>
      <w:r>
        <w:rPr>
          <w:rFonts w:hint="eastAsia" w:ascii="宋体" w:hAnsi="宋体" w:cs="宋体"/>
          <w:sz w:val="24"/>
        </w:rPr>
        <w:t>投标人作为采购人的技术支持，应充分掌握采购人现有设备的技术原理、系统架构、设备等具体情况，能够按照采购人需求及时配合采购人开展相关的维护工作。</w:t>
      </w:r>
    </w:p>
    <w:p w14:paraId="087B2835">
      <w:pPr>
        <w:spacing w:line="360" w:lineRule="auto"/>
        <w:ind w:left="105" w:leftChars="50" w:firstLine="480" w:firstLineChars="200"/>
        <w:rPr>
          <w:rFonts w:ascii="宋体" w:hAnsi="宋体" w:cs="宋体"/>
          <w:sz w:val="24"/>
        </w:rPr>
      </w:pPr>
      <w:r>
        <w:rPr>
          <w:rFonts w:hint="eastAsia" w:ascii="宋体" w:hAnsi="宋体" w:cs="宋体"/>
          <w:sz w:val="24"/>
        </w:rPr>
        <w:t>（6）服务方式</w:t>
      </w:r>
    </w:p>
    <w:p w14:paraId="6F539C5A">
      <w:pPr>
        <w:spacing w:line="360" w:lineRule="auto"/>
        <w:ind w:left="105" w:leftChars="50" w:firstLine="480" w:firstLineChars="200"/>
        <w:rPr>
          <w:rFonts w:ascii="宋体" w:hAnsi="宋体" w:cs="宋体"/>
          <w:sz w:val="24"/>
        </w:rPr>
      </w:pPr>
      <w:r>
        <w:rPr>
          <w:rFonts w:hint="eastAsia" w:ascii="宋体" w:hAnsi="宋体" w:cs="宋体"/>
          <w:sz w:val="24"/>
        </w:rPr>
        <w:t>提供7*24小时的电话技术支持；受理故障或采购人服务要求的响应时间不超过30分钟，到达指定地点不得超过3小时；一般故障5小时修复，严重故障12 小时修复，无法修复的故障，提供备品备件进行更换；故障修复后，提交故障维修记录及影像资料。</w:t>
      </w:r>
    </w:p>
    <w:p w14:paraId="6A188591">
      <w:pPr>
        <w:adjustRightInd w:val="0"/>
        <w:snapToGrid w:val="0"/>
        <w:ind w:firstLine="420" w:firstLineChars="200"/>
        <w:jc w:val="center"/>
        <w:rPr>
          <w:rFonts w:ascii="华文中宋" w:hAnsi="华文中宋" w:eastAsia="华文中宋" w:cs="微软雅黑"/>
          <w:b/>
          <w:bCs/>
        </w:rPr>
      </w:pPr>
    </w:p>
    <w:p w14:paraId="00C66588">
      <w:pPr>
        <w:adjustRightInd w:val="0"/>
        <w:snapToGrid w:val="0"/>
        <w:ind w:firstLine="420" w:firstLineChars="200"/>
        <w:rPr>
          <w:rFonts w:ascii="华文中宋" w:hAnsi="华文中宋" w:eastAsia="华文中宋" w:cs="微软雅黑"/>
          <w:b/>
          <w:bCs/>
        </w:rPr>
      </w:pPr>
    </w:p>
    <w:p w14:paraId="67C7A8D3">
      <w:pPr>
        <w:adjustRightInd w:val="0"/>
        <w:snapToGrid w:val="0"/>
        <w:ind w:firstLine="420" w:firstLineChars="200"/>
        <w:rPr>
          <w:rFonts w:ascii="华文中宋" w:hAnsi="华文中宋" w:eastAsia="华文中宋" w:cs="微软雅黑"/>
          <w:b/>
          <w:bCs/>
        </w:rPr>
      </w:pPr>
    </w:p>
    <w:p w14:paraId="2184C34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微软雅黑"/>
          <w:b/>
          <w:bCs/>
        </w:rPr>
      </w:pPr>
    </w:p>
    <w:p w14:paraId="13C17DED">
      <w:pPr>
        <w:spacing w:line="360" w:lineRule="auto"/>
        <w:ind w:firstLine="420" w:firstLineChars="200"/>
        <w:rPr>
          <w:rFonts w:hint="eastAsia" w:ascii="华文中宋" w:hAnsi="华文中宋" w:eastAsia="华文中宋"/>
          <w:b/>
          <w:szCs w:val="21"/>
        </w:rPr>
      </w:pPr>
    </w:p>
    <w:p w14:paraId="106820EA">
      <w:pPr>
        <w:pStyle w:val="72"/>
        <w:pageBreakBefore/>
        <w:snapToGrid w:val="0"/>
        <w:spacing w:before="0" w:after="0"/>
        <w:ind w:left="0" w:firstLine="0"/>
        <w:rPr>
          <w:rFonts w:ascii="华文中宋" w:hAnsi="华文中宋" w:eastAsia="华文中宋"/>
          <w:b/>
        </w:rPr>
      </w:pPr>
      <w:r>
        <w:rPr>
          <w:rFonts w:hint="eastAsia" w:ascii="华文中宋" w:hAnsi="华文中宋" w:eastAsia="华文中宋"/>
          <w:spacing w:val="20"/>
          <w:szCs w:val="28"/>
        </w:rPr>
        <w:t>第五部分 资格审查内容及标准</w:t>
      </w:r>
      <w:bookmarkEnd w:id="61"/>
    </w:p>
    <w:p w14:paraId="09E08112">
      <w:pPr>
        <w:pStyle w:val="68"/>
        <w:snapToGrid w:val="0"/>
        <w:spacing w:line="480" w:lineRule="exact"/>
        <w:rPr>
          <w:rFonts w:ascii="华文中宋" w:hAnsi="华文中宋" w:eastAsia="华文中宋"/>
          <w:b/>
        </w:rPr>
      </w:pPr>
      <w:r>
        <w:rPr>
          <w:rFonts w:hint="eastAsia" w:ascii="华文中宋" w:hAnsi="华文中宋" w:eastAsia="华文中宋" w:cs="宋体"/>
          <w:b/>
        </w:rPr>
        <w:t>资格审查内容及标准</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2258"/>
        <w:gridCol w:w="6003"/>
      </w:tblGrid>
      <w:tr w14:paraId="6507D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13F631B">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序号</w:t>
            </w:r>
          </w:p>
        </w:tc>
        <w:tc>
          <w:tcPr>
            <w:tcW w:w="2258" w:type="dxa"/>
            <w:noWrap w:val="0"/>
            <w:vAlign w:val="center"/>
          </w:tcPr>
          <w:p w14:paraId="62AB629A">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内容</w:t>
            </w:r>
          </w:p>
        </w:tc>
        <w:tc>
          <w:tcPr>
            <w:tcW w:w="6003" w:type="dxa"/>
            <w:noWrap w:val="0"/>
            <w:vAlign w:val="top"/>
          </w:tcPr>
          <w:p w14:paraId="424804D5">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标准</w:t>
            </w:r>
          </w:p>
        </w:tc>
      </w:tr>
      <w:tr w14:paraId="19B2B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594B920">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1</w:t>
            </w:r>
          </w:p>
        </w:tc>
        <w:tc>
          <w:tcPr>
            <w:tcW w:w="2258" w:type="dxa"/>
            <w:noWrap w:val="0"/>
            <w:vAlign w:val="center"/>
          </w:tcPr>
          <w:p w14:paraId="34A91096">
            <w:pPr>
              <w:keepNext w:val="0"/>
              <w:keepLines w:val="0"/>
              <w:suppressLineNumbers w:val="0"/>
              <w:spacing w:before="0" w:beforeAutospacing="0" w:after="0" w:afterAutospacing="0"/>
              <w:ind w:left="0" w:right="0"/>
              <w:jc w:val="center"/>
              <w:rPr>
                <w:rFonts w:ascii="华文中宋" w:hAnsi="华文中宋" w:eastAsia="华文中宋"/>
              </w:rPr>
            </w:pPr>
            <w:bookmarkStart w:id="68" w:name="OLE_LINK7"/>
            <w:r>
              <w:rPr>
                <w:rFonts w:hint="eastAsia" w:ascii="华文中宋" w:hAnsi="华文中宋" w:eastAsia="华文中宋" w:cs="微软雅黑"/>
                <w:bCs/>
              </w:rPr>
              <w:t>投标人代表证明</w:t>
            </w:r>
            <w:bookmarkEnd w:id="68"/>
          </w:p>
        </w:tc>
        <w:tc>
          <w:tcPr>
            <w:tcW w:w="6003" w:type="dxa"/>
            <w:noWrap w:val="0"/>
            <w:vAlign w:val="top"/>
          </w:tcPr>
          <w:p w14:paraId="28F59586">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bookmarkStart w:id="69" w:name="OLE_LINK8"/>
            <w:r>
              <w:rPr>
                <w:rFonts w:hint="eastAsia" w:ascii="华文中宋" w:hAnsi="华文中宋" w:eastAsia="华文中宋" w:cs="华文中宋"/>
              </w:rPr>
              <w:t>法定代表人（负责人）参加投标的，提供“法定代表人（负责人）证明书”</w:t>
            </w:r>
          </w:p>
          <w:p w14:paraId="483B0E99">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委托代理人参加投标的，提供“法定代表人（负责人）证明书”</w:t>
            </w:r>
            <w:r>
              <w:rPr>
                <w:rFonts w:hint="eastAsia" w:ascii="华文中宋" w:hAnsi="华文中宋" w:eastAsia="华文中宋" w:cs="华文中宋"/>
                <w:lang w:eastAsia="zh-CN"/>
              </w:rPr>
              <w:t>、</w:t>
            </w:r>
            <w:r>
              <w:rPr>
                <w:rFonts w:hint="eastAsia" w:ascii="华文中宋" w:hAnsi="华文中宋" w:eastAsia="华文中宋" w:cs="华文中宋"/>
              </w:rPr>
              <w:t>“法定代表人（负责人）授权委托书”</w:t>
            </w:r>
          </w:p>
          <w:p w14:paraId="53AB86C9">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自然人参加投标的，提供个人身份证明影印件</w:t>
            </w:r>
          </w:p>
          <w:p w14:paraId="20A8C94F">
            <w:pPr>
              <w:keepNext w:val="0"/>
              <w:keepLines w:val="0"/>
              <w:suppressLineNumbers w:val="0"/>
              <w:spacing w:before="0" w:beforeAutospacing="0" w:after="0" w:afterAutospacing="0"/>
              <w:ind w:left="0" w:right="0" w:firstLine="420" w:firstLineChars="200"/>
              <w:rPr>
                <w:rFonts w:ascii="华文中宋" w:hAnsi="华文中宋" w:eastAsia="华文中宋"/>
              </w:rPr>
            </w:pPr>
            <w:r>
              <w:rPr>
                <w:rFonts w:hint="eastAsia" w:ascii="华文中宋" w:hAnsi="华文中宋" w:eastAsia="华文中宋" w:cs="华文中宋"/>
                <w:b/>
              </w:rPr>
              <w:t>内容齐全。</w:t>
            </w:r>
            <w:bookmarkEnd w:id="69"/>
          </w:p>
        </w:tc>
      </w:tr>
      <w:tr w14:paraId="53F4A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16AB2F39">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2</w:t>
            </w:r>
          </w:p>
        </w:tc>
        <w:tc>
          <w:tcPr>
            <w:tcW w:w="2258" w:type="dxa"/>
            <w:noWrap w:val="0"/>
            <w:vAlign w:val="center"/>
          </w:tcPr>
          <w:p w14:paraId="44D57AAC">
            <w:pPr>
              <w:keepNext w:val="0"/>
              <w:keepLines w:val="0"/>
              <w:suppressLineNumbers w:val="0"/>
              <w:spacing w:before="0" w:beforeAutospacing="0" w:after="0" w:afterAutospacing="0"/>
              <w:ind w:left="0" w:right="0"/>
              <w:jc w:val="center"/>
              <w:rPr>
                <w:rFonts w:ascii="华文中宋" w:hAnsi="华文中宋" w:eastAsia="华文中宋"/>
              </w:rPr>
            </w:pPr>
            <w:bookmarkStart w:id="70" w:name="OLE_LINK10"/>
            <w:r>
              <w:rPr>
                <w:rFonts w:hint="eastAsia" w:ascii="华文中宋" w:hAnsi="华文中宋" w:eastAsia="华文中宋" w:cs="微软雅黑"/>
                <w:bCs/>
              </w:rPr>
              <w:t>投标函</w:t>
            </w:r>
            <w:bookmarkEnd w:id="70"/>
          </w:p>
        </w:tc>
        <w:tc>
          <w:tcPr>
            <w:tcW w:w="6003" w:type="dxa"/>
            <w:noWrap w:val="0"/>
            <w:vAlign w:val="top"/>
          </w:tcPr>
          <w:p w14:paraId="7CEEBF86">
            <w:pPr>
              <w:keepNext w:val="0"/>
              <w:keepLines w:val="0"/>
              <w:suppressLineNumbers w:val="0"/>
              <w:spacing w:before="0" w:beforeAutospacing="0" w:after="0" w:afterAutospacing="0"/>
              <w:ind w:left="0" w:right="0" w:firstLine="420" w:firstLineChars="200"/>
              <w:jc w:val="left"/>
              <w:rPr>
                <w:rFonts w:ascii="华文中宋" w:hAnsi="华文中宋" w:eastAsia="华文中宋"/>
              </w:rPr>
            </w:pPr>
            <w:bookmarkStart w:id="71" w:name="OLE_LINK11"/>
            <w:r>
              <w:rPr>
                <w:rFonts w:hint="eastAsia" w:ascii="华文中宋" w:hAnsi="华文中宋" w:eastAsia="华文中宋" w:cs="微软雅黑"/>
              </w:rPr>
              <w:t>内容齐全，签署符合要求。</w:t>
            </w:r>
            <w:bookmarkEnd w:id="71"/>
          </w:p>
        </w:tc>
      </w:tr>
      <w:tr w14:paraId="011CF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2DAFC6C">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3</w:t>
            </w:r>
          </w:p>
        </w:tc>
        <w:tc>
          <w:tcPr>
            <w:tcW w:w="2258" w:type="dxa"/>
            <w:noWrap w:val="0"/>
            <w:vAlign w:val="center"/>
          </w:tcPr>
          <w:p w14:paraId="471BB8CE">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具有独立承担民事责任的能力</w:t>
            </w:r>
          </w:p>
        </w:tc>
        <w:tc>
          <w:tcPr>
            <w:tcW w:w="6003" w:type="dxa"/>
            <w:vMerge w:val="restart"/>
            <w:noWrap w:val="0"/>
            <w:vAlign w:val="center"/>
          </w:tcPr>
          <w:p w14:paraId="4A0485FE">
            <w:pPr>
              <w:keepNext w:val="0"/>
              <w:keepLines w:val="0"/>
              <w:suppressLineNumbers w:val="0"/>
              <w:spacing w:before="0" w:beforeAutospacing="0" w:after="0" w:afterAutospacing="0"/>
              <w:ind w:left="0" w:right="0" w:firstLine="420" w:firstLineChars="200"/>
              <w:jc w:val="both"/>
              <w:rPr>
                <w:b/>
                <w:color w:val="auto"/>
              </w:rPr>
            </w:pPr>
            <w:r>
              <w:rPr>
                <w:rFonts w:hint="eastAsia" w:ascii="华文中宋" w:hAnsi="华文中宋" w:eastAsia="华文中宋"/>
                <w:color w:val="auto"/>
              </w:rPr>
              <w:t>《政府集中采购供应商信用承诺书》</w:t>
            </w:r>
            <w:r>
              <w:rPr>
                <w:rFonts w:hint="eastAsia" w:ascii="华文中宋" w:hAnsi="华文中宋" w:eastAsia="华文中宋"/>
                <w:b/>
                <w:color w:val="auto"/>
              </w:rPr>
              <w:t>内容齐全。</w:t>
            </w:r>
          </w:p>
          <w:p w14:paraId="7032E1F1">
            <w:pPr>
              <w:keepNext w:val="0"/>
              <w:keepLines w:val="0"/>
              <w:suppressLineNumbers w:val="0"/>
              <w:spacing w:before="0" w:beforeAutospacing="0" w:after="0" w:afterAutospacing="0"/>
              <w:ind w:left="0" w:right="0"/>
              <w:jc w:val="center"/>
              <w:rPr>
                <w:rFonts w:ascii="华文中宋" w:hAnsi="华文中宋" w:eastAsia="华文中宋"/>
              </w:rPr>
            </w:pPr>
          </w:p>
        </w:tc>
      </w:tr>
      <w:tr w14:paraId="495F4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5FDEE3E6">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4</w:t>
            </w:r>
          </w:p>
        </w:tc>
        <w:tc>
          <w:tcPr>
            <w:tcW w:w="2258" w:type="dxa"/>
            <w:noWrap w:val="0"/>
            <w:vAlign w:val="center"/>
          </w:tcPr>
          <w:p w14:paraId="0BD61F0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具有良好的商业信誉和健全的财务会计制度</w:t>
            </w:r>
          </w:p>
        </w:tc>
        <w:tc>
          <w:tcPr>
            <w:tcW w:w="6003" w:type="dxa"/>
            <w:vMerge w:val="continue"/>
            <w:noWrap w:val="0"/>
            <w:vAlign w:val="center"/>
          </w:tcPr>
          <w:p w14:paraId="77C0C6DC">
            <w:pPr>
              <w:keepNext w:val="0"/>
              <w:keepLines w:val="0"/>
              <w:suppressLineNumbers w:val="0"/>
              <w:spacing w:before="0" w:beforeAutospacing="0" w:after="0" w:afterAutospacing="0"/>
              <w:ind w:left="0" w:right="0"/>
              <w:jc w:val="left"/>
              <w:rPr>
                <w:rFonts w:ascii="华文中宋" w:hAnsi="华文中宋" w:eastAsia="华文中宋"/>
              </w:rPr>
            </w:pPr>
          </w:p>
        </w:tc>
      </w:tr>
      <w:tr w14:paraId="5695F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2225E25D">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5</w:t>
            </w:r>
          </w:p>
        </w:tc>
        <w:tc>
          <w:tcPr>
            <w:tcW w:w="2258" w:type="dxa"/>
            <w:noWrap w:val="0"/>
            <w:vAlign w:val="center"/>
          </w:tcPr>
          <w:p w14:paraId="2A215306">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有依法缴纳税收和社会保障资金的良好记录</w:t>
            </w:r>
          </w:p>
        </w:tc>
        <w:tc>
          <w:tcPr>
            <w:tcW w:w="6003" w:type="dxa"/>
            <w:vMerge w:val="continue"/>
            <w:noWrap w:val="0"/>
            <w:vAlign w:val="top"/>
          </w:tcPr>
          <w:p w14:paraId="1F124758">
            <w:pPr>
              <w:keepNext w:val="0"/>
              <w:keepLines w:val="0"/>
              <w:suppressLineNumbers w:val="0"/>
              <w:spacing w:before="0" w:beforeAutospacing="0" w:after="0" w:afterAutospacing="0"/>
              <w:ind w:left="0" w:right="0"/>
              <w:rPr>
                <w:rFonts w:ascii="华文中宋" w:hAnsi="华文中宋" w:eastAsia="华文中宋"/>
              </w:rPr>
            </w:pPr>
          </w:p>
        </w:tc>
      </w:tr>
      <w:tr w14:paraId="050DB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3A035246">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6</w:t>
            </w:r>
          </w:p>
        </w:tc>
        <w:tc>
          <w:tcPr>
            <w:tcW w:w="2258" w:type="dxa"/>
            <w:noWrap w:val="0"/>
            <w:vAlign w:val="center"/>
          </w:tcPr>
          <w:p w14:paraId="61BB9C56">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具有履行合同所必需的设备和专业技术能力</w:t>
            </w:r>
          </w:p>
        </w:tc>
        <w:tc>
          <w:tcPr>
            <w:tcW w:w="6003" w:type="dxa"/>
            <w:vMerge w:val="continue"/>
            <w:noWrap w:val="0"/>
            <w:vAlign w:val="top"/>
          </w:tcPr>
          <w:p w14:paraId="1A34844C">
            <w:pPr>
              <w:keepNext w:val="0"/>
              <w:keepLines w:val="0"/>
              <w:suppressLineNumbers w:val="0"/>
              <w:spacing w:before="0" w:beforeAutospacing="0" w:after="0" w:afterAutospacing="0"/>
              <w:ind w:left="0" w:right="0"/>
              <w:rPr>
                <w:rFonts w:ascii="华文中宋" w:hAnsi="华文中宋" w:eastAsia="华文中宋"/>
              </w:rPr>
            </w:pPr>
          </w:p>
        </w:tc>
      </w:tr>
      <w:tr w14:paraId="7C3DC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FBDC3E7">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7</w:t>
            </w:r>
          </w:p>
        </w:tc>
        <w:tc>
          <w:tcPr>
            <w:tcW w:w="2258" w:type="dxa"/>
            <w:noWrap w:val="0"/>
            <w:vAlign w:val="center"/>
          </w:tcPr>
          <w:p w14:paraId="01855678">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参加政府采购活动前三年内，在经营活动中没有重大违法记录</w:t>
            </w:r>
          </w:p>
        </w:tc>
        <w:tc>
          <w:tcPr>
            <w:tcW w:w="6003" w:type="dxa"/>
            <w:vMerge w:val="continue"/>
            <w:noWrap w:val="0"/>
            <w:vAlign w:val="top"/>
          </w:tcPr>
          <w:p w14:paraId="1C915189">
            <w:pPr>
              <w:keepNext w:val="0"/>
              <w:keepLines w:val="0"/>
              <w:suppressLineNumbers w:val="0"/>
              <w:spacing w:before="0" w:beforeAutospacing="0" w:after="0" w:afterAutospacing="0"/>
              <w:ind w:left="0" w:right="0"/>
              <w:rPr>
                <w:rFonts w:ascii="华文中宋" w:hAnsi="华文中宋" w:eastAsia="华文中宋"/>
              </w:rPr>
            </w:pPr>
          </w:p>
        </w:tc>
      </w:tr>
      <w:tr w14:paraId="69098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8940156">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8</w:t>
            </w:r>
          </w:p>
        </w:tc>
        <w:tc>
          <w:tcPr>
            <w:tcW w:w="2258" w:type="dxa"/>
            <w:noWrap w:val="0"/>
            <w:vAlign w:val="center"/>
          </w:tcPr>
          <w:p w14:paraId="5AEFFAEB">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bookmarkStart w:id="72" w:name="OLE_LINK18"/>
            <w:r>
              <w:rPr>
                <w:rFonts w:ascii="华文中宋" w:hAnsi="华文中宋" w:eastAsia="华文中宋"/>
              </w:rPr>
              <w:t>本项目</w:t>
            </w:r>
            <w:r>
              <w:rPr>
                <w:rFonts w:hint="eastAsia" w:ascii="华文中宋" w:hAnsi="华文中宋" w:eastAsia="华文中宋"/>
              </w:rPr>
              <w:t>的特定</w:t>
            </w:r>
            <w:r>
              <w:rPr>
                <w:rFonts w:ascii="华文中宋" w:hAnsi="华文中宋" w:eastAsia="华文中宋"/>
              </w:rPr>
              <w:t>资格</w:t>
            </w:r>
            <w:r>
              <w:rPr>
                <w:rFonts w:hint="eastAsia" w:ascii="华文中宋" w:hAnsi="华文中宋" w:eastAsia="华文中宋"/>
              </w:rPr>
              <w:t>要求</w:t>
            </w:r>
            <w:bookmarkEnd w:id="72"/>
            <w:r>
              <w:rPr>
                <w:rFonts w:hint="eastAsia" w:ascii="华文中宋" w:hAnsi="华文中宋" w:eastAsia="华文中宋"/>
                <w:lang w:val="en-US" w:eastAsia="zh-CN"/>
              </w:rPr>
              <w:t>(若有的话）</w:t>
            </w:r>
          </w:p>
        </w:tc>
        <w:tc>
          <w:tcPr>
            <w:tcW w:w="6003" w:type="dxa"/>
            <w:noWrap w:val="0"/>
            <w:vAlign w:val="center"/>
          </w:tcPr>
          <w:p w14:paraId="009E3423">
            <w:pPr>
              <w:keepNext w:val="0"/>
              <w:keepLines w:val="0"/>
              <w:suppressLineNumbers w:val="0"/>
              <w:spacing w:before="0" w:beforeAutospacing="0" w:after="0" w:afterAutospacing="0"/>
              <w:ind w:left="0" w:right="0"/>
              <w:rPr>
                <w:rFonts w:hint="eastAsia" w:ascii="华文中宋" w:hAnsi="华文中宋" w:eastAsia="华文中宋" w:cs="华文中宋"/>
              </w:rPr>
            </w:pPr>
            <w:bookmarkStart w:id="73" w:name="OLE_LINK9"/>
            <w:r>
              <w:rPr>
                <w:rFonts w:hint="eastAsia" w:ascii="华文中宋" w:hAnsi="华文中宋" w:eastAsia="华文中宋" w:cs="华文中宋"/>
              </w:rPr>
              <w:t>投标人提供符合本项目其他资格条件的相关证明</w:t>
            </w:r>
          </w:p>
          <w:p w14:paraId="448B44FB">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资格条件符合要求，</w:t>
            </w:r>
            <w:r>
              <w:rPr>
                <w:rFonts w:hint="eastAsia" w:ascii="华文中宋" w:hAnsi="华文中宋" w:eastAsia="华文中宋" w:cs="华文中宋"/>
                <w:b/>
                <w:lang w:eastAsia="zh-CN"/>
              </w:rPr>
              <w:t>影印件</w:t>
            </w:r>
            <w:r>
              <w:rPr>
                <w:rFonts w:hint="eastAsia" w:ascii="华文中宋" w:hAnsi="华文中宋" w:eastAsia="华文中宋" w:cs="华文中宋"/>
                <w:b/>
              </w:rPr>
              <w:t>清晰。</w:t>
            </w:r>
            <w:bookmarkEnd w:id="73"/>
          </w:p>
        </w:tc>
      </w:tr>
      <w:tr w14:paraId="3A5A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0D055D3D">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9</w:t>
            </w:r>
          </w:p>
        </w:tc>
        <w:tc>
          <w:tcPr>
            <w:tcW w:w="2258" w:type="dxa"/>
            <w:noWrap w:val="0"/>
            <w:vAlign w:val="center"/>
          </w:tcPr>
          <w:p w14:paraId="10F05ED5">
            <w:pPr>
              <w:keepNext w:val="0"/>
              <w:keepLines w:val="0"/>
              <w:suppressLineNumbers w:val="0"/>
              <w:spacing w:before="0" w:beforeAutospacing="0" w:after="0" w:afterAutospacing="0"/>
              <w:ind w:left="0" w:right="0"/>
              <w:jc w:val="center"/>
              <w:rPr>
                <w:rFonts w:hint="eastAsia" w:ascii="华文中宋" w:hAnsi="华文中宋" w:eastAsia="华文中宋"/>
                <w:lang w:eastAsia="zh-CN"/>
              </w:rPr>
            </w:pPr>
            <w:bookmarkStart w:id="74" w:name="OLE_LINK12"/>
            <w:r>
              <w:rPr>
                <w:rFonts w:hint="eastAsia" w:ascii="华文中宋" w:hAnsi="华文中宋" w:eastAsia="华文中宋"/>
                <w:bCs/>
              </w:rPr>
              <w:t>基本存款账</w:t>
            </w:r>
            <w:r>
              <w:rPr>
                <w:rFonts w:hint="eastAsia" w:ascii="华文中宋" w:hAnsi="华文中宋" w:eastAsia="华文中宋"/>
                <w:bCs/>
                <w:lang w:val="en-US" w:eastAsia="zh-CN"/>
              </w:rPr>
              <w:t>户信息</w:t>
            </w:r>
            <w:bookmarkEnd w:id="74"/>
          </w:p>
        </w:tc>
        <w:tc>
          <w:tcPr>
            <w:tcW w:w="6003" w:type="dxa"/>
            <w:noWrap w:val="0"/>
            <w:vAlign w:val="top"/>
          </w:tcPr>
          <w:p w14:paraId="385D5BA8">
            <w:pPr>
              <w:keepNext w:val="0"/>
              <w:keepLines w:val="0"/>
              <w:suppressLineNumbers w:val="0"/>
              <w:spacing w:before="0" w:beforeAutospacing="0" w:after="0" w:afterAutospacing="0" w:line="400" w:lineRule="exact"/>
              <w:ind w:left="0" w:right="0"/>
              <w:rPr>
                <w:rFonts w:hint="eastAsia" w:ascii="华文中宋" w:hAnsi="华文中宋" w:eastAsia="华文中宋" w:cs="华文中宋"/>
              </w:rPr>
            </w:pPr>
            <w:bookmarkStart w:id="75" w:name="OLE_LINK15"/>
            <w:r>
              <w:rPr>
                <w:rFonts w:hint="eastAsia" w:ascii="华文中宋" w:hAnsi="华文中宋" w:eastAsia="华文中宋" w:cs="华文中宋"/>
              </w:rPr>
              <w:t>提供投标人基本存款账户信息。</w:t>
            </w:r>
          </w:p>
          <w:bookmarkEnd w:id="75"/>
          <w:p w14:paraId="34DE88D9">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证明文件</w:t>
            </w:r>
            <w:r>
              <w:rPr>
                <w:rFonts w:hint="eastAsia" w:ascii="华文中宋" w:hAnsi="华文中宋" w:eastAsia="华文中宋" w:cs="华文中宋"/>
                <w:b/>
                <w:lang w:eastAsia="zh-CN"/>
              </w:rPr>
              <w:t>影印件</w:t>
            </w:r>
            <w:r>
              <w:rPr>
                <w:rFonts w:hint="eastAsia" w:ascii="华文中宋" w:hAnsi="华文中宋" w:eastAsia="华文中宋" w:cs="华文中宋"/>
                <w:b/>
              </w:rPr>
              <w:t>清晰。</w:t>
            </w:r>
          </w:p>
        </w:tc>
      </w:tr>
      <w:tr w14:paraId="6F12A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1557F771">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10</w:t>
            </w:r>
          </w:p>
        </w:tc>
        <w:tc>
          <w:tcPr>
            <w:tcW w:w="2258" w:type="dxa"/>
            <w:noWrap w:val="0"/>
            <w:vAlign w:val="center"/>
          </w:tcPr>
          <w:p w14:paraId="4B5D511A">
            <w:pPr>
              <w:keepNext w:val="0"/>
              <w:keepLines w:val="0"/>
              <w:suppressLineNumbers w:val="0"/>
              <w:spacing w:before="0" w:beforeAutospacing="0" w:after="0" w:afterAutospacing="0"/>
              <w:ind w:left="0" w:right="0"/>
              <w:jc w:val="center"/>
              <w:rPr>
                <w:rFonts w:ascii="华文中宋" w:hAnsi="华文中宋" w:eastAsia="华文中宋"/>
              </w:rPr>
            </w:pPr>
            <w:bookmarkStart w:id="76" w:name="OLE_LINK16"/>
            <w:r>
              <w:rPr>
                <w:rFonts w:ascii="华文中宋" w:hAnsi="华文中宋" w:eastAsia="华文中宋"/>
              </w:rPr>
              <w:t>投标主体</w:t>
            </w:r>
            <w:bookmarkEnd w:id="76"/>
          </w:p>
        </w:tc>
        <w:tc>
          <w:tcPr>
            <w:tcW w:w="6003" w:type="dxa"/>
            <w:noWrap w:val="0"/>
            <w:vAlign w:val="top"/>
          </w:tcPr>
          <w:p w14:paraId="6E879069">
            <w:pPr>
              <w:keepNext w:val="0"/>
              <w:keepLines w:val="0"/>
              <w:suppressLineNumbers w:val="0"/>
              <w:spacing w:before="0" w:beforeAutospacing="0" w:after="0" w:afterAutospacing="0"/>
              <w:ind w:left="0" w:right="0"/>
              <w:rPr>
                <w:rFonts w:hint="eastAsia" w:ascii="华文中宋" w:hAnsi="华文中宋" w:eastAsia="华文中宋" w:cs="华文中宋"/>
              </w:rPr>
            </w:pPr>
            <w:bookmarkStart w:id="77" w:name="OLE_LINK17"/>
            <w:r>
              <w:rPr>
                <w:rFonts w:hint="eastAsia" w:ascii="华文中宋" w:hAnsi="华文中宋" w:eastAsia="华文中宋" w:cs="华文中宋"/>
              </w:rPr>
              <w:t>对是否允许联合体投标进行审查，如果允许联合体投标，须对联合体各方签订的联合体协议进行审查，</w:t>
            </w:r>
          </w:p>
          <w:p w14:paraId="235EE6E9">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内容齐全，电子印章符合要求。</w:t>
            </w:r>
            <w:bookmarkEnd w:id="77"/>
          </w:p>
        </w:tc>
      </w:tr>
    </w:tbl>
    <w:p w14:paraId="15E0455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微软雅黑"/>
          <w:b/>
          <w:bCs/>
        </w:rPr>
      </w:pPr>
      <w:bookmarkStart w:id="78" w:name="_Toc28161"/>
      <w:r>
        <w:rPr>
          <w:rFonts w:hint="eastAsia" w:ascii="华文中宋" w:hAnsi="华文中宋" w:eastAsia="华文中宋" w:cs="微软雅黑"/>
          <w:b/>
          <w:bCs/>
        </w:rPr>
        <w:t>说明：</w:t>
      </w:r>
    </w:p>
    <w:p w14:paraId="632DAA4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1、资格检查的内容若有一项未提供或达不到检查标准，将导致其不具备投标资格。其中第9项允许在开标时补正，补正后如符合要求视为有效；其余各项不允许在开标时补正。</w:t>
      </w:r>
    </w:p>
    <w:p w14:paraId="6A84462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2、依法免税或不需要缴纳社会保障金的投标人，应提供相应的证明文件影印件PDF加盖法人电子签章。</w:t>
      </w:r>
    </w:p>
    <w:p w14:paraId="372FDF3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t>3、投标人提供的其他材料，不作为资格检查的内容。</w:t>
      </w:r>
    </w:p>
    <w:p w14:paraId="7D8CE53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微软雅黑"/>
          <w:b/>
          <w:bCs/>
        </w:rPr>
      </w:pPr>
    </w:p>
    <w:p w14:paraId="1A7472E5">
      <w:pPr>
        <w:adjustRightInd w:val="0"/>
        <w:snapToGrid w:val="0"/>
        <w:spacing w:line="360" w:lineRule="exact"/>
        <w:ind w:firstLine="420" w:firstLineChars="200"/>
        <w:rPr>
          <w:rFonts w:hint="eastAsia" w:ascii="华文中宋" w:hAnsi="华文中宋" w:eastAsia="华文中宋" w:cs="微软雅黑"/>
          <w:b/>
          <w:bCs/>
          <w:color w:val="FF0000"/>
        </w:rPr>
      </w:pPr>
    </w:p>
    <w:p w14:paraId="716CF31A">
      <w:pPr>
        <w:adjustRightInd w:val="0"/>
        <w:snapToGrid w:val="0"/>
        <w:spacing w:line="360" w:lineRule="exact"/>
        <w:ind w:firstLine="420" w:firstLineChars="200"/>
        <w:rPr>
          <w:rFonts w:hint="eastAsia" w:ascii="华文中宋" w:hAnsi="华文中宋" w:eastAsia="华文中宋" w:cs="微软雅黑"/>
          <w:b/>
          <w:bCs/>
          <w:color w:val="FF0000"/>
        </w:rPr>
      </w:pPr>
    </w:p>
    <w:p w14:paraId="727A3802">
      <w:pPr>
        <w:adjustRightInd w:val="0"/>
        <w:snapToGrid w:val="0"/>
        <w:spacing w:line="360" w:lineRule="exact"/>
        <w:rPr>
          <w:rFonts w:hint="eastAsia" w:ascii="华文中宋" w:hAnsi="华文中宋" w:eastAsia="华文中宋" w:cs="微软雅黑"/>
          <w:b/>
          <w:bCs/>
          <w:color w:val="FF0000"/>
        </w:rPr>
      </w:pPr>
    </w:p>
    <w:p w14:paraId="32F584E4">
      <w:pPr>
        <w:pStyle w:val="72"/>
        <w:pageBreakBefore/>
        <w:snapToGrid w:val="0"/>
        <w:spacing w:before="0" w:after="0"/>
        <w:ind w:left="0" w:firstLine="0"/>
        <w:rPr>
          <w:rFonts w:ascii="华文中宋" w:hAnsi="华文中宋" w:eastAsia="华文中宋"/>
        </w:rPr>
      </w:pPr>
      <w:bookmarkStart w:id="79" w:name="_Toc58507736"/>
      <w:r>
        <w:rPr>
          <w:rFonts w:hint="eastAsia" w:ascii="华文中宋" w:hAnsi="华文中宋" w:eastAsia="华文中宋"/>
          <w:spacing w:val="20"/>
          <w:szCs w:val="28"/>
        </w:rPr>
        <w:t>第六部分 评标标准和评标方法</w:t>
      </w:r>
      <w:bookmarkEnd w:id="78"/>
      <w:bookmarkEnd w:id="79"/>
    </w:p>
    <w:p w14:paraId="0502D69E">
      <w:pPr>
        <w:pStyle w:val="68"/>
        <w:snapToGrid w:val="0"/>
        <w:spacing w:line="480" w:lineRule="exact"/>
        <w:ind w:firstLine="420" w:firstLineChars="200"/>
        <w:rPr>
          <w:rFonts w:ascii="华文中宋" w:hAnsi="华文中宋" w:eastAsia="华文中宋"/>
          <w:b/>
        </w:rPr>
      </w:pPr>
    </w:p>
    <w:p w14:paraId="54F71CFF">
      <w:pPr>
        <w:pStyle w:val="68"/>
        <w:snapToGrid w:val="0"/>
        <w:spacing w:line="480" w:lineRule="exact"/>
        <w:ind w:firstLine="210" w:firstLineChars="100"/>
        <w:rPr>
          <w:rFonts w:ascii="华文中宋" w:hAnsi="华文中宋" w:eastAsia="华文中宋"/>
          <w:b/>
        </w:rPr>
      </w:pPr>
      <w:r>
        <w:rPr>
          <w:rFonts w:hint="eastAsia" w:ascii="华文中宋" w:hAnsi="华文中宋" w:eastAsia="华文中宋" w:cs="宋体"/>
          <w:b/>
        </w:rPr>
        <w:t>一、符合性审查的内容及标准</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0"/>
        <w:gridCol w:w="2672"/>
        <w:gridCol w:w="5578"/>
      </w:tblGrid>
      <w:tr w14:paraId="43CA1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2D673877">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序号</w:t>
            </w:r>
          </w:p>
        </w:tc>
        <w:tc>
          <w:tcPr>
            <w:tcW w:w="2672" w:type="dxa"/>
            <w:noWrap w:val="0"/>
            <w:vAlign w:val="center"/>
          </w:tcPr>
          <w:p w14:paraId="1C5F3A50">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内容</w:t>
            </w:r>
          </w:p>
        </w:tc>
        <w:tc>
          <w:tcPr>
            <w:tcW w:w="5578" w:type="dxa"/>
            <w:noWrap w:val="0"/>
            <w:vAlign w:val="center"/>
          </w:tcPr>
          <w:p w14:paraId="10B77710">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标准</w:t>
            </w:r>
          </w:p>
        </w:tc>
      </w:tr>
      <w:tr w14:paraId="2D943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6D657B3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1</w:t>
            </w:r>
          </w:p>
        </w:tc>
        <w:tc>
          <w:tcPr>
            <w:tcW w:w="2672" w:type="dxa"/>
            <w:noWrap w:val="0"/>
            <w:vAlign w:val="center"/>
          </w:tcPr>
          <w:p w14:paraId="10DE5E2A">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投标文件的报价</w:t>
            </w:r>
          </w:p>
        </w:tc>
        <w:tc>
          <w:tcPr>
            <w:tcW w:w="5578" w:type="dxa"/>
            <w:noWrap w:val="0"/>
            <w:vAlign w:val="top"/>
          </w:tcPr>
          <w:p w14:paraId="20A992B5">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bookmarkStart w:id="80" w:name="OLE_LINK19"/>
            <w:r>
              <w:rPr>
                <w:rFonts w:hint="eastAsia" w:ascii="华文中宋" w:hAnsi="华文中宋" w:eastAsia="华文中宋" w:cs="华文中宋"/>
              </w:rPr>
              <w:t>所有投标报价均以人民币/元为计算单位。</w:t>
            </w:r>
          </w:p>
          <w:p w14:paraId="64F0BA7E">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投标人投报多包的，应对每包分别报价并分别填报开标报价一览表。</w:t>
            </w:r>
          </w:p>
          <w:p w14:paraId="1757EBE5">
            <w:pPr>
              <w:keepNext w:val="0"/>
              <w:keepLines w:val="0"/>
              <w:suppressLineNumbers w:val="0"/>
              <w:spacing w:before="0" w:beforeAutospacing="0" w:after="0" w:afterAutospacing="0"/>
              <w:ind w:left="0" w:right="0" w:firstLine="420" w:firstLineChars="200"/>
              <w:rPr>
                <w:rFonts w:hint="eastAsia" w:ascii="华文中宋" w:hAnsi="华文中宋" w:eastAsia="华文中宋" w:cs="华文中宋"/>
              </w:rPr>
            </w:pPr>
            <w:r>
              <w:rPr>
                <w:rFonts w:hint="eastAsia" w:ascii="华文中宋" w:hAnsi="华文中宋" w:eastAsia="华文中宋" w:cs="华文中宋"/>
              </w:rPr>
              <w:t>不接受可选择或可调整的报价。</w:t>
            </w:r>
          </w:p>
          <w:p w14:paraId="6DA539C9">
            <w:pPr>
              <w:keepNext w:val="0"/>
              <w:keepLines w:val="0"/>
              <w:suppressLineNumbers w:val="0"/>
              <w:spacing w:before="0" w:beforeAutospacing="0" w:after="0" w:afterAutospacing="0"/>
              <w:ind w:left="0" w:right="0" w:firstLine="420" w:firstLineChars="200"/>
              <w:rPr>
                <w:rFonts w:ascii="华文中宋" w:hAnsi="华文中宋" w:eastAsia="华文中宋"/>
              </w:rPr>
            </w:pPr>
            <w:r>
              <w:rPr>
                <w:rFonts w:hint="eastAsia" w:ascii="华文中宋" w:hAnsi="华文中宋" w:eastAsia="华文中宋" w:cs="华文中宋"/>
              </w:rPr>
              <w:t>不接受超出本项目预算金额</w:t>
            </w:r>
            <w:r>
              <w:rPr>
                <w:rFonts w:hint="eastAsia" w:ascii="华文中宋" w:hAnsi="华文中宋" w:eastAsia="华文中宋" w:cs="华文中宋"/>
                <w:lang w:val="en-US" w:eastAsia="zh-CN"/>
              </w:rPr>
              <w:t>或最高限价</w:t>
            </w:r>
            <w:r>
              <w:rPr>
                <w:rFonts w:hint="eastAsia" w:ascii="华文中宋" w:hAnsi="华文中宋" w:eastAsia="华文中宋" w:cs="华文中宋"/>
              </w:rPr>
              <w:t>的报价</w:t>
            </w:r>
            <w:r>
              <w:rPr>
                <w:rFonts w:hint="eastAsia" w:ascii="华文中宋" w:hAnsi="华文中宋" w:eastAsia="华文中宋" w:cs="华文中宋"/>
                <w:lang w:eastAsia="zh-CN"/>
              </w:rPr>
              <w:t>。</w:t>
            </w:r>
            <w:bookmarkEnd w:id="80"/>
          </w:p>
        </w:tc>
      </w:tr>
      <w:tr w14:paraId="56E83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restart"/>
            <w:noWrap w:val="0"/>
            <w:vAlign w:val="center"/>
          </w:tcPr>
          <w:p w14:paraId="3C8E875F">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2</w:t>
            </w:r>
          </w:p>
        </w:tc>
        <w:tc>
          <w:tcPr>
            <w:tcW w:w="2672" w:type="dxa"/>
            <w:vMerge w:val="restart"/>
            <w:noWrap w:val="0"/>
            <w:vAlign w:val="center"/>
          </w:tcPr>
          <w:p w14:paraId="3A60CCCD">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采购需求</w:t>
            </w:r>
          </w:p>
        </w:tc>
        <w:tc>
          <w:tcPr>
            <w:tcW w:w="5578" w:type="dxa"/>
            <w:noWrap w:val="0"/>
            <w:vAlign w:val="top"/>
          </w:tcPr>
          <w:p w14:paraId="45906D35">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81" w:name="OLE_LINK20"/>
            <w:r>
              <w:rPr>
                <w:rFonts w:hint="eastAsia" w:ascii="华文中宋" w:hAnsi="华文中宋" w:eastAsia="华文中宋" w:cs="华文中宋"/>
              </w:rPr>
              <w:t>对照本文件第四部分中“商务要求”内容和投标文件的响应内容进行审查，没有做出实质性响应的做无效投标处理。</w:t>
            </w:r>
            <w:bookmarkEnd w:id="81"/>
          </w:p>
        </w:tc>
      </w:tr>
      <w:tr w14:paraId="04B8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4943250B">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341CED1C">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311E7CFA">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82" w:name="OLE_LINK21"/>
            <w:r>
              <w:rPr>
                <w:rFonts w:hint="eastAsia" w:ascii="华文中宋" w:hAnsi="华文中宋" w:eastAsia="华文中宋" w:cs="华文中宋"/>
              </w:rPr>
              <w:t>对照本文件第四部分中“实质性要求”内容和投标文件的响应内容进行审查，没有做出实质性响应的做无效投标处理。</w:t>
            </w:r>
            <w:bookmarkEnd w:id="82"/>
          </w:p>
        </w:tc>
      </w:tr>
      <w:tr w14:paraId="1CBBC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0EC937DE">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0A0105C0">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1443DEB8">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83" w:name="OLE_LINK22"/>
            <w:r>
              <w:rPr>
                <w:rFonts w:hint="eastAsia" w:ascii="华文中宋" w:hAnsi="华文中宋" w:eastAsia="华文中宋" w:cs="华文中宋"/>
              </w:rPr>
              <w:t>对照本文件第四部分“服务要求”中标注“★”内容和投标文件的响应内容进行审查，没有做出实质性响应的做无效投标处理。</w:t>
            </w:r>
            <w:bookmarkEnd w:id="83"/>
          </w:p>
        </w:tc>
      </w:tr>
      <w:tr w14:paraId="00D96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Merge w:val="continue"/>
            <w:noWrap w:val="0"/>
            <w:vAlign w:val="center"/>
          </w:tcPr>
          <w:p w14:paraId="12942E29">
            <w:pPr>
              <w:keepNext w:val="0"/>
              <w:keepLines w:val="0"/>
              <w:suppressLineNumbers w:val="0"/>
              <w:spacing w:before="0" w:beforeAutospacing="0" w:after="0" w:afterAutospacing="0"/>
              <w:ind w:left="0" w:right="0"/>
              <w:jc w:val="center"/>
              <w:rPr>
                <w:rFonts w:ascii="华文中宋" w:hAnsi="华文中宋" w:eastAsia="华文中宋"/>
              </w:rPr>
            </w:pPr>
          </w:p>
        </w:tc>
        <w:tc>
          <w:tcPr>
            <w:tcW w:w="2672" w:type="dxa"/>
            <w:vMerge w:val="continue"/>
            <w:noWrap w:val="0"/>
            <w:vAlign w:val="center"/>
          </w:tcPr>
          <w:p w14:paraId="4CA62D01">
            <w:pPr>
              <w:keepNext w:val="0"/>
              <w:keepLines w:val="0"/>
              <w:suppressLineNumbers w:val="0"/>
              <w:spacing w:before="0" w:beforeAutospacing="0" w:after="0" w:afterAutospacing="0"/>
              <w:ind w:left="0" w:right="0"/>
              <w:jc w:val="center"/>
              <w:rPr>
                <w:rFonts w:ascii="华文中宋" w:hAnsi="华文中宋" w:eastAsia="华文中宋"/>
              </w:rPr>
            </w:pPr>
          </w:p>
        </w:tc>
        <w:tc>
          <w:tcPr>
            <w:tcW w:w="5578" w:type="dxa"/>
            <w:noWrap w:val="0"/>
            <w:vAlign w:val="top"/>
          </w:tcPr>
          <w:p w14:paraId="585327D6">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84" w:name="OLE_LINK23"/>
            <w:r>
              <w:rPr>
                <w:rFonts w:hint="eastAsia" w:ascii="华文中宋" w:hAnsi="华文中宋" w:eastAsia="华文中宋" w:cs="华文中宋"/>
              </w:rPr>
              <w:t>对照本文件第四部分的“技术要求”中标注“★”内容和投标文件的响应内容进行审查，没有做出实质性响应的做无效投标处理。</w:t>
            </w:r>
            <w:bookmarkEnd w:id="84"/>
          </w:p>
        </w:tc>
      </w:tr>
      <w:tr w14:paraId="556B0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noWrap w:val="0"/>
            <w:vAlign w:val="center"/>
          </w:tcPr>
          <w:p w14:paraId="57A43E7C">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3</w:t>
            </w:r>
          </w:p>
        </w:tc>
        <w:tc>
          <w:tcPr>
            <w:tcW w:w="2672" w:type="dxa"/>
            <w:noWrap w:val="0"/>
            <w:vAlign w:val="center"/>
          </w:tcPr>
          <w:p w14:paraId="33F7E551">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华文中宋"/>
              </w:rPr>
              <w:t>进口产品</w:t>
            </w:r>
          </w:p>
        </w:tc>
        <w:tc>
          <w:tcPr>
            <w:tcW w:w="5578" w:type="dxa"/>
            <w:noWrap w:val="0"/>
            <w:vAlign w:val="top"/>
          </w:tcPr>
          <w:p w14:paraId="7A1907FE">
            <w:pPr>
              <w:keepNext w:val="0"/>
              <w:keepLines w:val="0"/>
              <w:suppressLineNumbers w:val="0"/>
              <w:spacing w:before="0" w:beforeAutospacing="0" w:after="0" w:afterAutospacing="0"/>
              <w:ind w:left="0" w:right="0" w:firstLine="420" w:firstLineChars="200"/>
              <w:rPr>
                <w:rFonts w:ascii="华文中宋" w:hAnsi="华文中宋" w:eastAsia="华文中宋"/>
              </w:rPr>
            </w:pPr>
            <w:bookmarkStart w:id="85" w:name="OLE_LINK24"/>
            <w:r>
              <w:rPr>
                <w:rFonts w:hint="eastAsia" w:ascii="华文中宋" w:hAnsi="华文中宋" w:eastAsia="华文中宋" w:cs="华文中宋"/>
              </w:rPr>
              <w:t>本项目采购标的物未特别注明“进口产品”（通过中国海关报关验放进入中国境内且产自关境外的产品）字样的，均必须采购</w:t>
            </w:r>
            <w:r>
              <w:rPr>
                <w:rFonts w:hint="eastAsia" w:ascii="华文中宋" w:hAnsi="华文中宋" w:eastAsia="华文中宋" w:cs="华文中宋"/>
                <w:lang w:val="en-US" w:eastAsia="zh-CN"/>
              </w:rPr>
              <w:t>GC</w:t>
            </w:r>
            <w:r>
              <w:rPr>
                <w:rFonts w:hint="eastAsia" w:ascii="华文中宋" w:hAnsi="华文中宋" w:eastAsia="华文中宋" w:cs="华文中宋"/>
              </w:rPr>
              <w:t>产品，否则投标无效；特别注明“进口产品”字样的，如果有能够满足采购需求的</w:t>
            </w:r>
            <w:r>
              <w:rPr>
                <w:rFonts w:hint="eastAsia" w:ascii="华文中宋" w:hAnsi="华文中宋" w:eastAsia="华文中宋" w:cs="华文中宋"/>
                <w:lang w:val="en-US" w:eastAsia="zh-CN"/>
              </w:rPr>
              <w:t>GC</w:t>
            </w:r>
            <w:r>
              <w:rPr>
                <w:rFonts w:hint="eastAsia" w:ascii="华文中宋" w:hAnsi="华文中宋" w:eastAsia="华文中宋" w:cs="华文中宋"/>
              </w:rPr>
              <w:t>产品参与，应当按照公平竞争的原则进行评审。</w:t>
            </w:r>
            <w:bookmarkEnd w:id="85"/>
          </w:p>
        </w:tc>
      </w:tr>
    </w:tbl>
    <w:p w14:paraId="41902577">
      <w:pPr>
        <w:pStyle w:val="68"/>
        <w:keepNext w:val="0"/>
        <w:keepLines w:val="0"/>
        <w:pageBreakBefore w:val="0"/>
        <w:widowControl w:val="0"/>
        <w:kinsoku/>
        <w:wordWrap/>
        <w:overflowPunct/>
        <w:topLinePunct w:val="0"/>
        <w:autoSpaceDE/>
        <w:autoSpaceDN/>
        <w:bidi w:val="0"/>
        <w:snapToGrid w:val="0"/>
        <w:spacing w:line="440" w:lineRule="exact"/>
        <w:ind w:left="945" w:hanging="945" w:hangingChars="450"/>
        <w:rPr>
          <w:rFonts w:hint="eastAsia" w:ascii="华文中宋" w:hAnsi="华文中宋" w:eastAsia="华文中宋" w:cs="华文中宋"/>
        </w:rPr>
      </w:pPr>
      <w:r>
        <w:rPr>
          <w:rFonts w:hint="eastAsia" w:ascii="华文中宋" w:hAnsi="华文中宋" w:eastAsia="华文中宋" w:cs="华文中宋"/>
        </w:rPr>
        <w:t>说明：</w:t>
      </w:r>
    </w:p>
    <w:p w14:paraId="0C00F512">
      <w:pPr>
        <w:pStyle w:val="68"/>
        <w:keepNext w:val="0"/>
        <w:keepLines w:val="0"/>
        <w:pageBreakBefore w:val="0"/>
        <w:widowControl w:val="0"/>
        <w:kinsoku/>
        <w:wordWrap/>
        <w:overflowPunct/>
        <w:topLinePunct w:val="0"/>
        <w:autoSpaceDE/>
        <w:autoSpaceDN/>
        <w:bidi w:val="0"/>
        <w:snapToGrid w:val="0"/>
        <w:spacing w:line="440" w:lineRule="exact"/>
        <w:ind w:firstLine="462" w:firstLineChars="220"/>
        <w:rPr>
          <w:rFonts w:hint="eastAsia" w:ascii="华文中宋" w:hAnsi="华文中宋" w:eastAsia="华文中宋" w:cs="Times New Roman"/>
          <w:color w:val="auto"/>
        </w:rPr>
      </w:pPr>
      <w:r>
        <w:rPr>
          <w:rFonts w:hint="eastAsia" w:ascii="华文中宋" w:hAnsi="华文中宋" w:eastAsia="华文中宋" w:cs="微软雅黑"/>
        </w:rPr>
        <w:t>1．符合性检查的内容，经</w:t>
      </w:r>
      <w:r>
        <w:rPr>
          <w:rFonts w:hint="eastAsia" w:ascii="华文中宋" w:hAnsi="华文中宋" w:eastAsia="华文中宋" w:cs="微软雅黑"/>
          <w:lang w:val="en-US" w:eastAsia="zh-CN"/>
        </w:rPr>
        <w:t>评审委员会</w:t>
      </w:r>
      <w:r>
        <w:rPr>
          <w:rFonts w:hint="eastAsia" w:ascii="华文中宋" w:hAnsi="华文中宋" w:eastAsia="华文中宋" w:cs="微软雅黑"/>
        </w:rPr>
        <w:t>共同认定没有做出实质性响应的，将导致投标无效。其中实质性响应内容审查时，</w:t>
      </w:r>
      <w:r>
        <w:rPr>
          <w:rFonts w:hint="eastAsia" w:ascii="华文中宋" w:hAnsi="华文中宋" w:eastAsia="华文中宋" w:cs="Times New Roman"/>
          <w:color w:val="auto"/>
          <w:lang w:val="en-US" w:eastAsia="zh-CN"/>
        </w:rPr>
        <w:t>投标</w:t>
      </w:r>
      <w:r>
        <w:rPr>
          <w:rFonts w:hint="eastAsia" w:ascii="华文中宋" w:hAnsi="华文中宋" w:eastAsia="华文中宋" w:cs="Times New Roman"/>
          <w:color w:val="auto"/>
        </w:rPr>
        <w:t>文件中《政府强制采购节能产品明细表》注明品牌型号且属于政府强制采购品目清单中的产品或《网络关键设备和网络安全专用产品目录》中的产品的，所附相关认证证书与投报产品品牌型号不符的，允许在开标时补正，补正后视为有效；未注明品牌型号或投报产品品牌型号不属于清单或目录内的，不允许在开标时补</w:t>
      </w:r>
      <w:r>
        <w:rPr>
          <w:rFonts w:hint="eastAsia" w:ascii="华文中宋" w:hAnsi="华文中宋" w:eastAsia="华文中宋" w:cs="Times New Roman"/>
          <w:color w:val="auto"/>
          <w:lang w:val="en-US" w:eastAsia="zh-CN"/>
        </w:rPr>
        <w:t>正</w:t>
      </w:r>
      <w:r>
        <w:rPr>
          <w:rFonts w:hint="eastAsia" w:ascii="华文中宋" w:hAnsi="华文中宋" w:eastAsia="华文中宋" w:cs="Times New Roman"/>
          <w:color w:val="auto"/>
        </w:rPr>
        <w:t>。</w:t>
      </w:r>
    </w:p>
    <w:p w14:paraId="1FC0CB81">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w:t>
      </w:r>
      <w:r>
        <w:rPr>
          <w:rFonts w:hint="eastAsia" w:ascii="华文中宋" w:hAnsi="华文中宋" w:eastAsia="华文中宋"/>
          <w:lang w:val="en-US" w:eastAsia="zh-CN"/>
        </w:rPr>
        <w:t>1</w:t>
      </w:r>
      <w:r>
        <w:rPr>
          <w:rFonts w:hint="eastAsia" w:ascii="华文中宋" w:hAnsi="华文中宋" w:eastAsia="华文中宋"/>
        </w:rPr>
        <w:t>条规定的原则。</w:t>
      </w:r>
    </w:p>
    <w:p w14:paraId="674D4583">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宋体"/>
          <w:b/>
        </w:rPr>
        <w:t>二、落实政府采购政策性要求的评审内容及标准</w:t>
      </w:r>
    </w:p>
    <w:p w14:paraId="7304C1E7">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ascii="华文中宋" w:hAnsi="华文中宋" w:eastAsia="华文中宋" w:cs="华文中宋"/>
          <w:b/>
        </w:rPr>
      </w:pPr>
      <w:r>
        <w:rPr>
          <w:rFonts w:hint="eastAsia" w:ascii="华文中宋" w:hAnsi="华文中宋" w:eastAsia="华文中宋" w:cs="华文中宋"/>
        </w:rPr>
        <w:t>（一）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2E8E403D">
      <w:pPr>
        <w:keepNext w:val="0"/>
        <w:keepLines w:val="0"/>
        <w:pageBreakBefore w:val="0"/>
        <w:widowControl w:val="0"/>
        <w:kinsoku/>
        <w:wordWrap/>
        <w:overflowPunct/>
        <w:topLinePunct w:val="0"/>
        <w:autoSpaceDE/>
        <w:autoSpaceDN/>
        <w:bidi w:val="0"/>
        <w:spacing w:line="440" w:lineRule="exact"/>
        <w:ind w:firstLine="315" w:firstLineChars="150"/>
        <w:rPr>
          <w:rFonts w:hint="eastAsia" w:ascii="华文中宋" w:hAnsi="华文中宋" w:eastAsia="华文中宋" w:cs="华文中宋"/>
        </w:rPr>
      </w:pPr>
    </w:p>
    <w:p w14:paraId="14C6E833">
      <w:pPr>
        <w:pStyle w:val="68"/>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（二）本文件列出政府强制采购产品的，投标人必须投报获得有效产品认证证书的产品，并提供处于有效期之内的节能产品认证证书</w:t>
      </w:r>
      <w:r>
        <w:rPr>
          <w:rFonts w:hint="eastAsia" w:ascii="华文中宋" w:hAnsi="华文中宋" w:eastAsia="华文中宋" w:cs="华文中宋"/>
          <w:lang w:eastAsia="zh-CN"/>
        </w:rPr>
        <w:t>影印件</w:t>
      </w:r>
      <w:r>
        <w:rPr>
          <w:rFonts w:hint="eastAsia" w:ascii="华文中宋" w:hAnsi="华文中宋" w:eastAsia="华文中宋" w:cs="华文中宋"/>
        </w:rPr>
        <w:t>，否则将导致投标无效；投标人需将所有政府强制采购的节能产品如实填写到《政府强制采购产品明细表》（格式见第八部分）。</w:t>
      </w:r>
    </w:p>
    <w:p w14:paraId="520AE79A">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（三）本文件未列出政府强制采购产品的，投标人可投报“节能产品政府采购品目清单、环境标志产品政府采购品目清单”中非政府强制采购产品或其范围以外的产品。</w:t>
      </w:r>
    </w:p>
    <w:p w14:paraId="2CCC50F8">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四）投标人投报“节能产品政府采购品目清单、环境标志产品政府采购品目清单”中非政府强制采购产品的将给予适当加分。投标人需将非政府强制采购产品如实填写到《非政府强制采购产品明细表》，并提供处于有效期之内的节能产品、环境标志产品认证证书</w:t>
      </w:r>
      <w:r>
        <w:rPr>
          <w:rFonts w:hint="eastAsia" w:ascii="华文中宋" w:hAnsi="华文中宋" w:eastAsia="华文中宋" w:cs="华文中宋"/>
          <w:lang w:eastAsia="zh-CN"/>
        </w:rPr>
        <w:t>影印件</w:t>
      </w:r>
      <w:r>
        <w:rPr>
          <w:rFonts w:hint="eastAsia" w:ascii="华文中宋" w:hAnsi="华文中宋" w:eastAsia="华文中宋" w:cs="华文中宋"/>
        </w:rPr>
        <w:t>。</w:t>
      </w:r>
    </w:p>
    <w:p w14:paraId="674B324F">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（五）本项目采购标的物涉及计算机产品或硬件产品内预装软件的，投标人须填写《正版软件承诺》。</w:t>
      </w:r>
    </w:p>
    <w:p w14:paraId="636B22B5">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（六）所投报产品属于</w:t>
      </w:r>
      <w:r>
        <w:rPr>
          <w:rFonts w:hint="eastAsia" w:ascii="华文中宋" w:hAnsi="华文中宋" w:eastAsia="华文中宋" w:cs="微软雅黑"/>
          <w:color w:val="auto"/>
        </w:rPr>
        <w:t>《网络关键设备和网络安全专用产品目录》</w:t>
      </w:r>
      <w:r>
        <w:rPr>
          <w:rFonts w:hint="eastAsia" w:ascii="华文中宋" w:hAnsi="华文中宋" w:eastAsia="华文中宋" w:cs="华文中宋"/>
        </w:rPr>
        <w:t>中的产品，须提供有效认证证书</w:t>
      </w:r>
      <w:r>
        <w:rPr>
          <w:rFonts w:hint="eastAsia" w:ascii="华文中宋" w:hAnsi="华文中宋" w:eastAsia="华文中宋" w:cs="华文中宋"/>
          <w:lang w:eastAsia="zh-CN"/>
        </w:rPr>
        <w:t>影印件</w:t>
      </w:r>
      <w:r>
        <w:rPr>
          <w:rFonts w:hint="eastAsia" w:ascii="华文中宋" w:hAnsi="华文中宋" w:eastAsia="华文中宋" w:cs="华文中宋"/>
        </w:rPr>
        <w:t>，否则将可能导致投标无效。</w:t>
      </w:r>
    </w:p>
    <w:p w14:paraId="29164684">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（七）小型、微型企业参加本项目的评审标准</w:t>
      </w:r>
    </w:p>
    <w:p w14:paraId="229DBF91">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lang w:val="en-US" w:eastAsia="zh-CN"/>
        </w:rPr>
        <w:t>中小</w:t>
      </w:r>
      <w:r>
        <w:rPr>
          <w:rFonts w:hint="eastAsia" w:ascii="华文中宋" w:hAnsi="华文中宋" w:eastAsia="华文中宋" w:cs="华文中宋"/>
        </w:rPr>
        <w:t>企业声明函》。</w:t>
      </w:r>
    </w:p>
    <w:p w14:paraId="4E768CEE">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小型、微企业只有提供本企业制造的货物或者服务，或者提供其他小型、微企业制造的货物，享受投标货物</w:t>
      </w:r>
      <w:r>
        <w:rPr>
          <w:rFonts w:hint="eastAsia" w:ascii="华文中宋" w:hAnsi="华文中宋" w:eastAsia="华文中宋" w:cs="华文中宋"/>
          <w:b w:val="0"/>
          <w:bCs/>
          <w:color w:val="auto"/>
          <w:highlight w:val="none"/>
          <w:lang w:val="en-US" w:eastAsia="zh-CN"/>
        </w:rPr>
        <w:t>15</w:t>
      </w:r>
      <w:r>
        <w:rPr>
          <w:rFonts w:hint="eastAsia" w:ascii="华文中宋" w:hAnsi="华文中宋" w:eastAsia="华文中宋" w:cs="华文中宋"/>
          <w:b w:val="0"/>
          <w:bCs/>
          <w:color w:val="auto"/>
          <w:highlight w:val="none"/>
        </w:rPr>
        <w:t>%</w:t>
      </w:r>
      <w:r>
        <w:rPr>
          <w:rFonts w:hint="eastAsia" w:ascii="华文中宋" w:hAnsi="华文中宋" w:eastAsia="华文中宋" w:cs="华文中宋"/>
          <w:color w:val="auto"/>
          <w:highlight w:val="none"/>
        </w:rPr>
        <w:t>的</w:t>
      </w:r>
      <w:r>
        <w:rPr>
          <w:rFonts w:hint="eastAsia" w:ascii="华文中宋" w:hAnsi="华文中宋" w:eastAsia="华文中宋" w:cs="华文中宋"/>
          <w:color w:val="auto"/>
        </w:rPr>
        <w:t>价</w:t>
      </w:r>
      <w:r>
        <w:rPr>
          <w:rFonts w:hint="eastAsia" w:ascii="华文中宋" w:hAnsi="华文中宋" w:eastAsia="华文中宋" w:cs="华文中宋"/>
        </w:rPr>
        <w:t>格折扣。若有的话，如实填写《小、微企业/残疾人福利性单位提供货物/服务明细表》。</w:t>
      </w:r>
    </w:p>
    <w:p w14:paraId="482675AB">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小型、微型企业提供的货物既有中小企业制造货物，也有大型企业制造货物的，不享受价格折扣。</w:t>
      </w:r>
    </w:p>
    <w:p w14:paraId="52E8A622">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w:t>
      </w:r>
      <w:r>
        <w:rPr>
          <w:rFonts w:hint="eastAsia" w:ascii="华文中宋" w:hAnsi="华文中宋" w:eastAsia="华文中宋" w:cs="华文中宋"/>
        </w:rPr>
        <w:t>的扣除，用扣除后价格参加评审。</w:t>
      </w:r>
    </w:p>
    <w:p w14:paraId="0D384FE8">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%的扣除，</w:t>
      </w:r>
      <w:r>
        <w:rPr>
          <w:rFonts w:hint="eastAsia" w:ascii="华文中宋" w:hAnsi="华文中宋" w:eastAsia="华文中宋" w:cs="华文中宋"/>
        </w:rPr>
        <w:t>用扣除后价格参加评审。</w:t>
      </w:r>
    </w:p>
    <w:p w14:paraId="2ECACCE2">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（八）残疾人福利性单位参加本项目的评审标准</w:t>
      </w:r>
    </w:p>
    <w:p w14:paraId="0FB6A9A9">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color w:val="auto"/>
        </w:rPr>
      </w:pPr>
      <w:r>
        <w:rPr>
          <w:rFonts w:hint="eastAsia" w:ascii="华文中宋" w:hAnsi="华文中宋" w:eastAsia="华文中宋" w:cs="华文中宋"/>
        </w:rPr>
        <w:t>1. 须根据财库【2017】141号《关于促进残疾人就业政府采购政策的通知》的要求，如实填写《残疾人福利性单位声明函》，</w:t>
      </w:r>
      <w:r>
        <w:rPr>
          <w:rFonts w:hint="eastAsia" w:ascii="华文中宋" w:hAnsi="华文中宋" w:eastAsia="华文中宋" w:cs="华文中宋"/>
          <w:highlight w:val="none"/>
        </w:rPr>
        <w:t>残疾人福利</w:t>
      </w:r>
      <w:r>
        <w:rPr>
          <w:rFonts w:hint="eastAsia" w:ascii="华文中宋" w:hAnsi="华文中宋" w:eastAsia="华文中宋" w:cs="华文中宋"/>
        </w:rPr>
        <w:t>性单位参加本项目投标时，享受</w:t>
      </w:r>
      <w:r>
        <w:rPr>
          <w:rFonts w:hint="eastAsia" w:ascii="华文中宋" w:hAnsi="华文中宋" w:eastAsia="华文中宋" w:cs="华文中宋"/>
          <w:color w:val="auto"/>
          <w:lang w:val="en-US" w:eastAsia="zh-CN"/>
        </w:rPr>
        <w:t>15</w:t>
      </w:r>
      <w:r>
        <w:rPr>
          <w:rFonts w:hint="eastAsia" w:ascii="华文中宋" w:hAnsi="华文中宋" w:eastAsia="华文中宋" w:cs="华文中宋"/>
          <w:color w:val="auto"/>
        </w:rPr>
        <w:t>%的价格折扣，用扣除后的价格参与评审。</w:t>
      </w:r>
    </w:p>
    <w:p w14:paraId="4F4F3F8C">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享受政府采购支持政策的残疾人福利性单位应当同时满足以下条件：</w:t>
      </w:r>
    </w:p>
    <w:p w14:paraId="5979AD1D">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（1）安置的残疾人占本单位在职职工人数的比例不低于25%（含25%），并且安置的残疾人人数不少于10人（含10人）；</w:t>
      </w:r>
    </w:p>
    <w:p w14:paraId="7DD9C1E2">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（2）依法与安置的每位残疾人签订了一年以上（含一年）的劳动合同或服务协议；</w:t>
      </w:r>
    </w:p>
    <w:p w14:paraId="615A645E">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（3）为安置的每位残疾人按月足额缴纳了基本养老保险、基本医疗保险、失业保险、工伤保险和生育保险等社会保险费；</w:t>
      </w:r>
    </w:p>
    <w:p w14:paraId="49576E5C">
      <w:pPr>
        <w:pStyle w:val="68"/>
        <w:keepNext w:val="0"/>
        <w:keepLines w:val="0"/>
        <w:pageBreakBefore w:val="0"/>
        <w:widowControl w:val="0"/>
        <w:kinsoku/>
        <w:wordWrap/>
        <w:overflowPunct/>
        <w:topLinePunct w:val="0"/>
        <w:autoSpaceDE/>
        <w:autoSpaceDN/>
        <w:bidi w:val="0"/>
        <w:snapToGrid w:val="0"/>
        <w:spacing w:line="440" w:lineRule="exact"/>
        <w:rPr>
          <w:rFonts w:hint="eastAsia" w:ascii="华文中宋" w:hAnsi="华文中宋" w:eastAsia="华文中宋" w:cs="华文中宋"/>
        </w:rPr>
      </w:pPr>
      <w:r>
        <w:rPr>
          <w:rFonts w:hint="eastAsia" w:ascii="华文中宋" w:hAnsi="华文中宋" w:eastAsia="华文中宋" w:cs="华文中宋"/>
        </w:rPr>
        <w:t>　（4）通过银行等金融机构向安置的每位残疾人，按月支付了不低于单位所在区县适用的经省级人民政府批准的月最低工资标准的工资；</w:t>
      </w:r>
    </w:p>
    <w:p w14:paraId="6B4C7C32">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（5）提供本单位制造的货物、承担的工程或者服务（以下简称产品），或者提供其他残疾人福利性单位制造的货物（不包括使用非残疾人福利性单位注册商标的货物）;</w:t>
      </w:r>
    </w:p>
    <w:p w14:paraId="6FF72F45">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53928B">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（7）供应商提供的《残疾人福利性单位声明函》与事实不符的，依照《政府采购法》第七十七条第一款的规定追究法律责任；</w:t>
      </w:r>
    </w:p>
    <w:p w14:paraId="51671D8A">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E46292F">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（九）本项目涉及创新产品、创新服务的评审标准</w:t>
      </w:r>
    </w:p>
    <w:p w14:paraId="5DB2E3F0">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投标人投标产品或服务属于《山西省创新产品和服务推荐清单》中</w:t>
      </w:r>
      <w:r>
        <w:rPr>
          <w:rFonts w:hint="eastAsia" w:ascii="华文中宋" w:hAnsi="华文中宋" w:eastAsia="华文中宋" w:cs="华文中宋"/>
          <w:highlight w:val="none"/>
        </w:rPr>
        <w:t>创新产品</w:t>
      </w:r>
      <w:r>
        <w:rPr>
          <w:rFonts w:hint="eastAsia" w:ascii="华文中宋" w:hAnsi="华文中宋" w:eastAsia="华文中宋" w:cs="华文中宋"/>
        </w:rPr>
        <w:t>或创新服务的，在评审时，享受投标</w:t>
      </w:r>
      <w:r>
        <w:rPr>
          <w:rFonts w:hint="eastAsia" w:ascii="华文中宋" w:hAnsi="华文中宋" w:eastAsia="华文中宋" w:cs="华文中宋"/>
          <w:color w:val="auto"/>
        </w:rPr>
        <w:t>产品10%的价</w:t>
      </w:r>
      <w:r>
        <w:rPr>
          <w:rFonts w:hint="eastAsia" w:ascii="华文中宋" w:hAnsi="华文中宋" w:eastAsia="华文中宋" w:cs="华文中宋"/>
        </w:rPr>
        <w:t>格折扣，以折扣后的价格参与评审。</w:t>
      </w:r>
    </w:p>
    <w:p w14:paraId="18C25ED5">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投标人投标创新产品或创新服务的，需如实填写《创新产品或创新服务明细表》，并提供《山西省创新产品和服务推荐清单》。</w:t>
      </w:r>
    </w:p>
    <w:p w14:paraId="787E9E61">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创新产品或创新服务的价格折扣政策可与其他政府采购政策叠加。</w:t>
      </w:r>
    </w:p>
    <w:p w14:paraId="61CB8051">
      <w:pPr>
        <w:pStyle w:val="68"/>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（十）监狱企业参加本项目的评审标准</w:t>
      </w:r>
    </w:p>
    <w:p w14:paraId="3CD1B1E6">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监狱企业参加投标视同小微企业，需提供由省级以上监狱管理局或戒毒管理局出具的属于监狱企业的证明文件。</w:t>
      </w:r>
    </w:p>
    <w:p w14:paraId="76D1F825">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监狱企业只有提供本企业制造的货物或服务，或者提供其他小、微企业制造的货物，享受投标货物的价格折扣。若有的话，如实填写《小、微企业/残疾人福利性单位提供货物/服务明细表》。</w:t>
      </w:r>
    </w:p>
    <w:p w14:paraId="5F56A7B7">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3. </w:t>
      </w:r>
      <w:r>
        <w:rPr>
          <w:rFonts w:hint="eastAsia" w:ascii="华文中宋" w:hAnsi="华文中宋" w:eastAsia="华文中宋" w:cs="华文中宋"/>
          <w:color w:val="auto"/>
          <w:highlight w:val="none"/>
        </w:rPr>
        <w:t>监狱企业与中型企业组成联合体参</w:t>
      </w:r>
      <w:r>
        <w:rPr>
          <w:rFonts w:hint="eastAsia" w:ascii="华文中宋" w:hAnsi="华文中宋" w:eastAsia="华文中宋" w:cs="华文中宋"/>
        </w:rPr>
        <w:t>加投标的，或者向监狱企业分包，且联合体协议或分包意向协议约定监狱企业的协议金额占到合同金额30%以上的，享受投</w:t>
      </w:r>
      <w:r>
        <w:rPr>
          <w:rFonts w:hint="eastAsia" w:ascii="华文中宋" w:hAnsi="华文中宋" w:eastAsia="华文中宋" w:cs="华文中宋"/>
          <w:color w:val="auto"/>
        </w:rPr>
        <w:t>标标的</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w:t>
      </w:r>
      <w:r>
        <w:rPr>
          <w:rFonts w:hint="eastAsia" w:ascii="华文中宋" w:hAnsi="华文中宋" w:eastAsia="华文中宋" w:cs="华文中宋"/>
        </w:rPr>
        <w:t>价格扣除，用扣除后的价格参与评审。</w:t>
      </w:r>
    </w:p>
    <w:p w14:paraId="74AF801B">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（十一）本项目涉及商品包装和快递包装的评审标准</w:t>
      </w:r>
    </w:p>
    <w:p w14:paraId="1A8E0C72">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本文件</w:t>
      </w:r>
      <w:r>
        <w:rPr>
          <w:rFonts w:hint="eastAsia" w:ascii="华文中宋" w:hAnsi="华文中宋" w:eastAsia="华文中宋" w:cs="华文中宋"/>
          <w:lang w:val="en-US" w:eastAsia="zh-CN"/>
        </w:rPr>
        <w:t>涉及</w:t>
      </w:r>
      <w:r>
        <w:rPr>
          <w:rFonts w:hint="eastAsia" w:ascii="华文中宋" w:hAnsi="华文中宋" w:eastAsia="华文中宋" w:cs="华文中宋"/>
        </w:rPr>
        <w:t>商品包装和快递包装要求的，投标人须填写《商品包装和快递包装承诺函》。</w:t>
      </w:r>
    </w:p>
    <w:p w14:paraId="6190641D">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微软雅黑"/>
          <w:b/>
        </w:rPr>
      </w:pPr>
      <w:r>
        <w:rPr>
          <w:rFonts w:hint="eastAsia" w:ascii="华文中宋" w:hAnsi="华文中宋" w:eastAsia="华文中宋" w:cs="微软雅黑"/>
          <w:b/>
        </w:rPr>
        <w:t>三、无效投标的情形</w:t>
      </w:r>
    </w:p>
    <w:p w14:paraId="5758651B">
      <w:pPr>
        <w:pStyle w:val="68"/>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微软雅黑"/>
        </w:rPr>
      </w:pPr>
      <w:r>
        <w:rPr>
          <w:rFonts w:hint="eastAsia" w:ascii="华文中宋" w:hAnsi="华文中宋" w:eastAsia="华文中宋" w:cs="微软雅黑"/>
        </w:rPr>
        <w:t>未通过资格性、符合性审查的投标文件为无效投标。</w:t>
      </w:r>
    </w:p>
    <w:p w14:paraId="7D850C43">
      <w:pPr>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华文中宋" w:hAnsi="华文中宋" w:eastAsia="华文中宋" w:cs="微软雅黑"/>
          <w:b/>
          <w:szCs w:val="21"/>
        </w:rPr>
      </w:pPr>
      <w:r>
        <w:rPr>
          <w:rFonts w:hint="eastAsia" w:ascii="华文中宋" w:hAnsi="华文中宋" w:eastAsia="华文中宋" w:cs="微软雅黑"/>
          <w:b/>
          <w:szCs w:val="21"/>
        </w:rPr>
        <w:t>四、评标方法及中标条件</w:t>
      </w:r>
    </w:p>
    <w:p w14:paraId="380335E3">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sym w:font="Wingdings" w:char="00FE"/>
      </w:r>
      <w:r>
        <w:rPr>
          <w:rFonts w:hint="eastAsia" w:ascii="华文中宋" w:hAnsi="华文中宋" w:eastAsia="华文中宋" w:cs="微软雅黑"/>
          <w:b/>
          <w:bCs/>
        </w:rPr>
        <w:t>授权评标委员会确定中标人</w:t>
      </w:r>
    </w:p>
    <w:p w14:paraId="70D5633E">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采用最低评标价法评标的，按投标报价由低到高顺序排列，投标报价最低的投标人为中标人。投标报价相同的采取随机抽取的方式确定中标人。</w:t>
      </w:r>
    </w:p>
    <w:p w14:paraId="0B715C32">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FE"/>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305174D5">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b/>
        </w:rPr>
      </w:pPr>
      <w:r>
        <w:rPr>
          <w:rFonts w:hint="eastAsia" w:ascii="华文中宋" w:hAnsi="华文中宋" w:eastAsia="华文中宋" w:cs="微软雅黑"/>
          <w:b/>
          <w:bCs/>
        </w:rPr>
        <w:sym w:font="Wingdings" w:char="00A8"/>
      </w:r>
      <w:r>
        <w:rPr>
          <w:rFonts w:hint="eastAsia" w:ascii="华文中宋" w:hAnsi="华文中宋" w:eastAsia="华文中宋" w:cs="微软雅黑"/>
          <w:b/>
        </w:rPr>
        <w:t>评标委员会推荐中标候选人名单</w:t>
      </w:r>
    </w:p>
    <w:p w14:paraId="3319975D">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采用最低评标价法评标的，按投标报价由低到高顺序排列，投标报价最低的投标人推荐为中标候选人。投标报价相同的采取随机抽取的方式推荐为中标候选人。</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14:paraId="707B043A">
      <w:pPr>
        <w:pStyle w:val="68"/>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14:paraId="260F1FA4">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baseline"/>
        <w:rPr>
          <w:rFonts w:hint="eastAsia" w:ascii="华文中宋" w:hAnsi="华文中宋" w:eastAsia="华文中宋" w:cs="微软雅黑"/>
          <w:b/>
          <w:bCs/>
          <w:kern w:val="0"/>
          <w:szCs w:val="21"/>
        </w:rPr>
      </w:pPr>
      <w:r>
        <w:rPr>
          <w:rFonts w:hint="eastAsia" w:ascii="华文中宋" w:hAnsi="华文中宋" w:eastAsia="华文中宋" w:cs="微软雅黑"/>
          <w:b/>
          <w:bCs/>
          <w:kern w:val="0"/>
          <w:szCs w:val="21"/>
        </w:rPr>
        <w:t>说明：每一投标人的最终得分为所有评标委员会成员评分的算术平均值。评分分值计算保留小数点后二位，第三位四舍五入。</w:t>
      </w:r>
    </w:p>
    <w:p w14:paraId="772A5ED2">
      <w:pPr>
        <w:pStyle w:val="68"/>
        <w:snapToGrid w:val="0"/>
        <w:spacing w:line="480" w:lineRule="exact"/>
        <w:rPr>
          <w:b/>
          <w:bCs/>
        </w:rPr>
      </w:pPr>
      <w:r>
        <w:rPr>
          <w:rFonts w:hint="eastAsia" w:ascii="华文中宋" w:hAnsi="华文中宋" w:eastAsia="华文中宋"/>
          <w:b/>
        </w:rPr>
        <w:t>综合评分法评分细则</w:t>
      </w:r>
    </w:p>
    <w:tbl>
      <w:tblPr>
        <w:tblStyle w:val="28"/>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7"/>
      </w:tblGrid>
      <w:tr w14:paraId="1C62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6467169C">
            <w:pPr>
              <w:keepNext w:val="0"/>
              <w:keepLines w:val="0"/>
              <w:suppressLineNumbers w:val="0"/>
              <w:spacing w:before="0" w:beforeAutospacing="0" w:after="0" w:afterAutospacing="0" w:line="420" w:lineRule="exact"/>
              <w:ind w:left="0" w:right="0" w:firstLine="436" w:firstLineChars="196"/>
              <w:rPr>
                <w:rFonts w:ascii="华文中宋" w:hAnsi="华文中宋" w:eastAsia="华文中宋" w:cs="宋体"/>
                <w:color w:val="000000" w:themeColor="text1"/>
                <w:spacing w:val="6"/>
                <w:szCs w:val="21"/>
                <w14:textFill>
                  <w14:solidFill>
                    <w14:schemeClr w14:val="tx1"/>
                  </w14:solidFill>
                </w14:textFill>
              </w:rPr>
            </w:pPr>
            <w:r>
              <w:rPr>
                <w:rFonts w:hint="eastAsia" w:ascii="华文中宋" w:hAnsi="华文中宋" w:eastAsia="华文中宋" w:cs="宋体"/>
                <w:b/>
                <w:bCs/>
                <w:color w:val="000000" w:themeColor="text1"/>
                <w:spacing w:val="6"/>
                <w:szCs w:val="21"/>
                <w14:textFill>
                  <w14:solidFill>
                    <w14:schemeClr w14:val="tx1"/>
                  </w14:solidFill>
                </w14:textFill>
              </w:rPr>
              <w:t>一、商务部分</w:t>
            </w:r>
            <w:r>
              <w:rPr>
                <w:rFonts w:hint="eastAsia" w:ascii="华文中宋" w:hAnsi="华文中宋" w:eastAsia="华文中宋" w:cs="Arial"/>
                <w:b/>
                <w:color w:val="000000" w:themeColor="text1"/>
                <w:spacing w:val="6"/>
                <w:szCs w:val="21"/>
                <w14:textFill>
                  <w14:solidFill>
                    <w14:schemeClr w14:val="tx1"/>
                  </w14:solidFill>
                </w14:textFill>
              </w:rPr>
              <w:t>（ 8分）</w:t>
            </w:r>
            <w:r>
              <w:rPr>
                <w:rFonts w:hint="eastAsia" w:ascii="华文中宋" w:hAnsi="华文中宋" w:eastAsia="华文中宋" w:cs="宋体"/>
                <w:b/>
                <w:bCs/>
                <w:color w:val="000000" w:themeColor="text1"/>
                <w:spacing w:val="6"/>
                <w:szCs w:val="21"/>
                <w14:textFill>
                  <w14:solidFill>
                    <w14:schemeClr w14:val="tx1"/>
                  </w14:solidFill>
                </w14:textFill>
              </w:rPr>
              <w:t xml:space="preserve">  (由评标委员会共同认定)</w:t>
            </w:r>
          </w:p>
        </w:tc>
      </w:tr>
      <w:tr w14:paraId="7D46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24F653F7">
            <w:pPr>
              <w:keepNext w:val="0"/>
              <w:keepLines w:val="0"/>
              <w:widowControl/>
              <w:suppressLineNumbers w:val="0"/>
              <w:spacing w:before="0" w:beforeAutospacing="0" w:after="0" w:afterAutospacing="0" w:line="420" w:lineRule="exact"/>
              <w:ind w:left="0" w:right="0" w:firstLine="435" w:firstLineChars="196"/>
              <w:rPr>
                <w:rFonts w:ascii="华文中宋" w:hAnsi="华文中宋" w:eastAsia="华文中宋" w:cs="Arial"/>
                <w:color w:val="000000" w:themeColor="text1"/>
                <w:spacing w:val="6"/>
                <w:szCs w:val="21"/>
                <w14:textFill>
                  <w14:solidFill>
                    <w14:schemeClr w14:val="tx1"/>
                  </w14:solidFill>
                </w14:textFill>
              </w:rPr>
            </w:pPr>
            <w:r>
              <w:rPr>
                <w:rFonts w:hint="eastAsia" w:ascii="华文中宋" w:hAnsi="华文中宋" w:eastAsia="华文中宋" w:cs="Arial"/>
                <w:bCs/>
                <w:color w:val="000000" w:themeColor="text1"/>
                <w:spacing w:val="6"/>
                <w:szCs w:val="21"/>
                <w14:textFill>
                  <w14:solidFill>
                    <w14:schemeClr w14:val="tx1"/>
                  </w14:solidFill>
                </w14:textFill>
              </w:rPr>
              <w:t>1、同类项目</w:t>
            </w:r>
            <w:r>
              <w:rPr>
                <w:rFonts w:hint="eastAsia" w:ascii="华文中宋" w:hAnsi="华文中宋" w:eastAsia="华文中宋" w:cs="Arial"/>
                <w:color w:val="000000" w:themeColor="text1"/>
                <w:spacing w:val="6"/>
                <w:szCs w:val="21"/>
                <w14:textFill>
                  <w14:solidFill>
                    <w14:schemeClr w14:val="tx1"/>
                  </w14:solidFill>
                </w14:textFill>
              </w:rPr>
              <w:t>合同案例是以提供的投标人自身合同为准，要求必须提供与最终用户签订的合同首页、合同金额所在页、签字盖章页、供货明细单及项目结算凭证（发票或银行划拨单）影印件作为证明。每提供一个在投标截止日期三个年度内签署的</w:t>
            </w:r>
            <w:r>
              <w:rPr>
                <w:rFonts w:hint="eastAsia" w:ascii="华文中宋" w:hAnsi="华文中宋" w:eastAsia="华文中宋"/>
                <w:color w:val="000000" w:themeColor="text1"/>
                <w:szCs w:val="21"/>
                <w14:textFill>
                  <w14:solidFill>
                    <w14:schemeClr w14:val="tx1"/>
                  </w14:solidFill>
                </w14:textFill>
              </w:rPr>
              <w:t>同类项目</w:t>
            </w:r>
            <w:r>
              <w:rPr>
                <w:rFonts w:hint="eastAsia" w:ascii="华文中宋" w:hAnsi="华文中宋" w:eastAsia="华文中宋" w:cs="Arial"/>
                <w:color w:val="000000" w:themeColor="text1"/>
                <w:spacing w:val="6"/>
                <w:szCs w:val="21"/>
                <w14:textFill>
                  <w14:solidFill>
                    <w14:schemeClr w14:val="tx1"/>
                  </w14:solidFill>
                </w14:textFill>
              </w:rPr>
              <w:t>合同案例，每个</w:t>
            </w:r>
            <w:r>
              <w:rPr>
                <w:rFonts w:ascii="华文中宋" w:hAnsi="华文中宋" w:eastAsia="华文中宋" w:cs="Arial"/>
                <w:color w:val="000000" w:themeColor="text1"/>
                <w:spacing w:val="6"/>
                <w:szCs w:val="21"/>
                <w14:textFill>
                  <w14:solidFill>
                    <w14:schemeClr w14:val="tx1"/>
                  </w14:solidFill>
                </w14:textFill>
              </w:rPr>
              <w:t>案例得</w:t>
            </w:r>
            <w:r>
              <w:rPr>
                <w:rFonts w:hint="eastAsia" w:ascii="华文中宋" w:hAnsi="华文中宋" w:eastAsia="华文中宋" w:cs="Arial"/>
                <w:color w:val="000000" w:themeColor="text1"/>
                <w:spacing w:val="6"/>
                <w:szCs w:val="21"/>
                <w14:textFill>
                  <w14:solidFill>
                    <w14:schemeClr w14:val="tx1"/>
                  </w14:solidFill>
                </w14:textFill>
              </w:rPr>
              <w:t>2分。最高得</w:t>
            </w:r>
            <w:r>
              <w:rPr>
                <w:rFonts w:ascii="华文中宋" w:hAnsi="华文中宋" w:eastAsia="华文中宋" w:cs="Arial"/>
                <w:color w:val="000000" w:themeColor="text1"/>
                <w:spacing w:val="6"/>
                <w:szCs w:val="21"/>
                <w14:textFill>
                  <w14:solidFill>
                    <w14:schemeClr w14:val="tx1"/>
                  </w14:solidFill>
                </w14:textFill>
              </w:rPr>
              <w:t>6</w:t>
            </w:r>
            <w:r>
              <w:rPr>
                <w:rFonts w:hint="eastAsia" w:ascii="华文中宋" w:hAnsi="华文中宋" w:eastAsia="华文中宋" w:cs="Arial"/>
                <w:color w:val="000000" w:themeColor="text1"/>
                <w:spacing w:val="6"/>
                <w:szCs w:val="21"/>
                <w14:textFill>
                  <w14:solidFill>
                    <w14:schemeClr w14:val="tx1"/>
                  </w14:solidFill>
                </w14:textFill>
              </w:rPr>
              <w:t>分。</w:t>
            </w:r>
          </w:p>
          <w:p w14:paraId="288C8D02">
            <w:pPr>
              <w:keepNext w:val="0"/>
              <w:keepLines w:val="0"/>
              <w:suppressLineNumbers w:val="0"/>
              <w:spacing w:before="0" w:beforeAutospacing="0" w:after="0" w:afterAutospacing="0" w:line="420" w:lineRule="exact"/>
              <w:ind w:left="0" w:right="0" w:firstLine="444" w:firstLineChars="200"/>
              <w:rPr>
                <w:rFonts w:ascii="华文中宋" w:hAnsi="华文中宋" w:eastAsia="华文中宋" w:cs="Arial"/>
                <w:bCs/>
                <w:color w:val="000000" w:themeColor="text1"/>
                <w:spacing w:val="6"/>
                <w:szCs w:val="21"/>
                <w14:textFill>
                  <w14:solidFill>
                    <w14:schemeClr w14:val="tx1"/>
                  </w14:solidFill>
                </w14:textFill>
              </w:rPr>
            </w:pPr>
            <w:r>
              <w:rPr>
                <w:rFonts w:hint="eastAsia" w:ascii="华文中宋" w:hAnsi="华文中宋" w:eastAsia="华文中宋" w:cs="Arial"/>
                <w:color w:val="000000" w:themeColor="text1"/>
                <w:spacing w:val="6"/>
                <w:szCs w:val="21"/>
                <w14:textFill>
                  <w14:solidFill>
                    <w14:schemeClr w14:val="tx1"/>
                  </w14:solidFill>
                </w14:textFill>
              </w:rPr>
              <w:t>2、投报产品中包含“节能产品政府采购品目清单、环境标志产品政府采购品目清单”中非政府强制采购产品的，并能提供国家确定的认证机构出具的、处于有效期之内的节能产品、环境标志产品认证证书影印件。每一项得1分，最高得2分，否则不得分。</w:t>
            </w:r>
          </w:p>
        </w:tc>
      </w:tr>
      <w:tr w14:paraId="0F1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34EABC2E">
            <w:pPr>
              <w:keepNext w:val="0"/>
              <w:keepLines w:val="0"/>
              <w:suppressLineNumbers w:val="0"/>
              <w:spacing w:before="0" w:beforeAutospacing="0" w:after="0" w:afterAutospacing="0" w:line="480" w:lineRule="exact"/>
              <w:ind w:left="0" w:right="0" w:firstLine="444" w:firstLineChars="200"/>
              <w:rPr>
                <w:rFonts w:ascii="华文中宋" w:hAnsi="华文中宋" w:eastAsia="华文中宋" w:cs="宋体"/>
                <w:b/>
                <w:bCs/>
                <w:color w:val="000000" w:themeColor="text1"/>
                <w:spacing w:val="6"/>
                <w:szCs w:val="21"/>
                <w14:textFill>
                  <w14:solidFill>
                    <w14:schemeClr w14:val="tx1"/>
                  </w14:solidFill>
                </w14:textFill>
              </w:rPr>
            </w:pPr>
            <w:r>
              <w:rPr>
                <w:rFonts w:hint="eastAsia" w:ascii="华文中宋" w:hAnsi="华文中宋" w:eastAsia="华文中宋" w:cs="宋体"/>
                <w:b/>
                <w:bCs/>
                <w:color w:val="000000" w:themeColor="text1"/>
                <w:spacing w:val="6"/>
                <w:szCs w:val="21"/>
                <w14:textFill>
                  <w14:solidFill>
                    <w14:schemeClr w14:val="tx1"/>
                  </w14:solidFill>
                </w14:textFill>
              </w:rPr>
              <w:t>二、服务部分（</w:t>
            </w:r>
            <w:r>
              <w:rPr>
                <w:rFonts w:hint="eastAsia" w:ascii="华文中宋" w:hAnsi="华文中宋" w:eastAsia="华文中宋"/>
                <w:b/>
                <w:bCs/>
                <w:color w:val="000000" w:themeColor="text1"/>
                <w:spacing w:val="6"/>
                <w:szCs w:val="21"/>
                <w14:textFill>
                  <w14:solidFill>
                    <w14:schemeClr w14:val="tx1"/>
                  </w14:solidFill>
                </w14:textFill>
              </w:rPr>
              <w:t>1</w:t>
            </w:r>
            <w:r>
              <w:rPr>
                <w:rFonts w:ascii="华文中宋" w:hAnsi="华文中宋" w:eastAsia="华文中宋"/>
                <w:b/>
                <w:bCs/>
                <w:color w:val="000000" w:themeColor="text1"/>
                <w:spacing w:val="6"/>
                <w:szCs w:val="21"/>
                <w14:textFill>
                  <w14:solidFill>
                    <w14:schemeClr w14:val="tx1"/>
                  </w14:solidFill>
                </w14:textFill>
              </w:rPr>
              <w:t>6</w:t>
            </w:r>
            <w:r>
              <w:rPr>
                <w:rFonts w:hint="eastAsia" w:ascii="华文中宋" w:hAnsi="华文中宋" w:eastAsia="华文中宋" w:cs="宋体"/>
                <w:b/>
                <w:bCs/>
                <w:color w:val="000000" w:themeColor="text1"/>
                <w:spacing w:val="6"/>
                <w:szCs w:val="21"/>
                <w14:textFill>
                  <w14:solidFill>
                    <w14:schemeClr w14:val="tx1"/>
                  </w14:solidFill>
                </w14:textFill>
              </w:rPr>
              <w:t>分）  （</w:t>
            </w:r>
            <w:r>
              <w:rPr>
                <w:rFonts w:hint="eastAsia" w:ascii="华文中宋" w:hAnsi="华文中宋" w:eastAsia="华文中宋"/>
                <w:b/>
                <w:color w:val="000000" w:themeColor="text1"/>
                <w:szCs w:val="21"/>
                <w14:textFill>
                  <w14:solidFill>
                    <w14:schemeClr w14:val="tx1"/>
                  </w14:solidFill>
                </w14:textFill>
              </w:rPr>
              <w:t>按投标人服务方案中的</w:t>
            </w:r>
            <w:r>
              <w:rPr>
                <w:rFonts w:hint="eastAsia" w:ascii="华文中宋" w:hAnsi="华文中宋" w:eastAsia="华文中宋"/>
                <w:b/>
                <w:color w:val="000000" w:themeColor="text1"/>
                <w:spacing w:val="10"/>
                <w:szCs w:val="21"/>
                <w14:textFill>
                  <w14:solidFill>
                    <w14:schemeClr w14:val="tx1"/>
                  </w14:solidFill>
                </w14:textFill>
              </w:rPr>
              <w:t>组织实施保障、售后服务承诺、培训内容等</w:t>
            </w:r>
            <w:r>
              <w:rPr>
                <w:rFonts w:hint="eastAsia" w:ascii="华文中宋" w:hAnsi="华文中宋" w:eastAsia="华文中宋" w:cs="宋体"/>
                <w:b/>
                <w:bCs/>
                <w:color w:val="000000" w:themeColor="text1"/>
                <w:spacing w:val="6"/>
                <w:szCs w:val="21"/>
                <w14:textFill>
                  <w14:solidFill>
                    <w14:schemeClr w14:val="tx1"/>
                  </w14:solidFill>
                </w14:textFill>
              </w:rPr>
              <w:t>由评标委员会共同认定）</w:t>
            </w:r>
          </w:p>
        </w:tc>
      </w:tr>
      <w:tr w14:paraId="1CE1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0BCF6648">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color w:val="000000" w:themeColor="text1"/>
                <w:spacing w:val="10"/>
                <w:szCs w:val="21"/>
                <w14:textFill>
                  <w14:solidFill>
                    <w14:schemeClr w14:val="tx1"/>
                  </w14:solidFill>
                </w14:textFill>
              </w:rPr>
            </w:pPr>
            <w:r>
              <w:rPr>
                <w:rFonts w:hint="eastAsia" w:ascii="华文中宋" w:hAnsi="华文中宋" w:eastAsia="华文中宋"/>
                <w:color w:val="000000" w:themeColor="text1"/>
                <w:spacing w:val="10"/>
                <w:szCs w:val="21"/>
                <w14:textFill>
                  <w14:solidFill>
                    <w14:schemeClr w14:val="tx1"/>
                  </w14:solidFill>
                </w14:textFill>
              </w:rPr>
              <w:t>1、提供本项目实施及售后服务方案，具体内容包括但不限于：售后服务承诺、项目实施安排、工作进度计划、服务保障措施、技术服务支持、应急保障措施及能够体现服务水平和能力的证书或证明材料等相关内容（</w:t>
            </w:r>
            <w:r>
              <w:rPr>
                <w:rFonts w:ascii="华文中宋" w:hAnsi="华文中宋" w:eastAsia="华文中宋"/>
                <w:color w:val="000000" w:themeColor="text1"/>
                <w:spacing w:val="10"/>
                <w:szCs w:val="21"/>
                <w14:textFill>
                  <w14:solidFill>
                    <w14:schemeClr w14:val="tx1"/>
                  </w14:solidFill>
                </w14:textFill>
              </w:rPr>
              <w:t>4</w:t>
            </w:r>
            <w:r>
              <w:rPr>
                <w:rFonts w:hint="eastAsia" w:ascii="华文中宋" w:hAnsi="华文中宋" w:eastAsia="华文中宋"/>
                <w:color w:val="000000" w:themeColor="text1"/>
                <w:spacing w:val="10"/>
                <w:szCs w:val="21"/>
                <w14:textFill>
                  <w14:solidFill>
                    <w14:schemeClr w14:val="tx1"/>
                  </w14:solidFill>
                </w14:textFill>
              </w:rPr>
              <w:t>分）。各投标人需按照上述内容要求完整、详细的制定本项目实施及售后服务方案，提供的相关承诺及内容要具体明确，且具有可操作性、可持续性。评标小组将对投标人提供的上述内容进行综合比较评审，全面评判，根据响应程度及优劣情况划分评分档次。经综合评价比较，认定服务方案内容全面、完整、详细，针对性、可操作性强，具有完整的服务体系，且合理可行的，得</w:t>
            </w:r>
            <w:r>
              <w:rPr>
                <w:rFonts w:ascii="华文中宋" w:hAnsi="华文中宋" w:eastAsia="华文中宋"/>
                <w:color w:val="000000" w:themeColor="text1"/>
                <w:spacing w:val="10"/>
                <w:szCs w:val="21"/>
                <w14:textFill>
                  <w14:solidFill>
                    <w14:schemeClr w14:val="tx1"/>
                  </w14:solidFill>
                </w14:textFill>
              </w:rPr>
              <w:t>4</w:t>
            </w:r>
            <w:r>
              <w:rPr>
                <w:rFonts w:hint="eastAsia" w:ascii="华文中宋" w:hAnsi="华文中宋" w:eastAsia="华文中宋"/>
                <w:color w:val="000000" w:themeColor="text1"/>
                <w:spacing w:val="10"/>
                <w:szCs w:val="21"/>
                <w14:textFill>
                  <w14:solidFill>
                    <w14:schemeClr w14:val="tx1"/>
                  </w14:solidFill>
                </w14:textFill>
              </w:rPr>
              <w:t>分；认定服务方案内容完整、详细、针对性较强，服务体系基本健全，且基本合理可行的，得</w:t>
            </w:r>
            <w:r>
              <w:rPr>
                <w:rFonts w:ascii="华文中宋" w:hAnsi="华文中宋" w:eastAsia="华文中宋"/>
                <w:color w:val="000000" w:themeColor="text1"/>
                <w:spacing w:val="10"/>
                <w:szCs w:val="21"/>
                <w14:textFill>
                  <w14:solidFill>
                    <w14:schemeClr w14:val="tx1"/>
                  </w14:solidFill>
                </w14:textFill>
              </w:rPr>
              <w:t>2</w:t>
            </w:r>
            <w:r>
              <w:rPr>
                <w:rFonts w:hint="eastAsia" w:ascii="华文中宋" w:hAnsi="华文中宋" w:eastAsia="华文中宋"/>
                <w:color w:val="000000" w:themeColor="text1"/>
                <w:spacing w:val="10"/>
                <w:szCs w:val="21"/>
                <w14:textFill>
                  <w14:solidFill>
                    <w14:schemeClr w14:val="tx1"/>
                  </w14:solidFill>
                </w14:textFill>
              </w:rPr>
              <w:t>分；认定服务方案简单、内容模糊、基本可行的，得1分；未按要求提供相关内容的，不得分。</w:t>
            </w:r>
          </w:p>
          <w:p w14:paraId="71E713CF">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spacing w:val="6"/>
                <w:szCs w:val="21"/>
              </w:rPr>
            </w:pPr>
            <w:r>
              <w:rPr>
                <w:rFonts w:hint="eastAsia" w:ascii="华文中宋" w:hAnsi="华文中宋" w:eastAsia="华文中宋"/>
                <w:color w:val="000000" w:themeColor="text1"/>
                <w:spacing w:val="10"/>
                <w:szCs w:val="21"/>
                <w14:textFill>
                  <w14:solidFill>
                    <w14:schemeClr w14:val="tx1"/>
                  </w14:solidFill>
                </w14:textFill>
              </w:rPr>
              <w:t>2、提供数据</w:t>
            </w:r>
            <w:r>
              <w:rPr>
                <w:rFonts w:ascii="华文中宋" w:hAnsi="华文中宋" w:eastAsia="华文中宋"/>
                <w:spacing w:val="6"/>
                <w:szCs w:val="21"/>
              </w:rPr>
              <w:t>链路服务商</w:t>
            </w:r>
            <w:r>
              <w:rPr>
                <w:rFonts w:hint="eastAsia" w:ascii="华文中宋" w:hAnsi="华文中宋" w:eastAsia="华文中宋"/>
                <w:spacing w:val="6"/>
                <w:szCs w:val="21"/>
              </w:rPr>
              <w:t>相关</w:t>
            </w:r>
            <w:r>
              <w:rPr>
                <w:rFonts w:ascii="华文中宋" w:hAnsi="华文中宋" w:eastAsia="华文中宋"/>
                <w:spacing w:val="6"/>
                <w:szCs w:val="21"/>
              </w:rPr>
              <w:t>资质</w:t>
            </w:r>
            <w:r>
              <w:rPr>
                <w:rFonts w:hint="eastAsia" w:ascii="华文中宋" w:hAnsi="华文中宋" w:eastAsia="华文中宋"/>
                <w:spacing w:val="6"/>
                <w:szCs w:val="21"/>
              </w:rPr>
              <w:t>及</w:t>
            </w:r>
            <w:r>
              <w:rPr>
                <w:rFonts w:ascii="华文中宋" w:hAnsi="华文中宋" w:eastAsia="华文中宋"/>
                <w:spacing w:val="6"/>
                <w:szCs w:val="21"/>
              </w:rPr>
              <w:t>合作协议</w:t>
            </w:r>
            <w:r>
              <w:rPr>
                <w:rFonts w:hint="eastAsia" w:ascii="华文中宋" w:hAnsi="华文中宋" w:eastAsia="华文中宋"/>
                <w:spacing w:val="6"/>
                <w:szCs w:val="21"/>
              </w:rPr>
              <w:t>（</w:t>
            </w:r>
            <w:r>
              <w:rPr>
                <w:rFonts w:ascii="华文中宋" w:hAnsi="华文中宋" w:eastAsia="华文中宋"/>
                <w:spacing w:val="6"/>
                <w:szCs w:val="21"/>
              </w:rPr>
              <w:t>5</w:t>
            </w:r>
            <w:r>
              <w:rPr>
                <w:rFonts w:hint="eastAsia" w:ascii="华文中宋" w:hAnsi="华文中宋" w:eastAsia="华文中宋"/>
                <w:spacing w:val="6"/>
                <w:szCs w:val="21"/>
              </w:rPr>
              <w:t>分）。能够</w:t>
            </w:r>
            <w:r>
              <w:rPr>
                <w:rFonts w:ascii="华文中宋" w:hAnsi="华文中宋" w:eastAsia="华文中宋"/>
                <w:spacing w:val="6"/>
                <w:szCs w:val="21"/>
              </w:rPr>
              <w:t>提供</w:t>
            </w:r>
            <w:r>
              <w:rPr>
                <w:rFonts w:hint="eastAsia" w:ascii="华文中宋" w:hAnsi="华文中宋" w:eastAsia="华文中宋"/>
                <w:spacing w:val="6"/>
                <w:szCs w:val="21"/>
              </w:rPr>
              <w:t>基础电信业务</w:t>
            </w:r>
            <w:r>
              <w:rPr>
                <w:rFonts w:ascii="华文中宋" w:hAnsi="华文中宋" w:eastAsia="华文中宋"/>
                <w:spacing w:val="6"/>
                <w:szCs w:val="21"/>
              </w:rPr>
              <w:t>经营许可证</w:t>
            </w:r>
            <w:r>
              <w:rPr>
                <w:rFonts w:hint="eastAsia" w:ascii="华文中宋" w:hAnsi="华文中宋" w:eastAsia="华文中宋"/>
                <w:spacing w:val="6"/>
                <w:szCs w:val="21"/>
              </w:rPr>
              <w:t>或</w:t>
            </w:r>
            <w:r>
              <w:rPr>
                <w:rFonts w:ascii="华文中宋" w:hAnsi="华文中宋" w:eastAsia="华文中宋"/>
                <w:spacing w:val="6"/>
                <w:szCs w:val="21"/>
              </w:rPr>
              <w:t>增值电信业务许可证（</w:t>
            </w:r>
            <w:r>
              <w:rPr>
                <w:rFonts w:hint="eastAsia" w:ascii="华文中宋" w:hAnsi="华文中宋" w:eastAsia="华文中宋"/>
                <w:spacing w:val="6"/>
                <w:szCs w:val="21"/>
              </w:rPr>
              <w:t>工信部颁发</w:t>
            </w:r>
            <w:r>
              <w:rPr>
                <w:rFonts w:ascii="华文中宋" w:hAnsi="华文中宋" w:eastAsia="华文中宋"/>
                <w:spacing w:val="6"/>
                <w:szCs w:val="21"/>
              </w:rPr>
              <w:t>）得3</w:t>
            </w:r>
            <w:r>
              <w:rPr>
                <w:rFonts w:hint="eastAsia" w:ascii="华文中宋" w:hAnsi="华文中宋" w:eastAsia="华文中宋"/>
                <w:spacing w:val="6"/>
                <w:szCs w:val="21"/>
              </w:rPr>
              <w:t>分；能够</w:t>
            </w:r>
            <w:r>
              <w:rPr>
                <w:rFonts w:ascii="华文中宋" w:hAnsi="华文中宋" w:eastAsia="华文中宋"/>
                <w:spacing w:val="6"/>
                <w:szCs w:val="21"/>
              </w:rPr>
              <w:t>提供</w:t>
            </w:r>
            <w:r>
              <w:rPr>
                <w:rFonts w:hint="eastAsia" w:ascii="华文中宋" w:hAnsi="华文中宋" w:eastAsia="华文中宋"/>
                <w:spacing w:val="6"/>
                <w:szCs w:val="21"/>
              </w:rPr>
              <w:t>与数据链路</w:t>
            </w:r>
            <w:r>
              <w:rPr>
                <w:rFonts w:ascii="华文中宋" w:hAnsi="华文中宋" w:eastAsia="华文中宋"/>
                <w:spacing w:val="6"/>
                <w:szCs w:val="21"/>
              </w:rPr>
              <w:t>服务商</w:t>
            </w:r>
            <w:r>
              <w:rPr>
                <w:rFonts w:hint="eastAsia" w:ascii="华文中宋" w:hAnsi="华文中宋" w:eastAsia="华文中宋"/>
                <w:spacing w:val="6"/>
                <w:szCs w:val="21"/>
              </w:rPr>
              <w:t>签订</w:t>
            </w:r>
            <w:r>
              <w:rPr>
                <w:rFonts w:ascii="华文中宋" w:hAnsi="华文中宋" w:eastAsia="华文中宋"/>
                <w:spacing w:val="6"/>
                <w:szCs w:val="21"/>
              </w:rPr>
              <w:t>的</w:t>
            </w:r>
            <w:r>
              <w:rPr>
                <w:rFonts w:hint="eastAsia" w:ascii="华文中宋" w:hAnsi="华文中宋" w:eastAsia="华文中宋"/>
                <w:spacing w:val="6"/>
                <w:szCs w:val="21"/>
              </w:rPr>
              <w:t>合作</w:t>
            </w:r>
            <w:r>
              <w:rPr>
                <w:rFonts w:ascii="华文中宋" w:hAnsi="华文中宋" w:eastAsia="华文中宋"/>
                <w:spacing w:val="6"/>
                <w:szCs w:val="21"/>
              </w:rPr>
              <w:t>意向得</w:t>
            </w:r>
            <w:r>
              <w:rPr>
                <w:rFonts w:hint="eastAsia" w:ascii="华文中宋" w:hAnsi="华文中宋" w:eastAsia="华文中宋"/>
                <w:spacing w:val="6"/>
                <w:szCs w:val="21"/>
              </w:rPr>
              <w:t>2分</w:t>
            </w:r>
            <w:r>
              <w:rPr>
                <w:rFonts w:ascii="华文中宋" w:hAnsi="华文中宋" w:eastAsia="华文中宋"/>
                <w:spacing w:val="6"/>
                <w:szCs w:val="21"/>
              </w:rPr>
              <w:t>，</w:t>
            </w:r>
            <w:r>
              <w:rPr>
                <w:rFonts w:hint="eastAsia" w:ascii="华文中宋" w:hAnsi="华文中宋" w:eastAsia="华文中宋"/>
                <w:spacing w:val="6"/>
                <w:szCs w:val="21"/>
              </w:rPr>
              <w:t>未能</w:t>
            </w:r>
            <w:r>
              <w:rPr>
                <w:rFonts w:ascii="华文中宋" w:hAnsi="华文中宋" w:eastAsia="华文中宋"/>
                <w:spacing w:val="6"/>
                <w:szCs w:val="21"/>
              </w:rPr>
              <w:t>提供</w:t>
            </w:r>
            <w:r>
              <w:rPr>
                <w:rFonts w:hint="eastAsia" w:ascii="华文中宋" w:hAnsi="华文中宋" w:eastAsia="华文中宋"/>
                <w:spacing w:val="6"/>
                <w:szCs w:val="21"/>
              </w:rPr>
              <w:t>相关</w:t>
            </w:r>
            <w:r>
              <w:rPr>
                <w:rFonts w:ascii="华文中宋" w:hAnsi="华文中宋" w:eastAsia="华文中宋"/>
                <w:spacing w:val="6"/>
                <w:szCs w:val="21"/>
              </w:rPr>
              <w:t>证明，</w:t>
            </w:r>
            <w:r>
              <w:rPr>
                <w:rFonts w:hint="eastAsia" w:ascii="华文中宋" w:hAnsi="华文中宋" w:eastAsia="华文中宋"/>
                <w:spacing w:val="6"/>
                <w:szCs w:val="21"/>
              </w:rPr>
              <w:t>不得分</w:t>
            </w:r>
            <w:r>
              <w:rPr>
                <w:rFonts w:ascii="华文中宋" w:hAnsi="华文中宋" w:eastAsia="华文中宋"/>
                <w:spacing w:val="6"/>
                <w:szCs w:val="21"/>
              </w:rPr>
              <w:t>。</w:t>
            </w:r>
          </w:p>
          <w:p w14:paraId="23A3897C">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color w:val="000000" w:themeColor="text1"/>
                <w:spacing w:val="10"/>
                <w:szCs w:val="21"/>
                <w14:textFill>
                  <w14:solidFill>
                    <w14:schemeClr w14:val="tx1"/>
                  </w14:solidFill>
                </w14:textFill>
              </w:rPr>
            </w:pPr>
            <w:r>
              <w:rPr>
                <w:rFonts w:hint="eastAsia" w:ascii="华文中宋" w:hAnsi="华文中宋" w:eastAsia="华文中宋"/>
                <w:color w:val="000000" w:themeColor="text1"/>
                <w:spacing w:val="10"/>
                <w:szCs w:val="21"/>
                <w14:textFill>
                  <w14:solidFill>
                    <w14:schemeClr w14:val="tx1"/>
                  </w14:solidFill>
                </w14:textFill>
              </w:rPr>
              <w:t>3、有且准确提供本项目售后服务总负责人的姓名、职务、详细的地址和联系方式的得1分，否则不得分。</w:t>
            </w:r>
          </w:p>
          <w:p w14:paraId="30A9C2CC">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color w:val="000000" w:themeColor="text1"/>
                <w:spacing w:val="10"/>
                <w:szCs w:val="21"/>
                <w14:textFill>
                  <w14:solidFill>
                    <w14:schemeClr w14:val="tx1"/>
                  </w14:solidFill>
                </w14:textFill>
              </w:rPr>
            </w:pPr>
            <w:r>
              <w:rPr>
                <w:rFonts w:ascii="华文中宋" w:hAnsi="华文中宋" w:eastAsia="华文中宋"/>
                <w:color w:val="000000" w:themeColor="text1"/>
                <w:spacing w:val="10"/>
                <w:szCs w:val="21"/>
                <w14:textFill>
                  <w14:solidFill>
                    <w14:schemeClr w14:val="tx1"/>
                  </w14:solidFill>
                </w14:textFill>
              </w:rPr>
              <w:t>4</w:t>
            </w:r>
            <w:r>
              <w:rPr>
                <w:rFonts w:hint="eastAsia" w:ascii="华文中宋" w:hAnsi="华文中宋" w:eastAsia="华文中宋"/>
                <w:color w:val="000000" w:themeColor="text1"/>
                <w:spacing w:val="10"/>
                <w:szCs w:val="21"/>
                <w14:textFill>
                  <w14:solidFill>
                    <w14:schemeClr w14:val="tx1"/>
                  </w14:solidFill>
                </w14:textFill>
              </w:rPr>
              <w:t>、质保期内对维修、服务时间的响应情况（2分）。根据各投标人响应情况进行打分，响应速度快、维修时间短、30分钟内响应并到达现场，提供解决方案的，得2分；响应速度一般、维修时间较长、1小时内到达现场的，得1分；未按要求提供相关内容的，不得分。</w:t>
            </w:r>
          </w:p>
          <w:p w14:paraId="3A98C8DE">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color w:val="000000" w:themeColor="text1"/>
                <w:spacing w:val="10"/>
                <w:szCs w:val="21"/>
                <w14:textFill>
                  <w14:solidFill>
                    <w14:schemeClr w14:val="tx1"/>
                  </w14:solidFill>
                </w14:textFill>
              </w:rPr>
            </w:pPr>
            <w:r>
              <w:rPr>
                <w:rFonts w:ascii="华文中宋" w:hAnsi="华文中宋" w:eastAsia="华文中宋"/>
                <w:color w:val="000000" w:themeColor="text1"/>
                <w:spacing w:val="10"/>
                <w:szCs w:val="21"/>
                <w14:textFill>
                  <w14:solidFill>
                    <w14:schemeClr w14:val="tx1"/>
                  </w14:solidFill>
                </w14:textFill>
              </w:rPr>
              <w:t>5</w:t>
            </w:r>
            <w:r>
              <w:rPr>
                <w:rFonts w:hint="eastAsia" w:ascii="华文中宋" w:hAnsi="华文中宋" w:eastAsia="华文中宋"/>
                <w:color w:val="000000" w:themeColor="text1"/>
                <w:spacing w:val="10"/>
                <w:szCs w:val="21"/>
                <w14:textFill>
                  <w14:solidFill>
                    <w14:schemeClr w14:val="tx1"/>
                  </w14:solidFill>
                </w14:textFill>
              </w:rPr>
              <w:t>、技术支持团队（2分）。技术团队具备项目管理、系统开发、安全、网络搭建等能力。团队的人员具有信息系统项目管理师、网络工程师、信息安全工程师、软件设计师，每项提供一个及以上国家承认的专业认证证书的得</w:t>
            </w:r>
            <w:r>
              <w:rPr>
                <w:rFonts w:ascii="华文中宋" w:hAnsi="华文中宋" w:eastAsia="华文中宋"/>
                <w:color w:val="000000" w:themeColor="text1"/>
                <w:spacing w:val="10"/>
                <w:szCs w:val="21"/>
                <w14:textFill>
                  <w14:solidFill>
                    <w14:schemeClr w14:val="tx1"/>
                  </w14:solidFill>
                </w14:textFill>
              </w:rPr>
              <w:t>0.5</w:t>
            </w:r>
            <w:r>
              <w:rPr>
                <w:rFonts w:hint="eastAsia" w:ascii="华文中宋" w:hAnsi="华文中宋" w:eastAsia="华文中宋"/>
                <w:color w:val="000000" w:themeColor="text1"/>
                <w:spacing w:val="10"/>
                <w:szCs w:val="21"/>
                <w14:textFill>
                  <w14:solidFill>
                    <w14:schemeClr w14:val="tx1"/>
                  </w14:solidFill>
                </w14:textFill>
              </w:rPr>
              <w:t>分，最高得</w:t>
            </w:r>
            <w:r>
              <w:rPr>
                <w:rFonts w:ascii="华文中宋" w:hAnsi="华文中宋" w:eastAsia="华文中宋"/>
                <w:color w:val="000000" w:themeColor="text1"/>
                <w:spacing w:val="10"/>
                <w:szCs w:val="21"/>
                <w14:textFill>
                  <w14:solidFill>
                    <w14:schemeClr w14:val="tx1"/>
                  </w14:solidFill>
                </w14:textFill>
              </w:rPr>
              <w:t>2</w:t>
            </w:r>
            <w:r>
              <w:rPr>
                <w:rFonts w:hint="eastAsia" w:ascii="华文中宋" w:hAnsi="华文中宋" w:eastAsia="华文中宋"/>
                <w:color w:val="000000" w:themeColor="text1"/>
                <w:spacing w:val="10"/>
                <w:szCs w:val="21"/>
                <w14:textFill>
                  <w14:solidFill>
                    <w14:schemeClr w14:val="tx1"/>
                  </w14:solidFill>
                </w14:textFill>
              </w:rPr>
              <w:t>分。</w:t>
            </w:r>
          </w:p>
          <w:p w14:paraId="2361E4D9">
            <w:pPr>
              <w:keepNext w:val="0"/>
              <w:keepLines w:val="0"/>
              <w:suppressLineNumbers w:val="0"/>
              <w:spacing w:before="0" w:beforeAutospacing="0" w:after="0" w:afterAutospacing="0" w:line="420" w:lineRule="exact"/>
              <w:ind w:left="0" w:right="0" w:firstLine="460" w:firstLineChars="200"/>
              <w:rPr>
                <w:rFonts w:ascii="华文中宋" w:hAnsi="华文中宋" w:eastAsia="华文中宋"/>
                <w:color w:val="000000" w:themeColor="text1"/>
                <w:spacing w:val="10"/>
                <w:szCs w:val="21"/>
                <w14:textFill>
                  <w14:solidFill>
                    <w14:schemeClr w14:val="tx1"/>
                  </w14:solidFill>
                </w14:textFill>
              </w:rPr>
            </w:pPr>
            <w:r>
              <w:rPr>
                <w:rFonts w:ascii="华文中宋" w:hAnsi="华文中宋" w:eastAsia="华文中宋"/>
                <w:color w:val="000000" w:themeColor="text1"/>
                <w:spacing w:val="10"/>
                <w:szCs w:val="21"/>
                <w14:textFill>
                  <w14:solidFill>
                    <w14:schemeClr w14:val="tx1"/>
                  </w14:solidFill>
                </w14:textFill>
              </w:rPr>
              <w:t>6</w:t>
            </w:r>
            <w:r>
              <w:rPr>
                <w:rFonts w:hint="eastAsia" w:ascii="华文中宋" w:hAnsi="华文中宋" w:eastAsia="华文中宋"/>
                <w:color w:val="000000" w:themeColor="text1"/>
                <w:spacing w:val="10"/>
                <w:szCs w:val="21"/>
                <w14:textFill>
                  <w14:solidFill>
                    <w14:schemeClr w14:val="tx1"/>
                  </w14:solidFill>
                </w14:textFill>
              </w:rPr>
              <w:t>、提供本项目培训方案（2分）。具体内容包括但不限于：培训内容、培训计划、培训方式、培训目标、技术支持、运行保障等。各投标人需按照上述内容要求完整、详细的制定本项目培训方案，提供的相关承诺及内容要具体、明确，且针对性强，具有可操作性。评标小组将对投标人提供的上述内容进行综合比较评审，全面评判，根据响应程度及优劣情况划分评分档次。经综合评价比较，认定培训方案全面完整、合理，切合实际，确实能实现培训目标的，得2分；认定培训方案不太完整或不太符合实际的，得1分；未提供的不得分。</w:t>
            </w:r>
          </w:p>
        </w:tc>
      </w:tr>
      <w:tr w14:paraId="1F44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1A68ABE8">
            <w:pPr>
              <w:keepNext w:val="0"/>
              <w:keepLines w:val="0"/>
              <w:widowControl/>
              <w:suppressLineNumbers w:val="0"/>
              <w:spacing w:before="0" w:beforeAutospacing="0" w:after="0" w:afterAutospacing="0" w:line="420" w:lineRule="exact"/>
              <w:ind w:left="0" w:right="0" w:firstLine="436" w:firstLineChars="196"/>
              <w:rPr>
                <w:rFonts w:ascii="华文中宋" w:hAnsi="华文中宋" w:eastAsia="华文中宋" w:cs="宋体"/>
                <w:b/>
                <w:bCs/>
                <w:color w:val="000000" w:themeColor="text1"/>
                <w:spacing w:val="6"/>
                <w:szCs w:val="21"/>
                <w14:textFill>
                  <w14:solidFill>
                    <w14:schemeClr w14:val="tx1"/>
                  </w14:solidFill>
                </w14:textFill>
              </w:rPr>
            </w:pPr>
            <w:r>
              <w:rPr>
                <w:rFonts w:hint="eastAsia" w:ascii="华文中宋" w:hAnsi="华文中宋" w:eastAsia="华文中宋" w:cs="宋体"/>
                <w:b/>
                <w:bCs/>
                <w:color w:val="000000" w:themeColor="text1"/>
                <w:spacing w:val="6"/>
                <w:szCs w:val="21"/>
                <w14:textFill>
                  <w14:solidFill>
                    <w14:schemeClr w14:val="tx1"/>
                  </w14:solidFill>
                </w14:textFill>
              </w:rPr>
              <w:t>三、技术部分</w:t>
            </w:r>
            <w:r>
              <w:rPr>
                <w:rFonts w:hint="eastAsia" w:ascii="华文中宋" w:hAnsi="华文中宋" w:eastAsia="华文中宋"/>
                <w:b/>
                <w:bCs/>
                <w:color w:val="000000" w:themeColor="text1"/>
                <w:spacing w:val="6"/>
                <w:szCs w:val="21"/>
                <w14:textFill>
                  <w14:solidFill>
                    <w14:schemeClr w14:val="tx1"/>
                  </w14:solidFill>
                </w14:textFill>
              </w:rPr>
              <w:t>(</w:t>
            </w:r>
            <w:r>
              <w:rPr>
                <w:rFonts w:ascii="华文中宋" w:hAnsi="华文中宋" w:eastAsia="华文中宋"/>
                <w:b/>
                <w:bCs/>
                <w:color w:val="000000" w:themeColor="text1"/>
                <w:spacing w:val="6"/>
                <w:szCs w:val="21"/>
                <w14:textFill>
                  <w14:solidFill>
                    <w14:schemeClr w14:val="tx1"/>
                  </w14:solidFill>
                </w14:textFill>
              </w:rPr>
              <w:t>46</w:t>
            </w:r>
            <w:r>
              <w:rPr>
                <w:rFonts w:hint="eastAsia" w:ascii="华文中宋" w:hAnsi="华文中宋" w:eastAsia="华文中宋" w:cs="宋体"/>
                <w:b/>
                <w:bCs/>
                <w:color w:val="000000" w:themeColor="text1"/>
                <w:spacing w:val="6"/>
                <w:szCs w:val="21"/>
                <w14:textFill>
                  <w14:solidFill>
                    <w14:schemeClr w14:val="tx1"/>
                  </w14:solidFill>
                </w14:textFill>
              </w:rPr>
              <w:t>分</w:t>
            </w:r>
            <w:r>
              <w:rPr>
                <w:rFonts w:hint="eastAsia" w:ascii="华文中宋" w:hAnsi="华文中宋" w:eastAsia="华文中宋"/>
                <w:b/>
                <w:bCs/>
                <w:color w:val="000000" w:themeColor="text1"/>
                <w:spacing w:val="6"/>
                <w:szCs w:val="21"/>
                <w14:textFill>
                  <w14:solidFill>
                    <w14:schemeClr w14:val="tx1"/>
                  </w14:solidFill>
                </w14:textFill>
              </w:rPr>
              <w:t>)</w:t>
            </w:r>
          </w:p>
        </w:tc>
      </w:tr>
      <w:tr w14:paraId="4F2F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0413C2E3">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spacing w:val="6"/>
                <w:szCs w:val="21"/>
              </w:rPr>
            </w:pPr>
            <w:r>
              <w:rPr>
                <w:rFonts w:hint="eastAsia" w:ascii="华文中宋" w:hAnsi="华文中宋" w:eastAsia="华文中宋" w:cs="宋体"/>
                <w:spacing w:val="6"/>
                <w:szCs w:val="21"/>
              </w:rPr>
              <w:t>1、技术参数、配置符合投标文件要求（</w:t>
            </w:r>
            <w:r>
              <w:rPr>
                <w:rFonts w:ascii="华文中宋" w:hAnsi="华文中宋" w:eastAsia="华文中宋" w:cs="宋体"/>
                <w:spacing w:val="6"/>
                <w:szCs w:val="21"/>
              </w:rPr>
              <w:t>20</w:t>
            </w:r>
            <w:r>
              <w:rPr>
                <w:rFonts w:hint="eastAsia" w:ascii="华文中宋" w:hAnsi="华文中宋" w:eastAsia="华文中宋" w:cs="宋体"/>
                <w:spacing w:val="6"/>
                <w:szCs w:val="21"/>
              </w:rPr>
              <w:t xml:space="preserve">分）； </w:t>
            </w:r>
          </w:p>
          <w:p w14:paraId="70A8B949">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spacing w:val="6"/>
                <w:szCs w:val="21"/>
              </w:rPr>
            </w:pPr>
            <w:r>
              <w:rPr>
                <w:rFonts w:hint="eastAsia" w:ascii="华文中宋" w:hAnsi="华文中宋" w:eastAsia="华文中宋" w:cs="宋体"/>
                <w:spacing w:val="6"/>
                <w:szCs w:val="21"/>
              </w:rPr>
              <w:t>（1）满足投标文件要求的全部技术指标的得</w:t>
            </w:r>
            <w:r>
              <w:rPr>
                <w:rFonts w:ascii="华文中宋" w:hAnsi="华文中宋" w:eastAsia="华文中宋" w:cs="宋体"/>
                <w:spacing w:val="6"/>
                <w:szCs w:val="21"/>
              </w:rPr>
              <w:t>17</w:t>
            </w:r>
            <w:r>
              <w:rPr>
                <w:rFonts w:hint="eastAsia" w:ascii="华文中宋" w:hAnsi="华文中宋" w:eastAsia="华文中宋" w:cs="宋体"/>
                <w:spacing w:val="6"/>
                <w:szCs w:val="21"/>
              </w:rPr>
              <w:t xml:space="preserve">分。 </w:t>
            </w:r>
          </w:p>
          <w:p w14:paraId="1F3B47BB">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spacing w:val="6"/>
                <w:szCs w:val="21"/>
              </w:rPr>
            </w:pPr>
            <w:r>
              <w:rPr>
                <w:rFonts w:hint="eastAsia" w:ascii="华文中宋" w:hAnsi="华文中宋" w:eastAsia="华文中宋" w:cs="宋体"/>
                <w:spacing w:val="6"/>
                <w:szCs w:val="21"/>
              </w:rPr>
              <w:t>投标人照搬照抄招标文件技术需求书内容，不能提供所报产品主要技术指标证明材料的，或提供的证明材料不能反映所报产品主要技术指标的，有一项扣</w:t>
            </w:r>
            <w:r>
              <w:rPr>
                <w:rFonts w:ascii="华文中宋" w:hAnsi="华文中宋" w:eastAsia="华文中宋" w:cs="宋体"/>
                <w:spacing w:val="6"/>
                <w:szCs w:val="21"/>
              </w:rPr>
              <w:t>1</w:t>
            </w:r>
            <w:r>
              <w:rPr>
                <w:rFonts w:hint="eastAsia" w:ascii="华文中宋" w:hAnsi="华文中宋" w:eastAsia="华文中宋" w:cs="宋体"/>
                <w:spacing w:val="6"/>
                <w:szCs w:val="21"/>
              </w:rPr>
              <w:t>分，累计扣完17分</w:t>
            </w:r>
            <w:r>
              <w:rPr>
                <w:rFonts w:ascii="华文中宋" w:hAnsi="华文中宋" w:eastAsia="华文中宋" w:cs="宋体"/>
                <w:spacing w:val="6"/>
                <w:szCs w:val="21"/>
              </w:rPr>
              <w:t>为止</w:t>
            </w:r>
            <w:r>
              <w:rPr>
                <w:rFonts w:hint="eastAsia" w:ascii="华文中宋" w:hAnsi="华文中宋" w:eastAsia="华文中宋" w:cs="宋体"/>
                <w:spacing w:val="6"/>
                <w:szCs w:val="21"/>
              </w:rPr>
              <w:t>。</w:t>
            </w:r>
          </w:p>
          <w:p w14:paraId="69A11D9B">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spacing w:val="6"/>
                <w:szCs w:val="21"/>
              </w:rPr>
            </w:pPr>
            <w:r>
              <w:rPr>
                <w:rFonts w:hint="eastAsia" w:ascii="华文中宋" w:hAnsi="华文中宋" w:eastAsia="华文中宋" w:cs="宋体"/>
                <w:spacing w:val="6"/>
                <w:szCs w:val="21"/>
              </w:rPr>
              <w:t>非主要技术指标有负偏离的，非主要技术指标负偏离每</w:t>
            </w:r>
            <w:r>
              <w:rPr>
                <w:rFonts w:ascii="华文中宋" w:hAnsi="华文中宋" w:eastAsia="华文中宋" w:cs="宋体"/>
                <w:spacing w:val="6"/>
                <w:szCs w:val="21"/>
              </w:rPr>
              <w:t>项扣</w:t>
            </w:r>
            <w:r>
              <w:rPr>
                <w:rFonts w:hint="eastAsia" w:ascii="华文中宋" w:hAnsi="华文中宋" w:eastAsia="华文中宋" w:cs="宋体"/>
                <w:spacing w:val="6"/>
                <w:szCs w:val="21"/>
              </w:rPr>
              <w:t>0.5分</w:t>
            </w:r>
            <w:r>
              <w:rPr>
                <w:rFonts w:ascii="华文中宋" w:hAnsi="华文中宋" w:eastAsia="华文中宋" w:cs="宋体"/>
                <w:spacing w:val="6"/>
                <w:szCs w:val="21"/>
              </w:rPr>
              <w:t>，</w:t>
            </w:r>
            <w:r>
              <w:rPr>
                <w:rFonts w:hint="eastAsia" w:ascii="华文中宋" w:hAnsi="华文中宋" w:eastAsia="华文中宋" w:cs="宋体"/>
                <w:spacing w:val="6"/>
                <w:szCs w:val="21"/>
              </w:rPr>
              <w:t>累计</w:t>
            </w:r>
            <w:r>
              <w:rPr>
                <w:rFonts w:ascii="华文中宋" w:hAnsi="华文中宋" w:eastAsia="华文中宋" w:cs="宋体"/>
                <w:spacing w:val="6"/>
                <w:szCs w:val="21"/>
              </w:rPr>
              <w:t>扣完</w:t>
            </w:r>
            <w:r>
              <w:rPr>
                <w:rFonts w:hint="eastAsia" w:ascii="华文中宋" w:hAnsi="华文中宋" w:eastAsia="华文中宋" w:cs="宋体"/>
                <w:spacing w:val="6"/>
                <w:szCs w:val="21"/>
              </w:rPr>
              <w:t>17分</w:t>
            </w:r>
            <w:r>
              <w:rPr>
                <w:rFonts w:ascii="华文中宋" w:hAnsi="华文中宋" w:eastAsia="华文中宋" w:cs="宋体"/>
                <w:spacing w:val="6"/>
                <w:szCs w:val="21"/>
              </w:rPr>
              <w:t>为止</w:t>
            </w:r>
            <w:r>
              <w:rPr>
                <w:rFonts w:hint="eastAsia" w:ascii="华文中宋" w:hAnsi="华文中宋" w:eastAsia="华文中宋" w:cs="宋体"/>
                <w:spacing w:val="6"/>
                <w:szCs w:val="21"/>
              </w:rPr>
              <w:t>。</w:t>
            </w:r>
          </w:p>
          <w:p w14:paraId="3B9B2436">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spacing w:val="6"/>
                <w:szCs w:val="21"/>
              </w:rPr>
            </w:pPr>
            <w:r>
              <w:rPr>
                <w:rFonts w:hint="eastAsia" w:ascii="华文中宋" w:hAnsi="华文中宋" w:eastAsia="华文中宋" w:cs="宋体"/>
                <w:spacing w:val="6"/>
                <w:szCs w:val="21"/>
              </w:rPr>
              <w:t>（2）正偏离的加分分值由评标委员会按投标人提供的技术说明文件等资料共同认定确定，每有一项主要技术指标的正偏离加1分，最多加3分。</w:t>
            </w:r>
          </w:p>
          <w:p w14:paraId="1A58AF61">
            <w:pPr>
              <w:keepNext w:val="0"/>
              <w:keepLines w:val="0"/>
              <w:widowControl/>
              <w:suppressLineNumbers w:val="0"/>
              <w:spacing w:before="0" w:beforeAutospacing="0" w:after="0" w:afterAutospacing="0" w:line="420" w:lineRule="exact"/>
              <w:ind w:left="444" w:right="0"/>
              <w:rPr>
                <w:rFonts w:ascii="华文中宋" w:hAnsi="华文中宋" w:eastAsia="华文中宋"/>
                <w:spacing w:val="6"/>
                <w:szCs w:val="21"/>
              </w:rPr>
            </w:pPr>
            <w:r>
              <w:rPr>
                <w:rFonts w:hint="eastAsia" w:ascii="华文中宋" w:hAnsi="华文中宋" w:eastAsia="华文中宋"/>
                <w:spacing w:val="6"/>
                <w:szCs w:val="21"/>
              </w:rPr>
              <w:t>2、根据提供的一般性技术指标证明材料的详细程度进行评价（</w:t>
            </w:r>
            <w:r>
              <w:rPr>
                <w:rFonts w:ascii="华文中宋" w:hAnsi="华文中宋" w:eastAsia="华文中宋"/>
                <w:spacing w:val="6"/>
                <w:szCs w:val="21"/>
              </w:rPr>
              <w:t>6</w:t>
            </w:r>
            <w:r>
              <w:rPr>
                <w:rFonts w:hint="eastAsia" w:ascii="华文中宋" w:hAnsi="华文中宋" w:eastAsia="华文中宋"/>
                <w:spacing w:val="6"/>
                <w:szCs w:val="21"/>
              </w:rPr>
              <w:t>分）；</w:t>
            </w:r>
          </w:p>
          <w:p w14:paraId="40CC96EA">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一般性技术指标的响应，由投标人提供所投产品的检测报告、产品说明书、合格证、产品彩页等相关证明材料进行印证投标货物的功能、技术要求、参数要求响应程度。评标小组将对提供的证明材料的完整性进行综合比较评审，全面评判，根据响应程度及优劣情况划分评分档次。针对本项目一般性技术指标的证明材料响应符合齐全、详尽、有效的，得</w:t>
            </w:r>
            <w:r>
              <w:rPr>
                <w:rFonts w:ascii="华文中宋" w:hAnsi="华文中宋" w:eastAsia="华文中宋"/>
                <w:spacing w:val="6"/>
                <w:szCs w:val="21"/>
              </w:rPr>
              <w:t>6</w:t>
            </w:r>
            <w:r>
              <w:rPr>
                <w:rFonts w:hint="eastAsia" w:ascii="华文中宋" w:hAnsi="华文中宋" w:eastAsia="华文中宋"/>
                <w:spacing w:val="6"/>
                <w:szCs w:val="21"/>
              </w:rPr>
              <w:t>分，有相关资料不太全面或不太合理的得</w:t>
            </w:r>
            <w:r>
              <w:rPr>
                <w:rFonts w:ascii="华文中宋" w:hAnsi="华文中宋" w:eastAsia="华文中宋"/>
                <w:spacing w:val="6"/>
                <w:szCs w:val="21"/>
              </w:rPr>
              <w:t>3</w:t>
            </w:r>
            <w:r>
              <w:rPr>
                <w:rFonts w:hint="eastAsia" w:ascii="华文中宋" w:hAnsi="华文中宋" w:eastAsia="华文中宋"/>
                <w:spacing w:val="6"/>
                <w:szCs w:val="21"/>
              </w:rPr>
              <w:t>分；未提供相关资料的不得分。</w:t>
            </w:r>
          </w:p>
          <w:p w14:paraId="4C8419D8">
            <w:pPr>
              <w:keepNext w:val="0"/>
              <w:keepLines w:val="0"/>
              <w:widowControl/>
              <w:suppressLineNumbers w:val="0"/>
              <w:spacing w:before="0" w:beforeAutospacing="0" w:after="0" w:afterAutospacing="0" w:line="420" w:lineRule="exact"/>
              <w:ind w:left="444" w:right="0"/>
              <w:rPr>
                <w:rFonts w:ascii="华文中宋" w:hAnsi="华文中宋" w:eastAsia="华文中宋"/>
                <w:spacing w:val="6"/>
                <w:szCs w:val="21"/>
              </w:rPr>
            </w:pPr>
            <w:r>
              <w:rPr>
                <w:rFonts w:hint="eastAsia" w:ascii="华文中宋" w:hAnsi="华文中宋" w:eastAsia="华文中宋"/>
                <w:spacing w:val="6"/>
                <w:szCs w:val="21"/>
              </w:rPr>
              <w:t>3、产品质量和稳定性（</w:t>
            </w:r>
            <w:r>
              <w:rPr>
                <w:rFonts w:ascii="华文中宋" w:hAnsi="华文中宋" w:eastAsia="华文中宋"/>
                <w:spacing w:val="6"/>
                <w:szCs w:val="21"/>
              </w:rPr>
              <w:t>4</w:t>
            </w:r>
            <w:r>
              <w:rPr>
                <w:rFonts w:hint="eastAsia" w:ascii="华文中宋" w:hAnsi="华文中宋" w:eastAsia="华文中宋"/>
                <w:spacing w:val="6"/>
                <w:szCs w:val="21"/>
              </w:rPr>
              <w:t xml:space="preserve">分）； </w:t>
            </w:r>
          </w:p>
          <w:p w14:paraId="228B6866">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产品质量和稳定性的响应，由投标人提供所投产品的生产工艺工序、检测证明、质量合格证书、质量稳定性测试及产品质量相关获奖、认证等证明材料进行印证投标货物的响应程度。评标小组将对提供的证明材料的完整性进行综合比较评审，全面评判，根据响应程度及优劣情况划分评分档次，针对本项目产品性能可靠、选型针对性强、质量控制措施严密等证明材料齐全，且确实体现产品质量优、性能稳定的，得</w:t>
            </w:r>
            <w:r>
              <w:rPr>
                <w:rFonts w:ascii="华文中宋" w:hAnsi="华文中宋" w:eastAsia="华文中宋"/>
                <w:spacing w:val="6"/>
                <w:szCs w:val="21"/>
              </w:rPr>
              <w:t>4</w:t>
            </w:r>
            <w:r>
              <w:rPr>
                <w:rFonts w:hint="eastAsia" w:ascii="华文中宋" w:hAnsi="华文中宋" w:eastAsia="华文中宋"/>
                <w:spacing w:val="6"/>
                <w:szCs w:val="21"/>
              </w:rPr>
              <w:t>分；有相关资料但不全或不太合理的得</w:t>
            </w:r>
            <w:r>
              <w:rPr>
                <w:rFonts w:ascii="华文中宋" w:hAnsi="华文中宋" w:eastAsia="华文中宋"/>
                <w:spacing w:val="6"/>
                <w:szCs w:val="21"/>
              </w:rPr>
              <w:t>2</w:t>
            </w:r>
            <w:r>
              <w:rPr>
                <w:rFonts w:hint="eastAsia" w:ascii="华文中宋" w:hAnsi="华文中宋" w:eastAsia="华文中宋"/>
                <w:spacing w:val="6"/>
                <w:szCs w:val="21"/>
              </w:rPr>
              <w:t>分；未提供相关资料的不得分。</w:t>
            </w:r>
          </w:p>
          <w:p w14:paraId="51A721A1">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ascii="华文中宋" w:hAnsi="华文中宋" w:eastAsia="华文中宋"/>
                <w:spacing w:val="6"/>
                <w:szCs w:val="21"/>
              </w:rPr>
              <w:t>4</w:t>
            </w:r>
            <w:r>
              <w:rPr>
                <w:rFonts w:hint="eastAsia" w:ascii="华文中宋" w:hAnsi="华文中宋" w:eastAsia="华文中宋"/>
                <w:spacing w:val="6"/>
                <w:szCs w:val="21"/>
              </w:rPr>
              <w:t>、产品的安全性和耐用性（4分）</w:t>
            </w:r>
          </w:p>
          <w:p w14:paraId="2B91DC40">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产品安全性和耐用性的响应，由投标人提供所投产品的安全检测、质量保障承诺、用户使用反馈等证明材料进行印证投标货物的响应程度。评标小组将对提供的证明材料的完整性进行综合比较评审，全面评判，根据响应程度及优劣情况划分评分档次，针对本项目产品技术采用高标准、材质耐用等证明材料齐全，且确实体现产品安全性、耐久度高的，得</w:t>
            </w:r>
            <w:r>
              <w:rPr>
                <w:rFonts w:ascii="华文中宋" w:hAnsi="华文中宋" w:eastAsia="华文中宋"/>
                <w:spacing w:val="6"/>
                <w:szCs w:val="21"/>
              </w:rPr>
              <w:t>4</w:t>
            </w:r>
            <w:r>
              <w:rPr>
                <w:rFonts w:hint="eastAsia" w:ascii="华文中宋" w:hAnsi="华文中宋" w:eastAsia="华文中宋"/>
                <w:spacing w:val="6"/>
                <w:szCs w:val="21"/>
              </w:rPr>
              <w:t>分；有相关资料但不全或不太合理的得</w:t>
            </w:r>
            <w:r>
              <w:rPr>
                <w:rFonts w:ascii="华文中宋" w:hAnsi="华文中宋" w:eastAsia="华文中宋"/>
                <w:spacing w:val="6"/>
                <w:szCs w:val="21"/>
              </w:rPr>
              <w:t>2</w:t>
            </w:r>
            <w:r>
              <w:rPr>
                <w:rFonts w:hint="eastAsia" w:ascii="华文中宋" w:hAnsi="华文中宋" w:eastAsia="华文中宋"/>
                <w:spacing w:val="6"/>
                <w:szCs w:val="21"/>
              </w:rPr>
              <w:t>分；未提供相关资料的不得分。</w:t>
            </w:r>
          </w:p>
          <w:p w14:paraId="4A93C291">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ascii="华文中宋" w:hAnsi="华文中宋" w:eastAsia="华文中宋"/>
                <w:spacing w:val="6"/>
                <w:szCs w:val="21"/>
              </w:rPr>
              <w:t>5</w:t>
            </w:r>
            <w:r>
              <w:rPr>
                <w:rFonts w:hint="eastAsia" w:ascii="华文中宋" w:hAnsi="华文中宋" w:eastAsia="华文中宋"/>
                <w:spacing w:val="6"/>
                <w:szCs w:val="21"/>
              </w:rPr>
              <w:t>、产品技术先进、扩展能力（4分）</w:t>
            </w:r>
          </w:p>
          <w:p w14:paraId="7A0A00A9">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产品技术先进、扩展能力的响应，由投标人提供所投产品采用的新技术、新工艺、先进功能拓展等证明材料进行印证投标货物的响应程度。评标小组将对提供的证明材料的完整性进行综合比较评审，全面评判，根据响应程度及优劣情况划分评分档次，针对本项目产品工艺先进、兼容扩展性强、易升级等证明材料齐全，且确实体现投标货物采用新工艺、新技术、功能拓展高的，得</w:t>
            </w:r>
            <w:r>
              <w:rPr>
                <w:rFonts w:ascii="华文中宋" w:hAnsi="华文中宋" w:eastAsia="华文中宋"/>
                <w:spacing w:val="6"/>
                <w:szCs w:val="21"/>
              </w:rPr>
              <w:t>4</w:t>
            </w:r>
            <w:r>
              <w:rPr>
                <w:rFonts w:hint="eastAsia" w:ascii="华文中宋" w:hAnsi="华文中宋" w:eastAsia="华文中宋"/>
                <w:spacing w:val="6"/>
                <w:szCs w:val="21"/>
              </w:rPr>
              <w:t>分；有相关资料但不全或不太合理的得</w:t>
            </w:r>
            <w:r>
              <w:rPr>
                <w:rFonts w:ascii="华文中宋" w:hAnsi="华文中宋" w:eastAsia="华文中宋"/>
                <w:spacing w:val="6"/>
                <w:szCs w:val="21"/>
              </w:rPr>
              <w:t>2</w:t>
            </w:r>
            <w:r>
              <w:rPr>
                <w:rFonts w:hint="eastAsia" w:ascii="华文中宋" w:hAnsi="华文中宋" w:eastAsia="华文中宋"/>
                <w:spacing w:val="6"/>
                <w:szCs w:val="21"/>
              </w:rPr>
              <w:t>分；未提供相关资料的不得分。</w:t>
            </w:r>
          </w:p>
          <w:p w14:paraId="5359567A">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ascii="华文中宋" w:hAnsi="华文中宋" w:eastAsia="华文中宋"/>
                <w:spacing w:val="6"/>
                <w:szCs w:val="21"/>
              </w:rPr>
              <w:t>6</w:t>
            </w:r>
            <w:r>
              <w:rPr>
                <w:rFonts w:hint="eastAsia" w:ascii="华文中宋" w:hAnsi="华文中宋" w:eastAsia="华文中宋"/>
                <w:spacing w:val="6"/>
                <w:szCs w:val="21"/>
              </w:rPr>
              <w:t>、产品易用、易维护（4分）</w:t>
            </w:r>
          </w:p>
          <w:p w14:paraId="059DB246">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产品易用、易维护、零配件获取、产品操作的响应，由投标人提供所投产品的操作手册、维修保养操作、备品备件等证明材料印证投标货物的响应程度。评标小组将对提供的证明材料的完整性进行综合比较评审，全面评判，根据响应程度及优劣情况划分评分档次，针对本项目产品维护时间短、操作简单、零配件充足易获取等证明材料齐全，且确实体现投标货物的操作便利性、维护周期长、配件渠道广的，得</w:t>
            </w:r>
            <w:r>
              <w:rPr>
                <w:rFonts w:ascii="华文中宋" w:hAnsi="华文中宋" w:eastAsia="华文中宋"/>
                <w:spacing w:val="6"/>
                <w:szCs w:val="21"/>
              </w:rPr>
              <w:t>4</w:t>
            </w:r>
            <w:r>
              <w:rPr>
                <w:rFonts w:hint="eastAsia" w:ascii="华文中宋" w:hAnsi="华文中宋" w:eastAsia="华文中宋"/>
                <w:spacing w:val="6"/>
                <w:szCs w:val="21"/>
              </w:rPr>
              <w:t>分；有相关资料但不全或不太合理的得</w:t>
            </w:r>
            <w:r>
              <w:rPr>
                <w:rFonts w:ascii="华文中宋" w:hAnsi="华文中宋" w:eastAsia="华文中宋"/>
                <w:spacing w:val="6"/>
                <w:szCs w:val="21"/>
              </w:rPr>
              <w:t>2</w:t>
            </w:r>
            <w:r>
              <w:rPr>
                <w:rFonts w:hint="eastAsia" w:ascii="华文中宋" w:hAnsi="华文中宋" w:eastAsia="华文中宋"/>
                <w:spacing w:val="6"/>
                <w:szCs w:val="21"/>
              </w:rPr>
              <w:t>分；未提供相关资料的不得分。</w:t>
            </w:r>
          </w:p>
          <w:p w14:paraId="72504B50">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ascii="华文中宋" w:hAnsi="华文中宋" w:eastAsia="华文中宋"/>
                <w:spacing w:val="6"/>
                <w:szCs w:val="21"/>
              </w:rPr>
              <w:t>7</w:t>
            </w:r>
            <w:r>
              <w:rPr>
                <w:rFonts w:hint="eastAsia" w:ascii="华文中宋" w:hAnsi="华文中宋" w:eastAsia="华文中宋"/>
                <w:spacing w:val="6"/>
                <w:szCs w:val="21"/>
              </w:rPr>
              <w:t>、集成实施方案（</w:t>
            </w:r>
            <w:r>
              <w:rPr>
                <w:rFonts w:ascii="华文中宋" w:hAnsi="华文中宋" w:eastAsia="华文中宋"/>
                <w:spacing w:val="6"/>
                <w:szCs w:val="21"/>
              </w:rPr>
              <w:t>4</w:t>
            </w:r>
            <w:r>
              <w:rPr>
                <w:rFonts w:hint="eastAsia" w:ascii="华文中宋" w:hAnsi="华文中宋" w:eastAsia="华文中宋"/>
                <w:spacing w:val="6"/>
                <w:szCs w:val="21"/>
              </w:rPr>
              <w:t>分）</w:t>
            </w:r>
          </w:p>
          <w:p w14:paraId="65CFF430">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spacing w:val="6"/>
                <w:szCs w:val="21"/>
              </w:rPr>
            </w:pPr>
            <w:r>
              <w:rPr>
                <w:rFonts w:hint="eastAsia" w:ascii="华文中宋" w:hAnsi="华文中宋" w:eastAsia="华文中宋"/>
                <w:spacing w:val="6"/>
                <w:szCs w:val="21"/>
              </w:rPr>
              <w:t>针对集成实施方案作的响应，具体内容包括但不限于：结构清晰程度、技术细节合理可行性、实现思路、关键技术、实施周期、内容完善情况等相关内容。各投标人需按照上述内容要求完整、详细的制定本项目集成实施方案，提供的相关内容要具体明确，且具有可操作性、可持续性。评标小组将对投标人提供的上述内容进行综合比较评审，全面评判，根据响应程度及优劣情况划分评分档次。经综合评价比较，方案详实、准确、要点设计全面、科学合理、实施性强、符合项目需求的，得</w:t>
            </w:r>
            <w:r>
              <w:rPr>
                <w:rFonts w:ascii="华文中宋" w:hAnsi="华文中宋" w:eastAsia="华文中宋"/>
                <w:spacing w:val="6"/>
                <w:szCs w:val="21"/>
              </w:rPr>
              <w:t>4</w:t>
            </w:r>
            <w:r>
              <w:rPr>
                <w:rFonts w:hint="eastAsia" w:ascii="华文中宋" w:hAnsi="华文中宋" w:eastAsia="华文中宋"/>
                <w:spacing w:val="6"/>
                <w:szCs w:val="21"/>
              </w:rPr>
              <w:t>分；有相关资料但不全或不太合理的，得</w:t>
            </w:r>
            <w:r>
              <w:rPr>
                <w:rFonts w:ascii="华文中宋" w:hAnsi="华文中宋" w:eastAsia="华文中宋"/>
                <w:spacing w:val="6"/>
                <w:szCs w:val="21"/>
              </w:rPr>
              <w:t>2</w:t>
            </w:r>
            <w:r>
              <w:rPr>
                <w:rFonts w:hint="eastAsia" w:ascii="华文中宋" w:hAnsi="华文中宋" w:eastAsia="华文中宋"/>
                <w:spacing w:val="6"/>
                <w:szCs w:val="21"/>
              </w:rPr>
              <w:t>分；未提供相关资料的不得分。</w:t>
            </w:r>
          </w:p>
          <w:p w14:paraId="45901466">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color w:val="000000" w:themeColor="text1"/>
                <w:spacing w:val="6"/>
                <w:szCs w:val="21"/>
                <w14:textFill>
                  <w14:solidFill>
                    <w14:schemeClr w14:val="tx1"/>
                  </w14:solidFill>
                </w14:textFill>
              </w:rPr>
            </w:pPr>
            <w:r>
              <w:rPr>
                <w:rFonts w:hint="eastAsia" w:ascii="华文中宋" w:hAnsi="华文中宋" w:eastAsia="华文中宋" w:cs="宋体"/>
                <w:spacing w:val="6"/>
                <w:szCs w:val="21"/>
              </w:rPr>
              <w:t>（评标委员会各成员进行评价打分时，依据投标人提供的商务技术文件等资料进行。）</w:t>
            </w:r>
          </w:p>
        </w:tc>
      </w:tr>
      <w:tr w14:paraId="2296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66E4715C">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olor w:val="000000" w:themeColor="text1"/>
                <w:spacing w:val="6"/>
                <w:szCs w:val="21"/>
                <w14:textFill>
                  <w14:solidFill>
                    <w14:schemeClr w14:val="tx1"/>
                  </w14:solidFill>
                </w14:textFill>
              </w:rPr>
            </w:pPr>
            <w:r>
              <w:rPr>
                <w:rFonts w:hint="eastAsia" w:ascii="华文中宋" w:hAnsi="华文中宋" w:eastAsia="华文中宋" w:cs="宋体"/>
                <w:b/>
                <w:bCs/>
                <w:color w:val="000000" w:themeColor="text1"/>
                <w:spacing w:val="6"/>
                <w:szCs w:val="21"/>
                <w14:textFill>
                  <w14:solidFill>
                    <w14:schemeClr w14:val="tx1"/>
                  </w14:solidFill>
                </w14:textFill>
              </w:rPr>
              <w:t>四、价格部分（</w:t>
            </w:r>
            <w:r>
              <w:rPr>
                <w:rFonts w:ascii="华文中宋" w:hAnsi="华文中宋" w:eastAsia="华文中宋" w:cs="宋体"/>
                <w:b/>
                <w:bCs/>
                <w:color w:val="000000" w:themeColor="text1"/>
                <w:spacing w:val="6"/>
                <w:szCs w:val="21"/>
                <w14:textFill>
                  <w14:solidFill>
                    <w14:schemeClr w14:val="tx1"/>
                  </w14:solidFill>
                </w14:textFill>
              </w:rPr>
              <w:t>30</w:t>
            </w:r>
            <w:r>
              <w:rPr>
                <w:rFonts w:hint="eastAsia" w:ascii="华文中宋" w:hAnsi="华文中宋" w:eastAsia="华文中宋" w:cs="宋体"/>
                <w:b/>
                <w:bCs/>
                <w:color w:val="000000" w:themeColor="text1"/>
                <w:spacing w:val="6"/>
                <w:szCs w:val="21"/>
                <w14:textFill>
                  <w14:solidFill>
                    <w14:schemeClr w14:val="tx1"/>
                  </w14:solidFill>
                </w14:textFill>
              </w:rPr>
              <w:t>分）</w:t>
            </w:r>
          </w:p>
        </w:tc>
      </w:tr>
      <w:tr w14:paraId="7D1D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14:paraId="7812A83C">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color w:val="000000" w:themeColor="text1"/>
                <w:spacing w:val="6"/>
                <w:szCs w:val="21"/>
                <w14:textFill>
                  <w14:solidFill>
                    <w14:schemeClr w14:val="tx1"/>
                  </w14:solidFill>
                </w14:textFill>
              </w:rPr>
            </w:pPr>
            <w:r>
              <w:rPr>
                <w:rFonts w:hint="eastAsia" w:ascii="华文中宋" w:hAnsi="华文中宋" w:eastAsia="华文中宋" w:cs="宋体"/>
                <w:color w:val="000000" w:themeColor="text1"/>
                <w:spacing w:val="6"/>
                <w:szCs w:val="21"/>
                <w14:textFill>
                  <w14:solidFill>
                    <w14:schemeClr w14:val="tx1"/>
                  </w14:solidFill>
                </w14:textFill>
              </w:rPr>
              <w:t>价格分值为30分，价格分按照以下方式进行计算：</w:t>
            </w:r>
          </w:p>
          <w:p w14:paraId="79D5E77E">
            <w:pPr>
              <w:keepNext w:val="0"/>
              <w:keepLines w:val="0"/>
              <w:widowControl/>
              <w:suppressLineNumbers w:val="0"/>
              <w:spacing w:before="0" w:beforeAutospacing="0" w:after="0" w:afterAutospacing="0" w:line="420" w:lineRule="exact"/>
              <w:ind w:left="0" w:right="0" w:firstLine="444" w:firstLineChars="200"/>
              <w:rPr>
                <w:rFonts w:ascii="华文中宋" w:hAnsi="华文中宋" w:eastAsia="华文中宋" w:cs="宋体"/>
                <w:color w:val="000000" w:themeColor="text1"/>
                <w:spacing w:val="6"/>
                <w:szCs w:val="21"/>
                <w14:textFill>
                  <w14:solidFill>
                    <w14:schemeClr w14:val="tx1"/>
                  </w14:solidFill>
                </w14:textFill>
              </w:rPr>
            </w:pPr>
            <w:r>
              <w:rPr>
                <w:rFonts w:hint="eastAsia" w:ascii="华文中宋" w:hAnsi="华文中宋" w:eastAsia="华文中宋" w:cs="宋体"/>
                <w:color w:val="000000" w:themeColor="text1"/>
                <w:spacing w:val="6"/>
                <w:szCs w:val="21"/>
                <w14:textFill>
                  <w14:solidFill>
                    <w14:schemeClr w14:val="tx1"/>
                  </w14:solidFill>
                </w14:textFill>
              </w:rPr>
              <w:t>1、投标报价得分=（投标基准价/投标报价）×价格权值×100；</w:t>
            </w:r>
          </w:p>
          <w:p w14:paraId="75834B56">
            <w:pPr>
              <w:keepNext w:val="0"/>
              <w:keepLines w:val="0"/>
              <w:widowControl/>
              <w:suppressLineNumbers w:val="0"/>
              <w:spacing w:before="0" w:beforeAutospacing="0" w:after="0" w:afterAutospacing="0" w:line="420" w:lineRule="exact"/>
              <w:ind w:left="0" w:right="0" w:firstLine="435" w:firstLineChars="196"/>
            </w:pPr>
            <w:r>
              <w:rPr>
                <w:rFonts w:hint="eastAsia" w:ascii="华文中宋" w:hAnsi="华文中宋" w:eastAsia="华文中宋" w:cs="宋体"/>
                <w:color w:val="000000" w:themeColor="text1"/>
                <w:spacing w:val="6"/>
                <w:szCs w:val="21"/>
                <w14:textFill>
                  <w14:solidFill>
                    <w14:schemeClr w14:val="tx1"/>
                  </w14:solidFill>
                </w14:textFill>
              </w:rPr>
              <w:t>2、投标基准价：满足投标文件要求且报价最低的投标人的价格为投标基准价。</w:t>
            </w:r>
          </w:p>
        </w:tc>
      </w:tr>
    </w:tbl>
    <w:p w14:paraId="4BDA8DE5">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baseline"/>
        <w:rPr>
          <w:rFonts w:hint="eastAsia" w:ascii="华文中宋" w:hAnsi="华文中宋" w:eastAsia="华文中宋" w:cs="微软雅黑"/>
          <w:b/>
          <w:bCs/>
          <w:kern w:val="0"/>
          <w:szCs w:val="21"/>
        </w:rPr>
      </w:pPr>
    </w:p>
    <w:bookmarkEnd w:id="62"/>
    <w:p w14:paraId="11128E48">
      <w:pPr>
        <w:widowControl/>
        <w:jc w:val="left"/>
        <w:rPr>
          <w:b/>
          <w:bCs/>
        </w:rPr>
      </w:pPr>
      <w:bookmarkStart w:id="86" w:name="_Toc5560"/>
      <w:bookmarkStart w:id="87" w:name="_Toc424378697"/>
      <w:bookmarkStart w:id="88" w:name="_Toc352761952"/>
      <w:r>
        <w:rPr>
          <w:b/>
          <w:bCs/>
        </w:rPr>
        <w:br w:type="page"/>
      </w:r>
    </w:p>
    <w:bookmarkEnd w:id="86"/>
    <w:bookmarkEnd w:id="87"/>
    <w:bookmarkEnd w:id="88"/>
    <w:p w14:paraId="4C02C893">
      <w:pPr>
        <w:pStyle w:val="25"/>
        <w:keepNext/>
        <w:keepLines/>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outlineLvl w:val="0"/>
        <w:rPr>
          <w:rFonts w:hint="eastAsia" w:ascii="华文中宋" w:hAnsi="华文中宋" w:eastAsia="华文中宋" w:cs="华文中宋"/>
          <w:b/>
          <w:spacing w:val="20"/>
          <w:kern w:val="44"/>
          <w:sz w:val="28"/>
          <w:szCs w:val="28"/>
        </w:rPr>
      </w:pPr>
      <w:bookmarkStart w:id="89" w:name="_Toc91694432"/>
      <w:r>
        <w:rPr>
          <w:rFonts w:hint="eastAsia" w:ascii="华文中宋" w:hAnsi="华文中宋" w:eastAsia="华文中宋" w:cs="华文中宋"/>
          <w:b/>
          <w:spacing w:val="20"/>
          <w:kern w:val="44"/>
          <w:sz w:val="28"/>
          <w:szCs w:val="28"/>
        </w:rPr>
        <w:t>第七部分  合同文本</w:t>
      </w:r>
      <w:bookmarkEnd w:id="89"/>
    </w:p>
    <w:p w14:paraId="715E6123">
      <w:pPr>
        <w:pStyle w:val="14"/>
        <w:spacing w:after="0"/>
        <w:jc w:val="center"/>
        <w:rPr>
          <w:rFonts w:hint="eastAsia" w:ascii="华文中宋" w:hAnsi="华文中宋" w:eastAsia="华文中宋" w:cs="华文中宋"/>
          <w:b/>
          <w:bCs/>
          <w:spacing w:val="0"/>
          <w:kern w:val="44"/>
          <w:sz w:val="28"/>
          <w:szCs w:val="28"/>
        </w:rPr>
      </w:pPr>
    </w:p>
    <w:p w14:paraId="0DF1821E">
      <w:pPr>
        <w:pStyle w:val="14"/>
        <w:spacing w:after="0"/>
        <w:jc w:val="center"/>
        <w:rPr>
          <w:rFonts w:hint="eastAsia" w:ascii="华文中宋" w:hAnsi="华文中宋" w:eastAsia="华文中宋" w:cs="华文中宋"/>
          <w:b/>
          <w:bCs/>
          <w:spacing w:val="0"/>
          <w:kern w:val="44"/>
          <w:sz w:val="28"/>
          <w:szCs w:val="28"/>
        </w:rPr>
      </w:pPr>
      <w:r>
        <w:rPr>
          <w:rFonts w:hint="eastAsia" w:ascii="华文中宋" w:hAnsi="华文中宋" w:eastAsia="华文中宋" w:cs="华文中宋"/>
          <w:b/>
          <w:bCs/>
          <w:spacing w:val="0"/>
          <w:kern w:val="44"/>
          <w:sz w:val="28"/>
          <w:szCs w:val="28"/>
        </w:rPr>
        <w:t>政府采购</w:t>
      </w:r>
      <w:r>
        <w:rPr>
          <w:rFonts w:hint="eastAsia" w:ascii="华文中宋" w:hAnsi="华文中宋" w:eastAsia="华文中宋" w:cs="华文中宋"/>
          <w:b/>
          <w:bCs/>
          <w:spacing w:val="0"/>
          <w:kern w:val="44"/>
          <w:sz w:val="28"/>
          <w:szCs w:val="28"/>
          <w:lang w:eastAsia="zh-CN"/>
        </w:rPr>
        <w:t>货物买卖</w:t>
      </w:r>
      <w:r>
        <w:rPr>
          <w:rFonts w:hint="eastAsia" w:ascii="华文中宋" w:hAnsi="华文中宋" w:eastAsia="华文中宋" w:cs="华文中宋"/>
          <w:b/>
          <w:bCs/>
          <w:spacing w:val="0"/>
          <w:kern w:val="44"/>
          <w:sz w:val="28"/>
          <w:szCs w:val="28"/>
        </w:rPr>
        <w:t>合同</w:t>
      </w:r>
    </w:p>
    <w:p w14:paraId="52EC87B0">
      <w:pPr>
        <w:pStyle w:val="14"/>
        <w:spacing w:after="0"/>
        <w:jc w:val="center"/>
        <w:rPr>
          <w:rFonts w:hint="eastAsia" w:ascii="华文中宋" w:hAnsi="华文中宋" w:eastAsia="华文中宋" w:cs="华文中宋"/>
          <w:b/>
          <w:bCs/>
          <w:spacing w:val="-20"/>
          <w:kern w:val="44"/>
          <w:sz w:val="28"/>
          <w:szCs w:val="28"/>
          <w:lang w:eastAsia="zh-CN"/>
        </w:rPr>
      </w:pPr>
      <w:r>
        <w:rPr>
          <w:rFonts w:hint="eastAsia" w:ascii="华文中宋" w:hAnsi="华文中宋" w:eastAsia="华文中宋" w:cs="华文中宋"/>
          <w:b/>
          <w:bCs/>
          <w:spacing w:val="-20"/>
          <w:kern w:val="44"/>
          <w:sz w:val="28"/>
          <w:szCs w:val="28"/>
          <w:lang w:eastAsia="zh-CN"/>
        </w:rPr>
        <w:t>（试行）</w:t>
      </w:r>
    </w:p>
    <w:p w14:paraId="3A087840">
      <w:pPr>
        <w:spacing w:line="360" w:lineRule="auto"/>
        <w:ind w:left="420" w:leftChars="200"/>
        <w:rPr>
          <w:rFonts w:hint="eastAsia" w:ascii="华文中宋" w:hAnsi="华文中宋" w:eastAsia="华文中宋" w:cs="华文中宋"/>
          <w:kern w:val="0"/>
          <w:sz w:val="28"/>
          <w:szCs w:val="28"/>
        </w:rPr>
      </w:pPr>
    </w:p>
    <w:p w14:paraId="1E4B0E6D">
      <w:pPr>
        <w:spacing w:line="360" w:lineRule="auto"/>
        <w:ind w:left="420" w:leftChars="200"/>
        <w:rPr>
          <w:rFonts w:hint="eastAsia" w:ascii="华文中宋" w:hAnsi="华文中宋" w:eastAsia="华文中宋" w:cs="华文中宋"/>
          <w:kern w:val="0"/>
          <w:sz w:val="28"/>
          <w:szCs w:val="28"/>
        </w:rPr>
      </w:pPr>
    </w:p>
    <w:p w14:paraId="0AB8B5A1">
      <w:pPr>
        <w:spacing w:line="360" w:lineRule="auto"/>
        <w:ind w:left="420" w:leftChars="200"/>
        <w:rPr>
          <w:rFonts w:hint="eastAsia" w:ascii="华文中宋" w:hAnsi="华文中宋" w:eastAsia="华文中宋" w:cs="华文中宋"/>
          <w:kern w:val="0"/>
          <w:sz w:val="28"/>
          <w:szCs w:val="28"/>
        </w:rPr>
      </w:pPr>
    </w:p>
    <w:p w14:paraId="0417E775">
      <w:pPr>
        <w:spacing w:line="360" w:lineRule="auto"/>
        <w:ind w:left="420" w:leftChars="200"/>
        <w:rPr>
          <w:rFonts w:hint="eastAsia" w:ascii="华文中宋" w:hAnsi="华文中宋" w:eastAsia="华文中宋" w:cs="华文中宋"/>
          <w:kern w:val="0"/>
          <w:sz w:val="28"/>
          <w:szCs w:val="28"/>
        </w:rPr>
      </w:pPr>
    </w:p>
    <w:p w14:paraId="66B5DFB2">
      <w:pPr>
        <w:pStyle w:val="18"/>
        <w:ind w:left="0" w:leftChars="0" w:firstLine="0" w:firstLineChars="0"/>
        <w:rPr>
          <w:rFonts w:hint="eastAsia" w:ascii="华文中宋" w:hAnsi="华文中宋" w:eastAsia="华文中宋" w:cs="华文中宋"/>
          <w:kern w:val="0"/>
          <w:sz w:val="28"/>
          <w:szCs w:val="28"/>
        </w:rPr>
      </w:pPr>
    </w:p>
    <w:p w14:paraId="373529C1">
      <w:pPr>
        <w:pStyle w:val="18"/>
        <w:ind w:left="0" w:leftChars="0" w:firstLine="0" w:firstLineChars="0"/>
        <w:rPr>
          <w:rFonts w:hint="eastAsia" w:ascii="华文中宋" w:hAnsi="华文中宋" w:eastAsia="华文中宋" w:cs="华文中宋"/>
          <w:kern w:val="0"/>
          <w:sz w:val="28"/>
          <w:szCs w:val="28"/>
        </w:rPr>
      </w:pPr>
    </w:p>
    <w:p w14:paraId="1F4A922B">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kern w:val="0"/>
          <w:sz w:val="28"/>
          <w:szCs w:val="28"/>
        </w:rPr>
        <w:t>项目名称：</w:t>
      </w:r>
      <w:r>
        <w:rPr>
          <w:rFonts w:hint="eastAsia" w:ascii="华文中宋" w:hAnsi="华文中宋" w:eastAsia="华文中宋" w:cs="华文中宋"/>
          <w:sz w:val="28"/>
          <w:szCs w:val="28"/>
          <w:u w:val="single"/>
        </w:rPr>
        <w:t xml:space="preserve">                             </w:t>
      </w:r>
    </w:p>
    <w:p w14:paraId="3A8E2335">
      <w:pPr>
        <w:spacing w:line="360" w:lineRule="auto"/>
        <w:ind w:left="420" w:leftChars="200"/>
        <w:rPr>
          <w:rFonts w:hint="eastAsia" w:ascii="华文中宋" w:hAnsi="华文中宋" w:eastAsia="华文中宋" w:cs="华文中宋"/>
          <w:sz w:val="28"/>
          <w:szCs w:val="28"/>
          <w:u w:val="single"/>
        </w:rPr>
      </w:pPr>
      <w:r>
        <w:rPr>
          <w:rFonts w:hint="eastAsia" w:ascii="华文中宋" w:hAnsi="华文中宋" w:eastAsia="华文中宋" w:cs="华文中宋"/>
          <w:sz w:val="28"/>
          <w:szCs w:val="28"/>
        </w:rPr>
        <w:t>合同编号：</w:t>
      </w:r>
      <w:r>
        <w:rPr>
          <w:rFonts w:hint="eastAsia" w:ascii="华文中宋" w:hAnsi="华文中宋" w:eastAsia="华文中宋" w:cs="华文中宋"/>
          <w:sz w:val="28"/>
          <w:szCs w:val="28"/>
          <w:u w:val="single"/>
        </w:rPr>
        <w:t xml:space="preserve">                             </w:t>
      </w:r>
    </w:p>
    <w:p w14:paraId="0E2734BB">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甲    方：</w:t>
      </w:r>
      <w:r>
        <w:rPr>
          <w:rFonts w:hint="eastAsia" w:ascii="华文中宋" w:hAnsi="华文中宋" w:eastAsia="华文中宋" w:cs="华文中宋"/>
          <w:sz w:val="28"/>
          <w:szCs w:val="28"/>
          <w:u w:val="single"/>
        </w:rPr>
        <w:t xml:space="preserve">                             </w:t>
      </w:r>
    </w:p>
    <w:p w14:paraId="5061B86C">
      <w:pPr>
        <w:spacing w:line="360" w:lineRule="auto"/>
        <w:ind w:left="420" w:leftChars="200"/>
        <w:rPr>
          <w:rFonts w:hint="eastAsia" w:ascii="华文中宋" w:hAnsi="华文中宋" w:eastAsia="华文中宋" w:cs="华文中宋"/>
          <w:sz w:val="28"/>
          <w:szCs w:val="28"/>
          <w:u w:val="single"/>
        </w:rPr>
      </w:pPr>
      <w:r>
        <w:rPr>
          <w:rFonts w:hint="eastAsia" w:ascii="华文中宋" w:hAnsi="华文中宋" w:eastAsia="华文中宋" w:cs="华文中宋"/>
          <w:sz w:val="28"/>
          <w:szCs w:val="28"/>
        </w:rPr>
        <w:t>乙    方：</w:t>
      </w:r>
      <w:r>
        <w:rPr>
          <w:rFonts w:hint="eastAsia" w:ascii="华文中宋" w:hAnsi="华文中宋" w:eastAsia="华文中宋" w:cs="华文中宋"/>
          <w:sz w:val="28"/>
          <w:szCs w:val="28"/>
          <w:u w:val="single"/>
        </w:rPr>
        <w:t xml:space="preserve">                             </w:t>
      </w:r>
    </w:p>
    <w:p w14:paraId="5A2D6321">
      <w:pPr>
        <w:spacing w:line="360" w:lineRule="auto"/>
        <w:ind w:left="420" w:left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签订时间：</w:t>
      </w:r>
      <w:r>
        <w:rPr>
          <w:rFonts w:hint="eastAsia" w:ascii="华文中宋" w:hAnsi="华文中宋" w:eastAsia="华文中宋" w:cs="华文中宋"/>
          <w:sz w:val="28"/>
          <w:szCs w:val="28"/>
          <w:u w:val="single"/>
        </w:rPr>
        <w:t xml:space="preserve">                             </w:t>
      </w:r>
    </w:p>
    <w:p w14:paraId="71770A26">
      <w:pPr>
        <w:rPr>
          <w:rFonts w:hint="eastAsia" w:ascii="华文中宋" w:hAnsi="华文中宋" w:eastAsia="华文中宋" w:cs="华文中宋"/>
        </w:rPr>
      </w:pPr>
    </w:p>
    <w:p w14:paraId="6E307CD8">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8A53C8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4A462DC5">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89FBC9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81D888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435449D2">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8F8D7D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7B255E3">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8D8BBE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3A08D7C">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60C622A">
      <w:pPr>
        <w:jc w:val="center"/>
        <w:rPr>
          <w:rFonts w:hint="eastAsia" w:ascii="华文中宋" w:hAnsi="华文中宋" w:eastAsia="华文中宋" w:cs="华文中宋"/>
          <w:sz w:val="28"/>
          <w:szCs w:val="28"/>
          <w:lang w:eastAsia="zh-CN"/>
        </w:rPr>
      </w:pPr>
    </w:p>
    <w:p w14:paraId="16BE2233">
      <w:pPr>
        <w:jc w:val="center"/>
        <w:rPr>
          <w:rFonts w:hint="eastAsia" w:ascii="华文中宋" w:hAnsi="华文中宋" w:eastAsia="华文中宋" w:cs="华文中宋"/>
          <w:sz w:val="28"/>
          <w:szCs w:val="28"/>
          <w:lang w:eastAsia="zh-CN"/>
        </w:rPr>
      </w:pPr>
    </w:p>
    <w:p w14:paraId="6983A913">
      <w:pPr>
        <w:jc w:val="center"/>
        <w:rPr>
          <w:rFonts w:hint="eastAsia" w:ascii="华文中宋" w:hAnsi="华文中宋" w:eastAsia="华文中宋" w:cs="华文中宋"/>
          <w:sz w:val="28"/>
          <w:szCs w:val="28"/>
          <w:lang w:eastAsia="zh-CN"/>
        </w:rPr>
      </w:pPr>
    </w:p>
    <w:p w14:paraId="7F3F49FE">
      <w:pPr>
        <w:jc w:val="both"/>
        <w:rPr>
          <w:rFonts w:hint="eastAsia" w:ascii="华文中宋" w:hAnsi="华文中宋" w:eastAsia="华文中宋" w:cs="华文中宋"/>
          <w:sz w:val="28"/>
          <w:szCs w:val="28"/>
          <w:lang w:eastAsia="zh-CN"/>
        </w:rPr>
      </w:pPr>
    </w:p>
    <w:p w14:paraId="25992D00">
      <w:pPr>
        <w:jc w:val="center"/>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使</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用</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说</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明</w:t>
      </w:r>
    </w:p>
    <w:p w14:paraId="60FFF323">
      <w:pPr>
        <w:ind w:firstLine="560" w:firstLineChars="200"/>
        <w:rPr>
          <w:rFonts w:hint="eastAsia" w:ascii="华文中宋" w:hAnsi="华文中宋" w:eastAsia="华文中宋" w:cs="华文中宋"/>
          <w:sz w:val="28"/>
          <w:szCs w:val="28"/>
          <w:lang w:val="en-US" w:eastAsia="zh-CN"/>
        </w:rPr>
      </w:pPr>
    </w:p>
    <w:p w14:paraId="1DFB5D01">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1.本合同标准文本适用于购买现成货物的采购项目，不包括需要供应商定制开发、创新研发的货物采购项目。</w:t>
      </w:r>
    </w:p>
    <w:p w14:paraId="6F8B0D64">
      <w:pPr>
        <w:ind w:firstLine="0" w:firstLineChars="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 xml:space="preserve">   2.本合同标准文本为政府采购货物买卖合同编制提供参考，可以结合采购项目具体情况，对文本作必要的调整修订后使用。</w:t>
      </w:r>
    </w:p>
    <w:p w14:paraId="2B59853F">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3.本合同标准文本各条款中，如涉及填写多家供应商、制造商，多种采购标的、分包主要内容等信息的，可根据采购项目具体情况添加信息项。</w:t>
      </w:r>
    </w:p>
    <w:p w14:paraId="77313244">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4AAD379">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99BDD1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32274D03">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17F8530">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77B870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E65099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6416E80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03A5C516">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251A8E2F">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0B2908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7A16C072">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1A8D54CD">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6431105A">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第一节 政府采购合同协议书</w:t>
      </w:r>
    </w:p>
    <w:p w14:paraId="1B91C09C">
      <w:pPr>
        <w:pageBreakBefore w:val="0"/>
        <w:kinsoku/>
        <w:wordWrap/>
        <w:overflowPunct/>
        <w:topLinePunct w:val="0"/>
        <w:bidi w:val="0"/>
        <w:adjustRightInd w:val="0"/>
        <w:snapToGrid w:val="0"/>
        <w:spacing w:beforeLines="0" w:after="0" w:line="480" w:lineRule="exact"/>
        <w:ind w:left="0" w:leftChars="0" w:right="0" w:rightChars="0"/>
        <w:jc w:val="center"/>
        <w:outlineLvl w:val="9"/>
        <w:rPr>
          <w:rFonts w:hint="eastAsia" w:ascii="华文中宋" w:hAnsi="华文中宋" w:eastAsia="华文中宋" w:cs="华文中宋"/>
          <w:b w:val="0"/>
          <w:bCs w:val="0"/>
          <w:sz w:val="21"/>
          <w:szCs w:val="21"/>
        </w:rPr>
      </w:pPr>
    </w:p>
    <w:p w14:paraId="55EF2170">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w:t>
      </w:r>
      <w:r>
        <w:rPr>
          <w:rFonts w:hint="eastAsia" w:ascii="华文中宋" w:hAnsi="华文中宋" w:eastAsia="华文中宋" w:cs="华文中宋"/>
          <w:sz w:val="21"/>
          <w:szCs w:val="21"/>
          <w:lang w:val="en-US" w:eastAsia="zh-CN"/>
        </w:rPr>
        <w:tab/>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文件约定的合同甲方）</w:t>
      </w:r>
    </w:p>
    <w:p w14:paraId="343A1DC4">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（供应商）</w:t>
      </w:r>
    </w:p>
    <w:p w14:paraId="7C74FC45">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乙方2（全称）：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19977F7C">
      <w:pPr>
        <w:pageBreakBefore w:val="0"/>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lang w:val="en-US" w:eastAsia="zh-CN"/>
        </w:rPr>
        <w:t>3（全称）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11D0B30D">
      <w:pPr>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p>
    <w:p w14:paraId="6A8165FF">
      <w:pPr>
        <w:pStyle w:val="16"/>
        <w:pageBreakBefore w:val="0"/>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依据《中华人民共和国民法典》</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《中华人民共和国政府采购法》等有关的法律法规，以及</w:t>
      </w:r>
      <w:r>
        <w:rPr>
          <w:rFonts w:hint="eastAsia" w:ascii="华文中宋" w:hAnsi="华文中宋" w:eastAsia="华文中宋" w:cs="华文中宋"/>
          <w:i w:val="0"/>
          <w:iCs w:val="0"/>
          <w:sz w:val="21"/>
          <w:szCs w:val="21"/>
          <w:u w:val="none"/>
          <w:lang w:eastAsia="zh-CN"/>
        </w:rPr>
        <w:t>本采购项目</w:t>
      </w:r>
      <w:r>
        <w:rPr>
          <w:rFonts w:hint="eastAsia" w:ascii="华文中宋" w:hAnsi="华文中宋" w:eastAsia="华文中宋" w:cs="华文中宋"/>
          <w:sz w:val="21"/>
          <w:szCs w:val="21"/>
        </w:rPr>
        <w:t>的</w:t>
      </w:r>
      <w:r>
        <w:rPr>
          <w:rFonts w:hint="eastAsia" w:ascii="华文中宋" w:hAnsi="华文中宋" w:eastAsia="华文中宋" w:cs="华文中宋"/>
          <w:sz w:val="21"/>
          <w:szCs w:val="21"/>
          <w:lang w:eastAsia="zh-CN"/>
        </w:rPr>
        <w:t>招标</w:t>
      </w:r>
      <w:r>
        <w:rPr>
          <w:rFonts w:hint="eastAsia" w:ascii="华文中宋" w:hAnsi="华文中宋" w:eastAsia="华文中宋" w:cs="华文中宋"/>
          <w:sz w:val="21"/>
          <w:szCs w:val="21"/>
          <w:lang w:val="en-US" w:eastAsia="zh-CN"/>
        </w:rPr>
        <w:t>/谈判</w:t>
      </w:r>
      <w:r>
        <w:rPr>
          <w:rFonts w:hint="eastAsia" w:ascii="华文中宋" w:hAnsi="华文中宋" w:eastAsia="华文中宋" w:cs="华文中宋"/>
          <w:sz w:val="21"/>
          <w:szCs w:val="21"/>
          <w:lang w:eastAsia="zh-CN"/>
        </w:rPr>
        <w:t>文件等</w:t>
      </w:r>
      <w:r>
        <w:rPr>
          <w:rFonts w:hint="eastAsia" w:ascii="华文中宋" w:hAnsi="华文中宋" w:eastAsia="华文中宋" w:cs="华文中宋"/>
          <w:sz w:val="21"/>
          <w:szCs w:val="21"/>
        </w:rPr>
        <w:t>采购文件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 xml:space="preserve">乙方的《投标（响应）文件》及《中标（成交）通知书》，甲乙双方同意签订本合同。具体情况及要求如下：     </w:t>
      </w:r>
    </w:p>
    <w:p w14:paraId="2DB1398A">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项目信息</w:t>
      </w:r>
    </w:p>
    <w:p w14:paraId="39A7F8EF">
      <w:pPr>
        <w:pStyle w:val="16"/>
        <w:pageBreakBefore w:val="0"/>
        <w:numPr>
          <w:ilvl w:val="0"/>
          <w:numId w:val="3"/>
        </w:numPr>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采购项目名称：</w:t>
      </w:r>
      <w:r>
        <w:rPr>
          <w:rFonts w:hint="eastAsia" w:ascii="华文中宋" w:hAnsi="华文中宋" w:eastAsia="华文中宋" w:cs="华文中宋"/>
          <w:sz w:val="21"/>
          <w:szCs w:val="21"/>
          <w:u w:val="single"/>
        </w:rPr>
        <w:t xml:space="preserve">                                          </w:t>
      </w:r>
    </w:p>
    <w:p w14:paraId="59F0029D">
      <w:pPr>
        <w:pStyle w:val="16"/>
        <w:pageBreakBefore w:val="0"/>
        <w:numPr>
          <w:ilvl w:val="0"/>
          <w:numId w:val="0"/>
        </w:numPr>
        <w:tabs>
          <w:tab w:val="left" w:pos="999"/>
        </w:tabs>
        <w:kinsoku/>
        <w:wordWrap/>
        <w:overflowPunct/>
        <w:topLinePunct w:val="0"/>
        <w:bidi w:val="0"/>
        <w:adjustRightInd w:val="0"/>
        <w:snapToGrid w:val="0"/>
        <w:spacing w:before="0" w:beforeLines="0" w:after="0" w:line="480" w:lineRule="exact"/>
        <w:ind w:left="0" w:leftChars="0" w:right="0" w:rightChars="0" w:firstLine="0" w:firstLineChars="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sz w:val="21"/>
          <w:szCs w:val="21"/>
          <w:u w:val="none"/>
          <w:lang w:val="en-US" w:eastAsia="zh-CN"/>
        </w:rPr>
        <w:t xml:space="preserve">         采购项目编号：</w:t>
      </w:r>
      <w:r>
        <w:rPr>
          <w:rFonts w:hint="eastAsia" w:ascii="华文中宋" w:hAnsi="华文中宋" w:eastAsia="华文中宋" w:cs="华文中宋"/>
          <w:sz w:val="21"/>
          <w:szCs w:val="21"/>
          <w:u w:val="single"/>
        </w:rPr>
        <w:t xml:space="preserve">                                          </w:t>
      </w:r>
    </w:p>
    <w:p w14:paraId="05CE3C09">
      <w:pPr>
        <w:pStyle w:val="16"/>
        <w:pageBreakBefore w:val="0"/>
        <w:kinsoku/>
        <w:wordWrap/>
        <w:overflowPunct/>
        <w:topLinePunct w:val="0"/>
        <w:bidi w:val="0"/>
        <w:adjustRightInd w:val="0"/>
        <w:snapToGrid w:val="0"/>
        <w:spacing w:before="0" w:beforeLines="0" w:after="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（2）采购计划编号：</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14:paraId="1EFF4E1F">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（3）项目内容：</w:t>
      </w:r>
    </w:p>
    <w:p w14:paraId="08DDEE76">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采购标的及数量</w:t>
      </w:r>
      <w:r>
        <w:rPr>
          <w:rFonts w:hint="eastAsia" w:ascii="华文中宋" w:hAnsi="华文中宋" w:eastAsia="华文中宋" w:cs="华文中宋"/>
          <w:sz w:val="21"/>
          <w:szCs w:val="21"/>
          <w:lang w:val="en-US" w:eastAsia="zh-CN"/>
        </w:rPr>
        <w:t>（台/套</w:t>
      </w:r>
      <w:r>
        <w:rPr>
          <w:rFonts w:hint="eastAsia" w:ascii="华文中宋" w:hAnsi="华文中宋" w:eastAsia="华文中宋" w:cs="华文中宋"/>
          <w:sz w:val="21"/>
          <w:szCs w:val="21"/>
          <w:lang w:val="en" w:eastAsia="zh-CN"/>
        </w:rPr>
        <w:t>/个/架/组等</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4BE06742">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 w:eastAsia="zh-CN"/>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 w:eastAsia="zh-CN"/>
        </w:rPr>
        <w:t xml:space="preserve">     </w:t>
      </w:r>
      <w:r>
        <w:rPr>
          <w:rFonts w:hint="eastAsia" w:ascii="华文中宋" w:hAnsi="华文中宋" w:eastAsia="华文中宋" w:cs="华文中宋"/>
          <w:sz w:val="21"/>
          <w:szCs w:val="21"/>
          <w:lang w:val="en-US" w:eastAsia="zh-CN"/>
        </w:rPr>
        <w:t>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p>
    <w:p w14:paraId="1FADE118">
      <w:pPr>
        <w:pageBreakBefore w:val="0"/>
        <w:kinsoku/>
        <w:wordWrap/>
        <w:overflowPunct/>
        <w:topLinePunct w:val="0"/>
        <w:bidi w:val="0"/>
        <w:adjustRightInd w:val="0"/>
        <w:snapToGrid w:val="0"/>
        <w:spacing w:before="0" w:beforeLines="0" w:line="480" w:lineRule="exact"/>
        <w:ind w:left="0" w:leftChars="0" w:right="0" w:rightChars="0" w:firstLine="945" w:firstLineChars="45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采购标的的技术要求、商务要求具体见附件。</w:t>
      </w:r>
    </w:p>
    <w:p w14:paraId="01E55291">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945" w:firstLineChars="45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①涉及信息类产品，请填写该产品关键部件的品牌、型号：</w:t>
      </w:r>
    </w:p>
    <w:p w14:paraId="421067CC">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kern w:val="0"/>
          <w:sz w:val="21"/>
          <w:szCs w:val="21"/>
          <w:u w:val="single"/>
          <w:lang w:val="en-US" w:eastAsia="zh-CN"/>
        </w:rPr>
      </w:pPr>
      <w:r>
        <w:rPr>
          <w:rFonts w:hint="eastAsia" w:ascii="华文中宋" w:hAnsi="华文中宋" w:eastAsia="华文中宋" w:cs="华文中宋"/>
          <w:sz w:val="21"/>
          <w:szCs w:val="21"/>
          <w:lang w:val="en-US" w:eastAsia="zh-CN"/>
        </w:rPr>
        <w:t xml:space="preserve">     标的名称：</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lang w:val="en" w:eastAsia="zh-CN"/>
        </w:rPr>
        <w:t xml:space="preserve">               </w:t>
      </w:r>
      <w:r>
        <w:rPr>
          <w:rFonts w:hint="eastAsia" w:ascii="华文中宋" w:hAnsi="华文中宋" w:eastAsia="华文中宋" w:cs="华文中宋"/>
          <w:kern w:val="0"/>
          <w:sz w:val="21"/>
          <w:szCs w:val="21"/>
          <w:u w:val="single"/>
          <w:lang w:val="en-US" w:eastAsia="zh-CN"/>
        </w:rPr>
        <w:t xml:space="preserve">    </w:t>
      </w:r>
    </w:p>
    <w:p w14:paraId="46315C79">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0B62DC2F">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kern w:val="2"/>
          <w:sz w:val="21"/>
          <w:szCs w:val="21"/>
          <w:lang w:val="en-US" w:eastAsia="zh-CN"/>
        </w:rPr>
        <w:t>关键部件</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1C0A6DDB">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p>
    <w:p w14:paraId="484B6E03">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9871766">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②涉及车辆采购，请填写是否属于新能源汽车：</w:t>
      </w:r>
    </w:p>
    <w:p w14:paraId="5B46B4ED">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数量：</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lang w:val="en-US" w:eastAsia="zh-CN"/>
        </w:rPr>
        <w:t xml:space="preserve"> </w:t>
      </w:r>
    </w:p>
    <w:p w14:paraId="7A149E4E">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26891E49">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lang w:val="en" w:eastAsia="zh-CN"/>
        </w:rPr>
        <w:t>4</w:t>
      </w:r>
      <w:r>
        <w:rPr>
          <w:rFonts w:hint="eastAsia" w:ascii="华文中宋" w:hAnsi="华文中宋" w:eastAsia="华文中宋" w:cs="华文中宋"/>
          <w:iCs w:val="0"/>
          <w:sz w:val="21"/>
          <w:szCs w:val="21"/>
          <w:lang w:val="en-US" w:eastAsia="zh-CN"/>
        </w:rPr>
        <w:t>）政府采购组织形式：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政府集中采购</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 xml:space="preserve">部门集中采购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分散采购</w:t>
      </w:r>
    </w:p>
    <w:p w14:paraId="6EE46AF0">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w:t>
      </w:r>
      <w:r>
        <w:rPr>
          <w:rFonts w:hint="eastAsia" w:ascii="华文中宋" w:hAnsi="华文中宋" w:eastAsia="华文中宋" w:cs="华文中宋"/>
          <w:iCs w:val="0"/>
          <w:sz w:val="21"/>
          <w:szCs w:val="21"/>
          <w:lang w:val="en" w:eastAsia="zh-CN"/>
        </w:rPr>
        <w:t>5</w:t>
      </w:r>
      <w:r>
        <w:rPr>
          <w:rFonts w:hint="eastAsia" w:ascii="华文中宋" w:hAnsi="华文中宋" w:eastAsia="华文中宋" w:cs="华文中宋"/>
          <w:iCs w:val="0"/>
          <w:sz w:val="21"/>
          <w:szCs w:val="21"/>
          <w:lang w:val="en-US" w:eastAsia="zh-CN"/>
        </w:rPr>
        <w:t>）政府采购方式：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公开招标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邀请招标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竞争性谈判</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竞争性磋商</w:t>
      </w:r>
    </w:p>
    <w:p w14:paraId="10440955">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u w:val="single"/>
          <w:lang w:val="en-US" w:eastAsia="zh-CN"/>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询价</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单一来源</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框架协议</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其他：</w:t>
      </w:r>
      <w:r>
        <w:rPr>
          <w:rFonts w:hint="eastAsia" w:ascii="华文中宋" w:hAnsi="华文中宋" w:eastAsia="华文中宋" w:cs="华文中宋"/>
          <w:iCs w:val="0"/>
          <w:sz w:val="21"/>
          <w:szCs w:val="21"/>
          <w:u w:val="single"/>
          <w:lang w:val="en-US" w:eastAsia="zh-CN"/>
        </w:rPr>
        <w:t xml:space="preserve">          </w:t>
      </w:r>
    </w:p>
    <w:p w14:paraId="192CD5B0">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0"/>
        <w:rPr>
          <w:rFonts w:hint="eastAsia" w:ascii="华文中宋" w:hAnsi="华文中宋" w:eastAsia="华文中宋" w:cs="华文中宋"/>
          <w:iCs w:val="0"/>
          <w:sz w:val="21"/>
          <w:szCs w:val="21"/>
          <w:u w:val="none"/>
          <w:lang w:val="en-US" w:eastAsia="zh-CN"/>
        </w:rPr>
      </w:pPr>
      <w:r>
        <w:rPr>
          <w:rFonts w:hint="eastAsia" w:ascii="华文中宋" w:hAnsi="华文中宋" w:eastAsia="华文中宋" w:cs="华文中宋"/>
          <w:iCs w:val="0"/>
          <w:sz w:val="21"/>
          <w:szCs w:val="21"/>
          <w:u w:val="none"/>
          <w:lang w:val="en-US" w:eastAsia="zh-CN"/>
        </w:rPr>
        <w:t>（注：在框架协议采购的第二阶段，可选择使用该合同文本）</w:t>
      </w:r>
    </w:p>
    <w:p w14:paraId="158CA815">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210" w:firstLineChars="100"/>
        <w:rPr>
          <w:rFonts w:hint="eastAsia" w:ascii="华文中宋" w:hAnsi="华文中宋" w:eastAsia="华文中宋" w:cs="华文中宋"/>
          <w:w w:val="100"/>
          <w:kern w:val="2"/>
          <w:sz w:val="21"/>
          <w:szCs w:val="21"/>
          <w:lang w:val="en-US" w:eastAsia="zh-CN" w:bidi="ar-SA"/>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val="en" w:eastAsia="zh-CN"/>
        </w:rPr>
        <w:t>6</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w w:val="100"/>
          <w:kern w:val="2"/>
          <w:sz w:val="21"/>
          <w:szCs w:val="21"/>
          <w:lang w:val="en-US" w:eastAsia="zh-CN" w:bidi="ar-SA"/>
        </w:rPr>
        <w:t>中标（成交）采购标的制造商是否为中小企业：</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 xml:space="preserve">是      </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否</w:t>
      </w:r>
    </w:p>
    <w:p w14:paraId="25C15DDA">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w w:val="100"/>
          <w:sz w:val="21"/>
          <w:szCs w:val="21"/>
          <w:lang w:val="en-US" w:eastAsia="zh-CN"/>
        </w:rPr>
        <w:t xml:space="preserve">         本合同</w:t>
      </w:r>
      <w:r>
        <w:rPr>
          <w:rFonts w:hint="eastAsia" w:ascii="华文中宋" w:hAnsi="华文中宋" w:eastAsia="华文中宋" w:cs="华文中宋"/>
          <w:w w:val="100"/>
          <w:sz w:val="21"/>
          <w:szCs w:val="21"/>
        </w:rPr>
        <w:t>是否</w:t>
      </w:r>
      <w:r>
        <w:rPr>
          <w:rFonts w:hint="eastAsia" w:ascii="华文中宋" w:hAnsi="华文中宋" w:eastAsia="华文中宋" w:cs="华文中宋"/>
          <w:w w:val="100"/>
          <w:sz w:val="21"/>
          <w:szCs w:val="21"/>
          <w:lang w:eastAsia="zh-CN"/>
        </w:rPr>
        <w:t>为专门面向</w:t>
      </w:r>
      <w:r>
        <w:rPr>
          <w:rFonts w:hint="eastAsia" w:ascii="华文中宋" w:hAnsi="华文中宋" w:eastAsia="华文中宋" w:cs="华文中宋"/>
          <w:w w:val="100"/>
          <w:sz w:val="21"/>
          <w:szCs w:val="21"/>
        </w:rPr>
        <w:t>中小企业</w:t>
      </w:r>
      <w:r>
        <w:rPr>
          <w:rFonts w:hint="eastAsia" w:ascii="华文中宋" w:hAnsi="华文中宋" w:eastAsia="华文中宋" w:cs="华文中宋"/>
          <w:w w:val="100"/>
          <w:sz w:val="21"/>
          <w:szCs w:val="21"/>
          <w:lang w:eastAsia="zh-CN"/>
        </w:rPr>
        <w:t>的采</w:t>
      </w:r>
      <w:r>
        <w:rPr>
          <w:rFonts w:hint="eastAsia" w:ascii="华文中宋" w:hAnsi="华文中宋" w:eastAsia="华文中宋" w:cs="华文中宋"/>
          <w:w w:val="100"/>
          <w:sz w:val="21"/>
          <w:szCs w:val="21"/>
          <w:shd w:val="clear" w:color="auto" w:fill="auto"/>
          <w:lang w:eastAsia="zh-CN"/>
        </w:rPr>
        <w:t>购</w:t>
      </w:r>
      <w:r>
        <w:rPr>
          <w:rFonts w:hint="eastAsia" w:ascii="华文中宋" w:hAnsi="华文中宋" w:eastAsia="华文中宋" w:cs="华文中宋"/>
          <w:w w:val="100"/>
          <w:sz w:val="21"/>
          <w:szCs w:val="21"/>
          <w:shd w:val="clear" w:color="auto" w:fill="auto"/>
        </w:rPr>
        <w:t>合同</w:t>
      </w:r>
      <w:r>
        <w:rPr>
          <w:rFonts w:hint="eastAsia" w:ascii="华文中宋" w:hAnsi="华文中宋" w:eastAsia="华文中宋" w:cs="华文中宋"/>
          <w:w w:val="100"/>
          <w:sz w:val="21"/>
          <w:szCs w:val="21"/>
          <w:shd w:val="clear" w:color="auto" w:fill="auto"/>
          <w:lang w:eastAsia="zh-CN"/>
        </w:rPr>
        <w:t>（中小企业预留合同）</w:t>
      </w:r>
      <w:r>
        <w:rPr>
          <w:rFonts w:hint="eastAsia" w:ascii="华文中宋" w:hAnsi="华文中宋" w:eastAsia="华文中宋" w:cs="华文中宋"/>
          <w:sz w:val="21"/>
          <w:szCs w:val="21"/>
          <w:shd w:val="clear" w:color="auto" w:fill="auto"/>
        </w:rPr>
        <w:t>：</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89C36D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若本项目不专门面向中小企业采购，是否给予小微企业评审优惠：</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05FCB572">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中标（成交）采购标的制造商是否为残疾人福利性单位：</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012815F3">
      <w:pPr>
        <w:pageBreakBefore w:val="0"/>
        <w:numPr>
          <w:ilvl w:val="0"/>
          <w:numId w:val="0"/>
        </w:numPr>
        <w:kinsoku/>
        <w:wordWrap/>
        <w:overflowPunct/>
        <w:topLinePunct w:val="0"/>
        <w:bidi w:val="0"/>
        <w:snapToGrid w:val="0"/>
        <w:spacing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中标（成交）采购标的制造商是否为监狱企业：</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4EC98F5">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 w:eastAsia="zh-CN"/>
        </w:rPr>
        <w:t>7</w:t>
      </w:r>
      <w:r>
        <w:rPr>
          <w:rFonts w:hint="eastAsia" w:ascii="华文中宋" w:hAnsi="华文中宋" w:eastAsia="华文中宋" w:cs="华文中宋"/>
          <w:sz w:val="21"/>
          <w:szCs w:val="21"/>
        </w:rPr>
        <w:t>）合同是否分包：</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235C51C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分包主要内容：</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5B9CD4D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rPr>
        <w:t>分包</w:t>
      </w:r>
      <w:r>
        <w:rPr>
          <w:rFonts w:hint="eastAsia" w:ascii="华文中宋" w:hAnsi="华文中宋" w:eastAsia="华文中宋" w:cs="华文中宋"/>
          <w:sz w:val="21"/>
          <w:szCs w:val="21"/>
          <w:highlight w:val="none"/>
        </w:rPr>
        <w:t>供应商</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highlight w:val="none"/>
        </w:rPr>
        <w:t>名称</w:t>
      </w:r>
      <w:r>
        <w:rPr>
          <w:rFonts w:hint="eastAsia" w:ascii="华文中宋" w:hAnsi="华文中宋" w:eastAsia="华文中宋" w:cs="华文中宋"/>
          <w:sz w:val="21"/>
          <w:szCs w:val="21"/>
          <w:highlight w:val="none"/>
          <w:lang w:eastAsia="zh-CN"/>
        </w:rPr>
        <w:t>（如供应商和制造商不同，请分别填写）</w:t>
      </w:r>
      <w:r>
        <w:rPr>
          <w:rFonts w:hint="eastAsia" w:ascii="华文中宋" w:hAnsi="华文中宋" w:eastAsia="华文中宋" w:cs="华文中宋"/>
          <w:sz w:val="21"/>
          <w:szCs w:val="21"/>
          <w:highlight w:val="none"/>
        </w:rPr>
        <w:t>：</w:t>
      </w:r>
    </w:p>
    <w:p w14:paraId="5B41A60E">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rPr>
        <w:t xml:space="preserve"> </w:t>
      </w:r>
      <w:r>
        <w:rPr>
          <w:rFonts w:hint="eastAsia" w:ascii="华文中宋" w:hAnsi="华文中宋" w:eastAsia="华文中宋" w:cs="华文中宋"/>
          <w:sz w:val="21"/>
          <w:szCs w:val="21"/>
          <w:highlight w:val="none"/>
          <w:u w:val="single"/>
          <w:lang w:val="en-US" w:eastAsia="zh-CN"/>
        </w:rPr>
        <w:t xml:space="preserve">  </w:t>
      </w:r>
      <w:r>
        <w:rPr>
          <w:rFonts w:hint="eastAsia" w:ascii="华文中宋" w:hAnsi="华文中宋" w:eastAsia="华文中宋" w:cs="华文中宋"/>
          <w:sz w:val="21"/>
          <w:szCs w:val="21"/>
          <w:highlight w:val="none"/>
          <w:u w:val="single"/>
        </w:rPr>
        <w:t xml:space="preserve">                                 </w:t>
      </w:r>
      <w:r>
        <w:rPr>
          <w:rFonts w:hint="eastAsia" w:ascii="华文中宋" w:hAnsi="华文中宋" w:eastAsia="华文中宋" w:cs="华文中宋"/>
          <w:sz w:val="21"/>
          <w:szCs w:val="21"/>
          <w:highlight w:val="none"/>
          <w:u w:val="single"/>
          <w:lang w:val="en-US" w:eastAsia="zh-CN"/>
        </w:rPr>
        <w:t xml:space="preserve">                       </w:t>
      </w:r>
    </w:p>
    <w:p w14:paraId="6092F13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rPr>
      </w:pP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分包供应商</w:t>
      </w:r>
      <w:r>
        <w:rPr>
          <w:rFonts w:hint="eastAsia" w:ascii="华文中宋" w:hAnsi="华文中宋" w:eastAsia="华文中宋" w:cs="华文中宋"/>
          <w:sz w:val="21"/>
          <w:szCs w:val="21"/>
          <w:highlight w:val="none"/>
          <w:lang w:val="en-US" w:eastAsia="zh-CN"/>
        </w:rPr>
        <w:t>/</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rPr>
        <w:t>类型</w:t>
      </w:r>
      <w:r>
        <w:rPr>
          <w:rFonts w:hint="eastAsia" w:ascii="华文中宋" w:hAnsi="华文中宋" w:eastAsia="华文中宋" w:cs="华文中宋"/>
          <w:sz w:val="21"/>
          <w:szCs w:val="21"/>
          <w:highlight w:val="none"/>
          <w:lang w:eastAsia="zh-CN"/>
        </w:rPr>
        <w:t>（如果供应商和制造商不同，只填写制造商类型）</w:t>
      </w:r>
      <w:r>
        <w:rPr>
          <w:rFonts w:hint="eastAsia" w:ascii="华文中宋" w:hAnsi="华文中宋" w:eastAsia="华文中宋" w:cs="华文中宋"/>
          <w:sz w:val="21"/>
          <w:szCs w:val="21"/>
        </w:rPr>
        <w:t>：</w:t>
      </w:r>
    </w:p>
    <w:p w14:paraId="5FD0BF22">
      <w:pPr>
        <w:pageBreakBefore w:val="0"/>
        <w:kinsoku/>
        <w:wordWrap/>
        <w:overflowPunct/>
        <w:topLinePunct w:val="0"/>
        <w:bidi w:val="0"/>
        <w:adjustRightInd w:val="0"/>
        <w:snapToGrid w:val="0"/>
        <w:spacing w:beforeLines="0" w:line="480" w:lineRule="exact"/>
        <w:ind w:left="0" w:leftChars="0" w:right="0" w:rightChars="0" w:firstLine="840" w:firstLineChars="40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大型企业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中型企业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小微型企业</w:t>
      </w:r>
      <w:r>
        <w:rPr>
          <w:rFonts w:hint="eastAsia" w:ascii="华文中宋" w:hAnsi="华文中宋" w:eastAsia="华文中宋" w:cs="华文中宋"/>
          <w:iCs/>
          <w:sz w:val="21"/>
          <w:szCs w:val="21"/>
          <w:lang w:val="en-US" w:eastAsia="zh-CN"/>
        </w:rPr>
        <w:t xml:space="preserve">  </w:t>
      </w:r>
    </w:p>
    <w:p w14:paraId="2F7C0FE7">
      <w:pPr>
        <w:pageBreakBefore w:val="0"/>
        <w:kinsoku/>
        <w:wordWrap/>
        <w:overflowPunct/>
        <w:topLinePunct w:val="0"/>
        <w:bidi w:val="0"/>
        <w:adjustRightInd w:val="0"/>
        <w:snapToGrid w:val="0"/>
        <w:spacing w:beforeLines="0" w:line="480" w:lineRule="exact"/>
        <w:ind w:left="0" w:leftChars="0" w:right="0" w:rightChars="0"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残疾人福利性单位</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监狱</w:t>
      </w:r>
      <w:r>
        <w:rPr>
          <w:rFonts w:hint="eastAsia" w:ascii="华文中宋" w:hAnsi="华文中宋" w:eastAsia="华文中宋" w:cs="华文中宋"/>
          <w:iCs/>
          <w:sz w:val="21"/>
          <w:szCs w:val="21"/>
        </w:rPr>
        <w:t>企业</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p>
    <w:p w14:paraId="6006350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highlight w:val="none"/>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highlight w:val="none"/>
          <w:u w:val="none"/>
          <w:lang w:val="en" w:eastAsia="zh-CN"/>
        </w:rPr>
        <w:t>8</w:t>
      </w:r>
      <w:r>
        <w:rPr>
          <w:rFonts w:hint="eastAsia" w:ascii="华文中宋" w:hAnsi="华文中宋" w:eastAsia="华文中宋" w:cs="华文中宋"/>
          <w:sz w:val="21"/>
          <w:szCs w:val="21"/>
          <w:highlight w:val="none"/>
          <w:u w:val="none"/>
          <w:lang w:val="en-US" w:eastAsia="zh-CN"/>
        </w:rPr>
        <w:t>）中标（成交）供应商是否为外商投资企业：</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 xml:space="preserve">是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否</w:t>
      </w:r>
    </w:p>
    <w:p w14:paraId="3C162C5F">
      <w:pPr>
        <w:pStyle w:val="66"/>
        <w:pageBreakBefore w:val="0"/>
        <w:tabs>
          <w:tab w:val="left" w:pos="1340"/>
        </w:tabs>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 xml:space="preserve">     外商投资企业类型：</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sz w:val="21"/>
          <w:szCs w:val="21"/>
          <w:highlight w:val="none"/>
          <w:u w:val="none"/>
          <w:lang w:val="en-US" w:eastAsia="zh-CN"/>
        </w:rPr>
        <w:t xml:space="preserve">全部由外国投资者投资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lang w:val="en-US" w:eastAsia="zh-CN"/>
        </w:rPr>
        <w:t>部分由外国投资者投资</w:t>
      </w:r>
    </w:p>
    <w:p w14:paraId="20B0DB4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eastAsia" w:ascii="华文中宋" w:hAnsi="华文中宋" w:eastAsia="华文中宋" w:cs="华文中宋"/>
          <w:b w:val="0"/>
          <w:bCs w:val="0"/>
          <w:sz w:val="21"/>
          <w:szCs w:val="21"/>
          <w:u w:val="none"/>
          <w:lang w:val="en" w:eastAsia="zh-CN"/>
        </w:rPr>
        <w:t>9</w:t>
      </w:r>
      <w:r>
        <w:rPr>
          <w:rFonts w:hint="eastAsia" w:ascii="华文中宋" w:hAnsi="华文中宋" w:eastAsia="华文中宋" w:cs="华文中宋"/>
          <w:b w:val="0"/>
          <w:bCs w:val="0"/>
          <w:sz w:val="21"/>
          <w:szCs w:val="21"/>
          <w:u w:val="none"/>
          <w:lang w:val="en-US" w:eastAsia="zh-CN"/>
        </w:rPr>
        <w:t>）是否涉及进口产品：</w:t>
      </w:r>
    </w:p>
    <w:p w14:paraId="1FED740A">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p>
    <w:p w14:paraId="4A1B6258">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iCs w:val="0"/>
          <w:sz w:val="21"/>
          <w:szCs w:val="21"/>
        </w:rPr>
      </w:pPr>
      <w:r>
        <w:rPr>
          <w:rFonts w:hint="eastAsia" w:ascii="华文中宋" w:hAnsi="华文中宋" w:eastAsia="华文中宋" w:cs="华文中宋"/>
          <w:sz w:val="21"/>
          <w:szCs w:val="21"/>
          <w:lang w:val="en-US" w:eastAsia="zh-CN"/>
        </w:rPr>
        <w:t xml:space="preserve">        国别：</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rPr>
        <w:t xml:space="preserve">      </w:t>
      </w:r>
    </w:p>
    <w:p w14:paraId="020CFD84">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38E2B41C">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（1</w:t>
      </w:r>
      <w:r>
        <w:rPr>
          <w:rFonts w:hint="eastAsia" w:ascii="华文中宋" w:hAnsi="华文中宋" w:eastAsia="华文中宋" w:cs="华文中宋"/>
          <w:b w:val="0"/>
          <w:bCs w:val="0"/>
          <w:sz w:val="21"/>
          <w:szCs w:val="21"/>
          <w:u w:val="none"/>
          <w:lang w:val="en" w:eastAsia="zh-CN"/>
        </w:rPr>
        <w:t>0</w:t>
      </w:r>
      <w:r>
        <w:rPr>
          <w:rFonts w:hint="eastAsia" w:ascii="华文中宋" w:hAnsi="华文中宋" w:eastAsia="华文中宋" w:cs="华文中宋"/>
          <w:b w:val="0"/>
          <w:bCs w:val="0"/>
          <w:sz w:val="21"/>
          <w:szCs w:val="21"/>
          <w:u w:val="none"/>
          <w:lang w:val="en-US" w:eastAsia="zh-CN"/>
        </w:rPr>
        <w:t>）是否涉及节能产品：</w:t>
      </w:r>
    </w:p>
    <w:p w14:paraId="1B5E4873">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，《节能产品政府采购品目清单》的底级品目名称：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0EBCA4A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5F3D6652">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4DEC1474">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是否涉及环境标志产品：</w:t>
      </w:r>
    </w:p>
    <w:p w14:paraId="58FE64F5">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，《环境标志产品政府采购品目清单》的底级品目名称：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194D771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0F06BEA1">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44DC6009">
      <w:pPr>
        <w:pStyle w:val="66"/>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val="0"/>
          <w:kern w:val="2"/>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kern w:val="2"/>
          <w:sz w:val="21"/>
          <w:szCs w:val="21"/>
          <w:u w:val="none"/>
          <w:lang w:val="en-US" w:eastAsia="zh-CN"/>
        </w:rPr>
        <w:t>是否涉及绿色产品：</w:t>
      </w:r>
      <w:r>
        <w:rPr>
          <w:rFonts w:hint="eastAsia" w:ascii="华文中宋" w:hAnsi="华文中宋" w:eastAsia="华文中宋" w:cs="华文中宋"/>
          <w:iCs w:val="0"/>
          <w:kern w:val="2"/>
          <w:sz w:val="21"/>
          <w:szCs w:val="21"/>
          <w:u w:val="none"/>
          <w:lang w:val="en-US" w:eastAsia="zh-CN"/>
        </w:rPr>
        <w:t xml:space="preserve"> </w:t>
      </w:r>
    </w:p>
    <w:p w14:paraId="795B8D7E">
      <w:pPr>
        <w:pStyle w:val="66"/>
        <w:pageBreakBefore w:val="0"/>
        <w:kinsoku/>
        <w:wordWrap/>
        <w:overflowPunct/>
        <w:topLinePunct w:val="0"/>
        <w:bidi w:val="0"/>
        <w:spacing w:beforeLines="0" w:line="480" w:lineRule="exact"/>
        <w:ind w:left="0" w:leftChars="0" w:right="0" w:rightChars="0" w:firstLine="420" w:firstLineChars="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是</w:t>
      </w:r>
      <w:r>
        <w:rPr>
          <w:rFonts w:hint="eastAsia" w:ascii="华文中宋" w:hAnsi="华文中宋" w:eastAsia="华文中宋" w:cs="华文中宋"/>
          <w:iCs w:val="0"/>
          <w:kern w:val="2"/>
          <w:sz w:val="21"/>
          <w:szCs w:val="21"/>
          <w:u w:val="none"/>
          <w:lang w:eastAsia="zh-CN"/>
        </w:rPr>
        <w:t>，绿色产品政府采购相关政策确定的底级品目名称：</w:t>
      </w:r>
      <w:r>
        <w:rPr>
          <w:rFonts w:hint="eastAsia" w:ascii="华文中宋" w:hAnsi="华文中宋" w:eastAsia="华文中宋" w:cs="华文中宋"/>
          <w:sz w:val="21"/>
          <w:szCs w:val="21"/>
          <w:u w:val="single"/>
          <w:lang w:val="en-US" w:eastAsia="zh-CN"/>
        </w:rPr>
        <w:t xml:space="preserve">         </w:t>
      </w:r>
    </w:p>
    <w:p w14:paraId="479751FD">
      <w:pPr>
        <w:pageBreakBefore w:val="0"/>
        <w:numPr>
          <w:ilvl w:val="0"/>
          <w:numId w:val="0"/>
        </w:numPr>
        <w:tabs>
          <w:tab w:val="left" w:pos="740"/>
        </w:tabs>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3AFCE604">
      <w:pPr>
        <w:pStyle w:val="66"/>
        <w:pageBreakBefore w:val="0"/>
        <w:kinsoku/>
        <w:wordWrap/>
        <w:overflowPunct/>
        <w:topLinePunct w:val="0"/>
        <w:bidi w:val="0"/>
        <w:spacing w:beforeLines="0" w:line="480" w:lineRule="exact"/>
        <w:ind w:left="0" w:leftChars="0" w:right="0" w:rightChars="0" w:firstLine="42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否</w:t>
      </w:r>
    </w:p>
    <w:p w14:paraId="1D3B6419">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（1</w:t>
      </w:r>
      <w:r>
        <w:rPr>
          <w:rFonts w:hint="eastAsia" w:ascii="华文中宋" w:hAnsi="华文中宋" w:eastAsia="华文中宋" w:cs="华文中宋"/>
          <w:sz w:val="21"/>
          <w:szCs w:val="21"/>
          <w:lang w:val="en" w:eastAsia="zh-CN"/>
        </w:rPr>
        <w:t>1</w:t>
      </w:r>
      <w:r>
        <w:rPr>
          <w:rFonts w:hint="eastAsia" w:ascii="华文中宋" w:hAnsi="华文中宋" w:eastAsia="华文中宋" w:cs="华文中宋"/>
          <w:sz w:val="21"/>
          <w:szCs w:val="21"/>
          <w:lang w:val="en-US" w:eastAsia="zh-CN"/>
        </w:rPr>
        <w:t>）涉及商品包装和快递包装的，是否参考</w:t>
      </w:r>
      <w:r>
        <w:rPr>
          <w:rFonts w:hint="eastAsia" w:ascii="华文中宋" w:hAnsi="华文中宋" w:eastAsia="华文中宋" w:cs="华文中宋"/>
          <w:sz w:val="21"/>
          <w:szCs w:val="21"/>
        </w:rPr>
        <w:t>《商品包装政府采购需求标准（试行）》、《快递包装政府采购需求标准（试行）》</w:t>
      </w:r>
      <w:r>
        <w:rPr>
          <w:rFonts w:hint="eastAsia" w:ascii="华文中宋" w:hAnsi="华文中宋" w:eastAsia="华文中宋" w:cs="华文中宋"/>
          <w:sz w:val="21"/>
          <w:szCs w:val="21"/>
          <w:lang w:eastAsia="zh-CN"/>
        </w:rPr>
        <w:t>明确产品及相关快递服务的具体包装要求：</w:t>
      </w:r>
    </w:p>
    <w:p w14:paraId="3FD95507">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 xml:space="preserve">是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不涉及</w:t>
      </w:r>
    </w:p>
    <w:p w14:paraId="71ED6637">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合同金额</w:t>
      </w:r>
    </w:p>
    <w:p w14:paraId="3FF62F9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（1）合同金额小写：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49329945">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44D2DD24">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分包金额</w:t>
      </w:r>
      <w:r>
        <w:rPr>
          <w:rFonts w:hint="eastAsia" w:ascii="华文中宋" w:hAnsi="华文中宋" w:eastAsia="华文中宋" w:cs="华文中宋"/>
          <w:sz w:val="21"/>
          <w:szCs w:val="21"/>
          <w:lang w:eastAsia="zh-CN"/>
        </w:rPr>
        <w:t>（如有）</w:t>
      </w:r>
      <w:r>
        <w:rPr>
          <w:rFonts w:hint="eastAsia" w:ascii="华文中宋" w:hAnsi="华文中宋" w:eastAsia="华文中宋" w:cs="华文中宋"/>
          <w:sz w:val="21"/>
          <w:szCs w:val="21"/>
        </w:rPr>
        <w:t>小写：</w:t>
      </w:r>
      <w:r>
        <w:rPr>
          <w:rFonts w:hint="eastAsia" w:ascii="华文中宋" w:hAnsi="华文中宋" w:eastAsia="华文中宋" w:cs="华文中宋"/>
          <w:sz w:val="21"/>
          <w:szCs w:val="21"/>
          <w:u w:val="single"/>
        </w:rPr>
        <w:t xml:space="preserve">                   </w:t>
      </w:r>
    </w:p>
    <w:p w14:paraId="2DFCD0E8">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1C20A683">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（注：固定单价合同应填写单价和最高限价）</w:t>
      </w:r>
    </w:p>
    <w:p w14:paraId="1B749274">
      <w:pPr>
        <w:pageBreakBefore w:val="0"/>
        <w:numPr>
          <w:ilvl w:val="0"/>
          <w:numId w:val="0"/>
        </w:numPr>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合同定价方式</w:t>
      </w:r>
      <w:r>
        <w:rPr>
          <w:rFonts w:hint="eastAsia" w:ascii="华文中宋" w:hAnsi="华文中宋" w:eastAsia="华文中宋" w:cs="华文中宋"/>
          <w:sz w:val="21"/>
          <w:szCs w:val="21"/>
          <w:lang w:eastAsia="zh-CN"/>
        </w:rPr>
        <w:t>（采用组合定价方式的，可以勾选多项）</w:t>
      </w:r>
      <w:r>
        <w:rPr>
          <w:rFonts w:hint="eastAsia" w:ascii="华文中宋" w:hAnsi="华文中宋" w:eastAsia="华文中宋" w:cs="华文中宋"/>
          <w:sz w:val="21"/>
          <w:szCs w:val="21"/>
        </w:rPr>
        <w:t>：</w:t>
      </w:r>
    </w:p>
    <w:p w14:paraId="008B6FD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固定总价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固定单价</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固定费率</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成本补偿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绩效激励</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r>
        <w:rPr>
          <w:rFonts w:hint="eastAsia" w:ascii="华文中宋" w:hAnsi="华文中宋" w:eastAsia="华文中宋" w:cs="华文中宋"/>
          <w:sz w:val="21"/>
          <w:szCs w:val="21"/>
          <w:u w:val="single"/>
        </w:rPr>
        <w:t xml:space="preserve">       </w:t>
      </w:r>
    </w:p>
    <w:p w14:paraId="476E3891">
      <w:pPr>
        <w:pStyle w:val="61"/>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）付款方式（按项目实际勾选填写）：</w:t>
      </w:r>
    </w:p>
    <w:p w14:paraId="1175FC82">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全额付款：</w:t>
      </w:r>
      <w:r>
        <w:rPr>
          <w:rFonts w:hint="eastAsia" w:ascii="华文中宋" w:hAnsi="华文中宋" w:eastAsia="华文中宋" w:cs="华文中宋"/>
          <w:sz w:val="21"/>
          <w:szCs w:val="21"/>
          <w:u w:val="single"/>
        </w:rPr>
        <w:t xml:space="preserve">     （应</w:t>
      </w:r>
      <w:r>
        <w:rPr>
          <w:rFonts w:hint="eastAsia" w:ascii="华文中宋" w:hAnsi="华文中宋" w:eastAsia="华文中宋" w:cs="华文中宋"/>
          <w:sz w:val="21"/>
          <w:szCs w:val="21"/>
          <w:u w:val="single"/>
          <w:lang w:eastAsia="zh-CN"/>
        </w:rPr>
        <w:t>明确</w:t>
      </w:r>
      <w:r>
        <w:rPr>
          <w:rFonts w:hint="eastAsia" w:ascii="华文中宋" w:hAnsi="华文中宋" w:eastAsia="华文中宋" w:cs="华文中宋"/>
          <w:sz w:val="21"/>
          <w:szCs w:val="21"/>
          <w:u w:val="single"/>
        </w:rPr>
        <w:t>一次性支付合同款项</w:t>
      </w:r>
      <w:r>
        <w:rPr>
          <w:rFonts w:hint="eastAsia" w:ascii="华文中宋" w:hAnsi="华文中宋" w:eastAsia="华文中宋" w:cs="华文中宋"/>
          <w:sz w:val="21"/>
          <w:szCs w:val="21"/>
          <w:u w:val="single"/>
          <w:lang w:eastAsia="zh-CN"/>
        </w:rPr>
        <w:t>的条件</w:t>
      </w:r>
      <w:r>
        <w:rPr>
          <w:rFonts w:hint="eastAsia" w:ascii="华文中宋" w:hAnsi="华文中宋" w:eastAsia="华文中宋" w:cs="华文中宋"/>
          <w:sz w:val="21"/>
          <w:szCs w:val="21"/>
          <w:u w:val="single"/>
        </w:rPr>
        <w:t xml:space="preserve">）                    </w:t>
      </w:r>
    </w:p>
    <w:p w14:paraId="67C0B938">
      <w:pPr>
        <w:pageBreakBefore w:val="0"/>
        <w:kinsoku/>
        <w:wordWrap/>
        <w:overflowPunct/>
        <w:topLinePunct w:val="0"/>
        <w:bidi w:val="0"/>
        <w:snapToGrid w:val="0"/>
        <w:spacing w:beforeLines="0" w:line="480" w:lineRule="exact"/>
        <w:ind w:left="0" w:leftChars="0" w:right="0" w:rightChars="0"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分期付款：</w:t>
      </w:r>
      <w:r>
        <w:rPr>
          <w:rFonts w:hint="eastAsia" w:ascii="华文中宋" w:hAnsi="华文中宋" w:eastAsia="华文中宋" w:cs="华文中宋"/>
          <w:sz w:val="21"/>
          <w:szCs w:val="21"/>
          <w:u w:val="single"/>
        </w:rPr>
        <w:t xml:space="preserve">  （应明确分期支付合同款项的各期比例和支付条件</w:t>
      </w:r>
      <w:r>
        <w:rPr>
          <w:rFonts w:hint="eastAsia" w:ascii="华文中宋" w:hAnsi="华文中宋" w:eastAsia="华文中宋" w:cs="华文中宋"/>
          <w:sz w:val="21"/>
          <w:szCs w:val="21"/>
          <w:u w:val="single"/>
          <w:lang w:eastAsia="zh-CN"/>
        </w:rPr>
        <w:t>，各期支付条件应与分期履约验收情况挂钩</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none"/>
          <w:lang w:eastAsia="zh-CN"/>
        </w:rPr>
        <w:t>，</w:t>
      </w:r>
      <w:r>
        <w:rPr>
          <w:rFonts w:hint="eastAsia" w:ascii="华文中宋" w:hAnsi="华文中宋" w:eastAsia="华文中宋" w:cs="华文中宋"/>
          <w:sz w:val="21"/>
          <w:szCs w:val="21"/>
          <w:lang w:eastAsia="zh-CN"/>
        </w:rPr>
        <w:t>其中涉及预付款的</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u w:val="single"/>
        </w:rPr>
        <w:t xml:space="preserve"> （应明确预付款的支付比例和支付条件） </w:t>
      </w:r>
    </w:p>
    <w:p w14:paraId="6AC472DF">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成本补偿：</w:t>
      </w:r>
      <w:r>
        <w:rPr>
          <w:rFonts w:hint="eastAsia" w:ascii="华文中宋" w:hAnsi="华文中宋" w:eastAsia="华文中宋" w:cs="华文中宋"/>
          <w:sz w:val="21"/>
          <w:szCs w:val="21"/>
          <w:u w:val="single"/>
        </w:rPr>
        <w:t xml:space="preserve">      （应明确按照成本补偿方式的支付方式和支付条件）   </w:t>
      </w:r>
    </w:p>
    <w:p w14:paraId="2218C8F4">
      <w:pPr>
        <w:pageBreakBefore w:val="0"/>
        <w:kinsoku/>
        <w:wordWrap/>
        <w:overflowPunct/>
        <w:topLinePunct w:val="0"/>
        <w:bidi w:val="0"/>
        <w:adjustRightInd w:val="0"/>
        <w:snapToGrid w:val="0"/>
        <w:spacing w:before="0" w:beforeLines="0" w:line="480" w:lineRule="exact"/>
        <w:ind w:left="0" w:leftChars="0" w:right="0" w:rightChars="0"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绩效激励：</w:t>
      </w:r>
      <w:r>
        <w:rPr>
          <w:rFonts w:hint="eastAsia" w:ascii="华文中宋" w:hAnsi="华文中宋" w:eastAsia="华文中宋" w:cs="华文中宋"/>
          <w:sz w:val="21"/>
          <w:szCs w:val="21"/>
          <w:u w:val="single"/>
        </w:rPr>
        <w:t xml:space="preserve">      （应明确按照绩效激励方式的支付方式和支付条件）   </w:t>
      </w:r>
    </w:p>
    <w:p w14:paraId="3A2D0BD0">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bCs w:val="0"/>
          <w:sz w:val="21"/>
          <w:szCs w:val="21"/>
          <w:u w:val="single"/>
        </w:rPr>
      </w:pPr>
      <w:r>
        <w:rPr>
          <w:rFonts w:hint="eastAsia" w:ascii="华文中宋" w:hAnsi="华文中宋" w:eastAsia="华文中宋" w:cs="华文中宋"/>
          <w:b/>
          <w:bCs w:val="0"/>
          <w:sz w:val="21"/>
          <w:szCs w:val="21"/>
        </w:rPr>
        <w:t>合同履行</w:t>
      </w:r>
    </w:p>
    <w:p w14:paraId="21396DE7">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（1）起始日期：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日，完成日期：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6B54A59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履约</w:t>
      </w:r>
      <w:r>
        <w:rPr>
          <w:rFonts w:hint="eastAsia" w:ascii="华文中宋" w:hAnsi="华文中宋" w:eastAsia="华文中宋" w:cs="华文中宋"/>
          <w:sz w:val="21"/>
          <w:szCs w:val="21"/>
        </w:rPr>
        <w:t>地点</w:t>
      </w:r>
      <w:r>
        <w:rPr>
          <w:rFonts w:hint="eastAsia" w:ascii="华文中宋" w:hAnsi="华文中宋" w:eastAsia="华文中宋" w:cs="华文中宋"/>
          <w:b w:val="0"/>
          <w:bCs/>
          <w:sz w:val="21"/>
          <w:szCs w:val="21"/>
        </w:rPr>
        <w:t>：</w:t>
      </w:r>
      <w:r>
        <w:rPr>
          <w:rFonts w:hint="eastAsia" w:ascii="华文中宋" w:hAnsi="华文中宋" w:eastAsia="华文中宋" w:cs="华文中宋"/>
          <w:sz w:val="21"/>
          <w:szCs w:val="21"/>
          <w:u w:val="single"/>
        </w:rPr>
        <w:t xml:space="preserve">                             </w:t>
      </w:r>
    </w:p>
    <w:p w14:paraId="62A570C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rPr>
        <w:t>（3）履约担保：</w:t>
      </w:r>
      <w:r>
        <w:rPr>
          <w:rFonts w:hint="eastAsia" w:ascii="华文中宋" w:hAnsi="华文中宋" w:eastAsia="华文中宋" w:cs="华文中宋"/>
          <w:sz w:val="21"/>
          <w:szCs w:val="21"/>
          <w:lang w:val="en-US" w:eastAsia="zh-CN"/>
        </w:rPr>
        <w:t>是否收取履约保证金：</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lang w:eastAsia="zh-CN"/>
        </w:rPr>
        <w:t>是</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lang w:eastAsia="zh-CN"/>
        </w:rPr>
        <w:t>否</w:t>
      </w:r>
    </w:p>
    <w:p w14:paraId="51A28CD4">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bCs/>
          <w:sz w:val="21"/>
          <w:szCs w:val="21"/>
          <w:u w:val="none"/>
          <w:lang w:val="en-US" w:eastAsia="zh-CN"/>
        </w:rPr>
        <w:t xml:space="preserve">  </w:t>
      </w:r>
      <w:r>
        <w:rPr>
          <w:rFonts w:hint="eastAsia" w:ascii="华文中宋" w:hAnsi="华文中宋" w:eastAsia="华文中宋" w:cs="华文中宋"/>
          <w:sz w:val="21"/>
          <w:szCs w:val="21"/>
          <w:lang w:val="en-US" w:eastAsia="zh-CN"/>
        </w:rPr>
        <w:t xml:space="preserve">  收取履约保证金形式：</w:t>
      </w:r>
      <w:r>
        <w:rPr>
          <w:rFonts w:hint="eastAsia" w:ascii="华文中宋" w:hAnsi="华文中宋" w:eastAsia="华文中宋" w:cs="华文中宋"/>
          <w:bCs/>
          <w:sz w:val="21"/>
          <w:szCs w:val="21"/>
          <w:u w:val="single"/>
        </w:rPr>
        <w:t xml:space="preserve">                            </w:t>
      </w:r>
    </w:p>
    <w:p w14:paraId="43B2BF1C">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收取履约保证金金额：</w:t>
      </w:r>
      <w:r>
        <w:rPr>
          <w:rFonts w:hint="eastAsia" w:ascii="华文中宋" w:hAnsi="华文中宋" w:eastAsia="华文中宋" w:cs="华文中宋"/>
          <w:bCs/>
          <w:sz w:val="21"/>
          <w:szCs w:val="21"/>
          <w:u w:val="single"/>
        </w:rPr>
        <w:t xml:space="preserve">                            </w:t>
      </w:r>
    </w:p>
    <w:p w14:paraId="4C319087">
      <w:pPr>
        <w:pageBreakBefore w:val="0"/>
        <w:kinsoku/>
        <w:wordWrap/>
        <w:overflowPunct/>
        <w:topLinePunct w:val="0"/>
        <w:bidi w:val="0"/>
        <w:snapToGrid w:val="0"/>
        <w:spacing w:beforeLines="0"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bCs/>
          <w:sz w:val="21"/>
          <w:szCs w:val="21"/>
          <w:u w:val="none"/>
          <w:lang w:val="en-US" w:eastAsia="zh-CN"/>
        </w:rPr>
        <w:t xml:space="preserve">    履约担保期限</w:t>
      </w:r>
      <w:r>
        <w:rPr>
          <w:rFonts w:hint="eastAsia" w:ascii="华文中宋" w:hAnsi="华文中宋" w:eastAsia="华文中宋" w:cs="华文中宋"/>
          <w:bCs/>
          <w:sz w:val="21"/>
          <w:szCs w:val="21"/>
          <w:u w:val="none"/>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u w:val="single"/>
        </w:rPr>
        <w:t xml:space="preserve">       </w:t>
      </w:r>
    </w:p>
    <w:p w14:paraId="66AB379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（4）分期履行要求：</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u w:val="single"/>
        </w:rPr>
        <w:t xml:space="preserve"> </w:t>
      </w:r>
    </w:p>
    <w:p w14:paraId="727C63C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bCs/>
          <w:sz w:val="21"/>
          <w:szCs w:val="21"/>
        </w:rPr>
        <w:t>（5）</w:t>
      </w:r>
      <w:r>
        <w:rPr>
          <w:rFonts w:hint="eastAsia" w:ascii="华文中宋" w:hAnsi="华文中宋" w:eastAsia="华文中宋" w:cs="华文中宋"/>
          <w:bCs/>
          <w:sz w:val="21"/>
          <w:szCs w:val="21"/>
          <w:lang w:eastAsia="zh-CN"/>
        </w:rPr>
        <w:t>风险处置措施和替代方案</w:t>
      </w:r>
      <w:r>
        <w:rPr>
          <w:rFonts w:hint="eastAsia" w:ascii="华文中宋" w:hAnsi="华文中宋" w:eastAsia="华文中宋" w:cs="华文中宋"/>
          <w:bCs/>
          <w:sz w:val="21"/>
          <w:szCs w:val="21"/>
        </w:rPr>
        <w:t>：</w:t>
      </w:r>
      <w:r>
        <w:rPr>
          <w:rFonts w:hint="eastAsia" w:ascii="华文中宋" w:hAnsi="华文中宋" w:eastAsia="华文中宋" w:cs="华文中宋"/>
          <w:color w:val="0000FF"/>
          <w:sz w:val="21"/>
          <w:szCs w:val="21"/>
          <w:u w:val="single"/>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sz w:val="21"/>
          <w:szCs w:val="21"/>
          <w:u w:val="single"/>
        </w:rPr>
        <w:t xml:space="preserve">                                                </w:t>
      </w:r>
    </w:p>
    <w:p w14:paraId="62F2081E">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合同验收</w:t>
      </w:r>
    </w:p>
    <w:p w14:paraId="1306EDD9">
      <w:pPr>
        <w:pageBreakBefore w:val="0"/>
        <w:numPr>
          <w:ilvl w:val="0"/>
          <w:numId w:val="4"/>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验收组织方式：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自行组织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委托第三方组织</w:t>
      </w:r>
    </w:p>
    <w:p w14:paraId="3C92004C">
      <w:pPr>
        <w:pageBreakBefore w:val="0"/>
        <w:numPr>
          <w:ilvl w:val="0"/>
          <w:numId w:val="0"/>
        </w:numPr>
        <w:kinsoku/>
        <w:wordWrap/>
        <w:overflowPunct/>
        <w:topLinePunct w:val="0"/>
        <w:bidi w:val="0"/>
        <w:adjustRightInd w:val="0"/>
        <w:snapToGrid w:val="0"/>
        <w:spacing w:before="0" w:beforeLines="0" w:line="480" w:lineRule="exact"/>
        <w:ind w:left="0" w:leftChars="0" w:right="0" w:rightChars="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验收主体：</w:t>
      </w:r>
      <w:r>
        <w:rPr>
          <w:rFonts w:hint="eastAsia" w:ascii="华文中宋" w:hAnsi="华文中宋" w:eastAsia="华文中宋" w:cs="华文中宋"/>
          <w:bCs/>
          <w:sz w:val="21"/>
          <w:szCs w:val="21"/>
          <w:u w:val="single"/>
        </w:rPr>
        <w:t xml:space="preserve">                  </w:t>
      </w:r>
    </w:p>
    <w:p w14:paraId="26B0DF2B">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是否邀请本项目的其他供应商</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38B840AB">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是否邀请专家</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7BFB105">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是否邀请服务对象</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2C567C6D">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是否邀请第三方检测机构</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69410988">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eastAsia="zh-CN"/>
        </w:rPr>
        <w:t>是否进行抽查检测：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，抽查比例：</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00576691">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u w:val="single"/>
          <w:lang w:eastAsia="zh-CN"/>
        </w:rPr>
      </w:pPr>
      <w:r>
        <w:rPr>
          <w:rFonts w:hint="eastAsia" w:ascii="华文中宋" w:hAnsi="华文中宋" w:eastAsia="华文中宋" w:cs="华文中宋"/>
          <w:bCs/>
          <w:sz w:val="21"/>
          <w:szCs w:val="21"/>
          <w:lang w:val="en-US" w:eastAsia="zh-CN"/>
        </w:rPr>
        <w:t>是否存在破坏性检测：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lang w:eastAsia="zh-CN"/>
        </w:rPr>
        <w:t>（应明确对被破坏的检测产品的处理方式）</w:t>
      </w:r>
    </w:p>
    <w:p w14:paraId="2AA382DC">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lang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59F4D4AB">
      <w:pPr>
        <w:pageBreakBefore w:val="0"/>
        <w:kinsoku/>
        <w:wordWrap/>
        <w:overflowPunct/>
        <w:topLinePunct w:val="0"/>
        <w:bidi w:val="0"/>
        <w:adjustRightInd w:val="0"/>
        <w:snapToGrid w:val="0"/>
        <w:spacing w:before="0" w:beforeLines="0" w:line="480" w:lineRule="exact"/>
        <w:ind w:left="0" w:leftChars="0" w:right="0" w:rightChars="0" w:firstLine="840" w:firstLineChars="4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验收组织的其他事项：</w:t>
      </w:r>
      <w:r>
        <w:rPr>
          <w:rFonts w:hint="eastAsia" w:ascii="华文中宋" w:hAnsi="华文中宋" w:eastAsia="华文中宋" w:cs="华文中宋"/>
          <w:bCs/>
          <w:sz w:val="21"/>
          <w:szCs w:val="21"/>
          <w:u w:val="single"/>
        </w:rPr>
        <w:t xml:space="preserve">                </w:t>
      </w:r>
    </w:p>
    <w:p w14:paraId="32CDF23B">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（2）履约验收时间：</w:t>
      </w:r>
      <w:r>
        <w:rPr>
          <w:rFonts w:hint="eastAsia" w:ascii="华文中宋" w:hAnsi="华文中宋" w:eastAsia="华文中宋" w:cs="华文中宋"/>
          <w:bCs/>
          <w:sz w:val="21"/>
          <w:szCs w:val="21"/>
          <w:u w:val="single"/>
        </w:rPr>
        <w:t>（计划于何时验收/供应商提出验收申请之日起   日内组织验收）</w:t>
      </w:r>
      <w:r>
        <w:rPr>
          <w:rFonts w:hint="eastAsia" w:ascii="华文中宋" w:hAnsi="华文中宋" w:eastAsia="华文中宋" w:cs="华文中宋"/>
          <w:bCs/>
          <w:sz w:val="21"/>
          <w:szCs w:val="21"/>
          <w:u w:val="single"/>
          <w:lang w:val="en-US" w:eastAsia="zh-CN"/>
        </w:rPr>
        <w:t xml:space="preserve"> </w:t>
      </w:r>
    </w:p>
    <w:p w14:paraId="72E03161">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（3）履约验收方式：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一次性验收         </w:t>
      </w:r>
    </w:p>
    <w:p w14:paraId="3526AE81">
      <w:pPr>
        <w:pageBreakBefore w:val="0"/>
        <w:kinsoku/>
        <w:wordWrap/>
        <w:overflowPunct/>
        <w:topLinePunct w:val="0"/>
        <w:bidi w:val="0"/>
        <w:adjustRightInd w:val="0"/>
        <w:snapToGrid w:val="0"/>
        <w:spacing w:before="0" w:beforeLines="0" w:line="480" w:lineRule="exact"/>
        <w:ind w:left="0" w:leftChars="0" w:right="0" w:rightChars="0" w:firstLine="0" w:firstLineChars="0"/>
        <w:rPr>
          <w:rFonts w:hint="eastAsia" w:ascii="华文中宋" w:hAnsi="华文中宋" w:eastAsia="华文中宋" w:cs="华文中宋"/>
          <w:bCs/>
          <w:sz w:val="21"/>
          <w:szCs w:val="21"/>
          <w:lang w:val="en-US"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分期/分项验收</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（应明确分期</w:t>
      </w:r>
      <w:r>
        <w:rPr>
          <w:rFonts w:hint="eastAsia" w:ascii="华文中宋" w:hAnsi="华文中宋" w:eastAsia="华文中宋" w:cs="华文中宋"/>
          <w:bCs/>
          <w:sz w:val="21"/>
          <w:szCs w:val="21"/>
          <w:u w:val="single"/>
          <w:lang w:val="en" w:eastAsia="zh-CN"/>
        </w:rPr>
        <w:t>/分项验收的工作安排</w:t>
      </w:r>
      <w:r>
        <w:rPr>
          <w:rFonts w:hint="eastAsia" w:ascii="华文中宋" w:hAnsi="华文中宋" w:eastAsia="华文中宋" w:cs="华文中宋"/>
          <w:bCs/>
          <w:sz w:val="21"/>
          <w:szCs w:val="21"/>
          <w:u w:val="single"/>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p>
    <w:p w14:paraId="78A1B8B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（4）履约验收程序：</w:t>
      </w:r>
      <w:r>
        <w:rPr>
          <w:rFonts w:hint="eastAsia" w:ascii="华文中宋" w:hAnsi="华文中宋" w:eastAsia="华文中宋" w:cs="华文中宋"/>
          <w:bCs/>
          <w:sz w:val="21"/>
          <w:szCs w:val="21"/>
          <w:u w:val="single"/>
        </w:rPr>
        <w:t xml:space="preserve">                                         </w:t>
      </w:r>
    </w:p>
    <w:p w14:paraId="0417D006">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（5）履约验收的内容：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（应当包括每一项技术和商务要求的履约情况，特别是落实政府采购扶持中小企业，支持绿色发展和乡村振兴等政策情况）</w:t>
      </w:r>
      <w:r>
        <w:rPr>
          <w:rFonts w:hint="eastAsia" w:ascii="华文中宋" w:hAnsi="华文中宋" w:eastAsia="华文中宋" w:cs="华文中宋"/>
          <w:bCs/>
          <w:sz w:val="21"/>
          <w:szCs w:val="21"/>
          <w:u w:val="single"/>
        </w:rPr>
        <w:t xml:space="preserve">                                      </w:t>
      </w:r>
    </w:p>
    <w:p w14:paraId="0FA20B8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（6）履约验收标准：</w:t>
      </w:r>
      <w:r>
        <w:rPr>
          <w:rFonts w:hint="eastAsia" w:ascii="华文中宋" w:hAnsi="华文中宋" w:eastAsia="华文中宋" w:cs="华文中宋"/>
          <w:bCs/>
          <w:sz w:val="21"/>
          <w:szCs w:val="21"/>
          <w:u w:val="single"/>
        </w:rPr>
        <w:t xml:space="preserve">                                         </w:t>
      </w:r>
    </w:p>
    <w:p w14:paraId="6F31CD30">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u w:val="none"/>
          <w:lang w:eastAsia="zh-CN"/>
        </w:rPr>
        <w:t>（</w:t>
      </w:r>
      <w:r>
        <w:rPr>
          <w:rFonts w:hint="eastAsia" w:ascii="华文中宋" w:hAnsi="华文中宋" w:eastAsia="华文中宋" w:cs="华文中宋"/>
          <w:bCs/>
          <w:sz w:val="21"/>
          <w:szCs w:val="21"/>
          <w:u w:val="none"/>
          <w:lang w:val="en-US" w:eastAsia="zh-CN"/>
        </w:rPr>
        <w:t>7</w:t>
      </w:r>
      <w:r>
        <w:rPr>
          <w:rFonts w:hint="eastAsia" w:ascii="华文中宋" w:hAnsi="华文中宋" w:eastAsia="华文中宋" w:cs="华文中宋"/>
          <w:bCs/>
          <w:sz w:val="21"/>
          <w:szCs w:val="21"/>
          <w:u w:val="none"/>
          <w:lang w:eastAsia="zh-CN"/>
        </w:rPr>
        <w:t>）是否以采购活动中供应商提供的样品作为参考：</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219E7CF">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（8）履约验收其他事项：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i w:val="0"/>
          <w:iCs w:val="0"/>
          <w:sz w:val="21"/>
          <w:szCs w:val="21"/>
          <w:u w:val="single"/>
        </w:rPr>
        <w:t>（产权过户登记等）</w:t>
      </w:r>
      <w:r>
        <w:rPr>
          <w:rFonts w:hint="eastAsia" w:ascii="华文中宋" w:hAnsi="华文中宋" w:eastAsia="华文中宋" w:cs="华文中宋"/>
          <w:bCs/>
          <w:sz w:val="21"/>
          <w:szCs w:val="21"/>
          <w:u w:val="single"/>
        </w:rPr>
        <w:t xml:space="preserve">          </w:t>
      </w:r>
    </w:p>
    <w:p w14:paraId="0B6A1669">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组成合同的文件</w:t>
      </w:r>
    </w:p>
    <w:p w14:paraId="1BAF83A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本协议书与下列文件一起构成合同文件，如下述文件之间有任何抵触、矛盾或歧义，应按以下顺序解释：</w:t>
      </w:r>
    </w:p>
    <w:p w14:paraId="61D0CAAC">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（1）</w:t>
      </w:r>
      <w:r>
        <w:rPr>
          <w:rFonts w:hint="eastAsia" w:ascii="华文中宋" w:hAnsi="华文中宋" w:eastAsia="华文中宋" w:cs="华文中宋"/>
          <w:color w:val="auto"/>
          <w:sz w:val="21"/>
          <w:szCs w:val="21"/>
          <w:lang w:eastAsia="zh-CN"/>
        </w:rPr>
        <w:t>政府采购</w:t>
      </w:r>
      <w:r>
        <w:rPr>
          <w:rFonts w:hint="eastAsia" w:ascii="华文中宋" w:hAnsi="华文中宋" w:eastAsia="华文中宋" w:cs="华文中宋"/>
          <w:color w:val="auto"/>
          <w:sz w:val="21"/>
          <w:szCs w:val="21"/>
        </w:rPr>
        <w:t>合同协议书及其变更、补充</w:t>
      </w:r>
      <w:r>
        <w:rPr>
          <w:rFonts w:hint="eastAsia" w:ascii="华文中宋" w:hAnsi="华文中宋" w:eastAsia="华文中宋" w:cs="华文中宋"/>
          <w:color w:val="auto"/>
          <w:sz w:val="21"/>
          <w:szCs w:val="21"/>
          <w:lang w:eastAsia="zh-CN"/>
        </w:rPr>
        <w:t>协议</w:t>
      </w:r>
    </w:p>
    <w:p w14:paraId="5A222D8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）政府采购合同专用条款</w:t>
      </w:r>
    </w:p>
    <w:p w14:paraId="5801BAF1">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）政府采购合同通用条款</w:t>
      </w:r>
    </w:p>
    <w:p w14:paraId="4A8622E4">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val="en-US" w:eastAsia="zh-CN"/>
        </w:rPr>
        <w:t>4</w:t>
      </w:r>
      <w:r>
        <w:rPr>
          <w:rFonts w:hint="eastAsia" w:ascii="华文中宋" w:hAnsi="华文中宋" w:eastAsia="华文中宋" w:cs="华文中宋"/>
          <w:color w:val="auto"/>
          <w:sz w:val="21"/>
          <w:szCs w:val="21"/>
        </w:rPr>
        <w:t>）中标</w:t>
      </w:r>
      <w:r>
        <w:rPr>
          <w:rFonts w:hint="eastAsia" w:ascii="华文中宋" w:hAnsi="华文中宋" w:eastAsia="华文中宋" w:cs="华文中宋"/>
          <w:color w:val="auto"/>
          <w:sz w:val="21"/>
          <w:szCs w:val="21"/>
          <w:lang w:eastAsia="zh-CN"/>
        </w:rPr>
        <w:t>（成交）</w:t>
      </w:r>
      <w:r>
        <w:rPr>
          <w:rFonts w:hint="eastAsia" w:ascii="华文中宋" w:hAnsi="华文中宋" w:eastAsia="华文中宋" w:cs="华文中宋"/>
          <w:color w:val="auto"/>
          <w:sz w:val="21"/>
          <w:szCs w:val="21"/>
        </w:rPr>
        <w:t>通知书</w:t>
      </w:r>
    </w:p>
    <w:p w14:paraId="0797F4DD">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）投标（响应）文件</w:t>
      </w:r>
    </w:p>
    <w:p w14:paraId="57841680">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（6）采购文件</w:t>
      </w:r>
    </w:p>
    <w:p w14:paraId="46EDEDCB">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（7）有关技术文件，图纸</w:t>
      </w:r>
    </w:p>
    <w:p w14:paraId="57410E28">
      <w:pPr>
        <w:pStyle w:val="66"/>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8</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bCs w:val="0"/>
          <w:color w:val="000000"/>
          <w:kern w:val="2"/>
          <w:sz w:val="21"/>
          <w:szCs w:val="21"/>
          <w:highlight w:val="none"/>
          <w:lang w:eastAsia="zh-CN"/>
        </w:rPr>
        <w:t>国家法律、行政法规和规章制度规定或合同约定的作为合同组成部分的其他文件</w:t>
      </w:r>
    </w:p>
    <w:p w14:paraId="476F20C6">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合同生效</w:t>
      </w:r>
    </w:p>
    <w:p w14:paraId="67B1BEE8">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本合同自</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生效。</w:t>
      </w:r>
    </w:p>
    <w:p w14:paraId="68199600">
      <w:pPr>
        <w:pageBreakBefore w:val="0"/>
        <w:numPr>
          <w:ilvl w:val="0"/>
          <w:numId w:val="2"/>
        </w:numPr>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合同份数</w:t>
      </w:r>
    </w:p>
    <w:p w14:paraId="50B52785">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本合同一式</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甲方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份，均具有同等法律效力。</w:t>
      </w:r>
    </w:p>
    <w:p w14:paraId="75746AA7">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合同订立时间：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18206C73">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合同订立地点：</w:t>
      </w:r>
      <w:r>
        <w:rPr>
          <w:rFonts w:hint="eastAsia" w:ascii="华文中宋" w:hAnsi="华文中宋" w:eastAsia="华文中宋" w:cs="华文中宋"/>
          <w:sz w:val="21"/>
          <w:szCs w:val="21"/>
          <w:u w:val="single"/>
        </w:rPr>
        <w:t xml:space="preserve">                           </w:t>
      </w:r>
    </w:p>
    <w:p w14:paraId="519893DA">
      <w:pPr>
        <w:pageBreakBefore w:val="0"/>
        <w:kinsoku/>
        <w:wordWrap/>
        <w:overflowPunct/>
        <w:topLinePunct w:val="0"/>
        <w:bidi w:val="0"/>
        <w:adjustRightInd w:val="0"/>
        <w:snapToGrid w:val="0"/>
        <w:spacing w:before="0" w:beforeLines="0" w:line="480" w:lineRule="exact"/>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附件：具体标</w:t>
      </w:r>
      <w:r>
        <w:rPr>
          <w:rFonts w:hint="eastAsia" w:ascii="华文中宋" w:hAnsi="华文中宋" w:eastAsia="华文中宋" w:cs="华文中宋"/>
          <w:sz w:val="21"/>
          <w:szCs w:val="21"/>
          <w:lang w:eastAsia="zh-CN"/>
        </w:rPr>
        <w:t>的及其</w:t>
      </w:r>
      <w:r>
        <w:rPr>
          <w:rFonts w:hint="eastAsia" w:ascii="华文中宋" w:hAnsi="华文中宋" w:eastAsia="华文中宋" w:cs="华文中宋"/>
          <w:sz w:val="21"/>
          <w:szCs w:val="21"/>
          <w:highlight w:val="none"/>
          <w:u w:val="none"/>
          <w:lang w:val="en-US" w:eastAsia="zh-CN"/>
        </w:rPr>
        <w:t>技术要求和商务要求</w:t>
      </w:r>
      <w:r>
        <w:rPr>
          <w:rFonts w:hint="eastAsia" w:ascii="华文中宋" w:hAnsi="华文中宋" w:eastAsia="华文中宋" w:cs="华文中宋"/>
          <w:sz w:val="21"/>
          <w:szCs w:val="21"/>
        </w:rPr>
        <w:t>、联合协议、分包</w:t>
      </w:r>
      <w:r>
        <w:rPr>
          <w:rFonts w:hint="eastAsia" w:ascii="华文中宋" w:hAnsi="华文中宋" w:eastAsia="华文中宋" w:cs="华文中宋"/>
          <w:sz w:val="21"/>
          <w:szCs w:val="21"/>
          <w:lang w:eastAsia="zh-CN"/>
        </w:rPr>
        <w:t>意向</w:t>
      </w:r>
      <w:r>
        <w:rPr>
          <w:rFonts w:hint="eastAsia" w:ascii="华文中宋" w:hAnsi="华文中宋" w:eastAsia="华文中宋" w:cs="华文中宋"/>
          <w:sz w:val="21"/>
          <w:szCs w:val="21"/>
        </w:rPr>
        <w:t>协议等。</w:t>
      </w:r>
    </w:p>
    <w:p w14:paraId="47E43EFF">
      <w:pPr>
        <w:pStyle w:val="61"/>
        <w:pageBreakBefore w:val="0"/>
        <w:kinsoku/>
        <w:wordWrap/>
        <w:overflowPunct/>
        <w:topLinePunct w:val="0"/>
        <w:bidi w:val="0"/>
        <w:spacing w:beforeLines="0" w:line="480" w:lineRule="exact"/>
        <w:ind w:left="0" w:leftChars="0" w:right="0" w:rightChars="0"/>
        <w:rPr>
          <w:rFonts w:hint="eastAsia" w:ascii="华文中宋" w:hAnsi="华文中宋" w:eastAsia="华文中宋" w:cs="华文中宋"/>
          <w:sz w:val="21"/>
          <w:szCs w:val="21"/>
        </w:rPr>
      </w:pPr>
    </w:p>
    <w:p w14:paraId="49EB1431">
      <w:pPr>
        <w:pageBreakBefore w:val="0"/>
        <w:kinsoku/>
        <w:wordWrap/>
        <w:overflowPunct/>
        <w:topLinePunct w:val="0"/>
        <w:bidi w:val="0"/>
        <w:spacing w:beforeLines="0" w:after="0" w:line="480" w:lineRule="exact"/>
        <w:ind w:left="0" w:leftChars="0" w:right="0" w:rightChars="0"/>
        <w:outlineLvl w:val="9"/>
        <w:rPr>
          <w:rFonts w:hint="eastAsia" w:ascii="华文中宋" w:hAnsi="华文中宋" w:eastAsia="华文中宋" w:cs="华文中宋"/>
          <w:b w:val="0"/>
          <w:bCs w:val="0"/>
          <w:sz w:val="21"/>
          <w:szCs w:val="21"/>
          <w:highlight w:val="none"/>
          <w:lang w:val="en-US" w:eastAsia="zh-CN"/>
        </w:rPr>
      </w:pPr>
      <w:r>
        <w:rPr>
          <w:rFonts w:hint="eastAsia" w:ascii="华文中宋" w:hAnsi="华文中宋" w:eastAsia="华文中宋" w:cs="华文中宋"/>
          <w:sz w:val="21"/>
          <w:szCs w:val="21"/>
          <w:lang w:val="en"/>
        </w:rPr>
        <w:t xml:space="preserve">   </w:t>
      </w:r>
    </w:p>
    <w:p w14:paraId="7A663873">
      <w:pPr>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br w:type="page"/>
      </w:r>
    </w:p>
    <w:p w14:paraId="6104CFCD">
      <w:pPr>
        <w:pStyle w:val="61"/>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33CB6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00E3B04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或采购文件约定的合同甲方）</w:t>
            </w:r>
          </w:p>
        </w:tc>
        <w:tc>
          <w:tcPr>
            <w:tcW w:w="4095" w:type="dxa"/>
            <w:gridSpan w:val="2"/>
            <w:tcBorders>
              <w:left w:val="single" w:color="auto" w:sz="2" w:space="0"/>
              <w:bottom w:val="single" w:color="auto" w:sz="2" w:space="0"/>
            </w:tcBorders>
            <w:noWrap w:val="0"/>
            <w:vAlign w:val="center"/>
          </w:tcPr>
          <w:p w14:paraId="50A4C8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乙方（供应商）</w:t>
            </w:r>
          </w:p>
        </w:tc>
      </w:tr>
      <w:tr w14:paraId="57860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0C1E3EC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79765B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485A79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2116" w:type="dxa"/>
            <w:tcBorders>
              <w:top w:val="single" w:color="auto" w:sz="2" w:space="0"/>
              <w:left w:val="single" w:color="auto" w:sz="2" w:space="0"/>
              <w:bottom w:val="single" w:color="auto" w:sz="2" w:space="0"/>
            </w:tcBorders>
            <w:noWrap w:val="0"/>
            <w:vAlign w:val="center"/>
          </w:tcPr>
          <w:p w14:paraId="462E805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36981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6B3FBF7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B4C0AE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firstLine="100" w:firstLineChars="48"/>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14:paraId="68EB596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right w:val="single" w:color="auto" w:sz="2" w:space="0"/>
            </w:tcBorders>
            <w:noWrap w:val="0"/>
            <w:vAlign w:val="center"/>
          </w:tcPr>
          <w:p w14:paraId="5C0F09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704C3A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2116" w:type="dxa"/>
            <w:tcBorders>
              <w:top w:val="single" w:color="auto" w:sz="2" w:space="0"/>
              <w:left w:val="single" w:color="auto" w:sz="2" w:space="0"/>
              <w:bottom w:val="single" w:color="auto" w:sz="2" w:space="0"/>
            </w:tcBorders>
            <w:noWrap w:val="0"/>
            <w:vAlign w:val="center"/>
          </w:tcPr>
          <w:p w14:paraId="66EE414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r>
      <w:tr w14:paraId="15365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27E624F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30B0F2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E51369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拥有者性别</w:t>
            </w:r>
          </w:p>
        </w:tc>
        <w:tc>
          <w:tcPr>
            <w:tcW w:w="2116" w:type="dxa"/>
            <w:tcBorders>
              <w:top w:val="single" w:color="auto" w:sz="2" w:space="0"/>
              <w:left w:val="single" w:color="auto" w:sz="2" w:space="0"/>
              <w:bottom w:val="single" w:color="auto" w:sz="2" w:space="0"/>
            </w:tcBorders>
            <w:noWrap w:val="0"/>
            <w:vAlign w:val="center"/>
          </w:tcPr>
          <w:p w14:paraId="0A19752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19952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DAC124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B31B42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4B5E90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2116" w:type="dxa"/>
            <w:tcBorders>
              <w:top w:val="single" w:color="auto" w:sz="2" w:space="0"/>
              <w:left w:val="single" w:color="auto" w:sz="2" w:space="0"/>
              <w:bottom w:val="single" w:color="auto" w:sz="2" w:space="0"/>
            </w:tcBorders>
            <w:noWrap w:val="0"/>
            <w:vAlign w:val="center"/>
          </w:tcPr>
          <w:p w14:paraId="51BC941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400B0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EBCFD8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082246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065CF1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2116" w:type="dxa"/>
            <w:tcBorders>
              <w:top w:val="single" w:color="auto" w:sz="2" w:space="0"/>
              <w:left w:val="single" w:color="auto" w:sz="2" w:space="0"/>
              <w:bottom w:val="single" w:color="auto" w:sz="2" w:space="0"/>
            </w:tcBorders>
            <w:noWrap w:val="0"/>
            <w:vAlign w:val="center"/>
          </w:tcPr>
          <w:p w14:paraId="45B9E93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B9B3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D5E397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BF37AA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CC6C3C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2116" w:type="dxa"/>
            <w:tcBorders>
              <w:top w:val="single" w:color="auto" w:sz="2" w:space="0"/>
              <w:left w:val="single" w:color="auto" w:sz="2" w:space="0"/>
              <w:bottom w:val="single" w:color="auto" w:sz="2" w:space="0"/>
            </w:tcBorders>
            <w:noWrap w:val="0"/>
            <w:vAlign w:val="center"/>
          </w:tcPr>
          <w:p w14:paraId="3241436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03977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517997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BEEB1D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6A3F07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通信地址</w:t>
            </w:r>
          </w:p>
        </w:tc>
        <w:tc>
          <w:tcPr>
            <w:tcW w:w="2116" w:type="dxa"/>
            <w:tcBorders>
              <w:top w:val="single" w:color="auto" w:sz="2" w:space="0"/>
              <w:left w:val="single" w:color="auto" w:sz="2" w:space="0"/>
              <w:bottom w:val="single" w:color="auto" w:sz="2" w:space="0"/>
            </w:tcBorders>
            <w:noWrap w:val="0"/>
            <w:vAlign w:val="center"/>
          </w:tcPr>
          <w:p w14:paraId="735B0F4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35CDE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BEFD84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D0A9A7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6B0333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2116" w:type="dxa"/>
            <w:tcBorders>
              <w:top w:val="single" w:color="auto" w:sz="2" w:space="0"/>
              <w:left w:val="single" w:color="auto" w:sz="2" w:space="0"/>
              <w:bottom w:val="single" w:color="auto" w:sz="2" w:space="0"/>
            </w:tcBorders>
            <w:noWrap w:val="0"/>
            <w:vAlign w:val="center"/>
          </w:tcPr>
          <w:p w14:paraId="1A998F3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101676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4AEE54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B578AE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FA0EA7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2116" w:type="dxa"/>
            <w:tcBorders>
              <w:top w:val="single" w:color="auto" w:sz="2" w:space="0"/>
              <w:left w:val="single" w:color="auto" w:sz="2" w:space="0"/>
              <w:bottom w:val="single" w:color="auto" w:sz="2" w:space="0"/>
            </w:tcBorders>
            <w:noWrap w:val="0"/>
            <w:vAlign w:val="center"/>
          </w:tcPr>
          <w:p w14:paraId="2D2815A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25FA2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5B5982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E786C5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1355E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50AC4A3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53156C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CD66C8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6E6D9C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C8925E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开户名称</w:t>
            </w:r>
          </w:p>
        </w:tc>
        <w:tc>
          <w:tcPr>
            <w:tcW w:w="2116" w:type="dxa"/>
            <w:tcBorders>
              <w:top w:val="single" w:color="auto" w:sz="2" w:space="0"/>
              <w:left w:val="single" w:color="auto" w:sz="2" w:space="0"/>
              <w:bottom w:val="single" w:color="auto" w:sz="2" w:space="0"/>
            </w:tcBorders>
            <w:noWrap w:val="0"/>
            <w:vAlign w:val="center"/>
          </w:tcPr>
          <w:p w14:paraId="7CDD137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D905B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7C712B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CC8E28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F5F91B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开户银行</w:t>
            </w:r>
          </w:p>
        </w:tc>
        <w:tc>
          <w:tcPr>
            <w:tcW w:w="2116" w:type="dxa"/>
            <w:tcBorders>
              <w:top w:val="single" w:color="auto" w:sz="2" w:space="0"/>
              <w:left w:val="single" w:color="auto" w:sz="2" w:space="0"/>
              <w:bottom w:val="single" w:color="auto" w:sz="2" w:space="0"/>
            </w:tcBorders>
            <w:noWrap w:val="0"/>
            <w:vAlign w:val="center"/>
          </w:tcPr>
          <w:p w14:paraId="69E3768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6A583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C43C57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80680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17DF49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银行账号</w:t>
            </w:r>
          </w:p>
        </w:tc>
        <w:tc>
          <w:tcPr>
            <w:tcW w:w="2116" w:type="dxa"/>
            <w:tcBorders>
              <w:top w:val="single" w:color="auto" w:sz="2" w:space="0"/>
              <w:left w:val="single" w:color="auto" w:sz="2" w:space="0"/>
              <w:bottom w:val="single" w:color="auto" w:sz="2" w:space="0"/>
            </w:tcBorders>
            <w:noWrap w:val="0"/>
            <w:vAlign w:val="center"/>
          </w:tcPr>
          <w:p w14:paraId="474A45A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pacing w:val="20"/>
                <w:sz w:val="21"/>
                <w:szCs w:val="21"/>
              </w:rPr>
            </w:pPr>
          </w:p>
        </w:tc>
      </w:tr>
      <w:tr w14:paraId="7D6391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4ECF076F">
            <w:pPr>
              <w:pStyle w:val="16"/>
              <w:keepNext w:val="0"/>
              <w:keepLines w:val="0"/>
              <w:pageBreakBefore w:val="0"/>
              <w:suppressLineNumbers w:val="0"/>
              <w:kinsoku/>
              <w:wordWrap/>
              <w:overflowPunct/>
              <w:topLinePunct w:val="0"/>
              <w:bidi w:val="0"/>
              <w:adjustRightInd w:val="0"/>
              <w:snapToGrid w:val="0"/>
              <w:spacing w:before="156" w:beforeLines="50" w:beforeAutospacing="0" w:after="0" w:afterAutospacing="0" w:line="480" w:lineRule="exact"/>
              <w:ind w:left="0" w:leftChars="0" w:right="0" w:rightChars="0"/>
              <w:jc w:val="left"/>
              <w:rPr>
                <w:rFonts w:hint="eastAsia" w:ascii="华文中宋" w:hAnsi="华文中宋" w:eastAsia="华文中宋" w:cs="华文中宋"/>
                <w:spacing w:val="20"/>
                <w:sz w:val="21"/>
                <w:szCs w:val="21"/>
              </w:rPr>
            </w:pPr>
            <w:r>
              <w:rPr>
                <w:rFonts w:hint="eastAsia" w:ascii="华文中宋" w:hAnsi="华文中宋" w:eastAsia="华文中宋" w:cs="华文中宋"/>
                <w:sz w:val="21"/>
                <w:szCs w:val="21"/>
              </w:rPr>
              <w:t>注：涉及联合体或其他合同主体的信息应按上表格式加列。</w:t>
            </w:r>
          </w:p>
        </w:tc>
      </w:tr>
    </w:tbl>
    <w:p w14:paraId="6FEAD4D4">
      <w:pPr>
        <w:pageBreakBefore w:val="0"/>
        <w:kinsoku/>
        <w:wordWrap/>
        <w:overflowPunct/>
        <w:topLinePunct w:val="0"/>
        <w:bidi w:val="0"/>
        <w:adjustRightInd w:val="0"/>
        <w:snapToGrid w:val="0"/>
        <w:spacing w:before="156" w:beforeLines="50" w:after="0" w:line="480" w:lineRule="exact"/>
        <w:ind w:left="0" w:leftChars="0" w:right="0" w:rightChars="0"/>
        <w:jc w:val="center"/>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u w:val="single"/>
        </w:rPr>
        <w:br w:type="page"/>
      </w:r>
      <w:bookmarkStart w:id="90" w:name="_Toc27624"/>
      <w:r>
        <w:rPr>
          <w:rFonts w:hint="eastAsia" w:ascii="华文中宋" w:hAnsi="华文中宋" w:eastAsia="华文中宋" w:cs="华文中宋"/>
          <w:b w:val="0"/>
          <w:bCs w:val="0"/>
          <w:sz w:val="21"/>
          <w:szCs w:val="21"/>
        </w:rPr>
        <w:t>第二节 政府采购合同通用条款</w:t>
      </w:r>
      <w:bookmarkEnd w:id="90"/>
    </w:p>
    <w:p w14:paraId="512A5B47">
      <w:pPr>
        <w:pageBreakBefore w:val="0"/>
        <w:tabs>
          <w:tab w:val="left" w:pos="8820"/>
          <w:tab w:val="left" w:pos="9345"/>
          <w:tab w:val="left" w:pos="9765"/>
        </w:tabs>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sz w:val="21"/>
          <w:szCs w:val="21"/>
        </w:rPr>
      </w:pPr>
      <w:r>
        <w:rPr>
          <w:rFonts w:hint="eastAsia" w:ascii="华文中宋" w:hAnsi="华文中宋" w:eastAsia="华文中宋" w:cs="华文中宋"/>
          <w:b/>
          <w:sz w:val="21"/>
          <w:szCs w:val="21"/>
        </w:rPr>
        <w:t>1.</w:t>
      </w:r>
      <w:r>
        <w:rPr>
          <w:rFonts w:hint="eastAsia" w:ascii="华文中宋" w:hAnsi="华文中宋" w:eastAsia="华文中宋" w:cs="华文中宋"/>
          <w:b/>
          <w:sz w:val="21"/>
          <w:szCs w:val="21"/>
          <w:lang w:val="en-US" w:eastAsia="zh-CN"/>
        </w:rPr>
        <w:t xml:space="preserve"> </w:t>
      </w:r>
      <w:r>
        <w:rPr>
          <w:rFonts w:hint="eastAsia" w:ascii="华文中宋" w:hAnsi="华文中宋" w:eastAsia="华文中宋" w:cs="华文中宋"/>
          <w:b/>
          <w:bCs/>
          <w:sz w:val="21"/>
          <w:szCs w:val="21"/>
        </w:rPr>
        <w:t>定义</w:t>
      </w:r>
    </w:p>
    <w:p w14:paraId="6FE2440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1.1合同当事人</w:t>
      </w:r>
    </w:p>
    <w:p w14:paraId="6986982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（1）采购人（以下称甲方）是指使用财政性资金，通过政府采购方式向供应商购买货物</w:t>
      </w:r>
      <w:r>
        <w:rPr>
          <w:rFonts w:hint="eastAsia" w:ascii="华文中宋" w:hAnsi="华文中宋" w:eastAsia="华文中宋" w:cs="华文中宋"/>
          <w:color w:val="auto"/>
          <w:sz w:val="21"/>
          <w:szCs w:val="21"/>
          <w:highlight w:val="none"/>
          <w:lang w:val="en-US" w:eastAsia="zh-CN"/>
        </w:rPr>
        <w:t>及其相关服务的</w:t>
      </w:r>
      <w:r>
        <w:rPr>
          <w:rFonts w:hint="eastAsia" w:ascii="华文中宋" w:hAnsi="华文中宋" w:eastAsia="华文中宋" w:cs="华文中宋"/>
          <w:color w:val="auto"/>
          <w:sz w:val="21"/>
          <w:szCs w:val="21"/>
          <w:highlight w:val="none"/>
        </w:rPr>
        <w:t>国家机关、事业单位、团体组织。</w:t>
      </w:r>
    </w:p>
    <w:p w14:paraId="477E0BA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（2）供应商（以下称</w:t>
      </w:r>
      <w:r>
        <w:rPr>
          <w:rFonts w:hint="eastAsia" w:ascii="华文中宋" w:hAnsi="华文中宋" w:eastAsia="华文中宋" w:cs="华文中宋"/>
          <w:color w:val="auto"/>
          <w:sz w:val="21"/>
          <w:szCs w:val="21"/>
          <w:highlight w:val="none"/>
          <w:lang w:eastAsia="zh-CN"/>
        </w:rPr>
        <w:t>乙</w:t>
      </w:r>
      <w:r>
        <w:rPr>
          <w:rFonts w:hint="eastAsia" w:ascii="华文中宋" w:hAnsi="华文中宋" w:eastAsia="华文中宋" w:cs="华文中宋"/>
          <w:color w:val="auto"/>
          <w:sz w:val="21"/>
          <w:szCs w:val="21"/>
          <w:highlight w:val="none"/>
        </w:rPr>
        <w:t>方）是指参加政府采购活动并且中标（成交），向采购人提供</w:t>
      </w:r>
      <w:r>
        <w:rPr>
          <w:rFonts w:hint="eastAsia" w:ascii="华文中宋" w:hAnsi="华文中宋" w:eastAsia="华文中宋" w:cs="华文中宋"/>
          <w:color w:val="auto"/>
          <w:sz w:val="21"/>
          <w:szCs w:val="21"/>
          <w:highlight w:val="none"/>
          <w:lang w:val="en-US" w:eastAsia="zh-CN"/>
        </w:rPr>
        <w:t>合同约定的货物及其相关服务的法人、非法人组织或者自然人</w:t>
      </w:r>
      <w:r>
        <w:rPr>
          <w:rFonts w:hint="eastAsia" w:ascii="华文中宋" w:hAnsi="华文中宋" w:eastAsia="华文中宋" w:cs="华文中宋"/>
          <w:color w:val="auto"/>
          <w:sz w:val="21"/>
          <w:szCs w:val="21"/>
          <w:highlight w:val="none"/>
        </w:rPr>
        <w:t>。</w:t>
      </w:r>
    </w:p>
    <w:p w14:paraId="586CE97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（3）其他合同主体是指除采购人和供应商以外，</w:t>
      </w:r>
      <w:r>
        <w:rPr>
          <w:rFonts w:hint="eastAsia" w:ascii="华文中宋" w:hAnsi="华文中宋" w:eastAsia="华文中宋" w:cs="华文中宋"/>
          <w:bCs/>
          <w:color w:val="000000"/>
          <w:sz w:val="21"/>
          <w:szCs w:val="21"/>
        </w:rPr>
        <w:t>依法参与合同缔结或履行，享有权利、承担义务的合同当事人</w:t>
      </w:r>
      <w:r>
        <w:rPr>
          <w:rFonts w:hint="eastAsia" w:ascii="华文中宋" w:hAnsi="华文中宋" w:eastAsia="华文中宋" w:cs="华文中宋"/>
          <w:color w:val="auto"/>
          <w:sz w:val="21"/>
          <w:szCs w:val="21"/>
          <w:highlight w:val="none"/>
        </w:rPr>
        <w:t>。</w:t>
      </w:r>
    </w:p>
    <w:p w14:paraId="3566C60F">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1.2本合同下列术语应解释为：</w:t>
      </w:r>
    </w:p>
    <w:p w14:paraId="6A0C70E5">
      <w:pPr>
        <w:pageBreakBefore w:val="0"/>
        <w:kinsoku/>
        <w:wordWrap/>
        <w:overflowPunct/>
        <w:topLinePunct w:val="0"/>
        <w:bidi w:val="0"/>
        <w:adjustRightInd w:val="0"/>
        <w:snapToGrid w:val="0"/>
        <w:spacing w:before="0" w:beforeLines="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（1）“合同”系指</w:t>
      </w:r>
      <w:r>
        <w:rPr>
          <w:rFonts w:hint="eastAsia" w:ascii="华文中宋" w:hAnsi="华文中宋" w:eastAsia="华文中宋" w:cs="华文中宋"/>
          <w:bCs/>
          <w:color w:val="000000"/>
          <w:sz w:val="21"/>
          <w:szCs w:val="21"/>
        </w:rPr>
        <w:t>合同当事人意思表示达成一致的任何协议，包括签署的</w:t>
      </w:r>
      <w:r>
        <w:rPr>
          <w:rFonts w:hint="eastAsia" w:ascii="华文中宋" w:hAnsi="华文中宋" w:eastAsia="华文中宋" w:cs="华文中宋"/>
          <w:color w:val="auto"/>
          <w:sz w:val="21"/>
          <w:szCs w:val="21"/>
          <w:lang w:eastAsia="zh-CN"/>
        </w:rPr>
        <w:t>政府采购</w:t>
      </w:r>
      <w:r>
        <w:rPr>
          <w:rFonts w:hint="eastAsia" w:ascii="华文中宋" w:hAnsi="华文中宋" w:eastAsia="华文中宋" w:cs="华文中宋"/>
          <w:color w:val="auto"/>
          <w:sz w:val="21"/>
          <w:szCs w:val="21"/>
        </w:rPr>
        <w:t>合同协议书及其变更、补充</w:t>
      </w:r>
      <w:r>
        <w:rPr>
          <w:rFonts w:hint="eastAsia" w:ascii="华文中宋" w:hAnsi="华文中宋" w:eastAsia="华文中宋" w:cs="华文中宋"/>
          <w:color w:val="auto"/>
          <w:sz w:val="21"/>
          <w:szCs w:val="21"/>
          <w:lang w:eastAsia="zh-CN"/>
        </w:rPr>
        <w:t>协议，</w:t>
      </w:r>
      <w:r>
        <w:rPr>
          <w:rFonts w:hint="eastAsia" w:ascii="华文中宋" w:hAnsi="华文中宋" w:eastAsia="华文中宋" w:cs="华文中宋"/>
          <w:sz w:val="21"/>
          <w:szCs w:val="21"/>
        </w:rPr>
        <w:t>政府采购合同专用条款</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政府采购合同通用条款</w:t>
      </w:r>
      <w:r>
        <w:rPr>
          <w:rFonts w:hint="eastAsia" w:ascii="华文中宋" w:hAnsi="华文中宋" w:eastAsia="华文中宋" w:cs="华文中宋"/>
          <w:sz w:val="21"/>
          <w:szCs w:val="21"/>
          <w:lang w:eastAsia="zh-CN"/>
        </w:rPr>
        <w:t>，</w:t>
      </w:r>
      <w:r>
        <w:rPr>
          <w:rFonts w:hint="eastAsia" w:ascii="华文中宋" w:hAnsi="华文中宋" w:eastAsia="华文中宋" w:cs="华文中宋"/>
          <w:color w:val="auto"/>
          <w:sz w:val="21"/>
          <w:szCs w:val="21"/>
        </w:rPr>
        <w:t>中标</w:t>
      </w:r>
      <w:r>
        <w:rPr>
          <w:rFonts w:hint="eastAsia" w:ascii="华文中宋" w:hAnsi="华文中宋" w:eastAsia="华文中宋" w:cs="华文中宋"/>
          <w:color w:val="auto"/>
          <w:sz w:val="21"/>
          <w:szCs w:val="21"/>
          <w:lang w:eastAsia="zh-CN"/>
        </w:rPr>
        <w:t>（成交）</w:t>
      </w:r>
      <w:r>
        <w:rPr>
          <w:rFonts w:hint="eastAsia" w:ascii="华文中宋" w:hAnsi="华文中宋" w:eastAsia="华文中宋" w:cs="华文中宋"/>
          <w:color w:val="auto"/>
          <w:sz w:val="21"/>
          <w:szCs w:val="21"/>
        </w:rPr>
        <w:t>通知书</w:t>
      </w:r>
      <w:r>
        <w:rPr>
          <w:rFonts w:hint="eastAsia" w:ascii="华文中宋" w:hAnsi="华文中宋" w:eastAsia="华文中宋" w:cs="华文中宋"/>
          <w:color w:val="auto"/>
          <w:sz w:val="21"/>
          <w:szCs w:val="21"/>
          <w:lang w:eastAsia="zh-CN"/>
        </w:rPr>
        <w:t>，</w:t>
      </w:r>
      <w:r>
        <w:rPr>
          <w:rFonts w:hint="eastAsia" w:ascii="华文中宋" w:hAnsi="华文中宋" w:eastAsia="华文中宋" w:cs="华文中宋"/>
          <w:sz w:val="21"/>
          <w:szCs w:val="21"/>
        </w:rPr>
        <w:t>投标（响应）文件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采购文件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有关技术文件</w:t>
      </w:r>
      <w:r>
        <w:rPr>
          <w:rFonts w:hint="eastAsia" w:ascii="华文中宋" w:hAnsi="华文中宋" w:eastAsia="华文中宋" w:cs="华文中宋"/>
          <w:sz w:val="21"/>
          <w:szCs w:val="21"/>
          <w:lang w:eastAsia="zh-CN"/>
        </w:rPr>
        <w:t>和</w:t>
      </w:r>
      <w:r>
        <w:rPr>
          <w:rFonts w:hint="eastAsia" w:ascii="华文中宋" w:hAnsi="华文中宋" w:eastAsia="华文中宋" w:cs="华文中宋"/>
          <w:sz w:val="21"/>
          <w:szCs w:val="21"/>
        </w:rPr>
        <w:t>图纸</w:t>
      </w:r>
      <w:r>
        <w:rPr>
          <w:rFonts w:hint="eastAsia" w:ascii="华文中宋" w:hAnsi="华文中宋" w:eastAsia="华文中宋" w:cs="华文中宋"/>
          <w:sz w:val="21"/>
          <w:szCs w:val="21"/>
          <w:lang w:eastAsia="zh-CN"/>
        </w:rPr>
        <w:t>，以及</w:t>
      </w:r>
      <w:r>
        <w:rPr>
          <w:rFonts w:hint="eastAsia" w:ascii="华文中宋" w:hAnsi="华文中宋" w:eastAsia="华文中宋" w:cs="华文中宋"/>
          <w:bCs w:val="0"/>
          <w:color w:val="000000"/>
          <w:kern w:val="2"/>
          <w:sz w:val="21"/>
          <w:szCs w:val="21"/>
          <w:highlight w:val="none"/>
          <w:lang w:eastAsia="zh-CN"/>
        </w:rPr>
        <w:t>国家法律、行政法规和规章制度规定或合同约定的作为合同组成部分的其他文件</w:t>
      </w:r>
      <w:r>
        <w:rPr>
          <w:rFonts w:hint="eastAsia" w:ascii="华文中宋" w:hAnsi="华文中宋" w:eastAsia="华文中宋" w:cs="华文中宋"/>
          <w:color w:val="auto"/>
          <w:sz w:val="21"/>
          <w:szCs w:val="21"/>
          <w:highlight w:val="none"/>
        </w:rPr>
        <w:t>。</w:t>
      </w:r>
    </w:p>
    <w:p w14:paraId="13A5529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）“合同价</w:t>
      </w:r>
      <w:r>
        <w:rPr>
          <w:rFonts w:hint="eastAsia" w:ascii="华文中宋" w:hAnsi="华文中宋" w:eastAsia="华文中宋" w:cs="华文中宋"/>
          <w:color w:val="auto"/>
          <w:sz w:val="21"/>
          <w:szCs w:val="21"/>
          <w:highlight w:val="none"/>
          <w:lang w:val="en-US" w:eastAsia="zh-CN"/>
        </w:rPr>
        <w:t>款</w:t>
      </w:r>
      <w:r>
        <w:rPr>
          <w:rFonts w:hint="eastAsia" w:ascii="华文中宋" w:hAnsi="华文中宋" w:eastAsia="华文中宋" w:cs="华文中宋"/>
          <w:color w:val="auto"/>
          <w:sz w:val="21"/>
          <w:szCs w:val="21"/>
          <w:highlight w:val="none"/>
        </w:rPr>
        <w:t>”系指根据本合同规定乙方在全面履行合同义务后甲方应支付给乙方的价款。</w:t>
      </w:r>
    </w:p>
    <w:p w14:paraId="651F000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lang w:eastAsia="zh-CN"/>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）“货物”系指乙方根据本合同规定须向甲方提供的各种形态和种类的物品，包括原材料、设备、产品（</w:t>
      </w:r>
      <w:r>
        <w:rPr>
          <w:rFonts w:hint="eastAsia" w:ascii="华文中宋" w:hAnsi="华文中宋" w:eastAsia="华文中宋" w:cs="华文中宋"/>
          <w:color w:val="000000"/>
          <w:sz w:val="21"/>
          <w:szCs w:val="21"/>
          <w:highlight w:val="none"/>
        </w:rPr>
        <w:t>包括软件）及相关的其备品备件、工具、手册及</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技术资料和材料</w:t>
      </w:r>
      <w:r>
        <w:rPr>
          <w:rFonts w:hint="eastAsia" w:ascii="华文中宋" w:hAnsi="华文中宋" w:eastAsia="华文中宋" w:cs="华文中宋"/>
          <w:color w:val="000000"/>
          <w:sz w:val="21"/>
          <w:szCs w:val="21"/>
          <w:highlight w:val="none"/>
          <w:lang w:eastAsia="zh-CN"/>
        </w:rPr>
        <w:t>等</w:t>
      </w:r>
      <w:r>
        <w:rPr>
          <w:rFonts w:hint="eastAsia" w:ascii="华文中宋" w:hAnsi="华文中宋" w:eastAsia="华文中宋" w:cs="华文中宋"/>
          <w:color w:val="000000"/>
          <w:sz w:val="21"/>
          <w:szCs w:val="21"/>
          <w:highlight w:val="none"/>
        </w:rPr>
        <w:t>。</w:t>
      </w:r>
    </w:p>
    <w:p w14:paraId="623782B7">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yellow"/>
          <w:lang w:eastAsia="zh-CN"/>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auto"/>
          <w:sz w:val="21"/>
          <w:szCs w:val="21"/>
          <w:highlight w:val="none"/>
          <w:lang w:val="en-US" w:eastAsia="zh-CN"/>
        </w:rPr>
        <w:t>相关</w:t>
      </w:r>
      <w:r>
        <w:rPr>
          <w:rFonts w:hint="eastAsia" w:ascii="华文中宋" w:hAnsi="华文中宋" w:eastAsia="华文中宋" w:cs="华文中宋"/>
          <w:color w:val="000000"/>
          <w:sz w:val="21"/>
          <w:szCs w:val="21"/>
          <w:highlight w:val="none"/>
        </w:rPr>
        <w:t>服务”系指根据合同规定，乙方应提供的</w:t>
      </w:r>
      <w:r>
        <w:rPr>
          <w:rFonts w:hint="eastAsia" w:ascii="华文中宋" w:hAnsi="华文中宋" w:eastAsia="华文中宋" w:cs="华文中宋"/>
          <w:color w:val="000000"/>
          <w:sz w:val="21"/>
          <w:szCs w:val="21"/>
          <w:highlight w:val="none"/>
          <w:lang w:val="en-US" w:eastAsia="zh-CN"/>
        </w:rPr>
        <w:t>与货物有关的</w:t>
      </w:r>
      <w:r>
        <w:rPr>
          <w:rFonts w:hint="eastAsia" w:ascii="华文中宋" w:hAnsi="华文中宋" w:eastAsia="华文中宋" w:cs="华文中宋"/>
          <w:color w:val="000000"/>
          <w:sz w:val="21"/>
          <w:szCs w:val="21"/>
          <w:highlight w:val="none"/>
        </w:rPr>
        <w:t>技术、管理和</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服务，包括但不限于：管理和质量保证、运输、保险、检验、现场准备、安装、集成、调试、培训、维修、</w:t>
      </w:r>
      <w:r>
        <w:rPr>
          <w:rFonts w:hint="eastAsia" w:ascii="华文中宋" w:hAnsi="华文中宋" w:eastAsia="华文中宋" w:cs="华文中宋"/>
          <w:color w:val="000000"/>
          <w:sz w:val="21"/>
          <w:szCs w:val="21"/>
          <w:highlight w:val="none"/>
          <w:lang w:eastAsia="zh-CN"/>
        </w:rPr>
        <w:t>废弃处置、</w:t>
      </w:r>
      <w:r>
        <w:rPr>
          <w:rFonts w:hint="eastAsia" w:ascii="华文中宋" w:hAnsi="华文中宋" w:eastAsia="华文中宋" w:cs="华文中宋"/>
          <w:color w:val="000000"/>
          <w:sz w:val="21"/>
          <w:szCs w:val="21"/>
          <w:highlight w:val="none"/>
        </w:rPr>
        <w:t>技术支持等以及合同中规定乙方应承担的</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义务。</w:t>
      </w:r>
    </w:p>
    <w:p w14:paraId="0DAC026C">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yellow"/>
          <w:lang w:eastAsia="zh-CN"/>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000000"/>
          <w:sz w:val="21"/>
          <w:szCs w:val="21"/>
          <w:highlight w:val="none"/>
        </w:rPr>
        <w:t>）“分包”系指中标</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成交</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供应商按采购文件、投标（响应）文件的规定，根据分包意向协议，将中标</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成交</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项目中的部分履约内容，分给具有相应资质条件的供应商履行合同的行为。</w:t>
      </w:r>
    </w:p>
    <w:p w14:paraId="3506ED7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6</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sz w:val="21"/>
          <w:szCs w:val="21"/>
        </w:rPr>
        <w:t>“联合体”系指</w:t>
      </w:r>
      <w:r>
        <w:rPr>
          <w:rFonts w:hint="eastAsia" w:ascii="华文中宋" w:hAnsi="华文中宋" w:eastAsia="华文中宋" w:cs="华文中宋"/>
          <w:sz w:val="21"/>
          <w:szCs w:val="21"/>
          <w:lang w:eastAsia="zh-CN"/>
        </w:rPr>
        <w:t>由</w:t>
      </w:r>
      <w:r>
        <w:rPr>
          <w:rFonts w:hint="eastAsia" w:ascii="华文中宋" w:hAnsi="华文中宋" w:eastAsia="华文中宋" w:cs="华文中宋"/>
          <w:sz w:val="21"/>
          <w:szCs w:val="21"/>
        </w:rPr>
        <w:t>两个以上的自然人、法人或者</w:t>
      </w:r>
      <w:r>
        <w:rPr>
          <w:rFonts w:hint="eastAsia" w:ascii="华文中宋" w:hAnsi="华文中宋" w:eastAsia="华文中宋" w:cs="华文中宋"/>
          <w:sz w:val="21"/>
          <w:szCs w:val="21"/>
          <w:lang w:val="en-US" w:eastAsia="zh-CN"/>
        </w:rPr>
        <w:t>非法人</w:t>
      </w:r>
      <w:r>
        <w:rPr>
          <w:rFonts w:hint="eastAsia" w:ascii="华文中宋" w:hAnsi="华文中宋" w:eastAsia="华文中宋" w:cs="华文中宋"/>
          <w:sz w:val="21"/>
          <w:szCs w:val="21"/>
        </w:rPr>
        <w:t>组织组成，</w:t>
      </w:r>
      <w:r>
        <w:rPr>
          <w:rFonts w:hint="eastAsia" w:ascii="华文中宋" w:hAnsi="华文中宋" w:eastAsia="华文中宋" w:cs="华文中宋"/>
          <w:sz w:val="21"/>
          <w:szCs w:val="21"/>
          <w:lang w:eastAsia="zh-CN"/>
        </w:rPr>
        <w:t>以一个供应商的身份共同参加政府采购的主体</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华文中宋" w:hAnsi="华文中宋" w:eastAsia="华文中宋" w:cs="华文中宋"/>
          <w:color w:val="000000"/>
          <w:sz w:val="21"/>
          <w:szCs w:val="21"/>
          <w:highlight w:val="none"/>
          <w:lang w:eastAsia="zh-CN"/>
        </w:rPr>
        <w:t>甲方</w:t>
      </w:r>
      <w:r>
        <w:rPr>
          <w:rFonts w:hint="eastAsia" w:ascii="华文中宋" w:hAnsi="华文中宋" w:eastAsia="华文中宋" w:cs="华文中宋"/>
          <w:color w:val="000000"/>
          <w:sz w:val="21"/>
          <w:szCs w:val="21"/>
          <w:highlight w:val="none"/>
        </w:rPr>
        <w:t>承担连带责任。联合体具体要求见【</w:t>
      </w:r>
      <w:r>
        <w:rPr>
          <w:rFonts w:hint="eastAsia" w:ascii="华文中宋" w:hAnsi="华文中宋" w:eastAsia="华文中宋" w:cs="华文中宋"/>
          <w:b/>
          <w:bCs/>
          <w:color w:val="000000"/>
          <w:sz w:val="21"/>
          <w:szCs w:val="21"/>
          <w:highlight w:val="none"/>
        </w:rPr>
        <w:t>政府采购合同专用条款</w:t>
      </w:r>
      <w:r>
        <w:rPr>
          <w:rFonts w:hint="eastAsia" w:ascii="华文中宋" w:hAnsi="华文中宋" w:eastAsia="华文中宋" w:cs="华文中宋"/>
          <w:color w:val="000000"/>
          <w:sz w:val="21"/>
          <w:szCs w:val="21"/>
          <w:highlight w:val="none"/>
        </w:rPr>
        <w:t>】。</w:t>
      </w:r>
    </w:p>
    <w:p w14:paraId="0A0DF420">
      <w:pPr>
        <w:pageBreakBefore w:val="0"/>
        <w:tabs>
          <w:tab w:val="left" w:pos="570"/>
          <w:tab w:val="left" w:pos="9240"/>
          <w:tab w:val="left" w:pos="9555"/>
        </w:tabs>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7</w:t>
      </w:r>
      <w:r>
        <w:rPr>
          <w:rFonts w:hint="eastAsia" w:ascii="华文中宋" w:hAnsi="华文中宋" w:eastAsia="华文中宋" w:cs="华文中宋"/>
          <w:color w:val="000000"/>
          <w:sz w:val="21"/>
          <w:szCs w:val="21"/>
          <w:highlight w:val="none"/>
        </w:rPr>
        <w:t>）其他术语解释，见【</w:t>
      </w:r>
      <w:r>
        <w:rPr>
          <w:rFonts w:hint="eastAsia" w:ascii="华文中宋" w:hAnsi="华文中宋" w:eastAsia="华文中宋" w:cs="华文中宋"/>
          <w:b/>
          <w:bCs/>
          <w:color w:val="000000"/>
          <w:sz w:val="21"/>
          <w:szCs w:val="21"/>
          <w:highlight w:val="none"/>
        </w:rPr>
        <w:t>政府采购合同专用条款</w:t>
      </w:r>
      <w:r>
        <w:rPr>
          <w:rFonts w:hint="eastAsia" w:ascii="华文中宋" w:hAnsi="华文中宋" w:eastAsia="华文中宋" w:cs="华文中宋"/>
          <w:color w:val="000000"/>
          <w:sz w:val="21"/>
          <w:szCs w:val="21"/>
          <w:highlight w:val="none"/>
        </w:rPr>
        <w:t>】。</w:t>
      </w:r>
    </w:p>
    <w:p w14:paraId="29D853A3">
      <w:pPr>
        <w:pageBreakBefore w:val="0"/>
        <w:numPr>
          <w:ilvl w:val="0"/>
          <w:numId w:val="5"/>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color w:val="000000"/>
          <w:sz w:val="21"/>
          <w:szCs w:val="21"/>
          <w:highlight w:val="none"/>
        </w:rPr>
        <w:t>合同标的及金额</w:t>
      </w:r>
    </w:p>
    <w:p w14:paraId="3FFCB339">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
          <w:bCs/>
          <w:i/>
          <w:iCs/>
          <w:color w:val="000000"/>
          <w:sz w:val="21"/>
          <w:szCs w:val="21"/>
          <w:highlight w:val="none"/>
        </w:rPr>
      </w:pPr>
      <w:r>
        <w:rPr>
          <w:rFonts w:hint="eastAsia" w:ascii="华文中宋" w:hAnsi="华文中宋" w:eastAsia="华文中宋" w:cs="华文中宋"/>
          <w:color w:val="000000"/>
          <w:sz w:val="21"/>
          <w:szCs w:val="21"/>
          <w:highlight w:val="none"/>
          <w:lang w:eastAsia="zh-CN"/>
        </w:rPr>
        <w:t>2</w:t>
      </w:r>
      <w:r>
        <w:rPr>
          <w:rFonts w:hint="eastAsia" w:ascii="华文中宋" w:hAnsi="华文中宋" w:eastAsia="华文中宋" w:cs="华文中宋"/>
          <w:color w:val="000000"/>
          <w:sz w:val="21"/>
          <w:szCs w:val="21"/>
          <w:highlight w:val="none"/>
        </w:rPr>
        <w:t>.1 合同标的及金额应与中标（成交）结果一致。乙方为履行本合同而发生的所有费用均应包含在合同</w:t>
      </w:r>
      <w:r>
        <w:rPr>
          <w:rFonts w:hint="eastAsia" w:ascii="华文中宋" w:hAnsi="华文中宋" w:eastAsia="华文中宋" w:cs="华文中宋"/>
          <w:color w:val="000000"/>
          <w:sz w:val="21"/>
          <w:szCs w:val="21"/>
          <w:highlight w:val="none"/>
          <w:lang w:eastAsia="zh-CN"/>
        </w:rPr>
        <w:t>价款</w:t>
      </w:r>
      <w:r>
        <w:rPr>
          <w:rFonts w:hint="eastAsia" w:ascii="华文中宋" w:hAnsi="华文中宋" w:eastAsia="华文中宋" w:cs="华文中宋"/>
          <w:color w:val="000000"/>
          <w:sz w:val="21"/>
          <w:szCs w:val="21"/>
          <w:highlight w:val="none"/>
        </w:rPr>
        <w:t>中，甲方不再另行支付</w:t>
      </w:r>
      <w:r>
        <w:rPr>
          <w:rFonts w:hint="eastAsia" w:ascii="华文中宋" w:hAnsi="华文中宋" w:eastAsia="华文中宋" w:cs="华文中宋"/>
          <w:color w:val="000000"/>
          <w:sz w:val="21"/>
          <w:szCs w:val="21"/>
          <w:highlight w:val="none"/>
          <w:lang w:val="en"/>
        </w:rPr>
        <w:t>其他</w:t>
      </w:r>
      <w:r>
        <w:rPr>
          <w:rFonts w:hint="eastAsia" w:ascii="华文中宋" w:hAnsi="华文中宋" w:eastAsia="华文中宋" w:cs="华文中宋"/>
          <w:color w:val="000000"/>
          <w:sz w:val="21"/>
          <w:szCs w:val="21"/>
          <w:highlight w:val="none"/>
        </w:rPr>
        <w:t>任何费用。</w:t>
      </w:r>
    </w:p>
    <w:p w14:paraId="067F8B8F">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color w:val="000000"/>
          <w:sz w:val="21"/>
          <w:szCs w:val="21"/>
          <w:highlight w:val="none"/>
        </w:rPr>
      </w:pPr>
      <w:r>
        <w:rPr>
          <w:rFonts w:hint="eastAsia" w:ascii="华文中宋" w:hAnsi="华文中宋" w:eastAsia="华文中宋" w:cs="华文中宋"/>
          <w:b/>
          <w:color w:val="000000"/>
          <w:sz w:val="21"/>
          <w:szCs w:val="21"/>
          <w:highlight w:val="none"/>
          <w:lang w:eastAsia="zh-CN"/>
        </w:rPr>
        <w:t>3</w:t>
      </w:r>
      <w:r>
        <w:rPr>
          <w:rFonts w:hint="eastAsia" w:ascii="华文中宋" w:hAnsi="华文中宋" w:eastAsia="华文中宋" w:cs="华文中宋"/>
          <w:b/>
          <w:color w:val="000000"/>
          <w:sz w:val="21"/>
          <w:szCs w:val="21"/>
          <w:highlight w:val="none"/>
          <w:lang w:val="en-US" w:eastAsia="zh-CN"/>
        </w:rPr>
        <w:t xml:space="preserve">. </w:t>
      </w:r>
      <w:r>
        <w:rPr>
          <w:rFonts w:hint="eastAsia" w:ascii="华文中宋" w:hAnsi="华文中宋" w:eastAsia="华文中宋" w:cs="华文中宋"/>
          <w:b/>
          <w:color w:val="000000"/>
          <w:sz w:val="21"/>
          <w:szCs w:val="21"/>
          <w:highlight w:val="none"/>
        </w:rPr>
        <w:t>履行合同的时间、地点和方式</w:t>
      </w:r>
    </w:p>
    <w:p w14:paraId="70BDE54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3</w:t>
      </w:r>
      <w:r>
        <w:rPr>
          <w:rFonts w:hint="eastAsia" w:ascii="华文中宋" w:hAnsi="华文中宋" w:eastAsia="华文中宋" w:cs="华文中宋"/>
          <w:color w:val="000000"/>
          <w:sz w:val="21"/>
          <w:szCs w:val="21"/>
          <w:highlight w:val="none"/>
        </w:rPr>
        <w:t xml:space="preserve">.1 </w:t>
      </w:r>
      <w:r>
        <w:rPr>
          <w:rFonts w:hint="eastAsia" w:ascii="华文中宋" w:hAnsi="华文中宋" w:eastAsia="华文中宋" w:cs="华文中宋"/>
          <w:sz w:val="21"/>
          <w:szCs w:val="21"/>
        </w:rPr>
        <w:t>乙方应当在约定的时间、地点</w:t>
      </w:r>
      <w:r>
        <w:rPr>
          <w:rFonts w:hint="eastAsia" w:ascii="华文中宋" w:hAnsi="华文中宋" w:eastAsia="华文中宋" w:cs="华文中宋"/>
          <w:sz w:val="21"/>
          <w:szCs w:val="21"/>
          <w:lang w:eastAsia="zh-CN"/>
        </w:rPr>
        <w:t>，按照约定</w:t>
      </w:r>
      <w:r>
        <w:rPr>
          <w:rFonts w:hint="eastAsia" w:ascii="华文中宋" w:hAnsi="华文中宋" w:eastAsia="华文中宋" w:cs="华文中宋"/>
          <w:sz w:val="21"/>
          <w:szCs w:val="21"/>
        </w:rPr>
        <w:t>方式履行合同。</w:t>
      </w:r>
    </w:p>
    <w:p w14:paraId="43790C70">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4</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甲方的权利和义务</w:t>
      </w:r>
    </w:p>
    <w:p w14:paraId="2A726B5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.1 签署合同后，甲方</w:t>
      </w:r>
      <w:r>
        <w:rPr>
          <w:rFonts w:hint="eastAsia" w:ascii="华文中宋" w:hAnsi="华文中宋" w:eastAsia="华文中宋" w:cs="华文中宋"/>
          <w:color w:val="000000"/>
          <w:sz w:val="21"/>
          <w:szCs w:val="21"/>
          <w:highlight w:val="none"/>
          <w:lang w:eastAsia="zh-CN"/>
        </w:rPr>
        <w:t>应</w:t>
      </w:r>
      <w:r>
        <w:rPr>
          <w:rFonts w:hint="eastAsia" w:ascii="华文中宋" w:hAnsi="华文中宋" w:eastAsia="华文中宋" w:cs="华文中宋"/>
          <w:color w:val="000000"/>
          <w:sz w:val="21"/>
          <w:szCs w:val="21"/>
          <w:highlight w:val="none"/>
        </w:rPr>
        <w:t>确定</w:t>
      </w:r>
      <w:r>
        <w:rPr>
          <w:rFonts w:hint="eastAsia" w:ascii="华文中宋" w:hAnsi="华文中宋" w:eastAsia="华文中宋" w:cs="华文中宋"/>
          <w:color w:val="000000"/>
          <w:sz w:val="21"/>
          <w:szCs w:val="21"/>
          <w:highlight w:val="none"/>
          <w:lang w:val="en-US" w:eastAsia="zh-CN"/>
        </w:rPr>
        <w:t>项目负责人（或项目联系人）</w:t>
      </w:r>
      <w:r>
        <w:rPr>
          <w:rFonts w:hint="eastAsia" w:ascii="华文中宋" w:hAnsi="华文中宋" w:eastAsia="华文中宋" w:cs="华文中宋"/>
          <w:color w:val="000000"/>
          <w:sz w:val="21"/>
          <w:szCs w:val="21"/>
          <w:highlight w:val="none"/>
        </w:rPr>
        <w:t>，负责与本合同有关的事务。甲方有权对乙方的履约行为进行检查，并及时确认乙方提交的事项。甲方应当配合乙方完成相关项目实施工作。</w:t>
      </w:r>
    </w:p>
    <w:p w14:paraId="1DAB5545">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.2 甲方有权要求乙方按时提交各阶段有关安排计划，并有权定期核对乙方提供货物数量、规格、质量等内容。甲方有权督促乙方工作并要求乙方更换不符合要求的货物。</w:t>
      </w:r>
    </w:p>
    <w:p w14:paraId="4953664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.3 甲方有权要求乙方对缺陷部分予以修复，并按合同约定享有货物保修及其他合同约定的权利。</w:t>
      </w:r>
    </w:p>
    <w:p w14:paraId="3D39DEEB">
      <w:pPr>
        <w:pageBreakBefore w:val="0"/>
        <w:kinsoku/>
        <w:wordWrap/>
        <w:overflowPunct/>
        <w:topLinePunct w:val="0"/>
        <w:bidi w:val="0"/>
        <w:snapToGrid w:val="0"/>
        <w:spacing w:line="480" w:lineRule="exact"/>
        <w:ind w:left="0" w:leftChars="0" w:right="0" w:rightChars="0"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color w:val="000000"/>
          <w:sz w:val="21"/>
          <w:szCs w:val="21"/>
          <w:highlight w:val="none"/>
          <w:lang w:val="en-US" w:eastAsia="zh-CN"/>
        </w:rPr>
        <w:t>4.4 甲方应当按照合同约定及时对交付的货物进行验收，</w:t>
      </w:r>
      <w:r>
        <w:rPr>
          <w:rFonts w:hint="eastAsia" w:ascii="华文中宋" w:hAnsi="华文中宋" w:eastAsia="华文中宋" w:cs="华文中宋"/>
          <w:b w:val="0"/>
          <w:bCs w:val="0"/>
          <w:sz w:val="21"/>
          <w:szCs w:val="21"/>
          <w:highlight w:val="none"/>
          <w:lang w:eastAsia="zh-CN"/>
        </w:rPr>
        <w:t>未</w:t>
      </w:r>
      <w:r>
        <w:rPr>
          <w:rFonts w:hint="eastAsia" w:ascii="华文中宋" w:hAnsi="华文中宋" w:eastAsia="华文中宋" w:cs="华文中宋"/>
          <w:color w:val="000000"/>
          <w:sz w:val="21"/>
          <w:szCs w:val="21"/>
          <w:highlight w:val="none"/>
          <w:lang w:val="en-US" w:eastAsia="zh-CN"/>
        </w:rPr>
        <w:t>在</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约定的期限内对乙方履约提出任何异议或者向乙方作出任何说明的，</w:t>
      </w:r>
      <w:r>
        <w:rPr>
          <w:rFonts w:hint="eastAsia" w:ascii="华文中宋" w:hAnsi="华文中宋" w:eastAsia="华文中宋" w:cs="华文中宋"/>
          <w:color w:val="000000"/>
          <w:sz w:val="21"/>
          <w:szCs w:val="21"/>
          <w:highlight w:val="none"/>
          <w:lang w:val="en-US" w:eastAsia="zh-CN"/>
        </w:rPr>
        <w:t>视为验收通过。</w:t>
      </w:r>
    </w:p>
    <w:p w14:paraId="76B13628">
      <w:pPr>
        <w:pageBreakBefore w:val="0"/>
        <w:kinsoku/>
        <w:wordWrap/>
        <w:overflowPunct/>
        <w:topLinePunct w:val="0"/>
        <w:autoSpaceDE w:val="0"/>
        <w:autoSpaceDN w:val="0"/>
        <w:bidi w:val="0"/>
        <w:adjustRightInd w:val="0"/>
        <w:snapToGrid w:val="0"/>
        <w:spacing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000000"/>
          <w:sz w:val="21"/>
          <w:szCs w:val="21"/>
          <w:highlight w:val="none"/>
        </w:rPr>
        <w:t xml:space="preserve"> 甲方应当根据合同约定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color w:val="000000"/>
          <w:sz w:val="21"/>
          <w:szCs w:val="21"/>
          <w:highlight w:val="none"/>
        </w:rPr>
        <w:t>时向乙方支付</w:t>
      </w:r>
      <w:r>
        <w:rPr>
          <w:rFonts w:hint="eastAsia" w:ascii="华文中宋" w:hAnsi="华文中宋" w:eastAsia="华文中宋" w:cs="华文中宋"/>
          <w:color w:val="000000"/>
          <w:sz w:val="21"/>
          <w:szCs w:val="21"/>
          <w:highlight w:val="none"/>
          <w:lang w:eastAsia="zh-CN"/>
        </w:rPr>
        <w:t>合同价款，不得以内部人员变更、履行内部付款流程等为由，拒绝或迟延支付。</w:t>
      </w:r>
    </w:p>
    <w:p w14:paraId="523AC16A">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4</w:t>
      </w:r>
      <w:r>
        <w:rPr>
          <w:rFonts w:hint="eastAsia" w:ascii="华文中宋" w:hAnsi="华文中宋" w:eastAsia="华文中宋" w:cs="华文中宋"/>
          <w:color w:val="000000"/>
          <w:sz w:val="21"/>
          <w:szCs w:val="21"/>
          <w:highlight w:val="none"/>
        </w:rPr>
        <w:t>.</w:t>
      </w:r>
      <w:r>
        <w:rPr>
          <w:rFonts w:hint="eastAsia" w:ascii="华文中宋" w:hAnsi="华文中宋" w:eastAsia="华文中宋" w:cs="华文中宋"/>
          <w:color w:val="000000"/>
          <w:sz w:val="21"/>
          <w:szCs w:val="21"/>
          <w:highlight w:val="none"/>
          <w:lang w:val="en-US" w:eastAsia="zh-CN"/>
        </w:rPr>
        <w:t>6</w:t>
      </w:r>
      <w:r>
        <w:rPr>
          <w:rFonts w:hint="eastAsia" w:ascii="华文中宋" w:hAnsi="华文中宋" w:eastAsia="华文中宋" w:cs="华文中宋"/>
          <w:color w:val="000000"/>
          <w:sz w:val="21"/>
          <w:szCs w:val="21"/>
          <w:highlight w:val="none"/>
        </w:rPr>
        <w:t xml:space="preserve"> 国家法律法规规定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000000"/>
          <w:sz w:val="21"/>
          <w:szCs w:val="21"/>
          <w:highlight w:val="none"/>
          <w:lang w:eastAsia="zh-CN"/>
        </w:rPr>
        <w:t>约定应</w:t>
      </w:r>
      <w:r>
        <w:rPr>
          <w:rFonts w:hint="eastAsia" w:ascii="华文中宋" w:hAnsi="华文中宋" w:eastAsia="华文中宋" w:cs="华文中宋"/>
          <w:color w:val="000000"/>
          <w:sz w:val="21"/>
          <w:szCs w:val="21"/>
          <w:highlight w:val="none"/>
        </w:rPr>
        <w:t>由甲方承担的其他义务和责任。</w:t>
      </w:r>
    </w:p>
    <w:p w14:paraId="7BCC064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5</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乙方的权利和义务</w:t>
      </w:r>
    </w:p>
    <w:p w14:paraId="52992739">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.1 签署合同后，乙方</w:t>
      </w:r>
      <w:r>
        <w:rPr>
          <w:rFonts w:hint="eastAsia" w:ascii="华文中宋" w:hAnsi="华文中宋" w:eastAsia="华文中宋" w:cs="华文中宋"/>
          <w:color w:val="000000"/>
          <w:sz w:val="21"/>
          <w:szCs w:val="21"/>
          <w:highlight w:val="none"/>
          <w:lang w:eastAsia="zh-CN"/>
        </w:rPr>
        <w:t>应</w:t>
      </w:r>
      <w:r>
        <w:rPr>
          <w:rFonts w:hint="eastAsia" w:ascii="华文中宋" w:hAnsi="华文中宋" w:eastAsia="华文中宋" w:cs="华文中宋"/>
          <w:color w:val="000000"/>
          <w:sz w:val="21"/>
          <w:szCs w:val="21"/>
          <w:highlight w:val="none"/>
        </w:rPr>
        <w:t>确定</w:t>
      </w:r>
      <w:r>
        <w:rPr>
          <w:rFonts w:hint="eastAsia" w:ascii="华文中宋" w:hAnsi="华文中宋" w:eastAsia="华文中宋" w:cs="华文中宋"/>
          <w:color w:val="000000"/>
          <w:sz w:val="21"/>
          <w:szCs w:val="21"/>
          <w:highlight w:val="none"/>
          <w:lang w:val="en-US" w:eastAsia="zh-CN"/>
        </w:rPr>
        <w:t>项目负责人（或项目联系人）</w:t>
      </w:r>
      <w:r>
        <w:rPr>
          <w:rFonts w:hint="eastAsia" w:ascii="华文中宋" w:hAnsi="华文中宋" w:eastAsia="华文中宋" w:cs="华文中宋"/>
          <w:color w:val="000000"/>
          <w:sz w:val="21"/>
          <w:szCs w:val="21"/>
          <w:highlight w:val="none"/>
        </w:rPr>
        <w:t>，负责与本合同有关的事务。</w:t>
      </w:r>
    </w:p>
    <w:p w14:paraId="59368E6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.2 乙方应按照合同要求履约，充分合理安排，确保提供的货物</w:t>
      </w:r>
      <w:r>
        <w:rPr>
          <w:rFonts w:hint="eastAsia" w:ascii="华文中宋" w:hAnsi="华文中宋" w:eastAsia="华文中宋" w:cs="华文中宋"/>
          <w:color w:val="000000"/>
          <w:sz w:val="21"/>
          <w:szCs w:val="21"/>
          <w:highlight w:val="none"/>
          <w:lang w:eastAsia="zh-CN"/>
        </w:rPr>
        <w:t>及相关</w:t>
      </w:r>
      <w:r>
        <w:rPr>
          <w:rFonts w:hint="eastAsia" w:ascii="华文中宋" w:hAnsi="华文中宋" w:eastAsia="华文中宋" w:cs="华文中宋"/>
          <w:color w:val="000000"/>
          <w:sz w:val="21"/>
          <w:szCs w:val="21"/>
          <w:highlight w:val="none"/>
        </w:rPr>
        <w:t>服务符合合同</w:t>
      </w:r>
      <w:r>
        <w:rPr>
          <w:rFonts w:hint="eastAsia" w:ascii="华文中宋" w:hAnsi="华文中宋" w:eastAsia="华文中宋" w:cs="华文中宋"/>
          <w:color w:val="000000"/>
          <w:sz w:val="21"/>
          <w:szCs w:val="21"/>
          <w:highlight w:val="none"/>
          <w:lang w:eastAsia="zh-CN"/>
        </w:rPr>
        <w:t>有关</w:t>
      </w:r>
      <w:r>
        <w:rPr>
          <w:rFonts w:hint="eastAsia" w:ascii="华文中宋" w:hAnsi="华文中宋" w:eastAsia="华文中宋" w:cs="华文中宋"/>
          <w:color w:val="000000"/>
          <w:sz w:val="21"/>
          <w:szCs w:val="21"/>
          <w:highlight w:val="none"/>
        </w:rPr>
        <w:t>要求。接受项目行业管理部门及政府有关部门的指导，配合甲方的履约检查</w:t>
      </w:r>
      <w:r>
        <w:rPr>
          <w:rFonts w:hint="eastAsia" w:ascii="华文中宋" w:hAnsi="华文中宋" w:eastAsia="华文中宋" w:cs="华文中宋"/>
          <w:color w:val="000000"/>
          <w:sz w:val="21"/>
          <w:szCs w:val="21"/>
          <w:highlight w:val="none"/>
          <w:lang w:eastAsia="zh-CN"/>
        </w:rPr>
        <w:t>及验收</w:t>
      </w:r>
      <w:r>
        <w:rPr>
          <w:rFonts w:hint="eastAsia" w:ascii="华文中宋" w:hAnsi="华文中宋" w:eastAsia="华文中宋" w:cs="华文中宋"/>
          <w:color w:val="000000"/>
          <w:sz w:val="21"/>
          <w:szCs w:val="21"/>
          <w:highlight w:val="none"/>
        </w:rPr>
        <w:t>，并负责项目实施过程中的所有协调工作。</w:t>
      </w:r>
    </w:p>
    <w:p w14:paraId="389141C6">
      <w:pPr>
        <w:pStyle w:val="14"/>
        <w:pageBreakBefore w:val="0"/>
        <w:kinsoku/>
        <w:wordWrap/>
        <w:overflowPunct/>
        <w:topLinePunct w:val="0"/>
        <w:bidi w:val="0"/>
        <w:spacing w:after="0" w:line="480" w:lineRule="exact"/>
        <w:ind w:left="0" w:leftChars="0" w:right="0" w:rightChars="0" w:firstLine="369" w:firstLineChars="176"/>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.3乙方有权根据合同约定向甲方收取</w:t>
      </w:r>
      <w:r>
        <w:rPr>
          <w:rFonts w:hint="eastAsia" w:ascii="华文中宋" w:hAnsi="华文中宋" w:eastAsia="华文中宋" w:cs="华文中宋"/>
          <w:color w:val="000000"/>
          <w:sz w:val="21"/>
          <w:szCs w:val="21"/>
          <w:highlight w:val="none"/>
          <w:lang w:eastAsia="zh-CN"/>
        </w:rPr>
        <w:t>合同价款</w:t>
      </w:r>
      <w:r>
        <w:rPr>
          <w:rFonts w:hint="eastAsia" w:ascii="华文中宋" w:hAnsi="华文中宋" w:eastAsia="华文中宋" w:cs="华文中宋"/>
          <w:color w:val="000000"/>
          <w:sz w:val="21"/>
          <w:szCs w:val="21"/>
          <w:highlight w:val="none"/>
        </w:rPr>
        <w:t>。</w:t>
      </w:r>
    </w:p>
    <w:p w14:paraId="57173654">
      <w:pPr>
        <w:pStyle w:val="14"/>
        <w:pageBreakBefore w:val="0"/>
        <w:kinsoku/>
        <w:wordWrap/>
        <w:overflowPunct/>
        <w:topLinePunct w:val="0"/>
        <w:bidi w:val="0"/>
        <w:spacing w:after="0" w:line="480" w:lineRule="exact"/>
        <w:ind w:left="0" w:leftChars="0" w:right="0" w:rightChars="0" w:firstLine="369" w:firstLineChars="176"/>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5</w:t>
      </w:r>
      <w:r>
        <w:rPr>
          <w:rFonts w:hint="eastAsia" w:ascii="华文中宋" w:hAnsi="华文中宋" w:eastAsia="华文中宋" w:cs="华文中宋"/>
          <w:color w:val="000000"/>
          <w:sz w:val="21"/>
          <w:szCs w:val="21"/>
          <w:highlight w:val="none"/>
        </w:rPr>
        <w:t>.4国家法律法规规定</w:t>
      </w:r>
      <w:r>
        <w:rPr>
          <w:rFonts w:hint="eastAsia" w:ascii="华文中宋" w:hAnsi="华文中宋" w:eastAsia="华文中宋" w:cs="华文中宋"/>
          <w:color w:val="000000"/>
          <w:sz w:val="21"/>
          <w:szCs w:val="21"/>
          <w:highlight w:val="none"/>
          <w:lang w:eastAsia="zh-CN"/>
        </w:rPr>
        <w:t>及</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约定应</w:t>
      </w:r>
      <w:r>
        <w:rPr>
          <w:rFonts w:hint="eastAsia" w:ascii="华文中宋" w:hAnsi="华文中宋" w:eastAsia="华文中宋" w:cs="华文中宋"/>
          <w:color w:val="000000"/>
          <w:sz w:val="21"/>
          <w:szCs w:val="21"/>
          <w:highlight w:val="none"/>
        </w:rPr>
        <w:t>由乙方承担的其他义务和责任。</w:t>
      </w:r>
    </w:p>
    <w:p w14:paraId="74749A15">
      <w:pPr>
        <w:pageBreakBefore w:val="0"/>
        <w:numPr>
          <w:ilvl w:val="0"/>
          <w:numId w:val="6"/>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rPr>
        <w:t>合同履</w:t>
      </w:r>
      <w:r>
        <w:rPr>
          <w:rFonts w:hint="eastAsia" w:ascii="华文中宋" w:hAnsi="华文中宋" w:eastAsia="华文中宋" w:cs="华文中宋"/>
          <w:b/>
          <w:bCs/>
          <w:color w:val="000000"/>
          <w:sz w:val="21"/>
          <w:szCs w:val="21"/>
          <w:highlight w:val="none"/>
          <w:lang w:val="en-US" w:eastAsia="zh-CN"/>
        </w:rPr>
        <w:t>行</w:t>
      </w:r>
    </w:p>
    <w:p w14:paraId="2FA9E238">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6</w:t>
      </w:r>
      <w:r>
        <w:rPr>
          <w:rFonts w:hint="eastAsia" w:ascii="华文中宋" w:hAnsi="华文中宋" w:eastAsia="华文中宋" w:cs="华文中宋"/>
          <w:color w:val="000000"/>
          <w:sz w:val="21"/>
          <w:szCs w:val="21"/>
          <w:highlight w:val="none"/>
        </w:rPr>
        <w:t>.1 甲乙双方应当按照</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000000"/>
          <w:sz w:val="21"/>
          <w:szCs w:val="21"/>
          <w:highlight w:val="none"/>
        </w:rPr>
        <w:t>约定顺序履行合同义务；如果没有先后顺序的，应当同时履行。</w:t>
      </w:r>
    </w:p>
    <w:p w14:paraId="5CE2A8D8">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color w:val="000000"/>
          <w:sz w:val="21"/>
          <w:szCs w:val="21"/>
          <w:highlight w:val="none"/>
          <w:lang w:eastAsia="zh-CN"/>
        </w:rPr>
        <w:t>6</w:t>
      </w:r>
      <w:r>
        <w:rPr>
          <w:rFonts w:hint="eastAsia" w:ascii="华文中宋" w:hAnsi="华文中宋" w:eastAsia="华文中宋" w:cs="华文中宋"/>
          <w:color w:val="000000"/>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21FE747">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lang w:eastAsia="zh-CN"/>
        </w:rPr>
        <w:t>7</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货物包装、运输</w:t>
      </w:r>
      <w:r>
        <w:rPr>
          <w:rFonts w:hint="eastAsia" w:ascii="华文中宋" w:hAnsi="华文中宋" w:eastAsia="华文中宋" w:cs="华文中宋"/>
          <w:b/>
          <w:bCs/>
          <w:color w:val="000000"/>
          <w:sz w:val="21"/>
          <w:szCs w:val="21"/>
          <w:highlight w:val="none"/>
          <w:lang w:eastAsia="zh-CN"/>
        </w:rPr>
        <w:t>、</w:t>
      </w:r>
      <w:r>
        <w:rPr>
          <w:rFonts w:hint="eastAsia" w:ascii="华文中宋" w:hAnsi="华文中宋" w:eastAsia="华文中宋" w:cs="华文中宋"/>
          <w:b/>
          <w:bCs/>
          <w:color w:val="000000"/>
          <w:sz w:val="21"/>
          <w:szCs w:val="21"/>
          <w:highlight w:val="none"/>
        </w:rPr>
        <w:t>保险</w:t>
      </w:r>
      <w:r>
        <w:rPr>
          <w:rFonts w:hint="eastAsia" w:ascii="华文中宋" w:hAnsi="华文中宋" w:eastAsia="华文中宋" w:cs="华文中宋"/>
          <w:b/>
          <w:bCs/>
          <w:color w:val="000000"/>
          <w:sz w:val="21"/>
          <w:szCs w:val="21"/>
          <w:highlight w:val="none"/>
          <w:lang w:eastAsia="zh-CN"/>
        </w:rPr>
        <w:t>和交付</w:t>
      </w:r>
      <w:r>
        <w:rPr>
          <w:rFonts w:hint="eastAsia" w:ascii="华文中宋" w:hAnsi="华文中宋" w:eastAsia="华文中宋" w:cs="华文中宋"/>
          <w:b/>
          <w:bCs/>
          <w:color w:val="000000"/>
          <w:sz w:val="21"/>
          <w:szCs w:val="21"/>
          <w:highlight w:val="none"/>
        </w:rPr>
        <w:t>要求</w:t>
      </w:r>
    </w:p>
    <w:p w14:paraId="51D7E232">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.1 本合同</w:t>
      </w:r>
      <w:r>
        <w:rPr>
          <w:rFonts w:hint="eastAsia" w:ascii="华文中宋" w:hAnsi="华文中宋" w:eastAsia="华文中宋" w:cs="华文中宋"/>
          <w:bCs/>
          <w:color w:val="000000"/>
          <w:sz w:val="21"/>
          <w:szCs w:val="21"/>
          <w:highlight w:val="none"/>
        </w:rPr>
        <w:t>涉及商品包装</w:t>
      </w:r>
      <w:r>
        <w:rPr>
          <w:rFonts w:hint="eastAsia" w:ascii="华文中宋" w:hAnsi="华文中宋" w:eastAsia="华文中宋" w:cs="华文中宋"/>
          <w:bCs/>
          <w:color w:val="000000"/>
          <w:sz w:val="21"/>
          <w:szCs w:val="21"/>
          <w:highlight w:val="none"/>
          <w:lang w:eastAsia="zh-CN"/>
        </w:rPr>
        <w:t>、</w:t>
      </w:r>
      <w:r>
        <w:rPr>
          <w:rFonts w:hint="eastAsia" w:ascii="华文中宋" w:hAnsi="华文中宋" w:eastAsia="华文中宋" w:cs="华文中宋"/>
          <w:bCs/>
          <w:color w:val="000000"/>
          <w:sz w:val="21"/>
          <w:szCs w:val="21"/>
          <w:highlight w:val="none"/>
        </w:rPr>
        <w:t>快递包装的，</w:t>
      </w:r>
      <w:r>
        <w:rPr>
          <w:rFonts w:hint="eastAsia" w:ascii="华文中宋" w:hAnsi="华文中宋" w:eastAsia="华文中宋" w:cs="华文中宋"/>
          <w:color w:val="000000"/>
          <w:sz w:val="21"/>
          <w:szCs w:val="21"/>
          <w:highlight w:val="none"/>
        </w:rPr>
        <w:t>除</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另有</w:t>
      </w:r>
      <w:r>
        <w:rPr>
          <w:rFonts w:hint="eastAsia" w:ascii="华文中宋" w:hAnsi="华文中宋" w:eastAsia="华文中宋" w:cs="华文中宋"/>
          <w:bCs/>
          <w:color w:val="000000"/>
          <w:sz w:val="21"/>
          <w:szCs w:val="21"/>
          <w:highlight w:val="none"/>
          <w:lang w:eastAsia="zh-CN"/>
        </w:rPr>
        <w:t>约</w:t>
      </w:r>
      <w:r>
        <w:rPr>
          <w:rFonts w:hint="eastAsia" w:ascii="华文中宋" w:hAnsi="华文中宋" w:eastAsia="华文中宋" w:cs="华文中宋"/>
          <w:bCs/>
          <w:color w:val="000000"/>
          <w:sz w:val="21"/>
          <w:szCs w:val="21"/>
          <w:highlight w:val="none"/>
        </w:rPr>
        <w:t>定</w:t>
      </w:r>
      <w:r>
        <w:rPr>
          <w:rFonts w:hint="eastAsia" w:ascii="华文中宋" w:hAnsi="华文中宋" w:eastAsia="华文中宋" w:cs="华文中宋"/>
          <w:bCs/>
          <w:color w:val="000000"/>
          <w:sz w:val="21"/>
          <w:szCs w:val="21"/>
          <w:highlight w:val="none"/>
          <w:lang w:eastAsia="zh-CN"/>
        </w:rPr>
        <w:t>外</w:t>
      </w:r>
      <w:r>
        <w:rPr>
          <w:rFonts w:hint="eastAsia" w:ascii="华文中宋" w:hAnsi="华文中宋" w:eastAsia="华文中宋" w:cs="华文中宋"/>
          <w:bCs/>
          <w:color w:val="000000"/>
          <w:sz w:val="21"/>
          <w:szCs w:val="21"/>
          <w:highlight w:val="none"/>
        </w:rPr>
        <w:t>，</w:t>
      </w:r>
      <w:r>
        <w:rPr>
          <w:rFonts w:hint="eastAsia" w:ascii="华文中宋" w:hAnsi="华文中宋" w:eastAsia="华文中宋" w:cs="华文中宋"/>
          <w:color w:val="000000"/>
          <w:sz w:val="21"/>
          <w:szCs w:val="21"/>
          <w:highlight w:val="none"/>
        </w:rPr>
        <w:t>包装应适应远距离运输、防潮、防震、防锈和防野蛮装卸等要求，确保货物安全无损地运抵</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 w:val="0"/>
          <w:bCs/>
          <w:color w:val="000000"/>
          <w:sz w:val="21"/>
          <w:szCs w:val="21"/>
          <w:highlight w:val="none"/>
          <w:lang w:eastAsia="zh-CN"/>
        </w:rPr>
        <w:t>约定的</w:t>
      </w:r>
      <w:r>
        <w:rPr>
          <w:rFonts w:hint="eastAsia" w:ascii="华文中宋" w:hAnsi="华文中宋" w:eastAsia="华文中宋" w:cs="华文中宋"/>
          <w:color w:val="000000"/>
          <w:sz w:val="21"/>
          <w:szCs w:val="21"/>
          <w:highlight w:val="none"/>
        </w:rPr>
        <w:t>指定现场。</w:t>
      </w:r>
    </w:p>
    <w:p w14:paraId="2B6FA57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.2 除</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另有</w:t>
      </w:r>
      <w:r>
        <w:rPr>
          <w:rFonts w:hint="eastAsia" w:ascii="华文中宋" w:hAnsi="华文中宋" w:eastAsia="华文中宋" w:cs="华文中宋"/>
          <w:bCs/>
          <w:color w:val="000000"/>
          <w:sz w:val="21"/>
          <w:szCs w:val="21"/>
          <w:highlight w:val="none"/>
          <w:lang w:eastAsia="zh-CN"/>
        </w:rPr>
        <w:t>约</w:t>
      </w:r>
      <w:r>
        <w:rPr>
          <w:rFonts w:hint="eastAsia" w:ascii="华文中宋" w:hAnsi="华文中宋" w:eastAsia="华文中宋" w:cs="华文中宋"/>
          <w:bCs/>
          <w:color w:val="000000"/>
          <w:sz w:val="21"/>
          <w:szCs w:val="21"/>
          <w:highlight w:val="none"/>
        </w:rPr>
        <w:t>定</w:t>
      </w:r>
      <w:r>
        <w:rPr>
          <w:rFonts w:hint="eastAsia" w:ascii="华文中宋" w:hAnsi="华文中宋" w:eastAsia="华文中宋" w:cs="华文中宋"/>
          <w:bCs/>
          <w:color w:val="000000"/>
          <w:sz w:val="21"/>
          <w:szCs w:val="21"/>
          <w:highlight w:val="none"/>
          <w:lang w:eastAsia="zh-CN"/>
        </w:rPr>
        <w:t>外</w:t>
      </w:r>
      <w:r>
        <w:rPr>
          <w:rFonts w:hint="eastAsia" w:ascii="华文中宋" w:hAnsi="华文中宋" w:eastAsia="华文中宋" w:cs="华文中宋"/>
          <w:bCs/>
          <w:color w:val="000000"/>
          <w:sz w:val="21"/>
          <w:szCs w:val="21"/>
          <w:highlight w:val="none"/>
        </w:rPr>
        <w:t>，</w:t>
      </w:r>
      <w:r>
        <w:rPr>
          <w:rFonts w:hint="eastAsia" w:ascii="华文中宋" w:hAnsi="华文中宋" w:eastAsia="华文中宋" w:cs="华文中宋"/>
          <w:color w:val="000000"/>
          <w:sz w:val="21"/>
          <w:szCs w:val="21"/>
          <w:highlight w:val="none"/>
        </w:rPr>
        <w:t>乙方负责办理将货物运抵本合同规定的交货地点</w:t>
      </w:r>
      <w:r>
        <w:rPr>
          <w:rFonts w:hint="eastAsia" w:ascii="华文中宋" w:hAnsi="华文中宋" w:eastAsia="华文中宋" w:cs="华文中宋"/>
          <w:color w:val="000000"/>
          <w:sz w:val="21"/>
          <w:szCs w:val="21"/>
          <w:highlight w:val="none"/>
          <w:lang w:eastAsia="zh-CN"/>
        </w:rPr>
        <w:t>，并装卸、交付至甲方</w:t>
      </w:r>
      <w:r>
        <w:rPr>
          <w:rFonts w:hint="eastAsia" w:ascii="华文中宋" w:hAnsi="华文中宋" w:eastAsia="华文中宋" w:cs="华文中宋"/>
          <w:color w:val="000000"/>
          <w:sz w:val="21"/>
          <w:szCs w:val="21"/>
          <w:highlight w:val="none"/>
        </w:rPr>
        <w:t>的一切运输事项，相关费用应</w:t>
      </w:r>
      <w:r>
        <w:rPr>
          <w:rFonts w:hint="eastAsia" w:ascii="华文中宋" w:hAnsi="华文中宋" w:eastAsia="华文中宋" w:cs="华文中宋"/>
          <w:color w:val="000000"/>
          <w:sz w:val="21"/>
          <w:szCs w:val="21"/>
          <w:highlight w:val="none"/>
          <w:lang w:eastAsia="zh-CN"/>
        </w:rPr>
        <w:t>包含</w:t>
      </w:r>
      <w:r>
        <w:rPr>
          <w:rFonts w:hint="eastAsia" w:ascii="华文中宋" w:hAnsi="华文中宋" w:eastAsia="华文中宋" w:cs="华文中宋"/>
          <w:color w:val="000000"/>
          <w:sz w:val="21"/>
          <w:szCs w:val="21"/>
          <w:highlight w:val="none"/>
        </w:rPr>
        <w:t>在合同</w:t>
      </w:r>
      <w:r>
        <w:rPr>
          <w:rFonts w:hint="eastAsia" w:ascii="华文中宋" w:hAnsi="华文中宋" w:eastAsia="华文中宋" w:cs="华文中宋"/>
          <w:color w:val="000000"/>
          <w:sz w:val="21"/>
          <w:szCs w:val="21"/>
          <w:highlight w:val="none"/>
          <w:lang w:eastAsia="zh-CN"/>
        </w:rPr>
        <w:t>价款</w:t>
      </w:r>
      <w:r>
        <w:rPr>
          <w:rFonts w:hint="eastAsia" w:ascii="华文中宋" w:hAnsi="华文中宋" w:eastAsia="华文中宋" w:cs="华文中宋"/>
          <w:color w:val="000000"/>
          <w:sz w:val="21"/>
          <w:szCs w:val="21"/>
          <w:highlight w:val="none"/>
        </w:rPr>
        <w:t>中。</w:t>
      </w:r>
    </w:p>
    <w:p w14:paraId="67AAD98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.3 货物保险要求按</w:t>
      </w:r>
      <w:r>
        <w:rPr>
          <w:rFonts w:hint="eastAsia" w:ascii="华文中宋" w:hAnsi="华文中宋" w:eastAsia="华文中宋" w:cs="华文中宋"/>
          <w:b/>
          <w:color w:val="000000"/>
          <w:sz w:val="21"/>
          <w:szCs w:val="21"/>
          <w:highlight w:val="none"/>
        </w:rPr>
        <w:t>【政府采购合同专用条款】</w:t>
      </w:r>
      <w:r>
        <w:rPr>
          <w:rFonts w:hint="eastAsia" w:ascii="华文中宋" w:hAnsi="华文中宋" w:eastAsia="华文中宋" w:cs="华文中宋"/>
          <w:bCs/>
          <w:color w:val="000000"/>
          <w:sz w:val="21"/>
          <w:szCs w:val="21"/>
          <w:highlight w:val="none"/>
        </w:rPr>
        <w:t>规定执行</w:t>
      </w:r>
      <w:r>
        <w:rPr>
          <w:rFonts w:hint="eastAsia" w:ascii="华文中宋" w:hAnsi="华文中宋" w:eastAsia="华文中宋" w:cs="华文中宋"/>
          <w:color w:val="000000"/>
          <w:sz w:val="21"/>
          <w:szCs w:val="21"/>
          <w:highlight w:val="none"/>
        </w:rPr>
        <w:t>。</w:t>
      </w:r>
    </w:p>
    <w:p w14:paraId="0C562C4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7</w:t>
      </w:r>
      <w:r>
        <w:rPr>
          <w:rFonts w:hint="eastAsia" w:ascii="华文中宋" w:hAnsi="华文中宋" w:eastAsia="华文中宋" w:cs="华文中宋"/>
          <w:color w:val="000000"/>
          <w:sz w:val="21"/>
          <w:szCs w:val="21"/>
          <w:highlight w:val="none"/>
        </w:rPr>
        <w:t xml:space="preserve">.4 </w:t>
      </w:r>
      <w:r>
        <w:rPr>
          <w:rFonts w:hint="eastAsia" w:ascii="华文中宋" w:hAnsi="华文中宋" w:eastAsia="华文中宋" w:cs="华文中宋"/>
          <w:color w:val="000000"/>
          <w:sz w:val="21"/>
          <w:szCs w:val="21"/>
          <w:highlight w:val="none"/>
          <w:lang w:val="en-US" w:eastAsia="zh-CN"/>
        </w:rPr>
        <w:t>除采购活动</w:t>
      </w:r>
      <w:r>
        <w:rPr>
          <w:rFonts w:hint="eastAsia" w:ascii="华文中宋" w:hAnsi="华文中宋" w:eastAsia="华文中宋" w:cs="华文中宋"/>
          <w:color w:val="000000"/>
          <w:sz w:val="21"/>
          <w:szCs w:val="21"/>
          <w:highlight w:val="none"/>
        </w:rPr>
        <w:t>对商品包装</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快递包装</w:t>
      </w:r>
      <w:r>
        <w:rPr>
          <w:rFonts w:hint="eastAsia" w:ascii="华文中宋" w:hAnsi="华文中宋" w:eastAsia="华文中宋" w:cs="华文中宋"/>
          <w:color w:val="000000"/>
          <w:sz w:val="21"/>
          <w:szCs w:val="21"/>
          <w:highlight w:val="none"/>
          <w:lang w:val="en-US" w:eastAsia="zh-CN"/>
        </w:rPr>
        <w:t>达成具体约定外</w:t>
      </w:r>
      <w:r>
        <w:rPr>
          <w:rFonts w:hint="eastAsia" w:ascii="华文中宋" w:hAnsi="华文中宋" w:eastAsia="华文中宋" w:cs="华文中宋"/>
          <w:color w:val="000000"/>
          <w:sz w:val="21"/>
          <w:szCs w:val="21"/>
          <w:highlight w:val="none"/>
        </w:rPr>
        <w:t>，乙方提供产品及相关快递服务</w:t>
      </w:r>
      <w:r>
        <w:rPr>
          <w:rFonts w:hint="eastAsia" w:ascii="华文中宋" w:hAnsi="华文中宋" w:eastAsia="华文中宋" w:cs="华文中宋"/>
          <w:color w:val="000000"/>
          <w:sz w:val="21"/>
          <w:szCs w:val="21"/>
          <w:highlight w:val="none"/>
          <w:lang w:val="en-US" w:eastAsia="zh-CN"/>
        </w:rPr>
        <w:t>涉及到</w:t>
      </w:r>
      <w:r>
        <w:rPr>
          <w:rFonts w:hint="eastAsia" w:ascii="华文中宋" w:hAnsi="华文中宋" w:eastAsia="华文中宋" w:cs="华文中宋"/>
          <w:color w:val="000000"/>
          <w:sz w:val="21"/>
          <w:szCs w:val="21"/>
          <w:highlight w:val="none"/>
        </w:rPr>
        <w:t>具体包装要求</w:t>
      </w:r>
      <w:r>
        <w:rPr>
          <w:rFonts w:hint="eastAsia" w:ascii="华文中宋" w:hAnsi="华文中宋" w:eastAsia="华文中宋" w:cs="华文中宋"/>
          <w:color w:val="000000"/>
          <w:sz w:val="21"/>
          <w:szCs w:val="21"/>
          <w:highlight w:val="none"/>
          <w:lang w:val="en-US" w:eastAsia="zh-CN"/>
        </w:rPr>
        <w:t>的，</w:t>
      </w:r>
      <w:r>
        <w:rPr>
          <w:rFonts w:hint="eastAsia" w:ascii="华文中宋" w:hAnsi="华文中宋" w:eastAsia="华文中宋" w:cs="华文中宋"/>
          <w:color w:val="000000"/>
          <w:sz w:val="21"/>
          <w:szCs w:val="21"/>
          <w:highlight w:val="none"/>
        </w:rPr>
        <w:t>应</w:t>
      </w:r>
      <w:r>
        <w:rPr>
          <w:rFonts w:hint="eastAsia" w:ascii="华文中宋" w:hAnsi="华文中宋" w:eastAsia="华文中宋" w:cs="华文中宋"/>
          <w:color w:val="000000"/>
          <w:sz w:val="21"/>
          <w:szCs w:val="21"/>
          <w:highlight w:val="none"/>
          <w:lang w:val="en-US" w:eastAsia="zh-CN"/>
        </w:rPr>
        <w:t>不低于</w:t>
      </w:r>
      <w:r>
        <w:rPr>
          <w:rFonts w:hint="eastAsia" w:ascii="华文中宋" w:hAnsi="华文中宋" w:eastAsia="华文中宋" w:cs="华文中宋"/>
          <w:color w:val="000000"/>
          <w:sz w:val="21"/>
          <w:szCs w:val="21"/>
          <w:highlight w:val="none"/>
        </w:rPr>
        <w:t>《商品包装政府采购需求标准（试行）</w:t>
      </w:r>
      <w:r>
        <w:rPr>
          <w:rFonts w:hint="eastAsia" w:ascii="华文中宋" w:hAnsi="华文中宋" w:eastAsia="华文中宋" w:cs="华文中宋"/>
          <w:color w:val="000000"/>
          <w:sz w:val="21"/>
          <w:szCs w:val="21"/>
          <w:highlight w:val="none"/>
          <w:lang w:eastAsia="zh-CN"/>
        </w:rPr>
        <w:t>》《</w:t>
      </w:r>
      <w:r>
        <w:rPr>
          <w:rFonts w:hint="eastAsia" w:ascii="华文中宋" w:hAnsi="华文中宋" w:eastAsia="华文中宋" w:cs="华文中宋"/>
          <w:color w:val="000000"/>
          <w:sz w:val="21"/>
          <w:szCs w:val="21"/>
          <w:highlight w:val="none"/>
        </w:rPr>
        <w:t>快递包装政府采购需求标准（试行）》</w:t>
      </w:r>
      <w:r>
        <w:rPr>
          <w:rFonts w:hint="eastAsia" w:ascii="华文中宋" w:hAnsi="华文中宋" w:eastAsia="华文中宋" w:cs="华文中宋"/>
          <w:color w:val="000000"/>
          <w:sz w:val="21"/>
          <w:szCs w:val="21"/>
          <w:highlight w:val="none"/>
          <w:lang w:val="en-US" w:eastAsia="zh-CN"/>
        </w:rPr>
        <w:t>标准</w:t>
      </w:r>
      <w:r>
        <w:rPr>
          <w:rFonts w:hint="eastAsia" w:ascii="华文中宋" w:hAnsi="华文中宋" w:eastAsia="华文中宋" w:cs="华文中宋"/>
          <w:color w:val="000000"/>
          <w:sz w:val="21"/>
          <w:szCs w:val="21"/>
          <w:highlight w:val="none"/>
        </w:rPr>
        <w:t>，并作为履约验收的内容，必要时甲方可以要求乙方在履约验收环节出具检测报告。</w:t>
      </w:r>
    </w:p>
    <w:p w14:paraId="35C9D3D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val="en-US" w:eastAsia="zh-CN"/>
        </w:rPr>
        <w:t xml:space="preserve">7.5 </w:t>
      </w:r>
      <w:r>
        <w:rPr>
          <w:rFonts w:hint="eastAsia" w:ascii="华文中宋" w:hAnsi="华文中宋" w:eastAsia="华文中宋" w:cs="华文中宋"/>
          <w:color w:val="000000"/>
          <w:sz w:val="21"/>
          <w:szCs w:val="21"/>
        </w:rPr>
        <w:t>乙方在运输到达之前</w:t>
      </w:r>
      <w:r>
        <w:rPr>
          <w:rFonts w:hint="eastAsia" w:ascii="华文中宋" w:hAnsi="华文中宋" w:eastAsia="华文中宋" w:cs="华文中宋"/>
          <w:color w:val="000000"/>
          <w:sz w:val="21"/>
          <w:szCs w:val="21"/>
          <w:lang w:eastAsia="zh-CN"/>
        </w:rPr>
        <w:t>应</w:t>
      </w:r>
      <w:r>
        <w:rPr>
          <w:rFonts w:hint="eastAsia" w:ascii="华文中宋" w:hAnsi="华文中宋" w:eastAsia="华文中宋" w:cs="华文中宋"/>
          <w:color w:val="000000"/>
          <w:sz w:val="21"/>
          <w:szCs w:val="21"/>
        </w:rPr>
        <w:t>提前通知</w:t>
      </w:r>
      <w:r>
        <w:rPr>
          <w:rFonts w:hint="eastAsia" w:ascii="华文中宋" w:hAnsi="华文中宋" w:eastAsia="华文中宋" w:cs="华文中宋"/>
          <w:color w:val="000000"/>
          <w:sz w:val="21"/>
          <w:szCs w:val="21"/>
          <w:lang w:eastAsia="zh-CN"/>
        </w:rPr>
        <w:t>甲方</w:t>
      </w:r>
      <w:r>
        <w:rPr>
          <w:rFonts w:hint="eastAsia" w:ascii="华文中宋" w:hAnsi="华文中宋" w:eastAsia="华文中宋" w:cs="华文中宋"/>
          <w:color w:val="000000"/>
          <w:sz w:val="21"/>
          <w:szCs w:val="21"/>
        </w:rPr>
        <w:t>，并提示货物运输装卸的注意事项</w:t>
      </w:r>
      <w:r>
        <w:rPr>
          <w:rFonts w:hint="eastAsia" w:ascii="华文中宋" w:hAnsi="华文中宋" w:eastAsia="华文中宋" w:cs="华文中宋"/>
          <w:color w:val="000000"/>
          <w:sz w:val="21"/>
          <w:szCs w:val="21"/>
          <w:lang w:eastAsia="zh-CN"/>
        </w:rPr>
        <w:t>，甲方配合乙方做好货物的接收工作。</w:t>
      </w:r>
    </w:p>
    <w:p w14:paraId="38601553">
      <w:pPr>
        <w:pStyle w:val="66"/>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color w:val="000000"/>
          <w:kern w:val="2"/>
          <w:sz w:val="21"/>
          <w:szCs w:val="21"/>
          <w:highlight w:val="none"/>
          <w:lang w:val="en-US" w:eastAsia="zh-CN"/>
        </w:rPr>
        <w:t xml:space="preserve">7.6 </w:t>
      </w:r>
      <w:r>
        <w:rPr>
          <w:rFonts w:hint="eastAsia" w:ascii="华文中宋" w:hAnsi="华文中宋" w:eastAsia="华文中宋" w:cs="华文中宋"/>
          <w:color w:val="000000"/>
          <w:kern w:val="2"/>
          <w:sz w:val="21"/>
          <w:szCs w:val="21"/>
          <w:highlight w:val="none"/>
        </w:rPr>
        <w:t>如因包装</w:t>
      </w:r>
      <w:r>
        <w:rPr>
          <w:rFonts w:hint="eastAsia" w:ascii="华文中宋" w:hAnsi="华文中宋" w:eastAsia="华文中宋" w:cs="华文中宋"/>
          <w:color w:val="000000"/>
          <w:kern w:val="2"/>
          <w:sz w:val="21"/>
          <w:szCs w:val="21"/>
          <w:highlight w:val="none"/>
          <w:lang w:eastAsia="zh-CN"/>
        </w:rPr>
        <w:t>、运输</w:t>
      </w:r>
      <w:r>
        <w:rPr>
          <w:rFonts w:hint="eastAsia" w:ascii="华文中宋" w:hAnsi="华文中宋" w:eastAsia="华文中宋" w:cs="华文中宋"/>
          <w:color w:val="000000"/>
          <w:kern w:val="2"/>
          <w:sz w:val="21"/>
          <w:szCs w:val="21"/>
          <w:highlight w:val="none"/>
        </w:rPr>
        <w:t>问题导致货物</w:t>
      </w:r>
      <w:r>
        <w:rPr>
          <w:rFonts w:hint="eastAsia" w:ascii="华文中宋" w:hAnsi="华文中宋" w:eastAsia="华文中宋" w:cs="华文中宋"/>
          <w:color w:val="000000"/>
          <w:kern w:val="2"/>
          <w:sz w:val="21"/>
          <w:szCs w:val="21"/>
          <w:highlight w:val="none"/>
          <w:lang w:eastAsia="zh-CN"/>
        </w:rPr>
        <w:t>损毁、丢失</w:t>
      </w:r>
      <w:r>
        <w:rPr>
          <w:rFonts w:hint="eastAsia" w:ascii="华文中宋" w:hAnsi="华文中宋" w:eastAsia="华文中宋" w:cs="华文中宋"/>
          <w:color w:val="000000"/>
          <w:kern w:val="2"/>
          <w:sz w:val="21"/>
          <w:szCs w:val="21"/>
          <w:highlight w:val="none"/>
        </w:rPr>
        <w:t>或者品质下降，</w:t>
      </w:r>
      <w:r>
        <w:rPr>
          <w:rFonts w:hint="eastAsia" w:ascii="华文中宋" w:hAnsi="华文中宋" w:eastAsia="华文中宋" w:cs="华文中宋"/>
          <w:color w:val="000000"/>
          <w:kern w:val="2"/>
          <w:sz w:val="21"/>
          <w:szCs w:val="21"/>
          <w:highlight w:val="none"/>
          <w:lang w:eastAsia="zh-CN"/>
        </w:rPr>
        <w:t>甲方</w:t>
      </w:r>
      <w:r>
        <w:rPr>
          <w:rFonts w:hint="eastAsia" w:ascii="华文中宋" w:hAnsi="华文中宋" w:eastAsia="华文中宋" w:cs="华文中宋"/>
          <w:color w:val="000000"/>
          <w:kern w:val="2"/>
          <w:sz w:val="21"/>
          <w:szCs w:val="21"/>
          <w:highlight w:val="none"/>
        </w:rPr>
        <w:t>有权要求降价、换货、拒收部分或整批货物，由此</w:t>
      </w:r>
      <w:r>
        <w:rPr>
          <w:rFonts w:hint="eastAsia" w:ascii="华文中宋" w:hAnsi="华文中宋" w:eastAsia="华文中宋" w:cs="华文中宋"/>
          <w:color w:val="000000"/>
          <w:kern w:val="2"/>
          <w:sz w:val="21"/>
          <w:szCs w:val="21"/>
          <w:highlight w:val="none"/>
          <w:lang w:eastAsia="zh-CN"/>
        </w:rPr>
        <w:t>产生</w:t>
      </w:r>
      <w:r>
        <w:rPr>
          <w:rFonts w:hint="eastAsia" w:ascii="华文中宋" w:hAnsi="华文中宋" w:eastAsia="华文中宋" w:cs="华文中宋"/>
          <w:color w:val="000000"/>
          <w:kern w:val="2"/>
          <w:sz w:val="21"/>
          <w:szCs w:val="21"/>
          <w:highlight w:val="none"/>
        </w:rPr>
        <w:t>的费用和损失，均由</w:t>
      </w:r>
      <w:r>
        <w:rPr>
          <w:rFonts w:hint="eastAsia" w:ascii="华文中宋" w:hAnsi="华文中宋" w:eastAsia="华文中宋" w:cs="华文中宋"/>
          <w:color w:val="000000"/>
          <w:kern w:val="2"/>
          <w:sz w:val="21"/>
          <w:szCs w:val="21"/>
          <w:highlight w:val="none"/>
          <w:lang w:eastAsia="zh-CN"/>
        </w:rPr>
        <w:t>乙方</w:t>
      </w:r>
      <w:r>
        <w:rPr>
          <w:rFonts w:hint="eastAsia" w:ascii="华文中宋" w:hAnsi="华文中宋" w:eastAsia="华文中宋" w:cs="华文中宋"/>
          <w:color w:val="000000"/>
          <w:kern w:val="2"/>
          <w:sz w:val="21"/>
          <w:szCs w:val="21"/>
          <w:highlight w:val="none"/>
        </w:rPr>
        <w:t>承担。</w:t>
      </w:r>
    </w:p>
    <w:p w14:paraId="0CF850F4">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000000"/>
          <w:sz w:val="21"/>
          <w:szCs w:val="21"/>
          <w:highlight w:val="none"/>
          <w:lang w:eastAsia="zh-CN"/>
        </w:rPr>
        <w:t>8</w:t>
      </w:r>
      <w:r>
        <w:rPr>
          <w:rFonts w:hint="eastAsia" w:ascii="华文中宋" w:hAnsi="华文中宋" w:eastAsia="华文中宋" w:cs="华文中宋"/>
          <w:b/>
          <w:color w:val="000000"/>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质量标准和保证</w:t>
      </w:r>
    </w:p>
    <w:p w14:paraId="3D2E0CD3">
      <w:pPr>
        <w:pStyle w:val="17"/>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color w:val="auto"/>
          <w:sz w:val="21"/>
          <w:szCs w:val="21"/>
          <w:highlight w:val="none"/>
          <w:lang w:eastAsia="zh-CN"/>
        </w:rPr>
        <w:t>8</w:t>
      </w:r>
      <w:r>
        <w:rPr>
          <w:rFonts w:hint="eastAsia" w:ascii="华文中宋" w:hAnsi="华文中宋" w:eastAsia="华文中宋" w:cs="华文中宋"/>
          <w:color w:val="auto"/>
          <w:sz w:val="21"/>
          <w:szCs w:val="21"/>
          <w:highlight w:val="none"/>
        </w:rPr>
        <w:t>.1 质量标准</w:t>
      </w:r>
    </w:p>
    <w:p w14:paraId="3C42F08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（1）本合同下</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的货物应符合</w:t>
      </w:r>
      <w:r>
        <w:rPr>
          <w:rFonts w:hint="eastAsia" w:ascii="华文中宋" w:hAnsi="华文中宋" w:eastAsia="华文中宋" w:cs="华文中宋"/>
          <w:color w:val="auto"/>
          <w:sz w:val="21"/>
          <w:szCs w:val="21"/>
          <w:highlight w:val="none"/>
          <w:lang w:eastAsia="zh-CN"/>
        </w:rPr>
        <w:t>合同</w:t>
      </w:r>
      <w:r>
        <w:rPr>
          <w:rFonts w:hint="eastAsia" w:ascii="华文中宋" w:hAnsi="华文中宋" w:eastAsia="华文中宋" w:cs="华文中宋"/>
          <w:color w:val="000000"/>
          <w:sz w:val="21"/>
          <w:szCs w:val="21"/>
          <w:lang w:eastAsia="zh-CN"/>
        </w:rPr>
        <w:t>约</w:t>
      </w:r>
      <w:r>
        <w:rPr>
          <w:rFonts w:hint="eastAsia" w:ascii="华文中宋" w:hAnsi="华文中宋" w:eastAsia="华文中宋" w:cs="华文中宋"/>
          <w:color w:val="000000"/>
          <w:sz w:val="21"/>
          <w:szCs w:val="21"/>
        </w:rPr>
        <w:t>定的</w:t>
      </w:r>
      <w:r>
        <w:rPr>
          <w:rFonts w:hint="eastAsia" w:ascii="华文中宋" w:hAnsi="华文中宋" w:eastAsia="华文中宋" w:cs="华文中宋"/>
          <w:sz w:val="21"/>
          <w:szCs w:val="21"/>
        </w:rPr>
        <w:t>品牌、规格型号、技术性能、配置、质量、数量等要求。</w:t>
      </w:r>
      <w:r>
        <w:rPr>
          <w:rFonts w:hint="eastAsia" w:ascii="华文中宋" w:hAnsi="华文中宋" w:eastAsia="华文中宋" w:cs="华文中宋"/>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华文中宋" w:hAnsi="华文中宋" w:eastAsia="华文中宋" w:cs="华文中宋"/>
          <w:color w:val="auto"/>
          <w:sz w:val="21"/>
          <w:szCs w:val="21"/>
          <w:highlight w:val="none"/>
          <w:lang w:eastAsia="zh-CN"/>
        </w:rPr>
        <w:t>。</w:t>
      </w:r>
    </w:p>
    <w:p w14:paraId="5AB973CB">
      <w:pPr>
        <w:pStyle w:val="17"/>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（2）采用中华人民共和国法定计量单位。</w:t>
      </w:r>
    </w:p>
    <w:p w14:paraId="4C51EA3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（3）乙方所</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的货物应符合国家有关安全、环保、卫生</w:t>
      </w:r>
      <w:r>
        <w:rPr>
          <w:rFonts w:hint="eastAsia" w:ascii="华文中宋" w:hAnsi="华文中宋" w:eastAsia="华文中宋" w:cs="华文中宋"/>
          <w:color w:val="auto"/>
          <w:sz w:val="21"/>
          <w:szCs w:val="21"/>
          <w:highlight w:val="none"/>
          <w:lang w:eastAsia="zh-CN"/>
        </w:rPr>
        <w:t>的</w:t>
      </w:r>
      <w:r>
        <w:rPr>
          <w:rFonts w:hint="eastAsia" w:ascii="华文中宋" w:hAnsi="华文中宋" w:eastAsia="华文中宋" w:cs="华文中宋"/>
          <w:color w:val="auto"/>
          <w:sz w:val="21"/>
          <w:szCs w:val="21"/>
          <w:highlight w:val="none"/>
        </w:rPr>
        <w:t>规定。</w:t>
      </w:r>
    </w:p>
    <w:p w14:paraId="08BEC9B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（4）乙方应向甲方提交所</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货物的技术文件，包括相应的中文技术文件，如：产品目录、图纸、操作手册、使用说明、维护手册或服务指南</w:t>
      </w:r>
      <w:r>
        <w:rPr>
          <w:rFonts w:hint="eastAsia" w:ascii="华文中宋" w:hAnsi="华文中宋" w:eastAsia="华文中宋" w:cs="华文中宋"/>
          <w:color w:val="auto"/>
          <w:sz w:val="21"/>
          <w:szCs w:val="21"/>
          <w:highlight w:val="none"/>
          <w:lang w:eastAsia="zh-CN"/>
        </w:rPr>
        <w:t>等</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上述</w:t>
      </w:r>
      <w:r>
        <w:rPr>
          <w:rFonts w:hint="eastAsia" w:ascii="华文中宋" w:hAnsi="华文中宋" w:eastAsia="华文中宋" w:cs="华文中宋"/>
          <w:color w:val="auto"/>
          <w:sz w:val="21"/>
          <w:szCs w:val="21"/>
          <w:highlight w:val="none"/>
        </w:rPr>
        <w:t>文件应包装好随货物一同发运。</w:t>
      </w:r>
    </w:p>
    <w:p w14:paraId="2E0E14D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8</w:t>
      </w:r>
      <w:r>
        <w:rPr>
          <w:rFonts w:hint="eastAsia" w:ascii="华文中宋" w:hAnsi="华文中宋" w:eastAsia="华文中宋" w:cs="华文中宋"/>
          <w:color w:val="auto"/>
          <w:sz w:val="21"/>
          <w:szCs w:val="21"/>
          <w:highlight w:val="none"/>
        </w:rPr>
        <w:t>.2 保证</w:t>
      </w:r>
    </w:p>
    <w:p w14:paraId="243E6EB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（1）乙方应保证</w:t>
      </w:r>
      <w:r>
        <w:rPr>
          <w:rFonts w:hint="eastAsia" w:ascii="华文中宋" w:hAnsi="华文中宋" w:eastAsia="华文中宋" w:cs="华文中宋"/>
          <w:color w:val="auto"/>
          <w:sz w:val="21"/>
          <w:szCs w:val="21"/>
          <w:highlight w:val="none"/>
          <w:lang w:eastAsia="zh-CN"/>
        </w:rPr>
        <w:t>提供的货物</w:t>
      </w:r>
      <w:r>
        <w:rPr>
          <w:rFonts w:hint="eastAsia" w:ascii="华文中宋" w:hAnsi="华文中宋" w:eastAsia="华文中宋" w:cs="华文中宋"/>
          <w:color w:val="auto"/>
          <w:sz w:val="21"/>
          <w:szCs w:val="21"/>
          <w:highlight w:val="none"/>
        </w:rPr>
        <w:t>完全符合合同规定的质量、规格和性能要求。乙方应保证货物在正确安装、正常使用和保养条件下，</w:t>
      </w:r>
      <w:r>
        <w:rPr>
          <w:rFonts w:hint="eastAsia" w:ascii="华文中宋" w:hAnsi="华文中宋" w:eastAsia="华文中宋" w:cs="华文中宋"/>
          <w:sz w:val="21"/>
          <w:szCs w:val="21"/>
        </w:rPr>
        <w:t>在其使用寿命期内具</w:t>
      </w:r>
      <w:r>
        <w:rPr>
          <w:rFonts w:hint="eastAsia" w:ascii="华文中宋" w:hAnsi="华文中宋" w:eastAsia="华文中宋" w:cs="华文中宋"/>
          <w:sz w:val="21"/>
          <w:szCs w:val="21"/>
          <w:lang w:eastAsia="zh-CN"/>
        </w:rPr>
        <w:t>备合同约定</w:t>
      </w:r>
      <w:r>
        <w:rPr>
          <w:rFonts w:hint="eastAsia" w:ascii="华文中宋" w:hAnsi="华文中宋" w:eastAsia="华文中宋" w:cs="华文中宋"/>
          <w:sz w:val="21"/>
          <w:szCs w:val="21"/>
        </w:rPr>
        <w:t>的性能</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存在</w:t>
      </w:r>
      <w:r>
        <w:rPr>
          <w:rFonts w:hint="eastAsia" w:ascii="华文中宋" w:hAnsi="华文中宋" w:eastAsia="华文中宋" w:cs="华文中宋"/>
          <w:color w:val="auto"/>
          <w:sz w:val="21"/>
          <w:szCs w:val="21"/>
          <w:highlight w:val="none"/>
        </w:rPr>
        <w:t>质量保证期的，货物最终交付验收</w:t>
      </w:r>
      <w:r>
        <w:rPr>
          <w:rFonts w:hint="eastAsia" w:ascii="华文中宋" w:hAnsi="华文中宋" w:eastAsia="华文中宋" w:cs="华文中宋"/>
          <w:color w:val="auto"/>
          <w:sz w:val="21"/>
          <w:szCs w:val="21"/>
          <w:highlight w:val="none"/>
          <w:lang w:eastAsia="zh-CN"/>
        </w:rPr>
        <w:t>合格</w:t>
      </w:r>
      <w:r>
        <w:rPr>
          <w:rFonts w:hint="eastAsia" w:ascii="华文中宋" w:hAnsi="华文中宋" w:eastAsia="华文中宋" w:cs="华文中宋"/>
          <w:color w:val="auto"/>
          <w:sz w:val="21"/>
          <w:szCs w:val="21"/>
          <w:highlight w:val="none"/>
        </w:rPr>
        <w:t>后</w:t>
      </w:r>
      <w:r>
        <w:rPr>
          <w:rFonts w:hint="eastAsia" w:ascii="华文中宋" w:hAnsi="华文中宋" w:eastAsia="华文中宋" w:cs="华文中宋"/>
          <w:color w:val="auto"/>
          <w:sz w:val="21"/>
          <w:szCs w:val="21"/>
          <w:highlight w:val="none"/>
          <w:lang w:eastAsia="zh-CN"/>
        </w:rPr>
        <w:t>在</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规定或乙方</w:t>
      </w:r>
      <w:r>
        <w:rPr>
          <w:rFonts w:hint="eastAsia" w:ascii="华文中宋" w:hAnsi="华文中宋" w:eastAsia="华文中宋" w:cs="华文中宋"/>
          <w:color w:val="auto"/>
          <w:sz w:val="21"/>
          <w:szCs w:val="21"/>
          <w:highlight w:val="none"/>
          <w:lang w:eastAsia="zh-CN"/>
        </w:rPr>
        <w:t>书面</w:t>
      </w:r>
      <w:r>
        <w:rPr>
          <w:rFonts w:hint="eastAsia" w:ascii="华文中宋" w:hAnsi="华文中宋" w:eastAsia="华文中宋" w:cs="华文中宋"/>
          <w:color w:val="auto"/>
          <w:sz w:val="21"/>
          <w:szCs w:val="21"/>
          <w:highlight w:val="none"/>
        </w:rPr>
        <w:t>承诺（两者以较长的为准）的质量保证期内，本保证保持有效。</w:t>
      </w:r>
    </w:p>
    <w:p w14:paraId="20CADCB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（2）在质量保证期内所发现的缺陷，甲方应尽快以书面形式通知乙方。</w:t>
      </w:r>
    </w:p>
    <w:p w14:paraId="0EDD864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（3）乙方收到通知后</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rPr>
        <w:t>应在</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规定的响应时间内以合理的速度免费维修或更换有缺陷的货物或部件。</w:t>
      </w:r>
    </w:p>
    <w:p w14:paraId="428AA5D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华文中宋" w:hAnsi="华文中宋" w:eastAsia="华文中宋" w:cs="华文中宋"/>
          <w:color w:val="000000"/>
          <w:sz w:val="21"/>
          <w:szCs w:val="21"/>
          <w:highlight w:val="none"/>
          <w:lang w:val="en-US" w:eastAsia="zh-CN"/>
        </w:rPr>
        <w:t>5</w:t>
      </w:r>
      <w:r>
        <w:rPr>
          <w:rFonts w:hint="eastAsia" w:ascii="华文中宋" w:hAnsi="华文中宋" w:eastAsia="华文中宋" w:cs="华文中宋"/>
          <w:color w:val="auto"/>
          <w:sz w:val="21"/>
          <w:szCs w:val="21"/>
          <w:highlight w:val="none"/>
        </w:rPr>
        <w:t>.1条规定以书面形式</w:t>
      </w:r>
      <w:r>
        <w:rPr>
          <w:rFonts w:hint="eastAsia" w:ascii="华文中宋" w:hAnsi="华文中宋" w:eastAsia="华文中宋" w:cs="华文中宋"/>
          <w:color w:val="000000"/>
          <w:sz w:val="21"/>
          <w:szCs w:val="21"/>
          <w:highlight w:val="none"/>
          <w:lang w:eastAsia="zh-CN"/>
        </w:rPr>
        <w:t>追究</w:t>
      </w:r>
      <w:r>
        <w:rPr>
          <w:rFonts w:hint="eastAsia" w:ascii="华文中宋" w:hAnsi="华文中宋" w:eastAsia="华文中宋" w:cs="华文中宋"/>
          <w:color w:val="auto"/>
          <w:sz w:val="21"/>
          <w:szCs w:val="21"/>
          <w:highlight w:val="none"/>
        </w:rPr>
        <w:t>乙方</w:t>
      </w:r>
      <w:r>
        <w:rPr>
          <w:rFonts w:hint="eastAsia" w:ascii="华文中宋" w:hAnsi="华文中宋" w:eastAsia="华文中宋" w:cs="华文中宋"/>
          <w:color w:val="000000"/>
          <w:sz w:val="21"/>
          <w:szCs w:val="21"/>
          <w:highlight w:val="none"/>
          <w:lang w:eastAsia="zh-CN"/>
        </w:rPr>
        <w:t>的违约责任</w:t>
      </w:r>
      <w:r>
        <w:rPr>
          <w:rFonts w:hint="eastAsia" w:ascii="华文中宋" w:hAnsi="华文中宋" w:eastAsia="华文中宋" w:cs="华文中宋"/>
          <w:color w:val="auto"/>
          <w:sz w:val="21"/>
          <w:szCs w:val="21"/>
          <w:highlight w:val="none"/>
        </w:rPr>
        <w:t>。</w:t>
      </w:r>
    </w:p>
    <w:p w14:paraId="374425F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（5）乙方在约定的时间内未能弥补缺陷，甲方可采取必要的补救措施，但其风险和费用将由乙方承担，甲方根据合同</w:t>
      </w:r>
      <w:r>
        <w:rPr>
          <w:rFonts w:hint="eastAsia" w:ascii="华文中宋" w:hAnsi="华文中宋" w:eastAsia="华文中宋" w:cs="华文中宋"/>
          <w:color w:val="auto"/>
          <w:sz w:val="21"/>
          <w:szCs w:val="21"/>
          <w:highlight w:val="none"/>
          <w:lang w:eastAsia="zh-CN"/>
        </w:rPr>
        <w:t>约定</w:t>
      </w:r>
      <w:r>
        <w:rPr>
          <w:rFonts w:hint="eastAsia" w:ascii="华文中宋" w:hAnsi="华文中宋" w:eastAsia="华文中宋" w:cs="华文中宋"/>
          <w:color w:val="auto"/>
          <w:sz w:val="21"/>
          <w:szCs w:val="21"/>
          <w:highlight w:val="none"/>
        </w:rPr>
        <w:t>对乙方行使的其他权利不受影响。</w:t>
      </w:r>
    </w:p>
    <w:p w14:paraId="63D150D1">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000000"/>
          <w:sz w:val="21"/>
          <w:szCs w:val="21"/>
          <w:highlight w:val="none"/>
          <w:lang w:eastAsia="zh-CN"/>
        </w:rPr>
        <w:t>9</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权利瑕疵担保</w:t>
      </w:r>
    </w:p>
    <w:p w14:paraId="11B5BCA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.1 乙方保证对其出售的货物享有合法的权利。</w:t>
      </w:r>
    </w:p>
    <w:p w14:paraId="4E01B3EF">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 xml:space="preserve">.2 </w:t>
      </w:r>
      <w:r>
        <w:rPr>
          <w:rFonts w:hint="eastAsia" w:ascii="华文中宋" w:hAnsi="华文中宋" w:eastAsia="华文中宋" w:cs="华文中宋"/>
          <w:sz w:val="21"/>
          <w:szCs w:val="21"/>
        </w:rPr>
        <w:t>乙方保证在交付的货物上不存在抵押权等担保物权。</w:t>
      </w:r>
    </w:p>
    <w:p w14:paraId="315DC03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000000"/>
          <w:sz w:val="21"/>
          <w:szCs w:val="21"/>
          <w:highlight w:val="none"/>
        </w:rPr>
      </w:pPr>
      <w:r>
        <w:rPr>
          <w:rFonts w:hint="eastAsia" w:ascii="华文中宋" w:hAnsi="华文中宋" w:eastAsia="华文中宋" w:cs="华文中宋"/>
          <w:color w:val="000000"/>
          <w:sz w:val="21"/>
          <w:szCs w:val="21"/>
          <w:highlight w:val="none"/>
          <w:lang w:eastAsia="zh-CN"/>
        </w:rPr>
        <w:t>9</w:t>
      </w:r>
      <w:r>
        <w:rPr>
          <w:rFonts w:hint="eastAsia" w:ascii="华文中宋" w:hAnsi="华文中宋" w:eastAsia="华文中宋" w:cs="华文中宋"/>
          <w:color w:val="000000"/>
          <w:sz w:val="21"/>
          <w:szCs w:val="21"/>
          <w:highlight w:val="none"/>
        </w:rPr>
        <w:t>.3 如甲方使用</w:t>
      </w:r>
      <w:r>
        <w:rPr>
          <w:rFonts w:hint="eastAsia" w:ascii="华文中宋" w:hAnsi="华文中宋" w:eastAsia="华文中宋" w:cs="华文中宋"/>
          <w:color w:val="000000"/>
          <w:sz w:val="21"/>
          <w:szCs w:val="21"/>
          <w:highlight w:val="none"/>
          <w:lang w:val="en-US" w:eastAsia="zh-CN"/>
        </w:rPr>
        <w:t>上述</w:t>
      </w:r>
      <w:r>
        <w:rPr>
          <w:rFonts w:hint="eastAsia" w:ascii="华文中宋" w:hAnsi="华文中宋" w:eastAsia="华文中宋" w:cs="华文中宋"/>
          <w:color w:val="000000"/>
          <w:sz w:val="21"/>
          <w:szCs w:val="21"/>
          <w:highlight w:val="none"/>
        </w:rPr>
        <w:t>货物构成</w:t>
      </w:r>
      <w:r>
        <w:rPr>
          <w:rFonts w:hint="eastAsia" w:ascii="华文中宋" w:hAnsi="华文中宋" w:eastAsia="华文中宋" w:cs="华文中宋"/>
          <w:color w:val="000000"/>
          <w:sz w:val="21"/>
          <w:szCs w:val="21"/>
          <w:highlight w:val="none"/>
          <w:lang w:val="en-US" w:eastAsia="zh-CN"/>
        </w:rPr>
        <w:t>对第三人</w:t>
      </w:r>
      <w:r>
        <w:rPr>
          <w:rFonts w:hint="eastAsia" w:ascii="华文中宋" w:hAnsi="华文中宋" w:eastAsia="华文中宋" w:cs="华文中宋"/>
          <w:color w:val="000000"/>
          <w:sz w:val="21"/>
          <w:szCs w:val="21"/>
          <w:highlight w:val="none"/>
        </w:rPr>
        <w:t>侵权的，则由乙方承担全部责任。</w:t>
      </w:r>
    </w:p>
    <w:p w14:paraId="584F470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000000"/>
          <w:sz w:val="21"/>
          <w:szCs w:val="21"/>
          <w:highlight w:val="none"/>
        </w:rPr>
      </w:pPr>
      <w:r>
        <w:rPr>
          <w:rFonts w:hint="eastAsia" w:ascii="华文中宋" w:hAnsi="华文中宋" w:eastAsia="华文中宋" w:cs="华文中宋"/>
          <w:b/>
          <w:bCs/>
          <w:color w:val="000000"/>
          <w:sz w:val="21"/>
          <w:szCs w:val="21"/>
          <w:highlight w:val="none"/>
        </w:rPr>
        <w:t>1</w:t>
      </w:r>
      <w:r>
        <w:rPr>
          <w:rFonts w:hint="eastAsia" w:ascii="华文中宋" w:hAnsi="华文中宋" w:eastAsia="华文中宋" w:cs="华文中宋"/>
          <w:b/>
          <w:bCs/>
          <w:color w:val="000000"/>
          <w:sz w:val="21"/>
          <w:szCs w:val="21"/>
          <w:highlight w:val="none"/>
          <w:lang w:eastAsia="zh-CN"/>
        </w:rPr>
        <w:t>0</w:t>
      </w:r>
      <w:r>
        <w:rPr>
          <w:rFonts w:hint="eastAsia" w:ascii="华文中宋" w:hAnsi="华文中宋" w:eastAsia="华文中宋" w:cs="华文中宋"/>
          <w:b/>
          <w:bCs/>
          <w:color w:val="000000"/>
          <w:sz w:val="21"/>
          <w:szCs w:val="21"/>
          <w:highlight w:val="none"/>
        </w:rPr>
        <w:t>.</w:t>
      </w:r>
      <w:r>
        <w:rPr>
          <w:rFonts w:hint="eastAsia" w:ascii="华文中宋" w:hAnsi="华文中宋" w:eastAsia="华文中宋" w:cs="华文中宋"/>
          <w:b/>
          <w:bCs/>
          <w:color w:val="000000"/>
          <w:sz w:val="21"/>
          <w:szCs w:val="21"/>
          <w:highlight w:val="none"/>
          <w:lang w:val="en-US" w:eastAsia="zh-CN"/>
        </w:rPr>
        <w:t xml:space="preserve"> </w:t>
      </w:r>
      <w:r>
        <w:rPr>
          <w:rFonts w:hint="eastAsia" w:ascii="华文中宋" w:hAnsi="华文中宋" w:eastAsia="华文中宋" w:cs="华文中宋"/>
          <w:b/>
          <w:bCs/>
          <w:color w:val="000000"/>
          <w:sz w:val="21"/>
          <w:szCs w:val="21"/>
          <w:highlight w:val="none"/>
        </w:rPr>
        <w:t>知识产权保护</w:t>
      </w:r>
    </w:p>
    <w:p w14:paraId="02F07C5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000000"/>
          <w:sz w:val="21"/>
          <w:szCs w:val="21"/>
          <w:highlight w:val="none"/>
        </w:rPr>
        <w:t>1</w:t>
      </w:r>
      <w:r>
        <w:rPr>
          <w:rFonts w:hint="eastAsia" w:ascii="华文中宋" w:hAnsi="华文中宋" w:eastAsia="华文中宋" w:cs="华文中宋"/>
          <w:color w:val="000000"/>
          <w:sz w:val="21"/>
          <w:szCs w:val="21"/>
          <w:highlight w:val="none"/>
          <w:lang w:eastAsia="zh-CN"/>
        </w:rPr>
        <w:t>0</w:t>
      </w:r>
      <w:r>
        <w:rPr>
          <w:rFonts w:hint="eastAsia" w:ascii="华文中宋" w:hAnsi="华文中宋" w:eastAsia="华文中宋" w:cs="华文中宋"/>
          <w:color w:val="000000"/>
          <w:sz w:val="21"/>
          <w:szCs w:val="21"/>
          <w:highlight w:val="none"/>
        </w:rPr>
        <w:t>.1 乙方对其所销售的货物应当享有知识产权或经权利人合法授权，保证没有侵犯任</w:t>
      </w:r>
      <w:r>
        <w:rPr>
          <w:rFonts w:hint="eastAsia" w:ascii="华文中宋" w:hAnsi="华文中宋" w:eastAsia="华文中宋" w:cs="华文中宋"/>
          <w:color w:val="auto"/>
          <w:sz w:val="21"/>
          <w:szCs w:val="21"/>
          <w:highlight w:val="none"/>
        </w:rPr>
        <w:t>何第三人的知识产权等权利。</w:t>
      </w:r>
      <w:bookmarkStart w:id="91" w:name="_Hlk163047038"/>
      <w:r>
        <w:rPr>
          <w:rFonts w:hint="eastAsia" w:ascii="华文中宋" w:hAnsi="华文中宋" w:eastAsia="华文中宋" w:cs="华文中宋"/>
          <w:sz w:val="21"/>
          <w:szCs w:val="21"/>
        </w:rPr>
        <w:t>因违反前述约定对第三人构成侵权的，应当由乙方向第三人承担法律责任；甲方依法向第三人赔偿后，有权向乙方追偿。甲方有其他损失的，乙方应当赔偿</w:t>
      </w:r>
      <w:bookmarkEnd w:id="91"/>
      <w:r>
        <w:rPr>
          <w:rFonts w:hint="eastAsia" w:ascii="华文中宋" w:hAnsi="华文中宋" w:eastAsia="华文中宋" w:cs="华文中宋"/>
          <w:color w:val="auto"/>
          <w:sz w:val="21"/>
          <w:szCs w:val="21"/>
          <w:highlight w:val="none"/>
        </w:rPr>
        <w:t>。</w:t>
      </w:r>
    </w:p>
    <w:p w14:paraId="79E886A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1</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保密义务</w:t>
      </w:r>
    </w:p>
    <w:p w14:paraId="2839BC2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11.1 </w:t>
      </w:r>
      <w:r>
        <w:rPr>
          <w:rFonts w:hint="eastAsia" w:ascii="华文中宋" w:hAnsi="华文中宋" w:eastAsia="华文中宋" w:cs="华文中宋"/>
          <w:sz w:val="21"/>
          <w:szCs w:val="21"/>
        </w:rPr>
        <w:t>甲、乙双方</w:t>
      </w:r>
      <w:r>
        <w:rPr>
          <w:rFonts w:hint="eastAsia" w:ascii="华文中宋" w:hAnsi="华文中宋" w:eastAsia="华文中宋" w:cs="华文中宋"/>
          <w:sz w:val="21"/>
          <w:szCs w:val="21"/>
          <w:lang w:eastAsia="zh-CN"/>
        </w:rPr>
        <w:t>对</w:t>
      </w:r>
      <w:r>
        <w:rPr>
          <w:rFonts w:hint="eastAsia" w:ascii="华文中宋" w:hAnsi="华文中宋" w:eastAsia="华文中宋" w:cs="华文中宋"/>
          <w:sz w:val="21"/>
          <w:szCs w:val="21"/>
        </w:rPr>
        <w:t>采购和合同履行过程中所获悉的</w:t>
      </w:r>
      <w:r>
        <w:rPr>
          <w:rFonts w:hint="eastAsia" w:ascii="华文中宋" w:hAnsi="华文中宋" w:eastAsia="华文中宋" w:cs="华文中宋"/>
          <w:sz w:val="21"/>
          <w:szCs w:val="21"/>
          <w:lang w:eastAsia="zh-CN"/>
        </w:rPr>
        <w:t>国家秘密、工作秘密、</w:t>
      </w:r>
      <w:r>
        <w:rPr>
          <w:rFonts w:hint="eastAsia" w:ascii="华文中宋" w:hAnsi="华文中宋" w:eastAsia="华文中宋" w:cs="华文中宋"/>
          <w:sz w:val="21"/>
          <w:szCs w:val="21"/>
        </w:rPr>
        <w:t>商业秘密或者其他应当保密的信息，均有保密义务</w:t>
      </w:r>
      <w:r>
        <w:rPr>
          <w:rFonts w:hint="eastAsia" w:ascii="华文中宋" w:hAnsi="华文中宋" w:eastAsia="华文中宋" w:cs="华文中宋"/>
          <w:sz w:val="21"/>
          <w:szCs w:val="21"/>
          <w:lang w:eastAsia="zh-CN"/>
        </w:rPr>
        <w:t>且不受合同有效期所限，直至该信息成为公开信息</w:t>
      </w:r>
      <w:r>
        <w:rPr>
          <w:rFonts w:hint="eastAsia" w:ascii="华文中宋" w:hAnsi="华文中宋" w:eastAsia="华文中宋" w:cs="华文中宋"/>
          <w:sz w:val="21"/>
          <w:szCs w:val="21"/>
        </w:rPr>
        <w:t>。泄露、不正当地使用</w:t>
      </w:r>
      <w:r>
        <w:rPr>
          <w:rFonts w:hint="eastAsia" w:ascii="华文中宋" w:hAnsi="华文中宋" w:eastAsia="华文中宋" w:cs="华文中宋"/>
          <w:sz w:val="21"/>
          <w:szCs w:val="21"/>
          <w:lang w:eastAsia="zh-CN"/>
        </w:rPr>
        <w:t>国家秘密、工作秘密、</w:t>
      </w:r>
      <w:r>
        <w:rPr>
          <w:rFonts w:hint="eastAsia" w:ascii="华文中宋" w:hAnsi="华文中宋" w:eastAsia="华文中宋" w:cs="华文中宋"/>
          <w:sz w:val="21"/>
          <w:szCs w:val="21"/>
        </w:rPr>
        <w:t>商业秘密或者</w:t>
      </w:r>
      <w:r>
        <w:rPr>
          <w:rFonts w:hint="eastAsia" w:ascii="华文中宋" w:hAnsi="华文中宋" w:eastAsia="华文中宋" w:cs="华文中宋"/>
          <w:sz w:val="21"/>
          <w:szCs w:val="21"/>
          <w:lang w:eastAsia="zh-CN"/>
        </w:rPr>
        <w:t>其他应当保密的</w:t>
      </w:r>
      <w:r>
        <w:rPr>
          <w:rFonts w:hint="eastAsia" w:ascii="华文中宋" w:hAnsi="华文中宋" w:eastAsia="华文中宋" w:cs="华文中宋"/>
          <w:sz w:val="21"/>
          <w:szCs w:val="21"/>
        </w:rPr>
        <w:t>信息，应当承担</w:t>
      </w:r>
      <w:r>
        <w:rPr>
          <w:rFonts w:hint="eastAsia" w:ascii="华文中宋" w:hAnsi="华文中宋" w:eastAsia="华文中宋" w:cs="华文中宋"/>
          <w:sz w:val="21"/>
          <w:szCs w:val="21"/>
          <w:lang w:eastAsia="zh-CN"/>
        </w:rPr>
        <w:t>相应</w:t>
      </w:r>
      <w:r>
        <w:rPr>
          <w:rFonts w:hint="eastAsia" w:ascii="华文中宋" w:hAnsi="华文中宋" w:eastAsia="华文中宋" w:cs="华文中宋"/>
          <w:sz w:val="21"/>
          <w:szCs w:val="21"/>
        </w:rPr>
        <w:t>责任。其他应当保密的信息由双方在</w:t>
      </w:r>
      <w:r>
        <w:rPr>
          <w:rFonts w:hint="eastAsia" w:ascii="华文中宋" w:hAnsi="华文中宋" w:eastAsia="华文中宋" w:cs="华文中宋"/>
          <w:b/>
          <w:bCs/>
          <w:sz w:val="21"/>
          <w:szCs w:val="21"/>
        </w:rPr>
        <w:t>【政府采购合同专用条款】</w:t>
      </w:r>
      <w:r>
        <w:rPr>
          <w:rFonts w:hint="eastAsia" w:ascii="华文中宋" w:hAnsi="华文中宋" w:eastAsia="华文中宋" w:cs="华文中宋"/>
          <w:sz w:val="21"/>
          <w:szCs w:val="21"/>
        </w:rPr>
        <w:t>中约定。</w:t>
      </w:r>
    </w:p>
    <w:p w14:paraId="54A6A7D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2</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合同价款支付</w:t>
      </w:r>
    </w:p>
    <w:p w14:paraId="5ECE0A4D">
      <w:pPr>
        <w:pageBreakBefore w:val="0"/>
        <w:kinsoku/>
        <w:wordWrap/>
        <w:overflowPunct/>
        <w:topLinePunct w:val="0"/>
        <w:autoSpaceDE/>
        <w:autoSpaceDN/>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2</w:t>
      </w:r>
      <w:r>
        <w:rPr>
          <w:rFonts w:hint="eastAsia"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lang w:eastAsia="zh-CN"/>
        </w:rPr>
        <w:t>合同价款支付</w:t>
      </w:r>
      <w:r>
        <w:rPr>
          <w:rFonts w:hint="eastAsia" w:ascii="华文中宋" w:hAnsi="华文中宋" w:eastAsia="华文中宋" w:cs="华文中宋"/>
          <w:color w:val="auto"/>
          <w:sz w:val="21"/>
          <w:szCs w:val="21"/>
          <w:highlight w:val="none"/>
        </w:rPr>
        <w:t>按照国库集中支付</w:t>
      </w:r>
      <w:r>
        <w:rPr>
          <w:rFonts w:hint="eastAsia" w:ascii="华文中宋" w:hAnsi="华文中宋" w:eastAsia="华文中宋" w:cs="华文中宋"/>
          <w:color w:val="auto"/>
          <w:sz w:val="21"/>
          <w:szCs w:val="21"/>
          <w:highlight w:val="none"/>
          <w:lang w:eastAsia="zh-CN"/>
        </w:rPr>
        <w:t>制度及财政管理相关</w:t>
      </w:r>
      <w:r>
        <w:rPr>
          <w:rFonts w:hint="eastAsia" w:ascii="华文中宋" w:hAnsi="华文中宋" w:eastAsia="华文中宋" w:cs="华文中宋"/>
          <w:color w:val="auto"/>
          <w:sz w:val="21"/>
          <w:szCs w:val="21"/>
          <w:highlight w:val="none"/>
        </w:rPr>
        <w:t>规定执行。</w:t>
      </w:r>
    </w:p>
    <w:p w14:paraId="465B9850">
      <w:pPr>
        <w:pageBreakBefore w:val="0"/>
        <w:kinsoku/>
        <w:wordWrap/>
        <w:overflowPunct/>
        <w:topLinePunct w:val="0"/>
        <w:bidi w:val="0"/>
        <w:spacing w:after="0" w:line="480" w:lineRule="exact"/>
        <w:ind w:left="0" w:leftChars="0" w:right="0" w:rightChars="0" w:firstLine="420" w:firstLineChars="200"/>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b w:val="0"/>
          <w:bCs w:val="0"/>
          <w:color w:val="auto"/>
          <w:sz w:val="21"/>
          <w:szCs w:val="21"/>
          <w:highlight w:val="none"/>
          <w:lang w:val="en-US" w:eastAsia="zh-CN"/>
        </w:rPr>
        <w:t xml:space="preserve">12.2 </w:t>
      </w:r>
      <w:r>
        <w:rPr>
          <w:rFonts w:hint="eastAsia" w:ascii="华文中宋" w:hAnsi="华文中宋" w:eastAsia="华文中宋" w:cs="华文中宋"/>
          <w:b w:val="0"/>
          <w:bCs w:val="0"/>
          <w:color w:val="auto"/>
          <w:kern w:val="2"/>
          <w:sz w:val="21"/>
          <w:szCs w:val="21"/>
          <w:highlight w:val="none"/>
        </w:rPr>
        <w:t>对于满足合同约定支付条件的，</w:t>
      </w:r>
      <w:r>
        <w:rPr>
          <w:rFonts w:hint="eastAsia" w:ascii="华文中宋" w:hAnsi="华文中宋" w:eastAsia="华文中宋" w:cs="华文中宋"/>
          <w:b w:val="0"/>
          <w:bCs w:val="0"/>
          <w:color w:val="auto"/>
          <w:kern w:val="2"/>
          <w:sz w:val="21"/>
          <w:szCs w:val="21"/>
          <w:highlight w:val="none"/>
          <w:lang w:val="en-US" w:eastAsia="zh-CN"/>
        </w:rPr>
        <w:t>甲方</w:t>
      </w:r>
      <w:r>
        <w:rPr>
          <w:rFonts w:hint="eastAsia" w:ascii="华文中宋" w:hAnsi="华文中宋" w:eastAsia="华文中宋" w:cs="华文中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华文中宋" w:hAnsi="华文中宋" w:eastAsia="华文中宋" w:cs="华文中宋"/>
          <w:b w:val="0"/>
          <w:bCs w:val="0"/>
          <w:color w:val="auto"/>
          <w:kern w:val="2"/>
          <w:sz w:val="21"/>
          <w:szCs w:val="21"/>
          <w:highlight w:val="none"/>
        </w:rPr>
        <w:t>将资金支付到合同约定的</w:t>
      </w:r>
      <w:r>
        <w:rPr>
          <w:rFonts w:hint="eastAsia" w:ascii="华文中宋" w:hAnsi="华文中宋" w:eastAsia="华文中宋" w:cs="华文中宋"/>
          <w:b w:val="0"/>
          <w:bCs w:val="0"/>
          <w:color w:val="auto"/>
          <w:kern w:val="2"/>
          <w:sz w:val="21"/>
          <w:szCs w:val="21"/>
          <w:highlight w:val="none"/>
          <w:lang w:eastAsia="zh-CN"/>
        </w:rPr>
        <w:t>乙方</w:t>
      </w:r>
      <w:r>
        <w:rPr>
          <w:rFonts w:hint="eastAsia" w:ascii="华文中宋" w:hAnsi="华文中宋" w:eastAsia="华文中宋" w:cs="华文中宋"/>
          <w:b w:val="0"/>
          <w:bCs w:val="0"/>
          <w:color w:val="auto"/>
          <w:kern w:val="2"/>
          <w:sz w:val="21"/>
          <w:szCs w:val="21"/>
          <w:highlight w:val="none"/>
        </w:rPr>
        <w:t>账户，不得以机构变动、人员更替、政策调整等为由迟延付款，不得将采购文件和合同中未规定的义务作为向</w:t>
      </w:r>
      <w:r>
        <w:rPr>
          <w:rFonts w:hint="eastAsia" w:ascii="华文中宋" w:hAnsi="华文中宋" w:eastAsia="华文中宋" w:cs="华文中宋"/>
          <w:b w:val="0"/>
          <w:bCs w:val="0"/>
          <w:color w:val="auto"/>
          <w:kern w:val="2"/>
          <w:sz w:val="21"/>
          <w:szCs w:val="21"/>
          <w:highlight w:val="none"/>
          <w:lang w:val="en-US" w:eastAsia="zh-CN"/>
        </w:rPr>
        <w:t>乙方</w:t>
      </w:r>
      <w:r>
        <w:rPr>
          <w:rFonts w:hint="eastAsia" w:ascii="华文中宋" w:hAnsi="华文中宋" w:eastAsia="华文中宋" w:cs="华文中宋"/>
          <w:b w:val="0"/>
          <w:bCs w:val="0"/>
          <w:color w:val="auto"/>
          <w:kern w:val="2"/>
          <w:sz w:val="21"/>
          <w:szCs w:val="21"/>
          <w:highlight w:val="none"/>
        </w:rPr>
        <w:t>付款的条件。具体合同价款支付时间在【</w:t>
      </w:r>
      <w:r>
        <w:rPr>
          <w:rFonts w:hint="eastAsia" w:ascii="华文中宋" w:hAnsi="华文中宋" w:eastAsia="华文中宋" w:cs="华文中宋"/>
          <w:b/>
          <w:bCs/>
          <w:color w:val="auto"/>
          <w:kern w:val="2"/>
          <w:sz w:val="21"/>
          <w:szCs w:val="21"/>
          <w:highlight w:val="none"/>
        </w:rPr>
        <w:t>政府采购合同专用条款</w:t>
      </w:r>
      <w:r>
        <w:rPr>
          <w:rFonts w:hint="eastAsia" w:ascii="华文中宋" w:hAnsi="华文中宋" w:eastAsia="华文中宋" w:cs="华文中宋"/>
          <w:b w:val="0"/>
          <w:bCs w:val="0"/>
          <w:color w:val="auto"/>
          <w:kern w:val="2"/>
          <w:sz w:val="21"/>
          <w:szCs w:val="21"/>
          <w:highlight w:val="none"/>
        </w:rPr>
        <w:t>】中</w:t>
      </w:r>
      <w:r>
        <w:rPr>
          <w:rFonts w:hint="eastAsia" w:ascii="华文中宋" w:hAnsi="华文中宋" w:eastAsia="华文中宋" w:cs="华文中宋"/>
          <w:b w:val="0"/>
          <w:bCs w:val="0"/>
          <w:color w:val="auto"/>
          <w:kern w:val="2"/>
          <w:sz w:val="21"/>
          <w:szCs w:val="21"/>
          <w:highlight w:val="none"/>
          <w:lang w:eastAsia="zh-CN"/>
        </w:rPr>
        <w:t>约</w:t>
      </w:r>
      <w:r>
        <w:rPr>
          <w:rFonts w:hint="eastAsia" w:ascii="华文中宋" w:hAnsi="华文中宋" w:eastAsia="华文中宋" w:cs="华文中宋"/>
          <w:b w:val="0"/>
          <w:bCs w:val="0"/>
          <w:color w:val="auto"/>
          <w:kern w:val="2"/>
          <w:sz w:val="21"/>
          <w:szCs w:val="21"/>
          <w:highlight w:val="none"/>
        </w:rPr>
        <w:t>定。</w:t>
      </w:r>
    </w:p>
    <w:p w14:paraId="5A7ABFB5">
      <w:pPr>
        <w:pStyle w:val="14"/>
        <w:pageBreakBefore w:val="0"/>
        <w:kinsoku/>
        <w:wordWrap/>
        <w:overflowPunct/>
        <w:topLinePunct w:val="0"/>
        <w:bidi w:val="0"/>
        <w:spacing w:after="0" w:line="480" w:lineRule="exact"/>
        <w:ind w:left="0" w:leftChars="0" w:right="0" w:rightChars="0"/>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3</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履约保证金</w:t>
      </w:r>
    </w:p>
    <w:p w14:paraId="0931B7D9">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 xml:space="preserve">.1 </w:t>
      </w:r>
      <w:r>
        <w:rPr>
          <w:rFonts w:hint="eastAsia" w:ascii="华文中宋" w:hAnsi="华文中宋" w:eastAsia="华文中宋" w:cs="华文中宋"/>
          <w:sz w:val="21"/>
          <w:szCs w:val="21"/>
        </w:rPr>
        <w:t>乙方应当以支票、汇票、本票或者金融机构、担保机构出具的保函等非现金形式提交。</w:t>
      </w:r>
    </w:p>
    <w:p w14:paraId="5FF5982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.2 如果乙方</w:t>
      </w:r>
      <w:r>
        <w:rPr>
          <w:rFonts w:hint="eastAsia" w:ascii="华文中宋" w:hAnsi="华文中宋" w:eastAsia="华文中宋" w:cs="华文中宋"/>
          <w:color w:val="auto"/>
          <w:sz w:val="21"/>
          <w:szCs w:val="21"/>
          <w:highlight w:val="none"/>
          <w:lang w:eastAsia="zh-CN"/>
        </w:rPr>
        <w:t>出现</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b w:val="0"/>
          <w:bCs w:val="0"/>
          <w:sz w:val="21"/>
          <w:szCs w:val="21"/>
          <w:highlight w:val="none"/>
          <w:lang w:eastAsia="zh-CN"/>
        </w:rPr>
        <w:t>约定</w:t>
      </w:r>
      <w:r>
        <w:rPr>
          <w:rFonts w:hint="eastAsia" w:ascii="华文中宋" w:hAnsi="华文中宋" w:eastAsia="华文中宋" w:cs="华文中宋"/>
          <w:b w:val="0"/>
          <w:bCs w:val="0"/>
          <w:sz w:val="21"/>
          <w:szCs w:val="21"/>
          <w:lang w:eastAsia="zh-CN"/>
        </w:rPr>
        <w:t>情形的</w:t>
      </w:r>
      <w:r>
        <w:rPr>
          <w:rFonts w:hint="eastAsia" w:ascii="华文中宋" w:hAnsi="华文中宋" w:eastAsia="华文中宋" w:cs="华文中宋"/>
          <w:color w:val="auto"/>
          <w:sz w:val="21"/>
          <w:szCs w:val="21"/>
          <w:highlight w:val="none"/>
        </w:rPr>
        <w:t>，履约保证金不予退还；如果乙方未能按合同约定全面履行义务，甲方有权从履约保证金中取得补偿或赔偿，</w:t>
      </w:r>
      <w:r>
        <w:rPr>
          <w:rFonts w:hint="eastAsia" w:ascii="华文中宋" w:hAnsi="华文中宋" w:eastAsia="华文中宋" w:cs="华文中宋"/>
          <w:color w:val="auto"/>
          <w:sz w:val="21"/>
          <w:szCs w:val="21"/>
          <w:highlight w:val="none"/>
          <w:lang w:eastAsia="zh-CN"/>
        </w:rPr>
        <w:t>且</w:t>
      </w:r>
      <w:r>
        <w:rPr>
          <w:rFonts w:hint="eastAsia" w:ascii="华文中宋" w:hAnsi="华文中宋" w:eastAsia="华文中宋" w:cs="华文中宋"/>
          <w:color w:val="auto"/>
          <w:sz w:val="21"/>
          <w:szCs w:val="21"/>
          <w:highlight w:val="none"/>
        </w:rPr>
        <w:t>不影响甲方要求乙方承担合同约定的超过履约保证金的违约责任的权利。</w:t>
      </w:r>
    </w:p>
    <w:p w14:paraId="708C34DC">
      <w:pPr>
        <w:pageBreakBefore w:val="0"/>
        <w:kinsoku/>
        <w:wordWrap/>
        <w:overflowPunct/>
        <w:topLinePunct w:val="0"/>
        <w:bidi w:val="0"/>
        <w:spacing w:line="480" w:lineRule="exact"/>
        <w:ind w:left="0" w:leftChars="0" w:right="0" w:rightChars="0" w:firstLine="42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3</w:t>
      </w:r>
      <w:r>
        <w:rPr>
          <w:rFonts w:hint="eastAsia" w:ascii="华文中宋" w:hAnsi="华文中宋" w:eastAsia="华文中宋" w:cs="华文中宋"/>
          <w:color w:val="auto"/>
          <w:sz w:val="21"/>
          <w:szCs w:val="21"/>
          <w:highlight w:val="none"/>
        </w:rPr>
        <w:t>.3 甲方在项目通过验收后按照</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规定的时间内将履约保证金退还乙方；逾期退还的，乙方可要求甲方支付违约金，违约金按照</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规定支付。</w:t>
      </w:r>
    </w:p>
    <w:p w14:paraId="10F6D5E1">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4</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售后服务</w:t>
      </w:r>
    </w:p>
    <w:p w14:paraId="7D54E83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4</w:t>
      </w:r>
      <w:r>
        <w:rPr>
          <w:rFonts w:hint="eastAsia" w:ascii="华文中宋" w:hAnsi="华文中宋" w:eastAsia="华文中宋" w:cs="华文中宋"/>
          <w:color w:val="auto"/>
          <w:sz w:val="21"/>
          <w:szCs w:val="21"/>
          <w:highlight w:val="none"/>
        </w:rPr>
        <w:t>.1 除项目不涉及或采购活动中明确约定无须承担外，乙方还应提供下列服务：</w:t>
      </w:r>
    </w:p>
    <w:p w14:paraId="123F0A8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（1）货物的现场移动、安装、调试、启动监督及技术支持；</w:t>
      </w:r>
    </w:p>
    <w:p w14:paraId="442D82C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（2）提供货物组装和维修所需的专用工具和辅助材料；</w:t>
      </w:r>
    </w:p>
    <w:p w14:paraId="122F065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（3）在</w:t>
      </w:r>
      <w:r>
        <w:rPr>
          <w:rFonts w:hint="eastAsia" w:ascii="华文中宋" w:hAnsi="华文中宋" w:eastAsia="华文中宋" w:cs="华文中宋"/>
          <w:b/>
          <w:bCs/>
          <w:sz w:val="21"/>
          <w:szCs w:val="21"/>
          <w:highlight w:val="none"/>
        </w:rPr>
        <w:t>【政府采购合同专用条款】</w:t>
      </w:r>
      <w:r>
        <w:rPr>
          <w:rFonts w:hint="eastAsia" w:ascii="华文中宋" w:hAnsi="华文中宋" w:eastAsia="华文中宋" w:cs="华文中宋"/>
          <w:color w:val="auto"/>
          <w:sz w:val="21"/>
          <w:szCs w:val="21"/>
          <w:highlight w:val="none"/>
          <w:lang w:eastAsia="zh-CN"/>
        </w:rPr>
        <w:t>约定</w:t>
      </w:r>
      <w:r>
        <w:rPr>
          <w:rFonts w:hint="eastAsia" w:ascii="华文中宋" w:hAnsi="华文中宋" w:eastAsia="华文中宋" w:cs="华文中宋"/>
          <w:color w:val="auto"/>
          <w:sz w:val="21"/>
          <w:szCs w:val="21"/>
          <w:highlight w:val="none"/>
        </w:rPr>
        <w:t>的期限内对所有的货物实施运行监督、维修，但前提条件是该服务并不能免除乙方在质量保证期内所承担的义务；</w:t>
      </w:r>
    </w:p>
    <w:p w14:paraId="327C910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（4）在制造商</w:t>
      </w:r>
      <w:r>
        <w:rPr>
          <w:rFonts w:hint="eastAsia" w:ascii="华文中宋" w:hAnsi="华文中宋" w:eastAsia="华文中宋" w:cs="华文中宋"/>
          <w:color w:val="auto"/>
          <w:sz w:val="21"/>
          <w:szCs w:val="21"/>
          <w:highlight w:val="none"/>
          <w:lang w:eastAsia="zh-CN"/>
        </w:rPr>
        <w:t>所在地</w:t>
      </w:r>
      <w:r>
        <w:rPr>
          <w:rFonts w:hint="eastAsia" w:ascii="华文中宋" w:hAnsi="华文中宋" w:eastAsia="华文中宋" w:cs="华文中宋"/>
          <w:color w:val="auto"/>
          <w:sz w:val="21"/>
          <w:szCs w:val="21"/>
          <w:highlight w:val="none"/>
        </w:rPr>
        <w:t>或</w:t>
      </w:r>
      <w:r>
        <w:rPr>
          <w:rFonts w:hint="eastAsia" w:ascii="华文中宋" w:hAnsi="华文中宋" w:eastAsia="华文中宋" w:cs="华文中宋"/>
          <w:color w:val="auto"/>
          <w:sz w:val="21"/>
          <w:szCs w:val="21"/>
          <w:highlight w:val="none"/>
          <w:lang w:eastAsia="zh-CN"/>
        </w:rPr>
        <w:t>指定</w:t>
      </w:r>
      <w:r>
        <w:rPr>
          <w:rFonts w:hint="eastAsia" w:ascii="华文中宋" w:hAnsi="华文中宋" w:eastAsia="华文中宋" w:cs="华文中宋"/>
          <w:color w:val="auto"/>
          <w:sz w:val="21"/>
          <w:szCs w:val="21"/>
          <w:highlight w:val="none"/>
        </w:rPr>
        <w:t>现场就货物的安装、启动、运营、维护</w:t>
      </w:r>
      <w:r>
        <w:rPr>
          <w:rFonts w:hint="eastAsia" w:ascii="华文中宋" w:hAnsi="华文中宋" w:eastAsia="华文中宋" w:cs="华文中宋"/>
          <w:color w:val="auto"/>
          <w:sz w:val="21"/>
          <w:szCs w:val="21"/>
          <w:highlight w:val="none"/>
          <w:lang w:eastAsia="zh-CN"/>
        </w:rPr>
        <w:t>、废弃处置等</w:t>
      </w:r>
      <w:r>
        <w:rPr>
          <w:rFonts w:hint="eastAsia" w:ascii="华文中宋" w:hAnsi="华文中宋" w:eastAsia="华文中宋" w:cs="华文中宋"/>
          <w:color w:val="auto"/>
          <w:sz w:val="21"/>
          <w:szCs w:val="21"/>
          <w:highlight w:val="none"/>
        </w:rPr>
        <w:t>对甲方操作人员进行培训</w:t>
      </w:r>
      <w:r>
        <w:rPr>
          <w:rFonts w:hint="eastAsia" w:ascii="华文中宋" w:hAnsi="华文中宋" w:eastAsia="华文中宋" w:cs="华文中宋"/>
          <w:sz w:val="21"/>
          <w:szCs w:val="21"/>
          <w:lang w:eastAsia="zh-CN"/>
        </w:rPr>
        <w:t>；</w:t>
      </w:r>
    </w:p>
    <w:p w14:paraId="3999E84E">
      <w:pPr>
        <w:pStyle w:val="66"/>
        <w:pageBreakBefore w:val="0"/>
        <w:kinsoku/>
        <w:wordWrap/>
        <w:overflowPunct/>
        <w:topLinePunct w:val="0"/>
        <w:bidi w:val="0"/>
        <w:spacing w:line="480" w:lineRule="exact"/>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（5）依照法律、行政法规的规定或者按照</w:t>
      </w:r>
      <w:r>
        <w:rPr>
          <w:rFonts w:hint="eastAsia" w:ascii="华文中宋" w:hAnsi="华文中宋" w:eastAsia="华文中宋" w:cs="华文中宋"/>
          <w:b/>
          <w:bCs/>
          <w:sz w:val="21"/>
          <w:szCs w:val="21"/>
        </w:rPr>
        <w:t>【政府采购合同专用条款】</w:t>
      </w:r>
      <w:r>
        <w:rPr>
          <w:rFonts w:hint="eastAsia" w:ascii="华文中宋" w:hAnsi="华文中宋" w:eastAsia="华文中宋" w:cs="华文中宋"/>
          <w:sz w:val="21"/>
          <w:szCs w:val="21"/>
        </w:rPr>
        <w:t>约定，货物在有效使用年限届满后应予回收的，乙方负有自行或者委托第三人对货物予以回收的义务；</w:t>
      </w:r>
    </w:p>
    <w:p w14:paraId="21B3F17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规定由乙方提供的其他服务。</w:t>
      </w:r>
    </w:p>
    <w:p w14:paraId="3A97BF61">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.2 乙方提供的</w:t>
      </w:r>
      <w:r>
        <w:rPr>
          <w:rFonts w:hint="eastAsia" w:ascii="华文中宋" w:hAnsi="华文中宋" w:eastAsia="华文中宋" w:cs="华文中宋"/>
          <w:color w:val="auto"/>
          <w:sz w:val="21"/>
          <w:szCs w:val="21"/>
          <w:highlight w:val="none"/>
          <w:lang w:eastAsia="zh-CN"/>
        </w:rPr>
        <w:t>售后</w:t>
      </w:r>
      <w:r>
        <w:rPr>
          <w:rFonts w:hint="eastAsia" w:ascii="华文中宋" w:hAnsi="华文中宋" w:eastAsia="华文中宋" w:cs="华文中宋"/>
          <w:color w:val="auto"/>
          <w:sz w:val="21"/>
          <w:szCs w:val="21"/>
          <w:highlight w:val="none"/>
        </w:rPr>
        <w:t>服务的费用</w:t>
      </w:r>
      <w:r>
        <w:rPr>
          <w:rFonts w:hint="eastAsia" w:ascii="华文中宋" w:hAnsi="华文中宋" w:eastAsia="华文中宋" w:cs="华文中宋"/>
          <w:color w:val="auto"/>
          <w:sz w:val="21"/>
          <w:szCs w:val="21"/>
          <w:highlight w:val="none"/>
          <w:lang w:val="en-US" w:eastAsia="zh-CN"/>
        </w:rPr>
        <w:t>已</w:t>
      </w:r>
      <w:r>
        <w:rPr>
          <w:rFonts w:hint="eastAsia" w:ascii="华文中宋" w:hAnsi="华文中宋" w:eastAsia="华文中宋" w:cs="华文中宋"/>
          <w:color w:val="auto"/>
          <w:sz w:val="21"/>
          <w:szCs w:val="21"/>
          <w:highlight w:val="none"/>
        </w:rPr>
        <w:t>包含在合同价款中，甲方不再另行支付。</w:t>
      </w:r>
    </w:p>
    <w:p w14:paraId="210B97BA">
      <w:pPr>
        <w:pageBreakBefore w:val="0"/>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eastAsia="zh-CN"/>
        </w:rPr>
        <w:t>5</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违约责任</w:t>
      </w:r>
    </w:p>
    <w:p w14:paraId="12A136ED">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.1质量瑕疵的</w:t>
      </w:r>
      <w:r>
        <w:rPr>
          <w:rFonts w:hint="eastAsia" w:ascii="华文中宋" w:hAnsi="华文中宋" w:eastAsia="华文中宋" w:cs="华文中宋"/>
          <w:bCs/>
          <w:color w:val="auto"/>
          <w:sz w:val="21"/>
          <w:szCs w:val="21"/>
          <w:highlight w:val="none"/>
          <w:lang w:eastAsia="zh-CN"/>
        </w:rPr>
        <w:t>违约责任</w:t>
      </w:r>
    </w:p>
    <w:p w14:paraId="400290D5">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乙方</w:t>
      </w:r>
      <w:r>
        <w:rPr>
          <w:rFonts w:hint="eastAsia" w:ascii="华文中宋" w:hAnsi="华文中宋" w:eastAsia="华文中宋" w:cs="华文中宋"/>
          <w:color w:val="auto"/>
          <w:sz w:val="21"/>
          <w:szCs w:val="21"/>
          <w:highlight w:val="none"/>
          <w:lang w:eastAsia="zh-CN"/>
        </w:rPr>
        <w:t>提供</w:t>
      </w:r>
      <w:r>
        <w:rPr>
          <w:rFonts w:hint="eastAsia" w:ascii="华文中宋" w:hAnsi="华文中宋" w:eastAsia="华文中宋" w:cs="华文中宋"/>
          <w:color w:val="auto"/>
          <w:sz w:val="21"/>
          <w:szCs w:val="21"/>
          <w:highlight w:val="none"/>
        </w:rPr>
        <w:t>的产品不符合</w:t>
      </w:r>
      <w:r>
        <w:rPr>
          <w:rFonts w:hint="eastAsia" w:ascii="华文中宋" w:hAnsi="华文中宋" w:eastAsia="华文中宋" w:cs="华文中宋"/>
          <w:color w:val="auto"/>
          <w:sz w:val="21"/>
          <w:szCs w:val="21"/>
          <w:highlight w:val="none"/>
          <w:lang w:eastAsia="zh-CN"/>
        </w:rPr>
        <w:t>合同约定的</w:t>
      </w:r>
      <w:r>
        <w:rPr>
          <w:rFonts w:hint="eastAsia" w:ascii="华文中宋" w:hAnsi="华文中宋" w:eastAsia="华文中宋" w:cs="华文中宋"/>
          <w:color w:val="auto"/>
          <w:sz w:val="21"/>
          <w:szCs w:val="21"/>
          <w:highlight w:val="none"/>
        </w:rPr>
        <w:t>质量标准或存在产品质量缺陷，</w:t>
      </w:r>
      <w:r>
        <w:rPr>
          <w:rFonts w:hint="eastAsia" w:ascii="华文中宋" w:hAnsi="华文中宋" w:eastAsia="华文中宋" w:cs="华文中宋"/>
          <w:color w:val="auto"/>
          <w:sz w:val="21"/>
          <w:szCs w:val="21"/>
          <w:highlight w:val="none"/>
          <w:lang w:eastAsia="zh-CN"/>
        </w:rPr>
        <w:t>甲方有权要求乙方根据</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b w:val="0"/>
          <w:bCs/>
          <w:color w:val="auto"/>
          <w:sz w:val="21"/>
          <w:szCs w:val="21"/>
          <w:highlight w:val="none"/>
          <w:lang w:eastAsia="zh-CN"/>
        </w:rPr>
        <w:t>要求</w:t>
      </w:r>
      <w:r>
        <w:rPr>
          <w:rFonts w:hint="eastAsia" w:ascii="华文中宋" w:hAnsi="华文中宋" w:eastAsia="华文中宋" w:cs="华文中宋"/>
          <w:color w:val="auto"/>
          <w:sz w:val="21"/>
          <w:szCs w:val="21"/>
          <w:highlight w:val="none"/>
          <w:lang w:eastAsia="zh-CN"/>
        </w:rPr>
        <w:t>及时修理、重作、更换，并承担由此给甲</w:t>
      </w:r>
      <w:r>
        <w:rPr>
          <w:rFonts w:hint="eastAsia" w:ascii="华文中宋" w:hAnsi="华文中宋" w:eastAsia="华文中宋" w:cs="华文中宋"/>
          <w:color w:val="auto"/>
          <w:sz w:val="21"/>
          <w:szCs w:val="21"/>
          <w:highlight w:val="none"/>
        </w:rPr>
        <w:t>方</w:t>
      </w:r>
      <w:r>
        <w:rPr>
          <w:rFonts w:hint="eastAsia" w:ascii="华文中宋" w:hAnsi="华文中宋" w:eastAsia="华文中宋" w:cs="华文中宋"/>
          <w:color w:val="auto"/>
          <w:sz w:val="21"/>
          <w:szCs w:val="21"/>
          <w:highlight w:val="none"/>
          <w:lang w:eastAsia="zh-CN"/>
        </w:rPr>
        <w:t>造成的损失</w:t>
      </w:r>
      <w:r>
        <w:rPr>
          <w:rFonts w:hint="eastAsia" w:ascii="华文中宋" w:hAnsi="华文中宋" w:eastAsia="华文中宋" w:cs="华文中宋"/>
          <w:color w:val="auto"/>
          <w:sz w:val="21"/>
          <w:szCs w:val="21"/>
          <w:highlight w:val="none"/>
        </w:rPr>
        <w:t>。</w:t>
      </w:r>
    </w:p>
    <w:p w14:paraId="6F1818F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.2 迟延交货的违约责任</w:t>
      </w:r>
    </w:p>
    <w:p w14:paraId="7C5EDD3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（1）乙方应按照本合同规定的时间、地点交货和提供</w:t>
      </w:r>
      <w:r>
        <w:rPr>
          <w:rFonts w:hint="eastAsia" w:ascii="华文中宋" w:hAnsi="华文中宋" w:eastAsia="华文中宋" w:cs="华文中宋"/>
          <w:color w:val="auto"/>
          <w:sz w:val="21"/>
          <w:szCs w:val="21"/>
          <w:highlight w:val="none"/>
          <w:lang w:eastAsia="zh-CN"/>
        </w:rPr>
        <w:t>相关</w:t>
      </w:r>
      <w:r>
        <w:rPr>
          <w:rFonts w:hint="eastAsia" w:ascii="华文中宋" w:hAnsi="华文中宋" w:eastAsia="华文中宋" w:cs="华文中宋"/>
          <w:color w:val="auto"/>
          <w:sz w:val="21"/>
          <w:szCs w:val="21"/>
          <w:highlight w:val="none"/>
        </w:rPr>
        <w:t>服务。在履行合同过程中，如果乙方遇到可能</w:t>
      </w:r>
      <w:r>
        <w:rPr>
          <w:rFonts w:hint="eastAsia" w:ascii="华文中宋" w:hAnsi="华文中宋" w:eastAsia="华文中宋" w:cs="华文中宋"/>
          <w:color w:val="auto"/>
          <w:sz w:val="21"/>
          <w:szCs w:val="21"/>
          <w:highlight w:val="none"/>
          <w:lang w:eastAsia="zh-CN"/>
        </w:rPr>
        <w:t>影响</w:t>
      </w:r>
      <w:r>
        <w:rPr>
          <w:rFonts w:hint="eastAsia" w:ascii="华文中宋" w:hAnsi="华文中宋" w:eastAsia="华文中宋" w:cs="华文中宋"/>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华文中宋" w:hAnsi="华文中宋" w:eastAsia="华文中宋" w:cs="华文中宋"/>
          <w:color w:val="auto"/>
          <w:sz w:val="21"/>
          <w:szCs w:val="21"/>
          <w:highlight w:val="none"/>
          <w:lang w:eastAsia="zh-CN"/>
        </w:rPr>
        <w:t>长</w:t>
      </w:r>
      <w:r>
        <w:rPr>
          <w:rFonts w:hint="eastAsia" w:ascii="华文中宋" w:hAnsi="华文中宋" w:eastAsia="华文中宋" w:cs="华文中宋"/>
          <w:color w:val="auto"/>
          <w:sz w:val="21"/>
          <w:szCs w:val="21"/>
          <w:highlight w:val="none"/>
        </w:rPr>
        <w:t>交货时间或延期提供服务。</w:t>
      </w:r>
    </w:p>
    <w:p w14:paraId="4B5AA716">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（2）如果乙方没有按照合同规定的时间交货和提供</w:t>
      </w:r>
      <w:r>
        <w:rPr>
          <w:rFonts w:hint="eastAsia" w:ascii="华文中宋" w:hAnsi="华文中宋" w:eastAsia="华文中宋" w:cs="华文中宋"/>
          <w:color w:val="auto"/>
          <w:sz w:val="21"/>
          <w:szCs w:val="21"/>
          <w:highlight w:val="none"/>
          <w:lang w:eastAsia="zh-CN"/>
        </w:rPr>
        <w:t>相关</w:t>
      </w:r>
      <w:r>
        <w:rPr>
          <w:rFonts w:hint="eastAsia" w:ascii="华文中宋" w:hAnsi="华文中宋" w:eastAsia="华文中宋" w:cs="华文中宋"/>
          <w:color w:val="auto"/>
          <w:sz w:val="21"/>
          <w:szCs w:val="21"/>
          <w:highlight w:val="none"/>
        </w:rPr>
        <w:t>服务，甲方有权从货款中扣除误期赔偿费而不影响合同项下的其他补救方法，赔偿费按</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规定执行。如果涉及公共利益，且赔偿金额无法弥补公共利益损失，</w:t>
      </w:r>
      <w:r>
        <w:rPr>
          <w:rFonts w:hint="eastAsia" w:ascii="华文中宋" w:hAnsi="华文中宋" w:eastAsia="华文中宋" w:cs="华文中宋"/>
          <w:color w:val="auto"/>
          <w:sz w:val="21"/>
          <w:szCs w:val="21"/>
          <w:highlight w:val="none"/>
          <w:lang w:eastAsia="zh-CN"/>
        </w:rPr>
        <w:t>甲方</w:t>
      </w:r>
      <w:r>
        <w:rPr>
          <w:rFonts w:hint="eastAsia" w:ascii="华文中宋" w:hAnsi="华文中宋" w:eastAsia="华文中宋" w:cs="华文中宋"/>
          <w:color w:val="auto"/>
          <w:sz w:val="21"/>
          <w:szCs w:val="21"/>
          <w:highlight w:val="none"/>
        </w:rPr>
        <w:t>可要求继续履行或者</w:t>
      </w:r>
      <w:r>
        <w:rPr>
          <w:rFonts w:hint="eastAsia" w:ascii="华文中宋" w:hAnsi="华文中宋" w:eastAsia="华文中宋" w:cs="华文中宋"/>
          <w:color w:val="auto"/>
          <w:sz w:val="21"/>
          <w:szCs w:val="21"/>
          <w:highlight w:val="none"/>
          <w:lang w:eastAsia="zh-CN"/>
        </w:rPr>
        <w:t>采取其他补救措施</w:t>
      </w:r>
      <w:r>
        <w:rPr>
          <w:rFonts w:hint="eastAsia" w:ascii="华文中宋" w:hAnsi="华文中宋" w:eastAsia="华文中宋" w:cs="华文中宋"/>
          <w:color w:val="auto"/>
          <w:sz w:val="21"/>
          <w:szCs w:val="21"/>
          <w:highlight w:val="none"/>
        </w:rPr>
        <w:t>。</w:t>
      </w:r>
    </w:p>
    <w:p w14:paraId="3656099E">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eastAsia="zh-CN"/>
        </w:rPr>
        <w:t>5</w:t>
      </w:r>
      <w:r>
        <w:rPr>
          <w:rFonts w:hint="eastAsia" w:ascii="华文中宋" w:hAnsi="华文中宋" w:eastAsia="华文中宋" w:cs="华文中宋"/>
          <w:color w:val="auto"/>
          <w:sz w:val="21"/>
          <w:szCs w:val="21"/>
          <w:highlight w:val="none"/>
        </w:rPr>
        <w:t>.3 迟延支付的违约责任</w:t>
      </w:r>
    </w:p>
    <w:p w14:paraId="77DC44FB">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甲方存在迟延支付乙方合同款项的，应当承担</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规定的逾期付款利息。</w:t>
      </w:r>
    </w:p>
    <w:p w14:paraId="7A758081">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Cs/>
          <w:color w:val="auto"/>
          <w:sz w:val="21"/>
          <w:szCs w:val="21"/>
          <w:highlight w:val="none"/>
        </w:rPr>
        <w:t>1</w:t>
      </w:r>
      <w:r>
        <w:rPr>
          <w:rFonts w:hint="eastAsia" w:ascii="华文中宋" w:hAnsi="华文中宋" w:eastAsia="华文中宋" w:cs="华文中宋"/>
          <w:bCs/>
          <w:color w:val="auto"/>
          <w:sz w:val="21"/>
          <w:szCs w:val="21"/>
          <w:highlight w:val="none"/>
          <w:lang w:eastAsia="zh-CN"/>
        </w:rPr>
        <w:t>5</w:t>
      </w:r>
      <w:r>
        <w:rPr>
          <w:rFonts w:hint="eastAsia" w:ascii="华文中宋" w:hAnsi="华文中宋" w:eastAsia="华文中宋" w:cs="华文中宋"/>
          <w:bCs/>
          <w:color w:val="auto"/>
          <w:sz w:val="21"/>
          <w:szCs w:val="21"/>
          <w:highlight w:val="none"/>
        </w:rPr>
        <w:t>.4其他违约责任根据项目实际需要按</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color w:val="auto"/>
          <w:sz w:val="21"/>
          <w:szCs w:val="21"/>
          <w:highlight w:val="none"/>
        </w:rPr>
        <w:t>规定执行。</w:t>
      </w:r>
    </w:p>
    <w:p w14:paraId="15F33219">
      <w:pPr>
        <w:pageBreakBefore w:val="0"/>
        <w:numPr>
          <w:ilvl w:val="0"/>
          <w:numId w:val="7"/>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合同变更</w:t>
      </w:r>
      <w:r>
        <w:rPr>
          <w:rFonts w:hint="eastAsia" w:ascii="华文中宋" w:hAnsi="华文中宋" w:eastAsia="华文中宋" w:cs="华文中宋"/>
          <w:b/>
          <w:color w:val="auto"/>
          <w:sz w:val="21"/>
          <w:szCs w:val="21"/>
          <w:highlight w:val="none"/>
          <w:lang w:eastAsia="zh-CN"/>
        </w:rPr>
        <w:t>、中止与终止</w:t>
      </w:r>
    </w:p>
    <w:p w14:paraId="01D5D8B2">
      <w:pPr>
        <w:pageBreakBefore w:val="0"/>
        <w:kinsoku/>
        <w:wordWrap/>
        <w:overflowPunct/>
        <w:topLinePunct w:val="0"/>
        <w:autoSpaceDE/>
        <w:autoSpaceDN/>
        <w:bidi w:val="0"/>
        <w:adjustRightInd w:val="0"/>
        <w:snapToGrid w:val="0"/>
        <w:spacing w:before="0" w:line="480" w:lineRule="exact"/>
        <w:ind w:left="0" w:leftChars="0" w:right="0" w:rightChars="0" w:firstLine="0" w:firstLineChars="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.1合同的</w:t>
      </w:r>
      <w:r>
        <w:rPr>
          <w:rFonts w:hint="eastAsia" w:ascii="华文中宋" w:hAnsi="华文中宋" w:eastAsia="华文中宋" w:cs="华文中宋"/>
          <w:color w:val="auto"/>
          <w:sz w:val="21"/>
          <w:szCs w:val="21"/>
          <w:highlight w:val="none"/>
          <w:lang w:eastAsia="zh-CN"/>
        </w:rPr>
        <w:t>变更</w:t>
      </w:r>
    </w:p>
    <w:p w14:paraId="2A0A3137">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政府采购合同履行中，</w:t>
      </w:r>
      <w:r>
        <w:rPr>
          <w:rFonts w:hint="eastAsia" w:ascii="华文中宋" w:hAnsi="华文中宋" w:eastAsia="华文中宋" w:cs="华文中宋"/>
          <w:color w:val="auto"/>
          <w:sz w:val="21"/>
          <w:szCs w:val="21"/>
          <w:highlight w:val="none"/>
        </w:rPr>
        <w:t>在不改变合同其他条款的前提下，甲方可以在合同价款10%的范围内追加与合同标的相同的货物，并就此与乙方协商</w:t>
      </w:r>
      <w:r>
        <w:rPr>
          <w:rFonts w:hint="eastAsia" w:ascii="华文中宋" w:hAnsi="华文中宋" w:eastAsia="华文中宋" w:cs="华文中宋"/>
          <w:color w:val="auto"/>
          <w:sz w:val="21"/>
          <w:szCs w:val="21"/>
          <w:highlight w:val="none"/>
          <w:lang w:eastAsia="zh-CN"/>
        </w:rPr>
        <w:t>一致后</w:t>
      </w:r>
      <w:r>
        <w:rPr>
          <w:rFonts w:hint="eastAsia" w:ascii="华文中宋" w:hAnsi="华文中宋" w:eastAsia="华文中宋" w:cs="华文中宋"/>
          <w:color w:val="auto"/>
          <w:sz w:val="21"/>
          <w:szCs w:val="21"/>
          <w:highlight w:val="none"/>
        </w:rPr>
        <w:t>签订补充协议。</w:t>
      </w:r>
    </w:p>
    <w:p w14:paraId="4F29F012">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合同的中止</w:t>
      </w:r>
    </w:p>
    <w:p w14:paraId="54228DC2">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（1）合同履行过程中因供应商就采购文件、采购过程或结果提起投诉的，甲方认为有必要的，</w:t>
      </w:r>
      <w:r>
        <w:rPr>
          <w:rFonts w:hint="eastAsia" w:ascii="华文中宋" w:hAnsi="华文中宋" w:eastAsia="华文中宋" w:cs="华文中宋"/>
          <w:color w:val="auto"/>
          <w:sz w:val="21"/>
          <w:szCs w:val="21"/>
          <w:highlight w:val="none"/>
          <w:lang w:eastAsia="zh-CN"/>
        </w:rPr>
        <w:t>可以</w:t>
      </w:r>
      <w:r>
        <w:rPr>
          <w:rFonts w:hint="eastAsia" w:ascii="华文中宋" w:hAnsi="华文中宋" w:eastAsia="华文中宋" w:cs="华文中宋"/>
          <w:color w:val="auto"/>
          <w:sz w:val="21"/>
          <w:szCs w:val="21"/>
          <w:highlight w:val="none"/>
        </w:rPr>
        <w:t>中止合同的履行。</w:t>
      </w:r>
    </w:p>
    <w:p w14:paraId="39F0A68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合同履行过程中，</w:t>
      </w:r>
      <w:r>
        <w:rPr>
          <w:rFonts w:hint="eastAsia" w:ascii="华文中宋" w:hAnsi="华文中宋" w:eastAsia="华文中宋" w:cs="华文中宋"/>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华文中宋" w:hAnsi="华文中宋" w:eastAsia="华文中宋" w:cs="华文中宋"/>
          <w:color w:val="auto"/>
          <w:sz w:val="21"/>
          <w:szCs w:val="21"/>
          <w:highlight w:val="none"/>
          <w:lang w:eastAsia="zh-CN"/>
        </w:rPr>
        <w:t>，乙方有义务及时告知甲方</w:t>
      </w:r>
      <w:r>
        <w:rPr>
          <w:rFonts w:hint="eastAsia" w:ascii="华文中宋" w:hAnsi="华文中宋" w:eastAsia="华文中宋" w:cs="华文中宋"/>
          <w:color w:val="auto"/>
          <w:sz w:val="21"/>
          <w:szCs w:val="21"/>
          <w:highlight w:val="none"/>
        </w:rPr>
        <w:t>。甲方</w:t>
      </w:r>
      <w:r>
        <w:rPr>
          <w:rFonts w:hint="eastAsia" w:ascii="华文中宋" w:hAnsi="华文中宋" w:eastAsia="华文中宋" w:cs="华文中宋"/>
          <w:color w:val="auto"/>
          <w:sz w:val="21"/>
          <w:szCs w:val="21"/>
          <w:highlight w:val="none"/>
          <w:lang w:eastAsia="zh-CN"/>
        </w:rPr>
        <w:t>有权</w:t>
      </w:r>
      <w:r>
        <w:rPr>
          <w:rFonts w:hint="eastAsia" w:ascii="华文中宋" w:hAnsi="华文中宋" w:eastAsia="华文中宋" w:cs="华文中宋"/>
          <w:color w:val="auto"/>
          <w:sz w:val="21"/>
          <w:szCs w:val="21"/>
          <w:highlight w:val="none"/>
        </w:rPr>
        <w:t>以书面形式通知乙方中止合同</w:t>
      </w:r>
      <w:r>
        <w:rPr>
          <w:rFonts w:hint="eastAsia" w:ascii="华文中宋" w:hAnsi="华文中宋" w:eastAsia="华文中宋" w:cs="华文中宋"/>
          <w:color w:val="auto"/>
          <w:sz w:val="21"/>
          <w:szCs w:val="21"/>
          <w:highlight w:val="none"/>
          <w:lang w:eastAsia="zh-CN"/>
        </w:rPr>
        <w:t>并要求乙方在合理期限内消除相关情形或者提供适当担保。</w:t>
      </w:r>
      <w:r>
        <w:rPr>
          <w:rFonts w:hint="eastAsia" w:ascii="华文中宋" w:hAnsi="华文中宋" w:eastAsia="华文中宋" w:cs="华文中宋"/>
          <w:color w:val="auto"/>
          <w:sz w:val="21"/>
          <w:szCs w:val="21"/>
          <w:highlight w:val="none"/>
        </w:rPr>
        <w:t>乙方提供适当担保的，</w:t>
      </w:r>
      <w:r>
        <w:rPr>
          <w:rFonts w:hint="eastAsia" w:ascii="华文中宋" w:hAnsi="华文中宋" w:eastAsia="华文中宋" w:cs="华文中宋"/>
          <w:color w:val="auto"/>
          <w:sz w:val="21"/>
          <w:szCs w:val="21"/>
          <w:highlight w:val="none"/>
          <w:lang w:eastAsia="zh-CN"/>
        </w:rPr>
        <w:t>合同继续</w:t>
      </w:r>
      <w:r>
        <w:rPr>
          <w:rFonts w:hint="eastAsia" w:ascii="华文中宋" w:hAnsi="华文中宋" w:eastAsia="华文中宋" w:cs="华文中宋"/>
          <w:color w:val="auto"/>
          <w:sz w:val="21"/>
          <w:szCs w:val="21"/>
          <w:highlight w:val="none"/>
        </w:rPr>
        <w:t>履行</w:t>
      </w:r>
      <w:r>
        <w:rPr>
          <w:rFonts w:hint="eastAsia" w:ascii="华文中宋" w:hAnsi="华文中宋" w:eastAsia="华文中宋" w:cs="华文中宋"/>
          <w:color w:val="auto"/>
          <w:sz w:val="21"/>
          <w:szCs w:val="21"/>
          <w:highlight w:val="none"/>
          <w:lang w:eastAsia="zh-CN"/>
        </w:rPr>
        <w:t>；乙</w:t>
      </w:r>
      <w:r>
        <w:rPr>
          <w:rFonts w:hint="eastAsia" w:ascii="华文中宋" w:hAnsi="华文中宋" w:eastAsia="华文中宋" w:cs="华文中宋"/>
          <w:color w:val="auto"/>
          <w:sz w:val="21"/>
          <w:szCs w:val="21"/>
          <w:highlight w:val="none"/>
        </w:rPr>
        <w:t>方在合理期限内未恢复履约能力且未提供适当担保的，视为拒绝</w:t>
      </w:r>
      <w:r>
        <w:rPr>
          <w:rFonts w:hint="eastAsia" w:ascii="华文中宋" w:hAnsi="华文中宋" w:eastAsia="华文中宋" w:cs="华文中宋"/>
          <w:color w:val="auto"/>
          <w:sz w:val="21"/>
          <w:szCs w:val="21"/>
          <w:highlight w:val="none"/>
          <w:lang w:eastAsia="zh-CN"/>
        </w:rPr>
        <w:t>继续</w:t>
      </w:r>
      <w:r>
        <w:rPr>
          <w:rFonts w:hint="eastAsia" w:ascii="华文中宋" w:hAnsi="华文中宋" w:eastAsia="华文中宋" w:cs="华文中宋"/>
          <w:color w:val="auto"/>
          <w:sz w:val="21"/>
          <w:szCs w:val="21"/>
          <w:highlight w:val="none"/>
        </w:rPr>
        <w:t>履约，甲方</w:t>
      </w:r>
      <w:r>
        <w:rPr>
          <w:rFonts w:hint="eastAsia" w:ascii="华文中宋" w:hAnsi="华文中宋" w:eastAsia="华文中宋" w:cs="华文中宋"/>
          <w:color w:val="auto"/>
          <w:sz w:val="21"/>
          <w:szCs w:val="21"/>
          <w:highlight w:val="none"/>
          <w:lang w:eastAsia="zh-CN"/>
        </w:rPr>
        <w:t>有权</w:t>
      </w:r>
      <w:r>
        <w:rPr>
          <w:rFonts w:hint="eastAsia" w:ascii="华文中宋" w:hAnsi="华文中宋" w:eastAsia="华文中宋" w:cs="华文中宋"/>
          <w:color w:val="auto"/>
          <w:sz w:val="21"/>
          <w:szCs w:val="21"/>
          <w:highlight w:val="none"/>
        </w:rPr>
        <w:t>解除合同并要求乙方承担</w:t>
      </w:r>
      <w:r>
        <w:rPr>
          <w:rFonts w:hint="eastAsia" w:ascii="华文中宋" w:hAnsi="华文中宋" w:eastAsia="华文中宋" w:cs="华文中宋"/>
          <w:color w:val="auto"/>
          <w:sz w:val="21"/>
          <w:szCs w:val="21"/>
          <w:highlight w:val="none"/>
          <w:lang w:eastAsia="zh-CN"/>
        </w:rPr>
        <w:t>由此给甲方造成的损失</w:t>
      </w:r>
      <w:r>
        <w:rPr>
          <w:rFonts w:hint="eastAsia" w:ascii="华文中宋" w:hAnsi="华文中宋" w:eastAsia="华文中宋" w:cs="华文中宋"/>
          <w:color w:val="auto"/>
          <w:sz w:val="21"/>
          <w:szCs w:val="21"/>
          <w:highlight w:val="none"/>
        </w:rPr>
        <w:t>。</w:t>
      </w:r>
    </w:p>
    <w:p w14:paraId="2463262C">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（3）乙方分立、合并或者变更住所的，应当及时以书面形式告知甲方。乙方没有</w:t>
      </w:r>
      <w:r>
        <w:rPr>
          <w:rFonts w:hint="eastAsia" w:ascii="华文中宋" w:hAnsi="华文中宋" w:eastAsia="华文中宋" w:cs="华文中宋"/>
          <w:sz w:val="21"/>
          <w:szCs w:val="21"/>
          <w:lang w:eastAsia="zh-CN"/>
        </w:rPr>
        <w:t>及时告知</w:t>
      </w:r>
      <w:r>
        <w:rPr>
          <w:rFonts w:hint="eastAsia" w:ascii="华文中宋" w:hAnsi="华文中宋" w:eastAsia="华文中宋" w:cs="华文中宋"/>
          <w:sz w:val="21"/>
          <w:szCs w:val="21"/>
        </w:rPr>
        <w:t>甲方，致使</w:t>
      </w:r>
      <w:r>
        <w:rPr>
          <w:rFonts w:hint="eastAsia" w:ascii="华文中宋" w:hAnsi="华文中宋" w:eastAsia="华文中宋" w:cs="华文中宋"/>
          <w:sz w:val="21"/>
          <w:szCs w:val="21"/>
          <w:lang w:eastAsia="zh-CN"/>
        </w:rPr>
        <w:t>合同</w:t>
      </w:r>
      <w:r>
        <w:rPr>
          <w:rFonts w:hint="eastAsia" w:ascii="华文中宋" w:hAnsi="华文中宋" w:eastAsia="华文中宋" w:cs="华文中宋"/>
          <w:sz w:val="21"/>
          <w:szCs w:val="21"/>
        </w:rPr>
        <w:t>履行发生困难的，甲方可以中止合同履行并要求乙方承担由此给甲方造成的损失。</w:t>
      </w:r>
    </w:p>
    <w:p w14:paraId="3F003D4F">
      <w:pPr>
        <w:pageBreakBefore w:val="0"/>
        <w:kinsoku/>
        <w:wordWrap/>
        <w:overflowPunct/>
        <w:topLinePunct w:val="0"/>
        <w:bidi w:val="0"/>
        <w:snapToGrid w:val="0"/>
        <w:spacing w:line="480" w:lineRule="exact"/>
        <w:ind w:left="0" w:leftChars="0" w:right="0" w:rightChars="0"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）甲方不得以行政区划调整、政府换届、机构或者职能调整以及相关责任人更替为由中止合同。</w:t>
      </w:r>
    </w:p>
    <w:p w14:paraId="1D41449D">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合同的终止</w:t>
      </w:r>
    </w:p>
    <w:p w14:paraId="6975D534">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（1）合同因有效期限届满而终止；</w:t>
      </w:r>
    </w:p>
    <w:p w14:paraId="4A21B001">
      <w:pPr>
        <w:pageBreakBefore w:val="0"/>
        <w:kinsoku/>
        <w:wordWrap/>
        <w:overflowPunct/>
        <w:topLinePunct w:val="0"/>
        <w:bidi w:val="0"/>
        <w:snapToGrid w:val="0"/>
        <w:spacing w:line="480" w:lineRule="exact"/>
        <w:ind w:left="0" w:leftChars="0" w:right="0" w:rightChars="0"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color w:val="auto"/>
          <w:sz w:val="21"/>
          <w:szCs w:val="21"/>
          <w:highlight w:val="none"/>
        </w:rPr>
        <w:t>（2）乙方未</w:t>
      </w:r>
      <w:r>
        <w:rPr>
          <w:rFonts w:hint="eastAsia" w:ascii="华文中宋" w:hAnsi="华文中宋" w:eastAsia="华文中宋" w:cs="华文中宋"/>
          <w:color w:val="auto"/>
          <w:sz w:val="21"/>
          <w:szCs w:val="21"/>
          <w:highlight w:val="none"/>
          <w:lang w:eastAsia="zh-CN"/>
        </w:rPr>
        <w:t>按</w:t>
      </w:r>
      <w:r>
        <w:rPr>
          <w:rFonts w:hint="eastAsia" w:ascii="华文中宋" w:hAnsi="华文中宋" w:eastAsia="华文中宋" w:cs="华文中宋"/>
          <w:color w:val="auto"/>
          <w:sz w:val="21"/>
          <w:szCs w:val="21"/>
          <w:highlight w:val="none"/>
        </w:rPr>
        <w:t>合同约定履行，构成根本性违约的，甲方有权终止合同</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sz w:val="21"/>
          <w:szCs w:val="21"/>
        </w:rPr>
        <w:t>并追究乙方的违约责</w:t>
      </w:r>
      <w:r>
        <w:rPr>
          <w:rFonts w:hint="eastAsia" w:ascii="华文中宋" w:hAnsi="华文中宋" w:eastAsia="华文中宋" w:cs="华文中宋"/>
          <w:sz w:val="21"/>
          <w:szCs w:val="21"/>
          <w:lang w:val="en-US" w:eastAsia="zh-CN"/>
        </w:rPr>
        <w:t>任</w:t>
      </w:r>
      <w:r>
        <w:rPr>
          <w:rFonts w:hint="eastAsia" w:ascii="华文中宋" w:hAnsi="华文中宋" w:eastAsia="华文中宋" w:cs="华文中宋"/>
          <w:color w:val="auto"/>
          <w:sz w:val="21"/>
          <w:szCs w:val="21"/>
          <w:highlight w:val="none"/>
        </w:rPr>
        <w:t>。</w:t>
      </w:r>
    </w:p>
    <w:p w14:paraId="41B06F8E">
      <w:pPr>
        <w:pStyle w:val="66"/>
        <w:pageBreakBefore w:val="0"/>
        <w:kinsoku/>
        <w:wordWrap/>
        <w:overflowPunct/>
        <w:topLinePunct w:val="0"/>
        <w:bidi w:val="0"/>
        <w:spacing w:line="480" w:lineRule="exact"/>
        <w:ind w:left="0" w:leftChars="0" w:right="0" w:rightChars="0"/>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16.4 </w:t>
      </w:r>
      <w:r>
        <w:rPr>
          <w:rFonts w:hint="eastAsia" w:ascii="华文中宋" w:hAnsi="华文中宋" w:eastAsia="华文中宋" w:cs="华文中宋"/>
          <w:color w:val="auto"/>
          <w:kern w:val="2"/>
          <w:sz w:val="21"/>
          <w:szCs w:val="21"/>
          <w:highlight w:val="none"/>
          <w:lang w:val="en-US" w:eastAsia="zh-CN"/>
        </w:rPr>
        <w:t>涉及国家利益、社会公共利益的情形</w:t>
      </w:r>
    </w:p>
    <w:p w14:paraId="0D5414F7">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政府采购合同继续履行将损害国家利益和社会公共利益的，双方当事人</w:t>
      </w:r>
      <w:r>
        <w:rPr>
          <w:rFonts w:hint="eastAsia" w:ascii="华文中宋" w:hAnsi="华文中宋" w:eastAsia="华文中宋" w:cs="华文中宋"/>
          <w:sz w:val="21"/>
          <w:szCs w:val="21"/>
          <w:highlight w:val="none"/>
          <w:lang w:val="en-US" w:eastAsia="zh-CN"/>
        </w:rPr>
        <w:t>应当变更、</w:t>
      </w:r>
      <w:r>
        <w:rPr>
          <w:rFonts w:hint="eastAsia" w:ascii="华文中宋" w:hAnsi="华文中宋" w:eastAsia="华文中宋" w:cs="华文中宋"/>
          <w:sz w:val="21"/>
          <w:szCs w:val="21"/>
        </w:rPr>
        <w:t>中止</w:t>
      </w:r>
      <w:r>
        <w:rPr>
          <w:rFonts w:hint="eastAsia" w:ascii="华文中宋" w:hAnsi="华文中宋" w:eastAsia="华文中宋" w:cs="华文中宋"/>
          <w:sz w:val="21"/>
          <w:szCs w:val="21"/>
          <w:lang w:eastAsia="zh-CN"/>
        </w:rPr>
        <w:t>或者终止</w:t>
      </w:r>
      <w:r>
        <w:rPr>
          <w:rFonts w:hint="eastAsia" w:ascii="华文中宋" w:hAnsi="华文中宋" w:eastAsia="华文中宋" w:cs="华文中宋"/>
          <w:sz w:val="21"/>
          <w:szCs w:val="21"/>
        </w:rPr>
        <w:t>合同。有过错的一方应当承担赔偿责任，双方都有过错的，各自承担相应的责任。</w:t>
      </w:r>
    </w:p>
    <w:p w14:paraId="3197A152">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1</w:t>
      </w:r>
      <w:r>
        <w:rPr>
          <w:rFonts w:hint="eastAsia" w:ascii="华文中宋" w:hAnsi="华文中宋" w:eastAsia="华文中宋" w:cs="华文中宋"/>
          <w:b/>
          <w:bCs/>
          <w:color w:val="auto"/>
          <w:sz w:val="21"/>
          <w:szCs w:val="21"/>
          <w:highlight w:val="none"/>
          <w:lang w:val="en-US" w:eastAsia="zh-CN"/>
        </w:rPr>
        <w:t>7</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合同分包</w:t>
      </w:r>
    </w:p>
    <w:p w14:paraId="3CAD9040">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7</w:t>
      </w:r>
      <w:r>
        <w:rPr>
          <w:rFonts w:hint="eastAsia" w:ascii="华文中宋" w:hAnsi="华文中宋" w:eastAsia="华文中宋" w:cs="华文中宋"/>
          <w:color w:val="auto"/>
          <w:sz w:val="21"/>
          <w:szCs w:val="21"/>
          <w:highlight w:val="none"/>
        </w:rPr>
        <w:t>.1 乙方不得</w:t>
      </w:r>
      <w:r>
        <w:rPr>
          <w:rFonts w:hint="eastAsia" w:ascii="华文中宋" w:hAnsi="华文中宋" w:eastAsia="华文中宋" w:cs="华文中宋"/>
          <w:color w:val="auto"/>
          <w:sz w:val="21"/>
          <w:szCs w:val="21"/>
          <w:highlight w:val="none"/>
          <w:lang w:eastAsia="zh-CN"/>
        </w:rPr>
        <w:t>将合同转包给其他供应商。涉及合同分包的，乙方</w:t>
      </w:r>
      <w:r>
        <w:rPr>
          <w:rFonts w:hint="eastAsia" w:ascii="华文中宋" w:hAnsi="华文中宋" w:eastAsia="华文中宋" w:cs="华文中宋"/>
          <w:color w:val="auto"/>
          <w:sz w:val="21"/>
          <w:szCs w:val="21"/>
          <w:highlight w:val="none"/>
          <w:lang w:val="en-US" w:eastAsia="zh-CN"/>
        </w:rPr>
        <w:t>应</w:t>
      </w:r>
      <w:r>
        <w:rPr>
          <w:rFonts w:hint="eastAsia" w:ascii="华文中宋" w:hAnsi="华文中宋" w:eastAsia="华文中宋" w:cs="华文中宋"/>
          <w:color w:val="auto"/>
          <w:sz w:val="21"/>
          <w:szCs w:val="21"/>
          <w:highlight w:val="none"/>
          <w:lang w:eastAsia="zh-CN"/>
        </w:rPr>
        <w:t>根据采购文件和投标（响应）文件规定进行</w:t>
      </w:r>
      <w:r>
        <w:rPr>
          <w:rFonts w:hint="eastAsia" w:ascii="华文中宋" w:hAnsi="华文中宋" w:eastAsia="华文中宋" w:cs="华文中宋"/>
          <w:color w:val="auto"/>
          <w:sz w:val="21"/>
          <w:szCs w:val="21"/>
          <w:highlight w:val="none"/>
        </w:rPr>
        <w:t>合同分包。</w:t>
      </w:r>
    </w:p>
    <w:p w14:paraId="33F9A353">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7</w:t>
      </w:r>
      <w:r>
        <w:rPr>
          <w:rFonts w:hint="eastAsia" w:ascii="华文中宋" w:hAnsi="华文中宋" w:eastAsia="华文中宋" w:cs="华文中宋"/>
          <w:color w:val="auto"/>
          <w:sz w:val="21"/>
          <w:szCs w:val="21"/>
          <w:highlight w:val="none"/>
        </w:rPr>
        <w:t>.2 乙方执行政府采购政策向中小企业依法分包的</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rPr>
        <w:t>乙方应当按采购文件</w:t>
      </w:r>
      <w:r>
        <w:rPr>
          <w:rFonts w:hint="eastAsia" w:ascii="华文中宋" w:hAnsi="华文中宋" w:eastAsia="华文中宋" w:cs="华文中宋"/>
          <w:color w:val="auto"/>
          <w:sz w:val="21"/>
          <w:szCs w:val="21"/>
          <w:highlight w:val="none"/>
          <w:lang w:eastAsia="zh-CN"/>
        </w:rPr>
        <w:t>和</w:t>
      </w:r>
      <w:r>
        <w:rPr>
          <w:rFonts w:hint="eastAsia" w:ascii="华文中宋" w:hAnsi="华文中宋" w:eastAsia="华文中宋" w:cs="华文中宋"/>
          <w:color w:val="auto"/>
          <w:sz w:val="21"/>
          <w:szCs w:val="21"/>
          <w:highlight w:val="none"/>
        </w:rPr>
        <w:t>投标（响应）文件签订分包</w:t>
      </w:r>
      <w:r>
        <w:rPr>
          <w:rFonts w:hint="eastAsia" w:ascii="华文中宋" w:hAnsi="华文中宋" w:eastAsia="华文中宋" w:cs="华文中宋"/>
          <w:color w:val="auto"/>
          <w:sz w:val="21"/>
          <w:szCs w:val="21"/>
          <w:highlight w:val="none"/>
          <w:lang w:eastAsia="zh-CN"/>
        </w:rPr>
        <w:t>意向</w:t>
      </w:r>
      <w:r>
        <w:rPr>
          <w:rFonts w:hint="eastAsia" w:ascii="华文中宋" w:hAnsi="华文中宋" w:eastAsia="华文中宋" w:cs="华文中宋"/>
          <w:color w:val="auto"/>
          <w:sz w:val="21"/>
          <w:szCs w:val="21"/>
          <w:highlight w:val="none"/>
        </w:rPr>
        <w:t>协议，分包</w:t>
      </w:r>
      <w:r>
        <w:rPr>
          <w:rFonts w:hint="eastAsia" w:ascii="华文中宋" w:hAnsi="华文中宋" w:eastAsia="华文中宋" w:cs="华文中宋"/>
          <w:color w:val="auto"/>
          <w:sz w:val="21"/>
          <w:szCs w:val="21"/>
          <w:highlight w:val="none"/>
          <w:lang w:eastAsia="zh-CN"/>
        </w:rPr>
        <w:t>意向</w:t>
      </w:r>
      <w:r>
        <w:rPr>
          <w:rFonts w:hint="eastAsia" w:ascii="华文中宋" w:hAnsi="华文中宋" w:eastAsia="华文中宋" w:cs="华文中宋"/>
          <w:color w:val="auto"/>
          <w:sz w:val="21"/>
          <w:szCs w:val="21"/>
          <w:highlight w:val="none"/>
        </w:rPr>
        <w:t>协议属于本合同组成部分。</w:t>
      </w:r>
    </w:p>
    <w:p w14:paraId="43B47BB5">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lang w:eastAsia="zh-CN"/>
        </w:rPr>
        <w:t>1</w:t>
      </w:r>
      <w:r>
        <w:rPr>
          <w:rFonts w:hint="eastAsia" w:ascii="华文中宋" w:hAnsi="华文中宋" w:eastAsia="华文中宋" w:cs="华文中宋"/>
          <w:b/>
          <w:bCs/>
          <w:color w:val="auto"/>
          <w:sz w:val="21"/>
          <w:szCs w:val="21"/>
          <w:highlight w:val="none"/>
          <w:lang w:val="en-US" w:eastAsia="zh-CN"/>
        </w:rPr>
        <w:t>8</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不可抗力</w:t>
      </w:r>
    </w:p>
    <w:p w14:paraId="166C5E1D">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.1 不可抗力是指合同双方不能预见、不能避免且不能克服的客观情况。</w:t>
      </w:r>
    </w:p>
    <w:p w14:paraId="01C8DD6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.2 任何一方对由于不可抗力造成的部分或全部不能履行合同不承担违约责任。但迟延履行后发生不可抗力的，不能免除责任。</w:t>
      </w:r>
    </w:p>
    <w:p w14:paraId="29409027">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cs="华文中宋"/>
          <w:color w:val="auto"/>
          <w:sz w:val="21"/>
          <w:szCs w:val="21"/>
          <w:highlight w:val="none"/>
        </w:rPr>
        <w:t>.3 遇有不可抗力的一方，应及时将事件情况以书面形式</w:t>
      </w:r>
      <w:r>
        <w:rPr>
          <w:rFonts w:hint="eastAsia" w:ascii="华文中宋" w:hAnsi="华文中宋" w:eastAsia="华文中宋" w:cs="华文中宋"/>
          <w:color w:val="auto"/>
          <w:sz w:val="21"/>
          <w:szCs w:val="21"/>
          <w:highlight w:val="none"/>
          <w:lang w:eastAsia="zh-CN"/>
        </w:rPr>
        <w:t>告</w:t>
      </w:r>
      <w:r>
        <w:rPr>
          <w:rFonts w:hint="eastAsia" w:ascii="华文中宋" w:hAnsi="华文中宋" w:eastAsia="华文中宋" w:cs="华文中宋"/>
          <w:color w:val="auto"/>
          <w:sz w:val="21"/>
          <w:szCs w:val="21"/>
          <w:highlight w:val="none"/>
        </w:rPr>
        <w:t>知另一方，并在事件发生后及时向另一方提交合同不能履行或部分不能履行或需要延期履行</w:t>
      </w:r>
      <w:r>
        <w:rPr>
          <w:rFonts w:hint="eastAsia" w:ascii="华文中宋" w:hAnsi="华文中宋" w:eastAsia="华文中宋" w:cs="华文中宋"/>
          <w:color w:val="auto"/>
          <w:sz w:val="21"/>
          <w:szCs w:val="21"/>
          <w:highlight w:val="none"/>
          <w:lang w:eastAsia="zh-CN"/>
        </w:rPr>
        <w:t>的详细</w:t>
      </w:r>
      <w:r>
        <w:rPr>
          <w:rFonts w:hint="eastAsia" w:ascii="华文中宋" w:hAnsi="华文中宋" w:eastAsia="华文中宋" w:cs="华文中宋"/>
          <w:color w:val="auto"/>
          <w:sz w:val="21"/>
          <w:szCs w:val="21"/>
          <w:highlight w:val="none"/>
        </w:rPr>
        <w:t>报告</w:t>
      </w:r>
      <w:r>
        <w:rPr>
          <w:rFonts w:hint="eastAsia" w:ascii="华文中宋" w:hAnsi="华文中宋" w:eastAsia="华文中宋" w:cs="华文中宋"/>
          <w:color w:val="auto"/>
          <w:sz w:val="21"/>
          <w:szCs w:val="21"/>
          <w:highlight w:val="none"/>
          <w:lang w:eastAsia="zh-CN"/>
        </w:rPr>
        <w:t>，以</w:t>
      </w:r>
      <w:r>
        <w:rPr>
          <w:rFonts w:hint="eastAsia" w:ascii="华文中宋" w:hAnsi="华文中宋" w:eastAsia="华文中宋" w:cs="华文中宋"/>
          <w:color w:val="auto"/>
          <w:sz w:val="21"/>
          <w:szCs w:val="21"/>
          <w:highlight w:val="none"/>
          <w:lang w:val="en-US" w:eastAsia="zh-CN"/>
        </w:rPr>
        <w:t>及证明不可抗力发生及其持续时间的证据</w:t>
      </w:r>
      <w:r>
        <w:rPr>
          <w:rFonts w:hint="eastAsia" w:ascii="华文中宋" w:hAnsi="华文中宋" w:eastAsia="华文中宋" w:cs="华文中宋"/>
          <w:color w:val="auto"/>
          <w:sz w:val="21"/>
          <w:szCs w:val="21"/>
          <w:highlight w:val="none"/>
        </w:rPr>
        <w:t>。</w:t>
      </w:r>
    </w:p>
    <w:p w14:paraId="360E619E">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lang w:val="en-US" w:eastAsia="zh-CN"/>
        </w:rPr>
        <w:t>19</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bCs/>
          <w:color w:val="auto"/>
          <w:sz w:val="21"/>
          <w:szCs w:val="21"/>
          <w:highlight w:val="none"/>
          <w:lang w:val="en-US" w:eastAsia="zh-CN"/>
        </w:rPr>
        <w:t xml:space="preserve"> </w:t>
      </w:r>
      <w:r>
        <w:rPr>
          <w:rFonts w:hint="eastAsia" w:ascii="华文中宋" w:hAnsi="华文中宋" w:eastAsia="华文中宋" w:cs="华文中宋"/>
          <w:b/>
          <w:bCs/>
          <w:color w:val="auto"/>
          <w:sz w:val="21"/>
          <w:szCs w:val="21"/>
          <w:highlight w:val="none"/>
        </w:rPr>
        <w:t>解决争议的方法</w:t>
      </w:r>
    </w:p>
    <w:p w14:paraId="41BC1D8A">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.1 因本合同及合同有关事项发生的争议，由</w:t>
      </w:r>
      <w:r>
        <w:rPr>
          <w:rFonts w:hint="eastAsia" w:ascii="华文中宋" w:hAnsi="华文中宋" w:eastAsia="华文中宋" w:cs="华文中宋"/>
          <w:sz w:val="21"/>
          <w:szCs w:val="21"/>
          <w:lang w:eastAsia="zh-CN"/>
        </w:rPr>
        <w:t>甲乙双</w:t>
      </w:r>
      <w:r>
        <w:rPr>
          <w:rFonts w:hint="eastAsia" w:ascii="华文中宋" w:hAnsi="华文中宋" w:eastAsia="华文中宋" w:cs="华文中宋"/>
          <w:sz w:val="21"/>
          <w:szCs w:val="21"/>
        </w:rPr>
        <w:t>方友好协商解决。协商不成时，可以</w:t>
      </w:r>
      <w:r>
        <w:rPr>
          <w:rFonts w:hint="eastAsia" w:ascii="华文中宋" w:hAnsi="华文中宋" w:eastAsia="华文中宋" w:cs="华文中宋"/>
          <w:sz w:val="21"/>
          <w:szCs w:val="21"/>
          <w:lang w:eastAsia="zh-CN"/>
        </w:rPr>
        <w:t>向有关组织申请</w:t>
      </w:r>
      <w:r>
        <w:rPr>
          <w:rFonts w:hint="eastAsia" w:ascii="华文中宋" w:hAnsi="华文中宋" w:eastAsia="华文中宋" w:cs="华文中宋"/>
          <w:sz w:val="21"/>
          <w:szCs w:val="21"/>
        </w:rPr>
        <w:t>调解。合同一方或</w:t>
      </w:r>
      <w:r>
        <w:rPr>
          <w:rFonts w:hint="eastAsia" w:ascii="华文中宋" w:hAnsi="华文中宋" w:eastAsia="华文中宋" w:cs="华文中宋"/>
          <w:sz w:val="21"/>
          <w:szCs w:val="21"/>
          <w:lang w:eastAsia="zh-CN"/>
        </w:rPr>
        <w:t>双</w:t>
      </w:r>
      <w:r>
        <w:rPr>
          <w:rFonts w:hint="eastAsia" w:ascii="华文中宋" w:hAnsi="华文中宋" w:eastAsia="华文中宋" w:cs="华文中宋"/>
          <w:sz w:val="21"/>
          <w:szCs w:val="21"/>
        </w:rPr>
        <w:t>方不愿调解或调解不成的，可以通过仲裁或诉讼的方式解决争议。</w:t>
      </w:r>
    </w:p>
    <w:p w14:paraId="3097525E">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.2 选择仲裁的，应在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szCs w:val="21"/>
        </w:rPr>
        <w:t>中明确仲裁机构及仲裁地；通过诉讼方式解决的，可以在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szCs w:val="21"/>
        </w:rPr>
        <w:t>中进一步约定选择与争议有实际联系的地点的人民法院管辖，但管辖法院的约定不得违反级别管辖和专属管辖的规定。</w:t>
      </w:r>
    </w:p>
    <w:p w14:paraId="3BA8B702">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.3 如</w:t>
      </w:r>
      <w:r>
        <w:rPr>
          <w:rFonts w:hint="eastAsia" w:ascii="华文中宋" w:hAnsi="华文中宋" w:eastAsia="华文中宋" w:cs="华文中宋"/>
          <w:sz w:val="21"/>
          <w:szCs w:val="21"/>
          <w:lang w:eastAsia="zh-CN"/>
        </w:rPr>
        <w:t>甲乙双方</w:t>
      </w:r>
      <w:r>
        <w:rPr>
          <w:rFonts w:hint="eastAsia" w:ascii="华文中宋" w:hAnsi="华文中宋" w:eastAsia="华文中宋" w:cs="华文中宋"/>
          <w:sz w:val="21"/>
          <w:szCs w:val="21"/>
        </w:rPr>
        <w:t>有争议的事项不影响合同其他部分的履行，在争议解决期间，合同其他部分应</w:t>
      </w:r>
      <w:r>
        <w:rPr>
          <w:rFonts w:hint="eastAsia" w:ascii="华文中宋" w:hAnsi="华文中宋" w:eastAsia="华文中宋" w:cs="华文中宋"/>
          <w:sz w:val="21"/>
          <w:szCs w:val="21"/>
          <w:lang w:eastAsia="zh-CN"/>
        </w:rPr>
        <w:t>当</w:t>
      </w:r>
      <w:r>
        <w:rPr>
          <w:rFonts w:hint="eastAsia" w:ascii="华文中宋" w:hAnsi="华文中宋" w:eastAsia="华文中宋" w:cs="华文中宋"/>
          <w:sz w:val="21"/>
          <w:szCs w:val="21"/>
        </w:rPr>
        <w:t>继续履行。</w:t>
      </w:r>
    </w:p>
    <w:p w14:paraId="4A99FFA3">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lang w:val="en-US" w:eastAsia="zh-CN"/>
        </w:rPr>
        <w:t>20</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政府采购政策</w:t>
      </w:r>
    </w:p>
    <w:p w14:paraId="32B1983B">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20.1 </w:t>
      </w:r>
      <w:r>
        <w:rPr>
          <w:rFonts w:hint="eastAsia" w:ascii="华文中宋" w:hAnsi="华文中宋" w:eastAsia="华文中宋" w:cs="华文中宋"/>
          <w:sz w:val="21"/>
          <w:szCs w:val="21"/>
          <w:lang w:val="en-GB"/>
        </w:rPr>
        <w:t>本合同应当按照规定执行政府采购政策。</w:t>
      </w:r>
    </w:p>
    <w:p w14:paraId="482D6D8C">
      <w:pPr>
        <w:pageBreakBefore w:val="0"/>
        <w:kinsoku/>
        <w:wordWrap/>
        <w:overflowPunct/>
        <w:topLinePunct w:val="0"/>
        <w:autoSpaceDE w:val="0"/>
        <w:autoSpaceDN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0</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 xml:space="preserve"> 本合同依法执行政府采购政策的方式和内容，属于合同履约验收的范围。</w:t>
      </w:r>
      <w:r>
        <w:rPr>
          <w:rFonts w:hint="eastAsia" w:ascii="华文中宋" w:hAnsi="华文中宋" w:eastAsia="华文中宋" w:cs="华文中宋"/>
          <w:sz w:val="21"/>
          <w:szCs w:val="21"/>
          <w:lang w:eastAsia="zh-CN"/>
        </w:rPr>
        <w:t>甲乙双方</w:t>
      </w:r>
      <w:r>
        <w:rPr>
          <w:rFonts w:hint="eastAsia" w:ascii="华文中宋" w:hAnsi="华文中宋" w:eastAsia="华文中宋" w:cs="华文中宋"/>
          <w:sz w:val="21"/>
          <w:szCs w:val="21"/>
          <w:lang w:val="en-GB"/>
        </w:rPr>
        <w:t>未按规定要求执行政府采购政策造成损失的</w:t>
      </w:r>
      <w:r>
        <w:rPr>
          <w:rFonts w:hint="eastAsia" w:ascii="华文中宋" w:hAnsi="华文中宋" w:eastAsia="华文中宋" w:cs="华文中宋"/>
          <w:color w:val="auto"/>
          <w:sz w:val="21"/>
          <w:szCs w:val="21"/>
          <w:highlight w:val="none"/>
        </w:rPr>
        <w:t>，有过错的一方应当承担赔偿责任，双方都有过错的，各自承担相应的责任。</w:t>
      </w:r>
    </w:p>
    <w:p w14:paraId="37999901">
      <w:pPr>
        <w:pStyle w:val="14"/>
        <w:pageBreakBefore w:val="0"/>
        <w:kinsoku/>
        <w:wordWrap/>
        <w:overflowPunct/>
        <w:topLinePunct w:val="0"/>
        <w:bidi w:val="0"/>
        <w:spacing w:after="0" w:line="480" w:lineRule="exact"/>
        <w:ind w:left="0" w:leftChars="0" w:right="0" w:rightChars="0"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0</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 xml:space="preserve"> 对于</w:t>
      </w:r>
      <w:r>
        <w:rPr>
          <w:rFonts w:hint="eastAsia" w:ascii="华文中宋" w:hAnsi="华文中宋" w:eastAsia="华文中宋" w:cs="华文中宋"/>
          <w:color w:val="auto"/>
          <w:sz w:val="21"/>
          <w:szCs w:val="21"/>
          <w:highlight w:val="none"/>
          <w:lang w:eastAsia="zh-CN"/>
        </w:rPr>
        <w:t>为落实中小企业支持政策，</w:t>
      </w:r>
      <w:r>
        <w:rPr>
          <w:rFonts w:hint="eastAsia" w:ascii="华文中宋" w:hAnsi="华文中宋" w:eastAsia="华文中宋" w:cs="华文中宋"/>
          <w:color w:val="auto"/>
          <w:sz w:val="21"/>
          <w:szCs w:val="21"/>
          <w:highlight w:val="none"/>
        </w:rPr>
        <w:t>通过采购项目</w:t>
      </w:r>
      <w:r>
        <w:rPr>
          <w:rFonts w:hint="eastAsia" w:ascii="华文中宋" w:hAnsi="华文中宋" w:eastAsia="华文中宋" w:cs="华文中宋"/>
          <w:color w:val="auto"/>
          <w:sz w:val="21"/>
          <w:szCs w:val="21"/>
          <w:highlight w:val="none"/>
          <w:lang w:eastAsia="zh-CN"/>
        </w:rPr>
        <w:t>整体</w:t>
      </w:r>
      <w:r>
        <w:rPr>
          <w:rFonts w:hint="eastAsia" w:ascii="华文中宋" w:hAnsi="华文中宋" w:eastAsia="华文中宋" w:cs="华文中宋"/>
          <w:color w:val="auto"/>
          <w:sz w:val="21"/>
          <w:szCs w:val="21"/>
          <w:highlight w:val="none"/>
        </w:rPr>
        <w:t>预留、</w:t>
      </w:r>
      <w:r>
        <w:rPr>
          <w:rFonts w:hint="eastAsia" w:ascii="华文中宋" w:hAnsi="华文中宋" w:eastAsia="华文中宋" w:cs="华文中宋"/>
          <w:color w:val="auto"/>
          <w:sz w:val="21"/>
          <w:szCs w:val="21"/>
          <w:highlight w:val="none"/>
          <w:lang w:eastAsia="zh-CN"/>
        </w:rPr>
        <w:t>设置</w:t>
      </w:r>
      <w:r>
        <w:rPr>
          <w:rFonts w:hint="eastAsia" w:ascii="华文中宋" w:hAnsi="华文中宋" w:eastAsia="华文中宋" w:cs="华文中宋"/>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655E6D">
      <w:pPr>
        <w:pageBreakBefore w:val="0"/>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2</w:t>
      </w:r>
      <w:r>
        <w:rPr>
          <w:rFonts w:hint="eastAsia" w:ascii="华文中宋" w:hAnsi="华文中宋" w:eastAsia="华文中宋" w:cs="华文中宋"/>
          <w:b/>
          <w:color w:val="auto"/>
          <w:sz w:val="21"/>
          <w:szCs w:val="21"/>
          <w:highlight w:val="none"/>
          <w:lang w:val="en-US" w:eastAsia="zh-CN"/>
        </w:rPr>
        <w:t>1</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val="en-US" w:eastAsia="zh-CN"/>
        </w:rPr>
        <w:t xml:space="preserve"> </w:t>
      </w:r>
      <w:r>
        <w:rPr>
          <w:rFonts w:hint="eastAsia" w:ascii="华文中宋" w:hAnsi="华文中宋" w:eastAsia="华文中宋" w:cs="华文中宋"/>
          <w:b/>
          <w:color w:val="auto"/>
          <w:sz w:val="21"/>
          <w:szCs w:val="21"/>
          <w:highlight w:val="none"/>
        </w:rPr>
        <w:t>法律适用</w:t>
      </w:r>
    </w:p>
    <w:p w14:paraId="51D1287D">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.1 本合同的订立、生效、解释、履行及与本合同有关的争议解决，均适用法律、行政法规。</w:t>
      </w:r>
    </w:p>
    <w:p w14:paraId="7D30356E">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.2 本合同条款与法律、行政法规的强制性规定不一致的，双方当事人应按照法律、行政法规的强制性规定修改本合同的相关条款。</w:t>
      </w:r>
    </w:p>
    <w:p w14:paraId="6F8E9A5A">
      <w:pPr>
        <w:pageBreakBefore w:val="0"/>
        <w:numPr>
          <w:ilvl w:val="0"/>
          <w:numId w:val="0"/>
        </w:numPr>
        <w:kinsoku/>
        <w:wordWrap/>
        <w:overflowPunct/>
        <w:topLinePunct w:val="0"/>
        <w:autoSpaceDE w:val="0"/>
        <w:autoSpaceDN w:val="0"/>
        <w:bidi w:val="0"/>
        <w:adjustRightInd w:val="0"/>
        <w:snapToGrid w:val="0"/>
        <w:spacing w:before="0" w:line="480" w:lineRule="exact"/>
        <w:ind w:left="0" w:leftChars="0" w:right="0" w:rightChars="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 xml:space="preserve">22. </w:t>
      </w:r>
      <w:r>
        <w:rPr>
          <w:rFonts w:hint="eastAsia" w:ascii="华文中宋" w:hAnsi="华文中宋" w:eastAsia="华文中宋" w:cs="华文中宋"/>
          <w:b/>
          <w:color w:val="auto"/>
          <w:sz w:val="21"/>
          <w:szCs w:val="21"/>
          <w:highlight w:val="none"/>
        </w:rPr>
        <w:t>通知</w:t>
      </w:r>
    </w:p>
    <w:p w14:paraId="2EEFA161">
      <w:pPr>
        <w:pStyle w:val="66"/>
        <w:pageBreakBefore w:val="0"/>
        <w:kinsoku/>
        <w:wordWrap/>
        <w:overflowPunct/>
        <w:topLinePunct w:val="0"/>
        <w:bidi w:val="0"/>
        <w:spacing w:line="480" w:lineRule="exact"/>
        <w:ind w:left="0" w:leftChars="0" w:right="0" w:right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本合同任何一方向对方发出的通知、信件、数据电文等，应当发送至本合同第一部分《政府采购合同协议书》所约定的通讯地址、联系人、联系电话或电子邮箱。</w:t>
      </w:r>
    </w:p>
    <w:p w14:paraId="04C0E930">
      <w:pPr>
        <w:pStyle w:val="66"/>
        <w:pageBreakBefore w:val="0"/>
        <w:kinsoku/>
        <w:wordWrap/>
        <w:overflowPunct/>
        <w:topLinePunct w:val="0"/>
        <w:bidi w:val="0"/>
        <w:spacing w:line="480" w:lineRule="exact"/>
        <w:ind w:left="0" w:leftChars="0" w:right="0" w:rightChars="0" w:firstLine="0" w:firstLineChars="0"/>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一方当事人变更名称、</w:t>
      </w:r>
      <w:r>
        <w:rPr>
          <w:rFonts w:hint="eastAsia" w:ascii="华文中宋" w:hAnsi="华文中宋" w:eastAsia="华文中宋" w:cs="华文中宋"/>
          <w:sz w:val="21"/>
          <w:szCs w:val="21"/>
          <w:lang w:eastAsia="zh-CN"/>
        </w:rPr>
        <w:t>住所</w:t>
      </w:r>
      <w:r>
        <w:rPr>
          <w:rFonts w:hint="eastAsia" w:ascii="华文中宋" w:hAnsi="华文中宋" w:eastAsia="华文中宋" w:cs="华文中宋"/>
          <w:sz w:val="21"/>
          <w:szCs w:val="21"/>
        </w:rPr>
        <w:t>、联系人、联系电话或电子邮箱</w:t>
      </w:r>
      <w:r>
        <w:rPr>
          <w:rFonts w:hint="eastAsia" w:ascii="华文中宋" w:hAnsi="华文中宋" w:eastAsia="华文中宋" w:cs="华文中宋"/>
          <w:sz w:val="21"/>
          <w:szCs w:val="21"/>
          <w:lang w:eastAsia="zh-CN"/>
        </w:rPr>
        <w:t>等信息</w:t>
      </w:r>
      <w:r>
        <w:rPr>
          <w:rFonts w:hint="eastAsia" w:ascii="华文中宋" w:hAnsi="华文中宋" w:eastAsia="华文中宋" w:cs="华文中宋"/>
          <w:sz w:val="21"/>
          <w:szCs w:val="21"/>
        </w:rPr>
        <w:t>的，应当在变更后3日内及时书面通知对方，对方实际收到变更通知前的送达仍为有效送达。</w:t>
      </w:r>
    </w:p>
    <w:p w14:paraId="7ADA58A5">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3</w:t>
      </w:r>
      <w:r>
        <w:rPr>
          <w:rFonts w:hint="eastAsia" w:ascii="华文中宋" w:hAnsi="华文中宋" w:eastAsia="华文中宋" w:cs="华文中宋"/>
          <w:color w:val="auto"/>
          <w:sz w:val="21"/>
          <w:szCs w:val="21"/>
          <w:highlight w:val="none"/>
        </w:rPr>
        <w:t>本合同一方给另一方的通知均应采用书面形式，传真或快递送到本合同中规定的对方的地址和办理签收手续。</w:t>
      </w:r>
    </w:p>
    <w:p w14:paraId="7D17E0AB">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2</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通知以送达之日或通知书中规定的生效之日起生效，两者中以较迟之日为准。</w:t>
      </w:r>
    </w:p>
    <w:p w14:paraId="0653E577">
      <w:pPr>
        <w:pageBreakBefore w:val="0"/>
        <w:numPr>
          <w:ilvl w:val="0"/>
          <w:numId w:val="8"/>
        </w:numPr>
        <w:kinsoku/>
        <w:wordWrap/>
        <w:overflowPunct/>
        <w:topLinePunct w:val="0"/>
        <w:bidi w:val="0"/>
        <w:adjustRightInd w:val="0"/>
        <w:snapToGrid w:val="0"/>
        <w:spacing w:before="0" w:line="480" w:lineRule="exact"/>
        <w:ind w:left="0" w:leftChars="0" w:right="0" w:rightChars="0"/>
        <w:jc w:val="left"/>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合同未尽事项</w:t>
      </w:r>
    </w:p>
    <w:p w14:paraId="195385CA">
      <w:pPr>
        <w:pageBreakBefore w:val="0"/>
        <w:kinsoku/>
        <w:wordWrap/>
        <w:overflowPunct/>
        <w:topLinePunct w:val="0"/>
        <w:bidi w:val="0"/>
        <w:adjustRightInd w:val="0"/>
        <w:snapToGrid w:val="0"/>
        <w:spacing w:before="0" w:line="480" w:lineRule="exact"/>
        <w:ind w:left="0" w:leftChars="0" w:right="0" w:rightChars="0" w:firstLine="420" w:firstLineChars="200"/>
        <w:jc w:val="left"/>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2</w:t>
      </w:r>
      <w:r>
        <w:rPr>
          <w:rFonts w:hint="eastAsia" w:ascii="华文中宋" w:hAnsi="华文中宋" w:eastAsia="华文中宋" w:cs="华文中宋"/>
          <w:bCs/>
          <w:color w:val="auto"/>
          <w:sz w:val="21"/>
          <w:szCs w:val="21"/>
          <w:highlight w:val="none"/>
          <w:lang w:val="en-US" w:eastAsia="zh-CN"/>
        </w:rPr>
        <w:t>3</w:t>
      </w:r>
      <w:r>
        <w:rPr>
          <w:rFonts w:hint="eastAsia" w:ascii="华文中宋" w:hAnsi="华文中宋" w:eastAsia="华文中宋" w:cs="华文中宋"/>
          <w:bCs/>
          <w:color w:val="auto"/>
          <w:sz w:val="21"/>
          <w:szCs w:val="21"/>
          <w:highlight w:val="none"/>
        </w:rPr>
        <w:t>.1合同未尽事项见</w:t>
      </w:r>
      <w:r>
        <w:rPr>
          <w:rFonts w:hint="eastAsia" w:ascii="华文中宋" w:hAnsi="华文中宋" w:eastAsia="华文中宋" w:cs="华文中宋"/>
          <w:b/>
          <w:color w:val="auto"/>
          <w:sz w:val="21"/>
          <w:szCs w:val="21"/>
          <w:highlight w:val="none"/>
        </w:rPr>
        <w:t>【政府采购合同专用条款】</w:t>
      </w:r>
      <w:r>
        <w:rPr>
          <w:rFonts w:hint="eastAsia" w:ascii="华文中宋" w:hAnsi="华文中宋" w:eastAsia="华文中宋" w:cs="华文中宋"/>
          <w:bCs/>
          <w:color w:val="auto"/>
          <w:sz w:val="21"/>
          <w:szCs w:val="21"/>
          <w:highlight w:val="none"/>
        </w:rPr>
        <w:t>。</w:t>
      </w:r>
    </w:p>
    <w:p w14:paraId="0CB5624D">
      <w:pPr>
        <w:pageBreakBefore w:val="0"/>
        <w:kinsoku/>
        <w:wordWrap/>
        <w:overflowPunct/>
        <w:topLinePunct w:val="0"/>
        <w:bidi w:val="0"/>
        <w:adjustRightInd w:val="0"/>
        <w:snapToGrid w:val="0"/>
        <w:spacing w:line="480" w:lineRule="exact"/>
        <w:ind w:left="0" w:leftChars="0" w:right="0" w:rightChars="0" w:firstLine="0" w:firstLineChars="0"/>
        <w:jc w:val="left"/>
        <w:rPr>
          <w:rFonts w:hint="eastAsia" w:ascii="华文中宋" w:hAnsi="华文中宋" w:eastAsia="华文中宋" w:cs="华文中宋"/>
          <w:color w:val="auto"/>
          <w:sz w:val="21"/>
          <w:szCs w:val="21"/>
        </w:rPr>
      </w:pPr>
      <w:r>
        <w:rPr>
          <w:rFonts w:hint="eastAsia" w:ascii="华文中宋" w:hAnsi="华文中宋" w:eastAsia="华文中宋" w:cs="华文中宋"/>
          <w:bCs/>
          <w:color w:val="auto"/>
          <w:sz w:val="21"/>
          <w:szCs w:val="21"/>
          <w:highlight w:val="none"/>
          <w:lang w:val="en-US" w:eastAsia="zh-CN"/>
        </w:rPr>
        <w:t xml:space="preserve">    23.2 合同附件与合同正文具有同等的法律效力。</w:t>
      </w:r>
      <w:bookmarkStart w:id="92" w:name="_Toc20313"/>
    </w:p>
    <w:p w14:paraId="7CBD7660">
      <w:pPr>
        <w:pageBreakBefore w:val="0"/>
        <w:kinsoku/>
        <w:wordWrap/>
        <w:overflowPunct/>
        <w:topLinePunct w:val="0"/>
        <w:bidi w:val="0"/>
        <w:adjustRightInd w:val="0"/>
        <w:snapToGrid w:val="0"/>
        <w:spacing w:line="480" w:lineRule="exact"/>
        <w:ind w:left="0" w:leftChars="0" w:right="0" w:rightChars="0"/>
        <w:jc w:val="center"/>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br w:type="page"/>
      </w:r>
      <w:r>
        <w:rPr>
          <w:rFonts w:hint="eastAsia" w:ascii="华文中宋" w:hAnsi="华文中宋" w:eastAsia="华文中宋" w:cs="华文中宋"/>
          <w:b w:val="0"/>
          <w:bCs w:val="0"/>
          <w:sz w:val="21"/>
          <w:szCs w:val="21"/>
        </w:rPr>
        <w:t>第三节 政府采购合同专用条款</w:t>
      </w:r>
      <w:bookmarkEnd w:id="92"/>
    </w:p>
    <w:p w14:paraId="48294F0B">
      <w:pPr>
        <w:pStyle w:val="66"/>
        <w:rPr>
          <w:rFonts w:hint="eastAsia"/>
        </w:rPr>
      </w:pPr>
    </w:p>
    <w:tbl>
      <w:tblPr>
        <w:tblStyle w:val="2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6D5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115AC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2B6B41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第1.2（</w:t>
            </w:r>
            <w:r>
              <w:rPr>
                <w:rFonts w:hint="eastAsia" w:ascii="华文中宋" w:hAnsi="华文中宋" w:eastAsia="华文中宋" w:cs="华文中宋"/>
                <w:sz w:val="21"/>
                <w:szCs w:val="21"/>
                <w:lang w:val="en-US" w:eastAsia="zh-CN"/>
              </w:rPr>
              <w:t>6</w:t>
            </w:r>
            <w:r>
              <w:rPr>
                <w:rFonts w:hint="eastAsia" w:ascii="华文中宋" w:hAnsi="华文中宋" w:eastAsia="华文中宋" w:cs="华文中宋"/>
                <w:sz w:val="21"/>
                <w:szCs w:val="21"/>
              </w:rPr>
              <w:t>）项</w:t>
            </w:r>
          </w:p>
        </w:tc>
        <w:tc>
          <w:tcPr>
            <w:tcW w:w="1742" w:type="dxa"/>
            <w:noWrap w:val="0"/>
            <w:vAlign w:val="center"/>
          </w:tcPr>
          <w:p w14:paraId="68F98C2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联合体具体要求</w:t>
            </w:r>
          </w:p>
        </w:tc>
        <w:tc>
          <w:tcPr>
            <w:tcW w:w="5170" w:type="dxa"/>
            <w:noWrap w:val="0"/>
            <w:vAlign w:val="center"/>
          </w:tcPr>
          <w:p w14:paraId="54F3E7C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88D8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3F1F4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A7ABB3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第1.2（</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）项</w:t>
            </w:r>
          </w:p>
        </w:tc>
        <w:tc>
          <w:tcPr>
            <w:tcW w:w="1742" w:type="dxa"/>
            <w:noWrap w:val="0"/>
            <w:vAlign w:val="center"/>
          </w:tcPr>
          <w:p w14:paraId="3ECD004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其他术语解释</w:t>
            </w:r>
          </w:p>
        </w:tc>
        <w:tc>
          <w:tcPr>
            <w:tcW w:w="5170" w:type="dxa"/>
            <w:noWrap w:val="0"/>
            <w:vAlign w:val="center"/>
          </w:tcPr>
          <w:p w14:paraId="02E3946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5B503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C7A91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1817CE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4.4款</w:t>
            </w:r>
          </w:p>
        </w:tc>
        <w:tc>
          <w:tcPr>
            <w:tcW w:w="1742" w:type="dxa"/>
            <w:noWrap w:val="0"/>
            <w:vAlign w:val="center"/>
          </w:tcPr>
          <w:p w14:paraId="731414C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履约验收中甲方提出异议或作出说明的期限</w:t>
            </w:r>
          </w:p>
        </w:tc>
        <w:tc>
          <w:tcPr>
            <w:tcW w:w="5170" w:type="dxa"/>
            <w:noWrap w:val="0"/>
            <w:vAlign w:val="center"/>
          </w:tcPr>
          <w:p w14:paraId="406427C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671F2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4F4F60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1F5BA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4.6款</w:t>
            </w:r>
          </w:p>
        </w:tc>
        <w:tc>
          <w:tcPr>
            <w:tcW w:w="1742" w:type="dxa"/>
            <w:noWrap w:val="0"/>
            <w:vAlign w:val="center"/>
          </w:tcPr>
          <w:p w14:paraId="025B22D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约定甲方承担的其他义务和责任</w:t>
            </w:r>
          </w:p>
        </w:tc>
        <w:tc>
          <w:tcPr>
            <w:tcW w:w="5170" w:type="dxa"/>
            <w:noWrap w:val="0"/>
            <w:vAlign w:val="center"/>
          </w:tcPr>
          <w:p w14:paraId="655F7BC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17E12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1BEDA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第二节</w:t>
            </w:r>
          </w:p>
          <w:p w14:paraId="7416C642">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5.4款</w:t>
            </w:r>
          </w:p>
        </w:tc>
        <w:tc>
          <w:tcPr>
            <w:tcW w:w="1742" w:type="dxa"/>
            <w:noWrap w:val="0"/>
            <w:vAlign w:val="center"/>
          </w:tcPr>
          <w:p w14:paraId="2915796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约定乙方承担的其他义务和责任</w:t>
            </w:r>
          </w:p>
        </w:tc>
        <w:tc>
          <w:tcPr>
            <w:tcW w:w="5170" w:type="dxa"/>
            <w:noWrap w:val="0"/>
            <w:vAlign w:val="center"/>
          </w:tcPr>
          <w:p w14:paraId="38BA84F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5F247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2DA15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第二节</w:t>
            </w:r>
          </w:p>
          <w:p w14:paraId="26934785">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第</w:t>
            </w:r>
            <w:r>
              <w:rPr>
                <w:rFonts w:hint="eastAsia" w:ascii="华文中宋" w:hAnsi="华文中宋" w:eastAsia="华文中宋" w:cs="华文中宋"/>
                <w:sz w:val="21"/>
                <w:szCs w:val="21"/>
                <w:lang w:val="en-US" w:eastAsia="zh-CN"/>
              </w:rPr>
              <w:t>6.1款</w:t>
            </w:r>
          </w:p>
        </w:tc>
        <w:tc>
          <w:tcPr>
            <w:tcW w:w="1742" w:type="dxa"/>
            <w:noWrap w:val="0"/>
            <w:vAlign w:val="center"/>
          </w:tcPr>
          <w:p w14:paraId="443F017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履行合同义务的顺序</w:t>
            </w:r>
          </w:p>
        </w:tc>
        <w:tc>
          <w:tcPr>
            <w:tcW w:w="5170" w:type="dxa"/>
            <w:noWrap w:val="0"/>
            <w:vAlign w:val="center"/>
          </w:tcPr>
          <w:p w14:paraId="59FE1A6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kern w:val="2"/>
                <w:sz w:val="21"/>
                <w:szCs w:val="21"/>
                <w:lang w:val="en-US" w:eastAsia="zh-CN" w:bidi="ar-SA"/>
              </w:rPr>
            </w:pPr>
          </w:p>
        </w:tc>
      </w:tr>
      <w:tr w14:paraId="4A891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0FB5A3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4DC4F4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款</w:t>
            </w:r>
          </w:p>
        </w:tc>
        <w:tc>
          <w:tcPr>
            <w:tcW w:w="1742" w:type="dxa"/>
            <w:noWrap w:val="0"/>
            <w:vAlign w:val="center"/>
          </w:tcPr>
          <w:p w14:paraId="7CCFE2E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包装</w:t>
            </w:r>
            <w:r>
              <w:rPr>
                <w:rFonts w:hint="eastAsia" w:ascii="华文中宋" w:hAnsi="华文中宋" w:eastAsia="华文中宋" w:cs="华文中宋"/>
                <w:sz w:val="21"/>
                <w:szCs w:val="21"/>
                <w:lang w:eastAsia="zh-CN"/>
              </w:rPr>
              <w:t>特殊要求</w:t>
            </w:r>
          </w:p>
        </w:tc>
        <w:tc>
          <w:tcPr>
            <w:tcW w:w="5170" w:type="dxa"/>
            <w:noWrap w:val="0"/>
            <w:vAlign w:val="center"/>
          </w:tcPr>
          <w:p w14:paraId="32AF7883">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F891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3A69090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p>
        </w:tc>
        <w:tc>
          <w:tcPr>
            <w:tcW w:w="1742" w:type="dxa"/>
            <w:noWrap w:val="0"/>
            <w:vAlign w:val="center"/>
          </w:tcPr>
          <w:p w14:paraId="3BD1226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指定现场</w:t>
            </w:r>
          </w:p>
        </w:tc>
        <w:tc>
          <w:tcPr>
            <w:tcW w:w="5170" w:type="dxa"/>
            <w:noWrap w:val="0"/>
            <w:vAlign w:val="center"/>
          </w:tcPr>
          <w:p w14:paraId="661CBD17">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CCCD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CE5D9E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8B8F38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款</w:t>
            </w:r>
          </w:p>
        </w:tc>
        <w:tc>
          <w:tcPr>
            <w:tcW w:w="1742" w:type="dxa"/>
            <w:noWrap w:val="0"/>
            <w:vAlign w:val="center"/>
          </w:tcPr>
          <w:p w14:paraId="477B707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运输特殊要求</w:t>
            </w:r>
          </w:p>
        </w:tc>
        <w:tc>
          <w:tcPr>
            <w:tcW w:w="5170" w:type="dxa"/>
            <w:noWrap w:val="0"/>
            <w:vAlign w:val="center"/>
          </w:tcPr>
          <w:p w14:paraId="485E2F41">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0FE93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1D49888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4AD0DD2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7</w:t>
            </w: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val="en-US" w:eastAsia="zh-CN"/>
              </w:rPr>
              <w:t>款</w:t>
            </w:r>
          </w:p>
        </w:tc>
        <w:tc>
          <w:tcPr>
            <w:tcW w:w="1742" w:type="dxa"/>
            <w:noWrap w:val="0"/>
            <w:vAlign w:val="center"/>
          </w:tcPr>
          <w:p w14:paraId="02D563C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保险要求</w:t>
            </w:r>
          </w:p>
        </w:tc>
        <w:tc>
          <w:tcPr>
            <w:tcW w:w="5170" w:type="dxa"/>
            <w:noWrap w:val="0"/>
            <w:vAlign w:val="center"/>
          </w:tcPr>
          <w:p w14:paraId="11870A3E">
            <w:pPr>
              <w:keepNext w:val="0"/>
              <w:keepLines w:val="0"/>
              <w:pageBreakBefore w:val="0"/>
              <w:suppressLineNumbers w:val="0"/>
              <w:kinsoku/>
              <w:wordWrap/>
              <w:overflowPunct/>
              <w:topLinePunct w:val="0"/>
              <w:bidi w:val="0"/>
              <w:spacing w:before="0" w:beforeAutospacing="0" w:after="0" w:afterAutospacing="0" w:line="480" w:lineRule="exact"/>
              <w:ind w:left="0" w:leftChars="0" w:right="0" w:rightChars="0"/>
              <w:rPr>
                <w:rFonts w:hint="eastAsia" w:ascii="华文中宋" w:hAnsi="华文中宋" w:eastAsia="华文中宋" w:cs="华文中宋"/>
                <w:sz w:val="21"/>
                <w:szCs w:val="21"/>
              </w:rPr>
            </w:pPr>
          </w:p>
        </w:tc>
      </w:tr>
      <w:tr w14:paraId="10DDF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182C8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26B5E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8</w:t>
            </w:r>
            <w:r>
              <w:rPr>
                <w:rFonts w:hint="eastAsia" w:ascii="华文中宋" w:hAnsi="华文中宋" w:eastAsia="华文中宋" w:cs="华文中宋"/>
                <w:sz w:val="21"/>
                <w:szCs w:val="21"/>
              </w:rPr>
              <w:t>.2（1）项</w:t>
            </w:r>
          </w:p>
        </w:tc>
        <w:tc>
          <w:tcPr>
            <w:tcW w:w="1742" w:type="dxa"/>
            <w:noWrap w:val="0"/>
            <w:vAlign w:val="center"/>
          </w:tcPr>
          <w:p w14:paraId="773D70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质量保证期</w:t>
            </w:r>
          </w:p>
        </w:tc>
        <w:tc>
          <w:tcPr>
            <w:tcW w:w="5170" w:type="dxa"/>
            <w:noWrap w:val="0"/>
            <w:vAlign w:val="center"/>
          </w:tcPr>
          <w:p w14:paraId="5E18643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firstLine="420" w:firstLineChars="200"/>
              <w:jc w:val="left"/>
              <w:rPr>
                <w:rFonts w:hint="eastAsia" w:ascii="华文中宋" w:hAnsi="华文中宋" w:eastAsia="华文中宋" w:cs="华文中宋"/>
                <w:sz w:val="21"/>
                <w:szCs w:val="21"/>
              </w:rPr>
            </w:pPr>
          </w:p>
        </w:tc>
      </w:tr>
      <w:tr w14:paraId="38AB0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56ADD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5A2F478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8</w:t>
            </w:r>
            <w:r>
              <w:rPr>
                <w:rFonts w:hint="eastAsia" w:ascii="华文中宋" w:hAnsi="华文中宋" w:eastAsia="华文中宋" w:cs="华文中宋"/>
                <w:sz w:val="21"/>
                <w:szCs w:val="21"/>
              </w:rPr>
              <w:t>.2（3）项</w:t>
            </w:r>
          </w:p>
        </w:tc>
        <w:tc>
          <w:tcPr>
            <w:tcW w:w="1742" w:type="dxa"/>
            <w:noWrap w:val="0"/>
            <w:vAlign w:val="center"/>
          </w:tcPr>
          <w:p w14:paraId="2062C53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货物质量缺陷</w:t>
            </w:r>
          </w:p>
          <w:p w14:paraId="1646F4D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响应时间</w:t>
            </w:r>
          </w:p>
        </w:tc>
        <w:tc>
          <w:tcPr>
            <w:tcW w:w="5170" w:type="dxa"/>
            <w:noWrap w:val="0"/>
            <w:vAlign w:val="center"/>
          </w:tcPr>
          <w:p w14:paraId="357C264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40133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AD5AD9">
            <w:pPr>
              <w:keepNext w:val="0"/>
              <w:keepLines w:val="0"/>
              <w:pageBreakBefore w:val="0"/>
              <w:suppressLineNumbers w:val="0"/>
              <w:kinsoku/>
              <w:wordWrap/>
              <w:overflowPunct/>
              <w:topLinePunct w:val="0"/>
              <w:bidi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第二节</w:t>
            </w:r>
          </w:p>
          <w:p w14:paraId="70881D2A">
            <w:pPr>
              <w:pStyle w:val="66"/>
              <w:keepNext w:val="0"/>
              <w:keepLines w:val="0"/>
              <w:pageBreakBefore w:val="0"/>
              <w:widowControl/>
              <w:suppressLineNumbers w:val="0"/>
              <w:kinsoku/>
              <w:wordWrap/>
              <w:overflowPunct/>
              <w:topLinePunct w:val="0"/>
              <w:bidi w:val="0"/>
              <w:spacing w:before="0" w:beforeAutospacing="0" w:after="0" w:afterAutospacing="0" w:line="480" w:lineRule="exact"/>
              <w:ind w:left="0" w:leftChars="0" w:right="0" w:rightChars="0" w:firstLine="0" w:firstLineChars="0"/>
              <w:jc w:val="center"/>
              <w:rPr>
                <w:rFonts w:hint="eastAsia" w:ascii="华文中宋" w:hAnsi="华文中宋" w:eastAsia="华文中宋" w:cs="华文中宋"/>
                <w:kern w:val="2"/>
                <w:sz w:val="21"/>
                <w:szCs w:val="21"/>
                <w:lang w:val="en-US" w:eastAsia="zh-CN"/>
              </w:rPr>
            </w:pPr>
            <w:r>
              <w:rPr>
                <w:rFonts w:hint="eastAsia" w:ascii="华文中宋" w:hAnsi="华文中宋" w:eastAsia="华文中宋" w:cs="华文中宋"/>
                <w:kern w:val="2"/>
                <w:sz w:val="21"/>
                <w:szCs w:val="21"/>
                <w:lang w:val="en-US" w:eastAsia="zh-CN"/>
              </w:rPr>
              <w:t>第11.1款</w:t>
            </w:r>
          </w:p>
        </w:tc>
        <w:tc>
          <w:tcPr>
            <w:tcW w:w="1742" w:type="dxa"/>
            <w:noWrap w:val="0"/>
            <w:vAlign w:val="center"/>
          </w:tcPr>
          <w:p w14:paraId="03927A0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both"/>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其他应当保密的信息</w:t>
            </w:r>
          </w:p>
        </w:tc>
        <w:tc>
          <w:tcPr>
            <w:tcW w:w="5170" w:type="dxa"/>
            <w:noWrap w:val="0"/>
            <w:vAlign w:val="center"/>
          </w:tcPr>
          <w:p w14:paraId="3337AA8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3E200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4650CF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3542B9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.2款</w:t>
            </w:r>
          </w:p>
        </w:tc>
        <w:tc>
          <w:tcPr>
            <w:tcW w:w="1742" w:type="dxa"/>
            <w:noWrap w:val="0"/>
            <w:vAlign w:val="center"/>
          </w:tcPr>
          <w:p w14:paraId="2F7AACD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合同价款支付</w:t>
            </w:r>
            <w:r>
              <w:rPr>
                <w:rFonts w:hint="eastAsia" w:ascii="华文中宋" w:hAnsi="华文中宋" w:eastAsia="华文中宋" w:cs="华文中宋"/>
                <w:sz w:val="21"/>
                <w:szCs w:val="21"/>
                <w:lang w:eastAsia="zh-CN"/>
              </w:rPr>
              <w:t>时间</w:t>
            </w:r>
          </w:p>
        </w:tc>
        <w:tc>
          <w:tcPr>
            <w:tcW w:w="5170" w:type="dxa"/>
            <w:noWrap w:val="0"/>
            <w:vAlign w:val="center"/>
          </w:tcPr>
          <w:p w14:paraId="61352E4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61C0E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B7FD3D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1F7FF32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13.2</w:t>
            </w:r>
            <w:r>
              <w:rPr>
                <w:rFonts w:hint="eastAsia" w:ascii="华文中宋" w:hAnsi="华文中宋" w:eastAsia="华文中宋" w:cs="华文中宋"/>
                <w:sz w:val="21"/>
                <w:szCs w:val="21"/>
              </w:rPr>
              <w:t>款</w:t>
            </w:r>
          </w:p>
        </w:tc>
        <w:tc>
          <w:tcPr>
            <w:tcW w:w="1742" w:type="dxa"/>
            <w:noWrap w:val="0"/>
            <w:vAlign w:val="center"/>
          </w:tcPr>
          <w:p w14:paraId="070B13D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履约保证金不予退还的情形</w:t>
            </w:r>
          </w:p>
        </w:tc>
        <w:tc>
          <w:tcPr>
            <w:tcW w:w="5170" w:type="dxa"/>
            <w:noWrap w:val="0"/>
            <w:vAlign w:val="center"/>
          </w:tcPr>
          <w:p w14:paraId="4C1E5AB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C8EC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1219BA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318A747F">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13.3</w:t>
            </w:r>
            <w:r>
              <w:rPr>
                <w:rFonts w:hint="eastAsia" w:ascii="华文中宋" w:hAnsi="华文中宋" w:eastAsia="华文中宋" w:cs="华文中宋"/>
                <w:sz w:val="21"/>
                <w:szCs w:val="21"/>
              </w:rPr>
              <w:t>款</w:t>
            </w:r>
          </w:p>
        </w:tc>
        <w:tc>
          <w:tcPr>
            <w:tcW w:w="1742" w:type="dxa"/>
            <w:noWrap w:val="0"/>
            <w:vAlign w:val="center"/>
          </w:tcPr>
          <w:p w14:paraId="13A0495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履约保证金退还时间及</w:t>
            </w:r>
            <w:r>
              <w:rPr>
                <w:rFonts w:hint="eastAsia" w:ascii="华文中宋" w:hAnsi="华文中宋" w:eastAsia="华文中宋" w:cs="华文中宋"/>
                <w:sz w:val="21"/>
                <w:szCs w:val="21"/>
                <w:lang w:eastAsia="zh-CN"/>
              </w:rPr>
              <w:t>逾期退还的</w:t>
            </w:r>
            <w:r>
              <w:rPr>
                <w:rFonts w:hint="eastAsia" w:ascii="华文中宋" w:hAnsi="华文中宋" w:eastAsia="华文中宋" w:cs="华文中宋"/>
                <w:sz w:val="21"/>
                <w:szCs w:val="21"/>
              </w:rPr>
              <w:t>违约金</w:t>
            </w:r>
          </w:p>
        </w:tc>
        <w:tc>
          <w:tcPr>
            <w:tcW w:w="5170" w:type="dxa"/>
            <w:noWrap w:val="0"/>
            <w:vAlign w:val="center"/>
          </w:tcPr>
          <w:p w14:paraId="5F0D6AED">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148090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14496D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7618651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）项</w:t>
            </w:r>
          </w:p>
        </w:tc>
        <w:tc>
          <w:tcPr>
            <w:tcW w:w="1742" w:type="dxa"/>
            <w:noWrap w:val="0"/>
            <w:vAlign w:val="center"/>
          </w:tcPr>
          <w:p w14:paraId="35A1068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运行监督、维修期限</w:t>
            </w:r>
          </w:p>
        </w:tc>
        <w:tc>
          <w:tcPr>
            <w:tcW w:w="5170" w:type="dxa"/>
            <w:noWrap w:val="0"/>
            <w:vAlign w:val="center"/>
          </w:tcPr>
          <w:p w14:paraId="196CFA1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51A38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CDAA9F0">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DCD8F8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）项</w:t>
            </w:r>
          </w:p>
        </w:tc>
        <w:tc>
          <w:tcPr>
            <w:tcW w:w="1742" w:type="dxa"/>
            <w:noWrap w:val="0"/>
            <w:vAlign w:val="center"/>
          </w:tcPr>
          <w:p w14:paraId="45E1273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货物回收的约定</w:t>
            </w:r>
          </w:p>
        </w:tc>
        <w:tc>
          <w:tcPr>
            <w:tcW w:w="5170" w:type="dxa"/>
            <w:noWrap w:val="0"/>
            <w:vAlign w:val="center"/>
          </w:tcPr>
          <w:p w14:paraId="3252715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391F5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0DDB0E">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9076AC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6</w:t>
            </w:r>
            <w:r>
              <w:rPr>
                <w:rFonts w:hint="eastAsia" w:ascii="华文中宋" w:hAnsi="华文中宋" w:eastAsia="华文中宋" w:cs="华文中宋"/>
                <w:sz w:val="21"/>
                <w:szCs w:val="21"/>
              </w:rPr>
              <w:t>）项</w:t>
            </w:r>
          </w:p>
        </w:tc>
        <w:tc>
          <w:tcPr>
            <w:tcW w:w="1742" w:type="dxa"/>
            <w:noWrap w:val="0"/>
            <w:vAlign w:val="center"/>
          </w:tcPr>
          <w:p w14:paraId="113E029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乙方提供的其他服务</w:t>
            </w:r>
          </w:p>
        </w:tc>
        <w:tc>
          <w:tcPr>
            <w:tcW w:w="5170" w:type="dxa"/>
            <w:noWrap w:val="0"/>
            <w:vAlign w:val="center"/>
          </w:tcPr>
          <w:p w14:paraId="4E99428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2F352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68A43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55C88C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1款</w:t>
            </w:r>
          </w:p>
        </w:tc>
        <w:tc>
          <w:tcPr>
            <w:tcW w:w="1742" w:type="dxa"/>
            <w:noWrap w:val="0"/>
            <w:vAlign w:val="center"/>
          </w:tcPr>
          <w:p w14:paraId="7963A26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lang w:eastAsia="zh-CN"/>
              </w:rPr>
              <w:t>修理、重作、更换相关具体规定</w:t>
            </w:r>
          </w:p>
        </w:tc>
        <w:tc>
          <w:tcPr>
            <w:tcW w:w="5170" w:type="dxa"/>
            <w:noWrap w:val="0"/>
            <w:vAlign w:val="center"/>
          </w:tcPr>
          <w:p w14:paraId="1737A11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p>
        </w:tc>
      </w:tr>
      <w:tr w14:paraId="0061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CEA15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193B0657">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.2（2）项</w:t>
            </w:r>
          </w:p>
        </w:tc>
        <w:tc>
          <w:tcPr>
            <w:tcW w:w="1742" w:type="dxa"/>
            <w:noWrap w:val="0"/>
            <w:vAlign w:val="center"/>
          </w:tcPr>
          <w:p w14:paraId="021C1E3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迟延交货赔偿费</w:t>
            </w:r>
          </w:p>
        </w:tc>
        <w:tc>
          <w:tcPr>
            <w:tcW w:w="5170" w:type="dxa"/>
            <w:noWrap w:val="0"/>
            <w:vAlign w:val="center"/>
          </w:tcPr>
          <w:p w14:paraId="393CEE5A">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2A37B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063EB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70060EB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3款</w:t>
            </w:r>
          </w:p>
        </w:tc>
        <w:tc>
          <w:tcPr>
            <w:tcW w:w="1742" w:type="dxa"/>
            <w:noWrap w:val="0"/>
            <w:vAlign w:val="center"/>
          </w:tcPr>
          <w:p w14:paraId="17C74DB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逾期付款利息</w:t>
            </w:r>
          </w:p>
        </w:tc>
        <w:tc>
          <w:tcPr>
            <w:tcW w:w="5170" w:type="dxa"/>
            <w:noWrap w:val="0"/>
            <w:vAlign w:val="center"/>
          </w:tcPr>
          <w:p w14:paraId="0DE360E1">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1C9E6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297C39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05241F04">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第1</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.4</w:t>
            </w:r>
            <w:r>
              <w:rPr>
                <w:rFonts w:hint="eastAsia" w:ascii="华文中宋" w:hAnsi="华文中宋" w:eastAsia="华文中宋" w:cs="华文中宋"/>
                <w:sz w:val="21"/>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F447D88">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其他违约责任</w:t>
            </w:r>
          </w:p>
        </w:tc>
        <w:tc>
          <w:tcPr>
            <w:tcW w:w="5170" w:type="dxa"/>
            <w:tcBorders>
              <w:left w:val="single" w:color="auto" w:sz="2" w:space="0"/>
              <w:bottom w:val="single" w:color="auto" w:sz="2" w:space="0"/>
            </w:tcBorders>
            <w:noWrap w:val="0"/>
            <w:vAlign w:val="center"/>
          </w:tcPr>
          <w:p w14:paraId="6EC5551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u w:val="single"/>
              </w:rPr>
            </w:pPr>
          </w:p>
        </w:tc>
      </w:tr>
      <w:tr w14:paraId="78BC0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B52B64C">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6C636A26">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w:t>
            </w:r>
            <w:r>
              <w:rPr>
                <w:rFonts w:hint="eastAsia" w:ascii="华文中宋" w:hAnsi="华文中宋" w:eastAsia="华文中宋" w:cs="华文中宋"/>
                <w:sz w:val="21"/>
                <w:szCs w:val="21"/>
                <w:lang w:val="en-US" w:eastAsia="zh-CN"/>
              </w:rPr>
              <w:t>19</w:t>
            </w: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C94E533">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解决争议的方法</w:t>
            </w:r>
          </w:p>
        </w:tc>
        <w:tc>
          <w:tcPr>
            <w:tcW w:w="5170" w:type="dxa"/>
            <w:tcBorders>
              <w:top w:val="single" w:color="auto" w:sz="2" w:space="0"/>
              <w:left w:val="single" w:color="auto" w:sz="2" w:space="0"/>
            </w:tcBorders>
            <w:noWrap w:val="0"/>
            <w:vAlign w:val="center"/>
          </w:tcPr>
          <w:p w14:paraId="7C67006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b w:val="0"/>
                <w:bCs w:val="0"/>
                <w:iCs/>
                <w:sz w:val="21"/>
                <w:szCs w:val="21"/>
              </w:rPr>
            </w:pPr>
            <w:r>
              <w:rPr>
                <w:rFonts w:hint="eastAsia" w:ascii="华文中宋" w:hAnsi="华文中宋" w:eastAsia="华文中宋" w:cs="华文中宋"/>
                <w:b w:val="0"/>
                <w:bCs w:val="0"/>
                <w:iCs/>
                <w:sz w:val="21"/>
                <w:szCs w:val="21"/>
              </w:rPr>
              <w:t>因本合同及合同有关事项发生的争议，按下列第</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种方式解决：</w:t>
            </w:r>
          </w:p>
          <w:p w14:paraId="78A0B3C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b w:val="0"/>
                <w:bCs w:val="0"/>
                <w:iCs/>
                <w:sz w:val="21"/>
                <w:szCs w:val="21"/>
              </w:rPr>
            </w:pPr>
            <w:r>
              <w:rPr>
                <w:rFonts w:hint="eastAsia" w:ascii="华文中宋" w:hAnsi="华文中宋" w:eastAsia="华文中宋" w:cs="华文中宋"/>
                <w:b w:val="0"/>
                <w:bCs w:val="0"/>
                <w:iCs/>
                <w:sz w:val="21"/>
                <w:szCs w:val="21"/>
              </w:rPr>
              <w:t>（1）向</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仲裁委员会申请仲裁，仲裁地点为</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w:t>
            </w:r>
          </w:p>
          <w:p w14:paraId="36C75402">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firstLine="0" w:firstLineChars="0"/>
              <w:jc w:val="left"/>
              <w:rPr>
                <w:rFonts w:hint="eastAsia" w:ascii="华文中宋" w:hAnsi="华文中宋" w:eastAsia="华文中宋" w:cs="华文中宋"/>
                <w:sz w:val="21"/>
                <w:szCs w:val="21"/>
                <w:u w:val="single"/>
              </w:rPr>
            </w:pPr>
            <w:r>
              <w:rPr>
                <w:rFonts w:hint="eastAsia" w:ascii="华文中宋" w:hAnsi="华文中宋" w:eastAsia="华文中宋" w:cs="华文中宋"/>
                <w:b w:val="0"/>
                <w:bCs w:val="0"/>
                <w:iCs/>
                <w:sz w:val="21"/>
                <w:szCs w:val="21"/>
              </w:rPr>
              <w:t>（2）向</w:t>
            </w:r>
            <w:r>
              <w:rPr>
                <w:rFonts w:hint="eastAsia" w:ascii="华文中宋" w:hAnsi="华文中宋" w:eastAsia="华文中宋" w:cs="华文中宋"/>
                <w:b w:val="0"/>
                <w:bCs w:val="0"/>
                <w:iCs/>
                <w:sz w:val="21"/>
                <w:szCs w:val="21"/>
                <w:u w:val="single"/>
              </w:rPr>
              <w:t xml:space="preserve">                    </w:t>
            </w:r>
            <w:r>
              <w:rPr>
                <w:rFonts w:hint="eastAsia" w:ascii="华文中宋" w:hAnsi="华文中宋" w:eastAsia="华文中宋" w:cs="华文中宋"/>
                <w:b w:val="0"/>
                <w:bCs w:val="0"/>
                <w:iCs/>
                <w:sz w:val="21"/>
                <w:szCs w:val="21"/>
              </w:rPr>
              <w:t>人民法院起诉。</w:t>
            </w:r>
          </w:p>
        </w:tc>
      </w:tr>
      <w:tr w14:paraId="25B66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5AFDF5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第二节</w:t>
            </w:r>
          </w:p>
          <w:p w14:paraId="2D65AFD5">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第2</w:t>
            </w:r>
            <w:r>
              <w:rPr>
                <w:rFonts w:hint="eastAsia" w:ascii="华文中宋" w:hAnsi="华文中宋" w:eastAsia="华文中宋" w:cs="华文中宋"/>
                <w:sz w:val="21"/>
                <w:szCs w:val="21"/>
                <w:lang w:val="en-US" w:eastAsia="zh-CN"/>
              </w:rPr>
              <w:t>3.1</w:t>
            </w:r>
            <w:r>
              <w:rPr>
                <w:rFonts w:hint="eastAsia" w:ascii="华文中宋" w:hAnsi="华文中宋" w:eastAsia="华文中宋" w:cs="华文中宋"/>
                <w:sz w:val="21"/>
                <w:szCs w:val="21"/>
                <w:lang w:eastAsia="zh-CN"/>
              </w:rPr>
              <w:t>款</w:t>
            </w:r>
          </w:p>
        </w:tc>
        <w:tc>
          <w:tcPr>
            <w:tcW w:w="1742" w:type="dxa"/>
            <w:noWrap w:val="0"/>
            <w:vAlign w:val="center"/>
          </w:tcPr>
          <w:p w14:paraId="0ADE61DB">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rPr>
            </w:pPr>
            <w:r>
              <w:rPr>
                <w:rFonts w:hint="eastAsia" w:ascii="华文中宋" w:hAnsi="华文中宋" w:eastAsia="华文中宋" w:cs="华文中宋"/>
                <w:bCs/>
                <w:color w:val="auto"/>
                <w:sz w:val="21"/>
                <w:szCs w:val="21"/>
                <w:highlight w:val="none"/>
                <w:lang w:eastAsia="zh-CN"/>
              </w:rPr>
              <w:t>其他专用条款</w:t>
            </w:r>
          </w:p>
        </w:tc>
        <w:tc>
          <w:tcPr>
            <w:tcW w:w="5170" w:type="dxa"/>
            <w:noWrap w:val="0"/>
            <w:vAlign w:val="center"/>
          </w:tcPr>
          <w:p w14:paraId="2C8BBE79">
            <w:pPr>
              <w:keepNext w:val="0"/>
              <w:keepLines w:val="0"/>
              <w:pageBreakBefore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left"/>
              <w:rPr>
                <w:rFonts w:hint="eastAsia" w:ascii="华文中宋" w:hAnsi="华文中宋" w:eastAsia="华文中宋" w:cs="华文中宋"/>
                <w:sz w:val="21"/>
                <w:szCs w:val="21"/>
                <w:lang w:val="en-US" w:eastAsia="zh-CN"/>
              </w:rPr>
            </w:pPr>
          </w:p>
        </w:tc>
      </w:tr>
    </w:tbl>
    <w:p w14:paraId="62289D95">
      <w:pPr>
        <w:outlineLvl w:val="0"/>
        <w:rPr>
          <w:rFonts w:hint="eastAsia" w:ascii="华文中宋" w:hAnsi="华文中宋" w:eastAsia="华文中宋" w:cs="华文中宋"/>
          <w:b/>
          <w:bCs/>
          <w:sz w:val="28"/>
          <w:szCs w:val="28"/>
        </w:rPr>
      </w:pPr>
      <w:r>
        <w:rPr>
          <w:rFonts w:ascii="华文中宋" w:hAnsi="华文中宋" w:eastAsia="华文中宋"/>
        </w:rPr>
        <w:br w:type="page"/>
      </w:r>
      <w:bookmarkStart w:id="93" w:name="_Toc4492"/>
      <w:bookmarkStart w:id="94" w:name="_Toc91694433"/>
      <w:r>
        <w:rPr>
          <w:rFonts w:hint="eastAsia" w:ascii="华文中宋" w:hAnsi="华文中宋" w:eastAsia="华文中宋" w:cs="华文中宋"/>
          <w:b/>
          <w:bCs/>
          <w:sz w:val="28"/>
          <w:szCs w:val="28"/>
        </w:rPr>
        <w:t>第八部分  投标文件内容要求及格式</w:t>
      </w:r>
      <w:bookmarkEnd w:id="93"/>
      <w:bookmarkEnd w:id="94"/>
    </w:p>
    <w:p w14:paraId="5CE0F789">
      <w:pPr>
        <w:spacing w:line="480" w:lineRule="exact"/>
        <w:ind w:firstLine="434"/>
        <w:rPr>
          <w:rFonts w:hint="eastAsia" w:ascii="华文中宋" w:hAnsi="华文中宋" w:eastAsia="华文中宋" w:cs="华文中宋"/>
          <w:b/>
          <w:szCs w:val="21"/>
        </w:rPr>
      </w:pPr>
      <w:bookmarkStart w:id="95" w:name="_Toc175644062"/>
      <w:bookmarkStart w:id="96" w:name="_Toc326248014"/>
      <w:bookmarkStart w:id="97" w:name="_Toc86202633"/>
    </w:p>
    <w:p w14:paraId="107BC5A9">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95"/>
      <w:bookmarkEnd w:id="96"/>
      <w:bookmarkEnd w:id="97"/>
    </w:p>
    <w:p w14:paraId="3DEFE1B2">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1. 投标人按照本部分的顺序编排投标文件（资格证明文件、商务技术文件），编排中涉及格式资料的，应按照本部分提供的内容和格式（所有表格的格式可扩展）填写提交。</w:t>
      </w:r>
    </w:p>
    <w:p w14:paraId="0E432CA6">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2. 全部声明和问题的回答及所附材料必须是真实的、准确的和完整的。</w:t>
      </w:r>
    </w:p>
    <w:p w14:paraId="68EC72CF">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rPr>
      </w:pPr>
      <w:r>
        <w:rPr>
          <w:rFonts w:hint="eastAsia" w:ascii="华文中宋" w:hAnsi="华文中宋" w:eastAsia="华文中宋" w:cs="华文中宋"/>
          <w:sz w:val="21"/>
          <w:szCs w:val="21"/>
        </w:rPr>
        <w:t>3. 按招标文件要求“格式”提供的材料，如有调整，内容及签署必须完整、有效，且没有本文件不可接受的条件。</w:t>
      </w:r>
    </w:p>
    <w:p w14:paraId="49C64699">
      <w:pPr>
        <w:rPr>
          <w:rFonts w:ascii="华文中宋" w:hAnsi="华文中宋" w:eastAsia="华文中宋" w:cs="华文中宋"/>
          <w:b/>
          <w:spacing w:val="20"/>
        </w:rPr>
      </w:pPr>
      <w:r>
        <w:rPr>
          <w:rFonts w:hint="eastAsia" w:ascii="华文中宋" w:hAnsi="华文中宋" w:eastAsia="华文中宋"/>
          <w:b/>
          <w:spacing w:val="20"/>
        </w:rPr>
        <w:br w:type="page"/>
      </w:r>
    </w:p>
    <w:p w14:paraId="032362E6">
      <w:pPr>
        <w:rPr>
          <w:rFonts w:hint="eastAsia"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3D009606">
      <w:pPr>
        <w:rPr>
          <w:rFonts w:hint="eastAsia" w:ascii="华文中宋" w:hAnsi="华文中宋" w:eastAsia="华文中宋" w:cs="华文中宋"/>
          <w:b/>
          <w:spacing w:val="20"/>
          <w:szCs w:val="21"/>
        </w:rPr>
      </w:pPr>
    </w:p>
    <w:p w14:paraId="1BE51388">
      <w:pPr>
        <w:rPr>
          <w:rFonts w:hint="eastAsia"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662510A1">
      <w:pPr>
        <w:jc w:val="center"/>
        <w:rPr>
          <w:rFonts w:hint="eastAsia" w:ascii="华文中宋" w:hAnsi="华文中宋" w:eastAsia="华文中宋" w:cs="华文中宋"/>
          <w:szCs w:val="21"/>
        </w:rPr>
      </w:pPr>
    </w:p>
    <w:p w14:paraId="2B394BE2">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19ABD6DC">
      <w:pPr>
        <w:jc w:val="center"/>
        <w:rPr>
          <w:rFonts w:hint="eastAsia"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05E06FEA">
      <w:pPr>
        <w:ind w:firstLine="540" w:firstLineChars="150"/>
        <w:rPr>
          <w:rFonts w:hint="eastAsia" w:ascii="华文中宋" w:hAnsi="华文中宋" w:eastAsia="华文中宋" w:cs="华文中宋"/>
          <w:b/>
          <w:spacing w:val="20"/>
          <w:sz w:val="32"/>
          <w:szCs w:val="32"/>
        </w:rPr>
      </w:pPr>
    </w:p>
    <w:p w14:paraId="202F8FEF">
      <w:pPr>
        <w:ind w:firstLine="540" w:firstLineChars="150"/>
        <w:rPr>
          <w:rFonts w:hint="eastAsia" w:ascii="华文中宋" w:hAnsi="华文中宋" w:eastAsia="华文中宋" w:cs="华文中宋"/>
          <w:b/>
          <w:spacing w:val="20"/>
          <w:sz w:val="32"/>
          <w:szCs w:val="32"/>
        </w:rPr>
      </w:pPr>
    </w:p>
    <w:p w14:paraId="4DA95D84">
      <w:pPr>
        <w:ind w:firstLine="540"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14:paraId="644ED371">
      <w:pPr>
        <w:ind w:firstLine="540"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7693B9B">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w:t>
      </w:r>
      <w:r>
        <w:rPr>
          <w:rFonts w:hint="eastAsia" w:ascii="华文中宋" w:hAnsi="华文中宋" w:eastAsia="华文中宋" w:cs="华文中宋"/>
          <w:b/>
          <w:spacing w:val="20"/>
          <w:sz w:val="32"/>
          <w:szCs w:val="32"/>
          <w:lang w:val="en-US" w:eastAsia="zh-CN"/>
        </w:rPr>
        <w:t xml:space="preserve"> </w:t>
      </w:r>
      <w:r>
        <w:rPr>
          <w:rFonts w:hint="eastAsia" w:ascii="华文中宋" w:hAnsi="华文中宋" w:eastAsia="华文中宋" w:cs="华文中宋"/>
          <w:b/>
          <w:spacing w:val="20"/>
          <w:sz w:val="32"/>
          <w:szCs w:val="32"/>
        </w:rPr>
        <w:t xml:space="preserve">   号：</w:t>
      </w:r>
    </w:p>
    <w:p w14:paraId="38821312">
      <w:pPr>
        <w:ind w:firstLine="540" w:firstLineChars="150"/>
        <w:rPr>
          <w:rFonts w:hint="eastAsia" w:ascii="华文中宋" w:hAnsi="华文中宋" w:eastAsia="华文中宋" w:cs="华文中宋"/>
          <w:b/>
          <w:spacing w:val="20"/>
          <w:sz w:val="32"/>
          <w:szCs w:val="32"/>
        </w:rPr>
      </w:pPr>
    </w:p>
    <w:p w14:paraId="76977D51">
      <w:pPr>
        <w:ind w:firstLine="540" w:firstLineChars="150"/>
        <w:rPr>
          <w:rFonts w:hint="eastAsia" w:ascii="华文中宋" w:hAnsi="华文中宋" w:eastAsia="华文中宋" w:cs="华文中宋"/>
          <w:b/>
          <w:spacing w:val="20"/>
          <w:sz w:val="32"/>
          <w:szCs w:val="32"/>
        </w:rPr>
      </w:pPr>
    </w:p>
    <w:p w14:paraId="6E2FED80">
      <w:pPr>
        <w:jc w:val="center"/>
        <w:rPr>
          <w:rFonts w:hint="eastAsia" w:ascii="华文中宋" w:hAnsi="华文中宋" w:eastAsia="华文中宋" w:cs="华文中宋"/>
          <w:b/>
          <w:sz w:val="32"/>
          <w:szCs w:val="32"/>
        </w:rPr>
      </w:pPr>
    </w:p>
    <w:p w14:paraId="0D81A65B">
      <w:pPr>
        <w:pStyle w:val="25"/>
        <w:keepNext/>
        <w:keepLines/>
        <w:widowControl w:val="0"/>
        <w:adjustRightInd w:val="0"/>
        <w:snapToGrid w:val="0"/>
        <w:spacing w:before="0" w:beforeAutospacing="0" w:after="0" w:afterAutospacing="0"/>
        <w:jc w:val="center"/>
        <w:outlineLvl w:val="9"/>
        <w:rPr>
          <w:rFonts w:hint="eastAsia" w:ascii="华文中宋" w:hAnsi="华文中宋" w:eastAsia="华文中宋" w:cs="华文中宋"/>
          <w:b/>
          <w:sz w:val="32"/>
          <w:szCs w:val="32"/>
        </w:rPr>
      </w:pPr>
    </w:p>
    <w:p w14:paraId="160955C1">
      <w:pPr>
        <w:jc w:val="center"/>
        <w:rPr>
          <w:rFonts w:hint="eastAsia" w:ascii="华文中宋" w:hAnsi="华文中宋" w:eastAsia="华文中宋" w:cs="华文中宋"/>
          <w:b/>
          <w:sz w:val="32"/>
          <w:szCs w:val="32"/>
        </w:rPr>
      </w:pPr>
    </w:p>
    <w:p w14:paraId="5CF7556C">
      <w:pPr>
        <w:jc w:val="center"/>
        <w:rPr>
          <w:rFonts w:hint="eastAsia" w:ascii="华文中宋" w:hAnsi="华文中宋" w:eastAsia="华文中宋" w:cs="华文中宋"/>
          <w:b/>
          <w:spacing w:val="20"/>
          <w:sz w:val="32"/>
          <w:szCs w:val="32"/>
        </w:rPr>
      </w:pPr>
    </w:p>
    <w:p w14:paraId="38CAFBE6">
      <w:pPr>
        <w:jc w:val="center"/>
        <w:rPr>
          <w:rFonts w:hint="eastAsia" w:ascii="华文中宋" w:hAnsi="华文中宋" w:eastAsia="华文中宋" w:cs="华文中宋"/>
          <w:b/>
          <w:spacing w:val="20"/>
          <w:sz w:val="32"/>
          <w:szCs w:val="32"/>
        </w:rPr>
      </w:pPr>
    </w:p>
    <w:p w14:paraId="68D50B30">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14:paraId="74707AC7">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511E55B4">
      <w:pPr>
        <w:rPr>
          <w:rFonts w:hint="eastAsia" w:ascii="华文中宋" w:hAnsi="华文中宋" w:eastAsia="华文中宋" w:cs="华文中宋"/>
          <w:b/>
        </w:rPr>
      </w:pPr>
    </w:p>
    <w:p w14:paraId="0836B1DA">
      <w:pPr>
        <w:jc w:val="center"/>
        <w:rPr>
          <w:rFonts w:hint="eastAsia" w:ascii="华文中宋" w:hAnsi="华文中宋" w:eastAsia="华文中宋" w:cs="华文中宋"/>
          <w:b/>
          <w:sz w:val="24"/>
        </w:rPr>
      </w:pPr>
    </w:p>
    <w:p w14:paraId="041AC5EC">
      <w:pPr>
        <w:jc w:val="center"/>
        <w:rPr>
          <w:rFonts w:hint="eastAsia" w:ascii="华文中宋" w:hAnsi="华文中宋" w:eastAsia="华文中宋" w:cs="华文中宋"/>
          <w:b/>
          <w:sz w:val="24"/>
        </w:rPr>
      </w:pPr>
    </w:p>
    <w:p w14:paraId="4637FB38">
      <w:pPr>
        <w:pStyle w:val="14"/>
        <w:rPr>
          <w:rFonts w:hint="eastAsia"/>
        </w:rPr>
      </w:pPr>
    </w:p>
    <w:p w14:paraId="7EB6475E">
      <w:pPr>
        <w:jc w:val="center"/>
        <w:rPr>
          <w:rFonts w:hint="eastAsia" w:ascii="华文中宋" w:hAnsi="华文中宋" w:eastAsia="华文中宋" w:cs="微软雅黑"/>
          <w:b/>
          <w:sz w:val="24"/>
        </w:rPr>
      </w:pPr>
      <w:r>
        <w:rPr>
          <w:rFonts w:hint="eastAsia" w:ascii="华文中宋" w:hAnsi="华文中宋" w:eastAsia="华文中宋" w:cs="微软雅黑"/>
          <w:b/>
          <w:sz w:val="24"/>
        </w:rPr>
        <w:t>资  格  证  明  文  件</w:t>
      </w:r>
    </w:p>
    <w:p w14:paraId="02143635">
      <w:pPr>
        <w:jc w:val="center"/>
        <w:rPr>
          <w:rFonts w:hint="eastAsia" w:ascii="华文中宋" w:hAnsi="华文中宋" w:eastAsia="华文中宋" w:cs="微软雅黑"/>
          <w:b/>
          <w:sz w:val="24"/>
        </w:rPr>
      </w:pPr>
      <w:r>
        <w:rPr>
          <w:rFonts w:hint="eastAsia" w:ascii="华文中宋" w:hAnsi="华文中宋" w:eastAsia="华文中宋" w:cs="微软雅黑"/>
          <w:b/>
          <w:sz w:val="24"/>
        </w:rPr>
        <w:t>目    录</w:t>
      </w:r>
    </w:p>
    <w:p w14:paraId="4E915B8F">
      <w:pPr>
        <w:jc w:val="center"/>
        <w:rPr>
          <w:rFonts w:hint="eastAsia" w:ascii="华文中宋" w:hAnsi="华文中宋" w:eastAsia="华文中宋" w:cs="微软雅黑"/>
          <w:b/>
          <w:sz w:val="24"/>
        </w:rPr>
      </w:pPr>
    </w:p>
    <w:p w14:paraId="3FBA65AD">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1、投标人代表的证明…………………………………………………………………………………页码</w:t>
      </w:r>
    </w:p>
    <w:p w14:paraId="55CD62E5">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2、投标函………………………………………………………………………………………………页码</w:t>
      </w:r>
    </w:p>
    <w:p w14:paraId="24012489">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3</w:t>
      </w:r>
      <w:r>
        <w:rPr>
          <w:rFonts w:hint="eastAsia" w:ascii="华文中宋" w:hAnsi="华文中宋" w:eastAsia="华文中宋" w:cs="微软雅黑"/>
          <w:sz w:val="21"/>
          <w:szCs w:val="21"/>
        </w:rPr>
        <w:t>、《政府集中采购供应商信用承诺书》……………………………………………………………页码</w:t>
      </w:r>
    </w:p>
    <w:p w14:paraId="35773C0E">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4</w:t>
      </w:r>
      <w:r>
        <w:rPr>
          <w:rFonts w:hint="eastAsia" w:ascii="华文中宋" w:hAnsi="华文中宋" w:eastAsia="华文中宋" w:cs="微软雅黑"/>
          <w:sz w:val="21"/>
          <w:szCs w:val="21"/>
        </w:rPr>
        <w:t>、本项目要求的其他特定资格条件…………</w:t>
      </w:r>
      <w:r>
        <w:rPr>
          <w:rFonts w:hint="eastAsia" w:ascii="华文中宋" w:hAnsi="华文中宋" w:eastAsia="华文中宋" w:cs="微软雅黑"/>
          <w:sz w:val="21"/>
          <w:szCs w:val="21"/>
          <w:lang w:eastAsia="zh-CN"/>
        </w:rPr>
        <w:t>…………………………</w:t>
      </w:r>
      <w:r>
        <w:rPr>
          <w:rFonts w:hint="eastAsia" w:ascii="华文中宋" w:hAnsi="华文中宋" w:eastAsia="华文中宋" w:cs="微软雅黑"/>
          <w:sz w:val="21"/>
          <w:szCs w:val="21"/>
        </w:rPr>
        <w:t>……………………………页码</w:t>
      </w:r>
    </w:p>
    <w:p w14:paraId="497A58DE">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5</w:t>
      </w:r>
      <w:r>
        <w:rPr>
          <w:rFonts w:hint="eastAsia" w:ascii="华文中宋" w:hAnsi="华文中宋" w:eastAsia="华文中宋" w:cs="微软雅黑"/>
          <w:sz w:val="21"/>
          <w:szCs w:val="21"/>
        </w:rPr>
        <w:t>、基本存款账户信息……………………</w:t>
      </w:r>
      <w:r>
        <w:rPr>
          <w:rFonts w:hint="eastAsia" w:ascii="华文中宋" w:hAnsi="华文中宋" w:eastAsia="华文中宋" w:cs="微软雅黑"/>
          <w:sz w:val="21"/>
          <w:szCs w:val="21"/>
          <w:lang w:eastAsia="zh-CN"/>
        </w:rPr>
        <w:t>…………</w:t>
      </w:r>
      <w:r>
        <w:rPr>
          <w:rFonts w:hint="eastAsia" w:ascii="华文中宋" w:hAnsi="华文中宋" w:eastAsia="华文中宋" w:cs="微软雅黑"/>
          <w:sz w:val="21"/>
          <w:szCs w:val="21"/>
        </w:rPr>
        <w:t>…………………………………………………页码</w:t>
      </w:r>
    </w:p>
    <w:p w14:paraId="0017C52E">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6</w:t>
      </w:r>
      <w:r>
        <w:rPr>
          <w:rFonts w:hint="eastAsia" w:ascii="华文中宋" w:hAnsi="华文中宋" w:eastAsia="华文中宋" w:cs="微软雅黑"/>
          <w:sz w:val="21"/>
          <w:szCs w:val="21"/>
        </w:rPr>
        <w:t>、联合体投标协议（若有的话）…………………………………………………………………页码</w:t>
      </w:r>
    </w:p>
    <w:p w14:paraId="19A2327E">
      <w:pPr>
        <w:pStyle w:val="25"/>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7、</w:t>
      </w:r>
      <w:r>
        <w:rPr>
          <w:rFonts w:hint="eastAsia" w:ascii="华文中宋" w:hAnsi="华文中宋" w:eastAsia="华文中宋" w:cs="微软雅黑"/>
          <w:sz w:val="21"/>
          <w:szCs w:val="21"/>
        </w:rPr>
        <w:t>中小企业声明函（若有的话）……………………………………………………………………页码</w:t>
      </w:r>
    </w:p>
    <w:p w14:paraId="6ACCBC40">
      <w:pPr>
        <w:pStyle w:val="25"/>
        <w:snapToGrid w:val="0"/>
        <w:spacing w:before="0" w:beforeAutospacing="0" w:after="0" w:afterAutospacing="0" w:line="400" w:lineRule="exact"/>
        <w:jc w:val="both"/>
        <w:rPr>
          <w:rFonts w:hint="eastAsia" w:ascii="华文中宋" w:hAnsi="华文中宋" w:eastAsia="华文中宋" w:cs="微软雅黑"/>
          <w:sz w:val="21"/>
          <w:szCs w:val="21"/>
        </w:rPr>
      </w:pPr>
    </w:p>
    <w:p w14:paraId="37CF3315">
      <w:pPr>
        <w:pStyle w:val="25"/>
        <w:snapToGrid w:val="0"/>
        <w:spacing w:before="0" w:beforeAutospacing="0" w:after="0" w:afterAutospacing="0" w:line="400" w:lineRule="exact"/>
        <w:jc w:val="both"/>
        <w:rPr>
          <w:rFonts w:hint="eastAsia" w:ascii="华文中宋" w:hAnsi="华文中宋" w:eastAsia="华文中宋" w:cs="微软雅黑"/>
          <w:sz w:val="21"/>
          <w:szCs w:val="21"/>
        </w:rPr>
      </w:pPr>
    </w:p>
    <w:p w14:paraId="2C69225E">
      <w:pPr>
        <w:pStyle w:val="25"/>
        <w:widowControl w:val="0"/>
        <w:snapToGrid w:val="0"/>
        <w:spacing w:before="0" w:beforeAutospacing="0" w:after="0" w:afterAutospacing="0" w:line="400" w:lineRule="exact"/>
        <w:jc w:val="both"/>
        <w:rPr>
          <w:rFonts w:ascii="华文中宋" w:hAnsi="华文中宋" w:eastAsia="华文中宋" w:cs="华文中宋"/>
        </w:rPr>
      </w:pPr>
    </w:p>
    <w:p w14:paraId="1D7F6B7C">
      <w:pPr>
        <w:rPr>
          <w:rFonts w:ascii="华文中宋" w:hAnsi="华文中宋" w:eastAsia="华文中宋" w:cs="华文中宋"/>
          <w:b/>
          <w:szCs w:val="21"/>
        </w:rPr>
      </w:pPr>
    </w:p>
    <w:p w14:paraId="4D709B4B">
      <w:pPr>
        <w:snapToGrid w:val="0"/>
        <w:spacing w:line="276" w:lineRule="auto"/>
        <w:ind w:left="601" w:hanging="601" w:hangingChars="200"/>
        <w:rPr>
          <w:rFonts w:hint="eastAsia" w:ascii="华文中宋" w:hAnsi="华文中宋" w:eastAsia="华文中宋" w:cs="华文中宋"/>
          <w:b/>
          <w:highlight w:val="none"/>
        </w:rPr>
      </w:pPr>
      <w:r>
        <w:rPr>
          <w:rFonts w:hint="eastAsia" w:ascii="华文中宋" w:hAnsi="华文中宋" w:eastAsia="华文中宋"/>
          <w:b/>
          <w:sz w:val="30"/>
        </w:rPr>
        <w:br w:type="page"/>
      </w:r>
      <w:r>
        <w:rPr>
          <w:rFonts w:hint="eastAsia" w:ascii="华文中宋" w:hAnsi="华文中宋" w:eastAsia="华文中宋" w:cs="华文中宋"/>
          <w:b/>
          <w:sz w:val="24"/>
          <w:highlight w:val="none"/>
        </w:rPr>
        <w:t>（一）投标人</w:t>
      </w:r>
      <w:r>
        <w:rPr>
          <w:rFonts w:hint="eastAsia" w:ascii="华文中宋" w:hAnsi="华文中宋" w:eastAsia="华文中宋" w:cs="华文中宋"/>
          <w:b/>
          <w:bCs/>
          <w:spacing w:val="20"/>
          <w:sz w:val="24"/>
          <w:highlight w:val="none"/>
        </w:rPr>
        <w:t>代表的证明</w:t>
      </w:r>
      <w:r>
        <w:rPr>
          <w:rFonts w:hint="eastAsia" w:ascii="华文中宋" w:hAnsi="华文中宋" w:eastAsia="华文中宋" w:cs="华文中宋"/>
          <w:b/>
          <w:sz w:val="24"/>
          <w:highlight w:val="none"/>
        </w:rPr>
        <w:t>格式</w:t>
      </w:r>
    </w:p>
    <w:p w14:paraId="0C7A3DA3">
      <w:pPr>
        <w:snapToGrid w:val="0"/>
        <w:spacing w:line="360" w:lineRule="auto"/>
        <w:ind w:left="500" w:hanging="444" w:hangingChars="200"/>
        <w:jc w:val="left"/>
        <w:rPr>
          <w:rFonts w:hint="eastAsia" w:ascii="华文中宋" w:hAnsi="华文中宋" w:eastAsia="华文中宋" w:cs="微软雅黑"/>
          <w:bCs/>
          <w:spacing w:val="6"/>
          <w:szCs w:val="21"/>
        </w:rPr>
      </w:pPr>
    </w:p>
    <w:p w14:paraId="2AACD0A4">
      <w:pPr>
        <w:pStyle w:val="14"/>
        <w:rPr>
          <w:rFonts w:hint="eastAsia"/>
        </w:rPr>
      </w:pPr>
    </w:p>
    <w:p w14:paraId="40272FE3">
      <w:pPr>
        <w:snapToGrid w:val="0"/>
        <w:spacing w:line="276" w:lineRule="auto"/>
        <w:ind w:left="560" w:hanging="560" w:hangingChars="200"/>
        <w:jc w:val="center"/>
        <w:rPr>
          <w:rFonts w:hint="eastAsia" w:ascii="华文中宋" w:hAnsi="华文中宋" w:eastAsia="华文中宋" w:cs="微软雅黑"/>
          <w:bCs/>
          <w:spacing w:val="6"/>
          <w:sz w:val="24"/>
        </w:rPr>
      </w:pPr>
      <w:r>
        <w:rPr>
          <w:rFonts w:hint="eastAsia" w:ascii="华文中宋" w:hAnsi="华文中宋" w:eastAsia="华文中宋" w:cs="微软雅黑"/>
          <w:b/>
          <w:spacing w:val="20"/>
          <w:sz w:val="24"/>
        </w:rPr>
        <w:t>法定代表人（负责人）身份证明书</w:t>
      </w:r>
    </w:p>
    <w:p w14:paraId="20721DFC">
      <w:pPr>
        <w:adjustRightInd w:val="0"/>
        <w:snapToGrid w:val="0"/>
        <w:spacing w:line="360" w:lineRule="auto"/>
        <w:rPr>
          <w:rFonts w:hint="eastAsia" w:ascii="华文中宋" w:hAnsi="华文中宋" w:eastAsia="华文中宋" w:cs="微软雅黑"/>
          <w:spacing w:val="6"/>
          <w:szCs w:val="21"/>
        </w:rPr>
      </w:pPr>
    </w:p>
    <w:p w14:paraId="4FFCA3C2">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177A60AC">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54EA8D3A">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774FFBF0">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670170F5">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3EB44954">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61123192">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6D25E2BA">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1D112EA5">
      <w:pPr>
        <w:spacing w:line="360" w:lineRule="auto"/>
        <w:ind w:firstLine="444" w:firstLineChars="2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特此证明</w:t>
      </w:r>
    </w:p>
    <w:p w14:paraId="2F2A126E">
      <w:pPr>
        <w:tabs>
          <w:tab w:val="left" w:pos="3755"/>
        </w:tabs>
        <w:adjustRightInd w:val="0"/>
        <w:snapToGrid w:val="0"/>
        <w:spacing w:line="360" w:lineRule="auto"/>
        <w:rPr>
          <w:rFonts w:hint="eastAsia" w:ascii="华文中宋" w:hAnsi="华文中宋" w:eastAsia="华文中宋" w:cs="微软雅黑"/>
          <w:spacing w:val="20"/>
          <w:szCs w:val="21"/>
        </w:rPr>
      </w:pPr>
      <w:r>
        <w:rPr>
          <w:rFonts w:hint="eastAsia" w:ascii="华文中宋" w:hAnsi="华文中宋" w:eastAsia="华文中宋" w:cs="微软雅黑"/>
          <w:spacing w:val="20"/>
          <w:szCs w:val="21"/>
        </w:rPr>
        <w:tab/>
      </w:r>
      <w:r>
        <w:rPr>
          <w:rFonts w:hint="eastAsia" w:ascii="华文中宋" w:hAnsi="华文中宋" w:eastAsia="华文中宋" w:cs="微软雅黑"/>
          <w:spacing w:val="20"/>
          <w:szCs w:val="21"/>
        </w:rPr>
        <w:t>投标人：</w:t>
      </w:r>
      <w:r>
        <w:rPr>
          <w:rFonts w:hint="eastAsia" w:ascii="华文中宋" w:hAnsi="华文中宋" w:eastAsia="华文中宋" w:cs="微软雅黑"/>
          <w:spacing w:val="20"/>
          <w:szCs w:val="21"/>
          <w:u w:val="single"/>
        </w:rPr>
        <w:t xml:space="preserve">                 </w:t>
      </w:r>
      <w:r>
        <w:rPr>
          <w:rFonts w:hint="eastAsia" w:ascii="华文中宋" w:hAnsi="华文中宋" w:eastAsia="华文中宋" w:cs="微软雅黑"/>
          <w:spacing w:val="20"/>
          <w:szCs w:val="21"/>
        </w:rPr>
        <w:t>(法人电子签章)</w:t>
      </w:r>
    </w:p>
    <w:p w14:paraId="2C831444">
      <w:pPr>
        <w:tabs>
          <w:tab w:val="left" w:pos="4490"/>
        </w:tabs>
        <w:adjustRightInd w:val="0"/>
        <w:snapToGrid w:val="0"/>
        <w:spacing w:line="360" w:lineRule="auto"/>
        <w:ind w:firstLine="3750" w:firstLineChars="1500"/>
        <w:rPr>
          <w:rFonts w:hint="eastAsia" w:ascii="华文中宋" w:hAnsi="华文中宋" w:eastAsia="华文中宋" w:cs="微软雅黑"/>
          <w:szCs w:val="21"/>
        </w:rPr>
      </w:pPr>
      <w:r>
        <w:rPr>
          <w:rFonts w:hint="eastAsia" w:ascii="华文中宋" w:hAnsi="华文中宋" w:eastAsia="华文中宋" w:cs="微软雅黑"/>
          <w:spacing w:val="20"/>
          <w:szCs w:val="21"/>
        </w:rPr>
        <w:t>日  期：    年   月   日</w:t>
      </w:r>
    </w:p>
    <w:p w14:paraId="575B3196">
      <w:pPr>
        <w:spacing w:line="276" w:lineRule="auto"/>
        <w:rPr>
          <w:rFonts w:hint="eastAsia" w:ascii="华文中宋" w:hAnsi="华文中宋" w:eastAsia="华文中宋" w:cs="微软雅黑"/>
          <w:b/>
          <w:szCs w:val="21"/>
          <w:lang w:eastAsia="zh-CN"/>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cs="华文中宋"/>
          <w:b/>
          <w:szCs w:val="21"/>
          <w:lang w:eastAsia="zh-CN"/>
        </w:rPr>
        <w:t>影印件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F7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60B2A213">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0E3AF0EE">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14:paraId="2D4EF5B8">
      <w:pPr>
        <w:snapToGrid w:val="0"/>
        <w:spacing w:before="100" w:beforeAutospacing="1" w:after="100" w:afterAutospacing="1" w:line="360" w:lineRule="auto"/>
        <w:rPr>
          <w:rFonts w:hint="eastAsia" w:ascii="华文中宋" w:hAnsi="华文中宋" w:eastAsia="华文中宋" w:cs="微软雅黑"/>
          <w:b/>
          <w:bCs/>
          <w:sz w:val="24"/>
        </w:rPr>
      </w:pPr>
    </w:p>
    <w:p w14:paraId="5E089E4D">
      <w:pPr>
        <w:snapToGrid w:val="0"/>
        <w:spacing w:beforeAutospacing="1" w:afterAutospacing="1" w:line="276" w:lineRule="auto"/>
        <w:rPr>
          <w:rFonts w:hint="eastAsia" w:ascii="华文中宋" w:hAnsi="华文中宋" w:eastAsia="华文中宋" w:cs="微软雅黑"/>
          <w:b/>
          <w:sz w:val="24"/>
        </w:rPr>
      </w:pPr>
    </w:p>
    <w:p w14:paraId="674B642B">
      <w:pPr>
        <w:pStyle w:val="14"/>
        <w:rPr>
          <w:rFonts w:hint="eastAsia"/>
        </w:rPr>
      </w:pPr>
    </w:p>
    <w:p w14:paraId="1B50C7B3">
      <w:pPr>
        <w:pStyle w:val="36"/>
        <w:rPr>
          <w:rFonts w:hint="eastAsia"/>
          <w:color w:val="auto"/>
        </w:rPr>
      </w:pPr>
    </w:p>
    <w:p w14:paraId="7A24F4CE">
      <w:pPr>
        <w:pStyle w:val="36"/>
        <w:rPr>
          <w:rFonts w:hint="eastAsia"/>
          <w:color w:val="auto"/>
        </w:rPr>
      </w:pPr>
    </w:p>
    <w:p w14:paraId="3C9A076D">
      <w:pPr>
        <w:pStyle w:val="36"/>
        <w:rPr>
          <w:rFonts w:hint="eastAsia"/>
          <w:color w:val="auto"/>
        </w:rPr>
      </w:pPr>
    </w:p>
    <w:p w14:paraId="7B620B2C">
      <w:pPr>
        <w:snapToGrid w:val="0"/>
        <w:spacing w:line="276" w:lineRule="auto"/>
        <w:jc w:val="both"/>
        <w:rPr>
          <w:rFonts w:hint="eastAsia" w:ascii="华文中宋" w:hAnsi="华文中宋" w:eastAsia="华文中宋" w:cs="微软雅黑"/>
          <w:b/>
          <w:sz w:val="24"/>
        </w:rPr>
      </w:pPr>
    </w:p>
    <w:p w14:paraId="7DF60C0F">
      <w:pPr>
        <w:snapToGrid w:val="0"/>
        <w:spacing w:line="276" w:lineRule="auto"/>
        <w:ind w:left="480" w:hanging="480" w:hangingChars="200"/>
        <w:jc w:val="center"/>
        <w:rPr>
          <w:rFonts w:hint="eastAsia" w:ascii="华文中宋" w:hAnsi="华文中宋" w:eastAsia="华文中宋" w:cs="微软雅黑"/>
          <w:b/>
          <w:sz w:val="24"/>
        </w:rPr>
      </w:pPr>
    </w:p>
    <w:p w14:paraId="12508E8C">
      <w:pPr>
        <w:snapToGrid w:val="0"/>
        <w:spacing w:line="276" w:lineRule="auto"/>
        <w:ind w:left="480" w:hanging="480" w:hangingChars="200"/>
        <w:jc w:val="center"/>
        <w:rPr>
          <w:rFonts w:hint="eastAsia" w:ascii="华文中宋" w:hAnsi="华文中宋" w:eastAsia="华文中宋" w:cs="微软雅黑"/>
          <w:b/>
          <w:sz w:val="24"/>
        </w:rPr>
      </w:pPr>
      <w:r>
        <w:rPr>
          <w:rFonts w:hint="eastAsia" w:ascii="华文中宋" w:hAnsi="华文中宋" w:eastAsia="华文中宋" w:cs="微软雅黑"/>
          <w:b/>
          <w:sz w:val="24"/>
        </w:rPr>
        <w:t xml:space="preserve"> 法定代表人（负责人）授权委托书   </w:t>
      </w:r>
    </w:p>
    <w:p w14:paraId="7475509D">
      <w:pPr>
        <w:snapToGrid w:val="0"/>
        <w:spacing w:line="360" w:lineRule="auto"/>
        <w:rPr>
          <w:rFonts w:hint="eastAsia" w:ascii="华文中宋" w:hAnsi="华文中宋" w:eastAsia="华文中宋" w:cs="微软雅黑"/>
          <w:szCs w:val="21"/>
        </w:rPr>
      </w:pPr>
    </w:p>
    <w:p w14:paraId="355C6D26">
      <w:pPr>
        <w:snapToGrid w:val="0"/>
        <w:spacing w:line="360" w:lineRule="auto"/>
        <w:rPr>
          <w:rFonts w:hint="eastAsia" w:ascii="华文中宋" w:hAnsi="华文中宋" w:eastAsia="华文中宋" w:cs="微软雅黑"/>
          <w:szCs w:val="21"/>
        </w:rPr>
      </w:pPr>
    </w:p>
    <w:p w14:paraId="41561439">
      <w:pPr>
        <w:snapToGrid w:val="0"/>
        <w:spacing w:line="360" w:lineRule="auto"/>
        <w:rPr>
          <w:rFonts w:hint="eastAsia" w:ascii="华文中宋" w:hAnsi="华文中宋" w:eastAsia="华文中宋" w:cs="微软雅黑"/>
          <w:b/>
          <w:szCs w:val="21"/>
        </w:rPr>
      </w:pPr>
      <w:r>
        <w:rPr>
          <w:rFonts w:hint="eastAsia" w:ascii="华文中宋" w:hAnsi="华文中宋" w:eastAsia="华文中宋" w:cs="微软雅黑"/>
          <w:szCs w:val="21"/>
          <w:lang w:eastAsia="zh-CN"/>
        </w:rPr>
        <w:t>高平</w:t>
      </w:r>
      <w:r>
        <w:rPr>
          <w:rFonts w:hint="eastAsia" w:ascii="华文中宋" w:hAnsi="华文中宋" w:eastAsia="华文中宋" w:cs="微软雅黑"/>
          <w:szCs w:val="21"/>
        </w:rPr>
        <w:t>市公共资源交易中心：</w:t>
      </w:r>
    </w:p>
    <w:p w14:paraId="38C93A4E">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本授权委托书声明：注册于</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（投标人住址）的</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（投标人名称）法定代表人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（法定代表人姓名、职务、身份证号）代表本公司授权</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（投标人代表姓名、职务、身份证号）为本公司的合法代理人，就贵方组织的</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b/>
          <w:szCs w:val="21"/>
        </w:rPr>
        <w:t xml:space="preserve"> </w:t>
      </w:r>
      <w:r>
        <w:rPr>
          <w:rFonts w:hint="eastAsia" w:ascii="华文中宋" w:hAnsi="华文中宋" w:eastAsia="华文中宋" w:cs="微软雅黑"/>
          <w:szCs w:val="21"/>
        </w:rPr>
        <w:t>项目，项目编号：</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szCs w:val="21"/>
        </w:rPr>
        <w:t>，以本公司名义处理一切与之有关的事务。</w:t>
      </w:r>
    </w:p>
    <w:p w14:paraId="5AA65566">
      <w:pPr>
        <w:snapToGrid w:val="0"/>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 xml:space="preserve">本授权书于    年  月  日生效，特此声明。                                  </w:t>
      </w:r>
    </w:p>
    <w:p w14:paraId="372FF24B">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75160D73">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法定代表人（负责人）：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（法定代表人电子章） </w:t>
      </w:r>
    </w:p>
    <w:p w14:paraId="0E4BA99D">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w:t>
      </w:r>
      <w:r>
        <w:rPr>
          <w:rFonts w:hint="eastAsia" w:ascii="华文中宋" w:hAnsi="华文中宋" w:eastAsia="华文中宋" w:cs="微软雅黑"/>
          <w:spacing w:val="20"/>
          <w:szCs w:val="21"/>
        </w:rPr>
        <w:t xml:space="preserve">日 期：    </w:t>
      </w:r>
      <w:r>
        <w:rPr>
          <w:rFonts w:hint="eastAsia" w:ascii="华文中宋" w:hAnsi="华文中宋" w:eastAsia="华文中宋" w:cs="微软雅黑"/>
          <w:szCs w:val="21"/>
        </w:rPr>
        <w:t>年     月    日</w:t>
      </w:r>
    </w:p>
    <w:p w14:paraId="2C30FFAC">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附投标人代表有效的身份证正反两面影印件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C37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98BD345">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51064D4A">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14:paraId="05FA3595">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注：法定代表人（负责人）参加，不用此委托书。</w:t>
      </w:r>
    </w:p>
    <w:p w14:paraId="70C82B17">
      <w:pPr>
        <w:spacing w:line="276" w:lineRule="auto"/>
        <w:rPr>
          <w:rFonts w:ascii="华文中宋" w:hAnsi="华文中宋" w:eastAsia="华文中宋" w:cs="华文中宋"/>
          <w:bCs/>
          <w:sz w:val="24"/>
        </w:rPr>
      </w:pPr>
      <w:r>
        <w:rPr>
          <w:rFonts w:hint="eastAsia" w:ascii="华文中宋" w:hAnsi="华文中宋" w:eastAsia="华文中宋" w:cs="微软雅黑"/>
          <w:szCs w:val="21"/>
        </w:rPr>
        <w:br w:type="page"/>
      </w:r>
      <w:r>
        <w:rPr>
          <w:rFonts w:hint="eastAsia" w:ascii="华文中宋" w:hAnsi="华文中宋" w:eastAsia="华文中宋" w:cs="华文中宋"/>
          <w:b/>
          <w:sz w:val="24"/>
          <w:highlight w:val="none"/>
        </w:rPr>
        <w:t>（二） 投标函格式</w:t>
      </w:r>
    </w:p>
    <w:p w14:paraId="419D9738">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201B97B9">
      <w:pPr>
        <w:keepNext w:val="0"/>
        <w:keepLines w:val="0"/>
        <w:pageBreakBefore w:val="0"/>
        <w:widowControl w:val="0"/>
        <w:tabs>
          <w:tab w:val="left" w:pos="4860"/>
        </w:tabs>
        <w:kinsoku/>
        <w:wordWrap/>
        <w:overflowPunct/>
        <w:topLinePunct w:val="0"/>
        <w:autoSpaceDE/>
        <w:autoSpaceDN/>
        <w:bidi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宋体"/>
          <w:b/>
          <w:szCs w:val="21"/>
          <w:lang w:eastAsia="zh-CN"/>
        </w:rPr>
        <w:t>高平</w:t>
      </w:r>
      <w:r>
        <w:rPr>
          <w:rFonts w:hint="eastAsia" w:ascii="华文中宋" w:hAnsi="华文中宋" w:eastAsia="华文中宋" w:cs="宋体"/>
          <w:b/>
          <w:szCs w:val="21"/>
        </w:rPr>
        <w:t>市公共资源交易中心</w:t>
      </w:r>
      <w:r>
        <w:rPr>
          <w:rFonts w:hint="eastAsia" w:ascii="华文中宋" w:hAnsi="华文中宋" w:eastAsia="华文中宋" w:cs="华文中宋"/>
          <w:b/>
          <w:szCs w:val="21"/>
        </w:rPr>
        <w:t>：</w:t>
      </w:r>
      <w:r>
        <w:rPr>
          <w:rFonts w:hint="eastAsia" w:ascii="华文中宋" w:hAnsi="华文中宋" w:eastAsia="华文中宋" w:cs="华文中宋"/>
        </w:rPr>
        <w:t xml:space="preserve"> </w:t>
      </w:r>
    </w:p>
    <w:p w14:paraId="638E637F">
      <w:pPr>
        <w:pStyle w:val="25"/>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20" w:firstLineChars="200"/>
        <w:jc w:val="both"/>
        <w:textAlignment w:val="auto"/>
        <w:rPr>
          <w:rFonts w:ascii="华文中宋" w:hAnsi="华文中宋" w:eastAsia="华文中宋" w:cs="华文中宋"/>
          <w:sz w:val="21"/>
          <w:szCs w:val="21"/>
        </w:rPr>
      </w:pPr>
      <w:r>
        <w:rPr>
          <w:rFonts w:hint="eastAsia" w:ascii="华文中宋" w:hAnsi="华文中宋" w:eastAsia="华文中宋" w:cs="华文中宋"/>
          <w:kern w:val="2"/>
          <w:sz w:val="21"/>
          <w:szCs w:val="21"/>
        </w:rPr>
        <w:t xml:space="preserve"> </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(投标人全称)授权</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(投标人代表姓名)</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(职务、职称)为我方代表，参加贵方组织的</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(项目名称、项目编号)招标的有关活动，并对此项目进行投标。为此：</w:t>
      </w:r>
    </w:p>
    <w:p w14:paraId="558E6F1E">
      <w:pPr>
        <w:pStyle w:val="25"/>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1、我方已仔细研究了本项目招标文件的全部内容，愿意以以下投标报价，按照招标文件要求及合同约定完成项目。</w:t>
      </w:r>
    </w:p>
    <w:p w14:paraId="6B6F44C4">
      <w:pPr>
        <w:pStyle w:val="25"/>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第一包：人民币（大写）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14:paraId="07E395CB">
      <w:pPr>
        <w:pStyle w:val="25"/>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第二包：人民币（大写）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14:paraId="528B3285">
      <w:pPr>
        <w:pStyle w:val="25"/>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u w:val="single"/>
        </w:rPr>
      </w:pPr>
      <w:r>
        <w:rPr>
          <w:rFonts w:hint="eastAsia" w:ascii="华文中宋" w:hAnsi="华文中宋" w:eastAsia="华文中宋" w:cs="华文中宋"/>
          <w:sz w:val="21"/>
          <w:szCs w:val="21"/>
        </w:rPr>
        <w:t>……</w:t>
      </w:r>
    </w:p>
    <w:p w14:paraId="6020B3BE">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2、我方同意在本项目招标文件中规定的投标文件有效期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90</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个日历天内（自递交投标文件之日起计算）遵守本投标文件中的承诺且在此期限期满之前均具有约束力。如果中标，投标文件有效期延长至合同履约完毕。</w:t>
      </w:r>
    </w:p>
    <w:p w14:paraId="4DCC8424">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3、我方承诺已经具备《中华人民共和国政府采购法》中规定的参加政府采购活动的供应商应当具备的全部条件和本招标文件规定的特定资质要求。</w:t>
      </w:r>
    </w:p>
    <w:p w14:paraId="02E788D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4</w:t>
      </w:r>
      <w:r>
        <w:rPr>
          <w:rFonts w:hint="eastAsia" w:ascii="华文中宋" w:hAnsi="华文中宋" w:eastAsia="华文中宋" w:cs="华文中宋"/>
          <w:b/>
        </w:rPr>
        <w:t>．</w:t>
      </w:r>
      <w:r>
        <w:rPr>
          <w:rFonts w:hint="eastAsia" w:ascii="华文中宋" w:hAnsi="华文中宋" w:eastAsia="华文中宋" w:cs="华文中宋"/>
          <w:szCs w:val="21"/>
        </w:rPr>
        <w:t>我方承诺提供符合招标文件规定的投标文件；我方承诺投标文件封面加盖电子印章后，投标文件其他内容均视为具有法律效力。</w:t>
      </w:r>
    </w:p>
    <w:p w14:paraId="588F5032">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rPr>
      </w:pPr>
      <w:r>
        <w:rPr>
          <w:rFonts w:hint="eastAsia" w:ascii="华文中宋" w:hAnsi="华文中宋" w:eastAsia="华文中宋" w:cs="华文中宋"/>
          <w:sz w:val="21"/>
          <w:szCs w:val="21"/>
        </w:rPr>
        <w:t>5</w:t>
      </w:r>
      <w:r>
        <w:rPr>
          <w:rFonts w:hint="eastAsia" w:ascii="华文中宋" w:hAnsi="华文中宋" w:eastAsia="华文中宋" w:cs="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7FCAC468">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6、我方承诺：完全理解投标报价超过招标文件公布的预算金额或最高限价时，导致投标无效。</w:t>
      </w:r>
    </w:p>
    <w:p w14:paraId="00A53610">
      <w:pPr>
        <w:pStyle w:val="25"/>
        <w:keepNext w:val="0"/>
        <w:keepLines w:val="0"/>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7、我方保证忠实地执行双方所签订的合同，并承担合同规定的责任和义务。</w:t>
      </w:r>
    </w:p>
    <w:p w14:paraId="4739722F">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8、我方承诺完全满足和响应招标文件中的各项商务和技术要求。</w:t>
      </w:r>
    </w:p>
    <w:p w14:paraId="0D23DAAC">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9、我方保证遵守招标文件的所有规定。</w:t>
      </w:r>
    </w:p>
    <w:p w14:paraId="474ABBD3">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10</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我方对贵方在本次招标公告刊登的媒体上发布的公告或与本项目有关的通知，我方会及时查看获取。若因线路故障等其他原因导致通知延迟获取或无法获取，责任由我方自负。</w:t>
      </w:r>
    </w:p>
    <w:p w14:paraId="5F711963">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11</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我方如果在投标文件解密后规定的的投标有效期内撤回投标，我方的投标保证金可被贵方没收。</w:t>
      </w:r>
    </w:p>
    <w:p w14:paraId="53290125">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12</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我方完全理解贵方不一定接受最低价的投标</w:t>
      </w:r>
      <w:r>
        <w:rPr>
          <w:rFonts w:hint="eastAsia" w:ascii="华文中宋" w:hAnsi="华文中宋" w:eastAsia="华文中宋" w:cs="华文中宋"/>
          <w:color w:val="auto"/>
          <w:sz w:val="21"/>
          <w:szCs w:val="21"/>
        </w:rPr>
        <w:t>或收到的任何投标。</w:t>
      </w:r>
    </w:p>
    <w:p w14:paraId="7D15B9CB">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13</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571B676D">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14</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650DA73A">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15</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若需追加采购本项目招标文件所列货物及相关服务的，在不改变合同其他实质性条款的前提下，我方按相同或更优惠的折扣率保证供货。</w:t>
      </w:r>
    </w:p>
    <w:p w14:paraId="1BC62AA2">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16</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我方承诺接受招标文件中合同文本全部条款且无任何异议。</w:t>
      </w:r>
    </w:p>
    <w:p w14:paraId="2B2407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6831866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地址：</w:t>
      </w:r>
      <w:r>
        <w:rPr>
          <w:rFonts w:hint="eastAsia" w:ascii="华文中宋" w:hAnsi="华文中宋" w:eastAsia="华文中宋" w:cs="华文中宋"/>
          <w:szCs w:val="21"/>
        </w:rPr>
        <w:tab/>
      </w:r>
      <w:r>
        <w:rPr>
          <w:rFonts w:hint="eastAsia" w:ascii="华文中宋" w:hAnsi="华文中宋" w:eastAsia="华文中宋" w:cs="华文中宋"/>
          <w:szCs w:val="21"/>
        </w:rPr>
        <w:tab/>
      </w:r>
    </w:p>
    <w:p w14:paraId="4EEB66D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电话：</w:t>
      </w:r>
      <w:r>
        <w:rPr>
          <w:rFonts w:hint="eastAsia" w:ascii="华文中宋" w:hAnsi="华文中宋" w:eastAsia="华文中宋" w:cs="华文中宋"/>
          <w:szCs w:val="21"/>
        </w:rPr>
        <w:tab/>
      </w:r>
    </w:p>
    <w:p w14:paraId="5CD852B3">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投标人代表姓名：</w:t>
      </w:r>
    </w:p>
    <w:p w14:paraId="7E6098AA">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投标人：（法人电子</w:t>
      </w:r>
      <w:r>
        <w:rPr>
          <w:rFonts w:hint="eastAsia" w:ascii="华文中宋" w:hAnsi="华文中宋" w:eastAsia="华文中宋" w:cs="华文中宋"/>
          <w:szCs w:val="21"/>
          <w:lang w:val="en-US" w:eastAsia="zh-CN"/>
        </w:rPr>
        <w:t>签章</w:t>
      </w:r>
      <w:r>
        <w:rPr>
          <w:rFonts w:hint="eastAsia" w:ascii="华文中宋" w:hAnsi="华文中宋" w:eastAsia="华文中宋" w:cs="华文中宋"/>
          <w:szCs w:val="21"/>
        </w:rPr>
        <w:t>）</w:t>
      </w:r>
    </w:p>
    <w:p w14:paraId="68285DA4">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日 期：    年    月    日</w:t>
      </w:r>
    </w:p>
    <w:p w14:paraId="0D31FA00">
      <w:pPr>
        <w:spacing w:line="360" w:lineRule="exact"/>
        <w:ind w:left="360" w:hanging="360" w:hangingChars="150"/>
        <w:rPr>
          <w:rFonts w:ascii="华文中宋" w:hAnsi="华文中宋" w:eastAsia="华文中宋" w:cs="华文中宋"/>
          <w:b/>
          <w:kern w:val="0"/>
          <w:sz w:val="24"/>
        </w:rPr>
      </w:pPr>
    </w:p>
    <w:p w14:paraId="073FAD87">
      <w:pPr>
        <w:widowControl/>
        <w:jc w:val="left"/>
        <w:rPr>
          <w:rFonts w:hint="eastAsia" w:ascii="华文中宋" w:hAnsi="华文中宋" w:eastAsia="华文中宋" w:cs="华文中宋"/>
          <w:b/>
          <w:sz w:val="24"/>
          <w:highlight w:val="none"/>
        </w:rPr>
      </w:pPr>
      <w:r>
        <w:rPr>
          <w:rFonts w:ascii="华文中宋" w:hAnsi="华文中宋" w:eastAsia="华文中宋" w:cs="华文中宋"/>
          <w:b/>
          <w:kern w:val="0"/>
          <w:sz w:val="24"/>
        </w:rPr>
        <w:br w:type="page"/>
      </w: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三</w:t>
      </w:r>
      <w:r>
        <w:rPr>
          <w:rFonts w:hint="eastAsia" w:ascii="华文中宋" w:hAnsi="华文中宋" w:eastAsia="华文中宋" w:cs="华文中宋"/>
          <w:b/>
          <w:sz w:val="24"/>
          <w:highlight w:val="none"/>
        </w:rPr>
        <w:t>）以下内容提供《政府集中采购供应商信用承诺书》一份。</w:t>
      </w:r>
    </w:p>
    <w:p w14:paraId="3570E47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华文中宋" w:hAnsi="华文中宋" w:eastAsia="华文中宋" w:cs="宋体"/>
          <w:szCs w:val="21"/>
        </w:rPr>
      </w:pPr>
      <w:r>
        <w:rPr>
          <w:rFonts w:hint="eastAsia" w:ascii="华文中宋" w:hAnsi="华文中宋" w:eastAsia="华文中宋" w:cs="宋体"/>
          <w:szCs w:val="21"/>
        </w:rPr>
        <w:t>具有独立承担民事责任的能力</w:t>
      </w:r>
    </w:p>
    <w:p w14:paraId="1F9F09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具有良好的商业信誉和健全的财务会计制度</w:t>
      </w:r>
    </w:p>
    <w:p w14:paraId="404853A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w:t>
      </w:r>
      <w:r>
        <w:rPr>
          <w:rFonts w:hint="eastAsia" w:ascii="华文中宋" w:hAnsi="华文中宋" w:eastAsia="华文中宋" w:cs="华文中宋"/>
          <w:szCs w:val="21"/>
        </w:rPr>
        <w:t>有依法缴纳税收和社会保障资金的良好记录；</w:t>
      </w:r>
    </w:p>
    <w:p w14:paraId="2BC94F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cs="宋体"/>
          <w:szCs w:val="21"/>
        </w:rPr>
      </w:pPr>
      <w:r>
        <w:rPr>
          <w:rFonts w:hint="eastAsia" w:ascii="华文中宋" w:hAnsi="华文中宋" w:eastAsia="华文中宋" w:cs="宋体"/>
          <w:szCs w:val="21"/>
        </w:rPr>
        <w:t>具有履行合同所必需的设备和专业技术能力</w:t>
      </w:r>
    </w:p>
    <w:p w14:paraId="6FA6B85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华文中宋" w:hAnsi="华文中宋" w:eastAsia="华文中宋"/>
          <w:szCs w:val="21"/>
        </w:rPr>
      </w:pPr>
      <w:r>
        <w:rPr>
          <w:rFonts w:hint="eastAsia" w:ascii="华文中宋" w:hAnsi="华文中宋" w:eastAsia="华文中宋" w:cs="宋体"/>
          <w:szCs w:val="21"/>
        </w:rPr>
        <w:t>参加政府采购活动前三年内，在经营活动中没有重大违法记录</w:t>
      </w:r>
    </w:p>
    <w:p w14:paraId="3386D3DF">
      <w:pPr>
        <w:spacing w:line="360" w:lineRule="exact"/>
        <w:ind w:left="360" w:hanging="360" w:hangingChars="150"/>
        <w:rPr>
          <w:rFonts w:ascii="华文中宋" w:hAnsi="华文中宋" w:eastAsia="华文中宋" w:cs="华文中宋"/>
          <w:b/>
          <w:kern w:val="0"/>
          <w:sz w:val="24"/>
        </w:rPr>
      </w:pPr>
    </w:p>
    <w:p w14:paraId="34FFD78D">
      <w:pPr>
        <w:spacing w:line="360" w:lineRule="auto"/>
        <w:rPr>
          <w:rFonts w:hint="eastAsia" w:ascii="华文中宋" w:hAnsi="华文中宋" w:eastAsia="华文中宋"/>
          <w:b/>
          <w:sz w:val="24"/>
        </w:rPr>
      </w:pPr>
    </w:p>
    <w:p w14:paraId="5EE94D18">
      <w:pPr>
        <w:spacing w:line="36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14:paraId="3CCE943D">
      <w:pPr>
        <w:spacing w:line="360" w:lineRule="auto"/>
        <w:jc w:val="center"/>
        <w:rPr>
          <w:rFonts w:ascii="华文中宋" w:hAnsi="华文中宋" w:eastAsia="华文中宋"/>
          <w:b/>
          <w:color w:val="auto"/>
          <w:sz w:val="24"/>
          <w:highlight w:val="none"/>
        </w:rPr>
      </w:pPr>
      <w:bookmarkStart w:id="98" w:name="_Toc5728"/>
      <w:r>
        <w:rPr>
          <w:rFonts w:hint="eastAsia" w:ascii="华文中宋" w:hAnsi="华文中宋" w:eastAsia="华文中宋"/>
          <w:b/>
          <w:color w:val="auto"/>
          <w:sz w:val="24"/>
          <w:highlight w:val="none"/>
        </w:rPr>
        <w:t>政府集中采购供应商信用承诺书</w:t>
      </w:r>
    </w:p>
    <w:p w14:paraId="428167B8">
      <w:pPr>
        <w:spacing w:line="360" w:lineRule="auto"/>
        <w:rPr>
          <w:rFonts w:hint="eastAsia" w:ascii="华文中宋" w:hAnsi="华文中宋" w:eastAsia="华文中宋"/>
          <w:color w:val="auto"/>
          <w:szCs w:val="21"/>
          <w:highlight w:val="none"/>
        </w:rPr>
      </w:pPr>
    </w:p>
    <w:p w14:paraId="2EEDD0A6">
      <w:pPr>
        <w:spacing w:line="36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14:paraId="2F3CC319">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0F642BA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3547C58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766DFA46">
      <w:pPr>
        <w:numPr>
          <w:ilvl w:val="0"/>
          <w:numId w:val="9"/>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14:paraId="530AB9BD">
      <w:pPr>
        <w:numPr>
          <w:ilvl w:val="0"/>
          <w:numId w:val="9"/>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14:paraId="06B1760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担保函）；</w:t>
      </w:r>
    </w:p>
    <w:p w14:paraId="6F247284">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3E0F6E4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w:t>
      </w:r>
      <w:r>
        <w:rPr>
          <w:rFonts w:hint="eastAsia" w:ascii="华文中宋" w:hAnsi="华文中宋" w:eastAsia="华文中宋"/>
          <w:color w:val="auto"/>
          <w:szCs w:val="21"/>
          <w:highlight w:val="none"/>
          <w:lang w:val="en-US" w:eastAsia="zh-CN"/>
        </w:rPr>
        <w:t>具有</w:t>
      </w:r>
      <w:r>
        <w:rPr>
          <w:rFonts w:hint="eastAsia" w:ascii="华文中宋" w:hAnsi="华文中宋" w:eastAsia="华文中宋"/>
          <w:color w:val="auto"/>
          <w:szCs w:val="21"/>
          <w:highlight w:val="none"/>
        </w:rPr>
        <w:t>近一年内</w:t>
      </w:r>
      <w:r>
        <w:rPr>
          <w:rFonts w:hint="eastAsia" w:ascii="华文中宋" w:hAnsi="华文中宋" w:eastAsia="华文中宋"/>
          <w:color w:val="auto"/>
          <w:szCs w:val="21"/>
          <w:highlight w:val="none"/>
          <w:lang w:val="en-US" w:eastAsia="zh-CN"/>
        </w:rPr>
        <w:t>依法</w:t>
      </w:r>
      <w:r>
        <w:rPr>
          <w:rFonts w:hint="eastAsia" w:ascii="华文中宋" w:hAnsi="华文中宋" w:eastAsia="华文中宋"/>
          <w:color w:val="auto"/>
          <w:szCs w:val="21"/>
          <w:highlight w:val="none"/>
        </w:rPr>
        <w:t>缴纳社会保险的凭据、专用收据或社会保险缴纳清单或银行代收的凭据，或能证明已缴纳社会保险的其他材料）；</w:t>
      </w:r>
    </w:p>
    <w:p w14:paraId="7122CACE">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w:t>
      </w:r>
      <w:r>
        <w:rPr>
          <w:rFonts w:hint="eastAsia" w:ascii="华文中宋" w:hAnsi="华文中宋" w:eastAsia="华文中宋" w:cs="华文中宋"/>
          <w:color w:val="auto"/>
          <w:szCs w:val="21"/>
          <w:highlight w:val="none"/>
          <w:lang w:val="en-US" w:eastAsia="zh-CN"/>
        </w:rPr>
        <w:t>失信主体</w:t>
      </w:r>
      <w:r>
        <w:rPr>
          <w:rFonts w:hint="eastAsia" w:ascii="华文中宋" w:hAnsi="华文中宋" w:eastAsia="华文中宋" w:cs="华文中宋"/>
          <w:color w:val="auto"/>
          <w:szCs w:val="21"/>
          <w:highlight w:val="none"/>
        </w:rPr>
        <w:t>名单；查询了在中国政府采购网中的政府采购严重违法失信行为信息，本公司未列入政府采购严重违法失信行为记录名单；</w:t>
      </w:r>
    </w:p>
    <w:p w14:paraId="3D8DB5FE">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14:paraId="20C29D1C">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14:paraId="35A91622">
      <w:pPr>
        <w:spacing w:line="360" w:lineRule="auto"/>
        <w:ind w:left="315" w:hanging="315" w:hangingChars="150"/>
        <w:rPr>
          <w:rFonts w:hint="eastAsia" w:ascii="华文中宋" w:hAnsi="华文中宋" w:eastAsia="华文中宋" w:cs="Times New Roman"/>
          <w:b/>
          <w:bCs/>
          <w:color w:val="auto"/>
          <w:kern w:val="2"/>
          <w:sz w:val="21"/>
          <w:szCs w:val="21"/>
          <w:highlight w:val="none"/>
          <w:lang w:val="en-US" w:eastAsia="zh-CN" w:bidi="ar-SA"/>
        </w:rPr>
      </w:pPr>
    </w:p>
    <w:p w14:paraId="2C13B134">
      <w:pPr>
        <w:spacing w:line="360" w:lineRule="auto"/>
        <w:ind w:left="315" w:hanging="315" w:hangingChars="150"/>
        <w:rPr>
          <w:rFonts w:ascii="华文中宋" w:hAnsi="华文中宋" w:eastAsia="华文中宋" w:cs="华文中宋"/>
          <w:b/>
          <w:kern w:val="0"/>
          <w:szCs w:val="21"/>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bookmarkEnd w:id="98"/>
    </w:p>
    <w:p w14:paraId="61866BCB">
      <w:pPr>
        <w:spacing w:line="360" w:lineRule="auto"/>
        <w:rPr>
          <w:rFonts w:hint="eastAsia" w:ascii="华文中宋" w:hAnsi="华文中宋" w:eastAsia="华文中宋" w:cs="华文中宋"/>
          <w:b/>
          <w:kern w:val="0"/>
          <w:sz w:val="24"/>
          <w:highlight w:val="none"/>
        </w:rPr>
      </w:pPr>
      <w:r>
        <w:rPr>
          <w:rFonts w:hint="eastAsia" w:ascii="华文中宋" w:hAnsi="华文中宋" w:eastAsia="华文中宋" w:cs="华文中宋"/>
          <w:b/>
          <w:kern w:val="0"/>
          <w:sz w:val="24"/>
        </w:rPr>
        <w:br w:type="page"/>
      </w: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四</w:t>
      </w:r>
      <w:r>
        <w:rPr>
          <w:rFonts w:hint="eastAsia" w:ascii="华文中宋" w:hAnsi="华文中宋" w:eastAsia="华文中宋" w:cs="华文中宋"/>
          <w:b/>
          <w:kern w:val="0"/>
          <w:sz w:val="24"/>
          <w:highlight w:val="none"/>
        </w:rPr>
        <w:t>）本项目要求的其他特定资格条件</w:t>
      </w:r>
    </w:p>
    <w:p w14:paraId="22D7CB84">
      <w:pPr>
        <w:spacing w:line="360" w:lineRule="auto"/>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按照投标文件第二部分投标人须知前附表序号1 “</w:t>
      </w:r>
      <w:r>
        <w:rPr>
          <w:rFonts w:hint="eastAsia" w:ascii="华文中宋" w:hAnsi="华文中宋" w:eastAsia="华文中宋" w:cs="华文中宋"/>
          <w:bCs/>
          <w:szCs w:val="21"/>
          <w:highlight w:val="none"/>
        </w:rPr>
        <w:t>其他特定资格条件</w:t>
      </w:r>
      <w:r>
        <w:rPr>
          <w:rFonts w:hint="eastAsia" w:ascii="华文中宋" w:hAnsi="华文中宋" w:eastAsia="华文中宋" w:cs="华文中宋"/>
          <w:szCs w:val="21"/>
          <w:highlight w:val="none"/>
        </w:rPr>
        <w:t>”规定提交相关证明文件；（</w:t>
      </w:r>
      <w:r>
        <w:rPr>
          <w:rFonts w:hint="eastAsia" w:ascii="华文中宋" w:hAnsi="华文中宋" w:eastAsia="华文中宋" w:cs="华文中宋"/>
          <w:szCs w:val="21"/>
          <w:highlight w:val="none"/>
          <w:lang w:val="en-US" w:eastAsia="zh-CN"/>
        </w:rPr>
        <w:t>影印</w:t>
      </w:r>
      <w:r>
        <w:rPr>
          <w:rFonts w:hint="eastAsia" w:ascii="华文中宋" w:hAnsi="华文中宋" w:eastAsia="华文中宋" w:cs="华文中宋"/>
          <w:szCs w:val="21"/>
          <w:highlight w:val="none"/>
        </w:rPr>
        <w:t>件）</w:t>
      </w:r>
    </w:p>
    <w:p w14:paraId="2AD40D04">
      <w:pPr>
        <w:spacing w:line="360" w:lineRule="exact"/>
        <w:rPr>
          <w:rFonts w:hint="eastAsia" w:ascii="华文中宋" w:hAnsi="华文中宋" w:eastAsia="华文中宋" w:cs="华文中宋"/>
          <w:b/>
          <w:kern w:val="0"/>
          <w:sz w:val="24"/>
          <w:highlight w:val="none"/>
        </w:rPr>
      </w:pPr>
    </w:p>
    <w:p w14:paraId="24C1CF18">
      <w:pPr>
        <w:spacing w:line="360" w:lineRule="exact"/>
        <w:rPr>
          <w:rFonts w:hint="eastAsia" w:ascii="华文中宋" w:hAnsi="华文中宋" w:eastAsia="华文中宋" w:cs="华文中宋"/>
          <w:b/>
          <w:sz w:val="24"/>
          <w:highlight w:val="none"/>
        </w:rPr>
      </w:pP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五</w:t>
      </w:r>
      <w:r>
        <w:rPr>
          <w:rFonts w:hint="eastAsia" w:ascii="华文中宋" w:hAnsi="华文中宋" w:eastAsia="华文中宋" w:cs="华文中宋"/>
          <w:b/>
          <w:kern w:val="0"/>
          <w:sz w:val="24"/>
          <w:highlight w:val="none"/>
        </w:rPr>
        <w:t>）</w:t>
      </w:r>
      <w:r>
        <w:rPr>
          <w:rFonts w:hint="eastAsia" w:ascii="华文中宋" w:hAnsi="华文中宋" w:eastAsia="华文中宋" w:cs="华文中宋"/>
          <w:b/>
          <w:sz w:val="24"/>
          <w:highlight w:val="none"/>
        </w:rPr>
        <w:t>基本存款账户信息</w:t>
      </w:r>
    </w:p>
    <w:p w14:paraId="4E8864DC">
      <w:pPr>
        <w:spacing w:line="360" w:lineRule="exact"/>
        <w:ind w:firstLine="210" w:firstLineChars="1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提供投标人基本存款账户信息；</w:t>
      </w:r>
    </w:p>
    <w:p w14:paraId="59E7AEB8">
      <w:pPr>
        <w:spacing w:line="360" w:lineRule="exact"/>
        <w:ind w:left="359" w:leftChars="114" w:hanging="120" w:hangingChars="50"/>
        <w:rPr>
          <w:rFonts w:hint="eastAsia" w:ascii="华文中宋" w:hAnsi="华文中宋" w:eastAsia="华文中宋" w:cs="华文中宋"/>
          <w:b/>
          <w:kern w:val="0"/>
          <w:sz w:val="24"/>
        </w:rPr>
      </w:pPr>
    </w:p>
    <w:p w14:paraId="3EDC65E1">
      <w:pPr>
        <w:spacing w:line="360" w:lineRule="auto"/>
        <w:jc w:val="left"/>
        <w:rPr>
          <w:rFonts w:hint="eastAsia" w:ascii="华文中宋" w:hAnsi="华文中宋" w:eastAsia="华文中宋" w:cs="华文中宋"/>
          <w:b/>
          <w:sz w:val="24"/>
          <w:highlight w:val="none"/>
        </w:rPr>
      </w:pPr>
      <w:bookmarkStart w:id="99" w:name="OLE_LINK3"/>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六</w:t>
      </w:r>
      <w:r>
        <w:rPr>
          <w:rFonts w:hint="eastAsia" w:ascii="华文中宋" w:hAnsi="华文中宋" w:eastAsia="华文中宋" w:cs="华文中宋"/>
          <w:b/>
          <w:sz w:val="24"/>
          <w:highlight w:val="none"/>
        </w:rPr>
        <w:t>）</w:t>
      </w:r>
      <w:bookmarkEnd w:id="99"/>
      <w:r>
        <w:rPr>
          <w:rFonts w:hint="eastAsia" w:ascii="华文中宋" w:hAnsi="华文中宋" w:eastAsia="华文中宋" w:cs="华文中宋"/>
          <w:b/>
          <w:sz w:val="24"/>
          <w:highlight w:val="none"/>
        </w:rPr>
        <w:t>联合体投标注意事项</w:t>
      </w:r>
    </w:p>
    <w:p w14:paraId="6E65A255">
      <w:pPr>
        <w:pStyle w:val="2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1. 联合体各方均应当符合《政府采购法》第二十二条规定的条件，联合体各方均应按照</w:t>
      </w:r>
      <w:r>
        <w:rPr>
          <w:rFonts w:hint="eastAsia" w:ascii="华文中宋" w:hAnsi="华文中宋" w:eastAsia="华文中宋" w:cs="华文中宋"/>
          <w:sz w:val="21"/>
          <w:szCs w:val="21"/>
          <w:highlight w:val="none"/>
          <w:lang w:eastAsia="zh-CN"/>
        </w:rPr>
        <w:t>招标文件</w:t>
      </w:r>
      <w:r>
        <w:rPr>
          <w:rFonts w:hint="eastAsia" w:ascii="华文中宋" w:hAnsi="华文中宋" w:eastAsia="华文中宋" w:cs="华文中宋"/>
          <w:sz w:val="21"/>
          <w:szCs w:val="21"/>
          <w:highlight w:val="none"/>
        </w:rPr>
        <w:t>要求提供相关材料。</w:t>
      </w:r>
    </w:p>
    <w:p w14:paraId="5DFB6408">
      <w:pPr>
        <w:pStyle w:val="2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2. 本项目有特定资格条件要求的，联合体各方的同类资质按照资质等级较低的确定联合体资质等级。联合体各方不得再单独参加或者与其他供应商另外组成联合体参加本项目同一包的采购活动。</w:t>
      </w:r>
    </w:p>
    <w:p w14:paraId="2EB23520">
      <w:pPr>
        <w:spacing w:line="360" w:lineRule="auto"/>
        <w:ind w:firstLine="420" w:firstLineChars="200"/>
        <w:jc w:val="left"/>
        <w:rPr>
          <w:rFonts w:hint="eastAsia" w:ascii="华文中宋" w:hAnsi="华文中宋" w:eastAsia="华文中宋" w:cs="华文中宋"/>
          <w:b/>
          <w:sz w:val="24"/>
          <w:highlight w:val="none"/>
        </w:rPr>
      </w:pPr>
      <w:r>
        <w:rPr>
          <w:rFonts w:hint="eastAsia" w:ascii="华文中宋" w:hAnsi="华文中宋" w:eastAsia="华文中宋" w:cs="华文中宋"/>
          <w:highlight w:val="none"/>
        </w:rPr>
        <w:t>3. 联合体各方之间应当签订联合投标协议，明确约定联合体各方承担的工作和相应的责任，并将联合投标协议连同投标文件一并提交。</w:t>
      </w:r>
    </w:p>
    <w:p w14:paraId="0125FAA5">
      <w:pPr>
        <w:spacing w:line="300" w:lineRule="exact"/>
        <w:ind w:firstLine="360" w:firstLineChars="150"/>
        <w:jc w:val="left"/>
        <w:rPr>
          <w:rFonts w:hint="eastAsia" w:ascii="华文中宋" w:hAnsi="华文中宋" w:eastAsia="华文中宋" w:cs="华文中宋"/>
          <w:b/>
          <w:sz w:val="24"/>
          <w:highlight w:val="none"/>
        </w:rPr>
      </w:pPr>
    </w:p>
    <w:p w14:paraId="30F8D4EF">
      <w:pPr>
        <w:spacing w:line="300" w:lineRule="exact"/>
        <w:ind w:firstLine="360" w:firstLineChars="150"/>
        <w:jc w:val="left"/>
        <w:rPr>
          <w:rFonts w:hint="eastAsia" w:ascii="华文中宋" w:hAnsi="华文中宋" w:eastAsia="华文中宋" w:cs="华文中宋"/>
          <w:b/>
          <w:szCs w:val="21"/>
          <w:highlight w:val="none"/>
        </w:rPr>
      </w:pPr>
      <w:r>
        <w:rPr>
          <w:rFonts w:hint="eastAsia" w:ascii="华文中宋" w:hAnsi="华文中宋" w:eastAsia="华文中宋" w:cs="华文中宋"/>
          <w:b/>
          <w:sz w:val="24"/>
          <w:highlight w:val="none"/>
        </w:rPr>
        <w:t>联合投标协议书格式</w:t>
      </w:r>
    </w:p>
    <w:p w14:paraId="26BA1608">
      <w:pPr>
        <w:spacing w:line="300" w:lineRule="exact"/>
        <w:jc w:val="left"/>
        <w:rPr>
          <w:rFonts w:ascii="华文中宋" w:hAnsi="华文中宋" w:eastAsia="华文中宋" w:cs="华文中宋"/>
          <w:b/>
          <w:szCs w:val="21"/>
        </w:rPr>
      </w:pPr>
    </w:p>
    <w:p w14:paraId="74244C48">
      <w:pPr>
        <w:spacing w:line="300" w:lineRule="exact"/>
        <w:jc w:val="center"/>
        <w:rPr>
          <w:rFonts w:ascii="华文中宋" w:hAnsi="华文中宋" w:eastAsia="华文中宋" w:cs="华文中宋"/>
          <w:b/>
          <w:sz w:val="24"/>
        </w:rPr>
      </w:pPr>
    </w:p>
    <w:p w14:paraId="0BE839F0">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w:t>
      </w:r>
      <w:r>
        <w:rPr>
          <w:rFonts w:hint="eastAsia" w:ascii="华文中宋" w:hAnsi="华文中宋" w:eastAsia="华文中宋" w:cs="华文中宋"/>
          <w:b/>
          <w:bCs/>
          <w:kern w:val="0"/>
          <w:sz w:val="24"/>
        </w:rPr>
        <w:t>联合投标协议书</w:t>
      </w:r>
      <w:r>
        <w:rPr>
          <w:rFonts w:hint="eastAsia" w:ascii="华文中宋" w:hAnsi="华文中宋" w:eastAsia="华文中宋" w:cs="华文中宋"/>
          <w:b/>
          <w:sz w:val="24"/>
        </w:rPr>
        <w:t>》</w:t>
      </w:r>
    </w:p>
    <w:p w14:paraId="424DA111">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2D4FF571">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6319EF1F">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1CDF27AF">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3222C8F7">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0C030070">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2EC833C3">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7617C5A8">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1040BEF3">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根据《中华人民共和国政府采购法》第二十四条之规定，为响应*********（采购代理机构）组织实施的</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项目（项目名称、招标编号）的招标活动，各方经协商，就联合进行投标之事宜，达成如下协议：</w:t>
      </w:r>
    </w:p>
    <w:p w14:paraId="7101CD54">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 xml:space="preserve">一、各方一致决定，以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为主办人进行投标，并按照招标文件的规定分别提交资格文件。</w:t>
      </w:r>
    </w:p>
    <w:p w14:paraId="6ADB0E28">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所作的任何合法承诺，包括书面澄清及响应等均对联合投标各方产生约束力。如果中标并签订合同，则联合投标各方将共同履行对招标方和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所负有的全部义务并就采购合同约定的事项对</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承担连带责任。</w:t>
      </w:r>
    </w:p>
    <w:p w14:paraId="017B6675">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3B47147A">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p>
    <w:p w14:paraId="6264C82F">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5701BCD5">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069E5105">
      <w:pPr>
        <w:pStyle w:val="25"/>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33FFB10C">
      <w:pPr>
        <w:spacing w:line="480" w:lineRule="exact"/>
        <w:rPr>
          <w:rFonts w:hint="eastAsia" w:ascii="华文中宋" w:hAnsi="华文中宋" w:eastAsia="华文中宋" w:cs="华文中宋"/>
          <w:szCs w:val="21"/>
        </w:rPr>
      </w:pPr>
    </w:p>
    <w:p w14:paraId="7648EFD5">
      <w:pPr>
        <w:spacing w:line="480" w:lineRule="exact"/>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                 乙方（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446139A6">
      <w:pPr>
        <w:spacing w:line="480" w:lineRule="exact"/>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    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w:t>
      </w:r>
    </w:p>
    <w:p w14:paraId="6B356830">
      <w:pPr>
        <w:spacing w:line="480" w:lineRule="exact"/>
        <w:rPr>
          <w:rFonts w:ascii="华文中宋" w:hAnsi="华文中宋" w:eastAsia="华文中宋" w:cs="华文中宋"/>
          <w:szCs w:val="21"/>
        </w:rPr>
      </w:pPr>
      <w:r>
        <w:rPr>
          <w:rFonts w:hint="eastAsia" w:ascii="华文中宋" w:hAnsi="华文中宋" w:eastAsia="华文中宋" w:cs="华文中宋"/>
          <w:szCs w:val="21"/>
        </w:rPr>
        <w:t>20  年  月  日                           20  年  月  日</w:t>
      </w:r>
    </w:p>
    <w:p w14:paraId="0113E9C8">
      <w:pPr>
        <w:rPr>
          <w:rFonts w:ascii="华文中宋" w:hAnsi="华文中宋" w:eastAsia="华文中宋" w:cs="华文中宋"/>
        </w:rPr>
      </w:pPr>
    </w:p>
    <w:p w14:paraId="3FA514DA">
      <w:pPr>
        <w:spacing w:line="360" w:lineRule="auto"/>
        <w:rPr>
          <w:rFonts w:ascii="华文中宋" w:hAnsi="华文中宋" w:eastAsia="华文中宋"/>
          <w:b/>
          <w:kern w:val="0"/>
          <w:szCs w:val="21"/>
        </w:rPr>
      </w:pPr>
    </w:p>
    <w:p w14:paraId="644C4D89">
      <w:pPr>
        <w:rPr>
          <w:rFonts w:hint="eastAsia" w:ascii="华文中宋" w:hAnsi="华文中宋" w:eastAsia="华文中宋" w:cs="华文中宋"/>
          <w:b/>
          <w:sz w:val="24"/>
        </w:rPr>
      </w:pPr>
    </w:p>
    <w:p w14:paraId="4D26E99D">
      <w:pPr>
        <w:rPr>
          <w:rFonts w:hint="eastAsia" w:ascii="华文中宋" w:hAnsi="华文中宋" w:eastAsia="华文中宋" w:cs="华文中宋"/>
          <w:b/>
          <w:sz w:val="24"/>
        </w:rPr>
      </w:pPr>
    </w:p>
    <w:p w14:paraId="1A692346">
      <w:pPr>
        <w:rPr>
          <w:rFonts w:hint="eastAsia" w:ascii="华文中宋" w:hAnsi="华文中宋" w:eastAsia="华文中宋" w:cs="华文中宋"/>
          <w:b/>
          <w:sz w:val="24"/>
        </w:rPr>
      </w:pPr>
    </w:p>
    <w:p w14:paraId="70BBF108">
      <w:pPr>
        <w:rPr>
          <w:rFonts w:hint="eastAsia" w:ascii="华文中宋" w:hAnsi="华文中宋" w:eastAsia="华文中宋" w:cs="华文中宋"/>
          <w:b/>
          <w:sz w:val="24"/>
        </w:rPr>
      </w:pPr>
    </w:p>
    <w:p w14:paraId="59DBD83A">
      <w:pPr>
        <w:rPr>
          <w:rFonts w:hint="eastAsia" w:ascii="华文中宋" w:hAnsi="华文中宋" w:eastAsia="华文中宋" w:cs="华文中宋"/>
          <w:b/>
          <w:sz w:val="24"/>
        </w:rPr>
      </w:pPr>
    </w:p>
    <w:p w14:paraId="1BC8404D">
      <w:pPr>
        <w:rPr>
          <w:rFonts w:hint="eastAsia" w:ascii="华文中宋" w:hAnsi="华文中宋" w:eastAsia="华文中宋" w:cs="华文中宋"/>
          <w:b/>
          <w:sz w:val="24"/>
        </w:rPr>
      </w:pPr>
    </w:p>
    <w:p w14:paraId="2863B4B0">
      <w:pPr>
        <w:rPr>
          <w:rFonts w:hint="eastAsia" w:ascii="华文中宋" w:hAnsi="华文中宋" w:eastAsia="华文中宋" w:cs="华文中宋"/>
          <w:b/>
          <w:sz w:val="24"/>
        </w:rPr>
      </w:pPr>
    </w:p>
    <w:p w14:paraId="44708166">
      <w:pPr>
        <w:rPr>
          <w:rFonts w:hint="eastAsia" w:ascii="华文中宋" w:hAnsi="华文中宋" w:eastAsia="华文中宋" w:cs="华文中宋"/>
          <w:b/>
          <w:sz w:val="24"/>
        </w:rPr>
      </w:pPr>
    </w:p>
    <w:p w14:paraId="58250531">
      <w:pPr>
        <w:rPr>
          <w:rFonts w:hint="eastAsia" w:ascii="华文中宋" w:hAnsi="华文中宋" w:eastAsia="华文中宋" w:cs="华文中宋"/>
          <w:b/>
          <w:sz w:val="24"/>
        </w:rPr>
      </w:pPr>
    </w:p>
    <w:p w14:paraId="1879D71A">
      <w:pPr>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七</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中小企业声明函格式按《</w:t>
      </w:r>
      <w:bookmarkStart w:id="100" w:name="OLE_LINK66"/>
      <w:bookmarkStart w:id="101" w:name="OLE_LINK67"/>
      <w:r>
        <w:rPr>
          <w:rFonts w:hint="eastAsia" w:ascii="华文中宋" w:hAnsi="华文中宋" w:eastAsia="华文中宋" w:cs="华文中宋"/>
          <w:b/>
          <w:sz w:val="24"/>
        </w:rPr>
        <w:t>政府采购促进中小企业</w:t>
      </w:r>
      <w:bookmarkEnd w:id="100"/>
      <w:r>
        <w:rPr>
          <w:rFonts w:hint="eastAsia" w:ascii="华文中宋" w:hAnsi="华文中宋" w:eastAsia="华文中宋" w:cs="华文中宋"/>
          <w:b/>
          <w:sz w:val="24"/>
        </w:rPr>
        <w:t>发展管理办法</w:t>
      </w:r>
      <w:bookmarkEnd w:id="101"/>
      <w:r>
        <w:rPr>
          <w:rFonts w:hint="eastAsia" w:ascii="华文中宋" w:hAnsi="华文中宋" w:eastAsia="华文中宋" w:cs="华文中宋"/>
          <w:b/>
          <w:sz w:val="24"/>
        </w:rPr>
        <w:t>》（财库〔2020〕46号）规定提供</w:t>
      </w:r>
    </w:p>
    <w:p w14:paraId="4934B4D3">
      <w:pPr>
        <w:tabs>
          <w:tab w:val="left" w:pos="1680"/>
        </w:tabs>
        <w:snapToGrid w:val="0"/>
        <w:spacing w:line="440" w:lineRule="exact"/>
        <w:jc w:val="center"/>
        <w:outlineLvl w:val="9"/>
        <w:rPr>
          <w:rFonts w:ascii="华文中宋" w:hAnsi="华文中宋" w:eastAsia="华文中宋" w:cs="华文中宋"/>
          <w:b/>
          <w:sz w:val="24"/>
        </w:rPr>
      </w:pPr>
      <w:r>
        <w:rPr>
          <w:rFonts w:hint="eastAsia" w:ascii="华文中宋" w:hAnsi="华文中宋" w:eastAsia="华文中宋" w:cs="华文中宋"/>
          <w:b/>
          <w:sz w:val="24"/>
        </w:rPr>
        <w:t>中小企业声明函（货物）</w:t>
      </w:r>
    </w:p>
    <w:p w14:paraId="174E5040">
      <w:pPr>
        <w:tabs>
          <w:tab w:val="left" w:pos="1680"/>
        </w:tabs>
        <w:snapToGrid w:val="0"/>
        <w:spacing w:line="440" w:lineRule="exact"/>
        <w:jc w:val="center"/>
        <w:rPr>
          <w:rFonts w:ascii="华文中宋" w:hAnsi="华文中宋" w:eastAsia="华文中宋" w:cs="华文中宋"/>
          <w:b/>
          <w:sz w:val="24"/>
        </w:rPr>
      </w:pPr>
    </w:p>
    <w:p w14:paraId="2AABABC6">
      <w:pPr>
        <w:pStyle w:val="68"/>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本公司（联合体）郑重声明，根据《政府采购促进中小企业发展管理办法》（财库﹝2020﹞46 号）的规定，本公司（联合体）参加</w:t>
      </w:r>
      <w:r>
        <w:rPr>
          <w:rFonts w:hint="eastAsia" w:ascii="华文中宋" w:hAnsi="华文中宋" w:eastAsia="华文中宋" w:cs="华文中宋"/>
          <w:u w:val="single"/>
        </w:rPr>
        <w:t>（单位名称）</w:t>
      </w:r>
      <w:r>
        <w:rPr>
          <w:rFonts w:hint="eastAsia" w:ascii="华文中宋" w:hAnsi="华文中宋" w:eastAsia="华文中宋" w:cs="华文中宋"/>
        </w:rPr>
        <w:t>的</w:t>
      </w:r>
      <w:r>
        <w:rPr>
          <w:rFonts w:hint="eastAsia" w:ascii="华文中宋" w:hAnsi="华文中宋" w:eastAsia="华文中宋" w:cs="华文中宋"/>
          <w:u w:val="single"/>
        </w:rPr>
        <w:t>（项目名称）</w:t>
      </w:r>
      <w:r>
        <w:rPr>
          <w:rFonts w:hint="eastAsia" w:ascii="华文中宋" w:hAnsi="华文中宋" w:eastAsia="华文中宋" w:cs="华文中宋"/>
        </w:rPr>
        <w:t>采购活动，提供的货物全部由符合政策要求的中小企业制造。相关企业 （含联合体中的中小企业、签订分包意向协议的中小企业） 的具体情况如下：</w:t>
      </w:r>
    </w:p>
    <w:p w14:paraId="744615E3">
      <w:pPr>
        <w:pStyle w:val="68"/>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1、</w:t>
      </w:r>
      <w:r>
        <w:rPr>
          <w:rFonts w:hint="eastAsia" w:ascii="华文中宋" w:hAnsi="华文中宋" w:eastAsia="华文中宋" w:cs="华文中宋"/>
          <w:u w:val="single"/>
        </w:rPr>
        <w:t>（标的名称）</w:t>
      </w:r>
      <w:r>
        <w:rPr>
          <w:rFonts w:hint="eastAsia" w:ascii="华文中宋" w:hAnsi="华文中宋" w:eastAsia="华文中宋" w:cs="华文中宋"/>
        </w:rPr>
        <w:t>，属于</w:t>
      </w:r>
      <w:r>
        <w:rPr>
          <w:rFonts w:hint="eastAsia" w:ascii="华文中宋" w:hAnsi="华文中宋" w:eastAsia="华文中宋" w:cs="华文中宋"/>
          <w:u w:val="single"/>
        </w:rPr>
        <w:t>（</w:t>
      </w:r>
      <w:r>
        <w:rPr>
          <w:rFonts w:hint="eastAsia" w:ascii="华文中宋" w:hAnsi="华文中宋" w:eastAsia="华文中宋" w:cs="华文中宋"/>
          <w:u w:val="single"/>
          <w:lang w:eastAsia="zh-CN"/>
        </w:rPr>
        <w:t>招标文件</w:t>
      </w:r>
      <w:r>
        <w:rPr>
          <w:rFonts w:hint="eastAsia" w:ascii="华文中宋" w:hAnsi="华文中宋" w:eastAsia="华文中宋" w:cs="华文中宋"/>
          <w:u w:val="single"/>
        </w:rPr>
        <w:t xml:space="preserve">中明确的所属行业） </w:t>
      </w:r>
      <w:r>
        <w:rPr>
          <w:rFonts w:hint="eastAsia" w:ascii="华文中宋" w:hAnsi="华文中宋" w:eastAsia="华文中宋" w:cs="华文中宋"/>
        </w:rPr>
        <w:t>行业；制造商为</w:t>
      </w:r>
      <w:r>
        <w:rPr>
          <w:rFonts w:hint="eastAsia" w:ascii="华文中宋" w:hAnsi="华文中宋" w:eastAsia="华文中宋" w:cs="华文中宋"/>
          <w:u w:val="single"/>
        </w:rPr>
        <w:t>（企业名称）</w:t>
      </w:r>
      <w:r>
        <w:rPr>
          <w:rFonts w:hint="eastAsia" w:ascii="华文中宋" w:hAnsi="华文中宋" w:eastAsia="华文中宋" w:cs="华文中宋"/>
        </w:rPr>
        <w:t>，从业人员</w:t>
      </w:r>
      <w:r>
        <w:rPr>
          <w:rFonts w:hint="eastAsia" w:ascii="华文中宋" w:hAnsi="华文中宋" w:eastAsia="华文中宋" w:cs="华文中宋"/>
          <w:u w:val="single"/>
        </w:rPr>
        <w:t xml:space="preserve">    </w:t>
      </w:r>
      <w:r>
        <w:rPr>
          <w:rFonts w:hint="eastAsia" w:ascii="华文中宋" w:hAnsi="华文中宋" w:eastAsia="华文中宋" w:cs="华文中宋"/>
        </w:rPr>
        <w:t>人，营业收入为</w:t>
      </w:r>
      <w:r>
        <w:rPr>
          <w:rFonts w:hint="eastAsia" w:ascii="华文中宋" w:hAnsi="华文中宋" w:eastAsia="华文中宋" w:cs="华文中宋"/>
          <w:u w:val="single"/>
        </w:rPr>
        <w:t xml:space="preserve">    </w:t>
      </w:r>
      <w:r>
        <w:rPr>
          <w:rFonts w:hint="eastAsia" w:ascii="华文中宋" w:hAnsi="华文中宋" w:eastAsia="华文中宋" w:cs="华文中宋"/>
        </w:rPr>
        <w:t>万元，资产总额为</w:t>
      </w:r>
      <w:r>
        <w:rPr>
          <w:rFonts w:hint="eastAsia" w:ascii="华文中宋" w:hAnsi="华文中宋" w:eastAsia="华文中宋" w:cs="华文中宋"/>
          <w:u w:val="single"/>
        </w:rPr>
        <w:t xml:space="preserve">     </w:t>
      </w:r>
      <w:r>
        <w:rPr>
          <w:rFonts w:hint="eastAsia" w:ascii="华文中宋" w:hAnsi="华文中宋" w:eastAsia="华文中宋" w:cs="华文中宋"/>
        </w:rPr>
        <w:t>万元，属于</w:t>
      </w:r>
      <w:r>
        <w:rPr>
          <w:rFonts w:hint="eastAsia" w:ascii="华文中宋" w:hAnsi="华文中宋" w:eastAsia="华文中宋" w:cs="华文中宋"/>
          <w:u w:val="single"/>
        </w:rPr>
        <w:t>（中型企业、小型企业、微型企业）</w:t>
      </w:r>
      <w:r>
        <w:rPr>
          <w:rFonts w:hint="eastAsia" w:ascii="华文中宋" w:hAnsi="华文中宋" w:eastAsia="华文中宋" w:cs="华文中宋"/>
        </w:rPr>
        <w:t xml:space="preserve">； </w:t>
      </w:r>
    </w:p>
    <w:p w14:paraId="34212122">
      <w:pPr>
        <w:pStyle w:val="68"/>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2、</w:t>
      </w:r>
      <w:r>
        <w:rPr>
          <w:rFonts w:hint="eastAsia" w:ascii="华文中宋" w:hAnsi="华文中宋" w:eastAsia="华文中宋" w:cs="华文中宋"/>
          <w:u w:val="single"/>
        </w:rPr>
        <w:t xml:space="preserve">（标的名称） </w:t>
      </w:r>
      <w:r>
        <w:rPr>
          <w:rFonts w:hint="eastAsia" w:ascii="华文中宋" w:hAnsi="华文中宋" w:eastAsia="华文中宋" w:cs="华文中宋"/>
        </w:rPr>
        <w:t>，属于</w:t>
      </w:r>
      <w:r>
        <w:rPr>
          <w:rFonts w:hint="eastAsia" w:ascii="华文中宋" w:hAnsi="华文中宋" w:eastAsia="华文中宋" w:cs="华文中宋"/>
          <w:u w:val="single"/>
        </w:rPr>
        <w:t>（</w:t>
      </w:r>
      <w:r>
        <w:rPr>
          <w:rFonts w:hint="eastAsia" w:ascii="华文中宋" w:hAnsi="华文中宋" w:eastAsia="华文中宋" w:cs="华文中宋"/>
          <w:u w:val="single"/>
          <w:lang w:eastAsia="zh-CN"/>
        </w:rPr>
        <w:t>招标文件</w:t>
      </w:r>
      <w:r>
        <w:rPr>
          <w:rFonts w:hint="eastAsia" w:ascii="华文中宋" w:hAnsi="华文中宋" w:eastAsia="华文中宋" w:cs="华文中宋"/>
          <w:u w:val="single"/>
        </w:rPr>
        <w:t xml:space="preserve">中明确的所属行业） </w:t>
      </w:r>
      <w:r>
        <w:rPr>
          <w:rFonts w:hint="eastAsia" w:ascii="华文中宋" w:hAnsi="华文中宋" w:eastAsia="华文中宋" w:cs="华文中宋"/>
        </w:rPr>
        <w:t>行业；制造商为</w:t>
      </w:r>
      <w:r>
        <w:rPr>
          <w:rFonts w:hint="eastAsia" w:ascii="华文中宋" w:hAnsi="华文中宋" w:eastAsia="华文中宋" w:cs="华文中宋"/>
          <w:u w:val="single"/>
        </w:rPr>
        <w:t>（企业名称）</w:t>
      </w:r>
      <w:r>
        <w:rPr>
          <w:rFonts w:hint="eastAsia" w:ascii="华文中宋" w:hAnsi="华文中宋" w:eastAsia="华文中宋" w:cs="华文中宋"/>
        </w:rPr>
        <w:t>，从业人员</w:t>
      </w:r>
      <w:r>
        <w:rPr>
          <w:rFonts w:hint="eastAsia" w:ascii="华文中宋" w:hAnsi="华文中宋" w:eastAsia="华文中宋" w:cs="华文中宋"/>
          <w:u w:val="single"/>
        </w:rPr>
        <w:t xml:space="preserve">    </w:t>
      </w:r>
      <w:r>
        <w:rPr>
          <w:rFonts w:hint="eastAsia" w:ascii="华文中宋" w:hAnsi="华文中宋" w:eastAsia="华文中宋" w:cs="华文中宋"/>
        </w:rPr>
        <w:t>人，营业收入为</w:t>
      </w:r>
      <w:r>
        <w:rPr>
          <w:rFonts w:hint="eastAsia" w:ascii="华文中宋" w:hAnsi="华文中宋" w:eastAsia="华文中宋" w:cs="华文中宋"/>
          <w:u w:val="single"/>
        </w:rPr>
        <w:t xml:space="preserve">      </w:t>
      </w:r>
      <w:r>
        <w:rPr>
          <w:rFonts w:hint="eastAsia" w:ascii="华文中宋" w:hAnsi="华文中宋" w:eastAsia="华文中宋" w:cs="华文中宋"/>
        </w:rPr>
        <w:t>万元，资产总额为</w:t>
      </w:r>
      <w:r>
        <w:rPr>
          <w:rFonts w:hint="eastAsia" w:ascii="华文中宋" w:hAnsi="华文中宋" w:eastAsia="华文中宋" w:cs="华文中宋"/>
          <w:u w:val="single"/>
        </w:rPr>
        <w:t xml:space="preserve">      </w:t>
      </w:r>
      <w:r>
        <w:rPr>
          <w:rFonts w:hint="eastAsia" w:ascii="华文中宋" w:hAnsi="华文中宋" w:eastAsia="华文中宋" w:cs="华文中宋"/>
        </w:rPr>
        <w:t>万元，属于</w:t>
      </w:r>
      <w:r>
        <w:rPr>
          <w:rFonts w:hint="eastAsia" w:ascii="华文中宋" w:hAnsi="华文中宋" w:eastAsia="华文中宋" w:cs="华文中宋"/>
          <w:u w:val="single"/>
        </w:rPr>
        <w:t>（中型企业、小型 企业、微型企业）</w:t>
      </w:r>
      <w:r>
        <w:rPr>
          <w:rFonts w:hint="eastAsia" w:ascii="华文中宋" w:hAnsi="华文中宋" w:eastAsia="华文中宋" w:cs="华文中宋"/>
        </w:rPr>
        <w:t xml:space="preserve">； </w:t>
      </w:r>
    </w:p>
    <w:p w14:paraId="1855DE07">
      <w:pPr>
        <w:pStyle w:val="68"/>
        <w:snapToGrid w:val="0"/>
        <w:spacing w:line="480" w:lineRule="exact"/>
        <w:ind w:left="600"/>
        <w:rPr>
          <w:rFonts w:ascii="华文中宋" w:hAnsi="华文中宋" w:eastAsia="华文中宋" w:cs="华文中宋"/>
        </w:rPr>
      </w:pPr>
      <w:r>
        <w:rPr>
          <w:rFonts w:hint="eastAsia" w:ascii="华文中宋" w:hAnsi="华文中宋" w:eastAsia="华文中宋" w:cs="华文中宋"/>
        </w:rPr>
        <w:t xml:space="preserve">…… </w:t>
      </w:r>
    </w:p>
    <w:p w14:paraId="38679ECD">
      <w:pPr>
        <w:pStyle w:val="68"/>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以上企业，不属于大企业的分支机构，不存在控股股东为大企业的情形，也不存在与大企业的负责人为同一人的情形。</w:t>
      </w:r>
    </w:p>
    <w:p w14:paraId="77A19CDB">
      <w:pPr>
        <w:pStyle w:val="68"/>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rPr>
        <w:t xml:space="preserve">本企业对上述声明内容的真实性负责。如有虚假，将依法承担相应责任。 </w:t>
      </w:r>
    </w:p>
    <w:p w14:paraId="71F31948">
      <w:pPr>
        <w:pStyle w:val="68"/>
        <w:snapToGrid w:val="0"/>
        <w:spacing w:line="440" w:lineRule="exact"/>
        <w:ind w:left="600" w:firstLine="420" w:firstLineChars="200"/>
        <w:rPr>
          <w:rFonts w:ascii="华文中宋" w:hAnsi="华文中宋" w:eastAsia="华文中宋" w:cs="华文中宋"/>
        </w:rPr>
      </w:pPr>
      <w:r>
        <w:rPr>
          <w:rFonts w:hint="eastAsia" w:ascii="华文中宋" w:hAnsi="华文中宋" w:eastAsia="华文中宋" w:cs="华文中宋"/>
        </w:rPr>
        <w:t xml:space="preserve">                                            </w:t>
      </w:r>
    </w:p>
    <w:p w14:paraId="54E75077">
      <w:pPr>
        <w:snapToGrid w:val="0"/>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企业名称：</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（法人电子签章）</w:t>
      </w:r>
    </w:p>
    <w:p w14:paraId="52CAEA6B">
      <w:pPr>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日    期:　   年   月   日</w:t>
      </w:r>
    </w:p>
    <w:p w14:paraId="436E8B5B">
      <w:pPr>
        <w:widowControl/>
        <w:jc w:val="left"/>
        <w:rPr>
          <w:rFonts w:ascii="华文中宋" w:hAnsi="华文中宋" w:eastAsia="华文中宋" w:cs="华文中宋"/>
          <w:b/>
          <w:spacing w:val="20"/>
          <w:sz w:val="28"/>
          <w:szCs w:val="28"/>
        </w:rPr>
      </w:pPr>
      <w:r>
        <w:rPr>
          <w:rFonts w:ascii="华文中宋" w:hAnsi="华文中宋" w:eastAsia="华文中宋" w:cs="华文中宋"/>
          <w:b/>
          <w:spacing w:val="20"/>
          <w:sz w:val="28"/>
          <w:szCs w:val="28"/>
        </w:rPr>
        <w:br w:type="page"/>
      </w:r>
    </w:p>
    <w:p w14:paraId="76CABD06">
      <w:pPr>
        <w:outlineLvl w:val="0"/>
        <w:rPr>
          <w:rFonts w:hint="eastAsia"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商务技术文件格式</w:t>
      </w:r>
    </w:p>
    <w:p w14:paraId="31636D96">
      <w:pPr>
        <w:rPr>
          <w:rFonts w:hint="eastAsia"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59BFC175">
      <w:pPr>
        <w:rPr>
          <w:rFonts w:hint="eastAsia" w:ascii="华文中宋" w:hAnsi="华文中宋" w:eastAsia="华文中宋" w:cs="华文中宋"/>
          <w:b/>
          <w:sz w:val="24"/>
        </w:rPr>
      </w:pPr>
    </w:p>
    <w:p w14:paraId="621E4A5A">
      <w:pPr>
        <w:jc w:val="right"/>
        <w:rPr>
          <w:rFonts w:hint="eastAsia" w:ascii="华文中宋" w:hAnsi="华文中宋" w:eastAsia="华文中宋" w:cs="华文中宋"/>
          <w:szCs w:val="21"/>
        </w:rPr>
      </w:pPr>
    </w:p>
    <w:p w14:paraId="1520C9E5">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03097B0B">
      <w:pPr>
        <w:jc w:val="center"/>
        <w:rPr>
          <w:rFonts w:hint="eastAsia"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1CA918EC">
      <w:pPr>
        <w:rPr>
          <w:rFonts w:hint="eastAsia" w:ascii="华文中宋" w:hAnsi="华文中宋" w:eastAsia="华文中宋" w:cs="华文中宋"/>
          <w:b/>
          <w:sz w:val="44"/>
          <w:szCs w:val="44"/>
        </w:rPr>
      </w:pPr>
    </w:p>
    <w:p w14:paraId="75FCE3BB">
      <w:pPr>
        <w:ind w:firstLine="540" w:firstLineChars="150"/>
        <w:rPr>
          <w:rFonts w:hint="eastAsia"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26006023">
      <w:pPr>
        <w:ind w:firstLine="540" w:firstLineChars="150"/>
        <w:rPr>
          <w:rFonts w:hint="eastAsia"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2D189909">
      <w:pPr>
        <w:ind w:firstLine="540"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47C9999D">
      <w:pPr>
        <w:jc w:val="center"/>
        <w:rPr>
          <w:rFonts w:hint="eastAsia" w:ascii="华文中宋" w:hAnsi="华文中宋" w:eastAsia="华文中宋" w:cs="华文中宋"/>
          <w:b/>
          <w:sz w:val="32"/>
          <w:szCs w:val="32"/>
        </w:rPr>
      </w:pPr>
    </w:p>
    <w:p w14:paraId="41946C3D">
      <w:pPr>
        <w:jc w:val="center"/>
        <w:rPr>
          <w:rFonts w:hint="eastAsia" w:ascii="华文中宋" w:hAnsi="华文中宋" w:eastAsia="华文中宋" w:cs="华文中宋"/>
          <w:b/>
          <w:sz w:val="32"/>
          <w:szCs w:val="32"/>
        </w:rPr>
      </w:pPr>
    </w:p>
    <w:p w14:paraId="30B33B46">
      <w:pPr>
        <w:jc w:val="center"/>
        <w:rPr>
          <w:rFonts w:hint="eastAsia" w:ascii="华文中宋" w:hAnsi="华文中宋" w:eastAsia="华文中宋" w:cs="华文中宋"/>
          <w:b/>
          <w:sz w:val="32"/>
          <w:szCs w:val="32"/>
        </w:rPr>
      </w:pPr>
    </w:p>
    <w:p w14:paraId="79D3E1F1">
      <w:pPr>
        <w:jc w:val="center"/>
        <w:rPr>
          <w:rFonts w:hint="eastAsia" w:ascii="华文中宋" w:hAnsi="华文中宋" w:eastAsia="华文中宋" w:cs="华文中宋"/>
          <w:b/>
          <w:sz w:val="32"/>
          <w:szCs w:val="32"/>
        </w:rPr>
      </w:pPr>
    </w:p>
    <w:p w14:paraId="73A18AC5">
      <w:pPr>
        <w:jc w:val="center"/>
        <w:rPr>
          <w:rFonts w:hint="eastAsia" w:ascii="华文中宋" w:hAnsi="华文中宋" w:eastAsia="华文中宋" w:cs="华文中宋"/>
          <w:b/>
          <w:spacing w:val="20"/>
          <w:sz w:val="32"/>
          <w:szCs w:val="32"/>
        </w:rPr>
      </w:pPr>
    </w:p>
    <w:p w14:paraId="3EDAF853">
      <w:pPr>
        <w:jc w:val="center"/>
        <w:rPr>
          <w:rFonts w:hint="eastAsia" w:ascii="华文中宋" w:hAnsi="华文中宋" w:eastAsia="华文中宋" w:cs="华文中宋"/>
          <w:b/>
          <w:spacing w:val="20"/>
          <w:sz w:val="32"/>
          <w:szCs w:val="32"/>
        </w:rPr>
      </w:pPr>
    </w:p>
    <w:p w14:paraId="6AF15629">
      <w:pPr>
        <w:jc w:val="center"/>
        <w:rPr>
          <w:rFonts w:hint="eastAsia" w:ascii="华文中宋" w:hAnsi="华文中宋" w:eastAsia="华文中宋" w:cs="华文中宋"/>
          <w:b/>
          <w:spacing w:val="20"/>
          <w:sz w:val="32"/>
          <w:szCs w:val="32"/>
        </w:rPr>
      </w:pPr>
    </w:p>
    <w:p w14:paraId="4183D36E">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14:paraId="1ECA0084">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0A74B8A6">
      <w:pPr>
        <w:rPr>
          <w:rFonts w:ascii="华文中宋" w:hAnsi="华文中宋" w:eastAsia="华文中宋" w:cs="华文中宋"/>
          <w:b/>
          <w:spacing w:val="20"/>
          <w:sz w:val="32"/>
          <w:szCs w:val="32"/>
        </w:rPr>
      </w:pPr>
      <w:r>
        <w:rPr>
          <w:rFonts w:hint="eastAsia" w:ascii="华文中宋" w:hAnsi="华文中宋" w:eastAsia="华文中宋"/>
          <w:b/>
          <w:spacing w:val="20"/>
          <w:sz w:val="32"/>
          <w:szCs w:val="32"/>
        </w:rPr>
        <w:br w:type="page"/>
      </w:r>
    </w:p>
    <w:p w14:paraId="36EF24F2">
      <w:pPr>
        <w:spacing w:line="400" w:lineRule="exact"/>
        <w:ind w:firstLine="3135" w:firstLineChars="1305"/>
        <w:rPr>
          <w:rFonts w:hint="eastAsia" w:ascii="华文中宋" w:hAnsi="华文中宋" w:eastAsia="华文中宋" w:cs="微软雅黑"/>
          <w:b/>
          <w:sz w:val="24"/>
        </w:rPr>
      </w:pPr>
    </w:p>
    <w:p w14:paraId="50357AE4">
      <w:pPr>
        <w:spacing w:line="400" w:lineRule="exact"/>
        <w:ind w:firstLine="3135" w:firstLineChars="1305"/>
        <w:rPr>
          <w:rFonts w:hint="eastAsia" w:ascii="华文中宋" w:hAnsi="华文中宋" w:eastAsia="华文中宋" w:cs="微软雅黑"/>
          <w:b/>
          <w:sz w:val="24"/>
        </w:rPr>
      </w:pPr>
      <w:r>
        <w:rPr>
          <w:rFonts w:hint="eastAsia" w:ascii="华文中宋" w:hAnsi="华文中宋" w:eastAsia="华文中宋" w:cs="微软雅黑"/>
          <w:b/>
          <w:sz w:val="24"/>
        </w:rPr>
        <w:t>商  务  技  术  文  件</w:t>
      </w:r>
    </w:p>
    <w:p w14:paraId="7CF66BE8">
      <w:pPr>
        <w:spacing w:line="400" w:lineRule="exact"/>
        <w:ind w:firstLine="4115" w:firstLineChars="1713"/>
        <w:rPr>
          <w:rFonts w:hint="eastAsia" w:ascii="华文中宋" w:hAnsi="华文中宋" w:eastAsia="华文中宋" w:cs="微软雅黑"/>
          <w:b/>
          <w:sz w:val="24"/>
        </w:rPr>
      </w:pPr>
    </w:p>
    <w:p w14:paraId="71F577F9">
      <w:pPr>
        <w:spacing w:line="400" w:lineRule="exact"/>
        <w:ind w:firstLine="3995" w:firstLineChars="1663"/>
        <w:rPr>
          <w:rFonts w:hint="eastAsia" w:ascii="华文中宋" w:hAnsi="华文中宋" w:eastAsia="华文中宋" w:cs="微软雅黑"/>
          <w:b/>
          <w:sz w:val="24"/>
        </w:rPr>
      </w:pPr>
      <w:r>
        <w:rPr>
          <w:rFonts w:hint="eastAsia" w:ascii="华文中宋" w:hAnsi="华文中宋" w:eastAsia="华文中宋" w:cs="微软雅黑"/>
          <w:b/>
          <w:sz w:val="24"/>
        </w:rPr>
        <w:t>目    录</w:t>
      </w:r>
    </w:p>
    <w:p w14:paraId="5D7C999B">
      <w:pPr>
        <w:pStyle w:val="25"/>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1、开标报价一览表……………………………………………………………………………………页码</w:t>
      </w:r>
    </w:p>
    <w:p w14:paraId="1F6BBF99">
      <w:pPr>
        <w:pStyle w:val="25"/>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报价明细表……………………………………………………………………………………页码</w:t>
      </w:r>
    </w:p>
    <w:p w14:paraId="3D9F86E7">
      <w:pPr>
        <w:pStyle w:val="25"/>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小型、微型企业/残疾人福利性单位/</w:t>
      </w:r>
      <w:r>
        <w:rPr>
          <w:rFonts w:hint="eastAsia" w:ascii="华文中宋" w:hAnsi="华文中宋" w:eastAsia="华文中宋" w:cs="微软雅黑"/>
          <w:sz w:val="21"/>
          <w:szCs w:val="21"/>
          <w:lang w:eastAsia="zh-CN"/>
        </w:rPr>
        <w:t>创新产品或创新服务明细表</w:t>
      </w:r>
      <w:r>
        <w:rPr>
          <w:rFonts w:hint="eastAsia" w:ascii="华文中宋" w:hAnsi="华文中宋" w:eastAsia="华文中宋" w:cs="微软雅黑"/>
          <w:sz w:val="21"/>
          <w:szCs w:val="21"/>
        </w:rPr>
        <w:t>（若有的话）………页码</w:t>
      </w:r>
    </w:p>
    <w:p w14:paraId="70EC4113">
      <w:pPr>
        <w:pStyle w:val="25"/>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残疾人福利性单位声明函（若有的话）…………………………………………………………页码</w:t>
      </w:r>
    </w:p>
    <w:p w14:paraId="4998152C">
      <w:pPr>
        <w:pStyle w:val="25"/>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2、对商务要求的响应内容…………………………………………………………………………页码</w:t>
      </w:r>
    </w:p>
    <w:p w14:paraId="14032179">
      <w:pPr>
        <w:pStyle w:val="25"/>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3、对实质性要求的响应内容…………………………………………………………………………页码</w:t>
      </w:r>
    </w:p>
    <w:p w14:paraId="354D10D1">
      <w:pPr>
        <w:pStyle w:val="25"/>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涉及政府采购政策要求内容（若有的话）………………………………………………………页码</w:t>
      </w:r>
    </w:p>
    <w:p w14:paraId="0D431869">
      <w:pPr>
        <w:pStyle w:val="25"/>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4、对非实质性要求的响应内容………………………………………………………………………页码</w:t>
      </w:r>
    </w:p>
    <w:p w14:paraId="6FDAAD44">
      <w:pPr>
        <w:pStyle w:val="25"/>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涉及政府采购政策要求内容（若有的话）………………………………………………………页码</w:t>
      </w:r>
    </w:p>
    <w:p w14:paraId="00F64D9C">
      <w:pPr>
        <w:pStyle w:val="25"/>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5、对服务要求的响应内容……………………………………………………………………………页码</w:t>
      </w:r>
    </w:p>
    <w:p w14:paraId="038B3EE4">
      <w:pPr>
        <w:pStyle w:val="25"/>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6、</w:t>
      </w:r>
      <w:r>
        <w:rPr>
          <w:rFonts w:hint="eastAsia" w:ascii="华文中宋" w:hAnsi="华文中宋" w:eastAsia="华文中宋" w:cs="华文中宋"/>
          <w:sz w:val="21"/>
          <w:szCs w:val="21"/>
        </w:rPr>
        <w:t>对技术要求的响应内容</w:t>
      </w:r>
      <w:r>
        <w:rPr>
          <w:rFonts w:hint="eastAsia" w:ascii="华文中宋" w:hAnsi="华文中宋" w:eastAsia="华文中宋" w:cs="微软雅黑"/>
          <w:sz w:val="21"/>
          <w:szCs w:val="21"/>
        </w:rPr>
        <w:t>……………………………………………………………………………页码</w:t>
      </w:r>
    </w:p>
    <w:p w14:paraId="25B0AFD6">
      <w:pPr>
        <w:pStyle w:val="25"/>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7</w:t>
      </w:r>
      <w:r>
        <w:rPr>
          <w:rFonts w:hint="eastAsia" w:ascii="华文中宋" w:hAnsi="华文中宋" w:eastAsia="华文中宋" w:cs="微软雅黑"/>
          <w:sz w:val="21"/>
          <w:szCs w:val="21"/>
        </w:rPr>
        <w:t>、招标文件要求或投标人认为需要提供的其他商务技术材料/文件……………………………页码</w:t>
      </w:r>
    </w:p>
    <w:p w14:paraId="7013D46A">
      <w:pPr>
        <w:pStyle w:val="25"/>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8</w:t>
      </w:r>
      <w:r>
        <w:rPr>
          <w:rFonts w:hint="eastAsia" w:ascii="华文中宋" w:hAnsi="华文中宋" w:eastAsia="华文中宋" w:cs="微软雅黑"/>
          <w:sz w:val="21"/>
          <w:szCs w:val="21"/>
        </w:rPr>
        <w:t>、投标人业绩情况……………………………………………………………………………………页码</w:t>
      </w:r>
    </w:p>
    <w:p w14:paraId="6C675E06">
      <w:pPr>
        <w:pStyle w:val="25"/>
        <w:snapToGrid w:val="0"/>
        <w:spacing w:before="0" w:beforeAutospacing="0" w:after="0" w:afterAutospacing="0" w:line="400" w:lineRule="exact"/>
        <w:jc w:val="both"/>
        <w:rPr>
          <w:rFonts w:hint="eastAsia" w:ascii="华文中宋" w:hAnsi="华文中宋" w:eastAsia="华文中宋" w:cs="微软雅黑"/>
        </w:rPr>
      </w:pPr>
    </w:p>
    <w:p w14:paraId="6C1AA6C9">
      <w:pPr>
        <w:pStyle w:val="25"/>
        <w:snapToGrid w:val="0"/>
        <w:spacing w:before="0" w:beforeAutospacing="0" w:after="0" w:afterAutospacing="0" w:line="400" w:lineRule="exact"/>
        <w:jc w:val="both"/>
        <w:rPr>
          <w:rFonts w:hint="eastAsia" w:ascii="华文中宋" w:hAnsi="华文中宋" w:eastAsia="华文中宋" w:cs="微软雅黑"/>
        </w:rPr>
      </w:pPr>
    </w:p>
    <w:p w14:paraId="65D5B526">
      <w:pPr>
        <w:pStyle w:val="25"/>
        <w:snapToGrid w:val="0"/>
        <w:spacing w:before="0" w:beforeAutospacing="0" w:after="0" w:afterAutospacing="0" w:line="400" w:lineRule="exact"/>
        <w:jc w:val="both"/>
        <w:rPr>
          <w:rFonts w:hint="eastAsia" w:ascii="华文中宋" w:hAnsi="华文中宋" w:eastAsia="华文中宋" w:cs="微软雅黑"/>
        </w:rPr>
      </w:pPr>
    </w:p>
    <w:p w14:paraId="4C73D4C5">
      <w:pPr>
        <w:pStyle w:val="25"/>
        <w:snapToGrid w:val="0"/>
        <w:spacing w:before="0" w:beforeAutospacing="0" w:after="0" w:afterAutospacing="0" w:line="500" w:lineRule="exact"/>
        <w:jc w:val="distribute"/>
        <w:rPr>
          <w:rFonts w:hint="eastAsia" w:ascii="华文中宋" w:hAnsi="华文中宋" w:eastAsia="华文中宋" w:cs="微软雅黑"/>
        </w:rPr>
      </w:pPr>
    </w:p>
    <w:p w14:paraId="60B91C42">
      <w:pPr>
        <w:pStyle w:val="25"/>
        <w:widowControl w:val="0"/>
        <w:snapToGrid w:val="0"/>
        <w:spacing w:before="0" w:beforeAutospacing="0" w:after="0" w:afterAutospacing="0" w:line="400" w:lineRule="exact"/>
        <w:jc w:val="both"/>
        <w:rPr>
          <w:rFonts w:ascii="华文中宋" w:hAnsi="华文中宋" w:eastAsia="华文中宋" w:cs="华文中宋"/>
        </w:rPr>
      </w:pPr>
    </w:p>
    <w:p w14:paraId="3E5A361A">
      <w:pPr>
        <w:snapToGrid w:val="0"/>
        <w:ind w:left="420" w:hanging="420" w:hangingChars="200"/>
        <w:rPr>
          <w:rFonts w:ascii="华文中宋" w:hAnsi="华文中宋" w:eastAsia="华文中宋" w:cs="华文中宋"/>
          <w:b/>
        </w:rPr>
      </w:pPr>
    </w:p>
    <w:p w14:paraId="36F2D520">
      <w:pPr>
        <w:spacing w:line="480" w:lineRule="exact"/>
        <w:rPr>
          <w:rFonts w:ascii="华文中宋" w:hAnsi="华文中宋" w:eastAsia="华文中宋" w:cs="华文中宋"/>
          <w:b/>
        </w:rPr>
      </w:pPr>
    </w:p>
    <w:p w14:paraId="7C2C98F2">
      <w:pPr>
        <w:spacing w:line="480" w:lineRule="exact"/>
        <w:rPr>
          <w:rFonts w:ascii="华文中宋" w:hAnsi="华文中宋" w:eastAsia="华文中宋" w:cs="华文中宋"/>
          <w:b/>
        </w:rPr>
      </w:pPr>
    </w:p>
    <w:p w14:paraId="4D827D0A">
      <w:pPr>
        <w:spacing w:line="480" w:lineRule="exact"/>
        <w:rPr>
          <w:rFonts w:ascii="华文中宋" w:hAnsi="华文中宋" w:eastAsia="华文中宋" w:cs="华文中宋"/>
          <w:b/>
        </w:rPr>
      </w:pPr>
    </w:p>
    <w:p w14:paraId="77615A60">
      <w:pPr>
        <w:spacing w:line="480" w:lineRule="exact"/>
        <w:rPr>
          <w:rFonts w:ascii="华文中宋" w:hAnsi="华文中宋" w:eastAsia="华文中宋" w:cs="华文中宋"/>
          <w:b/>
        </w:rPr>
      </w:pPr>
    </w:p>
    <w:p w14:paraId="17D19C8A">
      <w:pPr>
        <w:spacing w:line="480" w:lineRule="exact"/>
        <w:rPr>
          <w:rFonts w:ascii="华文中宋" w:hAnsi="华文中宋" w:eastAsia="华文中宋" w:cs="华文中宋"/>
          <w:b/>
        </w:rPr>
      </w:pPr>
    </w:p>
    <w:p w14:paraId="7F8C30B4">
      <w:pPr>
        <w:spacing w:line="480" w:lineRule="exact"/>
        <w:rPr>
          <w:rFonts w:ascii="华文中宋" w:hAnsi="华文中宋" w:eastAsia="华文中宋" w:cs="华文中宋"/>
          <w:b/>
        </w:rPr>
      </w:pPr>
    </w:p>
    <w:p w14:paraId="76365B09">
      <w:pPr>
        <w:spacing w:line="480" w:lineRule="exact"/>
        <w:rPr>
          <w:rFonts w:ascii="华文中宋" w:hAnsi="华文中宋" w:eastAsia="华文中宋" w:cs="华文中宋"/>
          <w:b/>
        </w:rPr>
      </w:pPr>
    </w:p>
    <w:p w14:paraId="6658D97B">
      <w:pPr>
        <w:spacing w:line="480" w:lineRule="exact"/>
        <w:rPr>
          <w:rFonts w:ascii="华文中宋" w:hAnsi="华文中宋" w:eastAsia="华文中宋" w:cs="华文中宋"/>
          <w:b/>
        </w:rPr>
      </w:pPr>
    </w:p>
    <w:p w14:paraId="4762E449">
      <w:pPr>
        <w:spacing w:line="480" w:lineRule="exact"/>
        <w:rPr>
          <w:rFonts w:ascii="华文中宋" w:hAnsi="华文中宋" w:eastAsia="华文中宋" w:cs="华文中宋"/>
          <w:b/>
        </w:rPr>
      </w:pPr>
    </w:p>
    <w:p w14:paraId="10B2ED62">
      <w:pPr>
        <w:spacing w:line="480" w:lineRule="exact"/>
        <w:rPr>
          <w:rFonts w:ascii="华文中宋" w:hAnsi="华文中宋" w:eastAsia="华文中宋" w:cs="华文中宋"/>
          <w:b/>
        </w:rPr>
      </w:pPr>
    </w:p>
    <w:p w14:paraId="6EDEA896">
      <w:pPr>
        <w:spacing w:line="480" w:lineRule="exact"/>
        <w:rPr>
          <w:rFonts w:hint="eastAsia" w:ascii="华文中宋" w:hAnsi="华文中宋" w:eastAsia="华文中宋" w:cs="华文中宋"/>
          <w:b/>
          <w:sz w:val="24"/>
          <w:highlight w:val="none"/>
        </w:rPr>
      </w:pPr>
    </w:p>
    <w:p w14:paraId="1E7E7E38">
      <w:pPr>
        <w:spacing w:line="480" w:lineRule="exact"/>
        <w:rPr>
          <w:rFonts w:ascii="华文中宋" w:hAnsi="华文中宋" w:eastAsia="华文中宋" w:cs="华文中宋"/>
          <w:b/>
          <w:sz w:val="24"/>
        </w:rPr>
      </w:pPr>
      <w:r>
        <w:rPr>
          <w:rFonts w:hint="eastAsia" w:ascii="华文中宋" w:hAnsi="华文中宋" w:eastAsia="华文中宋" w:cs="华文中宋"/>
          <w:b/>
          <w:sz w:val="24"/>
          <w:highlight w:val="none"/>
        </w:rPr>
        <w:t>（一）</w:t>
      </w:r>
      <w:r>
        <w:rPr>
          <w:rFonts w:hint="eastAsia" w:ascii="华文中宋" w:hAnsi="华文中宋" w:eastAsia="华文中宋" w:cs="华文中宋"/>
          <w:b/>
          <w:sz w:val="24"/>
        </w:rPr>
        <w:t xml:space="preserve">  开标报价一览表格式（以包为单位分别填写）</w:t>
      </w:r>
    </w:p>
    <w:p w14:paraId="2624FAC9">
      <w:pPr>
        <w:spacing w:line="480" w:lineRule="exact"/>
        <w:jc w:val="center"/>
        <w:rPr>
          <w:rFonts w:ascii="华文中宋" w:hAnsi="华文中宋" w:eastAsia="华文中宋" w:cs="华文中宋"/>
          <w:b/>
          <w:sz w:val="24"/>
        </w:rPr>
      </w:pPr>
    </w:p>
    <w:p w14:paraId="70239B81">
      <w:pPr>
        <w:tabs>
          <w:tab w:val="left" w:pos="630"/>
        </w:tabs>
        <w:spacing w:afterLines="73" w:line="480" w:lineRule="exact"/>
        <w:jc w:val="center"/>
        <w:rPr>
          <w:rFonts w:ascii="华文中宋" w:hAnsi="华文中宋" w:eastAsia="华文中宋" w:cs="微软雅黑"/>
          <w:b/>
          <w:snapToGrid w:val="0"/>
          <w:color w:val="auto"/>
          <w:sz w:val="24"/>
          <w:szCs w:val="24"/>
        </w:rPr>
      </w:pPr>
      <w:r>
        <w:rPr>
          <w:rFonts w:hint="eastAsia" w:ascii="华文中宋" w:hAnsi="华文中宋" w:eastAsia="华文中宋" w:cs="微软雅黑"/>
          <w:b/>
          <w:snapToGrid w:val="0"/>
          <w:color w:val="auto"/>
          <w:sz w:val="24"/>
          <w:szCs w:val="24"/>
        </w:rPr>
        <w:t>开标报价一览表</w:t>
      </w:r>
    </w:p>
    <w:p w14:paraId="2F032D2F">
      <w:pPr>
        <w:pStyle w:val="14"/>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53"/>
      </w:tblGrid>
      <w:tr w14:paraId="71F4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336FBC6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项目名称</w:t>
            </w:r>
          </w:p>
        </w:tc>
        <w:tc>
          <w:tcPr>
            <w:tcW w:w="6653" w:type="dxa"/>
            <w:tcBorders>
              <w:bottom w:val="nil"/>
            </w:tcBorders>
            <w:noWrap w:val="0"/>
            <w:vAlign w:val="center"/>
          </w:tcPr>
          <w:p w14:paraId="7A4B9BA1">
            <w:pPr>
              <w:pStyle w:val="14"/>
              <w:keepNext w:val="0"/>
              <w:keepLines w:val="0"/>
              <w:suppressLineNumbers w:val="0"/>
              <w:adjustRightInd w:val="0"/>
              <w:snapToGrid w:val="0"/>
              <w:spacing w:before="0" w:beforeAutospacing="0" w:afterAutospacing="0"/>
              <w:ind w:left="0" w:right="0"/>
              <w:jc w:val="center"/>
              <w:rPr>
                <w:rFonts w:ascii="华文中宋" w:hAnsi="华文中宋" w:eastAsia="华文中宋" w:cs="微软雅黑"/>
                <w:color w:val="auto"/>
              </w:rPr>
            </w:pPr>
          </w:p>
        </w:tc>
      </w:tr>
      <w:tr w14:paraId="4C53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0571C2E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rPr>
              <w:t>项目编号</w:t>
            </w:r>
          </w:p>
        </w:tc>
        <w:tc>
          <w:tcPr>
            <w:tcW w:w="6653" w:type="dxa"/>
            <w:noWrap w:val="0"/>
            <w:vAlign w:val="center"/>
          </w:tcPr>
          <w:p w14:paraId="5734328B">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p>
        </w:tc>
      </w:tr>
      <w:tr w14:paraId="0CC3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noWrap w:val="0"/>
            <w:vAlign w:val="center"/>
          </w:tcPr>
          <w:p w14:paraId="5674666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rPr>
            </w:pPr>
            <w:r>
              <w:rPr>
                <w:rFonts w:hint="eastAsia" w:ascii="华文中宋" w:hAnsi="华文中宋" w:eastAsia="华文中宋" w:cs="微软雅黑"/>
                <w:b/>
                <w:color w:val="auto"/>
              </w:rPr>
              <w:t>包    号</w:t>
            </w:r>
          </w:p>
        </w:tc>
        <w:tc>
          <w:tcPr>
            <w:tcW w:w="6653" w:type="dxa"/>
            <w:noWrap w:val="0"/>
            <w:vAlign w:val="center"/>
          </w:tcPr>
          <w:p w14:paraId="57C1685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p>
        </w:tc>
      </w:tr>
      <w:tr w14:paraId="278F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Merge w:val="restart"/>
            <w:noWrap w:val="0"/>
            <w:vAlign w:val="center"/>
          </w:tcPr>
          <w:p w14:paraId="1988E67A">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投标总报价</w:t>
            </w:r>
          </w:p>
        </w:tc>
        <w:tc>
          <w:tcPr>
            <w:tcW w:w="6653" w:type="dxa"/>
            <w:noWrap w:val="0"/>
            <w:vAlign w:val="center"/>
          </w:tcPr>
          <w:p w14:paraId="1427785C">
            <w:pPr>
              <w:pStyle w:val="14"/>
              <w:keepNext w:val="0"/>
              <w:keepLines w:val="0"/>
              <w:suppressLineNumbers w:val="0"/>
              <w:spacing w:before="0" w:beforeAutospacing="0" w:afterAutospacing="0"/>
              <w:ind w:left="0" w:right="0"/>
              <w:rPr>
                <w:rFonts w:ascii="华文中宋" w:hAnsi="华文中宋" w:eastAsia="华文中宋"/>
                <w:color w:val="auto"/>
              </w:rPr>
            </w:pPr>
            <w:r>
              <w:rPr>
                <w:rFonts w:hint="eastAsia" w:ascii="华文中宋" w:hAnsi="华文中宋" w:eastAsia="华文中宋" w:cs="微软雅黑"/>
                <w:bCs/>
                <w:color w:val="auto"/>
                <w:szCs w:val="21"/>
              </w:rPr>
              <w:t>小写：</w:t>
            </w:r>
          </w:p>
        </w:tc>
      </w:tr>
      <w:tr w14:paraId="745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Merge w:val="continue"/>
            <w:noWrap w:val="0"/>
            <w:vAlign w:val="center"/>
          </w:tcPr>
          <w:p w14:paraId="4337349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p>
        </w:tc>
        <w:tc>
          <w:tcPr>
            <w:tcW w:w="6653" w:type="dxa"/>
            <w:noWrap w:val="0"/>
            <w:vAlign w:val="center"/>
          </w:tcPr>
          <w:p w14:paraId="0B7125E1">
            <w:pPr>
              <w:pStyle w:val="14"/>
              <w:keepNext w:val="0"/>
              <w:keepLines w:val="0"/>
              <w:suppressLineNumbers w:val="0"/>
              <w:spacing w:before="0" w:beforeAutospacing="0" w:afterAutospacing="0"/>
              <w:ind w:left="0" w:right="0"/>
              <w:rPr>
                <w:rFonts w:ascii="华文中宋" w:hAnsi="华文中宋" w:eastAsia="华文中宋" w:cs="微软雅黑"/>
                <w:bCs/>
                <w:color w:val="auto"/>
                <w:szCs w:val="21"/>
              </w:rPr>
            </w:pPr>
            <w:r>
              <w:rPr>
                <w:rFonts w:hint="eastAsia" w:ascii="华文中宋" w:hAnsi="华文中宋" w:eastAsia="华文中宋" w:cs="微软雅黑"/>
                <w:bCs/>
                <w:color w:val="auto"/>
                <w:szCs w:val="21"/>
              </w:rPr>
              <w:t>大写：</w:t>
            </w:r>
          </w:p>
        </w:tc>
      </w:tr>
      <w:tr w14:paraId="45D0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noWrap w:val="0"/>
            <w:vAlign w:val="center"/>
          </w:tcPr>
          <w:p w14:paraId="2527256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报价说明</w:t>
            </w:r>
          </w:p>
        </w:tc>
        <w:tc>
          <w:tcPr>
            <w:tcW w:w="6653" w:type="dxa"/>
            <w:noWrap w:val="0"/>
            <w:vAlign w:val="center"/>
          </w:tcPr>
          <w:p w14:paraId="54CB868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color w:val="auto"/>
                <w:szCs w:val="21"/>
              </w:rPr>
            </w:pPr>
            <w:r>
              <w:rPr>
                <w:rFonts w:hint="eastAsia" w:ascii="华文中宋" w:hAnsi="华文中宋" w:eastAsia="华文中宋" w:cs="微软雅黑"/>
                <w:b/>
                <w:snapToGrid w:val="0"/>
                <w:color w:val="auto"/>
                <w:szCs w:val="21"/>
              </w:rPr>
              <w:t>后附《报价明细表》</w:t>
            </w:r>
          </w:p>
        </w:tc>
      </w:tr>
    </w:tbl>
    <w:p w14:paraId="1222DD48">
      <w:pPr>
        <w:snapToGrid w:val="0"/>
        <w:spacing w:line="480" w:lineRule="exact"/>
        <w:jc w:val="right"/>
        <w:rPr>
          <w:rFonts w:ascii="华文中宋" w:hAnsi="华文中宋" w:eastAsia="华文中宋" w:cs="华文中宋"/>
          <w:szCs w:val="21"/>
        </w:rPr>
      </w:pPr>
    </w:p>
    <w:p w14:paraId="32A063D1">
      <w:pPr>
        <w:snapToGrid w:val="0"/>
        <w:spacing w:line="480" w:lineRule="exact"/>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rPr>
        <w:t>：</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法人电子签章</w:t>
      </w:r>
      <w:r>
        <w:rPr>
          <w:rFonts w:hint="eastAsia" w:ascii="华文中宋" w:hAnsi="华文中宋" w:eastAsia="华文中宋"/>
          <w:szCs w:val="21"/>
        </w:rPr>
        <w:t>）</w:t>
      </w:r>
    </w:p>
    <w:p w14:paraId="31297F48">
      <w:pPr>
        <w:snapToGrid w:val="0"/>
        <w:spacing w:line="480" w:lineRule="exact"/>
        <w:jc w:val="right"/>
        <w:rPr>
          <w:rFonts w:ascii="华文中宋" w:hAnsi="华文中宋" w:eastAsia="华文中宋" w:cs="华文中宋"/>
          <w:szCs w:val="21"/>
        </w:rPr>
      </w:pPr>
      <w:r>
        <w:rPr>
          <w:rFonts w:hint="eastAsia" w:ascii="华文中宋" w:hAnsi="华文中宋" w:eastAsia="华文中宋"/>
          <w:szCs w:val="21"/>
        </w:rPr>
        <w:t>年   月   日</w:t>
      </w:r>
    </w:p>
    <w:p w14:paraId="1702B5F7">
      <w:pPr>
        <w:widowControl/>
        <w:jc w:val="left"/>
        <w:rPr>
          <w:rFonts w:ascii="华文中宋" w:hAnsi="华文中宋" w:eastAsia="华文中宋" w:cs="华文中宋"/>
          <w:szCs w:val="21"/>
        </w:rPr>
      </w:pPr>
      <w:r>
        <w:rPr>
          <w:rFonts w:ascii="华文中宋" w:hAnsi="华文中宋" w:eastAsia="华文中宋" w:cs="华文中宋"/>
          <w:szCs w:val="21"/>
        </w:rPr>
        <w:br w:type="page"/>
      </w:r>
      <w:bookmarkStart w:id="102" w:name="OLE_LINK4"/>
    </w:p>
    <w:p w14:paraId="123DDCA3">
      <w:pPr>
        <w:spacing w:line="480" w:lineRule="exact"/>
        <w:jc w:val="center"/>
        <w:rPr>
          <w:rFonts w:ascii="华文中宋" w:hAnsi="华文中宋" w:eastAsia="华文中宋" w:cs="微软雅黑"/>
          <w:b/>
          <w:sz w:val="24"/>
        </w:rPr>
      </w:pPr>
      <w:r>
        <w:rPr>
          <w:rFonts w:hint="eastAsia" w:ascii="华文中宋" w:hAnsi="华文中宋" w:eastAsia="华文中宋" w:cs="微软雅黑"/>
          <w:b/>
          <w:sz w:val="24"/>
        </w:rPr>
        <w:t>报价明细表（以包为单位分别填写）</w:t>
      </w:r>
    </w:p>
    <w:p w14:paraId="462F1F5C">
      <w:pPr>
        <w:spacing w:line="460" w:lineRule="exact"/>
        <w:rPr>
          <w:rFonts w:ascii="华文中宋" w:hAnsi="华文中宋" w:eastAsia="华文中宋" w:cs="微软雅黑"/>
          <w:szCs w:val="21"/>
          <w:u w:val="single"/>
        </w:rPr>
      </w:pPr>
      <w:r>
        <w:rPr>
          <w:rFonts w:hint="eastAsia" w:ascii="华文中宋" w:hAnsi="华文中宋" w:eastAsia="华文中宋" w:cs="微软雅黑"/>
          <w:szCs w:val="21"/>
        </w:rPr>
        <w:t xml:space="preserve">项目名称：    </w:t>
      </w:r>
      <w:r>
        <w:rPr>
          <w:rFonts w:hint="eastAsia" w:ascii="华文中宋" w:hAnsi="华文中宋" w:eastAsia="华文中宋" w:cs="微软雅黑"/>
          <w:szCs w:val="21"/>
          <w:u w:val="single"/>
        </w:rPr>
        <w:t xml:space="preserve">                                  </w:t>
      </w:r>
    </w:p>
    <w:p w14:paraId="60E84F38">
      <w:pPr>
        <w:spacing w:line="460" w:lineRule="exact"/>
        <w:rPr>
          <w:rFonts w:ascii="华文中宋" w:hAnsi="华文中宋" w:eastAsia="华文中宋" w:cs="微软雅黑"/>
          <w:szCs w:val="21"/>
          <w:u w:val="single"/>
        </w:rPr>
      </w:pPr>
      <w:r>
        <w:rPr>
          <w:rFonts w:hint="eastAsia" w:ascii="华文中宋" w:hAnsi="华文中宋" w:eastAsia="华文中宋" w:cs="微软雅黑"/>
          <w:szCs w:val="21"/>
        </w:rPr>
        <w:t xml:space="preserve">项目编号：    </w:t>
      </w:r>
      <w:r>
        <w:rPr>
          <w:rFonts w:hint="eastAsia" w:ascii="华文中宋" w:hAnsi="华文中宋" w:eastAsia="华文中宋" w:cs="微软雅黑"/>
          <w:szCs w:val="21"/>
          <w:u w:val="single"/>
        </w:rPr>
        <w:t xml:space="preserve">                                   </w:t>
      </w:r>
    </w:p>
    <w:p w14:paraId="72EC10FF">
      <w:pPr>
        <w:spacing w:line="460" w:lineRule="exact"/>
        <w:rPr>
          <w:rFonts w:ascii="华文中宋" w:hAnsi="华文中宋" w:eastAsia="华文中宋" w:cs="微软雅黑"/>
          <w:szCs w:val="21"/>
        </w:rPr>
      </w:pPr>
      <w:r>
        <w:rPr>
          <w:rFonts w:hint="eastAsia" w:ascii="华文中宋" w:hAnsi="华文中宋" w:eastAsia="华文中宋" w:cs="微软雅黑"/>
          <w:szCs w:val="21"/>
        </w:rPr>
        <w:t xml:space="preserve">投标人名称：  </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 </w:t>
      </w:r>
    </w:p>
    <w:p w14:paraId="4359E900">
      <w:pPr>
        <w:spacing w:line="480" w:lineRule="exact"/>
        <w:jc w:val="left"/>
        <w:rPr>
          <w:rFonts w:ascii="华文中宋" w:hAnsi="华文中宋" w:eastAsia="华文中宋" w:cs="微软雅黑"/>
          <w:szCs w:val="21"/>
          <w:u w:val="single"/>
        </w:rPr>
      </w:pPr>
      <w:bookmarkStart w:id="103" w:name="OLE_LINK5"/>
      <w:r>
        <w:rPr>
          <w:rFonts w:hint="eastAsia" w:ascii="华文中宋" w:hAnsi="华文中宋" w:eastAsia="华文中宋" w:cs="微软雅黑"/>
          <w:szCs w:val="21"/>
        </w:rPr>
        <w:t xml:space="preserve">包    号：    </w:t>
      </w:r>
      <w:r>
        <w:rPr>
          <w:rFonts w:hint="eastAsia" w:ascii="华文中宋" w:hAnsi="华文中宋" w:eastAsia="华文中宋" w:cs="微软雅黑"/>
          <w:szCs w:val="21"/>
          <w:u w:val="single"/>
        </w:rPr>
        <w:t xml:space="preserve">                                  </w:t>
      </w:r>
    </w:p>
    <w:bookmarkEnd w:id="103"/>
    <w:p w14:paraId="1C8BCC40">
      <w:pPr>
        <w:pStyle w:val="14"/>
        <w:rPr>
          <w:rFonts w:ascii="华文中宋" w:hAnsi="华文中宋" w:eastAsia="华文中宋"/>
        </w:rPr>
      </w:pPr>
    </w:p>
    <w:p w14:paraId="46F0EFDC">
      <w:pPr>
        <w:spacing w:line="460" w:lineRule="exact"/>
        <w:jc w:val="right"/>
        <w:rPr>
          <w:rFonts w:ascii="华文中宋" w:hAnsi="华文中宋" w:eastAsia="华文中宋" w:cs="微软雅黑"/>
          <w:szCs w:val="21"/>
        </w:rPr>
      </w:pPr>
      <w:r>
        <w:rPr>
          <w:rFonts w:hint="eastAsia" w:ascii="华文中宋" w:hAnsi="华文中宋" w:eastAsia="华文中宋" w:cs="微软雅黑"/>
          <w:szCs w:val="21"/>
        </w:rPr>
        <w:t>货币：人民币/元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99"/>
        <w:gridCol w:w="944"/>
        <w:gridCol w:w="945"/>
        <w:gridCol w:w="870"/>
        <w:gridCol w:w="884"/>
        <w:gridCol w:w="992"/>
        <w:gridCol w:w="792"/>
        <w:gridCol w:w="779"/>
        <w:gridCol w:w="710"/>
        <w:gridCol w:w="910"/>
      </w:tblGrid>
      <w:tr w14:paraId="63F2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9" w:type="dxa"/>
            <w:noWrap w:val="0"/>
            <w:vAlign w:val="center"/>
          </w:tcPr>
          <w:p w14:paraId="5D4216AA">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序号</w:t>
            </w:r>
          </w:p>
        </w:tc>
        <w:tc>
          <w:tcPr>
            <w:tcW w:w="999" w:type="dxa"/>
            <w:noWrap w:val="0"/>
            <w:vAlign w:val="center"/>
          </w:tcPr>
          <w:p w14:paraId="585EA69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货物名称</w:t>
            </w:r>
          </w:p>
        </w:tc>
        <w:tc>
          <w:tcPr>
            <w:tcW w:w="944" w:type="dxa"/>
            <w:noWrap w:val="0"/>
            <w:vAlign w:val="center"/>
          </w:tcPr>
          <w:p w14:paraId="77A4B5B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品牌</w:t>
            </w:r>
          </w:p>
        </w:tc>
        <w:tc>
          <w:tcPr>
            <w:tcW w:w="945" w:type="dxa"/>
            <w:tcBorders>
              <w:bottom w:val="single" w:color="auto" w:sz="4" w:space="0"/>
            </w:tcBorders>
            <w:noWrap w:val="0"/>
            <w:vAlign w:val="center"/>
          </w:tcPr>
          <w:p w14:paraId="3A43C31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规格型号</w:t>
            </w:r>
          </w:p>
        </w:tc>
        <w:tc>
          <w:tcPr>
            <w:tcW w:w="870" w:type="dxa"/>
            <w:tcBorders>
              <w:bottom w:val="single" w:color="auto" w:sz="4" w:space="0"/>
            </w:tcBorders>
            <w:noWrap w:val="0"/>
            <w:vAlign w:val="center"/>
          </w:tcPr>
          <w:p w14:paraId="49C445F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产地及厂家</w:t>
            </w:r>
          </w:p>
        </w:tc>
        <w:tc>
          <w:tcPr>
            <w:tcW w:w="884" w:type="dxa"/>
            <w:tcBorders>
              <w:bottom w:val="single" w:color="auto" w:sz="4" w:space="0"/>
            </w:tcBorders>
            <w:noWrap w:val="0"/>
            <w:vAlign w:val="center"/>
          </w:tcPr>
          <w:p w14:paraId="3EAA7E4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数量</w:t>
            </w:r>
          </w:p>
        </w:tc>
        <w:tc>
          <w:tcPr>
            <w:tcW w:w="992" w:type="dxa"/>
            <w:tcBorders>
              <w:bottom w:val="single" w:color="auto" w:sz="4" w:space="0"/>
            </w:tcBorders>
            <w:noWrap w:val="0"/>
            <w:vAlign w:val="center"/>
          </w:tcPr>
          <w:p w14:paraId="5C141C26">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单价</w:t>
            </w:r>
          </w:p>
        </w:tc>
        <w:tc>
          <w:tcPr>
            <w:tcW w:w="792" w:type="dxa"/>
            <w:tcBorders>
              <w:bottom w:val="single" w:color="auto" w:sz="4" w:space="0"/>
            </w:tcBorders>
            <w:noWrap w:val="0"/>
            <w:vAlign w:val="center"/>
          </w:tcPr>
          <w:p w14:paraId="6932C49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合价</w:t>
            </w:r>
          </w:p>
        </w:tc>
        <w:tc>
          <w:tcPr>
            <w:tcW w:w="779" w:type="dxa"/>
            <w:tcBorders>
              <w:bottom w:val="single" w:color="auto" w:sz="4" w:space="0"/>
            </w:tcBorders>
            <w:noWrap w:val="0"/>
            <w:vAlign w:val="center"/>
          </w:tcPr>
          <w:p w14:paraId="2CA7F31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合同履行期限</w:t>
            </w:r>
          </w:p>
        </w:tc>
        <w:tc>
          <w:tcPr>
            <w:tcW w:w="710" w:type="dxa"/>
            <w:tcBorders>
              <w:bottom w:val="single" w:color="auto" w:sz="4" w:space="0"/>
            </w:tcBorders>
            <w:noWrap w:val="0"/>
            <w:vAlign w:val="center"/>
          </w:tcPr>
          <w:p w14:paraId="7D476FD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质量保证期</w:t>
            </w:r>
          </w:p>
        </w:tc>
        <w:tc>
          <w:tcPr>
            <w:tcW w:w="910" w:type="dxa"/>
            <w:tcBorders>
              <w:bottom w:val="single" w:color="auto" w:sz="4" w:space="0"/>
            </w:tcBorders>
            <w:noWrap w:val="0"/>
            <w:vAlign w:val="center"/>
          </w:tcPr>
          <w:p w14:paraId="1997BA2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环保节能产品</w:t>
            </w:r>
          </w:p>
          <w:p w14:paraId="60A3B83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编号及有效期</w:t>
            </w:r>
          </w:p>
        </w:tc>
      </w:tr>
      <w:tr w14:paraId="4E76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130BAFBF">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31C83DC4">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09D989C3">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1F95951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361BA57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1CA21DB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5B54D46F">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7D05B69D">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1B80ED5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1E24DD0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6300355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491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374840F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4190C56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4C51ED2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5B1CB85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47E18ACC">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22003551">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5DDBB35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3BFBCB33">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3468D47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3EF4ED5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508D0BB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26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0"/>
            <w:vAlign w:val="center"/>
          </w:tcPr>
          <w:p w14:paraId="7A8C43A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9" w:type="dxa"/>
            <w:noWrap w:val="0"/>
            <w:vAlign w:val="center"/>
          </w:tcPr>
          <w:p w14:paraId="01D8802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4" w:type="dxa"/>
            <w:noWrap w:val="0"/>
            <w:vAlign w:val="center"/>
          </w:tcPr>
          <w:p w14:paraId="7A07ADB0">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45" w:type="dxa"/>
            <w:tcBorders>
              <w:top w:val="single" w:color="auto" w:sz="4" w:space="0"/>
              <w:bottom w:val="single" w:color="auto" w:sz="4" w:space="0"/>
            </w:tcBorders>
            <w:noWrap w:val="0"/>
            <w:vAlign w:val="center"/>
          </w:tcPr>
          <w:p w14:paraId="4D71FC7E">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70" w:type="dxa"/>
            <w:tcBorders>
              <w:top w:val="single" w:color="auto" w:sz="4" w:space="0"/>
              <w:bottom w:val="single" w:color="auto" w:sz="4" w:space="0"/>
            </w:tcBorders>
            <w:noWrap w:val="0"/>
            <w:vAlign w:val="center"/>
          </w:tcPr>
          <w:p w14:paraId="1F6F6C16">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vertAlign w:val="superscript"/>
              </w:rPr>
            </w:pPr>
          </w:p>
        </w:tc>
        <w:tc>
          <w:tcPr>
            <w:tcW w:w="884" w:type="dxa"/>
            <w:tcBorders>
              <w:top w:val="single" w:color="auto" w:sz="4" w:space="0"/>
            </w:tcBorders>
            <w:noWrap w:val="0"/>
            <w:vAlign w:val="center"/>
          </w:tcPr>
          <w:p w14:paraId="3EB41387">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92" w:type="dxa"/>
            <w:tcBorders>
              <w:top w:val="single" w:color="auto" w:sz="4" w:space="0"/>
            </w:tcBorders>
            <w:noWrap w:val="0"/>
            <w:vAlign w:val="center"/>
          </w:tcPr>
          <w:p w14:paraId="03DF66CB">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92" w:type="dxa"/>
            <w:tcBorders>
              <w:top w:val="single" w:color="auto" w:sz="4" w:space="0"/>
            </w:tcBorders>
            <w:noWrap w:val="0"/>
            <w:vAlign w:val="center"/>
          </w:tcPr>
          <w:p w14:paraId="4CEB907A">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79" w:type="dxa"/>
            <w:tcBorders>
              <w:top w:val="single" w:color="auto" w:sz="4" w:space="0"/>
            </w:tcBorders>
            <w:noWrap w:val="0"/>
            <w:vAlign w:val="center"/>
          </w:tcPr>
          <w:p w14:paraId="0BC1F119">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710" w:type="dxa"/>
            <w:tcBorders>
              <w:top w:val="single" w:color="auto" w:sz="4" w:space="0"/>
            </w:tcBorders>
            <w:noWrap w:val="0"/>
            <w:vAlign w:val="center"/>
          </w:tcPr>
          <w:p w14:paraId="4A71C3F1">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c>
          <w:tcPr>
            <w:tcW w:w="910" w:type="dxa"/>
            <w:tcBorders>
              <w:top w:val="single" w:color="auto" w:sz="4" w:space="0"/>
            </w:tcBorders>
            <w:noWrap w:val="0"/>
            <w:vAlign w:val="center"/>
          </w:tcPr>
          <w:p w14:paraId="29D0F8E5">
            <w:pPr>
              <w:keepNext w:val="0"/>
              <w:keepLines w:val="0"/>
              <w:suppressLineNumbers w:val="0"/>
              <w:spacing w:before="0" w:beforeAutospacing="0" w:after="0" w:afterAutospacing="0" w:line="360" w:lineRule="auto"/>
              <w:ind w:left="0" w:right="0"/>
              <w:jc w:val="center"/>
              <w:rPr>
                <w:rFonts w:ascii="华文中宋" w:hAnsi="华文中宋" w:eastAsia="华文中宋" w:cs="微软雅黑"/>
                <w:bCs/>
                <w:szCs w:val="21"/>
              </w:rPr>
            </w:pPr>
          </w:p>
        </w:tc>
      </w:tr>
      <w:tr w14:paraId="75A2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84" w:type="dxa"/>
            <w:gridSpan w:val="11"/>
            <w:noWrap w:val="0"/>
            <w:vAlign w:val="center"/>
          </w:tcPr>
          <w:p w14:paraId="4F9DEC45">
            <w:pPr>
              <w:keepNext w:val="0"/>
              <w:keepLines w:val="0"/>
              <w:suppressLineNumbers w:val="0"/>
              <w:spacing w:before="0" w:beforeAutospacing="0" w:after="0" w:afterAutospacing="0" w:line="360" w:lineRule="auto"/>
              <w:ind w:left="0" w:right="0"/>
              <w:rPr>
                <w:rFonts w:ascii="华文中宋" w:hAnsi="华文中宋" w:eastAsia="华文中宋" w:cs="微软雅黑"/>
                <w:bCs/>
                <w:szCs w:val="21"/>
              </w:rPr>
            </w:pPr>
            <w:r>
              <w:rPr>
                <w:rFonts w:hint="eastAsia" w:ascii="华文中宋" w:hAnsi="华文中宋" w:eastAsia="华文中宋" w:cs="微软雅黑"/>
                <w:b/>
                <w:szCs w:val="21"/>
              </w:rPr>
              <w:t>投标总报价(大写)：                       ￥：</w:t>
            </w:r>
          </w:p>
        </w:tc>
      </w:tr>
    </w:tbl>
    <w:p w14:paraId="10D0E70B">
      <w:pPr>
        <w:spacing w:line="360" w:lineRule="auto"/>
        <w:ind w:firstLine="420" w:firstLineChars="200"/>
        <w:rPr>
          <w:rFonts w:ascii="华文中宋" w:hAnsi="华文中宋" w:eastAsia="华文中宋" w:cs="微软雅黑"/>
          <w:szCs w:val="21"/>
        </w:rPr>
      </w:pPr>
      <w:r>
        <w:rPr>
          <w:rFonts w:hint="eastAsia" w:ascii="华文中宋" w:hAnsi="华文中宋" w:eastAsia="华文中宋" w:cs="微软雅黑"/>
          <w:szCs w:val="21"/>
        </w:rPr>
        <w:t>说明：投标人如实填写表格，该表部分内容会随中标公告同时公示。无相应内容可填的，填写“无”、“未测试”、“没有相应指标”等明确的回答文字，或用“/”来表示。若单个序号的货物中包含多个产品的，可自行设计报价明细表。</w:t>
      </w:r>
    </w:p>
    <w:p w14:paraId="3EB424DF">
      <w:pPr>
        <w:pStyle w:val="15"/>
        <w:ind w:firstLine="480"/>
      </w:pPr>
    </w:p>
    <w:p w14:paraId="6CEA27E2">
      <w:pPr>
        <w:pStyle w:val="15"/>
        <w:ind w:firstLine="480"/>
      </w:pPr>
    </w:p>
    <w:p w14:paraId="02DB5DE3">
      <w:pPr>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5845B4A1">
      <w:pPr>
        <w:wordWrap w:val="0"/>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 xml:space="preserve">日  期：    年   月   日             </w:t>
      </w:r>
    </w:p>
    <w:p w14:paraId="10921DBF">
      <w:pPr>
        <w:spacing w:line="480" w:lineRule="exact"/>
        <w:rPr>
          <w:rFonts w:ascii="微软雅黑" w:hAnsi="微软雅黑" w:eastAsia="微软雅黑" w:cs="微软雅黑"/>
          <w:b/>
          <w:sz w:val="24"/>
        </w:rPr>
      </w:pPr>
    </w:p>
    <w:p w14:paraId="1B5E3E17">
      <w:pPr>
        <w:snapToGrid w:val="0"/>
        <w:spacing w:line="480" w:lineRule="exact"/>
        <w:ind w:firstLine="420" w:firstLineChars="200"/>
        <w:rPr>
          <w:rFonts w:ascii="华文中宋" w:hAnsi="华文中宋" w:eastAsia="华文中宋" w:cs="华文中宋"/>
          <w:szCs w:val="21"/>
        </w:rPr>
      </w:pPr>
    </w:p>
    <w:p w14:paraId="29267FB8">
      <w:pPr>
        <w:snapToGrid w:val="0"/>
        <w:spacing w:line="480" w:lineRule="exact"/>
        <w:ind w:firstLine="420" w:firstLineChars="200"/>
        <w:rPr>
          <w:rFonts w:ascii="华文中宋" w:hAnsi="华文中宋" w:eastAsia="华文中宋" w:cs="华文中宋"/>
          <w:szCs w:val="21"/>
        </w:rPr>
      </w:pPr>
    </w:p>
    <w:p w14:paraId="5110F5C9">
      <w:pPr>
        <w:widowControl/>
        <w:jc w:val="left"/>
        <w:rPr>
          <w:rFonts w:ascii="华文中宋" w:hAnsi="华文中宋" w:eastAsia="华文中宋" w:cs="华文中宋"/>
          <w:szCs w:val="21"/>
        </w:rPr>
      </w:pPr>
      <w:r>
        <w:rPr>
          <w:rFonts w:ascii="华文中宋" w:hAnsi="华文中宋" w:eastAsia="华文中宋" w:cs="华文中宋"/>
          <w:szCs w:val="21"/>
        </w:rPr>
        <w:br w:type="page"/>
      </w:r>
      <w:bookmarkEnd w:id="102"/>
    </w:p>
    <w:p w14:paraId="6C7C0080">
      <w:pPr>
        <w:spacing w:line="480" w:lineRule="exact"/>
        <w:rPr>
          <w:rFonts w:ascii="华文中宋" w:hAnsi="华文中宋" w:eastAsia="华文中宋" w:cs="华文中宋"/>
          <w:b/>
          <w:sz w:val="24"/>
        </w:rPr>
      </w:pPr>
      <w:r>
        <w:rPr>
          <w:rFonts w:hint="eastAsia" w:ascii="华文中宋" w:hAnsi="华文中宋" w:eastAsia="华文中宋" w:cs="华文中宋"/>
          <w:b/>
          <w:sz w:val="24"/>
        </w:rPr>
        <w:t>小型、微企业/残疾人福利性单位提供货物/服务明细表格式（若有的话，以包为单位分别填写）</w:t>
      </w:r>
    </w:p>
    <w:p w14:paraId="3781B433">
      <w:pPr>
        <w:spacing w:line="480" w:lineRule="exact"/>
        <w:ind w:firstLine="3625" w:firstLineChars="1509"/>
        <w:rPr>
          <w:rFonts w:ascii="华文中宋" w:hAnsi="华文中宋" w:eastAsia="华文中宋" w:cs="华文中宋"/>
          <w:b/>
          <w:sz w:val="24"/>
        </w:rPr>
      </w:pPr>
    </w:p>
    <w:p w14:paraId="53FAC452">
      <w:pPr>
        <w:spacing w:line="48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6DEB854D">
      <w:pPr>
        <w:spacing w:line="48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2AAB6328">
      <w:pPr>
        <w:spacing w:line="480" w:lineRule="exact"/>
        <w:rPr>
          <w:rFonts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103FE780">
      <w:pPr>
        <w:spacing w:line="480" w:lineRule="exact"/>
        <w:jc w:val="left"/>
        <w:rPr>
          <w:rFonts w:ascii="华文中宋" w:hAnsi="华文中宋" w:eastAsia="华文中宋" w:cs="微软雅黑"/>
          <w:szCs w:val="21"/>
          <w:u w:val="single"/>
        </w:rPr>
      </w:pPr>
      <w:r>
        <w:rPr>
          <w:rFonts w:hint="eastAsia" w:ascii="华文中宋" w:hAnsi="华文中宋" w:eastAsia="华文中宋" w:cs="微软雅黑"/>
          <w:szCs w:val="21"/>
        </w:rPr>
        <w:t xml:space="preserve">包    号：    </w:t>
      </w:r>
      <w:r>
        <w:rPr>
          <w:rFonts w:hint="eastAsia" w:ascii="华文中宋" w:hAnsi="华文中宋" w:eastAsia="华文中宋" w:cs="微软雅黑"/>
          <w:szCs w:val="21"/>
          <w:u w:val="single"/>
        </w:rPr>
        <w:t xml:space="preserve">                                  </w:t>
      </w:r>
    </w:p>
    <w:p w14:paraId="45917CBC">
      <w:pPr>
        <w:spacing w:line="480" w:lineRule="exact"/>
        <w:ind w:firstLine="210" w:firstLineChars="100"/>
        <w:jc w:val="left"/>
        <w:rPr>
          <w:rFonts w:ascii="华文中宋" w:hAnsi="华文中宋" w:eastAsia="华文中宋" w:cs="华文中宋"/>
          <w:szCs w:val="21"/>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 xml:space="preserve">    货币：人民币/元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40"/>
        <w:gridCol w:w="750"/>
        <w:gridCol w:w="870"/>
        <w:gridCol w:w="900"/>
        <w:gridCol w:w="930"/>
        <w:gridCol w:w="855"/>
        <w:gridCol w:w="1620"/>
        <w:gridCol w:w="1709"/>
      </w:tblGrid>
      <w:tr w14:paraId="00AE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A5F26E6">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80BDA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货物名称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037B6C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品牌</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FEE34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规格型号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40181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产地及厂家</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C54F5CD">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数量</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1870FE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667D7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代理小、微企业产品价格总价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144882F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残疾人福利单位产品价格总价</w:t>
            </w:r>
          </w:p>
        </w:tc>
      </w:tr>
      <w:tr w14:paraId="2D1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5AF0F8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05C86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F0FA6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7724F8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C3DBB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2006A2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DAD60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D746FC">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CE8F2F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318A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2E0D006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281E1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18EE3C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165C1B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4DE21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80ABDEF">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F0EC2BC">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514589">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FFA14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171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D4EBB01">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44C9D0">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D668E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A58B1C5">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AE0FD4">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vertAlign w:val="superscript"/>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4FDBA8">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4533CE">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29C642">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A00836B">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p>
        </w:tc>
      </w:tr>
      <w:tr w14:paraId="059A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789" w:type="dxa"/>
            <w:gridSpan w:val="7"/>
            <w:tcBorders>
              <w:top w:val="single" w:color="auto" w:sz="4" w:space="0"/>
              <w:left w:val="single" w:color="auto" w:sz="4" w:space="0"/>
              <w:bottom w:val="single" w:color="auto" w:sz="4" w:space="0"/>
              <w:right w:val="single" w:color="auto" w:sz="4" w:space="0"/>
            </w:tcBorders>
            <w:noWrap w:val="0"/>
            <w:vAlign w:val="center"/>
          </w:tcPr>
          <w:p w14:paraId="6A367A2D">
            <w:pPr>
              <w:keepNext w:val="0"/>
              <w:keepLines w:val="0"/>
              <w:suppressLineNumbers w:val="0"/>
              <w:adjustRightInd w:val="0"/>
              <w:snapToGrid w:val="0"/>
              <w:spacing w:before="0" w:beforeAutospacing="0" w:after="0" w:afterAutospacing="0"/>
              <w:ind w:left="0" w:right="0"/>
              <w:rPr>
                <w:rFonts w:ascii="华文中宋" w:hAnsi="华文中宋" w:eastAsia="华文中宋" w:cs="微软雅黑"/>
                <w:bCs/>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A4BB34">
            <w:pPr>
              <w:keepNext w:val="0"/>
              <w:keepLines w:val="0"/>
              <w:suppressLineNumbers w:val="0"/>
              <w:adjustRightInd w:val="0"/>
              <w:snapToGrid w:val="0"/>
              <w:spacing w:before="0" w:beforeAutospacing="0" w:after="0" w:afterAutospacing="0"/>
              <w:ind w:left="0" w:right="0"/>
              <w:rPr>
                <w:rFonts w:ascii="华文中宋" w:hAnsi="华文中宋" w:eastAsia="华文中宋" w:cs="微软雅黑"/>
                <w:bCs/>
                <w:szCs w:val="21"/>
              </w:rPr>
            </w:pPr>
            <w:r>
              <w:rPr>
                <w:rFonts w:hint="eastAsia" w:ascii="华文中宋" w:hAnsi="华文中宋" w:eastAsia="华文中宋" w:cs="微软雅黑"/>
                <w:bCs/>
                <w:szCs w:val="21"/>
              </w:rPr>
              <w:t>代理小、微企业产品价格合计：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6EC19E7">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Cs/>
                <w:szCs w:val="21"/>
              </w:rPr>
            </w:pPr>
            <w:r>
              <w:rPr>
                <w:rFonts w:hint="eastAsia" w:ascii="华文中宋" w:hAnsi="华文中宋" w:eastAsia="华文中宋" w:cs="微软雅黑"/>
                <w:bCs/>
                <w:szCs w:val="21"/>
              </w:rPr>
              <w:t>残疾人福利单位产品价格合计：</w:t>
            </w:r>
          </w:p>
        </w:tc>
      </w:tr>
    </w:tbl>
    <w:p w14:paraId="5022CABA">
      <w:pPr>
        <w:ind w:firstLine="420" w:firstLineChars="200"/>
        <w:rPr>
          <w:rFonts w:hint="eastAsia" w:ascii="华文中宋" w:hAnsi="华文中宋" w:eastAsia="华文中宋" w:cs="华文中宋"/>
          <w:szCs w:val="21"/>
        </w:rPr>
      </w:pPr>
    </w:p>
    <w:p w14:paraId="6B25758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说明：投标人如实填写表格，无相应内容可填的，填写“无”、“未测试”、“没有相应指标”等明确的回答文字，或用“/”来表示。</w:t>
      </w:r>
    </w:p>
    <w:p w14:paraId="6CB1DF51">
      <w:pPr>
        <w:snapToGrid w:val="0"/>
        <w:spacing w:line="480" w:lineRule="exact"/>
        <w:jc w:val="right"/>
        <w:rPr>
          <w:rFonts w:hint="eastAsia" w:ascii="华文中宋" w:hAnsi="华文中宋" w:eastAsia="华文中宋" w:cs="华文中宋"/>
          <w:szCs w:val="21"/>
        </w:rPr>
      </w:pPr>
    </w:p>
    <w:p w14:paraId="7E7C5F5D">
      <w:pPr>
        <w:snapToGrid w:val="0"/>
        <w:spacing w:line="480" w:lineRule="exact"/>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spacing w:val="20"/>
          <w:szCs w:val="21"/>
        </w:rPr>
        <w:t>法人电子签章</w:t>
      </w:r>
      <w:r>
        <w:rPr>
          <w:rFonts w:hint="eastAsia" w:ascii="华文中宋" w:hAnsi="华文中宋" w:eastAsia="华文中宋" w:cs="华文中宋"/>
          <w:szCs w:val="21"/>
        </w:rPr>
        <w:t>）</w:t>
      </w:r>
      <w:r>
        <w:rPr>
          <w:rFonts w:hint="eastAsia" w:ascii="华文中宋" w:hAnsi="华文中宋" w:eastAsia="华文中宋"/>
          <w:szCs w:val="21"/>
        </w:rPr>
        <w:t xml:space="preserve"> </w:t>
      </w:r>
    </w:p>
    <w:p w14:paraId="458B7FDE">
      <w:pPr>
        <w:snapToGrid w:val="0"/>
        <w:spacing w:line="480" w:lineRule="exact"/>
        <w:jc w:val="right"/>
        <w:rPr>
          <w:rFonts w:ascii="华文中宋" w:hAnsi="华文中宋" w:eastAsia="华文中宋" w:cs="华文中宋"/>
          <w:szCs w:val="21"/>
        </w:rPr>
      </w:pPr>
      <w:r>
        <w:rPr>
          <w:rFonts w:hint="eastAsia" w:ascii="华文中宋" w:hAnsi="华文中宋" w:eastAsia="华文中宋" w:cs="华文中宋"/>
          <w:szCs w:val="21"/>
        </w:rPr>
        <w:t>年   月   日</w:t>
      </w:r>
    </w:p>
    <w:p w14:paraId="5D27E01C">
      <w:pPr>
        <w:rPr>
          <w:rFonts w:ascii="华文中宋" w:hAnsi="华文中宋" w:eastAsia="华文中宋"/>
          <w:szCs w:val="21"/>
        </w:rPr>
        <w:sectPr>
          <w:pgSz w:w="11906" w:h="16838"/>
          <w:pgMar w:top="1134" w:right="1361" w:bottom="1021" w:left="1531" w:header="851" w:footer="992" w:gutter="0"/>
          <w:pgNumType w:fmt="decimal"/>
          <w:cols w:space="720" w:num="1"/>
          <w:docGrid w:type="lines" w:linePitch="312" w:charSpace="0"/>
        </w:sectPr>
      </w:pPr>
    </w:p>
    <w:p w14:paraId="518BE2D3">
      <w:pPr>
        <w:spacing w:line="360" w:lineRule="auto"/>
        <w:ind w:left="360" w:hanging="360" w:hangingChars="150"/>
        <w:rPr>
          <w:rFonts w:ascii="华文中宋" w:hAnsi="华文中宋" w:eastAsia="华文中宋" w:cs="华文中宋"/>
          <w:b/>
          <w:spacing w:val="6"/>
          <w:sz w:val="24"/>
        </w:rPr>
      </w:pPr>
      <w:bookmarkStart w:id="104" w:name="OLE_LINK14"/>
      <w:bookmarkStart w:id="105" w:name="OLE_LINK13"/>
      <w:r>
        <w:rPr>
          <w:rFonts w:hint="eastAsia" w:ascii="华文中宋" w:hAnsi="华文中宋" w:eastAsia="华文中宋" w:cs="华文中宋"/>
          <w:b/>
          <w:sz w:val="24"/>
        </w:rPr>
        <w:t>创新产品或创新服务明细表格式（若有的话，以包为单位分别填写）</w:t>
      </w:r>
    </w:p>
    <w:p w14:paraId="74178830">
      <w:pPr>
        <w:spacing w:line="360" w:lineRule="auto"/>
        <w:jc w:val="center"/>
        <w:rPr>
          <w:rFonts w:ascii="华文中宋" w:hAnsi="华文中宋" w:eastAsia="华文中宋" w:cs="华文中宋"/>
          <w:b/>
          <w:spacing w:val="6"/>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13"/>
        <w:gridCol w:w="1327"/>
        <w:gridCol w:w="1224"/>
        <w:gridCol w:w="1224"/>
        <w:gridCol w:w="809"/>
        <w:gridCol w:w="1527"/>
      </w:tblGrid>
      <w:tr w14:paraId="4C22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33" w:type="dxa"/>
            <w:noWrap w:val="0"/>
            <w:vAlign w:val="center"/>
          </w:tcPr>
          <w:p w14:paraId="13CDAA9D">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包号/序号</w:t>
            </w:r>
          </w:p>
        </w:tc>
        <w:tc>
          <w:tcPr>
            <w:tcW w:w="1713" w:type="dxa"/>
            <w:noWrap w:val="0"/>
            <w:vAlign w:val="center"/>
          </w:tcPr>
          <w:p w14:paraId="0281EC3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产品名称</w:t>
            </w:r>
          </w:p>
        </w:tc>
        <w:tc>
          <w:tcPr>
            <w:tcW w:w="1327" w:type="dxa"/>
            <w:noWrap w:val="0"/>
            <w:vAlign w:val="center"/>
          </w:tcPr>
          <w:p w14:paraId="225D3C5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lang w:val="en-US" w:eastAsia="zh-CN"/>
              </w:rPr>
            </w:pPr>
            <w:r>
              <w:rPr>
                <w:rFonts w:hint="eastAsia" w:ascii="华文中宋" w:hAnsi="华文中宋" w:eastAsia="华文中宋" w:cs="华文中宋"/>
                <w:b w:val="0"/>
                <w:bCs w:val="0"/>
                <w:kern w:val="0"/>
                <w:szCs w:val="21"/>
              </w:rPr>
              <w:t>品牌</w:t>
            </w:r>
            <w:r>
              <w:rPr>
                <w:rFonts w:hint="eastAsia" w:ascii="华文中宋" w:hAnsi="华文中宋" w:eastAsia="华文中宋" w:cs="华文中宋"/>
                <w:b w:val="0"/>
                <w:bCs w:val="0"/>
                <w:kern w:val="0"/>
                <w:szCs w:val="21"/>
                <w:lang w:val="en-US" w:eastAsia="zh-CN"/>
              </w:rPr>
              <w:t>及</w:t>
            </w:r>
          </w:p>
          <w:p w14:paraId="1C8479A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规格型号</w:t>
            </w:r>
          </w:p>
        </w:tc>
        <w:tc>
          <w:tcPr>
            <w:tcW w:w="1224" w:type="dxa"/>
            <w:noWrap w:val="0"/>
            <w:vAlign w:val="center"/>
          </w:tcPr>
          <w:p w14:paraId="0FAECD6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是否属于首台套“制造精品”产</w:t>
            </w:r>
          </w:p>
          <w:p w14:paraId="4268C8E1">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品</w:t>
            </w:r>
          </w:p>
        </w:tc>
        <w:tc>
          <w:tcPr>
            <w:tcW w:w="1224" w:type="dxa"/>
            <w:noWrap w:val="0"/>
            <w:vAlign w:val="center"/>
          </w:tcPr>
          <w:p w14:paraId="62A11730">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产地及厂家</w:t>
            </w:r>
          </w:p>
        </w:tc>
        <w:tc>
          <w:tcPr>
            <w:tcW w:w="809" w:type="dxa"/>
            <w:noWrap w:val="0"/>
            <w:vAlign w:val="center"/>
          </w:tcPr>
          <w:p w14:paraId="1BAC5F14">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数量</w:t>
            </w:r>
          </w:p>
        </w:tc>
        <w:tc>
          <w:tcPr>
            <w:tcW w:w="1527" w:type="dxa"/>
            <w:noWrap w:val="0"/>
            <w:vAlign w:val="center"/>
          </w:tcPr>
          <w:p w14:paraId="33A559E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《2020年山西省创新产品和服务推荐清单（第一批）》列表中序号</w:t>
            </w:r>
          </w:p>
        </w:tc>
      </w:tr>
      <w:tr w14:paraId="384E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3" w:type="dxa"/>
            <w:noWrap w:val="0"/>
            <w:vAlign w:val="center"/>
          </w:tcPr>
          <w:p w14:paraId="1C9266A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713" w:type="dxa"/>
            <w:noWrap w:val="0"/>
            <w:vAlign w:val="center"/>
          </w:tcPr>
          <w:p w14:paraId="73448E3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327" w:type="dxa"/>
            <w:noWrap w:val="0"/>
            <w:vAlign w:val="center"/>
          </w:tcPr>
          <w:p w14:paraId="6B6D4C10">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0EFA3E84">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71B2A0B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809" w:type="dxa"/>
            <w:noWrap w:val="0"/>
            <w:vAlign w:val="center"/>
          </w:tcPr>
          <w:p w14:paraId="46B303EC">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527" w:type="dxa"/>
            <w:noWrap w:val="0"/>
            <w:vAlign w:val="center"/>
          </w:tcPr>
          <w:p w14:paraId="2B05674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第        项</w:t>
            </w:r>
          </w:p>
        </w:tc>
      </w:tr>
      <w:tr w14:paraId="6D2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3" w:type="dxa"/>
            <w:noWrap w:val="0"/>
            <w:vAlign w:val="center"/>
          </w:tcPr>
          <w:p w14:paraId="25C9B212">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713" w:type="dxa"/>
            <w:noWrap w:val="0"/>
            <w:vAlign w:val="center"/>
          </w:tcPr>
          <w:p w14:paraId="1029CF7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327" w:type="dxa"/>
            <w:noWrap w:val="0"/>
            <w:vAlign w:val="center"/>
          </w:tcPr>
          <w:p w14:paraId="16BDE3CA">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35EFF8D5">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224" w:type="dxa"/>
            <w:noWrap w:val="0"/>
            <w:vAlign w:val="center"/>
          </w:tcPr>
          <w:p w14:paraId="29B1E25B">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809" w:type="dxa"/>
            <w:noWrap w:val="0"/>
            <w:vAlign w:val="center"/>
          </w:tcPr>
          <w:p w14:paraId="617C4A43">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c>
          <w:tcPr>
            <w:tcW w:w="1527" w:type="dxa"/>
            <w:noWrap w:val="0"/>
            <w:vAlign w:val="center"/>
          </w:tcPr>
          <w:p w14:paraId="59D9F88D">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第        项</w:t>
            </w:r>
          </w:p>
        </w:tc>
      </w:tr>
      <w:tr w14:paraId="339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30" w:type="dxa"/>
            <w:gridSpan w:val="6"/>
            <w:noWrap w:val="0"/>
            <w:vAlign w:val="center"/>
          </w:tcPr>
          <w:p w14:paraId="79F43B28">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创新产品或创新服务价格合计：</w:t>
            </w:r>
          </w:p>
        </w:tc>
        <w:tc>
          <w:tcPr>
            <w:tcW w:w="1527" w:type="dxa"/>
            <w:noWrap w:val="0"/>
            <w:vAlign w:val="center"/>
          </w:tcPr>
          <w:p w14:paraId="47354837">
            <w:pPr>
              <w:keepNext w:val="0"/>
              <w:keepLines w:val="0"/>
              <w:suppressLineNumbers w:val="0"/>
              <w:spacing w:before="0" w:beforeAutospacing="0" w:after="0" w:afterAutospacing="0" w:line="360" w:lineRule="auto"/>
              <w:ind w:left="0" w:right="0"/>
              <w:rPr>
                <w:rFonts w:hint="eastAsia" w:ascii="华文中宋" w:hAnsi="华文中宋" w:eastAsia="华文中宋" w:cs="华文中宋"/>
                <w:b w:val="0"/>
                <w:bCs w:val="0"/>
                <w:kern w:val="0"/>
                <w:szCs w:val="21"/>
              </w:rPr>
            </w:pPr>
          </w:p>
        </w:tc>
      </w:tr>
    </w:tbl>
    <w:p w14:paraId="007DF088">
      <w:pPr>
        <w:spacing w:line="360" w:lineRule="auto"/>
        <w:rPr>
          <w:rFonts w:hint="eastAsia" w:ascii="华文中宋" w:hAnsi="华文中宋" w:eastAsia="华文中宋" w:cs="华文中宋"/>
          <w:b w:val="0"/>
          <w:bCs w:val="0"/>
          <w:kern w:val="0"/>
          <w:szCs w:val="21"/>
        </w:rPr>
      </w:pPr>
    </w:p>
    <w:p w14:paraId="39567D91">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说明：</w:t>
      </w:r>
    </w:p>
    <w:p w14:paraId="70AA2639">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1. 投标人如实填写表格，无相应内容可填的，填写“无”、“未测试”、“没有相应指标”等明确的回答文字，或用“/”来表示。</w:t>
      </w:r>
    </w:p>
    <w:p w14:paraId="5AF26A9E">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2. 投标人投标产品包含创新产品或创新服务，需填写此表后，提供《山西省创新产品和服务推荐清单》，证明文件附后。</w:t>
      </w:r>
    </w:p>
    <w:p w14:paraId="1D04D25C">
      <w:pPr>
        <w:spacing w:line="360" w:lineRule="auto"/>
        <w:rPr>
          <w:rFonts w:hint="eastAsia" w:ascii="华文中宋" w:hAnsi="华文中宋" w:eastAsia="华文中宋" w:cs="华文中宋"/>
          <w:b w:val="0"/>
          <w:bCs w:val="0"/>
          <w:kern w:val="0"/>
          <w:szCs w:val="21"/>
        </w:rPr>
      </w:pPr>
      <w:r>
        <w:rPr>
          <w:rFonts w:hint="eastAsia" w:ascii="华文中宋" w:hAnsi="华文中宋" w:eastAsia="华文中宋" w:cs="华文中宋"/>
          <w:b w:val="0"/>
          <w:bCs w:val="0"/>
          <w:kern w:val="0"/>
          <w:szCs w:val="21"/>
        </w:rPr>
        <w:t>3. 投标人投标产品属于由省级以上主管部门认定的首台套产品，产品核心技术高于国内领先水平，且具有明晰自主知识产权的“制造精品”的，并被纳入《山西省创新产品和服务推荐清单》，证明文件附后。</w:t>
      </w:r>
    </w:p>
    <w:p w14:paraId="607C56AB">
      <w:pPr>
        <w:spacing w:line="588" w:lineRule="exact"/>
        <w:jc w:val="left"/>
        <w:rPr>
          <w:rFonts w:hint="eastAsia" w:ascii="华文中宋" w:hAnsi="华文中宋" w:eastAsia="华文中宋" w:cs="华文中宋"/>
          <w:b/>
          <w:spacing w:val="6"/>
          <w:sz w:val="24"/>
        </w:rPr>
      </w:pPr>
    </w:p>
    <w:p w14:paraId="757219F5">
      <w:pPr>
        <w:spacing w:line="588" w:lineRule="exact"/>
        <w:jc w:val="left"/>
        <w:rPr>
          <w:rFonts w:hint="eastAsia" w:ascii="华文中宋" w:hAnsi="华文中宋" w:eastAsia="华文中宋" w:cs="华文中宋"/>
          <w:b/>
          <w:spacing w:val="6"/>
          <w:sz w:val="24"/>
        </w:rPr>
      </w:pPr>
    </w:p>
    <w:p w14:paraId="188371C5">
      <w:pPr>
        <w:spacing w:line="588" w:lineRule="exact"/>
        <w:jc w:val="left"/>
        <w:rPr>
          <w:rFonts w:hint="eastAsia" w:ascii="华文中宋" w:hAnsi="华文中宋" w:eastAsia="华文中宋" w:cs="华文中宋"/>
          <w:b/>
          <w:spacing w:val="6"/>
          <w:sz w:val="24"/>
        </w:rPr>
      </w:pPr>
    </w:p>
    <w:p w14:paraId="48391EBC">
      <w:pPr>
        <w:spacing w:line="588" w:lineRule="exact"/>
        <w:jc w:val="left"/>
        <w:rPr>
          <w:rFonts w:hint="eastAsia" w:ascii="华文中宋" w:hAnsi="华文中宋" w:eastAsia="华文中宋" w:cs="华文中宋"/>
          <w:b/>
          <w:spacing w:val="6"/>
          <w:sz w:val="24"/>
        </w:rPr>
      </w:pPr>
    </w:p>
    <w:p w14:paraId="3B521F31">
      <w:pPr>
        <w:spacing w:line="588" w:lineRule="exact"/>
        <w:jc w:val="left"/>
        <w:rPr>
          <w:rFonts w:hint="eastAsia" w:ascii="华文中宋" w:hAnsi="华文中宋" w:eastAsia="华文中宋" w:cs="华文中宋"/>
          <w:b/>
          <w:spacing w:val="6"/>
          <w:sz w:val="24"/>
        </w:rPr>
      </w:pPr>
    </w:p>
    <w:p w14:paraId="01FBF4D2">
      <w:pPr>
        <w:spacing w:line="588" w:lineRule="exact"/>
        <w:jc w:val="left"/>
        <w:rPr>
          <w:rFonts w:hint="eastAsia" w:ascii="华文中宋" w:hAnsi="华文中宋" w:eastAsia="华文中宋" w:cs="华文中宋"/>
          <w:b/>
          <w:spacing w:val="6"/>
          <w:sz w:val="24"/>
        </w:rPr>
      </w:pPr>
    </w:p>
    <w:p w14:paraId="2B7B5772">
      <w:pPr>
        <w:spacing w:line="588" w:lineRule="exact"/>
        <w:jc w:val="left"/>
        <w:rPr>
          <w:rFonts w:ascii="华文中宋" w:hAnsi="华文中宋" w:eastAsia="华文中宋" w:cs="华文中宋"/>
          <w:b/>
          <w:spacing w:val="6"/>
          <w:sz w:val="24"/>
        </w:rPr>
      </w:pPr>
      <w:r>
        <w:rPr>
          <w:rFonts w:hint="eastAsia" w:ascii="华文中宋" w:hAnsi="华文中宋" w:eastAsia="华文中宋" w:cs="华文中宋"/>
          <w:b/>
          <w:spacing w:val="6"/>
          <w:sz w:val="24"/>
        </w:rPr>
        <w:t>残疾人福利性单位声明函</w:t>
      </w:r>
      <w:r>
        <w:rPr>
          <w:rFonts w:hint="eastAsia" w:ascii="华文中宋" w:hAnsi="华文中宋" w:eastAsia="华文中宋" w:cs="华文中宋"/>
          <w:b/>
          <w:sz w:val="24"/>
        </w:rPr>
        <w:t>格式（若有的话，以包为单位分别填写）</w:t>
      </w:r>
      <w:bookmarkEnd w:id="104"/>
      <w:bookmarkEnd w:id="105"/>
    </w:p>
    <w:p w14:paraId="143D23F0">
      <w:pPr>
        <w:spacing w:line="588" w:lineRule="exact"/>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14:paraId="3F92E7DE">
      <w:pPr>
        <w:spacing w:line="276"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 民政部 中国残疾人联合会关于促进残疾人就业政府采购政策的通知》（财库</w:t>
      </w:r>
      <w:r>
        <w:rPr>
          <w:rFonts w:hint="eastAsia" w:ascii="华文中宋" w:hAnsi="华文中宋" w:eastAsia="华文中宋" w:cs="华文中宋"/>
          <w:szCs w:val="21"/>
        </w:rPr>
        <w:t>〔2017〕 141</w:t>
      </w:r>
      <w:r>
        <w:rPr>
          <w:rFonts w:hint="eastAsia" w:ascii="华文中宋" w:hAnsi="华文中宋" w:eastAsia="华文中宋" w:cs="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24620F8">
      <w:pPr>
        <w:spacing w:line="276"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03A9A769">
      <w:pPr>
        <w:tabs>
          <w:tab w:val="left" w:pos="4860"/>
        </w:tabs>
        <w:spacing w:line="276" w:lineRule="auto"/>
        <w:ind w:right="1560" w:firstLine="444" w:firstLineChars="200"/>
        <w:jc w:val="center"/>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                          </w:t>
      </w:r>
    </w:p>
    <w:p w14:paraId="0876F46C">
      <w:pPr>
        <w:tabs>
          <w:tab w:val="left" w:pos="4860"/>
        </w:tabs>
        <w:spacing w:line="276" w:lineRule="auto"/>
        <w:ind w:right="1560" w:firstLine="444" w:firstLineChars="200"/>
        <w:jc w:val="center"/>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pacing w:val="6"/>
          <w:szCs w:val="21"/>
        </w:rPr>
        <w:t>）：</w:t>
      </w:r>
    </w:p>
    <w:p w14:paraId="29D02237">
      <w:pPr>
        <w:pStyle w:val="15"/>
        <w:ind w:firstLine="480"/>
      </w:pPr>
    </w:p>
    <w:p w14:paraId="32DBA565">
      <w:pPr>
        <w:tabs>
          <w:tab w:val="left" w:pos="4860"/>
        </w:tabs>
        <w:spacing w:line="276" w:lineRule="auto"/>
        <w:ind w:right="1560" w:firstLine="444" w:firstLineChars="200"/>
        <w:jc w:val="center"/>
        <w:rPr>
          <w:rFonts w:ascii="华文中宋" w:hAnsi="华文中宋" w:eastAsia="华文中宋" w:cs="华文中宋"/>
          <w:b/>
          <w:sz w:val="24"/>
        </w:rPr>
      </w:pPr>
      <w:r>
        <w:rPr>
          <w:rFonts w:hint="eastAsia" w:ascii="华文中宋" w:hAnsi="华文中宋" w:eastAsia="华文中宋" w:cs="华文中宋"/>
          <w:spacing w:val="6"/>
          <w:szCs w:val="21"/>
        </w:rPr>
        <w:t xml:space="preserve">                    日  期：</w:t>
      </w:r>
    </w:p>
    <w:p w14:paraId="1B2D8484">
      <w:pPr>
        <w:spacing w:line="480" w:lineRule="exact"/>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注：</w:t>
      </w:r>
      <w:r>
        <w:rPr>
          <w:rFonts w:hint="eastAsia" w:ascii="华文中宋" w:hAnsi="华文中宋" w:eastAsia="华文中宋" w:cs="Arial"/>
          <w:b/>
        </w:rPr>
        <w:t>中标人为残疾人福利性单位的，集采机构随中标结果同时公告其《残疾人福利性单位声明函》</w:t>
      </w:r>
    </w:p>
    <w:p w14:paraId="5CE2DF28">
      <w:pPr>
        <w:pStyle w:val="25"/>
        <w:widowControl w:val="0"/>
        <w:adjustRightInd w:val="0"/>
        <w:snapToGrid w:val="0"/>
        <w:spacing w:before="0" w:beforeAutospacing="0" w:after="0" w:afterAutospacing="0" w:line="480" w:lineRule="exact"/>
        <w:rPr>
          <w:rFonts w:ascii="华文中宋" w:hAnsi="华文中宋" w:eastAsia="华文中宋" w:cs="华文中宋"/>
          <w:b/>
        </w:rPr>
      </w:pPr>
    </w:p>
    <w:p w14:paraId="26D465BE">
      <w:pPr>
        <w:widowControl/>
        <w:jc w:val="left"/>
        <w:rPr>
          <w:rFonts w:ascii="华文中宋" w:hAnsi="华文中宋" w:eastAsia="华文中宋" w:cs="华文中宋"/>
          <w:b/>
          <w:sz w:val="24"/>
        </w:rPr>
      </w:pPr>
      <w:r>
        <w:rPr>
          <w:rFonts w:ascii="华文中宋" w:hAnsi="华文中宋" w:eastAsia="华文中宋" w:cs="华文中宋"/>
          <w:b/>
          <w:sz w:val="24"/>
        </w:rPr>
        <w:br w:type="page"/>
      </w:r>
      <w:r>
        <w:rPr>
          <w:rFonts w:hint="eastAsia" w:ascii="华文中宋" w:hAnsi="华文中宋" w:eastAsia="华文中宋" w:cs="华文中宋"/>
          <w:b/>
          <w:sz w:val="24"/>
          <w:highlight w:val="none"/>
        </w:rPr>
        <w:t>（二）</w:t>
      </w:r>
      <w:r>
        <w:rPr>
          <w:rFonts w:hint="eastAsia" w:ascii="华文中宋" w:hAnsi="华文中宋" w:eastAsia="华文中宋" w:cs="华文中宋"/>
          <w:b/>
          <w:sz w:val="24"/>
        </w:rPr>
        <w:t>对商务要求的响应内容格式</w:t>
      </w:r>
    </w:p>
    <w:p w14:paraId="2AE09347">
      <w:pPr>
        <w:pStyle w:val="14"/>
        <w:rPr>
          <w:rFonts w:ascii="华文中宋" w:hAnsi="华文中宋" w:eastAsia="华文中宋" w:cs="华文中宋"/>
        </w:rPr>
      </w:pPr>
    </w:p>
    <w:p w14:paraId="362020E7">
      <w:pPr>
        <w:spacing w:line="360" w:lineRule="auto"/>
        <w:ind w:left="360" w:hanging="360" w:hangingChars="150"/>
        <w:jc w:val="center"/>
        <w:rPr>
          <w:rFonts w:ascii="华文中宋" w:hAnsi="华文中宋" w:eastAsia="华文中宋" w:cs="华文中宋"/>
          <w:b/>
          <w:sz w:val="24"/>
        </w:rPr>
      </w:pPr>
      <w:r>
        <w:rPr>
          <w:rFonts w:hint="eastAsia" w:ascii="华文中宋" w:hAnsi="华文中宋" w:eastAsia="华文中宋" w:cs="华文中宋"/>
          <w:b/>
          <w:sz w:val="24"/>
        </w:rPr>
        <w:t>对商务要求的响应内容</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25"/>
        <w:gridCol w:w="1400"/>
        <w:gridCol w:w="1880"/>
      </w:tblGrid>
      <w:tr w14:paraId="1E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2D1700">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4425" w:type="dxa"/>
            <w:noWrap w:val="0"/>
            <w:vAlign w:val="center"/>
          </w:tcPr>
          <w:p w14:paraId="693F80D5">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招标文件商务要求内容</w:t>
            </w:r>
          </w:p>
        </w:tc>
        <w:tc>
          <w:tcPr>
            <w:tcW w:w="1400" w:type="dxa"/>
            <w:noWrap w:val="0"/>
            <w:vAlign w:val="center"/>
          </w:tcPr>
          <w:p w14:paraId="170CC227">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是否响应</w:t>
            </w:r>
          </w:p>
          <w:p w14:paraId="0F4B3AF1">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（填是或否）</w:t>
            </w:r>
          </w:p>
        </w:tc>
        <w:tc>
          <w:tcPr>
            <w:tcW w:w="1880" w:type="dxa"/>
            <w:noWrap w:val="0"/>
            <w:vAlign w:val="center"/>
          </w:tcPr>
          <w:p w14:paraId="7E68A2CD">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偏离情况</w:t>
            </w:r>
          </w:p>
        </w:tc>
      </w:tr>
      <w:tr w14:paraId="2E4D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1AB3DF9">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4A991C92">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67ADA61A">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563A8867">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5F82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BA14E9D">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47D0079B">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0CA547CC">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2563C921">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2A1E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D4E1F1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0F3DED5C">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6AFE580A">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04135DD5">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6EC1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6354D1">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66CC2785">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771AF5F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1C1D8207">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1D7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D65610A">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425" w:type="dxa"/>
            <w:noWrap w:val="0"/>
            <w:vAlign w:val="top"/>
          </w:tcPr>
          <w:p w14:paraId="182EF889">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00" w:type="dxa"/>
            <w:noWrap w:val="0"/>
            <w:vAlign w:val="top"/>
          </w:tcPr>
          <w:p w14:paraId="4260A0E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880" w:type="dxa"/>
            <w:noWrap w:val="0"/>
            <w:vAlign w:val="top"/>
          </w:tcPr>
          <w:p w14:paraId="13458DBD">
            <w:pPr>
              <w:pStyle w:val="14"/>
              <w:keepNext w:val="0"/>
              <w:keepLines w:val="0"/>
              <w:suppressLineNumbers w:val="0"/>
              <w:spacing w:before="0" w:beforeAutospacing="0" w:afterAutospacing="0"/>
              <w:ind w:left="0" w:right="0"/>
              <w:rPr>
                <w:rFonts w:ascii="华文中宋" w:hAnsi="华文中宋" w:eastAsia="华文中宋" w:cs="华文中宋"/>
              </w:rPr>
            </w:pPr>
          </w:p>
        </w:tc>
      </w:tr>
    </w:tbl>
    <w:p w14:paraId="047AA360">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w:t>
      </w:r>
    </w:p>
    <w:p w14:paraId="7D8FEF0F">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①投标人根据本招标文件第四部分商务要求中的内容（例如：交货时间、交货地点、付款方式、履约保证金等）进行响应。</w:t>
      </w:r>
    </w:p>
    <w:p w14:paraId="5676BC77">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②投标人如实填写表格，有偏离情况的，需说明偏离内容；无偏离情况的，填写“无”或“无偏离”。</w:t>
      </w:r>
    </w:p>
    <w:p w14:paraId="6A8318F2">
      <w:pPr>
        <w:pStyle w:val="14"/>
        <w:rPr>
          <w:rFonts w:ascii="华文中宋" w:hAnsi="华文中宋" w:eastAsia="华文中宋" w:cs="华文中宋"/>
          <w:szCs w:val="21"/>
        </w:rPr>
      </w:pPr>
    </w:p>
    <w:p w14:paraId="1E73E17B">
      <w:pPr>
        <w:pStyle w:val="14"/>
        <w:rPr>
          <w:rFonts w:ascii="华文中宋" w:hAnsi="华文中宋" w:eastAsia="华文中宋" w:cs="华文中宋"/>
          <w:szCs w:val="21"/>
        </w:rPr>
      </w:pPr>
    </w:p>
    <w:p w14:paraId="5DB95B53">
      <w:pPr>
        <w:pStyle w:val="14"/>
        <w:rPr>
          <w:rFonts w:ascii="华文中宋" w:hAnsi="华文中宋" w:eastAsia="华文中宋" w:cs="华文中宋"/>
          <w:szCs w:val="21"/>
        </w:rPr>
      </w:pPr>
    </w:p>
    <w:p w14:paraId="7F15ED5F">
      <w:pPr>
        <w:spacing w:line="360" w:lineRule="auto"/>
        <w:ind w:firstLine="424" w:firstLineChars="202"/>
        <w:rPr>
          <w:rFonts w:ascii="华文中宋" w:hAnsi="华文中宋" w:eastAsia="华文中宋" w:cs="华文中宋"/>
          <w:szCs w:val="21"/>
        </w:rPr>
      </w:pPr>
    </w:p>
    <w:p w14:paraId="6801D1B7">
      <w:pPr>
        <w:snapToGrid w:val="0"/>
        <w:spacing w:line="360" w:lineRule="auto"/>
        <w:ind w:firstLine="1890" w:firstLineChars="9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194C55DE">
      <w:pPr>
        <w:spacing w:line="440" w:lineRule="exact"/>
        <w:ind w:left="1890" w:leftChars="900" w:firstLine="1470" w:firstLineChars="700"/>
        <w:jc w:val="right"/>
        <w:rPr>
          <w:rFonts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4F42D8D4">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w:t>
      </w:r>
    </w:p>
    <w:p w14:paraId="40652736">
      <w:pPr>
        <w:snapToGrid w:val="0"/>
        <w:spacing w:line="360" w:lineRule="auto"/>
        <w:rPr>
          <w:rFonts w:ascii="华文中宋" w:hAnsi="华文中宋" w:eastAsia="华文中宋" w:cs="华文中宋"/>
          <w:szCs w:val="21"/>
        </w:rPr>
      </w:pPr>
    </w:p>
    <w:p w14:paraId="6C0EBB7F">
      <w:pPr>
        <w:snapToGrid w:val="0"/>
        <w:spacing w:line="360" w:lineRule="auto"/>
        <w:rPr>
          <w:rFonts w:ascii="华文中宋" w:hAnsi="华文中宋" w:eastAsia="华文中宋" w:cs="华文中宋"/>
          <w:szCs w:val="21"/>
        </w:rPr>
      </w:pPr>
    </w:p>
    <w:p w14:paraId="48CEE224">
      <w:pPr>
        <w:snapToGrid w:val="0"/>
        <w:spacing w:line="360" w:lineRule="auto"/>
        <w:rPr>
          <w:rFonts w:ascii="华文中宋" w:hAnsi="华文中宋" w:eastAsia="华文中宋" w:cs="华文中宋"/>
          <w:szCs w:val="21"/>
        </w:rPr>
      </w:pPr>
    </w:p>
    <w:p w14:paraId="354A30F1">
      <w:pPr>
        <w:snapToGrid w:val="0"/>
        <w:spacing w:line="360" w:lineRule="auto"/>
        <w:rPr>
          <w:rFonts w:ascii="华文中宋" w:hAnsi="华文中宋" w:eastAsia="华文中宋" w:cs="华文中宋"/>
          <w:szCs w:val="21"/>
        </w:rPr>
      </w:pPr>
    </w:p>
    <w:p w14:paraId="1BD1B84E">
      <w:pPr>
        <w:snapToGrid w:val="0"/>
        <w:spacing w:line="360" w:lineRule="auto"/>
        <w:rPr>
          <w:rFonts w:ascii="华文中宋" w:hAnsi="华文中宋" w:eastAsia="华文中宋" w:cs="华文中宋"/>
          <w:szCs w:val="21"/>
        </w:rPr>
      </w:pPr>
    </w:p>
    <w:p w14:paraId="1132B436">
      <w:pPr>
        <w:snapToGrid w:val="0"/>
        <w:spacing w:line="360" w:lineRule="auto"/>
        <w:rPr>
          <w:rFonts w:hint="eastAsia" w:ascii="华文中宋" w:hAnsi="华文中宋" w:eastAsia="华文中宋" w:cs="华文中宋"/>
          <w:b/>
          <w:sz w:val="24"/>
        </w:rPr>
      </w:pPr>
    </w:p>
    <w:p w14:paraId="4643962B">
      <w:pPr>
        <w:snapToGrid w:val="0"/>
        <w:spacing w:line="360" w:lineRule="auto"/>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三</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对实质性要求的响应内容格式</w:t>
      </w:r>
    </w:p>
    <w:p w14:paraId="46627698">
      <w:pPr>
        <w:spacing w:line="360" w:lineRule="auto"/>
        <w:rPr>
          <w:rFonts w:ascii="华文中宋" w:hAnsi="华文中宋" w:eastAsia="华文中宋" w:cs="华文中宋"/>
          <w:b/>
        </w:rPr>
      </w:pPr>
      <w:r>
        <w:rPr>
          <w:rFonts w:hint="eastAsia" w:ascii="华文中宋" w:hAnsi="华文中宋" w:eastAsia="华文中宋" w:cs="华文中宋"/>
          <w:b/>
          <w:sz w:val="24"/>
        </w:rPr>
        <w:t>《政府强制采购节能产品明细表</w:t>
      </w:r>
      <w:r>
        <w:rPr>
          <w:rFonts w:hint="eastAsia" w:ascii="华文中宋" w:hAnsi="华文中宋" w:eastAsia="华文中宋" w:cs="华文中宋"/>
          <w:b/>
          <w:bCs/>
          <w:sz w:val="24"/>
        </w:rPr>
        <w:t>》</w:t>
      </w:r>
      <w:r>
        <w:rPr>
          <w:rFonts w:hint="eastAsia" w:ascii="华文中宋" w:hAnsi="华文中宋" w:eastAsia="华文中宋" w:cs="华文中宋"/>
          <w:b/>
          <w:sz w:val="24"/>
        </w:rPr>
        <w:t>格式</w:t>
      </w:r>
    </w:p>
    <w:p w14:paraId="2C1A5232">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政府强制采购节能产品明细表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2"/>
        <w:gridCol w:w="952"/>
        <w:gridCol w:w="1344"/>
        <w:gridCol w:w="1476"/>
        <w:gridCol w:w="1871"/>
        <w:gridCol w:w="1856"/>
      </w:tblGrid>
      <w:tr w14:paraId="4AE0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38D517D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包号</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71ED30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产品名称</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3490E9E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制造商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B4DBB9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产品型号</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2DB12B7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节能产品</w:t>
            </w:r>
          </w:p>
          <w:p w14:paraId="70460FD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021BD0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认证证书有</w:t>
            </w:r>
          </w:p>
          <w:p w14:paraId="7EAD74E4">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效截止日期</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99EB7C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w:t>
            </w:r>
          </w:p>
          <w:p w14:paraId="6E2E9D0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影印件</w:t>
            </w:r>
          </w:p>
        </w:tc>
      </w:tr>
      <w:tr w14:paraId="7DB1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1672EB89">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51ACA52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3870D78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2FDCB6CE">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5293C49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0D1F8C2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A0AE46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7005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423DD71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1EB0311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27B3F0B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0224660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31D0B0F6">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7A56F499">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173767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3C7B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3268736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1C24A29F">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104F728C">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6ABB3773">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5FA573B1">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39CC3A5A">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B00078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14:paraId="492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5F6879B3">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3E7B5C1B">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52" w:type="dxa"/>
            <w:tcBorders>
              <w:top w:val="single" w:color="auto" w:sz="4" w:space="0"/>
              <w:left w:val="single" w:color="auto" w:sz="4" w:space="0"/>
              <w:bottom w:val="single" w:color="auto" w:sz="4" w:space="0"/>
              <w:right w:val="single" w:color="auto" w:sz="4" w:space="0"/>
            </w:tcBorders>
            <w:noWrap w:val="0"/>
            <w:vAlign w:val="top"/>
          </w:tcPr>
          <w:p w14:paraId="53C8DD27">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44" w:type="dxa"/>
            <w:tcBorders>
              <w:top w:val="single" w:color="auto" w:sz="4" w:space="0"/>
              <w:left w:val="single" w:color="auto" w:sz="4" w:space="0"/>
              <w:bottom w:val="single" w:color="auto" w:sz="4" w:space="0"/>
              <w:right w:val="single" w:color="auto" w:sz="4" w:space="0"/>
            </w:tcBorders>
            <w:noWrap w:val="0"/>
            <w:vAlign w:val="top"/>
          </w:tcPr>
          <w:p w14:paraId="4827DD54">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476" w:type="dxa"/>
            <w:tcBorders>
              <w:top w:val="single" w:color="auto" w:sz="4" w:space="0"/>
              <w:left w:val="single" w:color="auto" w:sz="4" w:space="0"/>
              <w:bottom w:val="single" w:color="auto" w:sz="4" w:space="0"/>
              <w:right w:val="single" w:color="auto" w:sz="4" w:space="0"/>
            </w:tcBorders>
            <w:noWrap w:val="0"/>
            <w:vAlign w:val="top"/>
          </w:tcPr>
          <w:p w14:paraId="718EA094">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71" w:type="dxa"/>
            <w:tcBorders>
              <w:top w:val="single" w:color="auto" w:sz="4" w:space="0"/>
              <w:left w:val="single" w:color="auto" w:sz="4" w:space="0"/>
              <w:bottom w:val="single" w:color="auto" w:sz="4" w:space="0"/>
              <w:right w:val="single" w:color="auto" w:sz="4" w:space="0"/>
            </w:tcBorders>
            <w:noWrap w:val="0"/>
            <w:vAlign w:val="top"/>
          </w:tcPr>
          <w:p w14:paraId="41AEEAEF">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25B4A2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bl>
    <w:p w14:paraId="60C274BE">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14:paraId="6AE3CE94">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根据招标文件第四部分实质性要求中的内容进行响应。</w:t>
      </w:r>
    </w:p>
    <w:p w14:paraId="50543AAA">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投标人如实填写表格，无相应内容可填的，填写“无”或用“/”来表示。</w:t>
      </w:r>
    </w:p>
    <w:p w14:paraId="69A4913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认证证书附后（有效期之内的节能产品认证证书</w:t>
      </w:r>
      <w:r>
        <w:rPr>
          <w:rFonts w:hint="eastAsia" w:ascii="华文中宋" w:hAnsi="华文中宋" w:eastAsia="华文中宋" w:cs="华文中宋"/>
          <w:szCs w:val="21"/>
          <w:lang w:eastAsia="zh-CN"/>
        </w:rPr>
        <w:t>影印件</w:t>
      </w:r>
      <w:r>
        <w:rPr>
          <w:rFonts w:hint="eastAsia" w:ascii="华文中宋" w:hAnsi="华文中宋" w:eastAsia="华文中宋" w:cs="华文中宋"/>
          <w:szCs w:val="21"/>
        </w:rPr>
        <w:t>）。</w:t>
      </w:r>
    </w:p>
    <w:p w14:paraId="683EF213">
      <w:pPr>
        <w:tabs>
          <w:tab w:val="left" w:pos="1680"/>
        </w:tabs>
        <w:snapToGrid w:val="0"/>
        <w:spacing w:line="36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节能产品政府采购品目清单</w:t>
      </w:r>
    </w:p>
    <w:tbl>
      <w:tblPr>
        <w:tblStyle w:val="75"/>
        <w:tblW w:w="9285"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335"/>
        <w:gridCol w:w="2025"/>
        <w:gridCol w:w="2085"/>
        <w:gridCol w:w="3195"/>
      </w:tblGrid>
      <w:tr w14:paraId="032B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79368F0">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品目 序号</w:t>
            </w:r>
          </w:p>
        </w:tc>
        <w:tc>
          <w:tcPr>
            <w:tcW w:w="5445" w:type="dxa"/>
            <w:gridSpan w:val="3"/>
            <w:noWrap w:val="0"/>
            <w:vAlign w:val="top"/>
          </w:tcPr>
          <w:p w14:paraId="0F05344A">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名称</w:t>
            </w:r>
          </w:p>
        </w:tc>
        <w:tc>
          <w:tcPr>
            <w:tcW w:w="3195" w:type="dxa"/>
            <w:noWrap w:val="0"/>
            <w:vAlign w:val="top"/>
          </w:tcPr>
          <w:p w14:paraId="05BA5F92">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依据的标准</w:t>
            </w:r>
          </w:p>
        </w:tc>
      </w:tr>
      <w:tr w14:paraId="3F4BD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2067F133">
            <w:pPr>
              <w:rPr>
                <w:rFonts w:hint="eastAsia" w:ascii="华文中宋" w:hAnsi="华文中宋" w:eastAsia="华文中宋" w:cs="华文中宋"/>
                <w:sz w:val="21"/>
                <w:szCs w:val="21"/>
              </w:rPr>
            </w:pPr>
          </w:p>
          <w:p w14:paraId="57399527">
            <w:pPr>
              <w:rPr>
                <w:rFonts w:hint="eastAsia" w:ascii="华文中宋" w:hAnsi="华文中宋" w:eastAsia="华文中宋" w:cs="华文中宋"/>
                <w:sz w:val="21"/>
                <w:szCs w:val="21"/>
              </w:rPr>
            </w:pPr>
          </w:p>
          <w:p w14:paraId="5FCECEDA">
            <w:pPr>
              <w:rPr>
                <w:rFonts w:hint="eastAsia" w:ascii="华文中宋" w:hAnsi="华文中宋" w:eastAsia="华文中宋" w:cs="华文中宋"/>
                <w:sz w:val="21"/>
                <w:szCs w:val="21"/>
              </w:rPr>
            </w:pPr>
          </w:p>
          <w:p w14:paraId="4E747613">
            <w:pPr>
              <w:rPr>
                <w:rFonts w:hint="eastAsia" w:ascii="华文中宋" w:hAnsi="华文中宋" w:eastAsia="华文中宋" w:cs="华文中宋"/>
                <w:sz w:val="21"/>
                <w:szCs w:val="21"/>
              </w:rPr>
            </w:pPr>
          </w:p>
          <w:p w14:paraId="7688159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p>
        </w:tc>
        <w:tc>
          <w:tcPr>
            <w:tcW w:w="1335" w:type="dxa"/>
            <w:vMerge w:val="restart"/>
            <w:tcBorders>
              <w:bottom w:val="nil"/>
            </w:tcBorders>
            <w:noWrap w:val="0"/>
            <w:vAlign w:val="top"/>
          </w:tcPr>
          <w:p w14:paraId="5F88E6F7">
            <w:pPr>
              <w:rPr>
                <w:rFonts w:hint="eastAsia" w:ascii="华文中宋" w:hAnsi="华文中宋" w:eastAsia="华文中宋" w:cs="华文中宋"/>
                <w:sz w:val="21"/>
                <w:szCs w:val="21"/>
              </w:rPr>
            </w:pPr>
          </w:p>
          <w:p w14:paraId="4833F111">
            <w:pPr>
              <w:rPr>
                <w:rFonts w:hint="eastAsia" w:ascii="华文中宋" w:hAnsi="华文中宋" w:eastAsia="华文中宋" w:cs="华文中宋"/>
                <w:sz w:val="21"/>
                <w:szCs w:val="21"/>
              </w:rPr>
            </w:pPr>
          </w:p>
          <w:p w14:paraId="3D1D1CB6">
            <w:pPr>
              <w:rPr>
                <w:rFonts w:hint="eastAsia" w:ascii="华文中宋" w:hAnsi="华文中宋" w:eastAsia="华文中宋" w:cs="华文中宋"/>
                <w:sz w:val="21"/>
                <w:szCs w:val="21"/>
              </w:rPr>
            </w:pPr>
          </w:p>
          <w:p w14:paraId="75B27E0F">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 计算机设备</w:t>
            </w:r>
          </w:p>
        </w:tc>
        <w:tc>
          <w:tcPr>
            <w:tcW w:w="2025" w:type="dxa"/>
            <w:noWrap w:val="0"/>
            <w:vAlign w:val="top"/>
          </w:tcPr>
          <w:p w14:paraId="78815B9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★A02010104台式计算机</w:t>
            </w:r>
          </w:p>
        </w:tc>
        <w:tc>
          <w:tcPr>
            <w:tcW w:w="2085" w:type="dxa"/>
            <w:noWrap w:val="0"/>
            <w:vAlign w:val="top"/>
          </w:tcPr>
          <w:p w14:paraId="1FA4EBE3">
            <w:pPr>
              <w:rPr>
                <w:rFonts w:hint="eastAsia" w:ascii="华文中宋" w:hAnsi="华文中宋" w:eastAsia="华文中宋" w:cs="华文中宋"/>
                <w:sz w:val="21"/>
                <w:szCs w:val="21"/>
              </w:rPr>
            </w:pPr>
          </w:p>
        </w:tc>
        <w:tc>
          <w:tcPr>
            <w:tcW w:w="3195" w:type="dxa"/>
            <w:noWrap w:val="0"/>
            <w:vAlign w:val="top"/>
          </w:tcPr>
          <w:p w14:paraId="10F9BBE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7C82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1DD464CB">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75FC5E79">
            <w:pPr>
              <w:rPr>
                <w:rFonts w:hint="eastAsia" w:ascii="华文中宋" w:hAnsi="华文中宋" w:eastAsia="华文中宋" w:cs="华文中宋"/>
                <w:sz w:val="21"/>
                <w:szCs w:val="21"/>
              </w:rPr>
            </w:pPr>
          </w:p>
        </w:tc>
        <w:tc>
          <w:tcPr>
            <w:tcW w:w="2025" w:type="dxa"/>
            <w:noWrap w:val="0"/>
            <w:vAlign w:val="top"/>
          </w:tcPr>
          <w:p w14:paraId="3A86B8B3">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★A02010105便携式计算机</w:t>
            </w:r>
          </w:p>
        </w:tc>
        <w:tc>
          <w:tcPr>
            <w:tcW w:w="2085" w:type="dxa"/>
            <w:noWrap w:val="0"/>
            <w:vAlign w:val="top"/>
          </w:tcPr>
          <w:p w14:paraId="74C795D8">
            <w:pPr>
              <w:rPr>
                <w:rFonts w:hint="eastAsia" w:ascii="华文中宋" w:hAnsi="华文中宋" w:eastAsia="华文中宋" w:cs="华文中宋"/>
                <w:sz w:val="21"/>
                <w:szCs w:val="21"/>
              </w:rPr>
            </w:pPr>
          </w:p>
        </w:tc>
        <w:tc>
          <w:tcPr>
            <w:tcW w:w="3195" w:type="dxa"/>
            <w:noWrap w:val="0"/>
            <w:vAlign w:val="top"/>
          </w:tcPr>
          <w:p w14:paraId="5275F51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6F13A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316921C3">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3B90A1A4">
            <w:pPr>
              <w:rPr>
                <w:rFonts w:hint="eastAsia" w:ascii="华文中宋" w:hAnsi="华文中宋" w:eastAsia="华文中宋" w:cs="华文中宋"/>
                <w:sz w:val="21"/>
                <w:szCs w:val="21"/>
              </w:rPr>
            </w:pPr>
          </w:p>
        </w:tc>
        <w:tc>
          <w:tcPr>
            <w:tcW w:w="2025" w:type="dxa"/>
            <w:noWrap w:val="0"/>
            <w:vAlign w:val="top"/>
          </w:tcPr>
          <w:p w14:paraId="5C86900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★A02010107平板式微型计算机</w:t>
            </w:r>
          </w:p>
        </w:tc>
        <w:tc>
          <w:tcPr>
            <w:tcW w:w="2085" w:type="dxa"/>
            <w:noWrap w:val="0"/>
            <w:vAlign w:val="top"/>
          </w:tcPr>
          <w:p w14:paraId="4F527D83">
            <w:pPr>
              <w:rPr>
                <w:rFonts w:hint="eastAsia" w:ascii="华文中宋" w:hAnsi="华文中宋" w:eastAsia="华文中宋" w:cs="华文中宋"/>
                <w:sz w:val="21"/>
                <w:szCs w:val="21"/>
              </w:rPr>
            </w:pPr>
          </w:p>
        </w:tc>
        <w:tc>
          <w:tcPr>
            <w:tcW w:w="3195" w:type="dxa"/>
            <w:noWrap w:val="0"/>
            <w:vAlign w:val="top"/>
          </w:tcPr>
          <w:p w14:paraId="4B0226F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《微型计算机能效限定值及能效 等级》（GB 28380）</w:t>
            </w:r>
          </w:p>
        </w:tc>
      </w:tr>
      <w:tr w14:paraId="1AD7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5045E665">
            <w:pPr>
              <w:rPr>
                <w:rFonts w:hint="eastAsia" w:ascii="华文中宋" w:hAnsi="华文中宋" w:eastAsia="华文中宋" w:cs="华文中宋"/>
                <w:sz w:val="21"/>
                <w:szCs w:val="21"/>
              </w:rPr>
            </w:pPr>
          </w:p>
          <w:p w14:paraId="2CCF4493">
            <w:pPr>
              <w:rPr>
                <w:rFonts w:hint="eastAsia" w:ascii="华文中宋" w:hAnsi="华文中宋" w:eastAsia="华文中宋" w:cs="华文中宋"/>
                <w:sz w:val="21"/>
                <w:szCs w:val="21"/>
              </w:rPr>
            </w:pPr>
          </w:p>
          <w:p w14:paraId="384E2E8A">
            <w:pPr>
              <w:rPr>
                <w:rFonts w:hint="eastAsia" w:ascii="华文中宋" w:hAnsi="华文中宋" w:eastAsia="华文中宋" w:cs="华文中宋"/>
                <w:sz w:val="21"/>
                <w:szCs w:val="21"/>
              </w:rPr>
            </w:pPr>
          </w:p>
          <w:p w14:paraId="625D2E23">
            <w:pPr>
              <w:rPr>
                <w:rFonts w:hint="eastAsia" w:ascii="华文中宋" w:hAnsi="华文中宋" w:eastAsia="华文中宋" w:cs="华文中宋"/>
                <w:sz w:val="21"/>
                <w:szCs w:val="21"/>
              </w:rPr>
            </w:pPr>
          </w:p>
          <w:p w14:paraId="1896C700">
            <w:pPr>
              <w:rPr>
                <w:rFonts w:hint="eastAsia" w:ascii="华文中宋" w:hAnsi="华文中宋" w:eastAsia="华文中宋" w:cs="华文中宋"/>
                <w:sz w:val="21"/>
                <w:szCs w:val="21"/>
              </w:rPr>
            </w:pPr>
          </w:p>
          <w:p w14:paraId="3E4E430C">
            <w:pPr>
              <w:rPr>
                <w:rFonts w:hint="eastAsia" w:ascii="华文中宋" w:hAnsi="华文中宋" w:eastAsia="华文中宋" w:cs="华文中宋"/>
                <w:sz w:val="21"/>
                <w:szCs w:val="21"/>
              </w:rPr>
            </w:pPr>
          </w:p>
          <w:p w14:paraId="35ED72D8">
            <w:pPr>
              <w:rPr>
                <w:rFonts w:hint="eastAsia" w:ascii="华文中宋" w:hAnsi="华文中宋" w:eastAsia="华文中宋" w:cs="华文中宋"/>
                <w:sz w:val="21"/>
                <w:szCs w:val="21"/>
              </w:rPr>
            </w:pPr>
          </w:p>
          <w:p w14:paraId="072E4C25">
            <w:pPr>
              <w:rPr>
                <w:rFonts w:hint="eastAsia" w:ascii="华文中宋" w:hAnsi="华文中宋" w:eastAsia="华文中宋" w:cs="华文中宋"/>
                <w:sz w:val="21"/>
                <w:szCs w:val="21"/>
              </w:rPr>
            </w:pPr>
          </w:p>
          <w:p w14:paraId="2CB9EF0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p>
        </w:tc>
        <w:tc>
          <w:tcPr>
            <w:tcW w:w="1335" w:type="dxa"/>
            <w:vMerge w:val="restart"/>
            <w:tcBorders>
              <w:bottom w:val="nil"/>
            </w:tcBorders>
            <w:noWrap w:val="0"/>
            <w:vAlign w:val="top"/>
          </w:tcPr>
          <w:p w14:paraId="438BAC6D">
            <w:pPr>
              <w:rPr>
                <w:rFonts w:hint="eastAsia" w:ascii="华文中宋" w:hAnsi="华文中宋" w:eastAsia="华文中宋" w:cs="华文中宋"/>
                <w:sz w:val="21"/>
                <w:szCs w:val="21"/>
              </w:rPr>
            </w:pPr>
          </w:p>
          <w:p w14:paraId="156AA77A">
            <w:pPr>
              <w:rPr>
                <w:rFonts w:hint="eastAsia" w:ascii="华文中宋" w:hAnsi="华文中宋" w:eastAsia="华文中宋" w:cs="华文中宋"/>
                <w:sz w:val="21"/>
                <w:szCs w:val="21"/>
              </w:rPr>
            </w:pPr>
          </w:p>
          <w:p w14:paraId="029CD84E">
            <w:pPr>
              <w:rPr>
                <w:rFonts w:hint="eastAsia" w:ascii="华文中宋" w:hAnsi="华文中宋" w:eastAsia="华文中宋" w:cs="华文中宋"/>
                <w:sz w:val="21"/>
                <w:szCs w:val="21"/>
              </w:rPr>
            </w:pPr>
          </w:p>
          <w:p w14:paraId="066AE61A">
            <w:pPr>
              <w:rPr>
                <w:rFonts w:hint="eastAsia" w:ascii="华文中宋" w:hAnsi="华文中宋" w:eastAsia="华文中宋" w:cs="华文中宋"/>
                <w:sz w:val="21"/>
                <w:szCs w:val="21"/>
              </w:rPr>
            </w:pPr>
          </w:p>
          <w:p w14:paraId="72D9DAAB">
            <w:pPr>
              <w:rPr>
                <w:rFonts w:hint="eastAsia" w:ascii="华文中宋" w:hAnsi="华文中宋" w:eastAsia="华文中宋" w:cs="华文中宋"/>
                <w:sz w:val="21"/>
                <w:szCs w:val="21"/>
              </w:rPr>
            </w:pPr>
          </w:p>
          <w:p w14:paraId="22EE0CA6">
            <w:pPr>
              <w:rPr>
                <w:rFonts w:hint="eastAsia" w:ascii="华文中宋" w:hAnsi="华文中宋" w:eastAsia="华文中宋" w:cs="华文中宋"/>
                <w:sz w:val="21"/>
                <w:szCs w:val="21"/>
              </w:rPr>
            </w:pPr>
          </w:p>
          <w:p w14:paraId="32CB0872">
            <w:pPr>
              <w:rPr>
                <w:rFonts w:hint="eastAsia" w:ascii="华文中宋" w:hAnsi="华文中宋" w:eastAsia="华文中宋" w:cs="华文中宋"/>
                <w:sz w:val="21"/>
                <w:szCs w:val="21"/>
              </w:rPr>
            </w:pPr>
          </w:p>
          <w:p w14:paraId="58D2052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 输入输出设备</w:t>
            </w:r>
          </w:p>
        </w:tc>
        <w:tc>
          <w:tcPr>
            <w:tcW w:w="2025" w:type="dxa"/>
            <w:vMerge w:val="restart"/>
            <w:tcBorders>
              <w:bottom w:val="nil"/>
            </w:tcBorders>
            <w:noWrap w:val="0"/>
            <w:vAlign w:val="top"/>
          </w:tcPr>
          <w:p w14:paraId="618C6DE9">
            <w:pPr>
              <w:rPr>
                <w:rFonts w:hint="eastAsia" w:ascii="华文中宋" w:hAnsi="华文中宋" w:eastAsia="华文中宋" w:cs="华文中宋"/>
                <w:sz w:val="21"/>
                <w:szCs w:val="21"/>
              </w:rPr>
            </w:pPr>
          </w:p>
          <w:p w14:paraId="14A02BC7">
            <w:pPr>
              <w:rPr>
                <w:rFonts w:hint="eastAsia" w:ascii="华文中宋" w:hAnsi="华文中宋" w:eastAsia="华文中宋" w:cs="华文中宋"/>
                <w:sz w:val="21"/>
                <w:szCs w:val="21"/>
              </w:rPr>
            </w:pPr>
          </w:p>
          <w:p w14:paraId="7E54653C">
            <w:pPr>
              <w:rPr>
                <w:rFonts w:hint="eastAsia" w:ascii="华文中宋" w:hAnsi="华文中宋" w:eastAsia="华文中宋" w:cs="华文中宋"/>
                <w:sz w:val="21"/>
                <w:szCs w:val="21"/>
              </w:rPr>
            </w:pPr>
          </w:p>
          <w:p w14:paraId="6B39BF44">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A02010601打印设备</w:t>
            </w:r>
          </w:p>
        </w:tc>
        <w:tc>
          <w:tcPr>
            <w:tcW w:w="2085" w:type="dxa"/>
            <w:noWrap w:val="0"/>
            <w:vAlign w:val="top"/>
          </w:tcPr>
          <w:p w14:paraId="1052163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A0201060101喷墨打印机</w:t>
            </w:r>
          </w:p>
        </w:tc>
        <w:tc>
          <w:tcPr>
            <w:tcW w:w="3195" w:type="dxa"/>
            <w:noWrap w:val="0"/>
            <w:vAlign w:val="top"/>
          </w:tcPr>
          <w:p w14:paraId="5DF790E8">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1594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70EE82A7">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333D8671">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68C13F6">
            <w:pPr>
              <w:rPr>
                <w:rFonts w:hint="eastAsia" w:ascii="华文中宋" w:hAnsi="华文中宋" w:eastAsia="华文中宋" w:cs="华文中宋"/>
                <w:sz w:val="21"/>
                <w:szCs w:val="21"/>
              </w:rPr>
            </w:pPr>
          </w:p>
        </w:tc>
        <w:tc>
          <w:tcPr>
            <w:tcW w:w="2085" w:type="dxa"/>
            <w:noWrap w:val="0"/>
            <w:vAlign w:val="top"/>
          </w:tcPr>
          <w:p w14:paraId="35B5627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★A0201060102激光打印机</w:t>
            </w:r>
          </w:p>
        </w:tc>
        <w:tc>
          <w:tcPr>
            <w:tcW w:w="3195" w:type="dxa"/>
            <w:noWrap w:val="0"/>
            <w:vAlign w:val="top"/>
          </w:tcPr>
          <w:p w14:paraId="7C7FDBF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589B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5403DE1F">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6D61AF3C">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1386234A">
            <w:pPr>
              <w:rPr>
                <w:rFonts w:hint="eastAsia" w:ascii="华文中宋" w:hAnsi="华文中宋" w:eastAsia="华文中宋" w:cs="华文中宋"/>
                <w:sz w:val="21"/>
                <w:szCs w:val="21"/>
              </w:rPr>
            </w:pPr>
          </w:p>
        </w:tc>
        <w:tc>
          <w:tcPr>
            <w:tcW w:w="2085" w:type="dxa"/>
            <w:noWrap w:val="0"/>
            <w:vAlign w:val="top"/>
          </w:tcPr>
          <w:p w14:paraId="3F26F1B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★A0201060104针式打印机</w:t>
            </w:r>
          </w:p>
        </w:tc>
        <w:tc>
          <w:tcPr>
            <w:tcW w:w="3195" w:type="dxa"/>
            <w:noWrap w:val="0"/>
            <w:vAlign w:val="top"/>
          </w:tcPr>
          <w:p w14:paraId="157D35B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5B905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56994A1D">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5B05CBC6">
            <w:pPr>
              <w:rPr>
                <w:rFonts w:hint="eastAsia" w:ascii="华文中宋" w:hAnsi="华文中宋" w:eastAsia="华文中宋" w:cs="华文中宋"/>
                <w:sz w:val="21"/>
                <w:szCs w:val="21"/>
              </w:rPr>
            </w:pPr>
          </w:p>
        </w:tc>
        <w:tc>
          <w:tcPr>
            <w:tcW w:w="2025" w:type="dxa"/>
            <w:noWrap w:val="0"/>
            <w:vAlign w:val="top"/>
          </w:tcPr>
          <w:p w14:paraId="2D42DEB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A02010604显示设备</w:t>
            </w:r>
          </w:p>
        </w:tc>
        <w:tc>
          <w:tcPr>
            <w:tcW w:w="2085" w:type="dxa"/>
            <w:noWrap w:val="0"/>
            <w:vAlign w:val="top"/>
          </w:tcPr>
          <w:p w14:paraId="150EC10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★A0201060401液晶显示器</w:t>
            </w:r>
          </w:p>
        </w:tc>
        <w:tc>
          <w:tcPr>
            <w:tcW w:w="3195" w:type="dxa"/>
            <w:noWrap w:val="0"/>
            <w:vAlign w:val="top"/>
          </w:tcPr>
          <w:p w14:paraId="3B932140">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《计算机显示器能效限定值及能效等级》（GB21520）</w:t>
            </w:r>
          </w:p>
        </w:tc>
      </w:tr>
      <w:tr w14:paraId="5D17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5D0F3A35">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16693789">
            <w:pPr>
              <w:rPr>
                <w:rFonts w:hint="eastAsia" w:ascii="华文中宋" w:hAnsi="华文中宋" w:eastAsia="华文中宋" w:cs="华文中宋"/>
                <w:sz w:val="21"/>
                <w:szCs w:val="21"/>
              </w:rPr>
            </w:pPr>
          </w:p>
        </w:tc>
        <w:tc>
          <w:tcPr>
            <w:tcW w:w="2025" w:type="dxa"/>
            <w:noWrap w:val="0"/>
            <w:vAlign w:val="top"/>
          </w:tcPr>
          <w:p w14:paraId="6168A385">
            <w:pPr>
              <w:rPr>
                <w:rFonts w:hint="eastAsia" w:ascii="华文中宋" w:hAnsi="华文中宋" w:eastAsia="华文中宋" w:cs="华文中宋"/>
                <w:sz w:val="21"/>
                <w:szCs w:val="21"/>
              </w:rPr>
            </w:pPr>
          </w:p>
          <w:p w14:paraId="1F3A5B8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A02010609图形图像输入设备</w:t>
            </w:r>
          </w:p>
        </w:tc>
        <w:tc>
          <w:tcPr>
            <w:tcW w:w="2085" w:type="dxa"/>
            <w:noWrap w:val="0"/>
            <w:vAlign w:val="top"/>
          </w:tcPr>
          <w:p w14:paraId="71D80260">
            <w:pPr>
              <w:rPr>
                <w:rFonts w:hint="eastAsia" w:ascii="华文中宋" w:hAnsi="华文中宋" w:eastAsia="华文中宋" w:cs="华文中宋"/>
                <w:sz w:val="21"/>
                <w:szCs w:val="21"/>
              </w:rPr>
            </w:pPr>
          </w:p>
          <w:p w14:paraId="33977A40">
            <w:pPr>
              <w:rPr>
                <w:rFonts w:hint="eastAsia" w:ascii="华文中宋" w:hAnsi="华文中宋" w:eastAsia="华文中宋" w:cs="华文中宋"/>
                <w:sz w:val="21"/>
                <w:szCs w:val="21"/>
              </w:rPr>
            </w:pPr>
          </w:p>
          <w:p w14:paraId="3269498A">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A0201060901扫描仪</w:t>
            </w:r>
          </w:p>
        </w:tc>
        <w:tc>
          <w:tcPr>
            <w:tcW w:w="3195" w:type="dxa"/>
            <w:noWrap w:val="0"/>
            <w:vAlign w:val="top"/>
          </w:tcPr>
          <w:p w14:paraId="3B99A9FE">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参照《复印机、打印机和传真机能效限定值及能效等级》（GB21521）中打印速度为15页/分的针式打印机相关要求</w:t>
            </w:r>
          </w:p>
        </w:tc>
      </w:tr>
      <w:tr w14:paraId="73B3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94113D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3</w:t>
            </w:r>
          </w:p>
        </w:tc>
        <w:tc>
          <w:tcPr>
            <w:tcW w:w="1335" w:type="dxa"/>
            <w:noWrap w:val="0"/>
            <w:vAlign w:val="top"/>
          </w:tcPr>
          <w:p w14:paraId="20F0BB7D">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A020202投影仪</w:t>
            </w:r>
          </w:p>
        </w:tc>
        <w:tc>
          <w:tcPr>
            <w:tcW w:w="2025" w:type="dxa"/>
            <w:noWrap w:val="0"/>
            <w:vAlign w:val="top"/>
          </w:tcPr>
          <w:p w14:paraId="23E5B857">
            <w:pPr>
              <w:rPr>
                <w:rFonts w:hint="eastAsia" w:ascii="华文中宋" w:hAnsi="华文中宋" w:eastAsia="华文中宋" w:cs="华文中宋"/>
                <w:sz w:val="21"/>
                <w:szCs w:val="21"/>
              </w:rPr>
            </w:pPr>
          </w:p>
        </w:tc>
        <w:tc>
          <w:tcPr>
            <w:tcW w:w="2085" w:type="dxa"/>
            <w:noWrap w:val="0"/>
            <w:vAlign w:val="top"/>
          </w:tcPr>
          <w:p w14:paraId="79A12E54">
            <w:pPr>
              <w:rPr>
                <w:rFonts w:hint="eastAsia" w:ascii="华文中宋" w:hAnsi="华文中宋" w:eastAsia="华文中宋" w:cs="华文中宋"/>
                <w:sz w:val="21"/>
                <w:szCs w:val="21"/>
              </w:rPr>
            </w:pPr>
          </w:p>
        </w:tc>
        <w:tc>
          <w:tcPr>
            <w:tcW w:w="3195" w:type="dxa"/>
            <w:noWrap w:val="0"/>
            <w:vAlign w:val="top"/>
          </w:tcPr>
          <w:p w14:paraId="10E96F65">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《投影机能效限定值及能效等级》（GB32028）</w:t>
            </w:r>
          </w:p>
        </w:tc>
      </w:tr>
      <w:tr w14:paraId="5C25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18A3DC1">
            <w:pPr>
              <w:rPr>
                <w:rFonts w:hint="eastAsia" w:ascii="华文中宋" w:hAnsi="华文中宋" w:eastAsia="华文中宋" w:cs="华文中宋"/>
                <w:sz w:val="21"/>
                <w:szCs w:val="21"/>
              </w:rPr>
            </w:pPr>
          </w:p>
          <w:p w14:paraId="124B78F8">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4</w:t>
            </w:r>
          </w:p>
        </w:tc>
        <w:tc>
          <w:tcPr>
            <w:tcW w:w="1335" w:type="dxa"/>
            <w:noWrap w:val="0"/>
            <w:vAlign w:val="top"/>
          </w:tcPr>
          <w:p w14:paraId="7AC9EB64">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A020204多功能一体机</w:t>
            </w:r>
          </w:p>
        </w:tc>
        <w:tc>
          <w:tcPr>
            <w:tcW w:w="2025" w:type="dxa"/>
            <w:noWrap w:val="0"/>
            <w:vAlign w:val="top"/>
          </w:tcPr>
          <w:p w14:paraId="78ADC090">
            <w:pPr>
              <w:rPr>
                <w:rFonts w:hint="eastAsia" w:ascii="华文中宋" w:hAnsi="华文中宋" w:eastAsia="华文中宋" w:cs="华文中宋"/>
                <w:sz w:val="21"/>
                <w:szCs w:val="21"/>
              </w:rPr>
            </w:pPr>
          </w:p>
        </w:tc>
        <w:tc>
          <w:tcPr>
            <w:tcW w:w="2085" w:type="dxa"/>
            <w:noWrap w:val="0"/>
            <w:vAlign w:val="top"/>
          </w:tcPr>
          <w:p w14:paraId="709E3DB1">
            <w:pPr>
              <w:rPr>
                <w:rFonts w:hint="eastAsia" w:ascii="华文中宋" w:hAnsi="华文中宋" w:eastAsia="华文中宋" w:cs="华文中宋"/>
                <w:sz w:val="21"/>
                <w:szCs w:val="21"/>
              </w:rPr>
            </w:pPr>
          </w:p>
        </w:tc>
        <w:tc>
          <w:tcPr>
            <w:tcW w:w="3195" w:type="dxa"/>
            <w:noWrap w:val="0"/>
            <w:vAlign w:val="top"/>
          </w:tcPr>
          <w:p w14:paraId="6F74CCE6">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《复印机、打印机和传真机能效限定值及能效等级》（GB21521）</w:t>
            </w:r>
          </w:p>
        </w:tc>
      </w:tr>
      <w:tr w14:paraId="6059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17D0579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5</w:t>
            </w:r>
          </w:p>
        </w:tc>
        <w:tc>
          <w:tcPr>
            <w:tcW w:w="1335" w:type="dxa"/>
            <w:noWrap w:val="0"/>
            <w:vAlign w:val="top"/>
          </w:tcPr>
          <w:p w14:paraId="7C405419">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A020519泵</w:t>
            </w:r>
          </w:p>
        </w:tc>
        <w:tc>
          <w:tcPr>
            <w:tcW w:w="2025" w:type="dxa"/>
            <w:noWrap w:val="0"/>
            <w:vAlign w:val="top"/>
          </w:tcPr>
          <w:p w14:paraId="6455EDE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A02051901离心泵</w:t>
            </w:r>
          </w:p>
        </w:tc>
        <w:tc>
          <w:tcPr>
            <w:tcW w:w="2085" w:type="dxa"/>
            <w:noWrap w:val="0"/>
            <w:vAlign w:val="top"/>
          </w:tcPr>
          <w:p w14:paraId="1F9D45A8">
            <w:pPr>
              <w:rPr>
                <w:rFonts w:hint="eastAsia" w:ascii="华文中宋" w:hAnsi="华文中宋" w:eastAsia="华文中宋" w:cs="华文中宋"/>
                <w:sz w:val="21"/>
                <w:szCs w:val="21"/>
              </w:rPr>
            </w:pPr>
          </w:p>
        </w:tc>
        <w:tc>
          <w:tcPr>
            <w:tcW w:w="3195" w:type="dxa"/>
            <w:noWrap w:val="0"/>
            <w:vAlign w:val="top"/>
          </w:tcPr>
          <w:p w14:paraId="516B26AE">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《清水离心泵能效限定值及节能评价值》（GB19762）</w:t>
            </w:r>
          </w:p>
        </w:tc>
      </w:tr>
      <w:tr w14:paraId="4893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noWrap w:val="0"/>
            <w:vAlign w:val="top"/>
          </w:tcPr>
          <w:p w14:paraId="1C1C8D77">
            <w:pPr>
              <w:rPr>
                <w:rFonts w:hint="eastAsia" w:ascii="华文中宋" w:hAnsi="华文中宋" w:eastAsia="华文中宋" w:cs="华文中宋"/>
                <w:sz w:val="21"/>
                <w:szCs w:val="21"/>
              </w:rPr>
            </w:pPr>
          </w:p>
          <w:p w14:paraId="48A44122">
            <w:pPr>
              <w:rPr>
                <w:rFonts w:hint="eastAsia" w:ascii="华文中宋" w:hAnsi="华文中宋" w:eastAsia="华文中宋" w:cs="华文中宋"/>
                <w:sz w:val="21"/>
                <w:szCs w:val="21"/>
              </w:rPr>
            </w:pPr>
          </w:p>
          <w:p w14:paraId="527E3BE1">
            <w:pPr>
              <w:rPr>
                <w:rFonts w:hint="eastAsia" w:ascii="华文中宋" w:hAnsi="华文中宋" w:eastAsia="华文中宋" w:cs="华文中宋"/>
                <w:sz w:val="21"/>
                <w:szCs w:val="21"/>
              </w:rPr>
            </w:pPr>
          </w:p>
          <w:p w14:paraId="74874467">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6</w:t>
            </w:r>
          </w:p>
        </w:tc>
        <w:tc>
          <w:tcPr>
            <w:tcW w:w="1335" w:type="dxa"/>
            <w:vMerge w:val="restart"/>
            <w:noWrap w:val="0"/>
            <w:vAlign w:val="top"/>
          </w:tcPr>
          <w:p w14:paraId="1A4667FB">
            <w:pPr>
              <w:rPr>
                <w:rFonts w:hint="eastAsia" w:ascii="华文中宋" w:hAnsi="华文中宋" w:eastAsia="华文中宋" w:cs="华文中宋"/>
                <w:sz w:val="21"/>
                <w:szCs w:val="21"/>
              </w:rPr>
            </w:pPr>
          </w:p>
          <w:p w14:paraId="17B5A0C8">
            <w:pPr>
              <w:rPr>
                <w:rFonts w:hint="eastAsia" w:ascii="华文中宋" w:hAnsi="华文中宋" w:eastAsia="华文中宋" w:cs="华文中宋"/>
                <w:sz w:val="21"/>
                <w:szCs w:val="21"/>
              </w:rPr>
            </w:pPr>
          </w:p>
          <w:p w14:paraId="4A0A5BC0">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A020523制冷空调设备</w:t>
            </w:r>
          </w:p>
        </w:tc>
        <w:tc>
          <w:tcPr>
            <w:tcW w:w="2025" w:type="dxa"/>
            <w:vMerge w:val="restart"/>
            <w:tcBorders>
              <w:bottom w:val="nil"/>
            </w:tcBorders>
            <w:noWrap w:val="0"/>
            <w:vAlign w:val="top"/>
          </w:tcPr>
          <w:p w14:paraId="175CEBF2">
            <w:pPr>
              <w:rPr>
                <w:rFonts w:hint="eastAsia" w:ascii="华文中宋" w:hAnsi="华文中宋" w:eastAsia="华文中宋" w:cs="华文中宋"/>
                <w:sz w:val="21"/>
                <w:szCs w:val="21"/>
              </w:rPr>
            </w:pPr>
          </w:p>
          <w:p w14:paraId="689F5C20">
            <w:pPr>
              <w:rPr>
                <w:rFonts w:hint="eastAsia" w:ascii="华文中宋" w:hAnsi="华文中宋" w:eastAsia="华文中宋" w:cs="华文中宋"/>
                <w:sz w:val="21"/>
                <w:szCs w:val="21"/>
              </w:rPr>
            </w:pPr>
          </w:p>
          <w:p w14:paraId="5350DFD1">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★A02052301制冷压缩机</w:t>
            </w:r>
          </w:p>
        </w:tc>
        <w:tc>
          <w:tcPr>
            <w:tcW w:w="2085" w:type="dxa"/>
            <w:noWrap w:val="0"/>
            <w:vAlign w:val="top"/>
          </w:tcPr>
          <w:p w14:paraId="0F3128C0">
            <w:pPr>
              <w:rPr>
                <w:rFonts w:hint="eastAsia" w:ascii="华文中宋" w:hAnsi="华文中宋" w:eastAsia="华文中宋" w:cs="华文中宋"/>
                <w:sz w:val="21"/>
                <w:szCs w:val="21"/>
              </w:rPr>
            </w:pPr>
          </w:p>
          <w:p w14:paraId="2F35E567">
            <w:pPr>
              <w:rPr>
                <w:rFonts w:hint="eastAsia" w:ascii="华文中宋" w:hAnsi="华文中宋" w:eastAsia="华文中宋" w:cs="华文中宋"/>
                <w:sz w:val="21"/>
                <w:szCs w:val="21"/>
              </w:rPr>
            </w:pPr>
          </w:p>
          <w:p w14:paraId="178E9A8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冷水机组</w:t>
            </w:r>
          </w:p>
        </w:tc>
        <w:tc>
          <w:tcPr>
            <w:tcW w:w="3195" w:type="dxa"/>
            <w:noWrap w:val="0"/>
            <w:vAlign w:val="top"/>
          </w:tcPr>
          <w:p w14:paraId="4DB1456C">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《冷水机组能效限定值及能效等级》（GB19577），《低环境温度空气源热泵（冷水）机组能效限定值及能效等级》（GB37480）</w:t>
            </w:r>
          </w:p>
        </w:tc>
      </w:tr>
      <w:tr w14:paraId="045E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4D158C9">
            <w:pPr>
              <w:rPr>
                <w:rFonts w:hint="eastAsia" w:ascii="华文中宋" w:hAnsi="华文中宋" w:eastAsia="华文中宋" w:cs="华文中宋"/>
                <w:sz w:val="21"/>
                <w:szCs w:val="21"/>
              </w:rPr>
            </w:pPr>
          </w:p>
        </w:tc>
        <w:tc>
          <w:tcPr>
            <w:tcW w:w="1335" w:type="dxa"/>
            <w:vMerge w:val="continue"/>
            <w:noWrap w:val="0"/>
            <w:vAlign w:val="top"/>
          </w:tcPr>
          <w:p w14:paraId="6A46E361">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78F49666">
            <w:pPr>
              <w:rPr>
                <w:rFonts w:hint="eastAsia" w:ascii="华文中宋" w:hAnsi="华文中宋" w:eastAsia="华文中宋" w:cs="华文中宋"/>
                <w:sz w:val="21"/>
                <w:szCs w:val="21"/>
              </w:rPr>
            </w:pPr>
          </w:p>
        </w:tc>
        <w:tc>
          <w:tcPr>
            <w:tcW w:w="2085" w:type="dxa"/>
            <w:noWrap w:val="0"/>
            <w:vAlign w:val="top"/>
          </w:tcPr>
          <w:p w14:paraId="24116A7B">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水源热泵机组</w:t>
            </w:r>
          </w:p>
        </w:tc>
        <w:tc>
          <w:tcPr>
            <w:tcW w:w="3195" w:type="dxa"/>
            <w:noWrap w:val="0"/>
            <w:vAlign w:val="top"/>
          </w:tcPr>
          <w:p w14:paraId="40DF159F">
            <w:pPr>
              <w:rPr>
                <w:rFonts w:hint="eastAsia" w:ascii="华文中宋" w:hAnsi="华文中宋" w:eastAsia="华文中宋" w:cs="华文中宋"/>
                <w:sz w:val="21"/>
                <w:szCs w:val="21"/>
              </w:rPr>
            </w:pPr>
            <w:r>
              <w:rPr>
                <w:rFonts w:hint="eastAsia" w:ascii="华文中宋" w:hAnsi="华文中宋" w:eastAsia="华文中宋" w:cs="华文中宋"/>
                <w:sz w:val="21"/>
                <w:szCs w:val="21"/>
              </w:rPr>
              <w:t>《水（地）源热泵机组能效限定值及能效等级》（GB30721）</w:t>
            </w:r>
          </w:p>
        </w:tc>
      </w:tr>
      <w:tr w14:paraId="3824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2FA1360">
            <w:pPr>
              <w:rPr>
                <w:rFonts w:hint="eastAsia" w:ascii="华文中宋" w:hAnsi="华文中宋" w:eastAsia="华文中宋" w:cs="华文中宋"/>
                <w:sz w:val="21"/>
                <w:szCs w:val="21"/>
              </w:rPr>
            </w:pPr>
          </w:p>
        </w:tc>
        <w:tc>
          <w:tcPr>
            <w:tcW w:w="1335" w:type="dxa"/>
            <w:vMerge w:val="continue"/>
            <w:noWrap w:val="0"/>
            <w:vAlign w:val="top"/>
          </w:tcPr>
          <w:p w14:paraId="271DA046">
            <w:pPr>
              <w:rPr>
                <w:rFonts w:hint="eastAsia" w:ascii="华文中宋" w:hAnsi="华文中宋" w:eastAsia="华文中宋" w:cs="华文中宋"/>
                <w:sz w:val="21"/>
                <w:szCs w:val="21"/>
              </w:rPr>
            </w:pPr>
          </w:p>
        </w:tc>
        <w:tc>
          <w:tcPr>
            <w:tcW w:w="2025" w:type="dxa"/>
            <w:noWrap w:val="0"/>
            <w:vAlign w:val="top"/>
          </w:tcPr>
          <w:p w14:paraId="216F69F1">
            <w:pPr>
              <w:rPr>
                <w:rFonts w:hint="eastAsia" w:ascii="华文中宋" w:hAnsi="华文中宋" w:eastAsia="华文中宋" w:cs="华文中宋"/>
                <w:sz w:val="21"/>
                <w:szCs w:val="21"/>
              </w:rPr>
            </w:pPr>
          </w:p>
        </w:tc>
        <w:tc>
          <w:tcPr>
            <w:tcW w:w="2085" w:type="dxa"/>
            <w:noWrap w:val="0"/>
            <w:vAlign w:val="top"/>
          </w:tcPr>
          <w:p w14:paraId="1A49846B">
            <w:pPr>
              <w:pStyle w:val="76"/>
              <w:spacing w:before="159" w:line="294" w:lineRule="auto"/>
              <w:ind w:left="19" w:right="11" w:firstLine="1"/>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溴化锂吸收式冷水机</w:t>
            </w:r>
            <w:r>
              <w:rPr>
                <w:rFonts w:hint="eastAsia" w:ascii="华文中宋" w:hAnsi="华文中宋" w:eastAsia="华文中宋" w:cs="华文中宋"/>
                <w:sz w:val="21"/>
                <w:szCs w:val="21"/>
              </w:rPr>
              <w:t>组</w:t>
            </w:r>
          </w:p>
        </w:tc>
        <w:tc>
          <w:tcPr>
            <w:tcW w:w="3195" w:type="dxa"/>
            <w:noWrap w:val="0"/>
            <w:vAlign w:val="top"/>
          </w:tcPr>
          <w:p w14:paraId="3BE57372">
            <w:pPr>
              <w:pStyle w:val="76"/>
              <w:spacing w:before="160"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《溴化锂吸收式冷水机组能效限</w:t>
            </w:r>
            <w:r>
              <w:rPr>
                <w:rFonts w:hint="eastAsia" w:ascii="华文中宋" w:hAnsi="华文中宋" w:eastAsia="华文中宋" w:cs="华文中宋"/>
                <w:spacing w:val="7"/>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29540）</w:t>
            </w:r>
          </w:p>
        </w:tc>
      </w:tr>
      <w:tr w14:paraId="17F4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23BAE93">
            <w:pPr>
              <w:rPr>
                <w:rFonts w:hint="eastAsia" w:ascii="华文中宋" w:hAnsi="华文中宋" w:eastAsia="华文中宋" w:cs="华文中宋"/>
                <w:sz w:val="21"/>
                <w:szCs w:val="21"/>
              </w:rPr>
            </w:pPr>
          </w:p>
        </w:tc>
        <w:tc>
          <w:tcPr>
            <w:tcW w:w="1335" w:type="dxa"/>
            <w:vMerge w:val="continue"/>
            <w:noWrap w:val="0"/>
            <w:vAlign w:val="top"/>
          </w:tcPr>
          <w:p w14:paraId="19120ABB">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5EECA364">
            <w:pPr>
              <w:spacing w:line="265" w:lineRule="auto"/>
              <w:rPr>
                <w:rFonts w:hint="eastAsia" w:ascii="华文中宋" w:hAnsi="华文中宋" w:eastAsia="华文中宋" w:cs="华文中宋"/>
                <w:sz w:val="21"/>
                <w:szCs w:val="21"/>
              </w:rPr>
            </w:pPr>
          </w:p>
          <w:p w14:paraId="04EB3B3C">
            <w:pPr>
              <w:spacing w:line="265" w:lineRule="auto"/>
              <w:rPr>
                <w:rFonts w:hint="eastAsia" w:ascii="华文中宋" w:hAnsi="华文中宋" w:eastAsia="华文中宋" w:cs="华文中宋"/>
                <w:sz w:val="21"/>
                <w:szCs w:val="21"/>
              </w:rPr>
            </w:pPr>
          </w:p>
          <w:p w14:paraId="72CA1159">
            <w:pPr>
              <w:spacing w:line="265" w:lineRule="auto"/>
              <w:rPr>
                <w:rFonts w:hint="eastAsia" w:ascii="华文中宋" w:hAnsi="华文中宋" w:eastAsia="华文中宋" w:cs="华文中宋"/>
                <w:sz w:val="21"/>
                <w:szCs w:val="21"/>
              </w:rPr>
            </w:pPr>
          </w:p>
          <w:p w14:paraId="14F83DAB">
            <w:pPr>
              <w:pStyle w:val="76"/>
              <w:spacing w:before="62" w:line="294" w:lineRule="auto"/>
              <w:ind w:left="17" w:right="10"/>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★A02052305空调机</w:t>
            </w:r>
            <w:r>
              <w:rPr>
                <w:rFonts w:hint="eastAsia" w:ascii="华文中宋" w:hAnsi="华文中宋" w:eastAsia="华文中宋" w:cs="华文中宋"/>
                <w:sz w:val="21"/>
                <w:szCs w:val="21"/>
              </w:rPr>
              <w:t>组</w:t>
            </w:r>
          </w:p>
        </w:tc>
        <w:tc>
          <w:tcPr>
            <w:tcW w:w="2085" w:type="dxa"/>
            <w:noWrap w:val="0"/>
            <w:vAlign w:val="top"/>
          </w:tcPr>
          <w:p w14:paraId="36CB99D5">
            <w:pPr>
              <w:pStyle w:val="76"/>
              <w:spacing w:before="65" w:line="284" w:lineRule="auto"/>
              <w:ind w:left="15" w:right="11" w:firstLine="10"/>
              <w:rPr>
                <w:rFonts w:hint="eastAsia" w:ascii="华文中宋" w:hAnsi="华文中宋" w:eastAsia="华文中宋" w:cs="华文中宋"/>
                <w:sz w:val="21"/>
                <w:szCs w:val="21"/>
              </w:rPr>
            </w:pPr>
            <w:r>
              <w:rPr>
                <w:rFonts w:hint="eastAsia" w:ascii="华文中宋" w:hAnsi="华文中宋" w:eastAsia="华文中宋" w:cs="华文中宋"/>
                <w:spacing w:val="15"/>
                <w:sz w:val="21"/>
                <w:szCs w:val="21"/>
              </w:rPr>
              <w:t>多联式空调（热泵）</w:t>
            </w:r>
            <w:r>
              <w:rPr>
                <w:rFonts w:hint="eastAsia" w:ascii="华文中宋" w:hAnsi="华文中宋" w:eastAsia="华文中宋" w:cs="华文中宋"/>
                <w:spacing w:val="-8"/>
                <w:sz w:val="21"/>
                <w:szCs w:val="21"/>
              </w:rPr>
              <w:t>机组(制冷</w:t>
            </w:r>
            <w:r>
              <w:rPr>
                <w:rFonts w:hint="eastAsia" w:ascii="华文中宋" w:hAnsi="华文中宋" w:eastAsia="华文中宋" w:cs="华文中宋"/>
                <w:spacing w:val="5"/>
                <w:sz w:val="21"/>
                <w:szCs w:val="21"/>
              </w:rPr>
              <w:t>量&gt;14000W)</w:t>
            </w:r>
          </w:p>
        </w:tc>
        <w:tc>
          <w:tcPr>
            <w:tcW w:w="3195" w:type="dxa"/>
            <w:noWrap w:val="0"/>
            <w:vAlign w:val="top"/>
          </w:tcPr>
          <w:p w14:paraId="50FFC071">
            <w:pPr>
              <w:pStyle w:val="76"/>
              <w:spacing w:before="223"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z w:val="21"/>
                <w:szCs w:val="21"/>
              </w:rPr>
              <w:t>《多联式空调（热泵）机组能效限</w:t>
            </w:r>
            <w:r>
              <w:rPr>
                <w:rFonts w:hint="eastAsia" w:ascii="华文中宋" w:hAnsi="华文中宋" w:eastAsia="华文中宋" w:cs="华文中宋"/>
                <w:spacing w:val="-4"/>
                <w:sz w:val="21"/>
                <w:szCs w:val="21"/>
              </w:rPr>
              <w:t>定值及能源效率等级》（GB21454）</w:t>
            </w:r>
          </w:p>
        </w:tc>
      </w:tr>
      <w:tr w14:paraId="1B19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21B25E6">
            <w:pPr>
              <w:rPr>
                <w:rFonts w:hint="eastAsia" w:ascii="华文中宋" w:hAnsi="华文中宋" w:eastAsia="华文中宋" w:cs="华文中宋"/>
                <w:sz w:val="21"/>
                <w:szCs w:val="21"/>
              </w:rPr>
            </w:pPr>
          </w:p>
        </w:tc>
        <w:tc>
          <w:tcPr>
            <w:tcW w:w="1335" w:type="dxa"/>
            <w:vMerge w:val="continue"/>
            <w:noWrap w:val="0"/>
            <w:vAlign w:val="top"/>
          </w:tcPr>
          <w:p w14:paraId="301F28A9">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09A8B922">
            <w:pPr>
              <w:rPr>
                <w:rFonts w:hint="eastAsia" w:ascii="华文中宋" w:hAnsi="华文中宋" w:eastAsia="华文中宋" w:cs="华文中宋"/>
                <w:sz w:val="21"/>
                <w:szCs w:val="21"/>
              </w:rPr>
            </w:pPr>
          </w:p>
        </w:tc>
        <w:tc>
          <w:tcPr>
            <w:tcW w:w="2085" w:type="dxa"/>
            <w:noWrap w:val="0"/>
            <w:vAlign w:val="top"/>
          </w:tcPr>
          <w:p w14:paraId="4615017D">
            <w:pPr>
              <w:spacing w:line="319" w:lineRule="auto"/>
              <w:rPr>
                <w:rFonts w:hint="eastAsia" w:ascii="华文中宋" w:hAnsi="华文中宋" w:eastAsia="华文中宋" w:cs="华文中宋"/>
                <w:sz w:val="21"/>
                <w:szCs w:val="21"/>
              </w:rPr>
            </w:pPr>
          </w:p>
          <w:p w14:paraId="072FCF99">
            <w:pPr>
              <w:pStyle w:val="76"/>
              <w:spacing w:before="61" w:line="289" w:lineRule="auto"/>
              <w:ind w:left="51" w:right="11" w:hanging="33"/>
              <w:rPr>
                <w:rFonts w:hint="eastAsia" w:ascii="华文中宋" w:hAnsi="华文中宋" w:eastAsia="华文中宋" w:cs="华文中宋"/>
                <w:sz w:val="21"/>
                <w:szCs w:val="21"/>
              </w:rPr>
            </w:pPr>
            <w:r>
              <w:rPr>
                <w:rFonts w:hint="eastAsia" w:ascii="华文中宋" w:hAnsi="华文中宋" w:eastAsia="华文中宋" w:cs="华文中宋"/>
                <w:spacing w:val="44"/>
                <w:sz w:val="21"/>
                <w:szCs w:val="21"/>
              </w:rPr>
              <w:t>单元式空气调节机</w:t>
            </w:r>
            <w:r>
              <w:rPr>
                <w:rFonts w:hint="eastAsia" w:ascii="华文中宋" w:hAnsi="华文中宋" w:eastAsia="华文中宋" w:cs="华文中宋"/>
                <w:spacing w:val="2"/>
                <w:sz w:val="21"/>
                <w:szCs w:val="21"/>
              </w:rPr>
              <w:t>(制冷量&gt;14000W)</w:t>
            </w:r>
          </w:p>
        </w:tc>
        <w:tc>
          <w:tcPr>
            <w:tcW w:w="3195" w:type="dxa"/>
            <w:noWrap w:val="0"/>
            <w:vAlign w:val="top"/>
          </w:tcPr>
          <w:p w14:paraId="15AEDA07">
            <w:pPr>
              <w:pStyle w:val="76"/>
              <w:spacing w:before="72" w:line="290" w:lineRule="auto"/>
              <w:ind w:left="16" w:right="11" w:firstLine="6"/>
              <w:jc w:val="both"/>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6"/>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19576）《风管</w:t>
            </w:r>
            <w:r>
              <w:rPr>
                <w:rFonts w:hint="eastAsia" w:ascii="华文中宋" w:hAnsi="华文中宋" w:eastAsia="华文中宋" w:cs="华文中宋"/>
                <w:spacing w:val="19"/>
                <w:sz w:val="21"/>
                <w:szCs w:val="21"/>
              </w:rPr>
              <w:t>送风式空调机组能效限定值及能</w:t>
            </w:r>
            <w:r>
              <w:rPr>
                <w:rFonts w:hint="eastAsia" w:ascii="华文中宋" w:hAnsi="华文中宋" w:eastAsia="华文中宋" w:cs="华文中宋"/>
                <w:spacing w:val="7"/>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37479）</w:t>
            </w:r>
          </w:p>
        </w:tc>
      </w:tr>
      <w:tr w14:paraId="594A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AF468E1">
            <w:pPr>
              <w:rPr>
                <w:rFonts w:hint="eastAsia" w:ascii="华文中宋" w:hAnsi="华文中宋" w:eastAsia="华文中宋" w:cs="华文中宋"/>
                <w:sz w:val="21"/>
                <w:szCs w:val="21"/>
              </w:rPr>
            </w:pPr>
          </w:p>
        </w:tc>
        <w:tc>
          <w:tcPr>
            <w:tcW w:w="1335" w:type="dxa"/>
            <w:vMerge w:val="continue"/>
            <w:noWrap w:val="0"/>
            <w:vAlign w:val="top"/>
          </w:tcPr>
          <w:p w14:paraId="30270558">
            <w:pPr>
              <w:rPr>
                <w:rFonts w:hint="eastAsia" w:ascii="华文中宋" w:hAnsi="华文中宋" w:eastAsia="华文中宋" w:cs="华文中宋"/>
                <w:sz w:val="21"/>
                <w:szCs w:val="21"/>
              </w:rPr>
            </w:pPr>
          </w:p>
        </w:tc>
        <w:tc>
          <w:tcPr>
            <w:tcW w:w="2025" w:type="dxa"/>
            <w:noWrap w:val="0"/>
            <w:vAlign w:val="top"/>
          </w:tcPr>
          <w:p w14:paraId="678C04AA">
            <w:pPr>
              <w:pStyle w:val="76"/>
              <w:spacing w:before="145" w:line="287" w:lineRule="auto"/>
              <w:ind w:left="17" w:right="10" w:firstLine="1"/>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★A02052309专用制</w:t>
            </w:r>
            <w:r>
              <w:rPr>
                <w:rFonts w:hint="eastAsia" w:ascii="华文中宋" w:hAnsi="华文中宋" w:eastAsia="华文中宋" w:cs="华文中宋"/>
                <w:spacing w:val="8"/>
                <w:sz w:val="21"/>
                <w:szCs w:val="21"/>
              </w:rPr>
              <w:t>冷、空调设备</w:t>
            </w:r>
          </w:p>
        </w:tc>
        <w:tc>
          <w:tcPr>
            <w:tcW w:w="2085" w:type="dxa"/>
            <w:noWrap w:val="0"/>
            <w:vAlign w:val="top"/>
          </w:tcPr>
          <w:p w14:paraId="145A09BE">
            <w:pPr>
              <w:pStyle w:val="76"/>
              <w:spacing w:before="300" w:line="228"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机房空调</w:t>
            </w:r>
          </w:p>
        </w:tc>
        <w:tc>
          <w:tcPr>
            <w:tcW w:w="3195" w:type="dxa"/>
            <w:noWrap w:val="0"/>
            <w:vAlign w:val="top"/>
          </w:tcPr>
          <w:p w14:paraId="19753640">
            <w:pPr>
              <w:pStyle w:val="76"/>
              <w:spacing w:before="146" w:line="286" w:lineRule="auto"/>
              <w:ind w:left="17" w:right="11" w:firstLine="6"/>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5"/>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19576）</w:t>
            </w:r>
          </w:p>
        </w:tc>
      </w:tr>
      <w:tr w14:paraId="12020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34BAF50">
            <w:pPr>
              <w:rPr>
                <w:rFonts w:hint="eastAsia" w:ascii="华文中宋" w:hAnsi="华文中宋" w:eastAsia="华文中宋" w:cs="华文中宋"/>
                <w:sz w:val="21"/>
                <w:szCs w:val="21"/>
              </w:rPr>
            </w:pPr>
          </w:p>
        </w:tc>
        <w:tc>
          <w:tcPr>
            <w:tcW w:w="1335" w:type="dxa"/>
            <w:vMerge w:val="continue"/>
            <w:noWrap w:val="0"/>
            <w:vAlign w:val="top"/>
          </w:tcPr>
          <w:p w14:paraId="104C6DF3">
            <w:pPr>
              <w:rPr>
                <w:rFonts w:hint="eastAsia" w:ascii="华文中宋" w:hAnsi="华文中宋" w:eastAsia="华文中宋" w:cs="华文中宋"/>
                <w:sz w:val="21"/>
                <w:szCs w:val="21"/>
              </w:rPr>
            </w:pPr>
          </w:p>
        </w:tc>
        <w:tc>
          <w:tcPr>
            <w:tcW w:w="2025" w:type="dxa"/>
            <w:noWrap w:val="0"/>
            <w:vAlign w:val="top"/>
          </w:tcPr>
          <w:p w14:paraId="11B6AAE8">
            <w:pPr>
              <w:spacing w:line="265" w:lineRule="auto"/>
              <w:rPr>
                <w:rFonts w:hint="eastAsia" w:ascii="华文中宋" w:hAnsi="华文中宋" w:eastAsia="华文中宋" w:cs="华文中宋"/>
                <w:sz w:val="21"/>
                <w:szCs w:val="21"/>
              </w:rPr>
            </w:pPr>
          </w:p>
          <w:p w14:paraId="6F100470">
            <w:pPr>
              <w:spacing w:line="265" w:lineRule="auto"/>
              <w:rPr>
                <w:rFonts w:hint="eastAsia" w:ascii="华文中宋" w:hAnsi="华文中宋" w:eastAsia="华文中宋" w:cs="华文中宋"/>
                <w:sz w:val="21"/>
                <w:szCs w:val="21"/>
              </w:rPr>
            </w:pPr>
          </w:p>
          <w:p w14:paraId="40E5C133">
            <w:pPr>
              <w:pStyle w:val="76"/>
              <w:spacing w:before="62" w:line="289" w:lineRule="auto"/>
              <w:ind w:left="21" w:right="10" w:hanging="1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A02052399其他制冷</w:t>
            </w:r>
            <w:r>
              <w:rPr>
                <w:rFonts w:hint="eastAsia" w:ascii="华文中宋" w:hAnsi="华文中宋" w:eastAsia="华文中宋" w:cs="华文中宋"/>
                <w:spacing w:val="5"/>
                <w:sz w:val="21"/>
                <w:szCs w:val="21"/>
              </w:rPr>
              <w:t>空调设备</w:t>
            </w:r>
          </w:p>
        </w:tc>
        <w:tc>
          <w:tcPr>
            <w:tcW w:w="2085" w:type="dxa"/>
            <w:noWrap w:val="0"/>
            <w:vAlign w:val="top"/>
          </w:tcPr>
          <w:p w14:paraId="736171FF">
            <w:pPr>
              <w:spacing w:line="343" w:lineRule="auto"/>
              <w:rPr>
                <w:rFonts w:hint="eastAsia" w:ascii="华文中宋" w:hAnsi="华文中宋" w:eastAsia="华文中宋" w:cs="华文中宋"/>
                <w:sz w:val="21"/>
                <w:szCs w:val="21"/>
              </w:rPr>
            </w:pPr>
          </w:p>
          <w:p w14:paraId="451BC60D">
            <w:pPr>
              <w:spacing w:line="343" w:lineRule="auto"/>
              <w:rPr>
                <w:rFonts w:hint="eastAsia" w:ascii="华文中宋" w:hAnsi="华文中宋" w:eastAsia="华文中宋" w:cs="华文中宋"/>
                <w:sz w:val="21"/>
                <w:szCs w:val="21"/>
              </w:rPr>
            </w:pPr>
          </w:p>
          <w:p w14:paraId="1BA79B6C">
            <w:pPr>
              <w:pStyle w:val="76"/>
              <w:spacing w:before="62" w:line="231" w:lineRule="auto"/>
              <w:ind w:left="18"/>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冷却塔</w:t>
            </w:r>
          </w:p>
        </w:tc>
        <w:tc>
          <w:tcPr>
            <w:tcW w:w="3195" w:type="dxa"/>
            <w:noWrap w:val="0"/>
            <w:vAlign w:val="top"/>
          </w:tcPr>
          <w:p w14:paraId="43092EBF">
            <w:pPr>
              <w:pStyle w:val="76"/>
              <w:spacing w:before="284" w:line="296" w:lineRule="auto"/>
              <w:ind w:left="23"/>
              <w:jc w:val="both"/>
              <w:rPr>
                <w:rFonts w:hint="eastAsia" w:ascii="华文中宋" w:hAnsi="华文中宋" w:eastAsia="华文中宋" w:cs="华文中宋"/>
                <w:sz w:val="21"/>
                <w:szCs w:val="21"/>
              </w:rPr>
            </w:pPr>
            <w:r>
              <w:rPr>
                <w:rFonts w:hint="eastAsia" w:ascii="华文中宋" w:hAnsi="华文中宋" w:eastAsia="华文中宋" w:cs="华文中宋"/>
                <w:spacing w:val="2"/>
                <w:sz w:val="21"/>
                <w:szCs w:val="21"/>
              </w:rPr>
              <w:t>《机械通风冷却塔第1部分：中</w:t>
            </w:r>
            <w:r>
              <w:rPr>
                <w:rFonts w:hint="eastAsia" w:ascii="华文中宋" w:hAnsi="华文中宋" w:eastAsia="华文中宋" w:cs="华文中宋"/>
                <w:spacing w:val="-6"/>
                <w:sz w:val="21"/>
                <w:szCs w:val="21"/>
              </w:rPr>
              <w:t>小型开式冷却塔》（GB/T7190.1</w:t>
            </w:r>
            <w:r>
              <w:rPr>
                <w:rFonts w:hint="eastAsia" w:ascii="华文中宋" w:hAnsi="华文中宋" w:eastAsia="华文中宋" w:cs="华文中宋"/>
                <w:spacing w:val="-49"/>
                <w:w w:val="97"/>
                <w:sz w:val="21"/>
                <w:szCs w:val="21"/>
              </w:rPr>
              <w:t>）；</w:t>
            </w:r>
            <w:r>
              <w:rPr>
                <w:rFonts w:hint="eastAsia" w:ascii="华文中宋" w:hAnsi="华文中宋" w:eastAsia="华文中宋" w:cs="华文中宋"/>
                <w:spacing w:val="2"/>
                <w:sz w:val="21"/>
                <w:szCs w:val="21"/>
              </w:rPr>
              <w:t>《机械通风冷却塔第2部分：大</w:t>
            </w:r>
            <w:r>
              <w:rPr>
                <w:rFonts w:hint="eastAsia" w:ascii="华文中宋" w:hAnsi="华文中宋" w:eastAsia="华文中宋" w:cs="华文中宋"/>
                <w:spacing w:val="4"/>
                <w:sz w:val="21"/>
                <w:szCs w:val="21"/>
              </w:rPr>
              <w:t>型开式冷却塔》（</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/T7190.2）</w:t>
            </w:r>
          </w:p>
        </w:tc>
      </w:tr>
      <w:tr w14:paraId="3F0F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BAA71ED">
            <w:pPr>
              <w:spacing w:line="242" w:lineRule="auto"/>
              <w:rPr>
                <w:rFonts w:hint="eastAsia" w:ascii="华文中宋" w:hAnsi="华文中宋" w:eastAsia="华文中宋" w:cs="华文中宋"/>
                <w:sz w:val="21"/>
                <w:szCs w:val="21"/>
              </w:rPr>
            </w:pPr>
          </w:p>
          <w:p w14:paraId="4FDB4A5A">
            <w:pPr>
              <w:pStyle w:val="76"/>
              <w:spacing w:before="62" w:line="188" w:lineRule="auto"/>
              <w:ind w:left="247"/>
              <w:rPr>
                <w:rFonts w:hint="eastAsia" w:ascii="华文中宋" w:hAnsi="华文中宋" w:eastAsia="华文中宋" w:cs="华文中宋"/>
                <w:sz w:val="21"/>
                <w:szCs w:val="21"/>
              </w:rPr>
            </w:pPr>
            <w:r>
              <w:rPr>
                <w:rFonts w:hint="eastAsia" w:ascii="华文中宋" w:hAnsi="华文中宋" w:eastAsia="华文中宋" w:cs="华文中宋"/>
                <w:sz w:val="21"/>
                <w:szCs w:val="21"/>
              </w:rPr>
              <w:t>7</w:t>
            </w:r>
          </w:p>
        </w:tc>
        <w:tc>
          <w:tcPr>
            <w:tcW w:w="1335" w:type="dxa"/>
            <w:noWrap w:val="0"/>
            <w:vAlign w:val="top"/>
          </w:tcPr>
          <w:p w14:paraId="500105CF">
            <w:pPr>
              <w:pStyle w:val="76"/>
              <w:spacing w:before="273" w:line="228"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A020601电机</w:t>
            </w:r>
          </w:p>
        </w:tc>
        <w:tc>
          <w:tcPr>
            <w:tcW w:w="2025" w:type="dxa"/>
            <w:noWrap w:val="0"/>
            <w:vAlign w:val="top"/>
          </w:tcPr>
          <w:p w14:paraId="197B48B2">
            <w:pPr>
              <w:rPr>
                <w:rFonts w:hint="eastAsia" w:ascii="华文中宋" w:hAnsi="华文中宋" w:eastAsia="华文中宋" w:cs="华文中宋"/>
                <w:sz w:val="21"/>
                <w:szCs w:val="21"/>
              </w:rPr>
            </w:pPr>
          </w:p>
        </w:tc>
        <w:tc>
          <w:tcPr>
            <w:tcW w:w="2085" w:type="dxa"/>
            <w:noWrap w:val="0"/>
            <w:vAlign w:val="top"/>
          </w:tcPr>
          <w:p w14:paraId="12BBEF63">
            <w:pPr>
              <w:rPr>
                <w:rFonts w:hint="eastAsia" w:ascii="华文中宋" w:hAnsi="华文中宋" w:eastAsia="华文中宋" w:cs="华文中宋"/>
                <w:sz w:val="21"/>
                <w:szCs w:val="21"/>
              </w:rPr>
            </w:pPr>
          </w:p>
        </w:tc>
        <w:tc>
          <w:tcPr>
            <w:tcW w:w="3195" w:type="dxa"/>
            <w:noWrap w:val="0"/>
            <w:vAlign w:val="top"/>
          </w:tcPr>
          <w:p w14:paraId="5837F1ED">
            <w:pPr>
              <w:pStyle w:val="76"/>
              <w:spacing w:before="117"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《中小型三相异步电动机能效限</w:t>
            </w:r>
            <w:r>
              <w:rPr>
                <w:rFonts w:hint="eastAsia" w:ascii="华文中宋" w:hAnsi="华文中宋" w:eastAsia="华文中宋" w:cs="华文中宋"/>
                <w:spacing w:val="5"/>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18613）</w:t>
            </w:r>
          </w:p>
        </w:tc>
      </w:tr>
      <w:tr w14:paraId="59D1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3E982048">
            <w:pPr>
              <w:pStyle w:val="76"/>
              <w:spacing w:before="283" w:line="189" w:lineRule="auto"/>
              <w:ind w:left="243"/>
              <w:rPr>
                <w:rFonts w:hint="eastAsia" w:ascii="华文中宋" w:hAnsi="华文中宋" w:eastAsia="华文中宋" w:cs="华文中宋"/>
                <w:sz w:val="21"/>
                <w:szCs w:val="21"/>
              </w:rPr>
            </w:pPr>
            <w:r>
              <w:rPr>
                <w:rFonts w:hint="eastAsia" w:ascii="华文中宋" w:hAnsi="华文中宋" w:eastAsia="华文中宋" w:cs="华文中宋"/>
                <w:sz w:val="21"/>
                <w:szCs w:val="21"/>
              </w:rPr>
              <w:t>8</w:t>
            </w:r>
          </w:p>
        </w:tc>
        <w:tc>
          <w:tcPr>
            <w:tcW w:w="1335" w:type="dxa"/>
            <w:noWrap w:val="0"/>
            <w:vAlign w:val="top"/>
          </w:tcPr>
          <w:p w14:paraId="512D844C">
            <w:pPr>
              <w:pStyle w:val="76"/>
              <w:spacing w:before="96" w:line="285"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A020602变压</w:t>
            </w:r>
            <w:r>
              <w:rPr>
                <w:rFonts w:hint="eastAsia" w:ascii="华文中宋" w:hAnsi="华文中宋" w:eastAsia="华文中宋" w:cs="华文中宋"/>
                <w:spacing w:val="1"/>
                <w:sz w:val="21"/>
                <w:szCs w:val="21"/>
              </w:rPr>
              <w:t>器</w:t>
            </w:r>
          </w:p>
        </w:tc>
        <w:tc>
          <w:tcPr>
            <w:tcW w:w="2025" w:type="dxa"/>
            <w:noWrap w:val="0"/>
            <w:vAlign w:val="top"/>
          </w:tcPr>
          <w:p w14:paraId="4F3C7E0F">
            <w:pPr>
              <w:pStyle w:val="76"/>
              <w:spacing w:before="252" w:line="230"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配电变压器</w:t>
            </w:r>
          </w:p>
        </w:tc>
        <w:tc>
          <w:tcPr>
            <w:tcW w:w="2085" w:type="dxa"/>
            <w:noWrap w:val="0"/>
            <w:vAlign w:val="top"/>
          </w:tcPr>
          <w:p w14:paraId="7903ED9C">
            <w:pPr>
              <w:rPr>
                <w:rFonts w:hint="eastAsia" w:ascii="华文中宋" w:hAnsi="华文中宋" w:eastAsia="华文中宋" w:cs="华文中宋"/>
                <w:sz w:val="21"/>
                <w:szCs w:val="21"/>
              </w:rPr>
            </w:pPr>
          </w:p>
        </w:tc>
        <w:tc>
          <w:tcPr>
            <w:tcW w:w="3195" w:type="dxa"/>
            <w:noWrap w:val="0"/>
            <w:vAlign w:val="top"/>
          </w:tcPr>
          <w:p w14:paraId="36B80D28">
            <w:pPr>
              <w:pStyle w:val="76"/>
              <w:spacing w:before="96" w:line="285" w:lineRule="auto"/>
              <w:ind w:left="25" w:right="11"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《三相配电变压器能效限定值及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20052）</w:t>
            </w:r>
          </w:p>
        </w:tc>
      </w:tr>
      <w:tr w14:paraId="7C7F0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51283FF7">
            <w:pPr>
              <w:spacing w:line="316" w:lineRule="auto"/>
              <w:rPr>
                <w:rFonts w:hint="eastAsia" w:ascii="华文中宋" w:hAnsi="华文中宋" w:eastAsia="华文中宋" w:cs="华文中宋"/>
                <w:sz w:val="21"/>
                <w:szCs w:val="21"/>
              </w:rPr>
            </w:pPr>
          </w:p>
          <w:p w14:paraId="1A6A0060">
            <w:pPr>
              <w:pStyle w:val="76"/>
              <w:spacing w:before="61" w:line="189" w:lineRule="auto"/>
              <w:ind w:left="243"/>
              <w:rPr>
                <w:rFonts w:hint="eastAsia" w:ascii="华文中宋" w:hAnsi="华文中宋" w:eastAsia="华文中宋" w:cs="华文中宋"/>
                <w:sz w:val="21"/>
                <w:szCs w:val="21"/>
              </w:rPr>
            </w:pPr>
            <w:r>
              <w:rPr>
                <w:rFonts w:hint="eastAsia" w:ascii="华文中宋" w:hAnsi="华文中宋" w:eastAsia="华文中宋" w:cs="华文中宋"/>
                <w:sz w:val="21"/>
                <w:szCs w:val="21"/>
              </w:rPr>
              <w:t>9</w:t>
            </w:r>
          </w:p>
        </w:tc>
        <w:tc>
          <w:tcPr>
            <w:tcW w:w="1335" w:type="dxa"/>
            <w:noWrap w:val="0"/>
            <w:vAlign w:val="top"/>
          </w:tcPr>
          <w:p w14:paraId="4E215AB6">
            <w:pPr>
              <w:pStyle w:val="76"/>
              <w:spacing w:before="192" w:line="290" w:lineRule="auto"/>
              <w:ind w:left="16" w:right="8" w:firstLine="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★A020609镇流器</w:t>
            </w:r>
          </w:p>
        </w:tc>
        <w:tc>
          <w:tcPr>
            <w:tcW w:w="2025" w:type="dxa"/>
            <w:noWrap w:val="0"/>
            <w:vAlign w:val="top"/>
          </w:tcPr>
          <w:p w14:paraId="632EE893">
            <w:pPr>
              <w:spacing w:line="284" w:lineRule="auto"/>
              <w:rPr>
                <w:rFonts w:hint="eastAsia" w:ascii="华文中宋" w:hAnsi="华文中宋" w:eastAsia="华文中宋" w:cs="华文中宋"/>
                <w:sz w:val="21"/>
                <w:szCs w:val="21"/>
              </w:rPr>
            </w:pPr>
          </w:p>
          <w:p w14:paraId="6D3CBC0A">
            <w:pPr>
              <w:pStyle w:val="76"/>
              <w:spacing w:before="62" w:line="229"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管型荧光灯镇流器</w:t>
            </w:r>
          </w:p>
        </w:tc>
        <w:tc>
          <w:tcPr>
            <w:tcW w:w="2085" w:type="dxa"/>
            <w:noWrap w:val="0"/>
            <w:vAlign w:val="top"/>
          </w:tcPr>
          <w:p w14:paraId="75D1FA39">
            <w:pPr>
              <w:rPr>
                <w:rFonts w:hint="eastAsia" w:ascii="华文中宋" w:hAnsi="华文中宋" w:eastAsia="华文中宋" w:cs="华文中宋"/>
                <w:sz w:val="21"/>
                <w:szCs w:val="21"/>
              </w:rPr>
            </w:pPr>
          </w:p>
        </w:tc>
        <w:tc>
          <w:tcPr>
            <w:tcW w:w="3195" w:type="dxa"/>
            <w:noWrap w:val="0"/>
            <w:vAlign w:val="top"/>
          </w:tcPr>
          <w:p w14:paraId="41294072">
            <w:pPr>
              <w:pStyle w:val="76"/>
              <w:spacing w:before="192" w:line="288" w:lineRule="auto"/>
              <w:ind w:left="17" w:right="11" w:firstLine="6"/>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《管形荧光灯镇流器能效限定值</w:t>
            </w:r>
            <w:r>
              <w:rPr>
                <w:rFonts w:hint="eastAsia" w:ascii="华文中宋" w:hAnsi="华文中宋" w:eastAsia="华文中宋" w:cs="华文中宋"/>
                <w:spacing w:val="5"/>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17896）</w:t>
            </w:r>
          </w:p>
        </w:tc>
      </w:tr>
      <w:tr w14:paraId="1ABDE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noWrap w:val="0"/>
            <w:vAlign w:val="top"/>
          </w:tcPr>
          <w:p w14:paraId="64F75AFC">
            <w:pPr>
              <w:spacing w:line="261" w:lineRule="auto"/>
              <w:rPr>
                <w:rFonts w:hint="eastAsia" w:ascii="华文中宋" w:hAnsi="华文中宋" w:eastAsia="华文中宋" w:cs="华文中宋"/>
                <w:sz w:val="21"/>
                <w:szCs w:val="21"/>
              </w:rPr>
            </w:pPr>
          </w:p>
          <w:p w14:paraId="7657BEA8">
            <w:pPr>
              <w:spacing w:line="261" w:lineRule="auto"/>
              <w:rPr>
                <w:rFonts w:hint="eastAsia" w:ascii="华文中宋" w:hAnsi="华文中宋" w:eastAsia="华文中宋" w:cs="华文中宋"/>
                <w:sz w:val="21"/>
                <w:szCs w:val="21"/>
              </w:rPr>
            </w:pPr>
          </w:p>
          <w:p w14:paraId="3FA2A362">
            <w:pPr>
              <w:spacing w:line="261" w:lineRule="auto"/>
              <w:rPr>
                <w:rFonts w:hint="eastAsia" w:ascii="华文中宋" w:hAnsi="华文中宋" w:eastAsia="华文中宋" w:cs="华文中宋"/>
                <w:sz w:val="21"/>
                <w:szCs w:val="21"/>
              </w:rPr>
            </w:pPr>
          </w:p>
          <w:p w14:paraId="013A2C69">
            <w:pPr>
              <w:spacing w:line="261" w:lineRule="auto"/>
              <w:rPr>
                <w:rFonts w:hint="eastAsia" w:ascii="华文中宋" w:hAnsi="华文中宋" w:eastAsia="华文中宋" w:cs="华文中宋"/>
                <w:sz w:val="21"/>
                <w:szCs w:val="21"/>
              </w:rPr>
            </w:pPr>
          </w:p>
          <w:p w14:paraId="1FCC199D">
            <w:pPr>
              <w:spacing w:line="261" w:lineRule="auto"/>
              <w:rPr>
                <w:rFonts w:hint="eastAsia" w:ascii="华文中宋" w:hAnsi="华文中宋" w:eastAsia="华文中宋" w:cs="华文中宋"/>
                <w:sz w:val="21"/>
                <w:szCs w:val="21"/>
              </w:rPr>
            </w:pPr>
          </w:p>
          <w:p w14:paraId="5F2C7667">
            <w:pPr>
              <w:spacing w:line="261" w:lineRule="auto"/>
              <w:rPr>
                <w:rFonts w:hint="eastAsia" w:ascii="华文中宋" w:hAnsi="华文中宋" w:eastAsia="华文中宋" w:cs="华文中宋"/>
                <w:sz w:val="21"/>
                <w:szCs w:val="21"/>
              </w:rPr>
            </w:pPr>
          </w:p>
          <w:p w14:paraId="10D7DFB6">
            <w:pPr>
              <w:spacing w:line="262" w:lineRule="auto"/>
              <w:rPr>
                <w:rFonts w:hint="eastAsia" w:ascii="华文中宋" w:hAnsi="华文中宋" w:eastAsia="华文中宋" w:cs="华文中宋"/>
                <w:sz w:val="21"/>
                <w:szCs w:val="21"/>
              </w:rPr>
            </w:pPr>
          </w:p>
          <w:p w14:paraId="138FF5D9">
            <w:pPr>
              <w:spacing w:line="262" w:lineRule="auto"/>
              <w:rPr>
                <w:rFonts w:hint="eastAsia" w:ascii="华文中宋" w:hAnsi="华文中宋" w:eastAsia="华文中宋" w:cs="华文中宋"/>
                <w:sz w:val="21"/>
                <w:szCs w:val="21"/>
              </w:rPr>
            </w:pPr>
          </w:p>
          <w:p w14:paraId="61BD2522">
            <w:pPr>
              <w:spacing w:line="262" w:lineRule="auto"/>
              <w:rPr>
                <w:rFonts w:hint="eastAsia" w:ascii="华文中宋" w:hAnsi="华文中宋" w:eastAsia="华文中宋" w:cs="华文中宋"/>
                <w:sz w:val="21"/>
                <w:szCs w:val="21"/>
              </w:rPr>
            </w:pPr>
          </w:p>
          <w:p w14:paraId="71354BC1">
            <w:pPr>
              <w:spacing w:line="262" w:lineRule="auto"/>
              <w:rPr>
                <w:rFonts w:hint="eastAsia" w:ascii="华文中宋" w:hAnsi="华文中宋" w:eastAsia="华文中宋" w:cs="华文中宋"/>
                <w:sz w:val="21"/>
                <w:szCs w:val="21"/>
              </w:rPr>
            </w:pPr>
          </w:p>
          <w:p w14:paraId="4C427067">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10</w:t>
            </w:r>
          </w:p>
        </w:tc>
        <w:tc>
          <w:tcPr>
            <w:tcW w:w="1335" w:type="dxa"/>
            <w:vMerge w:val="restart"/>
            <w:noWrap w:val="0"/>
            <w:vAlign w:val="top"/>
          </w:tcPr>
          <w:p w14:paraId="52269EF9">
            <w:pPr>
              <w:spacing w:line="242" w:lineRule="auto"/>
              <w:rPr>
                <w:rFonts w:hint="eastAsia" w:ascii="华文中宋" w:hAnsi="华文中宋" w:eastAsia="华文中宋" w:cs="华文中宋"/>
                <w:sz w:val="21"/>
                <w:szCs w:val="21"/>
              </w:rPr>
            </w:pPr>
          </w:p>
          <w:p w14:paraId="4BA1DFA9">
            <w:pPr>
              <w:spacing w:line="243" w:lineRule="auto"/>
              <w:rPr>
                <w:rFonts w:hint="eastAsia" w:ascii="华文中宋" w:hAnsi="华文中宋" w:eastAsia="华文中宋" w:cs="华文中宋"/>
                <w:sz w:val="21"/>
                <w:szCs w:val="21"/>
              </w:rPr>
            </w:pPr>
          </w:p>
          <w:p w14:paraId="02D3DC63">
            <w:pPr>
              <w:spacing w:line="243" w:lineRule="auto"/>
              <w:rPr>
                <w:rFonts w:hint="eastAsia" w:ascii="华文中宋" w:hAnsi="华文中宋" w:eastAsia="华文中宋" w:cs="华文中宋"/>
                <w:sz w:val="21"/>
                <w:szCs w:val="21"/>
              </w:rPr>
            </w:pPr>
          </w:p>
          <w:p w14:paraId="6830B459">
            <w:pPr>
              <w:spacing w:line="243" w:lineRule="auto"/>
              <w:rPr>
                <w:rFonts w:hint="eastAsia" w:ascii="华文中宋" w:hAnsi="华文中宋" w:eastAsia="华文中宋" w:cs="华文中宋"/>
                <w:sz w:val="21"/>
                <w:szCs w:val="21"/>
              </w:rPr>
            </w:pPr>
          </w:p>
          <w:p w14:paraId="02A6A981">
            <w:pPr>
              <w:spacing w:line="243" w:lineRule="auto"/>
              <w:rPr>
                <w:rFonts w:hint="eastAsia" w:ascii="华文中宋" w:hAnsi="华文中宋" w:eastAsia="华文中宋" w:cs="华文中宋"/>
                <w:sz w:val="21"/>
                <w:szCs w:val="21"/>
              </w:rPr>
            </w:pPr>
          </w:p>
          <w:p w14:paraId="511074A6">
            <w:pPr>
              <w:spacing w:line="243" w:lineRule="auto"/>
              <w:rPr>
                <w:rFonts w:hint="eastAsia" w:ascii="华文中宋" w:hAnsi="华文中宋" w:eastAsia="华文中宋" w:cs="华文中宋"/>
                <w:sz w:val="21"/>
                <w:szCs w:val="21"/>
              </w:rPr>
            </w:pPr>
          </w:p>
          <w:p w14:paraId="6C8118FF">
            <w:pPr>
              <w:spacing w:line="243" w:lineRule="auto"/>
              <w:rPr>
                <w:rFonts w:hint="eastAsia" w:ascii="华文中宋" w:hAnsi="华文中宋" w:eastAsia="华文中宋" w:cs="华文中宋"/>
                <w:sz w:val="21"/>
                <w:szCs w:val="21"/>
              </w:rPr>
            </w:pPr>
          </w:p>
          <w:p w14:paraId="06089AA7">
            <w:pPr>
              <w:spacing w:line="243" w:lineRule="auto"/>
              <w:rPr>
                <w:rFonts w:hint="eastAsia" w:ascii="华文中宋" w:hAnsi="华文中宋" w:eastAsia="华文中宋" w:cs="华文中宋"/>
                <w:sz w:val="21"/>
                <w:szCs w:val="21"/>
              </w:rPr>
            </w:pPr>
          </w:p>
          <w:p w14:paraId="75953B36">
            <w:pPr>
              <w:spacing w:line="243" w:lineRule="auto"/>
              <w:rPr>
                <w:rFonts w:hint="eastAsia" w:ascii="华文中宋" w:hAnsi="华文中宋" w:eastAsia="华文中宋" w:cs="华文中宋"/>
                <w:sz w:val="21"/>
                <w:szCs w:val="21"/>
              </w:rPr>
            </w:pPr>
          </w:p>
          <w:p w14:paraId="641EC0FD">
            <w:pPr>
              <w:spacing w:line="243" w:lineRule="auto"/>
              <w:rPr>
                <w:rFonts w:hint="eastAsia" w:ascii="华文中宋" w:hAnsi="华文中宋" w:eastAsia="华文中宋" w:cs="华文中宋"/>
                <w:sz w:val="21"/>
                <w:szCs w:val="21"/>
              </w:rPr>
            </w:pPr>
          </w:p>
          <w:p w14:paraId="3AE40289">
            <w:pPr>
              <w:pStyle w:val="76"/>
              <w:spacing w:before="62" w:line="289" w:lineRule="auto"/>
              <w:ind w:left="16" w:right="8" w:hanging="7"/>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A020618生活</w:t>
            </w:r>
            <w:r>
              <w:rPr>
                <w:rFonts w:hint="eastAsia" w:ascii="华文中宋" w:hAnsi="华文中宋" w:eastAsia="华文中宋" w:cs="华文中宋"/>
                <w:spacing w:val="6"/>
                <w:sz w:val="21"/>
                <w:szCs w:val="21"/>
              </w:rPr>
              <w:t>用电器</w:t>
            </w:r>
          </w:p>
        </w:tc>
        <w:tc>
          <w:tcPr>
            <w:tcW w:w="2025" w:type="dxa"/>
            <w:noWrap w:val="0"/>
            <w:vAlign w:val="top"/>
          </w:tcPr>
          <w:p w14:paraId="79A4C10A">
            <w:pPr>
              <w:pStyle w:val="76"/>
              <w:spacing w:before="276" w:line="230"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A0206180101电冰箱</w:t>
            </w:r>
          </w:p>
        </w:tc>
        <w:tc>
          <w:tcPr>
            <w:tcW w:w="2085" w:type="dxa"/>
            <w:noWrap w:val="0"/>
            <w:vAlign w:val="top"/>
          </w:tcPr>
          <w:p w14:paraId="56F353D6">
            <w:pPr>
              <w:rPr>
                <w:rFonts w:hint="eastAsia" w:ascii="华文中宋" w:hAnsi="华文中宋" w:eastAsia="华文中宋" w:cs="华文中宋"/>
                <w:sz w:val="21"/>
                <w:szCs w:val="21"/>
              </w:rPr>
            </w:pPr>
          </w:p>
        </w:tc>
        <w:tc>
          <w:tcPr>
            <w:tcW w:w="3195" w:type="dxa"/>
            <w:noWrap w:val="0"/>
            <w:vAlign w:val="top"/>
          </w:tcPr>
          <w:p w14:paraId="7F08520B">
            <w:pPr>
              <w:pStyle w:val="76"/>
              <w:spacing w:before="12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《家用电冰箱耗电量限定值及能</w:t>
            </w:r>
            <w:r>
              <w:rPr>
                <w:rFonts w:hint="eastAsia" w:ascii="华文中宋" w:hAnsi="华文中宋" w:eastAsia="华文中宋" w:cs="华文中宋"/>
                <w:spacing w:val="4"/>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12021.2）</w:t>
            </w:r>
          </w:p>
        </w:tc>
      </w:tr>
      <w:tr w14:paraId="46241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64F1A84B">
            <w:pPr>
              <w:rPr>
                <w:rFonts w:hint="eastAsia" w:ascii="华文中宋" w:hAnsi="华文中宋" w:eastAsia="华文中宋" w:cs="华文中宋"/>
                <w:sz w:val="21"/>
                <w:szCs w:val="21"/>
              </w:rPr>
            </w:pPr>
          </w:p>
        </w:tc>
        <w:tc>
          <w:tcPr>
            <w:tcW w:w="1335" w:type="dxa"/>
            <w:vMerge w:val="continue"/>
            <w:noWrap w:val="0"/>
            <w:vAlign w:val="top"/>
          </w:tcPr>
          <w:p w14:paraId="775134C0">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5C0D56FE">
            <w:pPr>
              <w:spacing w:line="247" w:lineRule="auto"/>
              <w:rPr>
                <w:rFonts w:hint="eastAsia" w:ascii="华文中宋" w:hAnsi="华文中宋" w:eastAsia="华文中宋" w:cs="华文中宋"/>
                <w:sz w:val="21"/>
                <w:szCs w:val="21"/>
              </w:rPr>
            </w:pPr>
          </w:p>
          <w:p w14:paraId="29D7351A">
            <w:pPr>
              <w:spacing w:line="247" w:lineRule="auto"/>
              <w:rPr>
                <w:rFonts w:hint="eastAsia" w:ascii="华文中宋" w:hAnsi="华文中宋" w:eastAsia="华文中宋" w:cs="华文中宋"/>
                <w:sz w:val="21"/>
                <w:szCs w:val="21"/>
              </w:rPr>
            </w:pPr>
          </w:p>
          <w:p w14:paraId="1111FA34">
            <w:pPr>
              <w:spacing w:line="248" w:lineRule="auto"/>
              <w:rPr>
                <w:rFonts w:hint="eastAsia" w:ascii="华文中宋" w:hAnsi="华文中宋" w:eastAsia="华文中宋" w:cs="华文中宋"/>
                <w:sz w:val="21"/>
                <w:szCs w:val="21"/>
              </w:rPr>
            </w:pPr>
          </w:p>
          <w:p w14:paraId="03A9F198">
            <w:pPr>
              <w:spacing w:line="248" w:lineRule="auto"/>
              <w:rPr>
                <w:rFonts w:hint="eastAsia" w:ascii="华文中宋" w:hAnsi="华文中宋" w:eastAsia="华文中宋" w:cs="华文中宋"/>
                <w:sz w:val="21"/>
                <w:szCs w:val="21"/>
              </w:rPr>
            </w:pPr>
          </w:p>
          <w:p w14:paraId="487BF921">
            <w:pPr>
              <w:spacing w:line="248" w:lineRule="auto"/>
              <w:rPr>
                <w:rFonts w:hint="eastAsia" w:ascii="华文中宋" w:hAnsi="华文中宋" w:eastAsia="华文中宋" w:cs="华文中宋"/>
                <w:sz w:val="21"/>
                <w:szCs w:val="21"/>
              </w:rPr>
            </w:pPr>
          </w:p>
          <w:p w14:paraId="28642E30">
            <w:pPr>
              <w:spacing w:line="248" w:lineRule="auto"/>
              <w:rPr>
                <w:rFonts w:hint="eastAsia" w:ascii="华文中宋" w:hAnsi="华文中宋" w:eastAsia="华文中宋" w:cs="华文中宋"/>
                <w:sz w:val="21"/>
                <w:szCs w:val="21"/>
              </w:rPr>
            </w:pPr>
          </w:p>
          <w:p w14:paraId="2E7298D8">
            <w:pPr>
              <w:spacing w:line="248" w:lineRule="auto"/>
              <w:rPr>
                <w:rFonts w:hint="eastAsia" w:ascii="华文中宋" w:hAnsi="华文中宋" w:eastAsia="华文中宋" w:cs="华文中宋"/>
                <w:sz w:val="21"/>
                <w:szCs w:val="21"/>
              </w:rPr>
            </w:pPr>
          </w:p>
          <w:p w14:paraId="3C144905">
            <w:pPr>
              <w:pStyle w:val="76"/>
              <w:spacing w:before="62" w:line="288" w:lineRule="auto"/>
              <w:ind w:left="14" w:right="10" w:firstLine="3"/>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★A0206180203空调</w:t>
            </w:r>
            <w:r>
              <w:rPr>
                <w:rFonts w:hint="eastAsia" w:ascii="华文中宋" w:hAnsi="华文中宋" w:eastAsia="华文中宋" w:cs="华文中宋"/>
                <w:spacing w:val="2"/>
                <w:sz w:val="21"/>
                <w:szCs w:val="21"/>
              </w:rPr>
              <w:t>机</w:t>
            </w:r>
          </w:p>
        </w:tc>
        <w:tc>
          <w:tcPr>
            <w:tcW w:w="2085" w:type="dxa"/>
            <w:noWrap w:val="0"/>
            <w:vAlign w:val="top"/>
          </w:tcPr>
          <w:p w14:paraId="2D537B24">
            <w:pPr>
              <w:spacing w:line="261" w:lineRule="auto"/>
              <w:rPr>
                <w:rFonts w:hint="eastAsia" w:ascii="华文中宋" w:hAnsi="华文中宋" w:eastAsia="华文中宋" w:cs="华文中宋"/>
                <w:sz w:val="21"/>
                <w:szCs w:val="21"/>
              </w:rPr>
            </w:pPr>
          </w:p>
          <w:p w14:paraId="60A34FFA">
            <w:pPr>
              <w:spacing w:line="261" w:lineRule="auto"/>
              <w:rPr>
                <w:rFonts w:hint="eastAsia" w:ascii="华文中宋" w:hAnsi="华文中宋" w:eastAsia="华文中宋" w:cs="华文中宋"/>
                <w:sz w:val="21"/>
                <w:szCs w:val="21"/>
              </w:rPr>
            </w:pPr>
          </w:p>
          <w:p w14:paraId="77720CDC">
            <w:pPr>
              <w:spacing w:line="261" w:lineRule="auto"/>
              <w:rPr>
                <w:rFonts w:hint="eastAsia" w:ascii="华文中宋" w:hAnsi="华文中宋" w:eastAsia="华文中宋" w:cs="华文中宋"/>
                <w:sz w:val="21"/>
                <w:szCs w:val="21"/>
              </w:rPr>
            </w:pPr>
          </w:p>
          <w:p w14:paraId="1D647866">
            <w:pPr>
              <w:pStyle w:val="76"/>
              <w:spacing w:before="62" w:line="230" w:lineRule="auto"/>
              <w:ind w:left="17"/>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房间空气调节器</w:t>
            </w:r>
          </w:p>
        </w:tc>
        <w:tc>
          <w:tcPr>
            <w:tcW w:w="3195" w:type="dxa"/>
            <w:noWrap w:val="0"/>
            <w:vAlign w:val="top"/>
          </w:tcPr>
          <w:p w14:paraId="3D5EAC99">
            <w:pPr>
              <w:pStyle w:val="76"/>
              <w:spacing w:before="68" w:line="293" w:lineRule="auto"/>
              <w:ind w:left="17" w:firstLine="5"/>
              <w:jc w:val="both"/>
              <w:rPr>
                <w:rFonts w:hint="eastAsia" w:ascii="华文中宋" w:hAnsi="华文中宋" w:eastAsia="华文中宋" w:cs="华文中宋"/>
                <w:sz w:val="21"/>
                <w:szCs w:val="21"/>
              </w:rPr>
            </w:pPr>
            <w:r>
              <w:rPr>
                <w:rFonts w:hint="eastAsia" w:ascii="华文中宋" w:hAnsi="华文中宋" w:eastAsia="华文中宋" w:cs="华文中宋"/>
                <w:spacing w:val="14"/>
                <w:sz w:val="21"/>
                <w:szCs w:val="21"/>
              </w:rPr>
              <w:t>《转速可控型房间空气调节器能</w:t>
            </w:r>
            <w:r>
              <w:rPr>
                <w:rFonts w:hint="eastAsia" w:ascii="华文中宋" w:hAnsi="华文中宋" w:eastAsia="华文中宋" w:cs="华文中宋"/>
                <w:spacing w:val="-9"/>
                <w:sz w:val="21"/>
                <w:szCs w:val="21"/>
              </w:rPr>
              <w:t>效限定值及能效等级》（GB</w:t>
            </w:r>
            <w:r>
              <w:rPr>
                <w:rFonts w:hint="eastAsia" w:ascii="华文中宋" w:hAnsi="华文中宋" w:eastAsia="华文中宋" w:cs="华文中宋"/>
                <w:sz w:val="21"/>
                <w:szCs w:val="21"/>
              </w:rPr>
              <w:t>21455-2013</w:t>
            </w:r>
            <w:r>
              <w:rPr>
                <w:rFonts w:hint="eastAsia" w:ascii="华文中宋" w:hAnsi="华文中宋" w:eastAsia="华文中宋" w:cs="华文中宋"/>
                <w:spacing w:val="12"/>
                <w:sz w:val="21"/>
                <w:szCs w:val="21"/>
              </w:rPr>
              <w:t>），</w:t>
            </w:r>
            <w:r>
              <w:rPr>
                <w:rFonts w:hint="eastAsia" w:ascii="华文中宋" w:hAnsi="华文中宋" w:eastAsia="华文中宋" w:cs="华文中宋"/>
                <w:sz w:val="21"/>
                <w:szCs w:val="21"/>
              </w:rPr>
              <w:t>待2019年修订发布后，按《房间空气调节器能效限</w:t>
            </w:r>
            <w:r>
              <w:rPr>
                <w:rFonts w:hint="eastAsia" w:ascii="华文中宋" w:hAnsi="华文中宋" w:eastAsia="华文中宋" w:cs="华文中宋"/>
                <w:spacing w:val="-5"/>
                <w:sz w:val="21"/>
                <w:szCs w:val="21"/>
              </w:rPr>
              <w:t>定值及能效等级》（GB21455-2019）</w:t>
            </w:r>
            <w:r>
              <w:rPr>
                <w:rFonts w:hint="eastAsia" w:ascii="华文中宋" w:hAnsi="华文中宋" w:eastAsia="华文中宋" w:cs="华文中宋"/>
                <w:sz w:val="21"/>
                <w:szCs w:val="21"/>
              </w:rPr>
              <w:t>实施。</w:t>
            </w:r>
          </w:p>
        </w:tc>
      </w:tr>
      <w:tr w14:paraId="652C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4E07903">
            <w:pPr>
              <w:rPr>
                <w:rFonts w:hint="eastAsia" w:ascii="华文中宋" w:hAnsi="华文中宋" w:eastAsia="华文中宋" w:cs="华文中宋"/>
                <w:sz w:val="21"/>
                <w:szCs w:val="21"/>
              </w:rPr>
            </w:pPr>
          </w:p>
        </w:tc>
        <w:tc>
          <w:tcPr>
            <w:tcW w:w="1335" w:type="dxa"/>
            <w:vMerge w:val="continue"/>
            <w:noWrap w:val="0"/>
            <w:vAlign w:val="top"/>
          </w:tcPr>
          <w:p w14:paraId="7EADA0F9">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17E83EB0">
            <w:pPr>
              <w:rPr>
                <w:rFonts w:hint="eastAsia" w:ascii="华文中宋" w:hAnsi="华文中宋" w:eastAsia="华文中宋" w:cs="华文中宋"/>
                <w:sz w:val="21"/>
                <w:szCs w:val="21"/>
              </w:rPr>
            </w:pPr>
          </w:p>
        </w:tc>
        <w:tc>
          <w:tcPr>
            <w:tcW w:w="2085" w:type="dxa"/>
            <w:noWrap w:val="0"/>
            <w:vAlign w:val="top"/>
          </w:tcPr>
          <w:p w14:paraId="3D0BAAFB">
            <w:pPr>
              <w:pStyle w:val="76"/>
              <w:spacing w:before="71" w:line="282" w:lineRule="auto"/>
              <w:ind w:left="15" w:right="11" w:firstLine="10"/>
              <w:rPr>
                <w:rFonts w:hint="eastAsia" w:ascii="华文中宋" w:hAnsi="华文中宋" w:eastAsia="华文中宋" w:cs="华文中宋"/>
                <w:sz w:val="21"/>
                <w:szCs w:val="21"/>
              </w:rPr>
            </w:pPr>
            <w:r>
              <w:rPr>
                <w:rFonts w:hint="eastAsia" w:ascii="华文中宋" w:hAnsi="华文中宋" w:eastAsia="华文中宋" w:cs="华文中宋"/>
                <w:spacing w:val="15"/>
                <w:sz w:val="21"/>
                <w:szCs w:val="21"/>
              </w:rPr>
              <w:t>多联式空调（热泵）</w:t>
            </w:r>
            <w:r>
              <w:rPr>
                <w:rFonts w:hint="eastAsia" w:ascii="华文中宋" w:hAnsi="华文中宋" w:eastAsia="华文中宋" w:cs="华文中宋"/>
                <w:spacing w:val="-4"/>
                <w:sz w:val="21"/>
                <w:szCs w:val="21"/>
              </w:rPr>
              <w:t>机组（制冷量≤</w:t>
            </w:r>
            <w:r>
              <w:rPr>
                <w:rFonts w:hint="eastAsia" w:ascii="华文中宋" w:hAnsi="华文中宋" w:eastAsia="华文中宋" w:cs="华文中宋"/>
                <w:spacing w:val="3"/>
                <w:sz w:val="21"/>
                <w:szCs w:val="21"/>
              </w:rPr>
              <w:t>14000W）</w:t>
            </w:r>
          </w:p>
        </w:tc>
        <w:tc>
          <w:tcPr>
            <w:tcW w:w="3195" w:type="dxa"/>
            <w:noWrap w:val="0"/>
            <w:vAlign w:val="top"/>
          </w:tcPr>
          <w:p w14:paraId="4B6942D3">
            <w:pPr>
              <w:pStyle w:val="76"/>
              <w:spacing w:before="227"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z w:val="21"/>
                <w:szCs w:val="21"/>
              </w:rPr>
              <w:t>《多联式空调（热泵）机组能效限</w:t>
            </w:r>
            <w:r>
              <w:rPr>
                <w:rFonts w:hint="eastAsia" w:ascii="华文中宋" w:hAnsi="华文中宋" w:eastAsia="华文中宋" w:cs="华文中宋"/>
                <w:spacing w:val="-4"/>
                <w:sz w:val="21"/>
                <w:szCs w:val="21"/>
              </w:rPr>
              <w:t>定值及能源效率等级》（GB21454）</w:t>
            </w:r>
          </w:p>
        </w:tc>
      </w:tr>
      <w:tr w14:paraId="4932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417FF905">
            <w:pPr>
              <w:rPr>
                <w:rFonts w:hint="eastAsia" w:ascii="华文中宋" w:hAnsi="华文中宋" w:eastAsia="华文中宋" w:cs="华文中宋"/>
                <w:sz w:val="21"/>
                <w:szCs w:val="21"/>
              </w:rPr>
            </w:pPr>
          </w:p>
        </w:tc>
        <w:tc>
          <w:tcPr>
            <w:tcW w:w="1335" w:type="dxa"/>
            <w:vMerge w:val="continue"/>
            <w:noWrap w:val="0"/>
            <w:vAlign w:val="top"/>
          </w:tcPr>
          <w:p w14:paraId="77E7A69F">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5D40A227">
            <w:pPr>
              <w:rPr>
                <w:rFonts w:hint="eastAsia" w:ascii="华文中宋" w:hAnsi="华文中宋" w:eastAsia="华文中宋" w:cs="华文中宋"/>
                <w:sz w:val="21"/>
                <w:szCs w:val="21"/>
              </w:rPr>
            </w:pPr>
          </w:p>
        </w:tc>
        <w:tc>
          <w:tcPr>
            <w:tcW w:w="2085" w:type="dxa"/>
            <w:noWrap w:val="0"/>
            <w:vAlign w:val="top"/>
          </w:tcPr>
          <w:p w14:paraId="0F29AA87">
            <w:pPr>
              <w:spacing w:line="318" w:lineRule="auto"/>
              <w:rPr>
                <w:rFonts w:hint="eastAsia" w:ascii="华文中宋" w:hAnsi="华文中宋" w:eastAsia="华文中宋" w:cs="华文中宋"/>
                <w:sz w:val="21"/>
                <w:szCs w:val="21"/>
              </w:rPr>
            </w:pPr>
          </w:p>
          <w:p w14:paraId="19DC98FD">
            <w:pPr>
              <w:pStyle w:val="76"/>
              <w:spacing w:before="62" w:line="289" w:lineRule="auto"/>
              <w:ind w:left="51" w:right="11" w:hanging="33"/>
              <w:rPr>
                <w:rFonts w:hint="eastAsia" w:ascii="华文中宋" w:hAnsi="华文中宋" w:eastAsia="华文中宋" w:cs="华文中宋"/>
                <w:sz w:val="21"/>
                <w:szCs w:val="21"/>
              </w:rPr>
            </w:pPr>
            <w:r>
              <w:rPr>
                <w:rFonts w:hint="eastAsia" w:ascii="华文中宋" w:hAnsi="华文中宋" w:eastAsia="华文中宋" w:cs="华文中宋"/>
                <w:spacing w:val="44"/>
                <w:sz w:val="21"/>
                <w:szCs w:val="21"/>
              </w:rPr>
              <w:t>单元式空气调节机</w:t>
            </w:r>
            <w:r>
              <w:rPr>
                <w:rFonts w:hint="eastAsia" w:ascii="华文中宋" w:hAnsi="华文中宋" w:eastAsia="华文中宋" w:cs="华文中宋"/>
                <w:spacing w:val="3"/>
                <w:sz w:val="21"/>
                <w:szCs w:val="21"/>
              </w:rPr>
              <w:t>(制冷量≤14000W)</w:t>
            </w:r>
          </w:p>
        </w:tc>
        <w:tc>
          <w:tcPr>
            <w:tcW w:w="3195" w:type="dxa"/>
            <w:noWrap w:val="0"/>
            <w:vAlign w:val="top"/>
          </w:tcPr>
          <w:p w14:paraId="4EE331C0">
            <w:pPr>
              <w:pStyle w:val="76"/>
              <w:spacing w:before="72" w:line="287" w:lineRule="auto"/>
              <w:ind w:left="17" w:right="11" w:firstLine="6"/>
              <w:jc w:val="both"/>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《单元式空气调节机能效限定值</w:t>
            </w:r>
            <w:r>
              <w:rPr>
                <w:rFonts w:hint="eastAsia" w:ascii="华文中宋" w:hAnsi="华文中宋" w:eastAsia="华文中宋" w:cs="华文中宋"/>
                <w:spacing w:val="-5"/>
                <w:sz w:val="21"/>
                <w:szCs w:val="21"/>
              </w:rPr>
              <w:t>及能源效率等级》（GB19576）《风</w:t>
            </w:r>
            <w:r>
              <w:rPr>
                <w:rFonts w:hint="eastAsia" w:ascii="华文中宋" w:hAnsi="华文中宋" w:eastAsia="华文中宋" w:cs="华文中宋"/>
                <w:spacing w:val="19"/>
                <w:sz w:val="21"/>
                <w:szCs w:val="21"/>
              </w:rPr>
              <w:t>管送风式空调机组能效限定值及</w:t>
            </w:r>
            <w:r>
              <w:rPr>
                <w:rFonts w:hint="eastAsia" w:ascii="华文中宋" w:hAnsi="华文中宋" w:eastAsia="华文中宋" w:cs="华文中宋"/>
                <w:spacing w:val="7"/>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37479）</w:t>
            </w:r>
          </w:p>
        </w:tc>
      </w:tr>
      <w:tr w14:paraId="038B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DE99382">
            <w:pPr>
              <w:rPr>
                <w:rFonts w:hint="eastAsia" w:ascii="华文中宋" w:hAnsi="华文中宋" w:eastAsia="华文中宋" w:cs="华文中宋"/>
                <w:sz w:val="21"/>
                <w:szCs w:val="21"/>
              </w:rPr>
            </w:pPr>
          </w:p>
        </w:tc>
        <w:tc>
          <w:tcPr>
            <w:tcW w:w="1335" w:type="dxa"/>
            <w:vMerge w:val="continue"/>
            <w:noWrap w:val="0"/>
            <w:vAlign w:val="top"/>
          </w:tcPr>
          <w:p w14:paraId="73F0AD6A">
            <w:pPr>
              <w:rPr>
                <w:rFonts w:hint="eastAsia" w:ascii="华文中宋" w:hAnsi="华文中宋" w:eastAsia="华文中宋" w:cs="华文中宋"/>
                <w:sz w:val="21"/>
                <w:szCs w:val="21"/>
              </w:rPr>
            </w:pPr>
          </w:p>
        </w:tc>
        <w:tc>
          <w:tcPr>
            <w:tcW w:w="2025" w:type="dxa"/>
            <w:noWrap w:val="0"/>
            <w:vAlign w:val="top"/>
          </w:tcPr>
          <w:p w14:paraId="47C3E9ED">
            <w:pPr>
              <w:pStyle w:val="76"/>
              <w:spacing w:before="230" w:line="228"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A0206180301洗衣机</w:t>
            </w:r>
          </w:p>
        </w:tc>
        <w:tc>
          <w:tcPr>
            <w:tcW w:w="2085" w:type="dxa"/>
            <w:noWrap w:val="0"/>
            <w:vAlign w:val="top"/>
          </w:tcPr>
          <w:p w14:paraId="4EAA35EB">
            <w:pPr>
              <w:rPr>
                <w:rFonts w:hint="eastAsia" w:ascii="华文中宋" w:hAnsi="华文中宋" w:eastAsia="华文中宋" w:cs="华文中宋"/>
                <w:sz w:val="21"/>
                <w:szCs w:val="21"/>
              </w:rPr>
            </w:pPr>
          </w:p>
        </w:tc>
        <w:tc>
          <w:tcPr>
            <w:tcW w:w="3195" w:type="dxa"/>
            <w:noWrap w:val="0"/>
            <w:vAlign w:val="top"/>
          </w:tcPr>
          <w:p w14:paraId="4F245AFC">
            <w:pPr>
              <w:pStyle w:val="76"/>
              <w:spacing w:before="74" w:line="276"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《电动洗衣机能效水效限定值及</w:t>
            </w:r>
            <w:r>
              <w:rPr>
                <w:rFonts w:hint="eastAsia" w:ascii="华文中宋" w:hAnsi="华文中宋" w:eastAsia="华文中宋" w:cs="华文中宋"/>
                <w:spacing w:val="4"/>
                <w:sz w:val="21"/>
                <w:szCs w:val="21"/>
              </w:rPr>
              <w:t>等级》（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12021.4）</w:t>
            </w:r>
          </w:p>
        </w:tc>
      </w:tr>
      <w:tr w14:paraId="4CC9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3B630DC7">
            <w:pPr>
              <w:rPr>
                <w:rFonts w:hint="eastAsia" w:ascii="华文中宋" w:hAnsi="华文中宋" w:eastAsia="华文中宋" w:cs="华文中宋"/>
                <w:sz w:val="21"/>
                <w:szCs w:val="21"/>
              </w:rPr>
            </w:pPr>
          </w:p>
        </w:tc>
        <w:tc>
          <w:tcPr>
            <w:tcW w:w="1335" w:type="dxa"/>
            <w:vMerge w:val="continue"/>
            <w:noWrap w:val="0"/>
            <w:vAlign w:val="top"/>
          </w:tcPr>
          <w:p w14:paraId="391B0534">
            <w:pPr>
              <w:rPr>
                <w:rFonts w:hint="eastAsia" w:ascii="华文中宋" w:hAnsi="华文中宋" w:eastAsia="华文中宋" w:cs="华文中宋"/>
                <w:sz w:val="21"/>
                <w:szCs w:val="21"/>
              </w:rPr>
            </w:pPr>
          </w:p>
        </w:tc>
        <w:tc>
          <w:tcPr>
            <w:tcW w:w="2025" w:type="dxa"/>
            <w:vMerge w:val="restart"/>
            <w:tcBorders>
              <w:bottom w:val="nil"/>
            </w:tcBorders>
            <w:noWrap w:val="0"/>
            <w:vAlign w:val="top"/>
          </w:tcPr>
          <w:p w14:paraId="09DEFE3E">
            <w:pPr>
              <w:spacing w:line="244" w:lineRule="auto"/>
              <w:rPr>
                <w:rFonts w:hint="eastAsia" w:ascii="华文中宋" w:hAnsi="华文中宋" w:eastAsia="华文中宋" w:cs="华文中宋"/>
                <w:sz w:val="21"/>
                <w:szCs w:val="21"/>
              </w:rPr>
            </w:pPr>
          </w:p>
          <w:p w14:paraId="4A1E1A70">
            <w:pPr>
              <w:spacing w:line="244" w:lineRule="auto"/>
              <w:rPr>
                <w:rFonts w:hint="eastAsia" w:ascii="华文中宋" w:hAnsi="华文中宋" w:eastAsia="华文中宋" w:cs="华文中宋"/>
                <w:sz w:val="21"/>
                <w:szCs w:val="21"/>
              </w:rPr>
            </w:pPr>
          </w:p>
          <w:p w14:paraId="650BD937">
            <w:pPr>
              <w:spacing w:line="244" w:lineRule="auto"/>
              <w:rPr>
                <w:rFonts w:hint="eastAsia" w:ascii="华文中宋" w:hAnsi="华文中宋" w:eastAsia="华文中宋" w:cs="华文中宋"/>
                <w:sz w:val="21"/>
                <w:szCs w:val="21"/>
              </w:rPr>
            </w:pPr>
          </w:p>
          <w:p w14:paraId="209F7F6F">
            <w:pPr>
              <w:spacing w:line="244" w:lineRule="auto"/>
              <w:rPr>
                <w:rFonts w:hint="eastAsia" w:ascii="华文中宋" w:hAnsi="华文中宋" w:eastAsia="华文中宋" w:cs="华文中宋"/>
                <w:sz w:val="21"/>
                <w:szCs w:val="21"/>
              </w:rPr>
            </w:pPr>
          </w:p>
          <w:p w14:paraId="491A4E83">
            <w:pPr>
              <w:spacing w:line="245" w:lineRule="auto"/>
              <w:rPr>
                <w:rFonts w:hint="eastAsia" w:ascii="华文中宋" w:hAnsi="华文中宋" w:eastAsia="华文中宋" w:cs="华文中宋"/>
                <w:sz w:val="21"/>
                <w:szCs w:val="21"/>
              </w:rPr>
            </w:pPr>
          </w:p>
          <w:p w14:paraId="7C54CDAB">
            <w:pPr>
              <w:spacing w:line="245" w:lineRule="auto"/>
              <w:rPr>
                <w:rFonts w:hint="eastAsia" w:ascii="华文中宋" w:hAnsi="华文中宋" w:eastAsia="华文中宋" w:cs="华文中宋"/>
                <w:sz w:val="21"/>
                <w:szCs w:val="21"/>
              </w:rPr>
            </w:pPr>
          </w:p>
          <w:p w14:paraId="78CF3D29">
            <w:pPr>
              <w:pStyle w:val="76"/>
              <w:spacing w:before="62" w:line="229" w:lineRule="auto"/>
              <w:ind w:left="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A02061808热水器</w:t>
            </w:r>
          </w:p>
        </w:tc>
        <w:tc>
          <w:tcPr>
            <w:tcW w:w="2085" w:type="dxa"/>
            <w:noWrap w:val="0"/>
            <w:vAlign w:val="top"/>
          </w:tcPr>
          <w:p w14:paraId="2542659E">
            <w:pPr>
              <w:pStyle w:val="76"/>
              <w:spacing w:before="275" w:line="229"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★电热水器</w:t>
            </w:r>
          </w:p>
        </w:tc>
        <w:tc>
          <w:tcPr>
            <w:tcW w:w="3195" w:type="dxa"/>
            <w:noWrap w:val="0"/>
            <w:vAlign w:val="top"/>
          </w:tcPr>
          <w:p w14:paraId="5B72FE37">
            <w:pPr>
              <w:pStyle w:val="76"/>
              <w:spacing w:before="119" w:line="288" w:lineRule="auto"/>
              <w:ind w:left="25" w:right="11"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《储水式电热水器能效限定值及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21519）</w:t>
            </w:r>
          </w:p>
        </w:tc>
      </w:tr>
      <w:tr w14:paraId="0733F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7C84CE65">
            <w:pPr>
              <w:rPr>
                <w:rFonts w:hint="eastAsia" w:ascii="华文中宋" w:hAnsi="华文中宋" w:eastAsia="华文中宋" w:cs="华文中宋"/>
                <w:sz w:val="21"/>
                <w:szCs w:val="21"/>
              </w:rPr>
            </w:pPr>
          </w:p>
        </w:tc>
        <w:tc>
          <w:tcPr>
            <w:tcW w:w="1335" w:type="dxa"/>
            <w:vMerge w:val="continue"/>
            <w:noWrap w:val="0"/>
            <w:vAlign w:val="top"/>
          </w:tcPr>
          <w:p w14:paraId="42E57EB7">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735F173">
            <w:pPr>
              <w:rPr>
                <w:rFonts w:hint="eastAsia" w:ascii="华文中宋" w:hAnsi="华文中宋" w:eastAsia="华文中宋" w:cs="华文中宋"/>
                <w:sz w:val="21"/>
                <w:szCs w:val="21"/>
              </w:rPr>
            </w:pPr>
          </w:p>
        </w:tc>
        <w:tc>
          <w:tcPr>
            <w:tcW w:w="2085" w:type="dxa"/>
            <w:noWrap w:val="0"/>
            <w:vAlign w:val="top"/>
          </w:tcPr>
          <w:p w14:paraId="7EEEBED0">
            <w:pPr>
              <w:spacing w:line="315" w:lineRule="auto"/>
              <w:rPr>
                <w:rFonts w:hint="eastAsia" w:ascii="华文中宋" w:hAnsi="华文中宋" w:eastAsia="华文中宋" w:cs="华文中宋"/>
                <w:sz w:val="21"/>
                <w:szCs w:val="21"/>
              </w:rPr>
            </w:pPr>
          </w:p>
          <w:p w14:paraId="356A1D69">
            <w:pPr>
              <w:pStyle w:val="76"/>
              <w:spacing w:before="61" w:line="229" w:lineRule="auto"/>
              <w:ind w:left="15"/>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燃气热水器</w:t>
            </w:r>
          </w:p>
        </w:tc>
        <w:tc>
          <w:tcPr>
            <w:tcW w:w="3195" w:type="dxa"/>
            <w:noWrap w:val="0"/>
            <w:vAlign w:val="top"/>
          </w:tcPr>
          <w:p w14:paraId="61A022BD">
            <w:pPr>
              <w:pStyle w:val="76"/>
              <w:spacing w:before="68" w:line="283" w:lineRule="auto"/>
              <w:ind w:left="25" w:hanging="2"/>
              <w:jc w:val="both"/>
              <w:rPr>
                <w:rFonts w:hint="eastAsia" w:ascii="华文中宋" w:hAnsi="华文中宋" w:eastAsia="华文中宋" w:cs="华文中宋"/>
                <w:sz w:val="21"/>
                <w:szCs w:val="21"/>
              </w:rPr>
            </w:pPr>
            <w:r>
              <w:rPr>
                <w:rFonts w:hint="eastAsia" w:ascii="华文中宋" w:hAnsi="华文中宋" w:eastAsia="华文中宋" w:cs="华文中宋"/>
                <w:spacing w:val="17"/>
                <w:sz w:val="21"/>
                <w:szCs w:val="21"/>
              </w:rPr>
              <w:t>《家用燃气快速热水器和燃气采</w:t>
            </w:r>
            <w:r>
              <w:rPr>
                <w:rFonts w:hint="eastAsia" w:ascii="华文中宋" w:hAnsi="华文中宋" w:eastAsia="华文中宋" w:cs="华文中宋"/>
                <w:spacing w:val="5"/>
                <w:sz w:val="21"/>
                <w:szCs w:val="21"/>
              </w:rPr>
              <w:t>暖热水炉能效限定值及能效等级》</w:t>
            </w:r>
            <w:r>
              <w:rPr>
                <w:rFonts w:hint="eastAsia" w:ascii="华文中宋" w:hAnsi="华文中宋" w:eastAsia="华文中宋" w:cs="华文中宋"/>
                <w:spacing w:val="1"/>
                <w:sz w:val="21"/>
                <w:szCs w:val="21"/>
              </w:rPr>
              <w:t>（</w:t>
            </w:r>
            <w:r>
              <w:rPr>
                <w:rFonts w:hint="eastAsia" w:ascii="华文中宋" w:hAnsi="华文中宋" w:eastAsia="华文中宋" w:cs="华文中宋"/>
                <w:sz w:val="21"/>
                <w:szCs w:val="21"/>
              </w:rPr>
              <w:t>GB</w:t>
            </w:r>
            <w:r>
              <w:rPr>
                <w:rFonts w:hint="eastAsia" w:ascii="华文中宋" w:hAnsi="华文中宋" w:eastAsia="华文中宋" w:cs="华文中宋"/>
                <w:spacing w:val="1"/>
                <w:sz w:val="21"/>
                <w:szCs w:val="21"/>
              </w:rPr>
              <w:t>20665）</w:t>
            </w:r>
          </w:p>
        </w:tc>
      </w:tr>
      <w:tr w14:paraId="42EA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6DAE8A9A">
            <w:pPr>
              <w:rPr>
                <w:rFonts w:hint="eastAsia" w:ascii="华文中宋" w:hAnsi="华文中宋" w:eastAsia="华文中宋" w:cs="华文中宋"/>
                <w:sz w:val="21"/>
                <w:szCs w:val="21"/>
              </w:rPr>
            </w:pPr>
          </w:p>
        </w:tc>
        <w:tc>
          <w:tcPr>
            <w:tcW w:w="1335" w:type="dxa"/>
            <w:vMerge w:val="continue"/>
            <w:noWrap w:val="0"/>
            <w:vAlign w:val="top"/>
          </w:tcPr>
          <w:p w14:paraId="3D8F7747">
            <w:pPr>
              <w:rPr>
                <w:rFonts w:hint="eastAsia" w:ascii="华文中宋" w:hAnsi="华文中宋" w:eastAsia="华文中宋" w:cs="华文中宋"/>
                <w:sz w:val="21"/>
                <w:szCs w:val="21"/>
              </w:rPr>
            </w:pPr>
          </w:p>
        </w:tc>
        <w:tc>
          <w:tcPr>
            <w:tcW w:w="2025" w:type="dxa"/>
            <w:vMerge w:val="continue"/>
            <w:tcBorders>
              <w:top w:val="nil"/>
              <w:bottom w:val="nil"/>
            </w:tcBorders>
            <w:noWrap w:val="0"/>
            <w:vAlign w:val="top"/>
          </w:tcPr>
          <w:p w14:paraId="7F6DB477">
            <w:pPr>
              <w:rPr>
                <w:rFonts w:hint="eastAsia" w:ascii="华文中宋" w:hAnsi="华文中宋" w:eastAsia="华文中宋" w:cs="华文中宋"/>
                <w:sz w:val="21"/>
                <w:szCs w:val="21"/>
              </w:rPr>
            </w:pPr>
          </w:p>
        </w:tc>
        <w:tc>
          <w:tcPr>
            <w:tcW w:w="2085" w:type="dxa"/>
            <w:noWrap w:val="0"/>
            <w:vAlign w:val="top"/>
          </w:tcPr>
          <w:p w14:paraId="21990B85">
            <w:pPr>
              <w:spacing w:line="248" w:lineRule="auto"/>
              <w:rPr>
                <w:rFonts w:hint="eastAsia" w:ascii="华文中宋" w:hAnsi="华文中宋" w:eastAsia="华文中宋" w:cs="华文中宋"/>
                <w:sz w:val="21"/>
                <w:szCs w:val="21"/>
              </w:rPr>
            </w:pPr>
          </w:p>
          <w:p w14:paraId="79BB1E6D">
            <w:pPr>
              <w:pStyle w:val="76"/>
              <w:spacing w:before="62" w:line="229" w:lineRule="auto"/>
              <w:ind w:left="20"/>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热泵热水器</w:t>
            </w:r>
          </w:p>
        </w:tc>
        <w:tc>
          <w:tcPr>
            <w:tcW w:w="3195" w:type="dxa"/>
            <w:noWrap w:val="0"/>
            <w:vAlign w:val="top"/>
          </w:tcPr>
          <w:p w14:paraId="29B3C883">
            <w:pPr>
              <w:pStyle w:val="76"/>
              <w:spacing w:before="156" w:line="288" w:lineRule="auto"/>
              <w:ind w:left="25" w:right="13" w:hanging="2"/>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《热泵热水机（器）能效限定值及</w:t>
            </w:r>
            <w:r>
              <w:rPr>
                <w:rFonts w:hint="eastAsia" w:ascii="华文中宋" w:hAnsi="华文中宋" w:eastAsia="华文中宋" w:cs="华文中宋"/>
                <w:spacing w:val="6"/>
                <w:sz w:val="21"/>
                <w:szCs w:val="21"/>
              </w:rPr>
              <w:t>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29541）</w:t>
            </w:r>
          </w:p>
        </w:tc>
      </w:tr>
      <w:tr w14:paraId="6446D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noWrap w:val="0"/>
            <w:vAlign w:val="top"/>
          </w:tcPr>
          <w:p w14:paraId="1F59F1B8">
            <w:pPr>
              <w:rPr>
                <w:rFonts w:hint="eastAsia" w:ascii="华文中宋" w:hAnsi="华文中宋" w:eastAsia="华文中宋" w:cs="华文中宋"/>
                <w:sz w:val="21"/>
                <w:szCs w:val="21"/>
              </w:rPr>
            </w:pPr>
          </w:p>
        </w:tc>
        <w:tc>
          <w:tcPr>
            <w:tcW w:w="1335" w:type="dxa"/>
            <w:vMerge w:val="continue"/>
            <w:noWrap w:val="0"/>
            <w:vAlign w:val="top"/>
          </w:tcPr>
          <w:p w14:paraId="32816753">
            <w:pPr>
              <w:rPr>
                <w:rFonts w:hint="eastAsia" w:ascii="华文中宋" w:hAnsi="华文中宋" w:eastAsia="华文中宋" w:cs="华文中宋"/>
                <w:sz w:val="21"/>
                <w:szCs w:val="21"/>
              </w:rPr>
            </w:pPr>
          </w:p>
        </w:tc>
        <w:tc>
          <w:tcPr>
            <w:tcW w:w="2025" w:type="dxa"/>
            <w:vMerge w:val="continue"/>
            <w:tcBorders>
              <w:top w:val="nil"/>
            </w:tcBorders>
            <w:noWrap w:val="0"/>
            <w:vAlign w:val="top"/>
          </w:tcPr>
          <w:p w14:paraId="2848B70E">
            <w:pPr>
              <w:rPr>
                <w:rFonts w:hint="eastAsia" w:ascii="华文中宋" w:hAnsi="华文中宋" w:eastAsia="华文中宋" w:cs="华文中宋"/>
                <w:sz w:val="21"/>
                <w:szCs w:val="21"/>
              </w:rPr>
            </w:pPr>
          </w:p>
        </w:tc>
        <w:tc>
          <w:tcPr>
            <w:tcW w:w="2085" w:type="dxa"/>
            <w:noWrap w:val="0"/>
            <w:vAlign w:val="top"/>
          </w:tcPr>
          <w:p w14:paraId="672C3DC0">
            <w:pPr>
              <w:pStyle w:val="76"/>
              <w:spacing w:before="271" w:line="229" w:lineRule="auto"/>
              <w:ind w:left="16"/>
              <w:rPr>
                <w:rFonts w:hint="eastAsia" w:ascii="华文中宋" w:hAnsi="华文中宋" w:eastAsia="华文中宋" w:cs="华文中宋"/>
                <w:sz w:val="21"/>
                <w:szCs w:val="21"/>
              </w:rPr>
            </w:pPr>
            <w:r>
              <w:rPr>
                <w:rFonts w:hint="eastAsia" w:ascii="华文中宋" w:hAnsi="华文中宋" w:eastAsia="华文中宋" w:cs="华文中宋"/>
                <w:spacing w:val="8"/>
                <w:sz w:val="21"/>
                <w:szCs w:val="21"/>
              </w:rPr>
              <w:t>太阳能热水系统</w:t>
            </w:r>
          </w:p>
        </w:tc>
        <w:tc>
          <w:tcPr>
            <w:tcW w:w="3195" w:type="dxa"/>
            <w:noWrap w:val="0"/>
            <w:vAlign w:val="top"/>
          </w:tcPr>
          <w:p w14:paraId="72BBFCA4">
            <w:pPr>
              <w:pStyle w:val="76"/>
              <w:spacing w:before="116" w:line="288" w:lineRule="auto"/>
              <w:ind w:left="17" w:right="11" w:firstLine="5"/>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《家用太阳能热水系统能效限定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26969）</w:t>
            </w:r>
          </w:p>
        </w:tc>
      </w:tr>
      <w:tr w14:paraId="06C2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1DB8559F">
            <w:pPr>
              <w:spacing w:line="274" w:lineRule="auto"/>
              <w:rPr>
                <w:rFonts w:hint="eastAsia" w:ascii="华文中宋" w:hAnsi="华文中宋" w:eastAsia="华文中宋" w:cs="华文中宋"/>
                <w:sz w:val="21"/>
                <w:szCs w:val="21"/>
              </w:rPr>
            </w:pPr>
          </w:p>
          <w:p w14:paraId="757CCCE3">
            <w:pPr>
              <w:spacing w:line="274" w:lineRule="auto"/>
              <w:rPr>
                <w:rFonts w:hint="eastAsia" w:ascii="华文中宋" w:hAnsi="华文中宋" w:eastAsia="华文中宋" w:cs="华文中宋"/>
                <w:sz w:val="21"/>
                <w:szCs w:val="21"/>
              </w:rPr>
            </w:pPr>
          </w:p>
          <w:p w14:paraId="7282F404">
            <w:pPr>
              <w:spacing w:line="274" w:lineRule="auto"/>
              <w:rPr>
                <w:rFonts w:hint="eastAsia" w:ascii="华文中宋" w:hAnsi="华文中宋" w:eastAsia="华文中宋" w:cs="华文中宋"/>
                <w:sz w:val="21"/>
                <w:szCs w:val="21"/>
              </w:rPr>
            </w:pPr>
          </w:p>
          <w:p w14:paraId="20477E05">
            <w:pPr>
              <w:spacing w:line="274" w:lineRule="auto"/>
              <w:rPr>
                <w:rFonts w:hint="eastAsia" w:ascii="华文中宋" w:hAnsi="华文中宋" w:eastAsia="华文中宋" w:cs="华文中宋"/>
                <w:sz w:val="21"/>
                <w:szCs w:val="21"/>
              </w:rPr>
            </w:pPr>
          </w:p>
          <w:p w14:paraId="6902BE8A">
            <w:pPr>
              <w:spacing w:line="274" w:lineRule="auto"/>
              <w:rPr>
                <w:rFonts w:hint="eastAsia" w:ascii="华文中宋" w:hAnsi="华文中宋" w:eastAsia="华文中宋" w:cs="华文中宋"/>
                <w:sz w:val="21"/>
                <w:szCs w:val="21"/>
              </w:rPr>
            </w:pPr>
          </w:p>
          <w:p w14:paraId="45E0443C">
            <w:pPr>
              <w:spacing w:line="274" w:lineRule="auto"/>
              <w:rPr>
                <w:rFonts w:hint="eastAsia" w:ascii="华文中宋" w:hAnsi="华文中宋" w:eastAsia="华文中宋" w:cs="华文中宋"/>
                <w:sz w:val="21"/>
                <w:szCs w:val="21"/>
              </w:rPr>
            </w:pPr>
          </w:p>
          <w:p w14:paraId="297D1DDC">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11</w:t>
            </w:r>
          </w:p>
        </w:tc>
        <w:tc>
          <w:tcPr>
            <w:tcW w:w="1335" w:type="dxa"/>
            <w:vMerge w:val="restart"/>
            <w:tcBorders>
              <w:bottom w:val="nil"/>
            </w:tcBorders>
            <w:noWrap w:val="0"/>
            <w:vAlign w:val="top"/>
          </w:tcPr>
          <w:p w14:paraId="3EE7C738">
            <w:pPr>
              <w:spacing w:line="243" w:lineRule="auto"/>
              <w:rPr>
                <w:rFonts w:hint="eastAsia" w:ascii="华文中宋" w:hAnsi="华文中宋" w:eastAsia="华文中宋" w:cs="华文中宋"/>
                <w:sz w:val="21"/>
                <w:szCs w:val="21"/>
              </w:rPr>
            </w:pPr>
          </w:p>
          <w:p w14:paraId="4B284275">
            <w:pPr>
              <w:spacing w:line="243" w:lineRule="auto"/>
              <w:rPr>
                <w:rFonts w:hint="eastAsia" w:ascii="华文中宋" w:hAnsi="华文中宋" w:eastAsia="华文中宋" w:cs="华文中宋"/>
                <w:sz w:val="21"/>
                <w:szCs w:val="21"/>
              </w:rPr>
            </w:pPr>
          </w:p>
          <w:p w14:paraId="79D7AAC9">
            <w:pPr>
              <w:spacing w:line="243" w:lineRule="auto"/>
              <w:rPr>
                <w:rFonts w:hint="eastAsia" w:ascii="华文中宋" w:hAnsi="华文中宋" w:eastAsia="华文中宋" w:cs="华文中宋"/>
                <w:sz w:val="21"/>
                <w:szCs w:val="21"/>
              </w:rPr>
            </w:pPr>
          </w:p>
          <w:p w14:paraId="27AECCD6">
            <w:pPr>
              <w:spacing w:line="243" w:lineRule="auto"/>
              <w:rPr>
                <w:rFonts w:hint="eastAsia" w:ascii="华文中宋" w:hAnsi="华文中宋" w:eastAsia="华文中宋" w:cs="华文中宋"/>
                <w:sz w:val="21"/>
                <w:szCs w:val="21"/>
              </w:rPr>
            </w:pPr>
          </w:p>
          <w:p w14:paraId="03EC9B5D">
            <w:pPr>
              <w:spacing w:line="243" w:lineRule="auto"/>
              <w:rPr>
                <w:rFonts w:hint="eastAsia" w:ascii="华文中宋" w:hAnsi="华文中宋" w:eastAsia="华文中宋" w:cs="华文中宋"/>
                <w:sz w:val="21"/>
                <w:szCs w:val="21"/>
              </w:rPr>
            </w:pPr>
          </w:p>
          <w:p w14:paraId="7A03EB03">
            <w:pPr>
              <w:spacing w:line="243" w:lineRule="auto"/>
              <w:rPr>
                <w:rFonts w:hint="eastAsia" w:ascii="华文中宋" w:hAnsi="华文中宋" w:eastAsia="华文中宋" w:cs="华文中宋"/>
                <w:sz w:val="21"/>
                <w:szCs w:val="21"/>
              </w:rPr>
            </w:pPr>
          </w:p>
          <w:p w14:paraId="63B13095">
            <w:pPr>
              <w:pStyle w:val="76"/>
              <w:spacing w:before="62" w:line="289" w:lineRule="auto"/>
              <w:ind w:left="18" w:right="8" w:hanging="9"/>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A020619照明</w:t>
            </w:r>
            <w:r>
              <w:rPr>
                <w:rFonts w:hint="eastAsia" w:ascii="华文中宋" w:hAnsi="华文中宋" w:eastAsia="华文中宋" w:cs="华文中宋"/>
                <w:spacing w:val="3"/>
                <w:sz w:val="21"/>
                <w:szCs w:val="21"/>
              </w:rPr>
              <w:t>设备</w:t>
            </w:r>
          </w:p>
        </w:tc>
        <w:tc>
          <w:tcPr>
            <w:tcW w:w="2025" w:type="dxa"/>
            <w:noWrap w:val="0"/>
            <w:vAlign w:val="top"/>
          </w:tcPr>
          <w:p w14:paraId="61956933">
            <w:pPr>
              <w:pStyle w:val="76"/>
              <w:spacing w:before="198" w:line="288" w:lineRule="auto"/>
              <w:ind w:left="20" w:right="12" w:hanging="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★普通照明用双端</w:t>
            </w:r>
            <w:r>
              <w:rPr>
                <w:rFonts w:hint="eastAsia" w:ascii="华文中宋" w:hAnsi="华文中宋" w:eastAsia="华文中宋" w:cs="华文中宋"/>
                <w:spacing w:val="4"/>
                <w:sz w:val="21"/>
                <w:szCs w:val="21"/>
              </w:rPr>
              <w:t>荧光灯</w:t>
            </w:r>
          </w:p>
        </w:tc>
        <w:tc>
          <w:tcPr>
            <w:tcW w:w="2085" w:type="dxa"/>
            <w:noWrap w:val="0"/>
            <w:vAlign w:val="top"/>
          </w:tcPr>
          <w:p w14:paraId="1EF8EB1D">
            <w:pPr>
              <w:rPr>
                <w:rFonts w:hint="eastAsia" w:ascii="华文中宋" w:hAnsi="华文中宋" w:eastAsia="华文中宋" w:cs="华文中宋"/>
                <w:sz w:val="21"/>
                <w:szCs w:val="21"/>
              </w:rPr>
            </w:pPr>
          </w:p>
        </w:tc>
        <w:tc>
          <w:tcPr>
            <w:tcW w:w="3195" w:type="dxa"/>
            <w:noWrap w:val="0"/>
            <w:vAlign w:val="top"/>
          </w:tcPr>
          <w:p w14:paraId="2E1F4CDB">
            <w:pPr>
              <w:pStyle w:val="76"/>
              <w:spacing w:before="198"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《普通照明用双端荧光灯能效限</w:t>
            </w:r>
            <w:r>
              <w:rPr>
                <w:rFonts w:hint="eastAsia" w:ascii="华文中宋" w:hAnsi="华文中宋" w:eastAsia="华文中宋" w:cs="华文中宋"/>
                <w:spacing w:val="5"/>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5"/>
                <w:sz w:val="21"/>
                <w:szCs w:val="21"/>
              </w:rPr>
              <w:t>19043）</w:t>
            </w:r>
          </w:p>
        </w:tc>
      </w:tr>
      <w:tr w14:paraId="4AAE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4D5B9027">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3051360E">
            <w:pPr>
              <w:rPr>
                <w:rFonts w:hint="eastAsia" w:ascii="华文中宋" w:hAnsi="华文中宋" w:eastAsia="华文中宋" w:cs="华文中宋"/>
                <w:sz w:val="21"/>
                <w:szCs w:val="21"/>
              </w:rPr>
            </w:pPr>
          </w:p>
        </w:tc>
        <w:tc>
          <w:tcPr>
            <w:tcW w:w="2025" w:type="dxa"/>
            <w:noWrap w:val="0"/>
            <w:vAlign w:val="top"/>
          </w:tcPr>
          <w:p w14:paraId="6151F79E">
            <w:pPr>
              <w:pStyle w:val="76"/>
              <w:spacing w:before="158" w:line="288" w:lineRule="auto"/>
              <w:ind w:left="14" w:right="7" w:hanging="1"/>
              <w:rPr>
                <w:rFonts w:hint="eastAsia" w:ascii="华文中宋" w:hAnsi="华文中宋" w:eastAsia="华文中宋" w:cs="华文中宋"/>
                <w:sz w:val="21"/>
                <w:szCs w:val="21"/>
              </w:rPr>
            </w:pPr>
            <w:r>
              <w:rPr>
                <w:rFonts w:hint="eastAsia" w:ascii="华文中宋" w:hAnsi="华文中宋" w:eastAsia="华文中宋" w:cs="华文中宋"/>
                <w:sz w:val="21"/>
                <w:szCs w:val="21"/>
              </w:rPr>
              <w:t>LED</w:t>
            </w:r>
            <w:r>
              <w:rPr>
                <w:rFonts w:hint="eastAsia" w:ascii="华文中宋" w:hAnsi="华文中宋" w:eastAsia="华文中宋" w:cs="华文中宋"/>
                <w:spacing w:val="19"/>
                <w:sz w:val="21"/>
                <w:szCs w:val="21"/>
              </w:rPr>
              <w:t>道路/隧道照明</w:t>
            </w:r>
            <w:r>
              <w:rPr>
                <w:rFonts w:hint="eastAsia" w:ascii="华文中宋" w:hAnsi="华文中宋" w:eastAsia="华文中宋" w:cs="华文中宋"/>
                <w:spacing w:val="5"/>
                <w:sz w:val="21"/>
                <w:szCs w:val="21"/>
              </w:rPr>
              <w:t>产品</w:t>
            </w:r>
          </w:p>
        </w:tc>
        <w:tc>
          <w:tcPr>
            <w:tcW w:w="2085" w:type="dxa"/>
            <w:noWrap w:val="0"/>
            <w:vAlign w:val="top"/>
          </w:tcPr>
          <w:p w14:paraId="3FB24533">
            <w:pPr>
              <w:rPr>
                <w:rFonts w:hint="eastAsia" w:ascii="华文中宋" w:hAnsi="华文中宋" w:eastAsia="华文中宋" w:cs="华文中宋"/>
                <w:sz w:val="21"/>
                <w:szCs w:val="21"/>
              </w:rPr>
            </w:pPr>
          </w:p>
        </w:tc>
        <w:tc>
          <w:tcPr>
            <w:tcW w:w="3195" w:type="dxa"/>
            <w:noWrap w:val="0"/>
            <w:vAlign w:val="top"/>
          </w:tcPr>
          <w:p w14:paraId="021A48E5">
            <w:pPr>
              <w:pStyle w:val="76"/>
              <w:spacing w:before="158" w:line="288" w:lineRule="auto"/>
              <w:ind w:left="22"/>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《道路和隧道照明用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7"/>
                <w:sz w:val="21"/>
                <w:szCs w:val="21"/>
              </w:rPr>
              <w:t>灯具能</w:t>
            </w:r>
            <w:r>
              <w:rPr>
                <w:rFonts w:hint="eastAsia" w:ascii="华文中宋" w:hAnsi="华文中宋" w:eastAsia="华文中宋" w:cs="华文中宋"/>
                <w:spacing w:val="-4"/>
                <w:sz w:val="21"/>
                <w:szCs w:val="21"/>
              </w:rPr>
              <w:t>效限定值及能效等级》（GB37478）</w:t>
            </w:r>
          </w:p>
        </w:tc>
      </w:tr>
      <w:tr w14:paraId="7B15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22430C12">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7335058C">
            <w:pPr>
              <w:rPr>
                <w:rFonts w:hint="eastAsia" w:ascii="华文中宋" w:hAnsi="华文中宋" w:eastAsia="华文中宋" w:cs="华文中宋"/>
                <w:sz w:val="21"/>
                <w:szCs w:val="21"/>
              </w:rPr>
            </w:pPr>
          </w:p>
        </w:tc>
        <w:tc>
          <w:tcPr>
            <w:tcW w:w="2025" w:type="dxa"/>
            <w:noWrap w:val="0"/>
            <w:vAlign w:val="top"/>
          </w:tcPr>
          <w:p w14:paraId="4CACD6AB">
            <w:pPr>
              <w:rPr>
                <w:rFonts w:hint="eastAsia" w:ascii="华文中宋" w:hAnsi="华文中宋" w:eastAsia="华文中宋" w:cs="华文中宋"/>
                <w:sz w:val="21"/>
                <w:szCs w:val="21"/>
              </w:rPr>
            </w:pPr>
          </w:p>
          <w:p w14:paraId="1F01A231">
            <w:pPr>
              <w:pStyle w:val="76"/>
              <w:spacing w:before="62" w:line="229" w:lineRule="auto"/>
              <w:ind w:left="13"/>
              <w:rPr>
                <w:rFonts w:hint="eastAsia" w:ascii="华文中宋" w:hAnsi="华文中宋" w:eastAsia="华文中宋" w:cs="华文中宋"/>
                <w:sz w:val="21"/>
                <w:szCs w:val="21"/>
              </w:rPr>
            </w:pPr>
            <w:r>
              <w:rPr>
                <w:rFonts w:hint="eastAsia" w:ascii="华文中宋" w:hAnsi="华文中宋" w:eastAsia="华文中宋" w:cs="华文中宋"/>
                <w:sz w:val="21"/>
                <w:szCs w:val="21"/>
              </w:rPr>
              <w:t>LED</w:t>
            </w:r>
            <w:r>
              <w:rPr>
                <w:rFonts w:hint="eastAsia" w:ascii="华文中宋" w:hAnsi="华文中宋" w:eastAsia="华文中宋" w:cs="华文中宋"/>
                <w:spacing w:val="8"/>
                <w:sz w:val="21"/>
                <w:szCs w:val="21"/>
              </w:rPr>
              <w:t>筒灯</w:t>
            </w:r>
          </w:p>
        </w:tc>
        <w:tc>
          <w:tcPr>
            <w:tcW w:w="2085" w:type="dxa"/>
            <w:noWrap w:val="0"/>
            <w:vAlign w:val="top"/>
          </w:tcPr>
          <w:p w14:paraId="4FE868B2">
            <w:pPr>
              <w:rPr>
                <w:rFonts w:hint="eastAsia" w:ascii="华文中宋" w:hAnsi="华文中宋" w:eastAsia="华文中宋" w:cs="华文中宋"/>
                <w:sz w:val="21"/>
                <w:szCs w:val="21"/>
              </w:rPr>
            </w:pPr>
          </w:p>
        </w:tc>
        <w:tc>
          <w:tcPr>
            <w:tcW w:w="3195" w:type="dxa"/>
            <w:noWrap w:val="0"/>
            <w:vAlign w:val="top"/>
          </w:tcPr>
          <w:p w14:paraId="50E82FE2">
            <w:pPr>
              <w:pStyle w:val="76"/>
              <w:spacing w:before="148" w:line="288" w:lineRule="auto"/>
              <w:ind w:left="17" w:right="13" w:firstLine="5"/>
              <w:rPr>
                <w:rFonts w:hint="eastAsia" w:ascii="华文中宋" w:hAnsi="华文中宋" w:eastAsia="华文中宋" w:cs="华文中宋"/>
                <w:sz w:val="21"/>
                <w:szCs w:val="21"/>
              </w:rPr>
            </w:pPr>
            <w:r>
              <w:rPr>
                <w:rFonts w:hint="eastAsia" w:ascii="华文中宋" w:hAnsi="华文中宋" w:eastAsia="华文中宋" w:cs="华文中宋"/>
                <w:spacing w:val="12"/>
                <w:sz w:val="21"/>
                <w:szCs w:val="21"/>
              </w:rPr>
              <w:t>《室内照明用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12"/>
                <w:sz w:val="21"/>
                <w:szCs w:val="21"/>
              </w:rPr>
              <w:t>产品能效限定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30255）</w:t>
            </w:r>
          </w:p>
        </w:tc>
      </w:tr>
      <w:tr w14:paraId="47C0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726E33F0">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1714DC9D">
            <w:pPr>
              <w:rPr>
                <w:rFonts w:hint="eastAsia" w:ascii="华文中宋" w:hAnsi="华文中宋" w:eastAsia="华文中宋" w:cs="华文中宋"/>
                <w:sz w:val="21"/>
                <w:szCs w:val="21"/>
              </w:rPr>
            </w:pPr>
          </w:p>
        </w:tc>
        <w:tc>
          <w:tcPr>
            <w:tcW w:w="2025" w:type="dxa"/>
            <w:noWrap w:val="0"/>
            <w:vAlign w:val="top"/>
          </w:tcPr>
          <w:p w14:paraId="1A0F5957">
            <w:pPr>
              <w:pStyle w:val="76"/>
              <w:spacing w:before="265" w:line="288" w:lineRule="auto"/>
              <w:ind w:left="47" w:right="12" w:hanging="33"/>
              <w:rPr>
                <w:rFonts w:hint="eastAsia" w:ascii="华文中宋" w:hAnsi="华文中宋" w:eastAsia="华文中宋" w:cs="华文中宋"/>
                <w:sz w:val="21"/>
                <w:szCs w:val="21"/>
              </w:rPr>
            </w:pPr>
            <w:r>
              <w:rPr>
                <w:rFonts w:hint="eastAsia" w:ascii="华文中宋" w:hAnsi="华文中宋" w:eastAsia="华文中宋" w:cs="华文中宋"/>
                <w:spacing w:val="30"/>
                <w:sz w:val="21"/>
                <w:szCs w:val="21"/>
              </w:rPr>
              <w:t>普通照明用非定向</w:t>
            </w:r>
            <w:r>
              <w:rPr>
                <w:rFonts w:hint="eastAsia" w:ascii="华文中宋" w:hAnsi="华文中宋" w:eastAsia="华文中宋" w:cs="华文中宋"/>
                <w:spacing w:val="-1"/>
                <w:sz w:val="21"/>
                <w:szCs w:val="21"/>
              </w:rPr>
              <w:t>自镇流LED灯</w:t>
            </w:r>
          </w:p>
        </w:tc>
        <w:tc>
          <w:tcPr>
            <w:tcW w:w="2085" w:type="dxa"/>
            <w:noWrap w:val="0"/>
            <w:vAlign w:val="top"/>
          </w:tcPr>
          <w:p w14:paraId="7F2ADCD2">
            <w:pPr>
              <w:rPr>
                <w:rFonts w:hint="eastAsia" w:ascii="华文中宋" w:hAnsi="华文中宋" w:eastAsia="华文中宋" w:cs="华文中宋"/>
                <w:sz w:val="21"/>
                <w:szCs w:val="21"/>
              </w:rPr>
            </w:pPr>
          </w:p>
        </w:tc>
        <w:tc>
          <w:tcPr>
            <w:tcW w:w="3195" w:type="dxa"/>
            <w:noWrap w:val="0"/>
            <w:vAlign w:val="top"/>
          </w:tcPr>
          <w:p w14:paraId="23C1C894">
            <w:pPr>
              <w:pStyle w:val="76"/>
              <w:spacing w:before="265" w:line="288" w:lineRule="auto"/>
              <w:ind w:left="17" w:right="13" w:firstLine="5"/>
              <w:rPr>
                <w:rFonts w:hint="eastAsia" w:ascii="华文中宋" w:hAnsi="华文中宋" w:eastAsia="华文中宋" w:cs="华文中宋"/>
                <w:sz w:val="21"/>
                <w:szCs w:val="21"/>
              </w:rPr>
            </w:pPr>
            <w:r>
              <w:rPr>
                <w:rFonts w:hint="eastAsia" w:ascii="华文中宋" w:hAnsi="华文中宋" w:eastAsia="华文中宋" w:cs="华文中宋"/>
                <w:spacing w:val="12"/>
                <w:sz w:val="21"/>
                <w:szCs w:val="21"/>
              </w:rPr>
              <w:t>《室内照明用</w:t>
            </w:r>
            <w:r>
              <w:rPr>
                <w:rFonts w:hint="eastAsia" w:ascii="华文中宋" w:hAnsi="华文中宋" w:eastAsia="华文中宋" w:cs="华文中宋"/>
                <w:sz w:val="21"/>
                <w:szCs w:val="21"/>
              </w:rPr>
              <w:t>LED</w:t>
            </w:r>
            <w:r>
              <w:rPr>
                <w:rFonts w:hint="eastAsia" w:ascii="华文中宋" w:hAnsi="华文中宋" w:eastAsia="华文中宋" w:cs="华文中宋"/>
                <w:spacing w:val="12"/>
                <w:sz w:val="21"/>
                <w:szCs w:val="21"/>
              </w:rPr>
              <w:t>产品能效限定</w:t>
            </w:r>
            <w:r>
              <w:rPr>
                <w:rFonts w:hint="eastAsia" w:ascii="华文中宋" w:hAnsi="华文中宋" w:eastAsia="华文中宋" w:cs="华文中宋"/>
                <w:spacing w:val="7"/>
                <w:sz w:val="21"/>
                <w:szCs w:val="21"/>
              </w:rPr>
              <w:t>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30255）</w:t>
            </w:r>
          </w:p>
        </w:tc>
      </w:tr>
      <w:tr w14:paraId="1A84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10495A1">
            <w:pPr>
              <w:spacing w:line="268" w:lineRule="auto"/>
              <w:rPr>
                <w:rFonts w:hint="eastAsia" w:ascii="华文中宋" w:hAnsi="华文中宋" w:eastAsia="华文中宋" w:cs="华文中宋"/>
                <w:sz w:val="21"/>
                <w:szCs w:val="21"/>
              </w:rPr>
            </w:pPr>
          </w:p>
          <w:p w14:paraId="6294280D">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12</w:t>
            </w:r>
          </w:p>
        </w:tc>
        <w:tc>
          <w:tcPr>
            <w:tcW w:w="1335" w:type="dxa"/>
            <w:noWrap w:val="0"/>
            <w:vAlign w:val="top"/>
          </w:tcPr>
          <w:p w14:paraId="770E580B">
            <w:pPr>
              <w:pStyle w:val="76"/>
              <w:spacing w:before="144" w:line="289" w:lineRule="auto"/>
              <w:ind w:left="14" w:right="8" w:firstLine="3"/>
              <w:rPr>
                <w:rFonts w:hint="eastAsia" w:ascii="华文中宋" w:hAnsi="华文中宋" w:eastAsia="华文中宋" w:cs="华文中宋"/>
                <w:sz w:val="21"/>
                <w:szCs w:val="21"/>
              </w:rPr>
            </w:pPr>
            <w:r>
              <w:rPr>
                <w:rFonts w:hint="eastAsia" w:ascii="华文中宋" w:hAnsi="华文中宋" w:eastAsia="华文中宋" w:cs="华文中宋"/>
                <w:spacing w:val="1"/>
                <w:sz w:val="21"/>
                <w:szCs w:val="21"/>
              </w:rPr>
              <w:t>★A020910电</w:t>
            </w:r>
            <w:r>
              <w:rPr>
                <w:rFonts w:hint="eastAsia" w:ascii="华文中宋" w:hAnsi="华文中宋" w:eastAsia="华文中宋" w:cs="华文中宋"/>
                <w:spacing w:val="6"/>
                <w:sz w:val="21"/>
                <w:szCs w:val="21"/>
              </w:rPr>
              <w:t>视设备</w:t>
            </w:r>
          </w:p>
        </w:tc>
        <w:tc>
          <w:tcPr>
            <w:tcW w:w="2025" w:type="dxa"/>
            <w:noWrap w:val="0"/>
            <w:vAlign w:val="top"/>
          </w:tcPr>
          <w:p w14:paraId="34CB969A">
            <w:pPr>
              <w:pStyle w:val="76"/>
              <w:spacing w:before="145" w:line="288" w:lineRule="auto"/>
              <w:ind w:left="18" w:right="10" w:hanging="9"/>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A02091001普通电视</w:t>
            </w:r>
            <w:r>
              <w:rPr>
                <w:rFonts w:hint="eastAsia" w:ascii="华文中宋" w:hAnsi="华文中宋" w:eastAsia="华文中宋" w:cs="华文中宋"/>
                <w:spacing w:val="6"/>
                <w:sz w:val="21"/>
                <w:szCs w:val="21"/>
              </w:rPr>
              <w:t>设备（电视机）</w:t>
            </w:r>
          </w:p>
        </w:tc>
        <w:tc>
          <w:tcPr>
            <w:tcW w:w="2085" w:type="dxa"/>
            <w:noWrap w:val="0"/>
            <w:vAlign w:val="top"/>
          </w:tcPr>
          <w:p w14:paraId="41D8337F">
            <w:pPr>
              <w:rPr>
                <w:rFonts w:hint="eastAsia" w:ascii="华文中宋" w:hAnsi="华文中宋" w:eastAsia="华文中宋" w:cs="华文中宋"/>
                <w:sz w:val="21"/>
                <w:szCs w:val="21"/>
              </w:rPr>
            </w:pPr>
          </w:p>
        </w:tc>
        <w:tc>
          <w:tcPr>
            <w:tcW w:w="3195" w:type="dxa"/>
            <w:noWrap w:val="0"/>
            <w:vAlign w:val="top"/>
          </w:tcPr>
          <w:p w14:paraId="38483863">
            <w:pPr>
              <w:pStyle w:val="76"/>
              <w:spacing w:before="146" w:line="289" w:lineRule="auto"/>
              <w:ind w:left="21" w:right="11" w:firstLine="2"/>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《平板电视能效限定值及能效等</w:t>
            </w:r>
            <w:r>
              <w:rPr>
                <w:rFonts w:hint="eastAsia" w:ascii="华文中宋" w:hAnsi="华文中宋" w:eastAsia="华文中宋" w:cs="华文中宋"/>
                <w:spacing w:val="4"/>
                <w:sz w:val="21"/>
                <w:szCs w:val="21"/>
              </w:rPr>
              <w:t>级》（</w:t>
            </w:r>
            <w:r>
              <w:rPr>
                <w:rFonts w:hint="eastAsia" w:ascii="华文中宋" w:hAnsi="华文中宋" w:eastAsia="华文中宋" w:cs="华文中宋"/>
                <w:sz w:val="21"/>
                <w:szCs w:val="21"/>
              </w:rPr>
              <w:t>GB</w:t>
            </w:r>
            <w:r>
              <w:rPr>
                <w:rFonts w:hint="eastAsia" w:ascii="华文中宋" w:hAnsi="华文中宋" w:eastAsia="华文中宋" w:cs="华文中宋"/>
                <w:spacing w:val="4"/>
                <w:sz w:val="21"/>
                <w:szCs w:val="21"/>
              </w:rPr>
              <w:t>24850）</w:t>
            </w:r>
          </w:p>
        </w:tc>
      </w:tr>
      <w:tr w14:paraId="2181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2E81B5E0">
            <w:pPr>
              <w:spacing w:line="279" w:lineRule="auto"/>
              <w:rPr>
                <w:rFonts w:hint="eastAsia" w:ascii="华文中宋" w:hAnsi="华文中宋" w:eastAsia="华文中宋" w:cs="华文中宋"/>
                <w:sz w:val="21"/>
                <w:szCs w:val="21"/>
              </w:rPr>
            </w:pPr>
          </w:p>
          <w:p w14:paraId="56DC0561">
            <w:pPr>
              <w:spacing w:line="279" w:lineRule="auto"/>
              <w:rPr>
                <w:rFonts w:hint="eastAsia" w:ascii="华文中宋" w:hAnsi="华文中宋" w:eastAsia="华文中宋" w:cs="华文中宋"/>
                <w:sz w:val="21"/>
                <w:szCs w:val="21"/>
              </w:rPr>
            </w:pPr>
          </w:p>
          <w:p w14:paraId="6EF5D3EC">
            <w:pPr>
              <w:spacing w:line="279" w:lineRule="auto"/>
              <w:rPr>
                <w:rFonts w:hint="eastAsia" w:ascii="华文中宋" w:hAnsi="华文中宋" w:eastAsia="华文中宋" w:cs="华文中宋"/>
                <w:sz w:val="21"/>
                <w:szCs w:val="21"/>
              </w:rPr>
            </w:pPr>
          </w:p>
          <w:p w14:paraId="70AAB09A">
            <w:pPr>
              <w:pStyle w:val="76"/>
              <w:spacing w:before="61"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13</w:t>
            </w:r>
          </w:p>
        </w:tc>
        <w:tc>
          <w:tcPr>
            <w:tcW w:w="1335" w:type="dxa"/>
            <w:noWrap w:val="0"/>
            <w:vAlign w:val="top"/>
          </w:tcPr>
          <w:p w14:paraId="0A25B14B">
            <w:pPr>
              <w:spacing w:line="325" w:lineRule="auto"/>
              <w:rPr>
                <w:rFonts w:hint="eastAsia" w:ascii="华文中宋" w:hAnsi="华文中宋" w:eastAsia="华文中宋" w:cs="华文中宋"/>
                <w:sz w:val="21"/>
                <w:szCs w:val="21"/>
              </w:rPr>
            </w:pPr>
          </w:p>
          <w:p w14:paraId="607F1D38">
            <w:pPr>
              <w:spacing w:line="326" w:lineRule="auto"/>
              <w:rPr>
                <w:rFonts w:hint="eastAsia" w:ascii="华文中宋" w:hAnsi="华文中宋" w:eastAsia="华文中宋" w:cs="华文中宋"/>
                <w:sz w:val="21"/>
                <w:szCs w:val="21"/>
              </w:rPr>
            </w:pPr>
          </w:p>
          <w:p w14:paraId="44823E5F">
            <w:pPr>
              <w:pStyle w:val="76"/>
              <w:spacing w:before="62" w:line="289" w:lineRule="auto"/>
              <w:ind w:left="16" w:right="8" w:firstLine="2"/>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★A020911视</w:t>
            </w:r>
            <w:r>
              <w:rPr>
                <w:rFonts w:hint="eastAsia" w:ascii="华文中宋" w:hAnsi="华文中宋" w:eastAsia="华文中宋" w:cs="华文中宋"/>
                <w:spacing w:val="6"/>
                <w:sz w:val="21"/>
                <w:szCs w:val="21"/>
              </w:rPr>
              <w:t>频设备</w:t>
            </w:r>
          </w:p>
        </w:tc>
        <w:tc>
          <w:tcPr>
            <w:tcW w:w="2025" w:type="dxa"/>
            <w:noWrap w:val="0"/>
            <w:vAlign w:val="top"/>
          </w:tcPr>
          <w:p w14:paraId="440818BB">
            <w:pPr>
              <w:spacing w:line="325" w:lineRule="auto"/>
              <w:rPr>
                <w:rFonts w:hint="eastAsia" w:ascii="华文中宋" w:hAnsi="华文中宋" w:eastAsia="华文中宋" w:cs="华文中宋"/>
                <w:sz w:val="21"/>
                <w:szCs w:val="21"/>
              </w:rPr>
            </w:pPr>
          </w:p>
          <w:p w14:paraId="4C6123C7">
            <w:pPr>
              <w:spacing w:line="326" w:lineRule="auto"/>
              <w:rPr>
                <w:rFonts w:hint="eastAsia" w:ascii="华文中宋" w:hAnsi="华文中宋" w:eastAsia="华文中宋" w:cs="华文中宋"/>
                <w:sz w:val="21"/>
                <w:szCs w:val="21"/>
              </w:rPr>
            </w:pPr>
          </w:p>
          <w:p w14:paraId="5E2590BF">
            <w:pPr>
              <w:pStyle w:val="76"/>
              <w:spacing w:before="62" w:line="289" w:lineRule="auto"/>
              <w:ind w:left="18" w:right="10" w:hanging="9"/>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A02091107视频监控</w:t>
            </w:r>
            <w:r>
              <w:rPr>
                <w:rFonts w:hint="eastAsia" w:ascii="华文中宋" w:hAnsi="华文中宋" w:eastAsia="华文中宋" w:cs="华文中宋"/>
                <w:spacing w:val="3"/>
                <w:sz w:val="21"/>
                <w:szCs w:val="21"/>
              </w:rPr>
              <w:t>设备</w:t>
            </w:r>
          </w:p>
        </w:tc>
        <w:tc>
          <w:tcPr>
            <w:tcW w:w="2085" w:type="dxa"/>
            <w:noWrap w:val="0"/>
            <w:vAlign w:val="top"/>
          </w:tcPr>
          <w:p w14:paraId="7229EE7F">
            <w:pPr>
              <w:spacing w:line="268" w:lineRule="auto"/>
              <w:rPr>
                <w:rFonts w:hint="eastAsia" w:ascii="华文中宋" w:hAnsi="华文中宋" w:eastAsia="华文中宋" w:cs="华文中宋"/>
                <w:sz w:val="21"/>
                <w:szCs w:val="21"/>
              </w:rPr>
            </w:pPr>
          </w:p>
          <w:p w14:paraId="4E188762">
            <w:pPr>
              <w:spacing w:line="269" w:lineRule="auto"/>
              <w:rPr>
                <w:rFonts w:hint="eastAsia" w:ascii="华文中宋" w:hAnsi="华文中宋" w:eastAsia="华文中宋" w:cs="华文中宋"/>
                <w:sz w:val="21"/>
                <w:szCs w:val="21"/>
              </w:rPr>
            </w:pPr>
          </w:p>
          <w:p w14:paraId="42512A9C">
            <w:pPr>
              <w:spacing w:line="269" w:lineRule="auto"/>
              <w:rPr>
                <w:rFonts w:hint="eastAsia" w:ascii="华文中宋" w:hAnsi="华文中宋" w:eastAsia="华文中宋" w:cs="华文中宋"/>
                <w:sz w:val="21"/>
                <w:szCs w:val="21"/>
              </w:rPr>
            </w:pPr>
          </w:p>
          <w:p w14:paraId="3E005178">
            <w:pPr>
              <w:pStyle w:val="76"/>
              <w:spacing w:before="62" w:line="230" w:lineRule="auto"/>
              <w:ind w:left="17"/>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监视器</w:t>
            </w:r>
          </w:p>
        </w:tc>
        <w:tc>
          <w:tcPr>
            <w:tcW w:w="3195" w:type="dxa"/>
            <w:noWrap w:val="0"/>
            <w:vAlign w:val="top"/>
          </w:tcPr>
          <w:p w14:paraId="7E88D3CE">
            <w:pPr>
              <w:pStyle w:val="76"/>
              <w:spacing w:before="94" w:line="293" w:lineRule="auto"/>
              <w:ind w:left="17" w:right="11" w:firstLine="23"/>
              <w:jc w:val="both"/>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以射频信号为主要信号输入的监</w:t>
            </w:r>
            <w:r>
              <w:rPr>
                <w:rFonts w:hint="eastAsia" w:ascii="华文中宋" w:hAnsi="华文中宋" w:eastAsia="华文中宋" w:cs="华文中宋"/>
                <w:spacing w:val="5"/>
                <w:sz w:val="21"/>
                <w:szCs w:val="21"/>
              </w:rPr>
              <w:t>视器应符合《平板电视能效限定值</w:t>
            </w:r>
            <w:r>
              <w:rPr>
                <w:rFonts w:hint="eastAsia" w:ascii="华文中宋" w:hAnsi="华文中宋" w:eastAsia="华文中宋" w:cs="华文中宋"/>
                <w:spacing w:val="8"/>
                <w:sz w:val="21"/>
                <w:szCs w:val="21"/>
              </w:rPr>
              <w:t>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8"/>
                <w:sz w:val="21"/>
                <w:szCs w:val="21"/>
              </w:rPr>
              <w:t>24850</w:t>
            </w:r>
            <w:r>
              <w:rPr>
                <w:rFonts w:hint="eastAsia" w:ascii="华文中宋" w:hAnsi="华文中宋" w:eastAsia="华文中宋" w:cs="华文中宋"/>
                <w:sz w:val="21"/>
                <w:szCs w:val="21"/>
              </w:rPr>
              <w:t>），</w:t>
            </w:r>
          </w:p>
          <w:p w14:paraId="1830D7AF">
            <w:pPr>
              <w:pStyle w:val="76"/>
              <w:spacing w:before="31" w:line="290" w:lineRule="auto"/>
              <w:ind w:left="17" w:right="11" w:firstLine="23"/>
              <w:jc w:val="both"/>
              <w:rPr>
                <w:rFonts w:hint="eastAsia" w:ascii="华文中宋" w:hAnsi="华文中宋" w:eastAsia="华文中宋" w:cs="华文中宋"/>
                <w:sz w:val="21"/>
                <w:szCs w:val="21"/>
              </w:rPr>
            </w:pPr>
            <w:r>
              <w:rPr>
                <w:rFonts w:hint="eastAsia" w:ascii="华文中宋" w:hAnsi="华文中宋" w:eastAsia="华文中宋" w:cs="华文中宋"/>
                <w:spacing w:val="18"/>
                <w:sz w:val="21"/>
                <w:szCs w:val="21"/>
              </w:rPr>
              <w:t>以数字信号为主要信号输入的监</w:t>
            </w:r>
            <w:r>
              <w:rPr>
                <w:rFonts w:hint="eastAsia" w:ascii="华文中宋" w:hAnsi="华文中宋" w:eastAsia="华文中宋" w:cs="华文中宋"/>
                <w:spacing w:val="5"/>
                <w:sz w:val="21"/>
                <w:szCs w:val="21"/>
              </w:rPr>
              <w:t>视器应符合《计算机显示器能效限</w:t>
            </w:r>
            <w:r>
              <w:rPr>
                <w:rFonts w:hint="eastAsia" w:ascii="华文中宋" w:hAnsi="华文中宋" w:eastAsia="华文中宋" w:cs="华文中宋"/>
                <w:spacing w:val="7"/>
                <w:sz w:val="21"/>
                <w:szCs w:val="21"/>
              </w:rPr>
              <w:t>定值及能效等级》（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21520）</w:t>
            </w:r>
          </w:p>
        </w:tc>
      </w:tr>
      <w:tr w14:paraId="677B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4BDCAD71">
            <w:pPr>
              <w:spacing w:line="265" w:lineRule="auto"/>
              <w:rPr>
                <w:rFonts w:hint="eastAsia" w:ascii="华文中宋" w:hAnsi="华文中宋" w:eastAsia="华文中宋" w:cs="华文中宋"/>
                <w:sz w:val="21"/>
                <w:szCs w:val="21"/>
              </w:rPr>
            </w:pPr>
          </w:p>
          <w:p w14:paraId="6854FA5F">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14</w:t>
            </w:r>
          </w:p>
        </w:tc>
        <w:tc>
          <w:tcPr>
            <w:tcW w:w="1335" w:type="dxa"/>
            <w:noWrap w:val="0"/>
            <w:vAlign w:val="top"/>
          </w:tcPr>
          <w:p w14:paraId="7F99E08E">
            <w:pPr>
              <w:pStyle w:val="76"/>
              <w:spacing w:before="141" w:line="288"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A031210饮食</w:t>
            </w:r>
            <w:r>
              <w:rPr>
                <w:rFonts w:hint="eastAsia" w:ascii="华文中宋" w:hAnsi="华文中宋" w:eastAsia="华文中宋" w:cs="华文中宋"/>
                <w:spacing w:val="7"/>
                <w:sz w:val="21"/>
                <w:szCs w:val="21"/>
              </w:rPr>
              <w:t>炊事机械</w:t>
            </w:r>
          </w:p>
        </w:tc>
        <w:tc>
          <w:tcPr>
            <w:tcW w:w="2025" w:type="dxa"/>
            <w:noWrap w:val="0"/>
            <w:vAlign w:val="top"/>
          </w:tcPr>
          <w:p w14:paraId="1A02843B">
            <w:pPr>
              <w:pStyle w:val="76"/>
              <w:spacing w:before="297" w:line="230" w:lineRule="auto"/>
              <w:ind w:left="1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商用燃气灶具</w:t>
            </w:r>
          </w:p>
        </w:tc>
        <w:tc>
          <w:tcPr>
            <w:tcW w:w="2085" w:type="dxa"/>
            <w:noWrap w:val="0"/>
            <w:vAlign w:val="top"/>
          </w:tcPr>
          <w:p w14:paraId="603FB7E6">
            <w:pPr>
              <w:rPr>
                <w:rFonts w:hint="eastAsia" w:ascii="华文中宋" w:hAnsi="华文中宋" w:eastAsia="华文中宋" w:cs="华文中宋"/>
                <w:sz w:val="21"/>
                <w:szCs w:val="21"/>
              </w:rPr>
            </w:pPr>
          </w:p>
        </w:tc>
        <w:tc>
          <w:tcPr>
            <w:tcW w:w="3195" w:type="dxa"/>
            <w:noWrap w:val="0"/>
            <w:vAlign w:val="top"/>
          </w:tcPr>
          <w:p w14:paraId="2F660F2C">
            <w:pPr>
              <w:pStyle w:val="76"/>
              <w:spacing w:before="142"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《商用燃气灶具能效限定值及能</w:t>
            </w:r>
            <w:r>
              <w:rPr>
                <w:rFonts w:hint="eastAsia" w:ascii="华文中宋" w:hAnsi="华文中宋" w:eastAsia="华文中宋" w:cs="华文中宋"/>
                <w:spacing w:val="6"/>
                <w:sz w:val="21"/>
                <w:szCs w:val="21"/>
              </w:rPr>
              <w:t>效等级》（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30531）</w:t>
            </w:r>
          </w:p>
        </w:tc>
      </w:tr>
      <w:tr w14:paraId="5BD3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restart"/>
            <w:tcBorders>
              <w:bottom w:val="nil"/>
            </w:tcBorders>
            <w:noWrap w:val="0"/>
            <w:vAlign w:val="top"/>
          </w:tcPr>
          <w:p w14:paraId="5C000CB8">
            <w:pPr>
              <w:spacing w:line="298" w:lineRule="auto"/>
              <w:rPr>
                <w:rFonts w:hint="eastAsia" w:ascii="华文中宋" w:hAnsi="华文中宋" w:eastAsia="华文中宋" w:cs="华文中宋"/>
                <w:sz w:val="21"/>
                <w:szCs w:val="21"/>
              </w:rPr>
            </w:pPr>
          </w:p>
          <w:p w14:paraId="29F029D1">
            <w:pPr>
              <w:spacing w:line="298" w:lineRule="auto"/>
              <w:rPr>
                <w:rFonts w:hint="eastAsia" w:ascii="华文中宋" w:hAnsi="华文中宋" w:eastAsia="华文中宋" w:cs="华文中宋"/>
                <w:sz w:val="21"/>
                <w:szCs w:val="21"/>
              </w:rPr>
            </w:pPr>
          </w:p>
          <w:p w14:paraId="2301F275">
            <w:pPr>
              <w:spacing w:line="298" w:lineRule="auto"/>
              <w:rPr>
                <w:rFonts w:hint="eastAsia" w:ascii="华文中宋" w:hAnsi="华文中宋" w:eastAsia="华文中宋" w:cs="华文中宋"/>
                <w:sz w:val="21"/>
                <w:szCs w:val="21"/>
              </w:rPr>
            </w:pPr>
          </w:p>
          <w:p w14:paraId="270EE8CA">
            <w:pPr>
              <w:spacing w:line="299" w:lineRule="auto"/>
              <w:rPr>
                <w:rFonts w:hint="eastAsia" w:ascii="华文中宋" w:hAnsi="华文中宋" w:eastAsia="华文中宋" w:cs="华文中宋"/>
                <w:sz w:val="21"/>
                <w:szCs w:val="21"/>
              </w:rPr>
            </w:pPr>
          </w:p>
          <w:p w14:paraId="03B10D55">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15</w:t>
            </w:r>
          </w:p>
        </w:tc>
        <w:tc>
          <w:tcPr>
            <w:tcW w:w="1335" w:type="dxa"/>
            <w:vMerge w:val="restart"/>
            <w:tcBorders>
              <w:bottom w:val="nil"/>
            </w:tcBorders>
            <w:noWrap w:val="0"/>
            <w:vAlign w:val="top"/>
          </w:tcPr>
          <w:p w14:paraId="27882BE7">
            <w:pPr>
              <w:spacing w:line="251" w:lineRule="auto"/>
              <w:rPr>
                <w:rFonts w:hint="eastAsia" w:ascii="华文中宋" w:hAnsi="华文中宋" w:eastAsia="华文中宋" w:cs="华文中宋"/>
                <w:sz w:val="21"/>
                <w:szCs w:val="21"/>
              </w:rPr>
            </w:pPr>
          </w:p>
          <w:p w14:paraId="76C0CCBA">
            <w:pPr>
              <w:spacing w:line="251" w:lineRule="auto"/>
              <w:rPr>
                <w:rFonts w:hint="eastAsia" w:ascii="华文中宋" w:hAnsi="华文中宋" w:eastAsia="华文中宋" w:cs="华文中宋"/>
                <w:sz w:val="21"/>
                <w:szCs w:val="21"/>
              </w:rPr>
            </w:pPr>
          </w:p>
          <w:p w14:paraId="1E0B80A8">
            <w:pPr>
              <w:spacing w:line="252" w:lineRule="auto"/>
              <w:rPr>
                <w:rFonts w:hint="eastAsia" w:ascii="华文中宋" w:hAnsi="华文中宋" w:eastAsia="华文中宋" w:cs="华文中宋"/>
                <w:sz w:val="21"/>
                <w:szCs w:val="21"/>
              </w:rPr>
            </w:pPr>
          </w:p>
          <w:p w14:paraId="3BDC3ECF">
            <w:pPr>
              <w:pStyle w:val="76"/>
              <w:spacing w:before="62" w:line="291" w:lineRule="auto"/>
              <w:ind w:left="15" w:right="8" w:firstLine="3"/>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★A060805便</w:t>
            </w:r>
            <w:r>
              <w:rPr>
                <w:rFonts w:hint="eastAsia" w:ascii="华文中宋" w:hAnsi="华文中宋" w:eastAsia="华文中宋" w:cs="华文中宋"/>
                <w:spacing w:val="1"/>
                <w:sz w:val="21"/>
                <w:szCs w:val="21"/>
              </w:rPr>
              <w:t>器</w:t>
            </w:r>
          </w:p>
        </w:tc>
        <w:tc>
          <w:tcPr>
            <w:tcW w:w="2025" w:type="dxa"/>
            <w:noWrap w:val="0"/>
            <w:vAlign w:val="top"/>
          </w:tcPr>
          <w:p w14:paraId="1965E0BC">
            <w:pPr>
              <w:spacing w:line="282" w:lineRule="auto"/>
              <w:rPr>
                <w:rFonts w:hint="eastAsia" w:ascii="华文中宋" w:hAnsi="华文中宋" w:eastAsia="华文中宋" w:cs="华文中宋"/>
                <w:sz w:val="21"/>
                <w:szCs w:val="21"/>
              </w:rPr>
            </w:pPr>
          </w:p>
          <w:p w14:paraId="0F60389B">
            <w:pPr>
              <w:pStyle w:val="76"/>
              <w:spacing w:before="62" w:line="229" w:lineRule="auto"/>
              <w:ind w:left="16"/>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坐便器</w:t>
            </w:r>
          </w:p>
        </w:tc>
        <w:tc>
          <w:tcPr>
            <w:tcW w:w="2085" w:type="dxa"/>
            <w:noWrap w:val="0"/>
            <w:vAlign w:val="top"/>
          </w:tcPr>
          <w:p w14:paraId="2B787986">
            <w:pPr>
              <w:rPr>
                <w:rFonts w:hint="eastAsia" w:ascii="华文中宋" w:hAnsi="华文中宋" w:eastAsia="华文中宋" w:cs="华文中宋"/>
                <w:sz w:val="21"/>
                <w:szCs w:val="21"/>
              </w:rPr>
            </w:pPr>
          </w:p>
        </w:tc>
        <w:tc>
          <w:tcPr>
            <w:tcW w:w="3195" w:type="dxa"/>
            <w:noWrap w:val="0"/>
            <w:vAlign w:val="top"/>
          </w:tcPr>
          <w:p w14:paraId="36E9EE50">
            <w:pPr>
              <w:pStyle w:val="76"/>
              <w:spacing w:before="189" w:line="295" w:lineRule="auto"/>
              <w:ind w:left="27" w:hanging="4"/>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《坐便器水效限定值及水效等级》</w:t>
            </w:r>
            <w:r>
              <w:rPr>
                <w:rFonts w:hint="eastAsia" w:ascii="华文中宋" w:hAnsi="华文中宋" w:eastAsia="华文中宋" w:cs="华文中宋"/>
                <w:spacing w:val="1"/>
                <w:sz w:val="21"/>
                <w:szCs w:val="21"/>
              </w:rPr>
              <w:t>（</w:t>
            </w:r>
            <w:r>
              <w:rPr>
                <w:rFonts w:hint="eastAsia" w:ascii="华文中宋" w:hAnsi="华文中宋" w:eastAsia="华文中宋" w:cs="华文中宋"/>
                <w:sz w:val="21"/>
                <w:szCs w:val="21"/>
              </w:rPr>
              <w:t>GB</w:t>
            </w:r>
            <w:r>
              <w:rPr>
                <w:rFonts w:hint="eastAsia" w:ascii="华文中宋" w:hAnsi="华文中宋" w:eastAsia="华文中宋" w:cs="华文中宋"/>
                <w:spacing w:val="1"/>
                <w:sz w:val="21"/>
                <w:szCs w:val="21"/>
              </w:rPr>
              <w:t>25502）</w:t>
            </w:r>
          </w:p>
        </w:tc>
      </w:tr>
      <w:tr w14:paraId="5531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bottom w:val="nil"/>
            </w:tcBorders>
            <w:noWrap w:val="0"/>
            <w:vAlign w:val="top"/>
          </w:tcPr>
          <w:p w14:paraId="268EDB6B">
            <w:pPr>
              <w:rPr>
                <w:rFonts w:hint="eastAsia" w:ascii="华文中宋" w:hAnsi="华文中宋" w:eastAsia="华文中宋" w:cs="华文中宋"/>
                <w:sz w:val="21"/>
                <w:szCs w:val="21"/>
              </w:rPr>
            </w:pPr>
          </w:p>
        </w:tc>
        <w:tc>
          <w:tcPr>
            <w:tcW w:w="1335" w:type="dxa"/>
            <w:vMerge w:val="continue"/>
            <w:tcBorders>
              <w:top w:val="nil"/>
              <w:bottom w:val="nil"/>
            </w:tcBorders>
            <w:noWrap w:val="0"/>
            <w:vAlign w:val="top"/>
          </w:tcPr>
          <w:p w14:paraId="5BFF33CB">
            <w:pPr>
              <w:rPr>
                <w:rFonts w:hint="eastAsia" w:ascii="华文中宋" w:hAnsi="华文中宋" w:eastAsia="华文中宋" w:cs="华文中宋"/>
                <w:sz w:val="21"/>
                <w:szCs w:val="21"/>
              </w:rPr>
            </w:pPr>
          </w:p>
        </w:tc>
        <w:tc>
          <w:tcPr>
            <w:tcW w:w="2025" w:type="dxa"/>
            <w:noWrap w:val="0"/>
            <w:vAlign w:val="top"/>
          </w:tcPr>
          <w:p w14:paraId="648CAB44">
            <w:pPr>
              <w:spacing w:line="283" w:lineRule="auto"/>
              <w:rPr>
                <w:rFonts w:hint="eastAsia" w:ascii="华文中宋" w:hAnsi="华文中宋" w:eastAsia="华文中宋" w:cs="华文中宋"/>
                <w:sz w:val="21"/>
                <w:szCs w:val="21"/>
              </w:rPr>
            </w:pPr>
          </w:p>
          <w:p w14:paraId="27EC0DDA">
            <w:pPr>
              <w:pStyle w:val="76"/>
              <w:spacing w:before="62" w:line="229" w:lineRule="auto"/>
              <w:ind w:left="14"/>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蹲便器</w:t>
            </w:r>
          </w:p>
        </w:tc>
        <w:tc>
          <w:tcPr>
            <w:tcW w:w="2085" w:type="dxa"/>
            <w:noWrap w:val="0"/>
            <w:vAlign w:val="top"/>
          </w:tcPr>
          <w:p w14:paraId="4F64D08E">
            <w:pPr>
              <w:rPr>
                <w:rFonts w:hint="eastAsia" w:ascii="华文中宋" w:hAnsi="华文中宋" w:eastAsia="华文中宋" w:cs="华文中宋"/>
                <w:sz w:val="21"/>
                <w:szCs w:val="21"/>
              </w:rPr>
            </w:pPr>
          </w:p>
        </w:tc>
        <w:tc>
          <w:tcPr>
            <w:tcW w:w="3195" w:type="dxa"/>
            <w:noWrap w:val="0"/>
            <w:vAlign w:val="top"/>
          </w:tcPr>
          <w:p w14:paraId="6E095887">
            <w:pPr>
              <w:pStyle w:val="76"/>
              <w:spacing w:before="19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《蹲便器用水效率限定值及用水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30717）</w:t>
            </w:r>
          </w:p>
        </w:tc>
      </w:tr>
      <w:tr w14:paraId="5804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vMerge w:val="continue"/>
            <w:tcBorders>
              <w:top w:val="nil"/>
            </w:tcBorders>
            <w:noWrap w:val="0"/>
            <w:vAlign w:val="top"/>
          </w:tcPr>
          <w:p w14:paraId="41BC4D7D">
            <w:pPr>
              <w:rPr>
                <w:rFonts w:hint="eastAsia" w:ascii="华文中宋" w:hAnsi="华文中宋" w:eastAsia="华文中宋" w:cs="华文中宋"/>
                <w:sz w:val="21"/>
                <w:szCs w:val="21"/>
              </w:rPr>
            </w:pPr>
          </w:p>
        </w:tc>
        <w:tc>
          <w:tcPr>
            <w:tcW w:w="1335" w:type="dxa"/>
            <w:vMerge w:val="continue"/>
            <w:tcBorders>
              <w:top w:val="nil"/>
            </w:tcBorders>
            <w:noWrap w:val="0"/>
            <w:vAlign w:val="top"/>
          </w:tcPr>
          <w:p w14:paraId="3770717F">
            <w:pPr>
              <w:rPr>
                <w:rFonts w:hint="eastAsia" w:ascii="华文中宋" w:hAnsi="华文中宋" w:eastAsia="华文中宋" w:cs="华文中宋"/>
                <w:sz w:val="21"/>
                <w:szCs w:val="21"/>
              </w:rPr>
            </w:pPr>
          </w:p>
        </w:tc>
        <w:tc>
          <w:tcPr>
            <w:tcW w:w="2025" w:type="dxa"/>
            <w:noWrap w:val="0"/>
            <w:vAlign w:val="top"/>
          </w:tcPr>
          <w:p w14:paraId="676ED3A4">
            <w:pPr>
              <w:spacing w:line="284" w:lineRule="auto"/>
              <w:rPr>
                <w:rFonts w:hint="eastAsia" w:ascii="华文中宋" w:hAnsi="华文中宋" w:eastAsia="华文中宋" w:cs="华文中宋"/>
                <w:sz w:val="21"/>
                <w:szCs w:val="21"/>
              </w:rPr>
            </w:pPr>
          </w:p>
          <w:p w14:paraId="5A4F1CFB">
            <w:pPr>
              <w:pStyle w:val="76"/>
              <w:spacing w:before="61" w:line="229" w:lineRule="auto"/>
              <w:ind w:left="20"/>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小便器</w:t>
            </w:r>
          </w:p>
        </w:tc>
        <w:tc>
          <w:tcPr>
            <w:tcW w:w="2085" w:type="dxa"/>
            <w:noWrap w:val="0"/>
            <w:vAlign w:val="top"/>
          </w:tcPr>
          <w:p w14:paraId="06CC87FF">
            <w:pPr>
              <w:rPr>
                <w:rFonts w:hint="eastAsia" w:ascii="华文中宋" w:hAnsi="华文中宋" w:eastAsia="华文中宋" w:cs="华文中宋"/>
                <w:sz w:val="21"/>
                <w:szCs w:val="21"/>
              </w:rPr>
            </w:pPr>
          </w:p>
        </w:tc>
        <w:tc>
          <w:tcPr>
            <w:tcW w:w="3195" w:type="dxa"/>
            <w:noWrap w:val="0"/>
            <w:vAlign w:val="top"/>
          </w:tcPr>
          <w:p w14:paraId="1CD5F719">
            <w:pPr>
              <w:pStyle w:val="76"/>
              <w:spacing w:before="191"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《小便器用水效率限定值及用水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28377）</w:t>
            </w:r>
          </w:p>
        </w:tc>
      </w:tr>
      <w:tr w14:paraId="020D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24C374F5">
            <w:pPr>
              <w:spacing w:line="342" w:lineRule="auto"/>
              <w:rPr>
                <w:rFonts w:hint="eastAsia" w:ascii="华文中宋" w:hAnsi="华文中宋" w:eastAsia="华文中宋" w:cs="华文中宋"/>
                <w:sz w:val="21"/>
                <w:szCs w:val="21"/>
              </w:rPr>
            </w:pPr>
          </w:p>
          <w:p w14:paraId="48E02FE8">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16</w:t>
            </w:r>
          </w:p>
        </w:tc>
        <w:tc>
          <w:tcPr>
            <w:tcW w:w="1335" w:type="dxa"/>
            <w:noWrap w:val="0"/>
            <w:vAlign w:val="top"/>
          </w:tcPr>
          <w:p w14:paraId="26751D2E">
            <w:pPr>
              <w:pStyle w:val="76"/>
              <w:spacing w:before="220" w:line="288" w:lineRule="auto"/>
              <w:ind w:left="22" w:right="8" w:hanging="4"/>
              <w:rPr>
                <w:rFonts w:hint="eastAsia" w:ascii="华文中宋" w:hAnsi="华文中宋" w:eastAsia="华文中宋" w:cs="华文中宋"/>
                <w:sz w:val="21"/>
                <w:szCs w:val="21"/>
              </w:rPr>
            </w:pPr>
            <w:r>
              <w:rPr>
                <w:rFonts w:hint="eastAsia" w:ascii="华文中宋" w:hAnsi="华文中宋" w:eastAsia="华文中宋" w:cs="华文中宋"/>
                <w:spacing w:val="3"/>
                <w:sz w:val="21"/>
                <w:szCs w:val="21"/>
              </w:rPr>
              <w:t>★A060806水</w:t>
            </w:r>
            <w:r>
              <w:rPr>
                <w:rFonts w:hint="eastAsia" w:ascii="华文中宋" w:hAnsi="华文中宋" w:eastAsia="华文中宋" w:cs="华文中宋"/>
                <w:sz w:val="21"/>
                <w:szCs w:val="21"/>
              </w:rPr>
              <w:t>嘴</w:t>
            </w:r>
          </w:p>
        </w:tc>
        <w:tc>
          <w:tcPr>
            <w:tcW w:w="2025" w:type="dxa"/>
            <w:noWrap w:val="0"/>
            <w:vAlign w:val="top"/>
          </w:tcPr>
          <w:p w14:paraId="6FF0589E">
            <w:pPr>
              <w:rPr>
                <w:rFonts w:hint="eastAsia" w:ascii="华文中宋" w:hAnsi="华文中宋" w:eastAsia="华文中宋" w:cs="华文中宋"/>
                <w:sz w:val="21"/>
                <w:szCs w:val="21"/>
              </w:rPr>
            </w:pPr>
          </w:p>
        </w:tc>
        <w:tc>
          <w:tcPr>
            <w:tcW w:w="2085" w:type="dxa"/>
            <w:noWrap w:val="0"/>
            <w:vAlign w:val="top"/>
          </w:tcPr>
          <w:p w14:paraId="26837DBE">
            <w:pPr>
              <w:rPr>
                <w:rFonts w:hint="eastAsia" w:ascii="华文中宋" w:hAnsi="华文中宋" w:eastAsia="华文中宋" w:cs="华文中宋"/>
                <w:sz w:val="21"/>
                <w:szCs w:val="21"/>
              </w:rPr>
            </w:pPr>
          </w:p>
        </w:tc>
        <w:tc>
          <w:tcPr>
            <w:tcW w:w="3195" w:type="dxa"/>
            <w:noWrap w:val="0"/>
            <w:vAlign w:val="top"/>
          </w:tcPr>
          <w:p w14:paraId="047EEC78">
            <w:pPr>
              <w:pStyle w:val="76"/>
              <w:spacing w:before="220" w:line="288"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《水嘴用水效率限定值及用水效</w:t>
            </w:r>
            <w:r>
              <w:rPr>
                <w:rFonts w:hint="eastAsia" w:ascii="华文中宋" w:hAnsi="华文中宋" w:eastAsia="华文中宋" w:cs="华文中宋"/>
                <w:spacing w:val="6"/>
                <w:sz w:val="21"/>
                <w:szCs w:val="21"/>
              </w:rPr>
              <w:t>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25501）</w:t>
            </w:r>
          </w:p>
        </w:tc>
      </w:tr>
      <w:tr w14:paraId="0957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A8E76A6">
            <w:pPr>
              <w:spacing w:line="299" w:lineRule="auto"/>
              <w:rPr>
                <w:rFonts w:hint="eastAsia" w:ascii="华文中宋" w:hAnsi="华文中宋" w:eastAsia="华文中宋" w:cs="华文中宋"/>
                <w:sz w:val="21"/>
                <w:szCs w:val="21"/>
              </w:rPr>
            </w:pPr>
          </w:p>
          <w:p w14:paraId="7909F02D">
            <w:pPr>
              <w:pStyle w:val="76"/>
              <w:spacing w:before="62"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17</w:t>
            </w:r>
          </w:p>
        </w:tc>
        <w:tc>
          <w:tcPr>
            <w:tcW w:w="1335" w:type="dxa"/>
            <w:noWrap w:val="0"/>
            <w:vAlign w:val="top"/>
          </w:tcPr>
          <w:p w14:paraId="29BA99C4">
            <w:pPr>
              <w:pStyle w:val="76"/>
              <w:spacing w:before="176" w:line="289"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5"/>
                <w:sz w:val="21"/>
                <w:szCs w:val="21"/>
              </w:rPr>
              <w:t>A060807便器</w:t>
            </w:r>
            <w:r>
              <w:rPr>
                <w:rFonts w:hint="eastAsia" w:ascii="华文中宋" w:hAnsi="华文中宋" w:eastAsia="华文中宋" w:cs="华文中宋"/>
                <w:spacing w:val="6"/>
                <w:sz w:val="21"/>
                <w:szCs w:val="21"/>
              </w:rPr>
              <w:t>冲洗阀</w:t>
            </w:r>
          </w:p>
        </w:tc>
        <w:tc>
          <w:tcPr>
            <w:tcW w:w="2025" w:type="dxa"/>
            <w:noWrap w:val="0"/>
            <w:vAlign w:val="top"/>
          </w:tcPr>
          <w:p w14:paraId="5961470C">
            <w:pPr>
              <w:rPr>
                <w:rFonts w:hint="eastAsia" w:ascii="华文中宋" w:hAnsi="华文中宋" w:eastAsia="华文中宋" w:cs="华文中宋"/>
                <w:sz w:val="21"/>
                <w:szCs w:val="21"/>
              </w:rPr>
            </w:pPr>
          </w:p>
        </w:tc>
        <w:tc>
          <w:tcPr>
            <w:tcW w:w="2085" w:type="dxa"/>
            <w:noWrap w:val="0"/>
            <w:vAlign w:val="top"/>
          </w:tcPr>
          <w:p w14:paraId="49FB3720">
            <w:pPr>
              <w:rPr>
                <w:rFonts w:hint="eastAsia" w:ascii="华文中宋" w:hAnsi="华文中宋" w:eastAsia="华文中宋" w:cs="华文中宋"/>
                <w:sz w:val="21"/>
                <w:szCs w:val="21"/>
              </w:rPr>
            </w:pPr>
          </w:p>
        </w:tc>
        <w:tc>
          <w:tcPr>
            <w:tcW w:w="3195" w:type="dxa"/>
            <w:noWrap w:val="0"/>
            <w:vAlign w:val="top"/>
          </w:tcPr>
          <w:p w14:paraId="00494202">
            <w:pPr>
              <w:pStyle w:val="76"/>
              <w:spacing w:before="176" w:line="288" w:lineRule="auto"/>
              <w:ind w:left="19" w:right="11" w:firstLine="3"/>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《便器冲洗阀用水效率限定值及</w:t>
            </w:r>
            <w:r>
              <w:rPr>
                <w:rFonts w:hint="eastAsia" w:ascii="华文中宋" w:hAnsi="华文中宋" w:eastAsia="华文中宋" w:cs="华文中宋"/>
                <w:spacing w:val="7"/>
                <w:sz w:val="21"/>
                <w:szCs w:val="21"/>
              </w:rPr>
              <w:t>用水效率等级》（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7"/>
                <w:sz w:val="21"/>
                <w:szCs w:val="21"/>
              </w:rPr>
              <w:t>28379）</w:t>
            </w:r>
          </w:p>
        </w:tc>
      </w:tr>
      <w:tr w14:paraId="3BE1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45" w:type="dxa"/>
            <w:noWrap w:val="0"/>
            <w:vAlign w:val="top"/>
          </w:tcPr>
          <w:p w14:paraId="63C5548E">
            <w:pPr>
              <w:spacing w:line="320" w:lineRule="auto"/>
              <w:rPr>
                <w:rFonts w:hint="eastAsia" w:ascii="华文中宋" w:hAnsi="华文中宋" w:eastAsia="华文中宋" w:cs="华文中宋"/>
                <w:sz w:val="21"/>
                <w:szCs w:val="21"/>
              </w:rPr>
            </w:pPr>
          </w:p>
          <w:p w14:paraId="771CD08B">
            <w:pPr>
              <w:pStyle w:val="76"/>
              <w:spacing w:before="61" w:line="190" w:lineRule="auto"/>
              <w:ind w:left="209"/>
              <w:rPr>
                <w:rFonts w:hint="eastAsia" w:ascii="华文中宋" w:hAnsi="华文中宋" w:eastAsia="华文中宋" w:cs="华文中宋"/>
                <w:sz w:val="21"/>
                <w:szCs w:val="21"/>
              </w:rPr>
            </w:pPr>
            <w:r>
              <w:rPr>
                <w:rFonts w:hint="eastAsia" w:ascii="华文中宋" w:hAnsi="华文中宋" w:eastAsia="华文中宋" w:cs="华文中宋"/>
                <w:spacing w:val="-7"/>
                <w:sz w:val="21"/>
                <w:szCs w:val="21"/>
              </w:rPr>
              <w:t>18</w:t>
            </w:r>
          </w:p>
        </w:tc>
        <w:tc>
          <w:tcPr>
            <w:tcW w:w="1335" w:type="dxa"/>
            <w:noWrap w:val="0"/>
            <w:vAlign w:val="top"/>
          </w:tcPr>
          <w:p w14:paraId="485F4D2D">
            <w:pPr>
              <w:pStyle w:val="76"/>
              <w:spacing w:before="196" w:line="291" w:lineRule="auto"/>
              <w:ind w:left="15" w:right="8" w:hanging="6"/>
              <w:rPr>
                <w:rFonts w:hint="eastAsia" w:ascii="华文中宋" w:hAnsi="华文中宋" w:eastAsia="华文中宋" w:cs="华文中宋"/>
                <w:sz w:val="21"/>
                <w:szCs w:val="21"/>
              </w:rPr>
            </w:pPr>
            <w:r>
              <w:rPr>
                <w:rFonts w:hint="eastAsia" w:ascii="华文中宋" w:hAnsi="华文中宋" w:eastAsia="华文中宋" w:cs="华文中宋"/>
                <w:spacing w:val="4"/>
                <w:sz w:val="21"/>
                <w:szCs w:val="21"/>
              </w:rPr>
              <w:t>A060810淋浴</w:t>
            </w:r>
            <w:r>
              <w:rPr>
                <w:rFonts w:hint="eastAsia" w:ascii="华文中宋" w:hAnsi="华文中宋" w:eastAsia="华文中宋" w:cs="华文中宋"/>
                <w:spacing w:val="1"/>
                <w:sz w:val="21"/>
                <w:szCs w:val="21"/>
              </w:rPr>
              <w:t>器</w:t>
            </w:r>
          </w:p>
        </w:tc>
        <w:tc>
          <w:tcPr>
            <w:tcW w:w="2025" w:type="dxa"/>
            <w:noWrap w:val="0"/>
            <w:vAlign w:val="top"/>
          </w:tcPr>
          <w:p w14:paraId="762E11F2">
            <w:pPr>
              <w:rPr>
                <w:rFonts w:hint="eastAsia" w:ascii="华文中宋" w:hAnsi="华文中宋" w:eastAsia="华文中宋" w:cs="华文中宋"/>
                <w:sz w:val="21"/>
                <w:szCs w:val="21"/>
              </w:rPr>
            </w:pPr>
          </w:p>
        </w:tc>
        <w:tc>
          <w:tcPr>
            <w:tcW w:w="2085" w:type="dxa"/>
            <w:noWrap w:val="0"/>
            <w:vAlign w:val="top"/>
          </w:tcPr>
          <w:p w14:paraId="52B841C6">
            <w:pPr>
              <w:rPr>
                <w:rFonts w:hint="eastAsia" w:ascii="华文中宋" w:hAnsi="华文中宋" w:eastAsia="华文中宋" w:cs="华文中宋"/>
                <w:sz w:val="21"/>
                <w:szCs w:val="21"/>
              </w:rPr>
            </w:pPr>
          </w:p>
        </w:tc>
        <w:tc>
          <w:tcPr>
            <w:tcW w:w="3195" w:type="dxa"/>
            <w:noWrap w:val="0"/>
            <w:vAlign w:val="top"/>
          </w:tcPr>
          <w:p w14:paraId="74C793BE">
            <w:pPr>
              <w:pStyle w:val="76"/>
              <w:spacing w:before="197" w:line="288" w:lineRule="auto"/>
              <w:ind w:left="22" w:right="11"/>
              <w:rPr>
                <w:rFonts w:hint="eastAsia" w:ascii="华文中宋" w:hAnsi="华文中宋" w:eastAsia="华文中宋" w:cs="华文中宋"/>
                <w:sz w:val="21"/>
                <w:szCs w:val="21"/>
              </w:rPr>
            </w:pPr>
            <w:r>
              <w:rPr>
                <w:rFonts w:hint="eastAsia" w:ascii="华文中宋" w:hAnsi="华文中宋" w:eastAsia="华文中宋" w:cs="华文中宋"/>
                <w:spacing w:val="19"/>
                <w:sz w:val="21"/>
                <w:szCs w:val="21"/>
              </w:rPr>
              <w:t>《淋浴器用水效率限定值及用水</w:t>
            </w:r>
            <w:r>
              <w:rPr>
                <w:rFonts w:hint="eastAsia" w:ascii="华文中宋" w:hAnsi="华文中宋" w:eastAsia="华文中宋" w:cs="华文中宋"/>
                <w:spacing w:val="6"/>
                <w:sz w:val="21"/>
                <w:szCs w:val="21"/>
              </w:rPr>
              <w:t>效率等级》（</w:t>
            </w:r>
            <w:r>
              <w:rPr>
                <w:rFonts w:hint="eastAsia" w:ascii="华文中宋" w:hAnsi="华文中宋" w:eastAsia="华文中宋" w:cs="华文中宋"/>
                <w:sz w:val="21"/>
                <w:szCs w:val="21"/>
              </w:rPr>
              <w:t>GB</w:t>
            </w:r>
            <w:r>
              <w:rPr>
                <w:rFonts w:hint="eastAsia" w:ascii="华文中宋" w:hAnsi="华文中宋" w:eastAsia="华文中宋" w:cs="华文中宋"/>
                <w:spacing w:val="6"/>
                <w:sz w:val="21"/>
                <w:szCs w:val="21"/>
              </w:rPr>
              <w:t>28378）</w:t>
            </w:r>
          </w:p>
        </w:tc>
      </w:tr>
    </w:tbl>
    <w:p w14:paraId="0AD66261">
      <w:pPr>
        <w:rPr>
          <w:rFonts w:hint="eastAsia"/>
        </w:rPr>
      </w:pPr>
    </w:p>
    <w:p w14:paraId="7270C22C">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注：1.节能产品认证应依据相关国家标准的最新版本，依据国家标准中二级能效（水效）指标。</w:t>
      </w:r>
    </w:p>
    <w:p w14:paraId="36BC2429">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 xml:space="preserve">2.上述产品中认证标准发生变更的，依据原认证标准获得的、仍在有效期内的认证证书可使用至 2019 年 6 月 </w:t>
      </w:r>
      <w:r>
        <w:rPr>
          <w:rFonts w:hint="eastAsia" w:ascii="华文中宋" w:hAnsi="华文中宋" w:eastAsia="华文中宋" w:cs="华文中宋"/>
          <w:b/>
          <w:bCs/>
          <w:color w:val="auto"/>
          <w:sz w:val="21"/>
          <w:szCs w:val="21"/>
          <w:lang w:val="en-US" w:eastAsia="zh-CN"/>
        </w:rPr>
        <w:t>1</w:t>
      </w:r>
      <w:r>
        <w:rPr>
          <w:rFonts w:hint="eastAsia" w:ascii="华文中宋" w:hAnsi="华文中宋" w:eastAsia="华文中宋" w:cs="华文中宋"/>
          <w:b/>
          <w:bCs/>
          <w:color w:val="auto"/>
          <w:sz w:val="21"/>
          <w:szCs w:val="21"/>
        </w:rPr>
        <w:t>日。</w:t>
      </w:r>
    </w:p>
    <w:p w14:paraId="0ACDE466">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3.以“★ ”标注的为政府强制采购产品。</w:t>
      </w:r>
    </w:p>
    <w:p w14:paraId="2EF56AAB">
      <w:pPr>
        <w:spacing w:line="360" w:lineRule="auto"/>
        <w:rPr>
          <w:rFonts w:hint="eastAsia" w:ascii="华文中宋" w:hAnsi="华文中宋" w:eastAsia="华文中宋" w:cs="华文中宋"/>
          <w:b/>
          <w:sz w:val="24"/>
        </w:rPr>
      </w:pPr>
    </w:p>
    <w:p w14:paraId="4C2C26FE">
      <w:pPr>
        <w:spacing w:line="360" w:lineRule="auto"/>
        <w:rPr>
          <w:rFonts w:hint="eastAsia" w:ascii="华文中宋" w:hAnsi="华文中宋" w:eastAsia="华文中宋" w:cs="华文中宋"/>
          <w:b/>
          <w:sz w:val="24"/>
        </w:rPr>
      </w:pPr>
    </w:p>
    <w:p w14:paraId="1C05C1CD">
      <w:pPr>
        <w:spacing w:line="360" w:lineRule="auto"/>
        <w:rPr>
          <w:rFonts w:ascii="华文中宋" w:hAnsi="华文中宋" w:eastAsia="华文中宋" w:cs="华文中宋"/>
          <w:b/>
          <w:sz w:val="24"/>
        </w:rPr>
      </w:pPr>
      <w:r>
        <w:rPr>
          <w:rFonts w:hint="eastAsia" w:ascii="华文中宋" w:hAnsi="华文中宋" w:eastAsia="华文中宋" w:cs="华文中宋"/>
          <w:b/>
          <w:sz w:val="24"/>
        </w:rPr>
        <w:t>正版软件承诺格式</w:t>
      </w:r>
    </w:p>
    <w:p w14:paraId="4DA984C7">
      <w:pPr>
        <w:spacing w:line="480" w:lineRule="exact"/>
        <w:ind w:firstLine="3258" w:firstLineChars="1356"/>
        <w:rPr>
          <w:rFonts w:ascii="华文中宋" w:hAnsi="华文中宋" w:eastAsia="华文中宋" w:cs="华文中宋"/>
          <w:b/>
          <w:sz w:val="24"/>
        </w:rPr>
      </w:pPr>
      <w:r>
        <w:rPr>
          <w:rFonts w:hint="eastAsia" w:ascii="华文中宋" w:hAnsi="华文中宋" w:eastAsia="华文中宋" w:cs="华文中宋"/>
          <w:b/>
          <w:sz w:val="24"/>
        </w:rPr>
        <w:t>正 版 软 件 承 诺</w:t>
      </w:r>
    </w:p>
    <w:p w14:paraId="11D73981">
      <w:pPr>
        <w:pStyle w:val="70"/>
        <w:rPr>
          <w:rFonts w:ascii="华文中宋" w:hAnsi="华文中宋" w:eastAsia="华文中宋" w:cs="华文中宋"/>
        </w:rPr>
      </w:pPr>
    </w:p>
    <w:p w14:paraId="68A8B796">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本投标人现参与</w:t>
      </w:r>
      <w:r>
        <w:rPr>
          <w:rFonts w:hint="eastAsia" w:ascii="华文中宋" w:hAnsi="华文中宋" w:eastAsia="华文中宋" w:cs="华文中宋"/>
          <w:color w:val="auto"/>
          <w:spacing w:val="6"/>
          <w:sz w:val="21"/>
          <w:szCs w:val="21"/>
          <w:u w:val="single"/>
        </w:rPr>
        <w:t>（项目名称、项目编号、包号）</w:t>
      </w:r>
      <w:r>
        <w:rPr>
          <w:rFonts w:hint="eastAsia" w:ascii="华文中宋" w:hAnsi="华文中宋" w:eastAsia="华文中宋" w:cs="华文中宋"/>
          <w:color w:val="auto"/>
          <w:sz w:val="21"/>
          <w:szCs w:val="21"/>
        </w:rPr>
        <w:t>的采购活动，本公司承诺投报的计算机产品预装正版操作系统，投报的硬件产品内的预装软件为正版软件。</w:t>
      </w:r>
    </w:p>
    <w:p w14:paraId="6F51589A">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如上述声明不真实，愿意按照政府采购有关法律法规的规定接受处罚。</w:t>
      </w:r>
    </w:p>
    <w:p w14:paraId="1D8EB9B0">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特此声明</w:t>
      </w:r>
    </w:p>
    <w:p w14:paraId="742C6462">
      <w:pPr>
        <w:snapToGrid w:val="0"/>
        <w:spacing w:line="480" w:lineRule="exact"/>
        <w:ind w:firstLine="420" w:firstLineChars="200"/>
        <w:jc w:val="right"/>
        <w:rPr>
          <w:rFonts w:hint="eastAsia" w:ascii="华文中宋" w:hAnsi="华文中宋" w:eastAsia="华文中宋" w:cs="华文中宋"/>
          <w:szCs w:val="21"/>
        </w:rPr>
      </w:pPr>
    </w:p>
    <w:p w14:paraId="774DDCAA">
      <w:pPr>
        <w:spacing w:line="360" w:lineRule="auto"/>
        <w:ind w:firstLine="424" w:firstLineChars="202"/>
        <w:rPr>
          <w:rFonts w:hint="eastAsia" w:ascii="华文中宋" w:hAnsi="华文中宋" w:eastAsia="华文中宋" w:cs="华文中宋"/>
          <w:szCs w:val="21"/>
        </w:rPr>
      </w:pPr>
    </w:p>
    <w:p w14:paraId="4BD54AB0">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6F0A0811">
      <w:pPr>
        <w:pStyle w:val="14"/>
        <w:rPr>
          <w:rFonts w:hint="eastAsia" w:ascii="华文中宋" w:hAnsi="华文中宋" w:eastAsia="华文中宋" w:cs="华文中宋"/>
          <w:szCs w:val="21"/>
        </w:rPr>
      </w:pPr>
    </w:p>
    <w:p w14:paraId="72E187F7">
      <w:pPr>
        <w:snapToGrid w:val="0"/>
        <w:spacing w:line="360" w:lineRule="auto"/>
        <w:ind w:firstLine="420" w:firstLineChars="200"/>
        <w:jc w:val="right"/>
        <w:rPr>
          <w:rFonts w:hint="eastAsia"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18234A07">
      <w:pPr>
        <w:spacing w:line="480" w:lineRule="exact"/>
        <w:rPr>
          <w:rFonts w:hint="eastAsia" w:ascii="华文中宋" w:hAnsi="华文中宋" w:eastAsia="华文中宋" w:cs="华文中宋"/>
          <w:b/>
          <w:sz w:val="24"/>
        </w:rPr>
      </w:pPr>
    </w:p>
    <w:p w14:paraId="0E7D5C01">
      <w:pPr>
        <w:spacing w:line="480" w:lineRule="exact"/>
        <w:rPr>
          <w:rFonts w:hint="eastAsia" w:ascii="华文中宋" w:hAnsi="华文中宋" w:eastAsia="华文中宋" w:cs="华文中宋"/>
          <w:b/>
          <w:sz w:val="24"/>
        </w:rPr>
      </w:pPr>
    </w:p>
    <w:p w14:paraId="5E2AA27A">
      <w:pPr>
        <w:spacing w:line="480" w:lineRule="exact"/>
        <w:rPr>
          <w:rFonts w:hint="eastAsia" w:ascii="华文中宋" w:hAnsi="华文中宋" w:eastAsia="华文中宋" w:cs="华文中宋"/>
          <w:b/>
          <w:sz w:val="24"/>
        </w:rPr>
      </w:pPr>
    </w:p>
    <w:p w14:paraId="043F34A7">
      <w:pPr>
        <w:spacing w:line="480" w:lineRule="exact"/>
        <w:rPr>
          <w:rFonts w:hint="eastAsia" w:ascii="华文中宋" w:hAnsi="华文中宋" w:eastAsia="华文中宋" w:cs="华文中宋"/>
          <w:b/>
          <w:sz w:val="24"/>
        </w:rPr>
      </w:pPr>
    </w:p>
    <w:p w14:paraId="19B3CDFF">
      <w:pPr>
        <w:spacing w:line="480" w:lineRule="exact"/>
        <w:rPr>
          <w:rFonts w:hint="eastAsia" w:ascii="华文中宋" w:hAnsi="华文中宋" w:eastAsia="华文中宋" w:cs="华文中宋"/>
          <w:b/>
          <w:sz w:val="24"/>
        </w:rPr>
      </w:pPr>
    </w:p>
    <w:p w14:paraId="209EDDD1">
      <w:pPr>
        <w:spacing w:line="480" w:lineRule="exact"/>
        <w:rPr>
          <w:rFonts w:hint="eastAsia" w:ascii="华文中宋" w:hAnsi="华文中宋" w:eastAsia="华文中宋" w:cs="华文中宋"/>
          <w:b/>
          <w:sz w:val="24"/>
        </w:rPr>
      </w:pPr>
    </w:p>
    <w:p w14:paraId="5AF72A17">
      <w:pPr>
        <w:spacing w:line="480" w:lineRule="exact"/>
        <w:rPr>
          <w:rFonts w:hint="eastAsia" w:ascii="华文中宋" w:hAnsi="华文中宋" w:eastAsia="华文中宋" w:cs="华文中宋"/>
          <w:b/>
          <w:sz w:val="24"/>
        </w:rPr>
      </w:pPr>
    </w:p>
    <w:p w14:paraId="624487AE">
      <w:pPr>
        <w:spacing w:line="480" w:lineRule="exact"/>
        <w:rPr>
          <w:rFonts w:hint="eastAsia" w:ascii="华文中宋" w:hAnsi="华文中宋" w:eastAsia="华文中宋" w:cs="华文中宋"/>
          <w:b/>
          <w:sz w:val="24"/>
        </w:rPr>
      </w:pPr>
    </w:p>
    <w:p w14:paraId="7FC5B670">
      <w:pPr>
        <w:spacing w:line="480" w:lineRule="exact"/>
        <w:rPr>
          <w:rFonts w:hint="eastAsia" w:ascii="华文中宋" w:hAnsi="华文中宋" w:eastAsia="华文中宋" w:cs="华文中宋"/>
          <w:b/>
          <w:sz w:val="24"/>
        </w:rPr>
      </w:pPr>
    </w:p>
    <w:p w14:paraId="0CA541DB">
      <w:pPr>
        <w:spacing w:line="480" w:lineRule="exact"/>
        <w:rPr>
          <w:rFonts w:hint="eastAsia" w:ascii="华文中宋" w:hAnsi="华文中宋" w:eastAsia="华文中宋" w:cs="华文中宋"/>
          <w:b/>
          <w:sz w:val="24"/>
        </w:rPr>
      </w:pPr>
    </w:p>
    <w:p w14:paraId="11DDB51E">
      <w:pPr>
        <w:spacing w:line="480" w:lineRule="exact"/>
        <w:rPr>
          <w:rFonts w:ascii="华文中宋" w:hAnsi="华文中宋" w:eastAsia="华文中宋" w:cs="华文中宋"/>
          <w:b/>
          <w:sz w:val="24"/>
        </w:rPr>
      </w:pPr>
      <w:r>
        <w:rPr>
          <w:rFonts w:hint="eastAsia" w:ascii="华文中宋" w:hAnsi="华文中宋" w:eastAsia="华文中宋" w:cs="华文中宋"/>
          <w:b/>
          <w:sz w:val="24"/>
        </w:rPr>
        <w:t>网络关键设备和网络安全专用产品明细表</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rPr>
        <w:t>格式（若有的话，以包为单位分别填写）</w:t>
      </w:r>
    </w:p>
    <w:p w14:paraId="0F7D983C">
      <w:pPr>
        <w:tabs>
          <w:tab w:val="left" w:pos="1680"/>
        </w:tabs>
        <w:snapToGrid w:val="0"/>
        <w:spacing w:line="360" w:lineRule="auto"/>
        <w:jc w:val="center"/>
        <w:rPr>
          <w:rFonts w:ascii="华文中宋" w:hAnsi="华文中宋" w:eastAsia="华文中宋" w:cs="华文中宋"/>
          <w:b/>
          <w:sz w:val="24"/>
        </w:rPr>
      </w:pPr>
    </w:p>
    <w:p w14:paraId="513D86A6">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lang w:eastAsia="zh-CN"/>
        </w:rPr>
        <w:t>网络关键设备和网络安全专用产品</w:t>
      </w:r>
      <w:r>
        <w:rPr>
          <w:rFonts w:hint="eastAsia" w:ascii="华文中宋" w:hAnsi="华文中宋" w:eastAsia="华文中宋" w:cs="华文中宋"/>
          <w:b/>
          <w:sz w:val="24"/>
        </w:rPr>
        <w:t>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81"/>
        <w:gridCol w:w="829"/>
        <w:gridCol w:w="1001"/>
        <w:gridCol w:w="1611"/>
        <w:gridCol w:w="1553"/>
        <w:gridCol w:w="1708"/>
      </w:tblGrid>
      <w:tr w14:paraId="04F7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734" w:type="dxa"/>
            <w:noWrap w:val="0"/>
            <w:vAlign w:val="center"/>
          </w:tcPr>
          <w:p w14:paraId="1E10584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81" w:type="dxa"/>
            <w:noWrap w:val="0"/>
            <w:vAlign w:val="center"/>
          </w:tcPr>
          <w:p w14:paraId="29DD0A8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829" w:type="dxa"/>
            <w:noWrap w:val="0"/>
            <w:vAlign w:val="center"/>
          </w:tcPr>
          <w:p w14:paraId="186B1CA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01" w:type="dxa"/>
            <w:noWrap w:val="0"/>
            <w:vAlign w:val="center"/>
          </w:tcPr>
          <w:p w14:paraId="2FB4343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611" w:type="dxa"/>
            <w:noWrap w:val="0"/>
            <w:vAlign w:val="center"/>
          </w:tcPr>
          <w:p w14:paraId="32018DE8">
            <w:pPr>
              <w:keepNext w:val="0"/>
              <w:keepLines w:val="0"/>
              <w:suppressLineNumbers w:val="0"/>
              <w:spacing w:before="0" w:beforeAutospacing="0" w:after="0" w:afterAutospacing="0" w:line="480" w:lineRule="exact"/>
              <w:ind w:left="0" w:right="0"/>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证书编号</w:t>
            </w:r>
          </w:p>
        </w:tc>
        <w:tc>
          <w:tcPr>
            <w:tcW w:w="1553" w:type="dxa"/>
            <w:noWrap w:val="0"/>
            <w:vAlign w:val="center"/>
          </w:tcPr>
          <w:p w14:paraId="6DDEADC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334F887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有效截止日期</w:t>
            </w:r>
          </w:p>
        </w:tc>
        <w:tc>
          <w:tcPr>
            <w:tcW w:w="1708" w:type="dxa"/>
            <w:noWrap w:val="0"/>
            <w:vAlign w:val="center"/>
          </w:tcPr>
          <w:p w14:paraId="7B24592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5AC711B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048C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3C42902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6FCF57A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024826D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0DC7A48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3C3AAE9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77D4754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14:paraId="30AECA7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1B7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7BE9A84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613C08F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58904632">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2ED0109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24F8F9A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46C549E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14:paraId="42998D5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5E1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14:paraId="23EA5660">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36AD49D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243E1C9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6B66162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7F19EF60">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1D5F603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14:paraId="68F879F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5134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center"/>
          </w:tcPr>
          <w:p w14:paraId="34BC969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14:paraId="56D9795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14:paraId="51A30BB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14:paraId="309693ED">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14:paraId="724256EC">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14:paraId="1BE5D0D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14:paraId="2F108C6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20F1CB42">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14:paraId="391A911D">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①根据招标文件第四部分实质性要求中的内容进行响应。</w:t>
      </w:r>
    </w:p>
    <w:p w14:paraId="3BD6773D">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②投标人如实填写表格，无相应内容可填的，填写“无”或用“/”来表示。</w:t>
      </w:r>
    </w:p>
    <w:p w14:paraId="7F331539">
      <w:pPr>
        <w:spacing w:line="276" w:lineRule="auto"/>
        <w:rPr>
          <w:rFonts w:hint="eastAsia" w:ascii="华文中宋" w:hAnsi="华文中宋" w:eastAsia="华文中宋"/>
          <w:b/>
          <w:sz w:val="24"/>
          <w:szCs w:val="24"/>
        </w:rPr>
      </w:pPr>
    </w:p>
    <w:p w14:paraId="76D68BA8">
      <w:pPr>
        <w:spacing w:line="276" w:lineRule="auto"/>
        <w:rPr>
          <w:rFonts w:ascii="华文中宋" w:hAnsi="华文中宋" w:eastAsia="华文中宋"/>
          <w:b/>
          <w:sz w:val="24"/>
          <w:szCs w:val="24"/>
        </w:rPr>
      </w:pPr>
      <w:r>
        <w:rPr>
          <w:rFonts w:hint="eastAsia" w:ascii="华文中宋" w:hAnsi="华文中宋" w:eastAsia="华文中宋"/>
          <w:b/>
          <w:sz w:val="24"/>
          <w:szCs w:val="24"/>
        </w:rPr>
        <w:t>网络关键设备和网络安全专用产品说明：</w:t>
      </w:r>
    </w:p>
    <w:p w14:paraId="6727C31D">
      <w:pPr>
        <w:spacing w:line="276" w:lineRule="auto"/>
        <w:rPr>
          <w:rFonts w:hint="eastAsia" w:eastAsia="华文中宋"/>
          <w:lang w:val="en-US" w:eastAsia="zh-CN"/>
        </w:rPr>
      </w:pPr>
      <w:r>
        <w:rPr>
          <w:rFonts w:hint="eastAsia" w:ascii="华文中宋" w:hAnsi="华文中宋" w:eastAsia="华文中宋"/>
          <w:b/>
          <w:szCs w:val="21"/>
        </w:rPr>
        <w:t>以下产品为网络关键设备和网络安全专用产品，如有涉及的内容，</w:t>
      </w:r>
      <w:r>
        <w:rPr>
          <w:rFonts w:hint="eastAsia" w:ascii="华文中宋" w:hAnsi="华文中宋" w:eastAsia="华文中宋"/>
          <w:b/>
          <w:szCs w:val="21"/>
          <w:lang w:val="en-US" w:eastAsia="zh-CN"/>
        </w:rPr>
        <w:t>响应文件中须提供具备资格的机构出具的安全认证台格或者安全检测符合要求的相关证明材料影印件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57"/>
        <w:gridCol w:w="5590"/>
      </w:tblGrid>
      <w:tr w14:paraId="41F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14:paraId="3100F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b/>
              </w:rPr>
            </w:pPr>
            <w:r>
              <w:rPr>
                <w:rFonts w:ascii="华文中宋" w:hAnsi="华文中宋" w:eastAsia="华文中宋"/>
                <w:b/>
                <w:sz w:val="22"/>
              </w:rPr>
              <w:t>一</w:t>
            </w:r>
            <w:r>
              <w:rPr>
                <w:rFonts w:hint="eastAsia" w:ascii="华文中宋" w:hAnsi="华文中宋" w:eastAsia="华文中宋"/>
                <w:b/>
                <w:sz w:val="22"/>
              </w:rPr>
              <w:t>、</w:t>
            </w:r>
            <w:r>
              <w:rPr>
                <w:rFonts w:ascii="华文中宋" w:hAnsi="华文中宋" w:eastAsia="华文中宋"/>
                <w:b/>
                <w:sz w:val="22"/>
              </w:rPr>
              <w:t>网络关键设备</w:t>
            </w:r>
          </w:p>
        </w:tc>
      </w:tr>
      <w:tr w14:paraId="2ED2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E107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14:paraId="34CF4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设备类别</w:t>
            </w:r>
          </w:p>
        </w:tc>
        <w:tc>
          <w:tcPr>
            <w:tcW w:w="5590" w:type="dxa"/>
            <w:noWrap w:val="0"/>
            <w:vAlign w:val="center"/>
          </w:tcPr>
          <w:p w14:paraId="227A3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范围</w:t>
            </w:r>
          </w:p>
        </w:tc>
      </w:tr>
      <w:tr w14:paraId="2CDC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3F96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1</w:t>
            </w:r>
          </w:p>
        </w:tc>
        <w:tc>
          <w:tcPr>
            <w:tcW w:w="1957" w:type="dxa"/>
            <w:noWrap w:val="0"/>
            <w:vAlign w:val="center"/>
          </w:tcPr>
          <w:p w14:paraId="56086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路由器</w:t>
            </w:r>
          </w:p>
        </w:tc>
        <w:tc>
          <w:tcPr>
            <w:tcW w:w="5590" w:type="dxa"/>
            <w:noWrap w:val="0"/>
            <w:vAlign w:val="center"/>
          </w:tcPr>
          <w:p w14:paraId="24D69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整系统吞吐量(双向)≥１２Tbps </w:t>
            </w:r>
          </w:p>
          <w:p w14:paraId="116F0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整系统路由表容量≥５５万条</w:t>
            </w:r>
          </w:p>
        </w:tc>
      </w:tr>
      <w:tr w14:paraId="3F1A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4EF9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2</w:t>
            </w:r>
          </w:p>
        </w:tc>
        <w:tc>
          <w:tcPr>
            <w:tcW w:w="1957" w:type="dxa"/>
            <w:noWrap w:val="0"/>
            <w:vAlign w:val="center"/>
          </w:tcPr>
          <w:p w14:paraId="1E90F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交换机</w:t>
            </w:r>
          </w:p>
        </w:tc>
        <w:tc>
          <w:tcPr>
            <w:tcW w:w="5590" w:type="dxa"/>
            <w:noWrap w:val="0"/>
            <w:vAlign w:val="center"/>
          </w:tcPr>
          <w:p w14:paraId="569EB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整系统吞吐量(双向)≥３０Tbps </w:t>
            </w:r>
          </w:p>
          <w:p w14:paraId="57EFE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整系统包转发率≥１０Gpps</w:t>
            </w:r>
          </w:p>
        </w:tc>
      </w:tr>
      <w:tr w14:paraId="403A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6AEE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3</w:t>
            </w:r>
          </w:p>
        </w:tc>
        <w:tc>
          <w:tcPr>
            <w:tcW w:w="1957" w:type="dxa"/>
            <w:noWrap w:val="0"/>
            <w:vAlign w:val="center"/>
          </w:tcPr>
          <w:p w14:paraId="4E615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服务</w:t>
            </w:r>
            <w:r>
              <w:rPr>
                <w:rFonts w:hint="eastAsia" w:ascii="华文中宋" w:hAnsi="华文中宋" w:eastAsia="华文中宋"/>
              </w:rPr>
              <w:t>器</w:t>
            </w:r>
          </w:p>
        </w:tc>
        <w:tc>
          <w:tcPr>
            <w:tcW w:w="5590" w:type="dxa"/>
            <w:noWrap w:val="0"/>
            <w:vAlign w:val="center"/>
          </w:tcPr>
          <w:p w14:paraId="412DC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CPU 数量≥８个 </w:t>
            </w:r>
          </w:p>
          <w:p w14:paraId="18C1E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ascii="华文中宋" w:hAnsi="华文中宋" w:eastAsia="华文中宋"/>
              </w:rPr>
              <w:t xml:space="preserve">单 CPU 内核数≥１４个 </w:t>
            </w:r>
          </w:p>
          <w:p w14:paraId="1D5EE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内存容量≥２５６GB</w:t>
            </w:r>
          </w:p>
        </w:tc>
      </w:tr>
      <w:tr w14:paraId="2826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C485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hint="eastAsia" w:ascii="华文中宋" w:hAnsi="华文中宋" w:eastAsia="华文中宋"/>
              </w:rPr>
              <w:t>4</w:t>
            </w:r>
          </w:p>
        </w:tc>
        <w:tc>
          <w:tcPr>
            <w:tcW w:w="1957" w:type="dxa"/>
            <w:noWrap w:val="0"/>
            <w:vAlign w:val="center"/>
          </w:tcPr>
          <w:p w14:paraId="31CDC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可编程逻辑控制器 (PLC设备)</w:t>
            </w:r>
          </w:p>
        </w:tc>
        <w:tc>
          <w:tcPr>
            <w:tcW w:w="5590" w:type="dxa"/>
            <w:noWrap w:val="0"/>
            <w:vAlign w:val="center"/>
          </w:tcPr>
          <w:p w14:paraId="64E7E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控制器指令执行时间≤０．０８微秒</w:t>
            </w:r>
          </w:p>
        </w:tc>
      </w:tr>
      <w:tr w14:paraId="1E4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14:paraId="5988D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b/>
              </w:rPr>
            </w:pPr>
            <w:r>
              <w:rPr>
                <w:rFonts w:ascii="华文中宋" w:hAnsi="华文中宋" w:eastAsia="华文中宋"/>
                <w:b/>
                <w:sz w:val="22"/>
              </w:rPr>
              <w:t>二</w:t>
            </w:r>
            <w:r>
              <w:rPr>
                <w:rFonts w:hint="eastAsia" w:ascii="华文中宋" w:hAnsi="华文中宋" w:eastAsia="华文中宋"/>
                <w:b/>
                <w:sz w:val="22"/>
              </w:rPr>
              <w:t>、</w:t>
            </w:r>
            <w:r>
              <w:rPr>
                <w:rFonts w:ascii="华文中宋" w:hAnsi="华文中宋" w:eastAsia="华文中宋"/>
                <w:b/>
                <w:sz w:val="22"/>
              </w:rPr>
              <w:t>网络安全专用产品</w:t>
            </w:r>
          </w:p>
        </w:tc>
      </w:tr>
      <w:tr w14:paraId="2F32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0395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14:paraId="5BC09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产品类别</w:t>
            </w:r>
          </w:p>
        </w:tc>
        <w:tc>
          <w:tcPr>
            <w:tcW w:w="5590" w:type="dxa"/>
            <w:noWrap w:val="0"/>
            <w:vAlign w:val="center"/>
          </w:tcPr>
          <w:p w14:paraId="2085F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产品描述</w:t>
            </w:r>
          </w:p>
        </w:tc>
      </w:tr>
      <w:tr w14:paraId="3DD3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983C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w:t>
            </w:r>
          </w:p>
        </w:tc>
        <w:tc>
          <w:tcPr>
            <w:tcW w:w="1957" w:type="dxa"/>
            <w:noWrap w:val="0"/>
            <w:vAlign w:val="center"/>
          </w:tcPr>
          <w:p w14:paraId="1CA52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数据备份与恢复产品</w:t>
            </w:r>
          </w:p>
        </w:tc>
        <w:tc>
          <w:tcPr>
            <w:tcW w:w="5590" w:type="dxa"/>
            <w:noWrap w:val="0"/>
            <w:vAlign w:val="center"/>
          </w:tcPr>
          <w:p w14:paraId="46F12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能够对信息系统数据进行备份和恢复,且对备份与恢复过程进行管理的产品.</w:t>
            </w:r>
          </w:p>
        </w:tc>
      </w:tr>
      <w:tr w14:paraId="1C0F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3837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w:t>
            </w:r>
          </w:p>
        </w:tc>
        <w:tc>
          <w:tcPr>
            <w:tcW w:w="1957" w:type="dxa"/>
            <w:noWrap w:val="0"/>
            <w:vAlign w:val="center"/>
          </w:tcPr>
          <w:p w14:paraId="62769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防火墙</w:t>
            </w:r>
          </w:p>
        </w:tc>
        <w:tc>
          <w:tcPr>
            <w:tcW w:w="5590" w:type="dxa"/>
            <w:noWrap w:val="0"/>
            <w:vAlign w:val="center"/>
          </w:tcPr>
          <w:p w14:paraId="7575E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对经过的数据流进行解析,并实现访问控制及安全防护功能的产品.</w:t>
            </w:r>
          </w:p>
        </w:tc>
      </w:tr>
      <w:tr w14:paraId="44A2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F555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w:t>
            </w:r>
          </w:p>
        </w:tc>
        <w:tc>
          <w:tcPr>
            <w:tcW w:w="1957" w:type="dxa"/>
            <w:noWrap w:val="0"/>
            <w:vAlign w:val="center"/>
          </w:tcPr>
          <w:p w14:paraId="22F4C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入侵检测系统 (IDS)</w:t>
            </w:r>
          </w:p>
        </w:tc>
        <w:tc>
          <w:tcPr>
            <w:tcW w:w="5590" w:type="dxa"/>
            <w:noWrap w:val="0"/>
            <w:vAlign w:val="center"/>
          </w:tcPr>
          <w:p w14:paraId="67472255">
            <w:pPr>
              <w:keepNext w:val="0"/>
              <w:keepLines w:val="0"/>
              <w:pageBreakBefore w:val="0"/>
              <w:widowControl w:val="0"/>
              <w:suppressLineNumbers w:val="0"/>
              <w:tabs>
                <w:tab w:val="left" w:pos="1095"/>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以网络上的数据包作为数据源,监听所保护网络节点的所有数据包并进行分析,从而发现异常行为的产品.</w:t>
            </w:r>
          </w:p>
        </w:tc>
      </w:tr>
      <w:tr w14:paraId="588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0ED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4</w:t>
            </w:r>
          </w:p>
        </w:tc>
        <w:tc>
          <w:tcPr>
            <w:tcW w:w="1957" w:type="dxa"/>
            <w:noWrap w:val="0"/>
            <w:vAlign w:val="center"/>
          </w:tcPr>
          <w:p w14:paraId="1A1E7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入侵防御系统 (IPS)</w:t>
            </w:r>
          </w:p>
        </w:tc>
        <w:tc>
          <w:tcPr>
            <w:tcW w:w="5590" w:type="dxa"/>
            <w:noWrap w:val="0"/>
            <w:vAlign w:val="center"/>
          </w:tcPr>
          <w:p w14:paraId="2867D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以网桥或网关形式部署在网络通路上,通过分析网络流量发现具有入侵特征的网络行为,在其传入被保护网络前进行拦截的产品.</w:t>
            </w:r>
          </w:p>
        </w:tc>
      </w:tr>
      <w:tr w14:paraId="2F4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F327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5</w:t>
            </w:r>
          </w:p>
        </w:tc>
        <w:tc>
          <w:tcPr>
            <w:tcW w:w="1957" w:type="dxa"/>
            <w:noWrap w:val="0"/>
            <w:vAlign w:val="center"/>
          </w:tcPr>
          <w:p w14:paraId="3FCDD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网络和终端 隔离产品</w:t>
            </w:r>
          </w:p>
        </w:tc>
        <w:tc>
          <w:tcPr>
            <w:tcW w:w="5590" w:type="dxa"/>
            <w:noWrap w:val="0"/>
            <w:vAlign w:val="center"/>
          </w:tcPr>
          <w:p w14:paraId="5F2E0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在不同的网络终端和网络安全域之间建立安全控制点,实现在不同的网络终端和网络安全域之间提供访问可控服务的产品.</w:t>
            </w:r>
          </w:p>
        </w:tc>
      </w:tr>
      <w:tr w14:paraId="7A2F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78D0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6</w:t>
            </w:r>
          </w:p>
        </w:tc>
        <w:tc>
          <w:tcPr>
            <w:tcW w:w="1957" w:type="dxa"/>
            <w:noWrap w:val="0"/>
            <w:vAlign w:val="center"/>
          </w:tcPr>
          <w:p w14:paraId="28482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反垃圾邮件产品</w:t>
            </w:r>
          </w:p>
        </w:tc>
        <w:tc>
          <w:tcPr>
            <w:tcW w:w="5590" w:type="dxa"/>
            <w:noWrap w:val="0"/>
            <w:vAlign w:val="center"/>
          </w:tcPr>
          <w:p w14:paraId="0D5B4C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能够对垃圾邮件进行识别和处理的软件或软硬件组合,包括但不限于反垃圾邮件网关、反垃圾邮件系统、安装于邮件服务器的反垃圾邮件软件,以及与邮件服务器集成的反垃圾邮件产品等.</w:t>
            </w:r>
          </w:p>
        </w:tc>
      </w:tr>
      <w:tr w14:paraId="0C2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67D46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7</w:t>
            </w:r>
          </w:p>
        </w:tc>
        <w:tc>
          <w:tcPr>
            <w:tcW w:w="1957" w:type="dxa"/>
            <w:noWrap w:val="0"/>
            <w:vAlign w:val="center"/>
          </w:tcPr>
          <w:p w14:paraId="2CA08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网络安全审计产品</w:t>
            </w:r>
          </w:p>
        </w:tc>
        <w:tc>
          <w:tcPr>
            <w:tcW w:w="5590" w:type="dxa"/>
            <w:noWrap w:val="0"/>
            <w:vAlign w:val="center"/>
          </w:tcPr>
          <w:p w14:paraId="7AC2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采集网络、信息系统及其组件的记录与活动数据,并对这些数据进行存储和分析,以实现事件追溯、发现安全违规或异常的产品.</w:t>
            </w:r>
          </w:p>
        </w:tc>
      </w:tr>
      <w:tr w14:paraId="4124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4643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8</w:t>
            </w:r>
          </w:p>
        </w:tc>
        <w:tc>
          <w:tcPr>
            <w:tcW w:w="1957" w:type="dxa"/>
            <w:noWrap w:val="0"/>
            <w:vAlign w:val="center"/>
          </w:tcPr>
          <w:p w14:paraId="0D912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网络脆弱性 扫描产品</w:t>
            </w:r>
          </w:p>
        </w:tc>
        <w:tc>
          <w:tcPr>
            <w:tcW w:w="5590" w:type="dxa"/>
            <w:noWrap w:val="0"/>
            <w:vAlign w:val="center"/>
          </w:tcPr>
          <w:p w14:paraId="7702A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利用扫描手段检测目标网络系统中可能存在的安全弱点的软件或软硬件组合的产品.</w:t>
            </w:r>
          </w:p>
        </w:tc>
      </w:tr>
      <w:tr w14:paraId="210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4739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9</w:t>
            </w:r>
          </w:p>
        </w:tc>
        <w:tc>
          <w:tcPr>
            <w:tcW w:w="1957" w:type="dxa"/>
            <w:noWrap w:val="0"/>
            <w:vAlign w:val="center"/>
          </w:tcPr>
          <w:p w14:paraId="31CE5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安全数据库系统</w:t>
            </w:r>
          </w:p>
        </w:tc>
        <w:tc>
          <w:tcPr>
            <w:tcW w:w="5590" w:type="dxa"/>
            <w:noWrap w:val="0"/>
            <w:vAlign w:val="center"/>
          </w:tcPr>
          <w:p w14:paraId="71DD5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从系统设计、实现、使用和管理等各个阶段 都遵循一套完整的系统安全策略的数据库系统,目的是在数据库层面保障数据安全.</w:t>
            </w:r>
          </w:p>
        </w:tc>
      </w:tr>
      <w:tr w14:paraId="0BE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E98A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10</w:t>
            </w:r>
          </w:p>
        </w:tc>
        <w:tc>
          <w:tcPr>
            <w:tcW w:w="1957" w:type="dxa"/>
            <w:noWrap w:val="0"/>
            <w:vAlign w:val="center"/>
          </w:tcPr>
          <w:p w14:paraId="174DD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网站数据恢复产品</w:t>
            </w:r>
          </w:p>
        </w:tc>
        <w:tc>
          <w:tcPr>
            <w:tcW w:w="5590" w:type="dxa"/>
            <w:noWrap w:val="0"/>
            <w:vAlign w:val="center"/>
          </w:tcPr>
          <w:p w14:paraId="16591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提供对网站数据的监测、防篡改,并实现数 据备份和恢复等安全功能的产品.</w:t>
            </w:r>
          </w:p>
        </w:tc>
      </w:tr>
      <w:tr w14:paraId="3645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86EE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11</w:t>
            </w:r>
          </w:p>
        </w:tc>
        <w:tc>
          <w:tcPr>
            <w:tcW w:w="1957" w:type="dxa"/>
            <w:noWrap w:val="0"/>
            <w:vAlign w:val="center"/>
          </w:tcPr>
          <w:p w14:paraId="7404A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虚拟专用网产品</w:t>
            </w:r>
          </w:p>
        </w:tc>
        <w:tc>
          <w:tcPr>
            <w:tcW w:w="5590" w:type="dxa"/>
            <w:noWrap w:val="0"/>
            <w:vAlign w:val="center"/>
          </w:tcPr>
          <w:p w14:paraId="4B53D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在互联网链路等公共通信基础网络上建立专用安全传输通道的产品.</w:t>
            </w:r>
          </w:p>
        </w:tc>
      </w:tr>
      <w:tr w14:paraId="0C92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C98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12</w:t>
            </w:r>
          </w:p>
        </w:tc>
        <w:tc>
          <w:tcPr>
            <w:tcW w:w="1957" w:type="dxa"/>
            <w:noWrap w:val="0"/>
            <w:vAlign w:val="center"/>
          </w:tcPr>
          <w:p w14:paraId="4CBE0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防病毒网关</w:t>
            </w:r>
          </w:p>
        </w:tc>
        <w:tc>
          <w:tcPr>
            <w:tcW w:w="5590" w:type="dxa"/>
            <w:noWrap w:val="0"/>
            <w:vAlign w:val="center"/>
          </w:tcPr>
          <w:p w14:paraId="14A93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部署于网络和网络之间,通过分析网络层和应用层的通信,根据预先定义的过滤规则和防护策略实现对网络内病毒防护的产品.</w:t>
            </w:r>
          </w:p>
        </w:tc>
      </w:tr>
      <w:tr w14:paraId="7914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FC2F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13</w:t>
            </w:r>
          </w:p>
        </w:tc>
        <w:tc>
          <w:tcPr>
            <w:tcW w:w="1957" w:type="dxa"/>
            <w:noWrap w:val="0"/>
            <w:vAlign w:val="center"/>
          </w:tcPr>
          <w:p w14:paraId="3C497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统一威胁管理产品 (UTM)</w:t>
            </w:r>
          </w:p>
        </w:tc>
        <w:tc>
          <w:tcPr>
            <w:tcW w:w="5590" w:type="dxa"/>
            <w:noWrap w:val="0"/>
            <w:vAlign w:val="center"/>
          </w:tcPr>
          <w:p w14:paraId="06817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通过统一部署的安全策略,融合多种安全功能,针对面向网络及应用系统的安全威胁进行综合防御的网关型设备或系统.</w:t>
            </w:r>
          </w:p>
        </w:tc>
      </w:tr>
      <w:tr w14:paraId="32C9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D9E7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14</w:t>
            </w:r>
          </w:p>
        </w:tc>
        <w:tc>
          <w:tcPr>
            <w:tcW w:w="1957" w:type="dxa"/>
            <w:noWrap w:val="0"/>
            <w:vAlign w:val="center"/>
          </w:tcPr>
          <w:p w14:paraId="5CD96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病毒防治产品</w:t>
            </w:r>
          </w:p>
        </w:tc>
        <w:tc>
          <w:tcPr>
            <w:tcW w:w="5590" w:type="dxa"/>
            <w:noWrap w:val="0"/>
            <w:vAlign w:val="center"/>
          </w:tcPr>
          <w:p w14:paraId="4AAD5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用于检测发现或阻止恶意代码的传播以及对主机操作系统应用软件和用户文件的篡改、窃取和破坏等的产品.</w:t>
            </w:r>
          </w:p>
        </w:tc>
      </w:tr>
      <w:tr w14:paraId="251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11AD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15</w:t>
            </w:r>
          </w:p>
        </w:tc>
        <w:tc>
          <w:tcPr>
            <w:tcW w:w="1957" w:type="dxa"/>
            <w:noWrap w:val="0"/>
            <w:vAlign w:val="center"/>
          </w:tcPr>
          <w:p w14:paraId="210DC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安全操作系统</w:t>
            </w:r>
          </w:p>
        </w:tc>
        <w:tc>
          <w:tcPr>
            <w:tcW w:w="5590" w:type="dxa"/>
            <w:noWrap w:val="0"/>
            <w:vAlign w:val="center"/>
          </w:tcPr>
          <w:p w14:paraId="29A1E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从系统设计、实现到使用等各个阶段都遵循了一套完整的安全策略的操作系统,目的是在操作系统层面保障系统安全.</w:t>
            </w:r>
          </w:p>
        </w:tc>
      </w:tr>
      <w:tr w14:paraId="0F7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CE07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16</w:t>
            </w:r>
          </w:p>
        </w:tc>
        <w:tc>
          <w:tcPr>
            <w:tcW w:w="1957" w:type="dxa"/>
            <w:noWrap w:val="0"/>
            <w:vAlign w:val="center"/>
          </w:tcPr>
          <w:p w14:paraId="32545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安全网络存储</w:t>
            </w:r>
          </w:p>
        </w:tc>
        <w:tc>
          <w:tcPr>
            <w:tcW w:w="5590" w:type="dxa"/>
            <w:noWrap w:val="0"/>
            <w:vAlign w:val="center"/>
          </w:tcPr>
          <w:p w14:paraId="2CF9B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通过网络基于不同协议连接到服务器的专用存储设备.</w:t>
            </w:r>
          </w:p>
        </w:tc>
      </w:tr>
      <w:tr w14:paraId="3026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9B9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17</w:t>
            </w:r>
          </w:p>
        </w:tc>
        <w:tc>
          <w:tcPr>
            <w:tcW w:w="1957" w:type="dxa"/>
            <w:noWrap w:val="0"/>
            <w:vAlign w:val="center"/>
          </w:tcPr>
          <w:p w14:paraId="7B3DE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公钥基础设施</w:t>
            </w:r>
          </w:p>
        </w:tc>
        <w:tc>
          <w:tcPr>
            <w:tcW w:w="5590" w:type="dxa"/>
            <w:noWrap w:val="0"/>
            <w:vAlign w:val="center"/>
          </w:tcPr>
          <w:p w14:paraId="57646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支持公钥管理体制,提供鉴别、加密、完整 性和不可否认服务的基础设施.</w:t>
            </w:r>
          </w:p>
        </w:tc>
      </w:tr>
      <w:tr w14:paraId="0790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D96F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18</w:t>
            </w:r>
          </w:p>
        </w:tc>
        <w:tc>
          <w:tcPr>
            <w:tcW w:w="1957" w:type="dxa"/>
            <w:noWrap w:val="0"/>
            <w:vAlign w:val="center"/>
          </w:tcPr>
          <w:p w14:paraId="11D66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网络安全态势感知产品</w:t>
            </w:r>
          </w:p>
        </w:tc>
        <w:tc>
          <w:tcPr>
            <w:tcW w:w="5590" w:type="dxa"/>
            <w:noWrap w:val="0"/>
            <w:vAlign w:val="center"/>
          </w:tcPr>
          <w:p w14:paraId="6C6A8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通过采集网络流量、资产信息、日志、漏洞信息、告警信息、威胁信息等数据,分析和处理网络行为及用户行为等因素,掌握网络安全状态,预测网络安全趋势,并进行展 示和监测预警的产品.</w:t>
            </w:r>
          </w:p>
        </w:tc>
      </w:tr>
      <w:tr w14:paraId="377B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F62A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19</w:t>
            </w:r>
          </w:p>
        </w:tc>
        <w:tc>
          <w:tcPr>
            <w:tcW w:w="1957" w:type="dxa"/>
            <w:noWrap w:val="0"/>
            <w:vAlign w:val="center"/>
          </w:tcPr>
          <w:p w14:paraId="0D7C8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信息系统安全管理平台</w:t>
            </w:r>
          </w:p>
        </w:tc>
        <w:tc>
          <w:tcPr>
            <w:tcW w:w="5590" w:type="dxa"/>
            <w:noWrap w:val="0"/>
            <w:vAlign w:val="center"/>
          </w:tcPr>
          <w:p w14:paraId="7E777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对信息系统的安全策略以及执行该策略的安全计算环境、安全区域边界和安全通信网络等方面的安全机制实施统一管理的平台.</w:t>
            </w:r>
          </w:p>
        </w:tc>
      </w:tr>
      <w:tr w14:paraId="113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BA40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20</w:t>
            </w:r>
          </w:p>
        </w:tc>
        <w:tc>
          <w:tcPr>
            <w:tcW w:w="1957" w:type="dxa"/>
            <w:noWrap w:val="0"/>
            <w:vAlign w:val="center"/>
          </w:tcPr>
          <w:p w14:paraId="1396B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网络型流量控制产品</w:t>
            </w:r>
          </w:p>
        </w:tc>
        <w:tc>
          <w:tcPr>
            <w:tcW w:w="5590" w:type="dxa"/>
            <w:noWrap w:val="0"/>
            <w:vAlign w:val="center"/>
          </w:tcPr>
          <w:p w14:paraId="50F16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对安全域的网络进行流量监测和带宽控制的流量管理系统.</w:t>
            </w:r>
          </w:p>
        </w:tc>
      </w:tr>
      <w:tr w14:paraId="040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4BF6A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21</w:t>
            </w:r>
          </w:p>
        </w:tc>
        <w:tc>
          <w:tcPr>
            <w:tcW w:w="1957" w:type="dxa"/>
            <w:noWrap w:val="0"/>
            <w:vAlign w:val="center"/>
          </w:tcPr>
          <w:p w14:paraId="1CF16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负载均衡产品</w:t>
            </w:r>
          </w:p>
        </w:tc>
        <w:tc>
          <w:tcPr>
            <w:tcW w:w="5590" w:type="dxa"/>
            <w:noWrap w:val="0"/>
            <w:vAlign w:val="center"/>
          </w:tcPr>
          <w:p w14:paraId="30F7A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提供链路负载均衡、服务器负载均衡、网络流量优化和智能处理等功能的产品.</w:t>
            </w:r>
          </w:p>
        </w:tc>
      </w:tr>
      <w:tr w14:paraId="5AD5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98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22</w:t>
            </w:r>
          </w:p>
        </w:tc>
        <w:tc>
          <w:tcPr>
            <w:tcW w:w="1957" w:type="dxa"/>
            <w:noWrap w:val="0"/>
            <w:vAlign w:val="center"/>
          </w:tcPr>
          <w:p w14:paraId="7FFD4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信息过滤产品</w:t>
            </w:r>
          </w:p>
        </w:tc>
        <w:tc>
          <w:tcPr>
            <w:tcW w:w="5590" w:type="dxa"/>
            <w:noWrap w:val="0"/>
            <w:vAlign w:val="center"/>
          </w:tcPr>
          <w:p w14:paraId="60B07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对文本、图片等网络信息进行筛选控制的 产品.</w:t>
            </w:r>
          </w:p>
        </w:tc>
      </w:tr>
      <w:tr w14:paraId="4A42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8683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23</w:t>
            </w:r>
          </w:p>
        </w:tc>
        <w:tc>
          <w:tcPr>
            <w:tcW w:w="1957" w:type="dxa"/>
            <w:noWrap w:val="0"/>
            <w:vAlign w:val="center"/>
          </w:tcPr>
          <w:p w14:paraId="503C2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抗拒绝服务攻击产品</w:t>
            </w:r>
          </w:p>
        </w:tc>
        <w:tc>
          <w:tcPr>
            <w:tcW w:w="5590" w:type="dxa"/>
            <w:noWrap w:val="0"/>
            <w:vAlign w:val="center"/>
          </w:tcPr>
          <w:p w14:paraId="0EC22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用于识别和拦截拒绝服务攻击、保障系统可用性的产品.</w:t>
            </w:r>
          </w:p>
        </w:tc>
      </w:tr>
      <w:tr w14:paraId="7574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F4A1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24</w:t>
            </w:r>
          </w:p>
        </w:tc>
        <w:tc>
          <w:tcPr>
            <w:tcW w:w="1957" w:type="dxa"/>
            <w:noWrap w:val="0"/>
            <w:vAlign w:val="center"/>
          </w:tcPr>
          <w:p w14:paraId="3C46C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终端接入控制产品</w:t>
            </w:r>
          </w:p>
        </w:tc>
        <w:tc>
          <w:tcPr>
            <w:tcW w:w="5590" w:type="dxa"/>
            <w:noWrap w:val="0"/>
            <w:vAlign w:val="center"/>
          </w:tcPr>
          <w:p w14:paraId="5A987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提供对接入网络的终端进行访问控制功能的产品.</w:t>
            </w:r>
          </w:p>
        </w:tc>
      </w:tr>
      <w:tr w14:paraId="1552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58B8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25</w:t>
            </w:r>
          </w:p>
        </w:tc>
        <w:tc>
          <w:tcPr>
            <w:tcW w:w="1957" w:type="dxa"/>
            <w:noWrap w:val="0"/>
            <w:vAlign w:val="center"/>
          </w:tcPr>
          <w:p w14:paraId="039B5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USB移动存储介质管理系统</w:t>
            </w:r>
          </w:p>
        </w:tc>
        <w:tc>
          <w:tcPr>
            <w:tcW w:w="5590" w:type="dxa"/>
            <w:noWrap w:val="0"/>
            <w:vAlign w:val="center"/>
          </w:tcPr>
          <w:p w14:paraId="69083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对移动存储设备采取身份认证、访问控制、审计机制等管理手段,实现移动存储设备 与主机设备之间可信访问的产品.</w:t>
            </w:r>
          </w:p>
        </w:tc>
      </w:tr>
      <w:tr w14:paraId="05E8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290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26</w:t>
            </w:r>
          </w:p>
        </w:tc>
        <w:tc>
          <w:tcPr>
            <w:tcW w:w="1957" w:type="dxa"/>
            <w:noWrap w:val="0"/>
            <w:vAlign w:val="center"/>
          </w:tcPr>
          <w:p w14:paraId="2F8A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文件加密产品</w:t>
            </w:r>
          </w:p>
        </w:tc>
        <w:tc>
          <w:tcPr>
            <w:tcW w:w="5590" w:type="dxa"/>
            <w:noWrap w:val="0"/>
            <w:vAlign w:val="center"/>
          </w:tcPr>
          <w:p w14:paraId="54A92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用于防御攻击者窃取以文件等形式存储的数据、保障存储数据安全的产品.</w:t>
            </w:r>
          </w:p>
        </w:tc>
      </w:tr>
      <w:tr w14:paraId="2D8E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33BB4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27</w:t>
            </w:r>
          </w:p>
        </w:tc>
        <w:tc>
          <w:tcPr>
            <w:tcW w:w="1957" w:type="dxa"/>
            <w:noWrap w:val="0"/>
            <w:vAlign w:val="center"/>
          </w:tcPr>
          <w:p w14:paraId="5624B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数据泄露防护产品</w:t>
            </w:r>
          </w:p>
        </w:tc>
        <w:tc>
          <w:tcPr>
            <w:tcW w:w="5590" w:type="dxa"/>
            <w:noWrap w:val="0"/>
            <w:vAlign w:val="center"/>
          </w:tcPr>
          <w:p w14:paraId="05FB5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通过对安全域内部敏感信息输出的主要途径进行控制和审计,防止安全域内部敏感信息被非授权泄露的产品.</w:t>
            </w:r>
          </w:p>
        </w:tc>
      </w:tr>
      <w:tr w14:paraId="00C2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0271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28</w:t>
            </w:r>
          </w:p>
        </w:tc>
        <w:tc>
          <w:tcPr>
            <w:tcW w:w="1957" w:type="dxa"/>
            <w:noWrap w:val="0"/>
            <w:vAlign w:val="center"/>
          </w:tcPr>
          <w:p w14:paraId="362AE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数据销毁软件产品</w:t>
            </w:r>
          </w:p>
        </w:tc>
        <w:tc>
          <w:tcPr>
            <w:tcW w:w="5590" w:type="dxa"/>
            <w:noWrap w:val="0"/>
            <w:vAlign w:val="center"/>
          </w:tcPr>
          <w:p w14:paraId="53856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采用信息技术进行逻辑级底层数据清除, 彻底销毁存储介质所承载数据的产品.</w:t>
            </w:r>
          </w:p>
        </w:tc>
      </w:tr>
      <w:tr w14:paraId="29A2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EB35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29</w:t>
            </w:r>
          </w:p>
        </w:tc>
        <w:tc>
          <w:tcPr>
            <w:tcW w:w="1957" w:type="dxa"/>
            <w:noWrap w:val="0"/>
            <w:vAlign w:val="center"/>
          </w:tcPr>
          <w:p w14:paraId="0AA46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安全配置检查产品</w:t>
            </w:r>
          </w:p>
        </w:tc>
        <w:tc>
          <w:tcPr>
            <w:tcW w:w="5590" w:type="dxa"/>
            <w:noWrap w:val="0"/>
            <w:vAlign w:val="center"/>
          </w:tcPr>
          <w:p w14:paraId="31D4D4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基于安全配置要求实现对资产的安全配置检测和合规性分析,生成安全配置建议和合规性报告的产品.</w:t>
            </w:r>
          </w:p>
        </w:tc>
      </w:tr>
      <w:tr w14:paraId="74E6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164B3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30</w:t>
            </w:r>
          </w:p>
        </w:tc>
        <w:tc>
          <w:tcPr>
            <w:tcW w:w="1957" w:type="dxa"/>
            <w:noWrap w:val="0"/>
            <w:vAlign w:val="center"/>
          </w:tcPr>
          <w:p w14:paraId="72A81D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运维安全管理产品</w:t>
            </w:r>
          </w:p>
        </w:tc>
        <w:tc>
          <w:tcPr>
            <w:tcW w:w="5590" w:type="dxa"/>
            <w:noWrap w:val="0"/>
            <w:vAlign w:val="center"/>
          </w:tcPr>
          <w:p w14:paraId="31863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对信息系统重要资产维护过程实现单点登录、集中授权、集中管理和审计的产品.</w:t>
            </w:r>
          </w:p>
        </w:tc>
      </w:tr>
      <w:tr w14:paraId="42DE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50449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31</w:t>
            </w:r>
          </w:p>
        </w:tc>
        <w:tc>
          <w:tcPr>
            <w:tcW w:w="1957" w:type="dxa"/>
            <w:noWrap w:val="0"/>
            <w:vAlign w:val="center"/>
          </w:tcPr>
          <w:p w14:paraId="343F5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日志分析产品</w:t>
            </w:r>
          </w:p>
        </w:tc>
        <w:tc>
          <w:tcPr>
            <w:tcW w:w="5590" w:type="dxa"/>
            <w:noWrap w:val="0"/>
            <w:vAlign w:val="center"/>
          </w:tcPr>
          <w:p w14:paraId="55CC8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采集信息系统中的日志数据,并进行集中存储和分析的安全产品.</w:t>
            </w:r>
          </w:p>
        </w:tc>
      </w:tr>
      <w:tr w14:paraId="315C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79D7D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32</w:t>
            </w:r>
          </w:p>
        </w:tc>
        <w:tc>
          <w:tcPr>
            <w:tcW w:w="1957" w:type="dxa"/>
            <w:noWrap w:val="0"/>
            <w:vAlign w:val="center"/>
          </w:tcPr>
          <w:p w14:paraId="1C699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身份鉴别产品</w:t>
            </w:r>
          </w:p>
        </w:tc>
        <w:tc>
          <w:tcPr>
            <w:tcW w:w="5590" w:type="dxa"/>
            <w:noWrap w:val="0"/>
            <w:vAlign w:val="center"/>
          </w:tcPr>
          <w:p w14:paraId="10BF7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要求用户提供以电子信息或生物信息为载体的身份鉴别信息,确认应用系统使用者身份的产品.</w:t>
            </w:r>
          </w:p>
        </w:tc>
      </w:tr>
      <w:tr w14:paraId="1C2C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371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33</w:t>
            </w:r>
          </w:p>
        </w:tc>
        <w:tc>
          <w:tcPr>
            <w:tcW w:w="1957" w:type="dxa"/>
            <w:noWrap w:val="0"/>
            <w:vAlign w:val="center"/>
          </w:tcPr>
          <w:p w14:paraId="5DCF1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终端安全监测产品</w:t>
            </w:r>
          </w:p>
        </w:tc>
        <w:tc>
          <w:tcPr>
            <w:tcW w:w="5590" w:type="dxa"/>
            <w:noWrap w:val="0"/>
            <w:vAlign w:val="center"/>
          </w:tcPr>
          <w:p w14:paraId="4EFA1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对终端进行安全性监测和控制,发现和阻止系统和网络资源非授权使用的产品.</w:t>
            </w:r>
          </w:p>
        </w:tc>
      </w:tr>
      <w:tr w14:paraId="673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14:paraId="25687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华文中宋" w:hAnsi="华文中宋" w:eastAsia="华文中宋"/>
              </w:rPr>
            </w:pPr>
            <w:r>
              <w:rPr>
                <w:rFonts w:hint="eastAsia" w:ascii="华文中宋" w:hAnsi="华文中宋" w:eastAsia="华文中宋"/>
              </w:rPr>
              <w:t>34</w:t>
            </w:r>
          </w:p>
        </w:tc>
        <w:tc>
          <w:tcPr>
            <w:tcW w:w="1957" w:type="dxa"/>
            <w:noWrap w:val="0"/>
            <w:vAlign w:val="center"/>
          </w:tcPr>
          <w:p w14:paraId="30155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华文中宋" w:hAnsi="华文中宋" w:eastAsia="华文中宋"/>
              </w:rPr>
            </w:pPr>
            <w:r>
              <w:rPr>
                <w:rFonts w:ascii="华文中宋" w:hAnsi="华文中宋" w:eastAsia="华文中宋"/>
              </w:rPr>
              <w:t>电子文档安全管理产品</w:t>
            </w:r>
          </w:p>
        </w:tc>
        <w:tc>
          <w:tcPr>
            <w:tcW w:w="5590" w:type="dxa"/>
            <w:noWrap w:val="0"/>
            <w:vAlign w:val="center"/>
          </w:tcPr>
          <w:p w14:paraId="1A00E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华文中宋" w:hAnsi="华文中宋" w:eastAsia="华文中宋"/>
              </w:rPr>
            </w:pPr>
            <w:r>
              <w:rPr>
                <w:rFonts w:ascii="华文中宋" w:hAnsi="华文中宋" w:eastAsia="华文中宋"/>
              </w:rPr>
              <w:t>通过制作安全电子文档或将电子文档转换为安全电子文档,对安全电子文档进行统 一管理、监控和审计的产品.</w:t>
            </w:r>
          </w:p>
        </w:tc>
      </w:tr>
    </w:tbl>
    <w:p w14:paraId="64BCDAB8">
      <w:pPr>
        <w:spacing w:line="480" w:lineRule="exact"/>
        <w:jc w:val="left"/>
        <w:rPr>
          <w:rFonts w:hint="eastAsia" w:ascii="华文中宋" w:hAnsi="华文中宋" w:eastAsia="华文中宋" w:cs="华文中宋"/>
          <w:b/>
          <w:sz w:val="24"/>
        </w:rPr>
      </w:pPr>
    </w:p>
    <w:p w14:paraId="0DC62A04">
      <w:pPr>
        <w:spacing w:line="480" w:lineRule="exact"/>
        <w:jc w:val="left"/>
        <w:rPr>
          <w:rFonts w:hint="eastAsia" w:ascii="华文中宋" w:hAnsi="华文中宋" w:eastAsia="华文中宋" w:cs="华文中宋"/>
          <w:b/>
          <w:sz w:val="24"/>
        </w:rPr>
      </w:pPr>
    </w:p>
    <w:p w14:paraId="0FB56E32">
      <w:pPr>
        <w:spacing w:line="480" w:lineRule="exact"/>
        <w:jc w:val="left"/>
        <w:rPr>
          <w:rFonts w:hint="eastAsia" w:ascii="华文中宋" w:hAnsi="华文中宋" w:eastAsia="华文中宋" w:cs="华文中宋"/>
          <w:b/>
          <w:sz w:val="24"/>
        </w:rPr>
      </w:pPr>
    </w:p>
    <w:p w14:paraId="7995DC6C">
      <w:pPr>
        <w:spacing w:line="480" w:lineRule="exact"/>
        <w:jc w:val="left"/>
        <w:rPr>
          <w:rFonts w:hint="eastAsia" w:ascii="华文中宋" w:hAnsi="华文中宋" w:eastAsia="华文中宋" w:cs="华文中宋"/>
          <w:b/>
          <w:sz w:val="24"/>
        </w:rPr>
      </w:pPr>
      <w:r>
        <w:rPr>
          <w:rFonts w:hint="eastAsia" w:ascii="华文中宋" w:hAnsi="华文中宋" w:eastAsia="华文中宋" w:cs="华文中宋"/>
          <w:b/>
          <w:sz w:val="24"/>
        </w:rPr>
        <w:t>商品包装和快递包装承诺格式</w:t>
      </w:r>
    </w:p>
    <w:p w14:paraId="278AF01D">
      <w:pPr>
        <w:spacing w:line="48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商品包装和快递包装承诺</w:t>
      </w:r>
    </w:p>
    <w:p w14:paraId="35B9B890">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p>
    <w:p w14:paraId="7F8A42B8">
      <w:pPr>
        <w:spacing w:line="360" w:lineRule="auto"/>
        <w:ind w:firstLine="420" w:firstLineChars="200"/>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本投标人现参与</w:t>
      </w:r>
      <w:r>
        <w:rPr>
          <w:rFonts w:hint="eastAsia" w:ascii="华文中宋" w:hAnsi="华文中宋" w:eastAsia="华文中宋" w:cs="华文中宋"/>
          <w:color w:val="auto"/>
          <w:spacing w:val="6"/>
          <w:szCs w:val="21"/>
          <w:u w:val="single"/>
        </w:rPr>
        <w:t>（项目名称、项目编号、包号）</w:t>
      </w:r>
      <w:r>
        <w:rPr>
          <w:rFonts w:hint="eastAsia" w:ascii="华文中宋" w:hAnsi="华文中宋" w:eastAsia="华文中宋" w:cs="华文中宋"/>
          <w:color w:val="auto"/>
          <w:kern w:val="0"/>
          <w:szCs w:val="21"/>
        </w:rPr>
        <w:t>的采购活动，本公司承诺所供商品包装符合《商品包装政府采购需求标准（试行）》，快递包装符合《快递包装政府采购需求标准（试行）》。</w:t>
      </w:r>
    </w:p>
    <w:p w14:paraId="6101A118">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如上述声明不真实，愿意按照政府采购有关法律法规的规定接受处罚。</w:t>
      </w:r>
    </w:p>
    <w:p w14:paraId="3196ED31">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特此声明</w:t>
      </w:r>
    </w:p>
    <w:p w14:paraId="726A3B0C">
      <w:pPr>
        <w:spacing w:line="360" w:lineRule="auto"/>
        <w:ind w:firstLine="424" w:firstLineChars="202"/>
        <w:rPr>
          <w:rFonts w:hint="eastAsia" w:ascii="华文中宋" w:hAnsi="华文中宋" w:eastAsia="华文中宋" w:cs="华文中宋"/>
          <w:szCs w:val="21"/>
        </w:rPr>
      </w:pPr>
    </w:p>
    <w:p w14:paraId="65BDDF24">
      <w:pPr>
        <w:snapToGrid w:val="0"/>
        <w:spacing w:line="360" w:lineRule="auto"/>
        <w:ind w:firstLine="1890" w:firstLineChars="900"/>
        <w:rPr>
          <w:rFonts w:hint="eastAsia" w:ascii="华文中宋" w:hAnsi="华文中宋" w:eastAsia="华文中宋" w:cs="华文中宋"/>
          <w:szCs w:val="21"/>
        </w:rPr>
      </w:pPr>
    </w:p>
    <w:p w14:paraId="03A6346A">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6F0C88E1">
      <w:pPr>
        <w:pStyle w:val="14"/>
        <w:rPr>
          <w:rFonts w:hint="eastAsia" w:ascii="华文中宋" w:hAnsi="华文中宋" w:eastAsia="华文中宋" w:cs="华文中宋"/>
          <w:szCs w:val="21"/>
        </w:rPr>
      </w:pPr>
    </w:p>
    <w:p w14:paraId="145F775B">
      <w:pPr>
        <w:snapToGrid w:val="0"/>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3FDC9B42">
      <w:pPr>
        <w:spacing w:line="360" w:lineRule="auto"/>
        <w:rPr>
          <w:rFonts w:hint="eastAsia" w:ascii="华文中宋" w:hAnsi="华文中宋" w:eastAsia="华文中宋" w:cs="华文中宋"/>
          <w:b/>
          <w:sz w:val="24"/>
          <w:highlight w:val="none"/>
        </w:rPr>
      </w:pPr>
    </w:p>
    <w:p w14:paraId="6AF0D336">
      <w:pPr>
        <w:spacing w:line="360" w:lineRule="auto"/>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四</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对非实质性要求的响应内容格式</w:t>
      </w:r>
    </w:p>
    <w:p w14:paraId="1135EDC9">
      <w:pPr>
        <w:tabs>
          <w:tab w:val="left" w:pos="1680"/>
        </w:tabs>
        <w:snapToGrid w:val="0"/>
        <w:spacing w:line="360" w:lineRule="auto"/>
        <w:jc w:val="left"/>
        <w:rPr>
          <w:rFonts w:ascii="华文中宋" w:hAnsi="华文中宋" w:eastAsia="华文中宋" w:cs="华文中宋"/>
          <w:b/>
          <w:sz w:val="24"/>
        </w:rPr>
      </w:pPr>
      <w:r>
        <w:rPr>
          <w:rFonts w:hint="eastAsia" w:ascii="华文中宋" w:hAnsi="华文中宋" w:eastAsia="华文中宋" w:cs="华文中宋"/>
          <w:b/>
          <w:sz w:val="24"/>
        </w:rPr>
        <w:t>非强制采购节能产品、环保标志产品明细表格式（若有的话，以包为单位分别填写）</w:t>
      </w:r>
    </w:p>
    <w:p w14:paraId="2DBEB39E">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非强制采购节能产品明细表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379"/>
        <w:gridCol w:w="1739"/>
        <w:gridCol w:w="1724"/>
      </w:tblGrid>
      <w:tr w14:paraId="4AEB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FFC131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605BF6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2DEFCF">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ED4F93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13E30C3">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节能产品认证证书号</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2E3785A">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DA5F639">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618A8EE6">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1B14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36D88B5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BA70DD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7AEE27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0BA8E8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6F8352C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21CB7BBC">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44FDCA8">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02E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5B6FE7D0">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8A39631">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3FADE05">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246CB4B">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06D4F0B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03849D0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F4E9B1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13B6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46458B43">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2451B50">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CCE515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3CDF15F">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1240EAE7">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3AA40B9E">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2CD9951F">
            <w:pPr>
              <w:keepNext w:val="0"/>
              <w:keepLines w:val="0"/>
              <w:suppressLineNumbers w:val="0"/>
              <w:spacing w:before="0" w:beforeAutospacing="0" w:after="0" w:afterAutospacing="0" w:line="480" w:lineRule="exact"/>
              <w:ind w:left="0" w:right="0" w:firstLine="315"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6F5D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3AD8791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7FCFAFD">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F98DF74">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D21EAA9">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379" w:type="dxa"/>
            <w:tcBorders>
              <w:top w:val="single" w:color="auto" w:sz="4" w:space="0"/>
              <w:left w:val="single" w:color="auto" w:sz="4" w:space="0"/>
              <w:bottom w:val="single" w:color="auto" w:sz="4" w:space="0"/>
              <w:right w:val="single" w:color="auto" w:sz="4" w:space="0"/>
            </w:tcBorders>
            <w:noWrap w:val="0"/>
            <w:vAlign w:val="top"/>
          </w:tcPr>
          <w:p w14:paraId="25E89D8B">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39" w:type="dxa"/>
            <w:tcBorders>
              <w:top w:val="single" w:color="auto" w:sz="4" w:space="0"/>
              <w:left w:val="single" w:color="auto" w:sz="4" w:space="0"/>
              <w:bottom w:val="single" w:color="auto" w:sz="4" w:space="0"/>
              <w:right w:val="single" w:color="auto" w:sz="4" w:space="0"/>
            </w:tcBorders>
            <w:noWrap w:val="0"/>
            <w:vAlign w:val="top"/>
          </w:tcPr>
          <w:p w14:paraId="5390A9AC">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541FC9D6">
            <w:pPr>
              <w:keepNext w:val="0"/>
              <w:keepLines w:val="0"/>
              <w:suppressLineNumbers w:val="0"/>
              <w:spacing w:before="0" w:beforeAutospacing="0" w:after="0" w:afterAutospacing="0" w:line="480" w:lineRule="exact"/>
              <w:ind w:left="0" w:right="0" w:firstLine="315"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0C7F4B0A">
      <w:pPr>
        <w:spacing w:line="480" w:lineRule="exact"/>
        <w:jc w:val="center"/>
        <w:rPr>
          <w:rFonts w:ascii="华文中宋" w:hAnsi="华文中宋" w:eastAsia="华文中宋" w:cs="华文中宋"/>
          <w:b/>
          <w:sz w:val="24"/>
        </w:rPr>
      </w:pPr>
    </w:p>
    <w:p w14:paraId="35156D03">
      <w:pPr>
        <w:spacing w:line="480" w:lineRule="exact"/>
        <w:jc w:val="center"/>
        <w:rPr>
          <w:rFonts w:ascii="华文中宋" w:hAnsi="华文中宋" w:eastAsia="华文中宋" w:cs="华文中宋"/>
          <w:b/>
          <w:szCs w:val="21"/>
        </w:rPr>
      </w:pPr>
      <w:r>
        <w:rPr>
          <w:rFonts w:hint="eastAsia" w:ascii="华文中宋" w:hAnsi="华文中宋" w:eastAsia="华文中宋" w:cs="华文中宋"/>
          <w:b/>
          <w:sz w:val="24"/>
        </w:rPr>
        <w:t>环境标志产品明细表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890"/>
        <w:gridCol w:w="1701"/>
        <w:gridCol w:w="1709"/>
      </w:tblGrid>
      <w:tr w14:paraId="4FB3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7BE5A78">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5AB30A">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4A70DC5">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EB4F37">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2047B4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环境标志产品认证证书号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B6873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07E80A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14:paraId="5DA08B21">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14:paraId="2697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DA4FE1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5701B3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776D2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EBB3A2">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480DE12F">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8038F6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18AF434B">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6005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C04674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C6E6A7B">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7489E9">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B89492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04AB7CE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5E259FD">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824B82E">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7F3C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977776E">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6535D8">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9144970">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65FEB90">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1FA7A7B2">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C5A40D">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2A99C108">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14:paraId="0A8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69BB5E77">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7785E1">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5FE1EC8">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25C4C7">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132AB6AB">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05934D6">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55346FAE">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14:paraId="5E838F61">
      <w:pPr>
        <w:spacing w:line="480" w:lineRule="exact"/>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说明：</w:t>
      </w:r>
    </w:p>
    <w:p w14:paraId="7B42E11B">
      <w:pPr>
        <w:pStyle w:val="14"/>
        <w:spacing w:after="0" w:line="480" w:lineRule="exact"/>
        <w:ind w:firstLine="420" w:firstLineChars="200"/>
        <w:rPr>
          <w:rFonts w:ascii="华文中宋" w:hAnsi="华文中宋" w:eastAsia="华文中宋" w:cs="华文中宋"/>
          <w:b/>
          <w:sz w:val="24"/>
        </w:rPr>
      </w:pPr>
      <w:r>
        <w:rPr>
          <w:rFonts w:hint="eastAsia" w:ascii="华文中宋" w:hAnsi="华文中宋" w:eastAsia="华文中宋" w:cs="华文中宋"/>
          <w:szCs w:val="21"/>
        </w:rPr>
        <w:t>投标人如实填写表格，无相应内容可填的，填写“无”或用“/”来表示。</w:t>
      </w:r>
    </w:p>
    <w:p w14:paraId="53E97A61">
      <w:pPr>
        <w:spacing w:line="360" w:lineRule="auto"/>
        <w:ind w:left="360" w:hanging="360" w:hangingChars="150"/>
        <w:rPr>
          <w:rFonts w:ascii="华文中宋" w:hAnsi="华文中宋" w:eastAsia="华文中宋" w:cs="华文中宋"/>
          <w:b/>
          <w:sz w:val="24"/>
        </w:rPr>
      </w:pPr>
    </w:p>
    <w:p w14:paraId="14654F5A">
      <w:pPr>
        <w:spacing w:line="360" w:lineRule="auto"/>
        <w:ind w:left="360" w:hanging="360" w:hangingChars="150"/>
        <w:rPr>
          <w:rFonts w:ascii="华文中宋" w:hAnsi="华文中宋" w:eastAsia="华文中宋" w:cs="华文中宋"/>
          <w:b/>
          <w:sz w:val="24"/>
        </w:rPr>
      </w:pPr>
    </w:p>
    <w:p w14:paraId="7A8F9E5A">
      <w:pPr>
        <w:spacing w:line="360" w:lineRule="auto"/>
        <w:ind w:left="360" w:hanging="360" w:hangingChars="150"/>
        <w:rPr>
          <w:rFonts w:ascii="华文中宋" w:hAnsi="华文中宋" w:eastAsia="华文中宋" w:cs="华文中宋"/>
          <w:b/>
          <w:sz w:val="24"/>
        </w:rPr>
      </w:pPr>
    </w:p>
    <w:p w14:paraId="4B79472A">
      <w:pPr>
        <w:spacing w:line="360" w:lineRule="auto"/>
        <w:rPr>
          <w:rFonts w:hint="eastAsia" w:ascii="华文中宋" w:hAnsi="华文中宋" w:eastAsia="华文中宋" w:cs="华文中宋"/>
          <w:b/>
          <w:sz w:val="24"/>
        </w:rPr>
      </w:pPr>
    </w:p>
    <w:p w14:paraId="6F0E90AB">
      <w:pPr>
        <w:spacing w:line="360" w:lineRule="auto"/>
        <w:ind w:left="360" w:hanging="360" w:hangingChars="150"/>
        <w:rPr>
          <w:rFonts w:hint="eastAsia" w:ascii="华文中宋" w:hAnsi="华文中宋" w:eastAsia="华文中宋" w:cs="华文中宋"/>
          <w:b/>
          <w:sz w:val="24"/>
          <w:highlight w:val="none"/>
        </w:rPr>
      </w:pPr>
    </w:p>
    <w:p w14:paraId="7841B4B1">
      <w:pPr>
        <w:spacing w:line="360" w:lineRule="auto"/>
        <w:ind w:left="360" w:hanging="360" w:hangingChars="150"/>
        <w:rPr>
          <w:rFonts w:ascii="华文中宋" w:hAnsi="华文中宋" w:eastAsia="华文中宋" w:cs="华文中宋"/>
          <w:b/>
          <w:sz w:val="24"/>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五</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 xml:space="preserve">对服务要求的响应内容格式 </w:t>
      </w:r>
    </w:p>
    <w:p w14:paraId="365AB2B0">
      <w:pPr>
        <w:spacing w:line="360" w:lineRule="auto"/>
        <w:ind w:firstLine="240" w:firstLineChars="100"/>
        <w:rPr>
          <w:rFonts w:ascii="华文中宋" w:hAnsi="华文中宋" w:eastAsia="华文中宋" w:cs="华文中宋"/>
          <w:b/>
          <w:sz w:val="24"/>
        </w:rPr>
      </w:pPr>
      <w:r>
        <w:rPr>
          <w:rFonts w:hint="eastAsia" w:ascii="华文中宋" w:hAnsi="华文中宋" w:eastAsia="华文中宋" w:cs="华文中宋"/>
          <w:b/>
          <w:sz w:val="24"/>
        </w:rPr>
        <w:t>对服务要求的响应内容</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71BB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964255B">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4050" w:type="dxa"/>
            <w:noWrap w:val="0"/>
            <w:vAlign w:val="center"/>
          </w:tcPr>
          <w:p w14:paraId="682365CA">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招标文件服务要求内容</w:t>
            </w:r>
          </w:p>
        </w:tc>
        <w:tc>
          <w:tcPr>
            <w:tcW w:w="1500" w:type="dxa"/>
            <w:noWrap w:val="0"/>
            <w:vAlign w:val="center"/>
          </w:tcPr>
          <w:p w14:paraId="128CD36D">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是否响应</w:t>
            </w:r>
          </w:p>
          <w:p w14:paraId="28566A3C">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（填是或否）</w:t>
            </w:r>
          </w:p>
        </w:tc>
        <w:tc>
          <w:tcPr>
            <w:tcW w:w="2155" w:type="dxa"/>
            <w:noWrap w:val="0"/>
            <w:vAlign w:val="center"/>
          </w:tcPr>
          <w:p w14:paraId="72FBA59F">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偏离情况</w:t>
            </w:r>
          </w:p>
        </w:tc>
      </w:tr>
      <w:tr w14:paraId="541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0B2BF5B">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498A0AE6">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7A956DB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610C8AEA">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71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557AA64">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31CFCFF7">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2847232C">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0C15E5D9">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400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9FEFC1C">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2796FD9E">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0269AD78">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2703FFD4">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22BE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7B7587">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49DFB60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48363BD3">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71B49820">
            <w:pPr>
              <w:pStyle w:val="14"/>
              <w:keepNext w:val="0"/>
              <w:keepLines w:val="0"/>
              <w:suppressLineNumbers w:val="0"/>
              <w:spacing w:before="0" w:beforeAutospacing="0" w:afterAutospacing="0"/>
              <w:ind w:left="0" w:right="0"/>
              <w:rPr>
                <w:rFonts w:ascii="华文中宋" w:hAnsi="华文中宋" w:eastAsia="华文中宋" w:cs="华文中宋"/>
              </w:rPr>
            </w:pPr>
          </w:p>
        </w:tc>
      </w:tr>
      <w:tr w14:paraId="3C2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9EAE280">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50" w:type="dxa"/>
            <w:noWrap w:val="0"/>
            <w:vAlign w:val="top"/>
          </w:tcPr>
          <w:p w14:paraId="07A4C1AB">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500" w:type="dxa"/>
            <w:noWrap w:val="0"/>
            <w:vAlign w:val="top"/>
          </w:tcPr>
          <w:p w14:paraId="2CD1D561">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5" w:type="dxa"/>
            <w:noWrap w:val="0"/>
            <w:vAlign w:val="top"/>
          </w:tcPr>
          <w:p w14:paraId="08AE0427">
            <w:pPr>
              <w:pStyle w:val="14"/>
              <w:keepNext w:val="0"/>
              <w:keepLines w:val="0"/>
              <w:suppressLineNumbers w:val="0"/>
              <w:spacing w:before="0" w:beforeAutospacing="0" w:afterAutospacing="0"/>
              <w:ind w:left="0" w:right="0"/>
              <w:rPr>
                <w:rFonts w:ascii="华文中宋" w:hAnsi="华文中宋" w:eastAsia="华文中宋" w:cs="华文中宋"/>
              </w:rPr>
            </w:pPr>
          </w:p>
        </w:tc>
      </w:tr>
    </w:tbl>
    <w:p w14:paraId="0E0D4E1C">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w:t>
      </w:r>
    </w:p>
    <w:p w14:paraId="4817FC06">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①投标人根据本招标文件第四部分服务要求中的内容进行响应。</w:t>
      </w:r>
    </w:p>
    <w:p w14:paraId="7E6B5C89">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②投标人如实填写表格，有偏离情况的，需说明偏离内容；无偏离情况的，填写“无”或“无偏离”。</w:t>
      </w:r>
    </w:p>
    <w:p w14:paraId="1AAF255F">
      <w:pPr>
        <w:pStyle w:val="14"/>
        <w:rPr>
          <w:rFonts w:ascii="华文中宋" w:hAnsi="华文中宋" w:eastAsia="华文中宋" w:cs="华文中宋"/>
          <w:szCs w:val="21"/>
        </w:rPr>
      </w:pPr>
    </w:p>
    <w:p w14:paraId="4E08F827">
      <w:pPr>
        <w:pStyle w:val="14"/>
        <w:rPr>
          <w:rFonts w:ascii="华文中宋" w:hAnsi="华文中宋" w:eastAsia="华文中宋" w:cs="华文中宋"/>
          <w:szCs w:val="21"/>
        </w:rPr>
      </w:pPr>
    </w:p>
    <w:p w14:paraId="53821FE0">
      <w:pPr>
        <w:pStyle w:val="14"/>
        <w:rPr>
          <w:rFonts w:ascii="华文中宋" w:hAnsi="华文中宋" w:eastAsia="华文中宋" w:cs="华文中宋"/>
          <w:szCs w:val="21"/>
        </w:rPr>
      </w:pPr>
    </w:p>
    <w:p w14:paraId="1FA59138">
      <w:pPr>
        <w:spacing w:line="360" w:lineRule="auto"/>
        <w:ind w:firstLine="424" w:firstLineChars="202"/>
        <w:rPr>
          <w:rFonts w:ascii="华文中宋" w:hAnsi="华文中宋" w:eastAsia="华文中宋" w:cs="华文中宋"/>
          <w:szCs w:val="21"/>
        </w:rPr>
      </w:pPr>
    </w:p>
    <w:p w14:paraId="5A5F1A57">
      <w:pPr>
        <w:snapToGrid w:val="0"/>
        <w:spacing w:line="360" w:lineRule="auto"/>
        <w:ind w:firstLine="1890" w:firstLineChars="9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30B60D3E">
      <w:pPr>
        <w:pStyle w:val="14"/>
        <w:rPr>
          <w:rFonts w:ascii="华文中宋" w:hAnsi="华文中宋" w:eastAsia="华文中宋" w:cs="华文中宋"/>
          <w:szCs w:val="21"/>
        </w:rPr>
      </w:pPr>
    </w:p>
    <w:p w14:paraId="4C4276C6">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日  期:　   年   月   日</w:t>
      </w:r>
    </w:p>
    <w:p w14:paraId="13B6EEE3">
      <w:pPr>
        <w:snapToGrid w:val="0"/>
        <w:spacing w:line="360" w:lineRule="auto"/>
        <w:ind w:firstLine="420" w:firstLineChars="200"/>
        <w:rPr>
          <w:rFonts w:ascii="华文中宋" w:hAnsi="华文中宋" w:eastAsia="华文中宋" w:cs="华文中宋"/>
          <w:szCs w:val="21"/>
        </w:rPr>
      </w:pPr>
    </w:p>
    <w:p w14:paraId="508664E8">
      <w:pPr>
        <w:spacing w:line="360" w:lineRule="auto"/>
        <w:ind w:firstLine="567" w:firstLineChars="270"/>
        <w:rPr>
          <w:rFonts w:ascii="华文中宋" w:hAnsi="华文中宋" w:eastAsia="华文中宋" w:cs="华文中宋"/>
          <w:szCs w:val="21"/>
        </w:rPr>
      </w:pPr>
    </w:p>
    <w:p w14:paraId="524E5025">
      <w:pPr>
        <w:spacing w:line="360" w:lineRule="auto"/>
        <w:ind w:left="360" w:hanging="360" w:hangingChars="150"/>
        <w:rPr>
          <w:rFonts w:hint="eastAsia" w:ascii="华文中宋" w:hAnsi="华文中宋" w:eastAsia="华文中宋" w:cs="华文中宋"/>
          <w:b/>
          <w:sz w:val="24"/>
        </w:rPr>
      </w:pPr>
    </w:p>
    <w:p w14:paraId="68950B03">
      <w:pPr>
        <w:spacing w:line="360" w:lineRule="auto"/>
        <w:ind w:left="360" w:hanging="360" w:hangingChars="150"/>
        <w:rPr>
          <w:rFonts w:hint="eastAsia" w:ascii="华文中宋" w:hAnsi="华文中宋" w:eastAsia="华文中宋" w:cs="华文中宋"/>
          <w:b/>
          <w:sz w:val="24"/>
        </w:rPr>
      </w:pPr>
    </w:p>
    <w:p w14:paraId="2EEDB53E">
      <w:pPr>
        <w:spacing w:line="360" w:lineRule="auto"/>
        <w:ind w:left="360" w:hanging="360" w:hangingChars="150"/>
        <w:rPr>
          <w:rFonts w:hint="eastAsia" w:ascii="华文中宋" w:hAnsi="华文中宋" w:eastAsia="华文中宋" w:cs="华文中宋"/>
          <w:b/>
          <w:sz w:val="24"/>
        </w:rPr>
      </w:pPr>
    </w:p>
    <w:p w14:paraId="3D3C6620">
      <w:pPr>
        <w:spacing w:line="360" w:lineRule="auto"/>
        <w:ind w:left="360" w:hanging="360" w:hangingChars="150"/>
        <w:rPr>
          <w:rFonts w:hint="eastAsia" w:ascii="华文中宋" w:hAnsi="华文中宋" w:eastAsia="华文中宋" w:cs="华文中宋"/>
          <w:b/>
          <w:sz w:val="24"/>
        </w:rPr>
      </w:pPr>
    </w:p>
    <w:p w14:paraId="6E75FC4A">
      <w:pPr>
        <w:spacing w:line="360" w:lineRule="auto"/>
        <w:rPr>
          <w:rFonts w:hint="eastAsia" w:ascii="华文中宋" w:hAnsi="华文中宋" w:eastAsia="华文中宋" w:cs="华文中宋"/>
          <w:b/>
          <w:sz w:val="24"/>
        </w:rPr>
      </w:pPr>
    </w:p>
    <w:p w14:paraId="78FC186A">
      <w:pPr>
        <w:spacing w:line="360" w:lineRule="auto"/>
        <w:ind w:left="360" w:hanging="360" w:hangingChars="150"/>
        <w:rPr>
          <w:rFonts w:ascii="华文中宋" w:hAnsi="华文中宋" w:eastAsia="华文中宋" w:cs="华文中宋"/>
          <w:b/>
          <w:sz w:val="24"/>
        </w:rPr>
      </w:pPr>
      <w:r>
        <w:rPr>
          <w:rFonts w:hint="eastAsia" w:ascii="华文中宋" w:hAnsi="华文中宋" w:eastAsia="华文中宋" w:cs="华文中宋"/>
          <w:b/>
          <w:sz w:val="24"/>
        </w:rPr>
        <w:t>服务方案附后</w:t>
      </w:r>
    </w:p>
    <w:p w14:paraId="40CCB5C1">
      <w:pPr>
        <w:spacing w:line="360" w:lineRule="auto"/>
        <w:rPr>
          <w:rFonts w:ascii="华文中宋" w:hAnsi="华文中宋" w:eastAsia="华文中宋" w:cs="微软雅黑"/>
          <w:b/>
          <w:szCs w:val="21"/>
        </w:rPr>
      </w:pPr>
      <w:r>
        <w:rPr>
          <w:rFonts w:hint="eastAsia" w:ascii="华文中宋" w:hAnsi="华文中宋" w:eastAsia="华文中宋" w:cs="微软雅黑"/>
          <w:b/>
          <w:szCs w:val="21"/>
        </w:rPr>
        <w:t>格式自拟</w:t>
      </w:r>
    </w:p>
    <w:p w14:paraId="0694976F">
      <w:pPr>
        <w:pStyle w:val="15"/>
        <w:ind w:firstLine="480"/>
      </w:pPr>
    </w:p>
    <w:p w14:paraId="6F20D543">
      <w:pPr>
        <w:spacing w:line="360" w:lineRule="auto"/>
        <w:rPr>
          <w:rFonts w:ascii="华文中宋" w:hAnsi="华文中宋" w:eastAsia="华文中宋" w:cs="华文中宋"/>
          <w:b/>
        </w:rPr>
      </w:pPr>
      <w:r>
        <w:rPr>
          <w:rFonts w:hint="eastAsia" w:ascii="华文中宋" w:hAnsi="华文中宋" w:eastAsia="华文中宋" w:cs="华文中宋"/>
          <w:szCs w:val="21"/>
        </w:rPr>
        <w:br w:type="page"/>
      </w: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六</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rPr>
        <w:t>对技术要求的响应内容</w:t>
      </w:r>
      <w:bookmarkStart w:id="106" w:name="_Toc22245"/>
      <w:r>
        <w:rPr>
          <w:rFonts w:hint="eastAsia" w:ascii="华文中宋" w:hAnsi="华文中宋" w:eastAsia="华文中宋" w:cs="华文中宋"/>
          <w:b/>
          <w:sz w:val="24"/>
        </w:rPr>
        <w:t xml:space="preserve">格式 </w:t>
      </w:r>
    </w:p>
    <w:bookmarkEnd w:id="106"/>
    <w:p w14:paraId="572DDBEA">
      <w:pPr>
        <w:spacing w:line="440" w:lineRule="exact"/>
        <w:outlineLvl w:val="9"/>
        <w:rPr>
          <w:rFonts w:hint="eastAsia" w:ascii="华文中宋" w:hAnsi="华文中宋" w:eastAsia="华文中宋" w:cs="华文中宋"/>
          <w:b/>
          <w:sz w:val="24"/>
          <w:szCs w:val="32"/>
        </w:rPr>
      </w:pPr>
      <w:r>
        <w:rPr>
          <w:rFonts w:hint="eastAsia" w:ascii="华文中宋" w:hAnsi="华文中宋" w:eastAsia="华文中宋" w:cs="华文中宋"/>
          <w:b/>
          <w:sz w:val="24"/>
          <w:szCs w:val="32"/>
        </w:rPr>
        <w:t>投标货物技术响应偏离表</w:t>
      </w:r>
    </w:p>
    <w:p w14:paraId="001274CB">
      <w:pPr>
        <w:spacing w:line="440" w:lineRule="exact"/>
        <w:rPr>
          <w:rFonts w:hint="eastAsia"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6E8DC8CE">
      <w:pPr>
        <w:spacing w:line="440" w:lineRule="exact"/>
        <w:rPr>
          <w:rFonts w:hint="eastAsia"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3107941E">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3E69BDA8">
      <w:pPr>
        <w:pStyle w:val="14"/>
        <w:spacing w:after="0" w:line="440" w:lineRule="exact"/>
        <w:rPr>
          <w:rFonts w:hint="eastAsia" w:ascii="华文中宋" w:hAnsi="华文中宋" w:eastAsia="华文中宋" w:cs="华文中宋"/>
          <w:u w:val="single"/>
        </w:rPr>
      </w:pPr>
      <w:r>
        <w:rPr>
          <w:rFonts w:hint="eastAsia" w:ascii="华文中宋" w:hAnsi="华文中宋" w:eastAsia="华文中宋" w:cs="华文中宋"/>
        </w:rPr>
        <w:t xml:space="preserve">包    号：    </w:t>
      </w:r>
      <w:r>
        <w:rPr>
          <w:rFonts w:hint="eastAsia" w:ascii="华文中宋" w:hAnsi="华文中宋" w:eastAsia="华文中宋" w:cs="华文中宋"/>
          <w:u w:val="single"/>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5"/>
        <w:gridCol w:w="1270"/>
        <w:gridCol w:w="2190"/>
        <w:gridCol w:w="2093"/>
        <w:gridCol w:w="1464"/>
        <w:gridCol w:w="1038"/>
      </w:tblGrid>
      <w:tr w14:paraId="5FD4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792960A0">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序号</w:t>
            </w:r>
          </w:p>
        </w:tc>
        <w:tc>
          <w:tcPr>
            <w:tcW w:w="1270" w:type="dxa"/>
            <w:tcBorders>
              <w:left w:val="single" w:color="auto" w:sz="4" w:space="0"/>
            </w:tcBorders>
            <w:noWrap w:val="0"/>
            <w:vAlign w:val="center"/>
          </w:tcPr>
          <w:p w14:paraId="26206BA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货物名称</w:t>
            </w:r>
          </w:p>
        </w:tc>
        <w:tc>
          <w:tcPr>
            <w:tcW w:w="2190" w:type="dxa"/>
            <w:noWrap w:val="0"/>
            <w:vAlign w:val="center"/>
          </w:tcPr>
          <w:p w14:paraId="5A215057">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招标文件技术要求</w:t>
            </w:r>
          </w:p>
        </w:tc>
        <w:tc>
          <w:tcPr>
            <w:tcW w:w="2093" w:type="dxa"/>
            <w:noWrap w:val="0"/>
            <w:vAlign w:val="center"/>
          </w:tcPr>
          <w:p w14:paraId="6CDC05FF">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投标文件技术响应</w:t>
            </w:r>
          </w:p>
        </w:tc>
        <w:tc>
          <w:tcPr>
            <w:tcW w:w="1464" w:type="dxa"/>
            <w:noWrap w:val="0"/>
            <w:vAlign w:val="center"/>
          </w:tcPr>
          <w:p w14:paraId="1CD577B9">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偏离情况</w:t>
            </w:r>
          </w:p>
        </w:tc>
        <w:tc>
          <w:tcPr>
            <w:tcW w:w="1038" w:type="dxa"/>
            <w:noWrap w:val="0"/>
            <w:vAlign w:val="center"/>
          </w:tcPr>
          <w:p w14:paraId="7F96B49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r>
              <w:rPr>
                <w:rFonts w:hint="eastAsia" w:ascii="华文中宋" w:hAnsi="华文中宋" w:eastAsia="华文中宋" w:cs="华文中宋"/>
                <w:szCs w:val="21"/>
              </w:rPr>
              <w:t>备注</w:t>
            </w:r>
          </w:p>
        </w:tc>
      </w:tr>
      <w:tr w14:paraId="62F1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7E261064">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7D8EEB05">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0247A2E0">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090B7A23">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2F458F14">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35FF3EA5">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r w14:paraId="0A7A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noWrap w:val="0"/>
            <w:vAlign w:val="center"/>
          </w:tcPr>
          <w:p w14:paraId="4341BC87">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24EF5D0D">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5FC04F28">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026A372E">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06567E3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3A45A6C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r w14:paraId="4866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7" w:hRule="atLeast"/>
          <w:jc w:val="center"/>
        </w:trPr>
        <w:tc>
          <w:tcPr>
            <w:tcW w:w="995" w:type="dxa"/>
            <w:tcBorders>
              <w:right w:val="single" w:color="auto" w:sz="4" w:space="0"/>
            </w:tcBorders>
            <w:noWrap w:val="0"/>
            <w:vAlign w:val="center"/>
          </w:tcPr>
          <w:p w14:paraId="7DC1D609">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270" w:type="dxa"/>
            <w:tcBorders>
              <w:left w:val="single" w:color="auto" w:sz="4" w:space="0"/>
            </w:tcBorders>
            <w:noWrap w:val="0"/>
            <w:vAlign w:val="center"/>
          </w:tcPr>
          <w:p w14:paraId="7BCB41ED">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190" w:type="dxa"/>
            <w:noWrap w:val="0"/>
            <w:vAlign w:val="center"/>
          </w:tcPr>
          <w:p w14:paraId="1BF85EDB">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2093" w:type="dxa"/>
            <w:noWrap w:val="0"/>
            <w:vAlign w:val="center"/>
          </w:tcPr>
          <w:p w14:paraId="5EAF6012">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464" w:type="dxa"/>
            <w:noWrap w:val="0"/>
            <w:vAlign w:val="center"/>
          </w:tcPr>
          <w:p w14:paraId="00128FC1">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c>
          <w:tcPr>
            <w:tcW w:w="1038" w:type="dxa"/>
            <w:noWrap w:val="0"/>
            <w:vAlign w:val="center"/>
          </w:tcPr>
          <w:p w14:paraId="5C8DFACC">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华文中宋"/>
                <w:szCs w:val="21"/>
              </w:rPr>
            </w:pPr>
          </w:p>
        </w:tc>
      </w:tr>
    </w:tbl>
    <w:p w14:paraId="6E2A92A6">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说明：</w:t>
      </w:r>
    </w:p>
    <w:p w14:paraId="14E54E5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①根据本文件第四部分技术需求书中的内容逐条进行响应。</w:t>
      </w:r>
    </w:p>
    <w:p w14:paraId="6F0193F9">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②</w:t>
      </w:r>
      <w:r>
        <w:rPr>
          <w:rFonts w:hint="eastAsia" w:ascii="华文中宋" w:hAnsi="华文中宋" w:eastAsia="华文中宋" w:cs="华文中宋"/>
          <w:szCs w:val="21"/>
          <w:lang w:val="zh-CN"/>
        </w:rPr>
        <w:t>投标人应根据招标货物的性能指标、对照招标文件技术指标要求，如实逐条一一对应填写响应情况，如有未响应技术指标，评标委员会有权视其为负偏离；</w:t>
      </w:r>
    </w:p>
    <w:p w14:paraId="33782994">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③请投标人在“偏离情况”一栏详细描述存在正偏离或负偏离技术指标，并标明偏离情况；</w:t>
      </w:r>
    </w:p>
    <w:p w14:paraId="31B5E3E2">
      <w:pPr>
        <w:spacing w:line="440" w:lineRule="exact"/>
        <w:outlineLvl w:val="9"/>
        <w:rPr>
          <w:rFonts w:hint="eastAsia" w:ascii="华文中宋" w:hAnsi="华文中宋" w:eastAsia="华文中宋" w:cs="华文中宋"/>
          <w:b/>
          <w:sz w:val="24"/>
          <w:szCs w:val="32"/>
        </w:rPr>
      </w:pPr>
      <w:r>
        <w:rPr>
          <w:rFonts w:hint="eastAsia" w:ascii="华文中宋" w:hAnsi="华文中宋" w:eastAsia="华文中宋" w:cs="华文中宋"/>
          <w:b/>
          <w:sz w:val="24"/>
          <w:szCs w:val="32"/>
        </w:rPr>
        <w:t>投标货物详细的技术说明</w:t>
      </w:r>
    </w:p>
    <w:p w14:paraId="2A4CD51B">
      <w:pPr>
        <w:spacing w:line="440" w:lineRule="exact"/>
        <w:outlineLvl w:val="9"/>
        <w:rPr>
          <w:rFonts w:hint="eastAsia" w:ascii="华文中宋" w:hAnsi="华文中宋" w:eastAsia="华文中宋" w:cs="华文中宋"/>
          <w:szCs w:val="21"/>
        </w:rPr>
      </w:pPr>
      <w:r>
        <w:rPr>
          <w:rFonts w:hint="eastAsia" w:ascii="华文中宋" w:hAnsi="华文中宋" w:eastAsia="华文中宋" w:cs="华文中宋"/>
          <w:szCs w:val="21"/>
        </w:rPr>
        <w:t>说明：</w:t>
      </w:r>
    </w:p>
    <w:p w14:paraId="31C05DB8">
      <w:pPr>
        <w:pStyle w:val="68"/>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①根据本招标文件第四部分技术需求书要求中的内容进行响应。</w:t>
      </w:r>
    </w:p>
    <w:p w14:paraId="1B6C7D80">
      <w:pPr>
        <w:pStyle w:val="68"/>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②作为评标委员会成员评定投标货物是否实质性响应招标文件技术要求以及详细评审的依据。内容包括但不限于：</w:t>
      </w:r>
    </w:p>
    <w:p w14:paraId="7D0953D4">
      <w:pPr>
        <w:pStyle w:val="68"/>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1、对投标货物主要技术指标和运行性能进行详细描述,尽可能提供能证明投标货物符合招标文件技术需求书且与投标货物型号一致的证明材料（包括但不限于检测报告/官网链接/功能截图/产品彩页/产品说明书/产品介绍等）；</w:t>
      </w:r>
    </w:p>
    <w:p w14:paraId="0FF0106C">
      <w:pPr>
        <w:pStyle w:val="68"/>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2、投标货物的备品备件清单（若有的话，此表由投标人自行设计，请注明品牌、型号、产地、功能、单价和质保期满后三个年度的供应折扣价格等内容）。</w:t>
      </w:r>
    </w:p>
    <w:p w14:paraId="6DDEDBE3">
      <w:pPr>
        <w:pStyle w:val="68"/>
        <w:snapToGrid w:val="0"/>
        <w:spacing w:line="44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3、项目实施过程中所需的主要辅材（若有的话，此表由投标人自行设计，请注明品牌、型号、产地、生产企业、数量）</w:t>
      </w:r>
    </w:p>
    <w:p w14:paraId="476080F9">
      <w:pPr>
        <w:pStyle w:val="68"/>
        <w:snapToGrid w:val="0"/>
        <w:spacing w:line="440" w:lineRule="exact"/>
        <w:textAlignment w:val="auto"/>
        <w:rPr>
          <w:rFonts w:hint="eastAsia" w:ascii="华文中宋" w:hAnsi="华文中宋" w:eastAsia="华文中宋" w:cs="华文中宋"/>
        </w:rPr>
      </w:pPr>
    </w:p>
    <w:p w14:paraId="58CEEA80">
      <w:pPr>
        <w:spacing w:line="360" w:lineRule="exact"/>
        <w:rPr>
          <w:rFonts w:hint="eastAsia" w:ascii="华文中宋" w:hAnsi="华文中宋" w:eastAsia="华文中宋" w:cs="华文中宋"/>
          <w:b/>
          <w:sz w:val="24"/>
          <w:lang w:eastAsia="zh-CN"/>
        </w:rPr>
      </w:pPr>
    </w:p>
    <w:p w14:paraId="0E8C7BDA">
      <w:pPr>
        <w:spacing w:line="360" w:lineRule="exact"/>
        <w:rPr>
          <w:rFonts w:hint="eastAsia" w:ascii="华文中宋" w:hAnsi="华文中宋" w:eastAsia="华文中宋" w:cs="华文中宋"/>
          <w:b/>
          <w:sz w:val="24"/>
          <w:lang w:eastAsia="zh-CN"/>
        </w:rPr>
        <w:sectPr>
          <w:pgSz w:w="11906" w:h="16838"/>
          <w:pgMar w:top="1440" w:right="1803" w:bottom="1440" w:left="1803" w:header="851" w:footer="992" w:gutter="0"/>
          <w:pgNumType w:fmt="decimal"/>
          <w:cols w:space="720" w:num="1"/>
          <w:rtlGutter w:val="0"/>
          <w:docGrid w:type="lines" w:linePitch="332" w:charSpace="0"/>
        </w:sectPr>
      </w:pPr>
    </w:p>
    <w:p w14:paraId="0A61D3F5">
      <w:pPr>
        <w:rPr>
          <w:rFonts w:ascii="华文中宋" w:hAnsi="华文中宋" w:eastAsia="华文中宋" w:cs="华文中宋"/>
          <w:b/>
          <w:bCs/>
          <w:sz w:val="24"/>
        </w:rPr>
      </w:pPr>
      <w:r>
        <w:rPr>
          <w:rFonts w:hint="eastAsia" w:ascii="华文中宋" w:hAnsi="华文中宋" w:eastAsia="华文中宋" w:cs="华文中宋"/>
          <w:b/>
          <w:bCs/>
          <w:sz w:val="24"/>
        </w:rPr>
        <w:t>标注“★”不允许负偏离的实质性要求和条件响应程度表</w:t>
      </w:r>
    </w:p>
    <w:p w14:paraId="53540FCA">
      <w:pPr>
        <w:rPr>
          <w:rFonts w:ascii="华文中宋" w:hAnsi="华文中宋" w:eastAsia="华文中宋" w:cs="华文中宋"/>
          <w:szCs w:val="21"/>
          <w:u w:val="single"/>
        </w:rPr>
      </w:pPr>
      <w:r>
        <w:rPr>
          <w:rFonts w:hint="eastAsia" w:ascii="华文中宋" w:hAnsi="华文中宋" w:eastAsia="华文中宋" w:cs="华文中宋"/>
          <w:szCs w:val="21"/>
        </w:rPr>
        <w:t xml:space="preserve">项目名称：    </w:t>
      </w:r>
      <w:r>
        <w:rPr>
          <w:rFonts w:hint="eastAsia" w:ascii="华文中宋" w:hAnsi="华文中宋" w:eastAsia="华文中宋" w:cs="华文中宋"/>
          <w:szCs w:val="21"/>
          <w:u w:val="single"/>
        </w:rPr>
        <w:t xml:space="preserve">                                   </w:t>
      </w:r>
    </w:p>
    <w:p w14:paraId="508A6B40">
      <w:pPr>
        <w:spacing w:line="440" w:lineRule="exact"/>
        <w:rPr>
          <w:rFonts w:ascii="华文中宋" w:hAnsi="华文中宋" w:eastAsia="华文中宋" w:cs="华文中宋"/>
          <w:szCs w:val="21"/>
          <w:u w:val="single"/>
        </w:rPr>
      </w:pPr>
      <w:r>
        <w:rPr>
          <w:rFonts w:hint="eastAsia" w:ascii="华文中宋" w:hAnsi="华文中宋" w:eastAsia="华文中宋" w:cs="华文中宋"/>
          <w:szCs w:val="21"/>
        </w:rPr>
        <w:t xml:space="preserve">项目编号：    </w:t>
      </w:r>
      <w:r>
        <w:rPr>
          <w:rFonts w:hint="eastAsia" w:ascii="华文中宋" w:hAnsi="华文中宋" w:eastAsia="华文中宋" w:cs="华文中宋"/>
          <w:szCs w:val="21"/>
          <w:u w:val="single"/>
        </w:rPr>
        <w:t xml:space="preserve">                                   </w:t>
      </w:r>
    </w:p>
    <w:p w14:paraId="562A188A">
      <w:pPr>
        <w:spacing w:line="440" w:lineRule="exact"/>
        <w:rPr>
          <w:rFonts w:ascii="华文中宋" w:hAnsi="华文中宋" w:eastAsia="华文中宋" w:cs="华文中宋"/>
          <w:szCs w:val="21"/>
        </w:rPr>
      </w:pPr>
      <w:r>
        <w:rPr>
          <w:rFonts w:hint="eastAsia" w:ascii="华文中宋" w:hAnsi="华文中宋" w:eastAsia="华文中宋" w:cs="华文中宋"/>
          <w:szCs w:val="21"/>
        </w:rPr>
        <w:t xml:space="preserve">投标人名称：  </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p>
    <w:p w14:paraId="1CB40D59">
      <w:pPr>
        <w:pStyle w:val="14"/>
        <w:spacing w:after="0" w:line="440" w:lineRule="exact"/>
        <w:rPr>
          <w:rFonts w:ascii="华文中宋" w:hAnsi="华文中宋" w:eastAsia="华文中宋" w:cs="华文中宋"/>
          <w:szCs w:val="21"/>
        </w:rPr>
      </w:pPr>
      <w:r>
        <w:rPr>
          <w:rFonts w:hint="eastAsia" w:ascii="华文中宋" w:hAnsi="华文中宋" w:eastAsia="华文中宋" w:cs="华文中宋"/>
        </w:rPr>
        <w:t xml:space="preserve">包    号：    </w:t>
      </w:r>
      <w:r>
        <w:rPr>
          <w:rFonts w:hint="eastAsia" w:ascii="华文中宋" w:hAnsi="华文中宋" w:eastAsia="华文中宋" w:cs="华文中宋"/>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426"/>
        <w:gridCol w:w="3095"/>
        <w:gridCol w:w="1275"/>
        <w:gridCol w:w="1276"/>
        <w:gridCol w:w="1185"/>
        <w:gridCol w:w="1925"/>
      </w:tblGrid>
      <w:tr w14:paraId="1B1F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noWrap w:val="0"/>
            <w:vAlign w:val="center"/>
          </w:tcPr>
          <w:p w14:paraId="45C34B7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技术指标参数</w:t>
            </w:r>
          </w:p>
        </w:tc>
      </w:tr>
      <w:tr w14:paraId="309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noWrap w:val="0"/>
            <w:vAlign w:val="center"/>
          </w:tcPr>
          <w:p w14:paraId="462D481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1690" w:type="dxa"/>
            <w:vMerge w:val="restart"/>
            <w:tcBorders>
              <w:top w:val="single" w:color="auto" w:sz="6" w:space="0"/>
              <w:right w:val="single" w:color="auto" w:sz="6" w:space="0"/>
            </w:tcBorders>
            <w:noWrap w:val="0"/>
            <w:vAlign w:val="center"/>
          </w:tcPr>
          <w:p w14:paraId="7E04C1F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投标产品全称</w:t>
            </w:r>
          </w:p>
        </w:tc>
        <w:tc>
          <w:tcPr>
            <w:tcW w:w="3426" w:type="dxa"/>
            <w:vMerge w:val="restart"/>
            <w:tcBorders>
              <w:top w:val="single" w:color="auto" w:sz="6" w:space="0"/>
              <w:left w:val="single" w:color="auto" w:sz="6" w:space="0"/>
            </w:tcBorders>
            <w:noWrap w:val="0"/>
            <w:vAlign w:val="center"/>
          </w:tcPr>
          <w:p w14:paraId="6F7A115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招标文件标注“★”</w:t>
            </w:r>
          </w:p>
          <w:p w14:paraId="7574F8C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不允许负偏离的实质性要求和条件</w:t>
            </w:r>
          </w:p>
        </w:tc>
        <w:tc>
          <w:tcPr>
            <w:tcW w:w="3095" w:type="dxa"/>
            <w:vMerge w:val="restart"/>
            <w:tcBorders>
              <w:top w:val="single" w:color="auto" w:sz="6" w:space="0"/>
            </w:tcBorders>
            <w:noWrap w:val="0"/>
            <w:vAlign w:val="center"/>
          </w:tcPr>
          <w:p w14:paraId="0B2E82C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投标响应状况</w:t>
            </w:r>
          </w:p>
        </w:tc>
        <w:tc>
          <w:tcPr>
            <w:tcW w:w="3736" w:type="dxa"/>
            <w:gridSpan w:val="3"/>
            <w:noWrap w:val="0"/>
            <w:vAlign w:val="center"/>
          </w:tcPr>
          <w:p w14:paraId="2F3BF6E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响应程度</w:t>
            </w:r>
          </w:p>
        </w:tc>
        <w:tc>
          <w:tcPr>
            <w:tcW w:w="1925" w:type="dxa"/>
            <w:vMerge w:val="restart"/>
            <w:tcBorders>
              <w:top w:val="single" w:color="auto" w:sz="6" w:space="0"/>
            </w:tcBorders>
            <w:noWrap w:val="0"/>
            <w:vAlign w:val="center"/>
          </w:tcPr>
          <w:p w14:paraId="2832ACC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偏离说明</w:t>
            </w:r>
          </w:p>
        </w:tc>
      </w:tr>
      <w:tr w14:paraId="545D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noWrap w:val="0"/>
            <w:vAlign w:val="center"/>
          </w:tcPr>
          <w:p w14:paraId="36CF5F6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vMerge w:val="continue"/>
            <w:tcBorders>
              <w:right w:val="single" w:color="auto" w:sz="6" w:space="0"/>
            </w:tcBorders>
            <w:noWrap w:val="0"/>
            <w:vAlign w:val="center"/>
          </w:tcPr>
          <w:p w14:paraId="53F0B9A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vMerge w:val="continue"/>
            <w:tcBorders>
              <w:left w:val="single" w:color="auto" w:sz="6" w:space="0"/>
            </w:tcBorders>
            <w:noWrap w:val="0"/>
            <w:vAlign w:val="center"/>
          </w:tcPr>
          <w:p w14:paraId="1430D11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vMerge w:val="continue"/>
            <w:noWrap w:val="0"/>
            <w:vAlign w:val="center"/>
          </w:tcPr>
          <w:p w14:paraId="4CD8AB7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675D6D2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符合要求</w:t>
            </w:r>
          </w:p>
        </w:tc>
        <w:tc>
          <w:tcPr>
            <w:tcW w:w="1276" w:type="dxa"/>
            <w:noWrap w:val="0"/>
            <w:vAlign w:val="center"/>
          </w:tcPr>
          <w:p w14:paraId="3531690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高于要求</w:t>
            </w:r>
          </w:p>
        </w:tc>
        <w:tc>
          <w:tcPr>
            <w:tcW w:w="1185" w:type="dxa"/>
            <w:noWrap w:val="0"/>
            <w:vAlign w:val="center"/>
          </w:tcPr>
          <w:p w14:paraId="502074E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低于要求</w:t>
            </w:r>
          </w:p>
        </w:tc>
        <w:tc>
          <w:tcPr>
            <w:tcW w:w="1925" w:type="dxa"/>
            <w:vMerge w:val="continue"/>
            <w:noWrap w:val="0"/>
            <w:vAlign w:val="center"/>
          </w:tcPr>
          <w:p w14:paraId="37779E2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31A9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noWrap w:val="0"/>
            <w:vAlign w:val="center"/>
          </w:tcPr>
          <w:p w14:paraId="76A6778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tcBorders>
              <w:right w:val="single" w:color="auto" w:sz="6" w:space="0"/>
            </w:tcBorders>
            <w:noWrap w:val="0"/>
            <w:vAlign w:val="center"/>
          </w:tcPr>
          <w:p w14:paraId="1A66C712">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tcBorders>
              <w:left w:val="single" w:color="auto" w:sz="6" w:space="0"/>
            </w:tcBorders>
            <w:noWrap w:val="0"/>
            <w:vAlign w:val="center"/>
          </w:tcPr>
          <w:p w14:paraId="3E430A76">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1096DD3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1D62FD0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76F7A43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22649C7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0199109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688D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noWrap w:val="0"/>
            <w:vAlign w:val="center"/>
          </w:tcPr>
          <w:p w14:paraId="1E68ED1F">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690" w:type="dxa"/>
            <w:tcBorders>
              <w:right w:val="single" w:color="auto" w:sz="6" w:space="0"/>
            </w:tcBorders>
            <w:noWrap w:val="0"/>
            <w:vAlign w:val="center"/>
          </w:tcPr>
          <w:p w14:paraId="271F666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426" w:type="dxa"/>
            <w:tcBorders>
              <w:left w:val="single" w:color="auto" w:sz="6" w:space="0"/>
            </w:tcBorders>
            <w:noWrap w:val="0"/>
            <w:vAlign w:val="center"/>
          </w:tcPr>
          <w:p w14:paraId="220E008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2BF0949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3528BCB6">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3ABC1D4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559011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115D23C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5F91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noWrap w:val="0"/>
            <w:vAlign w:val="center"/>
          </w:tcPr>
          <w:p w14:paraId="363DA8FF">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其他条件要求</w:t>
            </w:r>
          </w:p>
        </w:tc>
      </w:tr>
      <w:tr w14:paraId="0BB1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noWrap w:val="0"/>
            <w:vAlign w:val="center"/>
          </w:tcPr>
          <w:p w14:paraId="5D3EF27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5116" w:type="dxa"/>
            <w:gridSpan w:val="2"/>
            <w:vMerge w:val="restart"/>
            <w:noWrap w:val="0"/>
            <w:vAlign w:val="center"/>
          </w:tcPr>
          <w:p w14:paraId="791BA0A1">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招标文件标注“★”</w:t>
            </w:r>
          </w:p>
          <w:p w14:paraId="741AD3D4">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不允许负偏离的实质性要求和条件</w:t>
            </w:r>
          </w:p>
        </w:tc>
        <w:tc>
          <w:tcPr>
            <w:tcW w:w="3095" w:type="dxa"/>
            <w:vMerge w:val="restart"/>
            <w:noWrap w:val="0"/>
            <w:vAlign w:val="center"/>
          </w:tcPr>
          <w:p w14:paraId="54584B4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投标响应状况</w:t>
            </w:r>
          </w:p>
        </w:tc>
        <w:tc>
          <w:tcPr>
            <w:tcW w:w="3736" w:type="dxa"/>
            <w:gridSpan w:val="3"/>
            <w:noWrap w:val="0"/>
            <w:vAlign w:val="center"/>
          </w:tcPr>
          <w:p w14:paraId="30B3D6A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响应程度</w:t>
            </w:r>
          </w:p>
        </w:tc>
        <w:tc>
          <w:tcPr>
            <w:tcW w:w="1925" w:type="dxa"/>
            <w:vMerge w:val="restart"/>
            <w:noWrap w:val="0"/>
            <w:vAlign w:val="center"/>
          </w:tcPr>
          <w:p w14:paraId="4660201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偏离说明</w:t>
            </w:r>
          </w:p>
        </w:tc>
      </w:tr>
      <w:tr w14:paraId="5F4D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noWrap w:val="0"/>
            <w:vAlign w:val="center"/>
          </w:tcPr>
          <w:p w14:paraId="5B902E5E">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vMerge w:val="continue"/>
            <w:noWrap w:val="0"/>
            <w:vAlign w:val="center"/>
          </w:tcPr>
          <w:p w14:paraId="4E747A5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vMerge w:val="continue"/>
            <w:noWrap w:val="0"/>
            <w:vAlign w:val="center"/>
          </w:tcPr>
          <w:p w14:paraId="2C1A8FB7">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41D1901D">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符合要求</w:t>
            </w:r>
          </w:p>
        </w:tc>
        <w:tc>
          <w:tcPr>
            <w:tcW w:w="1276" w:type="dxa"/>
            <w:noWrap w:val="0"/>
            <w:vAlign w:val="center"/>
          </w:tcPr>
          <w:p w14:paraId="6C8AB1C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高于要求</w:t>
            </w:r>
          </w:p>
        </w:tc>
        <w:tc>
          <w:tcPr>
            <w:tcW w:w="1185" w:type="dxa"/>
            <w:noWrap w:val="0"/>
            <w:vAlign w:val="center"/>
          </w:tcPr>
          <w:p w14:paraId="028DDBE8">
            <w:pPr>
              <w:keepNext w:val="0"/>
              <w:keepLines w:val="0"/>
              <w:suppressLineNumbers w:val="0"/>
              <w:spacing w:before="0" w:beforeAutospacing="0" w:after="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低于要求</w:t>
            </w:r>
          </w:p>
        </w:tc>
        <w:tc>
          <w:tcPr>
            <w:tcW w:w="1925" w:type="dxa"/>
            <w:vMerge w:val="continue"/>
            <w:noWrap w:val="0"/>
            <w:vAlign w:val="center"/>
          </w:tcPr>
          <w:p w14:paraId="4A1F22D0">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043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0D861948">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noWrap w:val="0"/>
            <w:vAlign w:val="center"/>
          </w:tcPr>
          <w:p w14:paraId="20933575">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6438AF62">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7989577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3A742090">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E365D2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56AEEF5B">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r w14:paraId="1E3A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65442F81">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5116" w:type="dxa"/>
            <w:gridSpan w:val="2"/>
            <w:noWrap w:val="0"/>
            <w:vAlign w:val="center"/>
          </w:tcPr>
          <w:p w14:paraId="27919669">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3095" w:type="dxa"/>
            <w:noWrap w:val="0"/>
            <w:vAlign w:val="center"/>
          </w:tcPr>
          <w:p w14:paraId="05B35F5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5" w:type="dxa"/>
            <w:noWrap w:val="0"/>
            <w:vAlign w:val="center"/>
          </w:tcPr>
          <w:p w14:paraId="263C1A1C">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276" w:type="dxa"/>
            <w:noWrap w:val="0"/>
            <w:vAlign w:val="center"/>
          </w:tcPr>
          <w:p w14:paraId="7EF312E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185" w:type="dxa"/>
            <w:noWrap w:val="0"/>
            <w:vAlign w:val="center"/>
          </w:tcPr>
          <w:p w14:paraId="0D8AC76A">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c>
          <w:tcPr>
            <w:tcW w:w="1925" w:type="dxa"/>
            <w:noWrap w:val="0"/>
            <w:vAlign w:val="center"/>
          </w:tcPr>
          <w:p w14:paraId="11B965C3">
            <w:pPr>
              <w:keepNext w:val="0"/>
              <w:keepLines w:val="0"/>
              <w:suppressLineNumbers w:val="0"/>
              <w:spacing w:before="0" w:beforeAutospacing="0" w:after="0" w:afterAutospacing="0"/>
              <w:ind w:left="0" w:right="0"/>
              <w:jc w:val="center"/>
              <w:rPr>
                <w:rFonts w:ascii="华文中宋" w:hAnsi="华文中宋" w:eastAsia="华文中宋" w:cs="华文中宋"/>
                <w:szCs w:val="21"/>
              </w:rPr>
            </w:pPr>
          </w:p>
        </w:tc>
      </w:tr>
    </w:tbl>
    <w:p w14:paraId="31DF6BCB">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说明：①投标人应详细列明标注“★”不允许负偏离的实质性要求和条件的具体响应状况，全面披露各项响应程度，否则投标文件无效。</w:t>
      </w:r>
    </w:p>
    <w:p w14:paraId="7892A125">
      <w:pPr>
        <w:snapToGrid w:val="0"/>
        <w:spacing w:line="480" w:lineRule="exact"/>
        <w:ind w:firstLine="7770" w:firstLineChars="3700"/>
        <w:rPr>
          <w:rFonts w:hint="eastAsia" w:ascii="华文中宋" w:hAnsi="华文中宋" w:eastAsia="华文中宋" w:cs="华文中宋"/>
          <w:szCs w:val="21"/>
        </w:rPr>
      </w:pPr>
    </w:p>
    <w:p w14:paraId="3DBE4748">
      <w:pPr>
        <w:snapToGrid w:val="0"/>
        <w:spacing w:line="480" w:lineRule="exact"/>
        <w:ind w:firstLine="7770" w:firstLineChars="37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14:paraId="5D555013">
      <w:pPr>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szCs w:val="21"/>
        </w:rPr>
        <w:t xml:space="preserve">                                                                      日  期：      年  月  日</w:t>
      </w:r>
    </w:p>
    <w:p w14:paraId="3C848691">
      <w:pPr>
        <w:spacing w:line="360" w:lineRule="exact"/>
        <w:rPr>
          <w:rFonts w:hint="eastAsia" w:ascii="华文中宋" w:hAnsi="华文中宋" w:eastAsia="华文中宋" w:cs="华文中宋"/>
          <w:b/>
          <w:sz w:val="24"/>
          <w:lang w:eastAsia="zh-CN"/>
        </w:rPr>
        <w:sectPr>
          <w:pgSz w:w="16838" w:h="11906" w:orient="landscape"/>
          <w:pgMar w:top="1803" w:right="1440" w:bottom="1803" w:left="1440" w:header="851" w:footer="992" w:gutter="0"/>
          <w:pgNumType w:fmt="decimal"/>
          <w:cols w:space="720" w:num="1"/>
          <w:rtlGutter w:val="0"/>
          <w:docGrid w:type="lines" w:linePitch="332" w:charSpace="0"/>
        </w:sectPr>
      </w:pPr>
    </w:p>
    <w:p w14:paraId="6DBEE446">
      <w:pPr>
        <w:spacing w:line="360" w:lineRule="exact"/>
        <w:rPr>
          <w:rFonts w:hint="eastAsia" w:ascii="华文中宋" w:hAnsi="华文中宋" w:eastAsia="华文中宋" w:cs="华文中宋"/>
          <w:b/>
          <w:sz w:val="24"/>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七</w:t>
      </w:r>
      <w:r>
        <w:rPr>
          <w:rFonts w:hint="eastAsia" w:ascii="华文中宋" w:hAnsi="华文中宋" w:eastAsia="华文中宋" w:cs="华文中宋"/>
          <w:b/>
          <w:sz w:val="24"/>
        </w:rPr>
        <w:t>）招标文件要求或投标人认为需要提供的其他商务技术材料/文件</w:t>
      </w:r>
    </w:p>
    <w:p w14:paraId="6DDFEFC8">
      <w:pPr>
        <w:pStyle w:val="68"/>
        <w:snapToGrid w:val="0"/>
        <w:spacing w:line="440" w:lineRule="exact"/>
        <w:ind w:firstLine="420" w:firstLineChars="200"/>
        <w:textAlignment w:val="auto"/>
        <w:rPr>
          <w:rFonts w:hint="eastAsia" w:ascii="华文中宋" w:hAnsi="华文中宋" w:eastAsia="华文中宋" w:cs="华文中宋"/>
        </w:rPr>
        <w:sectPr>
          <w:pgSz w:w="11906" w:h="16838"/>
          <w:pgMar w:top="1440" w:right="1803" w:bottom="1440" w:left="1803" w:header="851" w:footer="992" w:gutter="0"/>
          <w:pgNumType w:fmt="decimal"/>
          <w:cols w:space="720" w:num="1"/>
          <w:rtlGutter w:val="0"/>
          <w:docGrid w:type="lines" w:linePitch="332" w:charSpace="0"/>
        </w:sectPr>
      </w:pPr>
    </w:p>
    <w:p w14:paraId="33A57EBF">
      <w:pPr>
        <w:spacing w:line="400" w:lineRule="exact"/>
        <w:outlineLvl w:val="9"/>
        <w:rPr>
          <w:rFonts w:ascii="华文中宋" w:hAnsi="华文中宋" w:eastAsia="华文中宋" w:cs="华文中宋"/>
          <w:b/>
          <w:sz w:val="24"/>
          <w:szCs w:val="32"/>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八</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szCs w:val="32"/>
        </w:rPr>
        <w:t>投标人类似合同案例情况格式（若有的话）</w:t>
      </w:r>
    </w:p>
    <w:p w14:paraId="2E5AA6B5">
      <w:pPr>
        <w:tabs>
          <w:tab w:val="left" w:pos="1680"/>
        </w:tabs>
        <w:snapToGrid w:val="0"/>
        <w:spacing w:line="400" w:lineRule="exact"/>
        <w:jc w:val="center"/>
        <w:rPr>
          <w:rFonts w:hint="eastAsia" w:ascii="华文中宋" w:hAnsi="华文中宋" w:eastAsia="华文中宋" w:cs="华文中宋"/>
          <w:b/>
          <w:sz w:val="24"/>
        </w:rPr>
      </w:pPr>
    </w:p>
    <w:p w14:paraId="12671326">
      <w:pPr>
        <w:keepNext w:val="0"/>
        <w:keepLines w:val="0"/>
        <w:pageBreakBefore w:val="0"/>
        <w:widowControl w:val="0"/>
        <w:tabs>
          <w:tab w:val="left" w:pos="1680"/>
        </w:tabs>
        <w:kinsoku/>
        <w:wordWrap/>
        <w:overflowPunct/>
        <w:topLinePunct w:val="0"/>
        <w:autoSpaceDE/>
        <w:autoSpaceDN/>
        <w:bidi w:val="0"/>
        <w:adjustRightInd/>
        <w:snapToGrid w:val="0"/>
        <w:spacing w:before="167" w:beforeLines="50" w:after="167" w:afterLines="50" w:line="400" w:lineRule="exact"/>
        <w:ind w:left="0" w:leftChars="0" w:right="0" w:rightChars="0" w:firstLine="0" w:firstLineChars="0"/>
        <w:jc w:val="center"/>
        <w:textAlignment w:val="auto"/>
        <w:outlineLvl w:val="9"/>
        <w:rPr>
          <w:rFonts w:hint="eastAsia" w:ascii="华文中宋" w:hAnsi="华文中宋" w:eastAsia="华文中宋" w:cs="华文中宋"/>
          <w:b/>
          <w:sz w:val="24"/>
        </w:rPr>
      </w:pPr>
      <w:r>
        <w:rPr>
          <w:rFonts w:hint="eastAsia" w:ascii="华文中宋" w:hAnsi="华文中宋" w:eastAsia="华文中宋" w:cs="华文中宋"/>
          <w:b/>
          <w:sz w:val="24"/>
        </w:rPr>
        <w:t>投标人类似合同案例情况一览表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14:paraId="3F7F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3" w:type="dxa"/>
            <w:noWrap w:val="0"/>
            <w:vAlign w:val="center"/>
          </w:tcPr>
          <w:p w14:paraId="667DFA6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序号</w:t>
            </w:r>
          </w:p>
        </w:tc>
        <w:tc>
          <w:tcPr>
            <w:tcW w:w="2099" w:type="dxa"/>
            <w:noWrap w:val="0"/>
            <w:vAlign w:val="center"/>
          </w:tcPr>
          <w:p w14:paraId="5681373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合同名称</w:t>
            </w:r>
          </w:p>
        </w:tc>
        <w:tc>
          <w:tcPr>
            <w:tcW w:w="2135" w:type="dxa"/>
            <w:noWrap w:val="0"/>
            <w:vAlign w:val="center"/>
          </w:tcPr>
          <w:p w14:paraId="76F13AA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采购单位</w:t>
            </w:r>
          </w:p>
        </w:tc>
        <w:tc>
          <w:tcPr>
            <w:tcW w:w="1937" w:type="dxa"/>
            <w:noWrap w:val="0"/>
            <w:vAlign w:val="center"/>
          </w:tcPr>
          <w:p w14:paraId="44F76B4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合同核实联系人及联系电话</w:t>
            </w:r>
          </w:p>
        </w:tc>
        <w:tc>
          <w:tcPr>
            <w:tcW w:w="1523" w:type="dxa"/>
            <w:noWrap w:val="0"/>
            <w:vAlign w:val="center"/>
          </w:tcPr>
          <w:p w14:paraId="5943E00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签署日期</w:t>
            </w:r>
          </w:p>
        </w:tc>
        <w:tc>
          <w:tcPr>
            <w:tcW w:w="1698" w:type="dxa"/>
            <w:noWrap w:val="0"/>
            <w:vAlign w:val="center"/>
          </w:tcPr>
          <w:p w14:paraId="3A8B057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合同金额</w:t>
            </w:r>
          </w:p>
        </w:tc>
        <w:tc>
          <w:tcPr>
            <w:tcW w:w="1609" w:type="dxa"/>
            <w:noWrap w:val="0"/>
            <w:vAlign w:val="center"/>
          </w:tcPr>
          <w:p w14:paraId="1238E965">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项目结算</w:t>
            </w:r>
          </w:p>
          <w:p w14:paraId="43ED2F8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凭证类型</w:t>
            </w:r>
          </w:p>
        </w:tc>
        <w:tc>
          <w:tcPr>
            <w:tcW w:w="1852" w:type="dxa"/>
            <w:noWrap w:val="0"/>
            <w:vAlign w:val="center"/>
          </w:tcPr>
          <w:p w14:paraId="3A9AB47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结算凭证金额</w:t>
            </w:r>
            <w:r>
              <w:rPr>
                <w:rFonts w:hint="eastAsia" w:ascii="华文中宋" w:hAnsi="华文中宋" w:eastAsia="华文中宋" w:cs="华文中宋"/>
                <w:kern w:val="0"/>
                <w:szCs w:val="21"/>
              </w:rPr>
              <w:t>　</w:t>
            </w:r>
          </w:p>
        </w:tc>
      </w:tr>
      <w:tr w14:paraId="28F2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1085CE5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1</w:t>
            </w:r>
          </w:p>
        </w:tc>
        <w:tc>
          <w:tcPr>
            <w:tcW w:w="2099" w:type="dxa"/>
            <w:noWrap w:val="0"/>
            <w:vAlign w:val="center"/>
          </w:tcPr>
          <w:p w14:paraId="48EF9ADC">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161B2CF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274FD9A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38C886C9">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531D51F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56967CF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6F03AB7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p>
        </w:tc>
      </w:tr>
      <w:tr w14:paraId="4434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251E491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2</w:t>
            </w:r>
          </w:p>
        </w:tc>
        <w:tc>
          <w:tcPr>
            <w:tcW w:w="2099" w:type="dxa"/>
            <w:noWrap w:val="0"/>
            <w:vAlign w:val="center"/>
          </w:tcPr>
          <w:p w14:paraId="66BD500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36D98EE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44DE7159">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2679082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71BF64D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3577E774">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2E249AE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14:paraId="2AA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noWrap w:val="0"/>
            <w:vAlign w:val="center"/>
          </w:tcPr>
          <w:p w14:paraId="49BBF33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3</w:t>
            </w:r>
          </w:p>
        </w:tc>
        <w:tc>
          <w:tcPr>
            <w:tcW w:w="2099" w:type="dxa"/>
            <w:noWrap w:val="0"/>
            <w:vAlign w:val="center"/>
          </w:tcPr>
          <w:p w14:paraId="2D8C7B5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02482AD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07C3C8D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5F905D82">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29C8812A">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12159617">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641E6AE0">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14:paraId="39A9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3" w:type="dxa"/>
            <w:noWrap w:val="0"/>
            <w:vAlign w:val="center"/>
          </w:tcPr>
          <w:p w14:paraId="77729CBD">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w:t>
            </w:r>
          </w:p>
        </w:tc>
        <w:tc>
          <w:tcPr>
            <w:tcW w:w="2099" w:type="dxa"/>
            <w:noWrap w:val="0"/>
            <w:vAlign w:val="center"/>
          </w:tcPr>
          <w:p w14:paraId="54D6507F">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noWrap w:val="0"/>
            <w:vAlign w:val="center"/>
          </w:tcPr>
          <w:p w14:paraId="52E1DCA3">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noWrap w:val="0"/>
            <w:vAlign w:val="center"/>
          </w:tcPr>
          <w:p w14:paraId="2BA7A24B">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noWrap w:val="0"/>
            <w:vAlign w:val="center"/>
          </w:tcPr>
          <w:p w14:paraId="1EE0BBC1">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noWrap w:val="0"/>
            <w:vAlign w:val="center"/>
          </w:tcPr>
          <w:p w14:paraId="7CD66132">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noWrap w:val="0"/>
            <w:vAlign w:val="center"/>
          </w:tcPr>
          <w:p w14:paraId="60FE48C6">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noWrap w:val="0"/>
            <w:vAlign w:val="center"/>
          </w:tcPr>
          <w:p w14:paraId="710E8A98">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bl>
    <w:p w14:paraId="56F242F9">
      <w:pPr>
        <w:spacing w:line="460" w:lineRule="exact"/>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说明：</w:t>
      </w:r>
      <w:r>
        <w:rPr>
          <w:rFonts w:hint="eastAsia" w:ascii="华文中宋" w:hAnsi="华文中宋" w:eastAsia="华文中宋" w:cs="华文中宋"/>
          <w:szCs w:val="21"/>
        </w:rPr>
        <w:t>①</w:t>
      </w:r>
      <w:r>
        <w:rPr>
          <w:rFonts w:hint="eastAsia" w:ascii="华文中宋" w:hAnsi="华文中宋" w:eastAsia="华文中宋" w:cs="微软雅黑"/>
          <w:szCs w:val="21"/>
        </w:rPr>
        <w:t>投标人应尽可能填全以上表格。</w:t>
      </w:r>
    </w:p>
    <w:p w14:paraId="01D07AC4">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②无业绩，无需填写此表。</w:t>
      </w:r>
    </w:p>
    <w:p w14:paraId="2F61120E">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③类似合同案例证明材料附后。</w:t>
      </w:r>
    </w:p>
    <w:p w14:paraId="14C3EF4D">
      <w:pPr>
        <w:spacing w:line="460" w:lineRule="exact"/>
        <w:ind w:firstLine="1050" w:firstLineChars="500"/>
        <w:rPr>
          <w:rFonts w:hint="eastAsia" w:ascii="华文中宋" w:hAnsi="华文中宋" w:eastAsia="华文中宋" w:cs="微软雅黑"/>
          <w:szCs w:val="21"/>
        </w:rPr>
      </w:pPr>
    </w:p>
    <w:p w14:paraId="0080A736">
      <w:pPr>
        <w:snapToGrid w:val="0"/>
        <w:spacing w:line="360" w:lineRule="auto"/>
        <w:ind w:firstLine="7770" w:firstLineChars="3700"/>
        <w:rPr>
          <w:rFonts w:hint="eastAsia"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14:paraId="2580F788">
      <w:pPr>
        <w:snapToGrid w:val="0"/>
        <w:spacing w:line="360" w:lineRule="auto"/>
        <w:rPr>
          <w:rFonts w:ascii="华文中宋" w:hAnsi="华文中宋" w:eastAsia="华文中宋"/>
        </w:rPr>
      </w:pPr>
      <w:r>
        <w:rPr>
          <w:rFonts w:hint="eastAsia" w:ascii="华文中宋" w:hAnsi="华文中宋" w:eastAsia="华文中宋" w:cs="微软雅黑"/>
          <w:szCs w:val="21"/>
        </w:rPr>
        <w:t xml:space="preserve">                                                                          日  期：      年   月  日</w:t>
      </w:r>
      <w:r>
        <w:rPr>
          <w:rFonts w:hint="eastAsia" w:ascii="华文中宋" w:hAnsi="华文中宋" w:eastAsia="华文中宋" w:cs="微软雅黑"/>
          <w:szCs w:val="21"/>
          <w:lang w:val="en-US" w:eastAsia="zh-CN"/>
        </w:rPr>
        <w:t xml:space="preserve"> </w:t>
      </w:r>
    </w:p>
    <w:sectPr>
      <w:headerReference r:id="rId8" w:type="default"/>
      <w:footerReference r:id="rId9" w:type="default"/>
      <w:pgSz w:w="16838" w:h="11906" w:orient="landscape"/>
      <w:pgMar w:top="1531" w:right="1134" w:bottom="1361" w:left="1020"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88E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A0025A">
                          <w:pPr>
                            <w:snapToGrid w:val="0"/>
                            <w:rPr>
                              <w:rFonts w:hint="eastAsia" w:eastAsia="宋体"/>
                              <w:sz w:val="18"/>
                              <w:lang w:eastAsia="zh-CN"/>
                            </w:rPr>
                          </w:pPr>
                          <w:r>
                            <w:rPr>
                              <w:rFonts w:hint="eastAsia" w:ascii="华文中宋" w:hAnsi="华文中宋" w:eastAsia="华文中宋" w:cs="华文中宋"/>
                              <w:sz w:val="21"/>
                              <w:szCs w:val="21"/>
                              <w:lang w:eastAsia="zh-CN"/>
                            </w:rPr>
                            <w:t xml:space="preserve">第 </w:t>
                          </w:r>
                          <w:r>
                            <w:rPr>
                              <w:rFonts w:hint="eastAsia" w:ascii="华文中宋" w:hAnsi="华文中宋" w:eastAsia="华文中宋" w:cs="华文中宋"/>
                              <w:sz w:val="21"/>
                              <w:szCs w:val="21"/>
                              <w:lang w:eastAsia="zh-CN"/>
                            </w:rPr>
                            <w:fldChar w:fldCharType="begin"/>
                          </w:r>
                          <w:r>
                            <w:rPr>
                              <w:rFonts w:hint="eastAsia" w:ascii="华文中宋" w:hAnsi="华文中宋" w:eastAsia="华文中宋" w:cs="华文中宋"/>
                              <w:sz w:val="21"/>
                              <w:szCs w:val="21"/>
                              <w:lang w:eastAsia="zh-CN"/>
                            </w:rPr>
                            <w:instrText xml:space="preserve"> PAGE  \* MERGEFORMAT </w:instrText>
                          </w:r>
                          <w:r>
                            <w:rPr>
                              <w:rFonts w:hint="eastAsia" w:ascii="华文中宋" w:hAnsi="华文中宋" w:eastAsia="华文中宋" w:cs="华文中宋"/>
                              <w:sz w:val="21"/>
                              <w:szCs w:val="21"/>
                              <w:lang w:eastAsia="zh-CN"/>
                            </w:rPr>
                            <w:fldChar w:fldCharType="separate"/>
                          </w:r>
                          <w:r>
                            <w:rPr>
                              <w:rFonts w:hint="eastAsia" w:ascii="华文中宋" w:hAnsi="华文中宋" w:eastAsia="华文中宋" w:cs="华文中宋"/>
                              <w:sz w:val="21"/>
                              <w:szCs w:val="21"/>
                              <w:lang w:eastAsia="zh-CN"/>
                            </w:rPr>
                            <w:t>1</w:t>
                          </w:r>
                          <w:r>
                            <w:rPr>
                              <w:rFonts w:hint="eastAsia" w:ascii="华文中宋" w:hAnsi="华文中宋" w:eastAsia="华文中宋" w:cs="华文中宋"/>
                              <w:sz w:val="21"/>
                              <w:szCs w:val="21"/>
                              <w:lang w:eastAsia="zh-CN"/>
                            </w:rPr>
                            <w:fldChar w:fldCharType="end"/>
                          </w:r>
                          <w:r>
                            <w:rPr>
                              <w:rFonts w:hint="eastAsia" w:ascii="华文中宋" w:hAnsi="华文中宋" w:eastAsia="华文中宋" w:cs="华文中宋"/>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P4V2+UBAADQAwAA&#10;DgAAAAAAAAABACAAAAAeAQAAZHJzL2Uyb0RvYy54bWxQSwUGAAAAAAYABgBZAQAAdQUAAAAA&#10;">
              <v:fill on="f" focussize="0,0"/>
              <v:stroke on="f"/>
              <v:imagedata o:title=""/>
              <o:lock v:ext="edit" aspectratio="f"/>
              <v:textbox inset="0mm,0mm,0mm,0mm" style="mso-fit-shape-to-text:t;">
                <w:txbxContent>
                  <w:p w14:paraId="78A0025A">
                    <w:pPr>
                      <w:snapToGrid w:val="0"/>
                      <w:rPr>
                        <w:rFonts w:hint="eastAsia" w:eastAsia="宋体"/>
                        <w:sz w:val="18"/>
                        <w:lang w:eastAsia="zh-CN"/>
                      </w:rPr>
                    </w:pPr>
                    <w:r>
                      <w:rPr>
                        <w:rFonts w:hint="eastAsia" w:ascii="华文中宋" w:hAnsi="华文中宋" w:eastAsia="华文中宋" w:cs="华文中宋"/>
                        <w:sz w:val="21"/>
                        <w:szCs w:val="21"/>
                        <w:lang w:eastAsia="zh-CN"/>
                      </w:rPr>
                      <w:t xml:space="preserve">第 </w:t>
                    </w:r>
                    <w:r>
                      <w:rPr>
                        <w:rFonts w:hint="eastAsia" w:ascii="华文中宋" w:hAnsi="华文中宋" w:eastAsia="华文中宋" w:cs="华文中宋"/>
                        <w:sz w:val="21"/>
                        <w:szCs w:val="21"/>
                        <w:lang w:eastAsia="zh-CN"/>
                      </w:rPr>
                      <w:fldChar w:fldCharType="begin"/>
                    </w:r>
                    <w:r>
                      <w:rPr>
                        <w:rFonts w:hint="eastAsia" w:ascii="华文中宋" w:hAnsi="华文中宋" w:eastAsia="华文中宋" w:cs="华文中宋"/>
                        <w:sz w:val="21"/>
                        <w:szCs w:val="21"/>
                        <w:lang w:eastAsia="zh-CN"/>
                      </w:rPr>
                      <w:instrText xml:space="preserve"> PAGE  \* MERGEFORMAT </w:instrText>
                    </w:r>
                    <w:r>
                      <w:rPr>
                        <w:rFonts w:hint="eastAsia" w:ascii="华文中宋" w:hAnsi="华文中宋" w:eastAsia="华文中宋" w:cs="华文中宋"/>
                        <w:sz w:val="21"/>
                        <w:szCs w:val="21"/>
                        <w:lang w:eastAsia="zh-CN"/>
                      </w:rPr>
                      <w:fldChar w:fldCharType="separate"/>
                    </w:r>
                    <w:r>
                      <w:rPr>
                        <w:rFonts w:hint="eastAsia" w:ascii="华文中宋" w:hAnsi="华文中宋" w:eastAsia="华文中宋" w:cs="华文中宋"/>
                        <w:sz w:val="21"/>
                        <w:szCs w:val="21"/>
                        <w:lang w:eastAsia="zh-CN"/>
                      </w:rPr>
                      <w:t>1</w:t>
                    </w:r>
                    <w:r>
                      <w:rPr>
                        <w:rFonts w:hint="eastAsia" w:ascii="华文中宋" w:hAnsi="华文中宋" w:eastAsia="华文中宋" w:cs="华文中宋"/>
                        <w:sz w:val="21"/>
                        <w:szCs w:val="21"/>
                        <w:lang w:eastAsia="zh-CN"/>
                      </w:rPr>
                      <w:fldChar w:fldCharType="end"/>
                    </w:r>
                    <w:r>
                      <w:rPr>
                        <w:rFonts w:hint="eastAsia" w:ascii="华文中宋" w:hAnsi="华文中宋" w:eastAsia="华文中宋" w:cs="华文中宋"/>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8C18">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022C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JyVfB+UBAADQAwAA&#10;DgAAAAAAAAABACAAAAAeAQAAZHJzL2Uyb0RvYy54bWxQSwUGAAAAAAYABgBZAQAAdQUAAAAA&#10;">
              <v:fill on="f" focussize="0,0"/>
              <v:stroke on="f"/>
              <v:imagedata o:title=""/>
              <o:lock v:ext="edit" aspectratio="f"/>
              <v:textbox inset="0mm,0mm,0mm,0mm" style="mso-fit-shape-to-text:t;">
                <w:txbxContent>
                  <w:p w14:paraId="62E022C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99A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wps:spPr>
                    <wps:txbx>
                      <w:txbxContent>
                        <w:p w14:paraId="1944589A">
                          <w:pPr>
                            <w:pStyle w:val="2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pt;width:4.55pt;mso-position-horizontal:center;mso-position-horizontal-relative:margin;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3rDkDQAAAAAgEAAA8AAAAAAAAAAQAgAAAAIgAAAGRycy9k&#10;b3ducmV2LnhtbFBLAQIUABQAAAAIAIdO4kCsJD2HCgIAAAEEAAAOAAAAAAAAAAEAIAAAAB8BAABk&#10;cnMvZTJvRG9jLnhtbFBLBQYAAAAABgAGAFkBAACbBQAAAAA=&#10;">
              <v:fill on="f" focussize="0,0"/>
              <v:stroke on="f"/>
              <v:imagedata o:title=""/>
              <o:lock v:ext="edit" aspectratio="f"/>
              <v:textbox inset="0mm,0mm,0mm,0mm" style="mso-fit-shape-to-text:t;">
                <w:txbxContent>
                  <w:p w14:paraId="1944589A">
                    <w:pPr>
                      <w:pStyle w:val="2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2039">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67568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r>
                            <w:rPr>
                              <w:rFonts w:hint="eastAsia"/>
                              <w:sz w:val="18"/>
                              <w:lang w:eastAsia="zh-CN"/>
                            </w:rPr>
                            <w:t xml:space="preserve"> 页</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xPFN45AEAANADAAAO&#10;AAAAAAAAAAEAIAAAAB4BAABkcnMvZTJvRG9jLnhtbFBLBQYAAAAABgAGAFkBAAB0BQAAAAA=&#10;">
              <v:fill on="f" focussize="0,0"/>
              <v:stroke on="f"/>
              <v:imagedata o:title=""/>
              <o:lock v:ext="edit" aspectratio="f"/>
              <v:textbox inset="0mm,0mm,0mm,0mm" style="mso-fit-shape-to-text:t;">
                <w:txbxContent>
                  <w:p w14:paraId="4F67568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EB0F">
    <w:pPr>
      <w:pStyle w:val="22"/>
    </w:pPr>
    <w:r>
      <w:rPr>
        <w:rFonts w:hint="eastAsia" w:ascii="隶书" w:eastAsia="隶书"/>
        <w:spacing w:val="60"/>
        <w:lang w:eastAsia="zh-CN"/>
      </w:rPr>
      <w:t>高平</w:t>
    </w:r>
    <w:r>
      <w:rPr>
        <w:rFonts w:hint="eastAsia" w:ascii="隶书" w:eastAsia="隶书"/>
        <w:spacing w:val="60"/>
      </w:rPr>
      <w:t>市公共资源交易中心招标文件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A81F">
    <w:pPr>
      <w:pStyle w:val="22"/>
    </w:pPr>
    <w:r>
      <w:rPr>
        <w:rFonts w:hint="eastAsia" w:ascii="隶书" w:eastAsia="隶书"/>
        <w:spacing w:val="60"/>
        <w:lang w:eastAsia="zh-CN"/>
      </w:rPr>
      <w:t>高平</w:t>
    </w:r>
    <w:r>
      <w:rPr>
        <w:rFonts w:hint="eastAsia" w:ascii="隶书" w:eastAsia="隶书"/>
        <w:spacing w:val="60"/>
      </w:rPr>
      <w:t>市公共资源交易中心招标文件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450A">
    <w:pPr>
      <w:pStyle w:val="22"/>
    </w:pPr>
    <w:r>
      <w:rPr>
        <w:rFonts w:hint="eastAsia" w:ascii="隶书" w:eastAsia="隶书"/>
        <w:spacing w:val="60"/>
        <w:lang w:eastAsia="zh-CN"/>
      </w:rPr>
      <w:t>高平市公共资源交易</w:t>
    </w:r>
    <w:r>
      <w:rPr>
        <w:rFonts w:hint="eastAsia" w:ascii="隶书" w:eastAsia="隶书"/>
        <w:spacing w:val="60"/>
      </w:rPr>
      <w:t>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40B7B70"/>
    <w:multiLevelType w:val="singleLevel"/>
    <w:tmpl w:val="140B7B70"/>
    <w:lvl w:ilvl="0" w:tentative="0">
      <w:start w:val="1"/>
      <w:numFmt w:val="decimal"/>
      <w:suff w:val="space"/>
      <w:lvlText w:val="%1."/>
      <w:lvlJc w:val="left"/>
    </w:lvl>
  </w:abstractNum>
  <w:abstractNum w:abstractNumId="7">
    <w:nsid w:val="3C8D31BA"/>
    <w:multiLevelType w:val="multilevel"/>
    <w:tmpl w:val="3C8D31BA"/>
    <w:lvl w:ilvl="0" w:tentative="0">
      <w:start w:val="1"/>
      <w:numFmt w:val="japaneseCounting"/>
      <w:lvlText w:val="（%1）"/>
      <w:lvlJc w:val="left"/>
      <w:pPr>
        <w:ind w:left="1350" w:hanging="720"/>
      </w:pPr>
      <w:rPr>
        <w:rFonts w:hint="default" w:ascii="Times New Roman" w:hAnsi="Times New Roman" w:cs="Times New Roman"/>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mY1ODk5OWViYzNhYTMxMmJmYmYzYWNhNzdmYzYifQ=="/>
  </w:docVars>
  <w:rsids>
    <w:rsidRoot w:val="00172A27"/>
    <w:rsid w:val="00002701"/>
    <w:rsid w:val="00004FAD"/>
    <w:rsid w:val="00010EB2"/>
    <w:rsid w:val="000134C9"/>
    <w:rsid w:val="00014A2C"/>
    <w:rsid w:val="000153C9"/>
    <w:rsid w:val="00021E53"/>
    <w:rsid w:val="00022A96"/>
    <w:rsid w:val="0002578D"/>
    <w:rsid w:val="00025961"/>
    <w:rsid w:val="00026526"/>
    <w:rsid w:val="00027EB1"/>
    <w:rsid w:val="000304FB"/>
    <w:rsid w:val="00041F65"/>
    <w:rsid w:val="0005761C"/>
    <w:rsid w:val="00061355"/>
    <w:rsid w:val="000620B7"/>
    <w:rsid w:val="00063B47"/>
    <w:rsid w:val="00064F40"/>
    <w:rsid w:val="000650DC"/>
    <w:rsid w:val="000652D9"/>
    <w:rsid w:val="00071DD4"/>
    <w:rsid w:val="00076DD0"/>
    <w:rsid w:val="00080ABB"/>
    <w:rsid w:val="000818DD"/>
    <w:rsid w:val="000924A1"/>
    <w:rsid w:val="000960BA"/>
    <w:rsid w:val="000A38F6"/>
    <w:rsid w:val="000A6FEE"/>
    <w:rsid w:val="000B2B11"/>
    <w:rsid w:val="000C02B2"/>
    <w:rsid w:val="000C7818"/>
    <w:rsid w:val="000E1E8A"/>
    <w:rsid w:val="000E2002"/>
    <w:rsid w:val="000E41AB"/>
    <w:rsid w:val="000E6811"/>
    <w:rsid w:val="000E7BA7"/>
    <w:rsid w:val="000F3A4A"/>
    <w:rsid w:val="000F6824"/>
    <w:rsid w:val="00100EFB"/>
    <w:rsid w:val="00103DF2"/>
    <w:rsid w:val="00104D7D"/>
    <w:rsid w:val="00111023"/>
    <w:rsid w:val="00116107"/>
    <w:rsid w:val="00120424"/>
    <w:rsid w:val="00125760"/>
    <w:rsid w:val="00126084"/>
    <w:rsid w:val="001310A2"/>
    <w:rsid w:val="00132E59"/>
    <w:rsid w:val="001346D9"/>
    <w:rsid w:val="00135082"/>
    <w:rsid w:val="00136086"/>
    <w:rsid w:val="001361FA"/>
    <w:rsid w:val="00140222"/>
    <w:rsid w:val="00141E93"/>
    <w:rsid w:val="00144653"/>
    <w:rsid w:val="001468F9"/>
    <w:rsid w:val="0014738D"/>
    <w:rsid w:val="0014773E"/>
    <w:rsid w:val="0015048E"/>
    <w:rsid w:val="001523A0"/>
    <w:rsid w:val="00155360"/>
    <w:rsid w:val="00171B43"/>
    <w:rsid w:val="00172A27"/>
    <w:rsid w:val="00172C53"/>
    <w:rsid w:val="001818A3"/>
    <w:rsid w:val="00182535"/>
    <w:rsid w:val="0018545F"/>
    <w:rsid w:val="001862C9"/>
    <w:rsid w:val="00191E70"/>
    <w:rsid w:val="00196A45"/>
    <w:rsid w:val="001A5471"/>
    <w:rsid w:val="001B2C01"/>
    <w:rsid w:val="001C3039"/>
    <w:rsid w:val="001D5118"/>
    <w:rsid w:val="001D5476"/>
    <w:rsid w:val="001D7F2E"/>
    <w:rsid w:val="001E03DE"/>
    <w:rsid w:val="001E6BFE"/>
    <w:rsid w:val="001E7BF3"/>
    <w:rsid w:val="001F36A6"/>
    <w:rsid w:val="001F52C2"/>
    <w:rsid w:val="001F5C77"/>
    <w:rsid w:val="001F6B48"/>
    <w:rsid w:val="001F6F80"/>
    <w:rsid w:val="00200665"/>
    <w:rsid w:val="00201044"/>
    <w:rsid w:val="002033F2"/>
    <w:rsid w:val="00205DAF"/>
    <w:rsid w:val="002173A7"/>
    <w:rsid w:val="002224DC"/>
    <w:rsid w:val="00223D4D"/>
    <w:rsid w:val="00226EE1"/>
    <w:rsid w:val="00230BE1"/>
    <w:rsid w:val="00231143"/>
    <w:rsid w:val="0023189E"/>
    <w:rsid w:val="00233920"/>
    <w:rsid w:val="00236B50"/>
    <w:rsid w:val="002379E1"/>
    <w:rsid w:val="00240C7C"/>
    <w:rsid w:val="00240E5E"/>
    <w:rsid w:val="002549B0"/>
    <w:rsid w:val="0025593C"/>
    <w:rsid w:val="00260972"/>
    <w:rsid w:val="00264512"/>
    <w:rsid w:val="002654FA"/>
    <w:rsid w:val="00266F06"/>
    <w:rsid w:val="00272E81"/>
    <w:rsid w:val="002761FC"/>
    <w:rsid w:val="00276728"/>
    <w:rsid w:val="00277577"/>
    <w:rsid w:val="002838BB"/>
    <w:rsid w:val="00296C09"/>
    <w:rsid w:val="002A555B"/>
    <w:rsid w:val="002B1129"/>
    <w:rsid w:val="002B20CB"/>
    <w:rsid w:val="002B4805"/>
    <w:rsid w:val="002B7CCF"/>
    <w:rsid w:val="002C3BE6"/>
    <w:rsid w:val="002C4151"/>
    <w:rsid w:val="002C463A"/>
    <w:rsid w:val="002D3280"/>
    <w:rsid w:val="002D4304"/>
    <w:rsid w:val="002D51B6"/>
    <w:rsid w:val="002E0D90"/>
    <w:rsid w:val="002E4ECE"/>
    <w:rsid w:val="002F2A41"/>
    <w:rsid w:val="002F526A"/>
    <w:rsid w:val="002F6428"/>
    <w:rsid w:val="00300D76"/>
    <w:rsid w:val="00311A38"/>
    <w:rsid w:val="003132EE"/>
    <w:rsid w:val="0031388C"/>
    <w:rsid w:val="00323180"/>
    <w:rsid w:val="003231B5"/>
    <w:rsid w:val="0033276D"/>
    <w:rsid w:val="00334165"/>
    <w:rsid w:val="00337AD1"/>
    <w:rsid w:val="00341E72"/>
    <w:rsid w:val="003449A7"/>
    <w:rsid w:val="00345570"/>
    <w:rsid w:val="00345730"/>
    <w:rsid w:val="003510B3"/>
    <w:rsid w:val="0036073A"/>
    <w:rsid w:val="0036372B"/>
    <w:rsid w:val="00364B1B"/>
    <w:rsid w:val="0037291D"/>
    <w:rsid w:val="0037388F"/>
    <w:rsid w:val="00375D6F"/>
    <w:rsid w:val="003802DA"/>
    <w:rsid w:val="00386D9A"/>
    <w:rsid w:val="003925FE"/>
    <w:rsid w:val="003A0C2C"/>
    <w:rsid w:val="003B2DE7"/>
    <w:rsid w:val="003C066C"/>
    <w:rsid w:val="003C25D0"/>
    <w:rsid w:val="003D1E51"/>
    <w:rsid w:val="003D2947"/>
    <w:rsid w:val="003D501B"/>
    <w:rsid w:val="003D7161"/>
    <w:rsid w:val="003D72C7"/>
    <w:rsid w:val="003E1148"/>
    <w:rsid w:val="003E17E4"/>
    <w:rsid w:val="003E3F2E"/>
    <w:rsid w:val="003E54EA"/>
    <w:rsid w:val="003E627D"/>
    <w:rsid w:val="003F3445"/>
    <w:rsid w:val="003F5A1D"/>
    <w:rsid w:val="003F5F81"/>
    <w:rsid w:val="004014CC"/>
    <w:rsid w:val="00407F56"/>
    <w:rsid w:val="0041044D"/>
    <w:rsid w:val="00412A71"/>
    <w:rsid w:val="00416C09"/>
    <w:rsid w:val="00423D8B"/>
    <w:rsid w:val="00425119"/>
    <w:rsid w:val="00426FC6"/>
    <w:rsid w:val="00427675"/>
    <w:rsid w:val="004314A2"/>
    <w:rsid w:val="0043179C"/>
    <w:rsid w:val="0043506E"/>
    <w:rsid w:val="004361F3"/>
    <w:rsid w:val="00442D6F"/>
    <w:rsid w:val="0044668B"/>
    <w:rsid w:val="00447001"/>
    <w:rsid w:val="004472E8"/>
    <w:rsid w:val="00453EAD"/>
    <w:rsid w:val="00456658"/>
    <w:rsid w:val="00464B59"/>
    <w:rsid w:val="00490A0B"/>
    <w:rsid w:val="00491403"/>
    <w:rsid w:val="00491794"/>
    <w:rsid w:val="00493547"/>
    <w:rsid w:val="004944DF"/>
    <w:rsid w:val="004970E3"/>
    <w:rsid w:val="00497DC7"/>
    <w:rsid w:val="004A1580"/>
    <w:rsid w:val="004A62BE"/>
    <w:rsid w:val="004B2A59"/>
    <w:rsid w:val="004C1697"/>
    <w:rsid w:val="004C475F"/>
    <w:rsid w:val="004C6E0C"/>
    <w:rsid w:val="004D389D"/>
    <w:rsid w:val="004D3CE6"/>
    <w:rsid w:val="004D62AB"/>
    <w:rsid w:val="004D65F3"/>
    <w:rsid w:val="004E0E2A"/>
    <w:rsid w:val="004E2D64"/>
    <w:rsid w:val="004E57B8"/>
    <w:rsid w:val="00500121"/>
    <w:rsid w:val="0050097F"/>
    <w:rsid w:val="005058FF"/>
    <w:rsid w:val="00505D81"/>
    <w:rsid w:val="00511485"/>
    <w:rsid w:val="005114B3"/>
    <w:rsid w:val="005251E5"/>
    <w:rsid w:val="00525B7D"/>
    <w:rsid w:val="005264AB"/>
    <w:rsid w:val="00533709"/>
    <w:rsid w:val="00534EF4"/>
    <w:rsid w:val="00535F10"/>
    <w:rsid w:val="00550B91"/>
    <w:rsid w:val="00552708"/>
    <w:rsid w:val="00553238"/>
    <w:rsid w:val="00555DB7"/>
    <w:rsid w:val="00560816"/>
    <w:rsid w:val="00560E67"/>
    <w:rsid w:val="0056183E"/>
    <w:rsid w:val="00562496"/>
    <w:rsid w:val="00564388"/>
    <w:rsid w:val="00566030"/>
    <w:rsid w:val="00570E9A"/>
    <w:rsid w:val="005750C1"/>
    <w:rsid w:val="0057626C"/>
    <w:rsid w:val="005846D8"/>
    <w:rsid w:val="00584821"/>
    <w:rsid w:val="0058514E"/>
    <w:rsid w:val="005926AA"/>
    <w:rsid w:val="005958FB"/>
    <w:rsid w:val="005A12A7"/>
    <w:rsid w:val="005A4FA2"/>
    <w:rsid w:val="005A73C2"/>
    <w:rsid w:val="005A7F3B"/>
    <w:rsid w:val="005B7619"/>
    <w:rsid w:val="005D1267"/>
    <w:rsid w:val="005D2453"/>
    <w:rsid w:val="005D37C1"/>
    <w:rsid w:val="005E7E37"/>
    <w:rsid w:val="005F16DD"/>
    <w:rsid w:val="005F1FE0"/>
    <w:rsid w:val="005F5209"/>
    <w:rsid w:val="005F568E"/>
    <w:rsid w:val="005F5B2F"/>
    <w:rsid w:val="006015C4"/>
    <w:rsid w:val="0060168D"/>
    <w:rsid w:val="006040C5"/>
    <w:rsid w:val="006072D5"/>
    <w:rsid w:val="00610974"/>
    <w:rsid w:val="00612558"/>
    <w:rsid w:val="00614652"/>
    <w:rsid w:val="00614D4D"/>
    <w:rsid w:val="00616CB2"/>
    <w:rsid w:val="00623D51"/>
    <w:rsid w:val="006336BD"/>
    <w:rsid w:val="00646482"/>
    <w:rsid w:val="0065330B"/>
    <w:rsid w:val="00657DDB"/>
    <w:rsid w:val="0066035F"/>
    <w:rsid w:val="0066516A"/>
    <w:rsid w:val="00666026"/>
    <w:rsid w:val="0067009D"/>
    <w:rsid w:val="00671CAB"/>
    <w:rsid w:val="00672822"/>
    <w:rsid w:val="006770D2"/>
    <w:rsid w:val="0068304C"/>
    <w:rsid w:val="006865C1"/>
    <w:rsid w:val="006A511E"/>
    <w:rsid w:val="006A73E7"/>
    <w:rsid w:val="006B2267"/>
    <w:rsid w:val="006B2812"/>
    <w:rsid w:val="006B6A30"/>
    <w:rsid w:val="006C30CB"/>
    <w:rsid w:val="006C4EEC"/>
    <w:rsid w:val="006C5A23"/>
    <w:rsid w:val="006C67B2"/>
    <w:rsid w:val="006D1002"/>
    <w:rsid w:val="006D2164"/>
    <w:rsid w:val="006E42E9"/>
    <w:rsid w:val="006F3A4D"/>
    <w:rsid w:val="007008C1"/>
    <w:rsid w:val="0071531A"/>
    <w:rsid w:val="007223A1"/>
    <w:rsid w:val="00722FFD"/>
    <w:rsid w:val="00732A19"/>
    <w:rsid w:val="00737675"/>
    <w:rsid w:val="007378AD"/>
    <w:rsid w:val="007403FB"/>
    <w:rsid w:val="00740C8D"/>
    <w:rsid w:val="00741AD1"/>
    <w:rsid w:val="00744114"/>
    <w:rsid w:val="0074456C"/>
    <w:rsid w:val="00751C1E"/>
    <w:rsid w:val="0075260C"/>
    <w:rsid w:val="00755201"/>
    <w:rsid w:val="00757CE6"/>
    <w:rsid w:val="007636EE"/>
    <w:rsid w:val="00763EAF"/>
    <w:rsid w:val="00773803"/>
    <w:rsid w:val="007745AE"/>
    <w:rsid w:val="00776E7A"/>
    <w:rsid w:val="007960DD"/>
    <w:rsid w:val="007A2E8A"/>
    <w:rsid w:val="007A3832"/>
    <w:rsid w:val="007A4890"/>
    <w:rsid w:val="007B3510"/>
    <w:rsid w:val="007B6E3A"/>
    <w:rsid w:val="007C0A65"/>
    <w:rsid w:val="007C5AB5"/>
    <w:rsid w:val="007C64A0"/>
    <w:rsid w:val="007C6A66"/>
    <w:rsid w:val="007D1BB9"/>
    <w:rsid w:val="007D5A0E"/>
    <w:rsid w:val="007E09EE"/>
    <w:rsid w:val="007E657F"/>
    <w:rsid w:val="007E723C"/>
    <w:rsid w:val="007F1529"/>
    <w:rsid w:val="007F3E00"/>
    <w:rsid w:val="007F5172"/>
    <w:rsid w:val="007F599F"/>
    <w:rsid w:val="007F6FE2"/>
    <w:rsid w:val="00800A6F"/>
    <w:rsid w:val="00803B6C"/>
    <w:rsid w:val="008112E4"/>
    <w:rsid w:val="00817D23"/>
    <w:rsid w:val="008211A1"/>
    <w:rsid w:val="00824D52"/>
    <w:rsid w:val="00825A5D"/>
    <w:rsid w:val="008308F6"/>
    <w:rsid w:val="0083360B"/>
    <w:rsid w:val="00837454"/>
    <w:rsid w:val="00840156"/>
    <w:rsid w:val="00846507"/>
    <w:rsid w:val="00846F86"/>
    <w:rsid w:val="0085024E"/>
    <w:rsid w:val="00853399"/>
    <w:rsid w:val="008542A3"/>
    <w:rsid w:val="0085537D"/>
    <w:rsid w:val="008570EA"/>
    <w:rsid w:val="00857D3C"/>
    <w:rsid w:val="00860C86"/>
    <w:rsid w:val="00863177"/>
    <w:rsid w:val="00867F1A"/>
    <w:rsid w:val="00872EE0"/>
    <w:rsid w:val="00875627"/>
    <w:rsid w:val="0087621B"/>
    <w:rsid w:val="00882431"/>
    <w:rsid w:val="00883DB3"/>
    <w:rsid w:val="00884858"/>
    <w:rsid w:val="00891FD0"/>
    <w:rsid w:val="0089687B"/>
    <w:rsid w:val="008A0037"/>
    <w:rsid w:val="008A415F"/>
    <w:rsid w:val="008A53B8"/>
    <w:rsid w:val="008A655E"/>
    <w:rsid w:val="008B4B9C"/>
    <w:rsid w:val="008C7BF0"/>
    <w:rsid w:val="008D3D44"/>
    <w:rsid w:val="008D4A52"/>
    <w:rsid w:val="008D72D8"/>
    <w:rsid w:val="008E27A2"/>
    <w:rsid w:val="008E2C37"/>
    <w:rsid w:val="008E420D"/>
    <w:rsid w:val="008E58B4"/>
    <w:rsid w:val="008F1B53"/>
    <w:rsid w:val="008F3932"/>
    <w:rsid w:val="008F3F30"/>
    <w:rsid w:val="008F5882"/>
    <w:rsid w:val="008F6A86"/>
    <w:rsid w:val="00906ACB"/>
    <w:rsid w:val="00927746"/>
    <w:rsid w:val="00927F1A"/>
    <w:rsid w:val="00932510"/>
    <w:rsid w:val="009377EA"/>
    <w:rsid w:val="00947B77"/>
    <w:rsid w:val="0096513B"/>
    <w:rsid w:val="00971C38"/>
    <w:rsid w:val="00972038"/>
    <w:rsid w:val="0097343F"/>
    <w:rsid w:val="00974213"/>
    <w:rsid w:val="009758DF"/>
    <w:rsid w:val="009763BD"/>
    <w:rsid w:val="00977B3D"/>
    <w:rsid w:val="0098225F"/>
    <w:rsid w:val="009851E1"/>
    <w:rsid w:val="00992D13"/>
    <w:rsid w:val="009A3F34"/>
    <w:rsid w:val="009A469D"/>
    <w:rsid w:val="009B5A97"/>
    <w:rsid w:val="009B6DDD"/>
    <w:rsid w:val="009C338C"/>
    <w:rsid w:val="009D5A5D"/>
    <w:rsid w:val="009D6C70"/>
    <w:rsid w:val="009F0E80"/>
    <w:rsid w:val="009F2FFD"/>
    <w:rsid w:val="00A02512"/>
    <w:rsid w:val="00A063EE"/>
    <w:rsid w:val="00A06523"/>
    <w:rsid w:val="00A114A7"/>
    <w:rsid w:val="00A20242"/>
    <w:rsid w:val="00A25EB9"/>
    <w:rsid w:val="00A26E65"/>
    <w:rsid w:val="00A32570"/>
    <w:rsid w:val="00A36904"/>
    <w:rsid w:val="00A4051B"/>
    <w:rsid w:val="00A50718"/>
    <w:rsid w:val="00A53F84"/>
    <w:rsid w:val="00A553E2"/>
    <w:rsid w:val="00A60E34"/>
    <w:rsid w:val="00A615AC"/>
    <w:rsid w:val="00A662C5"/>
    <w:rsid w:val="00A718DD"/>
    <w:rsid w:val="00A7231A"/>
    <w:rsid w:val="00A748CA"/>
    <w:rsid w:val="00A7683B"/>
    <w:rsid w:val="00A7683D"/>
    <w:rsid w:val="00A76899"/>
    <w:rsid w:val="00A81AFE"/>
    <w:rsid w:val="00A836C8"/>
    <w:rsid w:val="00A86930"/>
    <w:rsid w:val="00A93B9A"/>
    <w:rsid w:val="00A95EF3"/>
    <w:rsid w:val="00A975F7"/>
    <w:rsid w:val="00AA2DF5"/>
    <w:rsid w:val="00AA4F23"/>
    <w:rsid w:val="00AA567C"/>
    <w:rsid w:val="00AA568E"/>
    <w:rsid w:val="00AA6E16"/>
    <w:rsid w:val="00AB30BC"/>
    <w:rsid w:val="00AB33E4"/>
    <w:rsid w:val="00AB3500"/>
    <w:rsid w:val="00AB651A"/>
    <w:rsid w:val="00AB6B0D"/>
    <w:rsid w:val="00AC0A33"/>
    <w:rsid w:val="00AC11A5"/>
    <w:rsid w:val="00AC5EE7"/>
    <w:rsid w:val="00AC7AD5"/>
    <w:rsid w:val="00AD00F7"/>
    <w:rsid w:val="00AD5314"/>
    <w:rsid w:val="00AE33AB"/>
    <w:rsid w:val="00AE4751"/>
    <w:rsid w:val="00AE5256"/>
    <w:rsid w:val="00AE7861"/>
    <w:rsid w:val="00AF3204"/>
    <w:rsid w:val="00AF3C34"/>
    <w:rsid w:val="00AF4B84"/>
    <w:rsid w:val="00AF5253"/>
    <w:rsid w:val="00B0420E"/>
    <w:rsid w:val="00B05B77"/>
    <w:rsid w:val="00B06833"/>
    <w:rsid w:val="00B10EBE"/>
    <w:rsid w:val="00B11895"/>
    <w:rsid w:val="00B11A15"/>
    <w:rsid w:val="00B12355"/>
    <w:rsid w:val="00B14F02"/>
    <w:rsid w:val="00B1756C"/>
    <w:rsid w:val="00B17900"/>
    <w:rsid w:val="00B22D25"/>
    <w:rsid w:val="00B27E25"/>
    <w:rsid w:val="00B32306"/>
    <w:rsid w:val="00B34810"/>
    <w:rsid w:val="00B35B74"/>
    <w:rsid w:val="00B36E22"/>
    <w:rsid w:val="00B37170"/>
    <w:rsid w:val="00B405F7"/>
    <w:rsid w:val="00B42729"/>
    <w:rsid w:val="00B475DA"/>
    <w:rsid w:val="00B51B0D"/>
    <w:rsid w:val="00B62FC8"/>
    <w:rsid w:val="00B661D1"/>
    <w:rsid w:val="00B71DE6"/>
    <w:rsid w:val="00B72C11"/>
    <w:rsid w:val="00B75329"/>
    <w:rsid w:val="00B80CE4"/>
    <w:rsid w:val="00B86787"/>
    <w:rsid w:val="00B9075F"/>
    <w:rsid w:val="00B924D9"/>
    <w:rsid w:val="00B97389"/>
    <w:rsid w:val="00BA401E"/>
    <w:rsid w:val="00BA6D6E"/>
    <w:rsid w:val="00BA739C"/>
    <w:rsid w:val="00BB0740"/>
    <w:rsid w:val="00BB5FB6"/>
    <w:rsid w:val="00BC655B"/>
    <w:rsid w:val="00BD42E5"/>
    <w:rsid w:val="00BE0A4F"/>
    <w:rsid w:val="00BE380D"/>
    <w:rsid w:val="00BE6939"/>
    <w:rsid w:val="00BF2D96"/>
    <w:rsid w:val="00BF2F29"/>
    <w:rsid w:val="00BF2F99"/>
    <w:rsid w:val="00BF4848"/>
    <w:rsid w:val="00BF4EDE"/>
    <w:rsid w:val="00C00247"/>
    <w:rsid w:val="00C01084"/>
    <w:rsid w:val="00C01494"/>
    <w:rsid w:val="00C04833"/>
    <w:rsid w:val="00C11DF5"/>
    <w:rsid w:val="00C14228"/>
    <w:rsid w:val="00C1448C"/>
    <w:rsid w:val="00C17C1D"/>
    <w:rsid w:val="00C224D9"/>
    <w:rsid w:val="00C23271"/>
    <w:rsid w:val="00C24269"/>
    <w:rsid w:val="00C2608D"/>
    <w:rsid w:val="00C40982"/>
    <w:rsid w:val="00C40C33"/>
    <w:rsid w:val="00C474CD"/>
    <w:rsid w:val="00C541AE"/>
    <w:rsid w:val="00C54E6C"/>
    <w:rsid w:val="00C56C83"/>
    <w:rsid w:val="00C70E98"/>
    <w:rsid w:val="00C71439"/>
    <w:rsid w:val="00C71FB3"/>
    <w:rsid w:val="00C722AB"/>
    <w:rsid w:val="00C72BC4"/>
    <w:rsid w:val="00C77DD7"/>
    <w:rsid w:val="00C84ADB"/>
    <w:rsid w:val="00C866A1"/>
    <w:rsid w:val="00C86E71"/>
    <w:rsid w:val="00C9238B"/>
    <w:rsid w:val="00C92D97"/>
    <w:rsid w:val="00C97A37"/>
    <w:rsid w:val="00CA547E"/>
    <w:rsid w:val="00CB476E"/>
    <w:rsid w:val="00CB6272"/>
    <w:rsid w:val="00CB6323"/>
    <w:rsid w:val="00CB63E5"/>
    <w:rsid w:val="00CB6911"/>
    <w:rsid w:val="00CC1F17"/>
    <w:rsid w:val="00CC343C"/>
    <w:rsid w:val="00CC4808"/>
    <w:rsid w:val="00CC7013"/>
    <w:rsid w:val="00CC7A74"/>
    <w:rsid w:val="00CD493D"/>
    <w:rsid w:val="00CD4A10"/>
    <w:rsid w:val="00CE1B12"/>
    <w:rsid w:val="00CE4E20"/>
    <w:rsid w:val="00CE5082"/>
    <w:rsid w:val="00CF00DF"/>
    <w:rsid w:val="00CF495D"/>
    <w:rsid w:val="00CF5772"/>
    <w:rsid w:val="00D00FAE"/>
    <w:rsid w:val="00D1033E"/>
    <w:rsid w:val="00D324D8"/>
    <w:rsid w:val="00D35CA0"/>
    <w:rsid w:val="00D41652"/>
    <w:rsid w:val="00D421F7"/>
    <w:rsid w:val="00D426B6"/>
    <w:rsid w:val="00D436E3"/>
    <w:rsid w:val="00D46830"/>
    <w:rsid w:val="00D473A4"/>
    <w:rsid w:val="00D476DF"/>
    <w:rsid w:val="00D47A97"/>
    <w:rsid w:val="00D52560"/>
    <w:rsid w:val="00D54D8F"/>
    <w:rsid w:val="00D57C74"/>
    <w:rsid w:val="00D604DE"/>
    <w:rsid w:val="00D6610E"/>
    <w:rsid w:val="00D72603"/>
    <w:rsid w:val="00D80268"/>
    <w:rsid w:val="00D827B5"/>
    <w:rsid w:val="00D86172"/>
    <w:rsid w:val="00D90F2B"/>
    <w:rsid w:val="00DA2543"/>
    <w:rsid w:val="00DA4A34"/>
    <w:rsid w:val="00DA6792"/>
    <w:rsid w:val="00DC36ED"/>
    <w:rsid w:val="00DC43E6"/>
    <w:rsid w:val="00DD2DAB"/>
    <w:rsid w:val="00DD6D77"/>
    <w:rsid w:val="00DE5D5D"/>
    <w:rsid w:val="00DF2A5B"/>
    <w:rsid w:val="00DF540F"/>
    <w:rsid w:val="00DF6870"/>
    <w:rsid w:val="00DF7D8B"/>
    <w:rsid w:val="00E0269B"/>
    <w:rsid w:val="00E137FB"/>
    <w:rsid w:val="00E13814"/>
    <w:rsid w:val="00E25ACF"/>
    <w:rsid w:val="00E25DF6"/>
    <w:rsid w:val="00E265BA"/>
    <w:rsid w:val="00E32C6C"/>
    <w:rsid w:val="00E332E4"/>
    <w:rsid w:val="00E34506"/>
    <w:rsid w:val="00E37319"/>
    <w:rsid w:val="00E404FA"/>
    <w:rsid w:val="00E40FF7"/>
    <w:rsid w:val="00E4266A"/>
    <w:rsid w:val="00E4287E"/>
    <w:rsid w:val="00E4316F"/>
    <w:rsid w:val="00E46734"/>
    <w:rsid w:val="00E47C8C"/>
    <w:rsid w:val="00E50458"/>
    <w:rsid w:val="00E546F2"/>
    <w:rsid w:val="00E54AE7"/>
    <w:rsid w:val="00E5533B"/>
    <w:rsid w:val="00E63ECA"/>
    <w:rsid w:val="00E672E4"/>
    <w:rsid w:val="00E7321D"/>
    <w:rsid w:val="00E73AF1"/>
    <w:rsid w:val="00E76A92"/>
    <w:rsid w:val="00E82C75"/>
    <w:rsid w:val="00E83F9F"/>
    <w:rsid w:val="00E86312"/>
    <w:rsid w:val="00E87858"/>
    <w:rsid w:val="00E930F3"/>
    <w:rsid w:val="00E93BEE"/>
    <w:rsid w:val="00EA432D"/>
    <w:rsid w:val="00EA59DE"/>
    <w:rsid w:val="00EA5CA3"/>
    <w:rsid w:val="00EB1914"/>
    <w:rsid w:val="00EB6C43"/>
    <w:rsid w:val="00EB712B"/>
    <w:rsid w:val="00EC1A31"/>
    <w:rsid w:val="00EC3FE5"/>
    <w:rsid w:val="00EC7007"/>
    <w:rsid w:val="00EC755E"/>
    <w:rsid w:val="00ED3DDF"/>
    <w:rsid w:val="00ED5123"/>
    <w:rsid w:val="00EE0840"/>
    <w:rsid w:val="00EE1AD7"/>
    <w:rsid w:val="00EE304D"/>
    <w:rsid w:val="00EE553B"/>
    <w:rsid w:val="00EE5777"/>
    <w:rsid w:val="00EE6764"/>
    <w:rsid w:val="00EE6C6D"/>
    <w:rsid w:val="00EE7398"/>
    <w:rsid w:val="00EF4DEB"/>
    <w:rsid w:val="00F0016B"/>
    <w:rsid w:val="00F0436D"/>
    <w:rsid w:val="00F06F1C"/>
    <w:rsid w:val="00F07F44"/>
    <w:rsid w:val="00F2562B"/>
    <w:rsid w:val="00F35A05"/>
    <w:rsid w:val="00F37FDC"/>
    <w:rsid w:val="00F443F8"/>
    <w:rsid w:val="00F455E6"/>
    <w:rsid w:val="00F50345"/>
    <w:rsid w:val="00F5110A"/>
    <w:rsid w:val="00F51B67"/>
    <w:rsid w:val="00F5308B"/>
    <w:rsid w:val="00F54639"/>
    <w:rsid w:val="00F5492A"/>
    <w:rsid w:val="00F5688E"/>
    <w:rsid w:val="00F57D1D"/>
    <w:rsid w:val="00F62DD4"/>
    <w:rsid w:val="00F63AF2"/>
    <w:rsid w:val="00F6664B"/>
    <w:rsid w:val="00F66871"/>
    <w:rsid w:val="00F704D9"/>
    <w:rsid w:val="00F75B1D"/>
    <w:rsid w:val="00F76F71"/>
    <w:rsid w:val="00F8211E"/>
    <w:rsid w:val="00F8797D"/>
    <w:rsid w:val="00F95D94"/>
    <w:rsid w:val="00F96CE5"/>
    <w:rsid w:val="00FA1CBE"/>
    <w:rsid w:val="00FB3607"/>
    <w:rsid w:val="00FB6AA5"/>
    <w:rsid w:val="00FC4203"/>
    <w:rsid w:val="00FC7AA7"/>
    <w:rsid w:val="00FD11B6"/>
    <w:rsid w:val="00FD6B3E"/>
    <w:rsid w:val="00FD795B"/>
    <w:rsid w:val="00FE4893"/>
    <w:rsid w:val="00FE51E8"/>
    <w:rsid w:val="00FF614A"/>
    <w:rsid w:val="011C5ECC"/>
    <w:rsid w:val="012544D2"/>
    <w:rsid w:val="012D66CB"/>
    <w:rsid w:val="01372136"/>
    <w:rsid w:val="022030F6"/>
    <w:rsid w:val="0256248C"/>
    <w:rsid w:val="02803D47"/>
    <w:rsid w:val="02984D0C"/>
    <w:rsid w:val="03082EE8"/>
    <w:rsid w:val="03323B24"/>
    <w:rsid w:val="03460F4E"/>
    <w:rsid w:val="03792826"/>
    <w:rsid w:val="03E72BF4"/>
    <w:rsid w:val="03EF40F0"/>
    <w:rsid w:val="04324856"/>
    <w:rsid w:val="04E45782"/>
    <w:rsid w:val="05384AF7"/>
    <w:rsid w:val="05CA7D9F"/>
    <w:rsid w:val="05EE4A90"/>
    <w:rsid w:val="062B1CFE"/>
    <w:rsid w:val="069E7699"/>
    <w:rsid w:val="06A9616E"/>
    <w:rsid w:val="06B41034"/>
    <w:rsid w:val="06B708ED"/>
    <w:rsid w:val="06F743AC"/>
    <w:rsid w:val="072258F8"/>
    <w:rsid w:val="077A5F1A"/>
    <w:rsid w:val="07B916B4"/>
    <w:rsid w:val="07D3773D"/>
    <w:rsid w:val="089B31B4"/>
    <w:rsid w:val="089D16CB"/>
    <w:rsid w:val="08A76132"/>
    <w:rsid w:val="08FB3A1D"/>
    <w:rsid w:val="090D350D"/>
    <w:rsid w:val="09C35D36"/>
    <w:rsid w:val="09D31163"/>
    <w:rsid w:val="0A0D6D90"/>
    <w:rsid w:val="0A2B549B"/>
    <w:rsid w:val="0A3D43D9"/>
    <w:rsid w:val="0A405CD3"/>
    <w:rsid w:val="0AA442BF"/>
    <w:rsid w:val="0B100BEF"/>
    <w:rsid w:val="0B781BA1"/>
    <w:rsid w:val="0BBA51CB"/>
    <w:rsid w:val="0BBC0C28"/>
    <w:rsid w:val="0BD77CE7"/>
    <w:rsid w:val="0BE61D6A"/>
    <w:rsid w:val="0C0B4B2D"/>
    <w:rsid w:val="0C0D7C4C"/>
    <w:rsid w:val="0C23512A"/>
    <w:rsid w:val="0C327F9A"/>
    <w:rsid w:val="0C484924"/>
    <w:rsid w:val="0C765B2D"/>
    <w:rsid w:val="0C7C256E"/>
    <w:rsid w:val="0C7C2FE6"/>
    <w:rsid w:val="0D273D0C"/>
    <w:rsid w:val="0D6D0797"/>
    <w:rsid w:val="0D892F4D"/>
    <w:rsid w:val="0DB556BA"/>
    <w:rsid w:val="0DFF677D"/>
    <w:rsid w:val="0E055168"/>
    <w:rsid w:val="0E5E131A"/>
    <w:rsid w:val="0E8D2E6D"/>
    <w:rsid w:val="0F5D2843"/>
    <w:rsid w:val="0FE33E49"/>
    <w:rsid w:val="102962AF"/>
    <w:rsid w:val="10F57B31"/>
    <w:rsid w:val="1150272F"/>
    <w:rsid w:val="11A37FEB"/>
    <w:rsid w:val="11CE3474"/>
    <w:rsid w:val="11F56D91"/>
    <w:rsid w:val="12260C18"/>
    <w:rsid w:val="12914C64"/>
    <w:rsid w:val="12F31522"/>
    <w:rsid w:val="137B588A"/>
    <w:rsid w:val="141E5C91"/>
    <w:rsid w:val="143B2A5C"/>
    <w:rsid w:val="144856AE"/>
    <w:rsid w:val="147247CC"/>
    <w:rsid w:val="1517701E"/>
    <w:rsid w:val="152B6D58"/>
    <w:rsid w:val="15465C3E"/>
    <w:rsid w:val="15527455"/>
    <w:rsid w:val="1554218A"/>
    <w:rsid w:val="159348F7"/>
    <w:rsid w:val="15A43893"/>
    <w:rsid w:val="15F01ABD"/>
    <w:rsid w:val="15F437DE"/>
    <w:rsid w:val="1622507A"/>
    <w:rsid w:val="16A95DD5"/>
    <w:rsid w:val="170167B5"/>
    <w:rsid w:val="173B1F02"/>
    <w:rsid w:val="17440DDD"/>
    <w:rsid w:val="176800B7"/>
    <w:rsid w:val="183F1621"/>
    <w:rsid w:val="189C3D84"/>
    <w:rsid w:val="18E53E06"/>
    <w:rsid w:val="193650A1"/>
    <w:rsid w:val="193F7AC8"/>
    <w:rsid w:val="196059F0"/>
    <w:rsid w:val="19DF6907"/>
    <w:rsid w:val="1A09478B"/>
    <w:rsid w:val="1A5C3842"/>
    <w:rsid w:val="1BD812F5"/>
    <w:rsid w:val="1BEB2D7E"/>
    <w:rsid w:val="1BF721F1"/>
    <w:rsid w:val="1C917CA2"/>
    <w:rsid w:val="1CAB67B2"/>
    <w:rsid w:val="1CC64108"/>
    <w:rsid w:val="1CE00D78"/>
    <w:rsid w:val="1D027176"/>
    <w:rsid w:val="1D1207F7"/>
    <w:rsid w:val="1D1D3667"/>
    <w:rsid w:val="1D925B8A"/>
    <w:rsid w:val="1E0C2604"/>
    <w:rsid w:val="1E0E4E82"/>
    <w:rsid w:val="1E5B74B6"/>
    <w:rsid w:val="1EB113BE"/>
    <w:rsid w:val="1EB3774D"/>
    <w:rsid w:val="1ECD6426"/>
    <w:rsid w:val="1F00278F"/>
    <w:rsid w:val="1F077B12"/>
    <w:rsid w:val="1F661ED5"/>
    <w:rsid w:val="1F92338A"/>
    <w:rsid w:val="1FEB46C3"/>
    <w:rsid w:val="200B74AD"/>
    <w:rsid w:val="20161E50"/>
    <w:rsid w:val="20726E90"/>
    <w:rsid w:val="20927353"/>
    <w:rsid w:val="20CF74A8"/>
    <w:rsid w:val="20D73C6E"/>
    <w:rsid w:val="2110307F"/>
    <w:rsid w:val="21621E54"/>
    <w:rsid w:val="21BE28D1"/>
    <w:rsid w:val="22290F32"/>
    <w:rsid w:val="222923C7"/>
    <w:rsid w:val="22323282"/>
    <w:rsid w:val="224927CC"/>
    <w:rsid w:val="22EB2A06"/>
    <w:rsid w:val="230D3CB3"/>
    <w:rsid w:val="232A17FF"/>
    <w:rsid w:val="232A47A3"/>
    <w:rsid w:val="232B6CC4"/>
    <w:rsid w:val="233C6462"/>
    <w:rsid w:val="23AE03B1"/>
    <w:rsid w:val="23E96BBD"/>
    <w:rsid w:val="23FA6AD2"/>
    <w:rsid w:val="24276FB4"/>
    <w:rsid w:val="242C7059"/>
    <w:rsid w:val="24960860"/>
    <w:rsid w:val="25C265E0"/>
    <w:rsid w:val="25EE65D2"/>
    <w:rsid w:val="25F46097"/>
    <w:rsid w:val="26222EFB"/>
    <w:rsid w:val="263A205E"/>
    <w:rsid w:val="27375891"/>
    <w:rsid w:val="273A6933"/>
    <w:rsid w:val="274F09F5"/>
    <w:rsid w:val="27BE14CC"/>
    <w:rsid w:val="282E04AF"/>
    <w:rsid w:val="28754330"/>
    <w:rsid w:val="289824B1"/>
    <w:rsid w:val="295122C9"/>
    <w:rsid w:val="296D42DD"/>
    <w:rsid w:val="299E38BB"/>
    <w:rsid w:val="29E169F9"/>
    <w:rsid w:val="2A075BB7"/>
    <w:rsid w:val="2AAC1F89"/>
    <w:rsid w:val="2AB52BB8"/>
    <w:rsid w:val="2AD87B21"/>
    <w:rsid w:val="2ADD6DB0"/>
    <w:rsid w:val="2B341197"/>
    <w:rsid w:val="2B3575D4"/>
    <w:rsid w:val="2B9C3B3C"/>
    <w:rsid w:val="2BDF3BA3"/>
    <w:rsid w:val="2C2E62BB"/>
    <w:rsid w:val="2C500D47"/>
    <w:rsid w:val="2CF9108B"/>
    <w:rsid w:val="2D791382"/>
    <w:rsid w:val="2E897AE8"/>
    <w:rsid w:val="2F481D56"/>
    <w:rsid w:val="2F6400DC"/>
    <w:rsid w:val="2FD174F1"/>
    <w:rsid w:val="2FD64D5B"/>
    <w:rsid w:val="2FDD06EE"/>
    <w:rsid w:val="2FF01F23"/>
    <w:rsid w:val="30065AC5"/>
    <w:rsid w:val="30477E2B"/>
    <w:rsid w:val="304E49B9"/>
    <w:rsid w:val="30B73737"/>
    <w:rsid w:val="30DD6F16"/>
    <w:rsid w:val="31411BBE"/>
    <w:rsid w:val="324A6BDF"/>
    <w:rsid w:val="32BF10AC"/>
    <w:rsid w:val="32D846E4"/>
    <w:rsid w:val="332704D9"/>
    <w:rsid w:val="334701EC"/>
    <w:rsid w:val="33B87ECC"/>
    <w:rsid w:val="33F27600"/>
    <w:rsid w:val="34F16827"/>
    <w:rsid w:val="351202A1"/>
    <w:rsid w:val="35170C48"/>
    <w:rsid w:val="360664D9"/>
    <w:rsid w:val="363D0165"/>
    <w:rsid w:val="363D46DF"/>
    <w:rsid w:val="366A2FFA"/>
    <w:rsid w:val="36897B9D"/>
    <w:rsid w:val="369B3A50"/>
    <w:rsid w:val="369D7B32"/>
    <w:rsid w:val="36F77237"/>
    <w:rsid w:val="37121BF9"/>
    <w:rsid w:val="373A4AB8"/>
    <w:rsid w:val="377C2FE5"/>
    <w:rsid w:val="37935347"/>
    <w:rsid w:val="379A7E8D"/>
    <w:rsid w:val="379D7E46"/>
    <w:rsid w:val="380F3A6E"/>
    <w:rsid w:val="38723CF7"/>
    <w:rsid w:val="38F67C29"/>
    <w:rsid w:val="39020271"/>
    <w:rsid w:val="391A53F7"/>
    <w:rsid w:val="39372937"/>
    <w:rsid w:val="393C6E91"/>
    <w:rsid w:val="394602A8"/>
    <w:rsid w:val="394C7D73"/>
    <w:rsid w:val="39CB3C55"/>
    <w:rsid w:val="3B1D0B41"/>
    <w:rsid w:val="3B3B6C6A"/>
    <w:rsid w:val="3BDB36AF"/>
    <w:rsid w:val="3BDC3342"/>
    <w:rsid w:val="3BFD67C6"/>
    <w:rsid w:val="3C436ECF"/>
    <w:rsid w:val="3C521D7D"/>
    <w:rsid w:val="3CBE1532"/>
    <w:rsid w:val="3CDD2029"/>
    <w:rsid w:val="3CE2413D"/>
    <w:rsid w:val="3D194B56"/>
    <w:rsid w:val="3DC8152A"/>
    <w:rsid w:val="3E53197F"/>
    <w:rsid w:val="3E640927"/>
    <w:rsid w:val="3F661CF5"/>
    <w:rsid w:val="3F8768CD"/>
    <w:rsid w:val="3FD522A8"/>
    <w:rsid w:val="40115C15"/>
    <w:rsid w:val="404551A6"/>
    <w:rsid w:val="404C4D8D"/>
    <w:rsid w:val="40526FD9"/>
    <w:rsid w:val="40591021"/>
    <w:rsid w:val="406D3C86"/>
    <w:rsid w:val="40D82FCA"/>
    <w:rsid w:val="40F10D91"/>
    <w:rsid w:val="4116225A"/>
    <w:rsid w:val="413C5E38"/>
    <w:rsid w:val="417544BA"/>
    <w:rsid w:val="4226071D"/>
    <w:rsid w:val="427F0B5F"/>
    <w:rsid w:val="42844DD3"/>
    <w:rsid w:val="43426218"/>
    <w:rsid w:val="438E2B3A"/>
    <w:rsid w:val="44C0786F"/>
    <w:rsid w:val="44C57DE9"/>
    <w:rsid w:val="45533A70"/>
    <w:rsid w:val="462C72A3"/>
    <w:rsid w:val="467C72AB"/>
    <w:rsid w:val="47F03B09"/>
    <w:rsid w:val="48862DB1"/>
    <w:rsid w:val="48E6116F"/>
    <w:rsid w:val="48F14EB5"/>
    <w:rsid w:val="491B1501"/>
    <w:rsid w:val="492A03A3"/>
    <w:rsid w:val="49496A9F"/>
    <w:rsid w:val="49A87020"/>
    <w:rsid w:val="49AF47C9"/>
    <w:rsid w:val="49E67E85"/>
    <w:rsid w:val="4AF60EA8"/>
    <w:rsid w:val="4B541FB4"/>
    <w:rsid w:val="4BA56F4D"/>
    <w:rsid w:val="4BEC5433"/>
    <w:rsid w:val="4BF83707"/>
    <w:rsid w:val="4C183CFF"/>
    <w:rsid w:val="4D787833"/>
    <w:rsid w:val="4DCF37ED"/>
    <w:rsid w:val="4DE728C7"/>
    <w:rsid w:val="4DF41D00"/>
    <w:rsid w:val="4E4C7107"/>
    <w:rsid w:val="4E513A78"/>
    <w:rsid w:val="4E7B76FB"/>
    <w:rsid w:val="4E8D729E"/>
    <w:rsid w:val="4F052784"/>
    <w:rsid w:val="4F1319E6"/>
    <w:rsid w:val="4F5A37B4"/>
    <w:rsid w:val="501B33F2"/>
    <w:rsid w:val="51493AE0"/>
    <w:rsid w:val="5151292D"/>
    <w:rsid w:val="5174131A"/>
    <w:rsid w:val="518F4910"/>
    <w:rsid w:val="519F2ED5"/>
    <w:rsid w:val="51A3428E"/>
    <w:rsid w:val="51B32ACF"/>
    <w:rsid w:val="520E4867"/>
    <w:rsid w:val="52B2235D"/>
    <w:rsid w:val="52FF117E"/>
    <w:rsid w:val="531F4C4A"/>
    <w:rsid w:val="53D53D51"/>
    <w:rsid w:val="542332CD"/>
    <w:rsid w:val="546C759D"/>
    <w:rsid w:val="54E42EAE"/>
    <w:rsid w:val="55553EE9"/>
    <w:rsid w:val="555903A2"/>
    <w:rsid w:val="557124E1"/>
    <w:rsid w:val="55C218C7"/>
    <w:rsid w:val="5676528A"/>
    <w:rsid w:val="56954B14"/>
    <w:rsid w:val="5723392E"/>
    <w:rsid w:val="57392C05"/>
    <w:rsid w:val="5748761D"/>
    <w:rsid w:val="57696918"/>
    <w:rsid w:val="5779289B"/>
    <w:rsid w:val="58567FF5"/>
    <w:rsid w:val="58C42548"/>
    <w:rsid w:val="592D7BA2"/>
    <w:rsid w:val="59636516"/>
    <w:rsid w:val="59C043C4"/>
    <w:rsid w:val="5A73248C"/>
    <w:rsid w:val="5A89525B"/>
    <w:rsid w:val="5A8B33BB"/>
    <w:rsid w:val="5A8C0301"/>
    <w:rsid w:val="5AB70077"/>
    <w:rsid w:val="5ABF11AD"/>
    <w:rsid w:val="5ACB3A9D"/>
    <w:rsid w:val="5B721E85"/>
    <w:rsid w:val="5D0B78D1"/>
    <w:rsid w:val="5D5B52C5"/>
    <w:rsid w:val="5E2E1E12"/>
    <w:rsid w:val="5E982439"/>
    <w:rsid w:val="5E993BCD"/>
    <w:rsid w:val="5EC5406C"/>
    <w:rsid w:val="5ED003F3"/>
    <w:rsid w:val="5EE406BF"/>
    <w:rsid w:val="5EEE3F40"/>
    <w:rsid w:val="5F331A3C"/>
    <w:rsid w:val="5FBA7DED"/>
    <w:rsid w:val="5FD973AF"/>
    <w:rsid w:val="604A473C"/>
    <w:rsid w:val="606F3BE4"/>
    <w:rsid w:val="61194AC9"/>
    <w:rsid w:val="61400BA1"/>
    <w:rsid w:val="61D8055A"/>
    <w:rsid w:val="61E33E63"/>
    <w:rsid w:val="620A30F1"/>
    <w:rsid w:val="62326269"/>
    <w:rsid w:val="623B255B"/>
    <w:rsid w:val="62483F3D"/>
    <w:rsid w:val="62692723"/>
    <w:rsid w:val="628B1BC7"/>
    <w:rsid w:val="62E643D8"/>
    <w:rsid w:val="630267FE"/>
    <w:rsid w:val="638906B4"/>
    <w:rsid w:val="63B35731"/>
    <w:rsid w:val="63F01B9F"/>
    <w:rsid w:val="644739E7"/>
    <w:rsid w:val="64E503D0"/>
    <w:rsid w:val="6508023A"/>
    <w:rsid w:val="65166035"/>
    <w:rsid w:val="65350A3D"/>
    <w:rsid w:val="656C61CD"/>
    <w:rsid w:val="65E5119C"/>
    <w:rsid w:val="66370570"/>
    <w:rsid w:val="67190BD5"/>
    <w:rsid w:val="67871959"/>
    <w:rsid w:val="67E85766"/>
    <w:rsid w:val="68355F20"/>
    <w:rsid w:val="68EF618D"/>
    <w:rsid w:val="691B5A7E"/>
    <w:rsid w:val="69F05502"/>
    <w:rsid w:val="69F61ED3"/>
    <w:rsid w:val="6A023F96"/>
    <w:rsid w:val="6A492627"/>
    <w:rsid w:val="6A5E338D"/>
    <w:rsid w:val="6A6238DE"/>
    <w:rsid w:val="6A63685B"/>
    <w:rsid w:val="6A884758"/>
    <w:rsid w:val="6AD51554"/>
    <w:rsid w:val="6B230511"/>
    <w:rsid w:val="6B5B4B27"/>
    <w:rsid w:val="6B93342F"/>
    <w:rsid w:val="6C1761F2"/>
    <w:rsid w:val="6C606796"/>
    <w:rsid w:val="6C6265A2"/>
    <w:rsid w:val="6CCB70AE"/>
    <w:rsid w:val="6D042825"/>
    <w:rsid w:val="6D7D0D11"/>
    <w:rsid w:val="6D97577B"/>
    <w:rsid w:val="6DCC22ED"/>
    <w:rsid w:val="6DCC7B1B"/>
    <w:rsid w:val="6E521445"/>
    <w:rsid w:val="6F0B042E"/>
    <w:rsid w:val="6F2A641A"/>
    <w:rsid w:val="6F4F5B18"/>
    <w:rsid w:val="6F655B31"/>
    <w:rsid w:val="6F981CE8"/>
    <w:rsid w:val="6FDC5CF4"/>
    <w:rsid w:val="6FE16C38"/>
    <w:rsid w:val="6FF232CE"/>
    <w:rsid w:val="709D0D87"/>
    <w:rsid w:val="70E3406E"/>
    <w:rsid w:val="710B1D78"/>
    <w:rsid w:val="719927D8"/>
    <w:rsid w:val="71D451F0"/>
    <w:rsid w:val="71E81F8F"/>
    <w:rsid w:val="721A0F64"/>
    <w:rsid w:val="72E33F5C"/>
    <w:rsid w:val="731C4FBC"/>
    <w:rsid w:val="738F7A10"/>
    <w:rsid w:val="74374D42"/>
    <w:rsid w:val="747F7695"/>
    <w:rsid w:val="74A9661E"/>
    <w:rsid w:val="7505127C"/>
    <w:rsid w:val="752F1322"/>
    <w:rsid w:val="75AD2539"/>
    <w:rsid w:val="75BD3260"/>
    <w:rsid w:val="763E34E1"/>
    <w:rsid w:val="768B4FA0"/>
    <w:rsid w:val="76A00C24"/>
    <w:rsid w:val="76DD4A3B"/>
    <w:rsid w:val="770F2826"/>
    <w:rsid w:val="772E1C9C"/>
    <w:rsid w:val="77672662"/>
    <w:rsid w:val="777A2E3A"/>
    <w:rsid w:val="778C32EC"/>
    <w:rsid w:val="7800598C"/>
    <w:rsid w:val="78415585"/>
    <w:rsid w:val="786A7694"/>
    <w:rsid w:val="78C339BA"/>
    <w:rsid w:val="78FA7284"/>
    <w:rsid w:val="798F37A3"/>
    <w:rsid w:val="7A7F30A3"/>
    <w:rsid w:val="7B120310"/>
    <w:rsid w:val="7B1A1CC5"/>
    <w:rsid w:val="7B2545C5"/>
    <w:rsid w:val="7B7C35AA"/>
    <w:rsid w:val="7C4159EF"/>
    <w:rsid w:val="7C69767B"/>
    <w:rsid w:val="7CC326D0"/>
    <w:rsid w:val="7CC87631"/>
    <w:rsid w:val="7CF96CB6"/>
    <w:rsid w:val="7D2C57AB"/>
    <w:rsid w:val="7D3917DA"/>
    <w:rsid w:val="7DAC2FF4"/>
    <w:rsid w:val="7DDE36C6"/>
    <w:rsid w:val="7DFF0962"/>
    <w:rsid w:val="7E2A06A9"/>
    <w:rsid w:val="7E3A6582"/>
    <w:rsid w:val="7EF30583"/>
    <w:rsid w:val="7F446F31"/>
    <w:rsid w:val="7F8A6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adjustRightInd w:val="0"/>
      <w:spacing w:before="340" w:after="330" w:line="578" w:lineRule="atLeast"/>
      <w:ind w:left="252" w:firstLine="288"/>
      <w:jc w:val="left"/>
      <w:textAlignment w:val="baseline"/>
      <w:outlineLvl w:val="0"/>
    </w:pPr>
    <w:rPr>
      <w:b/>
      <w:bCs/>
      <w:kern w:val="44"/>
      <w:sz w:val="44"/>
      <w:szCs w:val="44"/>
    </w:rPr>
  </w:style>
  <w:style w:type="paragraph" w:styleId="2">
    <w:name w:val="heading 2"/>
    <w:basedOn w:val="1"/>
    <w:next w:val="1"/>
    <w:link w:val="38"/>
    <w:qFormat/>
    <w:uiPriority w:val="0"/>
    <w:pPr>
      <w:keepNext/>
      <w:keepLines/>
      <w:adjustRightInd w:val="0"/>
      <w:spacing w:before="260" w:after="260" w:line="416" w:lineRule="atLeast"/>
      <w:ind w:left="543" w:firstLine="177"/>
      <w:jc w:val="left"/>
      <w:textAlignment w:val="baseline"/>
      <w:outlineLvl w:val="1"/>
    </w:pPr>
    <w:rPr>
      <w:rFonts w:ascii="Arial" w:hAnsi="Arial" w:eastAsia="黑体"/>
      <w:b/>
      <w:bCs/>
      <w:kern w:val="0"/>
      <w:sz w:val="32"/>
      <w:szCs w:val="32"/>
    </w:rPr>
  </w:style>
  <w:style w:type="paragraph" w:styleId="4">
    <w:name w:val="heading 3"/>
    <w:basedOn w:val="1"/>
    <w:next w:val="1"/>
    <w:link w:val="39"/>
    <w:qFormat/>
    <w:uiPriority w:val="9"/>
    <w:pPr>
      <w:keepNext/>
      <w:keepLines/>
      <w:adjustRightInd w:val="0"/>
      <w:spacing w:before="260" w:after="260" w:line="416" w:lineRule="atLeast"/>
      <w:ind w:left="252"/>
      <w:jc w:val="left"/>
      <w:textAlignment w:val="baseline"/>
      <w:outlineLvl w:val="2"/>
    </w:pPr>
    <w:rPr>
      <w:b/>
      <w:bCs/>
      <w:kern w:val="0"/>
      <w:sz w:val="32"/>
      <w:szCs w:val="32"/>
    </w:rPr>
  </w:style>
  <w:style w:type="paragraph" w:styleId="5">
    <w:name w:val="heading 4"/>
    <w:basedOn w:val="1"/>
    <w:next w:val="1"/>
    <w:link w:val="40"/>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1"/>
    <w:qFormat/>
    <w:uiPriority w:val="9"/>
    <w:pPr>
      <w:keepNext/>
      <w:keepLines/>
      <w:adjustRightInd w:val="0"/>
      <w:spacing w:before="280" w:after="290" w:line="376" w:lineRule="atLeast"/>
      <w:ind w:left="252"/>
      <w:jc w:val="left"/>
      <w:textAlignment w:val="baseline"/>
      <w:outlineLvl w:val="4"/>
    </w:pPr>
    <w:rPr>
      <w:b/>
      <w:bCs/>
      <w:kern w:val="0"/>
      <w:sz w:val="28"/>
      <w:szCs w:val="28"/>
    </w:rPr>
  </w:style>
  <w:style w:type="paragraph" w:styleId="7">
    <w:name w:val="heading 6"/>
    <w:basedOn w:val="1"/>
    <w:next w:val="1"/>
    <w:link w:val="42"/>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rPr>
  </w:style>
  <w:style w:type="paragraph" w:styleId="8">
    <w:name w:val="heading 7"/>
    <w:basedOn w:val="1"/>
    <w:next w:val="1"/>
    <w:link w:val="43"/>
    <w:qFormat/>
    <w:uiPriority w:val="0"/>
    <w:pPr>
      <w:keepNext/>
      <w:keepLines/>
      <w:adjustRightInd w:val="0"/>
      <w:spacing w:before="240" w:after="64" w:line="320" w:lineRule="atLeast"/>
      <w:ind w:left="252"/>
      <w:jc w:val="left"/>
      <w:textAlignment w:val="baseline"/>
      <w:outlineLvl w:val="6"/>
    </w:pPr>
    <w:rPr>
      <w:b/>
      <w:bCs/>
      <w:kern w:val="0"/>
      <w:sz w:val="24"/>
    </w:rPr>
  </w:style>
  <w:style w:type="paragraph" w:styleId="9">
    <w:name w:val="heading 8"/>
    <w:basedOn w:val="1"/>
    <w:next w:val="1"/>
    <w:link w:val="44"/>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rPr>
  </w:style>
  <w:style w:type="paragraph" w:styleId="10">
    <w:name w:val="heading 9"/>
    <w:basedOn w:val="1"/>
    <w:next w:val="1"/>
    <w:link w:val="45"/>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0">
    <w:name w:val="Default Paragraph Font"/>
    <w:unhideWhenUsed/>
    <w:qFormat/>
    <w:uiPriority w:val="1"/>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qFormat/>
    <w:uiPriority w:val="0"/>
    <w:pPr>
      <w:ind w:firstLine="420"/>
    </w:pPr>
    <w:rPr>
      <w:szCs w:val="20"/>
    </w:rPr>
  </w:style>
  <w:style w:type="paragraph" w:styleId="13">
    <w:name w:val="annotation text"/>
    <w:basedOn w:val="1"/>
    <w:link w:val="46"/>
    <w:qFormat/>
    <w:uiPriority w:val="0"/>
    <w:pPr>
      <w:jc w:val="left"/>
    </w:pPr>
  </w:style>
  <w:style w:type="paragraph" w:styleId="14">
    <w:name w:val="Body Text"/>
    <w:basedOn w:val="1"/>
    <w:next w:val="15"/>
    <w:link w:val="47"/>
    <w:unhideWhenUsed/>
    <w:qFormat/>
    <w:uiPriority w:val="99"/>
    <w:pPr>
      <w:spacing w:after="120"/>
    </w:pPr>
    <w:rPr>
      <w:rFonts w:ascii="Calibri" w:hAnsi="Calibri"/>
    </w:rPr>
  </w:style>
  <w:style w:type="paragraph" w:styleId="15">
    <w:name w:val="Body Text First Indent 2"/>
    <w:basedOn w:val="16"/>
    <w:next w:val="1"/>
    <w:unhideWhenUsed/>
    <w:qFormat/>
    <w:uiPriority w:val="99"/>
    <w:pPr>
      <w:ind w:firstLine="420" w:firstLineChars="200"/>
    </w:pPr>
  </w:style>
  <w:style w:type="paragraph" w:styleId="16">
    <w:name w:val="Body Text Indent"/>
    <w:basedOn w:val="1"/>
    <w:next w:val="15"/>
    <w:link w:val="48"/>
    <w:qFormat/>
    <w:uiPriority w:val="0"/>
    <w:pPr>
      <w:adjustRightInd w:val="0"/>
      <w:spacing w:after="120" w:line="360" w:lineRule="atLeast"/>
      <w:ind w:left="420" w:leftChars="200"/>
      <w:jc w:val="left"/>
      <w:textAlignment w:val="baseline"/>
    </w:pPr>
    <w:rPr>
      <w:kern w:val="0"/>
      <w:sz w:val="24"/>
      <w:szCs w:val="20"/>
    </w:rPr>
  </w:style>
  <w:style w:type="paragraph" w:styleId="17">
    <w:name w:val="Plain Text"/>
    <w:basedOn w:val="1"/>
    <w:link w:val="49"/>
    <w:qFormat/>
    <w:uiPriority w:val="0"/>
    <w:rPr>
      <w:rFonts w:ascii="宋体" w:hAnsi="Courier New"/>
      <w:szCs w:val="21"/>
    </w:rPr>
  </w:style>
  <w:style w:type="paragraph" w:styleId="18">
    <w:name w:val="Body Text Indent 2"/>
    <w:basedOn w:val="1"/>
    <w:link w:val="50"/>
    <w:unhideWhenUsed/>
    <w:qFormat/>
    <w:uiPriority w:val="99"/>
    <w:pPr>
      <w:spacing w:after="120" w:line="480" w:lineRule="auto"/>
      <w:ind w:left="420" w:leftChars="200"/>
    </w:pPr>
  </w:style>
  <w:style w:type="paragraph" w:styleId="19">
    <w:name w:val="Balloon Text"/>
    <w:basedOn w:val="1"/>
    <w:link w:val="51"/>
    <w:qFormat/>
    <w:uiPriority w:val="99"/>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2"/>
    <w:basedOn w:val="1"/>
    <w:next w:val="1"/>
    <w:qFormat/>
    <w:uiPriority w:val="39"/>
    <w:pPr>
      <w:ind w:left="420" w:leftChars="200"/>
    </w:p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13"/>
    <w:next w:val="13"/>
    <w:link w:val="54"/>
    <w:qFormat/>
    <w:uiPriority w:val="0"/>
    <w:rPr>
      <w:b/>
      <w:bCs/>
    </w:rPr>
  </w:style>
  <w:style w:type="paragraph" w:styleId="27">
    <w:name w:val="Body Text First Indent"/>
    <w:basedOn w:val="14"/>
    <w:next w:val="15"/>
    <w:qFormat/>
    <w:uiPriority w:val="0"/>
    <w:pPr>
      <w:spacing w:line="360" w:lineRule="auto"/>
      <w:ind w:firstLine="420" w:firstLineChars="100"/>
    </w:pPr>
    <w:rPr>
      <w:kern w:val="0"/>
      <w:sz w:val="24"/>
      <w:szCs w:val="20"/>
    </w:rPr>
  </w:style>
  <w:style w:type="table" w:styleId="29">
    <w:name w:val="Table Grid"/>
    <w:basedOn w:val="28"/>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unhideWhenUsed/>
    <w:qFormat/>
    <w:uiPriority w:val="0"/>
    <w:rPr>
      <w:rFonts w:cs="Times New Roman"/>
    </w:rPr>
  </w:style>
  <w:style w:type="character" w:styleId="33">
    <w:name w:val="FollowedHyperlink"/>
    <w:qFormat/>
    <w:uiPriority w:val="0"/>
    <w:rPr>
      <w:color w:val="800080"/>
      <w:u w:val="single"/>
    </w:rPr>
  </w:style>
  <w:style w:type="character" w:styleId="34">
    <w:name w:val="Hyperlink"/>
    <w:basedOn w:val="30"/>
    <w:unhideWhenUsed/>
    <w:qFormat/>
    <w:uiPriority w:val="99"/>
    <w:rPr>
      <w:color w:val="0000FF"/>
      <w:u w:val="single"/>
    </w:rPr>
  </w:style>
  <w:style w:type="character" w:styleId="35">
    <w:name w:val="annotation reference"/>
    <w:qFormat/>
    <w:uiPriority w:val="0"/>
    <w:rPr>
      <w:sz w:val="21"/>
      <w:szCs w:val="21"/>
    </w:rPr>
  </w:style>
  <w:style w:type="paragraph" w:customStyle="1" w:styleId="36">
    <w:name w:val="Default"/>
    <w:basedOn w:val="1"/>
    <w:qFormat/>
    <w:uiPriority w:val="0"/>
    <w:pPr>
      <w:autoSpaceDE w:val="0"/>
      <w:autoSpaceDN w:val="0"/>
      <w:adjustRightInd w:val="0"/>
      <w:jc w:val="left"/>
    </w:pPr>
    <w:rPr>
      <w:rFonts w:hint="eastAsia" w:ascii="......." w:hAnsi="Calibri" w:eastAsia="......."/>
      <w:color w:val="000000"/>
      <w:kern w:val="0"/>
      <w:sz w:val="24"/>
    </w:rPr>
  </w:style>
  <w:style w:type="character" w:customStyle="1" w:styleId="37">
    <w:name w:val="标题 1 Char"/>
    <w:basedOn w:val="30"/>
    <w:link w:val="3"/>
    <w:qFormat/>
    <w:uiPriority w:val="9"/>
    <w:rPr>
      <w:rFonts w:ascii="Times New Roman" w:hAnsi="Times New Roman"/>
      <w:b/>
      <w:bCs/>
      <w:kern w:val="44"/>
      <w:sz w:val="44"/>
      <w:szCs w:val="44"/>
    </w:rPr>
  </w:style>
  <w:style w:type="character" w:customStyle="1" w:styleId="38">
    <w:name w:val="标题 2 Char"/>
    <w:basedOn w:val="30"/>
    <w:link w:val="2"/>
    <w:qFormat/>
    <w:uiPriority w:val="0"/>
    <w:rPr>
      <w:rFonts w:ascii="Arial" w:hAnsi="Arial" w:eastAsia="黑体"/>
      <w:b/>
      <w:bCs/>
      <w:sz w:val="32"/>
      <w:szCs w:val="32"/>
    </w:rPr>
  </w:style>
  <w:style w:type="character" w:customStyle="1" w:styleId="39">
    <w:name w:val="标题 3 Char"/>
    <w:basedOn w:val="30"/>
    <w:link w:val="4"/>
    <w:qFormat/>
    <w:uiPriority w:val="9"/>
    <w:rPr>
      <w:rFonts w:ascii="Times New Roman" w:hAnsi="Times New Roman"/>
      <w:b/>
      <w:bCs/>
      <w:sz w:val="32"/>
      <w:szCs w:val="32"/>
    </w:rPr>
  </w:style>
  <w:style w:type="character" w:customStyle="1" w:styleId="40">
    <w:name w:val="标题 4 Char"/>
    <w:basedOn w:val="30"/>
    <w:link w:val="5"/>
    <w:qFormat/>
    <w:uiPriority w:val="0"/>
    <w:rPr>
      <w:rFonts w:ascii="Arial" w:hAnsi="Arial" w:eastAsia="黑体"/>
      <w:b/>
      <w:bCs/>
      <w:sz w:val="28"/>
      <w:szCs w:val="28"/>
    </w:rPr>
  </w:style>
  <w:style w:type="character" w:customStyle="1" w:styleId="41">
    <w:name w:val="标题 5 Char"/>
    <w:basedOn w:val="30"/>
    <w:link w:val="6"/>
    <w:qFormat/>
    <w:uiPriority w:val="9"/>
    <w:rPr>
      <w:rFonts w:ascii="Times New Roman" w:hAnsi="Times New Roman"/>
      <w:b/>
      <w:bCs/>
      <w:sz w:val="28"/>
      <w:szCs w:val="28"/>
    </w:rPr>
  </w:style>
  <w:style w:type="character" w:customStyle="1" w:styleId="42">
    <w:name w:val="标题 6 Char"/>
    <w:basedOn w:val="30"/>
    <w:link w:val="7"/>
    <w:qFormat/>
    <w:uiPriority w:val="0"/>
    <w:rPr>
      <w:rFonts w:ascii="Arial" w:hAnsi="Arial" w:eastAsia="黑体"/>
      <w:b/>
      <w:bCs/>
      <w:sz w:val="24"/>
      <w:szCs w:val="24"/>
    </w:rPr>
  </w:style>
  <w:style w:type="character" w:customStyle="1" w:styleId="43">
    <w:name w:val="标题 7 Char"/>
    <w:basedOn w:val="30"/>
    <w:link w:val="8"/>
    <w:qFormat/>
    <w:uiPriority w:val="0"/>
    <w:rPr>
      <w:rFonts w:ascii="Times New Roman" w:hAnsi="Times New Roman"/>
      <w:b/>
      <w:bCs/>
      <w:sz w:val="24"/>
      <w:szCs w:val="24"/>
    </w:rPr>
  </w:style>
  <w:style w:type="character" w:customStyle="1" w:styleId="44">
    <w:name w:val="标题 8 Char"/>
    <w:basedOn w:val="30"/>
    <w:link w:val="9"/>
    <w:qFormat/>
    <w:uiPriority w:val="0"/>
    <w:rPr>
      <w:rFonts w:ascii="Arial" w:hAnsi="Arial" w:eastAsia="黑体"/>
      <w:sz w:val="24"/>
      <w:szCs w:val="24"/>
    </w:rPr>
  </w:style>
  <w:style w:type="character" w:customStyle="1" w:styleId="45">
    <w:name w:val="标题 9 Char"/>
    <w:basedOn w:val="30"/>
    <w:link w:val="10"/>
    <w:qFormat/>
    <w:uiPriority w:val="0"/>
    <w:rPr>
      <w:rFonts w:ascii="Arial" w:hAnsi="Arial" w:eastAsia="黑体"/>
      <w:sz w:val="21"/>
      <w:szCs w:val="21"/>
    </w:rPr>
  </w:style>
  <w:style w:type="character" w:customStyle="1" w:styleId="46">
    <w:name w:val="批注文字 Char"/>
    <w:basedOn w:val="30"/>
    <w:link w:val="13"/>
    <w:qFormat/>
    <w:uiPriority w:val="0"/>
    <w:rPr>
      <w:rFonts w:ascii="Times New Roman" w:hAnsi="Times New Roman" w:eastAsia="宋体" w:cs="Times New Roman"/>
      <w:szCs w:val="24"/>
    </w:rPr>
  </w:style>
  <w:style w:type="character" w:customStyle="1" w:styleId="47">
    <w:name w:val="正文文本 Char"/>
    <w:basedOn w:val="30"/>
    <w:link w:val="14"/>
    <w:qFormat/>
    <w:uiPriority w:val="99"/>
    <w:rPr>
      <w:kern w:val="2"/>
      <w:sz w:val="21"/>
      <w:szCs w:val="24"/>
    </w:rPr>
  </w:style>
  <w:style w:type="character" w:customStyle="1" w:styleId="48">
    <w:name w:val="正文文本缩进 Char"/>
    <w:basedOn w:val="30"/>
    <w:link w:val="16"/>
    <w:qFormat/>
    <w:uiPriority w:val="0"/>
    <w:rPr>
      <w:rFonts w:ascii="Times New Roman" w:hAnsi="Times New Roman" w:eastAsia="宋体" w:cs="Times New Roman"/>
      <w:kern w:val="0"/>
      <w:sz w:val="24"/>
      <w:szCs w:val="20"/>
    </w:rPr>
  </w:style>
  <w:style w:type="character" w:customStyle="1" w:styleId="49">
    <w:name w:val="纯文本 Char1"/>
    <w:basedOn w:val="30"/>
    <w:link w:val="17"/>
    <w:qFormat/>
    <w:uiPriority w:val="0"/>
    <w:rPr>
      <w:rFonts w:ascii="宋体" w:hAnsi="Courier New" w:eastAsia="宋体" w:cs="Times New Roman"/>
      <w:szCs w:val="21"/>
    </w:rPr>
  </w:style>
  <w:style w:type="character" w:customStyle="1" w:styleId="50">
    <w:name w:val="正文文本缩进 2 Char"/>
    <w:basedOn w:val="30"/>
    <w:link w:val="18"/>
    <w:qFormat/>
    <w:uiPriority w:val="99"/>
    <w:rPr>
      <w:rFonts w:ascii="Times New Roman" w:hAnsi="Times New Roman"/>
      <w:kern w:val="2"/>
      <w:sz w:val="21"/>
      <w:szCs w:val="24"/>
    </w:rPr>
  </w:style>
  <w:style w:type="character" w:customStyle="1" w:styleId="51">
    <w:name w:val="批注框文本 Char"/>
    <w:basedOn w:val="30"/>
    <w:link w:val="19"/>
    <w:qFormat/>
    <w:uiPriority w:val="99"/>
    <w:rPr>
      <w:rFonts w:ascii="Times New Roman" w:hAnsi="Times New Roman" w:eastAsia="宋体" w:cs="Times New Roman"/>
      <w:sz w:val="18"/>
      <w:szCs w:val="18"/>
    </w:rPr>
  </w:style>
  <w:style w:type="character" w:customStyle="1" w:styleId="52">
    <w:name w:val="页脚 Char"/>
    <w:basedOn w:val="30"/>
    <w:link w:val="20"/>
    <w:qFormat/>
    <w:uiPriority w:val="99"/>
    <w:rPr>
      <w:sz w:val="18"/>
      <w:szCs w:val="18"/>
    </w:rPr>
  </w:style>
  <w:style w:type="character" w:customStyle="1" w:styleId="53">
    <w:name w:val="页眉 Char1"/>
    <w:basedOn w:val="30"/>
    <w:link w:val="22"/>
    <w:qFormat/>
    <w:uiPriority w:val="99"/>
    <w:rPr>
      <w:sz w:val="18"/>
      <w:szCs w:val="18"/>
    </w:rPr>
  </w:style>
  <w:style w:type="character" w:customStyle="1" w:styleId="54">
    <w:name w:val="批注主题 Char"/>
    <w:basedOn w:val="46"/>
    <w:link w:val="26"/>
    <w:qFormat/>
    <w:uiPriority w:val="0"/>
    <w:rPr>
      <w:rFonts w:ascii="Times New Roman" w:hAnsi="Times New Roman" w:eastAsia="宋体" w:cs="Times New Roman"/>
      <w:b/>
      <w:bCs/>
      <w:szCs w:val="24"/>
    </w:rPr>
  </w:style>
  <w:style w:type="character" w:customStyle="1" w:styleId="55">
    <w:name w:val="纯文本 Char"/>
    <w:basedOn w:val="30"/>
    <w:qFormat/>
    <w:uiPriority w:val="0"/>
    <w:rPr>
      <w:rFonts w:hint="eastAsia" w:ascii="宋体" w:hAnsi="Courier New" w:eastAsia="宋体" w:cs="宋体"/>
      <w:kern w:val="2"/>
      <w:sz w:val="21"/>
      <w:szCs w:val="21"/>
    </w:rPr>
  </w:style>
  <w:style w:type="character" w:customStyle="1" w:styleId="56">
    <w:name w:val="font31"/>
    <w:basedOn w:val="30"/>
    <w:qFormat/>
    <w:uiPriority w:val="0"/>
    <w:rPr>
      <w:rFonts w:hint="eastAsia" w:ascii="宋体" w:hAnsi="宋体" w:eastAsia="宋体" w:cs="宋体"/>
      <w:color w:val="000000"/>
      <w:sz w:val="24"/>
      <w:szCs w:val="24"/>
      <w:u w:val="none"/>
    </w:rPr>
  </w:style>
  <w:style w:type="character" w:customStyle="1" w:styleId="57">
    <w:name w:val="font41"/>
    <w:basedOn w:val="30"/>
    <w:qFormat/>
    <w:uiPriority w:val="0"/>
    <w:rPr>
      <w:rFonts w:hint="eastAsia" w:ascii="宋体" w:hAnsi="宋体" w:eastAsia="宋体" w:cs="宋体"/>
      <w:color w:val="000000"/>
      <w:sz w:val="24"/>
      <w:szCs w:val="24"/>
      <w:u w:val="none"/>
    </w:rPr>
  </w:style>
  <w:style w:type="character" w:customStyle="1" w:styleId="58">
    <w:name w:val="页眉 Char"/>
    <w:basedOn w:val="30"/>
    <w:qFormat/>
    <w:uiPriority w:val="99"/>
    <w:rPr>
      <w:sz w:val="18"/>
      <w:szCs w:val="18"/>
    </w:rPr>
  </w:style>
  <w:style w:type="character" w:customStyle="1" w:styleId="59">
    <w:name w:val="15"/>
    <w:basedOn w:val="30"/>
    <w:qFormat/>
    <w:uiPriority w:val="0"/>
    <w:rPr>
      <w:rFonts w:hint="default" w:ascii="Times New Roman" w:hAnsi="Times New Roman" w:cs="Times New Roman"/>
      <w:b/>
      <w:bCs/>
    </w:rPr>
  </w:style>
  <w:style w:type="character" w:customStyle="1" w:styleId="60">
    <w:name w:val="font01"/>
    <w:basedOn w:val="30"/>
    <w:qFormat/>
    <w:uiPriority w:val="0"/>
    <w:rPr>
      <w:rFonts w:hint="eastAsia" w:ascii="宋体" w:hAnsi="宋体" w:eastAsia="宋体" w:cs="宋体"/>
      <w:color w:val="000000"/>
      <w:sz w:val="18"/>
      <w:szCs w:val="18"/>
      <w:u w:val="none"/>
    </w:rPr>
  </w:style>
  <w:style w:type="paragraph" w:customStyle="1" w:styleId="61">
    <w:name w:val="列出段落1"/>
    <w:basedOn w:val="1"/>
    <w:qFormat/>
    <w:uiPriority w:val="0"/>
    <w:pPr>
      <w:ind w:firstLine="420" w:firstLineChars="200"/>
    </w:pPr>
    <w:rPr>
      <w:rFonts w:ascii="Calibri" w:hAnsi="Calibri"/>
      <w:szCs w:val="21"/>
    </w:rPr>
  </w:style>
  <w:style w:type="paragraph" w:customStyle="1" w:styleId="6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4">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65">
    <w:name w:val="Char Char Char"/>
    <w:basedOn w:val="1"/>
    <w:qFormat/>
    <w:uiPriority w:val="0"/>
    <w:rPr>
      <w:rFonts w:ascii="Tahoma" w:hAnsi="Tahoma"/>
      <w:sz w:val="24"/>
      <w:szCs w:val="20"/>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7">
    <w:name w:val="标书正文格式"/>
    <w:qFormat/>
    <w:uiPriority w:val="99"/>
    <w:pPr>
      <w:spacing w:line="360" w:lineRule="auto"/>
      <w:ind w:firstLine="200" w:firstLineChars="200"/>
    </w:pPr>
    <w:rPr>
      <w:rFonts w:ascii="Calibri" w:hAnsi="Calibri" w:eastAsia="宋体" w:cs="Times New Roman"/>
      <w:kern w:val="2"/>
      <w:sz w:val="21"/>
      <w:szCs w:val="24"/>
      <w:lang w:val="en-US" w:eastAsia="zh-CN" w:bidi="ar-SA"/>
    </w:rPr>
  </w:style>
  <w:style w:type="paragraph" w:customStyle="1" w:styleId="68">
    <w:name w:val="样式1"/>
    <w:basedOn w:val="1"/>
    <w:qFormat/>
    <w:uiPriority w:val="0"/>
    <w:pPr>
      <w:adjustRightInd w:val="0"/>
      <w:textAlignment w:val="baseline"/>
    </w:pPr>
    <w:rPr>
      <w:rFonts w:ascii="宋体" w:hAnsi="宋体"/>
      <w:kern w:val="0"/>
      <w:szCs w:val="21"/>
    </w:rPr>
  </w:style>
  <w:style w:type="paragraph" w:customStyle="1" w:styleId="69">
    <w:name w:val="List Paragraph"/>
    <w:basedOn w:val="1"/>
    <w:qFormat/>
    <w:uiPriority w:val="34"/>
    <w:pPr>
      <w:ind w:firstLine="420" w:firstLineChars="200"/>
    </w:pPr>
    <w:rPr>
      <w:rFonts w:ascii="Calibri" w:hAnsi="Calibri"/>
      <w:szCs w:val="22"/>
    </w:rPr>
  </w:style>
  <w:style w:type="paragraph" w:customStyle="1" w:styleId="70">
    <w:name w:val="首行缩进"/>
    <w:basedOn w:val="1"/>
    <w:qFormat/>
    <w:uiPriority w:val="0"/>
    <w:pPr>
      <w:spacing w:line="360" w:lineRule="auto"/>
      <w:ind w:firstLine="480" w:firstLineChars="200"/>
    </w:pPr>
    <w:rPr>
      <w:rFonts w:ascii="宋体" w:hAnsi="宋体" w:cs="宋体"/>
      <w:kern w:val="0"/>
      <w:sz w:val="24"/>
    </w:rPr>
  </w:style>
  <w:style w:type="paragraph" w:customStyle="1" w:styleId="71">
    <w:name w:val="xl82"/>
    <w:basedOn w:val="1"/>
    <w:qFormat/>
    <w:uiPriority w:val="0"/>
    <w:pPr>
      <w:widowControl/>
      <w:pBdr>
        <w:top w:val="single" w:color="auto" w:sz="8" w:space="0"/>
        <w:right w:val="single" w:color="auto" w:sz="8" w:space="0"/>
      </w:pBdr>
      <w:spacing w:before="100" w:beforeAutospacing="1" w:after="100" w:afterAutospacing="1"/>
      <w:jc w:val="left"/>
    </w:pPr>
    <w:rPr>
      <w:rFonts w:ascii="华文中宋" w:hAnsi="华文中宋" w:eastAsia="华文中宋" w:cs="宋体"/>
      <w:kern w:val="0"/>
      <w:szCs w:val="21"/>
    </w:rPr>
  </w:style>
  <w:style w:type="paragraph" w:customStyle="1" w:styleId="72">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73">
    <w:name w:val="font11"/>
    <w:basedOn w:val="30"/>
    <w:qFormat/>
    <w:uiPriority w:val="0"/>
    <w:rPr>
      <w:rFonts w:hint="eastAsia" w:ascii="宋体" w:hAnsi="宋体" w:eastAsia="宋体" w:cs="宋体"/>
      <w:color w:val="000000"/>
      <w:sz w:val="18"/>
      <w:szCs w:val="18"/>
      <w:u w:val="none"/>
    </w:rPr>
  </w:style>
  <w:style w:type="character" w:customStyle="1" w:styleId="74">
    <w:name w:val="font141"/>
    <w:basedOn w:val="30"/>
    <w:qFormat/>
    <w:uiPriority w:val="0"/>
    <w:rPr>
      <w:rFonts w:hint="eastAsia" w:ascii="宋体" w:hAnsi="宋体" w:eastAsia="宋体" w:cs="宋体"/>
      <w:color w:val="000000"/>
      <w:sz w:val="22"/>
      <w:szCs w:val="22"/>
      <w:u w:val="none"/>
    </w:rPr>
  </w:style>
  <w:style w:type="table" w:customStyle="1" w:styleId="75">
    <w:name w:val="Table Normal"/>
    <w:unhideWhenUsed/>
    <w:qFormat/>
    <w:uiPriority w:val="0"/>
    <w:tblPr>
      <w:tblCellMar>
        <w:top w:w="0" w:type="dxa"/>
        <w:left w:w="0" w:type="dxa"/>
        <w:bottom w:w="0" w:type="dxa"/>
        <w:right w:w="0" w:type="dxa"/>
      </w:tblCellMar>
    </w:tblPr>
  </w:style>
  <w:style w:type="paragraph" w:customStyle="1" w:styleId="76">
    <w:name w:val="Table Text"/>
    <w:basedOn w:val="1"/>
    <w:semiHidden/>
    <w:qFormat/>
    <w:uiPriority w:val="0"/>
    <w:rPr>
      <w:rFonts w:ascii="宋体" w:hAnsi="宋体" w:eastAsia="宋体" w:cs="宋体"/>
      <w:sz w:val="19"/>
      <w:szCs w:val="19"/>
      <w:lang w:val="en-US" w:eastAsia="en-US" w:bidi="ar-SA"/>
    </w:rPr>
  </w:style>
  <w:style w:type="character" w:customStyle="1" w:styleId="77">
    <w:name w:val="font61"/>
    <w:basedOn w:val="3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155</Pages>
  <Words>19337</Words>
  <Characters>20235</Characters>
  <Lines>1</Lines>
  <Paragraphs>1</Paragraphs>
  <TotalTime>33</TotalTime>
  <ScaleCrop>false</ScaleCrop>
  <LinksUpToDate>false</LinksUpToDate>
  <CharactersWithSpaces>20461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2022-08-04T02:10:00Z</dcterms:created>
  <dc:creator>lizhe</dc:creator>
  <cp:lastModifiedBy>山高人为峰</cp:lastModifiedBy>
  <cp:lastPrinted>2024-07-30T00:58:00Z</cp:lastPrinted>
  <dcterms:modified xsi:type="dcterms:W3CDTF">2025-11-07T07:28:32Z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450FD40057AD420493A117275CAC7ABB_13</vt:lpwstr>
  </property>
  <property fmtid="{D5CDD505-2E9C-101B-9397-08002B2CF9AE}" pid="4" name="KSOTemplateDocerSaveRecord">
    <vt:lpwstr>eyJoZGlkIjoiMGRhZTJhNTUxNTJhMTIzODhkOTRkMzU3ZTE3Y2E4NjYiLCJ1c2VySWQiOiI3ODM4MDAzNDgifQ==</vt:lpwstr>
  </property>
</Properties>
</file>