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B2EE6">
      <w:pPr>
        <w:spacing w:line="1600" w:lineRule="exact"/>
        <w:jc w:val="center"/>
        <w:outlineLvl w:val="0"/>
        <w:rPr>
          <w:rFonts w:ascii="宋体" w:hAnsi="宋体" w:cs="宋体"/>
          <w:color w:val="auto"/>
          <w:sz w:val="100"/>
          <w:highlight w:val="none"/>
        </w:rPr>
      </w:pPr>
      <w:bookmarkStart w:id="205" w:name="_GoBack"/>
    </w:p>
    <w:p w14:paraId="4F57B8ED">
      <w:pPr>
        <w:spacing w:line="1600" w:lineRule="exact"/>
        <w:jc w:val="center"/>
        <w:outlineLvl w:val="0"/>
        <w:rPr>
          <w:rFonts w:ascii="宋体" w:hAnsi="宋体" w:cs="宋体"/>
          <w:color w:val="auto"/>
          <w:sz w:val="130"/>
          <w:szCs w:val="130"/>
          <w:highlight w:val="none"/>
        </w:rPr>
      </w:pPr>
      <w:r>
        <w:rPr>
          <w:rFonts w:hint="eastAsia" w:ascii="宋体" w:hAnsi="宋体" w:cs="宋体"/>
          <w:color w:val="auto"/>
          <w:sz w:val="130"/>
          <w:szCs w:val="130"/>
          <w:highlight w:val="none"/>
        </w:rPr>
        <w:t>竞争性磋商文件</w:t>
      </w:r>
    </w:p>
    <w:p w14:paraId="1658DEBE">
      <w:pPr>
        <w:spacing w:line="500" w:lineRule="exact"/>
        <w:ind w:firstLine="2340" w:firstLineChars="650"/>
        <w:outlineLvl w:val="0"/>
        <w:rPr>
          <w:rFonts w:ascii="宋体" w:hAnsi="宋体" w:cs="宋体"/>
          <w:color w:val="auto"/>
          <w:sz w:val="36"/>
          <w:szCs w:val="36"/>
          <w:highlight w:val="none"/>
        </w:rPr>
      </w:pPr>
    </w:p>
    <w:p w14:paraId="0722A239">
      <w:pPr>
        <w:spacing w:line="500" w:lineRule="exact"/>
        <w:ind w:firstLine="2340" w:firstLineChars="650"/>
        <w:outlineLvl w:val="0"/>
        <w:rPr>
          <w:rFonts w:ascii="宋体" w:hAnsi="宋体" w:cs="宋体"/>
          <w:color w:val="auto"/>
          <w:sz w:val="36"/>
          <w:szCs w:val="36"/>
          <w:highlight w:val="none"/>
        </w:rPr>
      </w:pPr>
    </w:p>
    <w:p w14:paraId="1E70E4F6">
      <w:pPr>
        <w:spacing w:line="500" w:lineRule="exact"/>
        <w:ind w:firstLine="2340" w:firstLineChars="650"/>
        <w:outlineLvl w:val="0"/>
        <w:rPr>
          <w:rFonts w:ascii="宋体" w:hAnsi="宋体" w:cs="宋体"/>
          <w:color w:val="auto"/>
          <w:sz w:val="36"/>
          <w:szCs w:val="36"/>
          <w:highlight w:val="none"/>
        </w:rPr>
      </w:pPr>
    </w:p>
    <w:p w14:paraId="202DB6ED">
      <w:pPr>
        <w:ind w:left="997" w:leftChars="0" w:right="0" w:rightChars="0" w:hanging="997" w:hangingChars="277"/>
        <w:rPr>
          <w:rFonts w:ascii="宋体" w:hAnsi="宋体" w:cs="宋体"/>
          <w:color w:val="auto"/>
          <w:sz w:val="36"/>
          <w:szCs w:val="36"/>
          <w:highlight w:val="none"/>
        </w:rPr>
      </w:pPr>
      <w:r>
        <w:rPr>
          <w:rFonts w:hint="eastAsia" w:ascii="宋体" w:hAnsi="宋体" w:cs="宋体"/>
          <w:color w:val="auto"/>
          <w:sz w:val="36"/>
          <w:szCs w:val="36"/>
          <w:highlight w:val="none"/>
        </w:rPr>
        <w:t>磋商项目名称：重庆渝氢鸿运输服务有限公司氢燃料电池</w:t>
      </w:r>
      <w:r>
        <w:rPr>
          <w:rFonts w:hint="eastAsia" w:ascii="宋体" w:hAnsi="宋体" w:cs="宋体"/>
          <w:color w:val="auto"/>
          <w:sz w:val="36"/>
          <w:szCs w:val="36"/>
          <w:highlight w:val="none"/>
          <w:lang w:val="en-US" w:eastAsia="zh-CN"/>
        </w:rPr>
        <w:t>汽</w:t>
      </w:r>
      <w:r>
        <w:rPr>
          <w:rFonts w:hint="eastAsia" w:ascii="宋体" w:hAnsi="宋体" w:cs="宋体"/>
          <w:color w:val="auto"/>
          <w:sz w:val="36"/>
          <w:szCs w:val="36"/>
          <w:highlight w:val="none"/>
        </w:rPr>
        <w:t>车</w:t>
      </w:r>
      <w:r>
        <w:rPr>
          <w:rFonts w:hint="eastAsia" w:ascii="宋体" w:hAnsi="宋体" w:cs="宋体"/>
          <w:color w:val="auto"/>
          <w:sz w:val="36"/>
          <w:szCs w:val="36"/>
          <w:highlight w:val="none"/>
          <w:lang w:val="en-US" w:eastAsia="zh-CN"/>
        </w:rPr>
        <w:t>2026-2027年（九龙坡区）车辆维修</w:t>
      </w:r>
      <w:r>
        <w:rPr>
          <w:rFonts w:hint="eastAsia" w:ascii="宋体" w:hAnsi="宋体" w:cs="宋体"/>
          <w:color w:val="auto"/>
          <w:sz w:val="36"/>
          <w:szCs w:val="36"/>
          <w:highlight w:val="none"/>
        </w:rPr>
        <w:t>服务</w:t>
      </w:r>
      <w:r>
        <w:rPr>
          <w:rFonts w:hint="eastAsia" w:ascii="宋体" w:hAnsi="宋体" w:cs="宋体"/>
          <w:color w:val="auto"/>
          <w:sz w:val="36"/>
          <w:szCs w:val="36"/>
          <w:highlight w:val="none"/>
          <w:lang w:val="en-US" w:eastAsia="zh-CN"/>
        </w:rPr>
        <w:t>供应商采购</w:t>
      </w:r>
      <w:r>
        <w:rPr>
          <w:rFonts w:hint="eastAsia" w:ascii="宋体" w:hAnsi="宋体" w:cs="宋体"/>
          <w:color w:val="auto"/>
          <w:sz w:val="36"/>
          <w:szCs w:val="36"/>
          <w:highlight w:val="none"/>
        </w:rPr>
        <w:t>项目</w:t>
      </w:r>
    </w:p>
    <w:p w14:paraId="6A66B7F4">
      <w:pPr>
        <w:spacing w:line="700" w:lineRule="exact"/>
        <w:ind w:firstLine="1749" w:firstLineChars="486"/>
        <w:rPr>
          <w:rFonts w:ascii="宋体" w:hAnsi="宋体" w:cs="宋体"/>
          <w:color w:val="auto"/>
          <w:sz w:val="36"/>
          <w:szCs w:val="36"/>
          <w:highlight w:val="none"/>
        </w:rPr>
      </w:pPr>
    </w:p>
    <w:p w14:paraId="18FED07D">
      <w:pPr>
        <w:spacing w:line="700" w:lineRule="exact"/>
        <w:ind w:firstLine="1749" w:firstLineChars="486"/>
        <w:rPr>
          <w:rFonts w:ascii="宋体" w:hAnsi="宋体" w:cs="宋体"/>
          <w:color w:val="auto"/>
          <w:sz w:val="36"/>
          <w:szCs w:val="36"/>
          <w:highlight w:val="none"/>
        </w:rPr>
      </w:pPr>
    </w:p>
    <w:p w14:paraId="244C9B56">
      <w:pPr>
        <w:spacing w:line="700" w:lineRule="exact"/>
        <w:ind w:firstLine="1749" w:firstLineChars="486"/>
        <w:rPr>
          <w:rFonts w:ascii="宋体" w:hAnsi="宋体" w:cs="宋体"/>
          <w:color w:val="auto"/>
          <w:sz w:val="36"/>
          <w:szCs w:val="36"/>
          <w:highlight w:val="none"/>
        </w:rPr>
      </w:pPr>
    </w:p>
    <w:p w14:paraId="46AB29F9">
      <w:pPr>
        <w:spacing w:line="700" w:lineRule="exact"/>
        <w:jc w:val="center"/>
        <w:rPr>
          <w:rFonts w:ascii="宋体" w:hAnsi="宋体" w:cs="宋体"/>
          <w:b/>
          <w:color w:val="auto"/>
          <w:sz w:val="36"/>
          <w:szCs w:val="36"/>
          <w:highlight w:val="none"/>
        </w:rPr>
      </w:pPr>
    </w:p>
    <w:p w14:paraId="671338BB">
      <w:pPr>
        <w:spacing w:line="720" w:lineRule="exact"/>
        <w:jc w:val="center"/>
        <w:outlineLvl w:val="0"/>
        <w:rPr>
          <w:rFonts w:ascii="宋体" w:hAnsi="宋体" w:cs="宋体"/>
          <w:color w:val="auto"/>
          <w:sz w:val="36"/>
          <w:szCs w:val="36"/>
          <w:highlight w:val="none"/>
        </w:rPr>
      </w:pPr>
      <w:r>
        <w:rPr>
          <w:rFonts w:hint="eastAsia" w:ascii="宋体" w:hAnsi="宋体" w:cs="宋体"/>
          <w:color w:val="auto"/>
          <w:sz w:val="36"/>
          <w:szCs w:val="36"/>
          <w:highlight w:val="none"/>
        </w:rPr>
        <w:t>采购人：</w:t>
      </w:r>
      <w:r>
        <w:rPr>
          <w:rFonts w:hint="eastAsia" w:ascii="宋体" w:hAnsi="宋体" w:eastAsia="宋体" w:cs="宋体"/>
          <w:color w:val="auto"/>
          <w:sz w:val="36"/>
          <w:szCs w:val="36"/>
          <w:highlight w:val="none"/>
        </w:rPr>
        <w:t>重庆渝氢鸿运输服务有限公司</w:t>
      </w:r>
    </w:p>
    <w:p w14:paraId="4251AD59">
      <w:pPr>
        <w:spacing w:line="720" w:lineRule="exact"/>
        <w:jc w:val="center"/>
        <w:outlineLvl w:val="0"/>
        <w:rPr>
          <w:rFonts w:ascii="宋体" w:hAnsi="宋体" w:cs="宋体"/>
          <w:color w:val="auto"/>
          <w:sz w:val="36"/>
          <w:szCs w:val="36"/>
          <w:highlight w:val="none"/>
        </w:rPr>
      </w:pPr>
      <w:r>
        <w:rPr>
          <w:rFonts w:hint="eastAsia" w:ascii="宋体" w:hAnsi="宋体" w:cs="宋体"/>
          <w:color w:val="auto"/>
          <w:sz w:val="36"/>
          <w:szCs w:val="36"/>
          <w:highlight w:val="none"/>
        </w:rPr>
        <w:t xml:space="preserve">采购代理机构：明科建设咨询有限公司 </w:t>
      </w:r>
    </w:p>
    <w:p w14:paraId="3FCCD6AD">
      <w:pPr>
        <w:spacing w:line="720" w:lineRule="exact"/>
        <w:jc w:val="center"/>
        <w:outlineLvl w:val="0"/>
        <w:rPr>
          <w:rFonts w:ascii="宋体" w:hAnsi="宋体" w:cs="宋体"/>
          <w:color w:val="auto"/>
          <w:sz w:val="36"/>
          <w:szCs w:val="36"/>
          <w:highlight w:val="none"/>
        </w:rPr>
      </w:pPr>
    </w:p>
    <w:p w14:paraId="0F741A7F">
      <w:pPr>
        <w:spacing w:line="720" w:lineRule="exact"/>
        <w:jc w:val="center"/>
        <w:outlineLvl w:val="0"/>
        <w:rPr>
          <w:rFonts w:ascii="宋体" w:hAnsi="宋体" w:cs="宋体"/>
          <w:color w:val="auto"/>
          <w:sz w:val="48"/>
          <w:szCs w:val="32"/>
          <w:highlight w:val="none"/>
        </w:rPr>
      </w:pPr>
      <w:r>
        <w:rPr>
          <w:rFonts w:hint="eastAsia" w:ascii="宋体" w:hAnsi="宋体" w:cs="宋体"/>
          <w:color w:val="auto"/>
          <w:sz w:val="36"/>
          <w:szCs w:val="36"/>
          <w:highlight w:val="none"/>
        </w:rPr>
        <w:t>二○二</w:t>
      </w:r>
      <w:r>
        <w:rPr>
          <w:rFonts w:hint="eastAsia" w:ascii="宋体" w:hAnsi="宋体" w:cs="宋体"/>
          <w:color w:val="auto"/>
          <w:sz w:val="36"/>
          <w:szCs w:val="36"/>
          <w:highlight w:val="none"/>
          <w:lang w:val="en-US" w:eastAsia="zh-CN"/>
        </w:rPr>
        <w:t>六</w:t>
      </w:r>
      <w:r>
        <w:rPr>
          <w:rFonts w:hint="eastAsia" w:ascii="宋体" w:hAnsi="宋体" w:cs="宋体"/>
          <w:color w:val="auto"/>
          <w:sz w:val="36"/>
          <w:szCs w:val="36"/>
          <w:highlight w:val="none"/>
        </w:rPr>
        <w:t>年</w:t>
      </w:r>
      <w:r>
        <w:rPr>
          <w:rFonts w:hint="eastAsia" w:ascii="宋体" w:hAnsi="宋体" w:cs="宋体"/>
          <w:color w:val="auto"/>
          <w:sz w:val="36"/>
          <w:szCs w:val="36"/>
          <w:highlight w:val="none"/>
          <w:lang w:val="en-US" w:eastAsia="zh-CN"/>
        </w:rPr>
        <w:t>三</w:t>
      </w:r>
      <w:r>
        <w:rPr>
          <w:rFonts w:hint="eastAsia" w:ascii="宋体" w:hAnsi="宋体" w:cs="宋体"/>
          <w:color w:val="auto"/>
          <w:sz w:val="36"/>
          <w:szCs w:val="36"/>
          <w:highlight w:val="none"/>
        </w:rPr>
        <w:t>月</w:t>
      </w:r>
    </w:p>
    <w:p w14:paraId="04B912EC">
      <w:pPr>
        <w:spacing w:line="720" w:lineRule="exact"/>
        <w:jc w:val="center"/>
        <w:outlineLvl w:val="0"/>
        <w:rPr>
          <w:rFonts w:ascii="宋体" w:hAnsi="宋体" w:cs="宋体"/>
          <w:color w:val="auto"/>
          <w:sz w:val="48"/>
          <w:szCs w:val="32"/>
          <w:highlight w:val="none"/>
        </w:rPr>
        <w:sectPr>
          <w:headerReference r:id="rId6" w:type="first"/>
          <w:footerReference r:id="rId9" w:type="first"/>
          <w:headerReference r:id="rId5" w:type="default"/>
          <w:footerReference r:id="rId7" w:type="default"/>
          <w:footerReference r:id="rId8" w:type="even"/>
          <w:pgSz w:w="11907" w:h="16840"/>
          <w:pgMar w:top="1134" w:right="783" w:bottom="1134" w:left="1304" w:header="851" w:footer="992" w:gutter="0"/>
          <w:pgNumType w:fmt="decimal" w:start="1"/>
          <w:cols w:space="720" w:num="1"/>
          <w:titlePg/>
          <w:docGrid w:linePitch="381" w:charSpace="-5735"/>
        </w:sectPr>
      </w:pPr>
    </w:p>
    <w:p w14:paraId="688E82B0">
      <w:pPr>
        <w:spacing w:line="480" w:lineRule="exact"/>
        <w:jc w:val="center"/>
        <w:outlineLvl w:val="0"/>
        <w:rPr>
          <w:rFonts w:ascii="宋体" w:hAnsi="宋体" w:cs="宋体"/>
          <w:color w:val="auto"/>
          <w:sz w:val="44"/>
          <w:szCs w:val="28"/>
          <w:highlight w:val="none"/>
        </w:rPr>
      </w:pPr>
    </w:p>
    <w:p w14:paraId="2E163BF9">
      <w:pPr>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130DED29">
      <w:pPr>
        <w:pStyle w:val="14"/>
        <w:tabs>
          <w:tab w:val="right" w:leader="dot" w:pos="9402"/>
        </w:tabs>
        <w:spacing w:line="480" w:lineRule="auto"/>
        <w:ind w:left="560"/>
        <w:rPr>
          <w:rFonts w:ascii="宋体" w:hAnsi="宋体" w:cs="宋体"/>
          <w:color w:val="auto"/>
          <w:sz w:val="30"/>
          <w:szCs w:val="30"/>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"_Toc106030870" </w:instrText>
      </w:r>
      <w:r>
        <w:rPr>
          <w:color w:val="auto"/>
          <w:highlight w:val="none"/>
        </w:rPr>
        <w:fldChar w:fldCharType="separate"/>
      </w:r>
      <w:r>
        <w:rPr>
          <w:rStyle w:val="20"/>
          <w:rFonts w:hint="eastAsia" w:ascii="宋体" w:hAnsi="宋体" w:cs="宋体"/>
          <w:color w:val="auto"/>
          <w:sz w:val="30"/>
          <w:szCs w:val="30"/>
          <w:highlight w:val="none"/>
        </w:rPr>
        <w:t>第一篇  采购邀请书</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_Toc106030870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14:paraId="79213E16">
      <w:pPr>
        <w:pStyle w:val="14"/>
        <w:tabs>
          <w:tab w:val="right" w:leader="dot" w:pos="9402"/>
        </w:tabs>
        <w:spacing w:line="480" w:lineRule="auto"/>
        <w:ind w:left="560"/>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"_Toc106030878" </w:instrText>
      </w:r>
      <w:r>
        <w:rPr>
          <w:color w:val="auto"/>
          <w:highlight w:val="none"/>
        </w:rPr>
        <w:fldChar w:fldCharType="separate"/>
      </w:r>
      <w:r>
        <w:rPr>
          <w:rStyle w:val="20"/>
          <w:rFonts w:hint="eastAsia" w:ascii="宋体" w:hAnsi="宋体" w:cs="宋体"/>
          <w:color w:val="auto"/>
          <w:sz w:val="30"/>
          <w:szCs w:val="30"/>
          <w:highlight w:val="none"/>
        </w:rPr>
        <w:t>第二篇  项目服务需求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_Toc106030878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14:paraId="6A386300">
      <w:pPr>
        <w:pStyle w:val="14"/>
        <w:tabs>
          <w:tab w:val="right" w:leader="dot" w:pos="9402"/>
        </w:tabs>
        <w:spacing w:line="480" w:lineRule="auto"/>
        <w:ind w:left="560"/>
        <w:rPr>
          <w:rFonts w:hint="eastAsia"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"_Toc106030882" </w:instrText>
      </w:r>
      <w:r>
        <w:rPr>
          <w:color w:val="auto"/>
          <w:highlight w:val="none"/>
        </w:rPr>
        <w:fldChar w:fldCharType="separate"/>
      </w:r>
      <w:r>
        <w:rPr>
          <w:rStyle w:val="20"/>
          <w:rFonts w:hint="eastAsia" w:ascii="宋体" w:hAnsi="宋体" w:cs="宋体"/>
          <w:color w:val="auto"/>
          <w:sz w:val="30"/>
          <w:szCs w:val="30"/>
          <w:highlight w:val="none"/>
        </w:rPr>
        <w:t>第三篇  项目商务需求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eastAsia="zh-CN"/>
        </w:rPr>
        <w:t>6</w:t>
      </w:r>
    </w:p>
    <w:p w14:paraId="2027F284">
      <w:pPr>
        <w:pStyle w:val="14"/>
        <w:tabs>
          <w:tab w:val="right" w:leader="dot" w:pos="9402"/>
        </w:tabs>
        <w:spacing w:line="480" w:lineRule="auto"/>
        <w:ind w:left="560"/>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"_Toc106030887" </w:instrText>
      </w:r>
      <w:r>
        <w:rPr>
          <w:color w:val="auto"/>
          <w:highlight w:val="none"/>
        </w:rPr>
        <w:fldChar w:fldCharType="separate"/>
      </w:r>
      <w:r>
        <w:rPr>
          <w:rStyle w:val="20"/>
          <w:rFonts w:hint="eastAsia" w:ascii="宋体" w:hAnsi="宋体" w:cs="宋体"/>
          <w:color w:val="auto"/>
          <w:sz w:val="30"/>
          <w:szCs w:val="30"/>
          <w:highlight w:val="none"/>
        </w:rPr>
        <w:t>第四篇  磋商程序及方法、评审标准、无效响应和采购终止</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p>
    <w:p w14:paraId="32242A70">
      <w:pPr>
        <w:pStyle w:val="14"/>
        <w:tabs>
          <w:tab w:val="right" w:leader="dot" w:pos="9402"/>
        </w:tabs>
        <w:spacing w:line="480" w:lineRule="auto"/>
        <w:ind w:left="560"/>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"_Toc106030892" </w:instrText>
      </w:r>
      <w:r>
        <w:rPr>
          <w:color w:val="auto"/>
          <w:highlight w:val="none"/>
        </w:rPr>
        <w:fldChar w:fldCharType="separate"/>
      </w:r>
      <w:r>
        <w:rPr>
          <w:rStyle w:val="20"/>
          <w:rFonts w:hint="eastAsia" w:ascii="宋体" w:hAnsi="宋体" w:cs="宋体"/>
          <w:bCs/>
          <w:color w:val="auto"/>
          <w:sz w:val="30"/>
          <w:szCs w:val="30"/>
          <w:highlight w:val="none"/>
        </w:rPr>
        <w:t>第五篇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_Toc106030892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w:t>
      </w:r>
      <w:r>
        <w:rPr>
          <w:rFonts w:hint="eastAsia" w:ascii="宋体" w:hAnsi="宋体" w:cs="宋体"/>
          <w:color w:val="auto"/>
          <w:sz w:val="30"/>
          <w:szCs w:val="30"/>
          <w:highlight w:val="none"/>
          <w:lang w:val="en-US" w:eastAsia="zh-CN"/>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 xml:space="preserve"> </w:t>
      </w:r>
    </w:p>
    <w:p w14:paraId="0ACEB769">
      <w:pPr>
        <w:pStyle w:val="14"/>
        <w:tabs>
          <w:tab w:val="right" w:leader="dot" w:pos="9402"/>
        </w:tabs>
        <w:spacing w:line="480" w:lineRule="auto"/>
        <w:ind w:left="560"/>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"_Toc106030904" </w:instrText>
      </w:r>
      <w:r>
        <w:rPr>
          <w:color w:val="auto"/>
          <w:highlight w:val="none"/>
        </w:rPr>
        <w:fldChar w:fldCharType="separate"/>
      </w:r>
      <w:r>
        <w:rPr>
          <w:rStyle w:val="20"/>
          <w:rFonts w:hint="eastAsia" w:ascii="宋体" w:hAnsi="宋体" w:cs="宋体"/>
          <w:color w:val="auto"/>
          <w:sz w:val="30"/>
          <w:szCs w:val="30"/>
          <w:highlight w:val="none"/>
        </w:rPr>
        <w:t>第六篇  采购合同</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r>
        <w:rPr>
          <w:rStyle w:val="20"/>
          <w:rFonts w:hint="eastAsia" w:ascii="宋体" w:hAnsi="宋体" w:cs="宋体"/>
          <w:color w:val="auto"/>
          <w:sz w:val="30"/>
          <w:szCs w:val="30"/>
          <w:highlight w:val="none"/>
          <w:lang w:val="en-US" w:eastAsia="zh-CN"/>
        </w:rPr>
        <w:t>6</w:t>
      </w:r>
    </w:p>
    <w:p w14:paraId="4B9A4001">
      <w:pPr>
        <w:pStyle w:val="14"/>
        <w:tabs>
          <w:tab w:val="right" w:leader="dot" w:pos="9402"/>
        </w:tabs>
        <w:spacing w:line="480" w:lineRule="auto"/>
        <w:ind w:left="560"/>
        <w:rPr>
          <w:rFonts w:hint="default" w:ascii="宋体" w:hAnsi="宋体" w:cs="宋体"/>
          <w:color w:val="auto"/>
          <w:sz w:val="30"/>
          <w:szCs w:val="30"/>
          <w:highlight w:val="none"/>
          <w:lang w:val="en-US"/>
        </w:rPr>
      </w:pPr>
      <w:r>
        <w:rPr>
          <w:color w:val="auto"/>
          <w:highlight w:val="none"/>
        </w:rPr>
        <w:fldChar w:fldCharType="begin"/>
      </w:r>
      <w:r>
        <w:rPr>
          <w:color w:val="auto"/>
          <w:highlight w:val="none"/>
        </w:rPr>
        <w:instrText xml:space="preserve"> HYPERLINK \l "_Toc106030905" </w:instrText>
      </w:r>
      <w:r>
        <w:rPr>
          <w:color w:val="auto"/>
          <w:highlight w:val="none"/>
        </w:rPr>
        <w:fldChar w:fldCharType="separate"/>
      </w:r>
      <w:r>
        <w:rPr>
          <w:rStyle w:val="20"/>
          <w:rFonts w:hint="eastAsia" w:ascii="宋体" w:hAnsi="宋体" w:cs="宋体"/>
          <w:color w:val="auto"/>
          <w:sz w:val="30"/>
          <w:szCs w:val="30"/>
          <w:highlight w:val="none"/>
        </w:rPr>
        <w:t>第七篇  响应文件编制要求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23</w:t>
      </w:r>
    </w:p>
    <w:p w14:paraId="463295B3">
      <w:pPr>
        <w:pStyle w:val="14"/>
        <w:tabs>
          <w:tab w:val="right" w:leader="dot" w:pos="9402"/>
        </w:tabs>
        <w:ind w:left="560"/>
        <w:rPr>
          <w:rFonts w:ascii="宋体" w:hAnsi="宋体" w:cs="宋体"/>
          <w:color w:val="auto"/>
          <w:sz w:val="21"/>
          <w:szCs w:val="22"/>
          <w:highlight w:val="none"/>
        </w:rPr>
      </w:pPr>
    </w:p>
    <w:p w14:paraId="36D58200">
      <w:pPr>
        <w:pStyle w:val="14"/>
        <w:tabs>
          <w:tab w:val="right" w:leader="dot" w:pos="9402"/>
        </w:tabs>
        <w:spacing w:line="480" w:lineRule="exact"/>
        <w:ind w:left="560"/>
        <w:jc w:val="center"/>
        <w:rPr>
          <w:rFonts w:hint="eastAsia" w:ascii="宋体" w:hAnsi="宋体" w:cs="宋体"/>
          <w:color w:val="auto"/>
          <w:szCs w:val="21"/>
          <w:highlight w:val="none"/>
        </w:rPr>
      </w:pPr>
      <w:r>
        <w:rPr>
          <w:rFonts w:hint="eastAsia" w:ascii="宋体" w:hAnsi="宋体" w:cs="宋体"/>
          <w:color w:val="auto"/>
          <w:szCs w:val="21"/>
          <w:highlight w:val="none"/>
        </w:rPr>
        <w:fldChar w:fldCharType="end"/>
      </w:r>
    </w:p>
    <w:p w14:paraId="31ED3DBE">
      <w:pPr>
        <w:tabs>
          <w:tab w:val="left" w:pos="8802"/>
        </w:tabs>
        <w:rPr>
          <w:rFonts w:hint="eastAsia" w:eastAsia="宋体"/>
          <w:color w:val="auto"/>
          <w:highlight w:val="none"/>
          <w:lang w:eastAsia="zh-CN"/>
        </w:rPr>
      </w:pPr>
      <w:r>
        <w:rPr>
          <w:rFonts w:hint="eastAsia"/>
          <w:color w:val="auto"/>
          <w:highlight w:val="none"/>
          <w:lang w:eastAsia="zh-CN"/>
        </w:rPr>
        <w:tab/>
      </w:r>
    </w:p>
    <w:p w14:paraId="1A848DD6">
      <w:pPr>
        <w:rPr>
          <w:color w:val="auto"/>
          <w:highlight w:val="none"/>
        </w:rPr>
      </w:pPr>
    </w:p>
    <w:p w14:paraId="79C45C63">
      <w:pPr>
        <w:tabs>
          <w:tab w:val="left" w:pos="8557"/>
        </w:tabs>
        <w:jc w:val="left"/>
        <w:rPr>
          <w:rFonts w:hint="eastAsia"/>
          <w:color w:val="auto"/>
          <w:highlight w:val="none"/>
          <w:lang w:eastAsia="zh-CN"/>
        </w:rPr>
      </w:pPr>
      <w:r>
        <w:rPr>
          <w:rFonts w:hint="eastAsia"/>
          <w:color w:val="auto"/>
          <w:highlight w:val="none"/>
          <w:lang w:eastAsia="zh-CN"/>
        </w:rPr>
        <w:tab/>
      </w:r>
    </w:p>
    <w:p w14:paraId="7DE38281">
      <w:pPr>
        <w:bidi w:val="0"/>
        <w:rPr>
          <w:rFonts w:hint="eastAsia" w:ascii="Times New Roman" w:hAnsi="Times New Roman" w:eastAsia="宋体" w:cs="Times New Roman"/>
          <w:color w:val="auto"/>
          <w:kern w:val="2"/>
          <w:sz w:val="28"/>
          <w:highlight w:val="none"/>
          <w:lang w:val="en-US" w:eastAsia="zh-CN" w:bidi="ar-SA"/>
        </w:rPr>
      </w:pPr>
    </w:p>
    <w:p w14:paraId="2E75EB63">
      <w:pPr>
        <w:bidi w:val="0"/>
        <w:rPr>
          <w:rFonts w:hint="eastAsia"/>
          <w:color w:val="auto"/>
          <w:highlight w:val="none"/>
          <w:lang w:val="en-US" w:eastAsia="zh-CN"/>
        </w:rPr>
      </w:pPr>
    </w:p>
    <w:p w14:paraId="3B8F7902">
      <w:pPr>
        <w:bidi w:val="0"/>
        <w:rPr>
          <w:rFonts w:hint="eastAsia"/>
          <w:color w:val="auto"/>
          <w:highlight w:val="none"/>
          <w:lang w:val="en-US" w:eastAsia="zh-CN"/>
        </w:rPr>
      </w:pPr>
    </w:p>
    <w:p w14:paraId="78BAB18D">
      <w:pPr>
        <w:bidi w:val="0"/>
        <w:rPr>
          <w:rFonts w:hint="eastAsia"/>
          <w:color w:val="auto"/>
          <w:highlight w:val="none"/>
          <w:lang w:val="en-US" w:eastAsia="zh-CN"/>
        </w:rPr>
      </w:pPr>
    </w:p>
    <w:p w14:paraId="016A9647">
      <w:pPr>
        <w:bidi w:val="0"/>
        <w:rPr>
          <w:rFonts w:hint="eastAsia"/>
          <w:color w:val="auto"/>
          <w:highlight w:val="none"/>
          <w:lang w:val="en-US" w:eastAsia="zh-CN"/>
        </w:rPr>
      </w:pPr>
    </w:p>
    <w:p w14:paraId="0B40BB56">
      <w:pPr>
        <w:bidi w:val="0"/>
        <w:rPr>
          <w:rFonts w:hint="eastAsia"/>
          <w:color w:val="auto"/>
          <w:highlight w:val="none"/>
          <w:lang w:val="en-US" w:eastAsia="zh-CN"/>
        </w:rPr>
      </w:pPr>
    </w:p>
    <w:p w14:paraId="12A05EBC">
      <w:pPr>
        <w:bidi w:val="0"/>
        <w:rPr>
          <w:rFonts w:hint="eastAsia"/>
          <w:color w:val="auto"/>
          <w:highlight w:val="none"/>
          <w:lang w:val="en-US" w:eastAsia="zh-CN"/>
        </w:rPr>
      </w:pPr>
    </w:p>
    <w:p w14:paraId="4362242E">
      <w:pPr>
        <w:bidi w:val="0"/>
        <w:rPr>
          <w:rFonts w:hint="eastAsia"/>
          <w:color w:val="auto"/>
          <w:highlight w:val="none"/>
          <w:lang w:val="en-US" w:eastAsia="zh-CN"/>
        </w:rPr>
      </w:pPr>
    </w:p>
    <w:p w14:paraId="74D02B7B">
      <w:pPr>
        <w:tabs>
          <w:tab w:val="left" w:pos="7626"/>
        </w:tabs>
        <w:bidi w:val="0"/>
        <w:jc w:val="left"/>
        <w:rPr>
          <w:rFonts w:hint="eastAsia"/>
          <w:color w:val="auto"/>
          <w:highlight w:val="none"/>
          <w:lang w:val="en-US" w:eastAsia="zh-CN"/>
        </w:rPr>
        <w:sectPr>
          <w:pgSz w:w="11907" w:h="16840"/>
          <w:pgMar w:top="1134" w:right="1191" w:bottom="1134" w:left="1304" w:header="851" w:footer="992" w:gutter="0"/>
          <w:pgNumType w:fmt="decimal" w:start="1"/>
          <w:cols w:space="720" w:num="1"/>
          <w:docGrid w:linePitch="381" w:charSpace="-5735"/>
        </w:sectPr>
      </w:pPr>
      <w:r>
        <w:rPr>
          <w:rFonts w:hint="eastAsia"/>
          <w:color w:val="auto"/>
          <w:highlight w:val="none"/>
          <w:lang w:val="en-US" w:eastAsia="zh-CN"/>
        </w:rPr>
        <w:tab/>
      </w:r>
    </w:p>
    <w:p w14:paraId="6614C821">
      <w:pPr>
        <w:rPr>
          <w:color w:val="auto"/>
          <w:highlight w:val="none"/>
        </w:rPr>
      </w:pPr>
    </w:p>
    <w:p w14:paraId="775EEF24">
      <w:pPr>
        <w:pStyle w:val="14"/>
        <w:tabs>
          <w:tab w:val="right" w:leader="dot" w:pos="9402"/>
        </w:tabs>
        <w:spacing w:line="480" w:lineRule="exact"/>
        <w:ind w:left="560"/>
        <w:jc w:val="center"/>
        <w:rPr>
          <w:rFonts w:ascii="宋体" w:hAnsi="宋体" w:eastAsia="宋体" w:cs="宋体"/>
          <w:b w:val="0"/>
          <w:color w:val="auto"/>
          <w:szCs w:val="30"/>
          <w:highlight w:val="none"/>
        </w:rPr>
      </w:pPr>
      <w:bookmarkStart w:id="0" w:name="_Toc106030870"/>
      <w:bookmarkStart w:id="1" w:name="_Toc76462316"/>
      <w:bookmarkStart w:id="2" w:name="_Toc11641050"/>
      <w:bookmarkStart w:id="3" w:name="_Toc12789052"/>
      <w:r>
        <w:rPr>
          <w:rFonts w:hint="eastAsia" w:ascii="宋体" w:hAnsi="宋体" w:eastAsia="宋体" w:cs="宋体"/>
          <w:b w:val="0"/>
          <w:color w:val="auto"/>
          <w:sz w:val="36"/>
          <w:szCs w:val="30"/>
          <w:highlight w:val="none"/>
        </w:rPr>
        <w:t>第一篇  采购邀请书</w:t>
      </w:r>
      <w:bookmarkEnd w:id="0"/>
      <w:bookmarkEnd w:id="1"/>
      <w:bookmarkEnd w:id="2"/>
      <w:bookmarkEnd w:id="3"/>
    </w:p>
    <w:p w14:paraId="787F925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明科建设咨询有限公司（以下简称：采购代理机构）接受重庆渝氢鸿运输服务有限公司（以下简称：采购人）的委托，对</w:t>
      </w:r>
      <w:r>
        <w:rPr>
          <w:rFonts w:hint="eastAsia" w:ascii="仿宋" w:hAnsi="仿宋" w:eastAsia="仿宋" w:cs="仿宋"/>
          <w:b/>
          <w:bCs/>
          <w:color w:val="auto"/>
          <w:sz w:val="24"/>
          <w:szCs w:val="24"/>
          <w:highlight w:val="none"/>
          <w:u w:val="single"/>
        </w:rPr>
        <w:t>重庆渝氢鸿运输服务有限公司氢燃料电池汽车202</w:t>
      </w:r>
      <w:r>
        <w:rPr>
          <w:rFonts w:hint="eastAsia" w:ascii="仿宋" w:hAnsi="仿宋" w:eastAsia="仿宋" w:cs="仿宋"/>
          <w:b/>
          <w:bCs/>
          <w:color w:val="auto"/>
          <w:sz w:val="24"/>
          <w:szCs w:val="24"/>
          <w:highlight w:val="none"/>
          <w:u w:val="single"/>
          <w:lang w:val="en-US" w:eastAsia="zh-CN"/>
        </w:rPr>
        <w:t>6</w:t>
      </w:r>
      <w:r>
        <w:rPr>
          <w:rFonts w:hint="eastAsia" w:ascii="仿宋" w:hAnsi="仿宋" w:eastAsia="仿宋" w:cs="仿宋"/>
          <w:b/>
          <w:bCs/>
          <w:color w:val="auto"/>
          <w:sz w:val="24"/>
          <w:szCs w:val="24"/>
          <w:highlight w:val="none"/>
          <w:u w:val="single"/>
        </w:rPr>
        <w:t>-202</w:t>
      </w:r>
      <w:r>
        <w:rPr>
          <w:rFonts w:hint="eastAsia" w:ascii="仿宋" w:hAnsi="仿宋" w:eastAsia="仿宋" w:cs="仿宋"/>
          <w:b/>
          <w:bCs/>
          <w:color w:val="auto"/>
          <w:sz w:val="24"/>
          <w:szCs w:val="24"/>
          <w:highlight w:val="none"/>
          <w:u w:val="single"/>
          <w:lang w:val="en-US" w:eastAsia="zh-CN"/>
        </w:rPr>
        <w:t>7</w:t>
      </w:r>
      <w:r>
        <w:rPr>
          <w:rFonts w:hint="eastAsia" w:ascii="仿宋" w:hAnsi="仿宋" w:eastAsia="仿宋" w:cs="仿宋"/>
          <w:b/>
          <w:bCs/>
          <w:color w:val="auto"/>
          <w:sz w:val="24"/>
          <w:szCs w:val="24"/>
          <w:highlight w:val="none"/>
          <w:u w:val="single"/>
        </w:rPr>
        <w:t>年</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九龙坡区</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车辆维修服务供应商采购项目</w:t>
      </w:r>
      <w:r>
        <w:rPr>
          <w:rFonts w:hint="eastAsia" w:ascii="宋体" w:hAnsi="宋体" w:cs="宋体"/>
          <w:color w:val="auto"/>
          <w:sz w:val="24"/>
          <w:szCs w:val="24"/>
          <w:highlight w:val="none"/>
        </w:rPr>
        <w:t>进行竞争性磋商采购。欢迎有资格的供应商前来参与磋商。</w:t>
      </w:r>
    </w:p>
    <w:p w14:paraId="66CD445D">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4" w:name="_Toc106030871"/>
      <w:bookmarkStart w:id="5" w:name="_Toc313893526"/>
      <w:bookmarkStart w:id="6" w:name="_Toc76462317"/>
      <w:bookmarkStart w:id="7" w:name="_Toc317775175"/>
      <w:r>
        <w:rPr>
          <w:rFonts w:hint="eastAsia" w:ascii="宋体" w:hAnsi="宋体" w:eastAsia="宋体" w:cs="宋体"/>
          <w:color w:val="auto"/>
          <w:sz w:val="24"/>
          <w:highlight w:val="none"/>
        </w:rPr>
        <w:t>一、竞争性磋商内容</w:t>
      </w:r>
      <w:bookmarkEnd w:id="4"/>
      <w:bookmarkEnd w:id="5"/>
      <w:bookmarkEnd w:id="6"/>
      <w:bookmarkEnd w:id="7"/>
    </w:p>
    <w:tbl>
      <w:tblPr>
        <w:tblStyle w:val="17"/>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1715"/>
        <w:gridCol w:w="1571"/>
        <w:gridCol w:w="1729"/>
        <w:gridCol w:w="1846"/>
      </w:tblGrid>
      <w:tr w14:paraId="5092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020" w:type="dxa"/>
            <w:tcBorders>
              <w:top w:val="single" w:color="auto" w:sz="4" w:space="0"/>
              <w:left w:val="single" w:color="auto" w:sz="4" w:space="0"/>
              <w:right w:val="single" w:color="auto" w:sz="4" w:space="0"/>
            </w:tcBorders>
            <w:vAlign w:val="center"/>
          </w:tcPr>
          <w:p w14:paraId="42727A61">
            <w:pPr>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1715" w:type="dxa"/>
            <w:tcBorders>
              <w:top w:val="single" w:color="auto" w:sz="4" w:space="0"/>
              <w:left w:val="single" w:color="auto" w:sz="4" w:space="0"/>
              <w:right w:val="single" w:color="auto" w:sz="4" w:space="0"/>
            </w:tcBorders>
            <w:vAlign w:val="center"/>
          </w:tcPr>
          <w:p w14:paraId="61DFE351">
            <w:pPr>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地点</w:t>
            </w:r>
          </w:p>
        </w:tc>
        <w:tc>
          <w:tcPr>
            <w:tcW w:w="1571" w:type="dxa"/>
            <w:tcBorders>
              <w:top w:val="single" w:color="auto" w:sz="4" w:space="0"/>
              <w:left w:val="single" w:color="auto" w:sz="4" w:space="0"/>
              <w:right w:val="single" w:color="auto" w:sz="4" w:space="0"/>
            </w:tcBorders>
            <w:vAlign w:val="center"/>
          </w:tcPr>
          <w:p w14:paraId="32E3B048">
            <w:pPr>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最高限价（元）</w:t>
            </w:r>
          </w:p>
        </w:tc>
        <w:tc>
          <w:tcPr>
            <w:tcW w:w="1729" w:type="dxa"/>
            <w:tcBorders>
              <w:top w:val="single" w:color="auto" w:sz="4" w:space="0"/>
              <w:left w:val="single" w:color="auto" w:sz="4" w:space="0"/>
              <w:right w:val="single" w:color="auto" w:sz="4" w:space="0"/>
            </w:tcBorders>
            <w:vAlign w:val="center"/>
          </w:tcPr>
          <w:p w14:paraId="7E74EA24">
            <w:pPr>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磋商保证金（元）</w:t>
            </w:r>
          </w:p>
        </w:tc>
        <w:tc>
          <w:tcPr>
            <w:tcW w:w="1846" w:type="dxa"/>
            <w:tcBorders>
              <w:top w:val="single" w:color="auto" w:sz="4" w:space="0"/>
              <w:left w:val="single" w:color="auto" w:sz="4" w:space="0"/>
              <w:right w:val="single" w:color="auto" w:sz="4" w:space="0"/>
            </w:tcBorders>
            <w:vAlign w:val="center"/>
          </w:tcPr>
          <w:p w14:paraId="32B31552">
            <w:pP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成交供应商数量（名）</w:t>
            </w:r>
          </w:p>
        </w:tc>
      </w:tr>
      <w:tr w14:paraId="3A94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20" w:type="dxa"/>
            <w:tcBorders>
              <w:top w:val="single" w:color="auto" w:sz="4" w:space="0"/>
              <w:left w:val="single" w:color="auto" w:sz="4" w:space="0"/>
              <w:right w:val="single" w:color="auto" w:sz="4" w:space="0"/>
            </w:tcBorders>
            <w:vAlign w:val="center"/>
          </w:tcPr>
          <w:p w14:paraId="14F6447D">
            <w:pPr>
              <w:jc w:val="left"/>
              <w:rPr>
                <w:rFonts w:ascii="宋体" w:hAnsi="宋体" w:cs="宋体"/>
                <w:color w:val="auto"/>
                <w:kern w:val="0"/>
                <w:sz w:val="18"/>
                <w:szCs w:val="18"/>
                <w:highlight w:val="none"/>
              </w:rPr>
            </w:pPr>
            <w:bookmarkStart w:id="8" w:name="_Hlk344477914"/>
            <w:r>
              <w:rPr>
                <w:rFonts w:hint="eastAsia" w:ascii="仿宋" w:hAnsi="仿宋" w:eastAsia="仿宋" w:cs="仿宋"/>
                <w:b/>
                <w:bCs/>
                <w:color w:val="auto"/>
                <w:sz w:val="18"/>
                <w:szCs w:val="18"/>
                <w:highlight w:val="none"/>
                <w:u w:val="single"/>
              </w:rPr>
              <w:t>重庆渝氢鸿运输服务有限公司氢燃料电池汽车202</w:t>
            </w:r>
            <w:r>
              <w:rPr>
                <w:rFonts w:hint="eastAsia" w:ascii="仿宋" w:hAnsi="仿宋" w:eastAsia="仿宋" w:cs="仿宋"/>
                <w:b/>
                <w:bCs/>
                <w:color w:val="auto"/>
                <w:sz w:val="18"/>
                <w:szCs w:val="18"/>
                <w:highlight w:val="none"/>
                <w:u w:val="single"/>
                <w:lang w:val="en-US" w:eastAsia="zh-CN"/>
              </w:rPr>
              <w:t>6</w:t>
            </w:r>
            <w:r>
              <w:rPr>
                <w:rFonts w:hint="eastAsia" w:ascii="仿宋" w:hAnsi="仿宋" w:eastAsia="仿宋" w:cs="仿宋"/>
                <w:b/>
                <w:bCs/>
                <w:color w:val="auto"/>
                <w:sz w:val="18"/>
                <w:szCs w:val="18"/>
                <w:highlight w:val="none"/>
                <w:u w:val="single"/>
              </w:rPr>
              <w:t>-202</w:t>
            </w:r>
            <w:r>
              <w:rPr>
                <w:rFonts w:hint="eastAsia" w:ascii="仿宋" w:hAnsi="仿宋" w:eastAsia="仿宋" w:cs="仿宋"/>
                <w:b/>
                <w:bCs/>
                <w:color w:val="auto"/>
                <w:sz w:val="18"/>
                <w:szCs w:val="18"/>
                <w:highlight w:val="none"/>
                <w:u w:val="single"/>
                <w:lang w:val="en-US" w:eastAsia="zh-CN"/>
              </w:rPr>
              <w:t>7</w:t>
            </w:r>
            <w:r>
              <w:rPr>
                <w:rFonts w:hint="eastAsia" w:ascii="仿宋" w:hAnsi="仿宋" w:eastAsia="仿宋" w:cs="仿宋"/>
                <w:b/>
                <w:bCs/>
                <w:color w:val="auto"/>
                <w:sz w:val="18"/>
                <w:szCs w:val="18"/>
                <w:highlight w:val="none"/>
                <w:u w:val="single"/>
              </w:rPr>
              <w:t>年</w:t>
            </w:r>
            <w:r>
              <w:rPr>
                <w:rFonts w:hint="eastAsia" w:ascii="仿宋" w:hAnsi="仿宋" w:eastAsia="仿宋" w:cs="仿宋"/>
                <w:b/>
                <w:bCs/>
                <w:color w:val="auto"/>
                <w:sz w:val="18"/>
                <w:szCs w:val="18"/>
                <w:highlight w:val="none"/>
                <w:u w:val="single"/>
                <w:lang w:eastAsia="zh-CN"/>
              </w:rPr>
              <w:t>（</w:t>
            </w:r>
            <w:r>
              <w:rPr>
                <w:rFonts w:hint="eastAsia" w:ascii="仿宋" w:hAnsi="仿宋" w:eastAsia="仿宋" w:cs="仿宋"/>
                <w:b/>
                <w:bCs/>
                <w:color w:val="auto"/>
                <w:sz w:val="18"/>
                <w:szCs w:val="18"/>
                <w:highlight w:val="none"/>
                <w:u w:val="single"/>
                <w:lang w:val="en-US" w:eastAsia="zh-CN"/>
              </w:rPr>
              <w:t>九龙坡区</w:t>
            </w:r>
            <w:r>
              <w:rPr>
                <w:rFonts w:hint="eastAsia" w:ascii="仿宋" w:hAnsi="仿宋" w:eastAsia="仿宋" w:cs="仿宋"/>
                <w:b/>
                <w:bCs/>
                <w:color w:val="auto"/>
                <w:sz w:val="18"/>
                <w:szCs w:val="18"/>
                <w:highlight w:val="none"/>
                <w:u w:val="single"/>
                <w:lang w:eastAsia="zh-CN"/>
              </w:rPr>
              <w:t>）</w:t>
            </w:r>
            <w:r>
              <w:rPr>
                <w:rFonts w:hint="eastAsia" w:ascii="仿宋" w:hAnsi="仿宋" w:eastAsia="仿宋" w:cs="仿宋"/>
                <w:b/>
                <w:bCs/>
                <w:color w:val="auto"/>
                <w:sz w:val="18"/>
                <w:szCs w:val="18"/>
                <w:highlight w:val="none"/>
                <w:u w:val="single"/>
              </w:rPr>
              <w:t>车辆维修服务供应商采购项目</w:t>
            </w:r>
          </w:p>
        </w:tc>
        <w:tc>
          <w:tcPr>
            <w:tcW w:w="1715" w:type="dxa"/>
            <w:tcBorders>
              <w:top w:val="single" w:color="auto" w:sz="4" w:space="0"/>
              <w:left w:val="single" w:color="auto" w:sz="4" w:space="0"/>
              <w:bottom w:val="single" w:color="auto" w:sz="4" w:space="0"/>
              <w:right w:val="single" w:color="auto" w:sz="4" w:space="0"/>
            </w:tcBorders>
            <w:vAlign w:val="center"/>
          </w:tcPr>
          <w:p w14:paraId="421B4C74">
            <w:pPr>
              <w:jc w:val="center"/>
              <w:rPr>
                <w:rFonts w:hint="default" w:ascii="宋体" w:hAnsi="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九龙坡区</w:t>
            </w:r>
          </w:p>
        </w:tc>
        <w:tc>
          <w:tcPr>
            <w:tcW w:w="1571" w:type="dxa"/>
            <w:tcBorders>
              <w:top w:val="single" w:color="auto" w:sz="4" w:space="0"/>
              <w:left w:val="single" w:color="auto" w:sz="4" w:space="0"/>
              <w:bottom w:val="single" w:color="auto" w:sz="4" w:space="0"/>
              <w:right w:val="single" w:color="auto" w:sz="4" w:space="0"/>
            </w:tcBorders>
            <w:vAlign w:val="center"/>
          </w:tcPr>
          <w:p w14:paraId="0F915D9C">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997797.00</w:t>
            </w:r>
          </w:p>
        </w:tc>
        <w:tc>
          <w:tcPr>
            <w:tcW w:w="1729" w:type="dxa"/>
            <w:tcBorders>
              <w:top w:val="single" w:color="auto" w:sz="4" w:space="0"/>
              <w:left w:val="single" w:color="auto" w:sz="4" w:space="0"/>
              <w:bottom w:val="single" w:color="auto" w:sz="4" w:space="0"/>
              <w:right w:val="single" w:color="auto" w:sz="4" w:space="0"/>
            </w:tcBorders>
            <w:vAlign w:val="center"/>
          </w:tcPr>
          <w:p w14:paraId="337BC927">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19000</w:t>
            </w:r>
          </w:p>
        </w:tc>
        <w:tc>
          <w:tcPr>
            <w:tcW w:w="1846" w:type="dxa"/>
            <w:tcBorders>
              <w:top w:val="single" w:color="auto" w:sz="4" w:space="0"/>
              <w:left w:val="single" w:color="auto" w:sz="4" w:space="0"/>
              <w:bottom w:val="single" w:color="auto" w:sz="4" w:space="0"/>
              <w:right w:val="single" w:color="auto" w:sz="4" w:space="0"/>
            </w:tcBorders>
            <w:vAlign w:val="center"/>
          </w:tcPr>
          <w:p w14:paraId="1EC5868D">
            <w:pPr>
              <w:jc w:val="center"/>
              <w:rPr>
                <w:rFonts w:hint="eastAsia" w:ascii="宋体" w:hAnsi="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1</w:t>
            </w:r>
          </w:p>
        </w:tc>
      </w:tr>
      <w:bookmarkEnd w:id="8"/>
    </w:tbl>
    <w:p w14:paraId="127AD99F">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9" w:name="_Toc76462318"/>
      <w:bookmarkStart w:id="10" w:name="_Toc106030872"/>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0EB12E9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业主自筹。</w:t>
      </w:r>
    </w:p>
    <w:p w14:paraId="6F4EB4BC">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3" w:name="_Toc106030873"/>
      <w:bookmarkStart w:id="14" w:name="_Toc76462319"/>
      <w:r>
        <w:rPr>
          <w:rFonts w:hint="eastAsia" w:ascii="宋体" w:hAnsi="宋体" w:eastAsia="宋体" w:cs="宋体"/>
          <w:color w:val="auto"/>
          <w:sz w:val="24"/>
          <w:highlight w:val="none"/>
        </w:rPr>
        <w:t>三、供应商资格条件</w:t>
      </w:r>
      <w:bookmarkEnd w:id="13"/>
      <w:bookmarkEnd w:id="14"/>
    </w:p>
    <w:p w14:paraId="2F6C8002">
      <w:pPr>
        <w:pStyle w:val="4"/>
        <w:adjustRightInd w:val="0"/>
        <w:snapToGrid w:val="0"/>
        <w:spacing w:before="0" w:after="0" w:line="400" w:lineRule="exact"/>
        <w:ind w:firstLine="480" w:firstLineChars="200"/>
        <w:rPr>
          <w:rFonts w:ascii="宋体" w:hAnsi="宋体" w:eastAsia="宋体" w:cs="宋体"/>
          <w:b w:val="0"/>
          <w:bCs/>
          <w:color w:val="auto"/>
          <w:sz w:val="24"/>
          <w:szCs w:val="24"/>
          <w:highlight w:val="none"/>
        </w:rPr>
      </w:pPr>
      <w:bookmarkStart w:id="15" w:name="_Toc76462320"/>
      <w:bookmarkStart w:id="16" w:name="_Toc106030874"/>
      <w:r>
        <w:rPr>
          <w:rFonts w:hint="eastAsia" w:ascii="宋体" w:hAnsi="宋体" w:eastAsia="宋体" w:cs="宋体"/>
          <w:b w:val="0"/>
          <w:bCs/>
          <w:color w:val="auto"/>
          <w:sz w:val="24"/>
          <w:szCs w:val="24"/>
          <w:highlight w:val="none"/>
        </w:rPr>
        <w:t>（一）基本资格条件：</w:t>
      </w:r>
    </w:p>
    <w:p w14:paraId="6D7C6609">
      <w:pPr>
        <w:pStyle w:val="4"/>
        <w:adjustRightInd w:val="0"/>
        <w:snapToGrid w:val="0"/>
        <w:spacing w:before="0" w:after="0" w:line="400" w:lineRule="exact"/>
        <w:ind w:firstLine="559" w:firstLineChars="233"/>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1.具有独立承担民事责任的能力；</w:t>
      </w:r>
    </w:p>
    <w:p w14:paraId="15C6CDDC">
      <w:pPr>
        <w:pStyle w:val="4"/>
        <w:adjustRightInd w:val="0"/>
        <w:snapToGrid w:val="0"/>
        <w:spacing w:before="0" w:after="0" w:line="400" w:lineRule="exact"/>
        <w:ind w:firstLine="559" w:firstLineChars="233"/>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2.具有良好的商业信誉和健全的财务会计制度；</w:t>
      </w:r>
    </w:p>
    <w:p w14:paraId="067515F4">
      <w:pPr>
        <w:pStyle w:val="4"/>
        <w:adjustRightInd w:val="0"/>
        <w:snapToGrid w:val="0"/>
        <w:spacing w:before="0" w:after="0" w:line="400" w:lineRule="exact"/>
        <w:ind w:firstLine="559" w:firstLineChars="233"/>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3.具有履行合同所必需的设备和专业技术能力；</w:t>
      </w:r>
    </w:p>
    <w:p w14:paraId="1F74872B">
      <w:pPr>
        <w:pStyle w:val="4"/>
        <w:adjustRightInd w:val="0"/>
        <w:snapToGrid w:val="0"/>
        <w:spacing w:before="0" w:after="0" w:line="400" w:lineRule="exact"/>
        <w:ind w:firstLine="559" w:firstLineChars="233"/>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4.有依法缴纳税收和社会保障资金的良好记录；</w:t>
      </w:r>
    </w:p>
    <w:p w14:paraId="1972A030">
      <w:pPr>
        <w:pStyle w:val="4"/>
        <w:adjustRightInd w:val="0"/>
        <w:snapToGrid w:val="0"/>
        <w:spacing w:before="0" w:after="0" w:line="400" w:lineRule="exact"/>
        <w:ind w:firstLine="559" w:firstLineChars="233"/>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5.参加本次采购活动前三年内，在经营活动中没有重大违法记录；</w:t>
      </w:r>
    </w:p>
    <w:p w14:paraId="7F4C1771">
      <w:pPr>
        <w:pStyle w:val="4"/>
        <w:adjustRightInd w:val="0"/>
        <w:snapToGrid w:val="0"/>
        <w:spacing w:before="0" w:after="0" w:line="400" w:lineRule="exact"/>
        <w:ind w:firstLine="559" w:firstLineChars="233"/>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6.法律、行政法规规定的其他条件。</w:t>
      </w:r>
    </w:p>
    <w:p w14:paraId="7C4AC77B">
      <w:pPr>
        <w:pStyle w:val="4"/>
        <w:adjustRightInd w:val="0"/>
        <w:snapToGrid w:val="0"/>
        <w:spacing w:before="0" w:after="0" w:line="400" w:lineRule="exact"/>
        <w:ind w:firstLine="559" w:firstLineChars="233"/>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（二）本项目的特定资格要求：</w:t>
      </w:r>
      <w:r>
        <w:rPr>
          <w:rFonts w:hint="eastAsia" w:ascii="宋体" w:hAnsi="宋体" w:eastAsia="宋体" w:cs="宋体"/>
          <w:b w:val="0"/>
          <w:bCs/>
          <w:color w:val="auto"/>
          <w:sz w:val="24"/>
          <w:szCs w:val="24"/>
          <w:highlight w:val="none"/>
          <w:lang w:val="en-US" w:eastAsia="zh-CN"/>
        </w:rPr>
        <w:t>交通运输部门颁发的二类汽车维修企业，需提供备案证明</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且供应商经营场地需为九龙坡区。</w:t>
      </w:r>
    </w:p>
    <w:p w14:paraId="44C324CD">
      <w:pPr>
        <w:pStyle w:val="4"/>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四、磋商有关说明</w:t>
      </w:r>
      <w:bookmarkEnd w:id="11"/>
      <w:bookmarkEnd w:id="15"/>
      <w:bookmarkEnd w:id="16"/>
    </w:p>
    <w:p w14:paraId="1EAADC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（一）凡有意参加磋商的供应商，请在行采家（https://www.gec123.com/）网上下载本项目竞争性磋商文件、澄清等开标前公布的所有项目资料，无论供应商领取或下载与否，均视为已知晓所有采购内容。</w:t>
      </w:r>
    </w:p>
    <w:p w14:paraId="1535467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（二）竞争性磋商公告期限：自采购公告发布之日起三个工作日。</w:t>
      </w:r>
    </w:p>
    <w:p w14:paraId="26AF4CE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（三）竞争性磋商文件发售期限： </w:t>
      </w:r>
    </w:p>
    <w:p w14:paraId="218D943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1.竞争性磋商文件发售期：</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rPr>
        <w:t>。</w:t>
      </w:r>
    </w:p>
    <w:p w14:paraId="63504FC9">
      <w:pPr>
        <w:tabs>
          <w:tab w:val="left" w:pos="3840"/>
          <w:tab w:val="left" w:pos="5300"/>
        </w:tabs>
        <w:autoSpaceDE w:val="0"/>
        <w:autoSpaceDN w:val="0"/>
        <w:adjustRightInd w:val="0"/>
        <w:snapToGrid w:val="0"/>
        <w:spacing w:line="460" w:lineRule="exact"/>
        <w:ind w:firstLine="480" w:firstLineChars="200"/>
        <w:jc w:val="left"/>
        <w:rPr>
          <w:rFonts w:ascii="宋体" w:hAnsi="宋体"/>
          <w:snapToGrid w:val="0"/>
          <w:color w:val="auto"/>
          <w:kern w:val="0"/>
          <w:szCs w:val="21"/>
          <w:highlight w:val="none"/>
        </w:rPr>
      </w:pPr>
      <w:r>
        <w:rPr>
          <w:rFonts w:hint="eastAsia" w:ascii="宋体" w:hAnsi="宋体" w:cs="宋体"/>
          <w:color w:val="auto"/>
          <w:sz w:val="24"/>
          <w:szCs w:val="24"/>
          <w:highlight w:val="none"/>
        </w:rPr>
        <w:t>2.报名方式：</w:t>
      </w:r>
      <w:r>
        <w:rPr>
          <w:rFonts w:hint="eastAsia" w:ascii="宋体" w:hAnsi="宋体" w:cs="宋体"/>
          <w:snapToGrid w:val="0"/>
          <w:color w:val="auto"/>
          <w:kern w:val="0"/>
          <w:sz w:val="24"/>
          <w:szCs w:val="24"/>
          <w:highlight w:val="none"/>
        </w:rPr>
        <w:t>本项目采取现场报名方式，请各供应商于</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w:t>
      </w:r>
      <w:r>
        <w:rPr>
          <w:rFonts w:hint="eastAsia" w:ascii="宋体" w:hAnsi="宋体" w:cs="宋体"/>
          <w:snapToGrid w:val="0"/>
          <w:color w:val="auto"/>
          <w:kern w:val="0"/>
          <w:sz w:val="24"/>
          <w:szCs w:val="24"/>
          <w:highlight w:val="none"/>
        </w:rPr>
        <w:t>上午9:00时至12：00时，下午14：00时至17：00时（北京时间，下同），持</w:t>
      </w:r>
      <w:r>
        <w:rPr>
          <w:rFonts w:hint="eastAsia" w:ascii="宋体" w:hAnsi="宋体" w:cs="宋体"/>
          <w:b/>
          <w:bCs/>
          <w:snapToGrid w:val="0"/>
          <w:color w:val="auto"/>
          <w:kern w:val="0"/>
          <w:sz w:val="24"/>
          <w:szCs w:val="24"/>
          <w:highlight w:val="none"/>
        </w:rPr>
        <w:t>营业执照</w:t>
      </w:r>
      <w:r>
        <w:rPr>
          <w:rFonts w:hint="eastAsia"/>
          <w:color w:val="auto"/>
          <w:sz w:val="24"/>
          <w:szCs w:val="24"/>
          <w:highlight w:val="none"/>
          <w:lang w:val="en-US" w:eastAsia="zh-CN"/>
        </w:rPr>
        <w:t>复印件</w:t>
      </w:r>
      <w:r>
        <w:rPr>
          <w:rFonts w:hint="eastAsia" w:ascii="宋体" w:hAnsi="宋体" w:cs="宋体"/>
          <w:b/>
          <w:bCs/>
          <w:snapToGrid w:val="0"/>
          <w:color w:val="auto"/>
          <w:kern w:val="0"/>
          <w:sz w:val="24"/>
          <w:szCs w:val="24"/>
          <w:highlight w:val="none"/>
        </w:rPr>
        <w:t>、委托代理人身份证复印件（加盖供应商单位公章）和授权委托书原件</w:t>
      </w:r>
      <w:r>
        <w:rPr>
          <w:rFonts w:hint="eastAsia" w:ascii="宋体" w:hAnsi="宋体" w:cs="宋体"/>
          <w:snapToGrid w:val="0"/>
          <w:color w:val="auto"/>
          <w:kern w:val="0"/>
          <w:sz w:val="24"/>
          <w:szCs w:val="24"/>
          <w:highlight w:val="none"/>
        </w:rPr>
        <w:t>，在</w:t>
      </w:r>
      <w:r>
        <w:rPr>
          <w:rFonts w:hint="eastAsia" w:ascii="宋体" w:hAnsi="宋体" w:cs="宋体"/>
          <w:color w:val="auto"/>
          <w:sz w:val="24"/>
          <w:szCs w:val="24"/>
          <w:highlight w:val="none"/>
        </w:rPr>
        <w:t>重庆市江北区北滨路君豪大饭店商务楼12楼（1201室）</w:t>
      </w:r>
      <w:r>
        <w:rPr>
          <w:rFonts w:hint="eastAsia" w:ascii="宋体" w:hAnsi="宋体" w:cs="宋体"/>
          <w:snapToGrid w:val="0"/>
          <w:color w:val="auto"/>
          <w:kern w:val="0"/>
          <w:sz w:val="24"/>
          <w:szCs w:val="24"/>
          <w:highlight w:val="none"/>
        </w:rPr>
        <w:t>报名并购买磋商文件。</w:t>
      </w:r>
    </w:p>
    <w:p w14:paraId="3B72C64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3.竞争性磋商文件售价：人民币500元，售后不退。</w:t>
      </w:r>
    </w:p>
    <w:p w14:paraId="765586E6">
      <w:pPr>
        <w:spacing w:line="400" w:lineRule="exact"/>
        <w:ind w:left="14" w:leftChars="5" w:firstLine="460" w:firstLineChars="191"/>
        <w:rPr>
          <w:rFonts w:ascii="宋体" w:hAnsi="宋体" w:cs="宋体"/>
          <w:b/>
          <w:bCs/>
          <w:color w:val="auto"/>
          <w:sz w:val="24"/>
          <w:szCs w:val="24"/>
          <w:highlight w:val="none"/>
        </w:rPr>
      </w:pPr>
      <w:r>
        <w:rPr>
          <w:rFonts w:hint="eastAsia" w:ascii="宋体" w:hAnsi="宋体" w:cs="宋体"/>
          <w:b/>
          <w:bCs/>
          <w:color w:val="auto"/>
          <w:sz w:val="24"/>
          <w:szCs w:val="24"/>
          <w:highlight w:val="none"/>
        </w:rPr>
        <w:t>4、在报名及竞争性磋商文件发售期内购买了竞争性磋商文件的供应商，其响应文件才能被接收。</w:t>
      </w:r>
    </w:p>
    <w:p w14:paraId="6549DCB9">
      <w:pPr>
        <w:spacing w:line="400" w:lineRule="exact"/>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（一）递交响应文件地点：重庆市江北区北滨路君豪大饭店商务楼12楼（1201室）</w:t>
      </w:r>
    </w:p>
    <w:p w14:paraId="3C2630A0">
      <w:pPr>
        <w:spacing w:line="400" w:lineRule="exact"/>
        <w:ind w:firstLine="559" w:firstLineChars="23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（二）响应文件递交开始时间：202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日北京时间09:30</w:t>
      </w:r>
      <w:r>
        <w:rPr>
          <w:rFonts w:hint="eastAsia" w:ascii="宋体" w:hAnsi="宋体" w:cs="宋体"/>
          <w:color w:val="auto"/>
          <w:sz w:val="24"/>
          <w:szCs w:val="24"/>
          <w:highlight w:val="none"/>
          <w:lang w:eastAsia="zh-CN"/>
        </w:rPr>
        <w:t>。</w:t>
      </w:r>
    </w:p>
    <w:p w14:paraId="33A82FD9">
      <w:pPr>
        <w:spacing w:line="400" w:lineRule="exact"/>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（三）响应文件递交截止时间：202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日北京时间10:00</w:t>
      </w:r>
      <w:r>
        <w:rPr>
          <w:rFonts w:hint="eastAsia" w:ascii="宋体" w:hAnsi="宋体" w:cs="宋体"/>
          <w:color w:val="auto"/>
          <w:sz w:val="24"/>
          <w:szCs w:val="24"/>
          <w:highlight w:val="none"/>
          <w:lang w:val="en-US" w:eastAsia="zh-CN"/>
        </w:rPr>
        <w:t>。</w:t>
      </w:r>
    </w:p>
    <w:p w14:paraId="1C97C36E">
      <w:pPr>
        <w:spacing w:line="400" w:lineRule="exact"/>
        <w:ind w:firstLine="559" w:firstLineChars="233"/>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（四）磋商开始时间：202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日北京时间10:00</w:t>
      </w:r>
      <w:r>
        <w:rPr>
          <w:rFonts w:hint="eastAsia" w:ascii="宋体" w:hAnsi="宋体" w:cs="宋体"/>
          <w:color w:val="auto"/>
          <w:sz w:val="24"/>
          <w:szCs w:val="24"/>
          <w:highlight w:val="none"/>
          <w:lang w:val="en-US" w:eastAsia="zh-CN"/>
        </w:rPr>
        <w:t>。</w:t>
      </w:r>
    </w:p>
    <w:p w14:paraId="39E96503">
      <w:pPr>
        <w:snapToGrid w:val="0"/>
        <w:spacing w:line="400" w:lineRule="exact"/>
        <w:ind w:firstLine="480" w:firstLineChars="200"/>
        <w:rPr>
          <w:rFonts w:ascii="宋体" w:hAnsi="宋体" w:cs="宋体"/>
          <w:color w:val="auto"/>
          <w:sz w:val="24"/>
          <w:highlight w:val="none"/>
        </w:rPr>
      </w:pPr>
      <w:bookmarkStart w:id="17" w:name="_Toc76462321"/>
      <w:bookmarkStart w:id="18" w:name="_Toc373860294"/>
      <w:bookmarkStart w:id="19" w:name="_Toc106030875"/>
      <w:r>
        <w:rPr>
          <w:rFonts w:hint="eastAsia" w:ascii="宋体" w:hAnsi="宋体" w:cs="宋体"/>
          <w:color w:val="auto"/>
          <w:sz w:val="24"/>
          <w:highlight w:val="none"/>
        </w:rPr>
        <w:t>五、</w:t>
      </w:r>
      <w:bookmarkEnd w:id="12"/>
      <w:bookmarkEnd w:id="17"/>
      <w:bookmarkEnd w:id="18"/>
      <w:bookmarkEnd w:id="19"/>
      <w:r>
        <w:rPr>
          <w:rFonts w:hint="eastAsia" w:ascii="宋体" w:hAnsi="宋体" w:cs="宋体"/>
          <w:color w:val="auto"/>
          <w:sz w:val="24"/>
          <w:highlight w:val="none"/>
        </w:rPr>
        <w:t>磋商保证金</w:t>
      </w:r>
    </w:p>
    <w:p w14:paraId="1BCDDC37">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（一）磋商保证金递交</w:t>
      </w:r>
    </w:p>
    <w:p w14:paraId="5F3E5DC4">
      <w:pPr>
        <w:widowControl/>
        <w:snapToGrid w:val="0"/>
        <w:spacing w:line="460" w:lineRule="exact"/>
        <w:ind w:firstLine="420"/>
        <w:rPr>
          <w:color w:val="auto"/>
          <w:sz w:val="24"/>
          <w:highlight w:val="none"/>
        </w:rPr>
      </w:pPr>
      <w:r>
        <w:rPr>
          <w:rFonts w:hint="eastAsia"/>
          <w:color w:val="auto"/>
          <w:sz w:val="24"/>
          <w:highlight w:val="none"/>
        </w:rPr>
        <w:t>磋商保证金专用账户如下：</w:t>
      </w:r>
    </w:p>
    <w:p w14:paraId="34FA5993">
      <w:pPr>
        <w:widowControl/>
        <w:snapToGrid w:val="0"/>
        <w:spacing w:line="460" w:lineRule="exact"/>
        <w:ind w:firstLine="420"/>
        <w:rPr>
          <w:rFonts w:hint="default" w:eastAsia="宋体"/>
          <w:color w:val="auto"/>
          <w:sz w:val="24"/>
          <w:highlight w:val="none"/>
          <w:lang w:val="en-US" w:eastAsia="zh-CN"/>
        </w:rPr>
      </w:pPr>
      <w:r>
        <w:rPr>
          <w:rFonts w:hint="eastAsia"/>
          <w:color w:val="auto"/>
          <w:sz w:val="24"/>
          <w:highlight w:val="none"/>
        </w:rPr>
        <w:t>户  </w:t>
      </w:r>
      <w:r>
        <w:rPr>
          <w:rFonts w:hint="eastAsia" w:ascii="Times New Roman" w:hAnsi="Times New Roman" w:eastAsia="宋体" w:cs="Times New Roman"/>
          <w:color w:val="auto"/>
          <w:sz w:val="24"/>
          <w:highlight w:val="none"/>
        </w:rPr>
        <w:t>名：</w:t>
      </w:r>
      <w:r>
        <w:rPr>
          <w:rFonts w:hint="eastAsia" w:ascii="Times New Roman" w:hAnsi="Times New Roman" w:eastAsia="宋体" w:cs="Times New Roman"/>
          <w:color w:val="auto"/>
          <w:sz w:val="24"/>
          <w:highlight w:val="none"/>
          <w:lang w:val="en-US" w:eastAsia="zh-CN"/>
        </w:rPr>
        <w:t>明科建设咨询</w:t>
      </w:r>
      <w:r>
        <w:rPr>
          <w:rFonts w:hint="eastAsia" w:ascii="Times New Roman" w:hAnsi="Times New Roman" w:eastAsia="宋体" w:cs="Times New Roman"/>
          <w:color w:val="auto"/>
          <w:sz w:val="24"/>
          <w:highlight w:val="none"/>
        </w:rPr>
        <w:t>有限公司</w:t>
      </w:r>
      <w:r>
        <w:rPr>
          <w:rFonts w:hint="eastAsia" w:ascii="Times New Roman" w:hAnsi="Times New Roman" w:eastAsia="宋体" w:cs="Times New Roman"/>
          <w:color w:val="auto"/>
          <w:sz w:val="24"/>
          <w:highlight w:val="none"/>
          <w:lang w:val="en-US" w:eastAsia="zh-CN"/>
        </w:rPr>
        <w:t xml:space="preserve"> </w:t>
      </w:r>
      <w:r>
        <w:rPr>
          <w:rFonts w:hint="eastAsia"/>
          <w:color w:val="auto"/>
          <w:sz w:val="24"/>
          <w:highlight w:val="none"/>
          <w:lang w:val="en-US" w:eastAsia="zh-CN"/>
        </w:rPr>
        <w:t xml:space="preserve">           </w:t>
      </w:r>
    </w:p>
    <w:p w14:paraId="6058AAFD">
      <w:pPr>
        <w:widowControl/>
        <w:snapToGrid w:val="0"/>
        <w:spacing w:line="460" w:lineRule="exact"/>
        <w:ind w:firstLine="420"/>
        <w:rPr>
          <w:rFonts w:hint="default" w:eastAsia="宋体"/>
          <w:color w:val="auto"/>
          <w:sz w:val="24"/>
          <w:highlight w:val="none"/>
          <w:lang w:val="en-US" w:eastAsia="zh-CN"/>
        </w:rPr>
      </w:pPr>
      <w:r>
        <w:rPr>
          <w:rFonts w:hint="eastAsia"/>
          <w:color w:val="auto"/>
          <w:sz w:val="24"/>
          <w:highlight w:val="none"/>
        </w:rPr>
        <w:t>开户</w:t>
      </w:r>
      <w:r>
        <w:rPr>
          <w:rFonts w:hint="eastAsia" w:ascii="Times New Roman" w:hAnsi="Times New Roman" w:eastAsia="宋体" w:cs="Times New Roman"/>
          <w:color w:val="auto"/>
          <w:sz w:val="24"/>
          <w:highlight w:val="none"/>
        </w:rPr>
        <w:t>行：招商银行股份有限公司重庆观音桥支行</w:t>
      </w:r>
      <w:r>
        <w:rPr>
          <w:rFonts w:hint="eastAsia" w:ascii="Times New Roman" w:hAnsi="Times New Roman" w:eastAsia="宋体" w:cs="Times New Roman"/>
          <w:color w:val="auto"/>
          <w:sz w:val="24"/>
          <w:highlight w:val="none"/>
          <w:lang w:val="en-US" w:eastAsia="zh-CN"/>
        </w:rPr>
        <w:t xml:space="preserve">  </w:t>
      </w:r>
      <w:r>
        <w:rPr>
          <w:rFonts w:hint="eastAsia"/>
          <w:color w:val="auto"/>
          <w:sz w:val="24"/>
          <w:highlight w:val="none"/>
          <w:lang w:val="en-US" w:eastAsia="zh-CN"/>
        </w:rPr>
        <w:t xml:space="preserve">          </w:t>
      </w:r>
    </w:p>
    <w:p w14:paraId="272C5A94">
      <w:pPr>
        <w:widowControl/>
        <w:spacing w:line="460" w:lineRule="exact"/>
        <w:ind w:firstLine="420"/>
        <w:rPr>
          <w:rFonts w:ascii="宋体" w:hAnsi="宋体" w:cs="宋体"/>
          <w:color w:val="auto"/>
          <w:sz w:val="24"/>
          <w:szCs w:val="24"/>
          <w:highlight w:val="none"/>
        </w:rPr>
      </w:pPr>
      <w:r>
        <w:rPr>
          <w:rFonts w:hint="eastAsia"/>
          <w:color w:val="auto"/>
          <w:sz w:val="24"/>
          <w:highlight w:val="none"/>
          <w:lang w:eastAsia="zh-CN"/>
        </w:rPr>
        <w:t>磋商</w:t>
      </w:r>
      <w:r>
        <w:rPr>
          <w:rFonts w:hint="eastAsia"/>
          <w:color w:val="auto"/>
          <w:sz w:val="24"/>
          <w:highlight w:val="none"/>
        </w:rPr>
        <w:t>保</w:t>
      </w:r>
      <w:r>
        <w:rPr>
          <w:rFonts w:hint="eastAsia" w:ascii="Times New Roman" w:hAnsi="Times New Roman" w:eastAsia="宋体" w:cs="Times New Roman"/>
          <w:color w:val="auto"/>
          <w:sz w:val="24"/>
          <w:highlight w:val="none"/>
        </w:rPr>
        <w:t>证金账号：</w:t>
      </w:r>
      <w:r>
        <w:rPr>
          <w:rFonts w:hint="default" w:ascii="Times New Roman" w:hAnsi="Times New Roman" w:eastAsia="宋体" w:cs="Times New Roman"/>
          <w:color w:val="auto"/>
          <w:sz w:val="24"/>
          <w:highlight w:val="none"/>
        </w:rPr>
        <w:t>123918378310001</w:t>
      </w:r>
      <w:r>
        <w:rPr>
          <w:rFonts w:hint="eastAsia" w:ascii="Times New Roman" w:hAnsi="Times New Roman" w:eastAsia="宋体" w:cs="Times New Roman"/>
          <w:color w:val="auto"/>
          <w:sz w:val="24"/>
          <w:highlight w:val="none"/>
          <w:lang w:val="en-US" w:eastAsia="zh-CN"/>
        </w:rPr>
        <w:t xml:space="preserve"> </w:t>
      </w:r>
      <w:r>
        <w:rPr>
          <w:rFonts w:hint="eastAsia"/>
          <w:color w:val="auto"/>
          <w:sz w:val="24"/>
          <w:highlight w:val="none"/>
        </w:rPr>
        <w:t xml:space="preserve">             </w:t>
      </w:r>
    </w:p>
    <w:p w14:paraId="7D4FAB8D">
      <w:pPr>
        <w:widowControl/>
        <w:spacing w:line="46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保证金到账截止时间：响应文件递交截止时间前；</w:t>
      </w:r>
    </w:p>
    <w:p w14:paraId="23AAD62A">
      <w:pPr>
        <w:snapToGrid w:val="0"/>
        <w:spacing w:line="400" w:lineRule="exact"/>
        <w:ind w:firstLine="420"/>
        <w:rPr>
          <w:rFonts w:ascii="宋体" w:hAnsi="宋体" w:cs="宋体"/>
          <w:color w:val="auto"/>
          <w:sz w:val="24"/>
          <w:highlight w:val="none"/>
        </w:rPr>
      </w:pPr>
      <w:r>
        <w:rPr>
          <w:rFonts w:hint="eastAsia" w:ascii="宋体" w:hAnsi="宋体" w:cs="宋体"/>
          <w:color w:val="auto"/>
          <w:sz w:val="24"/>
          <w:szCs w:val="24"/>
          <w:highlight w:val="none"/>
        </w:rPr>
        <w:t>转款备注：</w:t>
      </w:r>
      <w:r>
        <w:rPr>
          <w:rFonts w:hint="eastAsia" w:ascii="仿宋" w:hAnsi="仿宋" w:eastAsia="仿宋" w:cs="仿宋"/>
          <w:b/>
          <w:bCs/>
          <w:color w:val="auto"/>
          <w:sz w:val="24"/>
          <w:szCs w:val="24"/>
          <w:highlight w:val="none"/>
          <w:u w:val="single"/>
        </w:rPr>
        <w:t>重庆渝氢鸿运输服务有限公司氢燃料电池汽车202</w:t>
      </w:r>
      <w:r>
        <w:rPr>
          <w:rFonts w:hint="eastAsia" w:ascii="仿宋" w:hAnsi="仿宋" w:eastAsia="仿宋" w:cs="仿宋"/>
          <w:b/>
          <w:bCs/>
          <w:color w:val="auto"/>
          <w:sz w:val="24"/>
          <w:szCs w:val="24"/>
          <w:highlight w:val="none"/>
          <w:u w:val="single"/>
          <w:lang w:val="en-US" w:eastAsia="zh-CN"/>
        </w:rPr>
        <w:t>6</w:t>
      </w:r>
      <w:r>
        <w:rPr>
          <w:rFonts w:hint="eastAsia" w:ascii="仿宋" w:hAnsi="仿宋" w:eastAsia="仿宋" w:cs="仿宋"/>
          <w:b/>
          <w:bCs/>
          <w:color w:val="auto"/>
          <w:sz w:val="24"/>
          <w:szCs w:val="24"/>
          <w:highlight w:val="none"/>
          <w:u w:val="single"/>
        </w:rPr>
        <w:t>-202</w:t>
      </w:r>
      <w:r>
        <w:rPr>
          <w:rFonts w:hint="eastAsia" w:ascii="仿宋" w:hAnsi="仿宋" w:eastAsia="仿宋" w:cs="仿宋"/>
          <w:b/>
          <w:bCs/>
          <w:color w:val="auto"/>
          <w:sz w:val="24"/>
          <w:szCs w:val="24"/>
          <w:highlight w:val="none"/>
          <w:u w:val="single"/>
          <w:lang w:val="en-US" w:eastAsia="zh-CN"/>
        </w:rPr>
        <w:t>7</w:t>
      </w:r>
      <w:r>
        <w:rPr>
          <w:rFonts w:hint="eastAsia" w:ascii="仿宋" w:hAnsi="仿宋" w:eastAsia="仿宋" w:cs="仿宋"/>
          <w:b/>
          <w:bCs/>
          <w:color w:val="auto"/>
          <w:sz w:val="24"/>
          <w:szCs w:val="24"/>
          <w:highlight w:val="none"/>
          <w:u w:val="single"/>
        </w:rPr>
        <w:t>年</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九龙坡区</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车辆维修服务供应商采购项目</w:t>
      </w:r>
      <w:r>
        <w:rPr>
          <w:rFonts w:hint="eastAsia" w:ascii="宋体" w:hAnsi="宋体" w:cs="宋体"/>
          <w:color w:val="auto"/>
          <w:sz w:val="24"/>
          <w:szCs w:val="24"/>
          <w:highlight w:val="none"/>
        </w:rPr>
        <w:t>磋商保证金(可简写)。</w:t>
      </w:r>
    </w:p>
    <w:p w14:paraId="7BF60A8A">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1.各供应商在银行转账（电汇）时，须充分考虑银行转账（电汇）的时间差风险，如同城转账、异地转账或汇款、跨行转账或电汇的时间要求。</w:t>
      </w:r>
    </w:p>
    <w:p w14:paraId="690EC2F6">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2.各供应商在递交保证金时，到款账户为上述指定的保证金专用账户，来款账户必须为本公司对公账户。</w:t>
      </w:r>
    </w:p>
    <w:p w14:paraId="0F02E7C2">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（二）磋商保证金退还方式</w:t>
      </w:r>
    </w:p>
    <w:p w14:paraId="0751E0BC">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1.未成交供应商的保证金，在成交通知书发放后，在五个工作日内按来款渠道无息全额退还。</w:t>
      </w:r>
    </w:p>
    <w:p w14:paraId="17DF292B">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2.成交供应商的保证金，在成交供应商与采购人签订合同后，在五个工作日内按资金来款无息全额退还。</w:t>
      </w:r>
    </w:p>
    <w:p w14:paraId="4833A3E9">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（三）供应商有下列情形之一的，采购人或者采购代理机构可以不退还磋商保证金：</w:t>
      </w:r>
    </w:p>
    <w:p w14:paraId="7E781BDD">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1.供应商在采购磋商有效期撤回响应文件的；</w:t>
      </w:r>
    </w:p>
    <w:p w14:paraId="6CA8F509">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2.供应商未按规定提交履约保证金的；</w:t>
      </w:r>
    </w:p>
    <w:p w14:paraId="7AC31979">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3.供应商在采购磋商过程中弄虚作假，提供虚假材料的；</w:t>
      </w:r>
    </w:p>
    <w:p w14:paraId="762F141A">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4.成交供应商无正当理由不与采购人签订合同的；</w:t>
      </w:r>
    </w:p>
    <w:p w14:paraId="4E550EB7">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5.成交供应商将成交项目转让给他人或者在响应文件中未说明且未经采购人同意，将成交项目分包给他人的；</w:t>
      </w:r>
    </w:p>
    <w:p w14:paraId="31B09C56">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6.成交供应商拒绝履行合同义务的；</w:t>
      </w:r>
    </w:p>
    <w:p w14:paraId="5EC0077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7.其他严重扰乱招采购措施程序的。</w:t>
      </w:r>
    </w:p>
    <w:p w14:paraId="428F3E00">
      <w:pPr>
        <w:pStyle w:val="4"/>
        <w:adjustRightInd w:val="0"/>
        <w:snapToGrid w:val="0"/>
        <w:spacing w:before="0" w:after="0" w:line="400" w:lineRule="exact"/>
        <w:ind w:firstLine="482" w:firstLineChars="200"/>
        <w:rPr>
          <w:rFonts w:cs="宋体"/>
          <w:bCs/>
          <w:color w:val="auto"/>
          <w:sz w:val="24"/>
          <w:szCs w:val="24"/>
          <w:highlight w:val="none"/>
        </w:rPr>
      </w:pPr>
      <w:bookmarkStart w:id="20" w:name="_Toc106030876"/>
      <w:bookmarkStart w:id="21" w:name="_Toc480466699"/>
      <w:bookmarkStart w:id="22" w:name="_Toc76462322"/>
      <w:r>
        <w:rPr>
          <w:rFonts w:hint="eastAsia" w:ascii="宋体" w:hAnsi="宋体" w:eastAsia="宋体" w:cs="宋体"/>
          <w:color w:val="auto"/>
          <w:sz w:val="24"/>
          <w:highlight w:val="none"/>
        </w:rPr>
        <w:t>（四）</w:t>
      </w:r>
      <w:r>
        <w:rPr>
          <w:rFonts w:hint="eastAsia" w:cs="宋体"/>
          <w:bCs/>
          <w:color w:val="auto"/>
          <w:sz w:val="24"/>
          <w:szCs w:val="24"/>
          <w:highlight w:val="none"/>
        </w:rPr>
        <w:t>履约保证金</w:t>
      </w:r>
    </w:p>
    <w:p w14:paraId="183ED73C">
      <w:pPr>
        <w:rPr>
          <w:color w:val="auto"/>
          <w:highlight w:val="none"/>
        </w:rPr>
      </w:pPr>
      <w:r>
        <w:rPr>
          <w:rFonts w:hint="eastAsia" w:cs="宋体"/>
          <w:b/>
          <w:bCs/>
          <w:color w:val="auto"/>
          <w:sz w:val="24"/>
          <w:szCs w:val="24"/>
          <w:highlight w:val="none"/>
        </w:rPr>
        <w:t xml:space="preserve"> </w:t>
      </w:r>
      <w:r>
        <w:rPr>
          <w:rFonts w:hint="eastAsia" w:ascii="宋体" w:hAnsi="宋体" w:cs="宋体"/>
          <w:color w:val="auto"/>
          <w:kern w:val="0"/>
          <w:sz w:val="24"/>
          <w:szCs w:val="24"/>
          <w:highlight w:val="none"/>
        </w:rPr>
        <w:t xml:space="preserve">   </w:t>
      </w:r>
      <w:r>
        <w:rPr>
          <w:rFonts w:hint="eastAsia" w:cs="宋体"/>
          <w:b/>
          <w:bCs/>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rPr>
        <w:t>应</w:t>
      </w:r>
      <w:r>
        <w:rPr>
          <w:rFonts w:hint="eastAsia" w:ascii="宋体" w:hAnsi="宋体" w:cs="宋体"/>
          <w:color w:val="auto"/>
          <w:kern w:val="0"/>
          <w:sz w:val="24"/>
          <w:szCs w:val="24"/>
          <w:highlight w:val="none"/>
        </w:rPr>
        <w:t>自</w:t>
      </w:r>
      <w:r>
        <w:rPr>
          <w:rFonts w:hint="eastAsia" w:ascii="宋体" w:hAnsi="宋体" w:eastAsia="宋体" w:cs="宋体"/>
          <w:color w:val="auto"/>
          <w:sz w:val="24"/>
          <w:highlight w:val="none"/>
          <w:lang w:eastAsia="zh-CN"/>
        </w:rPr>
        <w:t>成交</w:t>
      </w:r>
      <w:r>
        <w:rPr>
          <w:rFonts w:hint="eastAsia" w:ascii="宋体" w:hAnsi="宋体" w:cs="宋体"/>
          <w:color w:val="auto"/>
          <w:kern w:val="0"/>
          <w:sz w:val="24"/>
          <w:szCs w:val="24"/>
          <w:highlight w:val="none"/>
        </w:rPr>
        <w:t>通知书发出之日起30日内且在正式合同签订之前，向重庆渝氢鸿运输服务有限公司缴纳履约保证金，履约担保金额为</w:t>
      </w:r>
      <w:r>
        <w:rPr>
          <w:rFonts w:hint="eastAsia" w:ascii="宋体" w:hAnsi="宋体" w:cs="宋体"/>
          <w:color w:val="auto"/>
          <w:sz w:val="24"/>
          <w:highlight w:val="none"/>
          <w:lang w:val="en-US" w:eastAsia="zh-CN"/>
        </w:rPr>
        <w:t>1万元人民币</w:t>
      </w:r>
      <w:r>
        <w:rPr>
          <w:rFonts w:hint="eastAsia" w:ascii="宋体" w:hAnsi="宋体" w:cs="宋体"/>
          <w:color w:val="auto"/>
          <w:kern w:val="0"/>
          <w:sz w:val="24"/>
          <w:szCs w:val="24"/>
          <w:highlight w:val="none"/>
        </w:rPr>
        <w:t>，</w:t>
      </w:r>
      <w:r>
        <w:rPr>
          <w:rFonts w:hint="eastAsia" w:ascii="宋体" w:hAnsi="宋体" w:eastAsia="宋体" w:cs="宋体"/>
          <w:color w:val="auto"/>
          <w:sz w:val="24"/>
          <w:highlight w:val="none"/>
          <w:lang w:eastAsia="zh-CN"/>
        </w:rPr>
        <w:t>成交供应商</w:t>
      </w:r>
      <w:r>
        <w:rPr>
          <w:rFonts w:hint="eastAsia" w:ascii="宋体" w:hAnsi="宋体" w:cs="宋体"/>
          <w:color w:val="auto"/>
          <w:kern w:val="0"/>
          <w:sz w:val="24"/>
          <w:szCs w:val="24"/>
          <w:highlight w:val="none"/>
        </w:rPr>
        <w:t>以转账形式提交，履约保证金在</w:t>
      </w:r>
      <w:r>
        <w:rPr>
          <w:rFonts w:hint="eastAsia" w:ascii="宋体" w:hAnsi="宋体" w:cs="宋体"/>
          <w:color w:val="auto"/>
          <w:kern w:val="0"/>
          <w:sz w:val="24"/>
          <w:szCs w:val="24"/>
          <w:highlight w:val="none"/>
          <w:lang w:val="en-US" w:eastAsia="zh-CN"/>
        </w:rPr>
        <w:t>合同履行完</w:t>
      </w:r>
      <w:r>
        <w:rPr>
          <w:rFonts w:hint="eastAsia" w:ascii="宋体" w:hAnsi="宋体" w:cs="宋体"/>
          <w:color w:val="auto"/>
          <w:kern w:val="0"/>
          <w:sz w:val="24"/>
          <w:szCs w:val="24"/>
          <w:highlight w:val="none"/>
        </w:rPr>
        <w:t>后5个工作日内无息退还至汇入的原账号。</w:t>
      </w:r>
      <w:r>
        <w:rPr>
          <w:rFonts w:hint="eastAsia" w:ascii="宋体" w:hAnsi="宋体" w:eastAsia="宋体" w:cs="宋体"/>
          <w:color w:val="auto"/>
          <w:sz w:val="24"/>
          <w:highlight w:val="none"/>
          <w:lang w:eastAsia="zh-CN"/>
        </w:rPr>
        <w:t>成交供应商</w:t>
      </w:r>
      <w:r>
        <w:rPr>
          <w:rFonts w:hint="eastAsia" w:ascii="宋体" w:hAnsi="宋体" w:cs="宋体"/>
          <w:color w:val="auto"/>
          <w:kern w:val="0"/>
          <w:sz w:val="24"/>
          <w:szCs w:val="24"/>
          <w:highlight w:val="none"/>
        </w:rPr>
        <w:t>不按约定缴纳履约保证金的，视为放弃</w:t>
      </w:r>
      <w:r>
        <w:rPr>
          <w:rFonts w:hint="eastAsia" w:ascii="宋体" w:hAnsi="宋体" w:eastAsia="宋体" w:cs="宋体"/>
          <w:color w:val="auto"/>
          <w:sz w:val="24"/>
          <w:highlight w:val="none"/>
          <w:lang w:eastAsia="zh-CN"/>
        </w:rPr>
        <w:t>成交</w:t>
      </w:r>
      <w:r>
        <w:rPr>
          <w:rFonts w:hint="eastAsia" w:ascii="宋体" w:hAnsi="宋体" w:cs="宋体"/>
          <w:color w:val="auto"/>
          <w:kern w:val="0"/>
          <w:sz w:val="24"/>
          <w:szCs w:val="24"/>
          <w:highlight w:val="none"/>
        </w:rPr>
        <w:t>资格</w:t>
      </w:r>
      <w:r>
        <w:rPr>
          <w:rFonts w:hint="eastAsia" w:ascii="宋体" w:hAnsi="宋体" w:cs="宋体"/>
          <w:color w:val="auto"/>
          <w:kern w:val="0"/>
          <w:sz w:val="24"/>
          <w:szCs w:val="24"/>
          <w:highlight w:val="none"/>
          <w:lang w:eastAsia="zh-CN"/>
        </w:rPr>
        <w:t>。</w:t>
      </w:r>
    </w:p>
    <w:p w14:paraId="4865CC2A">
      <w:pPr>
        <w:pStyle w:val="4"/>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六、其它有关规定</w:t>
      </w:r>
      <w:bookmarkEnd w:id="20"/>
      <w:bookmarkEnd w:id="21"/>
      <w:bookmarkEnd w:id="22"/>
    </w:p>
    <w:p w14:paraId="62F9C10F">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（一）单位负责人为同一人或者存在直接控股、管理关系的不同供应商，不得参加同一合同项（包）下的采购活动，否则均为无效响应。</w:t>
      </w:r>
    </w:p>
    <w:p w14:paraId="0178BCF0">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20CA3B6E">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5443FDC0">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0BD07A67">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179FBBDF">
      <w:pPr>
        <w:snapToGrid w:val="0"/>
        <w:spacing w:line="400" w:lineRule="exact"/>
        <w:ind w:firstLine="360" w:firstLineChars="150"/>
        <w:rPr>
          <w:rFonts w:ascii="宋体" w:hAnsi="宋体" w:cs="宋体"/>
          <w:b/>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b/>
          <w:color w:val="auto"/>
          <w:sz w:val="24"/>
          <w:szCs w:val="24"/>
          <w:highlight w:val="none"/>
        </w:rPr>
        <w:t>本项目不接受联合体参与磋商。</w:t>
      </w:r>
    </w:p>
    <w:p w14:paraId="16863ED3">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w:t>
      </w:r>
      <w:bookmarkStart w:id="23"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失信主体、政府采购严重违法失信行为记录名单及其他不符合《中华人民共和国政府采购法》第二十二条规定条件的供应商，将拒绝其参与本次采购活动。</w:t>
      </w:r>
    </w:p>
    <w:p w14:paraId="42827614">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24" w:name="_Toc106030877"/>
      <w:bookmarkStart w:id="25" w:name="_Toc76462323"/>
      <w:r>
        <w:rPr>
          <w:rFonts w:hint="eastAsia" w:ascii="宋体" w:hAnsi="宋体" w:eastAsia="宋体" w:cs="宋体"/>
          <w:color w:val="auto"/>
          <w:sz w:val="24"/>
          <w:highlight w:val="none"/>
        </w:rPr>
        <w:t>七、联系方式</w:t>
      </w:r>
      <w:bookmarkEnd w:id="23"/>
      <w:bookmarkEnd w:id="24"/>
      <w:bookmarkEnd w:id="25"/>
    </w:p>
    <w:p w14:paraId="58A4BE7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（一）采购人：重庆渝氢鸿运输服务有限公司</w:t>
      </w:r>
    </w:p>
    <w:p w14:paraId="401CEE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联系人：罗老师 </w:t>
      </w:r>
    </w:p>
    <w:p w14:paraId="0810F2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话：15178733151</w:t>
      </w:r>
    </w:p>
    <w:p w14:paraId="28DD953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址：重庆市九龙坡区科城路85号九龙园总部基地3楼</w:t>
      </w:r>
    </w:p>
    <w:p w14:paraId="0F6C8A8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（二）采购代理机构：明科建设咨询有限公司 </w:t>
      </w:r>
    </w:p>
    <w:p w14:paraId="6585B25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联系人：于老师</w:t>
      </w:r>
    </w:p>
    <w:p w14:paraId="7C43EC2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话：17623585413</w:t>
      </w:r>
    </w:p>
    <w:p w14:paraId="07047E55">
      <w:pPr>
        <w:snapToGrid w:val="0"/>
        <w:spacing w:line="400" w:lineRule="exact"/>
        <w:ind w:firstLine="480" w:firstLineChars="200"/>
        <w:rPr>
          <w:rFonts w:ascii="宋体" w:hAnsi="宋体" w:cs="宋体"/>
          <w:b/>
          <w:color w:val="auto"/>
          <w:sz w:val="24"/>
          <w:szCs w:val="24"/>
          <w:highlight w:val="none"/>
        </w:rPr>
        <w:sectPr>
          <w:pgSz w:w="11907" w:h="16840"/>
          <w:pgMar w:top="1134" w:right="1418" w:bottom="1134" w:left="1418" w:header="964" w:footer="992" w:gutter="0"/>
          <w:pgNumType w:fmt="decimal"/>
          <w:cols w:space="720" w:num="1"/>
          <w:docGrid w:linePitch="312" w:charSpace="0"/>
        </w:sectPr>
      </w:pPr>
      <w:r>
        <w:rPr>
          <w:rFonts w:hint="eastAsia" w:ascii="宋体" w:hAnsi="宋体" w:cs="宋体"/>
          <w:color w:val="auto"/>
          <w:sz w:val="24"/>
          <w:szCs w:val="24"/>
          <w:highlight w:val="none"/>
        </w:rPr>
        <w:t xml:space="preserve">地  址：重庆市江北区北滨路君豪大饭店商务楼12楼 </w:t>
      </w:r>
    </w:p>
    <w:p w14:paraId="326A9F4B">
      <w:pPr>
        <w:pStyle w:val="4"/>
        <w:spacing w:before="0" w:after="0" w:line="360" w:lineRule="auto"/>
        <w:jc w:val="center"/>
        <w:rPr>
          <w:rFonts w:hint="eastAsia" w:ascii="宋体" w:hAnsi="宋体" w:eastAsia="宋体" w:cs="宋体"/>
          <w:b w:val="0"/>
          <w:color w:val="auto"/>
          <w:sz w:val="36"/>
          <w:szCs w:val="30"/>
          <w:highlight w:val="none"/>
        </w:rPr>
      </w:pPr>
      <w:bookmarkStart w:id="26" w:name="_Toc106030878"/>
      <w:bookmarkStart w:id="27" w:name="_Toc76462324"/>
    </w:p>
    <w:p w14:paraId="5CB2873F">
      <w:pPr>
        <w:pStyle w:val="4"/>
        <w:spacing w:before="0" w:after="0" w:line="360" w:lineRule="auto"/>
        <w:jc w:val="center"/>
        <w:rPr>
          <w:rFonts w:ascii="宋体" w:hAnsi="宋体" w:eastAsia="宋体" w:cs="宋体"/>
          <w:b w:val="0"/>
          <w:color w:val="auto"/>
          <w:sz w:val="30"/>
          <w:szCs w:val="30"/>
          <w:highlight w:val="none"/>
        </w:rPr>
      </w:pPr>
      <w:r>
        <w:rPr>
          <w:rFonts w:hint="eastAsia" w:ascii="宋体" w:hAnsi="宋体" w:eastAsia="宋体" w:cs="宋体"/>
          <w:b w:val="0"/>
          <w:color w:val="auto"/>
          <w:sz w:val="36"/>
          <w:szCs w:val="30"/>
          <w:highlight w:val="none"/>
        </w:rPr>
        <w:t>第二篇  项目</w:t>
      </w:r>
      <w:bookmarkEnd w:id="26"/>
      <w:bookmarkEnd w:id="27"/>
      <w:r>
        <w:rPr>
          <w:rFonts w:hint="eastAsia" w:ascii="宋体" w:hAnsi="宋体" w:eastAsia="宋体" w:cs="宋体"/>
          <w:b w:val="0"/>
          <w:color w:val="auto"/>
          <w:sz w:val="36"/>
          <w:szCs w:val="30"/>
          <w:highlight w:val="none"/>
          <w:lang w:val="en-US" w:eastAsia="zh-CN"/>
        </w:rPr>
        <w:t>技术</w:t>
      </w:r>
      <w:r>
        <w:rPr>
          <w:rFonts w:hint="eastAsia" w:ascii="宋体" w:hAnsi="宋体" w:eastAsia="宋体" w:cs="宋体"/>
          <w:b w:val="0"/>
          <w:color w:val="auto"/>
          <w:sz w:val="36"/>
          <w:szCs w:val="30"/>
          <w:highlight w:val="none"/>
        </w:rPr>
        <w:t>服务需求</w:t>
      </w:r>
    </w:p>
    <w:p w14:paraId="623C00FA">
      <w:pPr>
        <w:snapToGrid w:val="0"/>
        <w:spacing w:line="400" w:lineRule="exact"/>
        <w:ind w:firstLine="482" w:firstLineChars="200"/>
        <w:rPr>
          <w:rFonts w:ascii="宋体" w:hAnsi="宋体" w:cs="宋体"/>
          <w:b/>
          <w:bCs/>
          <w:color w:val="auto"/>
          <w:sz w:val="24"/>
          <w:szCs w:val="24"/>
          <w:highlight w:val="none"/>
        </w:rPr>
      </w:pPr>
      <w:bookmarkStart w:id="28" w:name="_Toc688"/>
      <w:bookmarkStart w:id="29" w:name="_Toc7027"/>
      <w:bookmarkStart w:id="30" w:name="_Toc4519"/>
      <w:bookmarkStart w:id="31" w:name="_Toc29985"/>
      <w:bookmarkStart w:id="32" w:name="_Toc11703"/>
      <w:bookmarkStart w:id="33" w:name="_Toc7380"/>
      <w:bookmarkStart w:id="34" w:name="_Toc4531"/>
      <w:bookmarkStart w:id="35" w:name="_Toc5860"/>
      <w:bookmarkStart w:id="36" w:name="_Toc106030381"/>
      <w:bookmarkStart w:id="37" w:name="_Toc23656"/>
      <w:bookmarkStart w:id="38" w:name="_Toc19238"/>
      <w:bookmarkStart w:id="39" w:name="_Toc75793505"/>
      <w:bookmarkStart w:id="40" w:name="_Toc8370"/>
      <w:bookmarkStart w:id="41" w:name="_Toc22910"/>
      <w:bookmarkStart w:id="42" w:name="_Toc4913"/>
      <w:bookmarkStart w:id="43" w:name="_Toc9261"/>
      <w:bookmarkStart w:id="44" w:name="_Toc23504"/>
      <w:bookmarkStart w:id="45" w:name="_Toc20979"/>
      <w:bookmarkStart w:id="46" w:name="_Toc12789058"/>
      <w:bookmarkStart w:id="47" w:name="_Toc106030882"/>
      <w:bookmarkStart w:id="48" w:name="_Toc76462327"/>
      <w:r>
        <w:rPr>
          <w:rFonts w:hint="eastAsia" w:ascii="宋体" w:hAnsi="宋体" w:cs="宋体"/>
          <w:b/>
          <w:bCs/>
          <w:color w:val="auto"/>
          <w:sz w:val="24"/>
          <w:szCs w:val="24"/>
          <w:highlight w:val="none"/>
        </w:rPr>
        <w:t>一、采购项目一览表</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Style w:val="17"/>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668"/>
        <w:gridCol w:w="1847"/>
        <w:gridCol w:w="1886"/>
        <w:gridCol w:w="1011"/>
      </w:tblGrid>
      <w:tr w14:paraId="6DB9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037" w:type="dxa"/>
            <w:vAlign w:val="center"/>
          </w:tcPr>
          <w:p w14:paraId="0E7D4C2A">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668" w:type="dxa"/>
            <w:vAlign w:val="center"/>
          </w:tcPr>
          <w:p w14:paraId="15B23488">
            <w:pPr>
              <w:jc w:val="center"/>
              <w:rPr>
                <w:rFonts w:hint="eastAsia" w:ascii="方正仿宋_GBK" w:hAnsi="宋体" w:eastAsia="方正仿宋_GBK"/>
                <w:b/>
                <w:color w:val="auto"/>
                <w:sz w:val="21"/>
                <w:szCs w:val="21"/>
                <w:highlight w:val="none"/>
                <w:lang w:eastAsia="zh-CN"/>
              </w:rPr>
            </w:pPr>
            <w:r>
              <w:rPr>
                <w:rFonts w:hint="eastAsia" w:ascii="方正仿宋_GBK" w:hAnsi="宋体" w:eastAsia="方正仿宋_GBK"/>
                <w:b/>
                <w:color w:val="auto"/>
                <w:sz w:val="21"/>
                <w:szCs w:val="21"/>
                <w:highlight w:val="none"/>
                <w:lang w:val="en-US" w:eastAsia="zh-CN"/>
              </w:rPr>
              <w:t>序号</w:t>
            </w:r>
          </w:p>
        </w:tc>
        <w:tc>
          <w:tcPr>
            <w:tcW w:w="1847" w:type="dxa"/>
            <w:vAlign w:val="center"/>
          </w:tcPr>
          <w:p w14:paraId="6D1EFCC1">
            <w:pPr>
              <w:jc w:val="center"/>
              <w:rPr>
                <w:rFonts w:hint="eastAsia" w:ascii="方正仿宋_GBK" w:hAnsi="宋体" w:eastAsia="方正仿宋_GBK"/>
                <w:b/>
                <w:color w:val="auto"/>
                <w:sz w:val="21"/>
                <w:szCs w:val="21"/>
                <w:highlight w:val="none"/>
                <w:lang w:eastAsia="zh-CN"/>
              </w:rPr>
            </w:pPr>
            <w:r>
              <w:rPr>
                <w:rFonts w:hint="eastAsia" w:ascii="方正仿宋_GBK" w:hAnsi="宋体" w:eastAsia="方正仿宋_GBK"/>
                <w:b/>
                <w:color w:val="auto"/>
                <w:sz w:val="21"/>
                <w:szCs w:val="21"/>
                <w:highlight w:val="none"/>
                <w:lang w:val="en-US" w:eastAsia="zh-CN"/>
              </w:rPr>
              <w:t>地点</w:t>
            </w:r>
          </w:p>
        </w:tc>
        <w:tc>
          <w:tcPr>
            <w:tcW w:w="1886" w:type="dxa"/>
            <w:vAlign w:val="center"/>
          </w:tcPr>
          <w:p w14:paraId="4272C8D3">
            <w:pPr>
              <w:jc w:val="center"/>
              <w:rPr>
                <w:rFonts w:hint="eastAsia" w:ascii="方正仿宋_GBK" w:hAnsi="宋体" w:eastAsia="方正仿宋_GBK"/>
                <w:b/>
                <w:color w:val="auto"/>
                <w:sz w:val="21"/>
                <w:szCs w:val="21"/>
                <w:highlight w:val="none"/>
                <w:lang w:eastAsia="zh-CN"/>
              </w:rPr>
            </w:pPr>
            <w:r>
              <w:rPr>
                <w:rFonts w:hint="eastAsia" w:ascii="方正仿宋_GBK" w:hAnsi="宋体" w:eastAsia="方正仿宋_GBK"/>
                <w:b/>
                <w:color w:val="auto"/>
                <w:sz w:val="21"/>
                <w:szCs w:val="21"/>
                <w:highlight w:val="none"/>
                <w:lang w:val="en-US" w:eastAsia="zh-CN"/>
              </w:rPr>
              <w:t>暂估车辆</w:t>
            </w:r>
          </w:p>
        </w:tc>
        <w:tc>
          <w:tcPr>
            <w:tcW w:w="1011" w:type="dxa"/>
            <w:vAlign w:val="center"/>
          </w:tcPr>
          <w:p w14:paraId="1496100E">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备注</w:t>
            </w:r>
          </w:p>
        </w:tc>
      </w:tr>
      <w:tr w14:paraId="6220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037" w:type="dxa"/>
            <w:vAlign w:val="center"/>
          </w:tcPr>
          <w:p w14:paraId="573F2CEE">
            <w:pPr>
              <w:pStyle w:val="8"/>
              <w:spacing w:line="240" w:lineRule="auto"/>
              <w:ind w:left="0"/>
              <w:jc w:val="center"/>
              <w:outlineLvl w:val="0"/>
              <w:rPr>
                <w:rFonts w:ascii="方正仿宋_GBK" w:hAnsi="宋体" w:eastAsia="方正仿宋_GBK"/>
                <w:color w:val="auto"/>
                <w:sz w:val="21"/>
                <w:szCs w:val="21"/>
                <w:highlight w:val="none"/>
              </w:rPr>
            </w:pPr>
            <w:r>
              <w:rPr>
                <w:rFonts w:hint="eastAsia" w:ascii="仿宋" w:hAnsi="仿宋" w:eastAsia="仿宋" w:cs="仿宋"/>
                <w:b w:val="0"/>
                <w:bCs w:val="0"/>
                <w:color w:val="auto"/>
                <w:sz w:val="24"/>
                <w:szCs w:val="24"/>
                <w:highlight w:val="none"/>
                <w:u w:val="single"/>
              </w:rPr>
              <w:t>重庆渝氢鸿运输服务有限公司氢燃料电池汽车202</w:t>
            </w:r>
            <w:r>
              <w:rPr>
                <w:rFonts w:hint="eastAsia" w:ascii="仿宋" w:hAnsi="仿宋" w:eastAsia="仿宋" w:cs="仿宋"/>
                <w:b w:val="0"/>
                <w:bCs w:val="0"/>
                <w:color w:val="auto"/>
                <w:sz w:val="24"/>
                <w:szCs w:val="24"/>
                <w:highlight w:val="none"/>
                <w:u w:val="single"/>
                <w:lang w:val="en-US" w:eastAsia="zh-CN"/>
              </w:rPr>
              <w:t>6</w:t>
            </w:r>
            <w:r>
              <w:rPr>
                <w:rFonts w:hint="eastAsia" w:ascii="仿宋" w:hAnsi="仿宋" w:eastAsia="仿宋" w:cs="仿宋"/>
                <w:b w:val="0"/>
                <w:bCs w:val="0"/>
                <w:color w:val="auto"/>
                <w:sz w:val="24"/>
                <w:szCs w:val="24"/>
                <w:highlight w:val="none"/>
                <w:u w:val="single"/>
              </w:rPr>
              <w:t>-202</w:t>
            </w:r>
            <w:r>
              <w:rPr>
                <w:rFonts w:hint="eastAsia" w:ascii="仿宋" w:hAnsi="仿宋" w:eastAsia="仿宋" w:cs="仿宋"/>
                <w:b w:val="0"/>
                <w:bCs w:val="0"/>
                <w:color w:val="auto"/>
                <w:sz w:val="24"/>
                <w:szCs w:val="24"/>
                <w:highlight w:val="none"/>
                <w:u w:val="single"/>
                <w:lang w:val="en-US" w:eastAsia="zh-CN"/>
              </w:rPr>
              <w:t>7</w:t>
            </w:r>
            <w:r>
              <w:rPr>
                <w:rFonts w:hint="eastAsia" w:ascii="仿宋" w:hAnsi="仿宋" w:eastAsia="仿宋" w:cs="仿宋"/>
                <w:b w:val="0"/>
                <w:bCs w:val="0"/>
                <w:color w:val="auto"/>
                <w:sz w:val="24"/>
                <w:szCs w:val="24"/>
                <w:highlight w:val="none"/>
                <w:u w:val="single"/>
              </w:rPr>
              <w:t>年</w:t>
            </w:r>
            <w:r>
              <w:rPr>
                <w:rFonts w:hint="eastAsia" w:ascii="仿宋" w:hAnsi="仿宋" w:eastAsia="仿宋" w:cs="仿宋"/>
                <w:b w:val="0"/>
                <w:bCs w:val="0"/>
                <w:color w:val="auto"/>
                <w:sz w:val="24"/>
                <w:szCs w:val="24"/>
                <w:highlight w:val="none"/>
                <w:u w:val="single"/>
                <w:lang w:eastAsia="zh-CN"/>
              </w:rPr>
              <w:t>（</w:t>
            </w:r>
            <w:r>
              <w:rPr>
                <w:rFonts w:hint="eastAsia" w:ascii="仿宋" w:hAnsi="仿宋" w:eastAsia="仿宋" w:cs="仿宋"/>
                <w:b w:val="0"/>
                <w:bCs w:val="0"/>
                <w:color w:val="auto"/>
                <w:sz w:val="24"/>
                <w:szCs w:val="24"/>
                <w:highlight w:val="none"/>
                <w:u w:val="single"/>
                <w:lang w:val="en-US" w:eastAsia="zh-CN"/>
              </w:rPr>
              <w:t>九龙坡区</w:t>
            </w:r>
            <w:r>
              <w:rPr>
                <w:rFonts w:hint="eastAsia" w:ascii="仿宋" w:hAnsi="仿宋" w:eastAsia="仿宋" w:cs="仿宋"/>
                <w:b w:val="0"/>
                <w:bCs w:val="0"/>
                <w:color w:val="auto"/>
                <w:sz w:val="24"/>
                <w:szCs w:val="24"/>
                <w:highlight w:val="none"/>
                <w:u w:val="single"/>
                <w:lang w:eastAsia="zh-CN"/>
              </w:rPr>
              <w:t>）</w:t>
            </w:r>
            <w:r>
              <w:rPr>
                <w:rFonts w:hint="eastAsia" w:ascii="仿宋" w:hAnsi="仿宋" w:eastAsia="仿宋" w:cs="仿宋"/>
                <w:b w:val="0"/>
                <w:bCs w:val="0"/>
                <w:color w:val="auto"/>
                <w:sz w:val="24"/>
                <w:szCs w:val="24"/>
                <w:highlight w:val="none"/>
                <w:u w:val="single"/>
              </w:rPr>
              <w:t>车辆维修服务供应商采购项目</w:t>
            </w:r>
          </w:p>
        </w:tc>
        <w:tc>
          <w:tcPr>
            <w:tcW w:w="668" w:type="dxa"/>
            <w:vAlign w:val="center"/>
          </w:tcPr>
          <w:p w14:paraId="20645CE4">
            <w:pPr>
              <w:pStyle w:val="8"/>
              <w:spacing w:line="240" w:lineRule="auto"/>
              <w:ind w:left="0"/>
              <w:jc w:val="center"/>
              <w:outlineLvl w:val="0"/>
              <w:rPr>
                <w:rFonts w:hint="eastAsia" w:ascii="仿宋" w:hAnsi="仿宋" w:eastAsia="仿宋" w:cs="仿宋"/>
                <w:b w:val="0"/>
                <w:bCs w:val="0"/>
                <w:color w:val="auto"/>
                <w:sz w:val="21"/>
                <w:szCs w:val="21"/>
                <w:highlight w:val="none"/>
                <w:u w:val="none"/>
                <w:lang w:eastAsia="zh-CN"/>
              </w:rPr>
            </w:pPr>
            <w:r>
              <w:rPr>
                <w:rFonts w:hint="eastAsia" w:ascii="仿宋" w:hAnsi="仿宋" w:eastAsia="仿宋" w:cs="仿宋"/>
                <w:b w:val="0"/>
                <w:bCs w:val="0"/>
                <w:color w:val="auto"/>
                <w:sz w:val="21"/>
                <w:szCs w:val="21"/>
                <w:highlight w:val="none"/>
                <w:u w:val="none"/>
                <w:lang w:val="en-US" w:eastAsia="zh-CN"/>
              </w:rPr>
              <w:t>1</w:t>
            </w:r>
          </w:p>
        </w:tc>
        <w:tc>
          <w:tcPr>
            <w:tcW w:w="1847" w:type="dxa"/>
            <w:vAlign w:val="center"/>
          </w:tcPr>
          <w:p w14:paraId="7DA7D733">
            <w:pPr>
              <w:pStyle w:val="8"/>
              <w:spacing w:line="240" w:lineRule="auto"/>
              <w:ind w:left="0"/>
              <w:jc w:val="center"/>
              <w:outlineLvl w:val="0"/>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lang w:val="en-US" w:eastAsia="zh-CN"/>
              </w:rPr>
              <w:t>九龙坡区</w:t>
            </w:r>
          </w:p>
        </w:tc>
        <w:tc>
          <w:tcPr>
            <w:tcW w:w="1886" w:type="dxa"/>
            <w:vAlign w:val="center"/>
          </w:tcPr>
          <w:p w14:paraId="5E7FE65A">
            <w:pPr>
              <w:pStyle w:val="8"/>
              <w:spacing w:line="240" w:lineRule="auto"/>
              <w:ind w:left="0"/>
              <w:jc w:val="center"/>
              <w:outlineLvl w:val="0"/>
              <w:rPr>
                <w:rFonts w:hint="default"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15辆4.5吨氢燃料电池冷藏车；46辆49吨氢燃料电池牵引车附带挂车。</w:t>
            </w:r>
          </w:p>
        </w:tc>
        <w:tc>
          <w:tcPr>
            <w:tcW w:w="1011" w:type="dxa"/>
            <w:vAlign w:val="center"/>
          </w:tcPr>
          <w:p w14:paraId="45A64BFD">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具体内容详见下文</w:t>
            </w:r>
          </w:p>
        </w:tc>
      </w:tr>
    </w:tbl>
    <w:p w14:paraId="07709762">
      <w:pPr>
        <w:spacing w:line="400" w:lineRule="exact"/>
        <w:jc w:val="center"/>
        <w:outlineLvl w:val="2"/>
        <w:rPr>
          <w:rFonts w:ascii="方正仿宋_GBK" w:hAnsi="宋体" w:eastAsia="方正仿宋_GBK"/>
          <w:color w:val="auto"/>
          <w:sz w:val="24"/>
          <w:szCs w:val="24"/>
          <w:highlight w:val="none"/>
        </w:rPr>
      </w:pPr>
      <w:bookmarkStart w:id="49" w:name="_Toc10195"/>
      <w:bookmarkStart w:id="50" w:name="_Toc106030382"/>
      <w:bookmarkStart w:id="51" w:name="_Toc75793506"/>
      <w:bookmarkStart w:id="52" w:name="_Toc10143"/>
      <w:bookmarkStart w:id="53" w:name="_Toc21817"/>
      <w:bookmarkStart w:id="54" w:name="_Toc15696"/>
      <w:bookmarkStart w:id="55" w:name="_Toc7792"/>
      <w:bookmarkStart w:id="56" w:name="_Toc12568"/>
      <w:bookmarkStart w:id="57" w:name="_Toc27067"/>
      <w:bookmarkStart w:id="58" w:name="_Toc32262"/>
      <w:bookmarkStart w:id="59" w:name="_Toc26453"/>
      <w:bookmarkStart w:id="60" w:name="_Toc23975"/>
      <w:bookmarkStart w:id="61" w:name="_Toc18903"/>
      <w:bookmarkStart w:id="62" w:name="_Toc28205"/>
      <w:bookmarkStart w:id="63" w:name="_Toc18800"/>
      <w:bookmarkStart w:id="64" w:name="_Toc18760"/>
      <w:bookmarkStart w:id="65" w:name="_Toc5751"/>
      <w:bookmarkStart w:id="66" w:name="_Toc695"/>
      <w:r>
        <w:rPr>
          <w:rFonts w:hint="eastAsia" w:ascii="宋体" w:hAnsi="宋体" w:cs="宋体"/>
          <w:b/>
          <w:bCs/>
          <w:color w:val="auto"/>
          <w:sz w:val="24"/>
          <w:szCs w:val="24"/>
          <w:highlight w:val="none"/>
        </w:rPr>
        <w:t>“*”</w:t>
      </w:r>
      <w:r>
        <w:rPr>
          <w:rFonts w:hint="eastAsia" w:ascii="方正仿宋_GBK" w:hAnsi="宋体" w:eastAsia="方正仿宋_GBK"/>
          <w:color w:val="auto"/>
          <w:sz w:val="24"/>
          <w:szCs w:val="24"/>
          <w:highlight w:val="none"/>
        </w:rPr>
        <w:t>标注的服务需求为符合性审查中的实质性要求，若不满足按无效响应处理。</w:t>
      </w:r>
      <w:bookmarkEnd w:id="49"/>
    </w:p>
    <w:p w14:paraId="4174DA39">
      <w:pPr>
        <w:snapToGrid w:val="0"/>
        <w:spacing w:line="400" w:lineRule="exact"/>
        <w:ind w:firstLine="482" w:firstLineChars="200"/>
        <w:rPr>
          <w:rFonts w:ascii="宋体" w:hAnsi="宋体" w:cs="宋体"/>
          <w:b/>
          <w:bCs/>
          <w:color w:val="auto"/>
          <w:sz w:val="24"/>
          <w:szCs w:val="24"/>
          <w:highlight w:val="none"/>
        </w:rPr>
      </w:pPr>
      <w:bookmarkStart w:id="67" w:name="_Toc22039"/>
      <w:r>
        <w:rPr>
          <w:rFonts w:hint="eastAsia" w:ascii="宋体" w:hAnsi="宋体" w:cs="宋体"/>
          <w:b/>
          <w:bCs/>
          <w:color w:val="auto"/>
          <w:sz w:val="24"/>
          <w:szCs w:val="24"/>
          <w:highlight w:val="none"/>
        </w:rPr>
        <w:t>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宋体" w:hAnsi="宋体" w:cs="宋体"/>
          <w:b/>
          <w:bCs/>
          <w:color w:val="auto"/>
          <w:sz w:val="24"/>
          <w:szCs w:val="24"/>
          <w:highlight w:val="none"/>
        </w:rPr>
        <w:t>服务范围、要求及标准</w:t>
      </w:r>
      <w:bookmarkEnd w:id="67"/>
    </w:p>
    <w:p w14:paraId="299488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（一）服务范围：包括但不限于</w:t>
      </w:r>
      <w:r>
        <w:rPr>
          <w:rFonts w:hint="eastAsia" w:ascii="宋体" w:hAnsi="宋体" w:cs="宋体"/>
          <w:color w:val="auto"/>
          <w:sz w:val="24"/>
          <w:szCs w:val="24"/>
          <w:highlight w:val="none"/>
          <w:lang w:val="en-US" w:eastAsia="zh-CN"/>
        </w:rPr>
        <w:t>附件表（</w:t>
      </w:r>
      <w:r>
        <w:rPr>
          <w:rFonts w:hint="eastAsia" w:ascii="宋体" w:hAnsi="宋体" w:cs="宋体"/>
          <w:color w:val="auto"/>
          <w:sz w:val="21"/>
          <w:szCs w:val="21"/>
          <w:highlight w:val="none"/>
          <w:lang w:val="en-US" w:eastAsia="zh-CN"/>
        </w:rPr>
        <w:t>氢燃料电池车常用易耗品项目工时限价表（含税价）</w:t>
      </w:r>
      <w:r>
        <w:rPr>
          <w:rFonts w:hint="eastAsia" w:ascii="宋体" w:hAnsi="宋体" w:cs="宋体"/>
          <w:color w:val="auto"/>
          <w:sz w:val="24"/>
          <w:szCs w:val="24"/>
          <w:highlight w:val="none"/>
          <w:lang w:val="en-US" w:eastAsia="zh-CN"/>
        </w:rPr>
        <w:t>）中内容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即</w:t>
      </w:r>
      <w:r>
        <w:rPr>
          <w:rFonts w:hint="eastAsia" w:ascii="宋体" w:hAnsi="宋体" w:cs="宋体"/>
          <w:color w:val="auto"/>
          <w:sz w:val="24"/>
          <w:szCs w:val="24"/>
          <w:highlight w:val="none"/>
        </w:rPr>
        <w:t>日常零星维修、保养、大修、应急救援等服务。</w:t>
      </w:r>
    </w:p>
    <w:p w14:paraId="3F5B93CE">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（二）服务要求：</w:t>
      </w:r>
    </w:p>
    <w:p w14:paraId="6C24083F">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保证优先对采购人进厂车辆进行维修，在双方约定的时间内保质保量完成车辆的保养及维修，并接受采购人的监督、检查。</w:t>
      </w:r>
    </w:p>
    <w:p w14:paraId="10307F80">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2</w:t>
      </w:r>
      <w:r>
        <w:rPr>
          <w:rFonts w:hint="eastAsia" w:ascii="宋体" w:hAnsi="宋体" w:cs="宋体"/>
          <w:color w:val="auto"/>
          <w:sz w:val="24"/>
          <w:szCs w:val="28"/>
          <w:highlight w:val="none"/>
        </w:rPr>
        <w:t>、对竣工车辆，</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保证维修质量，保修期按国家标准执行。如保修期内确认为</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维修的项目出现返工，</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承诺免费修复。直到采购人验收合格。</w:t>
      </w:r>
    </w:p>
    <w:p w14:paraId="3E75097C">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3</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采用的零部件、配件材料符合采购人要求品牌并符合国家标准，不得使用假冒伪劣产品或以次充好。</w:t>
      </w:r>
    </w:p>
    <w:p w14:paraId="6655DF05">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、维修项目：更换配件材料必须事先征得采购人同意方可进行维修换件。在维修过程中新增或变更维修项目、配件材料的，也应事先征得采购人同意方可进行增加变更。采购人应当及时协助</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进行项目确认工作。</w:t>
      </w:r>
    </w:p>
    <w:p w14:paraId="536E0FED">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应妥善保管更换的旧件，维修车辆完毕时交采购人驾驶员检查，未经采购人同意不得擅自丢弃。对可以维修的部件，不得以换代修；不得与任何人串通、虚假修车或虚报维修项目，损害采购人的利益。</w:t>
      </w:r>
    </w:p>
    <w:p w14:paraId="3C4118D7">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6</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保证正常营业时间内为采购人提供统一服务，不得以节假日为理由拒绝提供服务。</w:t>
      </w:r>
    </w:p>
    <w:p w14:paraId="3030A09F">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7</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必须给采购人提供正规发票。</w:t>
      </w:r>
    </w:p>
    <w:p w14:paraId="0D1880FB">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8</w:t>
      </w:r>
      <w:r>
        <w:rPr>
          <w:rFonts w:hint="eastAsia" w:ascii="宋体" w:hAnsi="宋体" w:cs="宋体"/>
          <w:color w:val="auto"/>
          <w:sz w:val="24"/>
          <w:szCs w:val="28"/>
          <w:highlight w:val="none"/>
        </w:rPr>
        <w:t>、根据采购人的要求，</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修理完毕车辆时，必须出具由采购人驾驶员签字的维修申请、维修记录及清单（包括车号、时间、维修项目、维修影像资料、维修材料等）。</w:t>
      </w:r>
    </w:p>
    <w:p w14:paraId="1108D7E9">
      <w:pPr>
        <w:spacing w:line="400" w:lineRule="exact"/>
        <w:ind w:firstLine="480" w:firstLineChars="200"/>
        <w:outlineLvl w:val="2"/>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9</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免费为采购人提供拖车等服务。</w:t>
      </w:r>
    </w:p>
    <w:p w14:paraId="0BF81C9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（三）服务标准：</w:t>
      </w:r>
      <w:r>
        <w:rPr>
          <w:rFonts w:hint="eastAsia" w:ascii="宋体" w:hAnsi="宋体" w:cs="宋体"/>
          <w:color w:val="auto"/>
          <w:sz w:val="24"/>
          <w:szCs w:val="24"/>
          <w:highlight w:val="none"/>
          <w:lang w:val="en-US" w:eastAsia="zh-CN"/>
        </w:rPr>
        <w:t>按响应文件中的承诺对</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进行</w:t>
      </w:r>
      <w:r>
        <w:rPr>
          <w:rFonts w:hint="eastAsia" w:ascii="宋体" w:hAnsi="宋体" w:cs="宋体"/>
          <w:color w:val="auto"/>
          <w:sz w:val="24"/>
          <w:szCs w:val="24"/>
          <w:highlight w:val="none"/>
        </w:rPr>
        <w:t>服务。</w:t>
      </w:r>
    </w:p>
    <w:p w14:paraId="3A104EA3">
      <w:pPr>
        <w:snapToGrid w:val="0"/>
        <w:spacing w:line="400" w:lineRule="exact"/>
        <w:ind w:firstLine="480" w:firstLineChars="200"/>
        <w:rPr>
          <w:rFonts w:hint="default" w:ascii="宋体" w:hAnsi="宋体" w:cs="宋体"/>
          <w:color w:val="auto"/>
          <w:sz w:val="24"/>
          <w:szCs w:val="24"/>
          <w:highlight w:val="none"/>
          <w:lang w:val="en-US" w:eastAsia="zh-CN"/>
        </w:rPr>
      </w:pPr>
    </w:p>
    <w:p w14:paraId="7BA0BEAC">
      <w:pPr>
        <w:pStyle w:val="4"/>
        <w:spacing w:before="0" w:after="0" w:line="360" w:lineRule="auto"/>
        <w:jc w:val="both"/>
        <w:rPr>
          <w:rFonts w:hint="eastAsia" w:ascii="宋体" w:hAnsi="宋体" w:eastAsia="宋体" w:cs="宋体"/>
          <w:b w:val="0"/>
          <w:color w:val="auto"/>
          <w:sz w:val="36"/>
          <w:szCs w:val="30"/>
          <w:highlight w:val="none"/>
        </w:rPr>
      </w:pPr>
    </w:p>
    <w:p w14:paraId="410D84EC">
      <w:pPr>
        <w:pStyle w:val="4"/>
        <w:spacing w:before="0" w:after="0" w:line="360" w:lineRule="auto"/>
        <w:jc w:val="center"/>
        <w:rPr>
          <w:rFonts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第三篇  </w:t>
      </w:r>
      <w:bookmarkEnd w:id="46"/>
      <w:r>
        <w:rPr>
          <w:rFonts w:hint="eastAsia" w:ascii="宋体" w:hAnsi="宋体" w:eastAsia="宋体" w:cs="宋体"/>
          <w:b w:val="0"/>
          <w:color w:val="auto"/>
          <w:sz w:val="36"/>
          <w:szCs w:val="30"/>
          <w:highlight w:val="none"/>
        </w:rPr>
        <w:t>项目商务需求</w:t>
      </w:r>
      <w:bookmarkEnd w:id="47"/>
      <w:bookmarkEnd w:id="48"/>
    </w:p>
    <w:p w14:paraId="3B6E7723">
      <w:pPr>
        <w:snapToGrid w:val="0"/>
        <w:spacing w:line="400" w:lineRule="exact"/>
        <w:ind w:firstLine="482" w:firstLineChars="200"/>
        <w:rPr>
          <w:rFonts w:ascii="方正仿宋_GBK" w:hAnsi="宋体" w:eastAsia="方正仿宋_GBK" w:cs="宋体"/>
          <w:color w:val="auto"/>
          <w:kern w:val="0"/>
          <w:sz w:val="24"/>
          <w:szCs w:val="24"/>
          <w:highlight w:val="none"/>
        </w:rPr>
      </w:pPr>
      <w:bookmarkStart w:id="68" w:name="_Toc267320049"/>
      <w:r>
        <w:rPr>
          <w:rFonts w:hint="eastAsia" w:ascii="宋体" w:hAnsi="宋体" w:cs="宋体"/>
          <w:b/>
          <w:bCs/>
          <w:color w:val="auto"/>
          <w:sz w:val="24"/>
          <w:szCs w:val="24"/>
          <w:highlight w:val="none"/>
        </w:rPr>
        <w:t>“*”</w:t>
      </w:r>
      <w:r>
        <w:rPr>
          <w:rFonts w:hint="eastAsia" w:ascii="方正仿宋_GBK" w:hAnsi="宋体" w:eastAsia="方正仿宋_GBK"/>
          <w:color w:val="auto"/>
          <w:sz w:val="24"/>
          <w:szCs w:val="28"/>
          <w:highlight w:val="none"/>
        </w:rPr>
        <w:t>标注的商务要求为符合性审查中的实质性要求，若不满足按无效响应处理。</w:t>
      </w:r>
    </w:p>
    <w:p w14:paraId="533DFDA6">
      <w:pPr>
        <w:snapToGrid w:val="0"/>
        <w:spacing w:line="400" w:lineRule="exact"/>
        <w:ind w:firstLine="482" w:firstLineChars="200"/>
        <w:rPr>
          <w:rFonts w:ascii="宋体" w:hAnsi="宋体" w:cs="宋体"/>
          <w:b/>
          <w:bCs/>
          <w:color w:val="auto"/>
          <w:sz w:val="24"/>
          <w:szCs w:val="24"/>
          <w:highlight w:val="none"/>
        </w:rPr>
      </w:pPr>
      <w:bookmarkStart w:id="69" w:name="_Toc22944"/>
      <w:bookmarkStart w:id="70" w:name="_Toc75793509"/>
      <w:bookmarkStart w:id="71" w:name="_Toc21429"/>
      <w:bookmarkStart w:id="72" w:name="_Toc14029"/>
      <w:bookmarkStart w:id="73" w:name="_Toc13389"/>
      <w:bookmarkStart w:id="74" w:name="_Toc28521"/>
      <w:bookmarkStart w:id="75" w:name="_Toc106030385"/>
      <w:bookmarkStart w:id="76" w:name="_Toc30118"/>
      <w:bookmarkStart w:id="77" w:name="_Toc6595"/>
      <w:bookmarkStart w:id="78" w:name="_Toc23501"/>
      <w:bookmarkStart w:id="79" w:name="_Toc8752"/>
      <w:bookmarkStart w:id="80" w:name="_Toc12768"/>
      <w:bookmarkStart w:id="81" w:name="_Toc13728"/>
      <w:bookmarkStart w:id="82" w:name="_Toc175"/>
      <w:bookmarkStart w:id="83" w:name="_Toc10039"/>
      <w:bookmarkStart w:id="84" w:name="_Toc23443"/>
      <w:bookmarkStart w:id="85" w:name="_Toc9676"/>
      <w:bookmarkStart w:id="86" w:name="_Toc11380"/>
      <w:r>
        <w:rPr>
          <w:rFonts w:hint="eastAsia" w:ascii="宋体" w:hAnsi="宋体" w:cs="宋体"/>
          <w:b/>
          <w:bCs/>
          <w:color w:val="auto"/>
          <w:sz w:val="24"/>
          <w:szCs w:val="24"/>
          <w:highlight w:val="none"/>
        </w:rPr>
        <w:t>一、服务时间、服务地点及</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宋体" w:hAnsi="宋体" w:cs="宋体"/>
          <w:b/>
          <w:bCs/>
          <w:color w:val="auto"/>
          <w:sz w:val="24"/>
          <w:szCs w:val="24"/>
          <w:highlight w:val="none"/>
        </w:rPr>
        <w:t>验收方式</w:t>
      </w:r>
    </w:p>
    <w:p w14:paraId="7AC9B83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“*”（一）服务时间</w:t>
      </w:r>
    </w:p>
    <w:p w14:paraId="186CEFE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服务时间：1年。</w:t>
      </w:r>
    </w:p>
    <w:p w14:paraId="2AEAF2D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w:t>
      </w:r>
    </w:p>
    <w:p w14:paraId="7987E94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lang w:val="en-US" w:eastAsia="zh-CN"/>
        </w:rPr>
        <w:t>实际维修、保养等地点</w:t>
      </w:r>
      <w:r>
        <w:rPr>
          <w:rFonts w:hint="eastAsia" w:ascii="宋体" w:hAnsi="宋体" w:cs="宋体"/>
          <w:color w:val="auto"/>
          <w:sz w:val="24"/>
          <w:szCs w:val="24"/>
          <w:highlight w:val="none"/>
        </w:rPr>
        <w:t>。</w:t>
      </w:r>
    </w:p>
    <w:p w14:paraId="2EA16F15">
      <w:pPr>
        <w:snapToGrid w:val="0"/>
        <w:spacing w:line="400" w:lineRule="exact"/>
        <w:ind w:firstLine="480" w:firstLineChars="200"/>
        <w:rPr>
          <w:rFonts w:ascii="宋体" w:hAnsi="宋体" w:cs="宋体"/>
          <w:color w:val="auto"/>
          <w:sz w:val="24"/>
          <w:szCs w:val="24"/>
          <w:highlight w:val="none"/>
        </w:rPr>
      </w:pPr>
      <w:bookmarkStart w:id="87" w:name="_Toc13418"/>
      <w:bookmarkStart w:id="88" w:name="_Toc20367"/>
      <w:bookmarkStart w:id="89" w:name="_Toc28679"/>
      <w:bookmarkStart w:id="90" w:name="_Toc21022"/>
      <w:bookmarkStart w:id="91" w:name="_Toc4036"/>
      <w:bookmarkStart w:id="92" w:name="_Toc1484"/>
      <w:bookmarkStart w:id="93" w:name="_Toc29144"/>
      <w:bookmarkStart w:id="94" w:name="_Toc8889"/>
      <w:bookmarkStart w:id="95" w:name="_Toc29436"/>
      <w:bookmarkStart w:id="96" w:name="_Toc75793510"/>
      <w:bookmarkStart w:id="97" w:name="_Toc30781"/>
      <w:bookmarkStart w:id="98" w:name="_Toc7746"/>
      <w:bookmarkStart w:id="99" w:name="_Toc22158"/>
      <w:bookmarkStart w:id="100" w:name="_Toc22142"/>
      <w:bookmarkStart w:id="101" w:name="_Toc106030386"/>
      <w:bookmarkStart w:id="102" w:name="_Toc22610"/>
      <w:bookmarkStart w:id="103" w:name="_Toc8592"/>
      <w:bookmarkStart w:id="104" w:name="_Toc18152"/>
      <w:bookmarkStart w:id="105" w:name="_Toc267320050"/>
      <w:r>
        <w:rPr>
          <w:rFonts w:hint="eastAsia" w:ascii="宋体" w:hAnsi="宋体" w:cs="宋体"/>
          <w:color w:val="auto"/>
          <w:sz w:val="24"/>
          <w:szCs w:val="24"/>
          <w:highlight w:val="none"/>
        </w:rPr>
        <w:t>（三）验收方式</w:t>
      </w:r>
    </w:p>
    <w:p w14:paraId="3AAA64A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中标供应商负责准备相关资料，由采购方组织相关人员进行项目验收。对采购方认为有必要申请第三方检验机构验收的项目，相关验收费用由中标供应商承担。</w:t>
      </w:r>
    </w:p>
    <w:p w14:paraId="708BD9A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若验收不合格需要整改的，中标人需无偿整改直至合格。</w:t>
      </w:r>
    </w:p>
    <w:p w14:paraId="148B0B73">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二、报价要求</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bookmarkEnd w:id="105"/>
    <w:p w14:paraId="1190FF7A">
      <w:pPr>
        <w:snapToGrid w:val="0"/>
        <w:spacing w:line="400" w:lineRule="exact"/>
        <w:ind w:firstLine="480" w:firstLineChars="200"/>
        <w:rPr>
          <w:rFonts w:hint="eastAsia" w:ascii="宋体" w:hAnsi="宋体" w:cs="宋体"/>
          <w:color w:val="auto"/>
          <w:sz w:val="24"/>
          <w:szCs w:val="24"/>
          <w:highlight w:val="none"/>
          <w:lang w:eastAsia="zh-CN"/>
        </w:rPr>
      </w:pPr>
      <w:bookmarkStart w:id="106" w:name="_Toc22695"/>
      <w:bookmarkStart w:id="107" w:name="_Toc20014"/>
      <w:bookmarkStart w:id="108" w:name="_Toc8955"/>
      <w:bookmarkStart w:id="109" w:name="_Toc12285"/>
      <w:bookmarkStart w:id="110" w:name="_Toc30442"/>
      <w:bookmarkStart w:id="111" w:name="_Toc18007"/>
      <w:bookmarkStart w:id="112" w:name="_Toc29286"/>
      <w:bookmarkStart w:id="113" w:name="_Toc21888"/>
      <w:bookmarkStart w:id="114" w:name="_Toc5174"/>
      <w:bookmarkStart w:id="115" w:name="_Toc32722"/>
      <w:bookmarkStart w:id="116" w:name="_Toc25552"/>
      <w:bookmarkStart w:id="117" w:name="_Toc25932"/>
      <w:bookmarkStart w:id="118" w:name="_Toc106030388"/>
      <w:bookmarkStart w:id="119" w:name="_Toc25745"/>
      <w:bookmarkStart w:id="120" w:name="_Toc267320051"/>
      <w:bookmarkStart w:id="121" w:name="_Toc75793512"/>
      <w:bookmarkStart w:id="122" w:name="_Toc1008"/>
      <w:bookmarkStart w:id="123" w:name="_Toc13210"/>
      <w:bookmarkStart w:id="124" w:name="_Toc19350"/>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）本项目全费用综合单价</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lang w:eastAsia="zh-CN"/>
        </w:rPr>
        <w:t>最高限价包括</w:t>
      </w:r>
      <w:r>
        <w:rPr>
          <w:rFonts w:hint="eastAsia" w:ascii="宋体" w:hAnsi="宋体" w:cs="宋体"/>
          <w:color w:val="auto"/>
          <w:sz w:val="24"/>
          <w:szCs w:val="24"/>
          <w:highlight w:val="none"/>
        </w:rPr>
        <w:t>但不限于完成本项目</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内容全部工作所需的人工费、服务费、税金、管理费、利润等所有费用</w:t>
      </w:r>
      <w:r>
        <w:rPr>
          <w:rFonts w:hint="eastAsia" w:ascii="宋体" w:hAnsi="宋体" w:cs="宋体"/>
          <w:color w:val="auto"/>
          <w:sz w:val="24"/>
          <w:szCs w:val="24"/>
          <w:highlight w:val="none"/>
          <w:lang w:eastAsia="zh-CN"/>
        </w:rPr>
        <w:t>。</w:t>
      </w:r>
    </w:p>
    <w:p w14:paraId="2E924AFD">
      <w:pPr>
        <w:snapToGrid w:val="0"/>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（二）本项目的</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eastAsia="zh-CN"/>
        </w:rPr>
        <w:t>报价均为固定</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eastAsia="zh-CN"/>
        </w:rPr>
        <w:t>报价系数，</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eastAsia="zh-CN"/>
        </w:rPr>
        <w:t>报价系数范围0-1（含），例如：</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eastAsia="zh-CN"/>
        </w:rPr>
        <w:t>报价系数为0.9，则结算单价=每类单项最高限价×0.9。</w:t>
      </w:r>
    </w:p>
    <w:p w14:paraId="6518830B">
      <w:pPr>
        <w:snapToGrid w:val="0"/>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（三）结算金额按实际到场验收合格的品种及数量按实结算（累计结算总金额不得超过合同暂定总金额）。</w:t>
      </w:r>
    </w:p>
    <w:p w14:paraId="47CBBE10">
      <w:pPr>
        <w:snapToGrid w:val="0"/>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CN"/>
        </w:rPr>
        <w:t>自行考虑由此带来的风险，并包含在</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eastAsia="zh-CN"/>
        </w:rPr>
        <w:t>报价系数内。</w:t>
      </w:r>
    </w:p>
    <w:p w14:paraId="34D118D9">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三、付款方式</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CC3906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按实际维修、保养等金额每月开具正式发票结算</w:t>
      </w:r>
      <w:r>
        <w:rPr>
          <w:rFonts w:hint="eastAsia" w:ascii="宋体" w:hAnsi="宋体" w:cs="宋体"/>
          <w:color w:val="auto"/>
          <w:sz w:val="24"/>
          <w:szCs w:val="24"/>
          <w:highlight w:val="none"/>
        </w:rPr>
        <w:t>。</w:t>
      </w:r>
    </w:p>
    <w:p w14:paraId="2E6E7B4F">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四、其他商务要求内容</w:t>
      </w:r>
    </w:p>
    <w:p w14:paraId="51C0EFD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其他未尽事宜由采购人及</w:t>
      </w:r>
      <w:r>
        <w:rPr>
          <w:rFonts w:hint="eastAsia" w:ascii="宋体" w:hAnsi="宋体" w:cs="宋体"/>
          <w:color w:val="auto"/>
          <w:sz w:val="24"/>
          <w:szCs w:val="28"/>
          <w:highlight w:val="none"/>
        </w:rPr>
        <w:t>供应商</w:t>
      </w:r>
      <w:r>
        <w:rPr>
          <w:rFonts w:hint="eastAsia" w:ascii="宋体" w:hAnsi="宋体" w:cs="宋体"/>
          <w:color w:val="auto"/>
          <w:sz w:val="24"/>
          <w:szCs w:val="24"/>
          <w:highlight w:val="none"/>
        </w:rPr>
        <w:t>双方在采购合同中详细约定。</w:t>
      </w:r>
    </w:p>
    <w:p w14:paraId="2EA38AA6">
      <w:pPr>
        <w:snapToGrid w:val="0"/>
        <w:spacing w:line="400" w:lineRule="exact"/>
        <w:ind w:firstLine="540"/>
        <w:rPr>
          <w:rFonts w:ascii="宋体" w:hAnsi="宋体" w:cs="宋体"/>
          <w:color w:val="auto"/>
          <w:sz w:val="24"/>
          <w:szCs w:val="24"/>
          <w:highlight w:val="none"/>
        </w:rPr>
      </w:pPr>
    </w:p>
    <w:p w14:paraId="0143EC7D">
      <w:pPr>
        <w:pStyle w:val="4"/>
        <w:pageBreakBefore/>
        <w:spacing w:before="0" w:after="0" w:line="360" w:lineRule="auto"/>
        <w:jc w:val="center"/>
        <w:rPr>
          <w:rFonts w:ascii="宋体" w:hAnsi="宋体" w:eastAsia="宋体" w:cs="宋体"/>
          <w:b w:val="0"/>
          <w:color w:val="auto"/>
          <w:sz w:val="36"/>
          <w:szCs w:val="30"/>
          <w:highlight w:val="none"/>
        </w:rPr>
      </w:pPr>
      <w:bookmarkStart w:id="125" w:name="_Toc76462332"/>
      <w:bookmarkStart w:id="126" w:name="_Toc106030887"/>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125"/>
      <w:bookmarkEnd w:id="126"/>
    </w:p>
    <w:p w14:paraId="31ADE26B">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27" w:name="_Toc106030888"/>
      <w:bookmarkStart w:id="128" w:name="_Toc76462333"/>
      <w:r>
        <w:rPr>
          <w:rFonts w:hint="eastAsia" w:ascii="宋体" w:hAnsi="宋体" w:eastAsia="宋体" w:cs="宋体"/>
          <w:color w:val="auto"/>
          <w:sz w:val="24"/>
          <w:highlight w:val="none"/>
        </w:rPr>
        <w:t>一、磋商程序及方法</w:t>
      </w:r>
      <w:bookmarkEnd w:id="127"/>
      <w:bookmarkEnd w:id="128"/>
    </w:p>
    <w:p w14:paraId="56160BB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F4A785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42CA8DF0">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6"/>
        <w:gridCol w:w="3107"/>
        <w:gridCol w:w="4995"/>
      </w:tblGrid>
      <w:tr w14:paraId="4076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09A09168">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83" w:type="dxa"/>
            <w:gridSpan w:val="2"/>
            <w:tcBorders>
              <w:top w:val="single" w:color="auto" w:sz="4" w:space="0"/>
              <w:left w:val="single" w:color="auto" w:sz="4" w:space="0"/>
              <w:bottom w:val="single" w:color="auto" w:sz="4" w:space="0"/>
              <w:right w:val="single" w:color="auto" w:sz="4" w:space="0"/>
            </w:tcBorders>
            <w:vAlign w:val="center"/>
          </w:tcPr>
          <w:p w14:paraId="57E0F85B">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95" w:type="dxa"/>
            <w:tcBorders>
              <w:top w:val="single" w:color="auto" w:sz="4" w:space="0"/>
              <w:left w:val="single" w:color="auto" w:sz="4" w:space="0"/>
              <w:bottom w:val="single" w:color="auto" w:sz="4" w:space="0"/>
              <w:right w:val="single" w:color="auto" w:sz="4" w:space="0"/>
            </w:tcBorders>
            <w:vAlign w:val="center"/>
          </w:tcPr>
          <w:p w14:paraId="747B5FB1">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5B62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21024C92">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76" w:type="dxa"/>
            <w:vMerge w:val="restart"/>
            <w:vAlign w:val="center"/>
          </w:tcPr>
          <w:p w14:paraId="15FF1064">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07" w:type="dxa"/>
            <w:vAlign w:val="center"/>
          </w:tcPr>
          <w:p w14:paraId="57BDECFF">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95" w:type="dxa"/>
            <w:vAlign w:val="center"/>
          </w:tcPr>
          <w:p w14:paraId="13EA5DA0">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4B7652B">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62BC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36EECB51">
            <w:pPr>
              <w:jc w:val="center"/>
              <w:rPr>
                <w:rFonts w:ascii="宋体" w:hAnsi="宋体" w:cs="宋体"/>
                <w:color w:val="auto"/>
                <w:sz w:val="21"/>
                <w:szCs w:val="21"/>
                <w:highlight w:val="none"/>
              </w:rPr>
            </w:pPr>
          </w:p>
        </w:tc>
        <w:tc>
          <w:tcPr>
            <w:tcW w:w="776" w:type="dxa"/>
            <w:vMerge w:val="continue"/>
            <w:vAlign w:val="center"/>
          </w:tcPr>
          <w:p w14:paraId="0F7F0FBE">
            <w:pPr>
              <w:rPr>
                <w:rFonts w:ascii="宋体" w:hAnsi="宋体" w:cs="宋体"/>
                <w:color w:val="auto"/>
                <w:sz w:val="21"/>
                <w:szCs w:val="21"/>
                <w:highlight w:val="none"/>
                <w:lang w:val="zh-CN"/>
              </w:rPr>
            </w:pPr>
          </w:p>
        </w:tc>
        <w:tc>
          <w:tcPr>
            <w:tcW w:w="3107" w:type="dxa"/>
            <w:vAlign w:val="center"/>
          </w:tcPr>
          <w:p w14:paraId="419826A7">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95" w:type="dxa"/>
            <w:vMerge w:val="restart"/>
            <w:vAlign w:val="center"/>
          </w:tcPr>
          <w:p w14:paraId="379C3DAA">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613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7E7B1ABA">
            <w:pPr>
              <w:jc w:val="center"/>
              <w:rPr>
                <w:rFonts w:ascii="宋体" w:hAnsi="宋体" w:cs="宋体"/>
                <w:color w:val="auto"/>
                <w:sz w:val="21"/>
                <w:szCs w:val="21"/>
                <w:highlight w:val="none"/>
              </w:rPr>
            </w:pPr>
          </w:p>
        </w:tc>
        <w:tc>
          <w:tcPr>
            <w:tcW w:w="776" w:type="dxa"/>
            <w:vMerge w:val="continue"/>
            <w:vAlign w:val="center"/>
          </w:tcPr>
          <w:p w14:paraId="3CA4F61A">
            <w:pPr>
              <w:rPr>
                <w:rFonts w:ascii="宋体" w:hAnsi="宋体" w:cs="宋体"/>
                <w:color w:val="auto"/>
                <w:sz w:val="21"/>
                <w:szCs w:val="21"/>
                <w:highlight w:val="none"/>
                <w:lang w:val="zh-CN"/>
              </w:rPr>
            </w:pPr>
          </w:p>
        </w:tc>
        <w:tc>
          <w:tcPr>
            <w:tcW w:w="3107" w:type="dxa"/>
            <w:vAlign w:val="center"/>
          </w:tcPr>
          <w:p w14:paraId="2F7CA178">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4995" w:type="dxa"/>
            <w:vMerge w:val="continue"/>
            <w:vAlign w:val="center"/>
          </w:tcPr>
          <w:p w14:paraId="2BA12345">
            <w:pPr>
              <w:rPr>
                <w:rFonts w:ascii="宋体" w:hAnsi="宋体" w:cs="宋体"/>
                <w:color w:val="auto"/>
                <w:sz w:val="21"/>
                <w:szCs w:val="21"/>
                <w:highlight w:val="none"/>
              </w:rPr>
            </w:pPr>
          </w:p>
        </w:tc>
      </w:tr>
      <w:tr w14:paraId="5512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1FE3722C">
            <w:pPr>
              <w:jc w:val="center"/>
              <w:rPr>
                <w:rFonts w:ascii="宋体" w:hAnsi="宋体" w:cs="宋体"/>
                <w:color w:val="auto"/>
                <w:sz w:val="21"/>
                <w:szCs w:val="21"/>
                <w:highlight w:val="none"/>
              </w:rPr>
            </w:pPr>
          </w:p>
        </w:tc>
        <w:tc>
          <w:tcPr>
            <w:tcW w:w="776" w:type="dxa"/>
            <w:vMerge w:val="continue"/>
            <w:vAlign w:val="center"/>
          </w:tcPr>
          <w:p w14:paraId="6EA457CD">
            <w:pPr>
              <w:rPr>
                <w:rFonts w:ascii="宋体" w:hAnsi="宋体" w:cs="宋体"/>
                <w:color w:val="auto"/>
                <w:sz w:val="21"/>
                <w:szCs w:val="21"/>
                <w:highlight w:val="none"/>
                <w:lang w:val="zh-CN"/>
              </w:rPr>
            </w:pPr>
          </w:p>
        </w:tc>
        <w:tc>
          <w:tcPr>
            <w:tcW w:w="3107" w:type="dxa"/>
            <w:vAlign w:val="center"/>
          </w:tcPr>
          <w:p w14:paraId="3D4AF0F9">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4995" w:type="dxa"/>
            <w:vMerge w:val="continue"/>
            <w:vAlign w:val="center"/>
          </w:tcPr>
          <w:p w14:paraId="25C556E4">
            <w:pPr>
              <w:rPr>
                <w:rFonts w:ascii="宋体" w:hAnsi="宋体" w:cs="宋体"/>
                <w:color w:val="auto"/>
                <w:sz w:val="21"/>
                <w:szCs w:val="21"/>
                <w:highlight w:val="none"/>
              </w:rPr>
            </w:pPr>
          </w:p>
        </w:tc>
      </w:tr>
      <w:tr w14:paraId="4B0A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4141D1C2">
            <w:pPr>
              <w:jc w:val="center"/>
              <w:rPr>
                <w:rFonts w:ascii="宋体" w:hAnsi="宋体" w:cs="宋体"/>
                <w:color w:val="auto"/>
                <w:sz w:val="21"/>
                <w:szCs w:val="21"/>
                <w:highlight w:val="none"/>
              </w:rPr>
            </w:pPr>
          </w:p>
        </w:tc>
        <w:tc>
          <w:tcPr>
            <w:tcW w:w="776" w:type="dxa"/>
            <w:vMerge w:val="continue"/>
            <w:vAlign w:val="center"/>
          </w:tcPr>
          <w:p w14:paraId="1BC06C4E">
            <w:pPr>
              <w:rPr>
                <w:rFonts w:ascii="宋体" w:hAnsi="宋体" w:cs="宋体"/>
                <w:color w:val="auto"/>
                <w:sz w:val="21"/>
                <w:szCs w:val="21"/>
                <w:highlight w:val="none"/>
                <w:lang w:val="zh-CN"/>
              </w:rPr>
            </w:pPr>
          </w:p>
        </w:tc>
        <w:tc>
          <w:tcPr>
            <w:tcW w:w="3107" w:type="dxa"/>
            <w:vAlign w:val="center"/>
          </w:tcPr>
          <w:p w14:paraId="074EEF17">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4995" w:type="dxa"/>
            <w:vMerge w:val="continue"/>
            <w:vAlign w:val="center"/>
          </w:tcPr>
          <w:p w14:paraId="2748C7F6">
            <w:pPr>
              <w:rPr>
                <w:rFonts w:ascii="宋体" w:hAnsi="宋体" w:cs="宋体"/>
                <w:b/>
                <w:color w:val="auto"/>
                <w:sz w:val="21"/>
                <w:szCs w:val="21"/>
                <w:highlight w:val="none"/>
              </w:rPr>
            </w:pPr>
          </w:p>
        </w:tc>
      </w:tr>
      <w:tr w14:paraId="50BE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50" w:type="dxa"/>
            <w:vMerge w:val="continue"/>
            <w:vAlign w:val="center"/>
          </w:tcPr>
          <w:p w14:paraId="74B56BF0">
            <w:pPr>
              <w:jc w:val="center"/>
              <w:rPr>
                <w:rFonts w:ascii="宋体" w:hAnsi="宋体" w:cs="宋体"/>
                <w:color w:val="auto"/>
                <w:sz w:val="21"/>
                <w:szCs w:val="21"/>
                <w:highlight w:val="none"/>
              </w:rPr>
            </w:pPr>
          </w:p>
        </w:tc>
        <w:tc>
          <w:tcPr>
            <w:tcW w:w="776" w:type="dxa"/>
            <w:vMerge w:val="continue"/>
            <w:vAlign w:val="center"/>
          </w:tcPr>
          <w:p w14:paraId="1EF0DDF4">
            <w:pPr>
              <w:rPr>
                <w:rFonts w:ascii="宋体" w:hAnsi="宋体" w:cs="宋体"/>
                <w:color w:val="auto"/>
                <w:sz w:val="21"/>
                <w:szCs w:val="21"/>
                <w:highlight w:val="none"/>
              </w:rPr>
            </w:pPr>
          </w:p>
        </w:tc>
        <w:tc>
          <w:tcPr>
            <w:tcW w:w="3107" w:type="dxa"/>
            <w:vAlign w:val="center"/>
          </w:tcPr>
          <w:p w14:paraId="7070904A">
            <w:pPr>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95" w:type="dxa"/>
            <w:vAlign w:val="center"/>
          </w:tcPr>
          <w:p w14:paraId="486720A3">
            <w:pPr>
              <w:rPr>
                <w:rFonts w:ascii="宋体" w:hAnsi="宋体" w:cs="宋体"/>
                <w:color w:val="auto"/>
                <w:sz w:val="21"/>
                <w:szCs w:val="21"/>
                <w:highlight w:val="none"/>
              </w:rPr>
            </w:pPr>
          </w:p>
        </w:tc>
      </w:tr>
      <w:tr w14:paraId="1A27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0" w:type="dxa"/>
            <w:vMerge w:val="continue"/>
            <w:vAlign w:val="center"/>
          </w:tcPr>
          <w:p w14:paraId="641EADE2">
            <w:pPr>
              <w:jc w:val="center"/>
              <w:rPr>
                <w:rFonts w:ascii="宋体" w:hAnsi="宋体" w:cs="宋体"/>
                <w:color w:val="auto"/>
                <w:sz w:val="21"/>
                <w:szCs w:val="21"/>
                <w:highlight w:val="none"/>
              </w:rPr>
            </w:pPr>
          </w:p>
        </w:tc>
        <w:tc>
          <w:tcPr>
            <w:tcW w:w="776" w:type="dxa"/>
            <w:vMerge w:val="continue"/>
            <w:vAlign w:val="center"/>
          </w:tcPr>
          <w:p w14:paraId="018F090A">
            <w:pPr>
              <w:rPr>
                <w:rFonts w:ascii="宋体" w:hAnsi="宋体" w:cs="宋体"/>
                <w:color w:val="auto"/>
                <w:sz w:val="21"/>
                <w:szCs w:val="21"/>
                <w:highlight w:val="none"/>
              </w:rPr>
            </w:pPr>
          </w:p>
        </w:tc>
        <w:tc>
          <w:tcPr>
            <w:tcW w:w="3107" w:type="dxa"/>
            <w:vAlign w:val="center"/>
          </w:tcPr>
          <w:p w14:paraId="5A3C563E">
            <w:pPr>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95" w:type="dxa"/>
            <w:vAlign w:val="center"/>
          </w:tcPr>
          <w:p w14:paraId="5B37A56C">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按“第一篇三、供应商资格要求（三）本项目的特定资格要求”的要求提交。</w:t>
            </w:r>
          </w:p>
        </w:tc>
      </w:tr>
      <w:tr w14:paraId="211E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779A57D">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883" w:type="dxa"/>
            <w:gridSpan w:val="2"/>
            <w:vAlign w:val="center"/>
          </w:tcPr>
          <w:p w14:paraId="3F82ABDF">
            <w:pPr>
              <w:rPr>
                <w:rFonts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4995" w:type="dxa"/>
            <w:vAlign w:val="center"/>
          </w:tcPr>
          <w:p w14:paraId="0C7FB56E">
            <w:pPr>
              <w:rPr>
                <w:rFonts w:ascii="宋体" w:hAnsi="宋体" w:cs="宋体"/>
                <w:color w:val="auto"/>
                <w:sz w:val="21"/>
                <w:szCs w:val="21"/>
                <w:highlight w:val="none"/>
              </w:rPr>
            </w:pPr>
            <w:r>
              <w:rPr>
                <w:rFonts w:hint="eastAsia" w:ascii="宋体" w:hAnsi="宋体" w:cs="宋体"/>
                <w:color w:val="auto"/>
                <w:sz w:val="21"/>
                <w:szCs w:val="21"/>
                <w:highlight w:val="none"/>
              </w:rPr>
              <w:t>详见第一篇中的要求</w:t>
            </w:r>
          </w:p>
        </w:tc>
      </w:tr>
    </w:tbl>
    <w:p w14:paraId="52FC53BD">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8400F17">
      <w:pPr>
        <w:numPr>
          <w:ilvl w:val="0"/>
          <w:numId w:val="1"/>
        </w:num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3D3C207">
      <w:pPr>
        <w:numPr>
          <w:ilvl w:val="0"/>
          <w:numId w:val="2"/>
        </w:num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p w14:paraId="0F5E7434">
      <w:pPr>
        <w:snapToGrid w:val="0"/>
        <w:spacing w:line="400" w:lineRule="exact"/>
        <w:rPr>
          <w:rFonts w:ascii="宋体" w:hAnsi="宋体" w:cs="宋体"/>
          <w:color w:val="auto"/>
          <w:kern w:val="0"/>
          <w:sz w:val="24"/>
          <w:szCs w:val="2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04D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E5D1F4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vAlign w:val="center"/>
          </w:tcPr>
          <w:p w14:paraId="12DE4FD2">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vAlign w:val="center"/>
          </w:tcPr>
          <w:p w14:paraId="4F281F66">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2015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7D9281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vAlign w:val="center"/>
          </w:tcPr>
          <w:p w14:paraId="4E7FC344">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vAlign w:val="center"/>
          </w:tcPr>
          <w:p w14:paraId="7A2F3533">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vAlign w:val="center"/>
          </w:tcPr>
          <w:p w14:paraId="59E2DFD5">
            <w:pPr>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311C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3709D83">
            <w:pPr>
              <w:jc w:val="center"/>
              <w:rPr>
                <w:rFonts w:ascii="宋体" w:hAnsi="宋体" w:cs="宋体"/>
                <w:color w:val="auto"/>
                <w:kern w:val="0"/>
                <w:sz w:val="21"/>
                <w:szCs w:val="21"/>
                <w:highlight w:val="none"/>
              </w:rPr>
            </w:pPr>
          </w:p>
        </w:tc>
        <w:tc>
          <w:tcPr>
            <w:tcW w:w="1560" w:type="dxa"/>
            <w:vMerge w:val="continue"/>
            <w:vAlign w:val="center"/>
          </w:tcPr>
          <w:p w14:paraId="52B94EEF">
            <w:pPr>
              <w:rPr>
                <w:rFonts w:ascii="宋体" w:hAnsi="宋体" w:cs="宋体"/>
                <w:color w:val="auto"/>
                <w:kern w:val="0"/>
                <w:sz w:val="21"/>
                <w:szCs w:val="21"/>
                <w:highlight w:val="none"/>
              </w:rPr>
            </w:pPr>
          </w:p>
        </w:tc>
        <w:tc>
          <w:tcPr>
            <w:tcW w:w="1984" w:type="dxa"/>
            <w:vAlign w:val="center"/>
          </w:tcPr>
          <w:p w14:paraId="27D58CCB">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vAlign w:val="center"/>
          </w:tcPr>
          <w:p w14:paraId="1B400819">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752E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20CF15C">
            <w:pPr>
              <w:jc w:val="center"/>
              <w:rPr>
                <w:rFonts w:ascii="宋体" w:hAnsi="宋体" w:cs="宋体"/>
                <w:color w:val="auto"/>
                <w:kern w:val="0"/>
                <w:sz w:val="21"/>
                <w:szCs w:val="21"/>
                <w:highlight w:val="none"/>
              </w:rPr>
            </w:pPr>
          </w:p>
        </w:tc>
        <w:tc>
          <w:tcPr>
            <w:tcW w:w="1560" w:type="dxa"/>
            <w:vMerge w:val="continue"/>
            <w:vAlign w:val="center"/>
          </w:tcPr>
          <w:p w14:paraId="4722530F">
            <w:pPr>
              <w:rPr>
                <w:rFonts w:ascii="宋体" w:hAnsi="宋体" w:cs="宋体"/>
                <w:color w:val="auto"/>
                <w:kern w:val="0"/>
                <w:sz w:val="21"/>
                <w:szCs w:val="21"/>
                <w:highlight w:val="none"/>
              </w:rPr>
            </w:pPr>
          </w:p>
        </w:tc>
        <w:tc>
          <w:tcPr>
            <w:tcW w:w="1984" w:type="dxa"/>
            <w:vAlign w:val="center"/>
          </w:tcPr>
          <w:p w14:paraId="748B584A">
            <w:pPr>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9" w:type="dxa"/>
            <w:vAlign w:val="center"/>
          </w:tcPr>
          <w:p w14:paraId="6FC41BFF">
            <w:pPr>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208D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96ED32F">
            <w:pPr>
              <w:jc w:val="center"/>
              <w:rPr>
                <w:rFonts w:ascii="宋体" w:hAnsi="宋体" w:cs="宋体"/>
                <w:color w:val="auto"/>
                <w:kern w:val="0"/>
                <w:sz w:val="21"/>
                <w:szCs w:val="21"/>
                <w:highlight w:val="none"/>
              </w:rPr>
            </w:pPr>
          </w:p>
        </w:tc>
        <w:tc>
          <w:tcPr>
            <w:tcW w:w="1560" w:type="dxa"/>
            <w:vMerge w:val="continue"/>
            <w:vAlign w:val="center"/>
          </w:tcPr>
          <w:p w14:paraId="6E9D0A12">
            <w:pPr>
              <w:rPr>
                <w:rFonts w:ascii="宋体" w:hAnsi="宋体" w:cs="宋体"/>
                <w:color w:val="auto"/>
                <w:kern w:val="0"/>
                <w:sz w:val="21"/>
                <w:szCs w:val="21"/>
                <w:highlight w:val="none"/>
              </w:rPr>
            </w:pPr>
          </w:p>
        </w:tc>
        <w:tc>
          <w:tcPr>
            <w:tcW w:w="1984" w:type="dxa"/>
            <w:vAlign w:val="center"/>
          </w:tcPr>
          <w:p w14:paraId="170557F9">
            <w:pPr>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9" w:type="dxa"/>
            <w:vAlign w:val="center"/>
          </w:tcPr>
          <w:p w14:paraId="1C977B8A">
            <w:pPr>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7EB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8AE1A0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vAlign w:val="center"/>
          </w:tcPr>
          <w:p w14:paraId="4885C684">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vAlign w:val="center"/>
          </w:tcPr>
          <w:p w14:paraId="0E462151">
            <w:pPr>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9" w:type="dxa"/>
            <w:vAlign w:val="center"/>
          </w:tcPr>
          <w:p w14:paraId="379AF4AC">
            <w:pPr>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5F2A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A284B52">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vAlign w:val="center"/>
          </w:tcPr>
          <w:p w14:paraId="27C08D28">
            <w:pPr>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4" w:type="dxa"/>
            <w:vAlign w:val="center"/>
          </w:tcPr>
          <w:p w14:paraId="0760D7B9">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vAlign w:val="center"/>
          </w:tcPr>
          <w:p w14:paraId="1E3EFB5E">
            <w:pPr>
              <w:pStyle w:val="10"/>
              <w:rPr>
                <w:rFonts w:ascii="宋体" w:hAnsi="宋体" w:cs="宋体"/>
                <w:color w:val="auto"/>
                <w:kern w:val="0"/>
                <w:sz w:val="21"/>
                <w:szCs w:val="21"/>
                <w:highlight w:val="none"/>
              </w:rPr>
            </w:pPr>
            <w:r>
              <w:rPr>
                <w:rFonts w:hint="eastAsia"/>
                <w:color w:val="auto"/>
                <w:sz w:val="24"/>
                <w:szCs w:val="24"/>
                <w:highlight w:val="none"/>
              </w:rPr>
              <w:t>对竞争性磋商文件第三篇规定的采购内容作实质性响应</w:t>
            </w:r>
            <w:r>
              <w:rPr>
                <w:rFonts w:hint="eastAsia" w:ascii="宋体" w:hAnsi="宋体" w:cs="宋体"/>
                <w:color w:val="auto"/>
                <w:kern w:val="0"/>
                <w:sz w:val="21"/>
                <w:szCs w:val="21"/>
                <w:highlight w:val="none"/>
              </w:rPr>
              <w:t>。</w:t>
            </w:r>
          </w:p>
        </w:tc>
      </w:tr>
      <w:tr w14:paraId="165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02911974">
            <w:pPr>
              <w:jc w:val="center"/>
              <w:rPr>
                <w:rFonts w:ascii="宋体" w:hAnsi="宋体" w:cs="宋体"/>
                <w:color w:val="auto"/>
                <w:kern w:val="0"/>
                <w:sz w:val="21"/>
                <w:szCs w:val="21"/>
                <w:highlight w:val="none"/>
              </w:rPr>
            </w:pPr>
          </w:p>
        </w:tc>
        <w:tc>
          <w:tcPr>
            <w:tcW w:w="1560" w:type="dxa"/>
            <w:vMerge w:val="continue"/>
            <w:vAlign w:val="center"/>
          </w:tcPr>
          <w:p w14:paraId="429B684D">
            <w:pPr>
              <w:rPr>
                <w:rFonts w:ascii="宋体" w:hAnsi="宋体" w:cs="宋体"/>
                <w:color w:val="auto"/>
                <w:sz w:val="21"/>
                <w:szCs w:val="21"/>
                <w:highlight w:val="none"/>
                <w:lang w:val="zh-CN"/>
              </w:rPr>
            </w:pPr>
          </w:p>
        </w:tc>
        <w:tc>
          <w:tcPr>
            <w:tcW w:w="1984" w:type="dxa"/>
            <w:vAlign w:val="center"/>
          </w:tcPr>
          <w:p w14:paraId="61ADA53B">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vAlign w:val="center"/>
          </w:tcPr>
          <w:p w14:paraId="2B781A37">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0AEBCF2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00ED4F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0FF02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357E9C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347E1E8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C37889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27A2FBE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150029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w:t>
      </w:r>
      <w:r>
        <w:rPr>
          <w:rFonts w:hint="eastAsia" w:ascii="宋体" w:hAnsi="宋体" w:cs="宋体"/>
          <w:color w:val="auto"/>
          <w:sz w:val="24"/>
          <w:szCs w:val="24"/>
          <w:highlight w:val="none"/>
          <w:lang w:val="en-US" w:eastAsia="zh-CN"/>
        </w:rPr>
        <w:t>即评标委员会，</w:t>
      </w:r>
      <w:r>
        <w:rPr>
          <w:rFonts w:hint="eastAsia" w:ascii="宋体" w:hAnsi="宋体" w:cs="宋体"/>
          <w:color w:val="auto"/>
          <w:sz w:val="24"/>
          <w:szCs w:val="24"/>
          <w:highlight w:val="none"/>
        </w:rPr>
        <w:t>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highlight w:val="none"/>
        </w:rPr>
        <w:t>。</w:t>
      </w:r>
    </w:p>
    <w:p w14:paraId="4206ECE7">
      <w:pPr>
        <w:pStyle w:val="16"/>
        <w:ind w:left="0" w:leftChars="0" w:firstLine="0" w:firstLineChars="0"/>
        <w:jc w:val="left"/>
        <w:rPr>
          <w:color w:val="auto"/>
          <w:highlight w:val="none"/>
        </w:rPr>
      </w:pPr>
      <w:r>
        <w:rPr>
          <w:rFonts w:hint="eastAsia" w:ascii="宋体" w:hAnsi="宋体" w:cs="宋体"/>
          <w:color w:val="auto"/>
          <w:sz w:val="24"/>
          <w:szCs w:val="24"/>
          <w:highlight w:val="none"/>
        </w:rPr>
        <w:t xml:space="preserve">     （十）评标程序：</w:t>
      </w:r>
      <w:r>
        <w:rPr>
          <w:rFonts w:hint="eastAsia"/>
          <w:color w:val="auto"/>
          <w:sz w:val="24"/>
          <w:szCs w:val="24"/>
          <w:highlight w:val="none"/>
        </w:rPr>
        <w:t>评标工作由采购人委托采购代理机构负责组织，具体评标事务由采购人按法律法规及相关规定依法组建的评标委员会负责。</w:t>
      </w:r>
      <w:r>
        <w:rPr>
          <w:rFonts w:hint="eastAsia"/>
          <w:color w:val="auto"/>
          <w:sz w:val="24"/>
          <w:szCs w:val="24"/>
          <w:highlight w:val="none"/>
        </w:rPr>
        <w:t>评标委员会由采购人代表1名和</w:t>
      </w:r>
      <w:r>
        <w:rPr>
          <w:rFonts w:hint="eastAsia"/>
          <w:color w:val="auto"/>
          <w:sz w:val="24"/>
          <w:szCs w:val="24"/>
          <w:highlight w:val="none"/>
          <w:lang w:val="en-US" w:eastAsia="zh-CN"/>
        </w:rPr>
        <w:t>2名</w:t>
      </w:r>
      <w:r>
        <w:rPr>
          <w:rFonts w:hint="eastAsia"/>
          <w:color w:val="auto"/>
          <w:sz w:val="24"/>
          <w:szCs w:val="24"/>
          <w:highlight w:val="none"/>
        </w:rPr>
        <w:t>在重庆行采家评审专家库中随取</w:t>
      </w:r>
      <w:r>
        <w:rPr>
          <w:rFonts w:hint="eastAsia"/>
          <w:color w:val="auto"/>
          <w:sz w:val="24"/>
          <w:szCs w:val="24"/>
          <w:highlight w:val="none"/>
          <w:lang w:val="en-US" w:eastAsia="zh-CN"/>
        </w:rPr>
        <w:t>的</w:t>
      </w:r>
      <w:r>
        <w:rPr>
          <w:rFonts w:hint="eastAsia"/>
          <w:color w:val="auto"/>
          <w:sz w:val="24"/>
          <w:szCs w:val="24"/>
          <w:highlight w:val="none"/>
        </w:rPr>
        <w:t>评审专家组成。评标委员会成员到位后，推举其中1名评审专家担任评审组长，并由评审组长牵头组织该项目评审工作。</w:t>
      </w:r>
      <w:r>
        <w:rPr>
          <w:rFonts w:hint="eastAsia"/>
          <w:color w:val="auto"/>
          <w:sz w:val="24"/>
          <w:szCs w:val="24"/>
          <w:highlight w:val="none"/>
        </w:rPr>
        <w:t>评标委员会按以下程序独立履行评审职责：</w:t>
      </w:r>
    </w:p>
    <w:p w14:paraId="774A39B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（十一）评标委员会各成员独立对每个有效响应（通过资格性审查、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30F6352E">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29" w:name="_Toc76462334"/>
      <w:bookmarkStart w:id="130" w:name="_Toc106030889"/>
      <w:r>
        <w:rPr>
          <w:rFonts w:hint="eastAsia" w:ascii="宋体" w:hAnsi="宋体" w:eastAsia="宋体" w:cs="宋体"/>
          <w:color w:val="auto"/>
          <w:sz w:val="24"/>
          <w:highlight w:val="none"/>
        </w:rPr>
        <w:t>二、</w:t>
      </w:r>
      <w:bookmarkStart w:id="131" w:name="_Toc102227320"/>
      <w:bookmarkStart w:id="132" w:name="_Toc342913394"/>
      <w:r>
        <w:rPr>
          <w:rFonts w:hint="eastAsia" w:ascii="宋体" w:hAnsi="宋体" w:eastAsia="宋体" w:cs="宋体"/>
          <w:color w:val="auto"/>
          <w:sz w:val="24"/>
          <w:highlight w:val="none"/>
        </w:rPr>
        <w:t>评审标准</w:t>
      </w:r>
      <w:bookmarkEnd w:id="129"/>
      <w:bookmarkEnd w:id="130"/>
      <w:bookmarkStart w:id="133" w:name="_Toc76462335"/>
      <w:bookmarkStart w:id="134" w:name="_Toc106030890"/>
    </w:p>
    <w:tbl>
      <w:tblPr>
        <w:tblStyle w:val="17"/>
        <w:tblW w:w="9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16"/>
        <w:gridCol w:w="748"/>
        <w:gridCol w:w="1269"/>
        <w:gridCol w:w="5624"/>
      </w:tblGrid>
      <w:tr w14:paraId="6517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14:paraId="41E2559C">
            <w:pPr>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16" w:type="dxa"/>
            <w:vAlign w:val="center"/>
          </w:tcPr>
          <w:p w14:paraId="2CA364DB">
            <w:pPr>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评分因素及权值</w:t>
            </w:r>
          </w:p>
        </w:tc>
        <w:tc>
          <w:tcPr>
            <w:tcW w:w="748" w:type="dxa"/>
            <w:vAlign w:val="center"/>
          </w:tcPr>
          <w:p w14:paraId="46522C44">
            <w:pPr>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6893" w:type="dxa"/>
            <w:gridSpan w:val="2"/>
            <w:vAlign w:val="center"/>
          </w:tcPr>
          <w:p w14:paraId="20CFDC82">
            <w:pPr>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评分标准</w:t>
            </w:r>
          </w:p>
        </w:tc>
      </w:tr>
      <w:tr w14:paraId="1E5D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16" w:type="dxa"/>
            <w:vAlign w:val="center"/>
          </w:tcPr>
          <w:p w14:paraId="0F9DCA3A">
            <w:pPr>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16" w:type="dxa"/>
            <w:vAlign w:val="center"/>
          </w:tcPr>
          <w:p w14:paraId="0D878500">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p w14:paraId="15CB02F5">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59EA0A4C">
            <w:pPr>
              <w:ind w:firstLine="210" w:firstLineChars="100"/>
              <w:rPr>
                <w:color w:val="auto"/>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p w14:paraId="603C5D12">
            <w:pPr>
              <w:ind w:firstLine="28"/>
              <w:jc w:val="center"/>
              <w:rPr>
                <w:rFonts w:ascii="宋体" w:hAnsi="宋体" w:cs="宋体"/>
                <w:color w:val="auto"/>
                <w:sz w:val="21"/>
                <w:szCs w:val="21"/>
                <w:highlight w:val="none"/>
              </w:rPr>
            </w:pPr>
          </w:p>
        </w:tc>
        <w:tc>
          <w:tcPr>
            <w:tcW w:w="748" w:type="dxa"/>
            <w:vAlign w:val="center"/>
          </w:tcPr>
          <w:p w14:paraId="2114B6EF">
            <w:pPr>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6893" w:type="dxa"/>
            <w:gridSpan w:val="2"/>
            <w:vAlign w:val="center"/>
          </w:tcPr>
          <w:p w14:paraId="312F05A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3B9B2AF6">
            <w:pPr>
              <w:jc w:val="left"/>
              <w:rPr>
                <w:rFonts w:ascii="宋体" w:hAnsi="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w:t>
            </w:r>
          </w:p>
        </w:tc>
      </w:tr>
      <w:tr w14:paraId="61D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16" w:type="dxa"/>
            <w:vAlign w:val="center"/>
          </w:tcPr>
          <w:p w14:paraId="30F2B3C4">
            <w:pPr>
              <w:ind w:firstLine="28"/>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16" w:type="dxa"/>
            <w:vAlign w:val="center"/>
          </w:tcPr>
          <w:p w14:paraId="740956FF">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技术服务</w:t>
            </w:r>
            <w:r>
              <w:rPr>
                <w:rFonts w:hint="eastAsia" w:ascii="宋体" w:hAnsi="宋体" w:cs="宋体"/>
                <w:color w:val="auto"/>
                <w:sz w:val="21"/>
                <w:szCs w:val="21"/>
                <w:highlight w:val="none"/>
              </w:rPr>
              <w:t>部分</w:t>
            </w:r>
          </w:p>
          <w:p w14:paraId="3E6268DC">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w:t>
            </w:r>
          </w:p>
        </w:tc>
        <w:tc>
          <w:tcPr>
            <w:tcW w:w="748" w:type="dxa"/>
            <w:vAlign w:val="center"/>
          </w:tcPr>
          <w:p w14:paraId="2B66FD27">
            <w:pPr>
              <w:ind w:firstLine="28"/>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6893" w:type="dxa"/>
            <w:gridSpan w:val="2"/>
            <w:vAlign w:val="center"/>
          </w:tcPr>
          <w:p w14:paraId="61934FEE">
            <w:pPr>
              <w:rPr>
                <w:rFonts w:hint="eastAsia" w:ascii="宋体" w:hAnsi="宋体" w:cs="宋体"/>
                <w:color w:val="auto"/>
                <w:sz w:val="21"/>
                <w:szCs w:val="21"/>
                <w:highlight w:val="none"/>
              </w:rPr>
            </w:pPr>
            <w:r>
              <w:rPr>
                <w:rFonts w:hint="eastAsia" w:ascii="宋体" w:hAnsi="宋体" w:cs="宋体"/>
                <w:color w:val="auto"/>
                <w:sz w:val="21"/>
                <w:szCs w:val="21"/>
                <w:highlight w:val="none"/>
              </w:rPr>
              <w:t>服务方案（0～</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 分）</w:t>
            </w:r>
          </w:p>
          <w:p w14:paraId="76859712">
            <w:pP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对本项目</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文件中所述具体需求，充分理解后围绕需求编制 服务方案，评标委员会根据各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编制的内容横向比较自主评审，按以 下内容进行评分：</w:t>
            </w:r>
          </w:p>
          <w:p w14:paraId="148FB2FF">
            <w:pPr>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的企业管理（0～2 分）</w:t>
            </w:r>
          </w:p>
          <w:p w14:paraId="3E10EBEF">
            <w:pPr>
              <w:rPr>
                <w:rFonts w:hint="eastAsia"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的企业管理规章制度规范、档案管理进行评分，重点为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管理制度、档案管理的完善性、格式的规范性和文字的严谨性。</w:t>
            </w:r>
          </w:p>
          <w:p w14:paraId="6447FB65">
            <w:pP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的实力（0～3 分）</w:t>
            </w:r>
          </w:p>
          <w:p w14:paraId="7E92D98F">
            <w:pPr>
              <w:rPr>
                <w:rFonts w:hint="eastAsia"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硬件条件进行评分，主要包括维修场所面积情况、固定举升机情况、烤漆房情况、排放污染物情况以及相关车辆维修设备设施情况 等。</w:t>
            </w:r>
          </w:p>
          <w:p w14:paraId="10986557">
            <w:pPr>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的技术力量（0～5 分）</w:t>
            </w:r>
          </w:p>
          <w:p w14:paraId="047127F6">
            <w:pPr>
              <w:rPr>
                <w:rFonts w:hint="eastAsia"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针对本项目配备的人员情况进行评分，主要包括拟投入团队人员总人数，汽车维修职业技能人数等。</w:t>
            </w:r>
          </w:p>
          <w:p w14:paraId="1DBD8E8C">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维修质量保证（0～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分）</w:t>
            </w:r>
          </w:p>
          <w:p w14:paraId="622C1119">
            <w:pPr>
              <w:rPr>
                <w:rFonts w:hint="eastAsia" w:ascii="宋体" w:hAnsi="宋体" w:cs="宋体"/>
                <w:color w:val="auto"/>
                <w:sz w:val="21"/>
                <w:szCs w:val="21"/>
                <w:highlight w:val="none"/>
              </w:rPr>
            </w:pPr>
            <w:r>
              <w:rPr>
                <w:rFonts w:hint="eastAsia" w:ascii="宋体" w:hAnsi="宋体" w:cs="宋体"/>
                <w:color w:val="auto"/>
                <w:sz w:val="21"/>
                <w:szCs w:val="21"/>
                <w:highlight w:val="none"/>
              </w:rPr>
              <w:t>质量控制体系（方案）能做到各个环节有序、高效、便捷。</w:t>
            </w:r>
          </w:p>
          <w:p w14:paraId="397C2F81">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拖车服务（0～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分）</w:t>
            </w:r>
          </w:p>
          <w:p w14:paraId="546CC14B">
            <w:pPr>
              <w:rPr>
                <w:rFonts w:hint="eastAsia" w:ascii="宋体" w:hAnsi="宋体" w:cs="宋体"/>
                <w:color w:val="auto"/>
                <w:sz w:val="21"/>
                <w:szCs w:val="21"/>
                <w:highlight w:val="none"/>
              </w:rPr>
            </w:pPr>
            <w:r>
              <w:rPr>
                <w:rFonts w:hint="eastAsia" w:ascii="宋体" w:hAnsi="宋体" w:cs="宋体"/>
                <w:color w:val="auto"/>
                <w:sz w:val="21"/>
                <w:szCs w:val="21"/>
                <w:highlight w:val="none"/>
              </w:rPr>
              <w:t>无拖车服务的不得分,有自备或外协拖车的得 2 分。</w:t>
            </w:r>
          </w:p>
          <w:p w14:paraId="41CFA959">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响应时间（0～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分）</w:t>
            </w:r>
          </w:p>
          <w:p w14:paraId="1E1733D8">
            <w:pPr>
              <w:rPr>
                <w:rFonts w:hint="eastAsia" w:ascii="宋体" w:hAnsi="宋体" w:cs="宋体"/>
                <w:color w:val="auto"/>
                <w:sz w:val="21"/>
                <w:szCs w:val="21"/>
                <w:highlight w:val="none"/>
              </w:rPr>
            </w:pPr>
            <w:r>
              <w:rPr>
                <w:rFonts w:hint="eastAsia" w:ascii="宋体" w:hAnsi="宋体" w:cs="宋体"/>
                <w:color w:val="auto"/>
                <w:sz w:val="21"/>
                <w:szCs w:val="21"/>
                <w:highlight w:val="none"/>
              </w:rPr>
              <w:t>承诺接到报修后 1 小时之内到达现场的得 2 分，2 小时之内到达现场的 得 1 分，其余情况不得分。</w:t>
            </w:r>
          </w:p>
          <w:p w14:paraId="0E0B8630">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合理服务承诺（0～1 分)</w:t>
            </w:r>
          </w:p>
          <w:p w14:paraId="3D6FD02C">
            <w:pPr>
              <w:rPr>
                <w:rFonts w:hint="eastAsia" w:ascii="宋体" w:hAnsi="宋体" w:cs="宋体"/>
                <w:color w:val="auto"/>
                <w:sz w:val="21"/>
                <w:szCs w:val="21"/>
                <w:highlight w:val="none"/>
              </w:rPr>
            </w:pPr>
            <w:r>
              <w:rPr>
                <w:rFonts w:hint="eastAsia" w:ascii="宋体" w:hAnsi="宋体" w:cs="宋体"/>
                <w:color w:val="auto"/>
                <w:sz w:val="21"/>
                <w:szCs w:val="21"/>
                <w:highlight w:val="none"/>
              </w:rPr>
              <w:t>有其他实质性服务承诺的，经评审确有价值的，由评标委员会在 0～1 分之间自主评分。</w:t>
            </w:r>
          </w:p>
          <w:p w14:paraId="3C8F8F60">
            <w:pPr>
              <w:rPr>
                <w:rFonts w:hint="default" w:ascii="宋体" w:hAnsi="宋体" w:eastAsia="宋体" w:cs="宋体"/>
                <w:color w:val="auto"/>
                <w:sz w:val="21"/>
                <w:szCs w:val="21"/>
                <w:highlight w:val="none"/>
                <w:lang w:val="en-US" w:eastAsia="zh-CN"/>
              </w:rPr>
            </w:pPr>
          </w:p>
          <w:p w14:paraId="79243B40">
            <w:pPr>
              <w:rPr>
                <w:rFonts w:ascii="宋体" w:hAnsi="宋体" w:cs="宋体"/>
                <w:color w:val="auto"/>
                <w:sz w:val="21"/>
                <w:szCs w:val="21"/>
                <w:highlight w:val="none"/>
              </w:rPr>
            </w:pPr>
            <w:r>
              <w:rPr>
                <w:rFonts w:hint="eastAsia" w:ascii="宋体" w:hAnsi="宋体" w:cs="宋体"/>
                <w:color w:val="auto"/>
                <w:sz w:val="21"/>
                <w:szCs w:val="21"/>
                <w:highlight w:val="none"/>
              </w:rPr>
              <w:t>注： 由</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自行编写服务方案及承诺（如有）并加盖</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公章， 格式自拟，未提供不得分。</w:t>
            </w:r>
          </w:p>
        </w:tc>
      </w:tr>
      <w:tr w14:paraId="0C62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restart"/>
            <w:tcBorders>
              <w:left w:val="single" w:color="auto" w:sz="4" w:space="0"/>
              <w:right w:val="single" w:color="auto" w:sz="4" w:space="0"/>
            </w:tcBorders>
            <w:vAlign w:val="center"/>
          </w:tcPr>
          <w:p w14:paraId="09ED1947">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216" w:type="dxa"/>
            <w:vMerge w:val="restart"/>
            <w:tcBorders>
              <w:left w:val="single" w:color="auto" w:sz="4" w:space="0"/>
              <w:right w:val="single" w:color="auto" w:sz="4" w:space="0"/>
            </w:tcBorders>
            <w:vAlign w:val="center"/>
          </w:tcPr>
          <w:p w14:paraId="274A6AF3">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商务部分</w:t>
            </w:r>
          </w:p>
          <w:p w14:paraId="6B2B3825">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w:t>
            </w:r>
          </w:p>
        </w:tc>
        <w:tc>
          <w:tcPr>
            <w:tcW w:w="748" w:type="dxa"/>
            <w:vMerge w:val="restart"/>
            <w:tcBorders>
              <w:left w:val="single" w:color="auto" w:sz="4" w:space="0"/>
              <w:right w:val="single" w:color="auto" w:sz="4" w:space="0"/>
            </w:tcBorders>
            <w:vAlign w:val="center"/>
          </w:tcPr>
          <w:p w14:paraId="79D479F6">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0分</w:t>
            </w:r>
          </w:p>
        </w:tc>
        <w:tc>
          <w:tcPr>
            <w:tcW w:w="1269" w:type="dxa"/>
            <w:tcBorders>
              <w:top w:val="single" w:color="auto" w:sz="4" w:space="0"/>
              <w:left w:val="single" w:color="auto" w:sz="4" w:space="0"/>
              <w:bottom w:val="single" w:color="auto" w:sz="4" w:space="0"/>
              <w:right w:val="single" w:color="auto" w:sz="4" w:space="0"/>
            </w:tcBorders>
            <w:vAlign w:val="center"/>
          </w:tcPr>
          <w:p w14:paraId="1C39AD0D">
            <w:pPr>
              <w:rPr>
                <w:rFonts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en-US" w:eastAsia="zh-CN"/>
              </w:rPr>
              <w:t>业绩</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20分</w:t>
            </w:r>
            <w:r>
              <w:rPr>
                <w:rFonts w:hint="eastAsia" w:ascii="宋体" w:hAnsi="宋体" w:cs="宋体"/>
                <w:color w:val="auto"/>
                <w:sz w:val="21"/>
                <w:szCs w:val="21"/>
                <w:highlight w:val="none"/>
              </w:rPr>
              <w:t>）</w:t>
            </w:r>
          </w:p>
        </w:tc>
        <w:tc>
          <w:tcPr>
            <w:tcW w:w="5624" w:type="dxa"/>
            <w:tcBorders>
              <w:top w:val="single" w:color="auto" w:sz="4" w:space="0"/>
              <w:left w:val="single" w:color="auto" w:sz="4" w:space="0"/>
              <w:bottom w:val="single" w:color="auto" w:sz="4" w:space="0"/>
              <w:right w:val="single" w:color="auto" w:sz="4" w:space="0"/>
            </w:tcBorders>
            <w:vAlign w:val="center"/>
          </w:tcPr>
          <w:p w14:paraId="7306F177">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en-US" w:eastAsia="zh-CN"/>
              </w:rPr>
              <w:t>需</w:t>
            </w:r>
            <w:r>
              <w:rPr>
                <w:rFonts w:hint="eastAsia" w:ascii="宋体" w:hAnsi="宋体" w:cs="宋体"/>
                <w:color w:val="auto"/>
                <w:sz w:val="21"/>
                <w:szCs w:val="21"/>
                <w:highlight w:val="none"/>
              </w:rPr>
              <w:t>提供 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年 </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月 1 日至本项目</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截止时间之日止（以签订合同时间为准）具有与本次</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内容相同或类似的车辆维修业绩，每提供 1 个得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分，最多得</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提供业绩合同复印件</w:t>
            </w:r>
            <w:r>
              <w:rPr>
                <w:rFonts w:hint="eastAsia" w:ascii="宋体" w:hAnsi="宋体" w:cs="宋体"/>
                <w:color w:val="auto"/>
                <w:sz w:val="21"/>
                <w:szCs w:val="21"/>
                <w:highlight w:val="none"/>
                <w:lang w:val="en-US" w:eastAsia="zh-CN"/>
              </w:rPr>
              <w:t>及发票</w:t>
            </w:r>
            <w:r>
              <w:rPr>
                <w:rFonts w:hint="eastAsia" w:ascii="宋体" w:hAnsi="宋体" w:cs="宋体"/>
                <w:color w:val="auto"/>
                <w:sz w:val="21"/>
                <w:szCs w:val="21"/>
                <w:highlight w:val="none"/>
              </w:rPr>
              <w:t>复印件，加盖供应商公章。</w:t>
            </w:r>
          </w:p>
        </w:tc>
      </w:tr>
      <w:tr w14:paraId="3681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left w:val="single" w:color="auto" w:sz="4" w:space="0"/>
              <w:right w:val="single" w:color="auto" w:sz="4" w:space="0"/>
            </w:tcBorders>
            <w:vAlign w:val="center"/>
          </w:tcPr>
          <w:p w14:paraId="644A1F23">
            <w:pPr>
              <w:ind w:firstLine="28"/>
              <w:jc w:val="center"/>
              <w:rPr>
                <w:rFonts w:hint="eastAsia" w:ascii="宋体" w:hAnsi="宋体" w:cs="宋体"/>
                <w:color w:val="auto"/>
                <w:sz w:val="21"/>
                <w:szCs w:val="21"/>
                <w:highlight w:val="none"/>
              </w:rPr>
            </w:pPr>
          </w:p>
        </w:tc>
        <w:tc>
          <w:tcPr>
            <w:tcW w:w="1216" w:type="dxa"/>
            <w:vMerge w:val="continue"/>
            <w:tcBorders>
              <w:left w:val="single" w:color="auto" w:sz="4" w:space="0"/>
              <w:right w:val="single" w:color="auto" w:sz="4" w:space="0"/>
            </w:tcBorders>
            <w:vAlign w:val="center"/>
          </w:tcPr>
          <w:p w14:paraId="0D1E003D">
            <w:pPr>
              <w:ind w:firstLine="28"/>
              <w:jc w:val="center"/>
              <w:rPr>
                <w:rFonts w:hint="eastAsia" w:ascii="宋体" w:hAnsi="宋体" w:cs="宋体"/>
                <w:color w:val="auto"/>
                <w:sz w:val="21"/>
                <w:szCs w:val="21"/>
                <w:highlight w:val="none"/>
              </w:rPr>
            </w:pPr>
          </w:p>
        </w:tc>
        <w:tc>
          <w:tcPr>
            <w:tcW w:w="748" w:type="dxa"/>
            <w:vMerge w:val="continue"/>
            <w:tcBorders>
              <w:left w:val="single" w:color="auto" w:sz="4" w:space="0"/>
              <w:right w:val="single" w:color="auto" w:sz="4" w:space="0"/>
            </w:tcBorders>
            <w:vAlign w:val="center"/>
          </w:tcPr>
          <w:p w14:paraId="1C683EAF">
            <w:pPr>
              <w:ind w:firstLine="28"/>
              <w:jc w:val="center"/>
              <w:rPr>
                <w:rFonts w:hint="eastAsia" w:ascii="宋体" w:hAnsi="宋体" w:cs="宋体"/>
                <w:color w:val="auto"/>
                <w:sz w:val="21"/>
                <w:szCs w:val="21"/>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146B6486">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en-US" w:eastAsia="zh-CN"/>
              </w:rPr>
              <w:t>维修资质</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10分</w:t>
            </w:r>
            <w:r>
              <w:rPr>
                <w:rFonts w:hint="eastAsia" w:ascii="宋体" w:hAnsi="宋体" w:cs="宋体"/>
                <w:color w:val="auto"/>
                <w:sz w:val="21"/>
                <w:szCs w:val="21"/>
                <w:highlight w:val="none"/>
              </w:rPr>
              <w:t>）</w:t>
            </w:r>
          </w:p>
        </w:tc>
        <w:tc>
          <w:tcPr>
            <w:tcW w:w="5624" w:type="dxa"/>
            <w:tcBorders>
              <w:top w:val="single" w:color="auto" w:sz="4" w:space="0"/>
              <w:left w:val="single" w:color="auto" w:sz="4" w:space="0"/>
              <w:bottom w:val="single" w:color="auto" w:sz="4" w:space="0"/>
              <w:right w:val="single" w:color="auto" w:sz="4" w:space="0"/>
            </w:tcBorders>
            <w:vAlign w:val="center"/>
          </w:tcPr>
          <w:p w14:paraId="0757E850">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供应商具有一类维修资质的得 </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 xml:space="preserve"> 分。</w:t>
            </w:r>
          </w:p>
          <w:p w14:paraId="0C614E6B">
            <w:pPr>
              <w:rPr>
                <w:rFonts w:hint="eastAsia"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文件（商务部分）中提供维修经营许可证或备案书复印件并加盖单位章。</w:t>
            </w:r>
          </w:p>
        </w:tc>
      </w:tr>
      <w:tr w14:paraId="791E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left w:val="single" w:color="auto" w:sz="4" w:space="0"/>
              <w:right w:val="single" w:color="auto" w:sz="4" w:space="0"/>
            </w:tcBorders>
            <w:vAlign w:val="center"/>
          </w:tcPr>
          <w:p w14:paraId="31832644">
            <w:pPr>
              <w:ind w:firstLine="28"/>
              <w:jc w:val="center"/>
              <w:rPr>
                <w:rFonts w:hint="eastAsia" w:ascii="宋体" w:hAnsi="宋体" w:cs="宋体"/>
                <w:color w:val="auto"/>
                <w:sz w:val="21"/>
                <w:szCs w:val="21"/>
                <w:highlight w:val="none"/>
              </w:rPr>
            </w:pPr>
          </w:p>
        </w:tc>
        <w:tc>
          <w:tcPr>
            <w:tcW w:w="1216" w:type="dxa"/>
            <w:vMerge w:val="continue"/>
            <w:tcBorders>
              <w:left w:val="single" w:color="auto" w:sz="4" w:space="0"/>
              <w:right w:val="single" w:color="auto" w:sz="4" w:space="0"/>
            </w:tcBorders>
            <w:vAlign w:val="center"/>
          </w:tcPr>
          <w:p w14:paraId="2B07D7EE">
            <w:pPr>
              <w:ind w:firstLine="28"/>
              <w:jc w:val="center"/>
              <w:rPr>
                <w:rFonts w:hint="eastAsia" w:ascii="宋体" w:hAnsi="宋体" w:cs="宋体"/>
                <w:color w:val="auto"/>
                <w:sz w:val="21"/>
                <w:szCs w:val="21"/>
                <w:highlight w:val="none"/>
              </w:rPr>
            </w:pPr>
          </w:p>
        </w:tc>
        <w:tc>
          <w:tcPr>
            <w:tcW w:w="748" w:type="dxa"/>
            <w:vMerge w:val="continue"/>
            <w:tcBorders>
              <w:left w:val="single" w:color="auto" w:sz="4" w:space="0"/>
              <w:right w:val="single" w:color="auto" w:sz="4" w:space="0"/>
            </w:tcBorders>
            <w:vAlign w:val="center"/>
          </w:tcPr>
          <w:p w14:paraId="32B025C8">
            <w:pPr>
              <w:ind w:firstLine="28"/>
              <w:jc w:val="center"/>
              <w:rPr>
                <w:rFonts w:hint="eastAsia" w:ascii="宋体" w:hAnsi="宋体" w:cs="宋体"/>
                <w:color w:val="auto"/>
                <w:sz w:val="21"/>
                <w:szCs w:val="21"/>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136D89B4">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en-US" w:eastAsia="zh-CN"/>
              </w:rPr>
              <w:t>经营场地</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20分</w:t>
            </w:r>
            <w:r>
              <w:rPr>
                <w:rFonts w:hint="eastAsia" w:ascii="宋体" w:hAnsi="宋体" w:cs="宋体"/>
                <w:color w:val="auto"/>
                <w:sz w:val="21"/>
                <w:szCs w:val="21"/>
                <w:highlight w:val="none"/>
              </w:rPr>
              <w:t>）</w:t>
            </w:r>
          </w:p>
        </w:tc>
        <w:tc>
          <w:tcPr>
            <w:tcW w:w="5624" w:type="dxa"/>
            <w:tcBorders>
              <w:top w:val="single" w:color="auto" w:sz="4" w:space="0"/>
              <w:left w:val="single" w:color="auto" w:sz="4" w:space="0"/>
              <w:bottom w:val="single" w:color="auto" w:sz="4" w:space="0"/>
              <w:right w:val="single" w:color="auto" w:sz="4" w:space="0"/>
            </w:tcBorders>
            <w:vAlign w:val="center"/>
          </w:tcPr>
          <w:p w14:paraId="3F19C83F">
            <w:pP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拥有固定经营场所，并能满足汽车维修服务的维修厂房、 接待室、停车场，按经营场所的面积进行评分：</w:t>
            </w:r>
          </w:p>
          <w:p w14:paraId="0DEF14AC">
            <w:pPr>
              <w:rPr>
                <w:rFonts w:hint="eastAsia" w:ascii="宋体" w:hAnsi="宋体" w:cs="宋体"/>
                <w:color w:val="auto"/>
                <w:sz w:val="21"/>
                <w:szCs w:val="21"/>
                <w:highlight w:val="none"/>
              </w:rPr>
            </w:pPr>
            <w:r>
              <w:rPr>
                <w:rFonts w:hint="eastAsia" w:ascii="宋体" w:hAnsi="宋体" w:cs="宋体"/>
                <w:color w:val="auto"/>
                <w:sz w:val="21"/>
                <w:szCs w:val="21"/>
                <w:highlight w:val="none"/>
              </w:rPr>
              <w:t>经营场所面积＜1500 ㎡ ，不得分；经营场所面积≥1500 ㎡得 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 xml:space="preserve"> 分，每增加 100 ㎡加 5 分，最多加 </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 xml:space="preserve"> 分。本项最多得 2</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 xml:space="preserve"> 分。</w:t>
            </w:r>
          </w:p>
          <w:p w14:paraId="69DB6865">
            <w:pPr>
              <w:rPr>
                <w:rFonts w:hint="eastAsia"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文件（商务部分）中按上述要求提供经营场所的维修厂房、接待室、停车场照片和产权证明文件（或房屋租赁合同） 复印件并加盖</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单位章；如</w:t>
            </w:r>
            <w:r>
              <w:rPr>
                <w:rFonts w:hint="eastAsia" w:ascii="宋体" w:hAnsi="宋体" w:cs="宋体"/>
                <w:color w:val="auto"/>
                <w:sz w:val="21"/>
                <w:szCs w:val="21"/>
                <w:highlight w:val="none"/>
                <w:lang w:val="en-US" w:eastAsia="zh-CN"/>
              </w:rPr>
              <w:t>经核实发现</w:t>
            </w:r>
            <w:r>
              <w:rPr>
                <w:rFonts w:hint="eastAsia" w:ascii="宋体" w:hAnsi="宋体" w:cs="宋体"/>
                <w:color w:val="auto"/>
                <w:sz w:val="21"/>
                <w:szCs w:val="21"/>
                <w:highlight w:val="none"/>
              </w:rPr>
              <w:t>提供虚假资料，其</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保证金不予退还。</w:t>
            </w:r>
          </w:p>
        </w:tc>
      </w:tr>
    </w:tbl>
    <w:p w14:paraId="6D2B482A">
      <w:pPr>
        <w:snapToGrid w:val="0"/>
        <w:spacing w:line="360" w:lineRule="auto"/>
        <w:ind w:firstLine="482" w:firstLineChars="200"/>
        <w:rPr>
          <w:rFonts w:ascii="宋体" w:hAnsi="宋体" w:cs="宋体"/>
          <w:color w:val="auto"/>
          <w:sz w:val="24"/>
          <w:highlight w:val="none"/>
        </w:rPr>
      </w:pPr>
      <w:r>
        <w:rPr>
          <w:rFonts w:hint="eastAsia"/>
          <w:b/>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3242364C">
      <w:pPr>
        <w:pStyle w:val="4"/>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三、无效响应</w:t>
      </w:r>
      <w:bookmarkEnd w:id="133"/>
      <w:bookmarkEnd w:id="134"/>
    </w:p>
    <w:p w14:paraId="49C02FD2">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6E6B5BFE">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65483891">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1F2136A5">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53132F5A">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407B2E91">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5C3F8A92">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（六）单位负责人为同一人或者存在直接控股、管理关系的不同供应商，参加同一合同项下的采购活动的；</w:t>
      </w:r>
    </w:p>
    <w:p w14:paraId="2C6D2BF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）供应商磋商有效期不满足竞争性磋商文件要求的；</w:t>
      </w:r>
    </w:p>
    <w:p w14:paraId="148DA42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）供应商响应文件内容有与国家现行法律法规相违背的内容，或附有采购人无法接受的条件；</w:t>
      </w:r>
    </w:p>
    <w:p w14:paraId="1DBB40F7">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）未按磋商文件规定缴纳磋商保证金的；</w:t>
      </w:r>
    </w:p>
    <w:p w14:paraId="226B8D4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rPr>
        <w:t>）法律、法规和竞争性磋商文件规定的其他无效情形。</w:t>
      </w:r>
    </w:p>
    <w:p w14:paraId="2AA2E3CB">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35" w:name="_Toc76462336"/>
      <w:bookmarkStart w:id="136" w:name="_Toc106030891"/>
      <w:r>
        <w:rPr>
          <w:rFonts w:hint="eastAsia" w:ascii="宋体" w:hAnsi="宋体" w:eastAsia="宋体" w:cs="宋体"/>
          <w:color w:val="auto"/>
          <w:sz w:val="24"/>
          <w:highlight w:val="none"/>
        </w:rPr>
        <w:t>四、</w:t>
      </w:r>
      <w:bookmarkEnd w:id="131"/>
      <w:bookmarkEnd w:id="132"/>
      <w:r>
        <w:rPr>
          <w:rFonts w:hint="eastAsia" w:ascii="宋体" w:hAnsi="宋体" w:eastAsia="宋体" w:cs="宋体"/>
          <w:color w:val="auto"/>
          <w:sz w:val="24"/>
          <w:highlight w:val="none"/>
        </w:rPr>
        <w:t>采购终止</w:t>
      </w:r>
      <w:bookmarkEnd w:id="135"/>
      <w:bookmarkEnd w:id="136"/>
    </w:p>
    <w:p w14:paraId="445B1323">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1742832A">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280A1B54">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0E0A012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w:t>
      </w:r>
      <w:commentRangeStart w:id="0"/>
      <w:r>
        <w:rPr>
          <w:rFonts w:hint="eastAsia" w:ascii="宋体" w:hAnsi="宋体" w:cs="宋体"/>
          <w:color w:val="auto"/>
          <w:sz w:val="24"/>
          <w:szCs w:val="24"/>
          <w:highlight w:val="none"/>
        </w:rPr>
        <w:t>在采购过程中符合要求的供应商或者报价未超过采购预算的供应商不足</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家的，</w:t>
      </w:r>
      <w:commentRangeEnd w:id="0"/>
      <w:r>
        <w:rPr>
          <w:color w:val="auto"/>
          <w:highlight w:val="none"/>
        </w:rPr>
        <w:commentReference w:id="0"/>
      </w:r>
      <w:r>
        <w:rPr>
          <w:rFonts w:hint="eastAsia" w:ascii="宋体" w:hAnsi="宋体" w:cs="宋体"/>
          <w:color w:val="auto"/>
          <w:sz w:val="24"/>
          <w:szCs w:val="24"/>
          <w:highlight w:val="none"/>
        </w:rPr>
        <w:t>但《政府采购竞争性磋商采购方式管理暂行办法》第二十一条第三款规定的情形除外。</w:t>
      </w:r>
    </w:p>
    <w:p w14:paraId="0CDDE974">
      <w:pPr>
        <w:spacing w:line="400" w:lineRule="exact"/>
        <w:ind w:firstLine="480" w:firstLineChars="200"/>
        <w:rPr>
          <w:rFonts w:ascii="宋体" w:hAnsi="宋体" w:cs="宋体"/>
          <w:color w:val="auto"/>
          <w:sz w:val="24"/>
          <w:szCs w:val="24"/>
          <w:highlight w:val="none"/>
        </w:rPr>
        <w:sectPr>
          <w:footerReference r:id="rId10" w:type="default"/>
          <w:pgSz w:w="11907" w:h="16840"/>
          <w:pgMar w:top="1134" w:right="1191" w:bottom="1134" w:left="1304" w:header="964" w:footer="992" w:gutter="0"/>
          <w:pgNumType w:fmt="decimal"/>
          <w:cols w:space="720" w:num="1"/>
          <w:docGrid w:linePitch="312" w:charSpace="0"/>
        </w:sectPr>
      </w:pPr>
    </w:p>
    <w:p w14:paraId="650D9D70">
      <w:pPr>
        <w:pStyle w:val="4"/>
        <w:pageBreakBefore/>
        <w:spacing w:before="0" w:after="0" w:line="360" w:lineRule="auto"/>
        <w:jc w:val="center"/>
        <w:rPr>
          <w:rFonts w:ascii="宋体" w:hAnsi="宋体" w:eastAsia="宋体" w:cs="宋体"/>
          <w:b w:val="0"/>
          <w:bCs/>
          <w:color w:val="auto"/>
          <w:sz w:val="36"/>
          <w:szCs w:val="30"/>
          <w:highlight w:val="none"/>
        </w:rPr>
      </w:pPr>
      <w:bookmarkStart w:id="137" w:name="_Toc102227313"/>
      <w:bookmarkStart w:id="138" w:name="_Toc106030892"/>
      <w:bookmarkStart w:id="139" w:name="_Toc76462337"/>
      <w:r>
        <w:rPr>
          <w:rFonts w:hint="eastAsia" w:ascii="宋体" w:hAnsi="宋体" w:eastAsia="宋体" w:cs="宋体"/>
          <w:b w:val="0"/>
          <w:bCs/>
          <w:color w:val="auto"/>
          <w:sz w:val="36"/>
          <w:szCs w:val="30"/>
          <w:highlight w:val="none"/>
        </w:rPr>
        <w:t>第五篇  供应商须知</w:t>
      </w:r>
      <w:bookmarkEnd w:id="137"/>
      <w:bookmarkEnd w:id="138"/>
      <w:bookmarkEnd w:id="139"/>
    </w:p>
    <w:p w14:paraId="45A5494B">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40" w:name="_Toc106030893"/>
      <w:bookmarkStart w:id="141" w:name="_Toc76462338"/>
      <w:bookmarkStart w:id="142" w:name="_Toc342913389"/>
      <w:r>
        <w:rPr>
          <w:rFonts w:hint="eastAsia" w:ascii="宋体" w:hAnsi="宋体" w:eastAsia="宋体" w:cs="宋体"/>
          <w:color w:val="auto"/>
          <w:sz w:val="24"/>
          <w:highlight w:val="none"/>
        </w:rPr>
        <w:t>一、磋商费用</w:t>
      </w:r>
      <w:bookmarkEnd w:id="140"/>
      <w:bookmarkEnd w:id="141"/>
      <w:bookmarkEnd w:id="142"/>
    </w:p>
    <w:p w14:paraId="4E28A0BA">
      <w:pPr>
        <w:pStyle w:val="21"/>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94E4A7E">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43" w:name="_Toc76462339"/>
      <w:bookmarkStart w:id="144" w:name="_Toc106030894"/>
      <w:bookmarkStart w:id="145" w:name="_Toc342913391"/>
      <w:r>
        <w:rPr>
          <w:rFonts w:hint="eastAsia" w:ascii="宋体" w:hAnsi="宋体" w:eastAsia="宋体" w:cs="宋体"/>
          <w:color w:val="auto"/>
          <w:sz w:val="24"/>
          <w:highlight w:val="none"/>
        </w:rPr>
        <w:t>二、竞争性磋商文件</w:t>
      </w:r>
      <w:bookmarkEnd w:id="143"/>
      <w:bookmarkEnd w:id="144"/>
      <w:bookmarkEnd w:id="145"/>
    </w:p>
    <w:p w14:paraId="1305696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0012455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5D89AE7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604EBEF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46" w:name="_Toc318166429"/>
      <w:bookmarkStart w:id="147" w:name="_Toc318159780"/>
      <w:bookmarkStart w:id="148" w:name="_Toc318159349"/>
      <w:bookmarkStart w:id="149" w:name="_Toc318159160"/>
    </w:p>
    <w:p w14:paraId="03B1CD3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5C2B876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46"/>
    <w:bookmarkEnd w:id="147"/>
    <w:bookmarkEnd w:id="148"/>
    <w:bookmarkEnd w:id="149"/>
    <w:p w14:paraId="2123C340">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50" w:name="_Toc76462340"/>
      <w:bookmarkStart w:id="151" w:name="_Toc179714297"/>
      <w:bookmarkStart w:id="152" w:name="_Toc106030895"/>
      <w:bookmarkStart w:id="153" w:name="_Toc102227318"/>
      <w:bookmarkStart w:id="154" w:name="_Toc342913392"/>
      <w:r>
        <w:rPr>
          <w:rFonts w:hint="eastAsia" w:ascii="宋体" w:hAnsi="宋体" w:eastAsia="宋体" w:cs="宋体"/>
          <w:color w:val="auto"/>
          <w:sz w:val="24"/>
          <w:highlight w:val="none"/>
        </w:rPr>
        <w:t>三、磋商要求</w:t>
      </w:r>
      <w:bookmarkEnd w:id="150"/>
      <w:bookmarkEnd w:id="151"/>
      <w:bookmarkEnd w:id="152"/>
      <w:bookmarkEnd w:id="153"/>
      <w:bookmarkEnd w:id="154"/>
    </w:p>
    <w:p w14:paraId="0C15A57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5F47ECA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90ABDA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21752F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B8461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396DC39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不接受。</w:t>
      </w:r>
    </w:p>
    <w:p w14:paraId="60C4BD1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0AB3150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3F8274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4217F24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7EBA78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69CE79B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361991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1018F9F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7CA86204">
      <w:pPr>
        <w:pStyle w:val="9"/>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DC2EF2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3BCE8F9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5E473CAA">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55" w:name="_Toc106030896"/>
      <w:bookmarkStart w:id="156" w:name="_Toc76462341"/>
      <w:r>
        <w:rPr>
          <w:rFonts w:hint="eastAsia" w:ascii="宋体" w:hAnsi="宋体" w:eastAsia="宋体" w:cs="宋体"/>
          <w:color w:val="auto"/>
          <w:sz w:val="24"/>
          <w:highlight w:val="none"/>
        </w:rPr>
        <w:t>四、成交供应商的确认和变更</w:t>
      </w:r>
      <w:bookmarkEnd w:id="155"/>
      <w:bookmarkEnd w:id="156"/>
    </w:p>
    <w:p w14:paraId="574FADBA">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040104F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1FB8A2">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F5B201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1371B814">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57" w:name="_Toc76462342"/>
      <w:bookmarkStart w:id="158" w:name="_Toc102227321"/>
      <w:bookmarkStart w:id="159" w:name="_Toc106030897"/>
      <w:bookmarkStart w:id="160" w:name="_Toc342913395"/>
      <w:r>
        <w:rPr>
          <w:rFonts w:hint="eastAsia" w:ascii="宋体" w:hAnsi="宋体" w:eastAsia="宋体" w:cs="宋体"/>
          <w:color w:val="auto"/>
          <w:sz w:val="24"/>
          <w:highlight w:val="none"/>
        </w:rPr>
        <w:t>五、成交通知</w:t>
      </w:r>
      <w:bookmarkEnd w:id="157"/>
      <w:bookmarkEnd w:id="158"/>
      <w:bookmarkEnd w:id="159"/>
      <w:bookmarkEnd w:id="160"/>
    </w:p>
    <w:p w14:paraId="59ACEB7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（一）成交供应商确定后，将在行采家（https://www.gec123.com/）上发布成交结果公告。</w:t>
      </w:r>
    </w:p>
    <w:p w14:paraId="46CA226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（二）结果公告发出同时，将以书面形式发出《成交通知书》。《成交通知书》一经发出即发生法律效力。</w:t>
      </w:r>
    </w:p>
    <w:p w14:paraId="72D538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45718DEF">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61" w:name="_Toc76462343"/>
      <w:bookmarkStart w:id="162" w:name="_Toc106030898"/>
      <w:r>
        <w:rPr>
          <w:rFonts w:hint="eastAsia" w:ascii="宋体" w:hAnsi="宋体" w:eastAsia="宋体" w:cs="宋体"/>
          <w:color w:val="auto"/>
          <w:sz w:val="24"/>
          <w:highlight w:val="none"/>
        </w:rPr>
        <w:t>六、关于质疑和投诉</w:t>
      </w:r>
      <w:bookmarkEnd w:id="161"/>
      <w:bookmarkEnd w:id="162"/>
    </w:p>
    <w:p w14:paraId="67B40D8E">
      <w:pPr>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10162F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52DAB00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7FC8BD65">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1.质疑时限、内容</w:t>
      </w:r>
    </w:p>
    <w:p w14:paraId="77A4AA5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2943958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00177B7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0FEEE59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1.2.2质疑项目的名称以及采购执行编号；</w:t>
      </w:r>
    </w:p>
    <w:p w14:paraId="1840BED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7AF4EAA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2B53E41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16ADEDF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17E0285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4CFD17E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4B1D700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1329F3D4">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2.质疑答复</w:t>
      </w:r>
    </w:p>
    <w:p w14:paraId="631804D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3075F6AE">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3.其他</w:t>
      </w:r>
    </w:p>
    <w:p w14:paraId="0AA3843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3.1在法定质疑期内一次性提出针对同一采购程序环节的质疑。</w:t>
      </w:r>
    </w:p>
    <w:p w14:paraId="7D062155">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791DFF5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39820CE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2.供应商应按照相关法律法规要求递交投诉书和必要的证明材料。</w:t>
      </w:r>
    </w:p>
    <w:p w14:paraId="2DC1E8B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w:t>
      </w:r>
    </w:p>
    <w:p w14:paraId="1F70848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4.在确定受理投诉后，自受理投诉之日起30个工作日内（需要检验、检测、鉴定、专家评审以及需要投诉人补正材料的，所需时间不计算在投诉处理期限内）对投诉事项做出处理决定。</w:t>
      </w:r>
    </w:p>
    <w:p w14:paraId="3150441D">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63" w:name="_Toc106030899"/>
      <w:bookmarkStart w:id="164" w:name="_Toc76462344"/>
      <w:r>
        <w:rPr>
          <w:rFonts w:hint="eastAsia" w:ascii="宋体" w:hAnsi="宋体" w:eastAsia="宋体" w:cs="宋体"/>
          <w:color w:val="auto"/>
          <w:sz w:val="24"/>
          <w:highlight w:val="none"/>
        </w:rPr>
        <w:t>七、采购代理服务费</w:t>
      </w:r>
      <w:bookmarkEnd w:id="163"/>
      <w:bookmarkEnd w:id="164"/>
    </w:p>
    <w:p w14:paraId="0EBE7E10">
      <w:pPr>
        <w:snapToGrid w:val="0"/>
        <w:spacing w:line="400" w:lineRule="exact"/>
        <w:ind w:firstLine="480" w:firstLineChars="200"/>
        <w:rPr>
          <w:rFonts w:ascii="宋体" w:hAnsi="宋体" w:cs="宋体"/>
          <w:color w:val="auto"/>
          <w:kern w:val="0"/>
          <w:sz w:val="24"/>
          <w:szCs w:val="24"/>
          <w:highlight w:val="none"/>
        </w:rPr>
      </w:pPr>
      <w:bookmarkStart w:id="165" w:name="_Toc106030900"/>
      <w:bookmarkStart w:id="166" w:name="_Toc76462345"/>
      <w:r>
        <w:rPr>
          <w:rFonts w:hint="eastAsia" w:ascii="宋体" w:hAnsi="宋体" w:cs="宋体"/>
          <w:color w:val="auto"/>
          <w:sz w:val="24"/>
          <w:highlight w:val="none"/>
        </w:rPr>
        <w:t>成交供应商</w:t>
      </w:r>
      <w:r>
        <w:rPr>
          <w:rFonts w:hint="eastAsia" w:ascii="宋体" w:hAnsi="宋体" w:cs="宋体"/>
          <w:color w:val="auto"/>
          <w:kern w:val="0"/>
          <w:sz w:val="24"/>
          <w:szCs w:val="24"/>
          <w:highlight w:val="none"/>
        </w:rPr>
        <w:t>在成交公示期结束后3日内到采购代理机构领取成交通知书并向采购代理机构缴纳采购代理服务费，采购代理服务费的收取标准按照以下标准计算后下浮3</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%执行。</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39BE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49571B28">
            <w:pPr>
              <w:spacing w:line="480" w:lineRule="exact"/>
              <w:ind w:firstLine="964" w:firstLineChars="400"/>
              <w:rPr>
                <w:rFonts w:ascii="宋体" w:hAnsi="宋体" w:cs="宋体"/>
                <w:b/>
                <w:color w:val="auto"/>
                <w:sz w:val="24"/>
                <w:szCs w:val="24"/>
                <w:highlight w:val="none"/>
              </w:rPr>
            </w:pPr>
            <w:r>
              <w:rPr>
                <w:rFonts w:hint="eastAsia" w:ascii="宋体" w:hAnsi="宋体" w:cs="宋体"/>
                <w:b/>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b/>
                <w:color w:val="auto"/>
                <w:sz w:val="24"/>
                <w:szCs w:val="24"/>
                <w:highlight w:val="none"/>
              </w:rPr>
              <w:t>采购类型</w:t>
            </w:r>
          </w:p>
          <w:p w14:paraId="23F7AED6">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成交金额（万元）</w:t>
            </w:r>
          </w:p>
        </w:tc>
        <w:tc>
          <w:tcPr>
            <w:tcW w:w="2273" w:type="dxa"/>
            <w:vAlign w:val="center"/>
          </w:tcPr>
          <w:p w14:paraId="61911690">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货物采购</w:t>
            </w:r>
          </w:p>
        </w:tc>
        <w:tc>
          <w:tcPr>
            <w:tcW w:w="2273" w:type="dxa"/>
            <w:vAlign w:val="center"/>
          </w:tcPr>
          <w:p w14:paraId="484B44CE">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服务采购</w:t>
            </w:r>
          </w:p>
        </w:tc>
        <w:tc>
          <w:tcPr>
            <w:tcW w:w="2272" w:type="dxa"/>
            <w:vAlign w:val="center"/>
          </w:tcPr>
          <w:p w14:paraId="13CB6896">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工程采购</w:t>
            </w:r>
          </w:p>
        </w:tc>
      </w:tr>
      <w:tr w14:paraId="157B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2A5CDF20">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100以下</w:t>
            </w:r>
          </w:p>
        </w:tc>
        <w:tc>
          <w:tcPr>
            <w:tcW w:w="2273" w:type="dxa"/>
            <w:vAlign w:val="center"/>
          </w:tcPr>
          <w:p w14:paraId="6973EBB1">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2273" w:type="dxa"/>
            <w:vAlign w:val="center"/>
          </w:tcPr>
          <w:p w14:paraId="3F936F2A">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2272" w:type="dxa"/>
            <w:vAlign w:val="center"/>
          </w:tcPr>
          <w:p w14:paraId="10646428">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1.0%</w:t>
            </w:r>
          </w:p>
        </w:tc>
      </w:tr>
      <w:tr w14:paraId="6BAB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48B84D4F">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100-500</w:t>
            </w:r>
          </w:p>
        </w:tc>
        <w:tc>
          <w:tcPr>
            <w:tcW w:w="2273" w:type="dxa"/>
            <w:vAlign w:val="center"/>
          </w:tcPr>
          <w:p w14:paraId="6644B68E">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2273" w:type="dxa"/>
            <w:vAlign w:val="center"/>
          </w:tcPr>
          <w:p w14:paraId="47E200F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0.8%</w:t>
            </w:r>
          </w:p>
        </w:tc>
        <w:tc>
          <w:tcPr>
            <w:tcW w:w="2272" w:type="dxa"/>
            <w:vAlign w:val="center"/>
          </w:tcPr>
          <w:p w14:paraId="0A4ACE54">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0.7%</w:t>
            </w:r>
          </w:p>
        </w:tc>
      </w:tr>
      <w:tr w14:paraId="2114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44692620">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500-1000</w:t>
            </w:r>
          </w:p>
        </w:tc>
        <w:tc>
          <w:tcPr>
            <w:tcW w:w="2273" w:type="dxa"/>
            <w:vAlign w:val="center"/>
          </w:tcPr>
          <w:p w14:paraId="02D0DB76">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0.8%</w:t>
            </w:r>
          </w:p>
        </w:tc>
        <w:tc>
          <w:tcPr>
            <w:tcW w:w="2273" w:type="dxa"/>
            <w:vAlign w:val="center"/>
          </w:tcPr>
          <w:p w14:paraId="7C9DE3ED">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0.45%</w:t>
            </w:r>
          </w:p>
        </w:tc>
        <w:tc>
          <w:tcPr>
            <w:tcW w:w="2272" w:type="dxa"/>
            <w:vAlign w:val="center"/>
          </w:tcPr>
          <w:p w14:paraId="4CCFAD88">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0.55%</w:t>
            </w:r>
          </w:p>
        </w:tc>
      </w:tr>
      <w:tr w14:paraId="6B9B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08FBA447">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1000-5000</w:t>
            </w:r>
          </w:p>
        </w:tc>
        <w:tc>
          <w:tcPr>
            <w:tcW w:w="2273" w:type="dxa"/>
            <w:vAlign w:val="center"/>
          </w:tcPr>
          <w:p w14:paraId="53F5111F">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0.5%</w:t>
            </w:r>
          </w:p>
        </w:tc>
        <w:tc>
          <w:tcPr>
            <w:tcW w:w="2273" w:type="dxa"/>
            <w:vAlign w:val="center"/>
          </w:tcPr>
          <w:p w14:paraId="0F84185C">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0.25%</w:t>
            </w:r>
          </w:p>
        </w:tc>
        <w:tc>
          <w:tcPr>
            <w:tcW w:w="2272" w:type="dxa"/>
            <w:vAlign w:val="center"/>
          </w:tcPr>
          <w:p w14:paraId="19E227D4">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0.35%</w:t>
            </w:r>
          </w:p>
        </w:tc>
      </w:tr>
      <w:tr w14:paraId="1C3E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2BA79F4D">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5000-10000</w:t>
            </w:r>
          </w:p>
        </w:tc>
        <w:tc>
          <w:tcPr>
            <w:tcW w:w="2273" w:type="dxa"/>
            <w:vAlign w:val="center"/>
          </w:tcPr>
          <w:p w14:paraId="6442115C">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0.25%</w:t>
            </w:r>
          </w:p>
        </w:tc>
        <w:tc>
          <w:tcPr>
            <w:tcW w:w="2273" w:type="dxa"/>
            <w:vAlign w:val="center"/>
          </w:tcPr>
          <w:p w14:paraId="7656AFE4">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0.1%</w:t>
            </w:r>
          </w:p>
        </w:tc>
        <w:tc>
          <w:tcPr>
            <w:tcW w:w="2272" w:type="dxa"/>
            <w:vAlign w:val="center"/>
          </w:tcPr>
          <w:p w14:paraId="398D636F">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0.2%</w:t>
            </w:r>
          </w:p>
        </w:tc>
      </w:tr>
      <w:tr w14:paraId="4CD9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3C29FC21">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2273" w:type="dxa"/>
            <w:vAlign w:val="center"/>
          </w:tcPr>
          <w:p w14:paraId="4D09533C">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0.05%</w:t>
            </w:r>
          </w:p>
        </w:tc>
        <w:tc>
          <w:tcPr>
            <w:tcW w:w="2273" w:type="dxa"/>
            <w:vAlign w:val="center"/>
          </w:tcPr>
          <w:p w14:paraId="27CDE48F">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0.05%</w:t>
            </w:r>
          </w:p>
        </w:tc>
        <w:tc>
          <w:tcPr>
            <w:tcW w:w="2272" w:type="dxa"/>
            <w:vAlign w:val="center"/>
          </w:tcPr>
          <w:p w14:paraId="1727AD40">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0.05%</w:t>
            </w:r>
          </w:p>
        </w:tc>
      </w:tr>
      <w:tr w14:paraId="469D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28E3AE34">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1000000以上</w:t>
            </w:r>
          </w:p>
        </w:tc>
        <w:tc>
          <w:tcPr>
            <w:tcW w:w="2273" w:type="dxa"/>
            <w:vAlign w:val="center"/>
          </w:tcPr>
          <w:p w14:paraId="5F47C659">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0.01%</w:t>
            </w:r>
          </w:p>
        </w:tc>
        <w:tc>
          <w:tcPr>
            <w:tcW w:w="2273" w:type="dxa"/>
            <w:vAlign w:val="center"/>
          </w:tcPr>
          <w:p w14:paraId="6BAF743B">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0.01%</w:t>
            </w:r>
          </w:p>
        </w:tc>
        <w:tc>
          <w:tcPr>
            <w:tcW w:w="2272" w:type="dxa"/>
            <w:vAlign w:val="center"/>
          </w:tcPr>
          <w:p w14:paraId="1C63DA08">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0.01%</w:t>
            </w:r>
          </w:p>
        </w:tc>
      </w:tr>
    </w:tbl>
    <w:p w14:paraId="211BD49A">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注：采购代理服务收费按差额定率累进法计算。若不足3000,元，按3000计费。例如：某货物采购代理业务成交金额为20万元，计算采购代理服务收费额如下：</w:t>
      </w:r>
    </w:p>
    <w:p w14:paraId="6F6EDA6A">
      <w:pPr>
        <w:spacing w:line="48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20万元×1.5%=0.3万元</w:t>
      </w:r>
    </w:p>
    <w:p w14:paraId="34156626">
      <w:pPr>
        <w:pStyle w:val="4"/>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八、</w:t>
      </w:r>
      <w:bookmarkEnd w:id="165"/>
      <w:bookmarkEnd w:id="166"/>
      <w:bookmarkStart w:id="167" w:name="_Toc102227322"/>
      <w:bookmarkStart w:id="168" w:name="_Toc76462346"/>
      <w:bookmarkStart w:id="169" w:name="_Toc106030901"/>
      <w:bookmarkStart w:id="170" w:name="_Toc342913396"/>
      <w:bookmarkStart w:id="171" w:name="_Toc11641055"/>
      <w:bookmarkStart w:id="172" w:name="_Toc12789059"/>
      <w:r>
        <w:rPr>
          <w:rFonts w:hint="eastAsia" w:ascii="宋体" w:hAnsi="宋体" w:eastAsia="宋体" w:cs="宋体"/>
          <w:color w:val="auto"/>
          <w:sz w:val="24"/>
          <w:highlight w:val="none"/>
        </w:rPr>
        <w:t>签订</w:t>
      </w:r>
      <w:bookmarkEnd w:id="167"/>
      <w:r>
        <w:rPr>
          <w:rFonts w:hint="eastAsia" w:ascii="宋体" w:hAnsi="宋体" w:eastAsia="宋体" w:cs="宋体"/>
          <w:color w:val="auto"/>
          <w:sz w:val="24"/>
          <w:highlight w:val="none"/>
        </w:rPr>
        <w:t>合同</w:t>
      </w:r>
      <w:bookmarkEnd w:id="168"/>
      <w:bookmarkEnd w:id="169"/>
      <w:bookmarkEnd w:id="170"/>
    </w:p>
    <w:p w14:paraId="2F5AD2C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采购人原则上应在成交通知书发出之日起三十日内和成交供应商签订采购合同，无正当理由不得拒绝或拖延合同签订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6D406D2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（二）竞争性磋商文件、供应商的响应文件及澄清文件等，均为签订采购合同的依据。</w:t>
      </w:r>
    </w:p>
    <w:p w14:paraId="47E0B1C5">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（三）合同原则上应按照竞争性磋商文件给出的范本签订。</w:t>
      </w:r>
    </w:p>
    <w:p w14:paraId="6C6B3BD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（四）采购人要求成交供应商提供履约保证金的，应当在竞争性磋商文件中予以约定。成交供应商履约完毕后，采购人根据采购文件规定无息退还其履约保证金。</w:t>
      </w:r>
    </w:p>
    <w:p w14:paraId="65EF61FA">
      <w:pPr>
        <w:spacing w:line="360" w:lineRule="auto"/>
        <w:ind w:firstLine="720" w:firstLineChars="200"/>
        <w:jc w:val="center"/>
        <w:rPr>
          <w:rFonts w:ascii="方正小标宋_GBK" w:eastAsia="方正小标宋_GBK"/>
          <w:color w:val="auto"/>
          <w:sz w:val="36"/>
          <w:szCs w:val="36"/>
          <w:highlight w:val="none"/>
        </w:rPr>
      </w:pPr>
      <w:r>
        <w:rPr>
          <w:rFonts w:hint="eastAsia" w:ascii="宋体" w:hAnsi="宋体" w:cs="宋体"/>
          <w:color w:val="auto"/>
          <w:sz w:val="36"/>
          <w:szCs w:val="30"/>
          <w:highlight w:val="none"/>
        </w:rPr>
        <w:br w:type="page"/>
      </w:r>
      <w:bookmarkEnd w:id="171"/>
      <w:bookmarkEnd w:id="172"/>
      <w:bookmarkStart w:id="173" w:name="_Toc101534274"/>
      <w:r>
        <w:rPr>
          <w:rFonts w:hint="eastAsia" w:ascii="方正小标宋_GBK" w:eastAsia="方正小标宋_GBK"/>
          <w:color w:val="auto"/>
          <w:sz w:val="36"/>
          <w:szCs w:val="36"/>
          <w:highlight w:val="none"/>
        </w:rPr>
        <w:t>第六篇  合同主要条款和格式合同</w:t>
      </w:r>
      <w:bookmarkEnd w:id="173"/>
    </w:p>
    <w:p w14:paraId="7B86A621">
      <w:pPr>
        <w:pStyle w:val="3"/>
        <w:tabs>
          <w:tab w:val="left" w:pos="3360"/>
        </w:tabs>
        <w:spacing w:line="360" w:lineRule="auto"/>
        <w:jc w:val="center"/>
        <w:rPr>
          <w:rFonts w:hAnsi="宋体" w:cs="宋体"/>
          <w:color w:val="auto"/>
          <w:sz w:val="24"/>
          <w:szCs w:val="24"/>
          <w:highlight w:val="none"/>
        </w:rPr>
      </w:pPr>
      <w:bookmarkStart w:id="174" w:name="_Toc28828"/>
      <w:r>
        <w:rPr>
          <w:rFonts w:hint="eastAsia" w:ascii="方正仿宋_GBK" w:eastAsia="方正仿宋_GBK"/>
          <w:bCs/>
          <w:color w:val="auto"/>
          <w:sz w:val="21"/>
          <w:szCs w:val="21"/>
          <w:highlight w:val="none"/>
        </w:rPr>
        <w:t>注：此合同条款和格式为样本，具体合同内容以实际签订内容为准。</w:t>
      </w:r>
      <w:bookmarkEnd w:id="174"/>
    </w:p>
    <w:p w14:paraId="0420139C">
      <w:pPr>
        <w:ind w:firstLine="2429" w:firstLineChars="1100"/>
        <w:jc w:val="left"/>
        <w:rPr>
          <w:rFonts w:ascii="宋体" w:hAnsi="宋体"/>
          <w:b/>
          <w:color w:val="auto"/>
          <w:sz w:val="22"/>
          <w:highlight w:val="none"/>
        </w:rPr>
      </w:pPr>
    </w:p>
    <w:p w14:paraId="7E1774AF">
      <w:pPr>
        <w:jc w:val="left"/>
        <w:rPr>
          <w:rFonts w:ascii="宋体" w:hAnsi="宋体"/>
          <w:b/>
          <w:color w:val="auto"/>
          <w:sz w:val="52"/>
          <w:szCs w:val="52"/>
          <w:highlight w:val="none"/>
        </w:rPr>
      </w:pPr>
    </w:p>
    <w:p w14:paraId="01C33F53">
      <w:pPr>
        <w:rPr>
          <w:rFonts w:ascii="宋体" w:hAnsi="宋体"/>
          <w:b/>
          <w:color w:val="auto"/>
          <w:sz w:val="52"/>
          <w:szCs w:val="52"/>
          <w:highlight w:val="none"/>
        </w:rPr>
      </w:pPr>
    </w:p>
    <w:p w14:paraId="29554A3C">
      <w:pPr>
        <w:jc w:val="center"/>
        <w:rPr>
          <w:rFonts w:ascii="宋体" w:hAnsi="宋体"/>
          <w:b/>
          <w:color w:val="auto"/>
          <w:sz w:val="52"/>
          <w:szCs w:val="52"/>
          <w:highlight w:val="none"/>
        </w:rPr>
      </w:pPr>
      <w:r>
        <w:rPr>
          <w:rFonts w:hint="eastAsia" w:ascii="宋体" w:hAnsi="宋体"/>
          <w:b/>
          <w:color w:val="auto"/>
          <w:sz w:val="52"/>
          <w:szCs w:val="52"/>
          <w:highlight w:val="none"/>
        </w:rPr>
        <w:t>采</w:t>
      </w:r>
    </w:p>
    <w:p w14:paraId="51E26CFB">
      <w:pPr>
        <w:jc w:val="center"/>
        <w:rPr>
          <w:rFonts w:ascii="宋体" w:hAnsi="宋体"/>
          <w:b/>
          <w:color w:val="auto"/>
          <w:sz w:val="52"/>
          <w:szCs w:val="52"/>
          <w:highlight w:val="none"/>
        </w:rPr>
      </w:pPr>
      <w:r>
        <w:rPr>
          <w:rFonts w:hint="eastAsia" w:ascii="宋体" w:hAnsi="宋体"/>
          <w:b/>
          <w:color w:val="auto"/>
          <w:sz w:val="52"/>
          <w:szCs w:val="52"/>
          <w:highlight w:val="none"/>
        </w:rPr>
        <w:t>购</w:t>
      </w:r>
    </w:p>
    <w:p w14:paraId="13086232">
      <w:pPr>
        <w:jc w:val="center"/>
        <w:rPr>
          <w:rFonts w:ascii="宋体" w:hAnsi="宋体"/>
          <w:b/>
          <w:color w:val="auto"/>
          <w:sz w:val="52"/>
          <w:szCs w:val="52"/>
          <w:highlight w:val="none"/>
        </w:rPr>
      </w:pPr>
      <w:r>
        <w:rPr>
          <w:rFonts w:hint="eastAsia" w:ascii="宋体" w:hAnsi="宋体"/>
          <w:b/>
          <w:color w:val="auto"/>
          <w:sz w:val="52"/>
          <w:szCs w:val="52"/>
          <w:highlight w:val="none"/>
        </w:rPr>
        <w:t>服</w:t>
      </w:r>
    </w:p>
    <w:p w14:paraId="369E4344">
      <w:pPr>
        <w:jc w:val="center"/>
        <w:rPr>
          <w:rFonts w:ascii="宋体" w:hAnsi="宋体"/>
          <w:b/>
          <w:color w:val="auto"/>
          <w:sz w:val="52"/>
          <w:szCs w:val="52"/>
          <w:highlight w:val="none"/>
        </w:rPr>
      </w:pPr>
      <w:r>
        <w:rPr>
          <w:rFonts w:hint="eastAsia" w:ascii="宋体" w:hAnsi="宋体"/>
          <w:b/>
          <w:color w:val="auto"/>
          <w:sz w:val="52"/>
          <w:szCs w:val="52"/>
          <w:highlight w:val="none"/>
        </w:rPr>
        <w:t>务</w:t>
      </w:r>
    </w:p>
    <w:p w14:paraId="2DA1C8F5">
      <w:pPr>
        <w:jc w:val="center"/>
        <w:rPr>
          <w:rFonts w:ascii="宋体" w:hAnsi="宋体"/>
          <w:b/>
          <w:color w:val="auto"/>
          <w:sz w:val="52"/>
          <w:szCs w:val="52"/>
          <w:highlight w:val="none"/>
        </w:rPr>
      </w:pPr>
      <w:r>
        <w:rPr>
          <w:rFonts w:hint="eastAsia" w:ascii="宋体" w:hAnsi="宋体"/>
          <w:b/>
          <w:color w:val="auto"/>
          <w:sz w:val="52"/>
          <w:szCs w:val="52"/>
          <w:highlight w:val="none"/>
        </w:rPr>
        <w:t>合</w:t>
      </w:r>
    </w:p>
    <w:p w14:paraId="19D26ABE">
      <w:pPr>
        <w:jc w:val="center"/>
        <w:rPr>
          <w:rFonts w:ascii="宋体" w:hAnsi="宋体"/>
          <w:b/>
          <w:color w:val="auto"/>
          <w:sz w:val="52"/>
          <w:szCs w:val="52"/>
          <w:highlight w:val="none"/>
        </w:rPr>
      </w:pPr>
      <w:r>
        <w:rPr>
          <w:rFonts w:hint="eastAsia" w:ascii="宋体" w:hAnsi="宋体"/>
          <w:b/>
          <w:color w:val="auto"/>
          <w:sz w:val="52"/>
          <w:szCs w:val="52"/>
          <w:highlight w:val="none"/>
        </w:rPr>
        <w:t>同</w:t>
      </w:r>
    </w:p>
    <w:p w14:paraId="18016A17">
      <w:pPr>
        <w:rPr>
          <w:rFonts w:ascii="宋体" w:hAnsi="宋体"/>
          <w:b/>
          <w:color w:val="auto"/>
          <w:sz w:val="52"/>
          <w:szCs w:val="52"/>
          <w:highlight w:val="none"/>
        </w:rPr>
      </w:pPr>
    </w:p>
    <w:p w14:paraId="39FF4A5D">
      <w:pPr>
        <w:jc w:val="center"/>
        <w:rPr>
          <w:rFonts w:ascii="宋体" w:hAnsi="宋体"/>
          <w:color w:val="auto"/>
          <w:sz w:val="30"/>
          <w:szCs w:val="30"/>
          <w:highlight w:val="none"/>
        </w:rPr>
      </w:pPr>
      <w:r>
        <w:rPr>
          <w:rFonts w:hint="eastAsia" w:ascii="宋体" w:hAnsi="宋体"/>
          <w:color w:val="auto"/>
          <w:sz w:val="30"/>
          <w:szCs w:val="30"/>
          <w:highlight w:val="none"/>
        </w:rPr>
        <w:t>（通用版）</w:t>
      </w:r>
    </w:p>
    <w:p w14:paraId="2F7AE7A3">
      <w:pPr>
        <w:pStyle w:val="4"/>
        <w:spacing w:before="0" w:after="0" w:line="360" w:lineRule="auto"/>
        <w:jc w:val="center"/>
        <w:rPr>
          <w:rFonts w:ascii="宋体" w:hAnsi="宋体" w:eastAsia="宋体" w:cs="宋体"/>
          <w:b w:val="0"/>
          <w:color w:val="auto"/>
          <w:sz w:val="36"/>
          <w:szCs w:val="30"/>
          <w:highlight w:val="none"/>
        </w:rPr>
      </w:pPr>
    </w:p>
    <w:p w14:paraId="48A13401">
      <w:pPr>
        <w:autoSpaceDE w:val="0"/>
        <w:autoSpaceDN w:val="0"/>
        <w:adjustRightInd w:val="0"/>
        <w:snapToGrid w:val="0"/>
        <w:spacing w:line="360" w:lineRule="auto"/>
        <w:jc w:val="center"/>
        <w:rPr>
          <w:rFonts w:ascii="宋体" w:hAnsi="宋体" w:cs="宋体"/>
          <w:b/>
          <w:color w:val="auto"/>
          <w:sz w:val="52"/>
          <w:szCs w:val="52"/>
          <w:highlight w:val="none"/>
        </w:rPr>
      </w:pPr>
      <w:bookmarkStart w:id="175" w:name="_Hlt41879464"/>
      <w:bookmarkEnd w:id="175"/>
      <w:bookmarkStart w:id="176" w:name="_Toc76462349"/>
      <w:bookmarkStart w:id="177" w:name="_Toc106030905"/>
    </w:p>
    <w:p w14:paraId="583A5C09">
      <w:pPr>
        <w:autoSpaceDE w:val="0"/>
        <w:autoSpaceDN w:val="0"/>
        <w:adjustRightInd w:val="0"/>
        <w:snapToGrid w:val="0"/>
        <w:spacing w:line="360" w:lineRule="auto"/>
        <w:jc w:val="center"/>
        <w:rPr>
          <w:rFonts w:ascii="宋体" w:hAnsi="宋体" w:cs="宋体"/>
          <w:b/>
          <w:color w:val="auto"/>
          <w:sz w:val="52"/>
          <w:szCs w:val="52"/>
          <w:highlight w:val="none"/>
        </w:rPr>
      </w:pPr>
    </w:p>
    <w:p w14:paraId="1369FD91">
      <w:pPr>
        <w:autoSpaceDE w:val="0"/>
        <w:autoSpaceDN w:val="0"/>
        <w:adjustRightInd w:val="0"/>
        <w:snapToGrid w:val="0"/>
        <w:spacing w:line="360" w:lineRule="auto"/>
        <w:jc w:val="center"/>
        <w:rPr>
          <w:rFonts w:ascii="宋体" w:hAnsi="宋体" w:cs="宋体"/>
          <w:b/>
          <w:color w:val="auto"/>
          <w:sz w:val="52"/>
          <w:szCs w:val="52"/>
          <w:highlight w:val="none"/>
        </w:rPr>
      </w:pPr>
    </w:p>
    <w:p w14:paraId="0B223B88">
      <w:pPr>
        <w:jc w:val="center"/>
        <w:rPr>
          <w:rFonts w:ascii="宋体" w:hAnsi="宋体" w:eastAsia="宋体" w:cs="宋体"/>
          <w:snapToGrid w:val="0"/>
          <w:color w:val="auto"/>
          <w:sz w:val="24"/>
          <w:szCs w:val="24"/>
          <w:highlight w:val="none"/>
          <w:lang w:eastAsia="zh-CN"/>
        </w:rPr>
      </w:pPr>
      <w:r>
        <w:rPr>
          <w:rFonts w:hint="eastAsia" w:ascii="宋体" w:hAnsi="宋体" w:eastAsia="宋体" w:cs="宋体"/>
          <w:b/>
          <w:bCs/>
          <w:snapToGrid w:val="0"/>
          <w:color w:val="auto"/>
          <w:sz w:val="44"/>
          <w:szCs w:val="44"/>
          <w:highlight w:val="none"/>
          <w:lang w:val="en-US" w:eastAsia="zh-CN"/>
        </w:rPr>
        <w:t>车辆定点维修服务合同</w:t>
      </w:r>
    </w:p>
    <w:p w14:paraId="047D07D3">
      <w:pPr>
        <w:pStyle w:val="7"/>
        <w:rPr>
          <w:rFonts w:hint="eastAsia"/>
          <w:color w:val="auto"/>
          <w:highlight w:val="none"/>
          <w:lang w:eastAsia="zh-CN"/>
        </w:rPr>
      </w:pPr>
    </w:p>
    <w:tbl>
      <w:tblPr>
        <w:tblStyle w:val="17"/>
        <w:tblW w:w="0" w:type="auto"/>
        <w:tblInd w:w="108" w:type="dxa"/>
        <w:tblLayout w:type="fixed"/>
        <w:tblCellMar>
          <w:top w:w="0" w:type="dxa"/>
          <w:left w:w="108" w:type="dxa"/>
          <w:bottom w:w="0" w:type="dxa"/>
          <w:right w:w="108" w:type="dxa"/>
        </w:tblCellMar>
      </w:tblPr>
      <w:tblGrid>
        <w:gridCol w:w="4608"/>
        <w:gridCol w:w="5220"/>
      </w:tblGrid>
      <w:tr w14:paraId="4B2EBDDC">
        <w:tblPrEx>
          <w:tblCellMar>
            <w:top w:w="0" w:type="dxa"/>
            <w:left w:w="108" w:type="dxa"/>
            <w:bottom w:w="0" w:type="dxa"/>
            <w:right w:w="108" w:type="dxa"/>
          </w:tblCellMar>
        </w:tblPrEx>
        <w:tc>
          <w:tcPr>
            <w:tcW w:w="4608" w:type="dxa"/>
            <w:noWrap w:val="0"/>
            <w:vAlign w:val="top"/>
          </w:tcPr>
          <w:p w14:paraId="2947EAE6">
            <w:pPr>
              <w:pStyle w:val="7"/>
              <w:ind w:left="0" w:firstLine="0"/>
              <w:rPr>
                <w:rFonts w:hint="eastAsia" w:ascii="微软雅黑" w:hAnsi="微软雅黑" w:eastAsia="微软雅黑" w:cs="Times New Roman"/>
                <w:color w:val="auto"/>
                <w:sz w:val="22"/>
                <w:szCs w:val="21"/>
                <w:highlight w:val="none"/>
                <w:lang w:eastAsia="zh-CN"/>
              </w:rPr>
            </w:pPr>
            <w:r>
              <w:rPr>
                <w:rFonts w:hint="eastAsia" w:ascii="微软雅黑" w:hAnsi="微软雅黑" w:eastAsia="微软雅黑" w:cs="Times New Roman"/>
                <w:color w:val="auto"/>
                <w:sz w:val="22"/>
                <w:szCs w:val="21"/>
                <w:highlight w:val="none"/>
                <w:lang w:eastAsia="zh-CN"/>
              </w:rPr>
              <w:t>甲方（</w:t>
            </w:r>
            <w:r>
              <w:rPr>
                <w:rFonts w:hint="eastAsia" w:ascii="微软雅黑" w:hAnsi="微软雅黑" w:eastAsia="微软雅黑" w:cs="Times New Roman"/>
                <w:color w:val="auto"/>
                <w:sz w:val="22"/>
                <w:szCs w:val="21"/>
                <w:highlight w:val="none"/>
                <w:lang w:val="en-US" w:eastAsia="zh-CN"/>
              </w:rPr>
              <w:t>委托方</w:t>
            </w:r>
            <w:r>
              <w:rPr>
                <w:rFonts w:hint="eastAsia" w:ascii="微软雅黑" w:hAnsi="微软雅黑" w:eastAsia="微软雅黑" w:cs="Times New Roman"/>
                <w:color w:val="auto"/>
                <w:sz w:val="22"/>
                <w:szCs w:val="21"/>
                <w:highlight w:val="none"/>
                <w:lang w:eastAsia="zh-CN"/>
              </w:rPr>
              <w:t>）：</w:t>
            </w:r>
          </w:p>
        </w:tc>
        <w:tc>
          <w:tcPr>
            <w:tcW w:w="5220" w:type="dxa"/>
            <w:noWrap w:val="0"/>
            <w:vAlign w:val="top"/>
          </w:tcPr>
          <w:p w14:paraId="2F4424F3">
            <w:pPr>
              <w:pStyle w:val="7"/>
              <w:ind w:left="0" w:firstLine="0"/>
              <w:rPr>
                <w:rFonts w:hint="eastAsia" w:ascii="微软雅黑" w:hAnsi="微软雅黑" w:eastAsia="微软雅黑" w:cs="Times New Roman"/>
                <w:color w:val="auto"/>
                <w:sz w:val="22"/>
                <w:szCs w:val="21"/>
                <w:highlight w:val="none"/>
                <w:lang w:eastAsia="zh-CN"/>
              </w:rPr>
            </w:pPr>
            <w:r>
              <w:rPr>
                <w:rFonts w:hint="eastAsia" w:ascii="微软雅黑" w:hAnsi="微软雅黑" w:eastAsia="微软雅黑" w:cs="Times New Roman"/>
                <w:color w:val="auto"/>
                <w:sz w:val="22"/>
                <w:szCs w:val="21"/>
                <w:highlight w:val="none"/>
                <w:lang w:eastAsia="zh-CN"/>
              </w:rPr>
              <w:t>乙方（</w:t>
            </w:r>
            <w:r>
              <w:rPr>
                <w:rFonts w:hint="eastAsia" w:ascii="微软雅黑" w:hAnsi="微软雅黑" w:eastAsia="微软雅黑" w:cs="Times New Roman"/>
                <w:color w:val="auto"/>
                <w:sz w:val="22"/>
                <w:szCs w:val="21"/>
                <w:highlight w:val="none"/>
                <w:lang w:val="en-US" w:eastAsia="zh-CN"/>
              </w:rPr>
              <w:t>受托方</w:t>
            </w:r>
            <w:r>
              <w:rPr>
                <w:rFonts w:hint="eastAsia" w:ascii="微软雅黑" w:hAnsi="微软雅黑" w:eastAsia="微软雅黑" w:cs="Times New Roman"/>
                <w:color w:val="auto"/>
                <w:sz w:val="22"/>
                <w:szCs w:val="21"/>
                <w:highlight w:val="none"/>
                <w:lang w:eastAsia="zh-CN"/>
              </w:rPr>
              <w:t>）：</w:t>
            </w:r>
          </w:p>
        </w:tc>
      </w:tr>
    </w:tbl>
    <w:p w14:paraId="4EE77B39">
      <w:pPr>
        <w:spacing w:line="420" w:lineRule="exact"/>
        <w:rPr>
          <w:rFonts w:hint="eastAsia" w:ascii="宋体" w:hAnsi="宋体" w:eastAsia="宋体" w:cs="宋体"/>
          <w:snapToGrid w:val="0"/>
          <w:color w:val="auto"/>
          <w:kern w:val="2"/>
          <w:sz w:val="24"/>
          <w:szCs w:val="24"/>
          <w:highlight w:val="none"/>
          <w:lang w:eastAsia="zh-CN"/>
        </w:rPr>
      </w:pPr>
    </w:p>
    <w:p w14:paraId="08E30C86">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合同双方本着自愿、平等、公平、诚实信用、协商一致的原则，为充分利用双方资源优势，促进资源优势互补，就乙方为甲方车辆提供车辆维修服务事宜进行了全面商谈，达成共识。根据《中华人民共和国民法典》及其他相关法律、法规的规定，签订本合同，以兹共同遵守执行。</w:t>
      </w:r>
    </w:p>
    <w:p w14:paraId="02153074">
      <w:pPr>
        <w:pStyle w:val="3"/>
        <w:spacing w:before="120" w:beforeLines="50" w:after="120" w:afterLines="50" w:line="420" w:lineRule="exact"/>
        <w:ind w:left="0"/>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第一条 合作内容</w:t>
      </w:r>
    </w:p>
    <w:p w14:paraId="69E0DEB6">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1.甲方选定乙方为长期固定车辆维修服务供应商，委托乙方提供车辆日常维修、常规保养、现场抢修、技术咨询等服务。</w:t>
      </w:r>
    </w:p>
    <w:p w14:paraId="17C94D1A">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2.乙方承诺具备相关行业资质、专业技术维修人员团队以及固定设备设施场地（地址：        ，合同有效期内不得变更），并凭借专业技能提供车辆故障排查、调试、保养、维修服务。</w:t>
      </w:r>
    </w:p>
    <w:p w14:paraId="183699AD">
      <w:pPr>
        <w:widowControl/>
        <w:spacing w:after="120" w:afterLines="50" w:line="276" w:lineRule="auto"/>
        <w:ind w:firstLine="480" w:firstLineChars="200"/>
        <w:rPr>
          <w:rFonts w:hint="default"/>
          <w:color w:val="auto"/>
          <w:highlight w:val="none"/>
          <w:lang w:val="en-US" w:eastAsia="zh-CN"/>
        </w:rPr>
      </w:pPr>
      <w:r>
        <w:rPr>
          <w:rFonts w:hint="eastAsia" w:ascii="宋体" w:hAnsi="宋体" w:eastAsia="宋体" w:cs="Times New Roman"/>
          <w:color w:val="auto"/>
          <w:sz w:val="24"/>
          <w:szCs w:val="24"/>
          <w:highlight w:val="none"/>
          <w:lang w:val="en-US" w:eastAsia="zh-CN"/>
        </w:rPr>
        <w:t xml:space="preserve">3.合同期限：   个月，自合同签订生效之日起算，合同期限届满前双方未针对后续合作事宜签订书面合同，则本合同到期自动终止，双方即刻解除合同关系。  </w:t>
      </w:r>
      <w:r>
        <w:rPr>
          <w:rFonts w:hint="eastAsia" w:ascii="宋体" w:hAnsi="宋体" w:cs="Times New Roman"/>
          <w:b w:val="0"/>
          <w:bCs w:val="0"/>
          <w:color w:val="auto"/>
          <w:kern w:val="2"/>
          <w:sz w:val="24"/>
          <w:szCs w:val="24"/>
          <w:highlight w:val="none"/>
          <w:lang w:val="en-US" w:eastAsia="zh-CN" w:bidi="ar-SA"/>
        </w:rPr>
        <w:t xml:space="preserve">    </w:t>
      </w:r>
    </w:p>
    <w:p w14:paraId="1DAC67AB">
      <w:pPr>
        <w:pStyle w:val="3"/>
        <w:numPr>
          <w:ilvl w:val="0"/>
          <w:numId w:val="3"/>
        </w:numPr>
        <w:spacing w:before="120" w:beforeLines="50" w:after="120" w:afterLines="50" w:line="420" w:lineRule="exact"/>
        <w:ind w:left="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费用与结算</w:t>
      </w:r>
    </w:p>
    <w:p w14:paraId="23F51387">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费用：维修工时费、人工费、耗材费、零配件费用详见附件一（维修价目清单），合同有效期内费用固定，不得上涨费用，不受市场价格因素影响，乙方自行承担人工、耗材、零配件成本上涨风险。甲方车辆报修入场后，乙方针对车辆故障问题进行整体排查并出具报价单，经甲方确认后双方按照报价单金额作为最终结算依据。</w:t>
      </w:r>
    </w:p>
    <w:p w14:paraId="3C33453F">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2.对账期限：以自然月为周期，上月费用次月内对账，双方须在对账当月内进行对账单盖章（对账单格式内容详见附件二：维修对账单），逾期未盖章视为无异议，即对对方核算金额进行默认。</w:t>
      </w:r>
    </w:p>
    <w:p w14:paraId="593F61FF">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2.1对账依据：乙方须向甲方提供维修费用清单、报价单、车辆维修前后照片、报修申请以及双方维修验收证明等相关材料作为结算金额依据，具体以甲方要求为准。</w:t>
      </w:r>
    </w:p>
    <w:p w14:paraId="26F0E0EE">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3.开票与支付：乙方须先全额开具增值税专用发票（税点： %），甲方自收到发票之日起10个工作日内全额支付（如遇节假日顺延），未收到发票甲方有权延期支付且不承担违约责任。</w:t>
      </w:r>
    </w:p>
    <w:p w14:paraId="25E72D15">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4.甲方开票信息：</w:t>
      </w:r>
    </w:p>
    <w:p w14:paraId="66E2627A">
      <w:pPr>
        <w:widowControl/>
        <w:spacing w:after="120" w:afterLines="50" w:line="276" w:lineRule="auto"/>
        <w:ind w:firstLine="480" w:firstLineChars="200"/>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5.乙方收款信息：</w:t>
      </w:r>
    </w:p>
    <w:p w14:paraId="15512984">
      <w:pPr>
        <w:pStyle w:val="3"/>
        <w:numPr>
          <w:ilvl w:val="0"/>
          <w:numId w:val="3"/>
        </w:numPr>
        <w:spacing w:before="120" w:beforeLines="50" w:after="120" w:afterLines="50" w:line="420" w:lineRule="exact"/>
        <w:ind w:left="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维修工期与验收</w:t>
      </w:r>
    </w:p>
    <w:p w14:paraId="420C5C04">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车辆故障类型存在复杂性、多样性，经双方协商一致，不限定具体维修工期，但乙方应严格遵循国家法律法规、行业标准及汽车维修行业普遍认知的惯例，在合理的维修工期内完成。特殊紧急情况下，乙方须在甲方限定要求的工期内完成维修。</w:t>
      </w:r>
    </w:p>
    <w:p w14:paraId="3EBBB234">
      <w:pPr>
        <w:widowControl/>
        <w:spacing w:after="120" w:afterLines="50" w:line="276" w:lineRule="auto"/>
        <w:ind w:firstLine="480" w:firstLineChars="200"/>
        <w:rPr>
          <w:rFonts w:hint="default" w:ascii="宋体" w:hAnsi="宋体" w:eastAsia="宋体" w:cs="宋体"/>
          <w:snapToGrid w:val="0"/>
          <w:color w:val="auto"/>
          <w:sz w:val="28"/>
          <w:szCs w:val="28"/>
          <w:highlight w:val="none"/>
          <w:lang w:val="en-US" w:eastAsia="zh-CN"/>
        </w:rPr>
      </w:pPr>
      <w:r>
        <w:rPr>
          <w:rFonts w:hint="eastAsia" w:ascii="宋体" w:hAnsi="宋体" w:eastAsia="宋体" w:cs="Times New Roman"/>
          <w:color w:val="auto"/>
          <w:sz w:val="24"/>
          <w:szCs w:val="24"/>
          <w:highlight w:val="none"/>
          <w:lang w:val="en-US" w:eastAsia="zh-CN"/>
        </w:rPr>
        <w:t>2.车辆维修完毕甲方进行验收，验收合格双方签订验收单或由乙方出具相应单据凭证，视为乙方完成维修且交付车辆；验收不合格，甲方有权要求乙方在限定期限内完成整改维修，否则不予支付任何费用。</w:t>
      </w:r>
    </w:p>
    <w:p w14:paraId="34AE0F0C">
      <w:pPr>
        <w:pStyle w:val="3"/>
        <w:numPr>
          <w:ilvl w:val="0"/>
          <w:numId w:val="3"/>
        </w:numPr>
        <w:spacing w:before="120" w:beforeLines="50" w:after="120" w:afterLines="50" w:line="420" w:lineRule="exact"/>
        <w:ind w:left="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质保及抢修服务</w:t>
      </w:r>
    </w:p>
    <w:p w14:paraId="55E20BB0">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质保：乙方承诺针对部分更换维修的零配件提供质保服务，质保服务不得低于相关行业协会标准（详见附件三：零配件质保清单）。质保期自车辆完成维修且经甲方验收合格之日起算，质保期间维修处出现任何故障问题，乙方免费更换及整改维修，更换维修后质保期重新起算。</w:t>
      </w:r>
    </w:p>
    <w:p w14:paraId="6EBE08E3">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2.乙方未履行售后质保义务，甲方有权委托第三方处理，所产生的一切费用由乙方承担。</w:t>
      </w:r>
    </w:p>
    <w:p w14:paraId="1ED72A3A">
      <w:pPr>
        <w:widowControl/>
        <w:spacing w:after="120" w:afterLines="50" w:line="276" w:lineRule="auto"/>
        <w:ind w:firstLine="480" w:firstLineChars="200"/>
        <w:rPr>
          <w:rFonts w:hint="eastAsia" w:ascii="宋体" w:hAnsi="宋体" w:eastAsia="宋体" w:cs="宋体"/>
          <w:snapToGrid w:val="0"/>
          <w:color w:val="auto"/>
          <w:sz w:val="28"/>
          <w:szCs w:val="28"/>
          <w:highlight w:val="none"/>
          <w:lang w:val="en-US" w:eastAsia="zh-CN"/>
        </w:rPr>
      </w:pPr>
      <w:r>
        <w:rPr>
          <w:rFonts w:hint="eastAsia" w:ascii="宋体" w:hAnsi="宋体" w:eastAsia="宋体" w:cs="Times New Roman"/>
          <w:color w:val="auto"/>
          <w:sz w:val="24"/>
          <w:szCs w:val="24"/>
          <w:highlight w:val="none"/>
          <w:lang w:val="en-US" w:eastAsia="zh-CN"/>
        </w:rPr>
        <w:t>3.抢修：乙方承诺提供全年24小时现场抢修保障服务，如甲方车辆行驶途中发生故障，乙方须在收到甲方通知起4小时内响应并安排专业维修人员至车辆所在地进行现场抢修；现场无法抢修，乙方提供免费拖车服务。</w:t>
      </w:r>
    </w:p>
    <w:p w14:paraId="41E86099">
      <w:pPr>
        <w:pStyle w:val="3"/>
        <w:spacing w:before="120" w:beforeLines="50" w:after="120" w:afterLines="50" w:line="420" w:lineRule="exact"/>
        <w:ind w:left="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第五条 双方权利与义务</w:t>
      </w:r>
    </w:p>
    <w:p w14:paraId="643275AE">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1.甲方有权对乙方的服务进行监督和检查，提出合理的意见和建议。</w:t>
      </w:r>
    </w:p>
    <w:p w14:paraId="7341B51A">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2.甲方应按照合同约定支付维修服务费用。</w:t>
      </w:r>
    </w:p>
    <w:p w14:paraId="0F4D2EA5">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3.乙方应按照合同约定的维修服务标准和质量要求，承诺为甲方提供专属维修服务区位，确保甲方车辆随时得到优先、及时、高效、优质的维修服务。</w:t>
      </w:r>
    </w:p>
    <w:p w14:paraId="6213E9A2">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4.乙方不得擅自对车辆其他部位进行改动调整，否则给甲方造成的一切损失、风险均由乙方应承担全部赔偿责任。</w:t>
      </w:r>
    </w:p>
    <w:p w14:paraId="7CFEE74F">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5.乙方为甲方所购买或更换的所有零配件必须符合国家、行业相关质量标准，严禁使用假冒伪劣、二手、回收零配件。</w:t>
      </w:r>
    </w:p>
    <w:p w14:paraId="1D55E23D">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6.乙方若不能胜任服务无法解决车辆故障须还原车辆，甲方有权委托第三方进行维修，由乙方免费安排拖车将车辆运至甲方指定维修点，同时由乙方承担维修费用。</w:t>
      </w:r>
    </w:p>
    <w:p w14:paraId="1CFB4F88">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车辆报修入场后直至交付甲方期间，乙方对甲方车辆负有安全保障义务，避免车辆遭到任何损坏（第三方行为导致仍视为甲方责任），如若发生乙方须第一时间通知甲方，不得瞒报，未经甲方同意不得擅自维修处理。</w:t>
      </w:r>
    </w:p>
    <w:p w14:paraId="4C89BE08">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8.乙方挪车、试车、调试、维修期间造成的人员及任意第三方人身、财产侵权的，乙方自行承担责任与甲方无关。</w:t>
      </w:r>
    </w:p>
    <w:p w14:paraId="45B1DE0D">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9.未经甲方同意，乙方不得将本合同的主要义务转移至第三方，否则甲方有权单方解除合同且不构成违约。</w:t>
      </w:r>
    </w:p>
    <w:p w14:paraId="5620F287">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10.乙方不得擅自将车辆用于其他无关用途。</w:t>
      </w:r>
    </w:p>
    <w:p w14:paraId="7D6E113E">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11.乙方应约束人员行为规范，恪守城市守信原则，严禁以任何形式盗取、侵占、调换随车财物以及恶意损坏车辆，如若发现乙方应照价赔偿。</w:t>
      </w:r>
    </w:p>
    <w:p w14:paraId="61D4C0A4">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w:t>
      </w:r>
      <w:r>
        <w:rPr>
          <w:rFonts w:hint="default" w:ascii="宋体" w:hAnsi="宋体" w:eastAsia="宋体" w:cs="Times New Roman"/>
          <w:color w:val="auto"/>
          <w:sz w:val="24"/>
          <w:szCs w:val="24"/>
          <w:highlight w:val="none"/>
          <w:lang w:val="en-US" w:eastAsia="zh-CN"/>
        </w:rPr>
        <w:t>乙方须掌握氢燃料电池相关基础常识及专业知识</w:t>
      </w:r>
      <w:r>
        <w:rPr>
          <w:rFonts w:hint="eastAsia" w:ascii="宋体" w:hAnsi="宋体" w:eastAsia="宋体" w:cs="Times New Roman"/>
          <w:color w:val="auto"/>
          <w:sz w:val="24"/>
          <w:szCs w:val="24"/>
          <w:highlight w:val="none"/>
          <w:lang w:val="en-US" w:eastAsia="zh-CN"/>
        </w:rPr>
        <w:t>，</w:t>
      </w:r>
      <w:r>
        <w:rPr>
          <w:rFonts w:hint="default" w:ascii="宋体" w:hAnsi="宋体" w:eastAsia="宋体" w:cs="Times New Roman"/>
          <w:color w:val="auto"/>
          <w:sz w:val="24"/>
          <w:szCs w:val="24"/>
          <w:highlight w:val="none"/>
          <w:lang w:val="en-US" w:eastAsia="zh-CN"/>
        </w:rPr>
        <w:t>同时确认并知晓车辆相关特种设备的正确使用方式及使用不当的危害性</w:t>
      </w:r>
      <w:r>
        <w:rPr>
          <w:rFonts w:hint="eastAsia" w:ascii="宋体" w:hAnsi="宋体" w:eastAsia="宋体" w:cs="Times New Roman"/>
          <w:color w:val="auto"/>
          <w:sz w:val="24"/>
          <w:szCs w:val="24"/>
          <w:highlight w:val="none"/>
          <w:lang w:val="en-US" w:eastAsia="zh-CN"/>
        </w:rPr>
        <w:t>，服务期间应严禁明火、高温，不得将车辆停放在密闭场所。</w:t>
      </w:r>
    </w:p>
    <w:p w14:paraId="2AE05405">
      <w:pPr>
        <w:widowControl/>
        <w:spacing w:after="120" w:afterLines="50" w:line="276" w:lineRule="auto"/>
        <w:ind w:firstLine="480" w:firstLineChars="200"/>
        <w:rPr>
          <w:rFonts w:hint="eastAsia" w:ascii="宋体" w:hAnsi="宋体" w:eastAsia="宋体" w:cs="宋体"/>
          <w:snapToGrid w:val="0"/>
          <w:color w:val="auto"/>
          <w:sz w:val="28"/>
          <w:szCs w:val="28"/>
          <w:highlight w:val="none"/>
          <w:lang w:val="en-US" w:eastAsia="zh-CN"/>
        </w:rPr>
      </w:pPr>
      <w:r>
        <w:rPr>
          <w:rFonts w:hint="eastAsia" w:ascii="宋体" w:hAnsi="宋体" w:eastAsia="宋体" w:cs="Times New Roman"/>
          <w:color w:val="auto"/>
          <w:sz w:val="24"/>
          <w:szCs w:val="24"/>
          <w:highlight w:val="none"/>
          <w:lang w:val="en-US" w:eastAsia="zh-CN"/>
        </w:rPr>
        <w:t>13.双方均应遵循诚实守信原则、恪守廉洁自律底线，严禁以任何形式的行贿受贿，收受礼金、回扣、返点，不得以合法形式掩盖非法目的串通虚构维修项、擅自增项、过度维修。乙方须严禁杜绝此类情形，不得与甲方相关人员通合串谋损害甲方合法权益。</w:t>
      </w:r>
    </w:p>
    <w:p w14:paraId="6088465D">
      <w:pPr>
        <w:pStyle w:val="3"/>
        <w:spacing w:before="120" w:beforeLines="50" w:after="120" w:afterLines="50" w:line="420" w:lineRule="exact"/>
        <w:ind w:left="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第六条 违约责任</w:t>
      </w:r>
    </w:p>
    <w:p w14:paraId="6C152627">
      <w:pPr>
        <w:widowControl/>
        <w:spacing w:after="120" w:afterLines="50" w:line="276"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甲方严格按照合同约定对乙方服务进行监督，确保乙方高效服务，保障满足甲方车辆日常维修保障需求。如乙方违反合同第五条第是三款约定或是执行力弱，处事消极，不作为以及明确表示不再履行合同或以其行为标明不履行合同的视为不符合甲方供应商要求，甲方有权单方解除合同且不构成违约。</w:t>
      </w:r>
    </w:p>
    <w:p w14:paraId="49874001">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乙方违反本合同第三条约定，经甲方催告仍未在限期内完成，甲方有权委托第三方处理，期间所产生的一切费用由乙方承担，同时乙方须向甲方支付自车辆报修之日起至车辆故障排出出厂之日期间1000元/天/车的停运损失。</w:t>
      </w:r>
    </w:p>
    <w:p w14:paraId="0F1E21F1">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3.车辆发生损毁、灭失，乙方须向甲方承担车辆损坏赔偿责任，并向甲方支付    1000元/天/车的停运损失。导致车辆造受毁损的责任主体除与乙方形成劳动关系的人员外，还包括乙方雇佣的劳务工、临时工以及现场其他第三方，一律由视为乙方责任。</w:t>
      </w:r>
    </w:p>
    <w:p w14:paraId="4D31152A">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3.1如保险公司理赔金额无法全额涵盖车辆损毁损失金额，差额部分由乙方承担；</w:t>
      </w:r>
    </w:p>
    <w:p w14:paraId="5FD127D8">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3.2如因乙方原因导致保险公司拒赔或未在理赔范围内，甲方有权要求乙方按照车辆毁损金额赔偿损失。</w:t>
      </w:r>
    </w:p>
    <w:p w14:paraId="619DEFC2">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经最终检测鉴定或交管部门认定属于乙方更换零配件质量问题、维修部位技术故障导致事故发生的，车辆对第三方造成人身、财产侵权损害以及对关联方构成违约、赔偿，乙方应承担甲方所有损失，甲方遭受损失后有权向乙方追偿。</w:t>
      </w:r>
    </w:p>
    <w:p w14:paraId="29B8C4C5">
      <w:pPr>
        <w:widowControl/>
        <w:spacing w:after="120" w:afterLines="50" w:line="276" w:lineRule="auto"/>
        <w:ind w:firstLine="480" w:firstLineChars="200"/>
        <w:rPr>
          <w:rFonts w:hint="eastAsia" w:ascii="宋体" w:hAnsi="宋体" w:eastAsia="宋体" w:cs="宋体"/>
          <w:snapToGrid w:val="0"/>
          <w:color w:val="auto"/>
          <w:sz w:val="28"/>
          <w:szCs w:val="28"/>
          <w:highlight w:val="none"/>
          <w:lang w:val="en-US" w:eastAsia="zh-CN"/>
        </w:rPr>
      </w:pPr>
      <w:r>
        <w:rPr>
          <w:rFonts w:hint="eastAsia" w:ascii="宋体" w:hAnsi="宋体" w:eastAsia="宋体" w:cs="Times New Roman"/>
          <w:color w:val="auto"/>
          <w:sz w:val="24"/>
          <w:szCs w:val="24"/>
          <w:highlight w:val="none"/>
          <w:lang w:val="en-US" w:eastAsia="zh-CN"/>
        </w:rPr>
        <w:t>5.任何一方有违约行为的，按《民法典》规定承担违约责任，守约方有权要求违约方赔偿因其违约行为给守约方造成的直接损失及间接损失，包括但不限于因违约方的违约行为而引起的律师费、诉讼费、赔偿金、差旅费、公证鉴定费、调查取证费、罚款、罚金、第三方索赔、甲方项目经济损失等在内的全部损失。本合同其他条款对违约责任有具体金额规定的，以其他条款为准，如约定的违约金、赔偿金不足以弥补损失的还应继续赔偿损失。任意一方导致对方损失，遭受损失一方应以书面形式通知对方，说明事由、赔偿金额及相关依据;造成损失方应在收到通知之日起48小时内通过书面形式予以反馈或确认，否则视为默认。</w:t>
      </w:r>
    </w:p>
    <w:p w14:paraId="01C52194">
      <w:pPr>
        <w:pStyle w:val="3"/>
        <w:spacing w:before="120" w:beforeLines="50" w:after="120" w:afterLines="50" w:line="420" w:lineRule="exact"/>
        <w:ind w:left="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第七条 资质要求及签约能力</w:t>
      </w:r>
    </w:p>
    <w:p w14:paraId="5BF7416C">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双方声明并保证如下：</w:t>
      </w:r>
    </w:p>
    <w:p w14:paraId="3150BB5A">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1.双方均保证其已向对方出示的各自的营业执照及其他有关证明文件是依法定程序取得的并且是真实的。</w:t>
      </w:r>
    </w:p>
    <w:p w14:paraId="006CA385">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2.其具备从事本合同项下相关义务的资质与能力；</w:t>
      </w:r>
    </w:p>
    <w:p w14:paraId="2430FA88">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3.其拥有签订并履行本合同的全部、充分的权利与授权，并依据中国法律具有签订本合同的行为能力；</w:t>
      </w:r>
    </w:p>
    <w:p w14:paraId="5B7FB0CA">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4.其在本合同上签字的代表，已获得签署本合同的充分授权；</w:t>
      </w:r>
    </w:p>
    <w:p w14:paraId="723DB156">
      <w:pPr>
        <w:widowControl/>
        <w:spacing w:after="120" w:afterLines="50" w:line="276"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5.其就本合同的签署所提供的一切文件资料均是真实、有效、完整的；</w:t>
      </w:r>
    </w:p>
    <w:p w14:paraId="69691959">
      <w:pPr>
        <w:widowControl/>
        <w:spacing w:after="120" w:afterLines="50" w:line="276" w:lineRule="auto"/>
        <w:ind w:firstLine="480" w:firstLineChars="200"/>
        <w:rPr>
          <w:rFonts w:hint="eastAsia"/>
          <w:color w:val="auto"/>
          <w:highlight w:val="none"/>
          <w:lang w:eastAsia="zh-CN"/>
        </w:rPr>
      </w:pPr>
      <w:r>
        <w:rPr>
          <w:rFonts w:hint="eastAsia" w:ascii="宋体" w:hAnsi="宋体" w:eastAsia="宋体" w:cs="Times New Roman"/>
          <w:color w:val="auto"/>
          <w:sz w:val="24"/>
          <w:szCs w:val="24"/>
          <w:highlight w:val="none"/>
          <w:lang w:val="en-US" w:eastAsia="zh-CN"/>
        </w:rPr>
        <w:t>6.其有能力履行其于本合同项下之义务，并且履行该等义务的行为不违反任何对其有约束力的合同或合同。</w:t>
      </w:r>
    </w:p>
    <w:p w14:paraId="3DA00EEF">
      <w:pPr>
        <w:pStyle w:val="3"/>
        <w:spacing w:before="120" w:beforeLines="50" w:after="120" w:afterLines="50" w:line="420" w:lineRule="exact"/>
        <w:ind w:left="0"/>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第</w:t>
      </w:r>
      <w:r>
        <w:rPr>
          <w:rFonts w:hint="eastAsia" w:ascii="宋体" w:hAnsi="宋体" w:eastAsia="宋体" w:cs="宋体"/>
          <w:snapToGrid w:val="0"/>
          <w:color w:val="auto"/>
          <w:sz w:val="28"/>
          <w:szCs w:val="28"/>
          <w:highlight w:val="none"/>
          <w:lang w:val="en-US" w:eastAsia="zh-CN"/>
        </w:rPr>
        <w:t>八</w:t>
      </w:r>
      <w:r>
        <w:rPr>
          <w:rFonts w:hint="eastAsia" w:ascii="宋体" w:hAnsi="宋体" w:eastAsia="宋体" w:cs="宋体"/>
          <w:snapToGrid w:val="0"/>
          <w:color w:val="auto"/>
          <w:sz w:val="28"/>
          <w:szCs w:val="28"/>
          <w:highlight w:val="none"/>
          <w:lang w:eastAsia="zh-CN"/>
        </w:rPr>
        <w:t>条 不可抗力</w:t>
      </w:r>
    </w:p>
    <w:p w14:paraId="3A60A367">
      <w:pPr>
        <w:spacing w:after="120" w:afterLines="50" w:line="276" w:lineRule="auto"/>
        <w:ind w:firstLine="480" w:firstLineChars="200"/>
        <w:jc w:val="both"/>
        <w:rPr>
          <w:rFonts w:hint="eastAsia" w:ascii="宋体" w:hAnsi="宋体" w:eastAsia="宋体" w:cs="宋体"/>
          <w:snapToGrid w:val="0"/>
          <w:color w:val="auto"/>
          <w:sz w:val="28"/>
          <w:szCs w:val="28"/>
          <w:highlight w:val="none"/>
          <w:lang w:eastAsia="zh-CN"/>
        </w:rPr>
      </w:pPr>
      <w:r>
        <w:rPr>
          <w:rFonts w:hint="eastAsia" w:ascii="宋体" w:hAnsi="宋体" w:eastAsia="宋体"/>
          <w:color w:val="auto"/>
          <w:kern w:val="2"/>
          <w:sz w:val="24"/>
          <w:szCs w:val="24"/>
          <w:highlight w:val="none"/>
          <w:lang w:val="en-US" w:eastAsia="zh-CN"/>
        </w:rPr>
        <w:t>1.</w:t>
      </w:r>
      <w:r>
        <w:rPr>
          <w:rFonts w:ascii="宋体" w:hAnsi="宋体" w:eastAsia="宋体"/>
          <w:color w:val="auto"/>
          <w:kern w:val="2"/>
          <w:sz w:val="24"/>
          <w:szCs w:val="24"/>
          <w:highlight w:val="none"/>
          <w:lang w:eastAsia="zh-CN"/>
        </w:rPr>
        <w:t>由于发生任何无法预见、无法避免或无法克服的不可抗力事件</w:t>
      </w:r>
      <w:r>
        <w:rPr>
          <w:rFonts w:hint="eastAsia" w:ascii="宋体" w:hAnsi="宋体" w:eastAsia="宋体"/>
          <w:color w:val="auto"/>
          <w:kern w:val="2"/>
          <w:sz w:val="24"/>
          <w:szCs w:val="24"/>
          <w:highlight w:val="none"/>
          <w:lang w:eastAsia="zh-CN"/>
        </w:rPr>
        <w:t>（包括但不限于战争、火灾、洪水、地震、政府机构行为等不可抗力因素），</w:t>
      </w:r>
      <w:r>
        <w:rPr>
          <w:rFonts w:ascii="宋体" w:hAnsi="宋体" w:eastAsia="宋体"/>
          <w:color w:val="auto"/>
          <w:kern w:val="2"/>
          <w:sz w:val="24"/>
          <w:szCs w:val="24"/>
          <w:highlight w:val="none"/>
          <w:lang w:eastAsia="zh-CN"/>
        </w:rPr>
        <w:t>任何一方不能履行本合同时，应及时向对方通报不能履行或不能完全履行的理由，并应在合理时间内提供政府机关出具的证明。双方根据不可抗力的影响协商确定延期履行、部分履行或者不履行本合同。遭受不可抗力的一方有义务尽其努力避免不可抗力事件的影响扩大，唯此，在不可抗力影响范围内方可免予承担违约责任。</w:t>
      </w:r>
    </w:p>
    <w:p w14:paraId="61AFDDA8">
      <w:pPr>
        <w:pStyle w:val="3"/>
        <w:spacing w:before="120" w:beforeLines="50" w:after="120" w:afterLines="50" w:line="420" w:lineRule="exact"/>
        <w:ind w:left="0"/>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第</w:t>
      </w:r>
      <w:r>
        <w:rPr>
          <w:rFonts w:hint="eastAsia" w:ascii="宋体" w:hAnsi="宋体" w:eastAsia="宋体" w:cs="宋体"/>
          <w:snapToGrid w:val="0"/>
          <w:color w:val="auto"/>
          <w:sz w:val="28"/>
          <w:szCs w:val="28"/>
          <w:highlight w:val="none"/>
          <w:lang w:val="en-US" w:eastAsia="zh-CN"/>
        </w:rPr>
        <w:t>九</w:t>
      </w:r>
      <w:r>
        <w:rPr>
          <w:rFonts w:hint="eastAsia" w:ascii="宋体" w:hAnsi="宋体" w:eastAsia="宋体" w:cs="宋体"/>
          <w:snapToGrid w:val="0"/>
          <w:color w:val="auto"/>
          <w:sz w:val="28"/>
          <w:szCs w:val="28"/>
          <w:highlight w:val="none"/>
          <w:lang w:eastAsia="zh-CN"/>
        </w:rPr>
        <w:t>条 通知与送达</w:t>
      </w:r>
    </w:p>
    <w:p w14:paraId="5E81EE5E">
      <w:pPr>
        <w:widowControl/>
        <w:spacing w:after="120" w:afterLines="50" w:line="276"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r>
        <w:rPr>
          <w:rFonts w:ascii="宋体" w:hAnsi="宋体" w:eastAsia="宋体"/>
          <w:color w:val="auto"/>
          <w:sz w:val="24"/>
          <w:szCs w:val="24"/>
          <w:highlight w:val="none"/>
          <w:lang w:eastAsia="zh-CN"/>
        </w:rPr>
        <w:t>.依照本合同做出的任何通知、要求或其他通讯，</w:t>
      </w:r>
      <w:r>
        <w:rPr>
          <w:rFonts w:hint="eastAsia" w:ascii="宋体" w:hAnsi="宋体" w:eastAsia="宋体"/>
          <w:color w:val="auto"/>
          <w:sz w:val="24"/>
          <w:szCs w:val="24"/>
          <w:highlight w:val="none"/>
          <w:lang w:eastAsia="zh-CN"/>
        </w:rPr>
        <w:t>应当</w:t>
      </w:r>
      <w:r>
        <w:rPr>
          <w:rFonts w:ascii="宋体" w:hAnsi="宋体" w:eastAsia="宋体"/>
          <w:color w:val="auto"/>
          <w:sz w:val="24"/>
          <w:szCs w:val="24"/>
          <w:highlight w:val="none"/>
          <w:lang w:eastAsia="zh-CN"/>
        </w:rPr>
        <w:t>以书面形式送至本合同</w:t>
      </w:r>
      <w:r>
        <w:rPr>
          <w:rFonts w:hint="eastAsia" w:ascii="宋体" w:hAnsi="宋体" w:eastAsia="宋体"/>
          <w:color w:val="auto"/>
          <w:sz w:val="24"/>
          <w:szCs w:val="24"/>
          <w:highlight w:val="none"/>
          <w:lang w:eastAsia="zh-CN"/>
        </w:rPr>
        <w:t>首部</w:t>
      </w:r>
      <w:r>
        <w:rPr>
          <w:rFonts w:ascii="宋体" w:hAnsi="宋体" w:eastAsia="宋体"/>
          <w:color w:val="auto"/>
          <w:sz w:val="24"/>
          <w:szCs w:val="24"/>
          <w:highlight w:val="none"/>
          <w:lang w:eastAsia="zh-CN"/>
        </w:rPr>
        <w:t>约定的收件方的通讯地址。任何一方变更通讯地址的，应自变更之日起三个工作日内，将变更后的地址以书面形式通知对方。变更方不履行通知义务的，应对此造成的一切后果承担法律责任。</w:t>
      </w:r>
    </w:p>
    <w:p w14:paraId="794669B6">
      <w:pPr>
        <w:widowControl/>
        <w:spacing w:after="120" w:afterLines="50" w:line="276"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w:t>
      </w: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任何一方以快递、挂号信方式将相关文件邮寄至该地址或以电子邮件方式发至指定电子邮箱的，均视为有效送达。</w:t>
      </w:r>
    </w:p>
    <w:p w14:paraId="3BF0785C">
      <w:pPr>
        <w:widowControl/>
        <w:spacing w:after="120" w:afterLines="50" w:line="276" w:lineRule="auto"/>
        <w:ind w:firstLine="480" w:firstLineChars="200"/>
        <w:rPr>
          <w:rFonts w:hint="eastAsia" w:ascii="宋体" w:hAnsi="宋体" w:eastAsia="宋体" w:cs="Calibri"/>
          <w:color w:val="auto"/>
          <w:sz w:val="24"/>
          <w:szCs w:val="24"/>
          <w:highlight w:val="none"/>
          <w:lang w:eastAsia="zh-CN"/>
        </w:rPr>
      </w:pPr>
      <w:r>
        <w:rPr>
          <w:rFonts w:hint="eastAsia" w:ascii="宋体" w:hAnsi="宋体" w:eastAsia="宋体" w:cs="Calibri"/>
          <w:color w:val="auto"/>
          <w:sz w:val="24"/>
          <w:szCs w:val="24"/>
          <w:highlight w:val="none"/>
          <w:lang w:eastAsia="zh-CN"/>
        </w:rPr>
        <w:t>3.一方发出的通知、要求或其他通讯应依下列规定视作已经送达对方：如以快递、挂号信件邮寄的，在投邮后第五天视为收讫；如直接交付，在接收方签收时视为收讫；如以特快专递方式邮寄，在寄出后第三天视为收讫；如以传真方式发送，在发出后视为收讫；如以电子邮件方式发送，在发出后视为收讫。</w:t>
      </w:r>
    </w:p>
    <w:p w14:paraId="53712E65">
      <w:pPr>
        <w:widowControl/>
        <w:spacing w:after="120" w:afterLines="50" w:line="276" w:lineRule="auto"/>
        <w:ind w:firstLine="480" w:firstLineChars="200"/>
        <w:rPr>
          <w:rFonts w:hint="eastAsia" w:ascii="宋体" w:hAnsi="宋体" w:eastAsia="宋体" w:cs="Calibri"/>
          <w:color w:val="auto"/>
          <w:sz w:val="24"/>
          <w:szCs w:val="24"/>
          <w:highlight w:val="none"/>
          <w:lang w:val="en-US" w:eastAsia="zh-CN"/>
        </w:rPr>
      </w:pPr>
      <w:r>
        <w:rPr>
          <w:rFonts w:hint="eastAsia" w:ascii="宋体" w:hAnsi="宋体" w:eastAsia="宋体" w:cs="Calibri"/>
          <w:color w:val="auto"/>
          <w:sz w:val="24"/>
          <w:szCs w:val="24"/>
          <w:highlight w:val="none"/>
          <w:lang w:val="en-US" w:eastAsia="zh-CN"/>
        </w:rPr>
        <w:t>4.甲方收件信息：</w:t>
      </w:r>
    </w:p>
    <w:p w14:paraId="1B30ECF7">
      <w:pPr>
        <w:widowControl/>
        <w:spacing w:after="120" w:afterLines="50" w:line="276" w:lineRule="auto"/>
        <w:ind w:firstLine="480" w:firstLineChars="200"/>
        <w:rPr>
          <w:rFonts w:hint="eastAsia" w:ascii="宋体" w:hAnsi="宋体" w:eastAsia="宋体" w:cs="宋体"/>
          <w:snapToGrid w:val="0"/>
          <w:color w:val="auto"/>
          <w:sz w:val="28"/>
          <w:szCs w:val="28"/>
          <w:highlight w:val="none"/>
          <w:lang w:eastAsia="zh-CN"/>
        </w:rPr>
      </w:pPr>
      <w:r>
        <w:rPr>
          <w:rFonts w:hint="eastAsia" w:ascii="宋体" w:hAnsi="宋体" w:eastAsia="宋体" w:cs="Calibri"/>
          <w:color w:val="auto"/>
          <w:sz w:val="24"/>
          <w:szCs w:val="24"/>
          <w:highlight w:val="none"/>
          <w:lang w:val="en-US" w:eastAsia="zh-CN"/>
        </w:rPr>
        <w:t>5.乙方收件信息：</w:t>
      </w:r>
    </w:p>
    <w:p w14:paraId="4000075E">
      <w:pPr>
        <w:pStyle w:val="3"/>
        <w:spacing w:before="120" w:beforeLines="50" w:after="120" w:afterLines="50" w:line="420" w:lineRule="exact"/>
        <w:ind w:left="0"/>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第十条 适用法律及争议解决</w:t>
      </w:r>
    </w:p>
    <w:p w14:paraId="5F48A489">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1</w:t>
      </w:r>
      <w:r>
        <w:rPr>
          <w:rFonts w:ascii="宋体" w:hAnsi="宋体" w:eastAsia="宋体"/>
          <w:color w:val="auto"/>
          <w:kern w:val="2"/>
          <w:sz w:val="24"/>
          <w:szCs w:val="24"/>
          <w:highlight w:val="none"/>
          <w:lang w:eastAsia="zh-CN"/>
        </w:rPr>
        <w:t>.本</w:t>
      </w:r>
      <w:r>
        <w:rPr>
          <w:rFonts w:hint="eastAsia" w:ascii="宋体" w:hAnsi="宋体" w:eastAsia="宋体"/>
          <w:color w:val="auto"/>
          <w:kern w:val="2"/>
          <w:sz w:val="24"/>
          <w:szCs w:val="24"/>
          <w:highlight w:val="none"/>
          <w:lang w:eastAsia="zh-CN"/>
        </w:rPr>
        <w:t>合同</w:t>
      </w:r>
      <w:r>
        <w:rPr>
          <w:rFonts w:ascii="宋体" w:hAnsi="宋体" w:eastAsia="宋体"/>
          <w:color w:val="auto"/>
          <w:kern w:val="2"/>
          <w:sz w:val="24"/>
          <w:szCs w:val="24"/>
          <w:highlight w:val="none"/>
          <w:lang w:eastAsia="zh-CN"/>
        </w:rPr>
        <w:t>的</w:t>
      </w:r>
      <w:r>
        <w:rPr>
          <w:rFonts w:hint="eastAsia" w:ascii="宋体" w:hAnsi="宋体" w:eastAsia="宋体"/>
          <w:color w:val="auto"/>
          <w:kern w:val="2"/>
          <w:sz w:val="24"/>
          <w:szCs w:val="24"/>
          <w:highlight w:val="none"/>
          <w:lang w:eastAsia="zh-CN"/>
        </w:rPr>
        <w:t>订立、</w:t>
      </w:r>
      <w:r>
        <w:rPr>
          <w:rFonts w:ascii="宋体" w:hAnsi="宋体" w:eastAsia="宋体"/>
          <w:color w:val="auto"/>
          <w:kern w:val="2"/>
          <w:sz w:val="24"/>
          <w:szCs w:val="24"/>
          <w:highlight w:val="none"/>
          <w:lang w:eastAsia="zh-CN"/>
        </w:rPr>
        <w:t>签署、有效性、解释、履行</w:t>
      </w:r>
      <w:r>
        <w:rPr>
          <w:rFonts w:hint="eastAsia" w:ascii="宋体" w:hAnsi="宋体" w:eastAsia="宋体"/>
          <w:color w:val="auto"/>
          <w:kern w:val="2"/>
          <w:sz w:val="24"/>
          <w:szCs w:val="24"/>
          <w:highlight w:val="none"/>
          <w:lang w:eastAsia="zh-CN"/>
        </w:rPr>
        <w:t>及争议解决</w:t>
      </w:r>
      <w:r>
        <w:rPr>
          <w:rFonts w:ascii="宋体" w:hAnsi="宋体" w:eastAsia="宋体"/>
          <w:color w:val="auto"/>
          <w:kern w:val="2"/>
          <w:sz w:val="24"/>
          <w:szCs w:val="24"/>
          <w:highlight w:val="none"/>
          <w:lang w:eastAsia="zh-CN"/>
        </w:rPr>
        <w:t>均应适用中华人民共和国法律。</w:t>
      </w:r>
    </w:p>
    <w:p w14:paraId="79F03919">
      <w:pPr>
        <w:spacing w:after="120" w:afterLines="50" w:line="276" w:lineRule="auto"/>
        <w:ind w:firstLine="480" w:firstLineChars="200"/>
        <w:jc w:val="both"/>
        <w:rPr>
          <w:rFonts w:hint="eastAsia" w:ascii="宋体" w:hAnsi="宋体" w:eastAsia="宋体" w:cs="宋体"/>
          <w:snapToGrid w:val="0"/>
          <w:color w:val="auto"/>
          <w:sz w:val="28"/>
          <w:szCs w:val="28"/>
          <w:highlight w:val="none"/>
          <w:lang w:eastAsia="zh-CN"/>
        </w:rPr>
      </w:pPr>
      <w:r>
        <w:rPr>
          <w:rFonts w:hint="eastAsia" w:ascii="宋体" w:hAnsi="宋体" w:eastAsia="宋体"/>
          <w:color w:val="auto"/>
          <w:sz w:val="24"/>
          <w:szCs w:val="24"/>
          <w:highlight w:val="none"/>
          <w:lang w:eastAsia="zh-CN"/>
        </w:rPr>
        <w:t>2</w:t>
      </w: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因履行本合同产生的或与本合同相关的任何争议，双方应协商解决；协商不成的，任何一方均可向</w:t>
      </w:r>
      <w:r>
        <w:rPr>
          <w:rFonts w:hint="eastAsia" w:ascii="宋体" w:hAnsi="宋体" w:eastAsia="宋体"/>
          <w:color w:val="auto"/>
          <w:sz w:val="24"/>
          <w:szCs w:val="24"/>
          <w:highlight w:val="none"/>
          <w:lang w:val="en-US" w:eastAsia="zh-CN"/>
        </w:rPr>
        <w:t>甲方</w:t>
      </w:r>
      <w:r>
        <w:rPr>
          <w:rFonts w:ascii="宋体" w:hAnsi="宋体" w:eastAsia="宋体"/>
          <w:color w:val="auto"/>
          <w:sz w:val="24"/>
          <w:szCs w:val="24"/>
          <w:highlight w:val="none"/>
          <w:lang w:eastAsia="zh-CN"/>
        </w:rPr>
        <w:t>所在地人民法院</w:t>
      </w:r>
      <w:r>
        <w:rPr>
          <w:rFonts w:hint="eastAsia" w:ascii="宋体" w:hAnsi="宋体" w:eastAsia="宋体"/>
          <w:color w:val="auto"/>
          <w:sz w:val="24"/>
          <w:szCs w:val="24"/>
          <w:highlight w:val="none"/>
          <w:lang w:eastAsia="zh-CN"/>
        </w:rPr>
        <w:t>提起诉讼</w:t>
      </w:r>
      <w:r>
        <w:rPr>
          <w:rFonts w:ascii="宋体" w:hAnsi="宋体" w:eastAsia="宋体"/>
          <w:color w:val="auto"/>
          <w:sz w:val="24"/>
          <w:szCs w:val="24"/>
          <w:highlight w:val="none"/>
          <w:lang w:eastAsia="zh-CN"/>
        </w:rPr>
        <w:t>。</w:t>
      </w:r>
    </w:p>
    <w:p w14:paraId="67886BA8">
      <w:pPr>
        <w:pStyle w:val="3"/>
        <w:spacing w:before="120" w:beforeLines="50" w:after="120" w:afterLines="50" w:line="420" w:lineRule="exact"/>
        <w:ind w:left="0"/>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第十</w:t>
      </w:r>
      <w:r>
        <w:rPr>
          <w:rFonts w:hint="eastAsia" w:ascii="宋体" w:hAnsi="宋体" w:eastAsia="宋体" w:cs="宋体"/>
          <w:snapToGrid w:val="0"/>
          <w:color w:val="auto"/>
          <w:sz w:val="28"/>
          <w:szCs w:val="28"/>
          <w:highlight w:val="none"/>
          <w:lang w:val="en-US" w:eastAsia="zh-CN"/>
        </w:rPr>
        <w:t>一</w:t>
      </w:r>
      <w:r>
        <w:rPr>
          <w:rFonts w:hint="eastAsia" w:ascii="宋体" w:hAnsi="宋体" w:eastAsia="宋体" w:cs="宋体"/>
          <w:snapToGrid w:val="0"/>
          <w:color w:val="auto"/>
          <w:sz w:val="28"/>
          <w:szCs w:val="28"/>
          <w:highlight w:val="none"/>
          <w:lang w:eastAsia="zh-CN"/>
        </w:rPr>
        <w:t>条 合同期满和终止</w:t>
      </w:r>
    </w:p>
    <w:p w14:paraId="63DDA0F8">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1</w:t>
      </w:r>
      <w:r>
        <w:rPr>
          <w:rFonts w:ascii="宋体" w:hAnsi="宋体" w:eastAsia="宋体"/>
          <w:color w:val="auto"/>
          <w:kern w:val="2"/>
          <w:sz w:val="24"/>
          <w:szCs w:val="24"/>
          <w:highlight w:val="none"/>
          <w:lang w:eastAsia="zh-CN"/>
        </w:rPr>
        <w:t>.</w:t>
      </w:r>
      <w:r>
        <w:rPr>
          <w:rFonts w:hint="eastAsia" w:ascii="宋体" w:hAnsi="宋体" w:eastAsia="宋体"/>
          <w:color w:val="auto"/>
          <w:kern w:val="2"/>
          <w:sz w:val="24"/>
          <w:szCs w:val="24"/>
          <w:highlight w:val="none"/>
          <w:lang w:eastAsia="zh-CN"/>
        </w:rPr>
        <w:t>本合同期限届满，双方未续签的，到期后合同予以终止；</w:t>
      </w:r>
    </w:p>
    <w:p w14:paraId="2E5B62EC">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2</w:t>
      </w:r>
      <w:r>
        <w:rPr>
          <w:rFonts w:ascii="宋体" w:hAnsi="宋体" w:eastAsia="宋体"/>
          <w:color w:val="auto"/>
          <w:kern w:val="2"/>
          <w:sz w:val="24"/>
          <w:szCs w:val="24"/>
          <w:highlight w:val="none"/>
          <w:lang w:eastAsia="zh-CN"/>
        </w:rPr>
        <w:t>.</w:t>
      </w:r>
      <w:r>
        <w:rPr>
          <w:rFonts w:hint="eastAsia" w:ascii="宋体" w:hAnsi="宋体" w:eastAsia="宋体"/>
          <w:color w:val="auto"/>
          <w:kern w:val="2"/>
          <w:sz w:val="24"/>
          <w:szCs w:val="24"/>
          <w:highlight w:val="none"/>
          <w:lang w:eastAsia="zh-CN"/>
        </w:rPr>
        <w:t>发生不可抗力事件，致使本合同的一方或双方当事人不能履行其在本合同项下义务的，或合同目的不能实现的，双方可以解除本合同。</w:t>
      </w:r>
    </w:p>
    <w:p w14:paraId="6BC111B2">
      <w:pPr>
        <w:spacing w:after="120" w:afterLines="50" w:line="276" w:lineRule="auto"/>
        <w:ind w:firstLine="480" w:firstLineChars="200"/>
        <w:jc w:val="both"/>
        <w:rPr>
          <w:rFonts w:ascii="宋体" w:hAnsi="宋体" w:eastAsia="宋体" w:cs="宋体"/>
          <w:snapToGrid w:val="0"/>
          <w:color w:val="auto"/>
          <w:kern w:val="2"/>
          <w:sz w:val="24"/>
          <w:szCs w:val="24"/>
          <w:highlight w:val="none"/>
          <w:lang w:eastAsia="zh-CN"/>
        </w:rPr>
      </w:pPr>
      <w:r>
        <w:rPr>
          <w:rFonts w:hint="eastAsia" w:ascii="宋体" w:hAnsi="宋体" w:eastAsia="宋体"/>
          <w:color w:val="auto"/>
          <w:kern w:val="2"/>
          <w:sz w:val="24"/>
          <w:szCs w:val="24"/>
          <w:highlight w:val="none"/>
          <w:lang w:eastAsia="zh-CN"/>
        </w:rPr>
        <w:t>3</w:t>
      </w:r>
      <w:r>
        <w:rPr>
          <w:rFonts w:ascii="宋体" w:hAnsi="宋体" w:eastAsia="宋体"/>
          <w:color w:val="auto"/>
          <w:kern w:val="2"/>
          <w:sz w:val="24"/>
          <w:szCs w:val="24"/>
          <w:highlight w:val="none"/>
          <w:lang w:eastAsia="zh-CN"/>
        </w:rPr>
        <w:t>.</w:t>
      </w:r>
      <w:r>
        <w:rPr>
          <w:rFonts w:hint="eastAsia" w:ascii="宋体" w:hAnsi="宋体" w:eastAsia="宋体"/>
          <w:color w:val="auto"/>
          <w:kern w:val="2"/>
          <w:sz w:val="24"/>
          <w:szCs w:val="24"/>
          <w:highlight w:val="none"/>
          <w:lang w:eastAsia="zh-CN"/>
        </w:rPr>
        <w:t>合同期间，经双方协商一致</w:t>
      </w:r>
      <w:r>
        <w:rPr>
          <w:rFonts w:hint="eastAsia" w:ascii="宋体" w:hAnsi="宋体" w:eastAsia="宋体" w:cs="宋体"/>
          <w:snapToGrid w:val="0"/>
          <w:color w:val="auto"/>
          <w:kern w:val="2"/>
          <w:sz w:val="24"/>
          <w:szCs w:val="24"/>
          <w:highlight w:val="none"/>
          <w:lang w:eastAsia="zh-CN"/>
        </w:rPr>
        <w:t>同意解除并签订书面解除合同的，本合同解除。</w:t>
      </w:r>
    </w:p>
    <w:p w14:paraId="13756A3C">
      <w:pPr>
        <w:spacing w:after="120" w:afterLines="50" w:line="276" w:lineRule="auto"/>
        <w:ind w:firstLine="480" w:firstLineChars="200"/>
        <w:jc w:val="both"/>
        <w:rPr>
          <w:rFonts w:hint="default" w:ascii="宋体" w:hAnsi="宋体" w:eastAsia="宋体"/>
          <w:color w:val="auto"/>
          <w:kern w:val="2"/>
          <w:sz w:val="24"/>
          <w:szCs w:val="24"/>
          <w:highlight w:val="none"/>
          <w:lang w:val="en-US" w:eastAsia="zh-CN"/>
        </w:rPr>
      </w:pPr>
      <w:r>
        <w:rPr>
          <w:rFonts w:hint="eastAsia" w:ascii="宋体" w:hAnsi="宋体" w:eastAsia="宋体" w:cs="宋体"/>
          <w:snapToGrid w:val="0"/>
          <w:color w:val="auto"/>
          <w:kern w:val="2"/>
          <w:sz w:val="24"/>
          <w:szCs w:val="24"/>
          <w:highlight w:val="none"/>
          <w:lang w:eastAsia="zh-CN"/>
        </w:rPr>
        <w:t>4</w:t>
      </w:r>
      <w:r>
        <w:rPr>
          <w:rFonts w:ascii="宋体" w:hAnsi="宋体" w:eastAsia="宋体" w:cs="宋体"/>
          <w:snapToGrid w:val="0"/>
          <w:color w:val="auto"/>
          <w:kern w:val="2"/>
          <w:sz w:val="24"/>
          <w:szCs w:val="24"/>
          <w:highlight w:val="none"/>
          <w:lang w:eastAsia="zh-CN"/>
        </w:rPr>
        <w:t>.</w:t>
      </w:r>
      <w:r>
        <w:rPr>
          <w:rFonts w:hint="eastAsia" w:ascii="宋体" w:hAnsi="宋体" w:eastAsia="宋体"/>
          <w:color w:val="auto"/>
          <w:kern w:val="2"/>
          <w:sz w:val="24"/>
          <w:szCs w:val="24"/>
          <w:highlight w:val="none"/>
          <w:lang w:eastAsia="zh-CN"/>
        </w:rPr>
        <w:t>其他法律、法规规定的合同权利义务终止的情形。</w:t>
      </w:r>
    </w:p>
    <w:p w14:paraId="7031ED7A">
      <w:pPr>
        <w:pStyle w:val="3"/>
        <w:spacing w:before="120" w:beforeLines="50" w:after="120" w:afterLines="50" w:line="420" w:lineRule="exact"/>
        <w:ind w:left="0"/>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第十</w:t>
      </w:r>
      <w:r>
        <w:rPr>
          <w:rFonts w:hint="eastAsia" w:ascii="宋体" w:hAnsi="宋体" w:eastAsia="宋体" w:cs="宋体"/>
          <w:snapToGrid w:val="0"/>
          <w:color w:val="auto"/>
          <w:sz w:val="28"/>
          <w:szCs w:val="28"/>
          <w:highlight w:val="none"/>
          <w:lang w:val="en-US" w:eastAsia="zh-CN"/>
        </w:rPr>
        <w:t>二</w:t>
      </w:r>
      <w:r>
        <w:rPr>
          <w:rFonts w:hint="eastAsia" w:ascii="宋体" w:hAnsi="宋体" w:eastAsia="宋体" w:cs="宋体"/>
          <w:snapToGrid w:val="0"/>
          <w:color w:val="auto"/>
          <w:sz w:val="28"/>
          <w:szCs w:val="28"/>
          <w:highlight w:val="none"/>
          <w:lang w:eastAsia="zh-CN"/>
        </w:rPr>
        <w:t>条 其他</w:t>
      </w:r>
    </w:p>
    <w:p w14:paraId="175F42C9">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1</w:t>
      </w:r>
      <w:r>
        <w:rPr>
          <w:rFonts w:ascii="宋体" w:hAnsi="宋体" w:eastAsia="宋体"/>
          <w:color w:val="auto"/>
          <w:kern w:val="2"/>
          <w:sz w:val="24"/>
          <w:szCs w:val="24"/>
          <w:highlight w:val="none"/>
          <w:lang w:eastAsia="zh-CN"/>
        </w:rPr>
        <w:t>.</w:t>
      </w:r>
      <w:r>
        <w:rPr>
          <w:rFonts w:hint="eastAsia" w:ascii="宋体" w:hAnsi="宋体" w:eastAsia="宋体"/>
          <w:color w:val="auto"/>
          <w:kern w:val="2"/>
          <w:sz w:val="24"/>
          <w:szCs w:val="24"/>
          <w:highlight w:val="none"/>
          <w:lang w:eastAsia="zh-CN"/>
        </w:rPr>
        <w:t xml:space="preserve"> 本合同的标题及各条款的标题仅为检索方便而拟定，不应用来解释合同条款的含义。</w:t>
      </w:r>
    </w:p>
    <w:p w14:paraId="7DEA279A">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ascii="宋体" w:hAnsi="宋体" w:eastAsia="宋体"/>
          <w:color w:val="auto"/>
          <w:kern w:val="2"/>
          <w:sz w:val="24"/>
          <w:szCs w:val="24"/>
          <w:highlight w:val="none"/>
          <w:lang w:eastAsia="zh-CN"/>
        </w:rPr>
        <w:t>2. 除本合同另有约定外，未经</w:t>
      </w:r>
      <w:r>
        <w:rPr>
          <w:rFonts w:hint="eastAsia" w:ascii="宋体" w:hAnsi="宋体" w:eastAsia="宋体"/>
          <w:color w:val="auto"/>
          <w:kern w:val="2"/>
          <w:sz w:val="24"/>
          <w:szCs w:val="24"/>
          <w:highlight w:val="none"/>
          <w:lang w:eastAsia="zh-CN"/>
        </w:rPr>
        <w:t>对</w:t>
      </w:r>
      <w:r>
        <w:rPr>
          <w:rFonts w:ascii="宋体" w:hAnsi="宋体" w:eastAsia="宋体"/>
          <w:color w:val="auto"/>
          <w:kern w:val="2"/>
          <w:sz w:val="24"/>
          <w:szCs w:val="24"/>
          <w:highlight w:val="none"/>
          <w:lang w:eastAsia="zh-CN"/>
        </w:rPr>
        <w:t>方书面同意，</w:t>
      </w:r>
      <w:r>
        <w:rPr>
          <w:rFonts w:hint="eastAsia" w:ascii="宋体" w:hAnsi="宋体" w:eastAsia="宋体"/>
          <w:color w:val="auto"/>
          <w:kern w:val="2"/>
          <w:sz w:val="24"/>
          <w:szCs w:val="24"/>
          <w:highlight w:val="none"/>
          <w:lang w:eastAsia="zh-CN"/>
        </w:rPr>
        <w:t>合同一</w:t>
      </w:r>
      <w:r>
        <w:rPr>
          <w:rFonts w:ascii="宋体" w:hAnsi="宋体" w:eastAsia="宋体"/>
          <w:color w:val="auto"/>
          <w:kern w:val="2"/>
          <w:sz w:val="24"/>
          <w:szCs w:val="24"/>
          <w:highlight w:val="none"/>
          <w:lang w:eastAsia="zh-CN"/>
        </w:rPr>
        <w:t>方不得将本合同项下的权利和/或义务转让给任何第三方或设定担保或者进行其他形式的处分。</w:t>
      </w:r>
    </w:p>
    <w:p w14:paraId="10513D6C">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3</w:t>
      </w:r>
      <w:r>
        <w:rPr>
          <w:rFonts w:ascii="宋体" w:hAnsi="宋体" w:eastAsia="宋体"/>
          <w:color w:val="auto"/>
          <w:kern w:val="2"/>
          <w:sz w:val="24"/>
          <w:szCs w:val="24"/>
          <w:highlight w:val="none"/>
          <w:lang w:eastAsia="zh-CN"/>
        </w:rPr>
        <w:t>. 本合同附件</w:t>
      </w:r>
      <w:r>
        <w:rPr>
          <w:rFonts w:hint="eastAsia" w:ascii="宋体" w:hAnsi="宋体" w:eastAsia="宋体"/>
          <w:color w:val="auto"/>
          <w:kern w:val="2"/>
          <w:sz w:val="24"/>
          <w:szCs w:val="24"/>
          <w:highlight w:val="none"/>
          <w:lang w:eastAsia="zh-CN"/>
        </w:rPr>
        <w:t>、补充合同</w:t>
      </w:r>
      <w:r>
        <w:rPr>
          <w:rFonts w:ascii="宋体" w:hAnsi="宋体" w:eastAsia="宋体"/>
          <w:color w:val="auto"/>
          <w:kern w:val="2"/>
          <w:sz w:val="24"/>
          <w:szCs w:val="24"/>
          <w:highlight w:val="none"/>
          <w:lang w:eastAsia="zh-CN"/>
        </w:rPr>
        <w:t>为本合同不可分割的组成部分，与本合同具有同等法律效力。</w:t>
      </w:r>
    </w:p>
    <w:p w14:paraId="2D020509">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ascii="宋体" w:hAnsi="宋体" w:eastAsia="宋体"/>
          <w:color w:val="auto"/>
          <w:kern w:val="2"/>
          <w:sz w:val="24"/>
          <w:szCs w:val="24"/>
          <w:highlight w:val="none"/>
          <w:lang w:eastAsia="zh-CN"/>
        </w:rPr>
        <w:t xml:space="preserve">4. </w:t>
      </w:r>
      <w:r>
        <w:rPr>
          <w:rFonts w:hint="eastAsia" w:ascii="宋体" w:hAnsi="宋体" w:eastAsia="宋体"/>
          <w:color w:val="auto"/>
          <w:kern w:val="2"/>
          <w:sz w:val="24"/>
          <w:szCs w:val="24"/>
          <w:highlight w:val="none"/>
          <w:lang w:eastAsia="zh-CN"/>
        </w:rPr>
        <w:t>本合同取代双方之间达成的全部口头或书面合同、意向和备忘（无论是在本合同之前或与本合同同时达成）。</w:t>
      </w:r>
    </w:p>
    <w:p w14:paraId="7736D95B">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5</w:t>
      </w:r>
      <w:r>
        <w:rPr>
          <w:rFonts w:ascii="宋体" w:hAnsi="宋体" w:eastAsia="宋体"/>
          <w:color w:val="auto"/>
          <w:kern w:val="2"/>
          <w:sz w:val="24"/>
          <w:szCs w:val="24"/>
          <w:highlight w:val="none"/>
          <w:lang w:eastAsia="zh-CN"/>
        </w:rPr>
        <w:t>. 本合同自双方法定代表人或授权代表签字并加盖公章/合同专用章后生效。</w:t>
      </w:r>
    </w:p>
    <w:p w14:paraId="5E4D87D3">
      <w:pPr>
        <w:spacing w:after="120" w:afterLines="50" w:line="276" w:lineRule="auto"/>
        <w:ind w:firstLine="480" w:firstLineChars="200"/>
        <w:jc w:val="both"/>
        <w:rPr>
          <w:rFonts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6</w:t>
      </w:r>
      <w:r>
        <w:rPr>
          <w:rFonts w:ascii="宋体" w:hAnsi="宋体" w:eastAsia="宋体"/>
          <w:color w:val="auto"/>
          <w:kern w:val="2"/>
          <w:sz w:val="24"/>
          <w:szCs w:val="24"/>
          <w:highlight w:val="none"/>
          <w:lang w:eastAsia="zh-CN"/>
        </w:rPr>
        <w:t xml:space="preserve">. </w:t>
      </w:r>
      <w:r>
        <w:rPr>
          <w:rFonts w:hint="eastAsia" w:ascii="宋体" w:hAnsi="宋体" w:eastAsia="宋体"/>
          <w:color w:val="auto"/>
          <w:kern w:val="2"/>
          <w:sz w:val="24"/>
          <w:szCs w:val="24"/>
          <w:highlight w:val="none"/>
          <w:lang w:eastAsia="zh-CN"/>
        </w:rPr>
        <w:t>本合同一式</w:t>
      </w:r>
      <w:r>
        <w:rPr>
          <w:rFonts w:hint="eastAsia" w:ascii="宋体" w:hAnsi="宋体" w:eastAsia="宋体"/>
          <w:color w:val="auto"/>
          <w:kern w:val="2"/>
          <w:sz w:val="24"/>
          <w:szCs w:val="24"/>
          <w:highlight w:val="none"/>
          <w:lang w:val="en-US" w:eastAsia="zh-CN"/>
        </w:rPr>
        <w:t>二</w:t>
      </w:r>
      <w:r>
        <w:rPr>
          <w:rFonts w:hint="eastAsia" w:ascii="宋体" w:hAnsi="宋体" w:eastAsia="宋体"/>
          <w:color w:val="auto"/>
          <w:kern w:val="2"/>
          <w:sz w:val="24"/>
          <w:szCs w:val="24"/>
          <w:highlight w:val="none"/>
          <w:lang w:eastAsia="zh-CN"/>
        </w:rPr>
        <w:t>份，双方各执</w:t>
      </w:r>
      <w:r>
        <w:rPr>
          <w:rFonts w:hint="eastAsia" w:ascii="宋体" w:hAnsi="宋体" w:eastAsia="宋体"/>
          <w:color w:val="auto"/>
          <w:kern w:val="2"/>
          <w:sz w:val="24"/>
          <w:szCs w:val="24"/>
          <w:highlight w:val="none"/>
          <w:lang w:val="en-US" w:eastAsia="zh-CN"/>
        </w:rPr>
        <w:t>一</w:t>
      </w:r>
      <w:r>
        <w:rPr>
          <w:rFonts w:hint="eastAsia" w:ascii="宋体" w:hAnsi="宋体" w:eastAsia="宋体"/>
          <w:color w:val="auto"/>
          <w:kern w:val="2"/>
          <w:sz w:val="24"/>
          <w:szCs w:val="24"/>
          <w:highlight w:val="none"/>
          <w:lang w:eastAsia="zh-CN"/>
        </w:rPr>
        <w:t>份，具有同等法律效力。</w:t>
      </w:r>
    </w:p>
    <w:p w14:paraId="650AA7F0">
      <w:pPr>
        <w:spacing w:line="276" w:lineRule="auto"/>
        <w:jc w:val="left"/>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附件一：维修价目清单</w:t>
      </w:r>
    </w:p>
    <w:p w14:paraId="7EAC7849">
      <w:pPr>
        <w:pStyle w:val="6"/>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附件二：维修对账单</w:t>
      </w:r>
    </w:p>
    <w:p w14:paraId="526516C8">
      <w:pPr>
        <w:pStyle w:val="6"/>
        <w:rPr>
          <w:rFonts w:hint="default"/>
          <w:color w:val="auto"/>
          <w:highlight w:val="none"/>
          <w:lang w:val="en-US" w:eastAsia="zh-CN"/>
        </w:rPr>
      </w:pPr>
      <w:r>
        <w:rPr>
          <w:rFonts w:hint="eastAsia" w:ascii="宋体" w:hAnsi="宋体" w:eastAsia="宋体"/>
          <w:b/>
          <w:bCs/>
          <w:color w:val="auto"/>
          <w:sz w:val="24"/>
          <w:szCs w:val="24"/>
          <w:highlight w:val="none"/>
          <w:lang w:val="en-US" w:eastAsia="zh-CN"/>
        </w:rPr>
        <w:t>附件三：零配件质保清单</w:t>
      </w:r>
    </w:p>
    <w:p w14:paraId="175A205B">
      <w:pPr>
        <w:spacing w:line="276" w:lineRule="auto"/>
        <w:jc w:val="center"/>
        <w:rPr>
          <w:rFonts w:ascii="宋体" w:hAnsi="宋体" w:eastAsia="宋体"/>
          <w:b/>
          <w:bCs/>
          <w:color w:val="auto"/>
          <w:sz w:val="24"/>
          <w:szCs w:val="24"/>
          <w:highlight w:val="none"/>
          <w:lang w:eastAsia="zh-CN"/>
        </w:rPr>
      </w:pPr>
    </w:p>
    <w:p w14:paraId="1170C1A7">
      <w:pPr>
        <w:spacing w:line="276" w:lineRule="auto"/>
        <w:jc w:val="center"/>
        <w:rPr>
          <w:rFonts w:ascii="宋体" w:hAnsi="宋体" w:eastAsia="宋体"/>
          <w:b/>
          <w:bCs/>
          <w:color w:val="auto"/>
          <w:sz w:val="24"/>
          <w:szCs w:val="24"/>
          <w:highlight w:val="none"/>
          <w:lang w:eastAsia="zh-CN"/>
        </w:rPr>
      </w:pPr>
    </w:p>
    <w:p w14:paraId="296204BD">
      <w:pPr>
        <w:spacing w:line="276" w:lineRule="auto"/>
        <w:jc w:val="center"/>
        <w:rPr>
          <w:rFonts w:ascii="宋体" w:hAnsi="宋体" w:eastAsia="宋体"/>
          <w:b/>
          <w:bCs/>
          <w:color w:val="auto"/>
          <w:sz w:val="24"/>
          <w:szCs w:val="24"/>
          <w:highlight w:val="none"/>
          <w:lang w:eastAsia="zh-CN"/>
        </w:rPr>
      </w:pPr>
    </w:p>
    <w:p w14:paraId="4F711AAD">
      <w:pPr>
        <w:spacing w:line="276" w:lineRule="auto"/>
        <w:jc w:val="center"/>
        <w:rPr>
          <w:rFonts w:ascii="宋体" w:hAnsi="宋体" w:eastAsia="宋体"/>
          <w:b/>
          <w:bCs/>
          <w:color w:val="auto"/>
          <w:sz w:val="24"/>
          <w:szCs w:val="24"/>
          <w:highlight w:val="none"/>
          <w:lang w:eastAsia="zh-CN"/>
        </w:rPr>
      </w:pPr>
      <w:r>
        <w:rPr>
          <w:rFonts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eastAsia="zh-CN"/>
        </w:rPr>
        <w:t>本页</w:t>
      </w:r>
      <w:r>
        <w:rPr>
          <w:rFonts w:ascii="宋体" w:hAnsi="宋体" w:eastAsia="宋体"/>
          <w:b/>
          <w:bCs/>
          <w:color w:val="auto"/>
          <w:sz w:val="24"/>
          <w:szCs w:val="24"/>
          <w:highlight w:val="none"/>
          <w:lang w:eastAsia="zh-CN"/>
        </w:rPr>
        <w:t>以下无正文）</w:t>
      </w:r>
    </w:p>
    <w:p w14:paraId="17C13FCE">
      <w:pPr>
        <w:spacing w:line="276" w:lineRule="auto"/>
        <w:jc w:val="center"/>
        <w:rPr>
          <w:rFonts w:hint="default" w:ascii="宋体" w:hAnsi="宋体" w:eastAsia="宋体"/>
          <w:b/>
          <w:bCs/>
          <w:color w:val="auto"/>
          <w:sz w:val="24"/>
          <w:szCs w:val="24"/>
          <w:highlight w:val="none"/>
          <w:lang w:val="en-US" w:eastAsia="zh-CN"/>
        </w:rPr>
      </w:pPr>
    </w:p>
    <w:tbl>
      <w:tblPr>
        <w:tblStyle w:val="17"/>
        <w:tblpPr w:leftFromText="180" w:rightFromText="180" w:vertAnchor="text" w:horzAnchor="margin" w:tblpY="136"/>
        <w:tblW w:w="0" w:type="auto"/>
        <w:tblInd w:w="0" w:type="dxa"/>
        <w:tblLayout w:type="fixed"/>
        <w:tblCellMar>
          <w:top w:w="0" w:type="dxa"/>
          <w:left w:w="108" w:type="dxa"/>
          <w:bottom w:w="0" w:type="dxa"/>
          <w:right w:w="108" w:type="dxa"/>
        </w:tblCellMar>
      </w:tblPr>
      <w:tblGrid>
        <w:gridCol w:w="4678"/>
        <w:gridCol w:w="4961"/>
      </w:tblGrid>
      <w:tr w14:paraId="7C7B0802">
        <w:tblPrEx>
          <w:tblCellMar>
            <w:top w:w="0" w:type="dxa"/>
            <w:left w:w="108" w:type="dxa"/>
            <w:bottom w:w="0" w:type="dxa"/>
            <w:right w:w="108" w:type="dxa"/>
          </w:tblCellMar>
        </w:tblPrEx>
        <w:tc>
          <w:tcPr>
            <w:tcW w:w="4678" w:type="dxa"/>
            <w:tcBorders>
              <w:top w:val="nil"/>
              <w:left w:val="nil"/>
              <w:bottom w:val="nil"/>
              <w:right w:val="nil"/>
            </w:tcBorders>
            <w:noWrap w:val="0"/>
            <w:vAlign w:val="top"/>
          </w:tcPr>
          <w:p w14:paraId="37B20C77">
            <w:pPr>
              <w:rPr>
                <w:rFonts w:ascii="宋体" w:eastAsia="Times New Roman"/>
                <w:b/>
                <w:bCs/>
                <w:color w:val="auto"/>
                <w:sz w:val="28"/>
                <w:szCs w:val="28"/>
                <w:highlight w:val="none"/>
                <w:lang w:eastAsia="zh-CN"/>
              </w:rPr>
            </w:pPr>
            <w:r>
              <w:rPr>
                <w:rFonts w:hint="eastAsia" w:ascii="宋体" w:hAnsi="宋体"/>
                <w:b/>
                <w:bCs/>
                <w:color w:val="auto"/>
                <w:sz w:val="28"/>
                <w:szCs w:val="28"/>
                <w:highlight w:val="none"/>
                <w:lang w:eastAsia="zh-CN"/>
              </w:rPr>
              <w:t>甲</w:t>
            </w:r>
            <w:r>
              <w:rPr>
                <w:rFonts w:ascii="宋体" w:hAnsi="宋体"/>
                <w:b/>
                <w:bCs/>
                <w:color w:val="auto"/>
                <w:sz w:val="28"/>
                <w:szCs w:val="28"/>
                <w:highlight w:val="none"/>
                <w:lang w:eastAsia="zh-CN"/>
              </w:rPr>
              <w:t xml:space="preserve">    </w:t>
            </w:r>
            <w:r>
              <w:rPr>
                <w:rFonts w:hint="eastAsia" w:ascii="宋体" w:hAnsi="宋体"/>
                <w:b/>
                <w:bCs/>
                <w:color w:val="auto"/>
                <w:sz w:val="28"/>
                <w:szCs w:val="28"/>
                <w:highlight w:val="none"/>
                <w:lang w:eastAsia="zh-CN"/>
              </w:rPr>
              <w:t>方：</w:t>
            </w:r>
          </w:p>
        </w:tc>
        <w:tc>
          <w:tcPr>
            <w:tcW w:w="4961" w:type="dxa"/>
            <w:tcBorders>
              <w:top w:val="nil"/>
              <w:left w:val="nil"/>
              <w:bottom w:val="nil"/>
              <w:right w:val="nil"/>
            </w:tcBorders>
            <w:noWrap w:val="0"/>
            <w:vAlign w:val="top"/>
          </w:tcPr>
          <w:p w14:paraId="258945B9">
            <w:pPr>
              <w:rPr>
                <w:rFonts w:ascii="宋体" w:eastAsia="Times New Roman"/>
                <w:b/>
                <w:bCs/>
                <w:color w:val="auto"/>
                <w:sz w:val="28"/>
                <w:szCs w:val="28"/>
                <w:highlight w:val="none"/>
                <w:lang w:eastAsia="zh-CN"/>
              </w:rPr>
            </w:pPr>
            <w:r>
              <w:rPr>
                <w:rFonts w:hint="eastAsia" w:ascii="宋体" w:hAnsi="宋体"/>
                <w:b/>
                <w:bCs/>
                <w:color w:val="auto"/>
                <w:sz w:val="28"/>
                <w:szCs w:val="28"/>
                <w:highlight w:val="none"/>
                <w:lang w:eastAsia="zh-CN"/>
              </w:rPr>
              <w:t>乙</w:t>
            </w:r>
            <w:r>
              <w:rPr>
                <w:rFonts w:ascii="宋体" w:hAnsi="宋体"/>
                <w:b/>
                <w:bCs/>
                <w:color w:val="auto"/>
                <w:sz w:val="28"/>
                <w:szCs w:val="28"/>
                <w:highlight w:val="none"/>
                <w:lang w:eastAsia="zh-CN"/>
              </w:rPr>
              <w:t xml:space="preserve">    </w:t>
            </w:r>
            <w:r>
              <w:rPr>
                <w:rFonts w:hint="eastAsia" w:ascii="宋体" w:hAnsi="宋体"/>
                <w:b/>
                <w:bCs/>
                <w:color w:val="auto"/>
                <w:sz w:val="28"/>
                <w:szCs w:val="28"/>
                <w:highlight w:val="none"/>
                <w:lang w:eastAsia="zh-CN"/>
              </w:rPr>
              <w:t>方：</w:t>
            </w:r>
          </w:p>
        </w:tc>
      </w:tr>
      <w:tr w14:paraId="7781D605">
        <w:tblPrEx>
          <w:tblCellMar>
            <w:top w:w="0" w:type="dxa"/>
            <w:left w:w="108" w:type="dxa"/>
            <w:bottom w:w="0" w:type="dxa"/>
            <w:right w:w="108" w:type="dxa"/>
          </w:tblCellMar>
        </w:tblPrEx>
        <w:tc>
          <w:tcPr>
            <w:tcW w:w="4678" w:type="dxa"/>
            <w:tcBorders>
              <w:top w:val="nil"/>
              <w:left w:val="nil"/>
              <w:bottom w:val="nil"/>
              <w:right w:val="nil"/>
            </w:tcBorders>
            <w:noWrap w:val="0"/>
            <w:vAlign w:val="top"/>
          </w:tcPr>
          <w:p w14:paraId="75A7A097">
            <w:pPr>
              <w:rPr>
                <w:rFonts w:ascii="宋体" w:hAnsi="宋体" w:eastAsia="等线"/>
                <w:b/>
                <w:bCs/>
                <w:color w:val="auto"/>
                <w:sz w:val="28"/>
                <w:szCs w:val="28"/>
                <w:highlight w:val="none"/>
                <w:lang w:eastAsia="zh-CN"/>
              </w:rPr>
            </w:pPr>
          </w:p>
          <w:p w14:paraId="4F1C41AF">
            <w:pPr>
              <w:rPr>
                <w:rFonts w:hint="eastAsia" w:ascii="宋体" w:eastAsia="等线"/>
                <w:b/>
                <w:bCs/>
                <w:color w:val="auto"/>
                <w:sz w:val="28"/>
                <w:szCs w:val="28"/>
                <w:highlight w:val="none"/>
                <w:lang w:eastAsia="zh-CN"/>
              </w:rPr>
            </w:pPr>
            <w:r>
              <w:rPr>
                <w:rFonts w:hint="eastAsia" w:ascii="宋体" w:hAnsi="宋体"/>
                <w:b/>
                <w:bCs/>
                <w:color w:val="auto"/>
                <w:sz w:val="28"/>
                <w:szCs w:val="28"/>
                <w:highlight w:val="none"/>
                <w:lang w:eastAsia="zh-CN"/>
              </w:rPr>
              <w:t>授权代表：</w:t>
            </w:r>
            <w:r>
              <w:rPr>
                <w:rFonts w:hint="eastAsia" w:ascii="宋体" w:hAnsi="宋体"/>
                <w:b/>
                <w:color w:val="auto"/>
                <w:sz w:val="28"/>
                <w:szCs w:val="28"/>
                <w:highlight w:val="none"/>
                <w:lang w:eastAsia="zh-CN"/>
              </w:rPr>
              <w:t xml:space="preserve"> </w:t>
            </w:r>
            <w:r>
              <w:rPr>
                <w:rFonts w:hint="eastAsia" w:ascii="宋体"/>
                <w:b/>
                <w:bCs/>
                <w:color w:val="auto"/>
                <w:sz w:val="28"/>
                <w:szCs w:val="28"/>
                <w:highlight w:val="none"/>
                <w:lang w:eastAsia="zh-CN"/>
              </w:rPr>
              <w:t xml:space="preserve"> </w:t>
            </w:r>
          </w:p>
        </w:tc>
        <w:tc>
          <w:tcPr>
            <w:tcW w:w="4961" w:type="dxa"/>
            <w:tcBorders>
              <w:top w:val="nil"/>
              <w:left w:val="nil"/>
              <w:bottom w:val="nil"/>
              <w:right w:val="nil"/>
            </w:tcBorders>
            <w:noWrap w:val="0"/>
            <w:vAlign w:val="top"/>
          </w:tcPr>
          <w:p w14:paraId="50CD1B25">
            <w:pPr>
              <w:rPr>
                <w:rFonts w:ascii="宋体" w:hAnsi="宋体" w:eastAsia="宋体" w:cs="宋体"/>
                <w:b/>
                <w:bCs/>
                <w:color w:val="auto"/>
                <w:sz w:val="28"/>
                <w:szCs w:val="28"/>
                <w:highlight w:val="none"/>
                <w:lang w:eastAsia="zh-CN"/>
              </w:rPr>
            </w:pPr>
          </w:p>
          <w:p w14:paraId="26D8B498">
            <w:pPr>
              <w:rPr>
                <w:rFonts w:hint="eastAsia" w:ascii="宋体" w:eastAsia="等线"/>
                <w:b/>
                <w:bCs/>
                <w:color w:val="auto"/>
                <w:sz w:val="28"/>
                <w:szCs w:val="28"/>
                <w:highlight w:val="none"/>
                <w:lang w:eastAsia="zh-CN"/>
              </w:rPr>
            </w:pPr>
            <w:r>
              <w:rPr>
                <w:rFonts w:hint="eastAsia" w:ascii="宋体" w:hAnsi="宋体" w:eastAsia="宋体" w:cs="宋体"/>
                <w:b/>
                <w:bCs/>
                <w:color w:val="auto"/>
                <w:sz w:val="28"/>
                <w:szCs w:val="28"/>
                <w:highlight w:val="none"/>
                <w:lang w:eastAsia="zh-CN"/>
              </w:rPr>
              <w:t>授权</w:t>
            </w:r>
            <w:r>
              <w:rPr>
                <w:rFonts w:hint="eastAsia" w:ascii="宋体" w:hAnsi="宋体" w:eastAsia="宋体" w:cs="宋体"/>
                <w:b/>
                <w:bCs/>
                <w:color w:val="auto"/>
                <w:sz w:val="28"/>
                <w:szCs w:val="28"/>
                <w:highlight w:val="none"/>
              </w:rPr>
              <w:t>代表：</w:t>
            </w:r>
          </w:p>
        </w:tc>
      </w:tr>
      <w:tr w14:paraId="26D99856">
        <w:tblPrEx>
          <w:tblCellMar>
            <w:top w:w="0" w:type="dxa"/>
            <w:left w:w="108" w:type="dxa"/>
            <w:bottom w:w="0" w:type="dxa"/>
            <w:right w:w="108" w:type="dxa"/>
          </w:tblCellMar>
        </w:tblPrEx>
        <w:tc>
          <w:tcPr>
            <w:tcW w:w="4678" w:type="dxa"/>
            <w:tcBorders>
              <w:top w:val="nil"/>
              <w:left w:val="nil"/>
              <w:bottom w:val="nil"/>
              <w:right w:val="nil"/>
            </w:tcBorders>
            <w:noWrap w:val="0"/>
            <w:vAlign w:val="top"/>
          </w:tcPr>
          <w:p w14:paraId="46663938">
            <w:pPr>
              <w:rPr>
                <w:rFonts w:eastAsia="Times New Roman"/>
                <w:b/>
                <w:bCs/>
                <w:color w:val="auto"/>
                <w:sz w:val="28"/>
                <w:szCs w:val="28"/>
                <w:highlight w:val="none"/>
                <w:lang w:eastAsia="zh-CN"/>
              </w:rPr>
            </w:pPr>
            <w:r>
              <w:rPr>
                <w:rFonts w:hint="eastAsia" w:ascii="宋体" w:hAnsi="宋体"/>
                <w:b/>
                <w:bCs/>
                <w:color w:val="auto"/>
                <w:sz w:val="28"/>
                <w:szCs w:val="28"/>
                <w:highlight w:val="none"/>
              </w:rPr>
              <w:t>日</w:t>
            </w:r>
            <w:r>
              <w:rPr>
                <w:rFonts w:ascii="宋体" w:hAnsi="宋体"/>
                <w:b/>
                <w:bCs/>
                <w:color w:val="auto"/>
                <w:sz w:val="28"/>
                <w:szCs w:val="28"/>
                <w:highlight w:val="none"/>
                <w:lang w:eastAsia="zh-CN"/>
              </w:rPr>
              <w:t xml:space="preserve">    </w:t>
            </w:r>
            <w:r>
              <w:rPr>
                <w:rFonts w:hint="eastAsia" w:ascii="宋体" w:hAnsi="宋体"/>
                <w:b/>
                <w:bCs/>
                <w:color w:val="auto"/>
                <w:sz w:val="28"/>
                <w:szCs w:val="28"/>
                <w:highlight w:val="none"/>
              </w:rPr>
              <w:t>期：</w:t>
            </w:r>
            <w:r>
              <w:rPr>
                <w:rFonts w:hint="eastAsia" w:eastAsia="Times New Roman"/>
                <w:b/>
                <w:bCs/>
                <w:color w:val="auto"/>
                <w:sz w:val="28"/>
                <w:szCs w:val="28"/>
                <w:highlight w:val="none"/>
                <w:lang w:eastAsia="zh-CN"/>
              </w:rPr>
              <w:t xml:space="preserve"> </w:t>
            </w:r>
            <w:r>
              <w:rPr>
                <w:rFonts w:hint="eastAsia" w:eastAsia="Times New Roman"/>
                <w:b/>
                <w:bCs/>
                <w:color w:val="auto"/>
                <w:sz w:val="28"/>
                <w:szCs w:val="28"/>
                <w:highlight w:val="none"/>
                <w:lang w:val="en-US" w:eastAsia="zh-CN"/>
              </w:rPr>
              <w:t xml:space="preserve">   </w:t>
            </w:r>
            <w:r>
              <w:rPr>
                <w:rFonts w:hint="eastAsia" w:eastAsia="Times New Roman"/>
                <w:b/>
                <w:bCs/>
                <w:color w:val="auto"/>
                <w:sz w:val="28"/>
                <w:szCs w:val="28"/>
                <w:highlight w:val="none"/>
                <w:lang w:eastAsia="zh-CN"/>
              </w:rPr>
              <w:t>年  月  日</w:t>
            </w:r>
          </w:p>
        </w:tc>
        <w:tc>
          <w:tcPr>
            <w:tcW w:w="4961" w:type="dxa"/>
            <w:tcBorders>
              <w:top w:val="nil"/>
              <w:left w:val="nil"/>
              <w:bottom w:val="nil"/>
              <w:right w:val="nil"/>
            </w:tcBorders>
            <w:noWrap w:val="0"/>
            <w:vAlign w:val="top"/>
          </w:tcPr>
          <w:p w14:paraId="2AF3D809">
            <w:pPr>
              <w:rPr>
                <w:rFonts w:eastAsia="宋体"/>
                <w:b/>
                <w:bCs/>
                <w:color w:val="auto"/>
                <w:sz w:val="28"/>
                <w:szCs w:val="28"/>
                <w:highlight w:val="none"/>
                <w:lang w:eastAsia="zh-CN"/>
              </w:rPr>
            </w:pPr>
            <w:r>
              <w:rPr>
                <w:rFonts w:hint="eastAsia" w:ascii="宋体" w:hAnsi="宋体"/>
                <w:b/>
                <w:bCs/>
                <w:color w:val="auto"/>
                <w:sz w:val="28"/>
                <w:szCs w:val="28"/>
                <w:highlight w:val="none"/>
              </w:rPr>
              <w:t>日</w:t>
            </w:r>
            <w:r>
              <w:rPr>
                <w:rFonts w:ascii="宋体" w:hAnsi="宋体"/>
                <w:b/>
                <w:bCs/>
                <w:color w:val="auto"/>
                <w:sz w:val="28"/>
                <w:szCs w:val="28"/>
                <w:highlight w:val="none"/>
                <w:lang w:eastAsia="zh-CN"/>
              </w:rPr>
              <w:t xml:space="preserve">    </w:t>
            </w:r>
            <w:r>
              <w:rPr>
                <w:rFonts w:hint="eastAsia" w:ascii="宋体" w:hAnsi="宋体"/>
                <w:b/>
                <w:bCs/>
                <w:color w:val="auto"/>
                <w:sz w:val="28"/>
                <w:szCs w:val="28"/>
                <w:highlight w:val="none"/>
              </w:rPr>
              <w:t>期</w:t>
            </w:r>
            <w:r>
              <w:rPr>
                <w:rFonts w:hint="eastAsia" w:ascii="宋体"/>
                <w:b/>
                <w:bCs/>
                <w:color w:val="auto"/>
                <w:sz w:val="28"/>
                <w:szCs w:val="28"/>
                <w:highlight w:val="none"/>
                <w:lang w:eastAsia="zh-CN"/>
              </w:rPr>
              <w:t>：</w:t>
            </w:r>
            <w:r>
              <w:rPr>
                <w:rFonts w:hint="eastAsia" w:ascii="宋体"/>
                <w:b/>
                <w:bCs/>
                <w:color w:val="auto"/>
                <w:sz w:val="28"/>
                <w:szCs w:val="28"/>
                <w:highlight w:val="none"/>
                <w:lang w:val="en-US" w:eastAsia="zh-CN"/>
              </w:rPr>
              <w:t xml:space="preserve">   </w:t>
            </w:r>
            <w:r>
              <w:rPr>
                <w:rFonts w:hint="eastAsia" w:eastAsia="宋体"/>
                <w:b/>
                <w:bCs/>
                <w:color w:val="auto"/>
                <w:sz w:val="28"/>
                <w:szCs w:val="28"/>
                <w:highlight w:val="none"/>
                <w:lang w:eastAsia="zh-CN"/>
              </w:rPr>
              <w:t>年  月  日</w:t>
            </w:r>
          </w:p>
        </w:tc>
      </w:tr>
    </w:tbl>
    <w:p w14:paraId="0C256CEA">
      <w:pPr>
        <w:spacing w:after="120" w:afterLines="50" w:line="276" w:lineRule="auto"/>
        <w:jc w:val="both"/>
        <w:rPr>
          <w:rFonts w:hint="eastAsia" w:ascii="宋体" w:hAnsi="宋体" w:eastAsia="宋体" w:cs="Calibri"/>
          <w:b/>
          <w:bCs/>
          <w:color w:val="auto"/>
          <w:kern w:val="2"/>
          <w:sz w:val="24"/>
          <w:szCs w:val="24"/>
          <w:highlight w:val="none"/>
          <w:lang w:val="en-US" w:eastAsia="zh-CN"/>
        </w:rPr>
      </w:pPr>
    </w:p>
    <w:p w14:paraId="225C6A09">
      <w:pPr>
        <w:spacing w:after="120" w:afterLines="50" w:line="276" w:lineRule="auto"/>
        <w:jc w:val="both"/>
        <w:rPr>
          <w:rFonts w:hint="eastAsia" w:ascii="宋体" w:hAnsi="宋体" w:eastAsia="宋体" w:cs="Calibri"/>
          <w:b/>
          <w:bCs/>
          <w:color w:val="auto"/>
          <w:kern w:val="2"/>
          <w:sz w:val="24"/>
          <w:szCs w:val="24"/>
          <w:highlight w:val="none"/>
          <w:lang w:val="en-US" w:eastAsia="zh-CN"/>
        </w:rPr>
      </w:pPr>
    </w:p>
    <w:p w14:paraId="2596DF39">
      <w:pPr>
        <w:spacing w:after="120" w:afterLines="50" w:line="276" w:lineRule="auto"/>
        <w:jc w:val="both"/>
        <w:rPr>
          <w:rFonts w:hint="default" w:ascii="宋体" w:hAnsi="宋体" w:eastAsia="宋体" w:cs="Calibri"/>
          <w:b/>
          <w:bCs/>
          <w:color w:val="auto"/>
          <w:kern w:val="2"/>
          <w:sz w:val="24"/>
          <w:szCs w:val="24"/>
          <w:highlight w:val="none"/>
          <w:lang w:val="en-US" w:eastAsia="zh-CN"/>
        </w:rPr>
      </w:pPr>
      <w:r>
        <w:rPr>
          <w:rFonts w:hint="eastAsia" w:ascii="宋体" w:hAnsi="宋体" w:eastAsia="宋体" w:cs="Calibri"/>
          <w:b/>
          <w:bCs/>
          <w:color w:val="auto"/>
          <w:kern w:val="2"/>
          <w:sz w:val="24"/>
          <w:szCs w:val="24"/>
          <w:highlight w:val="none"/>
          <w:lang w:val="en-US" w:eastAsia="zh-CN"/>
        </w:rPr>
        <w:t>附件二：维修清单</w:t>
      </w:r>
    </w:p>
    <w:p w14:paraId="6566164F">
      <w:pPr>
        <w:bidi w:val="0"/>
        <w:jc w:val="both"/>
        <w:rPr>
          <w:rFonts w:hint="default"/>
          <w:color w:val="auto"/>
          <w:highlight w:val="none"/>
          <w:lang w:val="en-US" w:eastAsia="zh-CN"/>
        </w:rPr>
      </w:pPr>
      <w:r>
        <w:rPr>
          <w:color w:val="auto"/>
          <w:highlight w:val="none"/>
        </w:rPr>
        <w:drawing>
          <wp:inline distT="0" distB="0" distL="114300" distR="114300">
            <wp:extent cx="5512435" cy="1521460"/>
            <wp:effectExtent l="0" t="0" r="381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a:stretch>
                      <a:fillRect/>
                    </a:stretch>
                  </pic:blipFill>
                  <pic:spPr>
                    <a:xfrm>
                      <a:off x="0" y="0"/>
                      <a:ext cx="5512435" cy="1521460"/>
                    </a:xfrm>
                    <a:prstGeom prst="rect">
                      <a:avLst/>
                    </a:prstGeom>
                    <a:noFill/>
                    <a:ln>
                      <a:noFill/>
                    </a:ln>
                  </pic:spPr>
                </pic:pic>
              </a:graphicData>
            </a:graphic>
          </wp:inline>
        </w:drawing>
      </w:r>
    </w:p>
    <w:p w14:paraId="32C7B70B">
      <w:pPr>
        <w:bidi w:val="0"/>
        <w:jc w:val="both"/>
        <w:rPr>
          <w:rFonts w:hint="default"/>
          <w:color w:val="auto"/>
          <w:highlight w:val="none"/>
          <w:lang w:val="en-US" w:eastAsia="zh-CN"/>
        </w:rPr>
      </w:pPr>
    </w:p>
    <w:p w14:paraId="51CF83C4">
      <w:pPr>
        <w:autoSpaceDE w:val="0"/>
        <w:autoSpaceDN w:val="0"/>
        <w:adjustRightInd w:val="0"/>
        <w:snapToGrid w:val="0"/>
        <w:spacing w:line="360" w:lineRule="auto"/>
        <w:jc w:val="center"/>
        <w:rPr>
          <w:rFonts w:ascii="宋体" w:hAnsi="宋体" w:cs="宋体"/>
          <w:b/>
          <w:color w:val="auto"/>
          <w:sz w:val="52"/>
          <w:szCs w:val="52"/>
          <w:highlight w:val="none"/>
        </w:rPr>
      </w:pPr>
    </w:p>
    <w:p w14:paraId="17652D8A">
      <w:pPr>
        <w:rPr>
          <w:rFonts w:ascii="宋体" w:hAnsi="宋体" w:cs="宋体"/>
          <w:bCs/>
          <w:color w:val="auto"/>
          <w:sz w:val="18"/>
          <w:szCs w:val="18"/>
          <w:highlight w:val="none"/>
        </w:rPr>
        <w:sectPr>
          <w:footerReference r:id="rId11" w:type="default"/>
          <w:footerReference r:id="rId12" w:type="even"/>
          <w:pgSz w:w="11906" w:h="16838"/>
          <w:pgMar w:top="1440" w:right="1080" w:bottom="1440" w:left="1080" w:header="851" w:footer="992" w:gutter="0"/>
          <w:pgNumType w:fmt="decimal"/>
          <w:cols w:space="720" w:num="1"/>
          <w:docGrid w:type="lines" w:linePitch="312" w:charSpace="0"/>
        </w:sectPr>
      </w:pPr>
    </w:p>
    <w:p w14:paraId="3061FD15">
      <w:pPr>
        <w:pStyle w:val="4"/>
        <w:spacing w:before="0" w:after="0" w:line="360" w:lineRule="auto"/>
        <w:jc w:val="both"/>
        <w:rPr>
          <w:rFonts w:hint="eastAsia" w:ascii="宋体" w:hAnsi="宋体" w:eastAsia="宋体" w:cs="宋体"/>
          <w:b w:val="0"/>
          <w:color w:val="auto"/>
          <w:sz w:val="36"/>
          <w:szCs w:val="30"/>
          <w:highlight w:val="none"/>
        </w:rPr>
      </w:pPr>
    </w:p>
    <w:p w14:paraId="16DF13D5">
      <w:pPr>
        <w:pStyle w:val="4"/>
        <w:spacing w:before="0" w:after="0" w:line="360" w:lineRule="auto"/>
        <w:jc w:val="both"/>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（项目名称）</w:t>
      </w:r>
    </w:p>
    <w:p w14:paraId="69378800">
      <w:pPr>
        <w:pStyle w:val="4"/>
        <w:spacing w:before="0" w:after="0" w:line="360" w:lineRule="auto"/>
        <w:jc w:val="center"/>
        <w:rPr>
          <w:rFonts w:hint="eastAsia" w:ascii="宋体" w:hAnsi="宋体" w:eastAsia="宋体" w:cs="宋体"/>
          <w:b w:val="0"/>
          <w:color w:val="auto"/>
          <w:sz w:val="36"/>
          <w:szCs w:val="30"/>
          <w:highlight w:val="none"/>
        </w:rPr>
      </w:pPr>
    </w:p>
    <w:p w14:paraId="67A95B5B">
      <w:pPr>
        <w:pStyle w:val="4"/>
        <w:spacing w:before="0" w:after="0" w:line="360" w:lineRule="auto"/>
        <w:jc w:val="center"/>
        <w:rPr>
          <w:rFonts w:hint="eastAsia" w:ascii="宋体" w:hAnsi="宋体" w:eastAsia="宋体" w:cs="宋体"/>
          <w:b w:val="0"/>
          <w:color w:val="auto"/>
          <w:sz w:val="36"/>
          <w:szCs w:val="30"/>
          <w:highlight w:val="none"/>
        </w:rPr>
      </w:pPr>
    </w:p>
    <w:p w14:paraId="48563F63">
      <w:pPr>
        <w:pStyle w:val="4"/>
        <w:spacing w:before="0" w:after="0" w:line="360" w:lineRule="auto"/>
        <w:jc w:val="center"/>
        <w:rPr>
          <w:rFonts w:hint="eastAsia" w:ascii="宋体" w:hAnsi="宋体" w:eastAsia="宋体" w:cs="宋体"/>
          <w:b w:val="0"/>
          <w:color w:val="auto"/>
          <w:sz w:val="36"/>
          <w:szCs w:val="30"/>
          <w:highlight w:val="none"/>
        </w:rPr>
      </w:pPr>
    </w:p>
    <w:p w14:paraId="479E25D8">
      <w:pPr>
        <w:pStyle w:val="4"/>
        <w:spacing w:before="0" w:after="0" w:line="360" w:lineRule="auto"/>
        <w:jc w:val="center"/>
        <w:rPr>
          <w:rFonts w:hint="eastAsia" w:ascii="宋体" w:hAnsi="宋体" w:eastAsia="宋体" w:cs="宋体"/>
          <w:b w:val="0"/>
          <w:color w:val="auto"/>
          <w:sz w:val="48"/>
          <w:szCs w:val="48"/>
          <w:highlight w:val="none"/>
        </w:rPr>
      </w:pPr>
      <w:r>
        <w:rPr>
          <w:rFonts w:hint="eastAsia" w:ascii="宋体" w:hAnsi="宋体" w:eastAsia="宋体" w:cs="宋体"/>
          <w:b w:val="0"/>
          <w:color w:val="auto"/>
          <w:sz w:val="48"/>
          <w:szCs w:val="48"/>
          <w:highlight w:val="none"/>
          <w:lang w:val="en-US" w:eastAsia="zh-CN"/>
        </w:rPr>
        <w:t xml:space="preserve"> 响 应</w:t>
      </w:r>
      <w:r>
        <w:rPr>
          <w:rFonts w:hint="eastAsia" w:ascii="宋体" w:hAnsi="宋体" w:eastAsia="宋体" w:cs="宋体"/>
          <w:b w:val="0"/>
          <w:color w:val="auto"/>
          <w:sz w:val="48"/>
          <w:szCs w:val="48"/>
          <w:highlight w:val="none"/>
        </w:rPr>
        <w:t xml:space="preserve"> 文 件</w:t>
      </w:r>
    </w:p>
    <w:p w14:paraId="41FA7673">
      <w:pPr>
        <w:pStyle w:val="4"/>
        <w:spacing w:before="0" w:after="0" w:line="360" w:lineRule="auto"/>
        <w:jc w:val="center"/>
        <w:rPr>
          <w:rFonts w:hint="eastAsia" w:ascii="宋体" w:hAnsi="宋体" w:eastAsia="宋体" w:cs="宋体"/>
          <w:b w:val="0"/>
          <w:color w:val="auto"/>
          <w:sz w:val="36"/>
          <w:szCs w:val="30"/>
          <w:highlight w:val="none"/>
        </w:rPr>
      </w:pPr>
    </w:p>
    <w:p w14:paraId="7B6C2D15">
      <w:pPr>
        <w:pStyle w:val="4"/>
        <w:spacing w:before="0" w:after="0" w:line="360" w:lineRule="auto"/>
        <w:jc w:val="center"/>
        <w:rPr>
          <w:rFonts w:hint="eastAsia" w:ascii="宋体" w:hAnsi="宋体" w:eastAsia="宋体" w:cs="宋体"/>
          <w:b w:val="0"/>
          <w:color w:val="auto"/>
          <w:sz w:val="36"/>
          <w:szCs w:val="30"/>
          <w:highlight w:val="none"/>
        </w:rPr>
      </w:pPr>
    </w:p>
    <w:p w14:paraId="44593FFD">
      <w:pPr>
        <w:pStyle w:val="4"/>
        <w:spacing w:before="0" w:after="0" w:line="360" w:lineRule="auto"/>
        <w:jc w:val="center"/>
        <w:rPr>
          <w:rFonts w:hint="eastAsia" w:ascii="宋体" w:hAnsi="宋体" w:eastAsia="宋体" w:cs="宋体"/>
          <w:b w:val="0"/>
          <w:color w:val="auto"/>
          <w:sz w:val="36"/>
          <w:szCs w:val="30"/>
          <w:highlight w:val="none"/>
        </w:rPr>
      </w:pPr>
    </w:p>
    <w:p w14:paraId="0A53E19C">
      <w:pPr>
        <w:pStyle w:val="4"/>
        <w:spacing w:before="0" w:after="0" w:line="360" w:lineRule="auto"/>
        <w:jc w:val="center"/>
        <w:rPr>
          <w:rFonts w:hint="eastAsia" w:ascii="宋体" w:hAnsi="宋体" w:eastAsia="宋体" w:cs="宋体"/>
          <w:b w:val="0"/>
          <w:color w:val="auto"/>
          <w:sz w:val="36"/>
          <w:szCs w:val="30"/>
          <w:highlight w:val="none"/>
        </w:rPr>
      </w:pPr>
    </w:p>
    <w:p w14:paraId="29C605F2">
      <w:pPr>
        <w:pStyle w:val="4"/>
        <w:spacing w:before="0" w:after="0" w:line="360" w:lineRule="auto"/>
        <w:jc w:val="center"/>
        <w:rPr>
          <w:rFonts w:hint="eastAsia" w:ascii="宋体" w:hAnsi="宋体" w:eastAsia="宋体" w:cs="宋体"/>
          <w:b w:val="0"/>
          <w:color w:val="auto"/>
          <w:sz w:val="36"/>
          <w:szCs w:val="30"/>
          <w:highlight w:val="none"/>
        </w:rPr>
      </w:pPr>
    </w:p>
    <w:p w14:paraId="02FD61E6">
      <w:pPr>
        <w:pStyle w:val="4"/>
        <w:spacing w:before="0" w:after="0" w:line="360" w:lineRule="auto"/>
        <w:jc w:val="center"/>
        <w:rPr>
          <w:rFonts w:hint="eastAsia" w:ascii="宋体" w:hAnsi="宋体" w:eastAsia="宋体" w:cs="宋体"/>
          <w:b w:val="0"/>
          <w:color w:val="auto"/>
          <w:sz w:val="36"/>
          <w:szCs w:val="30"/>
          <w:highlight w:val="none"/>
        </w:rPr>
      </w:pPr>
    </w:p>
    <w:p w14:paraId="78AD5674">
      <w:pPr>
        <w:pStyle w:val="4"/>
        <w:spacing w:before="0" w:after="0" w:line="360" w:lineRule="auto"/>
        <w:jc w:val="both"/>
        <w:rPr>
          <w:rFonts w:hint="eastAsia" w:ascii="宋体" w:hAnsi="宋体" w:eastAsia="宋体" w:cs="宋体"/>
          <w:b w:val="0"/>
          <w:color w:val="auto"/>
          <w:sz w:val="36"/>
          <w:szCs w:val="30"/>
          <w:highlight w:val="none"/>
        </w:rPr>
      </w:pPr>
    </w:p>
    <w:p w14:paraId="6E069B0F">
      <w:pPr>
        <w:pStyle w:val="4"/>
        <w:spacing w:before="0" w:after="0" w:line="360" w:lineRule="auto"/>
        <w:jc w:val="center"/>
        <w:rPr>
          <w:rFonts w:hint="eastAsia" w:ascii="宋体" w:hAnsi="宋体" w:eastAsia="宋体" w:cs="宋体"/>
          <w:b w:val="0"/>
          <w:color w:val="auto"/>
          <w:sz w:val="36"/>
          <w:szCs w:val="30"/>
          <w:highlight w:val="none"/>
        </w:rPr>
      </w:pPr>
    </w:p>
    <w:p w14:paraId="1F69CB1A">
      <w:pPr>
        <w:pStyle w:val="4"/>
        <w:spacing w:before="0" w:after="0" w:line="360" w:lineRule="auto"/>
        <w:jc w:val="center"/>
        <w:rPr>
          <w:rFonts w:hint="eastAsia" w:ascii="宋体" w:hAnsi="宋体" w:eastAsia="宋体" w:cs="宋体"/>
          <w:b w:val="0"/>
          <w:color w:val="auto"/>
          <w:sz w:val="32"/>
          <w:szCs w:val="32"/>
          <w:highlight w:val="none"/>
        </w:rPr>
      </w:pPr>
      <w:r>
        <w:rPr>
          <w:rFonts w:hint="eastAsia" w:ascii="宋体" w:hAnsi="宋体" w:eastAsia="宋体" w:cs="宋体"/>
          <w:b w:val="0"/>
          <w:color w:val="auto"/>
          <w:sz w:val="32"/>
          <w:szCs w:val="32"/>
          <w:highlight w:val="none"/>
          <w:lang w:val="en-US" w:eastAsia="zh-CN"/>
        </w:rPr>
        <w:t>供应商</w:t>
      </w:r>
      <w:r>
        <w:rPr>
          <w:rFonts w:hint="eastAsia" w:ascii="宋体" w:hAnsi="宋体" w:eastAsia="宋体" w:cs="宋体"/>
          <w:b w:val="0"/>
          <w:color w:val="auto"/>
          <w:sz w:val="32"/>
          <w:szCs w:val="32"/>
          <w:highlight w:val="none"/>
        </w:rPr>
        <w:t>：</w:t>
      </w:r>
      <w:r>
        <w:rPr>
          <w:rFonts w:hint="eastAsia" w:ascii="宋体" w:hAnsi="宋体" w:eastAsia="宋体" w:cs="宋体"/>
          <w:b w:val="0"/>
          <w:color w:val="auto"/>
          <w:sz w:val="32"/>
          <w:szCs w:val="32"/>
          <w:highlight w:val="none"/>
          <w:u w:val="single"/>
        </w:rPr>
        <w:t xml:space="preserve">                      </w:t>
      </w:r>
      <w:r>
        <w:rPr>
          <w:rFonts w:hint="eastAsia" w:ascii="宋体" w:hAnsi="宋体" w:eastAsia="宋体" w:cs="宋体"/>
          <w:b w:val="0"/>
          <w:color w:val="auto"/>
          <w:sz w:val="32"/>
          <w:szCs w:val="32"/>
          <w:highlight w:val="none"/>
        </w:rPr>
        <w:t>（盖单位章）</w:t>
      </w:r>
    </w:p>
    <w:p w14:paraId="6723B66E">
      <w:pPr>
        <w:pStyle w:val="4"/>
        <w:spacing w:before="0" w:after="0" w:line="360" w:lineRule="auto"/>
        <w:ind w:firstLine="1280" w:firstLineChars="400"/>
        <w:jc w:val="both"/>
        <w:rPr>
          <w:rFonts w:hint="eastAsia" w:ascii="宋体" w:hAnsi="宋体" w:eastAsia="宋体" w:cs="宋体"/>
          <w:b w:val="0"/>
          <w:color w:val="auto"/>
          <w:sz w:val="32"/>
          <w:szCs w:val="32"/>
          <w:highlight w:val="none"/>
          <w:u w:val="single"/>
          <w:lang w:eastAsia="zh-CN"/>
        </w:rPr>
      </w:pPr>
      <w:r>
        <w:rPr>
          <w:rFonts w:hint="eastAsia" w:ascii="宋体" w:hAnsi="宋体" w:eastAsia="宋体" w:cs="宋体"/>
          <w:b w:val="0"/>
          <w:color w:val="auto"/>
          <w:sz w:val="32"/>
          <w:szCs w:val="32"/>
          <w:highlight w:val="none"/>
        </w:rPr>
        <w:t>法定代表人（单位负责人）</w:t>
      </w:r>
      <w:r>
        <w:rPr>
          <w:rFonts w:hint="eastAsia" w:ascii="宋体" w:hAnsi="宋体" w:eastAsia="宋体" w:cs="宋体"/>
          <w:b w:val="0"/>
          <w:color w:val="auto"/>
          <w:sz w:val="32"/>
          <w:szCs w:val="32"/>
          <w:highlight w:val="none"/>
          <w:lang w:eastAsia="zh-CN"/>
        </w:rPr>
        <w:t>：</w:t>
      </w:r>
      <w:r>
        <w:rPr>
          <w:rFonts w:hint="eastAsia" w:ascii="宋体" w:hAnsi="宋体" w:eastAsia="宋体" w:cs="宋体"/>
          <w:b w:val="0"/>
          <w:color w:val="auto"/>
          <w:sz w:val="32"/>
          <w:szCs w:val="32"/>
          <w:highlight w:val="none"/>
          <w:u w:val="single"/>
        </w:rPr>
        <w:t xml:space="preserve">           </w:t>
      </w:r>
      <w:r>
        <w:rPr>
          <w:rFonts w:hint="eastAsia" w:ascii="宋体" w:hAnsi="宋体" w:eastAsia="宋体" w:cs="宋体"/>
          <w:b w:val="0"/>
          <w:color w:val="auto"/>
          <w:sz w:val="32"/>
          <w:szCs w:val="32"/>
          <w:highlight w:val="none"/>
        </w:rPr>
        <w:t>（签名或盖章）</w:t>
      </w:r>
    </w:p>
    <w:p w14:paraId="02141769">
      <w:pPr>
        <w:pStyle w:val="4"/>
        <w:spacing w:before="0" w:after="0" w:line="360" w:lineRule="auto"/>
        <w:ind w:firstLine="1280" w:firstLineChars="400"/>
        <w:jc w:val="both"/>
        <w:rPr>
          <w:rFonts w:hint="eastAsia" w:ascii="宋体" w:hAnsi="宋体" w:eastAsia="宋体" w:cs="宋体"/>
          <w:b w:val="0"/>
          <w:color w:val="auto"/>
          <w:sz w:val="32"/>
          <w:szCs w:val="32"/>
          <w:highlight w:val="none"/>
        </w:rPr>
      </w:pPr>
      <w:r>
        <w:rPr>
          <w:rFonts w:hint="eastAsia" w:ascii="宋体" w:hAnsi="宋体" w:eastAsia="宋体" w:cs="宋体"/>
          <w:b w:val="0"/>
          <w:color w:val="auto"/>
          <w:sz w:val="32"/>
          <w:szCs w:val="32"/>
          <w:highlight w:val="none"/>
        </w:rPr>
        <w:t>或其委托代理人：</w:t>
      </w:r>
      <w:r>
        <w:rPr>
          <w:rFonts w:hint="eastAsia" w:ascii="宋体" w:hAnsi="宋体" w:eastAsia="宋体" w:cs="宋体"/>
          <w:b w:val="0"/>
          <w:color w:val="auto"/>
          <w:sz w:val="32"/>
          <w:szCs w:val="32"/>
          <w:highlight w:val="none"/>
          <w:u w:val="single"/>
        </w:rPr>
        <w:t xml:space="preserve">           </w:t>
      </w:r>
      <w:r>
        <w:rPr>
          <w:rFonts w:hint="eastAsia" w:ascii="宋体" w:hAnsi="宋体" w:eastAsia="宋体" w:cs="宋体"/>
          <w:b w:val="0"/>
          <w:color w:val="auto"/>
          <w:sz w:val="32"/>
          <w:szCs w:val="32"/>
          <w:highlight w:val="none"/>
        </w:rPr>
        <w:t xml:space="preserve">（签名或盖章） </w:t>
      </w:r>
      <w:r>
        <w:rPr>
          <w:rFonts w:hint="eastAsia" w:ascii="宋体" w:hAnsi="宋体" w:eastAsia="宋体" w:cs="宋体"/>
          <w:b w:val="0"/>
          <w:color w:val="auto"/>
          <w:sz w:val="32"/>
          <w:szCs w:val="32"/>
          <w:highlight w:val="none"/>
        </w:rPr>
        <w:tab/>
      </w:r>
    </w:p>
    <w:p w14:paraId="3F790F94">
      <w:pPr>
        <w:pStyle w:val="4"/>
        <w:spacing w:before="0" w:after="0" w:line="360" w:lineRule="auto"/>
        <w:jc w:val="center"/>
        <w:rPr>
          <w:rFonts w:hint="eastAsia" w:ascii="宋体" w:hAnsi="宋体" w:eastAsia="宋体" w:cs="宋体"/>
          <w:b w:val="0"/>
          <w:color w:val="auto"/>
          <w:sz w:val="32"/>
          <w:szCs w:val="32"/>
          <w:highlight w:val="none"/>
        </w:rPr>
      </w:pPr>
      <w:r>
        <w:rPr>
          <w:rFonts w:hint="eastAsia" w:ascii="宋体" w:hAnsi="宋体" w:eastAsia="宋体" w:cs="宋体"/>
          <w:b w:val="0"/>
          <w:color w:val="auto"/>
          <w:sz w:val="32"/>
          <w:szCs w:val="32"/>
          <w:highlight w:val="none"/>
        </w:rPr>
        <w:t xml:space="preserve"> 年    月     日</w:t>
      </w:r>
    </w:p>
    <w:p w14:paraId="65F67C26">
      <w:pPr>
        <w:pStyle w:val="4"/>
        <w:spacing w:before="0" w:after="0" w:line="360" w:lineRule="auto"/>
        <w:jc w:val="center"/>
        <w:rPr>
          <w:rFonts w:hint="eastAsia" w:ascii="宋体" w:hAnsi="宋体" w:eastAsia="宋体" w:cs="宋体"/>
          <w:b w:val="0"/>
          <w:color w:val="auto"/>
          <w:sz w:val="36"/>
          <w:szCs w:val="30"/>
          <w:highlight w:val="none"/>
        </w:rPr>
      </w:pPr>
    </w:p>
    <w:p w14:paraId="1157C6A9">
      <w:pPr>
        <w:pStyle w:val="4"/>
        <w:spacing w:before="0" w:after="0" w:line="360" w:lineRule="auto"/>
        <w:jc w:val="both"/>
        <w:rPr>
          <w:rFonts w:hint="eastAsia" w:ascii="宋体" w:hAnsi="宋体" w:eastAsia="宋体" w:cs="宋体"/>
          <w:b w:val="0"/>
          <w:color w:val="auto"/>
          <w:sz w:val="36"/>
          <w:szCs w:val="30"/>
          <w:highlight w:val="none"/>
        </w:rPr>
      </w:pPr>
    </w:p>
    <w:p w14:paraId="5005F68A">
      <w:pPr>
        <w:pStyle w:val="4"/>
        <w:spacing w:before="0" w:after="0" w:line="360" w:lineRule="auto"/>
        <w:jc w:val="center"/>
        <w:rPr>
          <w:rFonts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第七篇  响应文件编制要求</w:t>
      </w:r>
      <w:bookmarkEnd w:id="176"/>
      <w:bookmarkEnd w:id="177"/>
    </w:p>
    <w:p w14:paraId="7B7EB39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8FC3FC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76BA732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1528B99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5280BDC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2D1A7F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2CC63B8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403E294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4B2F065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（二）其它承诺（格式自定）</w:t>
      </w:r>
    </w:p>
    <w:p w14:paraId="5E9E47A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17FD0EA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E51A74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66B4FC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2EC1BCF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65F020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（五）特定资格条件证书或证明文件（格式自定）</w:t>
      </w:r>
    </w:p>
    <w:p w14:paraId="0B71FF0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2031C11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w:t>
      </w:r>
    </w:p>
    <w:p w14:paraId="3DBC9844">
      <w:pPr>
        <w:snapToGrid w:val="0"/>
        <w:spacing w:line="360" w:lineRule="auto"/>
        <w:rPr>
          <w:rFonts w:ascii="宋体" w:hAnsi="宋体" w:cs="宋体"/>
          <w:color w:val="auto"/>
          <w:sz w:val="24"/>
          <w:szCs w:val="24"/>
          <w:highlight w:val="none"/>
          <w:bdr w:val="single" w:color="auto" w:sz="4" w:space="0"/>
        </w:rPr>
        <w:sectPr>
          <w:footerReference r:id="rId13" w:type="default"/>
          <w:pgSz w:w="11907" w:h="16840"/>
          <w:pgMar w:top="1134" w:right="1191" w:bottom="1134" w:left="1304" w:header="851" w:footer="992" w:gutter="0"/>
          <w:pgNumType w:fmt="decimal"/>
          <w:cols w:space="720" w:num="1"/>
          <w:docGrid w:linePitch="380" w:charSpace="-5735"/>
        </w:sectPr>
      </w:pPr>
    </w:p>
    <w:p w14:paraId="45F3802F">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78" w:name="_Toc106030906"/>
      <w:bookmarkStart w:id="179" w:name="_Toc76462350"/>
      <w:bookmarkStart w:id="180" w:name="_Toc342913419"/>
      <w:bookmarkStart w:id="181" w:name="_Toc313008356"/>
      <w:bookmarkStart w:id="182" w:name="_Toc313888360"/>
      <w:bookmarkStart w:id="183" w:name="_Toc283382454"/>
      <w:bookmarkStart w:id="184" w:name="_Toc12789073"/>
      <w:r>
        <w:rPr>
          <w:rFonts w:hint="eastAsia" w:ascii="宋体" w:hAnsi="宋体" w:eastAsia="宋体" w:cs="宋体"/>
          <w:color w:val="auto"/>
          <w:sz w:val="24"/>
          <w:highlight w:val="none"/>
        </w:rPr>
        <w:t>一、经济部分</w:t>
      </w:r>
      <w:bookmarkEnd w:id="178"/>
      <w:bookmarkEnd w:id="179"/>
      <w:bookmarkEnd w:id="180"/>
      <w:bookmarkEnd w:id="181"/>
      <w:bookmarkEnd w:id="182"/>
    </w:p>
    <w:bookmarkEnd w:id="183"/>
    <w:bookmarkEnd w:id="184"/>
    <w:p w14:paraId="290B168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13476D14">
      <w:pPr>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203430E5">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7E3107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16387C9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1.愿意按照竞争性磋商文件中的一切要求，提供本项目的服务，我方</w:t>
      </w:r>
      <w:r>
        <w:rPr>
          <w:rFonts w:hint="eastAsia" w:ascii="宋体" w:hAnsi="宋体" w:cs="宋体"/>
          <w:color w:val="auto"/>
          <w:sz w:val="24"/>
          <w:szCs w:val="24"/>
          <w:highlight w:val="none"/>
          <w:lang w:val="en-US" w:eastAsia="zh-CN"/>
        </w:rPr>
        <w:t>初始</w:t>
      </w:r>
      <w:r>
        <w:rPr>
          <w:rFonts w:hint="eastAsia" w:ascii="宋体" w:hAnsi="宋体" w:cs="宋体"/>
          <w:color w:val="auto"/>
          <w:sz w:val="24"/>
          <w:szCs w:val="24"/>
          <w:highlight w:val="none"/>
        </w:rPr>
        <w:t>总报价</w:t>
      </w:r>
      <w:r>
        <w:rPr>
          <w:rFonts w:hint="eastAsia" w:ascii="宋体" w:hAnsi="宋体" w:cs="宋体"/>
          <w:color w:val="auto"/>
          <w:sz w:val="24"/>
          <w:szCs w:val="24"/>
          <w:highlight w:val="none"/>
          <w:lang w:val="en-US" w:eastAsia="zh-CN"/>
        </w:rPr>
        <w:t>系数</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。我方初始总报价为人民币大写：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2F7929B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E5DBEB0">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22384BEB">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1898609B">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73BFAA7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0B3F954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2396CD70">
      <w:pPr>
        <w:tabs>
          <w:tab w:val="left" w:pos="6300"/>
        </w:tabs>
        <w:snapToGrid w:val="0"/>
        <w:spacing w:line="312" w:lineRule="auto"/>
        <w:ind w:firstLine="480" w:firstLineChars="200"/>
        <w:rPr>
          <w:rFonts w:hint="default" w:ascii="宋体" w:hAnsi="宋体" w:cs="宋体"/>
          <w:color w:val="auto"/>
          <w:sz w:val="24"/>
          <w:szCs w:val="24"/>
          <w:highlight w:val="none"/>
          <w:lang w:val="en-US"/>
        </w:rPr>
      </w:pPr>
      <w:commentRangeStart w:id="1"/>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为采购项目提供整体设计、规范编制或者项目管理等服务。</w:t>
      </w:r>
      <w:commentRangeEnd w:id="1"/>
      <w:r>
        <w:rPr>
          <w:color w:val="auto"/>
          <w:highlight w:val="none"/>
        </w:rPr>
        <w:commentReference w:id="1"/>
      </w:r>
    </w:p>
    <w:p w14:paraId="5CAB26AA">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62229CA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6B54E5E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45726CC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D86BCE8">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4095878">
      <w:pPr>
        <w:snapToGrid w:val="0"/>
        <w:spacing w:line="312" w:lineRule="auto"/>
        <w:ind w:firstLine="480" w:firstLineChars="200"/>
        <w:rPr>
          <w:rFonts w:ascii="宋体" w:hAnsi="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 xml:space="preserve">                                                  年   月   日</w:t>
      </w:r>
    </w:p>
    <w:p w14:paraId="518E0722">
      <w:pPr>
        <w:tabs>
          <w:tab w:val="left" w:pos="2895"/>
        </w:tabs>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278E144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652F0B1">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 xml:space="preserve">项目名称： </w:t>
      </w:r>
    </w:p>
    <w:tbl>
      <w:tblPr>
        <w:tblStyle w:val="17"/>
        <w:tblW w:w="9223" w:type="dxa"/>
        <w:tblInd w:w="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648"/>
        <w:gridCol w:w="679"/>
        <w:gridCol w:w="860"/>
        <w:gridCol w:w="879"/>
        <w:gridCol w:w="879"/>
        <w:gridCol w:w="879"/>
        <w:gridCol w:w="709"/>
        <w:gridCol w:w="879"/>
        <w:gridCol w:w="879"/>
        <w:gridCol w:w="686"/>
        <w:gridCol w:w="688"/>
      </w:tblGrid>
      <w:tr w14:paraId="7B1C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63E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CCF5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D95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57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8D26C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车型名称：</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103C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报价说明</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2BBA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0674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64C4">
            <w:pPr>
              <w:jc w:val="center"/>
              <w:rPr>
                <w:rFonts w:hint="eastAsia" w:ascii="宋体" w:hAnsi="宋体" w:eastAsia="宋体" w:cs="宋体"/>
                <w:b/>
                <w:bCs/>
                <w:i w:val="0"/>
                <w:iCs w:val="0"/>
                <w:color w:val="auto"/>
                <w:sz w:val="22"/>
                <w:szCs w:val="22"/>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BA76">
            <w:pPr>
              <w:jc w:val="center"/>
              <w:rPr>
                <w:rFonts w:hint="eastAsia" w:ascii="宋体" w:hAnsi="宋体" w:eastAsia="宋体" w:cs="宋体"/>
                <w:b/>
                <w:bCs/>
                <w:i w:val="0"/>
                <w:iCs w:val="0"/>
                <w:color w:val="auto"/>
                <w:sz w:val="22"/>
                <w:szCs w:val="22"/>
                <w:highlight w:val="none"/>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FAF7">
            <w:pPr>
              <w:jc w:val="center"/>
              <w:rPr>
                <w:rFonts w:hint="eastAsia" w:ascii="宋体" w:hAnsi="宋体" w:eastAsia="宋体" w:cs="宋体"/>
                <w:b/>
                <w:bCs/>
                <w:i w:val="0"/>
                <w:iCs w:val="0"/>
                <w:color w:val="auto"/>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F7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车辆暂估数量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2F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预估单车整年平均用量（次）</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145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工时</w:t>
            </w:r>
            <w:r>
              <w:rPr>
                <w:rFonts w:hint="eastAsia" w:ascii="宋体" w:hAnsi="宋体" w:cs="宋体"/>
                <w:b/>
                <w:bCs/>
                <w:i w:val="0"/>
                <w:iCs w:val="0"/>
                <w:color w:val="auto"/>
                <w:kern w:val="0"/>
                <w:sz w:val="22"/>
                <w:szCs w:val="22"/>
                <w:highlight w:val="none"/>
                <w:u w:val="none"/>
                <w:lang w:val="en-US" w:eastAsia="zh-CN" w:bidi="ar"/>
              </w:rPr>
              <w:t>单</w:t>
            </w:r>
            <w:r>
              <w:rPr>
                <w:rFonts w:hint="eastAsia" w:ascii="宋体" w:hAnsi="宋体" w:eastAsia="宋体" w:cs="宋体"/>
                <w:b/>
                <w:bCs/>
                <w:i w:val="0"/>
                <w:iCs w:val="0"/>
                <w:color w:val="auto"/>
                <w:kern w:val="0"/>
                <w:sz w:val="22"/>
                <w:szCs w:val="22"/>
                <w:highlight w:val="none"/>
                <w:u w:val="none"/>
                <w:lang w:val="en-US" w:eastAsia="zh-CN" w:bidi="ar"/>
              </w:rPr>
              <w:t>价（元）</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32F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材料</w:t>
            </w:r>
            <w:r>
              <w:rPr>
                <w:rFonts w:hint="eastAsia" w:ascii="宋体" w:hAnsi="宋体" w:cs="宋体"/>
                <w:b/>
                <w:bCs/>
                <w:i w:val="0"/>
                <w:iCs w:val="0"/>
                <w:color w:val="auto"/>
                <w:kern w:val="0"/>
                <w:sz w:val="22"/>
                <w:szCs w:val="22"/>
                <w:highlight w:val="none"/>
                <w:u w:val="none"/>
                <w:lang w:val="en-US" w:eastAsia="zh-CN" w:bidi="ar"/>
              </w:rPr>
              <w:t>单</w:t>
            </w:r>
            <w:r>
              <w:rPr>
                <w:rFonts w:hint="eastAsia" w:ascii="宋体" w:hAnsi="宋体" w:eastAsia="宋体" w:cs="宋体"/>
                <w:b/>
                <w:bCs/>
                <w:i w:val="0"/>
                <w:iCs w:val="0"/>
                <w:color w:val="auto"/>
                <w:kern w:val="0"/>
                <w:sz w:val="22"/>
                <w:szCs w:val="22"/>
                <w:highlight w:val="none"/>
                <w:u w:val="none"/>
                <w:lang w:val="en-US" w:eastAsia="zh-CN" w:bidi="ar"/>
              </w:rPr>
              <w:t>价（元）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A68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工时合价（元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8A4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材料合价（元）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BAA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工时及材料合计（元）</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1F61">
            <w:pPr>
              <w:jc w:val="center"/>
              <w:rPr>
                <w:rFonts w:hint="eastAsia" w:ascii="宋体" w:hAnsi="宋体" w:eastAsia="宋体" w:cs="宋体"/>
                <w:b/>
                <w:bCs/>
                <w:i w:val="0"/>
                <w:iCs w:val="0"/>
                <w:color w:val="auto"/>
                <w:sz w:val="22"/>
                <w:szCs w:val="22"/>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4D70">
            <w:pPr>
              <w:jc w:val="center"/>
              <w:rPr>
                <w:rFonts w:hint="eastAsia" w:ascii="宋体" w:hAnsi="宋体" w:eastAsia="宋体" w:cs="宋体"/>
                <w:b/>
                <w:bCs/>
                <w:i w:val="0"/>
                <w:iCs w:val="0"/>
                <w:color w:val="auto"/>
                <w:sz w:val="22"/>
                <w:szCs w:val="22"/>
                <w:highlight w:val="none"/>
                <w:u w:val="none"/>
              </w:rPr>
            </w:pPr>
          </w:p>
        </w:tc>
      </w:tr>
      <w:tr w14:paraId="7FA7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F220">
            <w:pPr>
              <w:jc w:val="center"/>
              <w:rPr>
                <w:rFonts w:hint="eastAsia" w:ascii="宋体" w:hAnsi="宋体" w:eastAsia="宋体" w:cs="宋体"/>
                <w:b/>
                <w:bCs/>
                <w:i w:val="0"/>
                <w:iCs w:val="0"/>
                <w:color w:val="auto"/>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6E9">
            <w:pPr>
              <w:jc w:val="center"/>
              <w:rPr>
                <w:rFonts w:hint="eastAsia" w:ascii="宋体" w:hAnsi="宋体" w:eastAsia="宋体" w:cs="宋体"/>
                <w:b/>
                <w:bCs/>
                <w:i w:val="0"/>
                <w:iCs w:val="0"/>
                <w:color w:val="auto"/>
                <w:sz w:val="22"/>
                <w:szCs w:val="22"/>
                <w:highlight w:val="none"/>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4F18">
            <w:pPr>
              <w:jc w:val="center"/>
              <w:rPr>
                <w:rFonts w:hint="eastAsia" w:ascii="宋体" w:hAnsi="宋体" w:eastAsia="宋体" w:cs="宋体"/>
                <w:b/>
                <w:bCs/>
                <w:i w:val="0"/>
                <w:iCs w:val="0"/>
                <w:color w:val="auto"/>
                <w:sz w:val="22"/>
                <w:szCs w:val="22"/>
                <w:highlight w:val="none"/>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F07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BC3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69F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336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EA7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985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949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5088">
            <w:pPr>
              <w:jc w:val="center"/>
              <w:rPr>
                <w:rFonts w:hint="eastAsia" w:ascii="宋体" w:hAnsi="宋体" w:eastAsia="宋体" w:cs="宋体"/>
                <w:b/>
                <w:bCs/>
                <w:i w:val="0"/>
                <w:iCs w:val="0"/>
                <w:color w:val="auto"/>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2D5">
            <w:pPr>
              <w:jc w:val="center"/>
              <w:rPr>
                <w:rFonts w:hint="eastAsia" w:ascii="宋体" w:hAnsi="宋体" w:eastAsia="宋体" w:cs="宋体"/>
                <w:b/>
                <w:bCs/>
                <w:i w:val="0"/>
                <w:iCs w:val="0"/>
                <w:color w:val="auto"/>
                <w:sz w:val="22"/>
                <w:szCs w:val="22"/>
                <w:highlight w:val="none"/>
                <w:u w:val="none"/>
              </w:rPr>
            </w:pPr>
          </w:p>
        </w:tc>
      </w:tr>
    </w:tbl>
    <w:p w14:paraId="2F6CF5F2">
      <w:pPr>
        <w:snapToGrid w:val="0"/>
        <w:spacing w:line="500" w:lineRule="exact"/>
        <w:ind w:firstLine="480" w:firstLineChars="200"/>
        <w:rPr>
          <w:rFonts w:ascii="宋体" w:hAnsi="宋体" w:cs="宋体"/>
          <w:color w:val="auto"/>
          <w:sz w:val="24"/>
          <w:szCs w:val="28"/>
          <w:highlight w:val="none"/>
        </w:rPr>
      </w:pPr>
    </w:p>
    <w:p w14:paraId="5CDBC885">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2CBEE163">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w:t>
      </w:r>
      <w:r>
        <w:rPr>
          <w:rFonts w:hint="eastAsia" w:ascii="宋体" w:hAnsi="宋体" w:cs="宋体"/>
          <w:color w:val="auto"/>
          <w:sz w:val="24"/>
          <w:szCs w:val="28"/>
          <w:highlight w:val="none"/>
          <w:lang w:val="en-US" w:eastAsia="zh-CN"/>
        </w:rPr>
        <w:t>根据限价明细格式进行</w:t>
      </w:r>
      <w:r>
        <w:rPr>
          <w:rFonts w:hint="eastAsia" w:ascii="宋体" w:hAnsi="宋体" w:cs="宋体"/>
          <w:color w:val="auto"/>
          <w:sz w:val="24"/>
          <w:szCs w:val="28"/>
          <w:highlight w:val="none"/>
        </w:rPr>
        <w:t>扩展</w:t>
      </w:r>
      <w:bookmarkStart w:id="185" w:name="OLE_LINK2"/>
      <w:bookmarkStart w:id="186" w:name="OLE_LINK1"/>
      <w:r>
        <w:rPr>
          <w:rFonts w:hint="eastAsia" w:ascii="宋体" w:hAnsi="宋体" w:cs="宋体"/>
          <w:color w:val="auto"/>
          <w:sz w:val="24"/>
          <w:szCs w:val="28"/>
          <w:highlight w:val="none"/>
        </w:rPr>
        <w:t>。</w:t>
      </w:r>
      <w:bookmarkEnd w:id="185"/>
      <w:bookmarkEnd w:id="186"/>
    </w:p>
    <w:p w14:paraId="68C9AD48">
      <w:pPr>
        <w:pStyle w:val="13"/>
        <w:spacing w:line="360" w:lineRule="auto"/>
        <w:ind w:left="0" w:leftChars="0" w:firstLine="758" w:firstLineChars="316"/>
        <w:jc w:val="both"/>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 xml:space="preserve"> </w:t>
      </w:r>
      <w:r>
        <w:rPr>
          <w:rFonts w:hint="eastAsia" w:ascii="宋体" w:hAnsi="宋体" w:cs="宋体"/>
          <w:color w:val="auto"/>
          <w:kern w:val="2"/>
          <w:sz w:val="24"/>
          <w:szCs w:val="28"/>
          <w:highlight w:val="none"/>
          <w:lang w:val="en-US" w:eastAsia="zh-CN" w:bidi="ar-SA"/>
        </w:rPr>
        <w:t xml:space="preserve"> 3</w:t>
      </w:r>
      <w:r>
        <w:rPr>
          <w:rFonts w:hint="eastAsia" w:ascii="宋体" w:hAnsi="宋体" w:eastAsia="宋体" w:cs="宋体"/>
          <w:color w:val="auto"/>
          <w:kern w:val="2"/>
          <w:sz w:val="24"/>
          <w:szCs w:val="28"/>
          <w:highlight w:val="none"/>
          <w:lang w:val="en-US" w:eastAsia="zh-CN" w:bidi="ar-SA"/>
        </w:rPr>
        <w:t>.</w:t>
      </w:r>
      <w:r>
        <w:rPr>
          <w:rFonts w:hint="eastAsia" w:ascii="宋体" w:hAnsi="宋体" w:cs="宋体"/>
          <w:color w:val="auto"/>
          <w:kern w:val="2"/>
          <w:sz w:val="24"/>
          <w:szCs w:val="28"/>
          <w:highlight w:val="none"/>
          <w:lang w:val="en-US" w:eastAsia="zh-CN" w:bidi="ar-SA"/>
        </w:rPr>
        <w:t>参照附件表（</w:t>
      </w:r>
      <w:r>
        <w:rPr>
          <w:rFonts w:hint="eastAsia" w:ascii="宋体" w:hAnsi="宋体" w:cs="宋体"/>
          <w:color w:val="auto"/>
          <w:kern w:val="2"/>
          <w:sz w:val="21"/>
          <w:szCs w:val="21"/>
          <w:highlight w:val="none"/>
          <w:lang w:val="en-US" w:eastAsia="zh-CN" w:bidi="ar-SA"/>
        </w:rPr>
        <w:t>氢燃料电池车常用易耗品项目材料及工时限价表（含税价）</w:t>
      </w:r>
      <w:r>
        <w:rPr>
          <w:rFonts w:hint="eastAsia" w:ascii="宋体" w:hAnsi="宋体" w:cs="宋体"/>
          <w:color w:val="auto"/>
          <w:kern w:val="2"/>
          <w:sz w:val="24"/>
          <w:szCs w:val="28"/>
          <w:highlight w:val="none"/>
          <w:lang w:val="en-US" w:eastAsia="zh-CN" w:bidi="ar-SA"/>
        </w:rPr>
        <w:t>）进行乘系数后报价，格式可自拟</w:t>
      </w:r>
      <w:r>
        <w:rPr>
          <w:rFonts w:hint="eastAsia" w:ascii="宋体" w:hAnsi="宋体" w:eastAsia="宋体" w:cs="宋体"/>
          <w:color w:val="auto"/>
          <w:kern w:val="2"/>
          <w:sz w:val="24"/>
          <w:szCs w:val="28"/>
          <w:highlight w:val="none"/>
          <w:lang w:val="en-US" w:eastAsia="zh-CN" w:bidi="ar-SA"/>
        </w:rPr>
        <w:t>。</w:t>
      </w:r>
    </w:p>
    <w:p w14:paraId="308759D7">
      <w:pPr>
        <w:pStyle w:val="13"/>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788603D">
      <w:pPr>
        <w:rPr>
          <w:rFonts w:ascii="宋体" w:hAnsi="宋体" w:cs="宋体"/>
          <w:color w:val="auto"/>
          <w:highlight w:val="none"/>
        </w:rPr>
      </w:pPr>
    </w:p>
    <w:p w14:paraId="750D7475">
      <w:pPr>
        <w:rPr>
          <w:rFonts w:ascii="宋体" w:hAnsi="宋体" w:cs="宋体"/>
          <w:color w:val="auto"/>
          <w:highlight w:val="none"/>
        </w:rPr>
      </w:pPr>
    </w:p>
    <w:p w14:paraId="5BDEA336">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2F3016DD">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7B0221F8">
      <w:pPr>
        <w:snapToGrid w:val="0"/>
        <w:spacing w:line="360" w:lineRule="auto"/>
        <w:ind w:firstLine="480" w:firstLineChars="200"/>
        <w:rPr>
          <w:rFonts w:ascii="宋体" w:hAnsi="宋体" w:cs="宋体"/>
          <w:color w:val="auto"/>
          <w:sz w:val="24"/>
          <w:szCs w:val="24"/>
          <w:highlight w:val="none"/>
          <w:bdr w:val="single" w:color="auto" w:sz="4" w:space="0"/>
        </w:rPr>
        <w:sectPr>
          <w:headerReference r:id="rId14" w:type="default"/>
          <w:pgSz w:w="11907" w:h="16840"/>
          <w:pgMar w:top="1134" w:right="1191" w:bottom="1134" w:left="1304" w:header="851" w:footer="992" w:gutter="0"/>
          <w:pgNumType w:fmt="decimal"/>
          <w:cols w:space="720" w:num="1"/>
          <w:docGrid w:linePitch="380" w:charSpace="-5735"/>
        </w:sectPr>
      </w:pPr>
    </w:p>
    <w:p w14:paraId="053870C4">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87" w:name="_Toc342913420"/>
      <w:bookmarkStart w:id="188" w:name="_Toc106030907"/>
      <w:bookmarkStart w:id="189" w:name="_Toc313888361"/>
      <w:bookmarkStart w:id="190" w:name="_Toc76462351"/>
      <w:bookmarkStart w:id="191" w:name="_Toc313008357"/>
      <w:r>
        <w:rPr>
          <w:rFonts w:hint="eastAsia" w:ascii="宋体" w:hAnsi="宋体" w:eastAsia="宋体" w:cs="宋体"/>
          <w:color w:val="auto"/>
          <w:sz w:val="24"/>
          <w:highlight w:val="none"/>
        </w:rPr>
        <w:t>二、</w:t>
      </w:r>
      <w:bookmarkEnd w:id="187"/>
      <w:bookmarkEnd w:id="188"/>
      <w:bookmarkEnd w:id="189"/>
      <w:bookmarkEnd w:id="190"/>
      <w:bookmarkEnd w:id="191"/>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服务部分</w:t>
      </w:r>
    </w:p>
    <w:p w14:paraId="5C30EFC8">
      <w:pP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服务响应偏离表</w:t>
      </w:r>
    </w:p>
    <w:p w14:paraId="280FE5E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201495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966"/>
        <w:gridCol w:w="3079"/>
        <w:gridCol w:w="2309"/>
      </w:tblGrid>
      <w:tr w14:paraId="0072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4" w:type="dxa"/>
            <w:vAlign w:val="center"/>
          </w:tcPr>
          <w:p w14:paraId="410B2BC6">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966" w:type="dxa"/>
            <w:vAlign w:val="center"/>
          </w:tcPr>
          <w:p w14:paraId="7BDC4BD1">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3079" w:type="dxa"/>
            <w:vAlign w:val="center"/>
          </w:tcPr>
          <w:p w14:paraId="203E7E7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09" w:type="dxa"/>
            <w:vAlign w:val="center"/>
          </w:tcPr>
          <w:p w14:paraId="2DE59AA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5161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7E80857E">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966" w:type="dxa"/>
            <w:vAlign w:val="center"/>
          </w:tcPr>
          <w:p w14:paraId="39BB9FB7">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服务范围</w:t>
            </w:r>
          </w:p>
        </w:tc>
        <w:tc>
          <w:tcPr>
            <w:tcW w:w="3079" w:type="dxa"/>
            <w:vAlign w:val="center"/>
          </w:tcPr>
          <w:p w14:paraId="2869A50B">
            <w:pPr>
              <w:tabs>
                <w:tab w:val="left" w:pos="6300"/>
              </w:tabs>
              <w:snapToGrid w:val="0"/>
              <w:spacing w:line="500" w:lineRule="exact"/>
              <w:outlineLvl w:val="0"/>
              <w:rPr>
                <w:rFonts w:ascii="宋体" w:hAnsi="宋体" w:cs="宋体"/>
                <w:color w:val="auto"/>
                <w:sz w:val="21"/>
                <w:szCs w:val="21"/>
                <w:highlight w:val="none"/>
              </w:rPr>
            </w:pPr>
          </w:p>
        </w:tc>
        <w:tc>
          <w:tcPr>
            <w:tcW w:w="2309" w:type="dxa"/>
            <w:vAlign w:val="center"/>
          </w:tcPr>
          <w:p w14:paraId="01965208">
            <w:pPr>
              <w:tabs>
                <w:tab w:val="left" w:pos="6300"/>
              </w:tabs>
              <w:snapToGrid w:val="0"/>
              <w:spacing w:line="500" w:lineRule="exact"/>
              <w:jc w:val="center"/>
              <w:outlineLvl w:val="0"/>
              <w:rPr>
                <w:rFonts w:ascii="宋体" w:hAnsi="宋体" w:cs="宋体"/>
                <w:color w:val="auto"/>
                <w:sz w:val="21"/>
                <w:szCs w:val="21"/>
                <w:highlight w:val="none"/>
              </w:rPr>
            </w:pPr>
          </w:p>
        </w:tc>
      </w:tr>
      <w:tr w14:paraId="481C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3AE49AD9">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966" w:type="dxa"/>
            <w:vAlign w:val="center"/>
          </w:tcPr>
          <w:p w14:paraId="7597E5E0">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服务要求</w:t>
            </w:r>
          </w:p>
        </w:tc>
        <w:tc>
          <w:tcPr>
            <w:tcW w:w="3079" w:type="dxa"/>
            <w:vAlign w:val="center"/>
          </w:tcPr>
          <w:p w14:paraId="1DF563B5">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7B1AD526">
            <w:pPr>
              <w:tabs>
                <w:tab w:val="left" w:pos="6300"/>
              </w:tabs>
              <w:snapToGrid w:val="0"/>
              <w:spacing w:line="500" w:lineRule="exact"/>
              <w:jc w:val="center"/>
              <w:outlineLvl w:val="0"/>
              <w:rPr>
                <w:rFonts w:ascii="宋体" w:hAnsi="宋体" w:cs="宋体"/>
                <w:color w:val="auto"/>
                <w:sz w:val="21"/>
                <w:szCs w:val="21"/>
                <w:highlight w:val="none"/>
              </w:rPr>
            </w:pPr>
          </w:p>
        </w:tc>
      </w:tr>
      <w:tr w14:paraId="2CEA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5DB51806">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966" w:type="dxa"/>
            <w:vAlign w:val="center"/>
          </w:tcPr>
          <w:p w14:paraId="04896668">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服务标准</w:t>
            </w:r>
          </w:p>
        </w:tc>
        <w:tc>
          <w:tcPr>
            <w:tcW w:w="3079" w:type="dxa"/>
            <w:vAlign w:val="center"/>
          </w:tcPr>
          <w:p w14:paraId="2871AF4C">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2EF98F0C">
            <w:pPr>
              <w:tabs>
                <w:tab w:val="left" w:pos="6300"/>
              </w:tabs>
              <w:snapToGrid w:val="0"/>
              <w:spacing w:line="500" w:lineRule="exact"/>
              <w:jc w:val="center"/>
              <w:outlineLvl w:val="0"/>
              <w:rPr>
                <w:rFonts w:ascii="宋体" w:hAnsi="宋体" w:cs="宋体"/>
                <w:color w:val="auto"/>
                <w:sz w:val="21"/>
                <w:szCs w:val="21"/>
                <w:highlight w:val="none"/>
              </w:rPr>
            </w:pPr>
          </w:p>
        </w:tc>
      </w:tr>
      <w:tr w14:paraId="7622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4863A4CF">
            <w:pPr>
              <w:tabs>
                <w:tab w:val="left" w:pos="6300"/>
              </w:tabs>
              <w:snapToGrid w:val="0"/>
              <w:spacing w:line="500" w:lineRule="exact"/>
              <w:jc w:val="center"/>
              <w:outlineLvl w:val="0"/>
              <w:rPr>
                <w:rFonts w:ascii="宋体" w:hAnsi="宋体" w:cs="宋体"/>
                <w:color w:val="auto"/>
                <w:sz w:val="21"/>
                <w:szCs w:val="21"/>
                <w:highlight w:val="none"/>
              </w:rPr>
            </w:pPr>
          </w:p>
        </w:tc>
        <w:tc>
          <w:tcPr>
            <w:tcW w:w="2966" w:type="dxa"/>
            <w:vAlign w:val="center"/>
          </w:tcPr>
          <w:p w14:paraId="5AF169B7">
            <w:pPr>
              <w:tabs>
                <w:tab w:val="left" w:pos="6300"/>
              </w:tabs>
              <w:snapToGrid w:val="0"/>
              <w:spacing w:line="500" w:lineRule="exact"/>
              <w:jc w:val="center"/>
              <w:outlineLvl w:val="0"/>
              <w:rPr>
                <w:rFonts w:ascii="宋体" w:hAnsi="宋体" w:cs="宋体"/>
                <w:color w:val="auto"/>
                <w:sz w:val="21"/>
                <w:szCs w:val="21"/>
                <w:highlight w:val="none"/>
              </w:rPr>
            </w:pPr>
          </w:p>
        </w:tc>
        <w:tc>
          <w:tcPr>
            <w:tcW w:w="3079" w:type="dxa"/>
            <w:vAlign w:val="center"/>
          </w:tcPr>
          <w:p w14:paraId="0B70C58C">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6A9821FA">
            <w:pPr>
              <w:tabs>
                <w:tab w:val="left" w:pos="6300"/>
              </w:tabs>
              <w:snapToGrid w:val="0"/>
              <w:spacing w:line="500" w:lineRule="exact"/>
              <w:jc w:val="center"/>
              <w:outlineLvl w:val="0"/>
              <w:rPr>
                <w:rFonts w:ascii="宋体" w:hAnsi="宋体" w:cs="宋体"/>
                <w:color w:val="auto"/>
                <w:sz w:val="21"/>
                <w:szCs w:val="21"/>
                <w:highlight w:val="none"/>
              </w:rPr>
            </w:pPr>
          </w:p>
        </w:tc>
      </w:tr>
      <w:tr w14:paraId="2490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3619B420">
            <w:pPr>
              <w:tabs>
                <w:tab w:val="left" w:pos="6300"/>
              </w:tabs>
              <w:snapToGrid w:val="0"/>
              <w:spacing w:line="500" w:lineRule="exact"/>
              <w:jc w:val="center"/>
              <w:outlineLvl w:val="0"/>
              <w:rPr>
                <w:rFonts w:ascii="宋体" w:hAnsi="宋体" w:cs="宋体"/>
                <w:color w:val="auto"/>
                <w:sz w:val="21"/>
                <w:szCs w:val="21"/>
                <w:highlight w:val="none"/>
              </w:rPr>
            </w:pPr>
          </w:p>
        </w:tc>
        <w:tc>
          <w:tcPr>
            <w:tcW w:w="2966" w:type="dxa"/>
            <w:vAlign w:val="center"/>
          </w:tcPr>
          <w:p w14:paraId="0DC97F79">
            <w:pPr>
              <w:tabs>
                <w:tab w:val="left" w:pos="6300"/>
              </w:tabs>
              <w:snapToGrid w:val="0"/>
              <w:spacing w:line="500" w:lineRule="exact"/>
              <w:jc w:val="center"/>
              <w:outlineLvl w:val="0"/>
              <w:rPr>
                <w:rFonts w:ascii="宋体" w:hAnsi="宋体" w:cs="宋体"/>
                <w:color w:val="auto"/>
                <w:sz w:val="21"/>
                <w:szCs w:val="21"/>
                <w:highlight w:val="none"/>
              </w:rPr>
            </w:pPr>
          </w:p>
        </w:tc>
        <w:tc>
          <w:tcPr>
            <w:tcW w:w="3079" w:type="dxa"/>
            <w:vAlign w:val="center"/>
          </w:tcPr>
          <w:p w14:paraId="4812DA74">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64F50D89">
            <w:pPr>
              <w:tabs>
                <w:tab w:val="left" w:pos="6300"/>
              </w:tabs>
              <w:snapToGrid w:val="0"/>
              <w:spacing w:line="500" w:lineRule="exact"/>
              <w:jc w:val="center"/>
              <w:outlineLvl w:val="0"/>
              <w:rPr>
                <w:rFonts w:ascii="宋体" w:hAnsi="宋体" w:cs="宋体"/>
                <w:color w:val="auto"/>
                <w:sz w:val="21"/>
                <w:szCs w:val="21"/>
                <w:highlight w:val="none"/>
              </w:rPr>
            </w:pPr>
          </w:p>
        </w:tc>
      </w:tr>
      <w:tr w14:paraId="1189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639CD58E">
            <w:pPr>
              <w:tabs>
                <w:tab w:val="left" w:pos="6300"/>
              </w:tabs>
              <w:snapToGrid w:val="0"/>
              <w:spacing w:line="500" w:lineRule="exact"/>
              <w:jc w:val="center"/>
              <w:outlineLvl w:val="0"/>
              <w:rPr>
                <w:rFonts w:ascii="宋体" w:hAnsi="宋体" w:cs="宋体"/>
                <w:color w:val="auto"/>
                <w:sz w:val="21"/>
                <w:szCs w:val="21"/>
                <w:highlight w:val="none"/>
              </w:rPr>
            </w:pPr>
          </w:p>
        </w:tc>
        <w:tc>
          <w:tcPr>
            <w:tcW w:w="2966" w:type="dxa"/>
            <w:vAlign w:val="center"/>
          </w:tcPr>
          <w:p w14:paraId="4BA4019A">
            <w:pPr>
              <w:tabs>
                <w:tab w:val="left" w:pos="6300"/>
              </w:tabs>
              <w:snapToGrid w:val="0"/>
              <w:spacing w:line="500" w:lineRule="exact"/>
              <w:jc w:val="center"/>
              <w:outlineLvl w:val="0"/>
              <w:rPr>
                <w:rFonts w:ascii="宋体" w:hAnsi="宋体" w:cs="宋体"/>
                <w:color w:val="auto"/>
                <w:sz w:val="21"/>
                <w:szCs w:val="21"/>
                <w:highlight w:val="none"/>
              </w:rPr>
            </w:pPr>
          </w:p>
        </w:tc>
        <w:tc>
          <w:tcPr>
            <w:tcW w:w="3079" w:type="dxa"/>
            <w:vAlign w:val="center"/>
          </w:tcPr>
          <w:p w14:paraId="352F0F77">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6FB31B09">
            <w:pPr>
              <w:tabs>
                <w:tab w:val="left" w:pos="6300"/>
              </w:tabs>
              <w:snapToGrid w:val="0"/>
              <w:spacing w:line="500" w:lineRule="exact"/>
              <w:jc w:val="center"/>
              <w:outlineLvl w:val="0"/>
              <w:rPr>
                <w:rFonts w:ascii="宋体" w:hAnsi="宋体" w:cs="宋体"/>
                <w:color w:val="auto"/>
                <w:sz w:val="21"/>
                <w:szCs w:val="21"/>
                <w:highlight w:val="none"/>
              </w:rPr>
            </w:pPr>
          </w:p>
        </w:tc>
      </w:tr>
      <w:tr w14:paraId="69AB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36939446">
            <w:pPr>
              <w:tabs>
                <w:tab w:val="left" w:pos="6300"/>
              </w:tabs>
              <w:snapToGrid w:val="0"/>
              <w:spacing w:line="500" w:lineRule="exact"/>
              <w:jc w:val="center"/>
              <w:outlineLvl w:val="0"/>
              <w:rPr>
                <w:rFonts w:ascii="宋体" w:hAnsi="宋体" w:cs="宋体"/>
                <w:color w:val="auto"/>
                <w:sz w:val="21"/>
                <w:szCs w:val="21"/>
                <w:highlight w:val="none"/>
              </w:rPr>
            </w:pPr>
          </w:p>
        </w:tc>
        <w:tc>
          <w:tcPr>
            <w:tcW w:w="2966" w:type="dxa"/>
            <w:vAlign w:val="center"/>
          </w:tcPr>
          <w:p w14:paraId="38F195C3">
            <w:pPr>
              <w:tabs>
                <w:tab w:val="left" w:pos="6300"/>
              </w:tabs>
              <w:snapToGrid w:val="0"/>
              <w:spacing w:line="500" w:lineRule="exact"/>
              <w:jc w:val="center"/>
              <w:outlineLvl w:val="0"/>
              <w:rPr>
                <w:rFonts w:ascii="宋体" w:hAnsi="宋体" w:cs="宋体"/>
                <w:color w:val="auto"/>
                <w:sz w:val="21"/>
                <w:szCs w:val="21"/>
                <w:highlight w:val="none"/>
              </w:rPr>
            </w:pPr>
          </w:p>
        </w:tc>
        <w:tc>
          <w:tcPr>
            <w:tcW w:w="3079" w:type="dxa"/>
            <w:vAlign w:val="center"/>
          </w:tcPr>
          <w:p w14:paraId="4D5E0BC1">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57C83CED">
            <w:pPr>
              <w:tabs>
                <w:tab w:val="left" w:pos="6300"/>
              </w:tabs>
              <w:snapToGrid w:val="0"/>
              <w:spacing w:line="500" w:lineRule="exact"/>
              <w:jc w:val="center"/>
              <w:outlineLvl w:val="0"/>
              <w:rPr>
                <w:rFonts w:ascii="宋体" w:hAnsi="宋体" w:cs="宋体"/>
                <w:color w:val="auto"/>
                <w:sz w:val="21"/>
                <w:szCs w:val="21"/>
                <w:highlight w:val="none"/>
              </w:rPr>
            </w:pPr>
          </w:p>
        </w:tc>
      </w:tr>
      <w:tr w14:paraId="289D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3903A177">
            <w:pPr>
              <w:tabs>
                <w:tab w:val="left" w:pos="6300"/>
              </w:tabs>
              <w:snapToGrid w:val="0"/>
              <w:spacing w:line="500" w:lineRule="exact"/>
              <w:jc w:val="center"/>
              <w:outlineLvl w:val="0"/>
              <w:rPr>
                <w:rFonts w:ascii="宋体" w:hAnsi="宋体" w:cs="宋体"/>
                <w:color w:val="auto"/>
                <w:sz w:val="21"/>
                <w:szCs w:val="21"/>
                <w:highlight w:val="none"/>
              </w:rPr>
            </w:pPr>
          </w:p>
        </w:tc>
        <w:tc>
          <w:tcPr>
            <w:tcW w:w="2966" w:type="dxa"/>
            <w:vAlign w:val="center"/>
          </w:tcPr>
          <w:p w14:paraId="48933CA0">
            <w:pPr>
              <w:tabs>
                <w:tab w:val="left" w:pos="6300"/>
              </w:tabs>
              <w:snapToGrid w:val="0"/>
              <w:spacing w:line="500" w:lineRule="exact"/>
              <w:jc w:val="center"/>
              <w:outlineLvl w:val="0"/>
              <w:rPr>
                <w:rFonts w:ascii="宋体" w:hAnsi="宋体" w:cs="宋体"/>
                <w:color w:val="auto"/>
                <w:sz w:val="21"/>
                <w:szCs w:val="21"/>
                <w:highlight w:val="none"/>
              </w:rPr>
            </w:pPr>
          </w:p>
        </w:tc>
        <w:tc>
          <w:tcPr>
            <w:tcW w:w="3079" w:type="dxa"/>
            <w:vAlign w:val="center"/>
          </w:tcPr>
          <w:p w14:paraId="0EE12003">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03598B8E">
            <w:pPr>
              <w:tabs>
                <w:tab w:val="left" w:pos="6300"/>
              </w:tabs>
              <w:snapToGrid w:val="0"/>
              <w:spacing w:line="500" w:lineRule="exact"/>
              <w:jc w:val="center"/>
              <w:outlineLvl w:val="0"/>
              <w:rPr>
                <w:rFonts w:ascii="宋体" w:hAnsi="宋体" w:cs="宋体"/>
                <w:color w:val="auto"/>
                <w:sz w:val="21"/>
                <w:szCs w:val="21"/>
                <w:highlight w:val="none"/>
              </w:rPr>
            </w:pPr>
          </w:p>
        </w:tc>
      </w:tr>
      <w:tr w14:paraId="7AC9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vAlign w:val="center"/>
          </w:tcPr>
          <w:p w14:paraId="1CDE81A4">
            <w:pPr>
              <w:tabs>
                <w:tab w:val="left" w:pos="6300"/>
              </w:tabs>
              <w:snapToGrid w:val="0"/>
              <w:spacing w:line="500" w:lineRule="exact"/>
              <w:jc w:val="center"/>
              <w:outlineLvl w:val="0"/>
              <w:rPr>
                <w:rFonts w:ascii="宋体" w:hAnsi="宋体" w:cs="宋体"/>
                <w:color w:val="auto"/>
                <w:sz w:val="21"/>
                <w:szCs w:val="21"/>
                <w:highlight w:val="none"/>
              </w:rPr>
            </w:pPr>
          </w:p>
        </w:tc>
        <w:tc>
          <w:tcPr>
            <w:tcW w:w="2966" w:type="dxa"/>
            <w:vAlign w:val="center"/>
          </w:tcPr>
          <w:p w14:paraId="0C1E44B6">
            <w:pPr>
              <w:tabs>
                <w:tab w:val="left" w:pos="6300"/>
              </w:tabs>
              <w:snapToGrid w:val="0"/>
              <w:spacing w:line="500" w:lineRule="exact"/>
              <w:jc w:val="center"/>
              <w:outlineLvl w:val="0"/>
              <w:rPr>
                <w:rFonts w:ascii="宋体" w:hAnsi="宋体" w:cs="宋体"/>
                <w:color w:val="auto"/>
                <w:sz w:val="21"/>
                <w:szCs w:val="21"/>
                <w:highlight w:val="none"/>
              </w:rPr>
            </w:pPr>
          </w:p>
        </w:tc>
        <w:tc>
          <w:tcPr>
            <w:tcW w:w="3079" w:type="dxa"/>
            <w:vAlign w:val="center"/>
          </w:tcPr>
          <w:p w14:paraId="3086E1A4">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77F63AA1">
            <w:pPr>
              <w:tabs>
                <w:tab w:val="left" w:pos="6300"/>
              </w:tabs>
              <w:snapToGrid w:val="0"/>
              <w:spacing w:line="500" w:lineRule="exact"/>
              <w:jc w:val="center"/>
              <w:outlineLvl w:val="0"/>
              <w:rPr>
                <w:rFonts w:ascii="宋体" w:hAnsi="宋体" w:cs="宋体"/>
                <w:color w:val="auto"/>
                <w:sz w:val="21"/>
                <w:szCs w:val="21"/>
                <w:highlight w:val="none"/>
              </w:rPr>
            </w:pPr>
          </w:p>
        </w:tc>
      </w:tr>
    </w:tbl>
    <w:p w14:paraId="19CD04D9">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3C2DC118">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D884F91">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2F79470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3C3E4C5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947F93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项目服务需求”中所列条款进行比较和响应，文字与格式自拟；</w:t>
      </w:r>
    </w:p>
    <w:p w14:paraId="0D1DACE7">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2.本表可扩展。</w:t>
      </w:r>
    </w:p>
    <w:p w14:paraId="2CFFEFEA">
      <w:pPr>
        <w:tabs>
          <w:tab w:val="left" w:pos="6300"/>
        </w:tabs>
        <w:snapToGrid w:val="0"/>
        <w:spacing w:line="400" w:lineRule="exact"/>
        <w:ind w:firstLine="560" w:firstLineChars="200"/>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 w:val="24"/>
          <w:szCs w:val="24"/>
          <w:highlight w:val="none"/>
        </w:rPr>
        <w:t>（二）其他资料（格式自定）</w:t>
      </w:r>
    </w:p>
    <w:p w14:paraId="433C553D">
      <w:pPr>
        <w:pStyle w:val="4"/>
        <w:adjustRightInd w:val="0"/>
        <w:snapToGrid w:val="0"/>
        <w:spacing w:before="0" w:after="0" w:line="400" w:lineRule="exact"/>
        <w:ind w:firstLine="640" w:firstLineChars="200"/>
        <w:rPr>
          <w:rFonts w:ascii="宋体" w:hAnsi="宋体" w:eastAsia="宋体" w:cs="宋体"/>
          <w:color w:val="auto"/>
          <w:sz w:val="24"/>
          <w:highlight w:val="none"/>
        </w:rPr>
      </w:pPr>
      <w:r>
        <w:rPr>
          <w:rFonts w:hint="eastAsia" w:ascii="宋体" w:hAnsi="宋体" w:eastAsia="宋体" w:cs="宋体"/>
          <w:b w:val="0"/>
          <w:color w:val="auto"/>
          <w:highlight w:val="none"/>
        </w:rPr>
        <w:br w:type="page"/>
      </w:r>
      <w:bookmarkStart w:id="192" w:name="_Toc342913421"/>
      <w:bookmarkStart w:id="193" w:name="_Toc313888362"/>
      <w:bookmarkStart w:id="194" w:name="_Toc76462352"/>
      <w:bookmarkStart w:id="195" w:name="_Toc313008358"/>
      <w:bookmarkStart w:id="196" w:name="_Toc106030908"/>
      <w:r>
        <w:rPr>
          <w:rFonts w:hint="eastAsia" w:ascii="宋体" w:hAnsi="宋体" w:eastAsia="宋体" w:cs="宋体"/>
          <w:color w:val="auto"/>
          <w:sz w:val="24"/>
          <w:highlight w:val="none"/>
        </w:rPr>
        <w:t>三、商务部分</w:t>
      </w:r>
      <w:bookmarkEnd w:id="192"/>
      <w:bookmarkEnd w:id="193"/>
      <w:bookmarkEnd w:id="194"/>
      <w:bookmarkEnd w:id="195"/>
      <w:bookmarkEnd w:id="196"/>
    </w:p>
    <w:p w14:paraId="0CE06B7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490F69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D643DF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438"/>
        <w:gridCol w:w="2175"/>
        <w:gridCol w:w="2355"/>
      </w:tblGrid>
      <w:tr w14:paraId="5F26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1236188">
            <w:pPr>
              <w:snapToGrid w:val="0"/>
              <w:spacing w:line="360" w:lineRule="auto"/>
              <w:ind w:firstLine="465"/>
              <w:rPr>
                <w:rFonts w:ascii="宋体" w:hAnsi="宋体" w:cs="宋体"/>
                <w:color w:val="auto"/>
                <w:sz w:val="21"/>
                <w:szCs w:val="24"/>
                <w:highlight w:val="none"/>
              </w:rPr>
            </w:pPr>
            <w:r>
              <w:rPr>
                <w:rFonts w:hint="eastAsia" w:ascii="宋体" w:hAnsi="宋体" w:cs="宋体"/>
                <w:color w:val="auto"/>
                <w:sz w:val="21"/>
                <w:szCs w:val="24"/>
                <w:highlight w:val="none"/>
              </w:rPr>
              <w:t>序号</w:t>
            </w:r>
          </w:p>
        </w:tc>
        <w:tc>
          <w:tcPr>
            <w:tcW w:w="3438" w:type="dxa"/>
            <w:vAlign w:val="center"/>
          </w:tcPr>
          <w:p w14:paraId="48ACBFC4">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175" w:type="dxa"/>
            <w:vAlign w:val="center"/>
          </w:tcPr>
          <w:p w14:paraId="78EB145B">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vAlign w:val="center"/>
          </w:tcPr>
          <w:p w14:paraId="402FDCBA">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422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10" w:type="dxa"/>
            <w:vAlign w:val="center"/>
          </w:tcPr>
          <w:p w14:paraId="7C639769">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1</w:t>
            </w:r>
          </w:p>
        </w:tc>
        <w:tc>
          <w:tcPr>
            <w:tcW w:w="3438" w:type="dxa"/>
            <w:vAlign w:val="center"/>
          </w:tcPr>
          <w:p w14:paraId="3550842B">
            <w:pPr>
              <w:tabs>
                <w:tab w:val="left" w:pos="6300"/>
              </w:tabs>
              <w:snapToGrid w:val="0"/>
              <w:spacing w:line="360" w:lineRule="auto"/>
              <w:outlineLvl w:val="0"/>
              <w:rPr>
                <w:rFonts w:ascii="宋体" w:hAnsi="宋体" w:cs="宋体"/>
                <w:color w:val="auto"/>
                <w:sz w:val="21"/>
                <w:szCs w:val="21"/>
                <w:highlight w:val="none"/>
              </w:rPr>
            </w:pPr>
          </w:p>
          <w:p w14:paraId="1118955B">
            <w:pPr>
              <w:tabs>
                <w:tab w:val="left" w:pos="6300"/>
              </w:tabs>
              <w:snapToGrid w:val="0"/>
              <w:spacing w:line="360" w:lineRule="auto"/>
              <w:outlineLvl w:val="0"/>
              <w:rPr>
                <w:rFonts w:ascii="宋体" w:hAnsi="宋体" w:cs="宋体"/>
                <w:color w:val="auto"/>
                <w:sz w:val="21"/>
                <w:szCs w:val="21"/>
                <w:highlight w:val="none"/>
              </w:rPr>
            </w:pPr>
            <w:r>
              <w:rPr>
                <w:rFonts w:hint="eastAsia" w:ascii="宋体" w:hAnsi="宋体" w:cs="宋体"/>
                <w:color w:val="auto"/>
                <w:sz w:val="21"/>
                <w:szCs w:val="21"/>
                <w:highlight w:val="none"/>
              </w:rPr>
              <w:t>服务时间、服务地点及售验收方式</w:t>
            </w:r>
          </w:p>
          <w:p w14:paraId="3BAF710D">
            <w:pPr>
              <w:tabs>
                <w:tab w:val="left" w:pos="6300"/>
              </w:tabs>
              <w:snapToGrid w:val="0"/>
              <w:spacing w:line="360" w:lineRule="auto"/>
              <w:jc w:val="center"/>
              <w:outlineLvl w:val="0"/>
              <w:rPr>
                <w:rFonts w:ascii="宋体" w:hAnsi="宋体" w:cs="宋体"/>
                <w:color w:val="auto"/>
                <w:sz w:val="21"/>
                <w:szCs w:val="24"/>
                <w:highlight w:val="none"/>
              </w:rPr>
            </w:pPr>
          </w:p>
        </w:tc>
        <w:tc>
          <w:tcPr>
            <w:tcW w:w="2175" w:type="dxa"/>
            <w:vAlign w:val="center"/>
          </w:tcPr>
          <w:p w14:paraId="3F14D7D4">
            <w:pPr>
              <w:tabs>
                <w:tab w:val="left" w:pos="6300"/>
              </w:tabs>
              <w:snapToGrid w:val="0"/>
              <w:spacing w:line="360" w:lineRule="auto"/>
              <w:outlineLvl w:val="0"/>
              <w:rPr>
                <w:rFonts w:ascii="宋体" w:hAnsi="宋体" w:cs="宋体"/>
                <w:color w:val="auto"/>
                <w:sz w:val="21"/>
                <w:szCs w:val="24"/>
                <w:highlight w:val="none"/>
              </w:rPr>
            </w:pPr>
          </w:p>
        </w:tc>
        <w:tc>
          <w:tcPr>
            <w:tcW w:w="2355" w:type="dxa"/>
            <w:vAlign w:val="center"/>
          </w:tcPr>
          <w:p w14:paraId="7D67EBF4">
            <w:pPr>
              <w:tabs>
                <w:tab w:val="left" w:pos="6300"/>
              </w:tabs>
              <w:snapToGrid w:val="0"/>
              <w:spacing w:line="360" w:lineRule="auto"/>
              <w:jc w:val="center"/>
              <w:outlineLvl w:val="0"/>
              <w:rPr>
                <w:rFonts w:ascii="宋体" w:hAnsi="宋体" w:cs="宋体"/>
                <w:color w:val="auto"/>
                <w:sz w:val="21"/>
                <w:szCs w:val="24"/>
                <w:highlight w:val="none"/>
              </w:rPr>
            </w:pPr>
          </w:p>
        </w:tc>
      </w:tr>
      <w:tr w14:paraId="7599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263D96">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2</w:t>
            </w:r>
          </w:p>
        </w:tc>
        <w:tc>
          <w:tcPr>
            <w:tcW w:w="3438" w:type="dxa"/>
            <w:vAlign w:val="center"/>
          </w:tcPr>
          <w:p w14:paraId="4A9B4853">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报价要求</w:t>
            </w:r>
          </w:p>
        </w:tc>
        <w:tc>
          <w:tcPr>
            <w:tcW w:w="2175" w:type="dxa"/>
            <w:vAlign w:val="center"/>
          </w:tcPr>
          <w:p w14:paraId="1425A965">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1981BA7B">
            <w:pPr>
              <w:tabs>
                <w:tab w:val="left" w:pos="6300"/>
              </w:tabs>
              <w:snapToGrid w:val="0"/>
              <w:spacing w:line="360" w:lineRule="auto"/>
              <w:jc w:val="center"/>
              <w:outlineLvl w:val="0"/>
              <w:rPr>
                <w:rFonts w:ascii="宋体" w:hAnsi="宋体" w:cs="宋体"/>
                <w:color w:val="auto"/>
                <w:sz w:val="21"/>
                <w:szCs w:val="24"/>
                <w:highlight w:val="none"/>
              </w:rPr>
            </w:pPr>
          </w:p>
        </w:tc>
      </w:tr>
      <w:tr w14:paraId="0E00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5690CC">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3</w:t>
            </w:r>
          </w:p>
        </w:tc>
        <w:tc>
          <w:tcPr>
            <w:tcW w:w="3438" w:type="dxa"/>
            <w:vAlign w:val="center"/>
          </w:tcPr>
          <w:p w14:paraId="2EE57C54">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付款方式</w:t>
            </w:r>
          </w:p>
        </w:tc>
        <w:tc>
          <w:tcPr>
            <w:tcW w:w="2175" w:type="dxa"/>
            <w:vAlign w:val="center"/>
          </w:tcPr>
          <w:p w14:paraId="37043252">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1298B137">
            <w:pPr>
              <w:tabs>
                <w:tab w:val="left" w:pos="6300"/>
              </w:tabs>
              <w:snapToGrid w:val="0"/>
              <w:spacing w:line="360" w:lineRule="auto"/>
              <w:jc w:val="center"/>
              <w:outlineLvl w:val="0"/>
              <w:rPr>
                <w:rFonts w:ascii="宋体" w:hAnsi="宋体" w:cs="宋体"/>
                <w:color w:val="auto"/>
                <w:sz w:val="21"/>
                <w:szCs w:val="24"/>
                <w:highlight w:val="none"/>
              </w:rPr>
            </w:pPr>
          </w:p>
        </w:tc>
      </w:tr>
      <w:tr w14:paraId="41E8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C4821A">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4</w:t>
            </w:r>
          </w:p>
        </w:tc>
        <w:tc>
          <w:tcPr>
            <w:tcW w:w="3438" w:type="dxa"/>
            <w:vAlign w:val="center"/>
          </w:tcPr>
          <w:p w14:paraId="3190786D">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其他商务要求内容</w:t>
            </w:r>
          </w:p>
        </w:tc>
        <w:tc>
          <w:tcPr>
            <w:tcW w:w="2175" w:type="dxa"/>
            <w:vAlign w:val="center"/>
          </w:tcPr>
          <w:p w14:paraId="7AB1E939">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5444B602">
            <w:pPr>
              <w:tabs>
                <w:tab w:val="left" w:pos="6300"/>
              </w:tabs>
              <w:snapToGrid w:val="0"/>
              <w:spacing w:line="360" w:lineRule="auto"/>
              <w:jc w:val="center"/>
              <w:outlineLvl w:val="0"/>
              <w:rPr>
                <w:rFonts w:ascii="宋体" w:hAnsi="宋体" w:cs="宋体"/>
                <w:color w:val="auto"/>
                <w:sz w:val="21"/>
                <w:szCs w:val="24"/>
                <w:highlight w:val="none"/>
              </w:rPr>
            </w:pPr>
          </w:p>
        </w:tc>
      </w:tr>
      <w:tr w14:paraId="273C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A4FF6C">
            <w:pPr>
              <w:tabs>
                <w:tab w:val="left" w:pos="6300"/>
              </w:tabs>
              <w:snapToGrid w:val="0"/>
              <w:spacing w:line="360" w:lineRule="auto"/>
              <w:jc w:val="center"/>
              <w:outlineLvl w:val="0"/>
              <w:rPr>
                <w:rFonts w:ascii="宋体" w:hAnsi="宋体" w:cs="宋体"/>
                <w:color w:val="auto"/>
                <w:sz w:val="21"/>
                <w:szCs w:val="24"/>
                <w:highlight w:val="none"/>
              </w:rPr>
            </w:pPr>
          </w:p>
        </w:tc>
        <w:tc>
          <w:tcPr>
            <w:tcW w:w="3438" w:type="dxa"/>
            <w:vAlign w:val="center"/>
          </w:tcPr>
          <w:p w14:paraId="236ED3DD">
            <w:pPr>
              <w:tabs>
                <w:tab w:val="left" w:pos="6300"/>
              </w:tabs>
              <w:snapToGrid w:val="0"/>
              <w:spacing w:line="360" w:lineRule="auto"/>
              <w:jc w:val="center"/>
              <w:outlineLvl w:val="0"/>
              <w:rPr>
                <w:rFonts w:ascii="宋体" w:hAnsi="宋体" w:cs="宋体"/>
                <w:color w:val="auto"/>
                <w:sz w:val="21"/>
                <w:szCs w:val="24"/>
                <w:highlight w:val="none"/>
              </w:rPr>
            </w:pPr>
          </w:p>
        </w:tc>
        <w:tc>
          <w:tcPr>
            <w:tcW w:w="2175" w:type="dxa"/>
            <w:vAlign w:val="center"/>
          </w:tcPr>
          <w:p w14:paraId="12AABAE3">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66BED213">
            <w:pPr>
              <w:tabs>
                <w:tab w:val="left" w:pos="6300"/>
              </w:tabs>
              <w:snapToGrid w:val="0"/>
              <w:spacing w:line="360" w:lineRule="auto"/>
              <w:jc w:val="center"/>
              <w:outlineLvl w:val="0"/>
              <w:rPr>
                <w:rFonts w:ascii="宋体" w:hAnsi="宋体" w:cs="宋体"/>
                <w:color w:val="auto"/>
                <w:sz w:val="21"/>
                <w:szCs w:val="24"/>
                <w:highlight w:val="none"/>
              </w:rPr>
            </w:pPr>
          </w:p>
        </w:tc>
      </w:tr>
      <w:tr w14:paraId="0E8E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CFAB6C">
            <w:pPr>
              <w:tabs>
                <w:tab w:val="left" w:pos="6300"/>
              </w:tabs>
              <w:snapToGrid w:val="0"/>
              <w:spacing w:line="360" w:lineRule="auto"/>
              <w:jc w:val="center"/>
              <w:outlineLvl w:val="0"/>
              <w:rPr>
                <w:rFonts w:ascii="宋体" w:hAnsi="宋体" w:cs="宋体"/>
                <w:color w:val="auto"/>
                <w:sz w:val="21"/>
                <w:szCs w:val="24"/>
                <w:highlight w:val="none"/>
              </w:rPr>
            </w:pPr>
          </w:p>
        </w:tc>
        <w:tc>
          <w:tcPr>
            <w:tcW w:w="3438" w:type="dxa"/>
            <w:vAlign w:val="center"/>
          </w:tcPr>
          <w:p w14:paraId="1551F368">
            <w:pPr>
              <w:tabs>
                <w:tab w:val="left" w:pos="6300"/>
              </w:tabs>
              <w:snapToGrid w:val="0"/>
              <w:spacing w:line="360" w:lineRule="auto"/>
              <w:jc w:val="center"/>
              <w:outlineLvl w:val="0"/>
              <w:rPr>
                <w:rFonts w:ascii="宋体" w:hAnsi="宋体" w:cs="宋体"/>
                <w:color w:val="auto"/>
                <w:sz w:val="21"/>
                <w:szCs w:val="24"/>
                <w:highlight w:val="none"/>
              </w:rPr>
            </w:pPr>
          </w:p>
        </w:tc>
        <w:tc>
          <w:tcPr>
            <w:tcW w:w="2175" w:type="dxa"/>
            <w:vAlign w:val="center"/>
          </w:tcPr>
          <w:p w14:paraId="7E9DF2E3">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7C434E89">
            <w:pPr>
              <w:tabs>
                <w:tab w:val="left" w:pos="6300"/>
              </w:tabs>
              <w:snapToGrid w:val="0"/>
              <w:spacing w:line="360" w:lineRule="auto"/>
              <w:jc w:val="center"/>
              <w:outlineLvl w:val="0"/>
              <w:rPr>
                <w:rFonts w:ascii="宋体" w:hAnsi="宋体" w:cs="宋体"/>
                <w:color w:val="auto"/>
                <w:sz w:val="21"/>
                <w:szCs w:val="24"/>
                <w:highlight w:val="none"/>
              </w:rPr>
            </w:pPr>
          </w:p>
        </w:tc>
      </w:tr>
    </w:tbl>
    <w:p w14:paraId="1DF2B3A5">
      <w:pPr>
        <w:snapToGrid w:val="0"/>
        <w:spacing w:line="360" w:lineRule="auto"/>
        <w:ind w:firstLine="465"/>
        <w:rPr>
          <w:rFonts w:ascii="宋体" w:hAnsi="宋体" w:cs="宋体"/>
          <w:color w:val="auto"/>
          <w:sz w:val="24"/>
          <w:szCs w:val="24"/>
          <w:highlight w:val="none"/>
        </w:rPr>
      </w:pPr>
    </w:p>
    <w:p w14:paraId="221C2441">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759FA049">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194E265D">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675B524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74133EA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AE520D9">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项目商务需求”中所列条款进行比较和响应，文字与格式自拟；</w:t>
      </w:r>
    </w:p>
    <w:p w14:paraId="108FABE4">
      <w:pPr>
        <w:snapToGrid w:val="0"/>
        <w:spacing w:line="400" w:lineRule="exact"/>
        <w:ind w:firstLine="480" w:firstLineChars="200"/>
        <w:rPr>
          <w:rFonts w:ascii="宋体" w:hAnsi="宋体" w:cs="宋体"/>
          <w:b/>
          <w:color w:val="auto"/>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highlight w:val="none"/>
        </w:rPr>
        <w:t>2.本表可扩展。</w:t>
      </w:r>
    </w:p>
    <w:p w14:paraId="214A8ED3">
      <w:pPr>
        <w:snapToGrid w:val="0"/>
        <w:spacing w:line="400" w:lineRule="exact"/>
        <w:ind w:firstLine="480" w:firstLineChars="200"/>
        <w:rPr>
          <w:rFonts w:ascii="宋体" w:hAnsi="宋体" w:cs="宋体"/>
          <w:color w:val="auto"/>
          <w:sz w:val="24"/>
          <w:szCs w:val="24"/>
          <w:highlight w:val="none"/>
        </w:rPr>
      </w:pPr>
      <w:bookmarkStart w:id="197" w:name="_Toc283382459"/>
      <w:r>
        <w:rPr>
          <w:rFonts w:hint="eastAsia" w:ascii="宋体" w:hAnsi="宋体" w:cs="宋体"/>
          <w:color w:val="auto"/>
          <w:sz w:val="24"/>
          <w:szCs w:val="24"/>
          <w:highlight w:val="none"/>
        </w:rPr>
        <w:t>（二）其它承诺（格式自定）</w:t>
      </w:r>
    </w:p>
    <w:p w14:paraId="14786320">
      <w:pPr>
        <w:snapToGrid w:val="0"/>
        <w:spacing w:line="400" w:lineRule="exact"/>
        <w:ind w:firstLine="480" w:firstLineChars="200"/>
        <w:rPr>
          <w:rFonts w:ascii="宋体" w:hAnsi="宋体" w:cs="宋体"/>
          <w:color w:val="auto"/>
          <w:sz w:val="24"/>
          <w:szCs w:val="24"/>
          <w:highlight w:val="none"/>
        </w:rPr>
      </w:pPr>
    </w:p>
    <w:p w14:paraId="50F2B9A0">
      <w:pPr>
        <w:pStyle w:val="4"/>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97"/>
      <w:bookmarkStart w:id="198" w:name="_Toc106030909"/>
      <w:bookmarkStart w:id="199" w:name="_Toc313888363"/>
      <w:bookmarkStart w:id="200" w:name="_Toc313008359"/>
      <w:bookmarkStart w:id="201" w:name="_Toc342913422"/>
      <w:bookmarkStart w:id="202" w:name="_Toc76462353"/>
      <w:r>
        <w:rPr>
          <w:rFonts w:hint="eastAsia" w:ascii="宋体" w:hAnsi="宋体" w:eastAsia="宋体" w:cs="宋体"/>
          <w:color w:val="auto"/>
          <w:sz w:val="24"/>
          <w:highlight w:val="none"/>
        </w:rPr>
        <w:t>四、资格条件</w:t>
      </w:r>
      <w:bookmarkEnd w:id="198"/>
      <w:bookmarkEnd w:id="199"/>
      <w:bookmarkEnd w:id="200"/>
      <w:bookmarkEnd w:id="201"/>
      <w:bookmarkEnd w:id="202"/>
    </w:p>
    <w:p w14:paraId="565CB7EC">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2902054">
      <w:pPr>
        <w:tabs>
          <w:tab w:val="left" w:pos="6300"/>
        </w:tabs>
        <w:snapToGrid w:val="0"/>
        <w:spacing w:line="400" w:lineRule="exact"/>
        <w:ind w:firstLine="570"/>
        <w:rPr>
          <w:rFonts w:ascii="宋体" w:hAnsi="宋体" w:cs="宋体"/>
          <w:color w:val="auto"/>
          <w:highlight w:val="none"/>
        </w:rPr>
      </w:pPr>
    </w:p>
    <w:p w14:paraId="3FEE25A5">
      <w:pPr>
        <w:tabs>
          <w:tab w:val="left" w:pos="6300"/>
        </w:tabs>
        <w:snapToGrid w:val="0"/>
        <w:spacing w:line="500" w:lineRule="exact"/>
        <w:ind w:firstLine="570"/>
        <w:rPr>
          <w:rFonts w:ascii="宋体" w:hAnsi="宋体" w:cs="宋体"/>
          <w:color w:val="auto"/>
          <w:highlight w:val="none"/>
        </w:rPr>
      </w:pPr>
    </w:p>
    <w:p w14:paraId="193E03F6">
      <w:pPr>
        <w:tabs>
          <w:tab w:val="left" w:pos="6300"/>
        </w:tabs>
        <w:snapToGrid w:val="0"/>
        <w:spacing w:line="500" w:lineRule="exact"/>
        <w:ind w:firstLine="570"/>
        <w:rPr>
          <w:rFonts w:ascii="宋体" w:hAnsi="宋体" w:cs="宋体"/>
          <w:color w:val="auto"/>
          <w:highlight w:val="none"/>
        </w:rPr>
      </w:pPr>
    </w:p>
    <w:p w14:paraId="70CF037D">
      <w:pPr>
        <w:tabs>
          <w:tab w:val="left" w:pos="6300"/>
        </w:tabs>
        <w:snapToGrid w:val="0"/>
        <w:spacing w:line="500" w:lineRule="exact"/>
        <w:ind w:firstLine="570"/>
        <w:rPr>
          <w:rFonts w:ascii="宋体" w:hAnsi="宋体" w:cs="宋体"/>
          <w:color w:val="auto"/>
          <w:highlight w:val="none"/>
        </w:rPr>
      </w:pPr>
    </w:p>
    <w:p w14:paraId="0B6DAFC2">
      <w:pPr>
        <w:tabs>
          <w:tab w:val="left" w:pos="6300"/>
        </w:tabs>
        <w:snapToGrid w:val="0"/>
        <w:spacing w:line="500" w:lineRule="exact"/>
        <w:ind w:firstLine="570"/>
        <w:rPr>
          <w:rFonts w:ascii="宋体" w:hAnsi="宋体" w:cs="宋体"/>
          <w:color w:val="auto"/>
          <w:highlight w:val="none"/>
        </w:rPr>
      </w:pPr>
    </w:p>
    <w:p w14:paraId="023A5C0C">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480F0FE6">
      <w:pPr>
        <w:tabs>
          <w:tab w:val="left" w:pos="6300"/>
        </w:tabs>
        <w:snapToGrid w:val="0"/>
        <w:spacing w:line="500" w:lineRule="exact"/>
        <w:ind w:firstLine="570"/>
        <w:rPr>
          <w:rFonts w:ascii="宋体" w:hAnsi="宋体" w:cs="宋体"/>
          <w:color w:val="auto"/>
          <w:sz w:val="24"/>
          <w:highlight w:val="none"/>
        </w:rPr>
      </w:pPr>
    </w:p>
    <w:p w14:paraId="6EC8D6C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64925D8C">
      <w:pPr>
        <w:tabs>
          <w:tab w:val="left" w:pos="6300"/>
        </w:tabs>
        <w:snapToGrid w:val="0"/>
        <w:spacing w:line="500" w:lineRule="exact"/>
        <w:ind w:firstLine="570"/>
        <w:rPr>
          <w:rFonts w:ascii="宋体" w:hAnsi="宋体" w:cs="宋体"/>
          <w:color w:val="auto"/>
          <w:sz w:val="24"/>
          <w:highlight w:val="none"/>
        </w:rPr>
      </w:pPr>
    </w:p>
    <w:p w14:paraId="1D02A551">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4FB4473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FD1BBC7">
      <w:pPr>
        <w:tabs>
          <w:tab w:val="left" w:pos="6300"/>
        </w:tabs>
        <w:snapToGrid w:val="0"/>
        <w:spacing w:line="500" w:lineRule="exact"/>
        <w:ind w:firstLine="570"/>
        <w:rPr>
          <w:rFonts w:ascii="宋体" w:hAnsi="宋体" w:cs="宋体"/>
          <w:color w:val="auto"/>
          <w:sz w:val="24"/>
          <w:highlight w:val="none"/>
        </w:rPr>
      </w:pPr>
    </w:p>
    <w:p w14:paraId="6E03F9D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21439654">
      <w:pPr>
        <w:tabs>
          <w:tab w:val="left" w:pos="6300"/>
        </w:tabs>
        <w:snapToGrid w:val="0"/>
        <w:spacing w:line="500" w:lineRule="exact"/>
        <w:ind w:firstLine="570"/>
        <w:rPr>
          <w:rFonts w:ascii="宋体" w:hAnsi="宋体" w:cs="宋体"/>
          <w:color w:val="auto"/>
          <w:sz w:val="24"/>
          <w:highlight w:val="none"/>
        </w:rPr>
      </w:pPr>
    </w:p>
    <w:p w14:paraId="34CD594B">
      <w:pPr>
        <w:tabs>
          <w:tab w:val="left" w:pos="6300"/>
        </w:tabs>
        <w:snapToGrid w:val="0"/>
        <w:spacing w:line="500" w:lineRule="exact"/>
        <w:ind w:firstLine="570"/>
        <w:rPr>
          <w:rFonts w:ascii="宋体" w:hAnsi="宋体" w:cs="宋体"/>
          <w:color w:val="auto"/>
          <w:sz w:val="24"/>
          <w:highlight w:val="none"/>
        </w:rPr>
      </w:pPr>
    </w:p>
    <w:p w14:paraId="53C70189">
      <w:pPr>
        <w:tabs>
          <w:tab w:val="left" w:pos="6300"/>
        </w:tabs>
        <w:snapToGrid w:val="0"/>
        <w:spacing w:line="500" w:lineRule="exact"/>
        <w:ind w:firstLine="570"/>
        <w:rPr>
          <w:rFonts w:ascii="宋体" w:hAnsi="宋体" w:cs="宋体"/>
          <w:color w:val="auto"/>
          <w:sz w:val="24"/>
          <w:highlight w:val="none"/>
        </w:rPr>
      </w:pPr>
    </w:p>
    <w:p w14:paraId="717E43E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77EC3372">
      <w:pPr>
        <w:tabs>
          <w:tab w:val="left" w:pos="6300"/>
        </w:tabs>
        <w:snapToGrid w:val="0"/>
        <w:spacing w:line="500" w:lineRule="exact"/>
        <w:ind w:firstLine="570"/>
        <w:rPr>
          <w:rFonts w:ascii="宋体" w:hAnsi="宋体" w:cs="宋体"/>
          <w:color w:val="auto"/>
          <w:sz w:val="24"/>
          <w:highlight w:val="none"/>
        </w:rPr>
      </w:pPr>
    </w:p>
    <w:p w14:paraId="6232E01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2B6B53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6E18EEA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42145706">
      <w:pPr>
        <w:tabs>
          <w:tab w:val="left" w:pos="6300"/>
        </w:tabs>
        <w:snapToGrid w:val="0"/>
        <w:spacing w:line="500" w:lineRule="exact"/>
        <w:ind w:firstLine="570"/>
        <w:rPr>
          <w:rFonts w:ascii="宋体" w:hAnsi="宋体" w:cs="宋体"/>
          <w:color w:val="auto"/>
          <w:sz w:val="24"/>
          <w:highlight w:val="none"/>
        </w:rPr>
      </w:pPr>
    </w:p>
    <w:p w14:paraId="38CBAE2A">
      <w:pPr>
        <w:tabs>
          <w:tab w:val="left" w:pos="6300"/>
        </w:tabs>
        <w:snapToGrid w:val="0"/>
        <w:spacing w:line="500" w:lineRule="exact"/>
        <w:ind w:firstLine="570"/>
        <w:rPr>
          <w:rFonts w:ascii="宋体" w:hAnsi="宋体" w:cs="宋体"/>
          <w:color w:val="auto"/>
          <w:sz w:val="24"/>
          <w:highlight w:val="none"/>
        </w:rPr>
      </w:pPr>
    </w:p>
    <w:p w14:paraId="21AD70B5">
      <w:pPr>
        <w:tabs>
          <w:tab w:val="left" w:pos="6300"/>
        </w:tabs>
        <w:snapToGrid w:val="0"/>
        <w:spacing w:line="500" w:lineRule="exact"/>
        <w:ind w:firstLine="570"/>
        <w:rPr>
          <w:rFonts w:ascii="宋体" w:hAnsi="宋体" w:cs="宋体"/>
          <w:color w:val="auto"/>
          <w:sz w:val="24"/>
          <w:highlight w:val="none"/>
        </w:rPr>
      </w:pPr>
    </w:p>
    <w:p w14:paraId="2712A58C">
      <w:pPr>
        <w:tabs>
          <w:tab w:val="left" w:pos="6300"/>
        </w:tabs>
        <w:snapToGrid w:val="0"/>
        <w:spacing w:line="500" w:lineRule="exact"/>
        <w:ind w:firstLine="570"/>
        <w:rPr>
          <w:rFonts w:ascii="宋体" w:hAnsi="宋体" w:cs="宋体"/>
          <w:color w:val="auto"/>
          <w:sz w:val="24"/>
          <w:highlight w:val="none"/>
        </w:rPr>
      </w:pPr>
    </w:p>
    <w:p w14:paraId="5848BB8E">
      <w:pPr>
        <w:tabs>
          <w:tab w:val="left" w:pos="6300"/>
        </w:tabs>
        <w:snapToGrid w:val="0"/>
        <w:spacing w:line="500" w:lineRule="exact"/>
        <w:ind w:firstLine="570"/>
        <w:rPr>
          <w:rFonts w:ascii="宋体" w:hAnsi="宋体" w:cs="宋体"/>
          <w:color w:val="auto"/>
          <w:sz w:val="24"/>
          <w:highlight w:val="none"/>
        </w:rPr>
      </w:pPr>
    </w:p>
    <w:p w14:paraId="1195FB7C">
      <w:pPr>
        <w:tabs>
          <w:tab w:val="left" w:pos="6300"/>
        </w:tabs>
        <w:snapToGrid w:val="0"/>
        <w:spacing w:line="500" w:lineRule="exact"/>
        <w:ind w:firstLine="570"/>
        <w:rPr>
          <w:rFonts w:ascii="宋体" w:hAnsi="宋体" w:cs="宋体"/>
          <w:color w:val="auto"/>
          <w:sz w:val="24"/>
          <w:highlight w:val="none"/>
        </w:rPr>
      </w:pPr>
    </w:p>
    <w:p w14:paraId="40AC7B00">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7A8B691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531A955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6D0F6E1">
      <w:pPr>
        <w:tabs>
          <w:tab w:val="left" w:pos="6300"/>
        </w:tabs>
        <w:snapToGrid w:val="0"/>
        <w:spacing w:line="500" w:lineRule="exact"/>
        <w:ind w:firstLine="570"/>
        <w:rPr>
          <w:rFonts w:ascii="宋体" w:hAnsi="宋体" w:cs="宋体"/>
          <w:color w:val="auto"/>
          <w:sz w:val="24"/>
          <w:highlight w:val="none"/>
        </w:rPr>
      </w:pPr>
    </w:p>
    <w:p w14:paraId="24A046E7">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774A1C3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0F12AA0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6518FB3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289C82E">
      <w:pPr>
        <w:tabs>
          <w:tab w:val="left" w:pos="6300"/>
        </w:tabs>
        <w:snapToGrid w:val="0"/>
        <w:spacing w:line="500" w:lineRule="exact"/>
        <w:ind w:firstLine="570"/>
        <w:rPr>
          <w:rFonts w:ascii="宋体" w:hAnsi="宋体" w:cs="宋体"/>
          <w:color w:val="auto"/>
          <w:sz w:val="24"/>
          <w:highlight w:val="none"/>
        </w:rPr>
      </w:pPr>
    </w:p>
    <w:p w14:paraId="77E4B0FE">
      <w:pPr>
        <w:tabs>
          <w:tab w:val="left" w:pos="6300"/>
        </w:tabs>
        <w:snapToGrid w:val="0"/>
        <w:spacing w:line="500" w:lineRule="exact"/>
        <w:ind w:firstLine="570"/>
        <w:rPr>
          <w:rFonts w:ascii="宋体" w:hAnsi="宋体" w:cs="宋体"/>
          <w:color w:val="auto"/>
          <w:sz w:val="24"/>
          <w:highlight w:val="none"/>
        </w:rPr>
      </w:pPr>
    </w:p>
    <w:p w14:paraId="7D10DD0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09707A73">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7E19112D">
      <w:pPr>
        <w:tabs>
          <w:tab w:val="left" w:pos="6300"/>
        </w:tabs>
        <w:snapToGrid w:val="0"/>
        <w:spacing w:line="500" w:lineRule="exact"/>
        <w:ind w:firstLine="570"/>
        <w:rPr>
          <w:rFonts w:ascii="宋体" w:hAnsi="宋体" w:cs="宋体"/>
          <w:color w:val="auto"/>
          <w:sz w:val="24"/>
          <w:szCs w:val="28"/>
          <w:highlight w:val="none"/>
        </w:rPr>
      </w:pPr>
    </w:p>
    <w:p w14:paraId="5C85BC2D">
      <w:pPr>
        <w:tabs>
          <w:tab w:val="left" w:pos="6300"/>
        </w:tabs>
        <w:snapToGrid w:val="0"/>
        <w:spacing w:line="500" w:lineRule="exact"/>
        <w:ind w:firstLine="570"/>
        <w:rPr>
          <w:rFonts w:ascii="宋体" w:hAnsi="宋体" w:cs="宋体"/>
          <w:color w:val="auto"/>
          <w:sz w:val="24"/>
          <w:highlight w:val="none"/>
        </w:rPr>
      </w:pPr>
    </w:p>
    <w:p w14:paraId="2DDB73C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D70743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0600B75C">
      <w:pPr>
        <w:tabs>
          <w:tab w:val="left" w:pos="6300"/>
        </w:tabs>
        <w:snapToGrid w:val="0"/>
        <w:spacing w:line="500" w:lineRule="exact"/>
        <w:ind w:firstLine="570"/>
        <w:rPr>
          <w:rFonts w:ascii="宋体" w:hAnsi="宋体" w:cs="宋体"/>
          <w:color w:val="auto"/>
          <w:sz w:val="24"/>
          <w:highlight w:val="none"/>
        </w:rPr>
      </w:pPr>
    </w:p>
    <w:p w14:paraId="3B319FF7">
      <w:pPr>
        <w:tabs>
          <w:tab w:val="left" w:pos="6300"/>
        </w:tabs>
        <w:snapToGrid w:val="0"/>
        <w:spacing w:line="500" w:lineRule="exact"/>
        <w:ind w:firstLine="570"/>
        <w:rPr>
          <w:rFonts w:ascii="宋体" w:hAnsi="宋体" w:cs="宋体"/>
          <w:color w:val="auto"/>
          <w:sz w:val="24"/>
          <w:highlight w:val="none"/>
        </w:rPr>
      </w:pPr>
    </w:p>
    <w:p w14:paraId="3E2F1FA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73A3155B">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06E0CD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57BCC58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38D3BC8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71BD99B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2.若为联合体参与的，法定代表人授权委托书由联合体主办方</w:t>
      </w:r>
      <w:r>
        <w:rPr>
          <w:rFonts w:hint="eastAsia" w:ascii="宋体" w:hAnsi="宋体" w:cs="宋体"/>
          <w:color w:val="auto"/>
          <w:kern w:val="0"/>
          <w:sz w:val="24"/>
          <w:szCs w:val="24"/>
          <w:highlight w:val="none"/>
        </w:rPr>
        <w:t>（主体）</w:t>
      </w:r>
      <w:r>
        <w:rPr>
          <w:rFonts w:hint="eastAsia" w:ascii="宋体" w:hAnsi="宋体" w:cs="宋体"/>
          <w:color w:val="auto"/>
          <w:sz w:val="24"/>
          <w:highlight w:val="none"/>
        </w:rPr>
        <w:t>出具。</w:t>
      </w:r>
    </w:p>
    <w:p w14:paraId="160B7ED4">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2B4E886B">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0F697B6F">
      <w:pPr>
        <w:tabs>
          <w:tab w:val="left" w:pos="6300"/>
        </w:tabs>
        <w:snapToGrid w:val="0"/>
        <w:spacing w:line="530" w:lineRule="exact"/>
        <w:rPr>
          <w:rFonts w:ascii="宋体" w:hAnsi="宋体" w:cs="宋体"/>
          <w:color w:val="auto"/>
          <w:sz w:val="24"/>
          <w:highlight w:val="none"/>
        </w:rPr>
      </w:pPr>
    </w:p>
    <w:p w14:paraId="4E74881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77A1D0D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1E3419E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21D86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2.我方未列入在信用中国网站（www.creditchina.gov.cn）“失信被执行人”、“重大税收违法失信主体”中，也未列入中国政府采购网（www.ccgp.gov.cn）“政府采购严重违法失信行为记录名单”中。</w:t>
      </w:r>
    </w:p>
    <w:p w14:paraId="323CFB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3.我方在采购项目评审（评标）环节结束后，随时接受采购人、采购代理机构的检查验证，配合提供相关证明材料，证明符合磋商文件规定的供应商基本资格条件。</w:t>
      </w:r>
    </w:p>
    <w:p w14:paraId="43665AA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1E5872C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5FD2316F">
      <w:pPr>
        <w:tabs>
          <w:tab w:val="left" w:pos="6300"/>
        </w:tabs>
        <w:snapToGrid w:val="0"/>
        <w:spacing w:line="500" w:lineRule="exact"/>
        <w:ind w:firstLine="480" w:firstLineChars="200"/>
        <w:rPr>
          <w:rFonts w:ascii="宋体" w:hAnsi="宋体" w:cs="宋体"/>
          <w:color w:val="auto"/>
          <w:sz w:val="24"/>
          <w:highlight w:val="none"/>
        </w:rPr>
      </w:pPr>
    </w:p>
    <w:p w14:paraId="1F3FEEC1">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613DEB98">
      <w:pPr>
        <w:tabs>
          <w:tab w:val="left" w:pos="6300"/>
        </w:tabs>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43D26251">
      <w:pPr>
        <w:snapToGrid w:val="0"/>
        <w:spacing w:line="400" w:lineRule="exact"/>
        <w:ind w:firstLine="56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highlight w:val="none"/>
        </w:rPr>
        <w:br w:type="page"/>
      </w:r>
    </w:p>
    <w:p w14:paraId="5786C102">
      <w:pPr>
        <w:tabs>
          <w:tab w:val="left" w:pos="6300"/>
        </w:tabs>
        <w:snapToGrid w:val="0"/>
        <w:spacing w:line="400" w:lineRule="exact"/>
        <w:ind w:firstLine="480" w:firstLineChars="200"/>
        <w:rPr>
          <w:rFonts w:ascii="宋体" w:hAnsi="宋体" w:cs="宋体"/>
          <w:color w:val="auto"/>
          <w:sz w:val="24"/>
          <w:szCs w:val="24"/>
          <w:highlight w:val="none"/>
        </w:rPr>
      </w:pPr>
    </w:p>
    <w:p w14:paraId="7917D48B">
      <w:pPr>
        <w:pStyle w:val="4"/>
        <w:adjustRightInd w:val="0"/>
        <w:snapToGrid w:val="0"/>
        <w:spacing w:before="0" w:after="0" w:line="400" w:lineRule="exact"/>
        <w:ind w:firstLine="0" w:firstLineChars="0"/>
        <w:rPr>
          <w:rFonts w:ascii="宋体" w:hAnsi="宋体" w:eastAsia="宋体" w:cs="宋体"/>
          <w:color w:val="auto"/>
          <w:sz w:val="24"/>
          <w:highlight w:val="none"/>
        </w:rPr>
      </w:pPr>
      <w:bookmarkStart w:id="203" w:name="_Toc76462354"/>
      <w:bookmarkStart w:id="204" w:name="_Toc106030910"/>
      <w:r>
        <w:rPr>
          <w:rFonts w:hint="eastAsia" w:ascii="宋体" w:hAnsi="宋体" w:eastAsia="宋体" w:cs="宋体"/>
          <w:color w:val="auto"/>
          <w:sz w:val="24"/>
          <w:highlight w:val="none"/>
        </w:rPr>
        <w:t>五、其他资料</w:t>
      </w:r>
      <w:bookmarkEnd w:id="203"/>
      <w:bookmarkEnd w:id="204"/>
    </w:p>
    <w:p w14:paraId="1002299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w:t>
      </w:r>
    </w:p>
    <w:p w14:paraId="53817073">
      <w:pPr>
        <w:spacing w:line="360" w:lineRule="auto"/>
        <w:ind w:firstLine="480" w:firstLineChars="200"/>
        <w:rPr>
          <w:rFonts w:ascii="宋体" w:hAnsi="宋体" w:cs="宋体"/>
          <w:color w:val="auto"/>
          <w:sz w:val="24"/>
          <w:szCs w:val="24"/>
          <w:highlight w:val="none"/>
        </w:rPr>
      </w:pPr>
    </w:p>
    <w:p w14:paraId="3DD1A283">
      <w:pPr>
        <w:spacing w:line="360" w:lineRule="auto"/>
        <w:ind w:firstLine="480" w:firstLineChars="200"/>
        <w:jc w:val="center"/>
        <w:rPr>
          <w:rFonts w:ascii="宋体" w:hAnsi="宋体" w:cs="宋体"/>
          <w:color w:val="auto"/>
          <w:sz w:val="24"/>
          <w:szCs w:val="24"/>
          <w:highlight w:val="none"/>
        </w:rPr>
      </w:pPr>
    </w:p>
    <w:p w14:paraId="2EBE0E8D">
      <w:pPr>
        <w:spacing w:line="360" w:lineRule="auto"/>
        <w:ind w:firstLine="480" w:firstLineChars="200"/>
        <w:jc w:val="center"/>
        <w:rPr>
          <w:rFonts w:ascii="宋体" w:hAnsi="宋体" w:cs="宋体"/>
          <w:color w:val="auto"/>
          <w:sz w:val="24"/>
          <w:szCs w:val="24"/>
          <w:highlight w:val="none"/>
        </w:rPr>
      </w:pPr>
    </w:p>
    <w:p w14:paraId="137DEEB6">
      <w:pPr>
        <w:spacing w:line="360" w:lineRule="auto"/>
        <w:ind w:firstLine="480" w:firstLineChars="200"/>
        <w:jc w:val="center"/>
        <w:rPr>
          <w:rFonts w:ascii="宋体" w:hAnsi="宋体" w:cs="宋体"/>
          <w:color w:val="auto"/>
          <w:sz w:val="24"/>
          <w:szCs w:val="24"/>
          <w:highlight w:val="none"/>
        </w:rPr>
      </w:pPr>
    </w:p>
    <w:p w14:paraId="30E09045">
      <w:pPr>
        <w:spacing w:line="360" w:lineRule="auto"/>
        <w:ind w:firstLine="480" w:firstLineChars="200"/>
        <w:jc w:val="center"/>
        <w:rPr>
          <w:rFonts w:ascii="宋体" w:hAnsi="宋体" w:cs="宋体"/>
          <w:color w:val="auto"/>
          <w:sz w:val="24"/>
          <w:szCs w:val="24"/>
          <w:highlight w:val="none"/>
        </w:rPr>
      </w:pPr>
    </w:p>
    <w:p w14:paraId="1ABD251A">
      <w:pPr>
        <w:spacing w:line="360" w:lineRule="auto"/>
        <w:ind w:firstLine="480" w:firstLineChars="200"/>
        <w:jc w:val="center"/>
        <w:rPr>
          <w:rFonts w:ascii="宋体" w:hAnsi="宋体" w:cs="宋体"/>
          <w:color w:val="auto"/>
          <w:sz w:val="24"/>
          <w:szCs w:val="24"/>
          <w:highlight w:val="none"/>
        </w:rPr>
      </w:pPr>
    </w:p>
    <w:p w14:paraId="7024E987">
      <w:pPr>
        <w:spacing w:line="360" w:lineRule="auto"/>
        <w:ind w:firstLine="480" w:firstLineChars="200"/>
        <w:jc w:val="center"/>
        <w:rPr>
          <w:rFonts w:ascii="宋体" w:hAnsi="宋体" w:cs="宋体"/>
          <w:color w:val="auto"/>
          <w:sz w:val="24"/>
          <w:szCs w:val="24"/>
          <w:highlight w:val="none"/>
        </w:rPr>
      </w:pPr>
    </w:p>
    <w:p w14:paraId="4A719F39">
      <w:pPr>
        <w:spacing w:line="360" w:lineRule="auto"/>
        <w:ind w:firstLine="480" w:firstLineChars="200"/>
        <w:jc w:val="center"/>
        <w:rPr>
          <w:rFonts w:ascii="宋体" w:hAnsi="宋体" w:cs="宋体"/>
          <w:color w:val="auto"/>
          <w:sz w:val="24"/>
          <w:szCs w:val="24"/>
          <w:highlight w:val="none"/>
        </w:rPr>
      </w:pPr>
    </w:p>
    <w:p w14:paraId="078CD9D0">
      <w:pPr>
        <w:spacing w:line="360" w:lineRule="auto"/>
        <w:ind w:firstLine="480" w:firstLineChars="200"/>
        <w:jc w:val="center"/>
        <w:rPr>
          <w:rFonts w:ascii="宋体" w:hAnsi="宋体" w:cs="宋体"/>
          <w:color w:val="auto"/>
          <w:sz w:val="24"/>
          <w:szCs w:val="24"/>
          <w:highlight w:val="none"/>
        </w:rPr>
      </w:pPr>
    </w:p>
    <w:p w14:paraId="62963BCC">
      <w:pPr>
        <w:spacing w:line="360" w:lineRule="auto"/>
        <w:ind w:firstLine="480" w:firstLineChars="200"/>
        <w:jc w:val="center"/>
        <w:rPr>
          <w:rFonts w:ascii="宋体" w:hAnsi="宋体" w:cs="宋体"/>
          <w:color w:val="auto"/>
          <w:sz w:val="24"/>
          <w:szCs w:val="24"/>
          <w:highlight w:val="none"/>
        </w:rPr>
      </w:pPr>
    </w:p>
    <w:p w14:paraId="1F42DAE8">
      <w:pPr>
        <w:spacing w:line="360" w:lineRule="auto"/>
        <w:ind w:firstLine="480" w:firstLineChars="200"/>
        <w:jc w:val="center"/>
        <w:rPr>
          <w:rFonts w:ascii="宋体" w:hAnsi="宋体" w:cs="宋体"/>
          <w:color w:val="auto"/>
          <w:sz w:val="24"/>
          <w:szCs w:val="24"/>
          <w:highlight w:val="none"/>
        </w:rPr>
      </w:pPr>
    </w:p>
    <w:p w14:paraId="5DE5443A">
      <w:pPr>
        <w:spacing w:line="360" w:lineRule="auto"/>
        <w:ind w:firstLine="480" w:firstLineChars="200"/>
        <w:jc w:val="center"/>
        <w:rPr>
          <w:rFonts w:ascii="宋体" w:hAnsi="宋体" w:cs="宋体"/>
          <w:color w:val="auto"/>
          <w:sz w:val="24"/>
          <w:szCs w:val="24"/>
          <w:highlight w:val="none"/>
        </w:rPr>
      </w:pPr>
    </w:p>
    <w:p w14:paraId="3C393844">
      <w:pPr>
        <w:spacing w:line="360" w:lineRule="auto"/>
        <w:ind w:firstLine="480" w:firstLineChars="200"/>
        <w:jc w:val="center"/>
        <w:rPr>
          <w:rFonts w:ascii="宋体" w:hAnsi="宋体" w:cs="宋体"/>
          <w:color w:val="auto"/>
          <w:sz w:val="24"/>
          <w:szCs w:val="24"/>
          <w:highlight w:val="none"/>
        </w:rPr>
      </w:pPr>
    </w:p>
    <w:p w14:paraId="5502F264">
      <w:pPr>
        <w:spacing w:line="360" w:lineRule="auto"/>
        <w:ind w:firstLine="480" w:firstLineChars="200"/>
        <w:jc w:val="center"/>
        <w:rPr>
          <w:rFonts w:ascii="宋体" w:hAnsi="宋体" w:cs="宋体"/>
          <w:color w:val="auto"/>
          <w:sz w:val="24"/>
          <w:szCs w:val="24"/>
          <w:highlight w:val="none"/>
        </w:rPr>
      </w:pPr>
    </w:p>
    <w:p w14:paraId="35DCDC76">
      <w:pPr>
        <w:spacing w:line="360" w:lineRule="auto"/>
        <w:ind w:firstLine="480" w:firstLineChars="200"/>
        <w:jc w:val="center"/>
        <w:rPr>
          <w:rFonts w:ascii="宋体" w:hAnsi="宋体" w:cs="宋体"/>
          <w:color w:val="auto"/>
          <w:sz w:val="24"/>
          <w:szCs w:val="24"/>
          <w:highlight w:val="none"/>
        </w:rPr>
      </w:pPr>
    </w:p>
    <w:p w14:paraId="3F5C0AF7">
      <w:pPr>
        <w:spacing w:line="360" w:lineRule="auto"/>
        <w:ind w:firstLine="480" w:firstLineChars="200"/>
        <w:jc w:val="center"/>
        <w:rPr>
          <w:rFonts w:ascii="宋体" w:hAnsi="宋体" w:cs="宋体"/>
          <w:color w:val="auto"/>
          <w:sz w:val="24"/>
          <w:szCs w:val="24"/>
          <w:highlight w:val="none"/>
        </w:rPr>
      </w:pPr>
    </w:p>
    <w:p w14:paraId="7417BC59">
      <w:pPr>
        <w:spacing w:line="360" w:lineRule="auto"/>
        <w:ind w:firstLine="480" w:firstLineChars="20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（结束）</w:t>
      </w:r>
    </w:p>
    <w:p w14:paraId="37864319">
      <w:pPr>
        <w:widowControl/>
        <w:spacing w:line="600" w:lineRule="exact"/>
        <w:jc w:val="left"/>
        <w:rPr>
          <w:rFonts w:ascii="宋体" w:hAnsi="宋体" w:cs="宋体"/>
          <w:color w:val="auto"/>
          <w:highlight w:val="none"/>
        </w:rPr>
      </w:pPr>
    </w:p>
    <w:p w14:paraId="01652518">
      <w:pPr>
        <w:rPr>
          <w:color w:val="auto"/>
          <w:highlight w:val="none"/>
        </w:rPr>
      </w:pPr>
    </w:p>
    <w:bookmarkEnd w:id="205"/>
    <w:sectPr>
      <w:pgSz w:w="11907" w:h="16840"/>
      <w:pgMar w:top="1134" w:right="1191" w:bottom="1134" w:left="1304" w:header="851" w:footer="992" w:gutter="0"/>
      <w:pgNumType w:fmt="decimal"/>
      <w:cols w:space="720" w:num="1"/>
      <w:docGrid w:linePitch="380" w:charSpace="-573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sunduko" w:date="2024-05-20T18:45:18Z" w:initials="">
    <w:p w14:paraId="17DB0F73">
      <w:pPr>
        <w:pStyle w:val="5"/>
      </w:pPr>
      <w:r>
        <w:annotationRef/>
      </w:r>
    </w:p>
  </w:comment>
  <w:comment w:id="1" w:author="Tsunduko" w:date="2024-05-20T18:49:10Z" w:initials="">
    <w:p w14:paraId="247B66BD">
      <w:pPr>
        <w:pStyle w:val="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DB0F73" w15:done="0"/>
  <w15:commentEx w15:paraId="247B66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D8A28030">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0923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6B827">
                          <w:pPr>
                            <w:pStyle w:val="11"/>
                            <w:jc w:val="center"/>
                            <w:rPr>
                              <w:rStyle w:val="19"/>
                              <w:rFonts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- 5 -</w:t>
                          </w:r>
                          <w:r>
                            <w:rPr>
                              <w:rFonts w:ascii="宋体"/>
                              <w:sz w:val="21"/>
                              <w:szCs w:val="21"/>
                            </w:rPr>
                            <w:fldChar w:fldCharType="end"/>
                          </w:r>
                        </w:p>
                        <w:p w14:paraId="045BA8F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D6B827">
                    <w:pPr>
                      <w:pStyle w:val="11"/>
                      <w:jc w:val="center"/>
                      <w:rPr>
                        <w:rStyle w:val="19"/>
                        <w:rFonts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- 5 -</w:t>
                    </w:r>
                    <w:r>
                      <w:rPr>
                        <w:rFonts w:ascii="宋体"/>
                        <w:sz w:val="21"/>
                        <w:szCs w:val="21"/>
                      </w:rPr>
                      <w:fldChar w:fldCharType="end"/>
                    </w:r>
                  </w:p>
                  <w:p w14:paraId="045BA8F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A547">
    <w:pPr>
      <w:pStyle w:val="11"/>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1DA4E4B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C3F4">
    <w:pPr>
      <w:pStyle w:val="11"/>
      <w:framePr w:wrap="around" w:vAnchor="text" w:hAnchor="margin" w:xAlign="center" w:y="1"/>
      <w:rPr>
        <w:rStyle w:val="19"/>
      </w:rPr>
    </w:pPr>
  </w:p>
  <w:p w14:paraId="79D6CE17">
    <w:pPr>
      <w:pStyle w:val="11"/>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E91B2">
    <w:pPr>
      <w:pStyle w:val="11"/>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AB583">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- 11 -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4AB583">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- 11 -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079D">
    <w:pPr>
      <w:snapToGrid w:val="0"/>
      <w:jc w:val="right"/>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88835">
                          <w:pPr>
                            <w:snapToGrid w:val="0"/>
                            <w:jc w:val="right"/>
                          </w:pPr>
                          <w:r>
                            <w:rPr>
                              <w:sz w:val="18"/>
                            </w:rPr>
                            <w:fldChar w:fldCharType="begin"/>
                          </w:r>
                          <w:r>
                            <w:rPr>
                              <w:sz w:val="18"/>
                            </w:rPr>
                            <w:instrText xml:space="preserve"> PAGE   \* MERGEFORMAT </w:instrText>
                          </w:r>
                          <w:r>
                            <w:rPr>
                              <w:sz w:val="18"/>
                            </w:rPr>
                            <w:fldChar w:fldCharType="separate"/>
                          </w:r>
                          <w:r>
                            <w:rPr>
                              <w:sz w:val="18"/>
                              <w:lang w:val="zh-CN"/>
                            </w:rPr>
                            <w:t>20</w:t>
                          </w:r>
                          <w:r>
                            <w:rPr>
                              <w:sz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288835">
                    <w:pPr>
                      <w:snapToGrid w:val="0"/>
                      <w:jc w:val="right"/>
                    </w:pPr>
                    <w:r>
                      <w:rPr>
                        <w:sz w:val="18"/>
                      </w:rPr>
                      <w:fldChar w:fldCharType="begin"/>
                    </w:r>
                    <w:r>
                      <w:rPr>
                        <w:sz w:val="18"/>
                      </w:rPr>
                      <w:instrText xml:space="preserve"> PAGE   \* MERGEFORMAT </w:instrText>
                    </w:r>
                    <w:r>
                      <w:rPr>
                        <w:sz w:val="18"/>
                      </w:rPr>
                      <w:fldChar w:fldCharType="separate"/>
                    </w:r>
                    <w:r>
                      <w:rPr>
                        <w:sz w:val="18"/>
                        <w:lang w:val="zh-CN"/>
                      </w:rPr>
                      <w:t>20</w:t>
                    </w:r>
                    <w:r>
                      <w:rPr>
                        <w:sz w:val="18"/>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AD19">
    <w:pPr>
      <w:framePr w:wrap="around" w:vAnchor="text" w:hAnchor="margin" w:xAlign="center" w:y="1"/>
      <w:snapToGrid w:val="0"/>
      <w:jc w:val="left"/>
      <w:rPr>
        <w:rStyle w:val="19"/>
        <w:sz w:val="18"/>
      </w:rPr>
    </w:pPr>
    <w:r>
      <w:rPr>
        <w:rStyle w:val="19"/>
        <w:sz w:val="18"/>
      </w:rPr>
      <w:fldChar w:fldCharType="begin"/>
    </w:r>
    <w:r>
      <w:rPr>
        <w:rStyle w:val="19"/>
        <w:sz w:val="18"/>
      </w:rPr>
      <w:instrText xml:space="preserve">PAGE  </w:instrText>
    </w:r>
    <w:r>
      <w:rPr>
        <w:rStyle w:val="19"/>
        <w:sz w:val="18"/>
      </w:rPr>
      <w:fldChar w:fldCharType="end"/>
    </w:r>
  </w:p>
  <w:p w14:paraId="791D31CB">
    <w:pPr>
      <w:snapToGrid w:val="0"/>
      <w:jc w:val="left"/>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A784">
    <w:pPr>
      <w:pStyle w:val="11"/>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63569">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E63569">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- 30 -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3736">
    <w:pPr>
      <w:pStyle w:val="12"/>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14FC">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07D1">
    <w:pPr>
      <w:pStyle w:val="12"/>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D8F62"/>
    <w:multiLevelType w:val="singleLevel"/>
    <w:tmpl w:val="CD6D8F62"/>
    <w:lvl w:ilvl="0" w:tentative="0">
      <w:start w:val="2"/>
      <w:numFmt w:val="chineseCounting"/>
      <w:suff w:val="space"/>
      <w:lvlText w:val="第%1条"/>
      <w:lvlJc w:val="left"/>
      <w:rPr>
        <w:rFonts w:hint="eastAsia"/>
      </w:rPr>
    </w:lvl>
  </w:abstractNum>
  <w:abstractNum w:abstractNumId="1">
    <w:nsid w:val="0DFD0028"/>
    <w:multiLevelType w:val="singleLevel"/>
    <w:tmpl w:val="0DFD0028"/>
    <w:lvl w:ilvl="0" w:tentative="0">
      <w:start w:val="1"/>
      <w:numFmt w:val="decimal"/>
      <w:suff w:val="space"/>
      <w:lvlText w:val="%1."/>
      <w:lvlJc w:val="left"/>
    </w:lvl>
  </w:abstractNum>
  <w:abstractNum w:abstractNumId="2">
    <w:nsid w:val="7D04765C"/>
    <w:multiLevelType w:val="singleLevel"/>
    <w:tmpl w:val="7D04765C"/>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unduko">
    <w15:presenceInfo w15:providerId="WPS Office" w15:userId="3990358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23442"/>
    <w:rsid w:val="042F7783"/>
    <w:rsid w:val="0D2B5023"/>
    <w:rsid w:val="13A70791"/>
    <w:rsid w:val="15BD33DA"/>
    <w:rsid w:val="1D1E170E"/>
    <w:rsid w:val="23B30E0E"/>
    <w:rsid w:val="24937741"/>
    <w:rsid w:val="29A013E9"/>
    <w:rsid w:val="2C023442"/>
    <w:rsid w:val="2E05199D"/>
    <w:rsid w:val="314B476A"/>
    <w:rsid w:val="36D61E91"/>
    <w:rsid w:val="37BD02B1"/>
    <w:rsid w:val="3D87412E"/>
    <w:rsid w:val="40FB31AB"/>
    <w:rsid w:val="532F1742"/>
    <w:rsid w:val="5AF005E0"/>
    <w:rsid w:val="7959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18">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3"/>
    <w:basedOn w:val="1"/>
    <w:unhideWhenUsed/>
    <w:qFormat/>
    <w:uiPriority w:val="99"/>
    <w:pPr>
      <w:spacing w:after="120"/>
    </w:pPr>
    <w:rPr>
      <w:sz w:val="16"/>
      <w:szCs w:val="16"/>
    </w:rPr>
  </w:style>
  <w:style w:type="paragraph" w:styleId="7">
    <w:name w:val="Body Text"/>
    <w:basedOn w:val="1"/>
    <w:next w:val="1"/>
    <w:qFormat/>
    <w:uiPriority w:val="0"/>
    <w:rPr>
      <w:rFonts w:ascii="仿宋_GB2312" w:eastAsia="仿宋_GB2312"/>
      <w:sz w:val="32"/>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paragraph" w:styleId="15">
    <w:name w:val="Body Text First Indent"/>
    <w:basedOn w:val="7"/>
    <w:next w:val="1"/>
    <w:qFormat/>
    <w:uiPriority w:val="0"/>
    <w:pPr>
      <w:spacing w:line="360" w:lineRule="auto"/>
      <w:ind w:firstLine="420"/>
    </w:pPr>
    <w:rPr>
      <w:rFonts w:ascii="宋体" w:hAnsi="宋体"/>
      <w:sz w:val="24"/>
    </w:rPr>
  </w:style>
  <w:style w:type="paragraph" w:styleId="16">
    <w:name w:val="Body Text First Indent 2"/>
    <w:basedOn w:val="8"/>
    <w:qFormat/>
    <w:uiPriority w:val="0"/>
    <w:pPr>
      <w:spacing w:after="120" w:line="240" w:lineRule="auto"/>
      <w:ind w:left="420" w:leftChars="200" w:firstLine="420" w:firstLineChars="200"/>
    </w:p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1"/>
    <w:basedOn w:val="1"/>
    <w:next w:val="9"/>
    <w:autoRedefine/>
    <w:qFormat/>
    <w:uiPriority w:val="0"/>
    <w:rPr>
      <w:rFonts w:ascii="宋体" w:hAnsi="Courier New"/>
      <w:sz w:val="21"/>
    </w:r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17190</Words>
  <Characters>17927</Characters>
  <Lines>0</Lines>
  <Paragraphs>0</Paragraphs>
  <TotalTime>0</TotalTime>
  <ScaleCrop>false</ScaleCrop>
  <LinksUpToDate>false</LinksUpToDate>
  <CharactersWithSpaces>19304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2025-04-09T05:48:00Z</dcterms:created>
  <dc:creator>forever</dc:creator>
  <cp:lastModifiedBy>forever</cp:lastModifiedBy>
  <dcterms:modified xsi:type="dcterms:W3CDTF">2026-03-17T12:32:00Z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372064ED80114D3FAF03D6E0A2CA6793_13</vt:lpwstr>
  </property>
  <property fmtid="{D5CDD505-2E9C-101B-9397-08002B2CF9AE}" pid="4" name="KSOTemplateDocerSaveRecord">
    <vt:lpwstr>eyJoZGlkIjoiNzI1MzljODBiNDliMzEyMzFlZWNlN2EzYjU0N2YzMWEiLCJ1c2VySWQiOiI2Mzg2Mjc1NjQifQ==</vt:lpwstr>
  </property>
</Properties>
</file>