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440101-2025-18841</w:t>
      </w:r>
    </w:p>
    <w:p>
      <w:pPr>
        <w:pStyle w:val="null3"/>
        <w:jc w:val="center"/>
        <w:outlineLvl w:val="3"/>
      </w:pPr>
      <w:r>
        <w:rPr>
          <w:sz w:val="24"/>
          <w:b/>
        </w:rPr>
        <w:t>采购项目编号：</w:t>
      </w:r>
      <w:r>
        <w:rPr>
          <w:sz w:val="24"/>
          <w:b/>
        </w:rPr>
        <w:t>JSGZ00920125GXFW</w:t>
      </w:r>
    </w:p>
    <w:p>
      <w:pPr>
        <w:pStyle w:val="null3"/>
        <w:jc w:val="center"/>
        <w:outlineLvl w:val="3"/>
      </w:pPr>
      <w:r>
        <w:rPr>
          <w:sz w:val="24"/>
          <w:b/>
        </w:rPr>
        <w:t>项目名称：</w:t>
      </w:r>
      <w:r>
        <w:rPr>
          <w:sz w:val="24"/>
          <w:b/>
        </w:rPr>
        <w:t>广州市智能网联与新能源汽车产业、超高清视频与新型显示产业、生物医药与健康产业、绿色石化和新材料产业支撑服务项目</w:t>
      </w:r>
    </w:p>
    <w:p>
      <w:pPr>
        <w:pStyle w:val="null3"/>
        <w:jc w:val="center"/>
        <w:outlineLvl w:val="3"/>
      </w:pPr>
      <w:r>
        <w:rPr>
          <w:sz w:val="24"/>
          <w:b/>
        </w:rPr>
        <w:t>采购人：</w:t>
      </w:r>
      <w:r>
        <w:rPr>
          <w:sz w:val="24"/>
          <w:b/>
        </w:rPr>
        <w:t>广州市工业和信息化局</w:t>
      </w:r>
    </w:p>
    <w:p>
      <w:pPr>
        <w:pStyle w:val="null3"/>
        <w:jc w:val="center"/>
        <w:outlineLvl w:val="3"/>
      </w:pPr>
      <w:r>
        <w:rPr>
          <w:sz w:val="24"/>
          <w:b/>
        </w:rPr>
        <w:t>采购代理机构：</w:t>
      </w:r>
      <w:r>
        <w:rPr>
          <w:sz w:val="24"/>
          <w:b/>
        </w:rPr>
        <w:t>广东嘉晟招标采购有限公司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广东嘉晟招标采购有限公司</w:t>
      </w:r>
      <w:r>
        <w:rPr/>
        <w:t>受</w:t>
      </w:r>
      <w:r>
        <w:rPr/>
        <w:t>广州市工业和信息化局</w:t>
      </w:r>
      <w:r>
        <w:rPr/>
        <w:t>的委托，采用</w:t>
      </w:r>
      <w:r>
        <w:rPr/>
        <w:t>竞争性磋商</w:t>
      </w:r>
      <w:r>
        <w:rPr/>
        <w:t>方式组织采购</w:t>
      </w:r>
      <w:r>
        <w:rPr/>
        <w:t>广州市智能网联与新能源汽车产业、超高清视频与新型显示产业、生物医药与健康产业、绿色石化和新材料产业支撑服务项目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广州市智能网联与新能源汽车产业、超高清视频与新型显示产业、生物医药与健康产业、绿色石化和新材料产业支撑服务项目</w:t>
      </w:r>
    </w:p>
    <w:p>
      <w:pPr>
        <w:pStyle w:val="null3"/>
        <w:ind w:firstLine="480"/>
      </w:pPr>
      <w:r>
        <w:rPr/>
        <w:t>采购计划编号：</w:t>
      </w:r>
      <w:r>
        <w:rPr/>
        <w:t>440101-2025-18841</w:t>
      </w:r>
    </w:p>
    <w:p>
      <w:pPr>
        <w:pStyle w:val="null3"/>
        <w:ind w:firstLine="480"/>
      </w:pPr>
      <w:r>
        <w:rPr/>
        <w:t>采购项目编号：</w:t>
      </w:r>
      <w:r>
        <w:rPr/>
        <w:t>JSGZ00920125GXFW</w:t>
      </w:r>
    </w:p>
    <w:p>
      <w:pPr>
        <w:pStyle w:val="null3"/>
        <w:ind w:firstLine="480"/>
      </w:pPr>
      <w:r>
        <w:rPr/>
        <w:t>采购方式：</w:t>
      </w:r>
      <w:r>
        <w:rPr/>
        <w:t>竞争性磋商</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采购包1(广州市智能网联与新能源汽车产业支撑服务项目):</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广州市智能网联与新能源汽车产业支撑服务项目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合同履行期限：服务期两年</w:t>
      </w:r>
    </w:p>
    <w:p>
      <w:pPr>
        <w:pStyle w:val="null3"/>
      </w:pPr>
      <w:r>
        <w:rPr/>
        <w:t>采购包2(超高清视频与新型显示产业支撑服务项目):</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超高清视频与新型显示产业支撑服务项目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合同履行期限：服务期两年</w:t>
      </w:r>
    </w:p>
    <w:p>
      <w:pPr>
        <w:pStyle w:val="null3"/>
      </w:pPr>
      <w:r>
        <w:rPr/>
        <w:t>采购包3(生物医药与健康产业支撑服务项目):</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其他专业技术服务</w:t>
            </w:r>
          </w:p>
        </w:tc>
        <w:tc>
          <w:tcPr>
            <w:tcW w:type="dxa" w:w="2136"/>
          </w:tcPr>
          <w:p>
            <w:pPr>
              <w:pStyle w:val="null3"/>
            </w:pPr>
            <w:r>
              <w:rPr/>
              <w:t>生物医药与健康产业支撑服务项目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合同履行期限：服务期两年</w:t>
      </w:r>
    </w:p>
    <w:p>
      <w:pPr>
        <w:pStyle w:val="null3"/>
      </w:pPr>
      <w:r>
        <w:rPr/>
        <w:t>采购包4(绿色石化和新材料支撑服务项目):</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其他专业技术服务</w:t>
            </w:r>
          </w:p>
        </w:tc>
        <w:tc>
          <w:tcPr>
            <w:tcW w:type="dxa" w:w="2136"/>
          </w:tcPr>
          <w:p>
            <w:pPr>
              <w:pStyle w:val="null3"/>
            </w:pPr>
            <w:r>
              <w:rPr/>
              <w:t>绿色石化和新材料支撑服务项目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合同履行期限：服务期两年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副本扫描件。分支机构投标（响应）的，须提供总公司和分公司营业执照副本扫描件，总公司出具给分支机构的授权书。（如以联合体形式响应，联合体各方均须提供，须加盖联合体各方公章）</w:t>
      </w:r>
    </w:p>
    <w:p>
      <w:pPr>
        <w:pStyle w:val="null3"/>
      </w:pPr>
      <w:r>
        <w:rPr/>
        <w:t>2）有依法缴纳税收和社会保障资金的良好记录：提供资格声明函，并加盖公章（格式自拟）。（如以联合体形式响应，联合体各方均须提供，须加盖联合体各方公章）</w:t>
      </w:r>
    </w:p>
    <w:p>
      <w:pPr>
        <w:pStyle w:val="null3"/>
      </w:pPr>
      <w:r>
        <w:rPr/>
        <w:t>3）具有良好的商业信誉和健全的财务会计制度：提供资格声明函，并加盖公章（格式自拟）。（如以联合体形式响应，联合体各方均须提供，须加盖联合体各方公章）</w:t>
      </w:r>
    </w:p>
    <w:p>
      <w:pPr>
        <w:pStyle w:val="null3"/>
      </w:pPr>
      <w:r>
        <w:rPr/>
        <w:t>4）履行合同所必需的设备和专业技术能力：提供资格声明函，并加盖公章（格式自拟）。（如以联合体形式响应，联合体各方均须提供，须加盖联合体各方公章）</w:t>
      </w:r>
    </w:p>
    <w:p>
      <w:pPr>
        <w:pStyle w:val="null3"/>
      </w:pPr>
      <w:r>
        <w:rPr/>
        <w:t>5）参加采购活动前3年内，在经营活动中没有重大违法记录：提供资格声明函，并加盖公章（格式自拟）。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以联合体形式响应，联合体各方均须提供，须加盖联合体各方公章）</w:t>
      </w:r>
    </w:p>
    <w:p>
      <w:pPr>
        <w:pStyle w:val="null3"/>
        <w:outlineLvl w:val="3"/>
      </w:pPr>
      <w:r>
        <w:rPr>
          <w:sz w:val="24"/>
          <w:b/>
        </w:rPr>
        <w:t>2.落实政府采购政策需满足的资格要求：</w:t>
      </w:r>
    </w:p>
    <w:p>
      <w:pPr>
        <w:pStyle w:val="null3"/>
        <w:jc w:val="left"/>
      </w:pPr>
      <w:r>
        <w:rPr/>
        <w:t>采购包1（广州市智能网联与新能源汽车产业支撑服务项目）：</w:t>
      </w:r>
      <w:r>
        <w:rPr/>
        <w:t>属于不专门面向中小企业采购的项目（预留采购份额无法确保充分供应、充分竞争，或者存在可能影响政府采购目标实现的情形）</w:t>
      </w:r>
    </w:p>
    <w:p>
      <w:pPr>
        <w:pStyle w:val="null3"/>
        <w:jc w:val="left"/>
      </w:pPr>
      <w:r>
        <w:rPr/>
        <w:t>采购包2（超高清视频与新型显示产业支撑服务项目）：</w:t>
      </w:r>
      <w:r>
        <w:rPr/>
        <w:t>本采购包属于专门面向中小企业采购的项目。服务的承接商须为中小微企业或监狱企业或残疾人福利性单位（监狱企业或残疾人福利性单位视同小型、微型企业）。中小微企业划分标准所属行业：其他未列明行业。【注：中小微企业以供应商填写的《中小企业声明函》（格式见附件）为判定标准，残疾人福利性单位以供应商填写的《残疾人福利性单位声明函》（格式见附件）为判定标准，监狱企业须供应商提供由省级以上监狱管理局、戒毒管理局（含新疆生产建设兵团）出具的属于监狱企业的证明文件，否则不予认定。】</w:t>
      </w:r>
    </w:p>
    <w:p>
      <w:pPr>
        <w:pStyle w:val="null3"/>
        <w:jc w:val="left"/>
      </w:pPr>
      <w:r>
        <w:rPr/>
        <w:t>采购包3（生物医药与健康产业支撑服务项目）：</w:t>
      </w:r>
      <w:r>
        <w:rPr/>
        <w:t>属于不专门面向中小企业采购的项目（预留采购份额无法确保充分供应、充分竞争，或者存在可能影响政府采购目标实现的情形）</w:t>
      </w:r>
    </w:p>
    <w:p>
      <w:pPr>
        <w:pStyle w:val="null3"/>
        <w:jc w:val="left"/>
      </w:pPr>
      <w:r>
        <w:rPr/>
        <w:t>采购包4（绿色石化和新材料支撑服务项目）：</w:t>
      </w:r>
      <w:r>
        <w:rPr/>
        <w:t>属于不专门面向中小企业采购的项目（预留采购份额无法确保充分供应、充分竞争，或者存在可能影响政府采购目标实现的情形）</w:t>
      </w:r>
    </w:p>
    <w:p>
      <w:pPr>
        <w:pStyle w:val="null3"/>
        <w:outlineLvl w:val="3"/>
      </w:pPr>
      <w:r>
        <w:rPr>
          <w:sz w:val="24"/>
          <w:b/>
        </w:rPr>
        <w:t>3.本项目特定的资格要求：</w:t>
      </w:r>
    </w:p>
    <w:p>
      <w:pPr>
        <w:pStyle w:val="null3"/>
      </w:pPr>
      <w:r>
        <w:rPr/>
        <w:t>采购包1（广州市智能网联与新能源汽车产业支撑服务项目）：</w:t>
      </w:r>
    </w:p>
    <w:p>
      <w:pPr>
        <w:pStyle w:val="null3"/>
      </w:pPr>
      <w:r>
        <w:rPr/>
        <w:t>1)本采购包不接受联合体响应</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p>
      <w:pPr>
        <w:pStyle w:val="null3"/>
      </w:pPr>
      <w:r>
        <w:rPr/>
        <w:t>3)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p>
      <w:pPr>
        <w:pStyle w:val="null3"/>
      </w:pPr>
      <w:r>
        <w:rPr/>
        <w:t>采购包2（超高清视频与新型显示产业支撑服务项目）：</w:t>
      </w:r>
    </w:p>
    <w:p>
      <w:pPr>
        <w:pStyle w:val="null3"/>
      </w:pPr>
      <w:r>
        <w:rPr/>
        <w:t>1)本采购包不接受联合体响应</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p>
      <w:pPr>
        <w:pStyle w:val="null3"/>
      </w:pPr>
      <w:r>
        <w:rPr/>
        <w:t>3)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p>
      <w:pPr>
        <w:pStyle w:val="null3"/>
      </w:pPr>
      <w:r>
        <w:rPr/>
        <w:t>采购包3（生物医药与健康产业支撑服务项目）：</w:t>
      </w:r>
    </w:p>
    <w:p>
      <w:pPr>
        <w:pStyle w:val="null3"/>
      </w:pPr>
      <w:r>
        <w:rPr/>
        <w:t>1)本采购包接受联合体响应（提交联合体各方签署的《联合体共同响应协议书》）</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p>
      <w:pPr>
        <w:pStyle w:val="null3"/>
      </w:pPr>
      <w:r>
        <w:rPr/>
        <w:t>3)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p>
      <w:pPr>
        <w:pStyle w:val="null3"/>
      </w:pPr>
      <w:r>
        <w:rPr/>
        <w:t>采购包4（绿色石化和新材料支撑服务项目）：</w:t>
      </w:r>
    </w:p>
    <w:p>
      <w:pPr>
        <w:pStyle w:val="null3"/>
      </w:pPr>
      <w:r>
        <w:rPr/>
        <w:t>1)本采购包不接受联合体响应</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p>
      <w:pPr>
        <w:pStyle w:val="null3"/>
      </w:pPr>
      <w:r>
        <w:rPr/>
        <w:t>3)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广州市工业和信息化局</w:t>
      </w:r>
    </w:p>
    <w:p>
      <w:pPr>
        <w:pStyle w:val="null3"/>
        <w:ind w:firstLine="480"/>
      </w:pPr>
      <w:r>
        <w:rPr/>
        <w:t>地址：</w:t>
      </w:r>
      <w:r>
        <w:rPr/>
        <w:t>府前路1号市府大院4号楼</w:t>
      </w:r>
    </w:p>
    <w:p>
      <w:pPr>
        <w:pStyle w:val="null3"/>
        <w:ind w:firstLine="480"/>
      </w:pPr>
      <w:r>
        <w:rPr/>
        <w:t>联系方式：</w:t>
      </w:r>
      <w:r>
        <w:rPr/>
        <w:t>83726616-8039</w:t>
      </w:r>
    </w:p>
    <w:p>
      <w:pPr>
        <w:pStyle w:val="null3"/>
        <w:outlineLvl w:val="3"/>
      </w:pPr>
      <w:r>
        <w:rPr>
          <w:sz w:val="24"/>
          <w:b/>
        </w:rPr>
        <w:t>2.采购代理机构信息</w:t>
      </w:r>
    </w:p>
    <w:p>
      <w:pPr>
        <w:pStyle w:val="null3"/>
        <w:ind w:firstLine="480"/>
      </w:pPr>
      <w:r>
        <w:rPr/>
        <w:t>名称：</w:t>
      </w:r>
      <w:r>
        <w:rPr/>
        <w:t>广东嘉晟招标采购有限公司</w:t>
      </w:r>
    </w:p>
    <w:p>
      <w:pPr>
        <w:pStyle w:val="null3"/>
        <w:ind w:firstLine="480"/>
      </w:pPr>
      <w:r>
        <w:rPr/>
        <w:t xml:space="preserve"> 地址：</w:t>
      </w:r>
      <w:r>
        <w:rPr/>
        <w:t>广东省广州市天河区 广州市天河区天源路401号之一142房</w:t>
      </w:r>
    </w:p>
    <w:p>
      <w:pPr>
        <w:pStyle w:val="null3"/>
        <w:ind w:firstLine="480"/>
      </w:pPr>
      <w:r>
        <w:rPr/>
        <w:t xml:space="preserve"> 联系方式：</w:t>
      </w:r>
      <w:r>
        <w:rPr/>
        <w:t>020-38818049</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020-38818049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广东嘉晟招标采购有限公司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采购包1（广州市智能网联与新能源汽车产业支撑服务项目）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1期：支付比例50%,1.首期款于2025年合同签订后支付总费用的50%；</w:t>
            </w:r>
          </w:p>
          <w:p>
            <w:pPr>
              <w:pStyle w:val="null3"/>
            </w:pPr>
            <w:r>
              <w:rPr/>
              <w:t>2期：支付比例40%,2.中期款于2026年交付阶段性成果报分管局领导审定通过后支付总费用的40%；</w:t>
            </w:r>
          </w:p>
          <w:p>
            <w:pPr>
              <w:pStyle w:val="null3"/>
            </w:pPr>
            <w:r>
              <w:rPr/>
              <w:t>3期：支付比例10%,3.尾款于2027年交付全部成果报分管局领导审定验收通过后付清总费用的10%。计划完成时间2027年10月底。</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1期：1.按照国家及省、市有关技术规程、标准和要求执行。 2.按磋商文件规定的服务内容和要求。 3.按合同双方约定内容进行验收。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广州市智能网联与新能源汽车产业支撑服务项目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750,000.00</w:t>
            </w:r>
          </w:p>
        </w:tc>
        <w:tc>
          <w:tcPr>
            <w:tcW w:type="dxa" w:w="933"/>
          </w:tcPr>
          <w:p>
            <w:pPr>
              <w:pStyle w:val="null3"/>
              <w:jc w:val="right"/>
            </w:pPr>
            <w:r>
              <w:rPr/>
              <w:t>750,000.00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广州市智能网联与新能源汽车产业支撑服务项目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0"/>
              <w:jc w:val="both"/>
            </w:pPr>
            <w:r>
              <w:rPr/>
              <w:t>采购</w:t>
            </w:r>
            <w:r>
              <w:rPr/>
              <w:t>1</w:t>
            </w:r>
            <w:r>
              <w:rPr/>
              <w:t>家具有较强产业政策研究实力和跟踪服务能力的机构开展智能网联与新能源汽车产业支撑工作：</w:t>
            </w:r>
          </w:p>
          <w:p>
            <w:pPr>
              <w:pStyle w:val="null3"/>
              <w:ind w:firstLine="400"/>
              <w:jc w:val="both"/>
            </w:pPr>
            <w:r>
              <w:rPr/>
              <w:t>1.</w:t>
            </w:r>
            <w:r>
              <w:rPr/>
              <w:t>提供相关智库支撑和辅助决策服务。支撑智能网联与新能源汽车产业“五个一”产业推进工作体系，开展顶层设计、技术研判、标准研究、项目把关、产业化推进等工作。定期收集国内外汽车行业动态信息与法规政策，持续动态监测国家、省、市产业数据，深入分析我市发展趋势、现状瓶颈、空间布局及创新应用场景，提出发展方向、路径建议，形成产业政策分析报告。通过系统性产业审视，对本产业细分赛道选择、总体发展目标、资源要素配置等核心问题提出发展建议并形成报告。（服务期内分析和建议报告各不少于</w:t>
            </w:r>
            <w:r>
              <w:rPr/>
              <w:t>1</w:t>
            </w:r>
            <w:r>
              <w:rPr/>
              <w:t>篇）</w:t>
            </w:r>
          </w:p>
          <w:p>
            <w:pPr>
              <w:pStyle w:val="null3"/>
              <w:ind w:firstLine="400"/>
              <w:jc w:val="both"/>
            </w:pPr>
            <w:r>
              <w:rPr/>
              <w:t>2.</w:t>
            </w:r>
            <w:r>
              <w:rPr/>
              <w:t>开展汽车产业供需对接活动。联合具有行业影响力、数字化平台服务能力的机构，协助在全国范围内举办汽车产业整车和零部件供需对接、咨询会议、学术研讨会、汽车产业优质企业对接会等重大活动（服务期限内不少于</w:t>
            </w:r>
            <w:r>
              <w:rPr/>
              <w:t>2</w:t>
            </w:r>
            <w:r>
              <w:rPr/>
              <w:t>场）；协助梳理产业关键环节，锁定重点招商目标，推动一批汽车产业重点项目签约合作。</w:t>
            </w:r>
          </w:p>
          <w:p>
            <w:pPr>
              <w:pStyle w:val="null3"/>
              <w:ind w:firstLine="400"/>
              <w:jc w:val="both"/>
            </w:pPr>
            <w:r>
              <w:rPr/>
              <w:t>3.</w:t>
            </w:r>
            <w:r>
              <w:rPr/>
              <w:t>协助组织开展专题调研。调研走访本产业的龙头企业、重点园区、重点项目建设等情况，及时汇总整理调研资料。</w:t>
            </w:r>
          </w:p>
          <w:p>
            <w:pPr>
              <w:pStyle w:val="null3"/>
              <w:ind w:firstLine="400"/>
              <w:jc w:val="both"/>
            </w:pPr>
            <w:r>
              <w:rPr/>
              <w:t>4.</w:t>
            </w:r>
            <w:r>
              <w:rPr/>
              <w:t>统计产业数据。收集汇总汽车产业运行数据、政策动态、重点项目、园区建设、企业诉求、工作情况等信息，协助制定工作简报（每季度至少</w:t>
            </w:r>
            <w:r>
              <w:rPr/>
              <w:t>1</w:t>
            </w:r>
            <w:r>
              <w:rPr/>
              <w:t>篇，服务期内不少于</w:t>
            </w:r>
            <w:r>
              <w:rPr/>
              <w:t>8</w:t>
            </w:r>
            <w:r>
              <w:rPr/>
              <w:t>篇）。</w:t>
            </w:r>
          </w:p>
          <w:p>
            <w:pPr>
              <w:pStyle w:val="null3"/>
              <w:ind w:firstLine="400"/>
              <w:jc w:val="both"/>
            </w:pPr>
            <w:r>
              <w:rPr/>
              <w:t>5.</w:t>
            </w:r>
            <w:r>
              <w:rPr/>
              <w:t>跟踪广州市智能网联汽车创新发展条例、智能网联与新能源汽车产业发展三年行动计划等法律法规和政策文件落实情况，协助编制相关操作规程、申报指南等。</w:t>
            </w:r>
          </w:p>
          <w:p>
            <w:pPr>
              <w:pStyle w:val="null3"/>
              <w:ind w:firstLine="400"/>
              <w:jc w:val="both"/>
            </w:pPr>
            <w:r>
              <w:rPr/>
              <w:t>6.</w:t>
            </w:r>
            <w:r>
              <w:rPr/>
              <w:t>协助完善智能网联新能源数据图谱，更新本产业上中下游各环节的龙头企业、机构、主要供应商等分布情况，并开展产业全景剖析。协助编制新能源汽车、智能网联汽车等发展技术路线并根据形势变化及时调整，明确广州市汽车产业中长期发展方向。</w:t>
            </w:r>
          </w:p>
          <w:p>
            <w:pPr>
              <w:pStyle w:val="null3"/>
              <w:jc w:val="both"/>
            </w:pPr>
            <w:r>
              <w:rPr>
                <w:sz w:val="21"/>
              </w:rPr>
              <w:t>7.</w:t>
            </w:r>
            <w:r>
              <w:rPr>
                <w:sz w:val="21"/>
              </w:rPr>
              <w:t>协助完成本市智能网联与新能源汽车产业发展的其他战略支撑性工作</w:t>
            </w:r>
            <w:r>
              <w:rPr>
                <w:sz w:val="21"/>
              </w:rPr>
              <w:t>。</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采购包2（超高清视频与新型显示产业支撑服务项目）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1期：支付比例50%,1.首期款于2025年合同签订后支付总费用的50%；</w:t>
            </w:r>
          </w:p>
          <w:p>
            <w:pPr>
              <w:pStyle w:val="null3"/>
            </w:pPr>
            <w:r>
              <w:rPr/>
              <w:t>2期：支付比例40%,2.中期款于2026年交付阶段性成果报分管局领导审定通过后支付总费用的40%；</w:t>
            </w:r>
          </w:p>
          <w:p>
            <w:pPr>
              <w:pStyle w:val="null3"/>
            </w:pPr>
            <w:r>
              <w:rPr/>
              <w:t>3期：支付比例10%,3.尾款于2027年交付全部成果报分管局领导审定验收通过后付清总费用的10%。计划完成时间2027年10月底。</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1期：1.按照国家及省、市有关技术规程、标准和要求执行。 2.按磋商文件规定的服务内容和要求。 3.按合同双方约定内容进行验收。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超高清视频与新型显示产业支撑服务项目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750,000.00</w:t>
            </w:r>
          </w:p>
        </w:tc>
        <w:tc>
          <w:tcPr>
            <w:tcW w:type="dxa" w:w="933"/>
          </w:tcPr>
          <w:p>
            <w:pPr>
              <w:pStyle w:val="null3"/>
              <w:jc w:val="right"/>
            </w:pPr>
            <w:r>
              <w:rPr/>
              <w:t>750,000.00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超高清视频与新型显示产业支撑服务项目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0"/>
              <w:jc w:val="both"/>
            </w:pPr>
            <w:r>
              <w:rPr/>
              <w:t>1.</w:t>
            </w:r>
            <w:r>
              <w:rPr/>
              <w:t>具有较强的政府产业政策研究实力，按需更新产业报告，开展顶层设计、产业化推进等工作。</w:t>
            </w:r>
          </w:p>
          <w:p>
            <w:pPr>
              <w:pStyle w:val="null3"/>
              <w:ind w:firstLine="400"/>
              <w:jc w:val="both"/>
            </w:pPr>
            <w:r>
              <w:rPr/>
              <w:t>2.</w:t>
            </w:r>
            <w:r>
              <w:rPr/>
              <w:t>开展超高清视频和新型显示产业战略支撑工作，对比分析广州市在本产业领域的优劣，提出补链强链的针对性意见建议，形成超高清视频和新型显示产业发展季度分析报告、年度分析报告，为政府提供宏观决策和对策。</w:t>
            </w:r>
          </w:p>
          <w:p>
            <w:pPr>
              <w:pStyle w:val="null3"/>
              <w:ind w:firstLine="400"/>
              <w:jc w:val="both"/>
            </w:pPr>
            <w:r>
              <w:rPr/>
              <w:t>3.</w:t>
            </w:r>
            <w:r>
              <w:rPr/>
              <w:t>协助搭建超高清视频和新型显示产业交流合作平台，围绕“强链、补链”，协助组织开展不少于</w:t>
            </w:r>
            <w:r>
              <w:rPr/>
              <w:t>4</w:t>
            </w:r>
            <w:r>
              <w:rPr/>
              <w:t>场产业交流、产业对接等活动。</w:t>
            </w:r>
          </w:p>
          <w:p>
            <w:pPr>
              <w:pStyle w:val="null3"/>
              <w:ind w:firstLine="400"/>
              <w:jc w:val="both"/>
            </w:pPr>
            <w:r>
              <w:rPr/>
              <w:t>4.</w:t>
            </w:r>
            <w:r>
              <w:rPr/>
              <w:t>协助组织开展专题调研，整合本产业产学研等资源，开展产业技术研判、把关。</w:t>
            </w:r>
          </w:p>
          <w:p>
            <w:pPr>
              <w:pStyle w:val="null3"/>
              <w:ind w:firstLine="400"/>
              <w:jc w:val="both"/>
            </w:pPr>
            <w:r>
              <w:rPr/>
              <w:t>5.</w:t>
            </w:r>
            <w:r>
              <w:rPr/>
              <w:t>具备专家资源整合能力，组织产业企业专家学者、企业家等，聚焦超高清视频和新型显示产业发展提出对策建议。</w:t>
            </w:r>
          </w:p>
          <w:p>
            <w:pPr>
              <w:pStyle w:val="null3"/>
              <w:jc w:val="both"/>
            </w:pPr>
            <w:r>
              <w:rPr>
                <w:sz w:val="21"/>
              </w:rPr>
              <w:t>6.</w:t>
            </w:r>
            <w:r>
              <w:rPr>
                <w:sz w:val="21"/>
              </w:rPr>
              <w:t>与超高清视频和新型显示产业相关的其他任务。</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采购包3（生物医药与健康产业支撑服务项目）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1期：支付比例50%,1.首期款于2025年合同签订后支付总费用的50%；</w:t>
            </w:r>
          </w:p>
          <w:p>
            <w:pPr>
              <w:pStyle w:val="null3"/>
            </w:pPr>
            <w:r>
              <w:rPr/>
              <w:t>2期：支付比例40%,2.中期款于2026年交付阶段性成果报分管局领导审定通过后支付总费用的40%；</w:t>
            </w:r>
          </w:p>
          <w:p>
            <w:pPr>
              <w:pStyle w:val="null3"/>
            </w:pPr>
            <w:r>
              <w:rPr/>
              <w:t>3期：支付比例10%,3.尾款于2027年交付全部成果报分管局领导审定验收通过后付清总费用的10%。计划完成时间2027年10月底。</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1期：1.按照国家及省、市有关技术规程、标准和要求执行。 2.按磋商文件规定的服务内容和要求。 3.按合同双方约定内容进行验收。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生物医药与健康产业支撑服务项目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750,000.00</w:t>
            </w:r>
          </w:p>
        </w:tc>
        <w:tc>
          <w:tcPr>
            <w:tcW w:type="dxa" w:w="933"/>
          </w:tcPr>
          <w:p>
            <w:pPr>
              <w:pStyle w:val="null3"/>
              <w:jc w:val="right"/>
            </w:pPr>
            <w:r>
              <w:rPr/>
              <w:t>750,000.00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生物医药与健康产业支撑服务项目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0"/>
              <w:jc w:val="both"/>
            </w:pPr>
            <w:r>
              <w:rPr/>
              <w:t>采购</w:t>
            </w:r>
            <w:r>
              <w:rPr/>
              <w:t>1</w:t>
            </w:r>
            <w:r>
              <w:rPr/>
              <w:t>家具有较强产业政策研究实力和跟踪服务能力的机构（或联合体）开展生物医药与健康产业有关工作：</w:t>
            </w:r>
          </w:p>
          <w:p>
            <w:pPr>
              <w:pStyle w:val="null3"/>
              <w:ind w:firstLine="400"/>
              <w:jc w:val="both"/>
            </w:pPr>
            <w:r>
              <w:rPr/>
              <w:t>1.</w:t>
            </w:r>
            <w:r>
              <w:rPr/>
              <w:t>提供相关智库支撑和辅助决策服务。结合当前国家和省生物医药与健康产业规划和产业发展趋势，专业分析我市生物医药与健康产业发展趋势及现状问题，重点分析核药等新兴赛道，形成产业分析报告。（服务期内分析报告不少于</w:t>
            </w:r>
            <w:r>
              <w:rPr/>
              <w:t>2</w:t>
            </w:r>
            <w:r>
              <w:rPr/>
              <w:t>篇）</w:t>
            </w:r>
          </w:p>
          <w:p>
            <w:pPr>
              <w:pStyle w:val="null3"/>
              <w:ind w:firstLine="400"/>
              <w:jc w:val="both"/>
            </w:pPr>
            <w:r>
              <w:rPr/>
              <w:t>2.</w:t>
            </w:r>
            <w:r>
              <w:rPr/>
              <w:t>开展政策研究。收集国内生物医药产业发展较好的城市出台的产业政策，分领域、分环节比较与广州的政策差异，为广州市生物医药产业优化市场准入、促进产业发展提出政策建议等。（服务期内政策建议不少于</w:t>
            </w:r>
            <w:r>
              <w:rPr/>
              <w:t>1</w:t>
            </w:r>
            <w:r>
              <w:rPr/>
              <w:t>篇）</w:t>
            </w:r>
          </w:p>
          <w:p>
            <w:pPr>
              <w:pStyle w:val="null3"/>
              <w:ind w:firstLine="400"/>
              <w:jc w:val="both"/>
            </w:pPr>
            <w:r>
              <w:rPr/>
              <w:t>3.</w:t>
            </w:r>
            <w:r>
              <w:rPr/>
              <w:t>协助开展临床在研项目评估。构建临床在研项目数据库，协助多维度评估在穗开展的临床试验项目，从而筛选出临床试验效果好、创新性强、商业化前景好的项目，部门联动推动项目招引和服务。（服务期内形成成果不少于</w:t>
            </w:r>
            <w:r>
              <w:rPr/>
              <w:t>2</w:t>
            </w:r>
            <w:r>
              <w:rPr/>
              <w:t>篇）</w:t>
            </w:r>
          </w:p>
          <w:p>
            <w:pPr>
              <w:pStyle w:val="null3"/>
              <w:ind w:firstLine="400"/>
              <w:jc w:val="both"/>
            </w:pPr>
            <w:r>
              <w:rPr/>
              <w:t>4.</w:t>
            </w:r>
            <w:r>
              <w:rPr/>
              <w:t>统计产业数据。收集汇总生物医药与健康产业运行数据、政策动态、重点项目、园区建设、企业诉求、工作情况等信息。</w:t>
            </w:r>
          </w:p>
          <w:p>
            <w:pPr>
              <w:pStyle w:val="null3"/>
              <w:ind w:firstLine="400"/>
              <w:jc w:val="both"/>
            </w:pPr>
            <w:r>
              <w:rPr/>
              <w:t>5.</w:t>
            </w:r>
            <w:r>
              <w:rPr/>
              <w:t>更新完善生物医药产业地图。在《广州生物医药产业地图（</w:t>
            </w:r>
            <w:r>
              <w:rPr/>
              <w:t>2025</w:t>
            </w:r>
            <w:r>
              <w:rPr/>
              <w:t>）》的基础上，持续收集广州生物医药产业发展优势、公共服务平台、各区产业园区及地块的信息，结合部门、企业在使用产业地图中反馈的意见，增补企业关心的其他内容，更新数据至最新年份。</w:t>
            </w:r>
          </w:p>
          <w:p>
            <w:pPr>
              <w:pStyle w:val="null3"/>
              <w:jc w:val="both"/>
            </w:pPr>
            <w:r>
              <w:rPr>
                <w:sz w:val="21"/>
              </w:rPr>
              <w:t>6.</w:t>
            </w:r>
            <w:r>
              <w:rPr>
                <w:sz w:val="21"/>
              </w:rPr>
              <w:t>组织开展专题调研。调研走访本产业的龙头企业、重点园区、重点项目建设等情况，及时汇总整理调研资料，收集、汇总本产业发展存在问题、对策建议。（每年相关活动不少于</w:t>
            </w:r>
            <w:r>
              <w:rPr>
                <w:sz w:val="21"/>
              </w:rPr>
              <w:t>2</w:t>
            </w:r>
            <w:r>
              <w:rPr>
                <w:sz w:val="21"/>
              </w:rPr>
              <w:t>场）</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采购包4（绿色石化和新材料支撑服务项目）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服务期两年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1期：支付比例50%,1.首期款于2025年合同签订后支付总费用的50%；</w:t>
            </w:r>
          </w:p>
          <w:p>
            <w:pPr>
              <w:pStyle w:val="null3"/>
            </w:pPr>
            <w:r>
              <w:rPr/>
              <w:t>2期：支付比例40%,2.中期款于2026年交付阶段性成果报分管局领导审定通过后支付总费用的40%；</w:t>
            </w:r>
          </w:p>
          <w:p>
            <w:pPr>
              <w:pStyle w:val="null3"/>
            </w:pPr>
            <w:r>
              <w:rPr/>
              <w:t>3期：支付比例10%,3.尾款于2027年交付全部成果报分管局领导审定验收通过后付清总费用的10%。计划完成时间2027年10月底。</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1期：1.按照国家及省、市有关技术规程、标准和要求执行。 2.按磋商文件规定的服务内容和要求。 3.按合同双方约定内容进行验收。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绿色石化和新材料支撑服务项目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750,000.00</w:t>
            </w:r>
          </w:p>
        </w:tc>
        <w:tc>
          <w:tcPr>
            <w:tcW w:type="dxa" w:w="933"/>
          </w:tcPr>
          <w:p>
            <w:pPr>
              <w:pStyle w:val="null3"/>
              <w:jc w:val="right"/>
            </w:pPr>
            <w:r>
              <w:rPr/>
              <w:t>750,000.00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绿色石化和新材料支撑服务项目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0"/>
              <w:jc w:val="both"/>
            </w:pPr>
            <w:r>
              <w:rPr/>
              <w:t>采购</w:t>
            </w:r>
            <w:r>
              <w:rPr/>
              <w:t>1</w:t>
            </w:r>
            <w:r>
              <w:rPr/>
              <w:t>家具有较强产业政策研究实力和跟踪服务能力的机构开展绿色石化和新材料支撑工作：</w:t>
            </w:r>
          </w:p>
          <w:p>
            <w:pPr>
              <w:pStyle w:val="null3"/>
              <w:ind w:firstLine="400"/>
              <w:jc w:val="both"/>
            </w:pPr>
            <w:r>
              <w:rPr/>
              <w:t>1.</w:t>
            </w:r>
            <w:r>
              <w:rPr/>
              <w:t>定期收集国内外绿色石化和新材料产业发展动态信息，围绕产业协同创新、产业主导企业培育、产业重点项目建设及平台载体、产业支持政策等内容提出政策建议及智库战略支撑服务。</w:t>
            </w:r>
          </w:p>
          <w:p>
            <w:pPr>
              <w:pStyle w:val="null3"/>
              <w:ind w:firstLine="400"/>
              <w:jc w:val="both"/>
            </w:pPr>
            <w:r>
              <w:rPr/>
              <w:t>2.</w:t>
            </w:r>
            <w:r>
              <w:rPr/>
              <w:t>根据广州市绿色石化和新材料产业实际，围绕“强链”“延链”“补链”，协助组织开展专题或专项调研，走访龙头企业、重点园区、重点项目建设情况，草拟专题调研分析报告。</w:t>
            </w:r>
          </w:p>
          <w:p>
            <w:pPr>
              <w:pStyle w:val="null3"/>
              <w:ind w:firstLine="400"/>
              <w:jc w:val="both"/>
            </w:pPr>
            <w:r>
              <w:rPr/>
              <w:t>3.</w:t>
            </w:r>
            <w:r>
              <w:rPr/>
              <w:t>协助开展广州市绿色石化和新材料产业相关政策执行情况评估，草拟评估意见建议报告。</w:t>
            </w:r>
          </w:p>
          <w:p>
            <w:pPr>
              <w:pStyle w:val="null3"/>
              <w:ind w:firstLine="400"/>
              <w:jc w:val="both"/>
            </w:pPr>
            <w:r>
              <w:rPr/>
              <w:t>4.</w:t>
            </w:r>
            <w:r>
              <w:rPr/>
              <w:t>协助绿色石化和新材料产业工作，协助收集并汇总相关工作推进情况、企业发展诉求、重点项目与重点园区建设情况，协助开展产业重点工作，每月报送工作简报。（每月至少</w:t>
            </w:r>
            <w:r>
              <w:rPr/>
              <w:t>1</w:t>
            </w:r>
            <w:r>
              <w:rPr/>
              <w:t>篇，小计不少</w:t>
            </w:r>
            <w:r>
              <w:rPr/>
              <w:t>12</w:t>
            </w:r>
            <w:r>
              <w:rPr/>
              <w:t>篇）。</w:t>
            </w:r>
          </w:p>
          <w:p>
            <w:pPr>
              <w:pStyle w:val="null3"/>
              <w:ind w:firstLine="400"/>
              <w:jc w:val="both"/>
            </w:pPr>
            <w:r>
              <w:rPr/>
              <w:t>5.</w:t>
            </w:r>
            <w:r>
              <w:rPr/>
              <w:t>协助开展绿色石化和新材料产业调研，围绕重点领域、重点区域、重点企业、重点项目、重大平台建设，绘制产业发展路线图及细分链条的核心企业分布图。</w:t>
            </w:r>
          </w:p>
          <w:p>
            <w:pPr>
              <w:pStyle w:val="null3"/>
              <w:ind w:firstLine="400"/>
              <w:jc w:val="both"/>
            </w:pPr>
            <w:r>
              <w:rPr/>
              <w:t>6.</w:t>
            </w:r>
            <w:r>
              <w:rPr/>
              <w:t>每年开展不少于</w:t>
            </w:r>
            <w:r>
              <w:rPr/>
              <w:t>1</w:t>
            </w:r>
            <w:r>
              <w:rPr/>
              <w:t>场产业调研活动。针对产业薄弱环节和核心技术，组织专项调研对接或邀请企业、高校等来穗对接。</w:t>
            </w:r>
          </w:p>
          <w:p>
            <w:pPr>
              <w:pStyle w:val="null3"/>
              <w:jc w:val="both"/>
            </w:pPr>
            <w:r>
              <w:rPr>
                <w:sz w:val="21"/>
              </w:rPr>
              <w:t>7.</w:t>
            </w:r>
            <w:r>
              <w:rPr>
                <w:sz w:val="21"/>
              </w:rPr>
              <w:t>完成本产业牵头处室交办的与本产业做强做优相关的工作任务。</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1.采购代理机构：本项目是指广东嘉晟招标采购有限公司，负责整个采购活动的组织，依法负责编制和发布磋商文件，对磋商文件拥有最终的解释权，不以任何身份出任磋商小组成员。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收取。采购机构代理服务收费标准：参照《中华人民共和国国家计划委员会关于印发&lt;招标代理服务收费管理暂行办法&gt;的通知》（计价格〔2002〕1980号）的“服务类”标准计算，以本项目的采购预算作为收费的计算依据（经计算得出低于8000元的按8000元定额收取），招标代理服务费由成交供应商在领取《成交通知书》前一次性向采购代理机构缴纳。</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w:t>
      </w:r>
    </w:p>
    <w:p>
      <w:pPr>
        <w:pStyle w:val="null3"/>
        <w:ind w:firstLine="480"/>
      </w:pPr>
      <w:r>
        <w:rPr/>
        <w:t>电话：</w:t>
      </w:r>
      <w:r>
        <w:rPr/>
        <w:t>020-38818049</w:t>
      </w:r>
    </w:p>
    <w:p>
      <w:pPr>
        <w:pStyle w:val="null3"/>
        <w:ind w:firstLine="480"/>
      </w:pPr>
      <w:r>
        <w:rPr/>
        <w:t>传真：</w:t>
      </w:r>
      <w:r>
        <w:rPr/>
        <w:t>/</w:t>
      </w:r>
    </w:p>
    <w:p>
      <w:pPr>
        <w:pStyle w:val="null3"/>
        <w:ind w:firstLine="480"/>
      </w:pPr>
      <w:r>
        <w:rPr/>
        <w:t>邮箱：</w:t>
      </w:r>
      <w:r>
        <w:rPr/>
        <w:t>jszbcg@163.com</w:t>
      </w:r>
    </w:p>
    <w:p>
      <w:pPr>
        <w:pStyle w:val="null3"/>
        <w:ind w:firstLine="480"/>
      </w:pPr>
      <w:r>
        <w:rPr/>
        <w:t>地址：</w:t>
      </w:r>
      <w:r>
        <w:rPr/>
        <w:t>广州市天河区天源路401号之一142房</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智能网联与新能源汽车产业支撑服务项目)：综合评分法,是指响应文件满足磋商文件全部实质性要求，且按照评审因素的量化指标评审得分最高的投标人为成交候选人的评标方法。（最低报价不是成交的唯一依据。）</w:t>
      </w:r>
    </w:p>
    <w:p>
      <w:pPr>
        <w:pStyle w:val="null3"/>
      </w:pPr>
      <w:r>
        <w:rPr/>
        <w:t>采购包2(超高清视频与新型显示产业支撑服务项目)：综合评分法,是指响应文件满足磋商文件全部实质性要求，且按照评审因素的量化指标评审得分最高的投标人为成交候选人的评标方法。（最低报价不是成交的唯一依据。）</w:t>
      </w:r>
    </w:p>
    <w:p>
      <w:pPr>
        <w:pStyle w:val="null3"/>
      </w:pPr>
      <w:r>
        <w:rPr/>
        <w:t>采购包3(生物医药与健康产业支撑服务项目)：综合评分法,是指响应文件满足磋商文件全部实质性要求，且按照评审因素的量化指标评审得分最高的投标人为成交候选人的评标方法。（最低报价不是成交的唯一依据。）</w:t>
      </w:r>
    </w:p>
    <w:p>
      <w:pPr>
        <w:pStyle w:val="null3"/>
      </w:pPr>
      <w:r>
        <w:rPr/>
        <w:t>采购包4(绿色石化和新材料支撑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广东嘉晟招标采购有限公司</w:t>
      </w:r>
      <w:r>
        <w:rPr/>
        <w:t>统一对外发布。</w:t>
      </w:r>
    </w:p>
    <w:p>
      <w:pPr>
        <w:pStyle w:val="null3"/>
        <w:ind w:firstLine="480"/>
      </w:pPr>
      <w:r>
        <w:rPr/>
        <w:t>（2）对</w:t>
      </w:r>
      <w:r>
        <w:rPr/>
        <w:t>广东嘉晟招标采购有限公司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采购包1（广州市智能网联与新能源汽车产业支撑服务项目）：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采购包2（超高清视频与新型显示产业支撑服务项目）：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采购包3（生物医药与健康产业支撑服务项目）：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采购包4（绿色石化和新材料支撑服务项目）：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采购包1（广州市智能网联与新能源汽车产业支撑服务项目）：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副本扫描件。分支机构投标（响应）的，须提供总公司和分公司营业执照副本扫描件，总公司出具给分支机构的授权书。（如以联合体形式响应，联合体各方均须提供，须加盖联合体各方公章）</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提供资格声明函，并加盖公章（格式自拟）。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以联合体形式响应，联合体各方均须提供，须加盖联合体各方公章）</w:t>
            </w:r>
          </w:p>
        </w:tc>
      </w:tr>
      <w:tr>
        <w:tc>
          <w:tcPr>
            <w:tcW w:type="dxa" w:w="890"/>
          </w:tcPr>
          <w:p>
            <w:pPr>
              <w:pStyle w:val="null3"/>
            </w:pPr>
            <w:r>
              <w:rPr/>
              <w:t>6</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属于不专门面向中小企业采购的项目（预留采购份额无法确保充分供应、充分竞争，或者存在可能影响政府采购目标实现的情形）</w:t>
            </w:r>
          </w:p>
        </w:tc>
      </w:tr>
    </w:tbl>
    <w:p>
      <w:pPr>
        <w:pStyle w:val="null3"/>
      </w:pPr>
      <w:r>
        <w:rPr/>
        <w:t>采购包2（超高清视频与新型显示产业支撑服务项目）：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副本扫描件。分支机构投标（响应）的，须提供总公司和分公司营业执照副本扫描件，总公司出具给分支机构的授权书。（如以联合体形式响应，联合体各方均须提供，须加盖联合体各方公章）</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提供资格声明函，并加盖公章（格式自拟）。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以联合体形式响应，联合体各方均须提供，须加盖联合体各方公章）</w:t>
            </w:r>
          </w:p>
        </w:tc>
      </w:tr>
      <w:tr>
        <w:tc>
          <w:tcPr>
            <w:tcW w:type="dxa" w:w="890"/>
          </w:tcPr>
          <w:p>
            <w:pPr>
              <w:pStyle w:val="null3"/>
            </w:pPr>
            <w:r>
              <w:rPr/>
              <w:t>6</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服务的承接商须为中小微企业或监狱企业或残疾人福利性单位（监狱企业或残疾人福利性单位视同小型、微型企业）。中小微企业划分标准所属行业：其他未列明行业。【注：中小微企业以供应商填写的《中小企业声明函》（格式见附件）为判定标准，残疾人福利性单位以供应商填写的《残疾人福利性单位声明函》（格式见附件）为判定标准，监狱企业须供应商提供由省级以上监狱管理局、戒毒管理局（含新疆生产建设兵团）出具的属于监狱企业的证明文件，否则不予认定。】</w:t>
            </w:r>
          </w:p>
        </w:tc>
      </w:tr>
    </w:tbl>
    <w:p>
      <w:pPr>
        <w:pStyle w:val="null3"/>
      </w:pPr>
      <w:r>
        <w:rPr/>
        <w:t>采购包3（生物医药与健康产业支撑服务项目）：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副本扫描件。分支机构投标（响应）的，须提供总公司和分公司营业执照副本扫描件，总公司出具给分支机构的授权书。（如以联合体形式响应，联合体各方均须提供，须加盖联合体各方公章）</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提供资格声明函，并加盖公章（格式自拟）。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以联合体形式响应，联合体各方均须提供，须加盖联合体各方公章）</w:t>
            </w:r>
          </w:p>
        </w:tc>
      </w:tr>
      <w:tr>
        <w:tc>
          <w:tcPr>
            <w:tcW w:type="dxa" w:w="890"/>
          </w:tcPr>
          <w:p>
            <w:pPr>
              <w:pStyle w:val="null3"/>
            </w:pPr>
            <w:r>
              <w:rPr/>
              <w:t>6</w:t>
            </w:r>
          </w:p>
        </w:tc>
        <w:tc>
          <w:tcPr>
            <w:tcW w:type="dxa" w:w="3178"/>
          </w:tcPr>
          <w:p>
            <w:pPr>
              <w:pStyle w:val="null3"/>
            </w:pPr>
            <w:r>
              <w:rPr/>
              <w:t>本采购包接受联合体响应</w:t>
            </w:r>
          </w:p>
        </w:tc>
        <w:tc>
          <w:tcPr>
            <w:tcW w:type="dxa" w:w="4238"/>
          </w:tcPr>
          <w:p>
            <w:pPr>
              <w:pStyle w:val="null3"/>
            </w:pPr>
            <w:r>
              <w:rPr/>
              <w:t>本采购包接受联合体响应（提交联合体各方签署的《联合体共同响应协议书》）</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属于不专门面向中小企业采购的项目（预留采购份额无法确保充分供应、充分竞争，或者存在可能影响政府采购目标实现的情形）</w:t>
            </w:r>
          </w:p>
        </w:tc>
      </w:tr>
    </w:tbl>
    <w:p>
      <w:pPr>
        <w:pStyle w:val="null3"/>
      </w:pPr>
      <w:r>
        <w:rPr/>
        <w:t>采购包4（绿色石化和新材料支撑服务项目）：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副本扫描件。分支机构投标（响应）的，须提供总公司和分公司营业执照副本扫描件，总公司出具给分支机构的授权书。（如以联合体形式响应，联合体各方均须提供，须加盖联合体各方公章）</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提供资格声明函，并加盖公章（格式自拟）。（如以联合体形式响应，联合体各方均须提供，须加盖联合体各方公章）</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提供资格声明函，并加盖公章（格式自拟）。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以联合体形式响应，联合体各方均须提供，须加盖联合体各方公章）</w:t>
            </w:r>
          </w:p>
        </w:tc>
      </w:tr>
      <w:tr>
        <w:tc>
          <w:tcPr>
            <w:tcW w:type="dxa" w:w="890"/>
          </w:tcPr>
          <w:p>
            <w:pPr>
              <w:pStyle w:val="null3"/>
            </w:pPr>
            <w:r>
              <w:rPr/>
              <w:t>6</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以联合体形式响应，联合体各方均须提供，须加盖联合体各方公章）</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如以联合体形式响应，联合体各方均须提供，须加盖联合体各方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属于不专门面向中小企业采购的项目（预留采购份额无法确保充分供应、充分竞争，或者存在可能影响政府采购目标实现的情形）</w:t>
            </w:r>
          </w:p>
        </w:tc>
      </w:tr>
    </w:tbl>
    <w:p>
      <w:pPr>
        <w:pStyle w:val="null3"/>
        <w:ind w:firstLine="480"/>
      </w:pPr>
      <w:r>
        <w:rPr/>
        <w:t>表二符合性审查表：</w:t>
      </w:r>
    </w:p>
    <w:p>
      <w:pPr>
        <w:pStyle w:val="null3"/>
      </w:pPr>
      <w:r>
        <w:rPr/>
        <w:t>采购包1（广州市智能网联与新能源汽车产业支撑服务项目）：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为响应截止之日起90日内有效。</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按第六章“响应文件格式与要求”中各类文件格式要求签署、盖章。</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是固定唯一价，未超出磋商文件中规定的采购预算金额或最高限价。</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满足磋商文件中的★条款。</w:t>
            </w:r>
          </w:p>
        </w:tc>
      </w:tr>
      <w:tr>
        <w:tc>
          <w:tcPr>
            <w:tcW w:type="dxa" w:w="890"/>
          </w:tcPr>
          <w:p>
            <w:pPr>
              <w:pStyle w:val="null3"/>
            </w:pPr>
            <w:r>
              <w:rPr/>
              <w:t>5</w:t>
            </w:r>
          </w:p>
        </w:tc>
        <w:tc>
          <w:tcPr>
            <w:tcW w:type="dxa" w:w="3178"/>
          </w:tcPr>
          <w:p>
            <w:pPr>
              <w:pStyle w:val="null3"/>
            </w:pPr>
            <w:r>
              <w:rPr/>
              <w:t>其他无效响应情形</w:t>
            </w:r>
          </w:p>
        </w:tc>
        <w:tc>
          <w:tcPr>
            <w:tcW w:type="dxa" w:w="4238"/>
          </w:tcPr>
          <w:p>
            <w:pPr>
              <w:pStyle w:val="null3"/>
            </w:pPr>
            <w:r>
              <w:rPr/>
              <w:t>未发现存在如下其他无效响应情形之一： （1）评审期间，供应商没有按评审委员会的要求提交有效的澄清、说明、补正，或提交的澄清、说明、补正改变了响应文件的实质性内容； （2）供应商对采购人、采购代理机构、评审委员会及其工作人员施加影响，有碍公平、公正； （3）磋商文件中规定的其它无效响应情形； （4）法律法规规定属于响应无效的其他情形。</w:t>
            </w:r>
          </w:p>
        </w:tc>
      </w:tr>
    </w:tbl>
    <w:p>
      <w:pPr>
        <w:pStyle w:val="null3"/>
      </w:pPr>
      <w:r>
        <w:rPr/>
        <w:t>采购包2（超高清视频与新型显示产业支撑服务项目）：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为响应截止之日起90日内有效。</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按第六章“响应文件格式与要求”中各类文件格式要求签署、盖章。</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是固定唯一价，未超出磋商文件中规定的采购预算金额或最高限价。</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满足磋商文件中的★条款。</w:t>
            </w:r>
          </w:p>
        </w:tc>
      </w:tr>
      <w:tr>
        <w:tc>
          <w:tcPr>
            <w:tcW w:type="dxa" w:w="890"/>
          </w:tcPr>
          <w:p>
            <w:pPr>
              <w:pStyle w:val="null3"/>
            </w:pPr>
            <w:r>
              <w:rPr/>
              <w:t>5</w:t>
            </w:r>
          </w:p>
        </w:tc>
        <w:tc>
          <w:tcPr>
            <w:tcW w:type="dxa" w:w="3178"/>
          </w:tcPr>
          <w:p>
            <w:pPr>
              <w:pStyle w:val="null3"/>
            </w:pPr>
            <w:r>
              <w:rPr/>
              <w:t>其他无效响应情形</w:t>
            </w:r>
          </w:p>
        </w:tc>
        <w:tc>
          <w:tcPr>
            <w:tcW w:type="dxa" w:w="4238"/>
          </w:tcPr>
          <w:p>
            <w:pPr>
              <w:pStyle w:val="null3"/>
            </w:pPr>
            <w:r>
              <w:rPr/>
              <w:t>未发现存在如下其他无效响应情形之一： （1）评审期间，供应商没有按评审委员会的要求提交有效的澄清、说明、补正，或提交的澄清、说明、补正改变了响应文件的实质性内容； （2）供应商对采购人、采购代理机构、评审委员会及其工作人员施加影响，有碍公平、公正； （3）磋商文件中规定的其它无效响应情形； （4）法律法规规定属于响应无效的其他情形。</w:t>
            </w:r>
          </w:p>
        </w:tc>
      </w:tr>
    </w:tbl>
    <w:p>
      <w:pPr>
        <w:pStyle w:val="null3"/>
      </w:pPr>
      <w:r>
        <w:rPr/>
        <w:t>采购包3（生物医药与健康产业支撑服务项目）：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为响应截止之日起90日内有效。</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按第六章“响应文件格式与要求”中各类文件格式要求签署、盖章。</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是固定唯一价，未超出磋商文件中规定的采购预算金额或最高限价。</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满足磋商文件中的★条款。</w:t>
            </w:r>
          </w:p>
        </w:tc>
      </w:tr>
      <w:tr>
        <w:tc>
          <w:tcPr>
            <w:tcW w:type="dxa" w:w="890"/>
          </w:tcPr>
          <w:p>
            <w:pPr>
              <w:pStyle w:val="null3"/>
            </w:pPr>
            <w:r>
              <w:rPr/>
              <w:t>5</w:t>
            </w:r>
          </w:p>
        </w:tc>
        <w:tc>
          <w:tcPr>
            <w:tcW w:type="dxa" w:w="3178"/>
          </w:tcPr>
          <w:p>
            <w:pPr>
              <w:pStyle w:val="null3"/>
            </w:pPr>
            <w:r>
              <w:rPr/>
              <w:t>其他无效响应情形</w:t>
            </w:r>
          </w:p>
        </w:tc>
        <w:tc>
          <w:tcPr>
            <w:tcW w:type="dxa" w:w="4238"/>
          </w:tcPr>
          <w:p>
            <w:pPr>
              <w:pStyle w:val="null3"/>
            </w:pPr>
            <w:r>
              <w:rPr/>
              <w:t>未发现存在如下其他无效响应情形之一： （1）评审期间，供应商没有按评审委员会的要求提交有效的澄清、说明、补正，或提交的澄清、说明、补正改变了响应文件的实质性内容； （2）供应商对采购人、采购代理机构、评审委员会及其工作人员施加影响，有碍公平、公正； （3）磋商文件中规定的其它无效响应情形； （4）法律法规规定属于响应无效的其他情形。</w:t>
            </w:r>
          </w:p>
        </w:tc>
      </w:tr>
    </w:tbl>
    <w:p>
      <w:pPr>
        <w:pStyle w:val="null3"/>
      </w:pPr>
      <w:r>
        <w:rPr/>
        <w:t>采购包4（绿色石化和新材料支撑服务项目）：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为响应截止之日起90日内有效。</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按第六章“响应文件格式与要求”中各类文件格式要求签署、盖章。</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是固定唯一价，未超出磋商文件中规定的采购预算金额或最高限价。</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满足磋商文件中的★条款。</w:t>
            </w:r>
          </w:p>
        </w:tc>
      </w:tr>
      <w:tr>
        <w:tc>
          <w:tcPr>
            <w:tcW w:type="dxa" w:w="890"/>
          </w:tcPr>
          <w:p>
            <w:pPr>
              <w:pStyle w:val="null3"/>
            </w:pPr>
            <w:r>
              <w:rPr/>
              <w:t>5</w:t>
            </w:r>
          </w:p>
        </w:tc>
        <w:tc>
          <w:tcPr>
            <w:tcW w:type="dxa" w:w="3178"/>
          </w:tcPr>
          <w:p>
            <w:pPr>
              <w:pStyle w:val="null3"/>
            </w:pPr>
            <w:r>
              <w:rPr/>
              <w:t>其他无效响应情形</w:t>
            </w:r>
          </w:p>
        </w:tc>
        <w:tc>
          <w:tcPr>
            <w:tcW w:type="dxa" w:w="4238"/>
          </w:tcPr>
          <w:p>
            <w:pPr>
              <w:pStyle w:val="null3"/>
            </w:pPr>
            <w:r>
              <w:rPr/>
              <w:t>未发现存在如下其他无效响应情形之一： （1）评审期间，供应商没有按评审委员会的要求提交有效的澄清、说明、补正，或提交的澄清、说明、补正改变了响应文件的实质性内容； （2）供应商对采购人、采购代理机构、评审委员会及其工作人员施加影响，有碍公平、公正； （3）磋商文件中规定的其它无效响应情形； （4）法律法规规定属于响应无效的其他情形。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采购包1(广州市智能网联与新能源汽车产业支撑服务项目):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采购人需求的响应程度 (5.0分)</w:t>
            </w:r>
          </w:p>
        </w:tc>
        <w:tc>
          <w:tcPr>
            <w:tcW w:type="dxa" w:w="5076"/>
          </w:tcPr>
          <w:p>
            <w:pPr>
              <w:pStyle w:val="null3"/>
              <w:jc w:val="left"/>
            </w:pPr>
            <w:r>
              <w:rPr/>
              <w:t>根据供应商对本项目采购人需求的响应程度情况评审： 供应商响应全部满足本项目用户需求书中不带“▲”号、不带“★”号的一般商务技术要求，得5分；每负偏离1条的，扣1分；完全不满足（全部负偏离）的不得分。 注：如用户需求书有要求提供具体证明材料的，需按用户需求书要求提供；如用户需求书无明确要求提供的证明材料，则以供应商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对项目的认知理解 (5.0分)</w:t>
            </w:r>
          </w:p>
        </w:tc>
        <w:tc>
          <w:tcPr>
            <w:tcW w:type="dxa" w:w="5076"/>
          </w:tcPr>
          <w:p>
            <w:pPr>
              <w:pStyle w:val="null3"/>
              <w:jc w:val="left"/>
            </w:pPr>
            <w:r>
              <w:rPr/>
              <w:t>根据供应商对本项目的认知理解情况进行评审： （1）认识全面，理解深刻，定位清晰度高，完全满足并优于采购文件的，得5分； （2）认识和理解全面性一般、定位清晰度一般，完全满足采购文件的，得3分； （3）认识和理解片面，定位清晰度差，不完全满足采购文件的，得1分； （4）未提供的不计分。</w:t>
            </w:r>
          </w:p>
        </w:tc>
      </w:tr>
      <w:tr>
        <w:tc>
          <w:tcPr>
            <w:tcW w:type="dxa" w:w="922"/>
            <w:gridSpan w:val="2"/>
            <w:vMerge/>
          </w:tcPr>
          <w:p/>
        </w:tc>
        <w:tc>
          <w:tcPr>
            <w:tcW w:type="dxa" w:w="2307"/>
          </w:tcPr>
          <w:p>
            <w:pPr>
              <w:pStyle w:val="null3"/>
              <w:jc w:val="left"/>
            </w:pPr>
            <w:r>
              <w:rPr/>
              <w:t>对广州市智能网联与新能源汽车产业的熟悉程度 (18.0分)</w:t>
            </w:r>
          </w:p>
        </w:tc>
        <w:tc>
          <w:tcPr>
            <w:tcW w:type="dxa" w:w="5076"/>
          </w:tcPr>
          <w:p>
            <w:pPr>
              <w:pStyle w:val="null3"/>
              <w:jc w:val="left"/>
            </w:pPr>
            <w:r>
              <w:rPr/>
              <w:t>根据供应商对广州市智能网联与新能源汽车产业的了解程度进行评审： （1）对广州市智能网联与新能源汽车产业情况充分了解，能全面把握该产业的重点难点问题，并针对全部重点难点问题提出具体可行的合理化的建议，有利于项目的需求全面满足，得18分； （2）对广州市智能网联与新能源汽车产业情况基本了解，针对部分重点难点进行分析，提出针对项目部分重点难点提出具体可行的合理化建议，基本上能满足项目的需求，得12分； （3）对广州市智能网联与新能源汽车产业情况了解程度一般的，不理解工作的重点难点，提出建议不合理或者不具备操作性，无法满足项目需求的，得6分； （4）未提供的不计分。</w:t>
            </w:r>
          </w:p>
        </w:tc>
      </w:tr>
      <w:tr>
        <w:tc>
          <w:tcPr>
            <w:tcW w:type="dxa" w:w="922"/>
            <w:gridSpan w:val="2"/>
            <w:vMerge/>
          </w:tcPr>
          <w:p/>
        </w:tc>
        <w:tc>
          <w:tcPr>
            <w:tcW w:type="dxa" w:w="2307"/>
          </w:tcPr>
          <w:p>
            <w:pPr>
              <w:pStyle w:val="null3"/>
              <w:jc w:val="left"/>
            </w:pPr>
            <w:r>
              <w:rPr/>
              <w:t>工作方案编制情况 (7.0分)</w:t>
            </w:r>
          </w:p>
        </w:tc>
        <w:tc>
          <w:tcPr>
            <w:tcW w:type="dxa" w:w="5076"/>
          </w:tcPr>
          <w:p>
            <w:pPr>
              <w:pStyle w:val="null3"/>
              <w:jc w:val="left"/>
            </w:pPr>
            <w:r>
              <w:rPr/>
              <w:t>根据供应商的工作方案编制情况进行评审： （1）工作方案条理清晰，具备完整详细的工作计划和时间节点，设计合理，可操作性强的，得7分； （2）工作方案条理性较好，具备较完整详细的工作计划和时间节点，设计较好，可操作性较好的，得4分； （3）工作方案条理性一般，具备工作计划和时间节点，设计一般，具备可操作性，得1分； （4）未提供的不计分。</w:t>
            </w:r>
          </w:p>
        </w:tc>
      </w:tr>
      <w:tr>
        <w:tc>
          <w:tcPr>
            <w:tcW w:type="dxa" w:w="922"/>
            <w:gridSpan w:val="2"/>
            <w:vMerge/>
          </w:tcPr>
          <w:p/>
        </w:tc>
        <w:tc>
          <w:tcPr>
            <w:tcW w:type="dxa" w:w="2307"/>
          </w:tcPr>
          <w:p>
            <w:pPr>
              <w:pStyle w:val="null3"/>
              <w:jc w:val="left"/>
            </w:pPr>
            <w:r>
              <w:rPr/>
              <w:t>安全保密响应情况（包括但不限于：安全保密措施、人员保密意识、安全保密制度等） (5.0分)</w:t>
            </w:r>
          </w:p>
        </w:tc>
        <w:tc>
          <w:tcPr>
            <w:tcW w:type="dxa" w:w="5076"/>
          </w:tcPr>
          <w:p>
            <w:pPr>
              <w:pStyle w:val="null3"/>
              <w:jc w:val="left"/>
            </w:pPr>
            <w:r>
              <w:rPr/>
              <w:t>根据供应商的安全保密响应情况进行评审： （1）安全保密措施科学合理，针对性强，有非常严密的相关安全保密制度得5分； （2）安全保密措施比较科学合理，针对性较强，有较严密的相关安全保密制度得3分； （3）安全保密措施缺乏科学合理性，针对性欠缺或无相关安全保密制度得1分； （4）不提供上述内容或其他情形，得0分。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根据供应商的质量保障措施情况进行评审： （1）质量保障措施全面、可行性高，得5分； （2）质量保障措施基本完整、可行性一般，得3分； （3）质量保障措施未完整、可行性低，得1分；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2022年1月1日以来，承担过同类项目的，每提供1个得1分，满分不超过10分。 注：以合同签订时间为准，须提供合同关键页复印件（或扫描件）并加盖供应商公章，不提供不得分。</w:t>
            </w:r>
          </w:p>
        </w:tc>
      </w:tr>
      <w:tr>
        <w:tc>
          <w:tcPr>
            <w:tcW w:type="dxa" w:w="922"/>
            <w:gridSpan w:val="2"/>
            <w:vMerge/>
          </w:tcPr>
          <w:p/>
        </w:tc>
        <w:tc>
          <w:tcPr>
            <w:tcW w:type="dxa" w:w="2307"/>
          </w:tcPr>
          <w:p>
            <w:pPr>
              <w:pStyle w:val="null3"/>
              <w:jc w:val="left"/>
            </w:pPr>
            <w:r>
              <w:rPr/>
              <w:t>本项目负责人能力 (15.0分)</w:t>
            </w:r>
          </w:p>
        </w:tc>
        <w:tc>
          <w:tcPr>
            <w:tcW w:type="dxa" w:w="5076"/>
          </w:tcPr>
          <w:p>
            <w:pPr>
              <w:pStyle w:val="null3"/>
              <w:jc w:val="left"/>
            </w:pPr>
            <w:r>
              <w:rPr/>
              <w:t>项目负责人在汽车领域工作经验； 1、有15年（含）及以上工作经验的，得7分；10（含）-15年（不含）工作经验的，得5分；其他情况不得分； 2、取得正高职称的得3分；其他情况不得分； 3、曾承担过市级及以上部门产业政策研究类项目的，每个得2.5分，本项最高得5分。 注：提供相关证书复印件、经验证明材料复印件加盖公章，及在供应商服务的外部证明材料复印件（如供应商承诺已对接“粤省事”“粤商通”等系统且能通过系统查询到相关内容，则无须提供该项证明文件），如递交响应文件截止日之前六个月内任意一个月代缴个税税单或参保证明，不提供不得分。</w:t>
            </w:r>
          </w:p>
        </w:tc>
      </w:tr>
      <w:tr>
        <w:tc>
          <w:tcPr>
            <w:tcW w:type="dxa" w:w="922"/>
            <w:gridSpan w:val="2"/>
            <w:vMerge/>
          </w:tcPr>
          <w:p/>
        </w:tc>
        <w:tc>
          <w:tcPr>
            <w:tcW w:type="dxa" w:w="2307"/>
          </w:tcPr>
          <w:p>
            <w:pPr>
              <w:pStyle w:val="null3"/>
              <w:jc w:val="left"/>
            </w:pPr>
            <w:r>
              <w:rPr/>
              <w:t>拟投入项目团队情况 (15.0分)</w:t>
            </w:r>
          </w:p>
        </w:tc>
        <w:tc>
          <w:tcPr>
            <w:tcW w:type="dxa" w:w="5076"/>
          </w:tcPr>
          <w:p>
            <w:pPr>
              <w:pStyle w:val="null3"/>
              <w:jc w:val="left"/>
            </w:pPr>
            <w:r>
              <w:rPr/>
              <w:t>1、供应商专职研究团队不少于10人且均具有本科或以上学历，得3分。 2、团队专职人员具备智能网联与新能源汽车相关专业本科学历的，每提供1人得0.5分，具备智能网联与新能源汽车相关专业硕士或以上学历的，每提供1人得2分，本项最高得6分。 3、团队中具有高级或以上职称的每个得3分，最高得6分。 注：提供相关学历、证书复印件及本单位用工合同、及在供应商服务的外部证明材料复印件（如供应商承诺已对接“粤省事”“粤商通”等系统且能通过系统查询到相关内容，则无须提供该项证明文件），如递交响应文件截止日之前六个月内任意一个月代缴个税税单或参保证明，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采购包2(超高清视频与新型显示产业支撑服务项目):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采购人需求的响应程度 (5.0分)</w:t>
            </w:r>
          </w:p>
        </w:tc>
        <w:tc>
          <w:tcPr>
            <w:tcW w:type="dxa" w:w="5076"/>
          </w:tcPr>
          <w:p>
            <w:pPr>
              <w:pStyle w:val="null3"/>
              <w:jc w:val="left"/>
            </w:pPr>
            <w:r>
              <w:rPr/>
              <w:t>根据供应商对本项目采购人需求的响应程度情况评审： 供应商响应全部满足本项目用户需求书中不带“▲”号、不带“★”号的一般商务技术要求，得5分；每负偏离1条的，扣1分；完全不满足（全部负偏离）的不得分。 注：如用户需求书有要求提供具体证明材料的，需按用户需求书要求提供；如用户需求书无明确要求提供的证明材料，则以供应商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对项目的需求理解 (5.0分)</w:t>
            </w:r>
          </w:p>
        </w:tc>
        <w:tc>
          <w:tcPr>
            <w:tcW w:type="dxa" w:w="5076"/>
          </w:tcPr>
          <w:p>
            <w:pPr>
              <w:pStyle w:val="null3"/>
              <w:jc w:val="left"/>
            </w:pPr>
            <w:r>
              <w:rPr/>
              <w:t>根据供应商对本项目的认知理解情况进行评审： （1）认识全面，理解深刻，定位清晰度高，完全满足并优于采购文件的，得5分； （2）认识和理解全面性一般、定位清晰度一般，完全满足采购文件的，得3分； （3）认识和理解片面，定位清晰度差，不完全满足采购文件的，得1分； （4）未提供的不计分。</w:t>
            </w:r>
          </w:p>
        </w:tc>
      </w:tr>
      <w:tr>
        <w:tc>
          <w:tcPr>
            <w:tcW w:type="dxa" w:w="922"/>
            <w:gridSpan w:val="2"/>
            <w:vMerge/>
          </w:tcPr>
          <w:p/>
        </w:tc>
        <w:tc>
          <w:tcPr>
            <w:tcW w:type="dxa" w:w="2307"/>
          </w:tcPr>
          <w:p>
            <w:pPr>
              <w:pStyle w:val="null3"/>
              <w:jc w:val="left"/>
            </w:pPr>
            <w:r>
              <w:rPr/>
              <w:t>项目研究思路 (8.0分)</w:t>
            </w:r>
          </w:p>
        </w:tc>
        <w:tc>
          <w:tcPr>
            <w:tcW w:type="dxa" w:w="5076"/>
          </w:tcPr>
          <w:p>
            <w:pPr>
              <w:pStyle w:val="null3"/>
              <w:jc w:val="left"/>
            </w:pPr>
            <w:r>
              <w:rPr/>
              <w:t>根据供应商的研究方向和思路进行综合评审： （1）研究思路方法先进、切合实际、可操作性强，得8分； （2）研究思路方法较为先进、较切合实际、可操作性较强，得5分； （3）研究思路保守、方法一般、基本切合实际、可操作性欠缺，得2分； （4）不提供方案或其他情形，不得分。</w:t>
            </w:r>
          </w:p>
        </w:tc>
      </w:tr>
      <w:tr>
        <w:tc>
          <w:tcPr>
            <w:tcW w:type="dxa" w:w="922"/>
            <w:gridSpan w:val="2"/>
            <w:vMerge/>
          </w:tcPr>
          <w:p/>
        </w:tc>
        <w:tc>
          <w:tcPr>
            <w:tcW w:type="dxa" w:w="2307"/>
          </w:tcPr>
          <w:p>
            <w:pPr>
              <w:pStyle w:val="null3"/>
              <w:jc w:val="left"/>
            </w:pPr>
            <w:r>
              <w:rPr/>
              <w:t>项目服务方案 (10.0分)</w:t>
            </w:r>
          </w:p>
        </w:tc>
        <w:tc>
          <w:tcPr>
            <w:tcW w:type="dxa" w:w="5076"/>
          </w:tcPr>
          <w:p>
            <w:pPr>
              <w:pStyle w:val="null3"/>
              <w:jc w:val="left"/>
            </w:pPr>
            <w:r>
              <w:rPr/>
              <w:t>根据供应商提供的针对本项目相关的服务方案（包括但不限于服务内容、项目人员管理等）进行综合评审： （1）服务方案描述全面、详细、合理、可行性高、操作性强的，得10分； （2）服务方案描述全面、详细、合理、具有一定的可行性的，得5分； （3）服务方案描述具体但不够全面、合理性一般的，得2分； （4）不提供服务方案或其他情形，不得分。</w:t>
            </w:r>
          </w:p>
        </w:tc>
      </w:tr>
      <w:tr>
        <w:tc>
          <w:tcPr>
            <w:tcW w:type="dxa" w:w="922"/>
            <w:gridSpan w:val="2"/>
            <w:vMerge/>
          </w:tcPr>
          <w:p/>
        </w:tc>
        <w:tc>
          <w:tcPr>
            <w:tcW w:type="dxa" w:w="2307"/>
          </w:tcPr>
          <w:p>
            <w:pPr>
              <w:pStyle w:val="null3"/>
              <w:jc w:val="left"/>
            </w:pPr>
            <w:r>
              <w:rPr/>
              <w:t>研究基础能力 (8.0分)</w:t>
            </w:r>
          </w:p>
        </w:tc>
        <w:tc>
          <w:tcPr>
            <w:tcW w:type="dxa" w:w="5076"/>
          </w:tcPr>
          <w:p>
            <w:pPr>
              <w:pStyle w:val="null3"/>
              <w:jc w:val="left"/>
            </w:pPr>
            <w:r>
              <w:rPr/>
              <w:t>根据供应商2020年1月1日以来在数字经济、数字技术及产业集群相关的研究基础进行综合评审： （1）有对外公开发布具有独到见解及研究深度的研究成果或报告（如白皮书、蓝皮书、行业标准等），能体现较强研究能力的，得8分； （2）有对外公开发布具有独到见解及研究深度的研究成果或报告（如白皮书、蓝皮书、行业标准等），能体现具备一定的研究能力的，得5分； （3）没有对外公开发布具有独到见解及研究深度的研究成果或报告（如白皮书、蓝皮书、行业标准等），但有内部开展相关领域的研究，并已形成研究成果的，得2分； （4）不提供或其他情形的，不得分。 注：对外发布的研究成果需提供能体现投标人名称、发布时间的研究成果关键页，和公开渠道查到相关成果的网页截图等，并加盖投标单位公章；内部研究需提供内部立项及结题证明性文件及研究成果关键页截图，并加盖投标单位公章。</w:t>
            </w:r>
          </w:p>
        </w:tc>
      </w:tr>
      <w:tr>
        <w:tc>
          <w:tcPr>
            <w:tcW w:type="dxa" w:w="922"/>
            <w:gridSpan w:val="2"/>
            <w:vMerge/>
          </w:tcPr>
          <w:p/>
        </w:tc>
        <w:tc>
          <w:tcPr>
            <w:tcW w:type="dxa" w:w="2307"/>
          </w:tcPr>
          <w:p>
            <w:pPr>
              <w:pStyle w:val="null3"/>
              <w:jc w:val="left"/>
            </w:pPr>
            <w:r>
              <w:rPr/>
              <w:t>服务承诺和质量保证 (9.0分)</w:t>
            </w:r>
          </w:p>
        </w:tc>
        <w:tc>
          <w:tcPr>
            <w:tcW w:type="dxa" w:w="5076"/>
          </w:tcPr>
          <w:p>
            <w:pPr>
              <w:pStyle w:val="null3"/>
              <w:jc w:val="left"/>
            </w:pPr>
            <w:r>
              <w:rPr/>
              <w:t>根据供应商提供的针对本项目的质量保证方案进行综合评审： （1）质量保证方案适用性、可行性较强的，得9分； （2）质量保证方案有一定的适用性、可行性的，得4分； （3）质量保证方案适用性低、勉强可行的，得1分； （4）不提供质量保证方案或其他情形，不得分。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2022年1月1日以来，供应商具有为省级产业集群发展提供智库咨询或支撑服务的项目（行业研究、活动或专项服务等），每提供1个得4分，为市级产业集群发展提供智库咨询或支撑服务的经验（行业研究、活动或专项服务等），每提供1个得2分，为区级产业集群发展提供智库咨询或支撑服务的经验（行业研究、活动或专项服务等），每提供1个得1分。此项最高不超过10分。 注：提供合同关键页复印件（或扫描件）并加盖供应商公章，不提供不得分，时间以合同签订时间为准，同一个项目不得重复计分。</w:t>
            </w:r>
          </w:p>
        </w:tc>
      </w:tr>
      <w:tr>
        <w:tc>
          <w:tcPr>
            <w:tcW w:type="dxa" w:w="922"/>
            <w:gridSpan w:val="2"/>
            <w:vMerge/>
          </w:tcPr>
          <w:p/>
        </w:tc>
        <w:tc>
          <w:tcPr>
            <w:tcW w:type="dxa" w:w="2307"/>
          </w:tcPr>
          <w:p>
            <w:pPr>
              <w:pStyle w:val="null3"/>
              <w:jc w:val="left"/>
            </w:pPr>
            <w:r>
              <w:rPr/>
              <w:t>资源整合能力 (5.0分)</w:t>
            </w:r>
          </w:p>
        </w:tc>
        <w:tc>
          <w:tcPr>
            <w:tcW w:type="dxa" w:w="5076"/>
          </w:tcPr>
          <w:p>
            <w:pPr>
              <w:pStyle w:val="null3"/>
              <w:jc w:val="left"/>
            </w:pPr>
            <w:r>
              <w:rPr/>
              <w:t>供应商可借用或引入的外部专业智库在技术实力、科研能力及研究成果等方面的支撑能力进行综合评审： 1.供应商有面向全国范围内的行业资源，有较强的支撑能力的，得5分； 2.供应商有面向省内行业资源，有一定的支撑能力的，得3分； 3.供应商有面向较小区域范围行业资源，有部分支撑能力的，得1分； 4.不提供或其他情形不得分。（全国行业资源是指具有为国家相关政府部门提供咨询或支撑服务的经验，或为国家相关部委的下设研究机构等；省内行业资源是指具有为省政府或省相关部门提供咨询或支撑服务的经验，或为省相关部门的下设研究机构等；获得外部专业智库支持需由支撑研究机构出具项目支撑承诺书。） 注：须提供相关证明文件，否则不得分。</w:t>
            </w:r>
          </w:p>
        </w:tc>
      </w:tr>
      <w:tr>
        <w:tc>
          <w:tcPr>
            <w:tcW w:type="dxa" w:w="922"/>
            <w:gridSpan w:val="2"/>
            <w:vMerge/>
          </w:tcPr>
          <w:p/>
        </w:tc>
        <w:tc>
          <w:tcPr>
            <w:tcW w:type="dxa" w:w="2307"/>
          </w:tcPr>
          <w:p>
            <w:pPr>
              <w:pStyle w:val="null3"/>
              <w:jc w:val="left"/>
            </w:pPr>
            <w:r>
              <w:rPr/>
              <w:t>拟投入总项目负责人情况 (10.0分)</w:t>
            </w:r>
          </w:p>
        </w:tc>
        <w:tc>
          <w:tcPr>
            <w:tcW w:type="dxa" w:w="5076"/>
          </w:tcPr>
          <w:p>
            <w:pPr>
              <w:pStyle w:val="null3"/>
              <w:jc w:val="left"/>
            </w:pPr>
            <w:r>
              <w:rPr/>
              <w:t>供应商拟投入本项目的总项目负责人情况： 1、项目负责人工作经验，本项最高得3分：（1）项目负责人有10年（含）以上工作经验，得3分；（2）项目负责人有8年（含）-10年（不含）工作经验，得1分；（3）不提供或项目负责人有8年（不含）以下工作经验，得0分。 2、项目负责人职称，本项最高得7分：（1）项目负责人具备经济类高级职称，得7分；具备经济类中级职称，得2分；（2）不提供或其他情况的不得分。 注：须提供个人工作简历作为工作经验和能力证明作为证明材料（时间以个人工作简历从事相关工作的时间为准），提供有效职称证书复印件并加盖公章；须提供响应文件截止日之前六个月以内任意一个月供应商单位为以上人员代缴个税税单或参保证明，不提供或提供不全不得分。</w:t>
            </w:r>
          </w:p>
        </w:tc>
      </w:tr>
      <w:tr>
        <w:tc>
          <w:tcPr>
            <w:tcW w:type="dxa" w:w="922"/>
            <w:gridSpan w:val="2"/>
            <w:vMerge/>
          </w:tcPr>
          <w:p/>
        </w:tc>
        <w:tc>
          <w:tcPr>
            <w:tcW w:type="dxa" w:w="2307"/>
          </w:tcPr>
          <w:p>
            <w:pPr>
              <w:pStyle w:val="null3"/>
              <w:jc w:val="left"/>
            </w:pPr>
            <w:r>
              <w:rPr/>
              <w:t>拟投入项目团队人员数量 (2.0分)</w:t>
            </w:r>
          </w:p>
        </w:tc>
        <w:tc>
          <w:tcPr>
            <w:tcW w:type="dxa" w:w="5076"/>
          </w:tcPr>
          <w:p>
            <w:pPr>
              <w:pStyle w:val="null3"/>
              <w:jc w:val="left"/>
            </w:pPr>
            <w:r>
              <w:rPr/>
              <w:t>供应商拟投入本项目的团队人员（不含总项目负责人）数量情况： 1、拟投入本项目的团队人员（不含总项目负责人）数量每提供1人的得0.5分，满分不超过2分。 注：须提供人员在本单位服务的外部证明材料扫描件（如供应商承诺已对接“粤省事”“粤商通”等系统且能通过系统查询到相关内容，则无须提供该项证明文件）或拟投入本项目团队人员承诺函（格式自拟），如响应文件递交截止日之前三个月内任意一个月的代缴个税税单或参加社会保险的《投保单》或《社会保险参保人员证明》或承诺函，否则不得分。</w:t>
            </w:r>
          </w:p>
        </w:tc>
      </w:tr>
      <w:tr>
        <w:tc>
          <w:tcPr>
            <w:tcW w:type="dxa" w:w="922"/>
            <w:gridSpan w:val="2"/>
            <w:vMerge/>
          </w:tcPr>
          <w:p/>
        </w:tc>
        <w:tc>
          <w:tcPr>
            <w:tcW w:type="dxa" w:w="2307"/>
          </w:tcPr>
          <w:p>
            <w:pPr>
              <w:pStyle w:val="null3"/>
              <w:jc w:val="left"/>
            </w:pPr>
            <w:r>
              <w:rPr/>
              <w:t>拟投入项目团队人员情况 (13.0分)</w:t>
            </w:r>
          </w:p>
        </w:tc>
        <w:tc>
          <w:tcPr>
            <w:tcW w:type="dxa" w:w="5076"/>
          </w:tcPr>
          <w:p>
            <w:pPr>
              <w:pStyle w:val="null3"/>
              <w:jc w:val="left"/>
            </w:pPr>
            <w:r>
              <w:rPr/>
              <w:t>供应商拟投入本项目的团队人员（不含总项目负责人）技术资格情况： 1、拟投入本项目的团队人员具备高级及以上经济类等职称证书的，每提供一个得3分，本项最高得6分。 2、拟投入本项目的团队人员具备中级及以上职称证书的，每提供一个得1分，本项最高得7分。如不满足该条件此项不得分。 注：本项满分不超过13分。注：须提供人员职称文件，否则不得分。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采购包3(生物医药与健康产业支撑服务项目):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采购人需求的响应程度 (5.0分)</w:t>
            </w:r>
          </w:p>
        </w:tc>
        <w:tc>
          <w:tcPr>
            <w:tcW w:type="dxa" w:w="5076"/>
          </w:tcPr>
          <w:p>
            <w:pPr>
              <w:pStyle w:val="null3"/>
              <w:jc w:val="left"/>
            </w:pPr>
            <w:r>
              <w:rPr/>
              <w:t>根据供应商对本项目采购人需求的响应程度情况评审： 供应商响应全部满足本项目用户需求书中不带“▲”号、不带“★”号的一般商务技术要求，得5分；每负偏离1条的，扣1分；完全不满足（全部负偏离）的不得分。 注：如用户需求书有要求提供具体证明材料的，需按用户需求书要求提供；如用户需求书无明确要求提供的证明材料，则以供应商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对项目的认知理解 (5.0分)</w:t>
            </w:r>
          </w:p>
        </w:tc>
        <w:tc>
          <w:tcPr>
            <w:tcW w:type="dxa" w:w="5076"/>
          </w:tcPr>
          <w:p>
            <w:pPr>
              <w:pStyle w:val="null3"/>
              <w:jc w:val="left"/>
            </w:pPr>
            <w:r>
              <w:rPr/>
              <w:t>根据供应商对本项目的认知理解情况进行评审： （1）认识全面，理解深刻，定位清晰度高，完全满足并优于采购文件的，得5分； （2）认识和理解全面性一般、定位清晰度一般，完全满足采购文件的，得3分； （3）认识和理解片面，定位清晰度差，不完全满足采购文件的，得1分； （4）未提供的不计分。</w:t>
            </w:r>
          </w:p>
        </w:tc>
      </w:tr>
      <w:tr>
        <w:tc>
          <w:tcPr>
            <w:tcW w:type="dxa" w:w="922"/>
            <w:gridSpan w:val="2"/>
            <w:vMerge/>
          </w:tcPr>
          <w:p/>
        </w:tc>
        <w:tc>
          <w:tcPr>
            <w:tcW w:type="dxa" w:w="2307"/>
          </w:tcPr>
          <w:p>
            <w:pPr>
              <w:pStyle w:val="null3"/>
              <w:jc w:val="left"/>
            </w:pPr>
            <w:r>
              <w:rPr/>
              <w:t>对广州市生物医药与健康产业的熟悉程度 (18.0分)</w:t>
            </w:r>
          </w:p>
        </w:tc>
        <w:tc>
          <w:tcPr>
            <w:tcW w:type="dxa" w:w="5076"/>
          </w:tcPr>
          <w:p>
            <w:pPr>
              <w:pStyle w:val="null3"/>
              <w:jc w:val="left"/>
            </w:pPr>
            <w:r>
              <w:rPr/>
              <w:t>根据供应商对广州市生物医药与健康产业的了解程度进行评审： （1）对广州市生物医药与健康产业情况充分了解，能全面把握该产业的重点难点问题，并针对全部重点难点问题提出具体可行的合理化的建议，有利于项目的需求全面满足，得18分； （2）对广州市生物医药与健康产业情况基本了解，针对部分重点难点进行分析，提出针对项目部分重点难点提出具体可行的合理化建议，基本上能满足项目的需求，得12分； （3）对广州市生物医药与健康产业情况了解程度一般的，不理解工作的重点难点，提出建议不合理或者不具备操作性，无法满足项目需求的，得6分； （4）未提供的不计分。</w:t>
            </w:r>
          </w:p>
        </w:tc>
      </w:tr>
      <w:tr>
        <w:tc>
          <w:tcPr>
            <w:tcW w:type="dxa" w:w="922"/>
            <w:gridSpan w:val="2"/>
            <w:vMerge/>
          </w:tcPr>
          <w:p/>
        </w:tc>
        <w:tc>
          <w:tcPr>
            <w:tcW w:type="dxa" w:w="2307"/>
          </w:tcPr>
          <w:p>
            <w:pPr>
              <w:pStyle w:val="null3"/>
              <w:jc w:val="left"/>
            </w:pPr>
            <w:r>
              <w:rPr/>
              <w:t>工作方案编制情况 (7.0分)</w:t>
            </w:r>
          </w:p>
        </w:tc>
        <w:tc>
          <w:tcPr>
            <w:tcW w:type="dxa" w:w="5076"/>
          </w:tcPr>
          <w:p>
            <w:pPr>
              <w:pStyle w:val="null3"/>
              <w:jc w:val="left"/>
            </w:pPr>
            <w:r>
              <w:rPr/>
              <w:t>根据供应商的工作方案编制情况进行评审： （1）工作方案条理清晰，具备完整详细的工作计划和时间节点，设计合理，可操作性强的，得7分； （2）工作方案条理性较好，具备较完整详细的工作计划和时间节点，设计较好，可操作性较好的，得4分； （3）工作方案条理性一般，具备工作计划和时间节点，设计一般，具备可操作性，得1分； （4）未提供的不计分。</w:t>
            </w:r>
          </w:p>
        </w:tc>
      </w:tr>
      <w:tr>
        <w:tc>
          <w:tcPr>
            <w:tcW w:type="dxa" w:w="922"/>
            <w:gridSpan w:val="2"/>
            <w:vMerge/>
          </w:tcPr>
          <w:p/>
        </w:tc>
        <w:tc>
          <w:tcPr>
            <w:tcW w:type="dxa" w:w="2307"/>
          </w:tcPr>
          <w:p>
            <w:pPr>
              <w:pStyle w:val="null3"/>
              <w:jc w:val="left"/>
            </w:pPr>
            <w:r>
              <w:rPr/>
              <w:t>安全保密响应情况（包括但不限于：安全保密措施、人员保密意识、安全保密制度等） (5.0分)</w:t>
            </w:r>
          </w:p>
        </w:tc>
        <w:tc>
          <w:tcPr>
            <w:tcW w:type="dxa" w:w="5076"/>
          </w:tcPr>
          <w:p>
            <w:pPr>
              <w:pStyle w:val="null3"/>
              <w:jc w:val="left"/>
            </w:pPr>
            <w:r>
              <w:rPr/>
              <w:t>根据供应商的安全保密响应情况进行评审： （1）安全保密措施科学合理，针对性强，有非常严密的相关安全保密制度得5分； （2）安全保密措施比较科学合理，针对性较强，有较严密的相关安全保密制度得3分； （3）安全保密措施缺乏科学合理性，针对性欠缺或无相关安全保密制度得1分； （4）不提供上述内容或其他情形，得0分。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根据供应商的质量保障措施情况进行评审： （1）质量保障措施全面、可行性高，得5分； （2）质量保障措施基本完整、可行性一般，得3分； （3）质量保障措施未完整、可行性低，得1分；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2022年1月1日以来，承担过同类项目的，每提供1个得2分，满分不超过10分。 注：以合同签订时间为准，提供合同关键页复印件（或扫描件）并加盖供应商公章，不提供不得分。 如以联合体响应的，依据联合体各方提供有效文件作为评审依据。</w:t>
            </w:r>
          </w:p>
        </w:tc>
      </w:tr>
      <w:tr>
        <w:tc>
          <w:tcPr>
            <w:tcW w:type="dxa" w:w="922"/>
            <w:gridSpan w:val="2"/>
            <w:vMerge/>
          </w:tcPr>
          <w:p/>
        </w:tc>
        <w:tc>
          <w:tcPr>
            <w:tcW w:type="dxa" w:w="2307"/>
          </w:tcPr>
          <w:p>
            <w:pPr>
              <w:pStyle w:val="null3"/>
              <w:jc w:val="left"/>
            </w:pPr>
            <w:r>
              <w:rPr/>
              <w:t>拟投入总项目负责人能力 (10.0分)</w:t>
            </w:r>
          </w:p>
        </w:tc>
        <w:tc>
          <w:tcPr>
            <w:tcW w:type="dxa" w:w="5076"/>
          </w:tcPr>
          <w:p>
            <w:pPr>
              <w:pStyle w:val="null3"/>
              <w:jc w:val="left"/>
            </w:pPr>
            <w:r>
              <w:rPr/>
              <w:t>供应商拟投入本项目的总项目负责人情况： 1、具备正高级职称的得3分，具备高级职称的得1分；2、具备生物医药产业规划项目经验的得3分； 3、具备市级及以上部门产业政策研究类项目的，每个项目得2分，本项最高得4分。 注：总项目负责人只能按1人计算，须提供在本单位服务的外部证明材料扫描件（如供应商承诺已对接“粤省事”“粤商通”等系统且能通过系统查询到相关内容，则无须提供该项证明文件）或拟投入本项目总项目负责人承诺函（格式自拟），如响应文件递交截止日之前三个月内任意一个月的代缴个税税单或参加社会保险的《投保单》或《社会保险参保人员证明》或承诺函，否则不得分。项目经验须提供相关证明材料，否则不得分。 如以联合体响应的，依据联合体各方提供有效文件作为评审依据。</w:t>
            </w:r>
          </w:p>
        </w:tc>
      </w:tr>
      <w:tr>
        <w:tc>
          <w:tcPr>
            <w:tcW w:type="dxa" w:w="922"/>
            <w:gridSpan w:val="2"/>
            <w:vMerge/>
          </w:tcPr>
          <w:p/>
        </w:tc>
        <w:tc>
          <w:tcPr>
            <w:tcW w:type="dxa" w:w="2307"/>
          </w:tcPr>
          <w:p>
            <w:pPr>
              <w:pStyle w:val="null3"/>
              <w:jc w:val="left"/>
            </w:pPr>
            <w:r>
              <w:rPr/>
              <w:t>拟投入项目团队人员学历 (8.0分)</w:t>
            </w:r>
          </w:p>
        </w:tc>
        <w:tc>
          <w:tcPr>
            <w:tcW w:type="dxa" w:w="5076"/>
          </w:tcPr>
          <w:p>
            <w:pPr>
              <w:pStyle w:val="null3"/>
              <w:jc w:val="left"/>
            </w:pPr>
            <w:r>
              <w:rPr/>
              <w:t>1、供应商专职研究团队人员（不含总项目负责人）具备硕士及以上学位的，每提供1人得1分，最高得5分 2、团队中具有高级或以上职称的每个得1分，最高得3分。 注：提供相关学历、证书复印件及本单位用工合同、及在供应商服务的外部证明材料复印件（如供应商承诺已对接“粤省事”“粤商通”等系统且能通过系统查询到相关内容，则无须提供该项证明文件），如递交响应文件截止日之前六个月内任意一个月代缴个税税单或参保证明，不提供不得分。 如以联合体响应的，依据联合体各方提供有效文件作为评审依据。</w:t>
            </w:r>
          </w:p>
        </w:tc>
      </w:tr>
      <w:tr>
        <w:tc>
          <w:tcPr>
            <w:tcW w:type="dxa" w:w="922"/>
            <w:gridSpan w:val="2"/>
            <w:vMerge/>
          </w:tcPr>
          <w:p/>
        </w:tc>
        <w:tc>
          <w:tcPr>
            <w:tcW w:type="dxa" w:w="2307"/>
          </w:tcPr>
          <w:p>
            <w:pPr>
              <w:pStyle w:val="null3"/>
              <w:jc w:val="left"/>
            </w:pPr>
            <w:r>
              <w:rPr/>
              <w:t>拟投入项目团队人员经验 (6.0分)</w:t>
            </w:r>
          </w:p>
        </w:tc>
        <w:tc>
          <w:tcPr>
            <w:tcW w:type="dxa" w:w="5076"/>
          </w:tcPr>
          <w:p>
            <w:pPr>
              <w:pStyle w:val="null3"/>
              <w:jc w:val="left"/>
            </w:pPr>
            <w:r>
              <w:rPr/>
              <w:t>供应商拟投入本项目的团队人员经验情况： 1、拟投入本项目的团队人员（不含总项目负责人）具备产业政策研究类项目经验的，每提供1人的得1分，满分不超过3分； 2、拟投入本项目的团队人员（含总项目负责人）具备生物医药产业分析经验的，每提供1人的得1分，满分不超过3分。 注：人员经验须提供相关证明材料，否则不得分。 如以联合体响应的，依据联合体各方提供有效文件作为评审依据。</w:t>
            </w:r>
          </w:p>
        </w:tc>
      </w:tr>
      <w:tr>
        <w:tc>
          <w:tcPr>
            <w:tcW w:type="dxa" w:w="922"/>
            <w:gridSpan w:val="2"/>
            <w:vMerge/>
          </w:tcPr>
          <w:p/>
        </w:tc>
        <w:tc>
          <w:tcPr>
            <w:tcW w:type="dxa" w:w="2307"/>
          </w:tcPr>
          <w:p>
            <w:pPr>
              <w:pStyle w:val="null3"/>
              <w:jc w:val="left"/>
            </w:pPr>
            <w:r>
              <w:rPr/>
              <w:t>管理体系认证 （如以联合体响应的，依据联合体各方提供有效文件作为评审依据） (6.0分)</w:t>
            </w:r>
          </w:p>
        </w:tc>
        <w:tc>
          <w:tcPr>
            <w:tcW w:type="dxa" w:w="5076"/>
          </w:tcPr>
          <w:p>
            <w:pPr>
              <w:pStyle w:val="null3"/>
              <w:jc w:val="left"/>
            </w:pPr>
            <w:r>
              <w:rPr/>
              <w:t>1、供应商具有有效的质量管理体系认证证书的，得2分； 2、供应商具有有效的环境管理体系认证证书的，得2分； 3、供应商具有有效的职业健康安全管理体系认证证书的，得2分。 注：须提供证书复印件，不提供不得分。如联合体参与响应的，指联合体任意一方证书。</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采购包4(绿色石化和新材料支撑服务项目):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采购人需求的响应程度 (5.0分)</w:t>
            </w:r>
          </w:p>
        </w:tc>
        <w:tc>
          <w:tcPr>
            <w:tcW w:type="dxa" w:w="5076"/>
          </w:tcPr>
          <w:p>
            <w:pPr>
              <w:pStyle w:val="null3"/>
              <w:jc w:val="left"/>
            </w:pPr>
            <w:r>
              <w:rPr/>
              <w:t>根据供应商对本项目采购人需求的响应程度情况评审： 供应商响应全部满足本项目用户需求书中不带“▲”号、不带“★”号的一般商务技术要求，得5分；每负偏离1条的，扣1分；完全不满足（全部负偏离）的不得分。 注：如用户需求书有要求提供具体证明材料的，需按用户需求书要求提供；如用户需求书无明确要求提供的证明材料，则以供应商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对项目的认知理解 (5.0分)</w:t>
            </w:r>
          </w:p>
        </w:tc>
        <w:tc>
          <w:tcPr>
            <w:tcW w:type="dxa" w:w="5076"/>
          </w:tcPr>
          <w:p>
            <w:pPr>
              <w:pStyle w:val="null3"/>
              <w:jc w:val="left"/>
            </w:pPr>
            <w:r>
              <w:rPr/>
              <w:t>根据供应商对本项目的认知理解情况进行评审： （1）认识全面，理解深刻，定位清晰度高，完全满足并优于采购文件的，得5分； （2）认识和理解全面性一般、定位清晰度一般，完全满足采购文件的，得3分； （3）认识和理解片面，定位清晰度差，不完全满足采购文件的，得1分； （4）未提供的不计分。</w:t>
            </w:r>
          </w:p>
        </w:tc>
      </w:tr>
      <w:tr>
        <w:tc>
          <w:tcPr>
            <w:tcW w:type="dxa" w:w="922"/>
            <w:gridSpan w:val="2"/>
            <w:vMerge/>
          </w:tcPr>
          <w:p/>
        </w:tc>
        <w:tc>
          <w:tcPr>
            <w:tcW w:type="dxa" w:w="2307"/>
          </w:tcPr>
          <w:p>
            <w:pPr>
              <w:pStyle w:val="null3"/>
              <w:jc w:val="left"/>
            </w:pPr>
            <w:r>
              <w:rPr/>
              <w:t>对广州市绿色石化和新材料产业的熟悉程度 (18.0分)</w:t>
            </w:r>
          </w:p>
        </w:tc>
        <w:tc>
          <w:tcPr>
            <w:tcW w:type="dxa" w:w="5076"/>
          </w:tcPr>
          <w:p>
            <w:pPr>
              <w:pStyle w:val="null3"/>
              <w:jc w:val="left"/>
            </w:pPr>
            <w:r>
              <w:rPr/>
              <w:t>根据供应商对广州市绿色石化和新材料产业的了解程度进行评审： （1）对广州市绿色石化和新材料产业情况充分了解，能全面把握该产业的重点难点问题，并针对全部重点难点问题提出具体可行的合理化的建议，有利于项目的需求全面满足，得18分； （2）对广州市绿色石化和新材料产业情况基本了解，针对部分重点难点进行分析，提出针对项目部分重点难点提出具体可行的合理化建议，基本上能满足项目的需求，得12分； （3）对广州市绿色石化和新材料产业情况了解程度一般的，不理解工作的重点难点，提出建议不合理或者不具备操作性，无法满足项目需求的，得6分； （4）未提供的不计分。</w:t>
            </w:r>
          </w:p>
        </w:tc>
      </w:tr>
      <w:tr>
        <w:tc>
          <w:tcPr>
            <w:tcW w:type="dxa" w:w="922"/>
            <w:gridSpan w:val="2"/>
            <w:vMerge/>
          </w:tcPr>
          <w:p/>
        </w:tc>
        <w:tc>
          <w:tcPr>
            <w:tcW w:type="dxa" w:w="2307"/>
          </w:tcPr>
          <w:p>
            <w:pPr>
              <w:pStyle w:val="null3"/>
              <w:jc w:val="left"/>
            </w:pPr>
            <w:r>
              <w:rPr/>
              <w:t>工作方案编制情况 (7.0分)</w:t>
            </w:r>
          </w:p>
        </w:tc>
        <w:tc>
          <w:tcPr>
            <w:tcW w:type="dxa" w:w="5076"/>
          </w:tcPr>
          <w:p>
            <w:pPr>
              <w:pStyle w:val="null3"/>
              <w:jc w:val="left"/>
            </w:pPr>
            <w:r>
              <w:rPr/>
              <w:t>根据供应商的工作方案编制情况进行评审： （1）工作方案条理清晰，具备完整详细的工作计划和时间节点，设计合理，可操作性强的，得7分； （2）工作方案条理性较好，具备较完整详细的工作计划和时间节点，设计较好，可操作性较好的，得4分； （3）工作方案条理性一般，具备工作计划和时间节点，设计一般，具备可操作性，得1分； （4）未提供的不计分。</w:t>
            </w:r>
          </w:p>
        </w:tc>
      </w:tr>
      <w:tr>
        <w:tc>
          <w:tcPr>
            <w:tcW w:type="dxa" w:w="922"/>
            <w:gridSpan w:val="2"/>
            <w:vMerge/>
          </w:tcPr>
          <w:p/>
        </w:tc>
        <w:tc>
          <w:tcPr>
            <w:tcW w:type="dxa" w:w="2307"/>
          </w:tcPr>
          <w:p>
            <w:pPr>
              <w:pStyle w:val="null3"/>
              <w:jc w:val="left"/>
            </w:pPr>
            <w:r>
              <w:rPr/>
              <w:t>安全保密响应情况（包括但不限于：安全保密措施、人员保密意识、安全保密制度等） (5.0分)</w:t>
            </w:r>
          </w:p>
        </w:tc>
        <w:tc>
          <w:tcPr>
            <w:tcW w:type="dxa" w:w="5076"/>
          </w:tcPr>
          <w:p>
            <w:pPr>
              <w:pStyle w:val="null3"/>
              <w:jc w:val="left"/>
            </w:pPr>
            <w:r>
              <w:rPr/>
              <w:t>根据供应商的安全保密响应情况进行评审： （1）安全保密措施科学合理，针对性强，有非常严密的相关安全保密制度得5分； （2）安全保密措施比较科学合理，针对性较强，有较严密的相关安全保密制度得3分； （3）安全保密措施缺乏科学合理性，针对性欠缺或无相关安全保密制度得1分； （4）不提供上述内容或其他情形，得0分。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根据供应商的质量保障措施情况进行评审： （1）质量保障措施全面、可行性高，得5分； （2）质量保障措施基本完整、可行性一般，得3分； （3）质量保障措施未完整、可行性低，得1分；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1.供应商自2022年1月1日（时间以合同签订时间为准）至今，具有产业研究咨询项目经验的，每提供一个项目得1分，最高得7分； 2.供应商承担过市级及以上战略性产业集群或者产业链咨询机构的，每提供一个项目得1分，最高得3分。 注：须提供合同关键页复印件（或扫描件）并加盖供应商公章，不提供不得分。</w:t>
            </w:r>
          </w:p>
        </w:tc>
      </w:tr>
      <w:tr>
        <w:tc>
          <w:tcPr>
            <w:tcW w:type="dxa" w:w="922"/>
            <w:gridSpan w:val="2"/>
            <w:vMerge/>
          </w:tcPr>
          <w:p/>
        </w:tc>
        <w:tc>
          <w:tcPr>
            <w:tcW w:type="dxa" w:w="2307"/>
          </w:tcPr>
          <w:p>
            <w:pPr>
              <w:pStyle w:val="null3"/>
              <w:jc w:val="left"/>
            </w:pPr>
            <w:r>
              <w:rPr/>
              <w:t>本项目负责人能力 (15.0分)</w:t>
            </w:r>
          </w:p>
        </w:tc>
        <w:tc>
          <w:tcPr>
            <w:tcW w:type="dxa" w:w="5076"/>
          </w:tcPr>
          <w:p>
            <w:pPr>
              <w:pStyle w:val="null3"/>
              <w:jc w:val="left"/>
            </w:pPr>
            <w:r>
              <w:rPr/>
              <w:t>1、项目负责人具备化工、新材料等相关专业博士学历的，得10分，具备化工、新材料等相关专业硕士及以上学历的，得5分，其余情况不得分，本项最高得10分； 2、取得副高职称或以上的得5分，其余情况不得分。注：提供相关证书复印件加盖公章，及在供应商服务的外部证明材料复印件（如供应商承诺已对接“粤省事”“粤商通”等系统且能通过系统查询到相关内容，则无须提供该项证明文件），如递交响应文件截止日之前六个月内任意一个月具有代缴个税税单或参保证明，不提供不得分。</w:t>
            </w:r>
          </w:p>
        </w:tc>
      </w:tr>
      <w:tr>
        <w:tc>
          <w:tcPr>
            <w:tcW w:type="dxa" w:w="922"/>
            <w:gridSpan w:val="2"/>
            <w:vMerge/>
          </w:tcPr>
          <w:p/>
        </w:tc>
        <w:tc>
          <w:tcPr>
            <w:tcW w:type="dxa" w:w="2307"/>
          </w:tcPr>
          <w:p>
            <w:pPr>
              <w:pStyle w:val="null3"/>
              <w:jc w:val="left"/>
            </w:pPr>
            <w:r>
              <w:rPr/>
              <w:t>拟投入项目团队情况 (10.0分)</w:t>
            </w:r>
          </w:p>
        </w:tc>
        <w:tc>
          <w:tcPr>
            <w:tcW w:type="dxa" w:w="5076"/>
          </w:tcPr>
          <w:p>
            <w:pPr>
              <w:pStyle w:val="null3"/>
              <w:jc w:val="left"/>
            </w:pPr>
            <w:r>
              <w:rPr/>
              <w:t>供应商拟投入本项目的团队人员（不含项目负责人）情况： 1、供应商团队成员具备硕士及以上学位或中级以上职称的，每提供1人得2分，本项最高得8分； 2、供应商团队成员具备本科学历的，每提供1人得1分，本项最高得2分。 注：须提供学历证明文件以及人员在本单位服务的外部证明材料扫描件（如供应商承诺已对接“粤省事”“粤商通”等系统且能通过系统查询到相关内容，则无须提供该项证明文件），如响应文件递交截止日之前三个月内任意一个月的代缴个税税单或参加社会保险的《投保单》或《社会保险参保人员证明》或承诺函，否则不得分。</w:t>
            </w:r>
          </w:p>
        </w:tc>
      </w:tr>
      <w:tr>
        <w:tc>
          <w:tcPr>
            <w:tcW w:type="dxa" w:w="922"/>
            <w:gridSpan w:val="2"/>
            <w:vMerge/>
          </w:tcPr>
          <w:p/>
        </w:tc>
        <w:tc>
          <w:tcPr>
            <w:tcW w:type="dxa" w:w="2307"/>
          </w:tcPr>
          <w:p>
            <w:pPr>
              <w:pStyle w:val="null3"/>
              <w:jc w:val="left"/>
            </w:pPr>
            <w:r>
              <w:rPr/>
              <w:t>管理体系 (5.0分)</w:t>
            </w:r>
          </w:p>
        </w:tc>
        <w:tc>
          <w:tcPr>
            <w:tcW w:type="dxa" w:w="5076"/>
          </w:tcPr>
          <w:p>
            <w:pPr>
              <w:pStyle w:val="null3"/>
              <w:jc w:val="left"/>
            </w:pPr>
            <w:r>
              <w:rPr/>
              <w:t>供应商的管理体系情况： 1、具有质量管理体系认证（有效期内），得5分，不提供不得分； 注：须提供相关证明材料复印件加盖公章，否则不得分，同类证书不累计计分。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注</w:t>
      </w:r>
      <w:r>
        <w:rPr>
          <w:sz w:val="21"/>
        </w:rPr>
        <w:t>:</w:t>
      </w:r>
      <w:r>
        <w:rPr>
          <w:sz w:val="21"/>
        </w:rPr>
        <w:t>以下合同仅供参考，具体内容以双方按照采购文件、响应文件及相关法律政策规定所签订的合同为准</w:t>
      </w:r>
      <w:r>
        <w:rPr>
          <w:b/>
        </w:rPr>
        <w:t xml:space="preserve"> </w:t>
      </w:r>
      <w:r>
        <w:rPr/>
        <w:t xml:space="preserve"> </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440101-2025-18841</w:t>
      </w:r>
    </w:p>
    <w:p>
      <w:pPr>
        <w:pStyle w:val="null3"/>
        <w:jc w:val="center"/>
        <w:outlineLvl w:val="3"/>
      </w:pPr>
      <w:r>
        <w:rPr>
          <w:sz w:val="24"/>
          <w:b/>
        </w:rPr>
        <w:t>采购项目编号：</w:t>
      </w:r>
      <w:r>
        <w:rPr>
          <w:sz w:val="24"/>
          <w:b/>
        </w:rPr>
        <w:t>JSGZ00920125GXFW</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广东嘉晟招标采购有限公司</w:t>
      </w:r>
    </w:p>
    <w:p>
      <w:pPr>
        <w:pStyle w:val="null3"/>
        <w:ind w:firstLine="480"/>
      </w:pPr>
      <w:r>
        <w:rPr/>
        <w:t xml:space="preserve"> 你方组织的</w:t>
      </w:r>
      <w:r>
        <w:rPr>
          <w:u w:val="single"/>
        </w:rPr>
        <w:t>“</w:t>
      </w:r>
      <w:r>
        <w:rPr>
          <w:u w:val="single"/>
        </w:rPr>
        <w:t>广州市智能网联与新能源汽车产业、超高清视频与新型显示产业、生物医药与健康产业、绿色石化和新材料产业支撑服务项目</w:t>
      </w:r>
      <w:r>
        <w:rPr>
          <w:u w:val="single"/>
        </w:rPr>
        <w:t>”</w:t>
      </w:r>
      <w:r>
        <w:rPr/>
        <w:t>项目的竞争性磋商[采购项目编号为：</w:t>
      </w:r>
      <w:r>
        <w:rPr>
          <w:u w:val="single"/>
        </w:rPr>
        <w:t>JSGZ00920125GXFW</w:t>
      </w:r>
      <w:r>
        <w:rPr/>
        <w:t>]，我方愿参与响应。</w:t>
      </w:r>
    </w:p>
    <w:p>
      <w:pPr>
        <w:pStyle w:val="null3"/>
        <w:ind w:firstLine="480"/>
      </w:pPr>
      <w:r>
        <w:rPr/>
        <w:t>我方确认收到贵方提供的</w:t>
      </w:r>
      <w:r>
        <w:rPr>
          <w:u w:val="single"/>
        </w:rPr>
        <w:t>“</w:t>
      </w:r>
      <w:r>
        <w:rPr>
          <w:u w:val="single"/>
        </w:rPr>
        <w:t>广州市智能网联与新能源汽车产业、超高清视频与新型显示产业、生物医药与健康产业、绿色石化和新材料产业支撑服务项目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广东嘉晟招标采购有限公司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广州市智能网联与新能源汽车产业、超高清视频与新型显示产业、生物医药与健康产业、绿色石化和新材料产业支撑服务项目</w:t>
      </w:r>
      <w:r>
        <w:rPr/>
        <w:t>”项目采购[采购项目编号为</w:t>
      </w:r>
      <w:r>
        <w:rPr/>
        <w:t>JSGZ00920125GXFW</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广东嘉晟招标采购有限公司</w:t>
      </w:r>
    </w:p>
    <w:p>
      <w:pPr>
        <w:pStyle w:val="null3"/>
        <w:ind w:firstLine="480"/>
      </w:pPr>
      <w:r>
        <w:rPr/>
        <w:t>我单位参加贵公司组织的</w:t>
      </w:r>
      <w:r>
        <w:rPr/>
        <w:t>广州市智能网联与新能源汽车产业、超高清视频与新型显示产业、生物医药与健康产业、绿色石化和新材料产业支撑服务项目</w:t>
      </w:r>
      <w:r>
        <w:rPr/>
        <w:t>（采购项目编号：</w:t>
      </w:r>
      <w:r>
        <w:rPr/>
        <w:t>JSGZ00920125GXFW</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