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44"/>
          <w:szCs w:val="44"/>
          <w:lang w:eastAsia="zh-CN"/>
        </w:rPr>
      </w:pPr>
      <w:bookmarkStart w:id="0" w:name="_GoBack"/>
      <w:bookmarkEnd w:id="0"/>
      <w:r>
        <w:rPr>
          <w:rFonts w:hint="eastAsia" w:ascii="宋体" w:hAnsi="宋体" w:eastAsia="宋体" w:cs="宋体"/>
          <w:b/>
          <w:bCs/>
          <w:sz w:val="44"/>
          <w:szCs w:val="44"/>
          <w:lang w:eastAsia="zh-CN"/>
        </w:rPr>
        <w:t>供应商须知</w:t>
      </w:r>
    </w:p>
    <w:p>
      <w:pPr>
        <w:jc w:val="center"/>
        <w:rPr>
          <w:rFonts w:hint="eastAsia" w:eastAsiaTheme="minorEastAsia"/>
          <w:b/>
          <w:bCs/>
          <w:sz w:val="44"/>
          <w:szCs w:val="44"/>
          <w:lang w:eastAsia="zh-CN"/>
        </w:rPr>
      </w:pPr>
    </w:p>
    <w:p>
      <w:pPr>
        <w:adjustRightInd w:val="0"/>
        <w:snapToGrid w:val="0"/>
        <w:spacing w:line="58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1.参与采购活动需具备哪些基本条件？</w:t>
      </w:r>
    </w:p>
    <w:p>
      <w:pPr>
        <w:adjustRightInd w:val="0"/>
        <w:snapToGrid w:val="0"/>
        <w:spacing w:line="580" w:lineRule="exact"/>
        <w:rPr>
          <w:rFonts w:hint="eastAsia" w:ascii="黑体" w:hAnsi="黑体" w:eastAsia="黑体" w:cs="黑体"/>
          <w:b/>
          <w:bCs/>
          <w:color w:val="auto"/>
          <w:sz w:val="32"/>
          <w:szCs w:val="32"/>
          <w:lang w:val="en-US" w:eastAsia="zh-CN"/>
        </w:rPr>
      </w:pPr>
    </w:p>
    <w:p>
      <w:pPr>
        <w:adjustRightInd w:val="0"/>
        <w:snapToGrid w:val="0"/>
        <w:spacing w:line="58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1.1必须具有良好的商业信誉。不能是失信被执行人；</w:t>
      </w:r>
    </w:p>
    <w:p>
      <w:pPr>
        <w:adjustRightInd w:val="0"/>
        <w:snapToGrid w:val="0"/>
        <w:spacing w:line="58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1.2必须具有合法的生产经营资质；</w:t>
      </w:r>
    </w:p>
    <w:p>
      <w:pPr>
        <w:adjustRightInd w:val="0"/>
        <w:snapToGrid w:val="0"/>
        <w:spacing w:line="580" w:lineRule="exact"/>
        <w:ind w:firstLine="640" w:firstLineChars="200"/>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lang w:val="en-US" w:eastAsia="zh-CN"/>
        </w:rPr>
        <w:t>1.3必须具有</w:t>
      </w:r>
      <w:r>
        <w:rPr>
          <w:rFonts w:hint="eastAsia" w:ascii="仿宋_GB2312" w:hAnsi="宋体" w:eastAsia="仿宋_GB2312" w:cs="仿宋_GB2312"/>
          <w:color w:val="auto"/>
          <w:sz w:val="32"/>
          <w:szCs w:val="32"/>
          <w:highlight w:val="none"/>
          <w:lang w:val="en-US" w:eastAsia="zh-CN"/>
        </w:rPr>
        <w:t>满足要求的制造或供货能力，包括管理体系、相关业绩、营收规模、注册资金等必须满足要求。</w:t>
      </w:r>
    </w:p>
    <w:p>
      <w:pPr>
        <w:adjustRightInd w:val="0"/>
        <w:snapToGrid w:val="0"/>
        <w:spacing w:line="580" w:lineRule="exact"/>
        <w:ind w:firstLine="640" w:firstLineChars="200"/>
        <w:rPr>
          <w:rFonts w:hint="eastAsia" w:ascii="仿宋_GB2312" w:hAnsi="宋体" w:eastAsia="仿宋_GB2312" w:cs="仿宋_GB2312"/>
          <w:color w:val="auto"/>
          <w:sz w:val="32"/>
          <w:szCs w:val="32"/>
          <w:highlight w:val="none"/>
          <w:lang w:val="en-US" w:eastAsia="zh-CN"/>
        </w:rPr>
      </w:pPr>
    </w:p>
    <w:p>
      <w:pPr>
        <w:adjustRightInd w:val="0"/>
        <w:snapToGrid w:val="0"/>
        <w:spacing w:line="58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2.如何在</w:t>
      </w:r>
      <w:r>
        <w:rPr>
          <w:rFonts w:hint="eastAsia" w:ascii="黑体" w:hAnsi="黑体" w:eastAsia="黑体" w:cs="黑体"/>
          <w:b/>
          <w:bCs/>
          <w:color w:val="auto"/>
          <w:sz w:val="32"/>
          <w:szCs w:val="32"/>
          <w:lang w:eastAsia="zh-CN"/>
        </w:rPr>
        <w:t>鞍钢供应商</w:t>
      </w:r>
      <w:r>
        <w:rPr>
          <w:rFonts w:hint="eastAsia" w:ascii="黑体" w:hAnsi="黑体" w:eastAsia="黑体" w:cs="黑体"/>
          <w:b/>
          <w:bCs/>
          <w:color w:val="auto"/>
          <w:sz w:val="32"/>
          <w:szCs w:val="32"/>
          <w:lang w:val="en-US" w:eastAsia="zh-CN"/>
        </w:rPr>
        <w:t>协同平台进行注册？</w:t>
      </w:r>
    </w:p>
    <w:p>
      <w:pPr>
        <w:adjustRightInd w:val="0"/>
        <w:snapToGrid w:val="0"/>
        <w:spacing w:line="580" w:lineRule="exact"/>
        <w:rPr>
          <w:rFonts w:hint="eastAsia" w:ascii="黑体" w:hAnsi="黑体" w:eastAsia="黑体" w:cs="黑体"/>
          <w:b/>
          <w:bCs/>
          <w:color w:val="auto"/>
          <w:sz w:val="32"/>
          <w:szCs w:val="32"/>
          <w:lang w:val="en-US" w:eastAsia="zh-CN"/>
        </w:rPr>
      </w:pPr>
    </w:p>
    <w:p>
      <w:pPr>
        <w:adjustRightInd w:val="0"/>
        <w:snapToGrid w:val="0"/>
        <w:spacing w:line="58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2.1登录鞍钢供应商协同平台：http://sc.ansteel.com.cn/beps/login；  </w:t>
      </w:r>
    </w:p>
    <w:p>
      <w:pPr>
        <w:adjustRightInd w:val="0"/>
        <w:snapToGrid w:val="0"/>
        <w:spacing w:line="58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2.2打开网页在首页右下角，查看系统的操作说明或进入下面邮箱（aggys123@163.com密码：abc123）的红旗邮件，查看操作说明进行操作；</w:t>
      </w:r>
    </w:p>
    <w:p>
      <w:pPr>
        <w:adjustRightInd w:val="0"/>
        <w:snapToGrid w:val="0"/>
        <w:spacing w:line="58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2.3上传资质文件资料（原件扫描）；</w:t>
      </w:r>
    </w:p>
    <w:p>
      <w:pPr>
        <w:jc w:val="left"/>
        <w:rPr>
          <w:rFonts w:hint="eastAsia" w:ascii="仿宋_GB2312" w:hAnsi="宋体" w:eastAsia="仿宋_GB2312" w:cs="仿宋_GB2312"/>
          <w:color w:val="auto"/>
          <w:sz w:val="32"/>
          <w:szCs w:val="32"/>
          <w:lang w:val="en-US" w:eastAsia="zh-CN"/>
        </w:rPr>
      </w:pPr>
    </w:p>
    <w:p>
      <w:pPr>
        <w:adjustRightInd w:val="0"/>
        <w:snapToGrid w:val="0"/>
        <w:spacing w:line="580" w:lineRule="exact"/>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val="en-US" w:eastAsia="zh-CN"/>
        </w:rPr>
        <w:t>3.</w:t>
      </w:r>
      <w:r>
        <w:rPr>
          <w:rFonts w:hint="eastAsia" w:ascii="黑体" w:hAnsi="黑体" w:eastAsia="黑体" w:cs="黑体"/>
          <w:b/>
          <w:bCs/>
          <w:color w:val="auto"/>
          <w:sz w:val="32"/>
          <w:szCs w:val="32"/>
          <w:lang w:eastAsia="zh-CN"/>
        </w:rPr>
        <w:t>在鞍钢供应商协同</w:t>
      </w:r>
      <w:r>
        <w:rPr>
          <w:rFonts w:hint="eastAsia" w:ascii="黑体" w:hAnsi="黑体" w:eastAsia="黑体" w:cs="黑体"/>
          <w:b/>
          <w:bCs/>
          <w:color w:val="auto"/>
          <w:sz w:val="32"/>
          <w:szCs w:val="32"/>
        </w:rPr>
        <w:t>平台</w:t>
      </w:r>
      <w:r>
        <w:rPr>
          <w:rFonts w:hint="eastAsia" w:ascii="黑体" w:hAnsi="黑体" w:eastAsia="黑体" w:cs="黑体"/>
          <w:b/>
          <w:bCs/>
          <w:color w:val="auto"/>
          <w:sz w:val="32"/>
          <w:szCs w:val="32"/>
          <w:lang w:val="en-US" w:eastAsia="zh-CN"/>
        </w:rPr>
        <w:t>需</w:t>
      </w:r>
      <w:r>
        <w:rPr>
          <w:rFonts w:hint="eastAsia" w:ascii="黑体" w:hAnsi="黑体" w:eastAsia="黑体" w:cs="黑体"/>
          <w:b/>
          <w:bCs/>
          <w:color w:val="auto"/>
          <w:sz w:val="32"/>
          <w:szCs w:val="32"/>
        </w:rPr>
        <w:t>上传</w:t>
      </w:r>
      <w:r>
        <w:rPr>
          <w:rFonts w:hint="eastAsia" w:ascii="黑体" w:hAnsi="黑体" w:eastAsia="黑体" w:cs="黑体"/>
          <w:b/>
          <w:bCs/>
          <w:color w:val="auto"/>
          <w:sz w:val="32"/>
          <w:szCs w:val="32"/>
          <w:lang w:eastAsia="zh-CN"/>
        </w:rPr>
        <w:t>哪些</w:t>
      </w:r>
      <w:r>
        <w:rPr>
          <w:rFonts w:hint="eastAsia" w:ascii="黑体" w:hAnsi="黑体" w:eastAsia="黑体" w:cs="黑体"/>
          <w:b/>
          <w:bCs/>
          <w:color w:val="auto"/>
          <w:sz w:val="32"/>
          <w:szCs w:val="32"/>
        </w:rPr>
        <w:t>资质文件</w:t>
      </w:r>
      <w:r>
        <w:rPr>
          <w:rFonts w:hint="eastAsia" w:ascii="黑体" w:hAnsi="黑体" w:eastAsia="黑体" w:cs="黑体"/>
          <w:b/>
          <w:bCs/>
          <w:color w:val="auto"/>
          <w:sz w:val="32"/>
          <w:szCs w:val="32"/>
          <w:lang w:eastAsia="zh-CN"/>
        </w:rPr>
        <w:t>？</w:t>
      </w:r>
    </w:p>
    <w:p>
      <w:pPr>
        <w:adjustRightInd w:val="0"/>
        <w:snapToGrid w:val="0"/>
        <w:spacing w:line="580" w:lineRule="exact"/>
        <w:rPr>
          <w:rFonts w:hint="eastAsia" w:ascii="黑体" w:hAnsi="黑体" w:eastAsia="黑体" w:cs="黑体"/>
          <w:b/>
          <w:bCs/>
          <w:color w:val="auto"/>
          <w:sz w:val="32"/>
          <w:szCs w:val="32"/>
          <w:lang w:eastAsia="zh-CN"/>
        </w:rPr>
      </w:pP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3.1</w:t>
      </w:r>
      <w:r>
        <w:rPr>
          <w:rFonts w:hint="eastAsia" w:ascii="仿宋_GB2312" w:hAnsi="宋体" w:eastAsia="仿宋_GB2312" w:cs="仿宋_GB2312"/>
          <w:color w:val="auto"/>
          <w:sz w:val="32"/>
          <w:szCs w:val="32"/>
        </w:rPr>
        <w:t>企业营业执照（非“三证合一”需同时提供：税务登记证、组织机构代码证）；</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3.2</w:t>
      </w:r>
      <w:r>
        <w:rPr>
          <w:rFonts w:hint="eastAsia" w:ascii="仿宋_GB2312" w:hAnsi="宋体" w:eastAsia="仿宋_GB2312" w:cs="仿宋_GB2312"/>
          <w:color w:val="auto"/>
          <w:sz w:val="32"/>
          <w:szCs w:val="32"/>
        </w:rPr>
        <w:t>企业简介（包括但不限于组织机构、人员状况、生产工艺及装备、生产能力及规模、与所提供产品相对应的检查、检验设备及设施、资信等级等）；</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3.3</w:t>
      </w:r>
      <w:r>
        <w:rPr>
          <w:rFonts w:hint="eastAsia" w:ascii="仿宋_GB2312" w:hAnsi="宋体" w:eastAsia="仿宋_GB2312" w:cs="仿宋_GB2312"/>
          <w:color w:val="auto"/>
          <w:sz w:val="32"/>
          <w:szCs w:val="32"/>
        </w:rPr>
        <w:t>开户许可证；</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3.4</w:t>
      </w:r>
      <w:r>
        <w:rPr>
          <w:rFonts w:hint="eastAsia" w:ascii="仿宋_GB2312" w:hAnsi="宋体" w:eastAsia="仿宋_GB2312" w:cs="仿宋_GB2312"/>
          <w:color w:val="auto"/>
          <w:sz w:val="32"/>
          <w:szCs w:val="32"/>
        </w:rPr>
        <w:t>拟投标产品（或类似产品）的销售业绩及</w:t>
      </w:r>
      <w:r>
        <w:rPr>
          <w:rFonts w:hint="eastAsia" w:ascii="仿宋_GB2312" w:hAnsi="宋体" w:eastAsia="仿宋_GB2312" w:cs="仿宋_GB2312"/>
          <w:color w:val="auto"/>
          <w:sz w:val="32"/>
          <w:szCs w:val="32"/>
          <w:lang w:val="en-US" w:eastAsia="zh-CN"/>
        </w:rPr>
        <w:t>对应</w:t>
      </w:r>
      <w:r>
        <w:rPr>
          <w:rFonts w:hint="eastAsia" w:ascii="仿宋_GB2312" w:hAnsi="宋体" w:eastAsia="仿宋_GB2312" w:cs="仿宋_GB2312"/>
          <w:color w:val="auto"/>
          <w:sz w:val="32"/>
          <w:szCs w:val="32"/>
        </w:rPr>
        <w:t>发票；</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3.5</w:t>
      </w:r>
      <w:r>
        <w:rPr>
          <w:rFonts w:hint="eastAsia" w:ascii="仿宋_GB2312" w:hAnsi="宋体" w:eastAsia="仿宋_GB2312" w:cs="仿宋_GB2312"/>
          <w:color w:val="auto"/>
          <w:sz w:val="32"/>
          <w:szCs w:val="32"/>
        </w:rPr>
        <w:t>质量、环境、职业健康安全管理体系证书；</w:t>
      </w:r>
    </w:p>
    <w:p>
      <w:pPr>
        <w:adjustRightInd w:val="0"/>
        <w:snapToGrid w:val="0"/>
        <w:spacing w:line="580" w:lineRule="exact"/>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3.6</w:t>
      </w:r>
      <w:r>
        <w:rPr>
          <w:rFonts w:hint="eastAsia" w:ascii="仿宋_GB2312" w:hAnsi="宋体" w:eastAsia="仿宋_GB2312" w:cs="仿宋_GB2312"/>
          <w:color w:val="auto"/>
          <w:sz w:val="32"/>
          <w:szCs w:val="32"/>
          <w:lang w:eastAsia="zh-CN"/>
        </w:rPr>
        <w:t>营业收入证明（</w:t>
      </w:r>
      <w:r>
        <w:rPr>
          <w:rFonts w:hint="eastAsia" w:ascii="仿宋_GB2312" w:hAnsi="宋体" w:eastAsia="仿宋_GB2312" w:cs="仿宋_GB2312"/>
          <w:color w:val="auto"/>
          <w:sz w:val="32"/>
          <w:szCs w:val="32"/>
          <w:lang w:val="en-US" w:eastAsia="zh-CN"/>
        </w:rPr>
        <w:t>以</w:t>
      </w:r>
      <w:r>
        <w:rPr>
          <w:rFonts w:hint="eastAsia" w:ascii="仿宋_GB2312" w:hAnsi="仿宋" w:eastAsia="仿宋_GB2312" w:cs="Times New Roman"/>
          <w:snapToGrid w:val="0"/>
          <w:kern w:val="0"/>
          <w:sz w:val="32"/>
          <w:szCs w:val="32"/>
        </w:rPr>
        <w:t>第三方财务审计报告或税务机关提供</w:t>
      </w:r>
      <w:r>
        <w:rPr>
          <w:rFonts w:hint="eastAsia" w:ascii="仿宋_GB2312" w:hAnsi="仿宋" w:eastAsia="仿宋_GB2312" w:cs="Times New Roman"/>
          <w:snapToGrid w:val="0"/>
          <w:kern w:val="0"/>
          <w:sz w:val="32"/>
          <w:szCs w:val="32"/>
          <w:lang w:eastAsia="zh-CN"/>
        </w:rPr>
        <w:t>、</w:t>
      </w:r>
      <w:r>
        <w:rPr>
          <w:rFonts w:hint="eastAsia" w:ascii="仿宋_GB2312" w:hAnsi="仿宋" w:eastAsia="仿宋_GB2312" w:cs="Times New Roman"/>
          <w:snapToGrid w:val="0"/>
          <w:kern w:val="0"/>
          <w:sz w:val="32"/>
          <w:szCs w:val="32"/>
        </w:rPr>
        <w:t>认证的有效证明</w:t>
      </w:r>
      <w:r>
        <w:rPr>
          <w:rFonts w:hint="eastAsia" w:ascii="仿宋_GB2312" w:hAnsi="仿宋" w:eastAsia="仿宋_GB2312" w:cs="Times New Roman"/>
          <w:snapToGrid w:val="0"/>
          <w:kern w:val="0"/>
          <w:sz w:val="32"/>
          <w:szCs w:val="32"/>
          <w:lang w:val="en-US" w:eastAsia="zh-CN"/>
        </w:rPr>
        <w:t>为准</w:t>
      </w:r>
      <w:r>
        <w:rPr>
          <w:rFonts w:hint="eastAsia" w:ascii="仿宋_GB2312" w:hAnsi="仿宋" w:eastAsia="仿宋_GB2312" w:cs="Times New Roman"/>
          <w:snapToGrid w:val="0"/>
          <w:kern w:val="0"/>
          <w:sz w:val="32"/>
          <w:szCs w:val="32"/>
          <w:lang w:eastAsia="zh-CN"/>
        </w:rPr>
        <w:t>。</w:t>
      </w:r>
      <w:r>
        <w:rPr>
          <w:rFonts w:hint="eastAsia" w:ascii="仿宋_GB2312" w:hAnsi="仿宋" w:eastAsia="仿宋_GB2312" w:cs="Times New Roman"/>
          <w:snapToGrid w:val="0"/>
          <w:kern w:val="0"/>
          <w:sz w:val="32"/>
          <w:szCs w:val="32"/>
          <w:lang w:val="en-US" w:eastAsia="zh-CN"/>
        </w:rPr>
        <w:t>除营业收入外数据允许遮盖</w:t>
      </w:r>
      <w:r>
        <w:rPr>
          <w:rFonts w:hint="eastAsia" w:ascii="仿宋_GB2312" w:hAnsi="宋体" w:eastAsia="仿宋_GB2312" w:cs="仿宋_GB2312"/>
          <w:color w:val="auto"/>
          <w:sz w:val="32"/>
          <w:szCs w:val="32"/>
          <w:lang w:eastAsia="zh-CN"/>
        </w:rPr>
        <w:t>）；</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3.7</w:t>
      </w:r>
      <w:r>
        <w:rPr>
          <w:rFonts w:hint="eastAsia" w:ascii="仿宋_GB2312" w:hAnsi="宋体" w:eastAsia="仿宋_GB2312" w:cs="仿宋_GB2312"/>
          <w:color w:val="auto"/>
          <w:sz w:val="32"/>
          <w:szCs w:val="32"/>
        </w:rPr>
        <w:t>生产（经营）许可证或</w:t>
      </w:r>
      <w:r>
        <w:rPr>
          <w:rFonts w:hint="eastAsia" w:ascii="仿宋_GB2312" w:hAnsi="宋体" w:eastAsia="仿宋_GB2312" w:cs="仿宋_GB2312"/>
          <w:color w:val="auto"/>
          <w:sz w:val="32"/>
          <w:szCs w:val="32"/>
          <w:lang w:eastAsia="zh-CN"/>
        </w:rPr>
        <w:t>特种</w:t>
      </w:r>
      <w:r>
        <w:rPr>
          <w:rFonts w:hint="eastAsia" w:ascii="仿宋_GB2312" w:hAnsi="宋体" w:eastAsia="仿宋_GB2312" w:cs="仿宋_GB2312"/>
          <w:color w:val="auto"/>
          <w:sz w:val="32"/>
          <w:szCs w:val="32"/>
        </w:rPr>
        <w:t>许可证；</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3.8</w:t>
      </w:r>
      <w:r>
        <w:rPr>
          <w:rFonts w:hint="eastAsia" w:ascii="仿宋_GB2312" w:hAnsi="宋体" w:eastAsia="仿宋_GB2312" w:cs="仿宋_GB2312"/>
          <w:color w:val="auto"/>
          <w:sz w:val="32"/>
          <w:szCs w:val="32"/>
        </w:rPr>
        <w:t>对按理化指标检查验收的</w:t>
      </w:r>
      <w:r>
        <w:rPr>
          <w:rFonts w:ascii="仿宋_GB2312" w:hAnsi="宋体" w:eastAsia="仿宋_GB2312" w:cs="仿宋_GB2312"/>
          <w:color w:val="auto"/>
          <w:sz w:val="32"/>
          <w:szCs w:val="32"/>
        </w:rPr>
        <w:t>A</w:t>
      </w:r>
      <w:r>
        <w:rPr>
          <w:rFonts w:hint="eastAsia" w:ascii="仿宋_GB2312" w:hAnsi="宋体" w:eastAsia="仿宋_GB2312" w:cs="仿宋_GB2312"/>
          <w:color w:val="auto"/>
          <w:sz w:val="32"/>
          <w:szCs w:val="32"/>
        </w:rPr>
        <w:t>类资材，提供县、市级以上质检部门的产品质量检验报告或质量证明等；</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3.9</w:t>
      </w:r>
      <w:r>
        <w:rPr>
          <w:rFonts w:hint="eastAsia" w:ascii="仿宋_GB2312" w:hAnsi="宋体" w:eastAsia="仿宋_GB2312" w:cs="仿宋_GB2312"/>
          <w:color w:val="auto"/>
          <w:sz w:val="32"/>
          <w:szCs w:val="32"/>
        </w:rPr>
        <w:t>代理产品需要提供有效代理文件。</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3.10</w:t>
      </w:r>
      <w:r>
        <w:rPr>
          <w:rFonts w:hint="eastAsia" w:ascii="仿宋_GB2312" w:hAnsi="宋体" w:eastAsia="仿宋_GB2312" w:cs="仿宋_GB2312"/>
          <w:color w:val="auto"/>
          <w:sz w:val="32"/>
          <w:szCs w:val="32"/>
        </w:rPr>
        <w:t>法人代表签字的法人授权委托书。</w:t>
      </w:r>
    </w:p>
    <w:p>
      <w:pPr>
        <w:adjustRightInd w:val="0"/>
        <w:snapToGrid w:val="0"/>
        <w:spacing w:line="58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提示：供应商资质文件需提供原件扫描件，</w:t>
      </w:r>
      <w:r>
        <w:rPr>
          <w:rFonts w:hint="eastAsia" w:ascii="仿宋_GB2312" w:hAnsi="宋体" w:eastAsia="仿宋_GB2312" w:cs="仿宋_GB2312"/>
          <w:color w:val="auto"/>
          <w:sz w:val="32"/>
          <w:szCs w:val="32"/>
        </w:rPr>
        <w:t>合格供应商</w:t>
      </w:r>
      <w:r>
        <w:rPr>
          <w:rFonts w:hint="eastAsia" w:ascii="仿宋_GB2312" w:hAnsi="宋体" w:eastAsia="仿宋_GB2312" w:cs="仿宋_GB2312"/>
          <w:color w:val="auto"/>
          <w:sz w:val="32"/>
          <w:szCs w:val="32"/>
          <w:lang w:eastAsia="zh-CN"/>
        </w:rPr>
        <w:t>应</w:t>
      </w:r>
      <w:r>
        <w:rPr>
          <w:rFonts w:hint="eastAsia" w:ascii="仿宋_GB2312" w:hAnsi="宋体" w:eastAsia="仿宋_GB2312" w:cs="仿宋_GB2312"/>
          <w:color w:val="auto"/>
          <w:sz w:val="32"/>
          <w:szCs w:val="32"/>
        </w:rPr>
        <w:t>及时更新资质文件，以保证供应商资质文件的有效性</w:t>
      </w:r>
      <w:r>
        <w:rPr>
          <w:rFonts w:hint="eastAsia" w:ascii="仿宋_GB2312" w:hAnsi="宋体" w:eastAsia="仿宋_GB2312" w:cs="仿宋_GB2312"/>
          <w:color w:val="auto"/>
          <w:sz w:val="32"/>
          <w:szCs w:val="32"/>
          <w:lang w:eastAsia="zh-CN"/>
        </w:rPr>
        <w:t>，未及时更新资质文件，暂停参与采购活动；</w:t>
      </w:r>
      <w:r>
        <w:rPr>
          <w:rFonts w:hint="eastAsia" w:ascii="仿宋_GB2312" w:hAnsi="宋体" w:eastAsia="仿宋_GB2312" w:cs="仿宋_GB2312"/>
          <w:color w:val="auto"/>
          <w:sz w:val="32"/>
          <w:szCs w:val="32"/>
          <w:lang w:val="en-US" w:eastAsia="zh-CN"/>
        </w:rPr>
        <w:t>准入条件没有要求的不需上传。</w:t>
      </w:r>
    </w:p>
    <w:p>
      <w:pPr>
        <w:adjustRightInd w:val="0"/>
        <w:snapToGrid w:val="0"/>
        <w:spacing w:line="580" w:lineRule="exact"/>
        <w:ind w:firstLine="640"/>
        <w:rPr>
          <w:rFonts w:hint="eastAsia" w:ascii="仿宋_GB2312" w:eastAsia="仿宋_GB2312" w:cs="仿宋_GB2312"/>
          <w:b/>
          <w:bCs/>
          <w:color w:val="auto"/>
          <w:sz w:val="32"/>
          <w:szCs w:val="32"/>
        </w:rPr>
      </w:pPr>
    </w:p>
    <w:p>
      <w:pPr>
        <w:adjustRightInd w:val="0"/>
        <w:snapToGrid w:val="0"/>
        <w:spacing w:line="580" w:lineRule="exact"/>
        <w:ind w:firstLine="640"/>
        <w:rPr>
          <w:rFonts w:hint="eastAsia" w:ascii="仿宋_GB2312" w:eastAsia="仿宋_GB2312" w:cs="仿宋_GB2312"/>
          <w:b/>
          <w:bCs/>
          <w:color w:val="auto"/>
          <w:sz w:val="32"/>
          <w:szCs w:val="32"/>
        </w:rPr>
      </w:pPr>
    </w:p>
    <w:p>
      <w:pPr>
        <w:adjustRightInd w:val="0"/>
        <w:snapToGrid w:val="0"/>
        <w:spacing w:line="300" w:lineRule="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4.以</w:t>
      </w:r>
      <w:r>
        <w:rPr>
          <w:rFonts w:hint="eastAsia" w:ascii="黑体" w:hAnsi="黑体" w:eastAsia="黑体" w:cs="黑体"/>
          <w:b/>
          <w:bCs/>
          <w:sz w:val="32"/>
          <w:szCs w:val="32"/>
          <w:lang w:eastAsia="zh-CN"/>
        </w:rPr>
        <w:t>视频</w:t>
      </w:r>
      <w:r>
        <w:rPr>
          <w:rFonts w:hint="eastAsia" w:ascii="黑体" w:hAnsi="黑体" w:eastAsia="黑体" w:cs="黑体"/>
          <w:b/>
          <w:bCs/>
          <w:sz w:val="32"/>
          <w:szCs w:val="32"/>
          <w:lang w:val="en-US" w:eastAsia="zh-CN"/>
        </w:rPr>
        <w:t>方式进行</w:t>
      </w:r>
      <w:r>
        <w:rPr>
          <w:rFonts w:hint="eastAsia" w:ascii="黑体" w:hAnsi="黑体" w:eastAsia="黑体" w:cs="黑体"/>
          <w:b/>
          <w:bCs/>
          <w:sz w:val="32"/>
          <w:szCs w:val="32"/>
          <w:lang w:eastAsia="zh-CN"/>
        </w:rPr>
        <w:t>现场评审</w:t>
      </w:r>
      <w:r>
        <w:rPr>
          <w:rFonts w:hint="eastAsia" w:ascii="黑体" w:hAnsi="黑体" w:eastAsia="黑体" w:cs="黑体"/>
          <w:b/>
          <w:bCs/>
          <w:sz w:val="32"/>
          <w:szCs w:val="32"/>
          <w:lang w:val="en-US" w:eastAsia="zh-CN"/>
        </w:rPr>
        <w:t>需做哪些准备工作</w:t>
      </w:r>
      <w:r>
        <w:rPr>
          <w:rFonts w:hint="eastAsia" w:ascii="黑体" w:hAnsi="黑体" w:eastAsia="黑体" w:cs="黑体"/>
          <w:b/>
          <w:bCs/>
          <w:sz w:val="32"/>
          <w:szCs w:val="32"/>
          <w:lang w:eastAsia="zh-CN"/>
        </w:rPr>
        <w:t>？</w:t>
      </w:r>
    </w:p>
    <w:p>
      <w:pPr>
        <w:adjustRightInd w:val="0"/>
        <w:snapToGrid w:val="0"/>
        <w:spacing w:line="300" w:lineRule="auto"/>
        <w:rPr>
          <w:rFonts w:hint="eastAsia" w:ascii="黑体" w:hAnsi="黑体" w:eastAsia="黑体" w:cs="黑体"/>
          <w:b/>
          <w:bCs/>
          <w:sz w:val="32"/>
          <w:szCs w:val="32"/>
          <w:lang w:eastAsia="zh-CN"/>
        </w:rPr>
      </w:pPr>
    </w:p>
    <w:p>
      <w:pPr>
        <w:adjustRightInd w:val="0"/>
        <w:snapToGrid w:val="0"/>
        <w:spacing w:line="300" w:lineRule="auto"/>
        <w:ind w:firstLine="640" w:firstLineChars="200"/>
        <w:rPr>
          <w:rFonts w:hint="eastAsia" w:ascii="仿宋" w:hAnsi="仿宋" w:eastAsia="仿宋" w:cs="仿宋"/>
          <w:b w:val="0"/>
          <w:bCs w:val="0"/>
          <w:sz w:val="32"/>
          <w:szCs w:val="32"/>
          <w:lang w:eastAsia="zh-CN"/>
        </w:rPr>
      </w:pPr>
      <w:r>
        <w:rPr>
          <w:rFonts w:hint="eastAsia" w:ascii="仿宋" w:hAnsi="仿宋" w:eastAsia="仿宋" w:cs="仿宋"/>
          <w:sz w:val="32"/>
          <w:szCs w:val="32"/>
          <w:lang w:val="en-US" w:eastAsia="zh-CN"/>
        </w:rPr>
        <w:t>4.1供应商</w:t>
      </w:r>
      <w:r>
        <w:rPr>
          <w:rFonts w:hint="eastAsia" w:ascii="仿宋" w:hAnsi="仿宋" w:eastAsia="仿宋" w:cs="仿宋"/>
          <w:sz w:val="32"/>
          <w:szCs w:val="32"/>
          <w:lang w:eastAsia="zh-CN"/>
        </w:rPr>
        <w:t>需下载安装</w:t>
      </w:r>
      <w:r>
        <w:rPr>
          <w:rFonts w:hint="eastAsia" w:ascii="仿宋" w:hAnsi="仿宋" w:eastAsia="仿宋" w:cs="仿宋"/>
          <w:b w:val="0"/>
          <w:bCs w:val="0"/>
          <w:sz w:val="32"/>
          <w:szCs w:val="32"/>
          <w:lang w:eastAsia="zh-CN"/>
        </w:rPr>
        <w:t>“钉钉”客户端，加入鞍钢股份设备资材采购中心供应商管理群，等待评审通知；</w:t>
      </w:r>
    </w:p>
    <w:p>
      <w:pPr>
        <w:adjustRightInd w:val="0"/>
        <w:snapToGrid w:val="0"/>
        <w:spacing w:line="300" w:lineRule="auto"/>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4.2供应商参加评审人员：法人代表或实际控制人、生产技术负责人、授权委托人；</w:t>
      </w:r>
    </w:p>
    <w:p>
      <w:pPr>
        <w:adjustRightInd w:val="0"/>
        <w:snapToGrid w:val="0"/>
        <w:spacing w:line="300" w:lineRule="auto"/>
        <w:ind w:firstLine="640" w:firstLineChars="200"/>
        <w:rPr>
          <w:rFonts w:hint="eastAsia" w:ascii="仿宋" w:hAnsi="仿宋" w:eastAsia="仿宋" w:cs="仿宋"/>
          <w:b/>
          <w:bCs/>
          <w:sz w:val="32"/>
          <w:szCs w:val="32"/>
          <w:lang w:eastAsia="zh-CN"/>
        </w:rPr>
      </w:pPr>
      <w:r>
        <w:rPr>
          <w:rFonts w:hint="eastAsia" w:ascii="仿宋" w:hAnsi="仿宋" w:eastAsia="仿宋" w:cs="仿宋"/>
          <w:b w:val="0"/>
          <w:bCs w:val="0"/>
          <w:sz w:val="32"/>
          <w:szCs w:val="32"/>
          <w:lang w:val="en-US" w:eastAsia="zh-CN"/>
        </w:rPr>
        <w:t>4.3</w:t>
      </w:r>
      <w:r>
        <w:rPr>
          <w:rFonts w:hint="eastAsia" w:ascii="仿宋" w:hAnsi="仿宋" w:eastAsia="仿宋" w:cs="仿宋"/>
          <w:b w:val="0"/>
          <w:bCs w:val="0"/>
          <w:sz w:val="32"/>
          <w:szCs w:val="32"/>
          <w:lang w:eastAsia="zh-CN"/>
        </w:rPr>
        <w:t>资质资料</w:t>
      </w:r>
      <w:r>
        <w:rPr>
          <w:rFonts w:hint="eastAsia" w:ascii="仿宋" w:hAnsi="仿宋" w:eastAsia="仿宋" w:cs="仿宋"/>
          <w:b w:val="0"/>
          <w:bCs w:val="0"/>
          <w:sz w:val="32"/>
          <w:szCs w:val="32"/>
          <w:lang w:val="en-US" w:eastAsia="zh-CN"/>
        </w:rPr>
        <w:t>评审要件</w:t>
      </w:r>
      <w:r>
        <w:rPr>
          <w:rFonts w:hint="eastAsia" w:ascii="仿宋_GB2312" w:hAnsi="宋体" w:eastAsia="仿宋_GB2312" w:cs="仿宋_GB2312"/>
          <w:color w:val="auto"/>
          <w:sz w:val="32"/>
          <w:szCs w:val="32"/>
          <w:lang w:eastAsia="zh-CN"/>
        </w:rPr>
        <w:t>（原件）：</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4.3.1</w:t>
      </w:r>
      <w:r>
        <w:rPr>
          <w:rFonts w:hint="eastAsia" w:ascii="仿宋_GB2312" w:hAnsi="宋体" w:eastAsia="仿宋_GB2312" w:cs="仿宋_GB2312"/>
          <w:color w:val="auto"/>
          <w:sz w:val="32"/>
          <w:szCs w:val="32"/>
        </w:rPr>
        <w:t>企业营业执照</w:t>
      </w:r>
      <w:r>
        <w:rPr>
          <w:rFonts w:hint="eastAsia" w:ascii="仿宋_GB2312" w:hAnsi="宋体" w:eastAsia="仿宋_GB2312" w:cs="仿宋_GB2312"/>
          <w:color w:val="auto"/>
          <w:sz w:val="32"/>
          <w:szCs w:val="32"/>
          <w:lang w:eastAsia="zh-CN"/>
        </w:rPr>
        <w:t>、开户许可证；</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4.3.2</w:t>
      </w:r>
      <w:r>
        <w:rPr>
          <w:rFonts w:hint="eastAsia" w:ascii="仿宋" w:hAnsi="仿宋" w:eastAsia="仿宋" w:cs="仿宋"/>
          <w:sz w:val="32"/>
          <w:szCs w:val="32"/>
        </w:rPr>
        <w:t>质量、环境、职业健康管理体系认证</w:t>
      </w:r>
      <w:r>
        <w:rPr>
          <w:rFonts w:hint="eastAsia" w:ascii="仿宋" w:hAnsi="仿宋" w:eastAsia="仿宋" w:cs="仿宋"/>
          <w:sz w:val="32"/>
          <w:szCs w:val="32"/>
          <w:lang w:eastAsia="zh-CN"/>
        </w:rPr>
        <w:t>证书；</w:t>
      </w:r>
    </w:p>
    <w:p>
      <w:pPr>
        <w:adjustRightInd w:val="0"/>
        <w:snapToGrid w:val="0"/>
        <w:spacing w:line="300" w:lineRule="auto"/>
        <w:ind w:firstLine="640" w:firstLineChars="200"/>
        <w:rPr>
          <w:rFonts w:hint="eastAsia" w:ascii="仿宋_GB2312" w:hAnsi="宋体" w:eastAsia="仿宋_GB2312" w:cs="仿宋_GB2312"/>
          <w:color w:val="auto"/>
          <w:sz w:val="32"/>
          <w:szCs w:val="32"/>
          <w:lang w:eastAsia="zh-CN"/>
        </w:rPr>
      </w:pPr>
      <w:r>
        <w:rPr>
          <w:rFonts w:hint="eastAsia" w:ascii="仿宋" w:hAnsi="仿宋" w:eastAsia="仿宋" w:cs="仿宋"/>
          <w:sz w:val="32"/>
          <w:szCs w:val="32"/>
          <w:lang w:val="en-US" w:eastAsia="zh-CN"/>
        </w:rPr>
        <w:t>4.3.3</w:t>
      </w:r>
      <w:r>
        <w:rPr>
          <w:rFonts w:hint="eastAsia" w:ascii="仿宋_GB2312" w:hAnsi="宋体" w:eastAsia="仿宋_GB2312" w:cs="仿宋_GB2312"/>
          <w:color w:val="auto"/>
          <w:sz w:val="32"/>
          <w:szCs w:val="32"/>
        </w:rPr>
        <w:t>拟投标产品（或类似产品）的销售业绩及发票</w:t>
      </w:r>
      <w:r>
        <w:rPr>
          <w:rFonts w:hint="eastAsia" w:ascii="仿宋_GB2312" w:hAnsi="宋体" w:eastAsia="仿宋_GB2312" w:cs="仿宋_GB2312"/>
          <w:color w:val="auto"/>
          <w:sz w:val="32"/>
          <w:szCs w:val="32"/>
          <w:lang w:eastAsia="zh-CN"/>
        </w:rPr>
        <w:t>（</w:t>
      </w:r>
      <w:r>
        <w:rPr>
          <w:rFonts w:hint="eastAsia" w:ascii="仿宋_GB2312" w:hAnsi="仿宋_GB2312" w:eastAsia="仿宋_GB2312" w:cs="仿宋_GB2312"/>
          <w:kern w:val="0"/>
          <w:sz w:val="32"/>
          <w:szCs w:val="32"/>
          <w:shd w:val="clear" w:fill="FFFFFF"/>
          <w:lang w:val="en-US" w:eastAsia="zh-CN" w:bidi="ar"/>
        </w:rPr>
        <w:t>发票真伪查询证明</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4.3.4</w:t>
      </w:r>
      <w:r>
        <w:rPr>
          <w:rFonts w:hint="eastAsia" w:ascii="仿宋_GB2312" w:hAnsi="宋体" w:eastAsia="仿宋_GB2312" w:cs="仿宋_GB2312"/>
          <w:color w:val="auto"/>
          <w:sz w:val="32"/>
          <w:szCs w:val="32"/>
          <w:lang w:eastAsia="zh-CN"/>
        </w:rPr>
        <w:t>营业收入证明（</w:t>
      </w:r>
      <w:r>
        <w:rPr>
          <w:rFonts w:hint="eastAsia" w:ascii="仿宋_GB2312" w:hAnsi="仿宋" w:eastAsia="仿宋_GB2312" w:cs="Times New Roman"/>
          <w:snapToGrid w:val="0"/>
          <w:kern w:val="0"/>
          <w:sz w:val="32"/>
          <w:szCs w:val="32"/>
        </w:rPr>
        <w:t>第三方财务审计报告或税务机关提供</w:t>
      </w:r>
      <w:r>
        <w:rPr>
          <w:rFonts w:hint="eastAsia" w:ascii="仿宋_GB2312" w:hAnsi="仿宋" w:eastAsia="仿宋_GB2312" w:cs="Times New Roman"/>
          <w:snapToGrid w:val="0"/>
          <w:kern w:val="0"/>
          <w:sz w:val="32"/>
          <w:szCs w:val="32"/>
          <w:lang w:eastAsia="zh-CN"/>
        </w:rPr>
        <w:t>、</w:t>
      </w:r>
      <w:r>
        <w:rPr>
          <w:rFonts w:hint="eastAsia" w:ascii="仿宋_GB2312" w:hAnsi="仿宋" w:eastAsia="仿宋_GB2312" w:cs="Times New Roman"/>
          <w:snapToGrid w:val="0"/>
          <w:kern w:val="0"/>
          <w:sz w:val="32"/>
          <w:szCs w:val="32"/>
        </w:rPr>
        <w:t>认证的有效证明</w:t>
      </w:r>
      <w:r>
        <w:rPr>
          <w:rFonts w:hint="eastAsia" w:ascii="仿宋_GB2312" w:hAnsi="仿宋" w:eastAsia="仿宋_GB2312" w:cs="Times New Roman"/>
          <w:snapToGrid w:val="0"/>
          <w:kern w:val="0"/>
          <w:sz w:val="32"/>
          <w:szCs w:val="32"/>
          <w:lang w:eastAsia="zh-CN"/>
        </w:rPr>
        <w:t>。</w:t>
      </w:r>
      <w:r>
        <w:rPr>
          <w:rFonts w:hint="eastAsia" w:ascii="仿宋_GB2312" w:hAnsi="仿宋" w:eastAsia="仿宋_GB2312" w:cs="Times New Roman"/>
          <w:snapToGrid w:val="0"/>
          <w:kern w:val="0"/>
          <w:sz w:val="32"/>
          <w:szCs w:val="32"/>
          <w:lang w:val="en-US" w:eastAsia="zh-CN"/>
        </w:rPr>
        <w:t>除营业收入外数据允许遮盖</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 w:hAnsi="仿宋" w:eastAsia="仿宋_GB2312" w:cs="仿宋"/>
          <w:sz w:val="32"/>
          <w:szCs w:val="32"/>
          <w:lang w:eastAsia="zh-CN"/>
        </w:rPr>
      </w:pPr>
      <w:r>
        <w:rPr>
          <w:rFonts w:hint="eastAsia" w:ascii="仿宋" w:hAnsi="仿宋" w:eastAsia="仿宋" w:cs="仿宋"/>
          <w:sz w:val="32"/>
          <w:szCs w:val="32"/>
          <w:lang w:val="en-US" w:eastAsia="zh-CN"/>
        </w:rPr>
        <w:t>4.3.5</w:t>
      </w:r>
      <w:r>
        <w:rPr>
          <w:rFonts w:hint="eastAsia" w:ascii="仿宋_GB2312" w:hAnsi="宋体" w:eastAsia="仿宋_GB2312" w:cs="仿宋_GB2312"/>
          <w:color w:val="auto"/>
          <w:sz w:val="32"/>
          <w:szCs w:val="32"/>
        </w:rPr>
        <w:t>法人代表签字的法人授权委托书</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4.3.6</w:t>
      </w:r>
      <w:r>
        <w:rPr>
          <w:rFonts w:hint="eastAsia" w:ascii="仿宋" w:hAnsi="仿宋" w:eastAsia="仿宋" w:cs="仿宋"/>
          <w:sz w:val="32"/>
          <w:szCs w:val="32"/>
        </w:rPr>
        <w:t>企业管理制度、发展规划</w:t>
      </w:r>
      <w:r>
        <w:rPr>
          <w:rFonts w:hint="eastAsia" w:ascii="仿宋" w:hAnsi="仿宋" w:eastAsia="仿宋" w:cs="仿宋"/>
          <w:sz w:val="32"/>
          <w:szCs w:val="32"/>
          <w:lang w:eastAsia="zh-CN"/>
        </w:rPr>
        <w:t>、</w:t>
      </w:r>
      <w:r>
        <w:rPr>
          <w:rFonts w:hint="eastAsia" w:ascii="仿宋" w:hAnsi="仿宋" w:eastAsia="仿宋" w:cs="仿宋"/>
          <w:sz w:val="32"/>
          <w:szCs w:val="32"/>
        </w:rPr>
        <w:t>生产记录等</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4.3.7</w:t>
      </w:r>
      <w:r>
        <w:rPr>
          <w:rFonts w:hint="eastAsia" w:ascii="仿宋" w:hAnsi="仿宋" w:eastAsia="仿宋" w:cs="仿宋"/>
          <w:sz w:val="32"/>
          <w:szCs w:val="32"/>
        </w:rPr>
        <w:t>生产、化检验设备清单、型号、台账、发票</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4.3.8</w:t>
      </w:r>
      <w:r>
        <w:rPr>
          <w:rFonts w:hint="eastAsia" w:ascii="仿宋" w:hAnsi="仿宋" w:eastAsia="仿宋" w:cs="仿宋"/>
          <w:sz w:val="32"/>
          <w:szCs w:val="32"/>
        </w:rPr>
        <w:t>产品检验记录</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4.3.9</w:t>
      </w:r>
      <w:r>
        <w:rPr>
          <w:rFonts w:hint="eastAsia" w:ascii="仿宋" w:hAnsi="仿宋" w:eastAsia="仿宋" w:cs="仿宋"/>
          <w:sz w:val="32"/>
          <w:szCs w:val="32"/>
        </w:rPr>
        <w:t>专利证书</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ascii="仿宋" w:hAnsi="仿宋" w:eastAsia="仿宋" w:cs="仿宋"/>
          <w:b w:val="0"/>
          <w:bCs w:val="0"/>
          <w:sz w:val="32"/>
          <w:szCs w:val="32"/>
        </w:rPr>
      </w:pPr>
      <w:r>
        <w:rPr>
          <w:rFonts w:hint="eastAsia" w:ascii="仿宋" w:hAnsi="仿宋" w:eastAsia="仿宋" w:cs="仿宋"/>
          <w:b w:val="0"/>
          <w:bCs w:val="0"/>
          <w:sz w:val="32"/>
          <w:szCs w:val="32"/>
          <w:lang w:val="en-US" w:eastAsia="zh-CN"/>
        </w:rPr>
        <w:t>4.3.10</w:t>
      </w:r>
      <w:r>
        <w:rPr>
          <w:rFonts w:hint="eastAsia" w:ascii="仿宋" w:hAnsi="仿宋" w:eastAsia="仿宋" w:cs="仿宋"/>
          <w:b w:val="0"/>
          <w:bCs w:val="0"/>
          <w:sz w:val="32"/>
          <w:szCs w:val="32"/>
        </w:rPr>
        <w:t>银行资信等级证书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产品市场占有率</w:t>
      </w:r>
      <w:r>
        <w:rPr>
          <w:rFonts w:hint="eastAsia" w:ascii="仿宋" w:hAnsi="仿宋" w:eastAsia="仿宋" w:cs="仿宋"/>
          <w:b w:val="0"/>
          <w:bCs w:val="0"/>
          <w:sz w:val="32"/>
          <w:szCs w:val="32"/>
          <w:lang w:eastAsia="zh-CN"/>
        </w:rPr>
        <w:t>证明</w:t>
      </w:r>
      <w:r>
        <w:rPr>
          <w:rFonts w:hint="eastAsia" w:ascii="仿宋" w:hAnsi="仿宋" w:eastAsia="仿宋" w:cs="仿宋"/>
          <w:b w:val="0"/>
          <w:bCs w:val="0"/>
          <w:sz w:val="32"/>
          <w:szCs w:val="32"/>
        </w:rPr>
        <w:t>、成本控制能力证明</w:t>
      </w:r>
      <w:r>
        <w:rPr>
          <w:rFonts w:hint="eastAsia" w:ascii="仿宋" w:hAnsi="仿宋" w:eastAsia="仿宋" w:cs="仿宋"/>
          <w:b w:val="0"/>
          <w:bCs w:val="0"/>
          <w:sz w:val="32"/>
          <w:szCs w:val="32"/>
          <w:lang w:eastAsia="zh-CN"/>
        </w:rPr>
        <w:t>、</w:t>
      </w:r>
      <w:r>
        <w:rPr>
          <w:rFonts w:hint="eastAsia" w:ascii="仿宋_GB2312" w:hAnsi="宋体" w:eastAsia="仿宋_GB2312" w:cs="仿宋_GB2312"/>
          <w:b w:val="0"/>
          <w:bCs w:val="0"/>
          <w:color w:val="auto"/>
          <w:sz w:val="32"/>
          <w:szCs w:val="32"/>
        </w:rPr>
        <w:t>生产（经营）许可证或</w:t>
      </w:r>
      <w:r>
        <w:rPr>
          <w:rFonts w:hint="eastAsia" w:ascii="仿宋_GB2312" w:hAnsi="宋体" w:eastAsia="仿宋_GB2312" w:cs="仿宋_GB2312"/>
          <w:b w:val="0"/>
          <w:bCs w:val="0"/>
          <w:color w:val="auto"/>
          <w:sz w:val="32"/>
          <w:szCs w:val="32"/>
          <w:lang w:eastAsia="zh-CN"/>
        </w:rPr>
        <w:t>特种</w:t>
      </w:r>
      <w:r>
        <w:rPr>
          <w:rFonts w:hint="eastAsia" w:ascii="仿宋_GB2312" w:hAnsi="宋体" w:eastAsia="仿宋_GB2312" w:cs="仿宋_GB2312"/>
          <w:b w:val="0"/>
          <w:bCs w:val="0"/>
          <w:color w:val="auto"/>
          <w:sz w:val="32"/>
          <w:szCs w:val="32"/>
        </w:rPr>
        <w:t>许可证</w:t>
      </w:r>
      <w:r>
        <w:rPr>
          <w:rFonts w:hint="eastAsia" w:ascii="仿宋_GB2312" w:hAnsi="宋体" w:eastAsia="仿宋_GB2312" w:cs="仿宋_GB2312"/>
          <w:b w:val="0"/>
          <w:bCs w:val="0"/>
          <w:color w:val="auto"/>
          <w:sz w:val="32"/>
          <w:szCs w:val="32"/>
          <w:lang w:eastAsia="zh-CN"/>
        </w:rPr>
        <w:t>等其他资质资料</w:t>
      </w:r>
      <w:r>
        <w:rPr>
          <w:rFonts w:hint="eastAsia" w:ascii="仿宋" w:hAnsi="仿宋" w:eastAsia="仿宋" w:cs="仿宋"/>
          <w:b w:val="0"/>
          <w:bCs w:val="0"/>
          <w:sz w:val="32"/>
          <w:szCs w:val="32"/>
        </w:rPr>
        <w:t>。</w:t>
      </w:r>
    </w:p>
    <w:p>
      <w:pPr>
        <w:adjustRightInd w:val="0"/>
        <w:snapToGrid w:val="0"/>
        <w:spacing w:line="300" w:lineRule="auto"/>
        <w:ind w:firstLine="640" w:firstLineChars="200"/>
        <w:rPr>
          <w:rFonts w:hint="eastAsia" w:ascii="仿宋" w:hAnsi="仿宋" w:eastAsia="仿宋" w:cs="仿宋"/>
          <w:b/>
          <w:bCs/>
          <w:sz w:val="32"/>
          <w:szCs w:val="32"/>
          <w:lang w:eastAsia="zh-CN"/>
        </w:rPr>
      </w:pPr>
      <w:r>
        <w:rPr>
          <w:rFonts w:hint="eastAsia" w:ascii="仿宋" w:hAnsi="仿宋" w:eastAsia="仿宋" w:cs="仿宋"/>
          <w:b w:val="0"/>
          <w:bCs w:val="0"/>
          <w:sz w:val="32"/>
          <w:szCs w:val="32"/>
          <w:lang w:val="en-US" w:eastAsia="zh-CN"/>
        </w:rPr>
        <w:t>4.4关键要素</w:t>
      </w:r>
      <w:r>
        <w:rPr>
          <w:rFonts w:hint="eastAsia" w:ascii="仿宋" w:hAnsi="仿宋" w:eastAsia="仿宋" w:cs="仿宋"/>
          <w:b w:val="0"/>
          <w:bCs w:val="0"/>
          <w:sz w:val="32"/>
          <w:szCs w:val="32"/>
          <w:lang w:eastAsia="zh-CN"/>
        </w:rPr>
        <w:t>定位照片：</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4.4.1供应商</w:t>
      </w:r>
      <w:r>
        <w:rPr>
          <w:rFonts w:hint="eastAsia" w:ascii="仿宋" w:hAnsi="仿宋" w:eastAsia="仿宋" w:cs="仿宋"/>
          <w:sz w:val="32"/>
          <w:szCs w:val="32"/>
        </w:rPr>
        <w:t>厂区大门</w:t>
      </w:r>
      <w:r>
        <w:rPr>
          <w:rFonts w:hint="eastAsia" w:ascii="仿宋" w:hAnsi="仿宋" w:eastAsia="仿宋" w:cs="仿宋"/>
          <w:sz w:val="32"/>
          <w:szCs w:val="32"/>
          <w:lang w:eastAsia="zh-CN"/>
        </w:rPr>
        <w:t>（含地址信息及名称牌匾）；</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4.4.2</w:t>
      </w:r>
      <w:r>
        <w:rPr>
          <w:rFonts w:hint="eastAsia" w:ascii="仿宋" w:hAnsi="仿宋" w:eastAsia="仿宋" w:cs="仿宋"/>
          <w:sz w:val="32"/>
          <w:szCs w:val="32"/>
        </w:rPr>
        <w:t>办公楼</w:t>
      </w:r>
      <w:r>
        <w:rPr>
          <w:rFonts w:hint="eastAsia" w:ascii="仿宋" w:hAnsi="仿宋" w:eastAsia="仿宋" w:cs="仿宋"/>
          <w:sz w:val="32"/>
          <w:szCs w:val="32"/>
          <w:lang w:eastAsia="zh-CN"/>
        </w:rPr>
        <w:t>全景；</w:t>
      </w:r>
    </w:p>
    <w:p>
      <w:pPr>
        <w:adjustRightInd w:val="0"/>
        <w:snapToGrid w:val="0"/>
        <w:spacing w:line="300" w:lineRule="auto"/>
        <w:ind w:firstLine="640" w:firstLineChars="200"/>
        <w:rPr>
          <w:rFonts w:hint="eastAsia" w:ascii="仿宋_GB2312" w:hAnsi="宋体" w:eastAsia="仿宋_GB2312" w:cs="仿宋_GB2312"/>
          <w:color w:val="auto"/>
          <w:sz w:val="32"/>
          <w:szCs w:val="32"/>
          <w:lang w:eastAsia="zh-CN"/>
        </w:rPr>
      </w:pPr>
      <w:r>
        <w:rPr>
          <w:rFonts w:hint="eastAsia" w:ascii="仿宋" w:hAnsi="仿宋" w:eastAsia="仿宋" w:cs="仿宋"/>
          <w:sz w:val="32"/>
          <w:szCs w:val="32"/>
          <w:lang w:val="en-US" w:eastAsia="zh-CN"/>
        </w:rPr>
        <w:t>4.4.3</w:t>
      </w:r>
      <w:r>
        <w:rPr>
          <w:rFonts w:hint="eastAsia" w:ascii="仿宋" w:hAnsi="仿宋" w:eastAsia="仿宋" w:cs="仿宋"/>
          <w:sz w:val="32"/>
          <w:szCs w:val="32"/>
        </w:rPr>
        <w:t>厂房外全景</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4.4.4</w:t>
      </w:r>
      <w:r>
        <w:rPr>
          <w:rFonts w:hint="eastAsia" w:ascii="仿宋" w:hAnsi="仿宋" w:eastAsia="仿宋" w:cs="仿宋"/>
          <w:sz w:val="32"/>
          <w:szCs w:val="32"/>
        </w:rPr>
        <w:t>厂房内生产线（或机组）全景</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 w:hAnsi="仿宋" w:eastAsia="仿宋_GB2312" w:cs="仿宋"/>
          <w:sz w:val="32"/>
          <w:szCs w:val="32"/>
          <w:lang w:eastAsia="zh-CN"/>
        </w:rPr>
      </w:pPr>
      <w:r>
        <w:rPr>
          <w:rFonts w:hint="eastAsia" w:ascii="仿宋" w:hAnsi="仿宋" w:eastAsia="仿宋" w:cs="仿宋"/>
          <w:sz w:val="32"/>
          <w:szCs w:val="32"/>
          <w:lang w:val="en-US" w:eastAsia="zh-CN"/>
        </w:rPr>
        <w:t>4.4.5</w:t>
      </w:r>
      <w:r>
        <w:rPr>
          <w:rFonts w:hint="eastAsia" w:ascii="仿宋" w:hAnsi="仿宋" w:eastAsia="仿宋" w:cs="仿宋"/>
          <w:sz w:val="32"/>
          <w:szCs w:val="32"/>
        </w:rPr>
        <w:t>相关主要生产设备</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4.4.6</w:t>
      </w:r>
      <w:r>
        <w:rPr>
          <w:rFonts w:hint="eastAsia" w:ascii="仿宋" w:hAnsi="仿宋" w:eastAsia="仿宋" w:cs="仿宋"/>
          <w:sz w:val="32"/>
          <w:szCs w:val="32"/>
        </w:rPr>
        <w:t>相关主要化检验设备</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4.4.7</w:t>
      </w:r>
      <w:r>
        <w:rPr>
          <w:rFonts w:hint="eastAsia" w:ascii="仿宋" w:hAnsi="仿宋" w:eastAsia="仿宋" w:cs="仿宋"/>
          <w:sz w:val="32"/>
          <w:szCs w:val="32"/>
        </w:rPr>
        <w:t>相关原料仓库及主要原料</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4.4.8</w:t>
      </w:r>
      <w:r>
        <w:rPr>
          <w:rFonts w:hint="eastAsia" w:ascii="仿宋" w:hAnsi="仿宋" w:eastAsia="仿宋" w:cs="仿宋"/>
          <w:sz w:val="32"/>
          <w:szCs w:val="32"/>
        </w:rPr>
        <w:t>成品</w:t>
      </w:r>
      <w:r>
        <w:rPr>
          <w:rFonts w:hint="eastAsia" w:ascii="仿宋" w:hAnsi="仿宋" w:eastAsia="仿宋" w:cs="仿宋"/>
          <w:sz w:val="32"/>
          <w:szCs w:val="32"/>
          <w:lang w:eastAsia="zh-CN"/>
        </w:rPr>
        <w:t>、</w:t>
      </w:r>
      <w:r>
        <w:rPr>
          <w:rFonts w:hint="eastAsia" w:ascii="仿宋" w:hAnsi="仿宋" w:eastAsia="仿宋" w:cs="仿宋"/>
          <w:sz w:val="32"/>
          <w:szCs w:val="32"/>
        </w:rPr>
        <w:t>不合格品仓库</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4.4.9</w:t>
      </w:r>
      <w:r>
        <w:rPr>
          <w:rFonts w:hint="eastAsia" w:ascii="仿宋" w:hAnsi="仿宋" w:eastAsia="仿宋" w:cs="仿宋"/>
          <w:sz w:val="32"/>
          <w:szCs w:val="32"/>
          <w:lang w:eastAsia="zh-CN"/>
        </w:rPr>
        <w:t>其他需要拍照留存的定位照片。</w:t>
      </w:r>
    </w:p>
    <w:p>
      <w:pPr>
        <w:adjustRightInd w:val="0"/>
        <w:snapToGrid w:val="0"/>
        <w:spacing w:line="300" w:lineRule="auto"/>
        <w:ind w:firstLine="643" w:firstLineChars="200"/>
        <w:rPr>
          <w:rFonts w:hint="eastAsia" w:ascii="仿宋_GB2312" w:hAnsi="宋体" w:eastAsia="仿宋_GB2312" w:cs="仿宋_GB2312"/>
          <w:b/>
          <w:bCs/>
          <w:color w:val="auto"/>
          <w:sz w:val="32"/>
          <w:szCs w:val="32"/>
          <w:highlight w:val="none"/>
          <w:lang w:val="en-US" w:eastAsia="zh-CN"/>
        </w:rPr>
      </w:pPr>
    </w:p>
    <w:p>
      <w:pPr>
        <w:jc w:val="center"/>
        <w:rPr>
          <w:rFonts w:hint="eastAsia" w:eastAsiaTheme="minorEastAsia"/>
          <w:b/>
          <w:bCs/>
          <w:sz w:val="44"/>
          <w:szCs w:val="44"/>
          <w:lang w:eastAsia="zh-CN"/>
        </w:rPr>
      </w:pPr>
    </w:p>
    <w:p>
      <w:pPr>
        <w:adjustRightInd w:val="0"/>
        <w:snapToGrid w:val="0"/>
        <w:spacing w:line="600" w:lineRule="exact"/>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5.对合格供应商有哪些奖惩规定？</w:t>
      </w:r>
    </w:p>
    <w:p>
      <w:pPr>
        <w:adjustRightInd w:val="0"/>
        <w:snapToGrid w:val="0"/>
        <w:spacing w:line="600" w:lineRule="exact"/>
        <w:rPr>
          <w:rFonts w:hint="eastAsia" w:ascii="黑体" w:hAnsi="黑体" w:eastAsia="黑体" w:cs="黑体"/>
          <w:b/>
          <w:bCs/>
          <w:color w:val="auto"/>
          <w:sz w:val="32"/>
          <w:szCs w:val="32"/>
          <w:highlight w:val="none"/>
          <w:lang w:val="en-US" w:eastAsia="zh-CN"/>
        </w:rPr>
      </w:pPr>
    </w:p>
    <w:p>
      <w:pPr>
        <w:adjustRightInd w:val="0"/>
        <w:snapToGrid w:val="0"/>
        <w:spacing w:line="600" w:lineRule="exact"/>
        <w:ind w:firstLine="643" w:firstLineChars="200"/>
        <w:rPr>
          <w:rFonts w:ascii="仿宋_GB2312" w:hAnsi="宋体" w:eastAsia="仿宋_GB2312"/>
          <w:b/>
          <w:bCs/>
          <w:color w:val="auto"/>
          <w:sz w:val="32"/>
          <w:szCs w:val="32"/>
        </w:rPr>
      </w:pPr>
      <w:r>
        <w:rPr>
          <w:rFonts w:hint="eastAsia" w:ascii="黑体" w:hAnsi="黑体" w:eastAsia="黑体" w:cs="黑体"/>
          <w:b/>
          <w:bCs/>
          <w:color w:val="auto"/>
          <w:sz w:val="32"/>
          <w:szCs w:val="32"/>
          <w:highlight w:val="none"/>
          <w:lang w:val="en-US" w:eastAsia="zh-CN"/>
        </w:rPr>
        <w:t>5.1</w:t>
      </w:r>
      <w:r>
        <w:rPr>
          <w:rFonts w:hint="eastAsia" w:ascii="黑体" w:hAnsi="黑体" w:eastAsia="黑体" w:cs="黑体"/>
          <w:b/>
          <w:bCs/>
          <w:color w:val="auto"/>
          <w:sz w:val="32"/>
          <w:szCs w:val="32"/>
        </w:rPr>
        <w:t>升级</w:t>
      </w:r>
    </w:p>
    <w:p>
      <w:pPr>
        <w:adjustRightInd w:val="0"/>
        <w:snapToGrid w:val="0"/>
        <w:spacing w:line="600" w:lineRule="exact"/>
        <w:ind w:firstLine="640" w:firstLineChars="200"/>
        <w:rPr>
          <w:rFonts w:hint="eastAsia" w:ascii="仿宋_GB2312" w:hAnsi="宋体" w:eastAsia="仿宋_GB2312"/>
          <w:color w:val="auto"/>
          <w:sz w:val="32"/>
          <w:szCs w:val="32"/>
          <w:lang w:eastAsia="zh-CN"/>
        </w:rPr>
      </w:pPr>
      <w:r>
        <w:rPr>
          <w:rFonts w:ascii="仿宋_GB2312" w:hAnsi="宋体" w:eastAsia="仿宋_GB2312" w:cs="仿宋_GB2312"/>
          <w:color w:val="auto"/>
          <w:sz w:val="32"/>
          <w:szCs w:val="32"/>
        </w:rPr>
        <w:t>B</w:t>
      </w:r>
      <w:r>
        <w:rPr>
          <w:rFonts w:hint="eastAsia" w:ascii="仿宋_GB2312" w:eastAsia="仿宋_GB2312" w:cs="仿宋_GB2312"/>
          <w:color w:val="auto"/>
          <w:sz w:val="32"/>
          <w:szCs w:val="32"/>
        </w:rPr>
        <w:t>、</w:t>
      </w:r>
      <w:r>
        <w:rPr>
          <w:rFonts w:ascii="仿宋_GB2312" w:eastAsia="仿宋_GB2312" w:cs="仿宋_GB2312"/>
          <w:color w:val="auto"/>
          <w:sz w:val="32"/>
          <w:szCs w:val="32"/>
        </w:rPr>
        <w:t>C</w:t>
      </w:r>
      <w:r>
        <w:rPr>
          <w:rFonts w:hint="eastAsia" w:ascii="仿宋_GB2312" w:eastAsia="仿宋_GB2312" w:cs="仿宋_GB2312"/>
          <w:color w:val="auto"/>
          <w:sz w:val="32"/>
          <w:szCs w:val="32"/>
        </w:rPr>
        <w:t>级合格供应商</w:t>
      </w:r>
      <w:r>
        <w:rPr>
          <w:rFonts w:hint="eastAsia" w:ascii="仿宋_GB2312" w:hAnsi="宋体" w:eastAsia="仿宋_GB2312" w:cs="仿宋_GB2312"/>
          <w:color w:val="auto"/>
          <w:sz w:val="32"/>
          <w:szCs w:val="32"/>
        </w:rPr>
        <w:t>年度评价后，</w:t>
      </w:r>
      <w:r>
        <w:rPr>
          <w:rFonts w:hint="eastAsia" w:ascii="仿宋_GB2312" w:eastAsia="仿宋_GB2312" w:cs="仿宋_GB2312"/>
          <w:color w:val="auto"/>
          <w:sz w:val="32"/>
          <w:szCs w:val="32"/>
        </w:rPr>
        <w:t>能够达到上一级别的要求，予以升级</w:t>
      </w:r>
      <w:r>
        <w:rPr>
          <w:rFonts w:hint="eastAsia" w:ascii="仿宋_GB2312" w:eastAsia="仿宋_GB2312" w:cs="仿宋_GB2312"/>
          <w:color w:val="auto"/>
          <w:sz w:val="32"/>
          <w:szCs w:val="32"/>
          <w:lang w:eastAsia="zh-CN"/>
        </w:rPr>
        <w:t>，</w:t>
      </w:r>
      <w:r>
        <w:rPr>
          <w:rFonts w:hint="eastAsia" w:ascii="仿宋_GB2312" w:hAnsi="宋体" w:eastAsia="仿宋_GB2312" w:cs="仿宋_GB2312"/>
          <w:color w:val="auto"/>
          <w:sz w:val="32"/>
          <w:szCs w:val="32"/>
        </w:rPr>
        <w:t>升级后合格</w:t>
      </w:r>
      <w:r>
        <w:rPr>
          <w:rFonts w:hint="eastAsia" w:ascii="仿宋_GB2312" w:eastAsia="仿宋_GB2312" w:cs="仿宋_GB2312"/>
          <w:color w:val="auto"/>
          <w:sz w:val="32"/>
          <w:szCs w:val="32"/>
        </w:rPr>
        <w:t>供应商可以按其新级别参与相应的采购活动</w:t>
      </w:r>
      <w:r>
        <w:rPr>
          <w:rFonts w:hint="eastAsia" w:ascii="仿宋_GB2312" w:eastAsia="仿宋_GB2312" w:cs="仿宋_GB2312"/>
          <w:color w:val="auto"/>
          <w:sz w:val="32"/>
          <w:szCs w:val="32"/>
          <w:lang w:eastAsia="zh-CN"/>
        </w:rPr>
        <w:t>；</w:t>
      </w:r>
    </w:p>
    <w:p>
      <w:pPr>
        <w:adjustRightInd w:val="0"/>
        <w:snapToGrid w:val="0"/>
        <w:spacing w:line="600" w:lineRule="exact"/>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lang w:val="en-US" w:eastAsia="zh-CN"/>
        </w:rPr>
        <w:t>5.2</w:t>
      </w:r>
      <w:r>
        <w:rPr>
          <w:rFonts w:hint="eastAsia" w:ascii="黑体" w:hAnsi="黑体" w:eastAsia="黑体" w:cs="黑体"/>
          <w:b/>
          <w:bCs/>
          <w:color w:val="auto"/>
          <w:sz w:val="32"/>
          <w:szCs w:val="32"/>
        </w:rPr>
        <w:t>降级</w:t>
      </w:r>
    </w:p>
    <w:p>
      <w:pPr>
        <w:adjustRightInd w:val="0"/>
        <w:snapToGrid w:val="0"/>
        <w:spacing w:line="600" w:lineRule="exact"/>
        <w:ind w:firstLine="640" w:firstLineChars="200"/>
        <w:rPr>
          <w:rFonts w:ascii="仿宋_GB2312" w:hAnsi="宋体" w:eastAsia="仿宋_GB2312" w:cs="仿宋_GB2312"/>
          <w:color w:val="auto"/>
          <w:sz w:val="32"/>
          <w:szCs w:val="32"/>
        </w:rPr>
      </w:pPr>
      <w:r>
        <w:rPr>
          <w:rFonts w:ascii="仿宋_GB2312" w:hAnsi="宋体" w:eastAsia="仿宋_GB2312" w:cs="仿宋_GB2312"/>
          <w:color w:val="auto"/>
          <w:sz w:val="32"/>
          <w:szCs w:val="32"/>
        </w:rPr>
        <w:t>A</w:t>
      </w:r>
      <w:r>
        <w:rPr>
          <w:rFonts w:hint="eastAsia" w:ascii="仿宋_GB2312" w:eastAsia="仿宋_GB2312" w:cs="仿宋_GB2312"/>
          <w:color w:val="auto"/>
          <w:sz w:val="32"/>
          <w:szCs w:val="32"/>
        </w:rPr>
        <w:t>、</w:t>
      </w:r>
      <w:r>
        <w:rPr>
          <w:rFonts w:ascii="仿宋_GB2312" w:eastAsia="仿宋_GB2312" w:cs="仿宋_GB2312"/>
          <w:color w:val="auto"/>
          <w:sz w:val="32"/>
          <w:szCs w:val="32"/>
        </w:rPr>
        <w:t>B</w:t>
      </w:r>
      <w:r>
        <w:rPr>
          <w:rFonts w:hint="eastAsia" w:ascii="仿宋_GB2312" w:eastAsia="仿宋_GB2312" w:cs="仿宋_GB2312"/>
          <w:color w:val="auto"/>
          <w:sz w:val="32"/>
          <w:szCs w:val="32"/>
        </w:rPr>
        <w:t>级合格供应商</w:t>
      </w:r>
      <w:r>
        <w:rPr>
          <w:rFonts w:hint="eastAsia" w:ascii="仿宋_GB2312" w:hAnsi="宋体" w:eastAsia="仿宋_GB2312" w:cs="仿宋_GB2312"/>
          <w:color w:val="auto"/>
          <w:sz w:val="32"/>
          <w:szCs w:val="32"/>
        </w:rPr>
        <w:t>年度评价后，</w:t>
      </w:r>
      <w:r>
        <w:rPr>
          <w:rFonts w:hint="eastAsia" w:ascii="仿宋_GB2312" w:eastAsia="仿宋_GB2312" w:cs="仿宋_GB2312"/>
          <w:color w:val="auto"/>
          <w:sz w:val="32"/>
          <w:szCs w:val="32"/>
        </w:rPr>
        <w:t>不能达到其对应级别的要求，予以降级</w:t>
      </w:r>
      <w:r>
        <w:rPr>
          <w:rFonts w:hint="eastAsia" w:ascii="仿宋_GB2312" w:eastAsia="仿宋_GB2312" w:cs="仿宋_GB2312"/>
          <w:color w:val="auto"/>
          <w:sz w:val="32"/>
          <w:szCs w:val="32"/>
          <w:lang w:eastAsia="zh-CN"/>
        </w:rPr>
        <w:t>，</w:t>
      </w:r>
      <w:r>
        <w:rPr>
          <w:rFonts w:hint="eastAsia" w:ascii="仿宋_GB2312" w:hAnsi="宋体" w:eastAsia="仿宋_GB2312" w:cs="仿宋_GB2312"/>
          <w:color w:val="auto"/>
          <w:sz w:val="32"/>
          <w:szCs w:val="32"/>
        </w:rPr>
        <w:t>降级后的</w:t>
      </w:r>
      <w:r>
        <w:rPr>
          <w:rFonts w:hint="eastAsia" w:ascii="仿宋_GB2312" w:eastAsia="仿宋_GB2312" w:cs="仿宋_GB2312"/>
          <w:color w:val="auto"/>
          <w:sz w:val="32"/>
          <w:szCs w:val="32"/>
        </w:rPr>
        <w:t>合格供应商应该按其新级别参与相应的采购</w:t>
      </w:r>
      <w:r>
        <w:rPr>
          <w:rFonts w:hint="eastAsia" w:ascii="仿宋_GB2312" w:hAnsi="宋体" w:eastAsia="仿宋_GB2312" w:cs="仿宋_GB2312"/>
          <w:color w:val="auto"/>
          <w:sz w:val="32"/>
          <w:szCs w:val="32"/>
        </w:rPr>
        <w:t>活动。</w:t>
      </w:r>
    </w:p>
    <w:p>
      <w:pPr>
        <w:adjustRightInd w:val="0"/>
        <w:snapToGrid w:val="0"/>
        <w:spacing w:line="600" w:lineRule="exact"/>
        <w:rPr>
          <w:rFonts w:hint="eastAsia" w:ascii="黑体" w:hAnsi="黑体" w:eastAsia="黑体" w:cs="黑体"/>
          <w:color w:val="auto"/>
          <w:sz w:val="32"/>
          <w:szCs w:val="32"/>
        </w:rPr>
      </w:pPr>
      <w:r>
        <w:rPr>
          <w:rFonts w:hint="eastAsia" w:ascii="仿宋_GB2312" w:hAnsi="宋体" w:eastAsia="仿宋_GB2312" w:cs="仿宋_GB2312"/>
          <w:color w:val="auto"/>
          <w:sz w:val="32"/>
          <w:szCs w:val="32"/>
          <w:lang w:val="en-US" w:eastAsia="zh-CN"/>
        </w:rPr>
        <w:t xml:space="preserve">   </w:t>
      </w:r>
      <w:r>
        <w:rPr>
          <w:rFonts w:hint="eastAsia" w:ascii="黑体" w:hAnsi="黑体" w:eastAsia="黑体" w:cs="黑体"/>
          <w:color w:val="auto"/>
          <w:sz w:val="32"/>
          <w:szCs w:val="32"/>
          <w:lang w:val="en-US" w:eastAsia="zh-CN"/>
        </w:rPr>
        <w:t xml:space="preserve"> </w:t>
      </w:r>
      <w:r>
        <w:rPr>
          <w:rFonts w:hint="eastAsia" w:ascii="黑体" w:hAnsi="黑体" w:eastAsia="黑体" w:cs="黑体"/>
          <w:b/>
          <w:bCs/>
          <w:color w:val="auto"/>
          <w:sz w:val="32"/>
          <w:szCs w:val="32"/>
          <w:lang w:val="en-US" w:eastAsia="zh-CN"/>
        </w:rPr>
        <w:t>5.3</w:t>
      </w:r>
      <w:r>
        <w:rPr>
          <w:rFonts w:hint="eastAsia" w:ascii="黑体" w:hAnsi="黑体" w:eastAsia="黑体" w:cs="黑体"/>
          <w:b/>
          <w:bCs/>
          <w:color w:val="auto"/>
          <w:sz w:val="32"/>
          <w:szCs w:val="32"/>
        </w:rPr>
        <w:t>整改</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rPr>
        <w:t>供应商在生产经营和与公司合作过程中出现问题，经过整改有可能继续作为合格供应商时</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以《合格供应商整改</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恢复</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通知书》通知供应商进行整改。出现下列情况之一时，要求供应商进行整改：</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5.3.1</w:t>
      </w:r>
      <w:r>
        <w:rPr>
          <w:rFonts w:hint="eastAsia" w:ascii="仿宋_GB2312" w:hAnsi="宋体" w:eastAsia="仿宋_GB2312" w:cs="仿宋_GB2312"/>
          <w:color w:val="auto"/>
          <w:sz w:val="32"/>
          <w:szCs w:val="32"/>
        </w:rPr>
        <w:t>合格供应商供货产品设备备件质量一次不合格的；</w:t>
      </w:r>
    </w:p>
    <w:p>
      <w:pPr>
        <w:adjustRightInd w:val="0"/>
        <w:snapToGrid w:val="0"/>
        <w:spacing w:line="600" w:lineRule="exact"/>
        <w:ind w:firstLine="640" w:firstLineChars="200"/>
        <w:rPr>
          <w:rFonts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5.3.2</w:t>
      </w:r>
      <w:r>
        <w:rPr>
          <w:rFonts w:hint="eastAsia" w:ascii="仿宋_GB2312" w:hAnsi="宋体" w:eastAsia="仿宋_GB2312" w:cs="仿宋_GB2312"/>
          <w:color w:val="auto"/>
          <w:sz w:val="32"/>
          <w:szCs w:val="32"/>
        </w:rPr>
        <w:t>资材非化检验品种两次不合格的；资材化检验品种累计三次</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月不合格的</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每个评价报告为一次</w:t>
      </w:r>
      <w:r>
        <w:rPr>
          <w:rFonts w:ascii="仿宋_GB2312" w:hAnsi="宋体" w:eastAsia="仿宋_GB2312" w:cs="仿宋_GB2312"/>
          <w:color w:val="auto"/>
          <w:sz w:val="32"/>
          <w:szCs w:val="32"/>
        </w:rPr>
        <w:t>);</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5.3.3</w:t>
      </w:r>
      <w:r>
        <w:rPr>
          <w:rFonts w:hint="eastAsia" w:ascii="仿宋_GB2312" w:hAnsi="宋体" w:eastAsia="仿宋_GB2312" w:cs="仿宋_GB2312"/>
          <w:color w:val="auto"/>
          <w:sz w:val="32"/>
          <w:szCs w:val="32"/>
        </w:rPr>
        <w:t>因供应商原因两次及以上不按合同交货期按时按量交货的，除按合同约定予以处罚外，应要求供应商进行整改</w:t>
      </w:r>
      <w:r>
        <w:rPr>
          <w:rFonts w:hint="eastAsia" w:ascii="仿宋_GB2312" w:hAnsi="宋体" w:eastAsia="仿宋_GB2312" w:cs="仿宋_GB2312"/>
          <w:color w:val="auto"/>
          <w:sz w:val="32"/>
          <w:szCs w:val="32"/>
          <w:lang w:eastAsia="zh-CN"/>
        </w:rPr>
        <w:t>的</w:t>
      </w:r>
      <w:r>
        <w:rPr>
          <w:rFonts w:hint="eastAsia" w:ascii="仿宋_GB2312" w:hAnsi="宋体" w:eastAsia="仿宋_GB2312" w:cs="仿宋_GB2312"/>
          <w:color w:val="auto"/>
          <w:sz w:val="32"/>
          <w:szCs w:val="32"/>
        </w:rPr>
        <w:t>；</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5.3.4</w:t>
      </w:r>
      <w:r>
        <w:rPr>
          <w:rFonts w:hint="eastAsia" w:ascii="仿宋_GB2312" w:hAnsi="宋体" w:eastAsia="仿宋_GB2312" w:cs="仿宋_GB2312"/>
          <w:color w:val="auto"/>
          <w:sz w:val="32"/>
          <w:szCs w:val="32"/>
        </w:rPr>
        <w:t>因产品质量问题造成公司二级及以下事故的；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5.3.5</w:t>
      </w:r>
      <w:r>
        <w:rPr>
          <w:rFonts w:hint="eastAsia" w:ascii="仿宋_GB2312" w:hAnsi="宋体" w:eastAsia="仿宋_GB2312" w:cs="仿宋_GB2312"/>
          <w:color w:val="auto"/>
          <w:sz w:val="32"/>
          <w:szCs w:val="32"/>
        </w:rPr>
        <w:t>供应商在改组改制、生产地址迁移、施工改造过程中或生产条件、生产环境等变化影响质量体系不能正常运行的；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5.3.6</w:t>
      </w:r>
      <w:r>
        <w:rPr>
          <w:rFonts w:hint="eastAsia" w:ascii="仿宋_GB2312" w:hAnsi="宋体" w:eastAsia="仿宋_GB2312" w:cs="仿宋_GB2312"/>
          <w:color w:val="auto"/>
          <w:sz w:val="32"/>
          <w:szCs w:val="32"/>
        </w:rPr>
        <w:t>中心提升准入条件时</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原合格供应商未达到要求的；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5.3.7</w:t>
      </w:r>
      <w:r>
        <w:rPr>
          <w:rFonts w:hint="eastAsia" w:ascii="仿宋_GB2312" w:hAnsi="宋体" w:eastAsia="仿宋_GB2312" w:cs="仿宋_GB2312"/>
          <w:color w:val="auto"/>
          <w:sz w:val="32"/>
          <w:szCs w:val="32"/>
        </w:rPr>
        <w:t>超计划送货的；</w:t>
      </w:r>
    </w:p>
    <w:p>
      <w:pPr>
        <w:adjustRightInd w:val="0"/>
        <w:snapToGrid w:val="0"/>
        <w:spacing w:line="600" w:lineRule="exact"/>
        <w:ind w:firstLine="640" w:firstLineChars="200"/>
        <w:rPr>
          <w:rFonts w:hint="eastAsia" w:ascii="仿宋_GB2312" w:hAnsi="宋体" w:eastAsia="仿宋_GB2312"/>
          <w:color w:val="auto"/>
          <w:sz w:val="32"/>
          <w:szCs w:val="32"/>
          <w:lang w:eastAsia="zh-CN"/>
        </w:rPr>
      </w:pPr>
      <w:r>
        <w:rPr>
          <w:rFonts w:hint="eastAsia" w:ascii="仿宋_GB2312" w:hAnsi="宋体" w:eastAsia="仿宋_GB2312" w:cs="仿宋_GB2312"/>
          <w:color w:val="auto"/>
          <w:sz w:val="32"/>
          <w:szCs w:val="32"/>
          <w:lang w:val="en-US" w:eastAsia="zh-CN"/>
        </w:rPr>
        <w:t>5.3.8</w:t>
      </w:r>
      <w:r>
        <w:rPr>
          <w:rFonts w:hint="eastAsia" w:ascii="仿宋_GB2312" w:hAnsi="宋体" w:eastAsia="仿宋_GB2312" w:cs="仿宋_GB2312"/>
          <w:color w:val="auto"/>
          <w:sz w:val="32"/>
          <w:szCs w:val="32"/>
        </w:rPr>
        <w:t>合同约定的其他情况</w:t>
      </w:r>
      <w:r>
        <w:rPr>
          <w:rFonts w:hint="eastAsia" w:ascii="仿宋_GB2312" w:hAnsi="宋体" w:eastAsia="仿宋_GB2312" w:cs="仿宋_GB2312"/>
          <w:color w:val="auto"/>
          <w:sz w:val="32"/>
          <w:szCs w:val="32"/>
          <w:lang w:eastAsia="zh-CN"/>
        </w:rPr>
        <w:t>；</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5.3.9</w:t>
      </w:r>
      <w:r>
        <w:rPr>
          <w:rFonts w:hint="eastAsia" w:ascii="仿宋_GB2312" w:hAnsi="宋体" w:eastAsia="仿宋_GB2312" w:cs="仿宋_GB2312"/>
          <w:color w:val="auto"/>
          <w:sz w:val="32"/>
          <w:szCs w:val="32"/>
        </w:rPr>
        <w:t>供应商整改期限一般不超过六个月。因一般质量问题要求整改的一般不超过一个月，供货不及时整改期限不超过</w:t>
      </w:r>
      <w:r>
        <w:rPr>
          <w:rFonts w:ascii="仿宋_GB2312" w:hAnsi="宋体" w:eastAsia="仿宋_GB2312" w:cs="仿宋_GB2312"/>
          <w:color w:val="auto"/>
          <w:sz w:val="32"/>
          <w:szCs w:val="32"/>
        </w:rPr>
        <w:t>15</w:t>
      </w:r>
      <w:r>
        <w:rPr>
          <w:rFonts w:hint="eastAsia" w:ascii="仿宋_GB2312" w:hAnsi="宋体" w:eastAsia="仿宋_GB2312" w:cs="仿宋_GB2312"/>
          <w:color w:val="auto"/>
          <w:sz w:val="32"/>
          <w:szCs w:val="32"/>
        </w:rPr>
        <w:t>天</w:t>
      </w:r>
      <w:r>
        <w:rPr>
          <w:rFonts w:hint="eastAsia" w:ascii="仿宋_GB2312" w:hAnsi="宋体" w:eastAsia="仿宋_GB2312" w:cs="仿宋_GB2312"/>
          <w:color w:val="auto"/>
          <w:sz w:val="32"/>
          <w:szCs w:val="32"/>
          <w:lang w:val="en-US" w:eastAsia="zh-CN"/>
        </w:rPr>
        <w:t>；</w:t>
      </w:r>
    </w:p>
    <w:p>
      <w:pPr>
        <w:adjustRightInd w:val="0"/>
        <w:snapToGrid w:val="0"/>
        <w:spacing w:line="600" w:lineRule="exact"/>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5.3.10</w:t>
      </w:r>
      <w:r>
        <w:rPr>
          <w:rFonts w:hint="eastAsia" w:ascii="仿宋_GB2312" w:hAnsi="宋体" w:eastAsia="仿宋_GB2312" w:cs="仿宋_GB2312"/>
          <w:color w:val="auto"/>
          <w:sz w:val="32"/>
          <w:szCs w:val="32"/>
        </w:rPr>
        <w:t>供应商在整改期限内不能参与中心的采购活动</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对由于提升准入条件后暂时不符合准入条件的原合格供应商，在整改期间可参与中心的采购活动</w:t>
      </w:r>
      <w:r>
        <w:rPr>
          <w:rFonts w:hint="eastAsia" w:ascii="仿宋_GB2312" w:hAnsi="宋体" w:eastAsia="仿宋_GB2312" w:cs="仿宋_GB2312"/>
          <w:color w:val="auto"/>
          <w:sz w:val="32"/>
          <w:szCs w:val="32"/>
          <w:lang w:eastAsia="zh-CN"/>
        </w:rPr>
        <w:t>；</w:t>
      </w:r>
    </w:p>
    <w:p>
      <w:pPr>
        <w:adjustRightInd w:val="0"/>
        <w:snapToGrid w:val="0"/>
        <w:spacing w:line="600" w:lineRule="exact"/>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5.3.11</w:t>
      </w:r>
      <w:r>
        <w:rPr>
          <w:rFonts w:hint="eastAsia" w:ascii="仿宋_GB2312" w:hAnsi="宋体" w:eastAsia="仿宋_GB2312" w:cs="仿宋_GB2312"/>
          <w:color w:val="auto"/>
          <w:sz w:val="32"/>
          <w:szCs w:val="32"/>
        </w:rPr>
        <w:t>供应商在整改限期内完成整改的，可向采购部门提出书面申请，由采购部门采购</w:t>
      </w:r>
      <w:r>
        <w:rPr>
          <w:rFonts w:hint="eastAsia" w:ascii="仿宋_GB2312" w:hAnsi="宋体" w:eastAsia="仿宋_GB2312" w:cs="仿宋_GB2312"/>
          <w:color w:val="auto"/>
          <w:sz w:val="32"/>
          <w:szCs w:val="32"/>
          <w:lang w:val="en-US" w:eastAsia="zh-CN"/>
        </w:rPr>
        <w:t>寻源</w:t>
      </w:r>
      <w:r>
        <w:rPr>
          <w:rFonts w:hint="eastAsia" w:ascii="仿宋_GB2312" w:hAnsi="宋体" w:eastAsia="仿宋_GB2312" w:cs="仿宋_GB2312"/>
          <w:color w:val="auto"/>
          <w:sz w:val="32"/>
          <w:szCs w:val="32"/>
        </w:rPr>
        <w:t>主管按照分管叶类，恢复合格供应商资格</w:t>
      </w:r>
      <w:r>
        <w:rPr>
          <w:rFonts w:hint="eastAsia" w:ascii="仿宋_GB2312" w:hAnsi="宋体" w:eastAsia="仿宋_GB2312" w:cs="仿宋_GB2312"/>
          <w:color w:val="auto"/>
          <w:sz w:val="32"/>
          <w:szCs w:val="32"/>
          <w:lang w:eastAsia="zh-CN"/>
        </w:rPr>
        <w:t>；</w:t>
      </w:r>
    </w:p>
    <w:p>
      <w:pPr>
        <w:adjustRightInd w:val="0"/>
        <w:snapToGrid w:val="0"/>
        <w:spacing w:line="600" w:lineRule="exact"/>
        <w:ind w:firstLine="640" w:firstLineChars="200"/>
        <w:rPr>
          <w:rFonts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5.3.12</w:t>
      </w:r>
      <w:r>
        <w:rPr>
          <w:rFonts w:hint="eastAsia" w:ascii="仿宋_GB2312" w:hAnsi="宋体" w:eastAsia="仿宋_GB2312" w:cs="仿宋_GB2312"/>
          <w:color w:val="auto"/>
          <w:sz w:val="32"/>
          <w:szCs w:val="32"/>
        </w:rPr>
        <w:t>超过规定整改期限的取消合格供应商资格。</w:t>
      </w:r>
      <w:r>
        <w:rPr>
          <w:rFonts w:ascii="仿宋_GB2312" w:hAnsi="宋体" w:eastAsia="仿宋_GB2312" w:cs="仿宋_GB2312"/>
          <w:color w:val="auto"/>
          <w:sz w:val="32"/>
          <w:szCs w:val="32"/>
        </w:rPr>
        <w:t xml:space="preserve">  </w:t>
      </w:r>
    </w:p>
    <w:p>
      <w:pPr>
        <w:adjustRightInd w:val="0"/>
        <w:snapToGrid w:val="0"/>
        <w:spacing w:line="600" w:lineRule="exact"/>
        <w:ind w:firstLine="643" w:firstLineChars="200"/>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lang w:val="en-US" w:eastAsia="zh-CN"/>
        </w:rPr>
        <w:t>5.4暂停业务</w:t>
      </w:r>
    </w:p>
    <w:p>
      <w:pPr>
        <w:adjustRightInd w:val="0"/>
        <w:snapToGrid w:val="0"/>
        <w:spacing w:line="600" w:lineRule="exact"/>
        <w:ind w:firstLine="640" w:firstLineChars="200"/>
        <w:rPr>
          <w:rFonts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rPr>
        <w:t>合格供应商资质信息不完善、未在约定时限内进行及时更新的，暂时不能满足准入条件要求的，或由于特殊原因，暂时不可以参与采购活动的，</w:t>
      </w:r>
      <w:r>
        <w:rPr>
          <w:rFonts w:hint="eastAsia" w:ascii="仿宋_GB2312" w:hAnsi="宋体" w:eastAsia="仿宋_GB2312" w:cs="仿宋_GB2312"/>
          <w:color w:val="auto"/>
          <w:sz w:val="32"/>
          <w:szCs w:val="32"/>
          <w:highlight w:val="none"/>
          <w:lang w:eastAsia="zh-CN"/>
        </w:rPr>
        <w:t>对</w:t>
      </w:r>
      <w:r>
        <w:rPr>
          <w:rFonts w:hint="eastAsia" w:ascii="仿宋_GB2312" w:hAnsi="宋体" w:eastAsia="仿宋_GB2312" w:cs="仿宋_GB2312"/>
          <w:color w:val="auto"/>
          <w:sz w:val="32"/>
          <w:szCs w:val="32"/>
          <w:highlight w:val="none"/>
        </w:rPr>
        <w:t>合格供应商执行</w:t>
      </w:r>
      <w:r>
        <w:rPr>
          <w:rFonts w:hint="eastAsia" w:ascii="仿宋_GB2312" w:hAnsi="宋体" w:eastAsia="仿宋_GB2312" w:cs="仿宋_GB2312"/>
          <w:color w:val="auto"/>
          <w:sz w:val="32"/>
          <w:szCs w:val="32"/>
          <w:highlight w:val="none"/>
          <w:lang w:eastAsia="zh-CN"/>
        </w:rPr>
        <w:t>暂停业务</w:t>
      </w:r>
      <w:r>
        <w:rPr>
          <w:rFonts w:hint="eastAsia" w:ascii="仿宋_GB2312" w:hAnsi="宋体" w:eastAsia="仿宋_GB2312" w:cs="仿宋_GB2312"/>
          <w:color w:val="auto"/>
          <w:sz w:val="32"/>
          <w:szCs w:val="32"/>
          <w:highlight w:val="none"/>
        </w:rPr>
        <w:t>处理。</w:t>
      </w:r>
      <w:r>
        <w:rPr>
          <w:rFonts w:ascii="仿宋_GB2312" w:hAnsi="宋体" w:eastAsia="仿宋_GB2312" w:cs="仿宋_GB2312"/>
          <w:color w:val="auto"/>
          <w:sz w:val="32"/>
          <w:szCs w:val="32"/>
          <w:highlight w:val="none"/>
        </w:rPr>
        <w:t xml:space="preserve"> </w:t>
      </w:r>
    </w:p>
    <w:p>
      <w:pPr>
        <w:adjustRightInd w:val="0"/>
        <w:snapToGrid w:val="0"/>
        <w:spacing w:line="60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5.4.1</w:t>
      </w:r>
      <w:r>
        <w:rPr>
          <w:rFonts w:hint="eastAsia" w:ascii="仿宋_GB2312" w:hAnsi="宋体" w:eastAsia="仿宋_GB2312" w:cs="仿宋_GB2312"/>
          <w:color w:val="auto"/>
          <w:sz w:val="32"/>
          <w:szCs w:val="32"/>
          <w:highlight w:val="none"/>
        </w:rPr>
        <w:t>资质信息不完善、超期一个月未进行及时更新，供应商管理部实施供应商</w:t>
      </w:r>
      <w:r>
        <w:rPr>
          <w:rFonts w:hint="eastAsia" w:ascii="仿宋_GB2312" w:hAnsi="宋体" w:eastAsia="仿宋_GB2312" w:cs="仿宋_GB2312"/>
          <w:color w:val="auto"/>
          <w:sz w:val="32"/>
          <w:szCs w:val="32"/>
          <w:highlight w:val="none"/>
          <w:lang w:val="en-US" w:eastAsia="zh-CN"/>
        </w:rPr>
        <w:t>暂停业务</w:t>
      </w:r>
      <w:r>
        <w:rPr>
          <w:rFonts w:hint="eastAsia" w:ascii="仿宋_GB2312" w:hAnsi="宋体" w:eastAsia="仿宋_GB2312" w:cs="仿宋_GB2312"/>
          <w:color w:val="auto"/>
          <w:sz w:val="32"/>
          <w:szCs w:val="32"/>
          <w:highlight w:val="none"/>
          <w:lang w:eastAsia="zh-CN"/>
        </w:rPr>
        <w:t>暂停业务；</w:t>
      </w:r>
    </w:p>
    <w:p>
      <w:pPr>
        <w:adjustRightInd w:val="0"/>
        <w:snapToGrid w:val="0"/>
        <w:spacing w:line="60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5.4.2</w:t>
      </w:r>
      <w:r>
        <w:rPr>
          <w:rFonts w:hint="eastAsia" w:ascii="仿宋_GB2312" w:hAnsi="宋体" w:eastAsia="仿宋_GB2312" w:cs="仿宋_GB2312"/>
          <w:color w:val="auto"/>
          <w:sz w:val="32"/>
          <w:szCs w:val="32"/>
          <w:highlight w:val="none"/>
        </w:rPr>
        <w:t>涉及法律纠纷等、相关问题核查的，在核查期间，供应商管理部实施供应商</w:t>
      </w:r>
      <w:r>
        <w:rPr>
          <w:rFonts w:hint="eastAsia" w:ascii="仿宋_GB2312" w:hAnsi="宋体" w:eastAsia="仿宋_GB2312" w:cs="仿宋_GB2312"/>
          <w:color w:val="auto"/>
          <w:sz w:val="32"/>
          <w:szCs w:val="32"/>
          <w:highlight w:val="none"/>
          <w:lang w:val="en-US" w:eastAsia="zh-CN"/>
        </w:rPr>
        <w:t>暂停业务</w:t>
      </w:r>
      <w:r>
        <w:rPr>
          <w:rFonts w:hint="eastAsia" w:ascii="仿宋_GB2312" w:hAnsi="宋体" w:eastAsia="仿宋_GB2312" w:cs="仿宋_GB2312"/>
          <w:color w:val="auto"/>
          <w:sz w:val="32"/>
          <w:szCs w:val="32"/>
          <w:highlight w:val="none"/>
          <w:lang w:eastAsia="zh-CN"/>
        </w:rPr>
        <w:t>暂停业务；</w:t>
      </w:r>
    </w:p>
    <w:p>
      <w:pPr>
        <w:adjustRightInd w:val="0"/>
        <w:snapToGrid w:val="0"/>
        <w:spacing w:line="600" w:lineRule="exact"/>
        <w:ind w:firstLine="640" w:firstLineChars="200"/>
        <w:rPr>
          <w:rFonts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5.4.3</w:t>
      </w:r>
      <w:r>
        <w:rPr>
          <w:rFonts w:hint="eastAsia" w:ascii="仿宋_GB2312" w:hAnsi="宋体" w:eastAsia="仿宋_GB2312" w:cs="仿宋_GB2312"/>
          <w:color w:val="auto"/>
          <w:sz w:val="32"/>
          <w:szCs w:val="32"/>
          <w:highlight w:val="none"/>
        </w:rPr>
        <w:t>合格供应商</w:t>
      </w:r>
      <w:r>
        <w:rPr>
          <w:rFonts w:hint="eastAsia" w:ascii="仿宋_GB2312" w:hAnsi="宋体" w:eastAsia="仿宋_GB2312" w:cs="仿宋_GB2312"/>
          <w:color w:val="auto"/>
          <w:sz w:val="32"/>
          <w:szCs w:val="32"/>
          <w:highlight w:val="none"/>
          <w:lang w:val="en-US" w:eastAsia="zh-CN"/>
        </w:rPr>
        <w:t>恢复</w:t>
      </w:r>
      <w:r>
        <w:rPr>
          <w:rFonts w:hint="eastAsia" w:ascii="仿宋_GB2312" w:hAnsi="宋体" w:eastAsia="仿宋_GB2312" w:cs="仿宋_GB2312"/>
          <w:color w:val="auto"/>
          <w:sz w:val="32"/>
          <w:szCs w:val="32"/>
          <w:highlight w:val="none"/>
        </w:rPr>
        <w:t>资格，需由合格供应商提出书面申请，采购部门、供应商管理部签署意见，由供应商管理部实施</w:t>
      </w:r>
      <w:r>
        <w:rPr>
          <w:rFonts w:hint="eastAsia" w:ascii="仿宋_GB2312" w:hAnsi="宋体" w:eastAsia="仿宋_GB2312" w:cs="仿宋_GB2312"/>
          <w:color w:val="auto"/>
          <w:sz w:val="32"/>
          <w:szCs w:val="32"/>
          <w:highlight w:val="none"/>
          <w:lang w:val="en-US" w:eastAsia="zh-CN"/>
        </w:rPr>
        <w:t>恢复资格</w:t>
      </w:r>
      <w:r>
        <w:rPr>
          <w:rFonts w:hint="eastAsia" w:ascii="仿宋_GB2312" w:hAnsi="宋体" w:eastAsia="仿宋_GB2312" w:cs="仿宋_GB2312"/>
          <w:color w:val="auto"/>
          <w:sz w:val="32"/>
          <w:szCs w:val="32"/>
          <w:highlight w:val="none"/>
        </w:rPr>
        <w:t>。</w:t>
      </w:r>
      <w:r>
        <w:rPr>
          <w:rFonts w:ascii="仿宋_GB2312" w:hAnsi="宋体" w:eastAsia="仿宋_GB2312" w:cs="仿宋_GB2312"/>
          <w:color w:val="auto"/>
          <w:sz w:val="32"/>
          <w:szCs w:val="32"/>
          <w:highlight w:val="none"/>
        </w:rPr>
        <w:t xml:space="preserve">                                                                                                                                                                                                                                                                                                                                                                                                                                                                                                                                                                                                                                                                                                                                                                                                                                                                                                                                                                                                                                                                                                                                                                                                                                                                                                                                                                                                                                                                                                                                                                    </w:t>
      </w:r>
    </w:p>
    <w:p>
      <w:pPr>
        <w:adjustRightInd w:val="0"/>
        <w:snapToGrid w:val="0"/>
        <w:spacing w:line="600" w:lineRule="exact"/>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highlight w:val="none"/>
          <w:lang w:val="en-US" w:eastAsia="zh-CN"/>
        </w:rPr>
        <w:t>5.5</w:t>
      </w:r>
      <w:r>
        <w:rPr>
          <w:rFonts w:hint="eastAsia" w:ascii="黑体" w:hAnsi="黑体" w:eastAsia="黑体" w:cs="黑体"/>
          <w:b/>
          <w:bCs/>
          <w:color w:val="auto"/>
          <w:sz w:val="32"/>
          <w:szCs w:val="32"/>
        </w:rPr>
        <w:t>取消部分品种</w:t>
      </w:r>
      <w:r>
        <w:rPr>
          <w:rFonts w:hint="eastAsia" w:ascii="黑体" w:hAnsi="黑体" w:eastAsia="黑体" w:cs="黑体"/>
          <w:b/>
          <w:bCs/>
          <w:color w:val="auto"/>
          <w:sz w:val="32"/>
          <w:szCs w:val="32"/>
          <w:lang w:val="en-US" w:eastAsia="zh-CN"/>
        </w:rPr>
        <w:t>供货</w:t>
      </w:r>
      <w:r>
        <w:rPr>
          <w:rFonts w:hint="eastAsia" w:ascii="黑体" w:hAnsi="黑体" w:eastAsia="黑体" w:cs="黑体"/>
          <w:b/>
          <w:bCs/>
          <w:color w:val="auto"/>
          <w:sz w:val="32"/>
          <w:szCs w:val="32"/>
        </w:rPr>
        <w:t>资格</w:t>
      </w:r>
    </w:p>
    <w:p>
      <w:pPr>
        <w:numPr>
          <w:ilvl w:val="0"/>
          <w:numId w:val="0"/>
        </w:num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合格供应商</w:t>
      </w:r>
      <w:r>
        <w:rPr>
          <w:rFonts w:hint="eastAsia" w:ascii="仿宋_GB2312" w:hAnsi="宋体" w:eastAsia="仿宋_GB2312" w:cs="仿宋_GB2312"/>
          <w:color w:val="auto"/>
          <w:sz w:val="32"/>
          <w:szCs w:val="32"/>
        </w:rPr>
        <w:t>出现下列情况之一</w:t>
      </w:r>
      <w:r>
        <w:rPr>
          <w:rFonts w:hint="eastAsia" w:ascii="仿宋_GB2312" w:hAnsi="宋体" w:eastAsia="仿宋_GB2312" w:cs="仿宋_GB2312"/>
          <w:color w:val="auto"/>
          <w:sz w:val="32"/>
          <w:szCs w:val="32"/>
          <w:lang w:val="en-US" w:eastAsia="zh-CN"/>
        </w:rPr>
        <w:t>的</w:t>
      </w:r>
      <w:r>
        <w:rPr>
          <w:rFonts w:hint="eastAsia" w:ascii="仿宋_GB2312" w:hAnsi="宋体" w:eastAsia="仿宋_GB2312" w:cs="仿宋_GB2312"/>
          <w:color w:val="auto"/>
          <w:sz w:val="32"/>
          <w:szCs w:val="32"/>
        </w:rPr>
        <w:t>，取消部分品种供货资格</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lang w:val="en-US" w:eastAsia="zh-CN"/>
        </w:rPr>
        <w:t>两年内禁止重新准入：</w:t>
      </w:r>
    </w:p>
    <w:p>
      <w:pPr>
        <w:numPr>
          <w:ilvl w:val="0"/>
          <w:numId w:val="0"/>
        </w:numPr>
        <w:adjustRightInd w:val="0"/>
        <w:snapToGrid w:val="0"/>
        <w:spacing w:line="60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5.5.1新进合格</w:t>
      </w:r>
      <w:r>
        <w:rPr>
          <w:rFonts w:hint="eastAsia" w:ascii="仿宋_GB2312" w:hAnsi="宋体" w:eastAsia="仿宋_GB2312" w:cs="仿宋_GB2312"/>
          <w:color w:val="auto"/>
          <w:sz w:val="32"/>
          <w:szCs w:val="32"/>
        </w:rPr>
        <w:t>供应商首次供货不合格的；</w:t>
      </w:r>
    </w:p>
    <w:p>
      <w:pPr>
        <w:numPr>
          <w:ilvl w:val="0"/>
          <w:numId w:val="0"/>
        </w:num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5.5.2</w:t>
      </w:r>
      <w:r>
        <w:rPr>
          <w:rFonts w:hint="eastAsia" w:ascii="仿宋_GB2312" w:hAnsi="宋体" w:eastAsia="仿宋_GB2312" w:cs="仿宋_GB2312"/>
          <w:color w:val="auto"/>
          <w:sz w:val="32"/>
          <w:szCs w:val="32"/>
        </w:rPr>
        <w:t>设备备件合格供应商相同叶类两次质量不合格的；</w:t>
      </w:r>
    </w:p>
    <w:p>
      <w:pPr>
        <w:adjustRightInd w:val="0"/>
        <w:snapToGrid w:val="0"/>
        <w:spacing w:line="60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5.5.3</w:t>
      </w:r>
      <w:r>
        <w:rPr>
          <w:rFonts w:hint="eastAsia" w:ascii="仿宋_GB2312" w:hAnsi="宋体" w:eastAsia="仿宋_GB2312" w:cs="仿宋_GB2312"/>
          <w:color w:val="auto"/>
          <w:sz w:val="32"/>
          <w:szCs w:val="32"/>
        </w:rPr>
        <w:t>因产品质量问题造成公司三级</w:t>
      </w:r>
      <w:r>
        <w:rPr>
          <w:rFonts w:hint="eastAsia" w:ascii="仿宋_GB2312" w:hAnsi="宋体" w:eastAsia="仿宋_GB2312" w:cs="仿宋_GB2312"/>
          <w:color w:val="auto"/>
          <w:sz w:val="32"/>
          <w:szCs w:val="32"/>
          <w:lang w:val="en-US" w:eastAsia="zh-CN"/>
        </w:rPr>
        <w:t>以上</w:t>
      </w:r>
      <w:r>
        <w:rPr>
          <w:rFonts w:hint="eastAsia" w:ascii="仿宋_GB2312" w:hAnsi="宋体" w:eastAsia="仿宋_GB2312" w:cs="仿宋_GB2312"/>
          <w:color w:val="auto"/>
          <w:sz w:val="32"/>
          <w:szCs w:val="32"/>
        </w:rPr>
        <w:t>事故的；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5.5.4</w:t>
      </w:r>
      <w:r>
        <w:rPr>
          <w:rFonts w:hint="eastAsia" w:ascii="仿宋_GB2312" w:hAnsi="宋体" w:eastAsia="仿宋_GB2312" w:cs="仿宋_GB2312"/>
          <w:color w:val="auto"/>
          <w:sz w:val="32"/>
          <w:szCs w:val="32"/>
        </w:rPr>
        <w:t>被要求整改而未按期完成整改或整改不合格的；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5.5.5</w:t>
      </w:r>
      <w:r>
        <w:rPr>
          <w:rFonts w:hint="eastAsia" w:ascii="仿宋_GB2312" w:hAnsi="宋体" w:eastAsia="仿宋_GB2312" w:cs="仿宋_GB2312"/>
          <w:color w:val="auto"/>
          <w:sz w:val="32"/>
          <w:szCs w:val="32"/>
        </w:rPr>
        <w:t>因产品质量问题被要求限期整改，恢复资格后继续出现质量问题，再次被停止供货的；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5.5.6</w:t>
      </w:r>
      <w:r>
        <w:rPr>
          <w:rFonts w:hint="eastAsia" w:ascii="仿宋_GB2312" w:hAnsi="宋体" w:eastAsia="仿宋_GB2312" w:cs="仿宋_GB2312"/>
          <w:color w:val="auto"/>
          <w:sz w:val="32"/>
          <w:szCs w:val="32"/>
        </w:rPr>
        <w:t>被邀请参加采购活动</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highlight w:val="none"/>
          <w:lang w:eastAsia="zh-CN"/>
        </w:rPr>
        <w:t>超过</w:t>
      </w:r>
      <w:r>
        <w:rPr>
          <w:rFonts w:hint="eastAsia" w:ascii="仿宋_GB2312" w:hAnsi="宋体" w:eastAsia="仿宋_GB2312" w:cs="仿宋_GB2312"/>
          <w:color w:val="auto"/>
          <w:sz w:val="32"/>
          <w:szCs w:val="32"/>
          <w:highlight w:val="none"/>
        </w:rPr>
        <w:t>一年</w:t>
      </w:r>
      <w:r>
        <w:rPr>
          <w:rFonts w:hint="eastAsia" w:ascii="仿宋_GB2312" w:hAnsi="宋体" w:eastAsia="仿宋_GB2312" w:cs="仿宋_GB2312"/>
          <w:color w:val="auto"/>
          <w:sz w:val="32"/>
          <w:szCs w:val="32"/>
        </w:rPr>
        <w:t>未</w:t>
      </w:r>
      <w:r>
        <w:rPr>
          <w:rFonts w:hint="eastAsia" w:ascii="仿宋_GB2312" w:hAnsi="宋体" w:eastAsia="仿宋_GB2312" w:cs="仿宋_GB2312"/>
          <w:color w:val="auto"/>
          <w:sz w:val="32"/>
          <w:szCs w:val="32"/>
          <w:lang w:val="en-US" w:eastAsia="zh-CN"/>
        </w:rPr>
        <w:t>响应</w:t>
      </w:r>
      <w:r>
        <w:rPr>
          <w:rFonts w:hint="eastAsia" w:ascii="仿宋_GB2312" w:hAnsi="宋体" w:eastAsia="仿宋_GB2312" w:cs="仿宋_GB2312"/>
          <w:color w:val="auto"/>
          <w:sz w:val="32"/>
          <w:szCs w:val="32"/>
        </w:rPr>
        <w:t>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5.5.7</w:t>
      </w:r>
      <w:r>
        <w:rPr>
          <w:rFonts w:hint="eastAsia" w:ascii="仿宋_GB2312" w:hAnsi="宋体" w:eastAsia="仿宋_GB2312" w:cs="仿宋_GB2312"/>
          <w:color w:val="auto"/>
          <w:sz w:val="32"/>
          <w:szCs w:val="32"/>
        </w:rPr>
        <w:t>中标不签订合同、签订合同不供货或供货不及时，</w:t>
      </w:r>
      <w:r>
        <w:rPr>
          <w:rFonts w:hint="eastAsia" w:ascii="仿宋_GB2312" w:hAnsi="宋体" w:eastAsia="仿宋_GB2312" w:cs="仿宋_GB2312"/>
          <w:color w:val="auto"/>
          <w:sz w:val="32"/>
          <w:szCs w:val="32"/>
          <w:lang w:val="en-US" w:eastAsia="zh-CN"/>
        </w:rPr>
        <w:t>但</w:t>
      </w:r>
      <w:r>
        <w:rPr>
          <w:rFonts w:hint="eastAsia" w:ascii="仿宋_GB2312" w:hAnsi="宋体" w:eastAsia="仿宋_GB2312" w:cs="仿宋_GB2312"/>
          <w:color w:val="auto"/>
          <w:sz w:val="32"/>
          <w:szCs w:val="32"/>
        </w:rPr>
        <w:t>未给公司生产造成影响和经济利益损失的</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不可抗力和公司生产调整原因除外</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w:t>
      </w:r>
    </w:p>
    <w:p>
      <w:pPr>
        <w:adjustRightInd w:val="0"/>
        <w:snapToGrid w:val="0"/>
        <w:spacing w:line="60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5.5.8</w:t>
      </w:r>
      <w:r>
        <w:rPr>
          <w:rFonts w:hint="eastAsia" w:ascii="仿宋_GB2312" w:hAnsi="宋体" w:eastAsia="仿宋_GB2312" w:cs="仿宋_GB2312"/>
          <w:color w:val="auto"/>
          <w:sz w:val="32"/>
          <w:szCs w:val="32"/>
        </w:rPr>
        <w:t>供应商年度评价</w:t>
      </w:r>
      <w:r>
        <w:rPr>
          <w:rFonts w:ascii="仿宋_GB2312" w:hAnsi="宋体" w:eastAsia="仿宋_GB2312" w:cs="仿宋_GB2312"/>
          <w:color w:val="auto"/>
          <w:sz w:val="32"/>
          <w:szCs w:val="32"/>
        </w:rPr>
        <w:t>60</w:t>
      </w:r>
      <w:r>
        <w:rPr>
          <w:rFonts w:hint="eastAsia" w:ascii="仿宋_GB2312" w:hAnsi="宋体" w:eastAsia="仿宋_GB2312" w:cs="仿宋_GB2312"/>
          <w:color w:val="auto"/>
          <w:sz w:val="32"/>
          <w:szCs w:val="32"/>
        </w:rPr>
        <w:t>分以下的；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5.5.9除上述外，其它类似情况的。</w:t>
      </w:r>
    </w:p>
    <w:p>
      <w:pPr>
        <w:adjustRightInd w:val="0"/>
        <w:snapToGrid w:val="0"/>
        <w:spacing w:line="600" w:lineRule="exact"/>
        <w:ind w:firstLine="643" w:firstLineChars="200"/>
        <w:rPr>
          <w:rFonts w:ascii="仿宋_GB2312" w:hAnsi="宋体" w:eastAsia="仿宋_GB2312"/>
          <w:color w:val="auto"/>
          <w:sz w:val="32"/>
          <w:szCs w:val="32"/>
        </w:rPr>
      </w:pPr>
      <w:r>
        <w:rPr>
          <w:rFonts w:hint="eastAsia" w:ascii="黑体" w:hAnsi="黑体" w:eastAsia="黑体" w:cs="黑体"/>
          <w:b/>
          <w:bCs/>
          <w:color w:val="auto"/>
          <w:sz w:val="32"/>
          <w:szCs w:val="32"/>
          <w:lang w:val="en-US" w:eastAsia="zh-CN"/>
        </w:rPr>
        <w:t>5.6</w:t>
      </w:r>
      <w:r>
        <w:rPr>
          <w:rFonts w:hint="eastAsia" w:ascii="黑体" w:hAnsi="黑体" w:eastAsia="黑体" w:cs="黑体"/>
          <w:b/>
          <w:bCs/>
          <w:color w:val="auto"/>
          <w:sz w:val="32"/>
          <w:szCs w:val="32"/>
        </w:rPr>
        <w:t>取消全部品种</w:t>
      </w:r>
      <w:r>
        <w:rPr>
          <w:rFonts w:hint="eastAsia" w:ascii="黑体" w:hAnsi="黑体" w:eastAsia="黑体" w:cs="黑体"/>
          <w:b/>
          <w:bCs/>
          <w:color w:val="auto"/>
          <w:sz w:val="32"/>
          <w:szCs w:val="32"/>
          <w:lang w:val="en-US" w:eastAsia="zh-CN"/>
        </w:rPr>
        <w:t>供货</w:t>
      </w:r>
      <w:r>
        <w:rPr>
          <w:rFonts w:hint="eastAsia" w:ascii="黑体" w:hAnsi="黑体" w:eastAsia="黑体" w:cs="黑体"/>
          <w:b/>
          <w:bCs/>
          <w:color w:val="auto"/>
          <w:sz w:val="32"/>
          <w:szCs w:val="32"/>
        </w:rPr>
        <w:t>资格</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合格供应商</w:t>
      </w:r>
      <w:r>
        <w:rPr>
          <w:rFonts w:hint="eastAsia" w:ascii="仿宋_GB2312" w:hAnsi="宋体" w:eastAsia="仿宋_GB2312" w:cs="仿宋_GB2312"/>
          <w:color w:val="auto"/>
          <w:sz w:val="32"/>
          <w:szCs w:val="32"/>
        </w:rPr>
        <w:t>出现下列情况之一</w:t>
      </w:r>
      <w:r>
        <w:rPr>
          <w:rFonts w:hint="eastAsia" w:ascii="仿宋_GB2312" w:hAnsi="宋体" w:eastAsia="仿宋_GB2312" w:cs="仿宋_GB2312"/>
          <w:color w:val="auto"/>
          <w:sz w:val="32"/>
          <w:szCs w:val="32"/>
          <w:lang w:val="en-US" w:eastAsia="zh-CN"/>
        </w:rPr>
        <w:t>的</w:t>
      </w:r>
      <w:r>
        <w:rPr>
          <w:rFonts w:hint="eastAsia" w:ascii="仿宋_GB2312" w:hAnsi="宋体" w:eastAsia="仿宋_GB2312" w:cs="仿宋_GB2312"/>
          <w:color w:val="auto"/>
          <w:sz w:val="32"/>
          <w:szCs w:val="32"/>
        </w:rPr>
        <w:t>，取消全部品种</w:t>
      </w:r>
      <w:r>
        <w:rPr>
          <w:rFonts w:hint="eastAsia" w:ascii="仿宋_GB2312" w:hAnsi="宋体" w:eastAsia="仿宋_GB2312" w:cs="仿宋_GB2312"/>
          <w:color w:val="auto"/>
          <w:sz w:val="32"/>
          <w:szCs w:val="32"/>
          <w:lang w:val="en-US" w:eastAsia="zh-CN"/>
        </w:rPr>
        <w:t>供货</w:t>
      </w:r>
      <w:r>
        <w:rPr>
          <w:rFonts w:hint="eastAsia" w:ascii="仿宋_GB2312" w:hAnsi="宋体" w:eastAsia="仿宋_GB2312" w:cs="仿宋_GB2312"/>
          <w:color w:val="auto"/>
          <w:sz w:val="32"/>
          <w:szCs w:val="32"/>
        </w:rPr>
        <w:t>资格</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lang w:val="en-US" w:eastAsia="zh-CN"/>
        </w:rPr>
        <w:t>十</w:t>
      </w:r>
      <w:r>
        <w:rPr>
          <w:rFonts w:hint="eastAsia" w:ascii="仿宋_GB2312" w:hAnsi="宋体" w:eastAsia="仿宋_GB2312" w:cs="仿宋_GB2312"/>
          <w:color w:val="auto"/>
          <w:sz w:val="32"/>
          <w:szCs w:val="32"/>
        </w:rPr>
        <w:t>年内</w:t>
      </w:r>
      <w:r>
        <w:rPr>
          <w:rFonts w:hint="eastAsia" w:ascii="仿宋_GB2312" w:hAnsi="宋体" w:eastAsia="仿宋_GB2312" w:cs="仿宋_GB2312"/>
          <w:color w:val="auto"/>
          <w:sz w:val="32"/>
          <w:szCs w:val="32"/>
          <w:lang w:val="en-US" w:eastAsia="zh-CN"/>
        </w:rPr>
        <w:t>禁</w:t>
      </w:r>
      <w:r>
        <w:rPr>
          <w:rFonts w:hint="eastAsia" w:ascii="仿宋_GB2312" w:hAnsi="宋体" w:eastAsia="仿宋_GB2312" w:cs="仿宋_GB2312"/>
          <w:color w:val="auto"/>
          <w:sz w:val="32"/>
          <w:szCs w:val="32"/>
          <w:highlight w:val="none"/>
          <w:lang w:val="en-US" w:eastAsia="zh-CN"/>
        </w:rPr>
        <w:t>止重新</w:t>
      </w:r>
      <w:r>
        <w:rPr>
          <w:rFonts w:hint="eastAsia" w:ascii="仿宋_GB2312" w:hAnsi="宋体" w:eastAsia="仿宋_GB2312" w:cs="仿宋_GB2312"/>
          <w:color w:val="auto"/>
          <w:sz w:val="32"/>
          <w:szCs w:val="32"/>
          <w:highlight w:val="none"/>
        </w:rPr>
        <w:t>准入。</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5.6.1</w:t>
      </w:r>
      <w:r>
        <w:rPr>
          <w:rFonts w:hint="eastAsia" w:ascii="仿宋_GB2312" w:hAnsi="宋体" w:eastAsia="仿宋_GB2312" w:cs="仿宋_GB2312"/>
          <w:color w:val="auto"/>
          <w:sz w:val="32"/>
          <w:szCs w:val="32"/>
        </w:rPr>
        <w:t>在采购活动中违</w:t>
      </w:r>
      <w:r>
        <w:rPr>
          <w:rFonts w:hint="eastAsia" w:ascii="仿宋_GB2312" w:hAnsi="宋体" w:eastAsia="仿宋_GB2312" w:cs="仿宋_GB2312"/>
          <w:color w:val="auto"/>
          <w:sz w:val="32"/>
          <w:szCs w:val="32"/>
          <w:highlight w:val="none"/>
        </w:rPr>
        <w:t>反《廉洁诚信合作协议》，</w:t>
      </w:r>
      <w:r>
        <w:rPr>
          <w:rFonts w:hint="eastAsia" w:ascii="仿宋_GB2312" w:hAnsi="宋体" w:eastAsia="仿宋_GB2312" w:cs="仿宋_GB2312"/>
          <w:color w:val="auto"/>
          <w:sz w:val="32"/>
          <w:szCs w:val="32"/>
        </w:rPr>
        <w:t>采用不正当手段取得中标、恶意抵制招标、采取欺骗手段获取合格供应商资格等行为的；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5.6.2故意</w:t>
      </w:r>
      <w:r>
        <w:rPr>
          <w:rFonts w:hint="eastAsia" w:ascii="仿宋_GB2312" w:hAnsi="宋体" w:eastAsia="仿宋_GB2312" w:cs="仿宋_GB2312"/>
          <w:color w:val="auto"/>
          <w:sz w:val="32"/>
          <w:szCs w:val="32"/>
        </w:rPr>
        <w:t>提供不合格产品的；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5.6.3</w:t>
      </w:r>
      <w:r>
        <w:rPr>
          <w:rFonts w:hint="eastAsia" w:ascii="仿宋_GB2312" w:hAnsi="宋体" w:eastAsia="仿宋_GB2312" w:cs="仿宋_GB2312"/>
          <w:color w:val="auto"/>
          <w:sz w:val="32"/>
          <w:szCs w:val="32"/>
        </w:rPr>
        <w:t>起诉或连带起诉</w:t>
      </w:r>
      <w:r>
        <w:rPr>
          <w:rFonts w:hint="eastAsia" w:ascii="仿宋_GB2312" w:hAnsi="Courier New" w:eastAsia="仿宋_GB2312" w:cs="仿宋_GB2312"/>
          <w:color w:val="auto"/>
          <w:sz w:val="32"/>
          <w:szCs w:val="32"/>
        </w:rPr>
        <w:t>公司</w:t>
      </w:r>
      <w:r>
        <w:rPr>
          <w:rFonts w:hint="eastAsia" w:ascii="仿宋_GB2312" w:hAnsi="宋体" w:eastAsia="仿宋_GB2312" w:cs="仿宋_GB2312"/>
          <w:color w:val="auto"/>
          <w:sz w:val="32"/>
          <w:szCs w:val="32"/>
        </w:rPr>
        <w:t>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5.6.4</w:t>
      </w:r>
      <w:r>
        <w:rPr>
          <w:rFonts w:hint="eastAsia" w:ascii="仿宋_GB2312" w:hAnsi="宋体" w:eastAsia="仿宋_GB2312" w:cs="仿宋_GB2312"/>
          <w:color w:val="auto"/>
          <w:sz w:val="32"/>
          <w:szCs w:val="32"/>
        </w:rPr>
        <w:t>企业经营状况严重恶化</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lang w:val="en-US" w:eastAsia="zh-CN"/>
        </w:rPr>
        <w:t>丧失商业信誉的</w:t>
      </w:r>
      <w:r>
        <w:rPr>
          <w:rFonts w:hint="eastAsia" w:ascii="仿宋_GB2312" w:hAnsi="宋体" w:eastAsia="仿宋_GB2312" w:cs="仿宋_GB2312"/>
          <w:color w:val="auto"/>
          <w:sz w:val="32"/>
          <w:szCs w:val="32"/>
        </w:rPr>
        <w:t>；</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5.6.5</w:t>
      </w:r>
      <w:r>
        <w:rPr>
          <w:rFonts w:hint="eastAsia" w:ascii="仿宋_GB2312" w:hAnsi="宋体" w:eastAsia="仿宋_GB2312" w:cs="仿宋_GB2312"/>
          <w:color w:val="auto"/>
          <w:sz w:val="32"/>
          <w:szCs w:val="32"/>
        </w:rPr>
        <w:t>未经买受人同意，中标后私自进行分包（设备是指核心部件）、转让、委托第三方承制的；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5.6.6</w:t>
      </w:r>
      <w:r>
        <w:rPr>
          <w:rFonts w:hint="eastAsia" w:ascii="仿宋_GB2312" w:hAnsi="宋体" w:eastAsia="仿宋_GB2312" w:cs="仿宋_GB2312"/>
          <w:color w:val="auto"/>
          <w:sz w:val="32"/>
          <w:szCs w:val="32"/>
        </w:rPr>
        <w:t>中标不签订合同、签订合同不供货或供货不及时，给公司生产造成影响和经济利益损失的</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不可抗力和公司生产调整原因除外</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w:t>
      </w:r>
    </w:p>
    <w:p>
      <w:pPr>
        <w:adjustRightInd w:val="0"/>
        <w:snapToGrid w:val="0"/>
        <w:spacing w:line="600" w:lineRule="exact"/>
        <w:ind w:firstLine="640" w:firstLineChars="200"/>
        <w:rPr>
          <w:rFonts w:hint="eastAsia" w:ascii="仿宋_GB2312" w:hAnsi="宋体" w:eastAsia="仿宋_GB2312"/>
          <w:color w:val="auto"/>
          <w:sz w:val="32"/>
          <w:szCs w:val="32"/>
          <w:lang w:eastAsia="zh-CN"/>
        </w:rPr>
      </w:pPr>
      <w:r>
        <w:rPr>
          <w:rFonts w:hint="eastAsia" w:ascii="仿宋_GB2312" w:hAnsi="宋体" w:eastAsia="仿宋_GB2312" w:cs="仿宋_GB2312"/>
          <w:color w:val="auto"/>
          <w:sz w:val="32"/>
          <w:szCs w:val="32"/>
          <w:lang w:val="en-US" w:eastAsia="zh-CN"/>
        </w:rPr>
        <w:t>5.6.7其它给公司造成较大损失或恶劣影响的；</w:t>
      </w: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r>
        <w:rPr>
          <w:rFonts w:hint="eastAsia" w:ascii="仿宋_GB2312" w:hAnsi="宋体" w:eastAsia="仿宋_GB2312" w:cs="仿宋_GB2312"/>
          <w:color w:val="auto"/>
          <w:sz w:val="32"/>
          <w:szCs w:val="32"/>
          <w:lang w:val="en-US" w:eastAsia="zh-CN"/>
        </w:rPr>
        <w:t>5.6.8</w:t>
      </w:r>
      <w:r>
        <w:rPr>
          <w:rFonts w:hint="eastAsia" w:ascii="仿宋" w:hAnsi="仿宋" w:eastAsia="仿宋" w:cs="仿宋"/>
          <w:color w:val="auto"/>
          <w:sz w:val="32"/>
          <w:szCs w:val="32"/>
          <w:lang w:val="en-US" w:eastAsia="zh-CN"/>
        </w:rPr>
        <w:t>对供应商的奖惩，上级公司有规定的按公司规定执行。</w:t>
      </w: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p>
      <w:pPr>
        <w:adjustRightInd w:val="0"/>
        <w:snapToGrid w:val="0"/>
        <w:spacing w:line="60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6.资材采购主要品种有哪些？</w:t>
      </w:r>
    </w:p>
    <w:p>
      <w:pPr>
        <w:adjustRightInd w:val="0"/>
        <w:snapToGrid w:val="0"/>
        <w:spacing w:line="600" w:lineRule="exact"/>
        <w:rPr>
          <w:rFonts w:hint="eastAsia" w:ascii="黑体" w:hAnsi="黑体" w:eastAsia="黑体" w:cs="黑体"/>
          <w:b/>
          <w:bCs/>
          <w:color w:val="auto"/>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耐材、包装材料、酸碱盐、钢铁表面处理剂、油脂、运输带、测具、电器电缆、劳保用品、钢材制品等。</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p>
    <w:p>
      <w:pPr>
        <w:adjustRightInd w:val="0"/>
        <w:snapToGrid w:val="0"/>
        <w:spacing w:line="60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7.设备备件采购主要品种有哪些？</w:t>
      </w:r>
    </w:p>
    <w:p>
      <w:pPr>
        <w:adjustRightInd w:val="0"/>
        <w:snapToGrid w:val="0"/>
        <w:spacing w:line="600" w:lineRule="exact"/>
        <w:rPr>
          <w:rFonts w:hint="eastAsia" w:ascii="黑体" w:hAnsi="黑体" w:eastAsia="黑体" w:cs="黑体"/>
          <w:b/>
          <w:bCs/>
          <w:color w:val="auto"/>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大型成套设备、非标机加件、润滑油脂、水处理药剂、风机、水泵、阀门、轴承、制动器、工程机械、进口设备备件等。</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p>
    <w:p>
      <w:pPr>
        <w:adjustRightInd w:val="0"/>
        <w:snapToGrid w:val="0"/>
        <w:spacing w:line="60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8.资材供应商如何办理挂账结算？</w:t>
      </w:r>
    </w:p>
    <w:p>
      <w:pPr>
        <w:adjustRightInd w:val="0"/>
        <w:snapToGrid w:val="0"/>
        <w:spacing w:line="600" w:lineRule="exact"/>
        <w:rPr>
          <w:rFonts w:hint="eastAsia" w:ascii="仿宋_GB2312" w:hAnsi="宋体" w:eastAsia="仿宋_GB2312" w:cs="仿宋_GB2312"/>
          <w:color w:val="auto"/>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8.1供应商需提供由采购部门采购主管打印《入站验收单》或《入库验收单》经过验收的单据（如果需要经过计量的资材要附《鞍钢股份质检计量中心计量数据汇总表》；如果需要经过化检验的资材要附质检计量中心出具的化检验单）。</w:t>
      </w:r>
    </w:p>
    <w:p>
      <w:pPr>
        <w:adjustRightInd w:val="0"/>
        <w:snapToGrid w:val="0"/>
        <w:spacing w:line="600" w:lineRule="exact"/>
        <w:ind w:firstLine="640" w:firstLineChars="200"/>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8.2供应商根据《入站验收单》或《入库验收单》经过验收的单据（如果需要经过计量的资材要附《鞍钢股份质检计量中心计量数据汇总表》；如果需要经过化检验的资材要附质检计量中心出具的化检验单），开具与其相匹配增值税发货票。</w:t>
      </w:r>
    </w:p>
    <w:p>
      <w:pPr>
        <w:adjustRightInd w:val="0"/>
        <w:snapToGrid w:val="0"/>
        <w:spacing w:line="600" w:lineRule="exact"/>
        <w:ind w:firstLine="640" w:firstLineChars="200"/>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8.3在财务部门规定的时间内将《入站验收单》或《入库验收单》经过验收的单据等的增值税发货票交财务共享中心设备资材</w:t>
      </w:r>
      <w:r>
        <w:rPr>
          <w:rFonts w:hint="eastAsia" w:ascii="仿宋_GB2312" w:hAnsi="宋体" w:eastAsia="仿宋_GB2312" w:cs="仿宋_GB2312"/>
          <w:color w:val="auto"/>
          <w:sz w:val="32"/>
          <w:szCs w:val="32"/>
          <w:highlight w:val="none"/>
          <w:lang w:val="zh-CN" w:eastAsia="zh-CN"/>
        </w:rPr>
        <w:t>结算处</w:t>
      </w:r>
      <w:r>
        <w:rPr>
          <w:rFonts w:hint="eastAsia" w:ascii="仿宋_GB2312" w:hAnsi="宋体" w:eastAsia="仿宋_GB2312" w:cs="仿宋_GB2312"/>
          <w:color w:val="auto"/>
          <w:sz w:val="32"/>
          <w:szCs w:val="32"/>
          <w:highlight w:val="none"/>
          <w:lang w:val="en-US" w:eastAsia="zh-CN"/>
        </w:rPr>
        <w:t>按类对口的财务人员。</w:t>
      </w:r>
    </w:p>
    <w:p>
      <w:pPr>
        <w:ind w:firstLine="2640" w:firstLineChars="1100"/>
        <w:rPr>
          <w:rFonts w:hint="eastAsia"/>
          <w:sz w:val="24"/>
          <w:szCs w:val="24"/>
          <w:lang w:val="en-US" w:eastAsia="zh-CN"/>
        </w:rPr>
      </w:pPr>
    </w:p>
    <w:p>
      <w:pPr>
        <w:ind w:firstLine="2640" w:firstLineChars="1100"/>
        <w:rPr>
          <w:rFonts w:hint="eastAsia"/>
          <w:sz w:val="24"/>
          <w:szCs w:val="24"/>
          <w:lang w:val="en-US" w:eastAsia="zh-CN"/>
        </w:rPr>
      </w:pPr>
    </w:p>
    <w:p>
      <w:pPr>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9.</w:t>
      </w:r>
      <w:r>
        <w:rPr>
          <w:rFonts w:hint="eastAsia" w:ascii="黑体" w:hAnsi="黑体" w:eastAsia="黑体" w:cs="黑体"/>
          <w:b/>
          <w:bCs/>
          <w:sz w:val="32"/>
          <w:szCs w:val="32"/>
        </w:rPr>
        <w:t>资材</w:t>
      </w:r>
      <w:r>
        <w:rPr>
          <w:rFonts w:hint="eastAsia" w:ascii="黑体" w:hAnsi="黑体" w:eastAsia="黑体" w:cs="黑体"/>
          <w:b/>
          <w:bCs/>
          <w:sz w:val="32"/>
          <w:szCs w:val="32"/>
          <w:lang w:val="en-US" w:eastAsia="zh-CN"/>
        </w:rPr>
        <w:t>合同</w:t>
      </w:r>
      <w:r>
        <w:rPr>
          <w:rFonts w:hint="eastAsia" w:ascii="黑体" w:hAnsi="黑体" w:eastAsia="黑体" w:cs="黑体"/>
          <w:b/>
          <w:bCs/>
          <w:sz w:val="32"/>
          <w:szCs w:val="32"/>
          <w:lang w:eastAsia="zh-CN"/>
        </w:rPr>
        <w:t>如何</w:t>
      </w:r>
      <w:r>
        <w:rPr>
          <w:rFonts w:hint="eastAsia" w:ascii="黑体" w:hAnsi="黑体" w:eastAsia="黑体" w:cs="黑体"/>
          <w:b/>
          <w:bCs/>
          <w:sz w:val="32"/>
          <w:szCs w:val="32"/>
          <w:lang w:val="en-US" w:eastAsia="zh-CN"/>
        </w:rPr>
        <w:t>办理</w:t>
      </w:r>
      <w:r>
        <w:rPr>
          <w:rFonts w:hint="eastAsia" w:ascii="黑体" w:hAnsi="黑体" w:eastAsia="黑体" w:cs="黑体"/>
          <w:b/>
          <w:bCs/>
          <w:sz w:val="32"/>
          <w:szCs w:val="32"/>
        </w:rPr>
        <w:t>送货</w:t>
      </w:r>
      <w:r>
        <w:rPr>
          <w:rFonts w:hint="eastAsia" w:ascii="黑体" w:hAnsi="黑体" w:eastAsia="黑体" w:cs="黑体"/>
          <w:b/>
          <w:bCs/>
          <w:sz w:val="32"/>
          <w:szCs w:val="32"/>
          <w:lang w:eastAsia="zh-CN"/>
        </w:rPr>
        <w:t>？</w:t>
      </w:r>
    </w:p>
    <w:p>
      <w:pPr>
        <w:ind w:firstLine="1920" w:firstLineChars="600"/>
        <w:jc w:val="both"/>
        <w:rPr>
          <w:rFonts w:hint="eastAsia"/>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color w:val="auto"/>
          <w:sz w:val="32"/>
          <w:szCs w:val="32"/>
          <w:lang w:val="en-US" w:eastAsia="zh-CN"/>
        </w:rPr>
        <w:t>9.1供应商登录</w:t>
      </w:r>
      <w:r>
        <w:rPr>
          <w:rFonts w:hint="eastAsia" w:ascii="仿宋_GB2312" w:hAnsi="宋体" w:eastAsia="仿宋_GB2312" w:cs="仿宋_GB2312"/>
          <w:sz w:val="32"/>
          <w:szCs w:val="32"/>
        </w:rPr>
        <w:t>“鞍钢供应商协同平台”</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合同处理》合同查询；</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9.2查询合同明细，查看合同执行情况；</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订单处理》查询订单》查询订单明细的物料及数量；</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9.3送货处理</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9.3.1选择订单生成送货单；</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9.3.2选择送货单创建过磅委托；</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9.3.3发送过磅申请: 选择库区》保存》发送。</w:t>
      </w:r>
    </w:p>
    <w:p>
      <w:pPr>
        <w:jc w:val="both"/>
        <w:rPr>
          <w:rFonts w:hint="eastAsia" w:ascii="黑体" w:hAnsi="黑体" w:eastAsia="黑体" w:cs="黑体"/>
          <w:b/>
          <w:bCs/>
          <w:color w:val="auto"/>
          <w:sz w:val="32"/>
          <w:szCs w:val="32"/>
          <w:lang w:val="en-US" w:eastAsia="zh-CN"/>
        </w:rPr>
      </w:pPr>
    </w:p>
    <w:p>
      <w:pPr>
        <w:ind w:firstLine="321" w:firstLineChars="100"/>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10.设备备件合同如何办理送货？</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10.1供应商登录“鞍钢供应商协同平台”创建《设备备件送货单》并打印4份。</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10.2供应商送货验收</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10.2.1入库验收：供应商需携带送货单、实物及质保书和货物来源证明到仓储事业部总库，携纸质材料到办公大厅，通过调度室及接运员办理入库。</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10.2.2送货到现场验收：供应商需在微信小程序“鞍临万家”提交入厂申请，审批通过后携带送货单、实物及质保书和货物来源证明与使用单位相关人员一起到仓储事业部厂内库房验收确认。</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10.2.3生产工具备件送货验收：供应商将送货单提供给执行采购主管，执行采购主管根据送货单进行一次验收确认；然后供应商携带送货单、实物及质保书和货物来源证明送货至使用单位指定地点，使用单位进行二次验收确认并在送货单上签字盖章，然后在系统中上传扫描件；确认后的送货单返给执行采购主管1份并由其进行最终确认。</w:t>
      </w:r>
    </w:p>
    <w:p>
      <w:pPr>
        <w:adjustRightInd w:val="0"/>
        <w:snapToGrid w:val="0"/>
        <w:spacing w:line="600" w:lineRule="exact"/>
        <w:ind w:firstLine="640" w:firstLineChars="200"/>
        <w:jc w:val="left"/>
        <w:rPr>
          <w:rFonts w:hint="eastAsia" w:ascii="仿宋_GB2312" w:hAnsi="宋体" w:eastAsia="仿宋_GB2312" w:cs="仿宋_GB2312"/>
          <w:color w:val="auto"/>
          <w:sz w:val="32"/>
          <w:szCs w:val="32"/>
          <w:lang w:val="en-US" w:eastAsia="zh-CN"/>
        </w:rPr>
      </w:pPr>
    </w:p>
    <w:p>
      <w:pPr>
        <w:jc w:val="both"/>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11.设备备件合同如何办理挂账结算？</w:t>
      </w:r>
    </w:p>
    <w:p>
      <w:pPr>
        <w:jc w:val="both"/>
        <w:rPr>
          <w:rFonts w:hint="eastAsia" w:ascii="黑体" w:hAnsi="黑体" w:eastAsia="黑体" w:cs="黑体"/>
          <w:b/>
          <w:bCs/>
          <w:color w:val="auto"/>
          <w:sz w:val="32"/>
          <w:szCs w:val="32"/>
          <w:lang w:val="en-US" w:eastAsia="zh-CN"/>
        </w:rPr>
      </w:pPr>
    </w:p>
    <w:p>
      <w:pPr>
        <w:ind w:firstLine="2100" w:firstLineChars="1000"/>
        <w:rPr>
          <w:rFonts w:hint="eastAsia"/>
          <w:lang w:val="en-US" w:eastAsia="zh-CN"/>
        </w:rPr>
      </w:pPr>
    </w:p>
    <w:p>
      <w:pPr>
        <w:adjustRightInd w:val="0"/>
        <w:snapToGrid w:val="0"/>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lang w:val="en-US" w:eastAsia="zh-CN"/>
        </w:rPr>
        <w:t>11.1</w:t>
      </w:r>
      <w:r>
        <w:rPr>
          <w:rFonts w:hint="eastAsia" w:ascii="仿宋_GB2312" w:hAnsi="宋体" w:eastAsia="仿宋_GB2312" w:cs="仿宋_GB2312"/>
          <w:sz w:val="32"/>
          <w:szCs w:val="32"/>
        </w:rPr>
        <w:t>供应商登录“鞍钢供应商协同平台”上传发票信息。</w:t>
      </w:r>
    </w:p>
    <w:p>
      <w:pPr>
        <w:adjustRightInd w:val="0"/>
        <w:snapToGrid w:val="0"/>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lang w:val="en-US" w:eastAsia="zh-CN"/>
        </w:rPr>
        <w:t>11.2</w:t>
      </w:r>
      <w:r>
        <w:rPr>
          <w:rFonts w:hint="eastAsia" w:ascii="仿宋_GB2312" w:hAnsi="宋体" w:eastAsia="仿宋_GB2312" w:cs="仿宋_GB2312"/>
          <w:sz w:val="32"/>
          <w:szCs w:val="32"/>
        </w:rPr>
        <w:t>供应商将发票送至执行采购主管，执行采购主管依据发票信息生成报支单，并将报支单及发票传递给财务核算人员，核算人员对相关单据进行审核，审核无误后进行挂账。</w:t>
      </w:r>
    </w:p>
    <w:p>
      <w:pPr>
        <w:rPr>
          <w:rFonts w:hint="eastAsia" w:ascii="黑体" w:hAnsi="黑体" w:eastAsia="黑体" w:cs="黑体"/>
          <w:b/>
          <w:bCs/>
          <w:sz w:val="32"/>
          <w:szCs w:val="32"/>
        </w:rPr>
      </w:pPr>
    </w:p>
    <w:p>
      <w:pPr>
        <w:adjustRightInd w:val="0"/>
        <w:snapToGrid w:val="0"/>
        <w:spacing w:line="60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12.对于单一来源采购，有哪些特殊要求？</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12.1需</w:t>
      </w:r>
      <w:r>
        <w:rPr>
          <w:rFonts w:hint="eastAsia" w:ascii="仿宋_GB2312" w:hAnsi="仿宋" w:eastAsia="仿宋_GB2312" w:cs="Times New Roman"/>
          <w:snapToGrid w:val="0"/>
          <w:kern w:val="0"/>
          <w:sz w:val="32"/>
          <w:szCs w:val="32"/>
        </w:rPr>
        <w:t>签订体现合作诚意的《承诺书》。</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12.2</w:t>
      </w:r>
      <w:r>
        <w:rPr>
          <w:rFonts w:hint="eastAsia" w:ascii="仿宋_GB2312" w:hAnsi="仿宋" w:eastAsia="仿宋_GB2312" w:cs="Times New Roman"/>
          <w:snapToGrid w:val="0"/>
          <w:kern w:val="0"/>
          <w:sz w:val="32"/>
          <w:szCs w:val="32"/>
        </w:rPr>
        <w:t>除总价外，务必在</w:t>
      </w:r>
      <w:r>
        <w:rPr>
          <w:rFonts w:hint="eastAsia" w:ascii="仿宋_GB2312" w:hAnsi="仿宋" w:eastAsia="仿宋_GB2312" w:cs="Times New Roman"/>
          <w:snapToGrid w:val="0"/>
          <w:kern w:val="0"/>
          <w:sz w:val="32"/>
          <w:szCs w:val="32"/>
          <w:lang w:val="en-US" w:eastAsia="zh-CN"/>
        </w:rPr>
        <w:t>报价</w:t>
      </w:r>
      <w:r>
        <w:rPr>
          <w:rFonts w:hint="eastAsia" w:ascii="仿宋_GB2312" w:hAnsi="仿宋" w:eastAsia="仿宋_GB2312" w:cs="Times New Roman"/>
          <w:snapToGrid w:val="0"/>
          <w:kern w:val="0"/>
          <w:sz w:val="32"/>
          <w:szCs w:val="32"/>
        </w:rPr>
        <w:t>系统内按要求填报分项报价。</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12.3需</w:t>
      </w:r>
      <w:r>
        <w:rPr>
          <w:rFonts w:hint="eastAsia" w:ascii="仿宋_GB2312" w:hAnsi="仿宋" w:eastAsia="仿宋_GB2312" w:cs="Times New Roman"/>
          <w:snapToGrid w:val="0"/>
          <w:kern w:val="0"/>
          <w:sz w:val="32"/>
          <w:szCs w:val="32"/>
        </w:rPr>
        <w:t>提供近3年内同型或类似产品成功业绩清单，并至少提供其中3个项目的合同及对应发票。</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12.4需</w:t>
      </w:r>
      <w:r>
        <w:rPr>
          <w:rFonts w:hint="eastAsia" w:ascii="仿宋_GB2312" w:hAnsi="仿宋" w:eastAsia="仿宋_GB2312" w:cs="Times New Roman"/>
          <w:snapToGrid w:val="0"/>
          <w:kern w:val="0"/>
          <w:sz w:val="32"/>
          <w:szCs w:val="32"/>
        </w:rPr>
        <w:t>提供上一年度营业收入证明，营业收入证明以第三方财务审计报告或税务机关提供（或认证）的有效证明为准。</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12.5</w:t>
      </w:r>
      <w:r>
        <w:rPr>
          <w:rFonts w:hint="eastAsia" w:ascii="仿宋_GB2312" w:hAnsi="仿宋" w:eastAsia="仿宋_GB2312" w:cs="Times New Roman"/>
          <w:snapToGrid w:val="0"/>
          <w:kern w:val="0"/>
          <w:sz w:val="32"/>
          <w:szCs w:val="32"/>
        </w:rPr>
        <w:t>报价务必在7日内完成。</w:t>
      </w:r>
    </w:p>
    <w:p>
      <w:pPr>
        <w:spacing w:line="560" w:lineRule="exact"/>
        <w:ind w:firstLine="640" w:firstLineChars="200"/>
        <w:rPr>
          <w:rFonts w:hint="eastAsia" w:ascii="仿宋_GB2312" w:hAnsi="仿宋" w:eastAsia="仿宋_GB2312" w:cs="Times New Roman"/>
          <w:snapToGrid w:val="0"/>
          <w:kern w:val="0"/>
          <w:sz w:val="32"/>
          <w:szCs w:val="32"/>
          <w:lang w:val="en-US" w:eastAsia="zh-CN"/>
        </w:rPr>
      </w:pPr>
      <w:r>
        <w:rPr>
          <w:rFonts w:hint="eastAsia" w:ascii="仿宋_GB2312" w:hAnsi="仿宋" w:eastAsia="仿宋_GB2312" w:cs="Times New Roman"/>
          <w:snapToGrid w:val="0"/>
          <w:kern w:val="0"/>
          <w:sz w:val="32"/>
          <w:szCs w:val="32"/>
        </w:rPr>
        <w:t>提示：</w:t>
      </w:r>
      <w:r>
        <w:rPr>
          <w:rFonts w:hint="eastAsia" w:ascii="仿宋_GB2312" w:hAnsi="仿宋" w:eastAsia="仿宋_GB2312" w:cs="Times New Roman"/>
          <w:snapToGrid w:val="0"/>
          <w:kern w:val="0"/>
          <w:sz w:val="32"/>
          <w:szCs w:val="32"/>
          <w:lang w:val="en-US" w:eastAsia="zh-CN"/>
        </w:rPr>
        <w:t>在报价及谈判过程中，</w:t>
      </w:r>
      <w:r>
        <w:rPr>
          <w:rFonts w:hint="eastAsia" w:ascii="仿宋_GB2312" w:hAnsi="仿宋" w:eastAsia="仿宋_GB2312" w:cs="Times New Roman"/>
          <w:snapToGrid w:val="0"/>
          <w:kern w:val="0"/>
          <w:sz w:val="32"/>
          <w:szCs w:val="32"/>
        </w:rPr>
        <w:t>对未按要求报价或提供虚假信息的供应商，将被评价为诚信缺失或缺乏诚意，有可能被禁止准入或取消合格供应商资格，同时</w:t>
      </w:r>
      <w:r>
        <w:rPr>
          <w:rFonts w:hint="eastAsia" w:ascii="仿宋_GB2312" w:hAnsi="仿宋" w:eastAsia="仿宋_GB2312" w:cs="Times New Roman"/>
          <w:snapToGrid w:val="0"/>
          <w:kern w:val="0"/>
          <w:sz w:val="32"/>
          <w:szCs w:val="32"/>
          <w:lang w:val="en-US" w:eastAsia="zh-CN"/>
        </w:rPr>
        <w:t>采购方</w:t>
      </w:r>
      <w:r>
        <w:rPr>
          <w:rFonts w:hint="eastAsia" w:ascii="仿宋_GB2312" w:hAnsi="仿宋" w:eastAsia="仿宋_GB2312" w:cs="Times New Roman"/>
          <w:snapToGrid w:val="0"/>
          <w:kern w:val="0"/>
          <w:sz w:val="32"/>
          <w:szCs w:val="32"/>
        </w:rPr>
        <w:t>将终止本次采购另外寻源，请谨慎报价。</w:t>
      </w:r>
    </w:p>
    <w:p>
      <w:pPr>
        <w:numPr>
          <w:ilvl w:val="0"/>
          <w:numId w:val="0"/>
        </w:numPr>
        <w:adjustRightInd w:val="0"/>
        <w:snapToGrid w:val="0"/>
        <w:spacing w:line="300" w:lineRule="auto"/>
        <w:rPr>
          <w:rFonts w:hint="eastAsia" w:ascii="黑体" w:hAnsi="黑体" w:eastAsia="黑体" w:cs="黑体"/>
          <w:b/>
          <w:bCs/>
          <w:color w:val="auto"/>
          <w:sz w:val="32"/>
          <w:szCs w:val="32"/>
          <w:highlight w:val="none"/>
          <w:lang w:val="en-US" w:eastAsia="zh-CN"/>
        </w:rPr>
      </w:pPr>
    </w:p>
    <w:p>
      <w:pPr>
        <w:numPr>
          <w:ilvl w:val="0"/>
          <w:numId w:val="0"/>
        </w:numPr>
        <w:adjustRightInd w:val="0"/>
        <w:snapToGrid w:val="0"/>
        <w:spacing w:line="300" w:lineRule="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13.首次准入评审不合格有何规定？</w:t>
      </w:r>
    </w:p>
    <w:p>
      <w:pPr>
        <w:spacing w:line="560" w:lineRule="exact"/>
        <w:ind w:firstLine="640" w:firstLineChars="200"/>
        <w:rPr>
          <w:rFonts w:hint="eastAsia" w:ascii="仿宋_GB2312" w:hAnsi="仿宋" w:eastAsia="仿宋_GB2312" w:cs="Times New Roman"/>
          <w:snapToGrid w:val="0"/>
          <w:kern w:val="0"/>
          <w:sz w:val="32"/>
          <w:szCs w:val="32"/>
          <w:lang w:val="en-US" w:eastAsia="zh-CN"/>
        </w:rPr>
      </w:pPr>
      <w:r>
        <w:rPr>
          <w:rFonts w:hint="eastAsia" w:ascii="仿宋_GB2312" w:hAnsi="仿宋" w:eastAsia="仿宋_GB2312" w:cs="Times New Roman"/>
          <w:snapToGrid w:val="0"/>
          <w:kern w:val="0"/>
          <w:sz w:val="32"/>
          <w:szCs w:val="32"/>
          <w:lang w:val="en-US" w:eastAsia="zh-CN"/>
        </w:rPr>
        <w:t>首次准入评审结论不合格的供应商停止准入，并在一年内禁止重新准入。</w:t>
      </w:r>
    </w:p>
    <w:p>
      <w:pPr>
        <w:tabs>
          <w:tab w:val="left" w:pos="3080"/>
        </w:tabs>
        <w:spacing w:line="560" w:lineRule="exact"/>
        <w:ind w:firstLine="640" w:firstLineChars="200"/>
        <w:rPr>
          <w:rFonts w:hint="eastAsia" w:ascii="仿宋_GB2312" w:hAnsi="仿宋" w:eastAsia="仿宋_GB2312" w:cs="Times New Roman"/>
          <w:snapToGrid w:val="0"/>
          <w:kern w:val="0"/>
          <w:sz w:val="32"/>
          <w:szCs w:val="32"/>
          <w:lang w:val="en-US" w:eastAsia="zh-CN"/>
        </w:rPr>
      </w:pPr>
      <w:r>
        <w:rPr>
          <w:rFonts w:hint="eastAsia" w:ascii="仿宋_GB2312" w:hAnsi="仿宋" w:eastAsia="仿宋_GB2312" w:cs="Times New Roman"/>
          <w:snapToGrid w:val="0"/>
          <w:kern w:val="0"/>
          <w:sz w:val="32"/>
          <w:szCs w:val="32"/>
          <w:lang w:val="en-US" w:eastAsia="zh-CN"/>
        </w:rPr>
        <w:tab/>
      </w:r>
    </w:p>
    <w:p>
      <w:pPr>
        <w:numPr>
          <w:ilvl w:val="0"/>
          <w:numId w:val="0"/>
        </w:numPr>
        <w:adjustRightInd w:val="0"/>
        <w:snapToGrid w:val="0"/>
        <w:spacing w:line="300" w:lineRule="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14.其它</w:t>
      </w:r>
    </w:p>
    <w:p>
      <w:pPr>
        <w:numPr>
          <w:ilvl w:val="0"/>
          <w:numId w:val="0"/>
        </w:numPr>
        <w:adjustRightInd w:val="0"/>
        <w:snapToGrid w:val="0"/>
        <w:spacing w:line="300" w:lineRule="auto"/>
        <w:ind w:firstLine="640" w:firstLineChars="200"/>
        <w:rPr>
          <w:rFonts w:hint="default" w:ascii="黑体" w:hAnsi="黑体" w:eastAsia="黑体" w:cs="黑体"/>
          <w:b/>
          <w:bCs/>
          <w:color w:val="auto"/>
          <w:sz w:val="32"/>
          <w:szCs w:val="32"/>
          <w:highlight w:val="none"/>
          <w:lang w:val="en-US" w:eastAsia="zh-CN"/>
        </w:rPr>
      </w:pPr>
      <w:r>
        <w:rPr>
          <w:rFonts w:hint="eastAsia" w:ascii="仿宋_GB2312" w:hAnsi="仿宋_GB2312" w:eastAsia="仿宋_GB2312" w:cs="仿宋_GB2312"/>
          <w:b w:val="0"/>
          <w:bCs/>
          <w:color w:val="auto"/>
          <w:kern w:val="1"/>
          <w:sz w:val="32"/>
          <w:szCs w:val="32"/>
          <w:lang w:val="en-US" w:eastAsia="zh-CN"/>
        </w:rPr>
        <w:t>如供应商进入现场服务，需在投标时列出现场服务人员数量，并遵守两级公司及采购中心相关管理规定。</w:t>
      </w:r>
    </w:p>
    <w:p>
      <w:pPr>
        <w:numPr>
          <w:ilvl w:val="0"/>
          <w:numId w:val="0"/>
        </w:numPr>
        <w:adjustRightInd w:val="0"/>
        <w:snapToGrid w:val="0"/>
        <w:spacing w:line="600" w:lineRule="exact"/>
        <w:ind w:firstLine="640" w:firstLineChars="200"/>
        <w:rPr>
          <w:rFonts w:hint="eastAsia" w:ascii="仿宋_GB2312" w:hAnsi="仿宋" w:eastAsia="仿宋_GB2312" w:cs="Times New Roman"/>
          <w:snapToGrid w:val="0"/>
          <w:kern w:val="0"/>
          <w:sz w:val="32"/>
          <w:szCs w:val="32"/>
          <w:lang w:val="en-US" w:eastAsia="zh-CN"/>
        </w:rPr>
      </w:pPr>
    </w:p>
    <w:p>
      <w:pPr>
        <w:numPr>
          <w:ilvl w:val="0"/>
          <w:numId w:val="0"/>
        </w:numPr>
        <w:adjustRightInd w:val="0"/>
        <w:snapToGrid w:val="0"/>
        <w:spacing w:line="600" w:lineRule="exact"/>
        <w:ind w:firstLine="640" w:firstLineChars="200"/>
        <w:rPr>
          <w:rFonts w:hint="default" w:ascii="黑体" w:hAnsi="黑体" w:eastAsia="黑体" w:cs="黑体"/>
          <w:b/>
          <w:bCs/>
          <w:snapToGrid w:val="0"/>
          <w:kern w:val="0"/>
          <w:sz w:val="32"/>
          <w:szCs w:val="32"/>
          <w:lang w:val="en-US" w:eastAsia="zh-CN"/>
        </w:rPr>
      </w:pPr>
      <w:r>
        <w:rPr>
          <w:rFonts w:hint="eastAsia" w:ascii="仿宋_GB2312" w:hAnsi="仿宋" w:eastAsia="仿宋_GB2312" w:cs="Times New Roman"/>
          <w:snapToGrid w:val="0"/>
          <w:kern w:val="0"/>
          <w:sz w:val="32"/>
          <w:szCs w:val="32"/>
          <w:lang w:val="en-US" w:eastAsia="zh-CN"/>
        </w:rPr>
        <w:t>说明：本须知内容均依据相关管理制度。在采购活动中可作为提示性文件公开发布。本须知解释权归鞍钢股份设备资材采购中心。</w:t>
      </w:r>
    </w:p>
    <w:p>
      <w:pPr>
        <w:adjustRightInd w:val="0"/>
        <w:snapToGrid w:val="0"/>
        <w:spacing w:line="600" w:lineRule="exact"/>
        <w:rPr>
          <w:rFonts w:hint="default" w:ascii="黑体" w:hAnsi="黑体" w:eastAsia="黑体" w:cs="黑体"/>
          <w:b/>
          <w:bCs/>
          <w:snapToGrid w:val="0"/>
          <w:kern w:val="0"/>
          <w:sz w:val="32"/>
          <w:szCs w:val="32"/>
          <w:lang w:val="en-US" w:eastAsia="zh-CN"/>
        </w:rPr>
      </w:pPr>
      <w:r>
        <w:rPr>
          <w:rFonts w:hint="eastAsia" w:ascii="黑体" w:hAnsi="黑体" w:eastAsia="黑体" w:cs="黑体"/>
          <w:b/>
          <w:bCs/>
          <w:snapToGrid w:val="0"/>
          <w:kern w:val="0"/>
          <w:sz w:val="32"/>
          <w:szCs w:val="32"/>
          <w:lang w:val="en-US" w:eastAsia="zh-CN"/>
        </w:rPr>
        <w:t xml:space="preserve">   </w:t>
      </w:r>
    </w:p>
    <w:p>
      <w:pPr>
        <w:ind w:firstLine="2640" w:firstLineChars="1100"/>
        <w:rPr>
          <w:rFonts w:hint="eastAsia"/>
          <w:sz w:val="24"/>
          <w:szCs w:val="24"/>
          <w:lang w:val="en-US" w:eastAsia="zh-CN"/>
        </w:rPr>
      </w:pPr>
    </w:p>
    <w:p>
      <w:pPr>
        <w:ind w:firstLine="2640" w:firstLineChars="1100"/>
        <w:rPr>
          <w:rFonts w:hint="eastAsia"/>
          <w:sz w:val="24"/>
          <w:szCs w:val="24"/>
          <w:lang w:val="en-US" w:eastAsia="zh-CN"/>
        </w:rPr>
      </w:pPr>
    </w:p>
    <w:p>
      <w:pPr>
        <w:ind w:firstLine="2640" w:firstLineChars="1100"/>
        <w:rPr>
          <w:rFonts w:hint="eastAsia"/>
          <w:sz w:val="24"/>
          <w:szCs w:val="24"/>
          <w:lang w:val="en-US" w:eastAsia="zh-CN"/>
        </w:rPr>
      </w:pP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p>
      <w:pPr>
        <w:ind w:firstLine="640" w:firstLineChars="200"/>
        <w:jc w:val="left"/>
        <w:rPr>
          <w:rFonts w:hint="eastAsia" w:ascii="仿宋_GB2312" w:hAnsi="宋体" w:eastAsia="仿宋_GB2312" w:cs="仿宋_GB2312"/>
          <w:color w:val="auto"/>
          <w:sz w:val="32"/>
          <w:szCs w:val="32"/>
          <w:lang w:val="en-US" w:eastAsia="zh-CN"/>
        </w:rPr>
      </w:pPr>
    </w:p>
    <w:p>
      <w:pPr>
        <w:ind w:firstLine="640" w:firstLineChars="200"/>
        <w:jc w:val="left"/>
        <w:rPr>
          <w:rFonts w:hint="eastAsia" w:ascii="仿宋_GB2312" w:hAnsi="宋体" w:eastAsia="仿宋_GB2312" w:cs="仿宋_GB2312"/>
          <w:color w:val="auto"/>
          <w:sz w:val="32"/>
          <w:szCs w:val="32"/>
          <w:lang w:val="en-US" w:eastAsia="zh-CN"/>
        </w:rPr>
      </w:pP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sectPr>
      <w:headerReference r:id="rId3" w:type="default"/>
      <w:pgSz w:w="11905" w:h="16838"/>
      <w:pgMar w:top="1440" w:right="1800" w:bottom="1440" w:left="180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tabs>
        <w:tab w:val="right" w:pos="14580"/>
        <w:tab w:val="clear" w:pos="8306"/>
      </w:tabs>
      <w:ind w:right="55" w:firstLine="3045" w:firstLineChars="1450"/>
      <w:rPr>
        <w:rFonts w:ascii="宋体"/>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D4A"/>
    <w:rsid w:val="00000837"/>
    <w:rsid w:val="000009E5"/>
    <w:rsid w:val="000012D8"/>
    <w:rsid w:val="0000148F"/>
    <w:rsid w:val="000018E4"/>
    <w:rsid w:val="00001D0B"/>
    <w:rsid w:val="00003159"/>
    <w:rsid w:val="000032E0"/>
    <w:rsid w:val="00004066"/>
    <w:rsid w:val="00004546"/>
    <w:rsid w:val="00004566"/>
    <w:rsid w:val="00005359"/>
    <w:rsid w:val="00005F42"/>
    <w:rsid w:val="00006037"/>
    <w:rsid w:val="00006916"/>
    <w:rsid w:val="00006943"/>
    <w:rsid w:val="000078C2"/>
    <w:rsid w:val="00011097"/>
    <w:rsid w:val="0001109C"/>
    <w:rsid w:val="000135F6"/>
    <w:rsid w:val="000140A0"/>
    <w:rsid w:val="000143A4"/>
    <w:rsid w:val="00014461"/>
    <w:rsid w:val="00014D38"/>
    <w:rsid w:val="000154AD"/>
    <w:rsid w:val="00015951"/>
    <w:rsid w:val="00015D3C"/>
    <w:rsid w:val="00015FAE"/>
    <w:rsid w:val="000167A5"/>
    <w:rsid w:val="00016B01"/>
    <w:rsid w:val="00017F0A"/>
    <w:rsid w:val="00020528"/>
    <w:rsid w:val="00020606"/>
    <w:rsid w:val="00021598"/>
    <w:rsid w:val="0002176A"/>
    <w:rsid w:val="00021C3A"/>
    <w:rsid w:val="00021E9C"/>
    <w:rsid w:val="00022224"/>
    <w:rsid w:val="0002325E"/>
    <w:rsid w:val="00023622"/>
    <w:rsid w:val="00024313"/>
    <w:rsid w:val="0002598C"/>
    <w:rsid w:val="00026207"/>
    <w:rsid w:val="000303D6"/>
    <w:rsid w:val="00030AFB"/>
    <w:rsid w:val="00030BC5"/>
    <w:rsid w:val="00030C83"/>
    <w:rsid w:val="00031031"/>
    <w:rsid w:val="000319BD"/>
    <w:rsid w:val="00032371"/>
    <w:rsid w:val="000328B4"/>
    <w:rsid w:val="00032D10"/>
    <w:rsid w:val="00033805"/>
    <w:rsid w:val="0003397C"/>
    <w:rsid w:val="00033A1D"/>
    <w:rsid w:val="00033B15"/>
    <w:rsid w:val="00033DBE"/>
    <w:rsid w:val="000344DA"/>
    <w:rsid w:val="00037A53"/>
    <w:rsid w:val="00040169"/>
    <w:rsid w:val="00040BD3"/>
    <w:rsid w:val="0004119C"/>
    <w:rsid w:val="000419BC"/>
    <w:rsid w:val="00041FB8"/>
    <w:rsid w:val="00042A33"/>
    <w:rsid w:val="00042C54"/>
    <w:rsid w:val="000431BA"/>
    <w:rsid w:val="000443E0"/>
    <w:rsid w:val="000444C7"/>
    <w:rsid w:val="0004467C"/>
    <w:rsid w:val="00045282"/>
    <w:rsid w:val="00045747"/>
    <w:rsid w:val="00045965"/>
    <w:rsid w:val="00045C8B"/>
    <w:rsid w:val="0004704D"/>
    <w:rsid w:val="0004781D"/>
    <w:rsid w:val="00047A01"/>
    <w:rsid w:val="00047D38"/>
    <w:rsid w:val="00051320"/>
    <w:rsid w:val="00051EE1"/>
    <w:rsid w:val="00052936"/>
    <w:rsid w:val="000546F5"/>
    <w:rsid w:val="0005507E"/>
    <w:rsid w:val="00055382"/>
    <w:rsid w:val="00055BEC"/>
    <w:rsid w:val="00055D11"/>
    <w:rsid w:val="000561B2"/>
    <w:rsid w:val="00057D6E"/>
    <w:rsid w:val="00060AE8"/>
    <w:rsid w:val="000616DD"/>
    <w:rsid w:val="00064400"/>
    <w:rsid w:val="000654D8"/>
    <w:rsid w:val="00065882"/>
    <w:rsid w:val="0006614B"/>
    <w:rsid w:val="00067858"/>
    <w:rsid w:val="0007027B"/>
    <w:rsid w:val="00070794"/>
    <w:rsid w:val="00070D8C"/>
    <w:rsid w:val="000710CA"/>
    <w:rsid w:val="0007193A"/>
    <w:rsid w:val="00072115"/>
    <w:rsid w:val="000728C5"/>
    <w:rsid w:val="0007370E"/>
    <w:rsid w:val="00073B94"/>
    <w:rsid w:val="00074060"/>
    <w:rsid w:val="0007423F"/>
    <w:rsid w:val="000751D2"/>
    <w:rsid w:val="0007543F"/>
    <w:rsid w:val="0008132E"/>
    <w:rsid w:val="000815D5"/>
    <w:rsid w:val="0008170D"/>
    <w:rsid w:val="00081E85"/>
    <w:rsid w:val="00082E26"/>
    <w:rsid w:val="00084081"/>
    <w:rsid w:val="00084EC7"/>
    <w:rsid w:val="0008502B"/>
    <w:rsid w:val="00085805"/>
    <w:rsid w:val="00085E72"/>
    <w:rsid w:val="00086A3E"/>
    <w:rsid w:val="00086D5B"/>
    <w:rsid w:val="00086DCC"/>
    <w:rsid w:val="00087FC0"/>
    <w:rsid w:val="00091666"/>
    <w:rsid w:val="000916BD"/>
    <w:rsid w:val="00091998"/>
    <w:rsid w:val="00091AFF"/>
    <w:rsid w:val="00091E83"/>
    <w:rsid w:val="000932AE"/>
    <w:rsid w:val="0009523F"/>
    <w:rsid w:val="00095A95"/>
    <w:rsid w:val="0009711B"/>
    <w:rsid w:val="00097B78"/>
    <w:rsid w:val="00097DFD"/>
    <w:rsid w:val="000A00A4"/>
    <w:rsid w:val="000A039B"/>
    <w:rsid w:val="000A0FA2"/>
    <w:rsid w:val="000A2827"/>
    <w:rsid w:val="000A28BE"/>
    <w:rsid w:val="000A2D39"/>
    <w:rsid w:val="000A3D3F"/>
    <w:rsid w:val="000A42E3"/>
    <w:rsid w:val="000A44DA"/>
    <w:rsid w:val="000A4C9E"/>
    <w:rsid w:val="000A56D9"/>
    <w:rsid w:val="000A5B4C"/>
    <w:rsid w:val="000A7B90"/>
    <w:rsid w:val="000B05D6"/>
    <w:rsid w:val="000B1589"/>
    <w:rsid w:val="000B1631"/>
    <w:rsid w:val="000B22E6"/>
    <w:rsid w:val="000B2406"/>
    <w:rsid w:val="000B276E"/>
    <w:rsid w:val="000B3281"/>
    <w:rsid w:val="000B4318"/>
    <w:rsid w:val="000B4C5C"/>
    <w:rsid w:val="000B569C"/>
    <w:rsid w:val="000B58D8"/>
    <w:rsid w:val="000B5E4B"/>
    <w:rsid w:val="000B6A8A"/>
    <w:rsid w:val="000B6F5A"/>
    <w:rsid w:val="000B7E56"/>
    <w:rsid w:val="000C000E"/>
    <w:rsid w:val="000C084B"/>
    <w:rsid w:val="000C1219"/>
    <w:rsid w:val="000C2149"/>
    <w:rsid w:val="000C336E"/>
    <w:rsid w:val="000C4B51"/>
    <w:rsid w:val="000C5506"/>
    <w:rsid w:val="000C579F"/>
    <w:rsid w:val="000C5CDB"/>
    <w:rsid w:val="000C65E4"/>
    <w:rsid w:val="000C73DD"/>
    <w:rsid w:val="000C7F61"/>
    <w:rsid w:val="000D031F"/>
    <w:rsid w:val="000D1DCB"/>
    <w:rsid w:val="000D4C8B"/>
    <w:rsid w:val="000D4E69"/>
    <w:rsid w:val="000D6151"/>
    <w:rsid w:val="000D6515"/>
    <w:rsid w:val="000E0115"/>
    <w:rsid w:val="000E16A9"/>
    <w:rsid w:val="000E1B3F"/>
    <w:rsid w:val="000E2F38"/>
    <w:rsid w:val="000E3445"/>
    <w:rsid w:val="000E3F2E"/>
    <w:rsid w:val="000E4F76"/>
    <w:rsid w:val="000E623C"/>
    <w:rsid w:val="000E63B7"/>
    <w:rsid w:val="000E6788"/>
    <w:rsid w:val="000E69FF"/>
    <w:rsid w:val="000F04FA"/>
    <w:rsid w:val="000F073D"/>
    <w:rsid w:val="000F09B9"/>
    <w:rsid w:val="000F2124"/>
    <w:rsid w:val="000F267E"/>
    <w:rsid w:val="000F2C6A"/>
    <w:rsid w:val="000F3235"/>
    <w:rsid w:val="000F3D97"/>
    <w:rsid w:val="000F46CA"/>
    <w:rsid w:val="000F476C"/>
    <w:rsid w:val="000F4CF6"/>
    <w:rsid w:val="000F606F"/>
    <w:rsid w:val="000F6846"/>
    <w:rsid w:val="00100402"/>
    <w:rsid w:val="0010094F"/>
    <w:rsid w:val="00100992"/>
    <w:rsid w:val="00100ED1"/>
    <w:rsid w:val="00102796"/>
    <w:rsid w:val="00102941"/>
    <w:rsid w:val="00102A60"/>
    <w:rsid w:val="001039E9"/>
    <w:rsid w:val="00104303"/>
    <w:rsid w:val="001044EA"/>
    <w:rsid w:val="0010586E"/>
    <w:rsid w:val="00105984"/>
    <w:rsid w:val="00105D27"/>
    <w:rsid w:val="001065F2"/>
    <w:rsid w:val="001066A7"/>
    <w:rsid w:val="00107653"/>
    <w:rsid w:val="0011008F"/>
    <w:rsid w:val="001105BE"/>
    <w:rsid w:val="00110974"/>
    <w:rsid w:val="001118FC"/>
    <w:rsid w:val="001146E6"/>
    <w:rsid w:val="00115887"/>
    <w:rsid w:val="0011598B"/>
    <w:rsid w:val="00116055"/>
    <w:rsid w:val="0011626B"/>
    <w:rsid w:val="00116731"/>
    <w:rsid w:val="00116881"/>
    <w:rsid w:val="00116CAF"/>
    <w:rsid w:val="00117FD2"/>
    <w:rsid w:val="001205FE"/>
    <w:rsid w:val="0012091A"/>
    <w:rsid w:val="00120FD7"/>
    <w:rsid w:val="0012228E"/>
    <w:rsid w:val="001237F6"/>
    <w:rsid w:val="001253A2"/>
    <w:rsid w:val="00130352"/>
    <w:rsid w:val="00130571"/>
    <w:rsid w:val="00130715"/>
    <w:rsid w:val="0013487B"/>
    <w:rsid w:val="00134E55"/>
    <w:rsid w:val="00135638"/>
    <w:rsid w:val="00136143"/>
    <w:rsid w:val="001370B2"/>
    <w:rsid w:val="001407A4"/>
    <w:rsid w:val="00140B17"/>
    <w:rsid w:val="00140D2A"/>
    <w:rsid w:val="001419AF"/>
    <w:rsid w:val="00141CE1"/>
    <w:rsid w:val="00143C35"/>
    <w:rsid w:val="00144FEA"/>
    <w:rsid w:val="00145C72"/>
    <w:rsid w:val="00146401"/>
    <w:rsid w:val="00147246"/>
    <w:rsid w:val="00147CB4"/>
    <w:rsid w:val="001509AC"/>
    <w:rsid w:val="00150A98"/>
    <w:rsid w:val="001514CD"/>
    <w:rsid w:val="0015214B"/>
    <w:rsid w:val="001527C0"/>
    <w:rsid w:val="00152D9D"/>
    <w:rsid w:val="00155168"/>
    <w:rsid w:val="0015611A"/>
    <w:rsid w:val="00156729"/>
    <w:rsid w:val="00157333"/>
    <w:rsid w:val="00160CC7"/>
    <w:rsid w:val="00161907"/>
    <w:rsid w:val="00161F81"/>
    <w:rsid w:val="0016249B"/>
    <w:rsid w:val="0016278B"/>
    <w:rsid w:val="001627E4"/>
    <w:rsid w:val="0016298E"/>
    <w:rsid w:val="001637D0"/>
    <w:rsid w:val="001640D2"/>
    <w:rsid w:val="00171DB1"/>
    <w:rsid w:val="00171E15"/>
    <w:rsid w:val="00171EB5"/>
    <w:rsid w:val="0017327B"/>
    <w:rsid w:val="001759D8"/>
    <w:rsid w:val="00175C0F"/>
    <w:rsid w:val="00176132"/>
    <w:rsid w:val="0017659E"/>
    <w:rsid w:val="00176B81"/>
    <w:rsid w:val="00177266"/>
    <w:rsid w:val="001779B8"/>
    <w:rsid w:val="00177B72"/>
    <w:rsid w:val="00177E29"/>
    <w:rsid w:val="00180FCC"/>
    <w:rsid w:val="00183A7F"/>
    <w:rsid w:val="00184842"/>
    <w:rsid w:val="001854AF"/>
    <w:rsid w:val="0018692E"/>
    <w:rsid w:val="00186EA5"/>
    <w:rsid w:val="00191548"/>
    <w:rsid w:val="00191A53"/>
    <w:rsid w:val="00192211"/>
    <w:rsid w:val="00192F01"/>
    <w:rsid w:val="00195D2A"/>
    <w:rsid w:val="0019701B"/>
    <w:rsid w:val="00197359"/>
    <w:rsid w:val="00197486"/>
    <w:rsid w:val="001A0F2F"/>
    <w:rsid w:val="001A1C26"/>
    <w:rsid w:val="001A20D2"/>
    <w:rsid w:val="001A29C5"/>
    <w:rsid w:val="001A3A78"/>
    <w:rsid w:val="001A3D51"/>
    <w:rsid w:val="001A5684"/>
    <w:rsid w:val="001A6671"/>
    <w:rsid w:val="001A7398"/>
    <w:rsid w:val="001A7FAC"/>
    <w:rsid w:val="001B0301"/>
    <w:rsid w:val="001B0A53"/>
    <w:rsid w:val="001B106E"/>
    <w:rsid w:val="001B1746"/>
    <w:rsid w:val="001B1CA6"/>
    <w:rsid w:val="001B1FD7"/>
    <w:rsid w:val="001B242E"/>
    <w:rsid w:val="001B2552"/>
    <w:rsid w:val="001B35D5"/>
    <w:rsid w:val="001B3785"/>
    <w:rsid w:val="001B4237"/>
    <w:rsid w:val="001B4A0C"/>
    <w:rsid w:val="001B5B0E"/>
    <w:rsid w:val="001B6C8C"/>
    <w:rsid w:val="001B7CC7"/>
    <w:rsid w:val="001C09AE"/>
    <w:rsid w:val="001C11C8"/>
    <w:rsid w:val="001C1861"/>
    <w:rsid w:val="001C19CF"/>
    <w:rsid w:val="001C205B"/>
    <w:rsid w:val="001C205C"/>
    <w:rsid w:val="001C4153"/>
    <w:rsid w:val="001C48A2"/>
    <w:rsid w:val="001C5CC6"/>
    <w:rsid w:val="001C64B9"/>
    <w:rsid w:val="001D0F45"/>
    <w:rsid w:val="001D15D4"/>
    <w:rsid w:val="001D1E42"/>
    <w:rsid w:val="001D29E4"/>
    <w:rsid w:val="001D2B29"/>
    <w:rsid w:val="001D3AE6"/>
    <w:rsid w:val="001D3DC5"/>
    <w:rsid w:val="001D4353"/>
    <w:rsid w:val="001D439C"/>
    <w:rsid w:val="001D513E"/>
    <w:rsid w:val="001D5766"/>
    <w:rsid w:val="001D57E6"/>
    <w:rsid w:val="001D5D50"/>
    <w:rsid w:val="001D60BF"/>
    <w:rsid w:val="001D6141"/>
    <w:rsid w:val="001D64D5"/>
    <w:rsid w:val="001D7CF9"/>
    <w:rsid w:val="001D7DC0"/>
    <w:rsid w:val="001D7E70"/>
    <w:rsid w:val="001E0BFB"/>
    <w:rsid w:val="001E14A6"/>
    <w:rsid w:val="001E47CD"/>
    <w:rsid w:val="001E4CCD"/>
    <w:rsid w:val="001E5450"/>
    <w:rsid w:val="001E6580"/>
    <w:rsid w:val="001E6746"/>
    <w:rsid w:val="001E695E"/>
    <w:rsid w:val="001E774D"/>
    <w:rsid w:val="001F002A"/>
    <w:rsid w:val="001F09E3"/>
    <w:rsid w:val="001F1311"/>
    <w:rsid w:val="001F143F"/>
    <w:rsid w:val="001F146A"/>
    <w:rsid w:val="001F34DD"/>
    <w:rsid w:val="001F568D"/>
    <w:rsid w:val="001F577E"/>
    <w:rsid w:val="001F7071"/>
    <w:rsid w:val="001F7BE8"/>
    <w:rsid w:val="002006E2"/>
    <w:rsid w:val="00200F63"/>
    <w:rsid w:val="00201099"/>
    <w:rsid w:val="0020145E"/>
    <w:rsid w:val="0020227D"/>
    <w:rsid w:val="00202C26"/>
    <w:rsid w:val="00203488"/>
    <w:rsid w:val="00203593"/>
    <w:rsid w:val="0020428B"/>
    <w:rsid w:val="002046B2"/>
    <w:rsid w:val="00204E55"/>
    <w:rsid w:val="002101CF"/>
    <w:rsid w:val="00210BE9"/>
    <w:rsid w:val="00210EBB"/>
    <w:rsid w:val="00211C8A"/>
    <w:rsid w:val="00211E52"/>
    <w:rsid w:val="002143AB"/>
    <w:rsid w:val="00215895"/>
    <w:rsid w:val="00215F41"/>
    <w:rsid w:val="00216001"/>
    <w:rsid w:val="00216098"/>
    <w:rsid w:val="002161BC"/>
    <w:rsid w:val="00216C9E"/>
    <w:rsid w:val="0021771E"/>
    <w:rsid w:val="00217DE5"/>
    <w:rsid w:val="00220853"/>
    <w:rsid w:val="00220E59"/>
    <w:rsid w:val="002218F0"/>
    <w:rsid w:val="002232B3"/>
    <w:rsid w:val="002244EB"/>
    <w:rsid w:val="00225AC2"/>
    <w:rsid w:val="00225FEC"/>
    <w:rsid w:val="002266F0"/>
    <w:rsid w:val="0022738C"/>
    <w:rsid w:val="00227DBC"/>
    <w:rsid w:val="00227EA9"/>
    <w:rsid w:val="00227F34"/>
    <w:rsid w:val="002305B7"/>
    <w:rsid w:val="002312D2"/>
    <w:rsid w:val="00232880"/>
    <w:rsid w:val="00232D50"/>
    <w:rsid w:val="00232F22"/>
    <w:rsid w:val="002349F0"/>
    <w:rsid w:val="00235D4A"/>
    <w:rsid w:val="0023645D"/>
    <w:rsid w:val="00237DC8"/>
    <w:rsid w:val="00240B08"/>
    <w:rsid w:val="00240B6C"/>
    <w:rsid w:val="00240D68"/>
    <w:rsid w:val="0024133C"/>
    <w:rsid w:val="002413A0"/>
    <w:rsid w:val="00241C18"/>
    <w:rsid w:val="00241E08"/>
    <w:rsid w:val="00242204"/>
    <w:rsid w:val="002431E8"/>
    <w:rsid w:val="0024372D"/>
    <w:rsid w:val="00243F41"/>
    <w:rsid w:val="00245A82"/>
    <w:rsid w:val="00245DA4"/>
    <w:rsid w:val="0024614F"/>
    <w:rsid w:val="00246817"/>
    <w:rsid w:val="00247C7F"/>
    <w:rsid w:val="00250AB9"/>
    <w:rsid w:val="00250B67"/>
    <w:rsid w:val="00250C04"/>
    <w:rsid w:val="00251BF9"/>
    <w:rsid w:val="00251D54"/>
    <w:rsid w:val="00251F08"/>
    <w:rsid w:val="0025274B"/>
    <w:rsid w:val="002533D5"/>
    <w:rsid w:val="00253C7E"/>
    <w:rsid w:val="00255262"/>
    <w:rsid w:val="00256AEB"/>
    <w:rsid w:val="00256B49"/>
    <w:rsid w:val="00257CAD"/>
    <w:rsid w:val="00257EB7"/>
    <w:rsid w:val="00260C2B"/>
    <w:rsid w:val="0026246A"/>
    <w:rsid w:val="0026279D"/>
    <w:rsid w:val="002628B3"/>
    <w:rsid w:val="00262BF0"/>
    <w:rsid w:val="00263FAC"/>
    <w:rsid w:val="0026485F"/>
    <w:rsid w:val="00264A6F"/>
    <w:rsid w:val="0026510A"/>
    <w:rsid w:val="002655BE"/>
    <w:rsid w:val="00266C61"/>
    <w:rsid w:val="00267177"/>
    <w:rsid w:val="00267373"/>
    <w:rsid w:val="00267E0A"/>
    <w:rsid w:val="002700B5"/>
    <w:rsid w:val="00271B52"/>
    <w:rsid w:val="0027329F"/>
    <w:rsid w:val="0027364A"/>
    <w:rsid w:val="0027395B"/>
    <w:rsid w:val="00274AF1"/>
    <w:rsid w:val="00274BC4"/>
    <w:rsid w:val="00274F74"/>
    <w:rsid w:val="00275045"/>
    <w:rsid w:val="00280358"/>
    <w:rsid w:val="00281517"/>
    <w:rsid w:val="00281F95"/>
    <w:rsid w:val="00283021"/>
    <w:rsid w:val="002839A2"/>
    <w:rsid w:val="002843AE"/>
    <w:rsid w:val="00284C70"/>
    <w:rsid w:val="00285105"/>
    <w:rsid w:val="00285E22"/>
    <w:rsid w:val="002862DE"/>
    <w:rsid w:val="0028637C"/>
    <w:rsid w:val="002905DE"/>
    <w:rsid w:val="00290AE3"/>
    <w:rsid w:val="00290F62"/>
    <w:rsid w:val="00291242"/>
    <w:rsid w:val="00291420"/>
    <w:rsid w:val="00291558"/>
    <w:rsid w:val="00292078"/>
    <w:rsid w:val="00292B29"/>
    <w:rsid w:val="00293068"/>
    <w:rsid w:val="0029503F"/>
    <w:rsid w:val="00295FAE"/>
    <w:rsid w:val="00297596"/>
    <w:rsid w:val="00297DD8"/>
    <w:rsid w:val="002A02C0"/>
    <w:rsid w:val="002A1F15"/>
    <w:rsid w:val="002A3FD5"/>
    <w:rsid w:val="002A454A"/>
    <w:rsid w:val="002A5C89"/>
    <w:rsid w:val="002A6466"/>
    <w:rsid w:val="002A6641"/>
    <w:rsid w:val="002A6C0C"/>
    <w:rsid w:val="002A77AD"/>
    <w:rsid w:val="002B1CE4"/>
    <w:rsid w:val="002B216C"/>
    <w:rsid w:val="002B2DF1"/>
    <w:rsid w:val="002B2F37"/>
    <w:rsid w:val="002B38C6"/>
    <w:rsid w:val="002B3A68"/>
    <w:rsid w:val="002B49B2"/>
    <w:rsid w:val="002B4E05"/>
    <w:rsid w:val="002B649A"/>
    <w:rsid w:val="002B748C"/>
    <w:rsid w:val="002B7EE2"/>
    <w:rsid w:val="002C08A3"/>
    <w:rsid w:val="002C0CA8"/>
    <w:rsid w:val="002C19CF"/>
    <w:rsid w:val="002C23E0"/>
    <w:rsid w:val="002C2658"/>
    <w:rsid w:val="002C2B7E"/>
    <w:rsid w:val="002C3380"/>
    <w:rsid w:val="002C3810"/>
    <w:rsid w:val="002C38C6"/>
    <w:rsid w:val="002C4AD6"/>
    <w:rsid w:val="002C4DC4"/>
    <w:rsid w:val="002C4EF1"/>
    <w:rsid w:val="002C5253"/>
    <w:rsid w:val="002C5376"/>
    <w:rsid w:val="002C5490"/>
    <w:rsid w:val="002C5E6A"/>
    <w:rsid w:val="002C6EEA"/>
    <w:rsid w:val="002C79FF"/>
    <w:rsid w:val="002D171C"/>
    <w:rsid w:val="002D1903"/>
    <w:rsid w:val="002D1EDE"/>
    <w:rsid w:val="002D1EF2"/>
    <w:rsid w:val="002D2055"/>
    <w:rsid w:val="002D20FC"/>
    <w:rsid w:val="002D29FE"/>
    <w:rsid w:val="002D2BB7"/>
    <w:rsid w:val="002D2E4A"/>
    <w:rsid w:val="002D33CF"/>
    <w:rsid w:val="002D4754"/>
    <w:rsid w:val="002D523D"/>
    <w:rsid w:val="002D52D9"/>
    <w:rsid w:val="002D5663"/>
    <w:rsid w:val="002D5CCB"/>
    <w:rsid w:val="002D601D"/>
    <w:rsid w:val="002D66C6"/>
    <w:rsid w:val="002D69A9"/>
    <w:rsid w:val="002D69FB"/>
    <w:rsid w:val="002E1D31"/>
    <w:rsid w:val="002E2271"/>
    <w:rsid w:val="002E2AEF"/>
    <w:rsid w:val="002E3D2A"/>
    <w:rsid w:val="002E47BB"/>
    <w:rsid w:val="002E54C5"/>
    <w:rsid w:val="002E59D6"/>
    <w:rsid w:val="002E68DF"/>
    <w:rsid w:val="002E6F1E"/>
    <w:rsid w:val="002E701D"/>
    <w:rsid w:val="002E7FBB"/>
    <w:rsid w:val="002F0A38"/>
    <w:rsid w:val="002F0E94"/>
    <w:rsid w:val="002F16EC"/>
    <w:rsid w:val="002F1882"/>
    <w:rsid w:val="002F1CBC"/>
    <w:rsid w:val="002F1D70"/>
    <w:rsid w:val="002F206A"/>
    <w:rsid w:val="002F2509"/>
    <w:rsid w:val="002F4821"/>
    <w:rsid w:val="002F50CE"/>
    <w:rsid w:val="002F5723"/>
    <w:rsid w:val="002F63D5"/>
    <w:rsid w:val="002F798E"/>
    <w:rsid w:val="002F7B42"/>
    <w:rsid w:val="002F7FC0"/>
    <w:rsid w:val="0030023F"/>
    <w:rsid w:val="00301D91"/>
    <w:rsid w:val="00302534"/>
    <w:rsid w:val="0030280D"/>
    <w:rsid w:val="003028DD"/>
    <w:rsid w:val="00302B77"/>
    <w:rsid w:val="00302BDD"/>
    <w:rsid w:val="003046E0"/>
    <w:rsid w:val="00306574"/>
    <w:rsid w:val="003066C3"/>
    <w:rsid w:val="00306F9A"/>
    <w:rsid w:val="003076DD"/>
    <w:rsid w:val="00310CD3"/>
    <w:rsid w:val="003126EB"/>
    <w:rsid w:val="00313446"/>
    <w:rsid w:val="0031378F"/>
    <w:rsid w:val="00313A9F"/>
    <w:rsid w:val="00314C32"/>
    <w:rsid w:val="003150A5"/>
    <w:rsid w:val="003158AE"/>
    <w:rsid w:val="003158F7"/>
    <w:rsid w:val="00315BB4"/>
    <w:rsid w:val="003168D8"/>
    <w:rsid w:val="00321EC6"/>
    <w:rsid w:val="0032317A"/>
    <w:rsid w:val="00323304"/>
    <w:rsid w:val="0032392D"/>
    <w:rsid w:val="00323DA2"/>
    <w:rsid w:val="003240D0"/>
    <w:rsid w:val="0032449E"/>
    <w:rsid w:val="00325DE6"/>
    <w:rsid w:val="003264F2"/>
    <w:rsid w:val="0032665A"/>
    <w:rsid w:val="00326DCE"/>
    <w:rsid w:val="00326E2D"/>
    <w:rsid w:val="0032753F"/>
    <w:rsid w:val="00327BCF"/>
    <w:rsid w:val="00331B97"/>
    <w:rsid w:val="00331F3B"/>
    <w:rsid w:val="00333092"/>
    <w:rsid w:val="003335FC"/>
    <w:rsid w:val="00334147"/>
    <w:rsid w:val="003346FD"/>
    <w:rsid w:val="0033681A"/>
    <w:rsid w:val="003369D0"/>
    <w:rsid w:val="0033782D"/>
    <w:rsid w:val="00342ECA"/>
    <w:rsid w:val="00343BE4"/>
    <w:rsid w:val="003461DA"/>
    <w:rsid w:val="003470AC"/>
    <w:rsid w:val="00347791"/>
    <w:rsid w:val="00347CCF"/>
    <w:rsid w:val="003504D2"/>
    <w:rsid w:val="003506A8"/>
    <w:rsid w:val="00350C22"/>
    <w:rsid w:val="00351656"/>
    <w:rsid w:val="003516CE"/>
    <w:rsid w:val="00352214"/>
    <w:rsid w:val="00352284"/>
    <w:rsid w:val="00352F25"/>
    <w:rsid w:val="00354DD8"/>
    <w:rsid w:val="00355282"/>
    <w:rsid w:val="00355292"/>
    <w:rsid w:val="00355CD2"/>
    <w:rsid w:val="00356486"/>
    <w:rsid w:val="00356A13"/>
    <w:rsid w:val="00356DE6"/>
    <w:rsid w:val="003572F6"/>
    <w:rsid w:val="00361A61"/>
    <w:rsid w:val="00361AEF"/>
    <w:rsid w:val="0036442E"/>
    <w:rsid w:val="00366AF3"/>
    <w:rsid w:val="00370454"/>
    <w:rsid w:val="003709B4"/>
    <w:rsid w:val="0037118E"/>
    <w:rsid w:val="00371A2B"/>
    <w:rsid w:val="00371D85"/>
    <w:rsid w:val="00372321"/>
    <w:rsid w:val="0037268B"/>
    <w:rsid w:val="00372C42"/>
    <w:rsid w:val="00374C9B"/>
    <w:rsid w:val="00376507"/>
    <w:rsid w:val="00376ABA"/>
    <w:rsid w:val="00377FA3"/>
    <w:rsid w:val="0038080B"/>
    <w:rsid w:val="00380C3E"/>
    <w:rsid w:val="0038120F"/>
    <w:rsid w:val="00382658"/>
    <w:rsid w:val="00382C18"/>
    <w:rsid w:val="00383300"/>
    <w:rsid w:val="003834EC"/>
    <w:rsid w:val="00384065"/>
    <w:rsid w:val="0038433F"/>
    <w:rsid w:val="00384FDF"/>
    <w:rsid w:val="003866A2"/>
    <w:rsid w:val="00387829"/>
    <w:rsid w:val="00390771"/>
    <w:rsid w:val="003918B4"/>
    <w:rsid w:val="00391916"/>
    <w:rsid w:val="00392DB2"/>
    <w:rsid w:val="0039331C"/>
    <w:rsid w:val="00393765"/>
    <w:rsid w:val="00395567"/>
    <w:rsid w:val="00395EA1"/>
    <w:rsid w:val="00396E6D"/>
    <w:rsid w:val="003A01C9"/>
    <w:rsid w:val="003A01F1"/>
    <w:rsid w:val="003A07FE"/>
    <w:rsid w:val="003A0C42"/>
    <w:rsid w:val="003A1465"/>
    <w:rsid w:val="003A15E2"/>
    <w:rsid w:val="003A16AB"/>
    <w:rsid w:val="003A1ADD"/>
    <w:rsid w:val="003A1EA7"/>
    <w:rsid w:val="003A2009"/>
    <w:rsid w:val="003A2E36"/>
    <w:rsid w:val="003A44A9"/>
    <w:rsid w:val="003A5784"/>
    <w:rsid w:val="003A7F0D"/>
    <w:rsid w:val="003A7FB5"/>
    <w:rsid w:val="003B017E"/>
    <w:rsid w:val="003B09E0"/>
    <w:rsid w:val="003B0E7A"/>
    <w:rsid w:val="003B19A4"/>
    <w:rsid w:val="003B2884"/>
    <w:rsid w:val="003B47D7"/>
    <w:rsid w:val="003B6A18"/>
    <w:rsid w:val="003B74FC"/>
    <w:rsid w:val="003B75E6"/>
    <w:rsid w:val="003C0649"/>
    <w:rsid w:val="003C14E2"/>
    <w:rsid w:val="003C18A5"/>
    <w:rsid w:val="003C1DD5"/>
    <w:rsid w:val="003C28DF"/>
    <w:rsid w:val="003C2A6D"/>
    <w:rsid w:val="003C329E"/>
    <w:rsid w:val="003C34F8"/>
    <w:rsid w:val="003C3903"/>
    <w:rsid w:val="003C4B00"/>
    <w:rsid w:val="003C4D03"/>
    <w:rsid w:val="003C5A1F"/>
    <w:rsid w:val="003C5BD7"/>
    <w:rsid w:val="003C6F58"/>
    <w:rsid w:val="003C72A0"/>
    <w:rsid w:val="003D0078"/>
    <w:rsid w:val="003D020C"/>
    <w:rsid w:val="003D0696"/>
    <w:rsid w:val="003D10E5"/>
    <w:rsid w:val="003D201E"/>
    <w:rsid w:val="003D4207"/>
    <w:rsid w:val="003D56D1"/>
    <w:rsid w:val="003D5BEC"/>
    <w:rsid w:val="003E0053"/>
    <w:rsid w:val="003E1317"/>
    <w:rsid w:val="003E17B7"/>
    <w:rsid w:val="003E3971"/>
    <w:rsid w:val="003E4AD2"/>
    <w:rsid w:val="003E67E8"/>
    <w:rsid w:val="003E6960"/>
    <w:rsid w:val="003E6F13"/>
    <w:rsid w:val="003E7231"/>
    <w:rsid w:val="003E7266"/>
    <w:rsid w:val="003E72BC"/>
    <w:rsid w:val="003E760B"/>
    <w:rsid w:val="003E7DE9"/>
    <w:rsid w:val="003F06B2"/>
    <w:rsid w:val="003F0C38"/>
    <w:rsid w:val="003F0DA1"/>
    <w:rsid w:val="003F1B9A"/>
    <w:rsid w:val="003F21D9"/>
    <w:rsid w:val="003F2E64"/>
    <w:rsid w:val="003F2F7A"/>
    <w:rsid w:val="003F303C"/>
    <w:rsid w:val="003F47AF"/>
    <w:rsid w:val="003F5538"/>
    <w:rsid w:val="003F6012"/>
    <w:rsid w:val="003F6705"/>
    <w:rsid w:val="003F7367"/>
    <w:rsid w:val="003F73B0"/>
    <w:rsid w:val="00400C63"/>
    <w:rsid w:val="00400E86"/>
    <w:rsid w:val="00400FED"/>
    <w:rsid w:val="0040147B"/>
    <w:rsid w:val="0040188D"/>
    <w:rsid w:val="00401F2E"/>
    <w:rsid w:val="004026FB"/>
    <w:rsid w:val="00403451"/>
    <w:rsid w:val="004039EC"/>
    <w:rsid w:val="004068D6"/>
    <w:rsid w:val="0040720C"/>
    <w:rsid w:val="00407353"/>
    <w:rsid w:val="00407DEA"/>
    <w:rsid w:val="00410C80"/>
    <w:rsid w:val="00412259"/>
    <w:rsid w:val="00412473"/>
    <w:rsid w:val="004129EF"/>
    <w:rsid w:val="00412A1B"/>
    <w:rsid w:val="00413DAB"/>
    <w:rsid w:val="0041445E"/>
    <w:rsid w:val="00414903"/>
    <w:rsid w:val="00414A89"/>
    <w:rsid w:val="00414CCC"/>
    <w:rsid w:val="004153FC"/>
    <w:rsid w:val="00415A21"/>
    <w:rsid w:val="0041698C"/>
    <w:rsid w:val="00417108"/>
    <w:rsid w:val="00417392"/>
    <w:rsid w:val="00417409"/>
    <w:rsid w:val="00417BB6"/>
    <w:rsid w:val="0042051D"/>
    <w:rsid w:val="00420B01"/>
    <w:rsid w:val="00420CB5"/>
    <w:rsid w:val="0042142F"/>
    <w:rsid w:val="00421AAC"/>
    <w:rsid w:val="004224C4"/>
    <w:rsid w:val="0042312F"/>
    <w:rsid w:val="00423F77"/>
    <w:rsid w:val="00424830"/>
    <w:rsid w:val="00424D8E"/>
    <w:rsid w:val="00425133"/>
    <w:rsid w:val="004252F1"/>
    <w:rsid w:val="0042687E"/>
    <w:rsid w:val="00426C2E"/>
    <w:rsid w:val="004271C9"/>
    <w:rsid w:val="00427B6F"/>
    <w:rsid w:val="004304D9"/>
    <w:rsid w:val="00430561"/>
    <w:rsid w:val="004309C6"/>
    <w:rsid w:val="00431561"/>
    <w:rsid w:val="004322CB"/>
    <w:rsid w:val="00432E32"/>
    <w:rsid w:val="004335CA"/>
    <w:rsid w:val="00434779"/>
    <w:rsid w:val="004347E2"/>
    <w:rsid w:val="00435042"/>
    <w:rsid w:val="0043589B"/>
    <w:rsid w:val="00435A49"/>
    <w:rsid w:val="00435E51"/>
    <w:rsid w:val="00436022"/>
    <w:rsid w:val="00436757"/>
    <w:rsid w:val="004379D2"/>
    <w:rsid w:val="00441F72"/>
    <w:rsid w:val="004436E7"/>
    <w:rsid w:val="00444218"/>
    <w:rsid w:val="00445392"/>
    <w:rsid w:val="004464DB"/>
    <w:rsid w:val="00446AB0"/>
    <w:rsid w:val="00446DCA"/>
    <w:rsid w:val="00447A42"/>
    <w:rsid w:val="00453057"/>
    <w:rsid w:val="00453F56"/>
    <w:rsid w:val="00454A0C"/>
    <w:rsid w:val="00454CD0"/>
    <w:rsid w:val="00456A3B"/>
    <w:rsid w:val="00456E40"/>
    <w:rsid w:val="004600FA"/>
    <w:rsid w:val="00460213"/>
    <w:rsid w:val="00460AD0"/>
    <w:rsid w:val="00461BCA"/>
    <w:rsid w:val="0046309D"/>
    <w:rsid w:val="00463334"/>
    <w:rsid w:val="00464898"/>
    <w:rsid w:val="00465107"/>
    <w:rsid w:val="00465B1E"/>
    <w:rsid w:val="004664EF"/>
    <w:rsid w:val="00467C75"/>
    <w:rsid w:val="00467F99"/>
    <w:rsid w:val="004706AE"/>
    <w:rsid w:val="00471E45"/>
    <w:rsid w:val="0047391C"/>
    <w:rsid w:val="004741BE"/>
    <w:rsid w:val="00474746"/>
    <w:rsid w:val="00474BA5"/>
    <w:rsid w:val="0047514D"/>
    <w:rsid w:val="00475B2B"/>
    <w:rsid w:val="00476B76"/>
    <w:rsid w:val="00476D05"/>
    <w:rsid w:val="0047770B"/>
    <w:rsid w:val="00477FF2"/>
    <w:rsid w:val="00480D4F"/>
    <w:rsid w:val="00481443"/>
    <w:rsid w:val="00481831"/>
    <w:rsid w:val="00481CD3"/>
    <w:rsid w:val="00481DE0"/>
    <w:rsid w:val="0048407A"/>
    <w:rsid w:val="00484B9B"/>
    <w:rsid w:val="00486ADA"/>
    <w:rsid w:val="00486E7E"/>
    <w:rsid w:val="004900CB"/>
    <w:rsid w:val="004920CD"/>
    <w:rsid w:val="0049262C"/>
    <w:rsid w:val="00492807"/>
    <w:rsid w:val="00492F12"/>
    <w:rsid w:val="004931E0"/>
    <w:rsid w:val="00493862"/>
    <w:rsid w:val="0049648D"/>
    <w:rsid w:val="00497020"/>
    <w:rsid w:val="004971A4"/>
    <w:rsid w:val="00497DE7"/>
    <w:rsid w:val="004A09C5"/>
    <w:rsid w:val="004A1C17"/>
    <w:rsid w:val="004A3852"/>
    <w:rsid w:val="004A470E"/>
    <w:rsid w:val="004A60FD"/>
    <w:rsid w:val="004A6B0E"/>
    <w:rsid w:val="004A6F72"/>
    <w:rsid w:val="004B04B8"/>
    <w:rsid w:val="004B10E4"/>
    <w:rsid w:val="004B3120"/>
    <w:rsid w:val="004B331D"/>
    <w:rsid w:val="004B3BE6"/>
    <w:rsid w:val="004B4271"/>
    <w:rsid w:val="004B441F"/>
    <w:rsid w:val="004B487B"/>
    <w:rsid w:val="004B5886"/>
    <w:rsid w:val="004B5CEA"/>
    <w:rsid w:val="004B630F"/>
    <w:rsid w:val="004B7170"/>
    <w:rsid w:val="004B770A"/>
    <w:rsid w:val="004B7D9B"/>
    <w:rsid w:val="004B7DAF"/>
    <w:rsid w:val="004C0263"/>
    <w:rsid w:val="004C0651"/>
    <w:rsid w:val="004C0C50"/>
    <w:rsid w:val="004C1561"/>
    <w:rsid w:val="004C16D2"/>
    <w:rsid w:val="004C23D1"/>
    <w:rsid w:val="004C61EB"/>
    <w:rsid w:val="004C7603"/>
    <w:rsid w:val="004C7C9B"/>
    <w:rsid w:val="004D3742"/>
    <w:rsid w:val="004D3C3C"/>
    <w:rsid w:val="004D47A4"/>
    <w:rsid w:val="004D53D1"/>
    <w:rsid w:val="004D5924"/>
    <w:rsid w:val="004D6BCB"/>
    <w:rsid w:val="004D72F6"/>
    <w:rsid w:val="004E01F9"/>
    <w:rsid w:val="004E0290"/>
    <w:rsid w:val="004E0310"/>
    <w:rsid w:val="004E077B"/>
    <w:rsid w:val="004E0ADB"/>
    <w:rsid w:val="004E0BCF"/>
    <w:rsid w:val="004E0D26"/>
    <w:rsid w:val="004E1AEF"/>
    <w:rsid w:val="004E208D"/>
    <w:rsid w:val="004E2191"/>
    <w:rsid w:val="004E25FC"/>
    <w:rsid w:val="004E2CAB"/>
    <w:rsid w:val="004E37D3"/>
    <w:rsid w:val="004E45AD"/>
    <w:rsid w:val="004E4874"/>
    <w:rsid w:val="004E5B69"/>
    <w:rsid w:val="004E716E"/>
    <w:rsid w:val="004E79FA"/>
    <w:rsid w:val="004F0A30"/>
    <w:rsid w:val="004F0F84"/>
    <w:rsid w:val="004F1301"/>
    <w:rsid w:val="004F178A"/>
    <w:rsid w:val="004F1B0F"/>
    <w:rsid w:val="004F2397"/>
    <w:rsid w:val="004F26E4"/>
    <w:rsid w:val="004F29D4"/>
    <w:rsid w:val="004F315B"/>
    <w:rsid w:val="004F3B0F"/>
    <w:rsid w:val="004F44E7"/>
    <w:rsid w:val="004F46BA"/>
    <w:rsid w:val="004F603F"/>
    <w:rsid w:val="004F67FF"/>
    <w:rsid w:val="004F74EB"/>
    <w:rsid w:val="004F7606"/>
    <w:rsid w:val="00500A7C"/>
    <w:rsid w:val="00500AC2"/>
    <w:rsid w:val="00501776"/>
    <w:rsid w:val="00501828"/>
    <w:rsid w:val="0050491F"/>
    <w:rsid w:val="00504CB8"/>
    <w:rsid w:val="00504E69"/>
    <w:rsid w:val="00505612"/>
    <w:rsid w:val="00505D84"/>
    <w:rsid w:val="0050664E"/>
    <w:rsid w:val="00507C03"/>
    <w:rsid w:val="0051057B"/>
    <w:rsid w:val="005107B9"/>
    <w:rsid w:val="00513085"/>
    <w:rsid w:val="00513165"/>
    <w:rsid w:val="00513822"/>
    <w:rsid w:val="00513A85"/>
    <w:rsid w:val="00515070"/>
    <w:rsid w:val="00515076"/>
    <w:rsid w:val="00515711"/>
    <w:rsid w:val="00515AC1"/>
    <w:rsid w:val="00515C90"/>
    <w:rsid w:val="005160D4"/>
    <w:rsid w:val="0051705C"/>
    <w:rsid w:val="00520389"/>
    <w:rsid w:val="005206AB"/>
    <w:rsid w:val="0052077D"/>
    <w:rsid w:val="00520CF0"/>
    <w:rsid w:val="005223B6"/>
    <w:rsid w:val="00523A43"/>
    <w:rsid w:val="00523F76"/>
    <w:rsid w:val="00524ED5"/>
    <w:rsid w:val="0052566F"/>
    <w:rsid w:val="00525751"/>
    <w:rsid w:val="0052597C"/>
    <w:rsid w:val="00525D1D"/>
    <w:rsid w:val="00526081"/>
    <w:rsid w:val="00526F51"/>
    <w:rsid w:val="005276CD"/>
    <w:rsid w:val="00530B2D"/>
    <w:rsid w:val="00530D10"/>
    <w:rsid w:val="00531818"/>
    <w:rsid w:val="00531F1C"/>
    <w:rsid w:val="00532654"/>
    <w:rsid w:val="00532DD3"/>
    <w:rsid w:val="0053370C"/>
    <w:rsid w:val="005337DF"/>
    <w:rsid w:val="005342CA"/>
    <w:rsid w:val="00535098"/>
    <w:rsid w:val="005351B7"/>
    <w:rsid w:val="005360D4"/>
    <w:rsid w:val="00536C43"/>
    <w:rsid w:val="005378CD"/>
    <w:rsid w:val="00537B01"/>
    <w:rsid w:val="0054079B"/>
    <w:rsid w:val="005420B2"/>
    <w:rsid w:val="00542CC7"/>
    <w:rsid w:val="005431FE"/>
    <w:rsid w:val="005434ED"/>
    <w:rsid w:val="0054551D"/>
    <w:rsid w:val="005474CA"/>
    <w:rsid w:val="00547C93"/>
    <w:rsid w:val="00550B49"/>
    <w:rsid w:val="005511F1"/>
    <w:rsid w:val="005518CF"/>
    <w:rsid w:val="00551914"/>
    <w:rsid w:val="0055201C"/>
    <w:rsid w:val="00552194"/>
    <w:rsid w:val="005528C8"/>
    <w:rsid w:val="00555862"/>
    <w:rsid w:val="00555A77"/>
    <w:rsid w:val="00555CF9"/>
    <w:rsid w:val="00556A0B"/>
    <w:rsid w:val="00556F8D"/>
    <w:rsid w:val="005572AD"/>
    <w:rsid w:val="0055736B"/>
    <w:rsid w:val="0056026E"/>
    <w:rsid w:val="00560ECC"/>
    <w:rsid w:val="00561FF7"/>
    <w:rsid w:val="00562AF5"/>
    <w:rsid w:val="005642A0"/>
    <w:rsid w:val="0056455B"/>
    <w:rsid w:val="00565284"/>
    <w:rsid w:val="00565729"/>
    <w:rsid w:val="005663D7"/>
    <w:rsid w:val="005663DE"/>
    <w:rsid w:val="00566839"/>
    <w:rsid w:val="0056704A"/>
    <w:rsid w:val="005673C9"/>
    <w:rsid w:val="00567CDF"/>
    <w:rsid w:val="00570FD5"/>
    <w:rsid w:val="00571099"/>
    <w:rsid w:val="0057185A"/>
    <w:rsid w:val="005719BB"/>
    <w:rsid w:val="00572BE6"/>
    <w:rsid w:val="00572F00"/>
    <w:rsid w:val="0057375C"/>
    <w:rsid w:val="00573892"/>
    <w:rsid w:val="00574E04"/>
    <w:rsid w:val="00575B2E"/>
    <w:rsid w:val="00575CDD"/>
    <w:rsid w:val="00576392"/>
    <w:rsid w:val="00576B24"/>
    <w:rsid w:val="00576E00"/>
    <w:rsid w:val="00577266"/>
    <w:rsid w:val="00580BF5"/>
    <w:rsid w:val="005813A8"/>
    <w:rsid w:val="00581451"/>
    <w:rsid w:val="00581561"/>
    <w:rsid w:val="0058262C"/>
    <w:rsid w:val="00582ED8"/>
    <w:rsid w:val="00582FD4"/>
    <w:rsid w:val="0058389F"/>
    <w:rsid w:val="00583D5C"/>
    <w:rsid w:val="0058432C"/>
    <w:rsid w:val="0058448D"/>
    <w:rsid w:val="00585F4C"/>
    <w:rsid w:val="005863DA"/>
    <w:rsid w:val="00586491"/>
    <w:rsid w:val="00587A2E"/>
    <w:rsid w:val="005900C3"/>
    <w:rsid w:val="005905F4"/>
    <w:rsid w:val="005917A3"/>
    <w:rsid w:val="0059193B"/>
    <w:rsid w:val="00591D53"/>
    <w:rsid w:val="00591E38"/>
    <w:rsid w:val="005920E9"/>
    <w:rsid w:val="005923B0"/>
    <w:rsid w:val="00592518"/>
    <w:rsid w:val="00593D8B"/>
    <w:rsid w:val="005948DA"/>
    <w:rsid w:val="00594A63"/>
    <w:rsid w:val="00595235"/>
    <w:rsid w:val="00595A85"/>
    <w:rsid w:val="005961F0"/>
    <w:rsid w:val="005969C8"/>
    <w:rsid w:val="0059743D"/>
    <w:rsid w:val="005974BB"/>
    <w:rsid w:val="005A011F"/>
    <w:rsid w:val="005A0467"/>
    <w:rsid w:val="005A05B8"/>
    <w:rsid w:val="005A07DE"/>
    <w:rsid w:val="005A22CD"/>
    <w:rsid w:val="005A2A40"/>
    <w:rsid w:val="005A4212"/>
    <w:rsid w:val="005A4D9F"/>
    <w:rsid w:val="005A4DD5"/>
    <w:rsid w:val="005A5F25"/>
    <w:rsid w:val="005A614B"/>
    <w:rsid w:val="005A7560"/>
    <w:rsid w:val="005A756E"/>
    <w:rsid w:val="005A78E3"/>
    <w:rsid w:val="005B0523"/>
    <w:rsid w:val="005B0E78"/>
    <w:rsid w:val="005B38E9"/>
    <w:rsid w:val="005B5321"/>
    <w:rsid w:val="005B5E0A"/>
    <w:rsid w:val="005C0EC4"/>
    <w:rsid w:val="005C18D0"/>
    <w:rsid w:val="005C2418"/>
    <w:rsid w:val="005C2AA6"/>
    <w:rsid w:val="005C2C41"/>
    <w:rsid w:val="005C2C84"/>
    <w:rsid w:val="005C31C4"/>
    <w:rsid w:val="005C3A2C"/>
    <w:rsid w:val="005C4AB3"/>
    <w:rsid w:val="005C55BA"/>
    <w:rsid w:val="005C6295"/>
    <w:rsid w:val="005C631E"/>
    <w:rsid w:val="005C6E78"/>
    <w:rsid w:val="005C7127"/>
    <w:rsid w:val="005C7158"/>
    <w:rsid w:val="005C7539"/>
    <w:rsid w:val="005C7836"/>
    <w:rsid w:val="005C79F2"/>
    <w:rsid w:val="005D0888"/>
    <w:rsid w:val="005D1B6A"/>
    <w:rsid w:val="005D1BEF"/>
    <w:rsid w:val="005D21EE"/>
    <w:rsid w:val="005D2B1D"/>
    <w:rsid w:val="005D3714"/>
    <w:rsid w:val="005D44BE"/>
    <w:rsid w:val="005D684A"/>
    <w:rsid w:val="005E02B6"/>
    <w:rsid w:val="005E0FF6"/>
    <w:rsid w:val="005E11D2"/>
    <w:rsid w:val="005E16E7"/>
    <w:rsid w:val="005E3577"/>
    <w:rsid w:val="005E374C"/>
    <w:rsid w:val="005E38D7"/>
    <w:rsid w:val="005E3A7C"/>
    <w:rsid w:val="005E3FFB"/>
    <w:rsid w:val="005E4C1D"/>
    <w:rsid w:val="005E677C"/>
    <w:rsid w:val="005E6ADA"/>
    <w:rsid w:val="005E716A"/>
    <w:rsid w:val="005E7691"/>
    <w:rsid w:val="005E7BC9"/>
    <w:rsid w:val="005F1961"/>
    <w:rsid w:val="005F2D23"/>
    <w:rsid w:val="005F37B1"/>
    <w:rsid w:val="005F387D"/>
    <w:rsid w:val="005F3996"/>
    <w:rsid w:val="005F3ECA"/>
    <w:rsid w:val="005F4B3D"/>
    <w:rsid w:val="005F5153"/>
    <w:rsid w:val="005F588E"/>
    <w:rsid w:val="005F5CE8"/>
    <w:rsid w:val="005F5EE1"/>
    <w:rsid w:val="005F62FC"/>
    <w:rsid w:val="005F6C48"/>
    <w:rsid w:val="005F6D83"/>
    <w:rsid w:val="00600DCF"/>
    <w:rsid w:val="00602777"/>
    <w:rsid w:val="00602898"/>
    <w:rsid w:val="006028FC"/>
    <w:rsid w:val="0060375B"/>
    <w:rsid w:val="00603ACB"/>
    <w:rsid w:val="006052DA"/>
    <w:rsid w:val="00605FBB"/>
    <w:rsid w:val="00606E38"/>
    <w:rsid w:val="0060766D"/>
    <w:rsid w:val="00607D21"/>
    <w:rsid w:val="00607DCA"/>
    <w:rsid w:val="006119F1"/>
    <w:rsid w:val="00612179"/>
    <w:rsid w:val="006123D1"/>
    <w:rsid w:val="00612F70"/>
    <w:rsid w:val="006134A0"/>
    <w:rsid w:val="00613A64"/>
    <w:rsid w:val="0061457F"/>
    <w:rsid w:val="00614A0F"/>
    <w:rsid w:val="00614C73"/>
    <w:rsid w:val="00615807"/>
    <w:rsid w:val="00615B9A"/>
    <w:rsid w:val="00615CA8"/>
    <w:rsid w:val="00616DC5"/>
    <w:rsid w:val="006173AD"/>
    <w:rsid w:val="00617CD5"/>
    <w:rsid w:val="00621200"/>
    <w:rsid w:val="006223C8"/>
    <w:rsid w:val="00622F4E"/>
    <w:rsid w:val="006244A2"/>
    <w:rsid w:val="00624AC0"/>
    <w:rsid w:val="00624EEF"/>
    <w:rsid w:val="00627808"/>
    <w:rsid w:val="00633926"/>
    <w:rsid w:val="00633AA3"/>
    <w:rsid w:val="006350DE"/>
    <w:rsid w:val="006365CE"/>
    <w:rsid w:val="00636E51"/>
    <w:rsid w:val="00637195"/>
    <w:rsid w:val="00637E8F"/>
    <w:rsid w:val="006405F6"/>
    <w:rsid w:val="00640E0D"/>
    <w:rsid w:val="00640E1D"/>
    <w:rsid w:val="00642968"/>
    <w:rsid w:val="006431CC"/>
    <w:rsid w:val="006432F3"/>
    <w:rsid w:val="006447D0"/>
    <w:rsid w:val="00644920"/>
    <w:rsid w:val="00644D07"/>
    <w:rsid w:val="00644D49"/>
    <w:rsid w:val="00645E79"/>
    <w:rsid w:val="0064600E"/>
    <w:rsid w:val="00646350"/>
    <w:rsid w:val="0064643D"/>
    <w:rsid w:val="00646A09"/>
    <w:rsid w:val="00646F75"/>
    <w:rsid w:val="00647061"/>
    <w:rsid w:val="00647373"/>
    <w:rsid w:val="006475FD"/>
    <w:rsid w:val="006500F3"/>
    <w:rsid w:val="0065055D"/>
    <w:rsid w:val="00651794"/>
    <w:rsid w:val="0065221C"/>
    <w:rsid w:val="00654070"/>
    <w:rsid w:val="006544A4"/>
    <w:rsid w:val="00655600"/>
    <w:rsid w:val="0065564A"/>
    <w:rsid w:val="00657C63"/>
    <w:rsid w:val="0066148C"/>
    <w:rsid w:val="006622BD"/>
    <w:rsid w:val="00663681"/>
    <w:rsid w:val="00664315"/>
    <w:rsid w:val="00664CD1"/>
    <w:rsid w:val="00666D72"/>
    <w:rsid w:val="00666DB3"/>
    <w:rsid w:val="00670770"/>
    <w:rsid w:val="00670830"/>
    <w:rsid w:val="00670D3F"/>
    <w:rsid w:val="0067127A"/>
    <w:rsid w:val="0067225F"/>
    <w:rsid w:val="00672358"/>
    <w:rsid w:val="0067325E"/>
    <w:rsid w:val="006732CC"/>
    <w:rsid w:val="00675984"/>
    <w:rsid w:val="00675D2F"/>
    <w:rsid w:val="00676579"/>
    <w:rsid w:val="00677117"/>
    <w:rsid w:val="006778BE"/>
    <w:rsid w:val="006803C3"/>
    <w:rsid w:val="0068071B"/>
    <w:rsid w:val="00680900"/>
    <w:rsid w:val="00680BA7"/>
    <w:rsid w:val="006823BA"/>
    <w:rsid w:val="00682B23"/>
    <w:rsid w:val="00682EEB"/>
    <w:rsid w:val="00683B64"/>
    <w:rsid w:val="00683BAC"/>
    <w:rsid w:val="00684421"/>
    <w:rsid w:val="0068535E"/>
    <w:rsid w:val="00685635"/>
    <w:rsid w:val="00686560"/>
    <w:rsid w:val="00687F89"/>
    <w:rsid w:val="006906FF"/>
    <w:rsid w:val="006908BD"/>
    <w:rsid w:val="00691AFE"/>
    <w:rsid w:val="00692A16"/>
    <w:rsid w:val="00692F80"/>
    <w:rsid w:val="0069324B"/>
    <w:rsid w:val="00694231"/>
    <w:rsid w:val="006942E4"/>
    <w:rsid w:val="0069446B"/>
    <w:rsid w:val="006952EB"/>
    <w:rsid w:val="00695A20"/>
    <w:rsid w:val="00695F32"/>
    <w:rsid w:val="006963C7"/>
    <w:rsid w:val="00697AD3"/>
    <w:rsid w:val="006A1139"/>
    <w:rsid w:val="006A19C0"/>
    <w:rsid w:val="006A2726"/>
    <w:rsid w:val="006A2AB2"/>
    <w:rsid w:val="006A2B51"/>
    <w:rsid w:val="006A403E"/>
    <w:rsid w:val="006A484B"/>
    <w:rsid w:val="006A4B87"/>
    <w:rsid w:val="006A4CB3"/>
    <w:rsid w:val="006A550C"/>
    <w:rsid w:val="006A6008"/>
    <w:rsid w:val="006A6A8A"/>
    <w:rsid w:val="006B0673"/>
    <w:rsid w:val="006B10AD"/>
    <w:rsid w:val="006B2176"/>
    <w:rsid w:val="006B2AA1"/>
    <w:rsid w:val="006B4BAE"/>
    <w:rsid w:val="006B557D"/>
    <w:rsid w:val="006B666F"/>
    <w:rsid w:val="006B7487"/>
    <w:rsid w:val="006B74C1"/>
    <w:rsid w:val="006B79CF"/>
    <w:rsid w:val="006C0E7C"/>
    <w:rsid w:val="006C2BB2"/>
    <w:rsid w:val="006C430B"/>
    <w:rsid w:val="006C43E5"/>
    <w:rsid w:val="006C4857"/>
    <w:rsid w:val="006C4B64"/>
    <w:rsid w:val="006C4FD6"/>
    <w:rsid w:val="006C57A3"/>
    <w:rsid w:val="006C70C6"/>
    <w:rsid w:val="006C7832"/>
    <w:rsid w:val="006D0484"/>
    <w:rsid w:val="006D0684"/>
    <w:rsid w:val="006D136C"/>
    <w:rsid w:val="006D1405"/>
    <w:rsid w:val="006D1C90"/>
    <w:rsid w:val="006D23BC"/>
    <w:rsid w:val="006D28CF"/>
    <w:rsid w:val="006D2D65"/>
    <w:rsid w:val="006D3072"/>
    <w:rsid w:val="006D37DD"/>
    <w:rsid w:val="006D3B40"/>
    <w:rsid w:val="006D3D1B"/>
    <w:rsid w:val="006D52FF"/>
    <w:rsid w:val="006D5C6B"/>
    <w:rsid w:val="006D5F41"/>
    <w:rsid w:val="006D6150"/>
    <w:rsid w:val="006D6AA8"/>
    <w:rsid w:val="006D713B"/>
    <w:rsid w:val="006E09D1"/>
    <w:rsid w:val="006E0B55"/>
    <w:rsid w:val="006E0C17"/>
    <w:rsid w:val="006E0F8F"/>
    <w:rsid w:val="006E136E"/>
    <w:rsid w:val="006E1A10"/>
    <w:rsid w:val="006E1B92"/>
    <w:rsid w:val="006E2128"/>
    <w:rsid w:val="006E29DE"/>
    <w:rsid w:val="006E2EAD"/>
    <w:rsid w:val="006E5676"/>
    <w:rsid w:val="006E605F"/>
    <w:rsid w:val="006E7188"/>
    <w:rsid w:val="006E7A6D"/>
    <w:rsid w:val="006F0DE5"/>
    <w:rsid w:val="006F2D62"/>
    <w:rsid w:val="006F2F6E"/>
    <w:rsid w:val="006F3025"/>
    <w:rsid w:val="006F38B1"/>
    <w:rsid w:val="006F3C38"/>
    <w:rsid w:val="006F5DB0"/>
    <w:rsid w:val="006F7444"/>
    <w:rsid w:val="007001C0"/>
    <w:rsid w:val="00703200"/>
    <w:rsid w:val="00703EDB"/>
    <w:rsid w:val="00704703"/>
    <w:rsid w:val="00705870"/>
    <w:rsid w:val="00705BA6"/>
    <w:rsid w:val="00705E41"/>
    <w:rsid w:val="00705E46"/>
    <w:rsid w:val="0070743F"/>
    <w:rsid w:val="00707609"/>
    <w:rsid w:val="0071049A"/>
    <w:rsid w:val="00710BCA"/>
    <w:rsid w:val="0071164A"/>
    <w:rsid w:val="00714971"/>
    <w:rsid w:val="00714A1A"/>
    <w:rsid w:val="00715D5F"/>
    <w:rsid w:val="00717DE4"/>
    <w:rsid w:val="00720131"/>
    <w:rsid w:val="007208D4"/>
    <w:rsid w:val="00720B81"/>
    <w:rsid w:val="00721262"/>
    <w:rsid w:val="0072305E"/>
    <w:rsid w:val="007238C2"/>
    <w:rsid w:val="00723E0E"/>
    <w:rsid w:val="007241A4"/>
    <w:rsid w:val="0072427A"/>
    <w:rsid w:val="0072507B"/>
    <w:rsid w:val="0072542A"/>
    <w:rsid w:val="0072593D"/>
    <w:rsid w:val="007277D9"/>
    <w:rsid w:val="00727931"/>
    <w:rsid w:val="007316F8"/>
    <w:rsid w:val="00731C80"/>
    <w:rsid w:val="00733779"/>
    <w:rsid w:val="00733F13"/>
    <w:rsid w:val="0073430B"/>
    <w:rsid w:val="007348D1"/>
    <w:rsid w:val="00734A4A"/>
    <w:rsid w:val="00735886"/>
    <w:rsid w:val="00735A81"/>
    <w:rsid w:val="00735AB5"/>
    <w:rsid w:val="007374D8"/>
    <w:rsid w:val="00737BDE"/>
    <w:rsid w:val="00737C90"/>
    <w:rsid w:val="007401A1"/>
    <w:rsid w:val="007408D1"/>
    <w:rsid w:val="00740BBD"/>
    <w:rsid w:val="007433FA"/>
    <w:rsid w:val="00743C00"/>
    <w:rsid w:val="007443EC"/>
    <w:rsid w:val="00746A7B"/>
    <w:rsid w:val="00750106"/>
    <w:rsid w:val="007511C2"/>
    <w:rsid w:val="00752BAD"/>
    <w:rsid w:val="007531A0"/>
    <w:rsid w:val="00753417"/>
    <w:rsid w:val="007547D1"/>
    <w:rsid w:val="00754C47"/>
    <w:rsid w:val="00757F98"/>
    <w:rsid w:val="00760783"/>
    <w:rsid w:val="00761312"/>
    <w:rsid w:val="007613AA"/>
    <w:rsid w:val="0076188B"/>
    <w:rsid w:val="007627CD"/>
    <w:rsid w:val="00763EF8"/>
    <w:rsid w:val="007640F7"/>
    <w:rsid w:val="00766985"/>
    <w:rsid w:val="00767247"/>
    <w:rsid w:val="007672CA"/>
    <w:rsid w:val="00767320"/>
    <w:rsid w:val="007676F9"/>
    <w:rsid w:val="00767920"/>
    <w:rsid w:val="00767956"/>
    <w:rsid w:val="007703A6"/>
    <w:rsid w:val="007707D4"/>
    <w:rsid w:val="00770D04"/>
    <w:rsid w:val="007717D3"/>
    <w:rsid w:val="00771A34"/>
    <w:rsid w:val="00773F2A"/>
    <w:rsid w:val="007747E7"/>
    <w:rsid w:val="007759B8"/>
    <w:rsid w:val="00775C46"/>
    <w:rsid w:val="007765D5"/>
    <w:rsid w:val="00776EC9"/>
    <w:rsid w:val="00776F2B"/>
    <w:rsid w:val="0078085F"/>
    <w:rsid w:val="00780A56"/>
    <w:rsid w:val="00780C50"/>
    <w:rsid w:val="00781BF3"/>
    <w:rsid w:val="00782294"/>
    <w:rsid w:val="00782874"/>
    <w:rsid w:val="0078335F"/>
    <w:rsid w:val="00783601"/>
    <w:rsid w:val="00783AB9"/>
    <w:rsid w:val="00784DF6"/>
    <w:rsid w:val="00785ED8"/>
    <w:rsid w:val="00786129"/>
    <w:rsid w:val="00787127"/>
    <w:rsid w:val="00787918"/>
    <w:rsid w:val="00787ED6"/>
    <w:rsid w:val="00790180"/>
    <w:rsid w:val="007907DD"/>
    <w:rsid w:val="00791646"/>
    <w:rsid w:val="0079360C"/>
    <w:rsid w:val="00793EC5"/>
    <w:rsid w:val="007943C8"/>
    <w:rsid w:val="00794499"/>
    <w:rsid w:val="007947B4"/>
    <w:rsid w:val="007949BB"/>
    <w:rsid w:val="00794E56"/>
    <w:rsid w:val="00795F4D"/>
    <w:rsid w:val="00796BD9"/>
    <w:rsid w:val="00796DB4"/>
    <w:rsid w:val="00797B78"/>
    <w:rsid w:val="00797BAE"/>
    <w:rsid w:val="00797D19"/>
    <w:rsid w:val="007A03EC"/>
    <w:rsid w:val="007A1F13"/>
    <w:rsid w:val="007A2505"/>
    <w:rsid w:val="007A2BA0"/>
    <w:rsid w:val="007A2CB2"/>
    <w:rsid w:val="007A346C"/>
    <w:rsid w:val="007A4275"/>
    <w:rsid w:val="007A5F0F"/>
    <w:rsid w:val="007A70A4"/>
    <w:rsid w:val="007A7E01"/>
    <w:rsid w:val="007B101B"/>
    <w:rsid w:val="007B103B"/>
    <w:rsid w:val="007B1064"/>
    <w:rsid w:val="007B131F"/>
    <w:rsid w:val="007B1811"/>
    <w:rsid w:val="007B283C"/>
    <w:rsid w:val="007B2BBA"/>
    <w:rsid w:val="007B3866"/>
    <w:rsid w:val="007B3FB8"/>
    <w:rsid w:val="007B3FFC"/>
    <w:rsid w:val="007B42AF"/>
    <w:rsid w:val="007B563F"/>
    <w:rsid w:val="007B678A"/>
    <w:rsid w:val="007C00F9"/>
    <w:rsid w:val="007C0547"/>
    <w:rsid w:val="007C0778"/>
    <w:rsid w:val="007C0D1B"/>
    <w:rsid w:val="007C4850"/>
    <w:rsid w:val="007C4FBB"/>
    <w:rsid w:val="007C504D"/>
    <w:rsid w:val="007C53F2"/>
    <w:rsid w:val="007C5654"/>
    <w:rsid w:val="007C748D"/>
    <w:rsid w:val="007C7CBD"/>
    <w:rsid w:val="007D0129"/>
    <w:rsid w:val="007D17C3"/>
    <w:rsid w:val="007D298E"/>
    <w:rsid w:val="007D2AD9"/>
    <w:rsid w:val="007D2CFD"/>
    <w:rsid w:val="007D3BE2"/>
    <w:rsid w:val="007D4B58"/>
    <w:rsid w:val="007D560C"/>
    <w:rsid w:val="007D5711"/>
    <w:rsid w:val="007D6676"/>
    <w:rsid w:val="007D6C0D"/>
    <w:rsid w:val="007E07BC"/>
    <w:rsid w:val="007E0EB6"/>
    <w:rsid w:val="007E0F9B"/>
    <w:rsid w:val="007E1B39"/>
    <w:rsid w:val="007E32B7"/>
    <w:rsid w:val="007E451A"/>
    <w:rsid w:val="007E4727"/>
    <w:rsid w:val="007E5465"/>
    <w:rsid w:val="007E55C4"/>
    <w:rsid w:val="007E5B11"/>
    <w:rsid w:val="007E627D"/>
    <w:rsid w:val="007E71F4"/>
    <w:rsid w:val="007F02F2"/>
    <w:rsid w:val="007F032F"/>
    <w:rsid w:val="007F1B96"/>
    <w:rsid w:val="007F1CE5"/>
    <w:rsid w:val="007F1D6A"/>
    <w:rsid w:val="007F3BD2"/>
    <w:rsid w:val="007F3D21"/>
    <w:rsid w:val="007F4ACA"/>
    <w:rsid w:val="007F7104"/>
    <w:rsid w:val="00800EDD"/>
    <w:rsid w:val="00801C31"/>
    <w:rsid w:val="00801FB8"/>
    <w:rsid w:val="0080259E"/>
    <w:rsid w:val="008027FF"/>
    <w:rsid w:val="0080373E"/>
    <w:rsid w:val="008037B8"/>
    <w:rsid w:val="00803EBE"/>
    <w:rsid w:val="0081035B"/>
    <w:rsid w:val="00810C47"/>
    <w:rsid w:val="00811293"/>
    <w:rsid w:val="00811396"/>
    <w:rsid w:val="00811728"/>
    <w:rsid w:val="008117E2"/>
    <w:rsid w:val="00811EA7"/>
    <w:rsid w:val="00813841"/>
    <w:rsid w:val="0081415F"/>
    <w:rsid w:val="008147F6"/>
    <w:rsid w:val="00814EAB"/>
    <w:rsid w:val="00815AB0"/>
    <w:rsid w:val="00815C1B"/>
    <w:rsid w:val="008160DB"/>
    <w:rsid w:val="0081641A"/>
    <w:rsid w:val="00817C47"/>
    <w:rsid w:val="00817D1E"/>
    <w:rsid w:val="008201A5"/>
    <w:rsid w:val="00820301"/>
    <w:rsid w:val="00820568"/>
    <w:rsid w:val="008207E7"/>
    <w:rsid w:val="0082082D"/>
    <w:rsid w:val="00821F25"/>
    <w:rsid w:val="008223A2"/>
    <w:rsid w:val="008227B5"/>
    <w:rsid w:val="008239EB"/>
    <w:rsid w:val="00823EC6"/>
    <w:rsid w:val="008243BF"/>
    <w:rsid w:val="008247A9"/>
    <w:rsid w:val="00825570"/>
    <w:rsid w:val="0082579A"/>
    <w:rsid w:val="00825C77"/>
    <w:rsid w:val="00825F59"/>
    <w:rsid w:val="00826426"/>
    <w:rsid w:val="00827179"/>
    <w:rsid w:val="00827434"/>
    <w:rsid w:val="0082775E"/>
    <w:rsid w:val="008277B9"/>
    <w:rsid w:val="00830A2D"/>
    <w:rsid w:val="00830DB1"/>
    <w:rsid w:val="00831C3A"/>
    <w:rsid w:val="00831F26"/>
    <w:rsid w:val="008342DA"/>
    <w:rsid w:val="0083483A"/>
    <w:rsid w:val="008350F2"/>
    <w:rsid w:val="0083523C"/>
    <w:rsid w:val="008354C1"/>
    <w:rsid w:val="008358A5"/>
    <w:rsid w:val="00836085"/>
    <w:rsid w:val="0083713D"/>
    <w:rsid w:val="00837229"/>
    <w:rsid w:val="0083727A"/>
    <w:rsid w:val="0083788E"/>
    <w:rsid w:val="00840239"/>
    <w:rsid w:val="0084048D"/>
    <w:rsid w:val="0084093B"/>
    <w:rsid w:val="00840A5E"/>
    <w:rsid w:val="00840F79"/>
    <w:rsid w:val="00840FC5"/>
    <w:rsid w:val="00842029"/>
    <w:rsid w:val="008423A3"/>
    <w:rsid w:val="00843075"/>
    <w:rsid w:val="00843162"/>
    <w:rsid w:val="008441E2"/>
    <w:rsid w:val="00844D27"/>
    <w:rsid w:val="00844F11"/>
    <w:rsid w:val="008464EB"/>
    <w:rsid w:val="008470F4"/>
    <w:rsid w:val="00847597"/>
    <w:rsid w:val="00847FB2"/>
    <w:rsid w:val="0085042C"/>
    <w:rsid w:val="0085185F"/>
    <w:rsid w:val="008518DC"/>
    <w:rsid w:val="00851BE1"/>
    <w:rsid w:val="0085287F"/>
    <w:rsid w:val="00854AA1"/>
    <w:rsid w:val="008559D1"/>
    <w:rsid w:val="00855C9E"/>
    <w:rsid w:val="008565AD"/>
    <w:rsid w:val="00860A60"/>
    <w:rsid w:val="00861443"/>
    <w:rsid w:val="00861CF2"/>
    <w:rsid w:val="00862E8A"/>
    <w:rsid w:val="0086486F"/>
    <w:rsid w:val="00864AE9"/>
    <w:rsid w:val="00864EC3"/>
    <w:rsid w:val="008651FF"/>
    <w:rsid w:val="0086660B"/>
    <w:rsid w:val="00866B73"/>
    <w:rsid w:val="00870842"/>
    <w:rsid w:val="008714FA"/>
    <w:rsid w:val="00871784"/>
    <w:rsid w:val="00871B79"/>
    <w:rsid w:val="008725E9"/>
    <w:rsid w:val="00872643"/>
    <w:rsid w:val="00872661"/>
    <w:rsid w:val="00872992"/>
    <w:rsid w:val="00872ACA"/>
    <w:rsid w:val="00873135"/>
    <w:rsid w:val="0087419D"/>
    <w:rsid w:val="008746C0"/>
    <w:rsid w:val="00874E7C"/>
    <w:rsid w:val="008755E8"/>
    <w:rsid w:val="00876728"/>
    <w:rsid w:val="0087722D"/>
    <w:rsid w:val="008772E6"/>
    <w:rsid w:val="008774B7"/>
    <w:rsid w:val="00877547"/>
    <w:rsid w:val="008777F1"/>
    <w:rsid w:val="00877F79"/>
    <w:rsid w:val="00880471"/>
    <w:rsid w:val="008809C5"/>
    <w:rsid w:val="008821CF"/>
    <w:rsid w:val="00883665"/>
    <w:rsid w:val="008837DD"/>
    <w:rsid w:val="00883BC9"/>
    <w:rsid w:val="00884561"/>
    <w:rsid w:val="0088489B"/>
    <w:rsid w:val="00885C8D"/>
    <w:rsid w:val="00886379"/>
    <w:rsid w:val="00886633"/>
    <w:rsid w:val="00886E0A"/>
    <w:rsid w:val="00887B4E"/>
    <w:rsid w:val="00887F8F"/>
    <w:rsid w:val="00890533"/>
    <w:rsid w:val="00891793"/>
    <w:rsid w:val="00891A91"/>
    <w:rsid w:val="0089207B"/>
    <w:rsid w:val="00892A75"/>
    <w:rsid w:val="008942FF"/>
    <w:rsid w:val="0089528E"/>
    <w:rsid w:val="00895530"/>
    <w:rsid w:val="00896D69"/>
    <w:rsid w:val="00897288"/>
    <w:rsid w:val="00897B7A"/>
    <w:rsid w:val="00897C30"/>
    <w:rsid w:val="00897E8B"/>
    <w:rsid w:val="008A0513"/>
    <w:rsid w:val="008A06A6"/>
    <w:rsid w:val="008A17F4"/>
    <w:rsid w:val="008A281E"/>
    <w:rsid w:val="008A29C2"/>
    <w:rsid w:val="008A46FC"/>
    <w:rsid w:val="008A4885"/>
    <w:rsid w:val="008A50F7"/>
    <w:rsid w:val="008A5100"/>
    <w:rsid w:val="008A51EE"/>
    <w:rsid w:val="008A69CF"/>
    <w:rsid w:val="008A7AEB"/>
    <w:rsid w:val="008A7C68"/>
    <w:rsid w:val="008A7E58"/>
    <w:rsid w:val="008A7F4B"/>
    <w:rsid w:val="008B08A1"/>
    <w:rsid w:val="008B0D2C"/>
    <w:rsid w:val="008B15E9"/>
    <w:rsid w:val="008B1B12"/>
    <w:rsid w:val="008B1EBE"/>
    <w:rsid w:val="008B2AAE"/>
    <w:rsid w:val="008B501B"/>
    <w:rsid w:val="008B530F"/>
    <w:rsid w:val="008B5AB8"/>
    <w:rsid w:val="008B6060"/>
    <w:rsid w:val="008B6512"/>
    <w:rsid w:val="008B725E"/>
    <w:rsid w:val="008B76A2"/>
    <w:rsid w:val="008B7D88"/>
    <w:rsid w:val="008C04BD"/>
    <w:rsid w:val="008C073E"/>
    <w:rsid w:val="008C09F3"/>
    <w:rsid w:val="008C0BF5"/>
    <w:rsid w:val="008C1692"/>
    <w:rsid w:val="008C1C10"/>
    <w:rsid w:val="008C2907"/>
    <w:rsid w:val="008C3189"/>
    <w:rsid w:val="008C36A2"/>
    <w:rsid w:val="008C4095"/>
    <w:rsid w:val="008C4B82"/>
    <w:rsid w:val="008C5799"/>
    <w:rsid w:val="008C5E04"/>
    <w:rsid w:val="008C7671"/>
    <w:rsid w:val="008C7D1F"/>
    <w:rsid w:val="008C7E4C"/>
    <w:rsid w:val="008D06E3"/>
    <w:rsid w:val="008D0908"/>
    <w:rsid w:val="008D15AE"/>
    <w:rsid w:val="008D1C53"/>
    <w:rsid w:val="008D2D06"/>
    <w:rsid w:val="008D314B"/>
    <w:rsid w:val="008D438F"/>
    <w:rsid w:val="008D4498"/>
    <w:rsid w:val="008D56A7"/>
    <w:rsid w:val="008D58A8"/>
    <w:rsid w:val="008D59F0"/>
    <w:rsid w:val="008D6A5B"/>
    <w:rsid w:val="008D6D74"/>
    <w:rsid w:val="008D71E6"/>
    <w:rsid w:val="008D7594"/>
    <w:rsid w:val="008D7989"/>
    <w:rsid w:val="008D7F7E"/>
    <w:rsid w:val="008E0B5F"/>
    <w:rsid w:val="008E131A"/>
    <w:rsid w:val="008E1748"/>
    <w:rsid w:val="008E1D51"/>
    <w:rsid w:val="008E1F2C"/>
    <w:rsid w:val="008E2ACA"/>
    <w:rsid w:val="008E3752"/>
    <w:rsid w:val="008E3A49"/>
    <w:rsid w:val="008E3E05"/>
    <w:rsid w:val="008E461A"/>
    <w:rsid w:val="008E4744"/>
    <w:rsid w:val="008E4D06"/>
    <w:rsid w:val="008E51BE"/>
    <w:rsid w:val="008E5CBC"/>
    <w:rsid w:val="008E69A3"/>
    <w:rsid w:val="008E7B83"/>
    <w:rsid w:val="008F0904"/>
    <w:rsid w:val="008F236C"/>
    <w:rsid w:val="008F2CCB"/>
    <w:rsid w:val="008F3F80"/>
    <w:rsid w:val="008F4F29"/>
    <w:rsid w:val="008F53CB"/>
    <w:rsid w:val="008F5906"/>
    <w:rsid w:val="008F6250"/>
    <w:rsid w:val="008F6C31"/>
    <w:rsid w:val="008F79BD"/>
    <w:rsid w:val="00900F62"/>
    <w:rsid w:val="00901D31"/>
    <w:rsid w:val="0090217D"/>
    <w:rsid w:val="00902B64"/>
    <w:rsid w:val="00902EF0"/>
    <w:rsid w:val="0090383E"/>
    <w:rsid w:val="00903F37"/>
    <w:rsid w:val="009057EF"/>
    <w:rsid w:val="00905A58"/>
    <w:rsid w:val="00905E74"/>
    <w:rsid w:val="0090661B"/>
    <w:rsid w:val="00907E43"/>
    <w:rsid w:val="00910068"/>
    <w:rsid w:val="00910233"/>
    <w:rsid w:val="00910952"/>
    <w:rsid w:val="00910BB7"/>
    <w:rsid w:val="0091274A"/>
    <w:rsid w:val="009135CA"/>
    <w:rsid w:val="0091380C"/>
    <w:rsid w:val="00916526"/>
    <w:rsid w:val="00916D4D"/>
    <w:rsid w:val="00917373"/>
    <w:rsid w:val="00917BEE"/>
    <w:rsid w:val="00917EDA"/>
    <w:rsid w:val="00920CE3"/>
    <w:rsid w:val="00921F5F"/>
    <w:rsid w:val="009234EF"/>
    <w:rsid w:val="00925EE5"/>
    <w:rsid w:val="00925FF9"/>
    <w:rsid w:val="00926A63"/>
    <w:rsid w:val="00926B55"/>
    <w:rsid w:val="00927055"/>
    <w:rsid w:val="00931502"/>
    <w:rsid w:val="00931713"/>
    <w:rsid w:val="00931941"/>
    <w:rsid w:val="009324AB"/>
    <w:rsid w:val="0093426C"/>
    <w:rsid w:val="00935282"/>
    <w:rsid w:val="00935825"/>
    <w:rsid w:val="00937BFF"/>
    <w:rsid w:val="00941928"/>
    <w:rsid w:val="00941E75"/>
    <w:rsid w:val="00942639"/>
    <w:rsid w:val="00942F5F"/>
    <w:rsid w:val="00943852"/>
    <w:rsid w:val="00944B3A"/>
    <w:rsid w:val="00946187"/>
    <w:rsid w:val="00946D73"/>
    <w:rsid w:val="009475FF"/>
    <w:rsid w:val="00947A68"/>
    <w:rsid w:val="00950AE3"/>
    <w:rsid w:val="009510D4"/>
    <w:rsid w:val="009511CB"/>
    <w:rsid w:val="009519E1"/>
    <w:rsid w:val="00951E07"/>
    <w:rsid w:val="00951FFD"/>
    <w:rsid w:val="009525BD"/>
    <w:rsid w:val="00952D00"/>
    <w:rsid w:val="00952D1F"/>
    <w:rsid w:val="00952F3E"/>
    <w:rsid w:val="00953284"/>
    <w:rsid w:val="00954ABD"/>
    <w:rsid w:val="00955753"/>
    <w:rsid w:val="0095640A"/>
    <w:rsid w:val="0095647F"/>
    <w:rsid w:val="00956A90"/>
    <w:rsid w:val="009579A3"/>
    <w:rsid w:val="009600CB"/>
    <w:rsid w:val="00960170"/>
    <w:rsid w:val="0096023F"/>
    <w:rsid w:val="00960E8C"/>
    <w:rsid w:val="00962190"/>
    <w:rsid w:val="0096260E"/>
    <w:rsid w:val="00964BC0"/>
    <w:rsid w:val="00964BEB"/>
    <w:rsid w:val="009653AA"/>
    <w:rsid w:val="00965511"/>
    <w:rsid w:val="00965912"/>
    <w:rsid w:val="00965A0D"/>
    <w:rsid w:val="00965AF8"/>
    <w:rsid w:val="00966898"/>
    <w:rsid w:val="00966F79"/>
    <w:rsid w:val="00967087"/>
    <w:rsid w:val="00967B38"/>
    <w:rsid w:val="00970D2C"/>
    <w:rsid w:val="00971398"/>
    <w:rsid w:val="00971FE0"/>
    <w:rsid w:val="00972346"/>
    <w:rsid w:val="0097257A"/>
    <w:rsid w:val="00972F10"/>
    <w:rsid w:val="009732BC"/>
    <w:rsid w:val="00973A6F"/>
    <w:rsid w:val="00973B71"/>
    <w:rsid w:val="009742E0"/>
    <w:rsid w:val="0097441E"/>
    <w:rsid w:val="0097506A"/>
    <w:rsid w:val="00977353"/>
    <w:rsid w:val="0097751E"/>
    <w:rsid w:val="00977840"/>
    <w:rsid w:val="00977AD1"/>
    <w:rsid w:val="00977F28"/>
    <w:rsid w:val="00981777"/>
    <w:rsid w:val="009828B5"/>
    <w:rsid w:val="00985BD4"/>
    <w:rsid w:val="009868DC"/>
    <w:rsid w:val="0098744B"/>
    <w:rsid w:val="0098764C"/>
    <w:rsid w:val="00991013"/>
    <w:rsid w:val="00991412"/>
    <w:rsid w:val="0099303D"/>
    <w:rsid w:val="00993194"/>
    <w:rsid w:val="00995E1C"/>
    <w:rsid w:val="00997020"/>
    <w:rsid w:val="009971D6"/>
    <w:rsid w:val="009976A3"/>
    <w:rsid w:val="00997B2F"/>
    <w:rsid w:val="009A0692"/>
    <w:rsid w:val="009A1A0C"/>
    <w:rsid w:val="009A20BE"/>
    <w:rsid w:val="009A2D6D"/>
    <w:rsid w:val="009A31B4"/>
    <w:rsid w:val="009A4E5C"/>
    <w:rsid w:val="009A4E6A"/>
    <w:rsid w:val="009A6148"/>
    <w:rsid w:val="009A6186"/>
    <w:rsid w:val="009A62B1"/>
    <w:rsid w:val="009A6D32"/>
    <w:rsid w:val="009A6DC0"/>
    <w:rsid w:val="009A79B7"/>
    <w:rsid w:val="009A7D47"/>
    <w:rsid w:val="009B06AC"/>
    <w:rsid w:val="009B07F1"/>
    <w:rsid w:val="009B1182"/>
    <w:rsid w:val="009B11B2"/>
    <w:rsid w:val="009B20A0"/>
    <w:rsid w:val="009B23C5"/>
    <w:rsid w:val="009B2A84"/>
    <w:rsid w:val="009B2F40"/>
    <w:rsid w:val="009B3711"/>
    <w:rsid w:val="009B379C"/>
    <w:rsid w:val="009B42D1"/>
    <w:rsid w:val="009B5C5C"/>
    <w:rsid w:val="009B6413"/>
    <w:rsid w:val="009B6B49"/>
    <w:rsid w:val="009B7844"/>
    <w:rsid w:val="009B7EB5"/>
    <w:rsid w:val="009C143A"/>
    <w:rsid w:val="009C3A00"/>
    <w:rsid w:val="009C3CB1"/>
    <w:rsid w:val="009C3F18"/>
    <w:rsid w:val="009C4D62"/>
    <w:rsid w:val="009C5AEB"/>
    <w:rsid w:val="009C6288"/>
    <w:rsid w:val="009C7D69"/>
    <w:rsid w:val="009D0222"/>
    <w:rsid w:val="009D0513"/>
    <w:rsid w:val="009D098B"/>
    <w:rsid w:val="009D0DEA"/>
    <w:rsid w:val="009D1579"/>
    <w:rsid w:val="009D17C3"/>
    <w:rsid w:val="009D1922"/>
    <w:rsid w:val="009D2141"/>
    <w:rsid w:val="009D21EB"/>
    <w:rsid w:val="009D3E53"/>
    <w:rsid w:val="009D6300"/>
    <w:rsid w:val="009D744F"/>
    <w:rsid w:val="009E0DE6"/>
    <w:rsid w:val="009E2416"/>
    <w:rsid w:val="009E2F43"/>
    <w:rsid w:val="009E4674"/>
    <w:rsid w:val="009E4E39"/>
    <w:rsid w:val="009E5A95"/>
    <w:rsid w:val="009E5AAE"/>
    <w:rsid w:val="009E5D15"/>
    <w:rsid w:val="009E63DC"/>
    <w:rsid w:val="009E67A9"/>
    <w:rsid w:val="009E729B"/>
    <w:rsid w:val="009E77A1"/>
    <w:rsid w:val="009F0019"/>
    <w:rsid w:val="009F146C"/>
    <w:rsid w:val="009F1AD1"/>
    <w:rsid w:val="009F32A4"/>
    <w:rsid w:val="009F3BC2"/>
    <w:rsid w:val="009F5327"/>
    <w:rsid w:val="009F57F2"/>
    <w:rsid w:val="009F67B2"/>
    <w:rsid w:val="009F683A"/>
    <w:rsid w:val="009F6B04"/>
    <w:rsid w:val="009F6E4B"/>
    <w:rsid w:val="009F750C"/>
    <w:rsid w:val="00A004E8"/>
    <w:rsid w:val="00A008E3"/>
    <w:rsid w:val="00A00F0F"/>
    <w:rsid w:val="00A02116"/>
    <w:rsid w:val="00A02D12"/>
    <w:rsid w:val="00A02DB9"/>
    <w:rsid w:val="00A03971"/>
    <w:rsid w:val="00A04131"/>
    <w:rsid w:val="00A04E91"/>
    <w:rsid w:val="00A05FE6"/>
    <w:rsid w:val="00A06171"/>
    <w:rsid w:val="00A0680F"/>
    <w:rsid w:val="00A06BF1"/>
    <w:rsid w:val="00A104AA"/>
    <w:rsid w:val="00A11225"/>
    <w:rsid w:val="00A1165D"/>
    <w:rsid w:val="00A118BC"/>
    <w:rsid w:val="00A121C4"/>
    <w:rsid w:val="00A128A0"/>
    <w:rsid w:val="00A1363E"/>
    <w:rsid w:val="00A13AE7"/>
    <w:rsid w:val="00A13CBD"/>
    <w:rsid w:val="00A1470E"/>
    <w:rsid w:val="00A14A5F"/>
    <w:rsid w:val="00A14D70"/>
    <w:rsid w:val="00A14DA8"/>
    <w:rsid w:val="00A150C6"/>
    <w:rsid w:val="00A209FE"/>
    <w:rsid w:val="00A20E9E"/>
    <w:rsid w:val="00A22913"/>
    <w:rsid w:val="00A22F86"/>
    <w:rsid w:val="00A234D8"/>
    <w:rsid w:val="00A235B2"/>
    <w:rsid w:val="00A24233"/>
    <w:rsid w:val="00A24FC0"/>
    <w:rsid w:val="00A2659A"/>
    <w:rsid w:val="00A266BE"/>
    <w:rsid w:val="00A27D74"/>
    <w:rsid w:val="00A27F54"/>
    <w:rsid w:val="00A30E36"/>
    <w:rsid w:val="00A31B9A"/>
    <w:rsid w:val="00A32243"/>
    <w:rsid w:val="00A327B3"/>
    <w:rsid w:val="00A32941"/>
    <w:rsid w:val="00A33907"/>
    <w:rsid w:val="00A33911"/>
    <w:rsid w:val="00A34CF3"/>
    <w:rsid w:val="00A350C8"/>
    <w:rsid w:val="00A35A81"/>
    <w:rsid w:val="00A36286"/>
    <w:rsid w:val="00A3700E"/>
    <w:rsid w:val="00A377FC"/>
    <w:rsid w:val="00A37E32"/>
    <w:rsid w:val="00A37F7E"/>
    <w:rsid w:val="00A40C56"/>
    <w:rsid w:val="00A40F05"/>
    <w:rsid w:val="00A417AA"/>
    <w:rsid w:val="00A41922"/>
    <w:rsid w:val="00A424D0"/>
    <w:rsid w:val="00A43B30"/>
    <w:rsid w:val="00A44E2A"/>
    <w:rsid w:val="00A44E88"/>
    <w:rsid w:val="00A464F7"/>
    <w:rsid w:val="00A46C42"/>
    <w:rsid w:val="00A470B3"/>
    <w:rsid w:val="00A5067F"/>
    <w:rsid w:val="00A51CA5"/>
    <w:rsid w:val="00A522AE"/>
    <w:rsid w:val="00A524B0"/>
    <w:rsid w:val="00A52EBC"/>
    <w:rsid w:val="00A53138"/>
    <w:rsid w:val="00A532C2"/>
    <w:rsid w:val="00A55221"/>
    <w:rsid w:val="00A55D8A"/>
    <w:rsid w:val="00A57ABE"/>
    <w:rsid w:val="00A6074D"/>
    <w:rsid w:val="00A61574"/>
    <w:rsid w:val="00A6295C"/>
    <w:rsid w:val="00A64D8C"/>
    <w:rsid w:val="00A65A92"/>
    <w:rsid w:val="00A65ACA"/>
    <w:rsid w:val="00A6694E"/>
    <w:rsid w:val="00A70073"/>
    <w:rsid w:val="00A707EE"/>
    <w:rsid w:val="00A70F8D"/>
    <w:rsid w:val="00A714A6"/>
    <w:rsid w:val="00A72FEA"/>
    <w:rsid w:val="00A748D5"/>
    <w:rsid w:val="00A74948"/>
    <w:rsid w:val="00A74C5F"/>
    <w:rsid w:val="00A74F18"/>
    <w:rsid w:val="00A7555F"/>
    <w:rsid w:val="00A75BD0"/>
    <w:rsid w:val="00A76288"/>
    <w:rsid w:val="00A763EE"/>
    <w:rsid w:val="00A76594"/>
    <w:rsid w:val="00A76659"/>
    <w:rsid w:val="00A769CF"/>
    <w:rsid w:val="00A76BE7"/>
    <w:rsid w:val="00A76EE6"/>
    <w:rsid w:val="00A8154F"/>
    <w:rsid w:val="00A8157D"/>
    <w:rsid w:val="00A81B2A"/>
    <w:rsid w:val="00A82B9E"/>
    <w:rsid w:val="00A832E8"/>
    <w:rsid w:val="00A8419E"/>
    <w:rsid w:val="00A849FC"/>
    <w:rsid w:val="00A84DBF"/>
    <w:rsid w:val="00A84DFC"/>
    <w:rsid w:val="00A84E7F"/>
    <w:rsid w:val="00A85D14"/>
    <w:rsid w:val="00A86495"/>
    <w:rsid w:val="00A869D5"/>
    <w:rsid w:val="00A87139"/>
    <w:rsid w:val="00A87E9A"/>
    <w:rsid w:val="00A93B79"/>
    <w:rsid w:val="00A94D90"/>
    <w:rsid w:val="00A95444"/>
    <w:rsid w:val="00A95F82"/>
    <w:rsid w:val="00A9654E"/>
    <w:rsid w:val="00A96570"/>
    <w:rsid w:val="00A97638"/>
    <w:rsid w:val="00A97E63"/>
    <w:rsid w:val="00AA0486"/>
    <w:rsid w:val="00AA12EC"/>
    <w:rsid w:val="00AA194F"/>
    <w:rsid w:val="00AA19C8"/>
    <w:rsid w:val="00AA1AE0"/>
    <w:rsid w:val="00AA2F46"/>
    <w:rsid w:val="00AA41BD"/>
    <w:rsid w:val="00AA47D6"/>
    <w:rsid w:val="00AA5190"/>
    <w:rsid w:val="00AA5646"/>
    <w:rsid w:val="00AA5A2D"/>
    <w:rsid w:val="00AA5D81"/>
    <w:rsid w:val="00AA62A1"/>
    <w:rsid w:val="00AA6657"/>
    <w:rsid w:val="00AB0668"/>
    <w:rsid w:val="00AB1026"/>
    <w:rsid w:val="00AB1209"/>
    <w:rsid w:val="00AB1662"/>
    <w:rsid w:val="00AB28BC"/>
    <w:rsid w:val="00AB316A"/>
    <w:rsid w:val="00AB3E3E"/>
    <w:rsid w:val="00AB42A8"/>
    <w:rsid w:val="00AB48F2"/>
    <w:rsid w:val="00AB4B0C"/>
    <w:rsid w:val="00AB4F5D"/>
    <w:rsid w:val="00AB4F79"/>
    <w:rsid w:val="00AB5336"/>
    <w:rsid w:val="00AB57E4"/>
    <w:rsid w:val="00AB659D"/>
    <w:rsid w:val="00AC09A5"/>
    <w:rsid w:val="00AC0AE5"/>
    <w:rsid w:val="00AC0DC0"/>
    <w:rsid w:val="00AC1392"/>
    <w:rsid w:val="00AC1CF9"/>
    <w:rsid w:val="00AC1E3C"/>
    <w:rsid w:val="00AC2A67"/>
    <w:rsid w:val="00AC2B6B"/>
    <w:rsid w:val="00AC3E1F"/>
    <w:rsid w:val="00AC3FD9"/>
    <w:rsid w:val="00AC4312"/>
    <w:rsid w:val="00AC4A52"/>
    <w:rsid w:val="00AC66DB"/>
    <w:rsid w:val="00AC6B4C"/>
    <w:rsid w:val="00AC7417"/>
    <w:rsid w:val="00AC78F9"/>
    <w:rsid w:val="00AC7CE1"/>
    <w:rsid w:val="00AD079D"/>
    <w:rsid w:val="00AD1230"/>
    <w:rsid w:val="00AD1AC8"/>
    <w:rsid w:val="00AD2754"/>
    <w:rsid w:val="00AD3CC3"/>
    <w:rsid w:val="00AD4893"/>
    <w:rsid w:val="00AD4AD0"/>
    <w:rsid w:val="00AD4F56"/>
    <w:rsid w:val="00AD6307"/>
    <w:rsid w:val="00AD765C"/>
    <w:rsid w:val="00AE0377"/>
    <w:rsid w:val="00AE0C46"/>
    <w:rsid w:val="00AE0CD8"/>
    <w:rsid w:val="00AE0D90"/>
    <w:rsid w:val="00AE1983"/>
    <w:rsid w:val="00AE2265"/>
    <w:rsid w:val="00AE2510"/>
    <w:rsid w:val="00AE28F0"/>
    <w:rsid w:val="00AE3260"/>
    <w:rsid w:val="00AE439E"/>
    <w:rsid w:val="00AE4FD9"/>
    <w:rsid w:val="00AE5976"/>
    <w:rsid w:val="00AE65E1"/>
    <w:rsid w:val="00AE665A"/>
    <w:rsid w:val="00AE66C5"/>
    <w:rsid w:val="00AE7C12"/>
    <w:rsid w:val="00AF04F7"/>
    <w:rsid w:val="00AF0C8C"/>
    <w:rsid w:val="00AF0EBB"/>
    <w:rsid w:val="00AF0FCA"/>
    <w:rsid w:val="00AF160B"/>
    <w:rsid w:val="00AF1AF6"/>
    <w:rsid w:val="00AF1CD4"/>
    <w:rsid w:val="00AF40D7"/>
    <w:rsid w:val="00AF47EE"/>
    <w:rsid w:val="00AF54FB"/>
    <w:rsid w:val="00AF5822"/>
    <w:rsid w:val="00AF66A8"/>
    <w:rsid w:val="00AF672F"/>
    <w:rsid w:val="00AF7C6D"/>
    <w:rsid w:val="00B00A84"/>
    <w:rsid w:val="00B00E0B"/>
    <w:rsid w:val="00B01206"/>
    <w:rsid w:val="00B01AA5"/>
    <w:rsid w:val="00B01BC1"/>
    <w:rsid w:val="00B01C60"/>
    <w:rsid w:val="00B02AC6"/>
    <w:rsid w:val="00B0312A"/>
    <w:rsid w:val="00B036C0"/>
    <w:rsid w:val="00B03738"/>
    <w:rsid w:val="00B03F08"/>
    <w:rsid w:val="00B04B57"/>
    <w:rsid w:val="00B04CDB"/>
    <w:rsid w:val="00B06C43"/>
    <w:rsid w:val="00B10A32"/>
    <w:rsid w:val="00B12757"/>
    <w:rsid w:val="00B14150"/>
    <w:rsid w:val="00B14DAC"/>
    <w:rsid w:val="00B15762"/>
    <w:rsid w:val="00B15ACC"/>
    <w:rsid w:val="00B15BCA"/>
    <w:rsid w:val="00B163BA"/>
    <w:rsid w:val="00B16401"/>
    <w:rsid w:val="00B17CC9"/>
    <w:rsid w:val="00B230C5"/>
    <w:rsid w:val="00B235BD"/>
    <w:rsid w:val="00B23F25"/>
    <w:rsid w:val="00B252EA"/>
    <w:rsid w:val="00B268EF"/>
    <w:rsid w:val="00B26DC2"/>
    <w:rsid w:val="00B3046C"/>
    <w:rsid w:val="00B30946"/>
    <w:rsid w:val="00B31983"/>
    <w:rsid w:val="00B31E02"/>
    <w:rsid w:val="00B32027"/>
    <w:rsid w:val="00B32550"/>
    <w:rsid w:val="00B32B36"/>
    <w:rsid w:val="00B32C07"/>
    <w:rsid w:val="00B333B7"/>
    <w:rsid w:val="00B35DA8"/>
    <w:rsid w:val="00B361BA"/>
    <w:rsid w:val="00B362B7"/>
    <w:rsid w:val="00B36FF8"/>
    <w:rsid w:val="00B417EA"/>
    <w:rsid w:val="00B4195A"/>
    <w:rsid w:val="00B41DB7"/>
    <w:rsid w:val="00B42182"/>
    <w:rsid w:val="00B423BC"/>
    <w:rsid w:val="00B429C3"/>
    <w:rsid w:val="00B43E7D"/>
    <w:rsid w:val="00B44595"/>
    <w:rsid w:val="00B45C20"/>
    <w:rsid w:val="00B45F91"/>
    <w:rsid w:val="00B4606D"/>
    <w:rsid w:val="00B463C0"/>
    <w:rsid w:val="00B46A30"/>
    <w:rsid w:val="00B47B19"/>
    <w:rsid w:val="00B5015A"/>
    <w:rsid w:val="00B50441"/>
    <w:rsid w:val="00B50724"/>
    <w:rsid w:val="00B511DB"/>
    <w:rsid w:val="00B51BB4"/>
    <w:rsid w:val="00B51E4B"/>
    <w:rsid w:val="00B51FBD"/>
    <w:rsid w:val="00B52759"/>
    <w:rsid w:val="00B5288C"/>
    <w:rsid w:val="00B539D4"/>
    <w:rsid w:val="00B53E5D"/>
    <w:rsid w:val="00B53E69"/>
    <w:rsid w:val="00B54634"/>
    <w:rsid w:val="00B55251"/>
    <w:rsid w:val="00B55AFB"/>
    <w:rsid w:val="00B56B26"/>
    <w:rsid w:val="00B57195"/>
    <w:rsid w:val="00B57582"/>
    <w:rsid w:val="00B616F8"/>
    <w:rsid w:val="00B63AA4"/>
    <w:rsid w:val="00B63FCE"/>
    <w:rsid w:val="00B65D6A"/>
    <w:rsid w:val="00B6626B"/>
    <w:rsid w:val="00B668DF"/>
    <w:rsid w:val="00B70230"/>
    <w:rsid w:val="00B7071A"/>
    <w:rsid w:val="00B7113E"/>
    <w:rsid w:val="00B722B0"/>
    <w:rsid w:val="00B72486"/>
    <w:rsid w:val="00B72F0C"/>
    <w:rsid w:val="00B7377B"/>
    <w:rsid w:val="00B73E68"/>
    <w:rsid w:val="00B75958"/>
    <w:rsid w:val="00B76117"/>
    <w:rsid w:val="00B779A5"/>
    <w:rsid w:val="00B80370"/>
    <w:rsid w:val="00B80596"/>
    <w:rsid w:val="00B81C51"/>
    <w:rsid w:val="00B822C7"/>
    <w:rsid w:val="00B8236B"/>
    <w:rsid w:val="00B832BF"/>
    <w:rsid w:val="00B8720F"/>
    <w:rsid w:val="00B8748F"/>
    <w:rsid w:val="00B876D0"/>
    <w:rsid w:val="00B9016A"/>
    <w:rsid w:val="00B9019A"/>
    <w:rsid w:val="00B90364"/>
    <w:rsid w:val="00B916EC"/>
    <w:rsid w:val="00B921CC"/>
    <w:rsid w:val="00B921E0"/>
    <w:rsid w:val="00B924EA"/>
    <w:rsid w:val="00B92D9A"/>
    <w:rsid w:val="00B9352B"/>
    <w:rsid w:val="00B9450A"/>
    <w:rsid w:val="00B94B0C"/>
    <w:rsid w:val="00B95173"/>
    <w:rsid w:val="00B95639"/>
    <w:rsid w:val="00B97693"/>
    <w:rsid w:val="00B9786E"/>
    <w:rsid w:val="00B97BCF"/>
    <w:rsid w:val="00BA0785"/>
    <w:rsid w:val="00BA27B4"/>
    <w:rsid w:val="00BA2E0B"/>
    <w:rsid w:val="00BA3318"/>
    <w:rsid w:val="00BA45D0"/>
    <w:rsid w:val="00BA5C89"/>
    <w:rsid w:val="00BA6B40"/>
    <w:rsid w:val="00BA7247"/>
    <w:rsid w:val="00BA7443"/>
    <w:rsid w:val="00BA7A6F"/>
    <w:rsid w:val="00BA7F6E"/>
    <w:rsid w:val="00BB137C"/>
    <w:rsid w:val="00BB19E2"/>
    <w:rsid w:val="00BB23B0"/>
    <w:rsid w:val="00BB2935"/>
    <w:rsid w:val="00BB3E60"/>
    <w:rsid w:val="00BB4D8A"/>
    <w:rsid w:val="00BB5BF1"/>
    <w:rsid w:val="00BB6924"/>
    <w:rsid w:val="00BB6947"/>
    <w:rsid w:val="00BB6F94"/>
    <w:rsid w:val="00BC00DD"/>
    <w:rsid w:val="00BC15C4"/>
    <w:rsid w:val="00BC4D48"/>
    <w:rsid w:val="00BC4F26"/>
    <w:rsid w:val="00BC597F"/>
    <w:rsid w:val="00BC60B4"/>
    <w:rsid w:val="00BC66FB"/>
    <w:rsid w:val="00BC7736"/>
    <w:rsid w:val="00BC7CA7"/>
    <w:rsid w:val="00BD1B06"/>
    <w:rsid w:val="00BD1F3D"/>
    <w:rsid w:val="00BD2E8C"/>
    <w:rsid w:val="00BD4080"/>
    <w:rsid w:val="00BD5D46"/>
    <w:rsid w:val="00BD6A54"/>
    <w:rsid w:val="00BD7080"/>
    <w:rsid w:val="00BD76B8"/>
    <w:rsid w:val="00BD7978"/>
    <w:rsid w:val="00BD7EAB"/>
    <w:rsid w:val="00BE0377"/>
    <w:rsid w:val="00BE1920"/>
    <w:rsid w:val="00BE1E7C"/>
    <w:rsid w:val="00BE3D45"/>
    <w:rsid w:val="00BE4AB2"/>
    <w:rsid w:val="00BE4BAF"/>
    <w:rsid w:val="00BE55DF"/>
    <w:rsid w:val="00BE5C49"/>
    <w:rsid w:val="00BE667A"/>
    <w:rsid w:val="00BE7862"/>
    <w:rsid w:val="00BE7A6A"/>
    <w:rsid w:val="00BE7AEC"/>
    <w:rsid w:val="00BF110E"/>
    <w:rsid w:val="00BF21CD"/>
    <w:rsid w:val="00BF311D"/>
    <w:rsid w:val="00BF3232"/>
    <w:rsid w:val="00BF34B0"/>
    <w:rsid w:val="00BF521B"/>
    <w:rsid w:val="00BF552A"/>
    <w:rsid w:val="00BF56B4"/>
    <w:rsid w:val="00BF5B9F"/>
    <w:rsid w:val="00BF67D4"/>
    <w:rsid w:val="00C00754"/>
    <w:rsid w:val="00C00CF7"/>
    <w:rsid w:val="00C00F8B"/>
    <w:rsid w:val="00C0205E"/>
    <w:rsid w:val="00C02078"/>
    <w:rsid w:val="00C02E96"/>
    <w:rsid w:val="00C03287"/>
    <w:rsid w:val="00C03742"/>
    <w:rsid w:val="00C04B2E"/>
    <w:rsid w:val="00C062AC"/>
    <w:rsid w:val="00C07EE6"/>
    <w:rsid w:val="00C102BC"/>
    <w:rsid w:val="00C11204"/>
    <w:rsid w:val="00C12064"/>
    <w:rsid w:val="00C12404"/>
    <w:rsid w:val="00C129F0"/>
    <w:rsid w:val="00C12D9F"/>
    <w:rsid w:val="00C14B0F"/>
    <w:rsid w:val="00C14B19"/>
    <w:rsid w:val="00C1603C"/>
    <w:rsid w:val="00C20266"/>
    <w:rsid w:val="00C2058A"/>
    <w:rsid w:val="00C2094E"/>
    <w:rsid w:val="00C213FD"/>
    <w:rsid w:val="00C216E9"/>
    <w:rsid w:val="00C219CB"/>
    <w:rsid w:val="00C22A83"/>
    <w:rsid w:val="00C233DB"/>
    <w:rsid w:val="00C23637"/>
    <w:rsid w:val="00C23B32"/>
    <w:rsid w:val="00C25A08"/>
    <w:rsid w:val="00C30759"/>
    <w:rsid w:val="00C3117D"/>
    <w:rsid w:val="00C32083"/>
    <w:rsid w:val="00C320AC"/>
    <w:rsid w:val="00C3355D"/>
    <w:rsid w:val="00C33D02"/>
    <w:rsid w:val="00C35C29"/>
    <w:rsid w:val="00C366EB"/>
    <w:rsid w:val="00C4021D"/>
    <w:rsid w:val="00C40831"/>
    <w:rsid w:val="00C40C8A"/>
    <w:rsid w:val="00C417C0"/>
    <w:rsid w:val="00C41BCB"/>
    <w:rsid w:val="00C41C8A"/>
    <w:rsid w:val="00C42414"/>
    <w:rsid w:val="00C42FE4"/>
    <w:rsid w:val="00C44B23"/>
    <w:rsid w:val="00C457C4"/>
    <w:rsid w:val="00C4583F"/>
    <w:rsid w:val="00C45953"/>
    <w:rsid w:val="00C46D1D"/>
    <w:rsid w:val="00C476CF"/>
    <w:rsid w:val="00C47866"/>
    <w:rsid w:val="00C50DAC"/>
    <w:rsid w:val="00C510D4"/>
    <w:rsid w:val="00C51247"/>
    <w:rsid w:val="00C51804"/>
    <w:rsid w:val="00C5365E"/>
    <w:rsid w:val="00C53745"/>
    <w:rsid w:val="00C54662"/>
    <w:rsid w:val="00C548E2"/>
    <w:rsid w:val="00C5569E"/>
    <w:rsid w:val="00C55729"/>
    <w:rsid w:val="00C557B3"/>
    <w:rsid w:val="00C56116"/>
    <w:rsid w:val="00C56164"/>
    <w:rsid w:val="00C56328"/>
    <w:rsid w:val="00C57333"/>
    <w:rsid w:val="00C612B9"/>
    <w:rsid w:val="00C614B3"/>
    <w:rsid w:val="00C621E4"/>
    <w:rsid w:val="00C62445"/>
    <w:rsid w:val="00C63B88"/>
    <w:rsid w:val="00C63F87"/>
    <w:rsid w:val="00C64775"/>
    <w:rsid w:val="00C658B1"/>
    <w:rsid w:val="00C673A1"/>
    <w:rsid w:val="00C70D73"/>
    <w:rsid w:val="00C70E05"/>
    <w:rsid w:val="00C710EE"/>
    <w:rsid w:val="00C71494"/>
    <w:rsid w:val="00C72600"/>
    <w:rsid w:val="00C72BFB"/>
    <w:rsid w:val="00C74404"/>
    <w:rsid w:val="00C74E1C"/>
    <w:rsid w:val="00C75491"/>
    <w:rsid w:val="00C7609A"/>
    <w:rsid w:val="00C76848"/>
    <w:rsid w:val="00C76D91"/>
    <w:rsid w:val="00C77E44"/>
    <w:rsid w:val="00C8079E"/>
    <w:rsid w:val="00C81F2C"/>
    <w:rsid w:val="00C82835"/>
    <w:rsid w:val="00C82F12"/>
    <w:rsid w:val="00C835D7"/>
    <w:rsid w:val="00C8373A"/>
    <w:rsid w:val="00C84121"/>
    <w:rsid w:val="00C847D0"/>
    <w:rsid w:val="00C860BE"/>
    <w:rsid w:val="00C879A8"/>
    <w:rsid w:val="00C9055F"/>
    <w:rsid w:val="00C90997"/>
    <w:rsid w:val="00C90BE4"/>
    <w:rsid w:val="00C9182C"/>
    <w:rsid w:val="00C919CE"/>
    <w:rsid w:val="00C922A8"/>
    <w:rsid w:val="00C94B14"/>
    <w:rsid w:val="00C956A2"/>
    <w:rsid w:val="00C9720F"/>
    <w:rsid w:val="00C97384"/>
    <w:rsid w:val="00C97D6E"/>
    <w:rsid w:val="00CA1133"/>
    <w:rsid w:val="00CA1F62"/>
    <w:rsid w:val="00CA208E"/>
    <w:rsid w:val="00CA21EF"/>
    <w:rsid w:val="00CA232D"/>
    <w:rsid w:val="00CA2374"/>
    <w:rsid w:val="00CA2A1E"/>
    <w:rsid w:val="00CA2BFB"/>
    <w:rsid w:val="00CA588B"/>
    <w:rsid w:val="00CA58EA"/>
    <w:rsid w:val="00CA5D74"/>
    <w:rsid w:val="00CA651A"/>
    <w:rsid w:val="00CA6DED"/>
    <w:rsid w:val="00CA6ED1"/>
    <w:rsid w:val="00CB02E8"/>
    <w:rsid w:val="00CB0A35"/>
    <w:rsid w:val="00CB0B5D"/>
    <w:rsid w:val="00CB1CAF"/>
    <w:rsid w:val="00CB2480"/>
    <w:rsid w:val="00CB29A2"/>
    <w:rsid w:val="00CB2AA2"/>
    <w:rsid w:val="00CB305E"/>
    <w:rsid w:val="00CB34FA"/>
    <w:rsid w:val="00CB3526"/>
    <w:rsid w:val="00CB405A"/>
    <w:rsid w:val="00CB4A13"/>
    <w:rsid w:val="00CB55F7"/>
    <w:rsid w:val="00CB5BC0"/>
    <w:rsid w:val="00CB6801"/>
    <w:rsid w:val="00CB6930"/>
    <w:rsid w:val="00CB7AD5"/>
    <w:rsid w:val="00CB7D08"/>
    <w:rsid w:val="00CB7D0E"/>
    <w:rsid w:val="00CC035A"/>
    <w:rsid w:val="00CC153B"/>
    <w:rsid w:val="00CC175F"/>
    <w:rsid w:val="00CC1F58"/>
    <w:rsid w:val="00CC25E6"/>
    <w:rsid w:val="00CC2BF5"/>
    <w:rsid w:val="00CC4591"/>
    <w:rsid w:val="00CC4788"/>
    <w:rsid w:val="00CC4C8F"/>
    <w:rsid w:val="00CC5256"/>
    <w:rsid w:val="00CC5BF1"/>
    <w:rsid w:val="00CC7255"/>
    <w:rsid w:val="00CC79EB"/>
    <w:rsid w:val="00CD135B"/>
    <w:rsid w:val="00CD1560"/>
    <w:rsid w:val="00CD2306"/>
    <w:rsid w:val="00CD2494"/>
    <w:rsid w:val="00CD255F"/>
    <w:rsid w:val="00CD2B90"/>
    <w:rsid w:val="00CD2EAD"/>
    <w:rsid w:val="00CD3310"/>
    <w:rsid w:val="00CD35F2"/>
    <w:rsid w:val="00CD53DE"/>
    <w:rsid w:val="00CD5426"/>
    <w:rsid w:val="00CD5943"/>
    <w:rsid w:val="00CD5967"/>
    <w:rsid w:val="00CD6EE9"/>
    <w:rsid w:val="00CD72B0"/>
    <w:rsid w:val="00CD7977"/>
    <w:rsid w:val="00CD7A5C"/>
    <w:rsid w:val="00CD7EEE"/>
    <w:rsid w:val="00CE0F16"/>
    <w:rsid w:val="00CE2D2D"/>
    <w:rsid w:val="00CE2FEE"/>
    <w:rsid w:val="00CE32CD"/>
    <w:rsid w:val="00CE37E2"/>
    <w:rsid w:val="00CE3E3C"/>
    <w:rsid w:val="00CE4075"/>
    <w:rsid w:val="00CE4199"/>
    <w:rsid w:val="00CE5755"/>
    <w:rsid w:val="00CE6AAE"/>
    <w:rsid w:val="00CE6D19"/>
    <w:rsid w:val="00CE77E0"/>
    <w:rsid w:val="00CF07AC"/>
    <w:rsid w:val="00CF07EA"/>
    <w:rsid w:val="00CF19D6"/>
    <w:rsid w:val="00CF3103"/>
    <w:rsid w:val="00CF3169"/>
    <w:rsid w:val="00CF51EA"/>
    <w:rsid w:val="00CF52FC"/>
    <w:rsid w:val="00CF584B"/>
    <w:rsid w:val="00CF6901"/>
    <w:rsid w:val="00CF7EF0"/>
    <w:rsid w:val="00D00608"/>
    <w:rsid w:val="00D00E7C"/>
    <w:rsid w:val="00D00F48"/>
    <w:rsid w:val="00D01841"/>
    <w:rsid w:val="00D0196D"/>
    <w:rsid w:val="00D0203F"/>
    <w:rsid w:val="00D02959"/>
    <w:rsid w:val="00D03718"/>
    <w:rsid w:val="00D04CF4"/>
    <w:rsid w:val="00D053C9"/>
    <w:rsid w:val="00D05769"/>
    <w:rsid w:val="00D059FD"/>
    <w:rsid w:val="00D05AEE"/>
    <w:rsid w:val="00D06255"/>
    <w:rsid w:val="00D063B2"/>
    <w:rsid w:val="00D06F95"/>
    <w:rsid w:val="00D075A3"/>
    <w:rsid w:val="00D076ED"/>
    <w:rsid w:val="00D100FF"/>
    <w:rsid w:val="00D10568"/>
    <w:rsid w:val="00D11CB7"/>
    <w:rsid w:val="00D1281C"/>
    <w:rsid w:val="00D129CF"/>
    <w:rsid w:val="00D1430A"/>
    <w:rsid w:val="00D14470"/>
    <w:rsid w:val="00D154C4"/>
    <w:rsid w:val="00D1681A"/>
    <w:rsid w:val="00D20D26"/>
    <w:rsid w:val="00D2171E"/>
    <w:rsid w:val="00D21E55"/>
    <w:rsid w:val="00D225A6"/>
    <w:rsid w:val="00D22C91"/>
    <w:rsid w:val="00D23BA8"/>
    <w:rsid w:val="00D257CC"/>
    <w:rsid w:val="00D25CF2"/>
    <w:rsid w:val="00D30116"/>
    <w:rsid w:val="00D31013"/>
    <w:rsid w:val="00D312C9"/>
    <w:rsid w:val="00D31531"/>
    <w:rsid w:val="00D31D7E"/>
    <w:rsid w:val="00D3202C"/>
    <w:rsid w:val="00D3302C"/>
    <w:rsid w:val="00D3342C"/>
    <w:rsid w:val="00D33C68"/>
    <w:rsid w:val="00D33F02"/>
    <w:rsid w:val="00D33F64"/>
    <w:rsid w:val="00D34E79"/>
    <w:rsid w:val="00D34F6F"/>
    <w:rsid w:val="00D359A6"/>
    <w:rsid w:val="00D37D55"/>
    <w:rsid w:val="00D37FCC"/>
    <w:rsid w:val="00D40437"/>
    <w:rsid w:val="00D409B3"/>
    <w:rsid w:val="00D40BCA"/>
    <w:rsid w:val="00D428F3"/>
    <w:rsid w:val="00D433F0"/>
    <w:rsid w:val="00D4390C"/>
    <w:rsid w:val="00D43930"/>
    <w:rsid w:val="00D44115"/>
    <w:rsid w:val="00D44707"/>
    <w:rsid w:val="00D44EA2"/>
    <w:rsid w:val="00D4547C"/>
    <w:rsid w:val="00D45B31"/>
    <w:rsid w:val="00D46632"/>
    <w:rsid w:val="00D4676A"/>
    <w:rsid w:val="00D471B7"/>
    <w:rsid w:val="00D47211"/>
    <w:rsid w:val="00D476A9"/>
    <w:rsid w:val="00D501F9"/>
    <w:rsid w:val="00D505F7"/>
    <w:rsid w:val="00D516F0"/>
    <w:rsid w:val="00D51F59"/>
    <w:rsid w:val="00D52D4E"/>
    <w:rsid w:val="00D52FDB"/>
    <w:rsid w:val="00D530FE"/>
    <w:rsid w:val="00D535B1"/>
    <w:rsid w:val="00D55B36"/>
    <w:rsid w:val="00D56589"/>
    <w:rsid w:val="00D60D45"/>
    <w:rsid w:val="00D61723"/>
    <w:rsid w:val="00D61ABA"/>
    <w:rsid w:val="00D61DC7"/>
    <w:rsid w:val="00D6266B"/>
    <w:rsid w:val="00D62D77"/>
    <w:rsid w:val="00D62E28"/>
    <w:rsid w:val="00D63E4D"/>
    <w:rsid w:val="00D64B41"/>
    <w:rsid w:val="00D64EE6"/>
    <w:rsid w:val="00D65A67"/>
    <w:rsid w:val="00D65F57"/>
    <w:rsid w:val="00D66390"/>
    <w:rsid w:val="00D67705"/>
    <w:rsid w:val="00D706D7"/>
    <w:rsid w:val="00D71D27"/>
    <w:rsid w:val="00D72FD3"/>
    <w:rsid w:val="00D73574"/>
    <w:rsid w:val="00D74121"/>
    <w:rsid w:val="00D75142"/>
    <w:rsid w:val="00D753CA"/>
    <w:rsid w:val="00D7582E"/>
    <w:rsid w:val="00D75859"/>
    <w:rsid w:val="00D769FB"/>
    <w:rsid w:val="00D77026"/>
    <w:rsid w:val="00D774A9"/>
    <w:rsid w:val="00D8228F"/>
    <w:rsid w:val="00D83C42"/>
    <w:rsid w:val="00D840FA"/>
    <w:rsid w:val="00D84AEA"/>
    <w:rsid w:val="00D85B88"/>
    <w:rsid w:val="00D86728"/>
    <w:rsid w:val="00D868D3"/>
    <w:rsid w:val="00D86A49"/>
    <w:rsid w:val="00D86C41"/>
    <w:rsid w:val="00D911C2"/>
    <w:rsid w:val="00D913AE"/>
    <w:rsid w:val="00D91D36"/>
    <w:rsid w:val="00D92E7D"/>
    <w:rsid w:val="00D931BF"/>
    <w:rsid w:val="00D93CC4"/>
    <w:rsid w:val="00D942D0"/>
    <w:rsid w:val="00D9437C"/>
    <w:rsid w:val="00D96132"/>
    <w:rsid w:val="00D9684A"/>
    <w:rsid w:val="00D96D17"/>
    <w:rsid w:val="00DA2464"/>
    <w:rsid w:val="00DA29EA"/>
    <w:rsid w:val="00DA35AD"/>
    <w:rsid w:val="00DA4621"/>
    <w:rsid w:val="00DA4BE6"/>
    <w:rsid w:val="00DA4FE4"/>
    <w:rsid w:val="00DB081D"/>
    <w:rsid w:val="00DB0B00"/>
    <w:rsid w:val="00DB15E4"/>
    <w:rsid w:val="00DB1E34"/>
    <w:rsid w:val="00DB2928"/>
    <w:rsid w:val="00DB36FA"/>
    <w:rsid w:val="00DB38CB"/>
    <w:rsid w:val="00DB3B46"/>
    <w:rsid w:val="00DB403B"/>
    <w:rsid w:val="00DB41C8"/>
    <w:rsid w:val="00DB4426"/>
    <w:rsid w:val="00DB4A63"/>
    <w:rsid w:val="00DB582F"/>
    <w:rsid w:val="00DB64C1"/>
    <w:rsid w:val="00DB7639"/>
    <w:rsid w:val="00DB7A4D"/>
    <w:rsid w:val="00DC0982"/>
    <w:rsid w:val="00DC15F8"/>
    <w:rsid w:val="00DC169D"/>
    <w:rsid w:val="00DC1D16"/>
    <w:rsid w:val="00DC1D26"/>
    <w:rsid w:val="00DC23B4"/>
    <w:rsid w:val="00DC2AA3"/>
    <w:rsid w:val="00DC34A9"/>
    <w:rsid w:val="00DC3A82"/>
    <w:rsid w:val="00DC3DD4"/>
    <w:rsid w:val="00DC47FA"/>
    <w:rsid w:val="00DC4CEA"/>
    <w:rsid w:val="00DC559F"/>
    <w:rsid w:val="00DC6579"/>
    <w:rsid w:val="00DC6F0F"/>
    <w:rsid w:val="00DC70E9"/>
    <w:rsid w:val="00DC7999"/>
    <w:rsid w:val="00DC7C64"/>
    <w:rsid w:val="00DD02F0"/>
    <w:rsid w:val="00DD16A5"/>
    <w:rsid w:val="00DD1F4D"/>
    <w:rsid w:val="00DD233A"/>
    <w:rsid w:val="00DD26A5"/>
    <w:rsid w:val="00DD3903"/>
    <w:rsid w:val="00DD4E5F"/>
    <w:rsid w:val="00DD5852"/>
    <w:rsid w:val="00DD6A14"/>
    <w:rsid w:val="00DE0226"/>
    <w:rsid w:val="00DE0521"/>
    <w:rsid w:val="00DE121F"/>
    <w:rsid w:val="00DE1383"/>
    <w:rsid w:val="00DE2B0E"/>
    <w:rsid w:val="00DE34DC"/>
    <w:rsid w:val="00DE58EA"/>
    <w:rsid w:val="00DE7B78"/>
    <w:rsid w:val="00DF1661"/>
    <w:rsid w:val="00DF1B52"/>
    <w:rsid w:val="00DF22F1"/>
    <w:rsid w:val="00DF5203"/>
    <w:rsid w:val="00DF596D"/>
    <w:rsid w:val="00DF5A92"/>
    <w:rsid w:val="00DF5E56"/>
    <w:rsid w:val="00DF7231"/>
    <w:rsid w:val="00DF76F6"/>
    <w:rsid w:val="00E002F5"/>
    <w:rsid w:val="00E01E35"/>
    <w:rsid w:val="00E022FE"/>
    <w:rsid w:val="00E03ACF"/>
    <w:rsid w:val="00E05231"/>
    <w:rsid w:val="00E06C0F"/>
    <w:rsid w:val="00E07920"/>
    <w:rsid w:val="00E100E3"/>
    <w:rsid w:val="00E1028B"/>
    <w:rsid w:val="00E102A6"/>
    <w:rsid w:val="00E1292B"/>
    <w:rsid w:val="00E132DE"/>
    <w:rsid w:val="00E13494"/>
    <w:rsid w:val="00E13EFD"/>
    <w:rsid w:val="00E1463B"/>
    <w:rsid w:val="00E15E9C"/>
    <w:rsid w:val="00E16906"/>
    <w:rsid w:val="00E16BB6"/>
    <w:rsid w:val="00E17FC1"/>
    <w:rsid w:val="00E200C4"/>
    <w:rsid w:val="00E2058C"/>
    <w:rsid w:val="00E20894"/>
    <w:rsid w:val="00E2142A"/>
    <w:rsid w:val="00E23AC5"/>
    <w:rsid w:val="00E24899"/>
    <w:rsid w:val="00E24F85"/>
    <w:rsid w:val="00E25255"/>
    <w:rsid w:val="00E25738"/>
    <w:rsid w:val="00E26665"/>
    <w:rsid w:val="00E30230"/>
    <w:rsid w:val="00E30265"/>
    <w:rsid w:val="00E30BFF"/>
    <w:rsid w:val="00E3151F"/>
    <w:rsid w:val="00E31E09"/>
    <w:rsid w:val="00E32BEC"/>
    <w:rsid w:val="00E32F00"/>
    <w:rsid w:val="00E331A4"/>
    <w:rsid w:val="00E345F2"/>
    <w:rsid w:val="00E34A90"/>
    <w:rsid w:val="00E34D60"/>
    <w:rsid w:val="00E35D94"/>
    <w:rsid w:val="00E35E4B"/>
    <w:rsid w:val="00E36145"/>
    <w:rsid w:val="00E36C65"/>
    <w:rsid w:val="00E36C8F"/>
    <w:rsid w:val="00E36FBC"/>
    <w:rsid w:val="00E43834"/>
    <w:rsid w:val="00E439E5"/>
    <w:rsid w:val="00E445F4"/>
    <w:rsid w:val="00E44890"/>
    <w:rsid w:val="00E44FD5"/>
    <w:rsid w:val="00E45203"/>
    <w:rsid w:val="00E45BDE"/>
    <w:rsid w:val="00E45D8C"/>
    <w:rsid w:val="00E45E3A"/>
    <w:rsid w:val="00E513C2"/>
    <w:rsid w:val="00E51BC8"/>
    <w:rsid w:val="00E51CD7"/>
    <w:rsid w:val="00E52877"/>
    <w:rsid w:val="00E529C9"/>
    <w:rsid w:val="00E52EC8"/>
    <w:rsid w:val="00E53938"/>
    <w:rsid w:val="00E53BBE"/>
    <w:rsid w:val="00E53D17"/>
    <w:rsid w:val="00E56485"/>
    <w:rsid w:val="00E57047"/>
    <w:rsid w:val="00E5798F"/>
    <w:rsid w:val="00E60AEB"/>
    <w:rsid w:val="00E60FDD"/>
    <w:rsid w:val="00E62327"/>
    <w:rsid w:val="00E62913"/>
    <w:rsid w:val="00E62A83"/>
    <w:rsid w:val="00E62F97"/>
    <w:rsid w:val="00E63BF6"/>
    <w:rsid w:val="00E64A7B"/>
    <w:rsid w:val="00E64B74"/>
    <w:rsid w:val="00E65C08"/>
    <w:rsid w:val="00E67C11"/>
    <w:rsid w:val="00E67DBA"/>
    <w:rsid w:val="00E706EA"/>
    <w:rsid w:val="00E7254F"/>
    <w:rsid w:val="00E72EAA"/>
    <w:rsid w:val="00E734EB"/>
    <w:rsid w:val="00E736CF"/>
    <w:rsid w:val="00E73887"/>
    <w:rsid w:val="00E739A8"/>
    <w:rsid w:val="00E73EC9"/>
    <w:rsid w:val="00E74FF4"/>
    <w:rsid w:val="00E7541C"/>
    <w:rsid w:val="00E76632"/>
    <w:rsid w:val="00E768EB"/>
    <w:rsid w:val="00E76FA8"/>
    <w:rsid w:val="00E77180"/>
    <w:rsid w:val="00E77434"/>
    <w:rsid w:val="00E77776"/>
    <w:rsid w:val="00E77EE2"/>
    <w:rsid w:val="00E8055E"/>
    <w:rsid w:val="00E80A2A"/>
    <w:rsid w:val="00E80A32"/>
    <w:rsid w:val="00E81D61"/>
    <w:rsid w:val="00E82499"/>
    <w:rsid w:val="00E82504"/>
    <w:rsid w:val="00E8422B"/>
    <w:rsid w:val="00E8468F"/>
    <w:rsid w:val="00E86A67"/>
    <w:rsid w:val="00E87AC5"/>
    <w:rsid w:val="00E90E50"/>
    <w:rsid w:val="00E91ABA"/>
    <w:rsid w:val="00E92FCF"/>
    <w:rsid w:val="00E930AA"/>
    <w:rsid w:val="00E934B9"/>
    <w:rsid w:val="00E945B9"/>
    <w:rsid w:val="00E949F5"/>
    <w:rsid w:val="00E94F86"/>
    <w:rsid w:val="00E961F2"/>
    <w:rsid w:val="00E96CC8"/>
    <w:rsid w:val="00EA1104"/>
    <w:rsid w:val="00EA152E"/>
    <w:rsid w:val="00EA1B87"/>
    <w:rsid w:val="00EA27F0"/>
    <w:rsid w:val="00EA2CB2"/>
    <w:rsid w:val="00EA4048"/>
    <w:rsid w:val="00EA4305"/>
    <w:rsid w:val="00EA43D0"/>
    <w:rsid w:val="00EA506C"/>
    <w:rsid w:val="00EA5126"/>
    <w:rsid w:val="00EA52F2"/>
    <w:rsid w:val="00EA5891"/>
    <w:rsid w:val="00EA5C7F"/>
    <w:rsid w:val="00EA5ECB"/>
    <w:rsid w:val="00EB1C7A"/>
    <w:rsid w:val="00EB1D42"/>
    <w:rsid w:val="00EB26FE"/>
    <w:rsid w:val="00EB3157"/>
    <w:rsid w:val="00EB3E18"/>
    <w:rsid w:val="00EB4BB9"/>
    <w:rsid w:val="00EB5A48"/>
    <w:rsid w:val="00EB687C"/>
    <w:rsid w:val="00EC0FD8"/>
    <w:rsid w:val="00EC1525"/>
    <w:rsid w:val="00EC2907"/>
    <w:rsid w:val="00EC479F"/>
    <w:rsid w:val="00EC4C72"/>
    <w:rsid w:val="00EC4D30"/>
    <w:rsid w:val="00EC542A"/>
    <w:rsid w:val="00EC6220"/>
    <w:rsid w:val="00EC6AD3"/>
    <w:rsid w:val="00EC7659"/>
    <w:rsid w:val="00EC7A3C"/>
    <w:rsid w:val="00EC7B7C"/>
    <w:rsid w:val="00EC7FF9"/>
    <w:rsid w:val="00ED09E2"/>
    <w:rsid w:val="00ED0B80"/>
    <w:rsid w:val="00ED0EE6"/>
    <w:rsid w:val="00ED1049"/>
    <w:rsid w:val="00ED1593"/>
    <w:rsid w:val="00ED1BD0"/>
    <w:rsid w:val="00ED3154"/>
    <w:rsid w:val="00ED31C6"/>
    <w:rsid w:val="00ED3325"/>
    <w:rsid w:val="00ED367E"/>
    <w:rsid w:val="00ED4003"/>
    <w:rsid w:val="00ED5540"/>
    <w:rsid w:val="00ED5B72"/>
    <w:rsid w:val="00ED5BEF"/>
    <w:rsid w:val="00ED5C73"/>
    <w:rsid w:val="00ED6CC8"/>
    <w:rsid w:val="00ED6E9E"/>
    <w:rsid w:val="00ED7A29"/>
    <w:rsid w:val="00EE061F"/>
    <w:rsid w:val="00EE1270"/>
    <w:rsid w:val="00EE1500"/>
    <w:rsid w:val="00EE1AB3"/>
    <w:rsid w:val="00EE33D8"/>
    <w:rsid w:val="00EE4259"/>
    <w:rsid w:val="00EE42FF"/>
    <w:rsid w:val="00EE490E"/>
    <w:rsid w:val="00EE4F01"/>
    <w:rsid w:val="00EE5C01"/>
    <w:rsid w:val="00EE5E4C"/>
    <w:rsid w:val="00EE6E2F"/>
    <w:rsid w:val="00EE7187"/>
    <w:rsid w:val="00EE7AA2"/>
    <w:rsid w:val="00EF27DD"/>
    <w:rsid w:val="00EF2DAF"/>
    <w:rsid w:val="00EF314C"/>
    <w:rsid w:val="00EF372E"/>
    <w:rsid w:val="00EF3DB7"/>
    <w:rsid w:val="00EF4E6D"/>
    <w:rsid w:val="00EF56ED"/>
    <w:rsid w:val="00EF6095"/>
    <w:rsid w:val="00EF7AD9"/>
    <w:rsid w:val="00EF7D6F"/>
    <w:rsid w:val="00F010EC"/>
    <w:rsid w:val="00F014EA"/>
    <w:rsid w:val="00F014F4"/>
    <w:rsid w:val="00F0158F"/>
    <w:rsid w:val="00F01C58"/>
    <w:rsid w:val="00F01E73"/>
    <w:rsid w:val="00F02843"/>
    <w:rsid w:val="00F02CCA"/>
    <w:rsid w:val="00F054CA"/>
    <w:rsid w:val="00F057DF"/>
    <w:rsid w:val="00F05807"/>
    <w:rsid w:val="00F05963"/>
    <w:rsid w:val="00F061B2"/>
    <w:rsid w:val="00F07ACE"/>
    <w:rsid w:val="00F104D4"/>
    <w:rsid w:val="00F106E8"/>
    <w:rsid w:val="00F124F7"/>
    <w:rsid w:val="00F12C05"/>
    <w:rsid w:val="00F15B68"/>
    <w:rsid w:val="00F15C13"/>
    <w:rsid w:val="00F168AF"/>
    <w:rsid w:val="00F1718A"/>
    <w:rsid w:val="00F17FCB"/>
    <w:rsid w:val="00F202D3"/>
    <w:rsid w:val="00F2109F"/>
    <w:rsid w:val="00F2160A"/>
    <w:rsid w:val="00F21D07"/>
    <w:rsid w:val="00F227B7"/>
    <w:rsid w:val="00F22B41"/>
    <w:rsid w:val="00F22F60"/>
    <w:rsid w:val="00F24EA8"/>
    <w:rsid w:val="00F25335"/>
    <w:rsid w:val="00F25BED"/>
    <w:rsid w:val="00F25D33"/>
    <w:rsid w:val="00F268B3"/>
    <w:rsid w:val="00F30DA9"/>
    <w:rsid w:val="00F31141"/>
    <w:rsid w:val="00F32684"/>
    <w:rsid w:val="00F3286C"/>
    <w:rsid w:val="00F32A52"/>
    <w:rsid w:val="00F33541"/>
    <w:rsid w:val="00F33D83"/>
    <w:rsid w:val="00F34016"/>
    <w:rsid w:val="00F34456"/>
    <w:rsid w:val="00F35D47"/>
    <w:rsid w:val="00F36438"/>
    <w:rsid w:val="00F36E1D"/>
    <w:rsid w:val="00F3713B"/>
    <w:rsid w:val="00F371BA"/>
    <w:rsid w:val="00F371BB"/>
    <w:rsid w:val="00F3757F"/>
    <w:rsid w:val="00F37667"/>
    <w:rsid w:val="00F412FC"/>
    <w:rsid w:val="00F430C4"/>
    <w:rsid w:val="00F441D4"/>
    <w:rsid w:val="00F449C5"/>
    <w:rsid w:val="00F44EC6"/>
    <w:rsid w:val="00F451FA"/>
    <w:rsid w:val="00F455A4"/>
    <w:rsid w:val="00F45B20"/>
    <w:rsid w:val="00F47428"/>
    <w:rsid w:val="00F479CE"/>
    <w:rsid w:val="00F514C8"/>
    <w:rsid w:val="00F51DB4"/>
    <w:rsid w:val="00F526A0"/>
    <w:rsid w:val="00F53027"/>
    <w:rsid w:val="00F53140"/>
    <w:rsid w:val="00F538A2"/>
    <w:rsid w:val="00F539DC"/>
    <w:rsid w:val="00F53B52"/>
    <w:rsid w:val="00F5431C"/>
    <w:rsid w:val="00F55B1B"/>
    <w:rsid w:val="00F57110"/>
    <w:rsid w:val="00F5738E"/>
    <w:rsid w:val="00F574F7"/>
    <w:rsid w:val="00F57CA7"/>
    <w:rsid w:val="00F57E8B"/>
    <w:rsid w:val="00F6137D"/>
    <w:rsid w:val="00F61C7F"/>
    <w:rsid w:val="00F61F63"/>
    <w:rsid w:val="00F63064"/>
    <w:rsid w:val="00F63AE3"/>
    <w:rsid w:val="00F642D4"/>
    <w:rsid w:val="00F644CC"/>
    <w:rsid w:val="00F64C2A"/>
    <w:rsid w:val="00F65144"/>
    <w:rsid w:val="00F65938"/>
    <w:rsid w:val="00F668CD"/>
    <w:rsid w:val="00F66BB8"/>
    <w:rsid w:val="00F673E5"/>
    <w:rsid w:val="00F67FA5"/>
    <w:rsid w:val="00F705E4"/>
    <w:rsid w:val="00F70A95"/>
    <w:rsid w:val="00F70FB1"/>
    <w:rsid w:val="00F71153"/>
    <w:rsid w:val="00F71289"/>
    <w:rsid w:val="00F72A78"/>
    <w:rsid w:val="00F7302B"/>
    <w:rsid w:val="00F73BCA"/>
    <w:rsid w:val="00F73F0C"/>
    <w:rsid w:val="00F75637"/>
    <w:rsid w:val="00F75B43"/>
    <w:rsid w:val="00F76100"/>
    <w:rsid w:val="00F76246"/>
    <w:rsid w:val="00F76463"/>
    <w:rsid w:val="00F766D4"/>
    <w:rsid w:val="00F76BE7"/>
    <w:rsid w:val="00F77229"/>
    <w:rsid w:val="00F8134A"/>
    <w:rsid w:val="00F81811"/>
    <w:rsid w:val="00F8206F"/>
    <w:rsid w:val="00F82B2E"/>
    <w:rsid w:val="00F835A4"/>
    <w:rsid w:val="00F84015"/>
    <w:rsid w:val="00F849A6"/>
    <w:rsid w:val="00F85416"/>
    <w:rsid w:val="00F8661D"/>
    <w:rsid w:val="00F867F9"/>
    <w:rsid w:val="00F86A7D"/>
    <w:rsid w:val="00F877EB"/>
    <w:rsid w:val="00F90712"/>
    <w:rsid w:val="00F91102"/>
    <w:rsid w:val="00F91186"/>
    <w:rsid w:val="00F91EE2"/>
    <w:rsid w:val="00F91F3E"/>
    <w:rsid w:val="00F92610"/>
    <w:rsid w:val="00F928FE"/>
    <w:rsid w:val="00F934CE"/>
    <w:rsid w:val="00F94B68"/>
    <w:rsid w:val="00F95BCD"/>
    <w:rsid w:val="00F96E0B"/>
    <w:rsid w:val="00F96FE6"/>
    <w:rsid w:val="00F9745B"/>
    <w:rsid w:val="00F97CA3"/>
    <w:rsid w:val="00FA1D51"/>
    <w:rsid w:val="00FA20BD"/>
    <w:rsid w:val="00FA2131"/>
    <w:rsid w:val="00FA2182"/>
    <w:rsid w:val="00FA28A7"/>
    <w:rsid w:val="00FA2D6A"/>
    <w:rsid w:val="00FA2EAB"/>
    <w:rsid w:val="00FA2FA6"/>
    <w:rsid w:val="00FA4F6D"/>
    <w:rsid w:val="00FA5A66"/>
    <w:rsid w:val="00FA61A6"/>
    <w:rsid w:val="00FB09E7"/>
    <w:rsid w:val="00FB0B89"/>
    <w:rsid w:val="00FB1943"/>
    <w:rsid w:val="00FB1E33"/>
    <w:rsid w:val="00FB24EB"/>
    <w:rsid w:val="00FB2A11"/>
    <w:rsid w:val="00FB2A38"/>
    <w:rsid w:val="00FB3052"/>
    <w:rsid w:val="00FB3097"/>
    <w:rsid w:val="00FB455E"/>
    <w:rsid w:val="00FB494E"/>
    <w:rsid w:val="00FB53C2"/>
    <w:rsid w:val="00FB5934"/>
    <w:rsid w:val="00FB61EB"/>
    <w:rsid w:val="00FB64B9"/>
    <w:rsid w:val="00FB6A01"/>
    <w:rsid w:val="00FB6BE3"/>
    <w:rsid w:val="00FB6C7F"/>
    <w:rsid w:val="00FB775A"/>
    <w:rsid w:val="00FB7E57"/>
    <w:rsid w:val="00FC030B"/>
    <w:rsid w:val="00FC24B3"/>
    <w:rsid w:val="00FC280D"/>
    <w:rsid w:val="00FC3206"/>
    <w:rsid w:val="00FC354C"/>
    <w:rsid w:val="00FC3C2F"/>
    <w:rsid w:val="00FC4125"/>
    <w:rsid w:val="00FC41D4"/>
    <w:rsid w:val="00FC4291"/>
    <w:rsid w:val="00FC432D"/>
    <w:rsid w:val="00FC4C7A"/>
    <w:rsid w:val="00FC4DFD"/>
    <w:rsid w:val="00FC4FEB"/>
    <w:rsid w:val="00FC6CB6"/>
    <w:rsid w:val="00FC72D7"/>
    <w:rsid w:val="00FC78DC"/>
    <w:rsid w:val="00FC79B0"/>
    <w:rsid w:val="00FD0122"/>
    <w:rsid w:val="00FD1710"/>
    <w:rsid w:val="00FD18EE"/>
    <w:rsid w:val="00FD21B1"/>
    <w:rsid w:val="00FD2585"/>
    <w:rsid w:val="00FD31D6"/>
    <w:rsid w:val="00FD3200"/>
    <w:rsid w:val="00FD433F"/>
    <w:rsid w:val="00FD451E"/>
    <w:rsid w:val="00FD4811"/>
    <w:rsid w:val="00FD4DE2"/>
    <w:rsid w:val="00FD67C6"/>
    <w:rsid w:val="00FD7D82"/>
    <w:rsid w:val="00FD7E9B"/>
    <w:rsid w:val="00FD7F81"/>
    <w:rsid w:val="00FE009E"/>
    <w:rsid w:val="00FE1857"/>
    <w:rsid w:val="00FE19A0"/>
    <w:rsid w:val="00FE296F"/>
    <w:rsid w:val="00FE303A"/>
    <w:rsid w:val="00FE392C"/>
    <w:rsid w:val="00FE4763"/>
    <w:rsid w:val="00FE4B50"/>
    <w:rsid w:val="00FE5023"/>
    <w:rsid w:val="00FE5272"/>
    <w:rsid w:val="00FE680A"/>
    <w:rsid w:val="00FE69D0"/>
    <w:rsid w:val="00FE79DC"/>
    <w:rsid w:val="00FF0B62"/>
    <w:rsid w:val="00FF1F44"/>
    <w:rsid w:val="00FF289C"/>
    <w:rsid w:val="00FF2ADA"/>
    <w:rsid w:val="00FF2C3E"/>
    <w:rsid w:val="00FF3AB2"/>
    <w:rsid w:val="00FF3FBD"/>
    <w:rsid w:val="00FF4B05"/>
    <w:rsid w:val="00FF53ED"/>
    <w:rsid w:val="00FF5925"/>
    <w:rsid w:val="00FF5F5F"/>
    <w:rsid w:val="00FF5FA6"/>
    <w:rsid w:val="00FF6070"/>
    <w:rsid w:val="00FF6776"/>
    <w:rsid w:val="00FF702E"/>
    <w:rsid w:val="00FF78D7"/>
    <w:rsid w:val="0100291C"/>
    <w:rsid w:val="021178D5"/>
    <w:rsid w:val="02CD2A59"/>
    <w:rsid w:val="02CE70CC"/>
    <w:rsid w:val="02D46189"/>
    <w:rsid w:val="04B67B4E"/>
    <w:rsid w:val="05DC398A"/>
    <w:rsid w:val="05F4735B"/>
    <w:rsid w:val="06046B3F"/>
    <w:rsid w:val="07A21B91"/>
    <w:rsid w:val="07A7036E"/>
    <w:rsid w:val="07FA4484"/>
    <w:rsid w:val="08370B80"/>
    <w:rsid w:val="09562357"/>
    <w:rsid w:val="09FF150D"/>
    <w:rsid w:val="0A1249B7"/>
    <w:rsid w:val="0B536EB3"/>
    <w:rsid w:val="0F6A338E"/>
    <w:rsid w:val="0FB3405A"/>
    <w:rsid w:val="10842FD5"/>
    <w:rsid w:val="10963746"/>
    <w:rsid w:val="10E1402E"/>
    <w:rsid w:val="11B35D8A"/>
    <w:rsid w:val="11C82FF5"/>
    <w:rsid w:val="12A0562D"/>
    <w:rsid w:val="12DD30BA"/>
    <w:rsid w:val="14A93F19"/>
    <w:rsid w:val="15641EF5"/>
    <w:rsid w:val="15ED7093"/>
    <w:rsid w:val="169A76C4"/>
    <w:rsid w:val="16AD5C86"/>
    <w:rsid w:val="17950F67"/>
    <w:rsid w:val="17B216F2"/>
    <w:rsid w:val="17FD4235"/>
    <w:rsid w:val="181F0CDD"/>
    <w:rsid w:val="18265DF1"/>
    <w:rsid w:val="184F6871"/>
    <w:rsid w:val="18A8316E"/>
    <w:rsid w:val="19F72544"/>
    <w:rsid w:val="1A2F3BD4"/>
    <w:rsid w:val="1A5E04F8"/>
    <w:rsid w:val="1AFE461D"/>
    <w:rsid w:val="1C41485A"/>
    <w:rsid w:val="1C5D438F"/>
    <w:rsid w:val="1C610DDE"/>
    <w:rsid w:val="1CC77087"/>
    <w:rsid w:val="1CF65A3A"/>
    <w:rsid w:val="1D3A7A53"/>
    <w:rsid w:val="1DFD3577"/>
    <w:rsid w:val="1E4C580F"/>
    <w:rsid w:val="1E521989"/>
    <w:rsid w:val="1FA071C1"/>
    <w:rsid w:val="20134637"/>
    <w:rsid w:val="217954E3"/>
    <w:rsid w:val="21F22AC5"/>
    <w:rsid w:val="231C457E"/>
    <w:rsid w:val="23E869E0"/>
    <w:rsid w:val="23FA77BD"/>
    <w:rsid w:val="249A07CA"/>
    <w:rsid w:val="25253CC8"/>
    <w:rsid w:val="253A72F5"/>
    <w:rsid w:val="259C4715"/>
    <w:rsid w:val="25B37B3B"/>
    <w:rsid w:val="26D9434B"/>
    <w:rsid w:val="26EC5015"/>
    <w:rsid w:val="29066229"/>
    <w:rsid w:val="296A4E84"/>
    <w:rsid w:val="299128F7"/>
    <w:rsid w:val="2A101236"/>
    <w:rsid w:val="2B0457FD"/>
    <w:rsid w:val="2B684E86"/>
    <w:rsid w:val="2BA954AC"/>
    <w:rsid w:val="2BD960A9"/>
    <w:rsid w:val="2BF16F61"/>
    <w:rsid w:val="2C0C3473"/>
    <w:rsid w:val="2D0C64C4"/>
    <w:rsid w:val="2D926BD8"/>
    <w:rsid w:val="2E840660"/>
    <w:rsid w:val="2E8B0433"/>
    <w:rsid w:val="2E9D7EDF"/>
    <w:rsid w:val="2F4E415C"/>
    <w:rsid w:val="2FF828BC"/>
    <w:rsid w:val="30A937AD"/>
    <w:rsid w:val="30D106E6"/>
    <w:rsid w:val="31371227"/>
    <w:rsid w:val="316F3E5D"/>
    <w:rsid w:val="31B30C1F"/>
    <w:rsid w:val="31B90976"/>
    <w:rsid w:val="34501AED"/>
    <w:rsid w:val="345D052C"/>
    <w:rsid w:val="350163B0"/>
    <w:rsid w:val="358B1F07"/>
    <w:rsid w:val="36FC39CD"/>
    <w:rsid w:val="37A238AE"/>
    <w:rsid w:val="38472DFC"/>
    <w:rsid w:val="39124CB3"/>
    <w:rsid w:val="39336EE5"/>
    <w:rsid w:val="39444733"/>
    <w:rsid w:val="39934847"/>
    <w:rsid w:val="39BF4AD9"/>
    <w:rsid w:val="3A731A30"/>
    <w:rsid w:val="3B12254E"/>
    <w:rsid w:val="3B470581"/>
    <w:rsid w:val="3B486E97"/>
    <w:rsid w:val="3B8232FF"/>
    <w:rsid w:val="3B9D2AFD"/>
    <w:rsid w:val="3C190B2C"/>
    <w:rsid w:val="3C4D1980"/>
    <w:rsid w:val="3CB73DF7"/>
    <w:rsid w:val="3D947E2A"/>
    <w:rsid w:val="3E0206BE"/>
    <w:rsid w:val="3E6906CB"/>
    <w:rsid w:val="3EF24444"/>
    <w:rsid w:val="3F0C51F0"/>
    <w:rsid w:val="3F9D471C"/>
    <w:rsid w:val="405031A6"/>
    <w:rsid w:val="40E222A1"/>
    <w:rsid w:val="40E70BE3"/>
    <w:rsid w:val="41AD6A0E"/>
    <w:rsid w:val="424673CD"/>
    <w:rsid w:val="42687206"/>
    <w:rsid w:val="42F44A85"/>
    <w:rsid w:val="43D1276E"/>
    <w:rsid w:val="442C0A35"/>
    <w:rsid w:val="44E60453"/>
    <w:rsid w:val="45642433"/>
    <w:rsid w:val="488D2D4D"/>
    <w:rsid w:val="4930266D"/>
    <w:rsid w:val="49EA3895"/>
    <w:rsid w:val="4A145526"/>
    <w:rsid w:val="4AA620D7"/>
    <w:rsid w:val="4ABB20D9"/>
    <w:rsid w:val="4C196616"/>
    <w:rsid w:val="4D0C15CF"/>
    <w:rsid w:val="4D8553C4"/>
    <w:rsid w:val="4DE12AAB"/>
    <w:rsid w:val="4F502711"/>
    <w:rsid w:val="4F5936F6"/>
    <w:rsid w:val="50272C61"/>
    <w:rsid w:val="518D26A6"/>
    <w:rsid w:val="518D7B06"/>
    <w:rsid w:val="52504CC0"/>
    <w:rsid w:val="550D0F80"/>
    <w:rsid w:val="55750989"/>
    <w:rsid w:val="558B4406"/>
    <w:rsid w:val="55927F22"/>
    <w:rsid w:val="5624204A"/>
    <w:rsid w:val="571837E5"/>
    <w:rsid w:val="57216943"/>
    <w:rsid w:val="57376754"/>
    <w:rsid w:val="588041CA"/>
    <w:rsid w:val="596C6407"/>
    <w:rsid w:val="59C07F21"/>
    <w:rsid w:val="59DE030A"/>
    <w:rsid w:val="5A145B3E"/>
    <w:rsid w:val="5AF93754"/>
    <w:rsid w:val="5AFD6D0B"/>
    <w:rsid w:val="5B73550F"/>
    <w:rsid w:val="5BD445CF"/>
    <w:rsid w:val="5BF575CB"/>
    <w:rsid w:val="5C1E05EE"/>
    <w:rsid w:val="5C417A3E"/>
    <w:rsid w:val="5C4743F8"/>
    <w:rsid w:val="5D27470E"/>
    <w:rsid w:val="5D6A033A"/>
    <w:rsid w:val="5DE85AAA"/>
    <w:rsid w:val="5F0E3F0F"/>
    <w:rsid w:val="5F295256"/>
    <w:rsid w:val="5FBA6566"/>
    <w:rsid w:val="60712B57"/>
    <w:rsid w:val="61E502FD"/>
    <w:rsid w:val="62A97D48"/>
    <w:rsid w:val="64820BBF"/>
    <w:rsid w:val="64AB695F"/>
    <w:rsid w:val="64DC1AF7"/>
    <w:rsid w:val="658A3064"/>
    <w:rsid w:val="664407DC"/>
    <w:rsid w:val="665B0232"/>
    <w:rsid w:val="66E64302"/>
    <w:rsid w:val="66E91F27"/>
    <w:rsid w:val="681A3E5A"/>
    <w:rsid w:val="684327FA"/>
    <w:rsid w:val="697D69E8"/>
    <w:rsid w:val="69BA61F5"/>
    <w:rsid w:val="6A2270D7"/>
    <w:rsid w:val="6A231038"/>
    <w:rsid w:val="6A940563"/>
    <w:rsid w:val="6B672B76"/>
    <w:rsid w:val="6E1C324F"/>
    <w:rsid w:val="6ECE255F"/>
    <w:rsid w:val="6F3A5615"/>
    <w:rsid w:val="6F4F699D"/>
    <w:rsid w:val="6FB73028"/>
    <w:rsid w:val="6FED07FB"/>
    <w:rsid w:val="6FF833CD"/>
    <w:rsid w:val="70B05827"/>
    <w:rsid w:val="70BF4DD5"/>
    <w:rsid w:val="711D2248"/>
    <w:rsid w:val="71F66113"/>
    <w:rsid w:val="722B2095"/>
    <w:rsid w:val="723B5B20"/>
    <w:rsid w:val="72B54B56"/>
    <w:rsid w:val="72D46DE5"/>
    <w:rsid w:val="736C0E66"/>
    <w:rsid w:val="743E23D7"/>
    <w:rsid w:val="75640AE2"/>
    <w:rsid w:val="767244D5"/>
    <w:rsid w:val="7737121F"/>
    <w:rsid w:val="77BD7472"/>
    <w:rsid w:val="77C20567"/>
    <w:rsid w:val="785B7A8E"/>
    <w:rsid w:val="79241959"/>
    <w:rsid w:val="7ACF2C4F"/>
    <w:rsid w:val="7C1316D2"/>
    <w:rsid w:val="7C3730D8"/>
    <w:rsid w:val="7C3F5128"/>
    <w:rsid w:val="7DA81326"/>
    <w:rsid w:val="7ECA7FA5"/>
    <w:rsid w:val="7F4176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23"/>
    <w:qFormat/>
    <w:uiPriority w:val="99"/>
    <w:pPr>
      <w:keepNext/>
      <w:jc w:val="center"/>
      <w:outlineLvl w:val="1"/>
    </w:pPr>
    <w:rPr>
      <w:rFonts w:ascii="仿宋_GB2312" w:hAnsi="宋体" w:eastAsia="仿宋_GB2312" w:cs="仿宋_GB2312"/>
      <w:sz w:val="28"/>
      <w:szCs w:val="28"/>
    </w:rPr>
  </w:style>
  <w:style w:type="paragraph" w:styleId="3">
    <w:name w:val="heading 3"/>
    <w:basedOn w:val="1"/>
    <w:next w:val="1"/>
    <w:link w:val="29"/>
    <w:qFormat/>
    <w:uiPriority w:val="99"/>
    <w:pPr>
      <w:keepNext/>
      <w:keepLines/>
      <w:spacing w:before="260" w:after="260" w:line="416" w:lineRule="auto"/>
      <w:outlineLvl w:val="2"/>
    </w:pPr>
    <w:rPr>
      <w:b/>
      <w:bCs/>
      <w:sz w:val="32"/>
      <w:szCs w:val="32"/>
    </w:rPr>
  </w:style>
  <w:style w:type="character" w:default="1" w:styleId="17">
    <w:name w:val="Default Paragraph Font"/>
    <w:semiHidden/>
    <w:qFormat/>
    <w:uiPriority w:val="99"/>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4">
    <w:name w:val="Document Map"/>
    <w:basedOn w:val="1"/>
    <w:link w:val="21"/>
    <w:semiHidden/>
    <w:qFormat/>
    <w:uiPriority w:val="99"/>
    <w:pPr>
      <w:shd w:val="clear" w:color="auto" w:fill="000080"/>
    </w:pPr>
  </w:style>
  <w:style w:type="paragraph" w:styleId="5">
    <w:name w:val="annotation text"/>
    <w:basedOn w:val="1"/>
    <w:semiHidden/>
    <w:qFormat/>
    <w:uiPriority w:val="0"/>
    <w:pPr>
      <w:jc w:val="left"/>
    </w:pPr>
  </w:style>
  <w:style w:type="paragraph" w:styleId="6">
    <w:name w:val="Body Text Indent"/>
    <w:basedOn w:val="1"/>
    <w:link w:val="28"/>
    <w:qFormat/>
    <w:uiPriority w:val="99"/>
    <w:pPr>
      <w:tabs>
        <w:tab w:val="left" w:pos="-720"/>
      </w:tabs>
      <w:adjustRightInd w:val="0"/>
      <w:spacing w:line="400" w:lineRule="exact"/>
      <w:ind w:right="11" w:firstLine="600" w:firstLineChars="200"/>
      <w:textAlignment w:val="baseline"/>
    </w:pPr>
    <w:rPr>
      <w:rFonts w:ascii="楷体_GB2312" w:hAnsi="宋体" w:eastAsia="楷体_GB2312" w:cs="楷体_GB2312"/>
      <w:kern w:val="0"/>
      <w:sz w:val="30"/>
      <w:szCs w:val="30"/>
    </w:rPr>
  </w:style>
  <w:style w:type="paragraph" w:styleId="7">
    <w:name w:val="Plain Text"/>
    <w:basedOn w:val="1"/>
    <w:link w:val="24"/>
    <w:qFormat/>
    <w:uiPriority w:val="99"/>
    <w:rPr>
      <w:rFonts w:ascii="宋体" w:hAnsi="Courier New" w:cs="宋体"/>
    </w:rPr>
  </w:style>
  <w:style w:type="paragraph" w:styleId="8">
    <w:name w:val="Date"/>
    <w:basedOn w:val="1"/>
    <w:next w:val="1"/>
    <w:link w:val="25"/>
    <w:qFormat/>
    <w:uiPriority w:val="99"/>
    <w:pPr>
      <w:ind w:left="100" w:leftChars="2500"/>
    </w:pPr>
  </w:style>
  <w:style w:type="paragraph" w:styleId="9">
    <w:name w:val="Balloon Text"/>
    <w:basedOn w:val="1"/>
    <w:link w:val="30"/>
    <w:semiHidden/>
    <w:qFormat/>
    <w:uiPriority w:val="99"/>
    <w:rPr>
      <w:sz w:val="18"/>
      <w:szCs w:val="18"/>
    </w:rPr>
  </w:style>
  <w:style w:type="paragraph" w:styleId="10">
    <w:name w:val="footer"/>
    <w:basedOn w:val="1"/>
    <w:link w:val="27"/>
    <w:qFormat/>
    <w:uiPriority w:val="99"/>
    <w:pPr>
      <w:tabs>
        <w:tab w:val="center" w:pos="4153"/>
        <w:tab w:val="right" w:pos="8306"/>
      </w:tabs>
      <w:snapToGrid w:val="0"/>
      <w:jc w:val="left"/>
    </w:pPr>
    <w:rPr>
      <w:sz w:val="18"/>
      <w:szCs w:val="18"/>
    </w:rPr>
  </w:style>
  <w:style w:type="paragraph" w:styleId="11">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Indent 3"/>
    <w:basedOn w:val="1"/>
    <w:link w:val="22"/>
    <w:qFormat/>
    <w:uiPriority w:val="99"/>
    <w:pPr>
      <w:spacing w:after="120"/>
      <w:ind w:left="420" w:leftChars="200"/>
    </w:pPr>
    <w:rPr>
      <w:sz w:val="16"/>
      <w:szCs w:val="16"/>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annotation subject"/>
    <w:basedOn w:val="5"/>
    <w:next w:val="5"/>
    <w:semiHidden/>
    <w:qFormat/>
    <w:uiPriority w:val="0"/>
    <w:rPr>
      <w:b/>
      <w:bCs/>
    </w:rPr>
  </w:style>
  <w:style w:type="table" w:styleId="16">
    <w:name w:val="Table Grid"/>
    <w:basedOn w:val="1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page number"/>
    <w:basedOn w:val="17"/>
    <w:qFormat/>
    <w:uiPriority w:val="99"/>
  </w:style>
  <w:style w:type="character" w:styleId="19">
    <w:name w:val="annotation reference"/>
    <w:basedOn w:val="17"/>
    <w:semiHidden/>
    <w:qFormat/>
    <w:uiPriority w:val="0"/>
    <w:rPr>
      <w:sz w:val="21"/>
      <w:szCs w:val="21"/>
    </w:rPr>
  </w:style>
  <w:style w:type="paragraph" w:customStyle="1" w:styleId="20">
    <w:name w:val="Char"/>
    <w:basedOn w:val="1"/>
    <w:qFormat/>
    <w:uiPriority w:val="99"/>
    <w:pPr>
      <w:adjustRightInd w:val="0"/>
      <w:spacing w:line="360" w:lineRule="auto"/>
    </w:pPr>
    <w:rPr>
      <w:kern w:val="0"/>
      <w:sz w:val="24"/>
      <w:szCs w:val="24"/>
    </w:rPr>
  </w:style>
  <w:style w:type="character" w:customStyle="1" w:styleId="21">
    <w:name w:val="文档结构图 Char"/>
    <w:basedOn w:val="17"/>
    <w:link w:val="4"/>
    <w:semiHidden/>
    <w:qFormat/>
    <w:uiPriority w:val="99"/>
    <w:rPr>
      <w:sz w:val="16"/>
      <w:szCs w:val="0"/>
    </w:rPr>
  </w:style>
  <w:style w:type="character" w:customStyle="1" w:styleId="22">
    <w:name w:val="正文文本缩进 3 Char"/>
    <w:basedOn w:val="17"/>
    <w:link w:val="12"/>
    <w:semiHidden/>
    <w:qFormat/>
    <w:uiPriority w:val="99"/>
    <w:rPr>
      <w:sz w:val="16"/>
      <w:szCs w:val="16"/>
    </w:rPr>
  </w:style>
  <w:style w:type="character" w:customStyle="1" w:styleId="23">
    <w:name w:val="标题 2 Char"/>
    <w:basedOn w:val="17"/>
    <w:link w:val="2"/>
    <w:semiHidden/>
    <w:qFormat/>
    <w:uiPriority w:val="9"/>
    <w:rPr>
      <w:rFonts w:ascii="Cambria" w:hAnsi="Cambria" w:eastAsia="宋体" w:cs="Times New Roman"/>
      <w:b/>
      <w:bCs/>
      <w:sz w:val="32"/>
      <w:szCs w:val="32"/>
    </w:rPr>
  </w:style>
  <w:style w:type="character" w:customStyle="1" w:styleId="24">
    <w:name w:val="纯文本 Char"/>
    <w:basedOn w:val="17"/>
    <w:link w:val="7"/>
    <w:semiHidden/>
    <w:qFormat/>
    <w:uiPriority w:val="99"/>
    <w:rPr>
      <w:rFonts w:ascii="宋体" w:hAnsi="Courier New" w:cs="Courier New"/>
      <w:szCs w:val="21"/>
    </w:rPr>
  </w:style>
  <w:style w:type="character" w:customStyle="1" w:styleId="25">
    <w:name w:val="日期 Char"/>
    <w:basedOn w:val="17"/>
    <w:link w:val="8"/>
    <w:semiHidden/>
    <w:qFormat/>
    <w:uiPriority w:val="99"/>
    <w:rPr>
      <w:szCs w:val="21"/>
    </w:rPr>
  </w:style>
  <w:style w:type="character" w:customStyle="1" w:styleId="26">
    <w:name w:val="urtxtvalign urtxtstd urtxtcolor"/>
    <w:basedOn w:val="17"/>
    <w:qFormat/>
    <w:uiPriority w:val="99"/>
  </w:style>
  <w:style w:type="character" w:customStyle="1" w:styleId="27">
    <w:name w:val="页脚 Char"/>
    <w:basedOn w:val="17"/>
    <w:link w:val="10"/>
    <w:semiHidden/>
    <w:qFormat/>
    <w:uiPriority w:val="99"/>
    <w:rPr>
      <w:sz w:val="18"/>
      <w:szCs w:val="18"/>
    </w:rPr>
  </w:style>
  <w:style w:type="character" w:customStyle="1" w:styleId="28">
    <w:name w:val="正文文本缩进 Char"/>
    <w:basedOn w:val="17"/>
    <w:link w:val="6"/>
    <w:semiHidden/>
    <w:qFormat/>
    <w:uiPriority w:val="99"/>
    <w:rPr>
      <w:szCs w:val="21"/>
    </w:rPr>
  </w:style>
  <w:style w:type="character" w:customStyle="1" w:styleId="29">
    <w:name w:val="标题 3 Char"/>
    <w:basedOn w:val="17"/>
    <w:link w:val="3"/>
    <w:qFormat/>
    <w:locked/>
    <w:uiPriority w:val="99"/>
    <w:rPr>
      <w:rFonts w:eastAsia="宋体"/>
      <w:b/>
      <w:bCs/>
      <w:kern w:val="2"/>
      <w:sz w:val="32"/>
      <w:szCs w:val="32"/>
      <w:lang w:val="en-US" w:eastAsia="zh-CN"/>
    </w:rPr>
  </w:style>
  <w:style w:type="character" w:customStyle="1" w:styleId="30">
    <w:name w:val="批注框文本 Char"/>
    <w:basedOn w:val="17"/>
    <w:link w:val="9"/>
    <w:semiHidden/>
    <w:qFormat/>
    <w:uiPriority w:val="99"/>
    <w:rPr>
      <w:sz w:val="16"/>
      <w:szCs w:val="0"/>
    </w:rPr>
  </w:style>
  <w:style w:type="character" w:customStyle="1" w:styleId="31">
    <w:name w:val="页眉 Char"/>
    <w:basedOn w:val="17"/>
    <w:link w:val="11"/>
    <w:semiHidden/>
    <w:qFormat/>
    <w:locked/>
    <w:uiPriority w:val="99"/>
    <w:rPr>
      <w:rFonts w:eastAsia="宋体"/>
      <w:kern w:val="2"/>
      <w:sz w:val="18"/>
      <w:szCs w:val="18"/>
      <w:lang w:val="en-US" w:eastAsia="zh-CN"/>
    </w:rPr>
  </w:style>
  <w:style w:type="character" w:customStyle="1" w:styleId="32">
    <w:name w:val="font11"/>
    <w:basedOn w:val="17"/>
    <w:qFormat/>
    <w:uiPriority w:val="0"/>
    <w:rPr>
      <w:rFonts w:hint="eastAsia" w:ascii="宋体" w:hAnsi="宋体" w:eastAsia="宋体" w:cs="宋体"/>
      <w:color w:val="FF0000"/>
      <w:sz w:val="22"/>
      <w:szCs w:val="22"/>
      <w:u w:val="none"/>
    </w:rPr>
  </w:style>
  <w:style w:type="character" w:customStyle="1" w:styleId="33">
    <w:name w:val="font01"/>
    <w:basedOn w:val="17"/>
    <w:qFormat/>
    <w:uiPriority w:val="0"/>
    <w:rPr>
      <w:rFonts w:hint="eastAsia" w:ascii="宋体" w:hAnsi="宋体" w:eastAsia="宋体" w:cs="宋体"/>
      <w:color w:val="000000"/>
      <w:sz w:val="22"/>
      <w:szCs w:val="22"/>
      <w:u w:val="none"/>
    </w:rPr>
  </w:style>
  <w:style w:type="character" w:customStyle="1" w:styleId="34">
    <w:name w:val="font41"/>
    <w:basedOn w:val="17"/>
    <w:qFormat/>
    <w:uiPriority w:val="0"/>
    <w:rPr>
      <w:rFonts w:hint="eastAsia" w:ascii="宋体" w:hAnsi="宋体" w:eastAsia="宋体" w:cs="宋体"/>
      <w:color w:val="000000"/>
      <w:sz w:val="21"/>
      <w:szCs w:val="21"/>
      <w:u w:val="none"/>
    </w:rPr>
  </w:style>
  <w:style w:type="character" w:customStyle="1" w:styleId="35">
    <w:name w:val="font61"/>
    <w:basedOn w:val="1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3974</Words>
  <Characters>22654</Characters>
  <Lines>188</Lines>
  <Paragraphs>53</Paragraphs>
  <TotalTime>11</TotalTime>
  <ScaleCrop>false</ScaleCrop>
  <LinksUpToDate>false</LinksUpToDate>
  <CharactersWithSpaces>26575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2021-09-09T02:14:00Z</dcterms:created>
  <dc:creator>闫柏祥</dc:creator>
  <cp:lastModifiedBy>Administrator</cp:lastModifiedBy>
  <cp:lastPrinted>2020-07-06T07:14:00Z</cp:lastPrinted>
  <dcterms:modified xsi:type="dcterms:W3CDTF">2024-09-05T07:09:05Z</dcterms:modified>
  <dc:title>供方管理办法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