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29AD60">
      <w:pPr>
        <w:spacing w:line="360" w:lineRule="auto"/>
        <w:jc w:val="center"/>
        <w:rPr>
          <w:rFonts w:hint="eastAsia" w:ascii="仿宋" w:hAnsi="仿宋" w:eastAsia="仿宋" w:cs="仿宋"/>
          <w:b/>
          <w:color w:val="000000" w:themeColor="text1"/>
          <w:sz w:val="24"/>
          <w:szCs w:val="24"/>
          <w:highlight w:val="none"/>
          <w:u w:val="none"/>
          <w14:textFill>
            <w14:solidFill>
              <w14:schemeClr w14:val="tx1"/>
            </w14:solidFill>
          </w14:textFill>
        </w:rPr>
      </w:pPr>
    </w:p>
    <w:p w14:paraId="1049D71D">
      <w:pPr>
        <w:spacing w:line="360" w:lineRule="auto"/>
        <w:jc w:val="center"/>
        <w:rPr>
          <w:rFonts w:hint="eastAsia" w:ascii="仿宋" w:hAnsi="仿宋" w:eastAsia="仿宋" w:cs="仿宋"/>
          <w:b/>
          <w:color w:val="000000" w:themeColor="text1"/>
          <w:sz w:val="28"/>
          <w:szCs w:val="28"/>
          <w:highlight w:val="none"/>
          <w:u w:val="none"/>
          <w14:textFill>
            <w14:solidFill>
              <w14:schemeClr w14:val="tx1"/>
            </w14:solidFill>
          </w14:textFill>
        </w:rPr>
      </w:pPr>
      <w:r>
        <w:rPr>
          <w:rFonts w:hint="eastAsia" w:ascii="仿宋" w:hAnsi="仿宋" w:eastAsia="仿宋" w:cs="仿宋"/>
          <w:b/>
          <w:color w:val="000000" w:themeColor="text1"/>
          <w:sz w:val="28"/>
          <w:szCs w:val="28"/>
          <w:highlight w:val="none"/>
          <w:u w:val="none"/>
          <w:lang w:val="en-US" w:eastAsia="zh-CN"/>
          <w14:textFill>
            <w14:solidFill>
              <w14:schemeClr w14:val="tx1"/>
            </w14:solidFill>
          </w14:textFill>
        </w:rPr>
        <w:t>菲律宾凯萨卡供水隧洞项目</w:t>
      </w:r>
      <w:r>
        <w:rPr>
          <w:rFonts w:hint="eastAsia" w:ascii="仿宋" w:hAnsi="仿宋" w:eastAsia="仿宋" w:cs="仿宋"/>
          <w:b/>
          <w:color w:val="000000" w:themeColor="text1"/>
          <w:sz w:val="28"/>
          <w:szCs w:val="28"/>
          <w:highlight w:val="none"/>
          <w:u w:val="none"/>
          <w:lang w:val="en-US" w:eastAsia="zh-CN"/>
          <w14:textFill>
            <w14:solidFill>
              <w14:schemeClr w14:val="tx1"/>
            </w14:solidFill>
          </w14:textFill>
        </w:rPr>
        <w:br w:type="textWrapping"/>
      </w:r>
      <w:r>
        <w:rPr>
          <w:rFonts w:hint="eastAsia" w:ascii="仿宋" w:hAnsi="仿宋" w:eastAsia="仿宋" w:cs="仿宋"/>
          <w:b/>
          <w:color w:val="000000" w:themeColor="text1"/>
          <w:sz w:val="28"/>
          <w:szCs w:val="28"/>
          <w:highlight w:val="none"/>
          <w:u w:val="none"/>
          <w:lang w:val="en-US" w:eastAsia="zh-CN"/>
          <w14:textFill>
            <w14:solidFill>
              <w14:schemeClr w14:val="tx1"/>
            </w14:solidFill>
          </w14:textFill>
        </w:rPr>
        <w:t>2025年6月电线电缆询价采购询价函</w:t>
      </w:r>
    </w:p>
    <w:p w14:paraId="3983A2E7">
      <w:pPr>
        <w:spacing w:line="360" w:lineRule="auto"/>
        <w:jc w:val="center"/>
        <w:rPr>
          <w:rFonts w:hint="eastAsia" w:ascii="仿宋" w:hAnsi="仿宋" w:eastAsia="仿宋" w:cs="仿宋"/>
          <w:b/>
          <w:color w:val="000000" w:themeColor="text1"/>
          <w:sz w:val="24"/>
          <w:szCs w:val="24"/>
          <w:highlight w:val="none"/>
          <w:u w:val="none"/>
          <w14:textFill>
            <w14:solidFill>
              <w14:schemeClr w14:val="tx1"/>
            </w14:solidFill>
          </w14:textFill>
        </w:rPr>
      </w:pPr>
    </w:p>
    <w:p w14:paraId="0127EE07">
      <w:pPr>
        <w:spacing w:line="360" w:lineRule="auto"/>
        <w:jc w:val="center"/>
        <w:rPr>
          <w:rFonts w:hint="eastAsia" w:ascii="仿宋" w:hAnsi="仿宋" w:eastAsia="仿宋" w:cs="仿宋"/>
          <w:b/>
          <w:color w:val="000000" w:themeColor="text1"/>
          <w:sz w:val="24"/>
          <w:szCs w:val="24"/>
          <w:highlight w:val="none"/>
          <w:u w:val="none"/>
          <w14:textFill>
            <w14:solidFill>
              <w14:schemeClr w14:val="tx1"/>
            </w14:solidFill>
          </w14:textFill>
        </w:rPr>
      </w:pPr>
    </w:p>
    <w:p w14:paraId="55F2E587">
      <w:pPr>
        <w:pStyle w:val="7"/>
        <w:rPr>
          <w:rFonts w:hint="eastAsia" w:ascii="仿宋" w:hAnsi="仿宋" w:eastAsia="仿宋" w:cs="仿宋"/>
          <w:sz w:val="24"/>
          <w:szCs w:val="24"/>
        </w:rPr>
      </w:pPr>
    </w:p>
    <w:p w14:paraId="70670283">
      <w:pPr>
        <w:spacing w:line="360" w:lineRule="auto"/>
        <w:jc w:val="center"/>
        <w:rPr>
          <w:rFonts w:hint="eastAsia" w:ascii="仿宋" w:hAnsi="仿宋" w:eastAsia="仿宋" w:cs="仿宋"/>
          <w:b/>
          <w:color w:val="000000" w:themeColor="text1"/>
          <w:sz w:val="24"/>
          <w:szCs w:val="24"/>
          <w:highlight w:val="none"/>
          <w:u w:val="none"/>
          <w14:textFill>
            <w14:solidFill>
              <w14:schemeClr w14:val="tx1"/>
            </w14:solidFill>
          </w14:textFill>
        </w:rPr>
      </w:pPr>
    </w:p>
    <w:p w14:paraId="3E8B3F39">
      <w:pPr>
        <w:autoSpaceDE w:val="0"/>
        <w:autoSpaceDN w:val="0"/>
        <w:adjustRightInd w:val="0"/>
        <w:spacing w:line="200" w:lineRule="exact"/>
        <w:jc w:val="left"/>
        <w:rPr>
          <w:rFonts w:hint="eastAsia" w:ascii="仿宋" w:hAnsi="仿宋" w:eastAsia="仿宋" w:cs="仿宋"/>
          <w:kern w:val="0"/>
          <w:sz w:val="24"/>
          <w:szCs w:val="24"/>
        </w:rPr>
      </w:pPr>
    </w:p>
    <w:p w14:paraId="67C26547">
      <w:pPr>
        <w:autoSpaceDE w:val="0"/>
        <w:autoSpaceDN w:val="0"/>
        <w:adjustRightInd w:val="0"/>
        <w:spacing w:before="12" w:line="280" w:lineRule="exact"/>
        <w:jc w:val="left"/>
        <w:rPr>
          <w:rFonts w:hint="eastAsia" w:ascii="仿宋" w:hAnsi="仿宋" w:eastAsia="仿宋" w:cs="仿宋"/>
          <w:kern w:val="0"/>
          <w:sz w:val="24"/>
          <w:szCs w:val="24"/>
        </w:rPr>
      </w:pPr>
    </w:p>
    <w:p w14:paraId="70DC67C6">
      <w:pPr>
        <w:pStyle w:val="4"/>
        <w:jc w:val="center"/>
        <w:outlineLvl w:val="9"/>
        <w:rPr>
          <w:rFonts w:hint="eastAsia" w:ascii="仿宋" w:hAnsi="仿宋" w:eastAsia="仿宋" w:cs="仿宋"/>
          <w:b/>
          <w:bCs/>
          <w:spacing w:val="2"/>
          <w:w w:val="99"/>
          <w:kern w:val="0"/>
          <w:sz w:val="24"/>
          <w:szCs w:val="24"/>
          <w:lang w:val="en-US" w:eastAsia="zh-CN"/>
        </w:rPr>
      </w:pPr>
      <w:r>
        <w:rPr>
          <w:rFonts w:hint="eastAsia" w:ascii="仿宋" w:hAnsi="仿宋" w:eastAsia="仿宋" w:cs="仿宋"/>
          <w:sz w:val="24"/>
          <w:szCs w:val="24"/>
        </w:rPr>
        <w:drawing>
          <wp:anchor distT="0" distB="0" distL="114300" distR="114300" simplePos="0" relativeHeight="251659264" behindDoc="0" locked="0" layoutInCell="1" allowOverlap="1">
            <wp:simplePos x="0" y="0"/>
            <wp:positionH relativeFrom="column">
              <wp:posOffset>1895475</wp:posOffset>
            </wp:positionH>
            <wp:positionV relativeFrom="paragraph">
              <wp:posOffset>1551940</wp:posOffset>
            </wp:positionV>
            <wp:extent cx="1764665" cy="1742440"/>
            <wp:effectExtent l="0" t="0" r="635" b="10160"/>
            <wp:wrapSquare wrapText="bothSides"/>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4"/>
                    <a:stretch>
                      <a:fillRect/>
                    </a:stretch>
                  </pic:blipFill>
                  <pic:spPr>
                    <a:xfrm>
                      <a:off x="0" y="0"/>
                      <a:ext cx="1764665" cy="1742440"/>
                    </a:xfrm>
                    <a:prstGeom prst="rect">
                      <a:avLst/>
                    </a:prstGeom>
                    <a:noFill/>
                    <a:ln>
                      <a:noFill/>
                    </a:ln>
                  </pic:spPr>
                </pic:pic>
              </a:graphicData>
            </a:graphic>
          </wp:anchor>
        </w:drawing>
      </w:r>
    </w:p>
    <w:p w14:paraId="4EC2271A">
      <w:pPr>
        <w:rPr>
          <w:rFonts w:hint="eastAsia" w:ascii="仿宋" w:hAnsi="仿宋" w:eastAsia="仿宋" w:cs="仿宋"/>
          <w:sz w:val="24"/>
          <w:szCs w:val="24"/>
          <w:lang w:val="en-US"/>
        </w:rPr>
      </w:pPr>
    </w:p>
    <w:p w14:paraId="2F089FDA">
      <w:pPr>
        <w:autoSpaceDE w:val="0"/>
        <w:autoSpaceDN w:val="0"/>
        <w:adjustRightInd w:val="0"/>
        <w:spacing w:line="200" w:lineRule="exact"/>
        <w:jc w:val="left"/>
        <w:rPr>
          <w:rFonts w:hint="eastAsia" w:ascii="仿宋" w:hAnsi="仿宋" w:eastAsia="仿宋" w:cs="仿宋"/>
          <w:kern w:val="0"/>
          <w:sz w:val="24"/>
          <w:szCs w:val="24"/>
        </w:rPr>
      </w:pPr>
    </w:p>
    <w:p w14:paraId="24CB6F65">
      <w:pPr>
        <w:autoSpaceDE w:val="0"/>
        <w:autoSpaceDN w:val="0"/>
        <w:adjustRightInd w:val="0"/>
        <w:spacing w:line="200" w:lineRule="exact"/>
        <w:jc w:val="left"/>
        <w:rPr>
          <w:rFonts w:hint="eastAsia" w:ascii="仿宋" w:hAnsi="仿宋" w:eastAsia="仿宋" w:cs="仿宋"/>
          <w:kern w:val="0"/>
          <w:sz w:val="24"/>
          <w:szCs w:val="24"/>
        </w:rPr>
      </w:pPr>
    </w:p>
    <w:p w14:paraId="0C6CE6A2">
      <w:pPr>
        <w:autoSpaceDE w:val="0"/>
        <w:autoSpaceDN w:val="0"/>
        <w:adjustRightInd w:val="0"/>
        <w:spacing w:line="200" w:lineRule="exact"/>
        <w:jc w:val="left"/>
        <w:rPr>
          <w:rFonts w:hint="eastAsia" w:ascii="仿宋" w:hAnsi="仿宋" w:eastAsia="仿宋" w:cs="仿宋"/>
          <w:kern w:val="0"/>
          <w:sz w:val="24"/>
          <w:szCs w:val="24"/>
        </w:rPr>
      </w:pPr>
    </w:p>
    <w:p w14:paraId="4990915F">
      <w:pPr>
        <w:autoSpaceDE w:val="0"/>
        <w:autoSpaceDN w:val="0"/>
        <w:adjustRightInd w:val="0"/>
        <w:spacing w:line="200" w:lineRule="exact"/>
        <w:jc w:val="left"/>
        <w:rPr>
          <w:rFonts w:hint="eastAsia" w:ascii="仿宋" w:hAnsi="仿宋" w:eastAsia="仿宋" w:cs="仿宋"/>
          <w:kern w:val="0"/>
          <w:sz w:val="24"/>
          <w:szCs w:val="24"/>
        </w:rPr>
      </w:pPr>
    </w:p>
    <w:p w14:paraId="0785F6DF">
      <w:pPr>
        <w:autoSpaceDE w:val="0"/>
        <w:autoSpaceDN w:val="0"/>
        <w:adjustRightInd w:val="0"/>
        <w:spacing w:line="200" w:lineRule="exact"/>
        <w:jc w:val="left"/>
        <w:rPr>
          <w:rFonts w:hint="eastAsia" w:ascii="仿宋" w:hAnsi="仿宋" w:eastAsia="仿宋" w:cs="仿宋"/>
          <w:kern w:val="0"/>
          <w:sz w:val="24"/>
          <w:szCs w:val="24"/>
        </w:rPr>
      </w:pPr>
    </w:p>
    <w:p w14:paraId="6791FD99">
      <w:pPr>
        <w:autoSpaceDE w:val="0"/>
        <w:autoSpaceDN w:val="0"/>
        <w:adjustRightInd w:val="0"/>
        <w:spacing w:line="200" w:lineRule="exact"/>
        <w:jc w:val="left"/>
        <w:rPr>
          <w:rFonts w:hint="eastAsia" w:ascii="仿宋" w:hAnsi="仿宋" w:eastAsia="仿宋" w:cs="仿宋"/>
          <w:kern w:val="0"/>
          <w:sz w:val="24"/>
          <w:szCs w:val="24"/>
        </w:rPr>
      </w:pPr>
    </w:p>
    <w:p w14:paraId="26A41037">
      <w:pPr>
        <w:autoSpaceDE w:val="0"/>
        <w:autoSpaceDN w:val="0"/>
        <w:adjustRightInd w:val="0"/>
        <w:spacing w:line="200" w:lineRule="exact"/>
        <w:jc w:val="left"/>
        <w:rPr>
          <w:rFonts w:hint="eastAsia" w:ascii="仿宋" w:hAnsi="仿宋" w:eastAsia="仿宋" w:cs="仿宋"/>
          <w:kern w:val="0"/>
          <w:sz w:val="24"/>
          <w:szCs w:val="24"/>
        </w:rPr>
      </w:pPr>
    </w:p>
    <w:p w14:paraId="5C736290">
      <w:pPr>
        <w:autoSpaceDE w:val="0"/>
        <w:autoSpaceDN w:val="0"/>
        <w:adjustRightInd w:val="0"/>
        <w:spacing w:line="200" w:lineRule="exact"/>
        <w:jc w:val="left"/>
        <w:rPr>
          <w:rFonts w:hint="eastAsia" w:ascii="仿宋" w:hAnsi="仿宋" w:eastAsia="仿宋" w:cs="仿宋"/>
          <w:kern w:val="0"/>
          <w:sz w:val="24"/>
          <w:szCs w:val="24"/>
        </w:rPr>
      </w:pPr>
    </w:p>
    <w:p w14:paraId="0C6593F7">
      <w:pPr>
        <w:autoSpaceDE w:val="0"/>
        <w:autoSpaceDN w:val="0"/>
        <w:adjustRightInd w:val="0"/>
        <w:spacing w:line="200" w:lineRule="exact"/>
        <w:jc w:val="left"/>
        <w:rPr>
          <w:rFonts w:hint="eastAsia" w:ascii="仿宋" w:hAnsi="仿宋" w:eastAsia="仿宋" w:cs="仿宋"/>
          <w:kern w:val="0"/>
          <w:sz w:val="24"/>
          <w:szCs w:val="24"/>
        </w:rPr>
      </w:pPr>
    </w:p>
    <w:p w14:paraId="67EA758E">
      <w:pPr>
        <w:autoSpaceDE w:val="0"/>
        <w:autoSpaceDN w:val="0"/>
        <w:adjustRightInd w:val="0"/>
        <w:spacing w:line="200" w:lineRule="exact"/>
        <w:jc w:val="left"/>
        <w:rPr>
          <w:rFonts w:hint="eastAsia" w:ascii="仿宋" w:hAnsi="仿宋" w:eastAsia="仿宋" w:cs="仿宋"/>
          <w:kern w:val="0"/>
          <w:sz w:val="24"/>
          <w:szCs w:val="24"/>
        </w:rPr>
      </w:pPr>
    </w:p>
    <w:p w14:paraId="1159402B">
      <w:pPr>
        <w:autoSpaceDE w:val="0"/>
        <w:autoSpaceDN w:val="0"/>
        <w:adjustRightInd w:val="0"/>
        <w:spacing w:line="200" w:lineRule="exact"/>
        <w:jc w:val="left"/>
        <w:rPr>
          <w:rFonts w:hint="eastAsia" w:ascii="仿宋" w:hAnsi="仿宋" w:eastAsia="仿宋" w:cs="仿宋"/>
          <w:kern w:val="0"/>
          <w:sz w:val="24"/>
          <w:szCs w:val="24"/>
        </w:rPr>
      </w:pPr>
    </w:p>
    <w:p w14:paraId="459BE279">
      <w:pPr>
        <w:autoSpaceDE w:val="0"/>
        <w:autoSpaceDN w:val="0"/>
        <w:adjustRightInd w:val="0"/>
        <w:spacing w:line="200" w:lineRule="exact"/>
        <w:jc w:val="left"/>
        <w:rPr>
          <w:rFonts w:hint="eastAsia" w:ascii="仿宋" w:hAnsi="仿宋" w:eastAsia="仿宋" w:cs="仿宋"/>
          <w:kern w:val="0"/>
          <w:sz w:val="24"/>
          <w:szCs w:val="24"/>
        </w:rPr>
      </w:pPr>
    </w:p>
    <w:p w14:paraId="05714A1E">
      <w:pPr>
        <w:autoSpaceDE w:val="0"/>
        <w:autoSpaceDN w:val="0"/>
        <w:adjustRightInd w:val="0"/>
        <w:spacing w:line="200" w:lineRule="exact"/>
        <w:jc w:val="left"/>
        <w:rPr>
          <w:rFonts w:hint="eastAsia" w:ascii="仿宋" w:hAnsi="仿宋" w:eastAsia="仿宋" w:cs="仿宋"/>
          <w:kern w:val="0"/>
          <w:sz w:val="24"/>
          <w:szCs w:val="24"/>
        </w:rPr>
      </w:pPr>
    </w:p>
    <w:p w14:paraId="270107D7">
      <w:pPr>
        <w:autoSpaceDE w:val="0"/>
        <w:autoSpaceDN w:val="0"/>
        <w:adjustRightInd w:val="0"/>
        <w:spacing w:line="200" w:lineRule="exact"/>
        <w:jc w:val="left"/>
        <w:rPr>
          <w:rFonts w:hint="eastAsia" w:ascii="仿宋" w:hAnsi="仿宋" w:eastAsia="仿宋" w:cs="仿宋"/>
          <w:kern w:val="0"/>
          <w:sz w:val="24"/>
          <w:szCs w:val="24"/>
        </w:rPr>
      </w:pPr>
    </w:p>
    <w:p w14:paraId="2DA4BAA3">
      <w:pPr>
        <w:autoSpaceDE w:val="0"/>
        <w:autoSpaceDN w:val="0"/>
        <w:adjustRightInd w:val="0"/>
        <w:spacing w:line="200" w:lineRule="exact"/>
        <w:jc w:val="left"/>
        <w:rPr>
          <w:rFonts w:hint="eastAsia" w:ascii="仿宋" w:hAnsi="仿宋" w:eastAsia="仿宋" w:cs="仿宋"/>
          <w:kern w:val="0"/>
          <w:sz w:val="24"/>
          <w:szCs w:val="24"/>
        </w:rPr>
      </w:pPr>
    </w:p>
    <w:p w14:paraId="1F185ED2">
      <w:pPr>
        <w:autoSpaceDE w:val="0"/>
        <w:autoSpaceDN w:val="0"/>
        <w:adjustRightInd w:val="0"/>
        <w:spacing w:line="200" w:lineRule="exact"/>
        <w:jc w:val="left"/>
        <w:rPr>
          <w:rFonts w:hint="eastAsia" w:ascii="仿宋" w:hAnsi="仿宋" w:eastAsia="仿宋" w:cs="仿宋"/>
          <w:kern w:val="0"/>
          <w:sz w:val="24"/>
          <w:szCs w:val="24"/>
        </w:rPr>
      </w:pPr>
    </w:p>
    <w:p w14:paraId="21F548EE">
      <w:pPr>
        <w:autoSpaceDE w:val="0"/>
        <w:autoSpaceDN w:val="0"/>
        <w:adjustRightInd w:val="0"/>
        <w:spacing w:line="200" w:lineRule="exact"/>
        <w:jc w:val="left"/>
        <w:rPr>
          <w:rFonts w:hint="eastAsia" w:ascii="仿宋" w:hAnsi="仿宋" w:eastAsia="仿宋" w:cs="仿宋"/>
          <w:kern w:val="0"/>
          <w:sz w:val="24"/>
          <w:szCs w:val="24"/>
        </w:rPr>
      </w:pPr>
    </w:p>
    <w:p w14:paraId="34EFE05B">
      <w:pPr>
        <w:autoSpaceDE w:val="0"/>
        <w:autoSpaceDN w:val="0"/>
        <w:adjustRightInd w:val="0"/>
        <w:spacing w:line="200" w:lineRule="exact"/>
        <w:jc w:val="left"/>
        <w:rPr>
          <w:rFonts w:hint="eastAsia" w:ascii="仿宋" w:hAnsi="仿宋" w:eastAsia="仿宋" w:cs="仿宋"/>
          <w:kern w:val="0"/>
          <w:sz w:val="24"/>
          <w:szCs w:val="24"/>
        </w:rPr>
      </w:pPr>
    </w:p>
    <w:p w14:paraId="506E43FC">
      <w:pPr>
        <w:autoSpaceDE w:val="0"/>
        <w:autoSpaceDN w:val="0"/>
        <w:adjustRightInd w:val="0"/>
        <w:spacing w:line="200" w:lineRule="exact"/>
        <w:jc w:val="left"/>
        <w:rPr>
          <w:rFonts w:hint="eastAsia" w:ascii="仿宋" w:hAnsi="仿宋" w:eastAsia="仿宋" w:cs="仿宋"/>
          <w:kern w:val="0"/>
          <w:sz w:val="24"/>
          <w:szCs w:val="24"/>
        </w:rPr>
      </w:pPr>
    </w:p>
    <w:p w14:paraId="4754035C">
      <w:pPr>
        <w:autoSpaceDE w:val="0"/>
        <w:autoSpaceDN w:val="0"/>
        <w:adjustRightInd w:val="0"/>
        <w:spacing w:line="200" w:lineRule="exact"/>
        <w:jc w:val="left"/>
        <w:rPr>
          <w:rFonts w:hint="eastAsia" w:ascii="仿宋" w:hAnsi="仿宋" w:eastAsia="仿宋" w:cs="仿宋"/>
          <w:kern w:val="0"/>
          <w:sz w:val="24"/>
          <w:szCs w:val="24"/>
        </w:rPr>
      </w:pPr>
    </w:p>
    <w:p w14:paraId="25F89974">
      <w:pPr>
        <w:autoSpaceDE w:val="0"/>
        <w:autoSpaceDN w:val="0"/>
        <w:adjustRightInd w:val="0"/>
        <w:spacing w:before="11" w:line="280" w:lineRule="exact"/>
        <w:jc w:val="left"/>
        <w:rPr>
          <w:rFonts w:hint="eastAsia" w:ascii="仿宋" w:hAnsi="仿宋" w:eastAsia="仿宋" w:cs="仿宋"/>
          <w:kern w:val="0"/>
          <w:sz w:val="24"/>
          <w:szCs w:val="24"/>
        </w:rPr>
      </w:pPr>
    </w:p>
    <w:p w14:paraId="130D54D2">
      <w:pPr>
        <w:tabs>
          <w:tab w:val="left" w:pos="3600"/>
          <w:tab w:val="left" w:pos="4620"/>
          <w:tab w:val="left" w:pos="5640"/>
        </w:tabs>
        <w:autoSpaceDE w:val="0"/>
        <w:autoSpaceDN w:val="0"/>
        <w:adjustRightInd w:val="0"/>
        <w:spacing w:line="375" w:lineRule="exact"/>
        <w:ind w:right="-20"/>
        <w:jc w:val="center"/>
        <w:rPr>
          <w:rFonts w:hint="eastAsia" w:ascii="仿宋" w:hAnsi="仿宋" w:eastAsia="仿宋" w:cs="仿宋"/>
          <w:b w:val="0"/>
          <w:bCs w:val="0"/>
          <w:kern w:val="0"/>
          <w:position w:val="-5"/>
          <w:sz w:val="24"/>
          <w:szCs w:val="24"/>
          <w:highlight w:val="none"/>
        </w:rPr>
      </w:pPr>
      <w:r>
        <w:rPr>
          <w:rFonts w:hint="eastAsia" w:ascii="仿宋" w:hAnsi="仿宋" w:eastAsia="仿宋" w:cs="仿宋"/>
          <w:b w:val="0"/>
          <w:bCs w:val="0"/>
          <w:kern w:val="0"/>
          <w:position w:val="-5"/>
          <w:sz w:val="24"/>
          <w:szCs w:val="24"/>
          <w:highlight w:val="none"/>
          <w:lang w:val="en-US" w:eastAsia="zh-CN"/>
        </w:rPr>
        <w:t xml:space="preserve"> </w:t>
      </w:r>
      <w:r>
        <w:rPr>
          <w:rFonts w:hint="eastAsia" w:ascii="仿宋" w:hAnsi="仿宋" w:eastAsia="仿宋" w:cs="仿宋"/>
          <w:b w:val="0"/>
          <w:bCs w:val="0"/>
          <w:kern w:val="0"/>
          <w:position w:val="-5"/>
          <w:sz w:val="24"/>
          <w:szCs w:val="24"/>
          <w:highlight w:val="none"/>
        </w:rPr>
        <w:t>招标人：中交一公局厦门工程有限公司</w:t>
      </w:r>
    </w:p>
    <w:p w14:paraId="1A9C1FA0">
      <w:pPr>
        <w:autoSpaceDE w:val="0"/>
        <w:autoSpaceDN w:val="0"/>
        <w:adjustRightInd w:val="0"/>
        <w:spacing w:before="6" w:line="140" w:lineRule="exact"/>
        <w:jc w:val="left"/>
        <w:rPr>
          <w:rFonts w:hint="eastAsia" w:ascii="仿宋" w:hAnsi="仿宋" w:eastAsia="仿宋" w:cs="仿宋"/>
          <w:b w:val="0"/>
          <w:bCs w:val="0"/>
          <w:kern w:val="0"/>
          <w:sz w:val="24"/>
          <w:szCs w:val="24"/>
        </w:rPr>
      </w:pPr>
    </w:p>
    <w:p w14:paraId="7DD683C5">
      <w:pPr>
        <w:autoSpaceDE w:val="0"/>
        <w:autoSpaceDN w:val="0"/>
        <w:adjustRightInd w:val="0"/>
        <w:spacing w:line="200" w:lineRule="exact"/>
        <w:jc w:val="left"/>
        <w:rPr>
          <w:rFonts w:hint="eastAsia" w:ascii="仿宋" w:hAnsi="仿宋" w:eastAsia="仿宋" w:cs="仿宋"/>
          <w:b w:val="0"/>
          <w:bCs w:val="0"/>
          <w:kern w:val="0"/>
          <w:sz w:val="24"/>
          <w:szCs w:val="24"/>
        </w:rPr>
      </w:pPr>
    </w:p>
    <w:p w14:paraId="3D096BF0">
      <w:pPr>
        <w:jc w:val="center"/>
        <w:rPr>
          <w:rFonts w:hint="eastAsia" w:ascii="仿宋" w:hAnsi="仿宋" w:eastAsia="仿宋" w:cs="仿宋"/>
          <w:sz w:val="24"/>
          <w:szCs w:val="24"/>
          <w:lang w:eastAsia="zh-CN"/>
        </w:rPr>
      </w:pPr>
      <w:r>
        <w:rPr>
          <w:rFonts w:hint="eastAsia" w:ascii="仿宋" w:hAnsi="仿宋" w:eastAsia="仿宋" w:cs="仿宋"/>
          <w:sz w:val="24"/>
          <w:szCs w:val="24"/>
          <w:u w:val="single"/>
          <w:lang w:eastAsia="zh-CN"/>
        </w:rPr>
        <w:t>20</w:t>
      </w:r>
      <w:r>
        <w:rPr>
          <w:rFonts w:hint="eastAsia" w:ascii="仿宋" w:hAnsi="仿宋" w:eastAsia="仿宋" w:cs="仿宋"/>
          <w:sz w:val="24"/>
          <w:szCs w:val="24"/>
          <w:u w:val="single"/>
          <w:lang w:val="en-US" w:eastAsia="zh-CN"/>
        </w:rPr>
        <w:t>25</w:t>
      </w:r>
      <w:r>
        <w:rPr>
          <w:rFonts w:hint="eastAsia" w:ascii="仿宋" w:hAnsi="仿宋" w:eastAsia="仿宋" w:cs="仿宋"/>
          <w:sz w:val="24"/>
          <w:szCs w:val="24"/>
          <w:u w:val="single"/>
          <w:lang w:eastAsia="zh-CN"/>
        </w:rPr>
        <w:t>年</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lang w:eastAsia="zh-CN"/>
        </w:rPr>
        <w:t>月</w:t>
      </w:r>
    </w:p>
    <w:p w14:paraId="1F4B8381">
      <w:pPr>
        <w:spacing w:line="360" w:lineRule="auto"/>
        <w:jc w:val="both"/>
        <w:rPr>
          <w:rFonts w:hint="eastAsia" w:ascii="仿宋" w:hAnsi="仿宋" w:eastAsia="仿宋" w:cs="仿宋"/>
          <w:b/>
          <w:color w:val="000000" w:themeColor="text1"/>
          <w:sz w:val="24"/>
          <w:szCs w:val="24"/>
          <w:highlight w:val="none"/>
          <w:u w:val="none"/>
          <w14:textFill>
            <w14:solidFill>
              <w14:schemeClr w14:val="tx1"/>
            </w14:solidFill>
          </w14:textFill>
        </w:rPr>
      </w:pPr>
    </w:p>
    <w:p w14:paraId="078D57E2">
      <w:pPr>
        <w:pStyle w:val="7"/>
        <w:rPr>
          <w:rFonts w:hint="eastAsia" w:ascii="仿宋" w:hAnsi="仿宋" w:eastAsia="仿宋" w:cs="仿宋"/>
          <w:b/>
          <w:color w:val="000000" w:themeColor="text1"/>
          <w:sz w:val="24"/>
          <w:szCs w:val="24"/>
          <w:highlight w:val="none"/>
          <w:u w:val="none"/>
          <w14:textFill>
            <w14:solidFill>
              <w14:schemeClr w14:val="tx1"/>
            </w14:solidFill>
          </w14:textFill>
        </w:rPr>
      </w:pPr>
    </w:p>
    <w:p w14:paraId="6029958D">
      <w:pPr>
        <w:rPr>
          <w:rFonts w:hint="eastAsia" w:ascii="仿宋" w:hAnsi="仿宋" w:eastAsia="仿宋" w:cs="仿宋"/>
          <w:b/>
          <w:color w:val="000000" w:themeColor="text1"/>
          <w:sz w:val="24"/>
          <w:szCs w:val="24"/>
          <w:highlight w:val="none"/>
          <w:u w:val="none"/>
          <w14:textFill>
            <w14:solidFill>
              <w14:schemeClr w14:val="tx1"/>
            </w14:solidFill>
          </w14:textFill>
        </w:rPr>
      </w:pPr>
    </w:p>
    <w:p w14:paraId="50696109">
      <w:pPr>
        <w:rPr>
          <w:rFonts w:hint="eastAsia" w:ascii="仿宋" w:hAnsi="仿宋" w:eastAsia="仿宋" w:cs="仿宋"/>
          <w:sz w:val="24"/>
          <w:szCs w:val="24"/>
        </w:rPr>
      </w:pPr>
    </w:p>
    <w:p w14:paraId="63924164">
      <w:pPr>
        <w:rPr>
          <w:rFonts w:hint="eastAsia" w:ascii="仿宋" w:hAnsi="仿宋" w:eastAsia="仿宋" w:cs="仿宋"/>
          <w:sz w:val="24"/>
          <w:szCs w:val="24"/>
        </w:rPr>
      </w:pPr>
    </w:p>
    <w:p w14:paraId="2072D97A">
      <w:pPr>
        <w:rPr>
          <w:rFonts w:hint="eastAsia" w:ascii="仿宋" w:hAnsi="仿宋" w:eastAsia="仿宋" w:cs="仿宋"/>
          <w:sz w:val="24"/>
          <w:szCs w:val="24"/>
        </w:rPr>
      </w:pPr>
    </w:p>
    <w:p w14:paraId="745EADFD">
      <w:pPr>
        <w:rPr>
          <w:rFonts w:hint="eastAsia" w:ascii="仿宋" w:hAnsi="仿宋" w:eastAsia="仿宋" w:cs="仿宋"/>
          <w:sz w:val="24"/>
          <w:szCs w:val="24"/>
        </w:rPr>
      </w:pPr>
    </w:p>
    <w:p w14:paraId="0F1AB52D">
      <w:pPr>
        <w:rPr>
          <w:rFonts w:hint="eastAsia" w:ascii="仿宋" w:hAnsi="仿宋" w:eastAsia="仿宋" w:cs="仿宋"/>
          <w:sz w:val="24"/>
          <w:szCs w:val="24"/>
        </w:rPr>
      </w:pPr>
    </w:p>
    <w:p w14:paraId="5346B087">
      <w:pPr>
        <w:rPr>
          <w:rFonts w:hint="eastAsia" w:ascii="仿宋" w:hAnsi="仿宋" w:eastAsia="仿宋" w:cs="仿宋"/>
          <w:sz w:val="24"/>
          <w:szCs w:val="24"/>
        </w:rPr>
      </w:pPr>
    </w:p>
    <w:p w14:paraId="1E54FC23">
      <w:pPr>
        <w:rPr>
          <w:rFonts w:hint="eastAsia" w:ascii="仿宋" w:hAnsi="仿宋" w:eastAsia="仿宋" w:cs="仿宋"/>
          <w:sz w:val="24"/>
          <w:szCs w:val="24"/>
        </w:rPr>
      </w:pPr>
    </w:p>
    <w:p w14:paraId="00C74250">
      <w:pPr>
        <w:rPr>
          <w:rFonts w:hint="eastAsia" w:ascii="仿宋" w:hAnsi="仿宋" w:eastAsia="仿宋" w:cs="仿宋"/>
          <w:sz w:val="24"/>
          <w:szCs w:val="24"/>
        </w:rPr>
      </w:pPr>
    </w:p>
    <w:p w14:paraId="619C5B42">
      <w:pPr>
        <w:spacing w:line="360" w:lineRule="auto"/>
        <w:jc w:val="center"/>
        <w:rPr>
          <w:rFonts w:hint="eastAsia" w:ascii="仿宋" w:hAnsi="仿宋" w:eastAsia="仿宋" w:cs="仿宋"/>
          <w:b/>
          <w:color w:val="000000" w:themeColor="text1"/>
          <w:sz w:val="24"/>
          <w:szCs w:val="24"/>
          <w:highlight w:val="none"/>
          <w:u w:val="none"/>
          <w:lang w:val="en-US" w:eastAsia="zh-CN"/>
          <w14:textFill>
            <w14:solidFill>
              <w14:schemeClr w14:val="tx1"/>
            </w14:solidFill>
          </w14:textFill>
        </w:rPr>
      </w:pPr>
      <w:r>
        <w:rPr>
          <w:rFonts w:hint="eastAsia" w:ascii="仿宋" w:hAnsi="仿宋" w:eastAsia="仿宋" w:cs="仿宋"/>
          <w:b/>
          <w:color w:val="000000" w:themeColor="text1"/>
          <w:sz w:val="24"/>
          <w:szCs w:val="24"/>
          <w:highlight w:val="none"/>
          <w:u w:val="none"/>
          <w:lang w:val="en-US" w:eastAsia="zh-CN"/>
          <w14:textFill>
            <w14:solidFill>
              <w14:schemeClr w14:val="tx1"/>
            </w14:solidFill>
          </w14:textFill>
        </w:rPr>
        <w:t>菲律宾凯萨卡供水隧洞项目</w:t>
      </w:r>
    </w:p>
    <w:p w14:paraId="1F6C3518">
      <w:pPr>
        <w:spacing w:line="360" w:lineRule="auto"/>
        <w:jc w:val="center"/>
        <w:rPr>
          <w:rFonts w:hint="eastAsia" w:ascii="仿宋" w:hAnsi="仿宋" w:eastAsia="仿宋" w:cs="仿宋"/>
          <w:b/>
          <w:color w:val="000000" w:themeColor="text1"/>
          <w:sz w:val="24"/>
          <w:szCs w:val="24"/>
          <w:highlight w:val="none"/>
          <w:u w:val="none"/>
          <w14:textFill>
            <w14:solidFill>
              <w14:schemeClr w14:val="tx1"/>
            </w14:solidFill>
          </w14:textFill>
        </w:rPr>
      </w:pPr>
      <w:r>
        <w:rPr>
          <w:rFonts w:hint="eastAsia" w:ascii="仿宋" w:hAnsi="仿宋" w:eastAsia="仿宋" w:cs="仿宋"/>
          <w:b/>
          <w:color w:val="000000" w:themeColor="text1"/>
          <w:sz w:val="24"/>
          <w:szCs w:val="24"/>
          <w:highlight w:val="none"/>
          <w:u w:val="none"/>
          <w:lang w:val="en-US" w:eastAsia="zh-CN"/>
          <w14:textFill>
            <w14:solidFill>
              <w14:schemeClr w14:val="tx1"/>
            </w14:solidFill>
          </w14:textFill>
        </w:rPr>
        <w:t>2025年6月电线电缆询价采购询价函</w:t>
      </w:r>
    </w:p>
    <w:p w14:paraId="4D2FAB52">
      <w:pPr>
        <w:pageBreakBefore w:val="0"/>
        <w:widowControl w:val="0"/>
        <w:numPr>
          <w:ilvl w:val="0"/>
          <w:numId w:val="0"/>
        </w:numPr>
        <w:kinsoku/>
        <w:wordWrap/>
        <w:overflowPunct/>
        <w:topLinePunct w:val="0"/>
        <w:bidi w:val="0"/>
        <w:snapToGrid/>
        <w:spacing w:before="10" w:line="360" w:lineRule="auto"/>
        <w:ind w:firstLine="482" w:firstLineChars="200"/>
        <w:textAlignment w:val="auto"/>
        <w:rPr>
          <w:rFonts w:hint="eastAsia" w:ascii="仿宋" w:hAnsi="仿宋" w:eastAsia="仿宋" w:cs="仿宋"/>
          <w:b w:val="0"/>
          <w:bCs w:val="0"/>
          <w:sz w:val="24"/>
          <w:szCs w:val="24"/>
          <w:lang w:val="en-US" w:eastAsia="zh-CN"/>
        </w:rPr>
      </w:pPr>
      <w:r>
        <w:rPr>
          <w:rFonts w:hint="eastAsia" w:ascii="仿宋" w:hAnsi="仿宋" w:eastAsia="仿宋" w:cs="仿宋"/>
          <w:b/>
          <w:bCs w:val="0"/>
          <w:color w:val="000000" w:themeColor="text1"/>
          <w:sz w:val="24"/>
          <w:szCs w:val="24"/>
          <w:highlight w:val="none"/>
          <w14:textFill>
            <w14:solidFill>
              <w14:schemeClr w14:val="tx1"/>
            </w14:solidFill>
          </w14:textFill>
        </w:rPr>
        <w:t>一、项目概况与</w:t>
      </w:r>
      <w:r>
        <w:rPr>
          <w:rFonts w:hint="eastAsia" w:ascii="仿宋" w:hAnsi="仿宋" w:eastAsia="仿宋" w:cs="仿宋"/>
          <w:b/>
          <w:bCs w:val="0"/>
          <w:color w:val="000000" w:themeColor="text1"/>
          <w:sz w:val="24"/>
          <w:szCs w:val="24"/>
          <w:highlight w:val="none"/>
          <w:lang w:val="en-US" w:eastAsia="zh-CN"/>
          <w14:textFill>
            <w14:solidFill>
              <w14:schemeClr w14:val="tx1"/>
            </w14:solidFill>
          </w14:textFill>
        </w:rPr>
        <w:t>需求一览表</w:t>
      </w:r>
    </w:p>
    <w:p w14:paraId="169B6154">
      <w:pPr>
        <w:pageBreakBefore w:val="0"/>
        <w:widowControl w:val="0"/>
        <w:numPr>
          <w:ilvl w:val="0"/>
          <w:numId w:val="0"/>
        </w:numPr>
        <w:kinsoku/>
        <w:wordWrap/>
        <w:overflowPunct/>
        <w:topLinePunct w:val="0"/>
        <w:bidi w:val="0"/>
        <w:snapToGrid/>
        <w:spacing w:before="10" w:line="360" w:lineRule="auto"/>
        <w:ind w:firstLine="480" w:firstLineChars="200"/>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（1）菲律宾凯萨卡项目：合同签订日期2023年8月30日，合同类型为设计建造(DB)合同。合同工期774天，缺陷责任期365天。</w:t>
      </w:r>
    </w:p>
    <w:p w14:paraId="2133C537">
      <w:pPr>
        <w:pageBreakBefore w:val="0"/>
        <w:widowControl w:val="0"/>
        <w:numPr>
          <w:ilvl w:val="0"/>
          <w:numId w:val="0"/>
        </w:numPr>
        <w:kinsoku/>
        <w:wordWrap/>
        <w:overflowPunct/>
        <w:topLinePunct w:val="0"/>
        <w:bidi w:val="0"/>
        <w:snapToGrid/>
        <w:spacing w:before="10" w:line="360" w:lineRule="auto"/>
        <w:ind w:firstLine="480" w:firstLineChars="200"/>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项目位于菲律宾黎刹省安蒂波洛市的San Jose和Calawis 山脉沿线，距离马尼拉港口约60km。隧洞沿线地面均被热带雨林覆盖，隧洞中间地势高，两端地势低，整体埋深 6～144m，隧洞进口埋深约5.6m，出口埋深约22m。主要建设内容为新建一条长度约6.05km、开挖直径3.86m、衬砌后直径3.1m的供水隧洞，将原水从KAYSAKAT隧道进水口CALAWIS输送至隧道出水口KAYSAKAT水厂，设计输水流量约5.32m3/s。采用双护盾全断面硬岩隧洞掘进机（TBM）施工，主要包括隧道入口与上游互连段，供水隧洞和出口竖井、压力钢管和阀门等</w:t>
      </w:r>
    </w:p>
    <w:p w14:paraId="59FB4E06">
      <w:pPr>
        <w:spacing w:line="360" w:lineRule="auto"/>
        <w:ind w:firstLine="482" w:firstLineChars="200"/>
        <w:jc w:val="left"/>
        <w:rPr>
          <w:rFonts w:hint="eastAsia" w:ascii="仿宋" w:hAnsi="仿宋" w:eastAsia="仿宋" w:cs="仿宋"/>
          <w:b w:val="0"/>
          <w:bCs/>
          <w:color w:val="000000"/>
          <w:sz w:val="24"/>
          <w:szCs w:val="24"/>
          <w:lang w:val="en-US" w:eastAsia="zh-CN"/>
        </w:rPr>
      </w:pPr>
      <w:r>
        <w:rPr>
          <w:rFonts w:hint="eastAsia" w:ascii="仿宋" w:hAnsi="仿宋" w:eastAsia="仿宋" w:cs="仿宋"/>
          <w:b/>
          <w:color w:val="000000"/>
          <w:sz w:val="24"/>
          <w:szCs w:val="24"/>
        </w:rPr>
        <w:t>项目地址：</w:t>
      </w:r>
      <w:r>
        <w:rPr>
          <w:rFonts w:hint="eastAsia" w:ascii="仿宋" w:hAnsi="仿宋" w:eastAsia="仿宋" w:cs="仿宋"/>
          <w:b w:val="0"/>
          <w:bCs/>
          <w:color w:val="000000"/>
          <w:sz w:val="24"/>
          <w:szCs w:val="24"/>
          <w:lang w:val="en-US" w:eastAsia="zh-CN"/>
        </w:rPr>
        <w:t>安提波洛，黎刹省，P63X+65J</w:t>
      </w:r>
    </w:p>
    <w:p w14:paraId="4FAE6F89">
      <w:pPr>
        <w:pStyle w:val="16"/>
        <w:spacing w:line="360" w:lineRule="auto"/>
        <w:ind w:left="0" w:leftChars="0" w:firstLine="0" w:firstLineChars="0"/>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1.2</w:t>
      </w:r>
      <w:r>
        <w:rPr>
          <w:rFonts w:hint="eastAsia" w:ascii="仿宋" w:hAnsi="仿宋" w:eastAsia="仿宋" w:cs="仿宋"/>
          <w:b/>
          <w:color w:val="000000" w:themeColor="text1"/>
          <w:sz w:val="24"/>
          <w:szCs w:val="24"/>
          <w:highlight w:val="none"/>
          <w:lang w:val="en-US" w:eastAsia="zh-CN"/>
          <w14:textFill>
            <w14:solidFill>
              <w14:schemeClr w14:val="tx1"/>
            </w14:solidFill>
          </w14:textFill>
        </w:rPr>
        <w:t>需求一览表</w:t>
      </w:r>
      <w:r>
        <w:rPr>
          <w:rFonts w:hint="eastAsia" w:ascii="仿宋" w:hAnsi="仿宋" w:eastAsia="仿宋" w:cs="仿宋"/>
          <w:b/>
          <w:color w:val="000000" w:themeColor="text1"/>
          <w:sz w:val="24"/>
          <w:szCs w:val="24"/>
          <w:highlight w:val="none"/>
          <w14:textFill>
            <w14:solidFill>
              <w14:schemeClr w14:val="tx1"/>
            </w14:solidFill>
          </w14:textFill>
        </w:rPr>
        <w:t>：</w:t>
      </w:r>
    </w:p>
    <w:p w14:paraId="0A37E7C0">
      <w:pPr>
        <w:pStyle w:val="16"/>
        <w:spacing w:line="360" w:lineRule="auto"/>
        <w:ind w:left="0" w:leftChars="0" w:firstLine="0" w:firstLineChars="0"/>
        <w:rPr>
          <w:rFonts w:hint="eastAsia" w:ascii="仿宋" w:hAnsi="仿宋" w:eastAsia="仿宋" w:cs="仿宋"/>
          <w:b/>
          <w:color w:val="000000" w:themeColor="text1"/>
          <w:sz w:val="24"/>
          <w:szCs w:val="24"/>
          <w:highlight w:val="none"/>
          <w:lang w:val="en-US" w:eastAsia="zh-CN"/>
          <w14:textFill>
            <w14:solidFill>
              <w14:schemeClr w14:val="tx1"/>
            </w14:solidFill>
          </w14:textFill>
        </w:rPr>
      </w:pP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 xml:space="preserve">      详件附件1</w:t>
      </w:r>
    </w:p>
    <w:p w14:paraId="724342B5">
      <w:pPr>
        <w:numPr>
          <w:ilvl w:val="0"/>
          <w:numId w:val="0"/>
        </w:numPr>
        <w:spacing w:line="360" w:lineRule="auto"/>
        <w:rPr>
          <w:rFonts w:hint="eastAsia" w:ascii="仿宋" w:hAnsi="仿宋" w:eastAsia="仿宋" w:cs="仿宋"/>
          <w:b/>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二、产品技术标准</w:t>
      </w:r>
    </w:p>
    <w:p w14:paraId="5A4F7B0F">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严格按照第四部分招标清单备注要求；确保提供合格产品；</w:t>
      </w:r>
    </w:p>
    <w:p w14:paraId="3E582BD7">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val="en-US" w:eastAsia="zh-CN"/>
        </w:rPr>
        <w:t>.</w:t>
      </w:r>
      <w:r>
        <w:rPr>
          <w:rFonts w:hint="eastAsia" w:ascii="仿宋" w:hAnsi="仿宋" w:eastAsia="仿宋" w:cs="仿宋"/>
          <w:sz w:val="24"/>
          <w:szCs w:val="24"/>
        </w:rPr>
        <w:t>卖方严格按照买方要求加工生产，卖方未经同意无权更改，按照投标书承诺卖方确定提供合格产品，一旦出现不合格产品或者不满足现场施工需求的，卖方需积极解决问题更换合格产品外，并承担因此损失的全部费用。</w:t>
      </w:r>
    </w:p>
    <w:p w14:paraId="16AF4B0A">
      <w:pPr>
        <w:spacing w:line="360" w:lineRule="auto"/>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sz w:val="24"/>
          <w:szCs w:val="24"/>
          <w:lang w:val="en-US" w:eastAsia="zh-CN"/>
        </w:rPr>
        <w:t>三、</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结算及</w:t>
      </w:r>
      <w:r>
        <w:rPr>
          <w:rFonts w:hint="eastAsia" w:ascii="仿宋" w:hAnsi="仿宋" w:eastAsia="仿宋" w:cs="仿宋"/>
          <w:b/>
          <w:bCs/>
          <w:color w:val="000000" w:themeColor="text1"/>
          <w:sz w:val="24"/>
          <w:szCs w:val="24"/>
          <w:highlight w:val="none"/>
          <w14:textFill>
            <w14:solidFill>
              <w14:schemeClr w14:val="tx1"/>
            </w14:solidFill>
          </w14:textFill>
        </w:rPr>
        <w:t>支付方式</w:t>
      </w:r>
    </w:p>
    <w:p w14:paraId="7794296B">
      <w:pPr>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t>1.</w:t>
      </w:r>
      <w:r>
        <w:rPr>
          <w:rFonts w:hint="eastAsia" w:ascii="仿宋" w:hAnsi="仿宋" w:eastAsia="仿宋" w:cs="仿宋"/>
          <w:sz w:val="24"/>
          <w:szCs w:val="24"/>
          <w:lang w:val="en-US" w:eastAsia="zh-CN"/>
        </w:rPr>
        <w:t>无预付款</w:t>
      </w:r>
    </w:p>
    <w:p w14:paraId="450D4D60">
      <w:pPr>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2.结算单价为</w:t>
      </w:r>
      <w:r>
        <w:rPr>
          <w:rFonts w:hint="eastAsia" w:ascii="仿宋" w:hAnsi="仿宋" w:eastAsia="仿宋" w:cs="仿宋"/>
          <w:b/>
          <w:bCs/>
          <w:sz w:val="24"/>
          <w:szCs w:val="24"/>
          <w:lang w:val="en-US" w:eastAsia="zh-CN"/>
        </w:rPr>
        <w:t>不含税固定单价</w:t>
      </w:r>
      <w:r>
        <w:rPr>
          <w:rFonts w:hint="eastAsia" w:ascii="仿宋" w:hAnsi="仿宋" w:eastAsia="仿宋" w:cs="仿宋"/>
          <w:sz w:val="24"/>
          <w:szCs w:val="24"/>
          <w:lang w:val="en-US" w:eastAsia="zh-CN"/>
        </w:rPr>
        <w:t>，报价以人民币为准，实际结算支付时按中标通知发出之日的美元汇率（合同执行中固定汇率）折算，以美元进行支付。</w:t>
      </w:r>
    </w:p>
    <w:p w14:paraId="76CE9FBF">
      <w:pPr>
        <w:spacing w:line="360" w:lineRule="auto"/>
        <w:ind w:firstLine="480" w:firstLineChars="200"/>
        <w:rPr>
          <w:rFonts w:hint="eastAsia" w:ascii="仿宋" w:hAnsi="仿宋" w:eastAsia="仿宋" w:cs="仿宋"/>
          <w:b/>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sz w:val="24"/>
          <w:szCs w:val="24"/>
          <w:lang w:val="en-US" w:eastAsia="zh-CN"/>
        </w:rPr>
        <w:t>3.乙方凭国内报关单以及形式发票向甲方发起结算申请，经甲方审批完成后，并且完成CIF到港交货后20天或货</w:t>
      </w:r>
      <w:r>
        <w:rPr>
          <w:rFonts w:hint="eastAsia" w:ascii="仿宋" w:hAnsi="仿宋" w:eastAsia="仿宋" w:cs="仿宋"/>
          <w:sz w:val="24"/>
          <w:szCs w:val="24"/>
        </w:rPr>
        <w:t>物离港</w:t>
      </w:r>
      <w:r>
        <w:rPr>
          <w:rFonts w:hint="eastAsia" w:ascii="仿宋" w:hAnsi="仿宋" w:eastAsia="仿宋" w:cs="仿宋"/>
          <w:sz w:val="24"/>
          <w:szCs w:val="24"/>
          <w:lang w:val="en-US" w:eastAsia="zh-CN"/>
        </w:rPr>
        <w:t>45</w:t>
      </w:r>
      <w:r>
        <w:rPr>
          <w:rFonts w:hint="eastAsia" w:ascii="仿宋" w:hAnsi="仿宋" w:eastAsia="仿宋" w:cs="仿宋"/>
          <w:sz w:val="24"/>
          <w:szCs w:val="24"/>
        </w:rPr>
        <w:t>日内</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先到日期为准</w:t>
      </w:r>
      <w:r>
        <w:rPr>
          <w:rFonts w:hint="eastAsia" w:ascii="仿宋" w:hAnsi="仿宋" w:eastAsia="仿宋" w:cs="仿宋"/>
          <w:sz w:val="24"/>
          <w:szCs w:val="24"/>
          <w:lang w:eastAsia="zh-CN"/>
        </w:rPr>
        <w:t>）</w:t>
      </w:r>
      <w:r>
        <w:rPr>
          <w:rFonts w:hint="eastAsia" w:ascii="仿宋" w:hAnsi="仿宋" w:eastAsia="仿宋" w:cs="仿宋"/>
          <w:sz w:val="24"/>
          <w:szCs w:val="24"/>
        </w:rPr>
        <w:t>支付合同总额的</w:t>
      </w:r>
      <w:r>
        <w:rPr>
          <w:rFonts w:hint="eastAsia" w:ascii="仿宋" w:hAnsi="仿宋" w:eastAsia="仿宋" w:cs="仿宋"/>
          <w:sz w:val="24"/>
          <w:szCs w:val="24"/>
          <w:lang w:val="en-US" w:eastAsia="zh-CN"/>
        </w:rPr>
        <w:t>9</w:t>
      </w:r>
      <w:r>
        <w:rPr>
          <w:rFonts w:hint="eastAsia" w:ascii="仿宋" w:hAnsi="仿宋" w:eastAsia="仿宋" w:cs="仿宋"/>
          <w:sz w:val="24"/>
          <w:szCs w:val="24"/>
        </w:rPr>
        <w:t>0%，项目验收无误12个月内支付剩余10%保</w:t>
      </w:r>
      <w:r>
        <w:rPr>
          <w:rFonts w:hint="eastAsia" w:ascii="仿宋" w:hAnsi="仿宋" w:eastAsia="仿宋" w:cs="仿宋"/>
          <w:sz w:val="24"/>
          <w:szCs w:val="24"/>
          <w:lang w:val="en-US" w:eastAsia="zh-CN"/>
        </w:rPr>
        <w:t>证</w:t>
      </w:r>
      <w:r>
        <w:rPr>
          <w:rFonts w:hint="eastAsia" w:ascii="仿宋" w:hAnsi="仿宋" w:eastAsia="仿宋" w:cs="仿宋"/>
          <w:sz w:val="24"/>
          <w:szCs w:val="24"/>
        </w:rPr>
        <w:t>金</w:t>
      </w:r>
      <w:r>
        <w:rPr>
          <w:rFonts w:hint="eastAsia" w:ascii="仿宋" w:hAnsi="仿宋" w:eastAsia="仿宋" w:cs="仿宋"/>
          <w:sz w:val="24"/>
          <w:szCs w:val="24"/>
          <w:lang w:eastAsia="zh-CN"/>
        </w:rPr>
        <w:t>。</w:t>
      </w:r>
    </w:p>
    <w:p w14:paraId="14F58ED4">
      <w:pPr>
        <w:numPr>
          <w:ilvl w:val="0"/>
          <w:numId w:val="0"/>
        </w:numPr>
        <w:spacing w:line="360" w:lineRule="auto"/>
        <w:rPr>
          <w:rFonts w:hint="eastAsia" w:ascii="仿宋" w:hAnsi="仿宋" w:eastAsia="仿宋" w:cs="仿宋"/>
          <w:b/>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四、交货地点及交货方式：</w:t>
      </w:r>
    </w:p>
    <w:p w14:paraId="6D20C444">
      <w:pPr>
        <w:numPr>
          <w:ilvl w:val="0"/>
          <w:numId w:val="0"/>
        </w:numPr>
        <w:spacing w:line="360" w:lineRule="auto"/>
        <w:rPr>
          <w:rFonts w:hint="eastAsia" w:ascii="仿宋" w:hAnsi="仿宋" w:eastAsia="仿宋" w:cs="仿宋"/>
          <w:b/>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 xml:space="preserve">    </w:t>
      </w:r>
      <w:r>
        <w:rPr>
          <w:rFonts w:hint="eastAsia" w:ascii="仿宋" w:hAnsi="仿宋" w:eastAsia="仿宋" w:cs="仿宋"/>
          <w:sz w:val="24"/>
          <w:szCs w:val="24"/>
          <w:lang w:val="en-US" w:eastAsia="zh-CN"/>
        </w:rPr>
        <w:t>CIF菲律宾马尼拉港口交货</w:t>
      </w:r>
    </w:p>
    <w:p w14:paraId="55CE1A81">
      <w:pPr>
        <w:numPr>
          <w:ilvl w:val="0"/>
          <w:numId w:val="0"/>
        </w:numPr>
        <w:spacing w:line="360" w:lineRule="auto"/>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五、包装要求</w:t>
      </w:r>
    </w:p>
    <w:p w14:paraId="61A4FEBE">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除合同另有规定外，卖方提供的全部货物均应按标准保护措施进行包装，这类包装应适应于国际远距离运输、防湿、防潮、防震、防锈和防野蛮装卸，以确保货物安全无损运抵指定现场。</w:t>
      </w:r>
    </w:p>
    <w:p w14:paraId="3BEFBACD">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val="en-US" w:eastAsia="zh-CN"/>
        </w:rPr>
        <w:t>.</w:t>
      </w:r>
      <w:r>
        <w:rPr>
          <w:rFonts w:hint="eastAsia" w:ascii="仿宋" w:hAnsi="仿宋" w:eastAsia="仿宋" w:cs="仿宋"/>
          <w:sz w:val="24"/>
          <w:szCs w:val="24"/>
        </w:rPr>
        <w:t>每一个包装箱内应附一份详细装箱单。</w:t>
      </w:r>
    </w:p>
    <w:p w14:paraId="705BE510">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val="en-US" w:eastAsia="zh-CN"/>
        </w:rPr>
        <w:t>.</w:t>
      </w:r>
      <w:r>
        <w:rPr>
          <w:rFonts w:hint="eastAsia" w:ascii="仿宋" w:hAnsi="仿宋" w:eastAsia="仿宋" w:cs="仿宋"/>
          <w:sz w:val="24"/>
          <w:szCs w:val="24"/>
        </w:rPr>
        <w:t>全部货物包装标准符合出口产品要求。</w:t>
      </w:r>
    </w:p>
    <w:p w14:paraId="1813DE0D">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val="en-US" w:eastAsia="zh-CN"/>
        </w:rPr>
        <w:t>.</w:t>
      </w:r>
      <w:r>
        <w:rPr>
          <w:rFonts w:hint="eastAsia" w:ascii="仿宋" w:hAnsi="仿宋" w:eastAsia="仿宋" w:cs="仿宋"/>
          <w:sz w:val="24"/>
          <w:szCs w:val="24"/>
        </w:rPr>
        <w:t>如货物需进行再包装，建议使用标准木箱（110cm*110cm*110cm）。特殊、超重物品建议用托盘、铁箱、绑扎等方式。包装费用由卖方承担，包装物不回收。卖方须承担由于包装不妥而引起货物锈蚀、损坏和丢失的责任。</w:t>
      </w:r>
    </w:p>
    <w:p w14:paraId="574B61C4">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5</w:t>
      </w:r>
      <w:r>
        <w:rPr>
          <w:rFonts w:hint="eastAsia" w:ascii="仿宋" w:hAnsi="仿宋" w:eastAsia="仿宋" w:cs="仿宋"/>
          <w:sz w:val="24"/>
          <w:szCs w:val="24"/>
          <w:lang w:val="en-US" w:eastAsia="zh-CN"/>
        </w:rPr>
        <w:t>.</w:t>
      </w:r>
      <w:r>
        <w:rPr>
          <w:rFonts w:hint="eastAsia" w:ascii="仿宋" w:hAnsi="仿宋" w:eastAsia="仿宋" w:cs="仿宋"/>
          <w:sz w:val="24"/>
          <w:szCs w:val="24"/>
        </w:rPr>
        <w:t>涉及种类繁多的货物清单，卖方宜咨询买方发运主管，准确填制物资处提供的标准电子版装箱单。同时，货物外表须粘贴供货商名称、货物名称、型号、对应合同清单序号，便于交接货物与验收。</w:t>
      </w:r>
      <w:r>
        <w:rPr>
          <w:rFonts w:hint="eastAsia" w:ascii="仿宋" w:hAnsi="仿宋" w:eastAsia="仿宋" w:cs="仿宋"/>
          <w:sz w:val="24"/>
          <w:szCs w:val="24"/>
          <w:u w:val="single"/>
        </w:rPr>
        <w:t>同一品名的散杂小类货物不得分散装不同木箱。</w:t>
      </w:r>
    </w:p>
    <w:p w14:paraId="0F1E9C10">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w:t>
      </w:r>
      <w:r>
        <w:rPr>
          <w:rFonts w:hint="eastAsia" w:ascii="仿宋" w:hAnsi="仿宋" w:eastAsia="仿宋" w:cs="仿宋"/>
          <w:sz w:val="24"/>
          <w:szCs w:val="24"/>
        </w:rPr>
        <w:t>装运标记及装箱尺码单</w:t>
      </w:r>
    </w:p>
    <w:p w14:paraId="676BFE0E">
      <w:pPr>
        <w:spacing w:line="360" w:lineRule="auto"/>
        <w:ind w:firstLine="360" w:firstLineChars="150"/>
        <w:rPr>
          <w:rFonts w:hint="eastAsia" w:ascii="仿宋" w:hAnsi="仿宋" w:eastAsia="仿宋" w:cs="仿宋"/>
          <w:sz w:val="24"/>
          <w:szCs w:val="24"/>
        </w:rPr>
      </w:pPr>
      <w:r>
        <w:rPr>
          <w:rFonts w:hint="eastAsia" w:ascii="仿宋" w:hAnsi="仿宋" w:eastAsia="仿宋" w:cs="仿宋"/>
          <w:sz w:val="24"/>
          <w:szCs w:val="24"/>
        </w:rPr>
        <w:t>(1) 乙方应在每件货物的四个侧面以醒目的中英文印刷字样标明以下各项：①目的国；②合同号；③装运标志（唛头）如下；④收货项目简称；⑤目的港；⑥货物名称、件号；⑦毛重/净重(公斤)；⑧尺寸(长×宽×高，以厘米计)。</w:t>
      </w:r>
    </w:p>
    <w:p w14:paraId="1729A910">
      <w:pPr>
        <w:spacing w:line="360" w:lineRule="auto"/>
        <w:ind w:left="360"/>
        <w:rPr>
          <w:rFonts w:hint="eastAsia" w:ascii="仿宋" w:hAnsi="仿宋" w:eastAsia="仿宋" w:cs="仿宋"/>
          <w:sz w:val="24"/>
          <w:szCs w:val="24"/>
        </w:rPr>
      </w:pPr>
      <w:r>
        <w:rPr>
          <w:rFonts w:hint="eastAsia" w:ascii="仿宋" w:hAnsi="仿宋" w:eastAsia="仿宋" w:cs="仿宋"/>
          <w:sz w:val="24"/>
          <w:szCs w:val="24"/>
        </w:rPr>
        <w:t>唛头格式如下（具体以实际“送货通知”为准）：</w:t>
      </w:r>
    </w:p>
    <w:tbl>
      <w:tblPr>
        <w:tblStyle w:val="17"/>
        <w:tblW w:w="0" w:type="auto"/>
        <w:jc w:val="center"/>
        <w:tblLayout w:type="fixed"/>
        <w:tblCellMar>
          <w:top w:w="0" w:type="dxa"/>
          <w:left w:w="108" w:type="dxa"/>
          <w:bottom w:w="0" w:type="dxa"/>
          <w:right w:w="108" w:type="dxa"/>
        </w:tblCellMar>
      </w:tblPr>
      <w:tblGrid>
        <w:gridCol w:w="3026"/>
        <w:gridCol w:w="128"/>
        <w:gridCol w:w="1418"/>
        <w:gridCol w:w="607"/>
        <w:gridCol w:w="4029"/>
      </w:tblGrid>
      <w:tr w14:paraId="05942EC1">
        <w:tblPrEx>
          <w:tblCellMar>
            <w:top w:w="0" w:type="dxa"/>
            <w:left w:w="108" w:type="dxa"/>
            <w:bottom w:w="0" w:type="dxa"/>
            <w:right w:w="108" w:type="dxa"/>
          </w:tblCellMar>
        </w:tblPrEx>
        <w:trPr>
          <w:trHeight w:val="285" w:hRule="atLeast"/>
          <w:jc w:val="center"/>
        </w:trPr>
        <w:tc>
          <w:tcPr>
            <w:tcW w:w="9208" w:type="dxa"/>
            <w:gridSpan w:val="5"/>
            <w:tcBorders>
              <w:top w:val="single" w:color="auto" w:sz="4" w:space="0"/>
              <w:left w:val="single" w:color="auto" w:sz="4" w:space="0"/>
              <w:bottom w:val="nil"/>
              <w:right w:val="single" w:color="000000" w:sz="4" w:space="0"/>
            </w:tcBorders>
            <w:noWrap w:val="0"/>
            <w:vAlign w:val="top"/>
          </w:tcPr>
          <w:p w14:paraId="39910E87">
            <w:pPr>
              <w:jc w:val="center"/>
              <w:rPr>
                <w:rFonts w:hint="eastAsia" w:ascii="仿宋" w:hAnsi="仿宋" w:eastAsia="仿宋" w:cs="仿宋"/>
                <w:sz w:val="24"/>
                <w:szCs w:val="24"/>
              </w:rPr>
            </w:pPr>
            <w:r>
              <w:rPr>
                <w:rFonts w:hint="eastAsia" w:ascii="仿宋" w:hAnsi="仿宋" w:eastAsia="仿宋" w:cs="仿宋"/>
                <w:sz w:val="24"/>
                <w:szCs w:val="24"/>
              </w:rPr>
              <w:t xml:space="preserve"> </w:t>
            </w:r>
          </w:p>
        </w:tc>
      </w:tr>
      <w:tr w14:paraId="57E08CA0">
        <w:tblPrEx>
          <w:tblCellMar>
            <w:top w:w="0" w:type="dxa"/>
            <w:left w:w="108" w:type="dxa"/>
            <w:bottom w:w="0" w:type="dxa"/>
            <w:right w:w="108" w:type="dxa"/>
          </w:tblCellMar>
        </w:tblPrEx>
        <w:trPr>
          <w:trHeight w:val="285" w:hRule="atLeast"/>
          <w:jc w:val="center"/>
        </w:trPr>
        <w:tc>
          <w:tcPr>
            <w:tcW w:w="9208" w:type="dxa"/>
            <w:gridSpan w:val="5"/>
            <w:tcBorders>
              <w:top w:val="nil"/>
              <w:left w:val="single" w:color="auto" w:sz="4" w:space="0"/>
              <w:bottom w:val="nil"/>
              <w:right w:val="single" w:color="000000" w:sz="4" w:space="0"/>
            </w:tcBorders>
            <w:noWrap w:val="0"/>
            <w:vAlign w:val="top"/>
          </w:tcPr>
          <w:p w14:paraId="6252083C">
            <w:pPr>
              <w:jc w:val="center"/>
              <w:rPr>
                <w:rFonts w:hint="eastAsia" w:ascii="仿宋" w:hAnsi="仿宋" w:eastAsia="仿宋" w:cs="仿宋"/>
                <w:sz w:val="24"/>
                <w:szCs w:val="24"/>
              </w:rPr>
            </w:pPr>
            <w:r>
              <w:rPr>
                <w:rFonts w:hint="eastAsia" w:ascii="仿宋" w:hAnsi="仿宋" w:eastAsia="仿宋" w:cs="仿宋"/>
                <w:sz w:val="24"/>
                <w:szCs w:val="24"/>
              </w:rPr>
              <w:t xml:space="preserve"> </w:t>
            </w:r>
          </w:p>
        </w:tc>
      </w:tr>
      <w:tr w14:paraId="4AA31F3A">
        <w:tblPrEx>
          <w:tblCellMar>
            <w:top w:w="0" w:type="dxa"/>
            <w:left w:w="108" w:type="dxa"/>
            <w:bottom w:w="0" w:type="dxa"/>
            <w:right w:w="108" w:type="dxa"/>
          </w:tblCellMar>
        </w:tblPrEx>
        <w:trPr>
          <w:trHeight w:val="285" w:hRule="atLeast"/>
          <w:jc w:val="center"/>
        </w:trPr>
        <w:tc>
          <w:tcPr>
            <w:tcW w:w="9208" w:type="dxa"/>
            <w:gridSpan w:val="5"/>
            <w:tcBorders>
              <w:top w:val="nil"/>
              <w:left w:val="single" w:color="auto" w:sz="4" w:space="0"/>
              <w:bottom w:val="nil"/>
              <w:right w:val="single" w:color="000000" w:sz="4" w:space="0"/>
            </w:tcBorders>
            <w:noWrap w:val="0"/>
            <w:vAlign w:val="top"/>
          </w:tcPr>
          <w:p w14:paraId="44155A8C">
            <w:pPr>
              <w:jc w:val="center"/>
              <w:rPr>
                <w:rFonts w:hint="eastAsia" w:ascii="仿宋" w:hAnsi="仿宋" w:eastAsia="仿宋" w:cs="仿宋"/>
                <w:sz w:val="24"/>
                <w:szCs w:val="24"/>
              </w:rPr>
            </w:pPr>
            <w:r>
              <w:rPr>
                <w:rFonts w:hint="eastAsia" w:ascii="仿宋" w:hAnsi="仿宋" w:eastAsia="仿宋" w:cs="仿宋"/>
                <w:sz w:val="24"/>
                <w:szCs w:val="24"/>
              </w:rPr>
              <w:t xml:space="preserve"> </w:t>
            </w:r>
          </w:p>
        </w:tc>
      </w:tr>
      <w:tr w14:paraId="2C250741">
        <w:tblPrEx>
          <w:tblCellMar>
            <w:top w:w="0" w:type="dxa"/>
            <w:left w:w="108" w:type="dxa"/>
            <w:bottom w:w="0" w:type="dxa"/>
            <w:right w:w="108" w:type="dxa"/>
          </w:tblCellMar>
        </w:tblPrEx>
        <w:trPr>
          <w:trHeight w:val="285" w:hRule="atLeast"/>
          <w:jc w:val="center"/>
        </w:trPr>
        <w:tc>
          <w:tcPr>
            <w:tcW w:w="9208" w:type="dxa"/>
            <w:gridSpan w:val="5"/>
            <w:tcBorders>
              <w:top w:val="nil"/>
              <w:left w:val="single" w:color="auto" w:sz="4" w:space="0"/>
              <w:bottom w:val="nil"/>
              <w:right w:val="single" w:color="000000" w:sz="4" w:space="0"/>
            </w:tcBorders>
            <w:noWrap w:val="0"/>
            <w:vAlign w:val="top"/>
          </w:tcPr>
          <w:p w14:paraId="09F28B52">
            <w:pPr>
              <w:jc w:val="center"/>
              <w:rPr>
                <w:rFonts w:hint="eastAsia" w:ascii="仿宋" w:hAnsi="仿宋" w:eastAsia="仿宋" w:cs="仿宋"/>
                <w:sz w:val="24"/>
                <w:szCs w:val="24"/>
              </w:rPr>
            </w:pPr>
            <w:r>
              <w:rPr>
                <w:rFonts w:hint="eastAsia" w:ascii="仿宋" w:hAnsi="仿宋" w:eastAsia="仿宋" w:cs="仿宋"/>
                <w:sz w:val="24"/>
                <w:szCs w:val="24"/>
              </w:rPr>
              <w:t xml:space="preserve"> </w:t>
            </w:r>
          </w:p>
        </w:tc>
      </w:tr>
      <w:tr w14:paraId="2C67A49F">
        <w:tblPrEx>
          <w:tblCellMar>
            <w:top w:w="0" w:type="dxa"/>
            <w:left w:w="108" w:type="dxa"/>
            <w:bottom w:w="0" w:type="dxa"/>
            <w:right w:w="108" w:type="dxa"/>
          </w:tblCellMar>
        </w:tblPrEx>
        <w:trPr>
          <w:trHeight w:val="285" w:hRule="atLeast"/>
          <w:jc w:val="center"/>
        </w:trPr>
        <w:tc>
          <w:tcPr>
            <w:tcW w:w="3026" w:type="dxa"/>
            <w:tcBorders>
              <w:top w:val="nil"/>
              <w:left w:val="single" w:color="auto" w:sz="4" w:space="0"/>
              <w:bottom w:val="nil"/>
              <w:right w:val="nil"/>
            </w:tcBorders>
            <w:noWrap w:val="0"/>
            <w:vAlign w:val="center"/>
          </w:tcPr>
          <w:p w14:paraId="18224733">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1546" w:type="dxa"/>
            <w:gridSpan w:val="2"/>
            <w:tcBorders>
              <w:top w:val="nil"/>
              <w:left w:val="nil"/>
              <w:bottom w:val="nil"/>
              <w:right w:val="nil"/>
            </w:tcBorders>
            <w:noWrap w:val="0"/>
            <w:vAlign w:val="center"/>
          </w:tcPr>
          <w:p w14:paraId="301623C0">
            <w:pPr>
              <w:widowControl/>
              <w:jc w:val="center"/>
              <w:rPr>
                <w:rFonts w:hint="eastAsia" w:ascii="仿宋" w:hAnsi="仿宋" w:eastAsia="仿宋" w:cs="仿宋"/>
                <w:kern w:val="0"/>
                <w:sz w:val="24"/>
                <w:szCs w:val="24"/>
              </w:rPr>
            </w:pPr>
          </w:p>
        </w:tc>
        <w:tc>
          <w:tcPr>
            <w:tcW w:w="4636" w:type="dxa"/>
            <w:gridSpan w:val="2"/>
            <w:tcBorders>
              <w:top w:val="nil"/>
              <w:left w:val="nil"/>
              <w:bottom w:val="nil"/>
              <w:right w:val="single" w:color="auto" w:sz="4" w:space="0"/>
            </w:tcBorders>
            <w:noWrap w:val="0"/>
            <w:vAlign w:val="center"/>
          </w:tcPr>
          <w:p w14:paraId="1EFF10BE">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　</w:t>
            </w:r>
          </w:p>
        </w:tc>
      </w:tr>
      <w:tr w14:paraId="33A464A8">
        <w:tblPrEx>
          <w:tblCellMar>
            <w:top w:w="0" w:type="dxa"/>
            <w:left w:w="108" w:type="dxa"/>
            <w:bottom w:w="0" w:type="dxa"/>
            <w:right w:w="108" w:type="dxa"/>
          </w:tblCellMar>
        </w:tblPrEx>
        <w:trPr>
          <w:trHeight w:val="285" w:hRule="atLeast"/>
          <w:jc w:val="center"/>
        </w:trPr>
        <w:tc>
          <w:tcPr>
            <w:tcW w:w="4572" w:type="dxa"/>
            <w:gridSpan w:val="3"/>
            <w:tcBorders>
              <w:top w:val="single" w:color="auto" w:sz="4" w:space="0"/>
              <w:left w:val="single" w:color="auto" w:sz="4" w:space="0"/>
              <w:bottom w:val="single" w:color="auto" w:sz="4" w:space="0"/>
              <w:right w:val="single" w:color="000000" w:sz="4" w:space="0"/>
            </w:tcBorders>
            <w:noWrap w:val="0"/>
            <w:vAlign w:val="center"/>
          </w:tcPr>
          <w:p w14:paraId="33B8B61A">
            <w:pPr>
              <w:widowControl/>
              <w:jc w:val="center"/>
              <w:rPr>
                <w:rFonts w:hint="eastAsia" w:ascii="仿宋" w:hAnsi="仿宋" w:eastAsia="仿宋" w:cs="仿宋"/>
                <w:b/>
                <w:bCs/>
                <w:kern w:val="0"/>
                <w:sz w:val="24"/>
                <w:szCs w:val="24"/>
              </w:rPr>
            </w:pPr>
            <w:r>
              <w:rPr>
                <w:rFonts w:hint="eastAsia" w:ascii="仿宋" w:hAnsi="仿宋" w:eastAsia="仿宋" w:cs="仿宋"/>
                <w:b/>
                <w:bCs/>
                <w:kern w:val="0"/>
                <w:sz w:val="24"/>
                <w:szCs w:val="24"/>
              </w:rPr>
              <w:t>供应商简称：</w:t>
            </w:r>
          </w:p>
        </w:tc>
        <w:tc>
          <w:tcPr>
            <w:tcW w:w="4636" w:type="dxa"/>
            <w:gridSpan w:val="2"/>
            <w:tcBorders>
              <w:top w:val="single" w:color="auto" w:sz="4" w:space="0"/>
              <w:left w:val="nil"/>
              <w:bottom w:val="single" w:color="auto" w:sz="4" w:space="0"/>
              <w:right w:val="single" w:color="auto" w:sz="4" w:space="0"/>
            </w:tcBorders>
            <w:noWrap w:val="0"/>
            <w:vAlign w:val="center"/>
          </w:tcPr>
          <w:p w14:paraId="769F0A85">
            <w:pPr>
              <w:widowControl/>
              <w:jc w:val="center"/>
              <w:rPr>
                <w:rFonts w:hint="eastAsia" w:ascii="仿宋" w:hAnsi="仿宋" w:eastAsia="仿宋" w:cs="仿宋"/>
                <w:b/>
                <w:bCs/>
                <w:kern w:val="0"/>
                <w:sz w:val="24"/>
                <w:szCs w:val="24"/>
              </w:rPr>
            </w:pPr>
            <w:r>
              <w:rPr>
                <w:rFonts w:hint="eastAsia" w:ascii="仿宋" w:hAnsi="仿宋" w:eastAsia="仿宋" w:cs="仿宋"/>
                <w:b/>
                <w:bCs/>
                <w:kern w:val="0"/>
                <w:sz w:val="24"/>
                <w:szCs w:val="24"/>
              </w:rPr>
              <w:t>进仓编号：</w:t>
            </w:r>
          </w:p>
        </w:tc>
      </w:tr>
      <w:tr w14:paraId="2F2F1522">
        <w:tblPrEx>
          <w:tblCellMar>
            <w:top w:w="0" w:type="dxa"/>
            <w:left w:w="108" w:type="dxa"/>
            <w:bottom w:w="0" w:type="dxa"/>
            <w:right w:w="108" w:type="dxa"/>
          </w:tblCellMar>
        </w:tblPrEx>
        <w:trPr>
          <w:trHeight w:val="285" w:hRule="atLeast"/>
          <w:jc w:val="center"/>
        </w:trPr>
        <w:tc>
          <w:tcPr>
            <w:tcW w:w="4572" w:type="dxa"/>
            <w:gridSpan w:val="3"/>
            <w:tcBorders>
              <w:top w:val="single" w:color="auto" w:sz="4" w:space="0"/>
              <w:left w:val="single" w:color="auto" w:sz="4" w:space="0"/>
              <w:bottom w:val="single" w:color="auto" w:sz="4" w:space="0"/>
              <w:right w:val="single" w:color="000000" w:sz="4" w:space="0"/>
            </w:tcBorders>
            <w:noWrap w:val="0"/>
            <w:vAlign w:val="center"/>
          </w:tcPr>
          <w:p w14:paraId="464861DF">
            <w:pPr>
              <w:widowControl/>
              <w:jc w:val="center"/>
              <w:rPr>
                <w:rFonts w:hint="eastAsia" w:ascii="仿宋" w:hAnsi="仿宋" w:eastAsia="仿宋" w:cs="仿宋"/>
                <w:b/>
                <w:bCs/>
                <w:kern w:val="0"/>
                <w:sz w:val="24"/>
                <w:szCs w:val="24"/>
              </w:rPr>
            </w:pPr>
            <w:r>
              <w:rPr>
                <w:rFonts w:hint="eastAsia" w:ascii="仿宋" w:hAnsi="仿宋" w:eastAsia="仿宋" w:cs="仿宋"/>
                <w:b/>
                <w:bCs/>
                <w:kern w:val="0"/>
                <w:sz w:val="24"/>
                <w:szCs w:val="24"/>
              </w:rPr>
              <w:t>　</w:t>
            </w:r>
          </w:p>
        </w:tc>
        <w:tc>
          <w:tcPr>
            <w:tcW w:w="4636" w:type="dxa"/>
            <w:gridSpan w:val="2"/>
            <w:tcBorders>
              <w:top w:val="nil"/>
              <w:left w:val="nil"/>
              <w:bottom w:val="single" w:color="auto" w:sz="4" w:space="0"/>
              <w:right w:val="single" w:color="auto" w:sz="4" w:space="0"/>
            </w:tcBorders>
            <w:noWrap w:val="0"/>
            <w:vAlign w:val="center"/>
          </w:tcPr>
          <w:p w14:paraId="15A914A9">
            <w:pPr>
              <w:widowControl/>
              <w:jc w:val="center"/>
              <w:rPr>
                <w:rFonts w:hint="eastAsia" w:ascii="仿宋" w:hAnsi="仿宋" w:eastAsia="仿宋" w:cs="仿宋"/>
                <w:b/>
                <w:bCs/>
                <w:kern w:val="0"/>
                <w:sz w:val="24"/>
                <w:szCs w:val="24"/>
              </w:rPr>
            </w:pPr>
            <w:r>
              <w:rPr>
                <w:rFonts w:hint="eastAsia" w:ascii="仿宋" w:hAnsi="仿宋" w:eastAsia="仿宋" w:cs="仿宋"/>
                <w:b/>
                <w:bCs/>
                <w:kern w:val="0"/>
                <w:sz w:val="24"/>
                <w:szCs w:val="24"/>
              </w:rPr>
              <w:t>　</w:t>
            </w:r>
          </w:p>
        </w:tc>
      </w:tr>
      <w:tr w14:paraId="2CEC27F6">
        <w:tblPrEx>
          <w:tblCellMar>
            <w:top w:w="0" w:type="dxa"/>
            <w:left w:w="108" w:type="dxa"/>
            <w:bottom w:w="0" w:type="dxa"/>
            <w:right w:w="108" w:type="dxa"/>
          </w:tblCellMar>
        </w:tblPrEx>
        <w:trPr>
          <w:trHeight w:val="285" w:hRule="atLeast"/>
          <w:jc w:val="center"/>
        </w:trPr>
        <w:tc>
          <w:tcPr>
            <w:tcW w:w="9208" w:type="dxa"/>
            <w:gridSpan w:val="5"/>
            <w:tcBorders>
              <w:top w:val="single" w:color="auto" w:sz="4" w:space="0"/>
              <w:left w:val="single" w:color="auto" w:sz="4" w:space="0"/>
              <w:bottom w:val="single" w:color="auto" w:sz="4" w:space="0"/>
              <w:right w:val="single" w:color="000000" w:sz="4" w:space="0"/>
            </w:tcBorders>
            <w:noWrap w:val="0"/>
            <w:vAlign w:val="center"/>
          </w:tcPr>
          <w:p w14:paraId="5F6D2E77">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序号 P. No.:</w:t>
            </w:r>
          </w:p>
        </w:tc>
      </w:tr>
      <w:tr w14:paraId="13F401A6">
        <w:tblPrEx>
          <w:tblCellMar>
            <w:top w:w="0" w:type="dxa"/>
            <w:left w:w="108" w:type="dxa"/>
            <w:bottom w:w="0" w:type="dxa"/>
            <w:right w:w="108" w:type="dxa"/>
          </w:tblCellMar>
        </w:tblPrEx>
        <w:trPr>
          <w:trHeight w:val="285" w:hRule="atLeast"/>
          <w:jc w:val="center"/>
        </w:trPr>
        <w:tc>
          <w:tcPr>
            <w:tcW w:w="3154" w:type="dxa"/>
            <w:gridSpan w:val="2"/>
            <w:tcBorders>
              <w:top w:val="nil"/>
              <w:left w:val="single" w:color="auto" w:sz="4" w:space="0"/>
              <w:bottom w:val="single" w:color="auto" w:sz="4" w:space="0"/>
              <w:right w:val="nil"/>
            </w:tcBorders>
            <w:noWrap w:val="0"/>
            <w:vAlign w:val="center"/>
          </w:tcPr>
          <w:p w14:paraId="6DB844D9">
            <w:pPr>
              <w:widowControl/>
              <w:jc w:val="center"/>
              <w:rPr>
                <w:rFonts w:hint="eastAsia" w:ascii="仿宋" w:hAnsi="仿宋" w:eastAsia="仿宋" w:cs="仿宋"/>
                <w:kern w:val="0"/>
                <w:sz w:val="22"/>
                <w:szCs w:val="22"/>
              </w:rPr>
            </w:pPr>
            <w:r>
              <w:rPr>
                <w:rFonts w:hint="eastAsia" w:ascii="仿宋" w:hAnsi="仿宋" w:eastAsia="仿宋" w:cs="仿宋"/>
                <w:kern w:val="0"/>
                <w:sz w:val="22"/>
                <w:szCs w:val="22"/>
              </w:rPr>
              <w:t>净重            kg</w:t>
            </w:r>
          </w:p>
        </w:tc>
        <w:tc>
          <w:tcPr>
            <w:tcW w:w="2025" w:type="dxa"/>
            <w:gridSpan w:val="2"/>
            <w:tcBorders>
              <w:top w:val="nil"/>
              <w:left w:val="single" w:color="auto" w:sz="4" w:space="0"/>
              <w:bottom w:val="single" w:color="auto" w:sz="4" w:space="0"/>
              <w:right w:val="nil"/>
            </w:tcBorders>
            <w:noWrap w:val="0"/>
            <w:vAlign w:val="center"/>
          </w:tcPr>
          <w:p w14:paraId="16A34616">
            <w:pPr>
              <w:widowControl/>
              <w:jc w:val="center"/>
              <w:rPr>
                <w:rFonts w:hint="eastAsia" w:ascii="仿宋" w:hAnsi="仿宋" w:eastAsia="仿宋" w:cs="仿宋"/>
                <w:kern w:val="0"/>
                <w:sz w:val="22"/>
                <w:szCs w:val="22"/>
              </w:rPr>
            </w:pPr>
            <w:r>
              <w:rPr>
                <w:rFonts w:hint="eastAsia" w:ascii="仿宋" w:hAnsi="仿宋" w:eastAsia="仿宋" w:cs="仿宋"/>
                <w:kern w:val="0"/>
                <w:sz w:val="22"/>
                <w:szCs w:val="22"/>
              </w:rPr>
              <w:t>毛重            kg</w:t>
            </w:r>
          </w:p>
        </w:tc>
        <w:tc>
          <w:tcPr>
            <w:tcW w:w="4029" w:type="dxa"/>
            <w:tcBorders>
              <w:top w:val="nil"/>
              <w:left w:val="single" w:color="auto" w:sz="4" w:space="0"/>
              <w:bottom w:val="single" w:color="auto" w:sz="4" w:space="0"/>
              <w:right w:val="single" w:color="auto" w:sz="4" w:space="0"/>
            </w:tcBorders>
            <w:noWrap w:val="0"/>
            <w:vAlign w:val="center"/>
          </w:tcPr>
          <w:p w14:paraId="348E78E0">
            <w:pPr>
              <w:widowControl/>
              <w:jc w:val="center"/>
              <w:rPr>
                <w:rFonts w:hint="eastAsia" w:ascii="仿宋" w:hAnsi="仿宋" w:eastAsia="仿宋" w:cs="仿宋"/>
                <w:b/>
                <w:bCs/>
                <w:kern w:val="0"/>
                <w:sz w:val="22"/>
                <w:szCs w:val="22"/>
              </w:rPr>
            </w:pPr>
            <w:r>
              <w:rPr>
                <w:rFonts w:hint="eastAsia" w:ascii="仿宋" w:hAnsi="仿宋" w:eastAsia="仿宋" w:cs="仿宋"/>
                <w:b w:val="0"/>
                <w:bCs w:val="0"/>
                <w:kern w:val="0"/>
                <w:sz w:val="22"/>
                <w:szCs w:val="22"/>
              </w:rPr>
              <w:t>尺码   cm×    cm×   cm</w:t>
            </w:r>
          </w:p>
        </w:tc>
      </w:tr>
    </w:tbl>
    <w:p w14:paraId="052890CE">
      <w:pPr>
        <w:spacing w:line="360" w:lineRule="auto"/>
        <w:ind w:firstLine="360" w:firstLineChars="150"/>
        <w:rPr>
          <w:rFonts w:hint="eastAsia" w:ascii="仿宋" w:hAnsi="仿宋" w:eastAsia="仿宋" w:cs="仿宋"/>
          <w:sz w:val="24"/>
          <w:szCs w:val="24"/>
        </w:rPr>
      </w:pPr>
      <w:r>
        <w:rPr>
          <w:rFonts w:hint="eastAsia" w:ascii="仿宋" w:hAnsi="仿宋" w:eastAsia="仿宋" w:cs="仿宋"/>
          <w:sz w:val="24"/>
          <w:szCs w:val="24"/>
        </w:rPr>
        <w:t>(2) 凡重达两吨或两吨以上的包装箱，乙方应在每件包装箱的两侧，用国际贸易相适应的运输标志标明“重心”和“吊装点”，并根据包装箱的特点和运输的不同要求，以清晰字样在包装箱上注明“向上”、“小心轻放”、“保持干燥”等适当的标志，以便装卸和搬运。</w:t>
      </w:r>
    </w:p>
    <w:p w14:paraId="6B1A8D2A">
      <w:pPr>
        <w:spacing w:line="360" w:lineRule="auto"/>
        <w:ind w:firstLine="360" w:firstLineChars="15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b/>
          <w:sz w:val="24"/>
          <w:szCs w:val="24"/>
        </w:rPr>
        <w:t xml:space="preserve"> 装箱尺码单：</w:t>
      </w:r>
      <w:r>
        <w:rPr>
          <w:rFonts w:hint="eastAsia" w:ascii="仿宋" w:hAnsi="仿宋" w:eastAsia="仿宋" w:cs="仿宋"/>
          <w:sz w:val="24"/>
          <w:szCs w:val="24"/>
        </w:rPr>
        <w:t>卖方按照买方提供的箱单格式，在货物装运前，提供此箱单给买方。要求包含货物的尺寸、重量、数量等。</w:t>
      </w:r>
    </w:p>
    <w:p w14:paraId="07E11AFA">
      <w:pPr>
        <w:spacing w:line="360" w:lineRule="auto"/>
        <w:rPr>
          <w:rFonts w:hint="eastAsia" w:ascii="仿宋" w:hAnsi="仿宋" w:eastAsia="仿宋" w:cs="仿宋"/>
          <w:b/>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六、专利权</w:t>
      </w:r>
    </w:p>
    <w:p w14:paraId="3265EFCA">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卖方应保证买方在使用货物或其它任何一部分时免受第三方提出侵犯其专利权、商标权或设计权的起诉。</w:t>
      </w:r>
    </w:p>
    <w:p w14:paraId="7B186BA6">
      <w:pPr>
        <w:spacing w:line="360" w:lineRule="auto"/>
        <w:rPr>
          <w:rFonts w:hint="eastAsia" w:ascii="仿宋" w:hAnsi="仿宋" w:eastAsia="仿宋" w:cs="仿宋"/>
          <w:sz w:val="24"/>
          <w:szCs w:val="24"/>
          <w:lang w:val="en-US" w:eastAsia="zh-CN"/>
        </w:rPr>
      </w:pP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七、质量保证</w:t>
      </w:r>
    </w:p>
    <w:p w14:paraId="2329ED83">
      <w:pPr>
        <w:spacing w:line="360" w:lineRule="auto"/>
        <w:rPr>
          <w:rFonts w:hint="eastAsia" w:ascii="仿宋" w:hAnsi="仿宋" w:eastAsia="仿宋" w:cs="仿宋"/>
          <w:sz w:val="24"/>
          <w:szCs w:val="24"/>
        </w:rPr>
      </w:pP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 xml:space="preserve">   </w:t>
      </w:r>
      <w:r>
        <w:rPr>
          <w:rFonts w:hint="eastAsia" w:ascii="仿宋" w:hAnsi="仿宋" w:eastAsia="仿宋" w:cs="仿宋"/>
          <w:sz w:val="24"/>
          <w:szCs w:val="24"/>
        </w:rPr>
        <w:t>1.卖方原材料来源必须为国内大型企业或者知名品牌，要接受买方的监督和检验，除符合国家质检标准，严格按照买方要求加工生产，同时接受买方监督和检验，当买方提出异议时，卖方应积极响应并无条件的进行更换。</w:t>
      </w:r>
    </w:p>
    <w:p w14:paraId="119E49F2">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val="en-US" w:eastAsia="zh-CN"/>
        </w:rPr>
        <w:t>.</w:t>
      </w:r>
      <w:r>
        <w:rPr>
          <w:rFonts w:hint="eastAsia" w:ascii="仿宋" w:hAnsi="仿宋" w:eastAsia="仿宋" w:cs="仿宋"/>
          <w:sz w:val="24"/>
          <w:szCs w:val="24"/>
        </w:rPr>
        <w:t>卖方须保证本合同所提供的货物应是用一流的技术、最优质的材料加工的全新产品。手续合法完整、渠道正规，并符合合同规定的质量、规格和性能等各方面的要求，不准投机取巧，加工劣质产品。</w:t>
      </w:r>
    </w:p>
    <w:p w14:paraId="2FB8ED46">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val="en-US" w:eastAsia="zh-CN"/>
        </w:rPr>
        <w:t>.</w:t>
      </w:r>
      <w:r>
        <w:rPr>
          <w:rFonts w:hint="eastAsia" w:ascii="仿宋" w:hAnsi="仿宋" w:eastAsia="仿宋" w:cs="仿宋"/>
          <w:sz w:val="24"/>
          <w:szCs w:val="24"/>
        </w:rPr>
        <w:t>生产商等须有完善的质量检测手段和质量保证体系。除另有约定，所有货物质量标准以货物相对应的国家和有关部门最新颁布的相关法律、法规、标准、或行业生产、制造标准为依据。</w:t>
      </w:r>
    </w:p>
    <w:p w14:paraId="46092610">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val="en-US" w:eastAsia="zh-CN"/>
        </w:rPr>
        <w:t>.</w:t>
      </w:r>
      <w:r>
        <w:rPr>
          <w:rFonts w:hint="eastAsia" w:ascii="仿宋" w:hAnsi="仿宋" w:eastAsia="仿宋" w:cs="仿宋"/>
          <w:sz w:val="24"/>
          <w:szCs w:val="24"/>
        </w:rPr>
        <w:t>卖方须严格遵守《产品质量法》，并完整地履行质保期内的服务承诺。当生产商或生产商在国内外的相应机构不能完全履行义务时，卖方有责任与义务，要求生产商或生产商在国内的相应机构履行义务，否则由卖方承担生产商或生产商在国内外相应机构应承担的全部责任。</w:t>
      </w:r>
    </w:p>
    <w:p w14:paraId="3EE451D8">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val="en-US" w:eastAsia="zh-CN"/>
        </w:rPr>
        <w:t>.</w:t>
      </w:r>
      <w:r>
        <w:rPr>
          <w:rFonts w:hint="eastAsia" w:ascii="仿宋" w:hAnsi="仿宋" w:eastAsia="仿宋" w:cs="仿宋"/>
          <w:sz w:val="24"/>
          <w:szCs w:val="24"/>
        </w:rPr>
        <w:t>双方一致同意，合同所有货物的质保期为：港口交货后8个月或项目验收合格之日起</w:t>
      </w:r>
      <w:r>
        <w:rPr>
          <w:rFonts w:hint="eastAsia" w:ascii="仿宋" w:hAnsi="仿宋" w:eastAsia="仿宋" w:cs="仿宋"/>
          <w:sz w:val="24"/>
          <w:szCs w:val="24"/>
          <w:lang w:val="en-US" w:eastAsia="zh-CN"/>
        </w:rPr>
        <w:t>12</w:t>
      </w:r>
      <w:r>
        <w:rPr>
          <w:rFonts w:hint="eastAsia" w:ascii="仿宋" w:hAnsi="仿宋" w:eastAsia="仿宋" w:cs="仿宋"/>
          <w:sz w:val="24"/>
          <w:szCs w:val="24"/>
        </w:rPr>
        <w:t>个月，以其先发生者为准。</w:t>
      </w:r>
    </w:p>
    <w:p w14:paraId="4C8913B2">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w:t>
      </w:r>
      <w:r>
        <w:rPr>
          <w:rFonts w:hint="eastAsia" w:ascii="仿宋" w:hAnsi="仿宋" w:eastAsia="仿宋" w:cs="仿宋"/>
          <w:sz w:val="24"/>
          <w:szCs w:val="24"/>
        </w:rPr>
        <w:t>卖方须保障买方在使用其货物、服务及其任何部分不受到第三方关于侵犯专利权、商标权等工业产权或版权的指控。任何第三方如果提出侵权指控，卖方须与第三方交涉并承担可能发生的一切法律责任和费用。</w:t>
      </w:r>
    </w:p>
    <w:p w14:paraId="41350BE8">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7</w:t>
      </w:r>
      <w:r>
        <w:rPr>
          <w:rFonts w:hint="eastAsia" w:ascii="仿宋" w:hAnsi="仿宋" w:eastAsia="仿宋" w:cs="仿宋"/>
          <w:sz w:val="24"/>
          <w:szCs w:val="24"/>
          <w:lang w:val="en-US" w:eastAsia="zh-CN"/>
        </w:rPr>
        <w:t>.</w:t>
      </w:r>
      <w:r>
        <w:rPr>
          <w:rFonts w:hint="eastAsia" w:ascii="仿宋" w:hAnsi="仿宋" w:eastAsia="仿宋" w:cs="仿宋"/>
          <w:sz w:val="24"/>
          <w:szCs w:val="24"/>
        </w:rPr>
        <w:t>买方的验收不能作为产品最终质量合格的依据，如在现场实际施工中发生了质量缺陷造成的一切损失由卖方承担。</w:t>
      </w:r>
    </w:p>
    <w:p w14:paraId="5BA5E0DA">
      <w:pPr>
        <w:spacing w:line="360" w:lineRule="auto"/>
        <w:rPr>
          <w:rFonts w:hint="eastAsia" w:ascii="仿宋" w:hAnsi="仿宋" w:eastAsia="仿宋" w:cs="仿宋"/>
          <w:b/>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八、检验</w:t>
      </w:r>
    </w:p>
    <w:p w14:paraId="6C7FFBAF">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w:t>
      </w:r>
      <w:r>
        <w:rPr>
          <w:rFonts w:hint="eastAsia" w:ascii="仿宋" w:hAnsi="仿宋" w:eastAsia="仿宋" w:cs="仿宋"/>
          <w:sz w:val="24"/>
          <w:szCs w:val="24"/>
        </w:rPr>
        <w:t>买方有权提出在货物制造过程中派人到制造厂进行监装等，卖方有义务为买方监装人员提供方便，包括质量，重量监督等相关工作；</w:t>
      </w:r>
    </w:p>
    <w:p w14:paraId="6FC05416">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val="en-US" w:eastAsia="zh-CN"/>
        </w:rPr>
        <w:t>.</w:t>
      </w:r>
      <w:r>
        <w:rPr>
          <w:rFonts w:hint="eastAsia" w:ascii="仿宋" w:hAnsi="仿宋" w:eastAsia="仿宋" w:cs="仿宋"/>
          <w:sz w:val="24"/>
          <w:szCs w:val="24"/>
        </w:rPr>
        <w:t>初次验收</w:t>
      </w:r>
    </w:p>
    <w:p w14:paraId="5485D6B3">
      <w:pPr>
        <w:spacing w:line="360" w:lineRule="auto"/>
        <w:ind w:firstLine="570"/>
        <w:rPr>
          <w:rFonts w:hint="eastAsia" w:ascii="仿宋" w:hAnsi="仿宋" w:eastAsia="仿宋" w:cs="仿宋"/>
          <w:sz w:val="24"/>
          <w:szCs w:val="24"/>
        </w:rPr>
      </w:pPr>
      <w:r>
        <w:rPr>
          <w:rFonts w:hint="eastAsia" w:ascii="仿宋" w:hAnsi="仿宋" w:eastAsia="仿宋" w:cs="仿宋"/>
          <w:sz w:val="24"/>
          <w:szCs w:val="24"/>
        </w:rPr>
        <w:t>卖方应在发货之前，对货物的质量、规格、性能、数量，重量包装进行准确和全面的检验，若买方未派人进行现场监督装箱，卖方需将包装，装箱照片发至买方。买方派人与否不能减少卖方应承担的责任。并出具货物符合合同规定的数量和质量证书，该证书将作为合同付款单据的组成部分，但不视为对货物质量、规格、性能、数量或重量的最终定论。证书应附有写明制造商检验的细节和结果的说明。买方将根据合同及相关附件的规定，对货物的外观、规格、数量进行初步验收及抽样。卖方应积极配合买方做好初验和抽样。验收地点可以是卖方公司集货仓储地点、发运港集货地点或买方指定地点。</w:t>
      </w:r>
    </w:p>
    <w:p w14:paraId="2113093E">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val="en-US" w:eastAsia="zh-CN"/>
        </w:rPr>
        <w:t>.</w:t>
      </w:r>
      <w:r>
        <w:rPr>
          <w:rFonts w:hint="eastAsia" w:ascii="仿宋" w:hAnsi="仿宋" w:eastAsia="仿宋" w:cs="仿宋"/>
          <w:sz w:val="24"/>
          <w:szCs w:val="24"/>
        </w:rPr>
        <w:t>最终项目验收</w:t>
      </w:r>
    </w:p>
    <w:p w14:paraId="6DC25C8A">
      <w:pPr>
        <w:spacing w:line="360" w:lineRule="auto"/>
        <w:ind w:firstLine="480"/>
        <w:rPr>
          <w:rFonts w:hint="eastAsia" w:ascii="仿宋" w:hAnsi="仿宋" w:eastAsia="仿宋" w:cs="仿宋"/>
          <w:sz w:val="24"/>
          <w:szCs w:val="24"/>
        </w:rPr>
      </w:pPr>
      <w:r>
        <w:rPr>
          <w:rFonts w:hint="eastAsia" w:ascii="仿宋" w:hAnsi="仿宋" w:eastAsia="仿宋" w:cs="仿宋"/>
          <w:sz w:val="24"/>
          <w:szCs w:val="24"/>
        </w:rPr>
        <w:t>鉴于本合同货物将用于买方的国外工程项目使用，因此，买方对货物的初步检验并不能部分和全部地免除卖方的合同责任。货物运达买方的国外项目工地后，买方将除委托收货项目按照本合同及相关附件对货物的质量、数量、规格、技术参数、品牌等进行复检，签署最终验收证明外，最直观的验收为项目现场使用情况，若出现安装问题达不到施工技术要求，卖方需第一时间配合更换合格产品，并由卖方承担全部责任及买方一切损失。</w:t>
      </w:r>
    </w:p>
    <w:p w14:paraId="7C525619">
      <w:pPr>
        <w:spacing w:line="360" w:lineRule="auto"/>
        <w:rPr>
          <w:rFonts w:hint="eastAsia" w:ascii="仿宋" w:hAnsi="仿宋" w:eastAsia="仿宋" w:cs="仿宋"/>
          <w:b/>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kern w:val="0"/>
          <w:sz w:val="24"/>
          <w:szCs w:val="24"/>
          <w:lang w:val="en-US" w:eastAsia="zh-CN"/>
        </w:rPr>
        <w:t>九、索赔</w:t>
      </w:r>
    </w:p>
    <w:p w14:paraId="73959B48">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w:t>
      </w:r>
      <w:r>
        <w:rPr>
          <w:rFonts w:hint="eastAsia" w:ascii="仿宋" w:hAnsi="仿宋" w:eastAsia="仿宋" w:cs="仿宋"/>
          <w:sz w:val="24"/>
          <w:szCs w:val="24"/>
        </w:rPr>
        <w:t>买方有权根据项目所在国商检机构或有关部门出具的检验证书或卖方代表书面证明向卖方提出索赔，但责任保险公司或运输部门承担的除外。</w:t>
      </w:r>
    </w:p>
    <w:p w14:paraId="72467AC7">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val="en-US" w:eastAsia="zh-CN"/>
        </w:rPr>
        <w:t>.</w:t>
      </w:r>
      <w:r>
        <w:rPr>
          <w:rFonts w:hint="eastAsia" w:ascii="仿宋" w:hAnsi="仿宋" w:eastAsia="仿宋" w:cs="仿宋"/>
          <w:sz w:val="24"/>
          <w:szCs w:val="24"/>
        </w:rPr>
        <w:t>在检验期和质量保证期内，如果卖方对差异负有责任而买方提出索赔，卖方应按照买方同意的下列一种或多种方式解决索赔事宜：</w:t>
      </w:r>
    </w:p>
    <w:p w14:paraId="3D9BAB5B">
      <w:pPr>
        <w:spacing w:line="360" w:lineRule="auto"/>
        <w:ind w:firstLine="240" w:firstLineChars="100"/>
        <w:rPr>
          <w:rFonts w:hint="eastAsia" w:ascii="仿宋" w:hAnsi="仿宋" w:eastAsia="仿宋" w:cs="仿宋"/>
          <w:sz w:val="24"/>
          <w:szCs w:val="24"/>
        </w:rPr>
      </w:pPr>
      <w:r>
        <w:rPr>
          <w:rFonts w:hint="eastAsia" w:ascii="仿宋" w:hAnsi="仿宋" w:eastAsia="仿宋" w:cs="仿宋"/>
          <w:sz w:val="24"/>
          <w:szCs w:val="24"/>
        </w:rPr>
        <w:t>（1）卖方同意退货并按合同规定的货币将货款退还给买方，并承担由此发生的一切损失和费用，包括利息、银行手续费、运费、保险费、检验费、仓储费、装卸费以及为保护退回货物所需的其它必要费用；</w:t>
      </w:r>
    </w:p>
    <w:p w14:paraId="4C6857B2">
      <w:pPr>
        <w:spacing w:line="360" w:lineRule="auto"/>
        <w:ind w:firstLine="240" w:firstLineChars="100"/>
        <w:rPr>
          <w:rFonts w:hint="eastAsia" w:ascii="仿宋" w:hAnsi="仿宋" w:eastAsia="仿宋" w:cs="仿宋"/>
          <w:sz w:val="24"/>
          <w:szCs w:val="24"/>
        </w:rPr>
      </w:pPr>
      <w:r>
        <w:rPr>
          <w:rFonts w:hint="eastAsia" w:ascii="仿宋" w:hAnsi="仿宋" w:eastAsia="仿宋" w:cs="仿宋"/>
          <w:sz w:val="24"/>
          <w:szCs w:val="24"/>
        </w:rPr>
        <w:t>（2）根据货物低劣、损坏程度以及买方所遭受损失的金额，经买卖双方商定降低货物的价格；</w:t>
      </w:r>
    </w:p>
    <w:p w14:paraId="421085E7">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val="en-US" w:eastAsia="zh-CN"/>
        </w:rPr>
        <w:t>.</w:t>
      </w:r>
      <w:r>
        <w:rPr>
          <w:rFonts w:hint="eastAsia" w:ascii="仿宋" w:hAnsi="仿宋" w:eastAsia="仿宋" w:cs="仿宋"/>
          <w:sz w:val="24"/>
          <w:szCs w:val="24"/>
        </w:rPr>
        <w:t>如果在买方发出索赔通知后二十八（28）天内，卖方未作答复，上述索赔应视为已被卖方接受。如卖方未能在买方发出索赔通知后二十八（28）天内或买方同意的延长期限内，买方将从议付货款中扣回索赔金额。</w:t>
      </w:r>
    </w:p>
    <w:p w14:paraId="4C5B3A38">
      <w:pPr>
        <w:spacing w:line="360" w:lineRule="auto"/>
        <w:rPr>
          <w:rFonts w:hint="eastAsia" w:ascii="仿宋" w:hAnsi="仿宋" w:eastAsia="仿宋" w:cs="仿宋"/>
          <w:b/>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十、中标价评审方法</w:t>
      </w:r>
    </w:p>
    <w:p w14:paraId="38C4B176">
      <w:pPr>
        <w:pStyle w:val="16"/>
        <w:spacing w:line="360" w:lineRule="auto"/>
        <w:ind w:left="0" w:leftChars="0" w:firstLine="480" w:firstLineChars="200"/>
        <w:rPr>
          <w:rFonts w:hint="eastAsia" w:ascii="仿宋" w:hAnsi="仿宋" w:eastAsia="仿宋" w:cs="仿宋"/>
          <w:b/>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val="0"/>
          <w:bCs w:val="0"/>
          <w:color w:val="000000" w:themeColor="text1"/>
          <w:kern w:val="2"/>
          <w:sz w:val="24"/>
          <w:szCs w:val="24"/>
          <w:highlight w:val="none"/>
          <w:lang w:val="en-US" w:eastAsia="zh-CN" w:bidi="ar-SA"/>
          <w14:textFill>
            <w14:solidFill>
              <w14:schemeClr w14:val="tx1"/>
            </w14:solidFill>
          </w14:textFill>
        </w:rPr>
        <w:t>采用经评审的最低价法确定。</w:t>
      </w:r>
    </w:p>
    <w:p w14:paraId="35026698">
      <w:pPr>
        <w:spacing w:line="360" w:lineRule="auto"/>
        <w:rPr>
          <w:rFonts w:hint="eastAsia" w:ascii="仿宋" w:hAnsi="仿宋" w:eastAsia="仿宋" w:cs="仿宋"/>
          <w:b/>
          <w:kern w:val="0"/>
          <w:sz w:val="24"/>
          <w:szCs w:val="24"/>
        </w:rPr>
      </w:pPr>
      <w:r>
        <w:rPr>
          <w:rFonts w:hint="eastAsia" w:ascii="仿宋" w:hAnsi="仿宋" w:eastAsia="仿宋" w:cs="仿宋"/>
          <w:b/>
          <w:kern w:val="0"/>
          <w:sz w:val="24"/>
          <w:szCs w:val="24"/>
          <w:lang w:val="en-US" w:eastAsia="zh-CN"/>
        </w:rPr>
        <w:t>十一、</w:t>
      </w:r>
      <w:r>
        <w:rPr>
          <w:rFonts w:hint="eastAsia" w:ascii="仿宋" w:hAnsi="仿宋" w:eastAsia="仿宋" w:cs="仿宋"/>
          <w:b/>
          <w:kern w:val="0"/>
          <w:sz w:val="24"/>
          <w:szCs w:val="24"/>
        </w:rPr>
        <w:t>卖方履约延误</w:t>
      </w:r>
    </w:p>
    <w:p w14:paraId="7A4DA3BD">
      <w:pPr>
        <w:spacing w:line="360" w:lineRule="auto"/>
        <w:ind w:firstLine="720" w:firstLineChars="300"/>
        <w:rPr>
          <w:rFonts w:hint="eastAsia" w:ascii="仿宋" w:hAnsi="仿宋" w:eastAsia="仿宋" w:cs="仿宋"/>
          <w:sz w:val="24"/>
          <w:szCs w:val="24"/>
        </w:rPr>
      </w:pPr>
      <w:r>
        <w:rPr>
          <w:rFonts w:hint="eastAsia" w:ascii="仿宋" w:hAnsi="仿宋" w:eastAsia="仿宋" w:cs="仿宋"/>
          <w:sz w:val="24"/>
          <w:szCs w:val="24"/>
        </w:rPr>
        <w:t>如卖方无正当理由而拖延交货,将受到以下</w:t>
      </w:r>
      <w:r>
        <w:rPr>
          <w:rFonts w:hint="eastAsia" w:ascii="仿宋" w:hAnsi="仿宋" w:eastAsia="仿宋" w:cs="仿宋"/>
          <w:sz w:val="24"/>
          <w:szCs w:val="24"/>
          <w:lang w:val="en-US" w:eastAsia="zh-CN"/>
        </w:rPr>
        <w:t>处罚</w:t>
      </w:r>
      <w:r>
        <w:rPr>
          <w:rFonts w:hint="eastAsia" w:ascii="仿宋" w:hAnsi="仿宋" w:eastAsia="仿宋" w:cs="仿宋"/>
          <w:sz w:val="24"/>
          <w:szCs w:val="24"/>
        </w:rPr>
        <w:t>:加收误期赔偿和/或终止合同。</w:t>
      </w:r>
    </w:p>
    <w:p w14:paraId="17947B29">
      <w:pPr>
        <w:spacing w:line="360" w:lineRule="auto"/>
        <w:rPr>
          <w:rFonts w:hint="eastAsia" w:ascii="仿宋" w:hAnsi="仿宋" w:eastAsia="仿宋" w:cs="仿宋"/>
          <w:b/>
          <w:kern w:val="0"/>
          <w:sz w:val="24"/>
          <w:szCs w:val="24"/>
        </w:rPr>
      </w:pPr>
      <w:r>
        <w:rPr>
          <w:rFonts w:hint="eastAsia" w:ascii="仿宋" w:hAnsi="仿宋" w:eastAsia="仿宋" w:cs="仿宋"/>
          <w:b/>
          <w:bCs/>
          <w:sz w:val="24"/>
          <w:szCs w:val="24"/>
          <w:lang w:val="en-US" w:eastAsia="zh-CN"/>
        </w:rPr>
        <w:t>十二、</w:t>
      </w:r>
      <w:r>
        <w:rPr>
          <w:rFonts w:hint="eastAsia" w:ascii="仿宋" w:hAnsi="仿宋" w:eastAsia="仿宋" w:cs="仿宋"/>
          <w:b/>
          <w:kern w:val="0"/>
          <w:sz w:val="24"/>
          <w:szCs w:val="24"/>
        </w:rPr>
        <w:t>交货期及误期赔偿</w:t>
      </w:r>
    </w:p>
    <w:p w14:paraId="32D9A9AD">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卖方须于合同签订后</w:t>
      </w:r>
      <w:r>
        <w:rPr>
          <w:rFonts w:hint="eastAsia" w:ascii="仿宋" w:hAnsi="仿宋" w:eastAsia="仿宋" w:cs="仿宋"/>
          <w:sz w:val="24"/>
          <w:szCs w:val="24"/>
          <w:highlight w:val="none"/>
          <w:lang w:val="en-US" w:eastAsia="zh-CN"/>
        </w:rPr>
        <w:t>按照报价单内约定交货周期交货</w:t>
      </w:r>
      <w:r>
        <w:rPr>
          <w:rFonts w:hint="eastAsia" w:ascii="仿宋" w:hAnsi="仿宋" w:eastAsia="仿宋" w:cs="仿宋"/>
          <w:sz w:val="24"/>
          <w:szCs w:val="24"/>
          <w:highlight w:val="none"/>
        </w:rPr>
        <w:t>，在买方指定</w:t>
      </w:r>
      <w:r>
        <w:rPr>
          <w:rFonts w:hint="eastAsia" w:ascii="仿宋" w:hAnsi="仿宋" w:eastAsia="仿宋" w:cs="仿宋"/>
          <w:sz w:val="24"/>
          <w:szCs w:val="24"/>
          <w:highlight w:val="none"/>
          <w:lang w:val="en-US" w:eastAsia="zh-CN"/>
        </w:rPr>
        <w:t>位置</w:t>
      </w:r>
      <w:r>
        <w:rPr>
          <w:rFonts w:hint="eastAsia" w:ascii="仿宋" w:hAnsi="仿宋" w:eastAsia="仿宋" w:cs="仿宋"/>
          <w:sz w:val="24"/>
          <w:szCs w:val="24"/>
          <w:highlight w:val="none"/>
        </w:rPr>
        <w:t>交货。同时承担交货之前的一切风险（如货物损坏、丢失、变质、包装破损等）。交货日期以最后签字盖章日期为准。如果卖方没有按时发运货物，每天按照价款的0.25%交付违约金，延迟交货违约金不能超过合同总价的5%。</w:t>
      </w:r>
    </w:p>
    <w:p w14:paraId="709D0B32">
      <w:pPr>
        <w:spacing w:line="360" w:lineRule="auto"/>
        <w:ind w:left="479" w:leftChars="228" w:firstLine="0" w:firstLineChars="0"/>
        <w:rPr>
          <w:rFonts w:hint="eastAsia" w:ascii="仿宋" w:hAnsi="仿宋" w:eastAsia="仿宋" w:cs="仿宋"/>
          <w:color w:val="000000"/>
          <w:sz w:val="24"/>
          <w:szCs w:val="24"/>
        </w:rPr>
      </w:pPr>
      <w:r>
        <w:rPr>
          <w:rFonts w:hint="eastAsia" w:ascii="仿宋" w:hAnsi="仿宋" w:eastAsia="仿宋" w:cs="仿宋"/>
          <w:color w:val="000000"/>
          <w:sz w:val="24"/>
          <w:szCs w:val="24"/>
        </w:rPr>
        <w:t>2.若发生不可抗力5日内及时通知并提供买方认可的证明可免除卖方违约责任。</w:t>
      </w:r>
      <w:r>
        <w:rPr>
          <w:rFonts w:hint="eastAsia" w:ascii="仿宋" w:hAnsi="仿宋" w:eastAsia="仿宋" w:cs="仿宋"/>
          <w:color w:val="000000"/>
          <w:sz w:val="24"/>
          <w:szCs w:val="24"/>
        </w:rPr>
        <w:br w:type="textWrapping"/>
      </w:r>
      <w:r>
        <w:rPr>
          <w:rFonts w:hint="eastAsia" w:ascii="仿宋" w:hAnsi="仿宋" w:eastAsia="仿宋" w:cs="仿宋"/>
          <w:color w:val="000000"/>
          <w:sz w:val="24"/>
          <w:szCs w:val="24"/>
        </w:rPr>
        <w:t>3.若交货超过2周，买方有权选择单方解除合同条款中相应的义务。</w:t>
      </w:r>
    </w:p>
    <w:p w14:paraId="7C768A83">
      <w:pPr>
        <w:spacing w:line="360" w:lineRule="auto"/>
        <w:ind w:firstLine="480" w:firstLineChars="200"/>
        <w:jc w:val="both"/>
        <w:rPr>
          <w:rFonts w:hint="eastAsia" w:ascii="仿宋" w:hAnsi="仿宋" w:eastAsia="仿宋" w:cs="仿宋"/>
          <w:color w:val="000000"/>
          <w:sz w:val="24"/>
          <w:szCs w:val="24"/>
        </w:rPr>
      </w:pPr>
      <w:r>
        <w:rPr>
          <w:rFonts w:hint="eastAsia" w:ascii="仿宋" w:hAnsi="仿宋" w:eastAsia="仿宋" w:cs="仿宋"/>
          <w:color w:val="000000"/>
          <w:sz w:val="24"/>
          <w:szCs w:val="24"/>
        </w:rPr>
        <w:t>4.无论何种原因出现延期，双方都有义务采取补救措施，减少损失，若造成买方发生的直接损卖方应于赔偿。</w:t>
      </w:r>
    </w:p>
    <w:p w14:paraId="28760363">
      <w:pPr>
        <w:spacing w:line="360" w:lineRule="auto"/>
        <w:rPr>
          <w:rFonts w:hint="eastAsia" w:ascii="仿宋" w:hAnsi="仿宋" w:eastAsia="仿宋" w:cs="仿宋"/>
          <w:color w:val="000000"/>
          <w:sz w:val="24"/>
          <w:szCs w:val="24"/>
          <w:lang w:val="en-US" w:eastAsia="zh-CN"/>
        </w:rPr>
      </w:pPr>
      <w:r>
        <w:rPr>
          <w:rFonts w:hint="eastAsia" w:ascii="仿宋" w:hAnsi="仿宋" w:eastAsia="仿宋" w:cs="仿宋"/>
          <w:b/>
          <w:bCs/>
          <w:color w:val="000000"/>
          <w:sz w:val="24"/>
          <w:szCs w:val="24"/>
          <w:lang w:val="en-US" w:eastAsia="zh-CN"/>
        </w:rPr>
        <w:t>十三、</w:t>
      </w:r>
      <w:r>
        <w:rPr>
          <w:rFonts w:hint="eastAsia" w:ascii="仿宋" w:hAnsi="仿宋" w:eastAsia="仿宋" w:cs="仿宋"/>
          <w:b/>
          <w:sz w:val="24"/>
          <w:szCs w:val="24"/>
        </w:rPr>
        <w:t>售后服务</w:t>
      </w:r>
    </w:p>
    <w:p w14:paraId="1B4675E3">
      <w:pPr>
        <w:pStyle w:val="40"/>
        <w:tabs>
          <w:tab w:val="left" w:pos="224"/>
        </w:tabs>
        <w:spacing w:after="0" w:line="360" w:lineRule="auto"/>
        <w:ind w:right="43" w:firstLine="480" w:firstLineChars="200"/>
        <w:rPr>
          <w:rFonts w:hint="eastAsia" w:ascii="仿宋" w:hAnsi="仿宋" w:eastAsia="仿宋" w:cs="仿宋"/>
          <w:color w:val="FF0000"/>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w:t>
      </w:r>
      <w:r>
        <w:rPr>
          <w:rFonts w:hint="eastAsia" w:ascii="仿宋" w:hAnsi="仿宋" w:eastAsia="仿宋" w:cs="仿宋"/>
          <w:sz w:val="24"/>
          <w:szCs w:val="24"/>
        </w:rPr>
        <w:t>货物抵达现场后，根据买方现场试配情况，买方项目人员应在厂家技术人员的远程指导下进行先期操作。在远程指导不能解决问题的情况下，按照买方国外项目指示要求，如需厂家委派技术人员的，卖方应在约定时间内前往国外项目协助解决。技术人员前往国外项目的费用（国内交通费等）机票、保险、签证全部由买方承担，并协助安排接机及在项目的交通、食宿；安装指导费需在报价中明确；</w:t>
      </w:r>
    </w:p>
    <w:p w14:paraId="729FEF7F">
      <w:pPr>
        <w:pStyle w:val="40"/>
        <w:tabs>
          <w:tab w:val="left" w:pos="224"/>
        </w:tabs>
        <w:spacing w:after="0" w:line="360" w:lineRule="auto"/>
        <w:ind w:right="43" w:firstLine="48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val="en-US" w:eastAsia="zh-CN"/>
        </w:rPr>
        <w:t>.</w:t>
      </w:r>
      <w:r>
        <w:rPr>
          <w:rFonts w:hint="eastAsia" w:ascii="仿宋" w:hAnsi="仿宋" w:eastAsia="仿宋" w:cs="仿宋"/>
          <w:sz w:val="24"/>
          <w:szCs w:val="24"/>
        </w:rPr>
        <w:t>如因产品质量缺陷问题，导致无法使用，卖方有义务赴现场进行技术指导，所有费用（国内外交通费/签证/保险/补助等）均由卖方承担，买方协助办理；</w:t>
      </w:r>
    </w:p>
    <w:p w14:paraId="1CDF1B1B">
      <w:pPr>
        <w:pStyle w:val="33"/>
        <w:widowControl/>
        <w:spacing w:line="360" w:lineRule="auto"/>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3</w:t>
      </w:r>
      <w:r>
        <w:rPr>
          <w:rFonts w:hint="eastAsia" w:ascii="仿宋" w:hAnsi="仿宋" w:eastAsia="仿宋" w:cs="仿宋"/>
          <w:kern w:val="0"/>
          <w:sz w:val="24"/>
          <w:szCs w:val="24"/>
          <w:lang w:val="en-US" w:eastAsia="zh-CN"/>
        </w:rPr>
        <w:t>.</w:t>
      </w:r>
      <w:r>
        <w:rPr>
          <w:rFonts w:hint="eastAsia" w:ascii="仿宋" w:hAnsi="仿宋" w:eastAsia="仿宋" w:cs="仿宋"/>
          <w:kern w:val="0"/>
          <w:sz w:val="24"/>
          <w:szCs w:val="24"/>
        </w:rPr>
        <w:t>售后人员工作期间应按买方统一规定和安排、服从买方管理和要求，并应当特别重视安全生产，自行负责保护其人员、财产安全，并对不符合安全生产要求的设计或现场施工组织及时向买方反馈意见和建议，提出有效措施防止造成人员伤亡或财产损失。卖方人员由于未遵守买方规定而发生的自身人员伤亡或财产损失，或者造成第三方人员伤亡或财产损失，或由此而引起的其他一切损害或损失，均由卖方承担完全责任；</w:t>
      </w:r>
    </w:p>
    <w:p w14:paraId="63249326">
      <w:pPr>
        <w:spacing w:line="360" w:lineRule="auto"/>
        <w:ind w:firstLine="480" w:firstLineChars="200"/>
        <w:rPr>
          <w:rFonts w:hint="eastAsia" w:ascii="仿宋" w:hAnsi="仿宋" w:eastAsia="仿宋" w:cs="仿宋"/>
          <w:b/>
          <w:kern w:val="0"/>
          <w:sz w:val="24"/>
          <w:szCs w:val="24"/>
          <w:lang w:val="en-US" w:eastAsia="zh-CN"/>
        </w:rPr>
      </w:pPr>
      <w:r>
        <w:rPr>
          <w:rFonts w:hint="eastAsia" w:ascii="仿宋" w:hAnsi="仿宋" w:eastAsia="仿宋" w:cs="仿宋"/>
          <w:kern w:val="0"/>
          <w:sz w:val="24"/>
          <w:szCs w:val="24"/>
        </w:rPr>
        <w:t>4</w:t>
      </w:r>
      <w:r>
        <w:rPr>
          <w:rFonts w:hint="eastAsia" w:ascii="仿宋" w:hAnsi="仿宋" w:eastAsia="仿宋" w:cs="仿宋"/>
          <w:kern w:val="0"/>
          <w:sz w:val="24"/>
          <w:szCs w:val="24"/>
          <w:lang w:val="en-US" w:eastAsia="zh-CN"/>
        </w:rPr>
        <w:t>.</w:t>
      </w:r>
      <w:r>
        <w:rPr>
          <w:rFonts w:hint="eastAsia" w:ascii="仿宋" w:hAnsi="仿宋" w:eastAsia="仿宋" w:cs="仿宋"/>
          <w:kern w:val="0"/>
          <w:sz w:val="24"/>
          <w:szCs w:val="24"/>
        </w:rPr>
        <w:t>卖方外派技术服务人员的人身意外保险的投保均由卖方自行负责。在境外期间卖方人员的伤病处理事宜，在卖方要求下，买方可向卖方人员提供现场力所能及的医疗协助，如果发生较严重的事故和伤病需要外部就医，买方根据卖方的需求与买方自身的实际能力进行协助安排，相关责任和费用均由卖方承担，买方不承担由此协助引发、造成的任何责任和赔偿。另外，卖方人员在境外工作期间发生的任何非买方造成的人身伤亡事故，或是对第三方财产、人身等造成的伤害事故，卖方不得以任何理由要求买方承担任何补偿要求。如因卖方人员的薪资、劳务纠纷导致买方承担连带责任的，买方将直接从卖方的任何应付款中扣除相应全部损失。</w:t>
      </w:r>
    </w:p>
    <w:p w14:paraId="5CFCFCA7">
      <w:pPr>
        <w:spacing w:line="360" w:lineRule="auto"/>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十四</w:t>
      </w:r>
      <w:r>
        <w:rPr>
          <w:rFonts w:hint="eastAsia" w:ascii="仿宋" w:hAnsi="仿宋" w:eastAsia="仿宋" w:cs="仿宋"/>
          <w:b/>
          <w:bCs/>
          <w:color w:val="000000" w:themeColor="text1"/>
          <w:sz w:val="24"/>
          <w:szCs w:val="24"/>
          <w:highlight w:val="none"/>
          <w14:textFill>
            <w14:solidFill>
              <w14:schemeClr w14:val="tx1"/>
            </w14:solidFill>
          </w14:textFill>
        </w:rPr>
        <w:t>、询价函获取方式</w:t>
      </w:r>
    </w:p>
    <w:p w14:paraId="60462D82">
      <w:pPr>
        <w:pStyle w:val="2"/>
        <w:spacing w:line="360" w:lineRule="auto"/>
        <w:ind w:firstLine="480" w:firstLineChars="200"/>
        <w:rPr>
          <w:rFonts w:hint="eastAsia" w:ascii="仿宋" w:hAnsi="仿宋" w:eastAsia="仿宋" w:cs="仿宋"/>
          <w:b w:val="0"/>
          <w:bCs w:val="0"/>
          <w:color w:val="000000" w:themeColor="text1"/>
          <w:sz w:val="24"/>
          <w:szCs w:val="24"/>
          <w:highlight w:val="none"/>
          <w14:textFill>
            <w14:solidFill>
              <w14:schemeClr w14:val="tx1"/>
            </w14:solidFill>
          </w14:textFill>
        </w:rPr>
      </w:pPr>
      <w:r>
        <w:rPr>
          <w:rFonts w:hint="eastAsia" w:ascii="仿宋" w:hAnsi="仿宋" w:eastAsia="仿宋" w:cs="仿宋"/>
          <w:b w:val="0"/>
          <w:bCs w:val="0"/>
          <w:color w:val="000000" w:themeColor="text1"/>
          <w:sz w:val="24"/>
          <w:szCs w:val="24"/>
          <w:highlight w:val="none"/>
          <w14:textFill>
            <w14:solidFill>
              <w14:schemeClr w14:val="tx1"/>
            </w14:solidFill>
          </w14:textFill>
        </w:rPr>
        <w:t>凡有意参加报价者，请于</w:t>
      </w:r>
      <w:r>
        <w:rPr>
          <w:rFonts w:hint="eastAsia" w:ascii="仿宋" w:hAnsi="仿宋" w:eastAsia="仿宋" w:cs="仿宋"/>
          <w:b w:val="0"/>
          <w:bCs w:val="0"/>
          <w:color w:val="000000" w:themeColor="text1"/>
          <w:sz w:val="24"/>
          <w:szCs w:val="24"/>
          <w:highlight w:val="none"/>
          <w:u w:val="single"/>
          <w:lang w:val="en-US" w:eastAsia="zh-CN"/>
          <w14:textFill>
            <w14:solidFill>
              <w14:schemeClr w14:val="tx1"/>
            </w14:solidFill>
          </w14:textFill>
        </w:rPr>
        <w:t>2025年6月13</w:t>
      </w:r>
      <w:r>
        <w:rPr>
          <w:rFonts w:hint="eastAsia" w:ascii="仿宋" w:hAnsi="仿宋" w:eastAsia="仿宋" w:cs="仿宋"/>
          <w:b w:val="0"/>
          <w:bCs w:val="0"/>
          <w:color w:val="000000" w:themeColor="text1"/>
          <w:sz w:val="24"/>
          <w:szCs w:val="24"/>
          <w:highlight w:val="none"/>
          <w:u w:val="single"/>
          <w14:textFill>
            <w14:solidFill>
              <w14:schemeClr w14:val="tx1"/>
            </w14:solidFill>
          </w14:textFill>
        </w:rPr>
        <w:t>日</w:t>
      </w:r>
      <w:r>
        <w:rPr>
          <w:rFonts w:hint="eastAsia" w:ascii="仿宋" w:hAnsi="仿宋" w:eastAsia="仿宋" w:cs="仿宋"/>
          <w:b w:val="0"/>
          <w:bCs w:val="0"/>
          <w:color w:val="000000" w:themeColor="text1"/>
          <w:sz w:val="24"/>
          <w:szCs w:val="24"/>
          <w:highlight w:val="none"/>
          <w:u w:val="single"/>
          <w:lang w:val="en-US" w:eastAsia="zh-CN"/>
          <w14:textFill>
            <w14:solidFill>
              <w14:schemeClr w14:val="tx1"/>
            </w14:solidFill>
          </w14:textFill>
        </w:rPr>
        <w:t>12时00分</w:t>
      </w:r>
      <w:r>
        <w:rPr>
          <w:rFonts w:hint="eastAsia" w:ascii="仿宋" w:hAnsi="仿宋" w:eastAsia="仿宋" w:cs="仿宋"/>
          <w:b w:val="0"/>
          <w:bCs w:val="0"/>
          <w:color w:val="000000" w:themeColor="text1"/>
          <w:sz w:val="24"/>
          <w:szCs w:val="24"/>
          <w:highlight w:val="none"/>
          <w:u w:val="single"/>
          <w14:textFill>
            <w14:solidFill>
              <w14:schemeClr w14:val="tx1"/>
            </w14:solidFill>
          </w14:textFill>
        </w:rPr>
        <w:t>至</w:t>
      </w:r>
      <w:r>
        <w:rPr>
          <w:rFonts w:hint="eastAsia" w:ascii="仿宋" w:hAnsi="仿宋" w:eastAsia="仿宋" w:cs="仿宋"/>
          <w:b w:val="0"/>
          <w:bCs w:val="0"/>
          <w:color w:val="000000" w:themeColor="text1"/>
          <w:sz w:val="24"/>
          <w:szCs w:val="24"/>
          <w:highlight w:val="none"/>
          <w:u w:val="single"/>
          <w:lang w:val="en-US" w:eastAsia="zh-CN"/>
          <w14:textFill>
            <w14:solidFill>
              <w14:schemeClr w14:val="tx1"/>
            </w14:solidFill>
          </w14:textFill>
        </w:rPr>
        <w:t>2025年6月16</w:t>
      </w:r>
      <w:r>
        <w:rPr>
          <w:rFonts w:hint="eastAsia" w:ascii="仿宋" w:hAnsi="仿宋" w:eastAsia="仿宋" w:cs="仿宋"/>
          <w:b w:val="0"/>
          <w:bCs w:val="0"/>
          <w:color w:val="000000" w:themeColor="text1"/>
          <w:sz w:val="24"/>
          <w:szCs w:val="24"/>
          <w:highlight w:val="none"/>
          <w:u w:val="single"/>
          <w14:textFill>
            <w14:solidFill>
              <w14:schemeClr w14:val="tx1"/>
            </w14:solidFill>
          </w14:textFill>
        </w:rPr>
        <w:t>日</w:t>
      </w:r>
      <w:r>
        <w:rPr>
          <w:rFonts w:hint="eastAsia" w:ascii="仿宋" w:hAnsi="仿宋" w:eastAsia="仿宋" w:cs="仿宋"/>
          <w:b w:val="0"/>
          <w:bCs w:val="0"/>
          <w:color w:val="000000" w:themeColor="text1"/>
          <w:sz w:val="24"/>
          <w:szCs w:val="24"/>
          <w:highlight w:val="none"/>
          <w:u w:val="single"/>
          <w:lang w:val="en-US" w:eastAsia="zh-CN"/>
          <w14:textFill>
            <w14:solidFill>
              <w14:schemeClr w14:val="tx1"/>
            </w14:solidFill>
          </w14:textFill>
        </w:rPr>
        <w:t>12时00分</w:t>
      </w:r>
      <w:r>
        <w:rPr>
          <w:rFonts w:hint="eastAsia" w:ascii="仿宋" w:hAnsi="仿宋" w:eastAsia="仿宋" w:cs="仿宋"/>
          <w:b w:val="0"/>
          <w:bCs w:val="0"/>
          <w:color w:val="000000" w:themeColor="text1"/>
          <w:sz w:val="24"/>
          <w:szCs w:val="24"/>
          <w:highlight w:val="none"/>
          <w14:textFill>
            <w14:solidFill>
              <w14:schemeClr w14:val="tx1"/>
            </w14:solidFill>
          </w14:textFill>
        </w:rPr>
        <w:t>（法定公休日、法定节假日除外），通过远程登录中</w:t>
      </w:r>
      <w:r>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t>交集团供应链</w:t>
      </w:r>
      <w:r>
        <w:rPr>
          <w:rFonts w:hint="eastAsia" w:ascii="仿宋" w:hAnsi="仿宋" w:eastAsia="仿宋" w:cs="仿宋"/>
          <w:b w:val="0"/>
          <w:bCs w:val="0"/>
          <w:color w:val="000000" w:themeColor="text1"/>
          <w:sz w:val="24"/>
          <w:szCs w:val="24"/>
          <w:highlight w:val="none"/>
          <w14:textFill>
            <w14:solidFill>
              <w14:schemeClr w14:val="tx1"/>
            </w14:solidFill>
          </w14:textFill>
        </w:rPr>
        <w:t>管理信息系统</w:t>
      </w:r>
      <w:r>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t>供应商门户</w:t>
      </w:r>
      <w:r>
        <w:rPr>
          <w:rFonts w:hint="eastAsia" w:ascii="仿宋" w:hAnsi="仿宋" w:eastAsia="仿宋" w:cs="仿宋"/>
          <w:b w:val="0"/>
          <w:bCs w:val="0"/>
          <w:color w:val="000000" w:themeColor="text1"/>
          <w:sz w:val="24"/>
          <w:szCs w:val="24"/>
          <w:highlight w:val="none"/>
          <w14:textFill>
            <w14:solidFill>
              <w14:schemeClr w14:val="tx1"/>
            </w14:solidFill>
          </w14:textFill>
        </w:rPr>
        <w:t>（网址：http://ec.ccccltd.cn/PMS/）下载询价函。</w:t>
      </w:r>
      <w:bookmarkStart w:id="0" w:name="_Toc17868"/>
    </w:p>
    <w:p w14:paraId="28AE336F">
      <w:pPr>
        <w:pStyle w:val="16"/>
        <w:spacing w:line="360" w:lineRule="auto"/>
        <w:ind w:left="0" w:leftChars="0" w:firstLine="0" w:firstLineChars="0"/>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十五</w:t>
      </w:r>
      <w:r>
        <w:rPr>
          <w:rFonts w:hint="eastAsia" w:ascii="仿宋" w:hAnsi="仿宋" w:eastAsia="仿宋" w:cs="仿宋"/>
          <w:b/>
          <w:bCs/>
          <w:color w:val="000000" w:themeColor="text1"/>
          <w:sz w:val="24"/>
          <w:szCs w:val="24"/>
          <w:highlight w:val="none"/>
          <w14:textFill>
            <w14:solidFill>
              <w14:schemeClr w14:val="tx1"/>
            </w14:solidFill>
          </w14:textFill>
        </w:rPr>
        <w:t>、报价单的递交</w:t>
      </w:r>
      <w:bookmarkEnd w:id="0"/>
    </w:p>
    <w:p w14:paraId="77E5FBEB">
      <w:pPr>
        <w:spacing w:line="360" w:lineRule="auto"/>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color w:val="auto"/>
          <w:sz w:val="24"/>
          <w:szCs w:val="24"/>
          <w:highlight w:val="none"/>
          <w:lang w:val="en-US" w:eastAsia="zh-CN"/>
        </w:rPr>
        <w:t>1. 投标文件递交的截止时间（投标截止时间，下同）为2025年6月19日12时00分，投标人</w:t>
      </w:r>
      <w:r>
        <w:rPr>
          <w:rFonts w:hint="eastAsia" w:ascii="仿宋" w:hAnsi="仿宋" w:eastAsia="仿宋" w:cs="仿宋"/>
          <w:sz w:val="24"/>
          <w:szCs w:val="24"/>
          <w:highlight w:val="none"/>
          <w:lang w:val="en-US" w:eastAsia="zh-CN"/>
        </w:rPr>
        <w:t>应在截止时间前通过中交集团供应链管理信息系统递交电子投标报价文件。</w:t>
      </w:r>
    </w:p>
    <w:p w14:paraId="12E92219">
      <w:pPr>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 逾期送达的投标报价文件，中交集团供应链管理信息系统将予以拒收。</w:t>
      </w:r>
    </w:p>
    <w:p w14:paraId="2919D2AA">
      <w:pPr>
        <w:spacing w:line="360" w:lineRule="auto"/>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sz w:val="24"/>
          <w:szCs w:val="24"/>
          <w:lang w:val="en-US" w:eastAsia="zh-CN"/>
        </w:rPr>
        <w:t>3.  电子采购的供应商报价文件由电子报价表及附件共同组成。当电子报价表与附件内容冲突时，应以电子报价表的数据为准。</w:t>
      </w:r>
    </w:p>
    <w:p w14:paraId="62F8DF45">
      <w:pPr>
        <w:spacing w:line="360" w:lineRule="auto"/>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十六</w:t>
      </w:r>
      <w:r>
        <w:rPr>
          <w:rFonts w:hint="eastAsia" w:ascii="仿宋" w:hAnsi="仿宋" w:eastAsia="仿宋" w:cs="仿宋"/>
          <w:b/>
          <w:color w:val="000000" w:themeColor="text1"/>
          <w:sz w:val="24"/>
          <w:szCs w:val="24"/>
          <w:highlight w:val="none"/>
          <w14:textFill>
            <w14:solidFill>
              <w14:schemeClr w14:val="tx1"/>
            </w14:solidFill>
          </w14:textFill>
        </w:rPr>
        <w:t>、联系方式</w:t>
      </w:r>
    </w:p>
    <w:p w14:paraId="71B6A073">
      <w:pPr>
        <w:spacing w:line="360" w:lineRule="auto"/>
        <w:rPr>
          <w:rFonts w:hint="eastAsia" w:ascii="仿宋" w:hAnsi="仿宋" w:eastAsia="仿宋" w:cs="仿宋"/>
          <w:color w:val="000000" w:themeColor="text1"/>
          <w:sz w:val="24"/>
          <w:szCs w:val="24"/>
          <w:highlight w:val="none"/>
          <w:u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询 价 方：</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中交一公局厦门工程有限公司</w:t>
      </w:r>
    </w:p>
    <w:p w14:paraId="54F5E5DC">
      <w:pPr>
        <w:spacing w:line="360" w:lineRule="auto"/>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联 系 人：</w:t>
      </w:r>
      <w:r>
        <w:rPr>
          <w:rFonts w:hint="eastAsia" w:ascii="仿宋" w:hAnsi="仿宋" w:eastAsia="仿宋" w:cs="仿宋"/>
          <w:color w:val="000000" w:themeColor="text1"/>
          <w:sz w:val="24"/>
          <w:szCs w:val="24"/>
          <w:highlight w:val="none"/>
          <w:lang w:val="en-US" w:eastAsia="zh-CN"/>
          <w14:textFill>
            <w14:solidFill>
              <w14:schemeClr w14:val="tx1"/>
            </w14:solidFill>
          </w14:textFill>
        </w:rPr>
        <w:t>侯宇鸿</w:t>
      </w:r>
    </w:p>
    <w:p w14:paraId="4AC82710">
      <w:pPr>
        <w:spacing w:line="360" w:lineRule="auto"/>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电    话：</w:t>
      </w:r>
      <w:r>
        <w:rPr>
          <w:rFonts w:hint="eastAsia" w:ascii="仿宋" w:hAnsi="仿宋" w:eastAsia="仿宋" w:cs="仿宋"/>
          <w:color w:val="000000" w:themeColor="text1"/>
          <w:sz w:val="24"/>
          <w:szCs w:val="24"/>
          <w:highlight w:val="none"/>
          <w:lang w:val="en-US" w:eastAsia="zh-CN"/>
          <w14:textFill>
            <w14:solidFill>
              <w14:schemeClr w14:val="tx1"/>
            </w14:solidFill>
          </w14:textFill>
        </w:rPr>
        <w:t>15047872035</w:t>
      </w:r>
    </w:p>
    <w:p w14:paraId="3193CD03">
      <w:pPr>
        <w:spacing w:line="36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联系地址：</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厦门市集美区银江路139号</w:t>
      </w:r>
      <w:r>
        <w:rPr>
          <w:rFonts w:hint="eastAsia" w:ascii="仿宋" w:hAnsi="仿宋" w:eastAsia="仿宋" w:cs="仿宋"/>
          <w:color w:val="000000" w:themeColor="text1"/>
          <w:sz w:val="24"/>
          <w:szCs w:val="24"/>
          <w:highlight w:val="none"/>
          <w:u w:val="non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 xml:space="preserve"> </w:t>
      </w:r>
    </w:p>
    <w:p w14:paraId="5698A93A">
      <w:pPr>
        <w:pageBreakBefore w:val="0"/>
        <w:widowControl/>
        <w:kinsoku/>
        <w:wordWrap/>
        <w:overflowPunct/>
        <w:topLinePunct w:val="0"/>
        <w:bidi w:val="0"/>
        <w:snapToGrid/>
        <w:spacing w:line="360" w:lineRule="auto"/>
        <w:jc w:val="both"/>
        <w:rPr>
          <w:rFonts w:hint="eastAsia" w:ascii="仿宋" w:hAnsi="仿宋" w:eastAsia="仿宋" w:cs="仿宋"/>
          <w:sz w:val="24"/>
          <w:szCs w:val="24"/>
          <w:highlight w:val="none"/>
        </w:rPr>
      </w:pPr>
    </w:p>
    <w:p w14:paraId="3472BB9D">
      <w:pPr>
        <w:pageBreakBefore w:val="0"/>
        <w:widowControl/>
        <w:kinsoku/>
        <w:wordWrap/>
        <w:overflowPunct/>
        <w:topLinePunct w:val="0"/>
        <w:bidi w:val="0"/>
        <w:snapToGrid/>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rPr>
        <w:t>中交一公局</w:t>
      </w:r>
      <w:r>
        <w:rPr>
          <w:rFonts w:hint="eastAsia" w:ascii="仿宋" w:hAnsi="仿宋" w:eastAsia="仿宋" w:cs="仿宋"/>
          <w:sz w:val="24"/>
          <w:szCs w:val="24"/>
          <w:highlight w:val="none"/>
          <w:lang w:eastAsia="zh-CN"/>
        </w:rPr>
        <w:t>厦门工程</w:t>
      </w:r>
      <w:r>
        <w:rPr>
          <w:rFonts w:hint="eastAsia" w:ascii="仿宋" w:hAnsi="仿宋" w:eastAsia="仿宋" w:cs="仿宋"/>
          <w:sz w:val="24"/>
          <w:szCs w:val="24"/>
          <w:highlight w:val="none"/>
        </w:rPr>
        <w:t>有限公司</w:t>
      </w:r>
    </w:p>
    <w:p w14:paraId="06BB5947">
      <w:pPr>
        <w:pStyle w:val="3"/>
        <w:ind w:firstLine="5760" w:firstLineChars="2400"/>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kern w:val="0"/>
          <w:sz w:val="24"/>
          <w:szCs w:val="24"/>
          <w:u w:val="none"/>
          <w:lang w:val="en-US" w:eastAsia="zh-CN"/>
        </w:rPr>
        <w:t>2025年6月13</w:t>
      </w:r>
      <w:bookmarkStart w:id="1" w:name="_GoBack"/>
      <w:bookmarkEnd w:id="1"/>
      <w:r>
        <w:rPr>
          <w:rFonts w:hint="eastAsia" w:ascii="仿宋" w:hAnsi="仿宋" w:eastAsia="仿宋" w:cs="仿宋"/>
          <w:kern w:val="0"/>
          <w:sz w:val="24"/>
          <w:szCs w:val="24"/>
          <w:u w:val="none"/>
          <w:lang w:val="en-US" w:eastAsia="zh-CN"/>
        </w:rPr>
        <w:t>日</w:t>
      </w:r>
    </w:p>
    <w:sectPr>
      <w:pgSz w:w="11906" w:h="16838"/>
      <w:pgMar w:top="1391" w:right="1434" w:bottom="1054" w:left="142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yOTc1NzNjMTBlNDIyMmY0MjMxNjVmNGExYmUzODcifQ=="/>
  </w:docVars>
  <w:rsids>
    <w:rsidRoot w:val="00860ED3"/>
    <w:rsid w:val="001F1007"/>
    <w:rsid w:val="00280418"/>
    <w:rsid w:val="00443541"/>
    <w:rsid w:val="004E4D52"/>
    <w:rsid w:val="005E0F1C"/>
    <w:rsid w:val="007732BA"/>
    <w:rsid w:val="00860ED3"/>
    <w:rsid w:val="009D3D24"/>
    <w:rsid w:val="00A07E62"/>
    <w:rsid w:val="00AF4229"/>
    <w:rsid w:val="00B55A1D"/>
    <w:rsid w:val="00D376FD"/>
    <w:rsid w:val="00D44F3C"/>
    <w:rsid w:val="01663CBD"/>
    <w:rsid w:val="01681ED0"/>
    <w:rsid w:val="027A68C3"/>
    <w:rsid w:val="03907714"/>
    <w:rsid w:val="03C002D8"/>
    <w:rsid w:val="04293179"/>
    <w:rsid w:val="04770BC6"/>
    <w:rsid w:val="04F71B44"/>
    <w:rsid w:val="05E530D0"/>
    <w:rsid w:val="060E5210"/>
    <w:rsid w:val="071579E5"/>
    <w:rsid w:val="0757624F"/>
    <w:rsid w:val="077B6603"/>
    <w:rsid w:val="08491227"/>
    <w:rsid w:val="09000221"/>
    <w:rsid w:val="09016473"/>
    <w:rsid w:val="098C626E"/>
    <w:rsid w:val="09FD664F"/>
    <w:rsid w:val="0B0C55A3"/>
    <w:rsid w:val="0C686809"/>
    <w:rsid w:val="0C6C30D3"/>
    <w:rsid w:val="0CC46135"/>
    <w:rsid w:val="0CEE4E49"/>
    <w:rsid w:val="0D1D2963"/>
    <w:rsid w:val="0D86163D"/>
    <w:rsid w:val="0DD61F6C"/>
    <w:rsid w:val="0E460DCC"/>
    <w:rsid w:val="0E8E33F6"/>
    <w:rsid w:val="0EFE4BAC"/>
    <w:rsid w:val="0F566DED"/>
    <w:rsid w:val="0F580DB7"/>
    <w:rsid w:val="0F852DAB"/>
    <w:rsid w:val="0F9553FA"/>
    <w:rsid w:val="0F9E16EA"/>
    <w:rsid w:val="0FD348E1"/>
    <w:rsid w:val="0FFF31D3"/>
    <w:rsid w:val="10615A49"/>
    <w:rsid w:val="10B36F23"/>
    <w:rsid w:val="11A50502"/>
    <w:rsid w:val="125910CE"/>
    <w:rsid w:val="12AE79D8"/>
    <w:rsid w:val="1315220B"/>
    <w:rsid w:val="13320224"/>
    <w:rsid w:val="136E0BA9"/>
    <w:rsid w:val="139D1A8D"/>
    <w:rsid w:val="14390386"/>
    <w:rsid w:val="145558C5"/>
    <w:rsid w:val="14CE0C92"/>
    <w:rsid w:val="154F67B8"/>
    <w:rsid w:val="15FD7FC2"/>
    <w:rsid w:val="16921052"/>
    <w:rsid w:val="16D83CCA"/>
    <w:rsid w:val="188579DA"/>
    <w:rsid w:val="1A4F2DB6"/>
    <w:rsid w:val="1AC32967"/>
    <w:rsid w:val="1C986C96"/>
    <w:rsid w:val="1CBB2985"/>
    <w:rsid w:val="1CEF4282"/>
    <w:rsid w:val="1D2B7431"/>
    <w:rsid w:val="1D905BC0"/>
    <w:rsid w:val="1DA31C0E"/>
    <w:rsid w:val="1F0C6C30"/>
    <w:rsid w:val="1F851A92"/>
    <w:rsid w:val="20564E9E"/>
    <w:rsid w:val="21017B0E"/>
    <w:rsid w:val="21273FB9"/>
    <w:rsid w:val="215A1BE8"/>
    <w:rsid w:val="215F7D83"/>
    <w:rsid w:val="218D48F0"/>
    <w:rsid w:val="21A66D68"/>
    <w:rsid w:val="21E22272"/>
    <w:rsid w:val="22601425"/>
    <w:rsid w:val="22A51FE4"/>
    <w:rsid w:val="22E86D69"/>
    <w:rsid w:val="233D7398"/>
    <w:rsid w:val="245E2574"/>
    <w:rsid w:val="24AA7567"/>
    <w:rsid w:val="25627E42"/>
    <w:rsid w:val="27ED0A73"/>
    <w:rsid w:val="281A0EA7"/>
    <w:rsid w:val="285048C9"/>
    <w:rsid w:val="287405B8"/>
    <w:rsid w:val="28E82D54"/>
    <w:rsid w:val="299A0E6A"/>
    <w:rsid w:val="2AAF3B33"/>
    <w:rsid w:val="2B434271"/>
    <w:rsid w:val="2CDC6EE7"/>
    <w:rsid w:val="2D216834"/>
    <w:rsid w:val="2D3841B3"/>
    <w:rsid w:val="2D686211"/>
    <w:rsid w:val="2DE97B3A"/>
    <w:rsid w:val="2E2E740E"/>
    <w:rsid w:val="2EA17C2D"/>
    <w:rsid w:val="2FA63021"/>
    <w:rsid w:val="30202DD3"/>
    <w:rsid w:val="30254889"/>
    <w:rsid w:val="30AE3968"/>
    <w:rsid w:val="30E14C68"/>
    <w:rsid w:val="31D869C8"/>
    <w:rsid w:val="32530432"/>
    <w:rsid w:val="329655CE"/>
    <w:rsid w:val="32FA790B"/>
    <w:rsid w:val="33745910"/>
    <w:rsid w:val="34083C5D"/>
    <w:rsid w:val="35901933"/>
    <w:rsid w:val="36121410"/>
    <w:rsid w:val="365E34D7"/>
    <w:rsid w:val="369319FE"/>
    <w:rsid w:val="37015212"/>
    <w:rsid w:val="37870463"/>
    <w:rsid w:val="37C403AE"/>
    <w:rsid w:val="37CE1367"/>
    <w:rsid w:val="37D80F30"/>
    <w:rsid w:val="3B697D24"/>
    <w:rsid w:val="3C8709C5"/>
    <w:rsid w:val="3CF03B2D"/>
    <w:rsid w:val="3DB50C45"/>
    <w:rsid w:val="3E06436D"/>
    <w:rsid w:val="3E2D422A"/>
    <w:rsid w:val="3E3C527C"/>
    <w:rsid w:val="3E4151B8"/>
    <w:rsid w:val="3E86299B"/>
    <w:rsid w:val="3FBC27CB"/>
    <w:rsid w:val="3FCC6C50"/>
    <w:rsid w:val="40664832"/>
    <w:rsid w:val="408E3D89"/>
    <w:rsid w:val="40A92971"/>
    <w:rsid w:val="40D23C76"/>
    <w:rsid w:val="40D701C1"/>
    <w:rsid w:val="41CC6917"/>
    <w:rsid w:val="427F2653"/>
    <w:rsid w:val="42CB0305"/>
    <w:rsid w:val="42FA74B4"/>
    <w:rsid w:val="433C5D1E"/>
    <w:rsid w:val="439C143A"/>
    <w:rsid w:val="43D774F5"/>
    <w:rsid w:val="43F923DE"/>
    <w:rsid w:val="45012D7B"/>
    <w:rsid w:val="454430CA"/>
    <w:rsid w:val="454E2D7D"/>
    <w:rsid w:val="459F004E"/>
    <w:rsid w:val="48847F4B"/>
    <w:rsid w:val="490329C1"/>
    <w:rsid w:val="492D05E3"/>
    <w:rsid w:val="49303C2F"/>
    <w:rsid w:val="4A031344"/>
    <w:rsid w:val="4A435263"/>
    <w:rsid w:val="4A52782F"/>
    <w:rsid w:val="4A9F0AED"/>
    <w:rsid w:val="4AB83EDC"/>
    <w:rsid w:val="4BC36FDC"/>
    <w:rsid w:val="4BCC6512"/>
    <w:rsid w:val="4C132AA0"/>
    <w:rsid w:val="4E6525CD"/>
    <w:rsid w:val="4E6D36FD"/>
    <w:rsid w:val="4F2A7EC8"/>
    <w:rsid w:val="4FBD3D43"/>
    <w:rsid w:val="50AB0024"/>
    <w:rsid w:val="511309CD"/>
    <w:rsid w:val="51BD232E"/>
    <w:rsid w:val="52650DED"/>
    <w:rsid w:val="530840E9"/>
    <w:rsid w:val="538E6122"/>
    <w:rsid w:val="53DF63B8"/>
    <w:rsid w:val="547E6196"/>
    <w:rsid w:val="56A70915"/>
    <w:rsid w:val="56FE35BF"/>
    <w:rsid w:val="571B7CCD"/>
    <w:rsid w:val="5A1F753F"/>
    <w:rsid w:val="5A3966BC"/>
    <w:rsid w:val="5A511C57"/>
    <w:rsid w:val="5AFC1BC3"/>
    <w:rsid w:val="5B0311A3"/>
    <w:rsid w:val="5BD7618C"/>
    <w:rsid w:val="5CCE57E1"/>
    <w:rsid w:val="5CFA08F7"/>
    <w:rsid w:val="5E386D27"/>
    <w:rsid w:val="5E4044BD"/>
    <w:rsid w:val="5E513ED1"/>
    <w:rsid w:val="5ED54C05"/>
    <w:rsid w:val="5F17058B"/>
    <w:rsid w:val="5F2B0CC9"/>
    <w:rsid w:val="5F4A2A52"/>
    <w:rsid w:val="5F766BB3"/>
    <w:rsid w:val="60584302"/>
    <w:rsid w:val="609F5C5F"/>
    <w:rsid w:val="60B30F76"/>
    <w:rsid w:val="60C03693"/>
    <w:rsid w:val="60DD027C"/>
    <w:rsid w:val="61711399"/>
    <w:rsid w:val="637E0895"/>
    <w:rsid w:val="649372F9"/>
    <w:rsid w:val="650C0CC4"/>
    <w:rsid w:val="66A246FF"/>
    <w:rsid w:val="66D93700"/>
    <w:rsid w:val="66FE6CC3"/>
    <w:rsid w:val="67876CB8"/>
    <w:rsid w:val="67D75213"/>
    <w:rsid w:val="67D87514"/>
    <w:rsid w:val="688A4E8D"/>
    <w:rsid w:val="68C80FA2"/>
    <w:rsid w:val="68FF4E51"/>
    <w:rsid w:val="69AA3132"/>
    <w:rsid w:val="69B1626F"/>
    <w:rsid w:val="69BF0D2E"/>
    <w:rsid w:val="6A3749C6"/>
    <w:rsid w:val="6AA87672"/>
    <w:rsid w:val="6CC142FF"/>
    <w:rsid w:val="6D22777F"/>
    <w:rsid w:val="6E731D44"/>
    <w:rsid w:val="6E801396"/>
    <w:rsid w:val="6E9543B1"/>
    <w:rsid w:val="6EC56B99"/>
    <w:rsid w:val="6ECE22BD"/>
    <w:rsid w:val="6F190B0F"/>
    <w:rsid w:val="6F231884"/>
    <w:rsid w:val="6F76572A"/>
    <w:rsid w:val="70263260"/>
    <w:rsid w:val="70506E9F"/>
    <w:rsid w:val="70A24B63"/>
    <w:rsid w:val="70F21646"/>
    <w:rsid w:val="710F567F"/>
    <w:rsid w:val="720C6EB8"/>
    <w:rsid w:val="7355410F"/>
    <w:rsid w:val="73D130F2"/>
    <w:rsid w:val="73DC038C"/>
    <w:rsid w:val="753F0BD2"/>
    <w:rsid w:val="75BE41ED"/>
    <w:rsid w:val="76654669"/>
    <w:rsid w:val="798B1CBB"/>
    <w:rsid w:val="7A597FA2"/>
    <w:rsid w:val="7AB45BBF"/>
    <w:rsid w:val="7B690757"/>
    <w:rsid w:val="7BC938EC"/>
    <w:rsid w:val="7BED44C4"/>
    <w:rsid w:val="7C0E57A2"/>
    <w:rsid w:val="7D983576"/>
    <w:rsid w:val="7F3C6183"/>
    <w:rsid w:val="7FC95C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9" w:semiHidden="0"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3"/>
    <w:next w:val="3"/>
    <w:link w:val="26"/>
    <w:autoRedefine/>
    <w:qFormat/>
    <w:uiPriority w:val="99"/>
    <w:pPr>
      <w:jc w:val="left"/>
      <w:outlineLvl w:val="1"/>
    </w:pPr>
    <w:rPr>
      <w:b/>
      <w:bCs/>
    </w:rPr>
  </w:style>
  <w:style w:type="paragraph" w:styleId="4">
    <w:name w:val="heading 3"/>
    <w:basedOn w:val="1"/>
    <w:next w:val="1"/>
    <w:autoRedefine/>
    <w:qFormat/>
    <w:uiPriority w:val="9"/>
    <w:pPr>
      <w:keepNext/>
      <w:keepLines/>
      <w:spacing w:before="260" w:after="260" w:line="413" w:lineRule="auto"/>
      <w:outlineLvl w:val="2"/>
    </w:pPr>
    <w:rPr>
      <w:rFonts w:ascii="Arial" w:hAnsi="Arial"/>
      <w:b/>
      <w:sz w:val="32"/>
      <w:szCs w:val="20"/>
    </w:rPr>
  </w:style>
  <w:style w:type="paragraph" w:styleId="5">
    <w:name w:val="heading 4"/>
    <w:basedOn w:val="1"/>
    <w:next w:val="1"/>
    <w:link w:val="27"/>
    <w:autoRedefine/>
    <w:semiHidden/>
    <w:unhideWhenUsed/>
    <w:qFormat/>
    <w:uiPriority w:val="0"/>
    <w:pPr>
      <w:keepNext/>
      <w:keepLines/>
      <w:spacing w:line="372" w:lineRule="auto"/>
      <w:outlineLvl w:val="3"/>
    </w:pPr>
    <w:rPr>
      <w:rFonts w:ascii="Arial" w:hAnsi="Arial" w:eastAsia="黑体"/>
      <w:b/>
      <w:sz w:val="28"/>
    </w:rPr>
  </w:style>
  <w:style w:type="character" w:default="1" w:styleId="19">
    <w:name w:val="Default Paragraph Font"/>
    <w:autoRedefine/>
    <w:semiHidden/>
    <w:unhideWhenUsed/>
    <w:qFormat/>
    <w:uiPriority w:val="1"/>
  </w:style>
  <w:style w:type="table" w:default="1" w:styleId="17">
    <w:name w:val="Normal Table"/>
    <w:autoRedefine/>
    <w:semiHidden/>
    <w:unhideWhenUsed/>
    <w:qFormat/>
    <w:uiPriority w:val="99"/>
    <w:tblPr>
      <w:tblCellMar>
        <w:top w:w="0" w:type="dxa"/>
        <w:left w:w="108" w:type="dxa"/>
        <w:bottom w:w="0" w:type="dxa"/>
        <w:right w:w="108" w:type="dxa"/>
      </w:tblCellMar>
    </w:tblPr>
  </w:style>
  <w:style w:type="paragraph" w:customStyle="1" w:styleId="3">
    <w:name w:val="无间隔1"/>
    <w:autoRedefine/>
    <w:qFormat/>
    <w:uiPriority w:val="1"/>
    <w:pPr>
      <w:widowControl w:val="0"/>
      <w:jc w:val="both"/>
    </w:pPr>
    <w:rPr>
      <w:rFonts w:asciiTheme="minorHAnsi" w:hAnsiTheme="minorHAnsi" w:eastAsiaTheme="minorEastAsia" w:cstheme="minorBidi"/>
      <w:kern w:val="2"/>
      <w:sz w:val="21"/>
      <w:szCs w:val="22"/>
      <w:lang w:val="en-US" w:eastAsia="zh-CN" w:bidi="ar-SA"/>
    </w:rPr>
  </w:style>
  <w:style w:type="paragraph" w:styleId="6">
    <w:name w:val="annotation text"/>
    <w:basedOn w:val="1"/>
    <w:link w:val="30"/>
    <w:autoRedefine/>
    <w:semiHidden/>
    <w:unhideWhenUsed/>
    <w:qFormat/>
    <w:uiPriority w:val="99"/>
    <w:pPr>
      <w:jc w:val="left"/>
    </w:pPr>
  </w:style>
  <w:style w:type="paragraph" w:styleId="7">
    <w:name w:val="Body Text"/>
    <w:basedOn w:val="1"/>
    <w:next w:val="1"/>
    <w:autoRedefine/>
    <w:unhideWhenUsed/>
    <w:qFormat/>
    <w:uiPriority w:val="99"/>
    <w:pPr>
      <w:spacing w:after="120"/>
    </w:pPr>
    <w:rPr>
      <w:rFonts w:ascii="Calibri" w:hAnsi="Calibri" w:eastAsia="宋体" w:cs="Times New Roman"/>
    </w:rPr>
  </w:style>
  <w:style w:type="paragraph" w:styleId="8">
    <w:name w:val="Body Text Indent"/>
    <w:basedOn w:val="1"/>
    <w:link w:val="24"/>
    <w:autoRedefine/>
    <w:semiHidden/>
    <w:unhideWhenUsed/>
    <w:qFormat/>
    <w:uiPriority w:val="99"/>
    <w:pPr>
      <w:spacing w:after="120"/>
      <w:ind w:left="420" w:leftChars="200"/>
    </w:pPr>
  </w:style>
  <w:style w:type="paragraph" w:styleId="9">
    <w:name w:val="Body Text Indent 2"/>
    <w:basedOn w:val="1"/>
    <w:autoRedefine/>
    <w:qFormat/>
    <w:uiPriority w:val="0"/>
    <w:pPr>
      <w:spacing w:after="120" w:line="480" w:lineRule="auto"/>
      <w:ind w:left="420" w:leftChars="200"/>
    </w:pPr>
    <w:rPr>
      <w:szCs w:val="20"/>
    </w:rPr>
  </w:style>
  <w:style w:type="paragraph" w:styleId="10">
    <w:name w:val="Balloon Text"/>
    <w:basedOn w:val="1"/>
    <w:link w:val="32"/>
    <w:autoRedefine/>
    <w:semiHidden/>
    <w:unhideWhenUsed/>
    <w:qFormat/>
    <w:uiPriority w:val="99"/>
    <w:rPr>
      <w:sz w:val="18"/>
      <w:szCs w:val="18"/>
    </w:rPr>
  </w:style>
  <w:style w:type="paragraph" w:styleId="11">
    <w:name w:val="footer"/>
    <w:basedOn w:val="1"/>
    <w:link w:val="23"/>
    <w:autoRedefine/>
    <w:semiHidden/>
    <w:unhideWhenUsed/>
    <w:qFormat/>
    <w:uiPriority w:val="99"/>
    <w:pPr>
      <w:tabs>
        <w:tab w:val="center" w:pos="4153"/>
        <w:tab w:val="right" w:pos="8306"/>
      </w:tabs>
      <w:snapToGrid w:val="0"/>
      <w:jc w:val="left"/>
    </w:pPr>
    <w:rPr>
      <w:sz w:val="18"/>
      <w:szCs w:val="18"/>
    </w:rPr>
  </w:style>
  <w:style w:type="paragraph" w:styleId="12">
    <w:name w:val="header"/>
    <w:basedOn w:val="1"/>
    <w:link w:val="22"/>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Body Text Indent 3"/>
    <w:basedOn w:val="1"/>
    <w:autoRedefine/>
    <w:unhideWhenUsed/>
    <w:qFormat/>
    <w:uiPriority w:val="0"/>
    <w:pPr>
      <w:spacing w:after="120"/>
      <w:ind w:left="420" w:leftChars="200"/>
    </w:pPr>
    <w:rPr>
      <w:sz w:val="16"/>
      <w:szCs w:val="16"/>
    </w:rPr>
  </w:style>
  <w:style w:type="paragraph" w:styleId="14">
    <w:name w:val="Normal (Web)"/>
    <w:basedOn w:val="1"/>
    <w:autoRedefine/>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styleId="15">
    <w:name w:val="annotation subject"/>
    <w:basedOn w:val="6"/>
    <w:next w:val="6"/>
    <w:link w:val="31"/>
    <w:autoRedefine/>
    <w:semiHidden/>
    <w:unhideWhenUsed/>
    <w:qFormat/>
    <w:uiPriority w:val="99"/>
    <w:rPr>
      <w:b/>
      <w:bCs/>
    </w:rPr>
  </w:style>
  <w:style w:type="paragraph" w:styleId="16">
    <w:name w:val="Body Text First Indent 2"/>
    <w:basedOn w:val="8"/>
    <w:link w:val="25"/>
    <w:autoRedefine/>
    <w:unhideWhenUsed/>
    <w:qFormat/>
    <w:uiPriority w:val="99"/>
    <w:pPr>
      <w:ind w:firstLine="420" w:firstLineChars="200"/>
    </w:pPr>
  </w:style>
  <w:style w:type="table" w:styleId="18">
    <w:name w:val="Table Grid"/>
    <w:basedOn w:val="17"/>
    <w:autoRedefine/>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0">
    <w:name w:val="annotation reference"/>
    <w:basedOn w:val="19"/>
    <w:autoRedefine/>
    <w:semiHidden/>
    <w:unhideWhenUsed/>
    <w:qFormat/>
    <w:uiPriority w:val="99"/>
    <w:rPr>
      <w:sz w:val="21"/>
      <w:szCs w:val="21"/>
    </w:rPr>
  </w:style>
  <w:style w:type="paragraph" w:customStyle="1" w:styleId="21">
    <w:name w:val="正文表格"/>
    <w:basedOn w:val="1"/>
    <w:autoRedefine/>
    <w:qFormat/>
    <w:uiPriority w:val="0"/>
    <w:pPr>
      <w:adjustRightInd w:val="0"/>
      <w:snapToGrid w:val="0"/>
      <w:ind w:firstLine="600" w:firstLineChars="200"/>
    </w:pPr>
    <w:rPr>
      <w:rFonts w:ascii="Times New Roman" w:hAnsi="Times New Roman" w:eastAsia="仿宋_GB2312"/>
      <w:kern w:val="24"/>
      <w:lang w:bidi="he-IL"/>
    </w:rPr>
  </w:style>
  <w:style w:type="character" w:customStyle="1" w:styleId="22">
    <w:name w:val="页眉 字符"/>
    <w:basedOn w:val="19"/>
    <w:link w:val="12"/>
    <w:autoRedefine/>
    <w:semiHidden/>
    <w:qFormat/>
    <w:uiPriority w:val="99"/>
    <w:rPr>
      <w:sz w:val="18"/>
      <w:szCs w:val="18"/>
    </w:rPr>
  </w:style>
  <w:style w:type="character" w:customStyle="1" w:styleId="23">
    <w:name w:val="页脚 字符"/>
    <w:basedOn w:val="19"/>
    <w:link w:val="11"/>
    <w:autoRedefine/>
    <w:semiHidden/>
    <w:qFormat/>
    <w:uiPriority w:val="99"/>
    <w:rPr>
      <w:sz w:val="18"/>
      <w:szCs w:val="18"/>
    </w:rPr>
  </w:style>
  <w:style w:type="character" w:customStyle="1" w:styleId="24">
    <w:name w:val="正文文本缩进 字符"/>
    <w:basedOn w:val="19"/>
    <w:link w:val="8"/>
    <w:autoRedefine/>
    <w:semiHidden/>
    <w:qFormat/>
    <w:uiPriority w:val="99"/>
    <w:rPr>
      <w:rFonts w:ascii="Times New Roman" w:hAnsi="Times New Roman" w:eastAsia="宋体" w:cs="Times New Roman"/>
      <w:szCs w:val="24"/>
    </w:rPr>
  </w:style>
  <w:style w:type="character" w:customStyle="1" w:styleId="25">
    <w:name w:val="正文文本首行缩进 2 字符"/>
    <w:basedOn w:val="24"/>
    <w:link w:val="16"/>
    <w:autoRedefine/>
    <w:qFormat/>
    <w:uiPriority w:val="99"/>
    <w:rPr>
      <w:rFonts w:ascii="Times New Roman" w:hAnsi="Times New Roman" w:eastAsia="宋体" w:cs="Times New Roman"/>
      <w:szCs w:val="24"/>
    </w:rPr>
  </w:style>
  <w:style w:type="character" w:customStyle="1" w:styleId="26">
    <w:name w:val="标题 2 字符"/>
    <w:basedOn w:val="19"/>
    <w:link w:val="2"/>
    <w:autoRedefine/>
    <w:qFormat/>
    <w:uiPriority w:val="99"/>
    <w:rPr>
      <w:rFonts w:ascii="Times New Roman" w:hAnsi="Times New Roman" w:eastAsia="宋体" w:cs="Times New Roman"/>
      <w:b/>
      <w:bCs/>
      <w:szCs w:val="24"/>
    </w:rPr>
  </w:style>
  <w:style w:type="character" w:customStyle="1" w:styleId="27">
    <w:name w:val="标题 4 字符"/>
    <w:basedOn w:val="19"/>
    <w:link w:val="5"/>
    <w:autoRedefine/>
    <w:semiHidden/>
    <w:qFormat/>
    <w:uiPriority w:val="0"/>
    <w:rPr>
      <w:rFonts w:ascii="Arial" w:hAnsi="Arial" w:eastAsia="黑体" w:cs="Times New Roman"/>
      <w:b/>
      <w:sz w:val="28"/>
      <w:szCs w:val="24"/>
    </w:rPr>
  </w:style>
  <w:style w:type="paragraph" w:customStyle="1" w:styleId="28">
    <w:name w:val="样式 标题 2 + Times New Roman 四号 非加粗 段前: 5 磅 段后: 0 磅 行距: 固定值 20..."/>
    <w:basedOn w:val="2"/>
    <w:autoRedefine/>
    <w:qFormat/>
    <w:uiPriority w:val="0"/>
    <w:pPr>
      <w:keepNext/>
      <w:keepLines/>
      <w:spacing w:before="100" w:line="400" w:lineRule="exact"/>
      <w:jc w:val="both"/>
    </w:pPr>
    <w:rPr>
      <w:rFonts w:eastAsia="黑体" w:cs="宋体"/>
      <w:b w:val="0"/>
      <w:bCs w:val="0"/>
      <w:kern w:val="0"/>
      <w:sz w:val="28"/>
      <w:szCs w:val="20"/>
    </w:rPr>
  </w:style>
  <w:style w:type="paragraph" w:customStyle="1" w:styleId="29">
    <w:name w:val="p0"/>
    <w:basedOn w:val="1"/>
    <w:autoRedefine/>
    <w:qFormat/>
    <w:uiPriority w:val="0"/>
    <w:pPr>
      <w:widowControl/>
      <w:ind w:firstLine="420"/>
    </w:pPr>
    <w:rPr>
      <w:kern w:val="0"/>
    </w:rPr>
  </w:style>
  <w:style w:type="character" w:customStyle="1" w:styleId="30">
    <w:name w:val="批注文字 字符"/>
    <w:basedOn w:val="19"/>
    <w:link w:val="6"/>
    <w:autoRedefine/>
    <w:semiHidden/>
    <w:qFormat/>
    <w:uiPriority w:val="99"/>
    <w:rPr>
      <w:kern w:val="2"/>
      <w:sz w:val="21"/>
      <w:szCs w:val="24"/>
    </w:rPr>
  </w:style>
  <w:style w:type="character" w:customStyle="1" w:styleId="31">
    <w:name w:val="批注主题 字符"/>
    <w:basedOn w:val="30"/>
    <w:link w:val="15"/>
    <w:autoRedefine/>
    <w:semiHidden/>
    <w:qFormat/>
    <w:uiPriority w:val="99"/>
    <w:rPr>
      <w:b/>
      <w:bCs/>
      <w:kern w:val="2"/>
      <w:sz w:val="21"/>
      <w:szCs w:val="24"/>
    </w:rPr>
  </w:style>
  <w:style w:type="character" w:customStyle="1" w:styleId="32">
    <w:name w:val="批注框文本 字符"/>
    <w:basedOn w:val="19"/>
    <w:link w:val="10"/>
    <w:autoRedefine/>
    <w:semiHidden/>
    <w:qFormat/>
    <w:uiPriority w:val="99"/>
    <w:rPr>
      <w:kern w:val="2"/>
      <w:sz w:val="18"/>
      <w:szCs w:val="18"/>
    </w:rPr>
  </w:style>
  <w:style w:type="paragraph" w:styleId="33">
    <w:name w:val="List Paragraph"/>
    <w:basedOn w:val="1"/>
    <w:autoRedefine/>
    <w:unhideWhenUsed/>
    <w:qFormat/>
    <w:uiPriority w:val="99"/>
    <w:pPr>
      <w:ind w:firstLine="420" w:firstLineChars="200"/>
    </w:pPr>
  </w:style>
  <w:style w:type="character" w:customStyle="1" w:styleId="34">
    <w:name w:val="font71"/>
    <w:basedOn w:val="19"/>
    <w:autoRedefine/>
    <w:qFormat/>
    <w:uiPriority w:val="0"/>
    <w:rPr>
      <w:rFonts w:hint="eastAsia" w:ascii="仿宋" w:hAnsi="仿宋" w:eastAsia="仿宋" w:cs="仿宋"/>
      <w:color w:val="000000"/>
      <w:sz w:val="20"/>
      <w:szCs w:val="20"/>
      <w:u w:val="none"/>
    </w:rPr>
  </w:style>
  <w:style w:type="paragraph" w:customStyle="1" w:styleId="35">
    <w:name w:val="Default"/>
    <w:autoRedefine/>
    <w:qFormat/>
    <w:uiPriority w:val="0"/>
    <w:pPr>
      <w:widowControl w:val="0"/>
      <w:autoSpaceDE w:val="0"/>
      <w:autoSpaceDN w:val="0"/>
      <w:adjustRightInd w:val="0"/>
    </w:pPr>
    <w:rPr>
      <w:rFonts w:ascii="宋体" w:hAnsi="Calibri" w:eastAsia="宋体" w:cs="宋体"/>
      <w:color w:val="000000"/>
      <w:kern w:val="0"/>
      <w:sz w:val="24"/>
      <w:szCs w:val="24"/>
      <w:lang w:val="en-US" w:eastAsia="zh-CN" w:bidi="ar-SA"/>
    </w:rPr>
  </w:style>
  <w:style w:type="paragraph" w:customStyle="1" w:styleId="36">
    <w:name w:val="列表段落1"/>
    <w:basedOn w:val="1"/>
    <w:autoRedefine/>
    <w:qFormat/>
    <w:uiPriority w:val="34"/>
    <w:pPr>
      <w:ind w:firstLine="420" w:firstLineChars="200"/>
    </w:pPr>
  </w:style>
  <w:style w:type="character" w:customStyle="1" w:styleId="37">
    <w:name w:val="font81"/>
    <w:basedOn w:val="19"/>
    <w:autoRedefine/>
    <w:qFormat/>
    <w:uiPriority w:val="0"/>
    <w:rPr>
      <w:rFonts w:hint="eastAsia" w:ascii="宋体" w:hAnsi="宋体" w:eastAsia="宋体" w:cs="宋体"/>
      <w:color w:val="000000"/>
      <w:sz w:val="28"/>
      <w:szCs w:val="28"/>
      <w:u w:val="none"/>
    </w:rPr>
  </w:style>
  <w:style w:type="character" w:customStyle="1" w:styleId="38">
    <w:name w:val="font61"/>
    <w:basedOn w:val="19"/>
    <w:autoRedefine/>
    <w:qFormat/>
    <w:uiPriority w:val="0"/>
    <w:rPr>
      <w:rFonts w:hint="eastAsia" w:ascii="仿宋" w:hAnsi="仿宋" w:eastAsia="仿宋" w:cs="仿宋"/>
      <w:color w:val="000000"/>
      <w:sz w:val="24"/>
      <w:szCs w:val="24"/>
      <w:u w:val="none"/>
    </w:rPr>
  </w:style>
  <w:style w:type="character" w:customStyle="1" w:styleId="39">
    <w:name w:val="font101"/>
    <w:basedOn w:val="19"/>
    <w:autoRedefine/>
    <w:qFormat/>
    <w:uiPriority w:val="0"/>
    <w:rPr>
      <w:rFonts w:hint="eastAsia" w:ascii="宋体" w:hAnsi="宋体" w:eastAsia="宋体" w:cs="宋体"/>
      <w:color w:val="000000"/>
      <w:sz w:val="18"/>
      <w:szCs w:val="18"/>
      <w:u w:val="none"/>
    </w:rPr>
  </w:style>
  <w:style w:type="paragraph" w:customStyle="1" w:styleId="40">
    <w:name w:val="列出段落1"/>
    <w:basedOn w:val="1"/>
    <w:qFormat/>
    <w:uiPriority w:val="34"/>
    <w:pPr>
      <w:spacing w:after="160" w:line="259" w:lineRule="auto"/>
      <w:ind w:firstLine="420" w:firstLineChars="200"/>
    </w:pPr>
    <w:rPr>
      <w:rFonts w:cs="黑体"/>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4256</Words>
  <Characters>4491</Characters>
  <Lines>7</Lines>
  <Paragraphs>1</Paragraphs>
  <TotalTime>217</TotalTime>
  <ScaleCrop>false</ScaleCrop>
  <LinksUpToDate>false</LinksUpToDate>
  <CharactersWithSpaces>4607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2020-03-17T04:05:00Z</dcterms:created>
  <dc:creator>admin</dc:creator>
  <cp:lastModifiedBy>归期何夕</cp:lastModifiedBy>
  <dcterms:modified xsi:type="dcterms:W3CDTF">2025-06-13T01:58:59Z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CFC3AB3518374E3E8503A92B396197A9_13</vt:lpwstr>
  </property>
  <property fmtid="{D5CDD505-2E9C-101B-9397-08002B2CF9AE}" pid="4" name="KSOTemplateDocerSaveRecord">
    <vt:lpwstr>eyJoZGlkIjoiYTAzNTkzNWRhNTBmZDIxNWE4MmJiZjVkYTkwMTk1ZTAiLCJ1c2VySWQiOiIxMTg1NTY5MjQ5In0=</vt:lpwstr>
  </property>
</Properties>
</file>