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right="-20"/>
        <w:jc w:val="center"/>
        <w:rPr>
          <w:rFonts w:ascii="Arial Unicode MS" w:eastAsia="Arial Unicode MS" w:cs="Arial Unicode MS"/>
          <w:b/>
          <w:spacing w:val="2"/>
          <w:w w:val="99"/>
          <w:sz w:val="52"/>
          <w:szCs w:val="52"/>
        </w:rPr>
      </w:pPr>
      <w:r>
        <w:rPr>
          <w:rFonts w:ascii="Arial Unicode MS" w:eastAsia="Arial Unicode MS" w:cs="Arial Unicode MS"/>
          <w:b/>
          <w:spacing w:val="2"/>
          <w:w w:val="99"/>
          <w:sz w:val="52"/>
          <w:szCs w:val="52"/>
          <w:lang w:eastAsia="zh-CN"/>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20320</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autoSpaceDE w:val="0"/>
        <w:autoSpaceDN w:val="0"/>
        <w:spacing w:before="120" w:after="120"/>
        <w:ind w:right="-20"/>
        <w:jc w:val="center"/>
        <w:rPr>
          <w:rFonts w:ascii="Arial Unicode MS" w:eastAsia="Arial Unicode MS" w:cs="Arial Unicode MS"/>
          <w:b/>
          <w:spacing w:val="2"/>
          <w:w w:val="99"/>
          <w:sz w:val="52"/>
          <w:szCs w:val="52"/>
        </w:rPr>
      </w:pPr>
    </w:p>
    <w:p>
      <w:pPr>
        <w:autoSpaceDE w:val="0"/>
        <w:autoSpaceDN w:val="0"/>
        <w:spacing w:before="120" w:after="120"/>
        <w:ind w:right="-20"/>
        <w:jc w:val="center"/>
        <w:rPr>
          <w:rFonts w:hint="eastAsia" w:ascii="微软雅黑" w:hAnsi="微软雅黑" w:eastAsia="微软雅黑" w:cs="Arial Unicode MS"/>
          <w:b/>
          <w:spacing w:val="2"/>
          <w:w w:val="99"/>
          <w:sz w:val="52"/>
          <w:szCs w:val="52"/>
        </w:rPr>
      </w:pPr>
    </w:p>
    <w:p>
      <w:pPr>
        <w:jc w:val="center"/>
        <w:rPr>
          <w:rFonts w:hint="eastAsia" w:ascii="微软雅黑" w:hAnsi="微软雅黑" w:eastAsia="微软雅黑" w:cs="Arial Unicode MS"/>
          <w:color w:val="000000"/>
          <w:spacing w:val="2"/>
          <w:w w:val="99"/>
          <w:sz w:val="52"/>
          <w:szCs w:val="52"/>
          <w:lang w:eastAsia="zh-CN"/>
        </w:rPr>
      </w:pPr>
      <w:r>
        <w:rPr>
          <w:rFonts w:hint="eastAsia" w:ascii="微软雅黑" w:hAnsi="微软雅黑" w:eastAsia="微软雅黑" w:cs="Arial Unicode MS"/>
          <w:color w:val="000000"/>
          <w:spacing w:val="2"/>
          <w:w w:val="99"/>
          <w:sz w:val="52"/>
          <w:szCs w:val="52"/>
          <w:lang w:eastAsia="zh-CN"/>
        </w:rPr>
        <w:t>中海油能源发展股份有限公司</w:t>
      </w:r>
    </w:p>
    <w:p>
      <w:pPr>
        <w:jc w:val="center"/>
        <w:rPr>
          <w:rFonts w:hint="eastAsia" w:ascii="微软雅黑" w:hAnsi="微软雅黑" w:eastAsia="微软雅黑" w:cs="Arial Unicode MS"/>
          <w:b/>
          <w:spacing w:val="2"/>
          <w:w w:val="99"/>
          <w:sz w:val="52"/>
          <w:szCs w:val="52"/>
          <w:lang w:eastAsia="zh-CN"/>
        </w:rPr>
      </w:pPr>
    </w:p>
    <w:p>
      <w:pPr>
        <w:jc w:val="center"/>
        <w:rPr>
          <w:rFonts w:hint="eastAsia" w:ascii="微软雅黑" w:hAnsi="微软雅黑" w:eastAsia="微软雅黑" w:cs="Arial Unicode MS"/>
          <w:b/>
          <w:spacing w:val="2"/>
          <w:w w:val="99"/>
          <w:sz w:val="52"/>
          <w:szCs w:val="52"/>
          <w:lang w:eastAsia="zh-CN"/>
        </w:rPr>
      </w:pPr>
      <w:r>
        <w:rPr>
          <w:rFonts w:hint="eastAsia" w:ascii="微软雅黑" w:hAnsi="微软雅黑" w:eastAsia="微软雅黑" w:cs="Arial Unicode MS"/>
          <w:spacing w:val="2"/>
          <w:w w:val="99"/>
          <w:sz w:val="52"/>
          <w:szCs w:val="52"/>
          <w:u w:val="single"/>
          <w:lang w:eastAsia="zh-CN"/>
        </w:rPr>
        <w:t>南山终端人车分流智慧门禁系统、车辆测速完善项目-车辆测速设备购置</w:t>
      </w:r>
      <w:r>
        <w:rPr>
          <w:rFonts w:hint="eastAsia" w:ascii="微软雅黑" w:hAnsi="微软雅黑" w:eastAsia="微软雅黑" w:cs="Arial Unicode MS"/>
          <w:b/>
          <w:spacing w:val="2"/>
          <w:w w:val="99"/>
          <w:sz w:val="52"/>
          <w:szCs w:val="52"/>
          <w:lang w:eastAsia="zh-CN"/>
        </w:rPr>
        <w:t>采购技术要求书</w:t>
      </w:r>
    </w:p>
    <w:p>
      <w:pPr>
        <w:jc w:val="center"/>
        <w:rPr>
          <w:rFonts w:hint="eastAsia" w:ascii="微软雅黑" w:hAnsi="微软雅黑" w:eastAsia="微软雅黑" w:cs="Arial Unicode MS"/>
          <w:b/>
          <w:spacing w:val="2"/>
          <w:w w:val="99"/>
          <w:sz w:val="52"/>
          <w:szCs w:val="52"/>
          <w:lang w:eastAsia="zh-CN"/>
        </w:rPr>
      </w:pPr>
    </w:p>
    <w:p>
      <w:pPr>
        <w:pStyle w:val="4"/>
        <w:rPr>
          <w:rFonts w:hint="eastAsia" w:ascii="微软雅黑" w:hAnsi="微软雅黑" w:eastAsia="微软雅黑" w:cs="Arial Unicode MS"/>
          <w:b/>
          <w:color w:val="000000"/>
          <w:w w:val="99"/>
          <w:sz w:val="44"/>
          <w:szCs w:val="44"/>
        </w:rPr>
      </w:pP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编制：</w:t>
      </w:r>
      <w:r>
        <w:rPr>
          <w:rFonts w:hint="eastAsia" w:ascii="Arial Unicode MS" w:eastAsia="Arial Unicode MS" w:cs="Arial Unicode MS"/>
          <w:spacing w:val="2"/>
          <w:w w:val="99"/>
          <w:sz w:val="36"/>
          <w:szCs w:val="36"/>
          <w:u w:val="single"/>
          <w:lang w:eastAsia="zh-CN"/>
        </w:rPr>
        <w:t xml:space="preserve">                </w:t>
      </w: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审核：</w:t>
      </w:r>
      <w:r>
        <w:rPr>
          <w:rFonts w:hint="eastAsia" w:ascii="Arial Unicode MS" w:eastAsia="Arial Unicode MS" w:cs="Arial Unicode MS"/>
          <w:spacing w:val="2"/>
          <w:w w:val="99"/>
          <w:sz w:val="36"/>
          <w:szCs w:val="36"/>
          <w:u w:val="single"/>
          <w:lang w:eastAsia="zh-CN"/>
        </w:rPr>
        <w:t xml:space="preserve">                </w:t>
      </w:r>
    </w:p>
    <w:p>
      <w:pPr>
        <w:autoSpaceDE w:val="0"/>
        <w:autoSpaceDN w:val="0"/>
        <w:spacing w:before="120" w:after="120" w:line="720" w:lineRule="auto"/>
        <w:ind w:right="-20"/>
        <w:rPr>
          <w:rFonts w:ascii="Arial Unicode MS" w:eastAsia="Arial Unicode MS" w:cs="Arial Unicode MS"/>
          <w:spacing w:val="2"/>
          <w:w w:val="99"/>
          <w:sz w:val="36"/>
          <w:szCs w:val="36"/>
          <w:lang w:eastAsia="zh-CN"/>
        </w:rPr>
      </w:pPr>
      <w:r>
        <w:rPr>
          <w:rFonts w:hint="eastAsia" w:ascii="Arial Unicode MS" w:eastAsia="Arial Unicode MS" w:cs="Arial Unicode MS"/>
          <w:spacing w:val="2"/>
          <w:w w:val="99"/>
          <w:sz w:val="36"/>
          <w:szCs w:val="36"/>
          <w:lang w:eastAsia="zh-CN"/>
        </w:rPr>
        <w:t xml:space="preserve">           批准：</w:t>
      </w:r>
      <w:r>
        <w:rPr>
          <w:rFonts w:hint="eastAsia" w:ascii="Arial Unicode MS" w:eastAsia="Arial Unicode MS" w:cs="Arial Unicode MS"/>
          <w:spacing w:val="2"/>
          <w:w w:val="99"/>
          <w:sz w:val="36"/>
          <w:szCs w:val="36"/>
          <w:u w:val="single"/>
          <w:lang w:eastAsia="zh-CN"/>
        </w:rPr>
        <w:t xml:space="preserve">                </w:t>
      </w:r>
      <w:r>
        <w:rPr>
          <w:rFonts w:hint="eastAsia" w:ascii="Arial Unicode MS" w:eastAsia="Arial Unicode MS" w:cs="Arial Unicode MS"/>
          <w:spacing w:val="2"/>
          <w:w w:val="99"/>
          <w:sz w:val="36"/>
          <w:szCs w:val="36"/>
          <w:lang w:eastAsia="zh-CN"/>
        </w:rPr>
        <w:t xml:space="preserve"> </w:t>
      </w:r>
    </w:p>
    <w:p>
      <w:pPr>
        <w:widowControl/>
        <w:rPr>
          <w:rFonts w:ascii="宋体" w:eastAsia="宋体" w:cs="宋体"/>
          <w:b/>
          <w:color w:val="000000"/>
          <w:sz w:val="32"/>
          <w:szCs w:val="32"/>
          <w:lang w:eastAsia="zh-CN"/>
        </w:rPr>
      </w:pPr>
      <w:r>
        <w:rPr>
          <w:b/>
          <w:sz w:val="32"/>
          <w:szCs w:val="32"/>
          <w:lang w:eastAsia="zh-CN"/>
        </w:rPr>
        <w:br w:type="page"/>
      </w:r>
    </w:p>
    <w:p>
      <w:pPr>
        <w:spacing w:before="4" w:line="120" w:lineRule="exact"/>
        <w:rPr>
          <w:rFonts w:hint="eastAsia" w:ascii="微软雅黑" w:hAnsi="微软雅黑" w:eastAsia="微软雅黑"/>
          <w:sz w:val="12"/>
          <w:szCs w:val="12"/>
          <w:lang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firstLine="420"/>
        <w:jc w:val="both"/>
        <w:textAlignment w:val="auto"/>
        <w:rPr>
          <w:rFonts w:ascii="微软雅黑" w:hAnsi="微软雅黑" w:eastAsia="微软雅黑" w:cs="Times New Roman"/>
          <w:bCs/>
          <w:color w:val="auto"/>
          <w:sz w:val="32"/>
          <w:szCs w:val="32"/>
          <w:highlight w:val="none"/>
        </w:rPr>
      </w:pPr>
      <w:bookmarkStart w:id="0" w:name="_Toc13249324"/>
      <w:bookmarkStart w:id="1" w:name="_Toc13248927"/>
      <w:r>
        <w:rPr>
          <w:rFonts w:hint="eastAsia" w:asciiTheme="minorEastAsia" w:hAnsiTheme="minorEastAsia" w:eastAsiaTheme="minorEastAsia" w:cstheme="minorEastAsia"/>
          <w:color w:val="auto"/>
          <w:kern w:val="0"/>
          <w:sz w:val="24"/>
          <w:szCs w:val="24"/>
          <w:highlight w:val="none"/>
          <w:lang w:val="en-US" w:eastAsia="zh-CN" w:bidi="ar-SA"/>
        </w:rPr>
        <w:t>标准应用情况概述：部分引用《机动车测速仪》GB/T 21255-2019、《中国海油采购标准体系建设工业电视监视系统》CGBZ078-2021，部分引用原因为根据现场施工的实际条件和情况选择相关的标准及规范进行引用。</w:t>
      </w:r>
    </w:p>
    <w:p>
      <w:pPr>
        <w:pStyle w:val="26"/>
        <w:spacing w:before="120" w:after="120"/>
        <w:outlineLvl w:val="0"/>
        <w:rPr>
          <w:rFonts w:hint="eastAsia" w:ascii="微软雅黑" w:hAnsi="微软雅黑" w:eastAsia="微软雅黑" w:cs="Times New Roman"/>
          <w:bCs/>
          <w:color w:val="auto"/>
          <w:sz w:val="32"/>
          <w:szCs w:val="32"/>
        </w:rPr>
      </w:pPr>
      <w:r>
        <w:rPr>
          <w:rFonts w:ascii="微软雅黑" w:hAnsi="微软雅黑" w:eastAsia="微软雅黑" w:cs="Times New Roman"/>
          <w:bCs/>
          <w:color w:val="auto"/>
          <w:sz w:val="32"/>
          <w:szCs w:val="32"/>
        </w:rPr>
        <w:t>一、项目概况及总体要求</w:t>
      </w:r>
      <w:bookmarkEnd w:id="0"/>
      <w:bookmarkEnd w:id="1"/>
    </w:p>
    <w:p>
      <w:pPr>
        <w:spacing w:before="2" w:line="100" w:lineRule="exact"/>
        <w:rPr>
          <w:rFonts w:hint="eastAsia" w:ascii="微软雅黑" w:hAnsi="微软雅黑" w:eastAsia="微软雅黑"/>
          <w:sz w:val="10"/>
          <w:szCs w:val="10"/>
          <w:lang w:eastAsia="zh-CN"/>
        </w:rPr>
      </w:pPr>
    </w:p>
    <w:p>
      <w:pPr>
        <w:pStyle w:val="6"/>
        <w:spacing w:line="257" w:lineRule="auto"/>
        <w:ind w:right="122" w:firstLine="420"/>
        <w:rPr>
          <w:rFonts w:hint="eastAsia" w:ascii="微软雅黑" w:hAnsi="微软雅黑" w:eastAsia="微软雅黑"/>
          <w:lang w:eastAsia="zh-CN"/>
        </w:rPr>
      </w:pPr>
      <w:r>
        <w:rPr>
          <w:rFonts w:hint="eastAsia" w:ascii="微软雅黑" w:hAnsi="微软雅黑" w:eastAsia="微软雅黑"/>
          <w:lang w:eastAsia="zh-CN"/>
        </w:rPr>
        <w:t>本项目位于海南省三亚市崖州区驷马村中海油南山终端，南山终端管理完善、运转良好，作为支持崖城-陵水海域生产设施补给和油气外输基地使用。本项目以保障终端生产为原则，对南山终端厂区关键路段部署车辆测速设备。</w:t>
      </w:r>
    </w:p>
    <w:p>
      <w:pPr>
        <w:pStyle w:val="6"/>
        <w:spacing w:line="257" w:lineRule="auto"/>
        <w:ind w:right="122" w:firstLine="420"/>
        <w:rPr>
          <w:rFonts w:hint="eastAsia" w:ascii="微软雅黑" w:hAnsi="微软雅黑" w:eastAsia="微软雅黑"/>
          <w:lang w:eastAsia="zh-CN"/>
        </w:rPr>
      </w:pPr>
      <w:r>
        <w:rPr>
          <w:rFonts w:hint="eastAsia" w:ascii="微软雅黑" w:hAnsi="微软雅黑" w:eastAsia="微软雅黑"/>
          <w:lang w:eastAsia="zh-CN"/>
        </w:rPr>
        <w:t>本采办需求的标的物：4台一体化车辆测速设备，包含供货、运输、</w:t>
      </w:r>
      <w:r>
        <w:rPr>
          <w:rFonts w:hint="eastAsia" w:ascii="微软雅黑" w:hAnsi="微软雅黑" w:eastAsia="微软雅黑"/>
          <w:lang w:val="en-US" w:eastAsia="zh-CN"/>
        </w:rPr>
        <w:t>配合调试，保证车辆测速设备兼容接入买方现有的海康威视综合安防平台</w:t>
      </w:r>
      <w:r>
        <w:rPr>
          <w:rFonts w:hint="eastAsia" w:ascii="微软雅黑" w:hAnsi="微软雅黑" w:eastAsia="微软雅黑"/>
          <w:lang w:eastAsia="zh-CN"/>
        </w:rPr>
        <w:t>。</w:t>
      </w:r>
    </w:p>
    <w:p>
      <w:pPr>
        <w:pStyle w:val="26"/>
        <w:spacing w:before="120" w:after="120"/>
        <w:outlineLvl w:val="0"/>
        <w:rPr>
          <w:rFonts w:hint="eastAsia" w:ascii="微软雅黑" w:hAnsi="微软雅黑" w:eastAsia="微软雅黑" w:cs="Times New Roman"/>
          <w:bCs/>
          <w:color w:val="auto"/>
          <w:sz w:val="32"/>
          <w:szCs w:val="32"/>
        </w:rPr>
      </w:pPr>
      <w:bookmarkStart w:id="2" w:name="_Toc13248928"/>
      <w:bookmarkStart w:id="3" w:name="_Toc13249325"/>
      <w:r>
        <w:rPr>
          <w:rFonts w:hint="eastAsia" w:ascii="微软雅黑" w:hAnsi="微软雅黑" w:eastAsia="微软雅黑" w:cs="Times New Roman"/>
          <w:bCs/>
          <w:color w:val="auto"/>
          <w:sz w:val="32"/>
          <w:szCs w:val="32"/>
        </w:rPr>
        <w:t>二、</w:t>
      </w:r>
      <w:r>
        <w:rPr>
          <w:rFonts w:ascii="微软雅黑" w:hAnsi="微软雅黑" w:eastAsia="微软雅黑" w:cs="Times New Roman"/>
          <w:bCs/>
          <w:color w:val="auto"/>
          <w:sz w:val="32"/>
          <w:szCs w:val="32"/>
        </w:rPr>
        <w:t>需求一览表</w:t>
      </w:r>
      <w:bookmarkEnd w:id="2"/>
      <w:bookmarkEnd w:id="3"/>
    </w:p>
    <w:tbl>
      <w:tblPr>
        <w:tblStyle w:val="17"/>
        <w:tblW w:w="8395" w:type="dxa"/>
        <w:tblInd w:w="98" w:type="dxa"/>
        <w:tblLayout w:type="fixed"/>
        <w:tblCellMar>
          <w:top w:w="0" w:type="dxa"/>
          <w:left w:w="108" w:type="dxa"/>
          <w:bottom w:w="0" w:type="dxa"/>
          <w:right w:w="108" w:type="dxa"/>
        </w:tblCellMar>
      </w:tblPr>
      <w:tblGrid>
        <w:gridCol w:w="448"/>
        <w:gridCol w:w="669"/>
        <w:gridCol w:w="1111"/>
        <w:gridCol w:w="3439"/>
        <w:gridCol w:w="743"/>
        <w:gridCol w:w="752"/>
        <w:gridCol w:w="953"/>
        <w:gridCol w:w="280"/>
      </w:tblGrid>
      <w:tr>
        <w:tblPrEx>
          <w:tblCellMar>
            <w:top w:w="0" w:type="dxa"/>
            <w:left w:w="108" w:type="dxa"/>
            <w:bottom w:w="0" w:type="dxa"/>
            <w:right w:w="108" w:type="dxa"/>
          </w:tblCellMar>
        </w:tblPrEx>
        <w:trPr>
          <w:trHeight w:val="637" w:hRule="atLeast"/>
        </w:trPr>
        <w:tc>
          <w:tcPr>
            <w:tcW w:w="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bidi="ar"/>
              </w:rPr>
              <w:t>序号</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微软雅黑" w:hAnsi="微软雅黑" w:eastAsia="微软雅黑" w:cs="微软雅黑"/>
                <w:color w:val="000000"/>
                <w:sz w:val="18"/>
                <w:szCs w:val="18"/>
                <w:lang w:val="en-US" w:eastAsia="zh-CN" w:bidi="ar"/>
              </w:rPr>
            </w:pPr>
            <w:r>
              <w:rPr>
                <w:rFonts w:hint="eastAsia" w:ascii="微软雅黑" w:hAnsi="微软雅黑" w:eastAsia="微软雅黑" w:cs="微软雅黑"/>
                <w:color w:val="000000"/>
                <w:sz w:val="18"/>
                <w:szCs w:val="18"/>
                <w:lang w:val="en-US" w:eastAsia="zh-CN" w:bidi="ar"/>
              </w:rPr>
              <w:t>物料编码</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bidi="ar"/>
              </w:rPr>
              <w:t>物资名称</w:t>
            </w:r>
          </w:p>
        </w:tc>
        <w:tc>
          <w:tcPr>
            <w:tcW w:w="34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bidi="ar"/>
              </w:rPr>
              <w:t>规格型号</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bidi="ar"/>
              </w:rPr>
              <w:t>数量及单位</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bidi="ar"/>
              </w:rPr>
              <w:t>交货期</w:t>
            </w:r>
          </w:p>
        </w:tc>
        <w:tc>
          <w:tcPr>
            <w:tcW w:w="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bidi="ar"/>
              </w:rPr>
              <w:t>交货地点</w:t>
            </w:r>
          </w:p>
        </w:tc>
        <w:tc>
          <w:tcPr>
            <w:tcW w:w="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bidi="ar"/>
              </w:rPr>
              <w:t>备注</w:t>
            </w:r>
          </w:p>
        </w:tc>
      </w:tr>
      <w:tr>
        <w:tblPrEx>
          <w:tblCellMar>
            <w:top w:w="0" w:type="dxa"/>
            <w:left w:w="108" w:type="dxa"/>
            <w:bottom w:w="0" w:type="dxa"/>
            <w:right w:w="108" w:type="dxa"/>
          </w:tblCellMar>
        </w:tblPrEx>
        <w:trPr>
          <w:trHeight w:val="1902" w:hRule="atLeast"/>
        </w:trPr>
        <w:tc>
          <w:tcPr>
            <w:tcW w:w="4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bidi="ar"/>
              </w:rPr>
              <w:t>1</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lang w:val="en-US" w:eastAsia="zh-CN" w:bidi="ar"/>
              </w:rPr>
            </w:pPr>
            <w:r>
              <w:rPr>
                <w:rFonts w:hint="eastAsia" w:ascii="微软雅黑" w:hAnsi="微软雅黑" w:eastAsia="微软雅黑" w:cs="微软雅黑"/>
                <w:color w:val="000000"/>
                <w:sz w:val="18"/>
                <w:szCs w:val="18"/>
                <w:lang w:val="en-US" w:eastAsia="zh-CN" w:bidi="ar"/>
              </w:rPr>
              <w:t>A161407</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sz w:val="18"/>
                <w:szCs w:val="18"/>
                <w:lang w:eastAsia="zh-CN" w:bidi="ar"/>
              </w:rPr>
              <w:t>智能一体化雷视预警设备</w:t>
            </w:r>
          </w:p>
        </w:tc>
        <w:tc>
          <w:tcPr>
            <w:tcW w:w="343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微软雅黑" w:hAnsi="微软雅黑" w:eastAsia="微软雅黑" w:cs="微软雅黑"/>
                <w:color w:val="000000"/>
                <w:sz w:val="18"/>
                <w:szCs w:val="18"/>
                <w:lang w:eastAsia="zh-CN" w:bidi="ar"/>
              </w:rPr>
            </w:pPr>
            <w:r>
              <w:rPr>
                <w:rFonts w:hint="eastAsia" w:ascii="微软雅黑" w:hAnsi="微软雅黑" w:eastAsia="微软雅黑" w:cs="微软雅黑"/>
                <w:color w:val="000000"/>
                <w:sz w:val="18"/>
                <w:szCs w:val="18"/>
                <w:lang w:val="en-US" w:eastAsia="zh-CN" w:bidi="ar"/>
              </w:rPr>
              <w:t>设备需能兼容接入买方现有的海康威视综合安防平台。</w:t>
            </w:r>
            <w:r>
              <w:rPr>
                <w:rFonts w:hint="eastAsia" w:ascii="微软雅黑" w:hAnsi="微软雅黑" w:eastAsia="微软雅黑" w:cs="微软雅黑"/>
                <w:color w:val="000000"/>
                <w:sz w:val="18"/>
                <w:szCs w:val="18"/>
                <w:lang w:eastAsia="zh-CN" w:bidi="ar"/>
              </w:rPr>
              <w:t>包含：1、雷视测速一体机；2、抓拍补光灯；3、限速提示牌，含车速显示与提示信息显示2部分；4、数据连接装置等。采用高精度毫米波雷达 &amp; 800万低照度摄像机支持车辆以及车速检测；接入安防综合管理平台。支持有线网络。</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eastAsia="zh-CN" w:bidi="ar"/>
              </w:rPr>
              <w:t>4套</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sz w:val="18"/>
                <w:szCs w:val="18"/>
                <w:lang w:eastAsia="zh-CN" w:bidi="ar"/>
              </w:rPr>
              <w:t>合同签订后15天内到货</w:t>
            </w:r>
          </w:p>
        </w:tc>
        <w:tc>
          <w:tcPr>
            <w:tcW w:w="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sz w:val="18"/>
                <w:szCs w:val="18"/>
                <w:lang w:eastAsia="zh-CN"/>
              </w:rPr>
              <w:t>海南省三亚市崖州区驷马村中海油南山终端</w:t>
            </w:r>
          </w:p>
        </w:tc>
        <w:tc>
          <w:tcPr>
            <w:tcW w:w="2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color w:val="000000"/>
                <w:sz w:val="18"/>
                <w:szCs w:val="18"/>
                <w:lang w:eastAsia="zh-CN"/>
              </w:rPr>
            </w:pPr>
          </w:p>
        </w:tc>
      </w:tr>
    </w:tbl>
    <w:p>
      <w:pPr>
        <w:pStyle w:val="26"/>
        <w:spacing w:before="120" w:after="120"/>
        <w:outlineLvl w:val="0"/>
        <w:rPr>
          <w:rFonts w:hint="eastAsia" w:ascii="微软雅黑" w:hAnsi="微软雅黑" w:eastAsia="微软雅黑" w:cs="Times New Roman"/>
          <w:bCs/>
          <w:color w:val="auto"/>
          <w:sz w:val="32"/>
          <w:szCs w:val="32"/>
        </w:rPr>
      </w:pPr>
      <w:bookmarkStart w:id="4" w:name="_Toc13249326"/>
      <w:bookmarkStart w:id="5" w:name="_Toc13248929"/>
      <w:r>
        <w:rPr>
          <w:rFonts w:hint="eastAsia" w:ascii="微软雅黑" w:hAnsi="微软雅黑" w:eastAsia="微软雅黑" w:cs="Times New Roman"/>
          <w:bCs/>
          <w:color w:val="auto"/>
          <w:sz w:val="32"/>
          <w:szCs w:val="32"/>
        </w:rPr>
        <w:t>三、执行标准/规范</w:t>
      </w:r>
    </w:p>
    <w:p>
      <w:pPr>
        <w:pStyle w:val="6"/>
        <w:spacing w:line="257" w:lineRule="auto"/>
        <w:ind w:right="122" w:firstLine="420"/>
        <w:rPr>
          <w:rFonts w:hint="eastAsia" w:ascii="微软雅黑" w:hAnsi="微软雅黑" w:eastAsia="微软雅黑"/>
          <w:lang w:val="en-US" w:eastAsia="zh-CN"/>
        </w:rPr>
      </w:pPr>
      <w:r>
        <w:rPr>
          <w:rFonts w:hint="eastAsia" w:ascii="微软雅黑" w:hAnsi="微软雅黑" w:eastAsia="微软雅黑"/>
          <w:lang w:val="en-US" w:eastAsia="zh-CN"/>
        </w:rPr>
        <w:t>下列标准规范对于本文件的应用是必不可少的，本次采购主要引用的采购标准如下，当标准规范与技术文件相冲突时，应按照文件优先级执行：在寻源和合同的执行过程中，如果技术文件和各类标准等文件之间出现矛盾，卖方应在交货之前向买方提出澄清申请。文件的优先执行顺序由高到低为：</w:t>
      </w:r>
    </w:p>
    <w:p>
      <w:pPr>
        <w:pStyle w:val="6"/>
        <w:spacing w:line="257" w:lineRule="auto"/>
        <w:ind w:right="122" w:firstLine="420"/>
        <w:rPr>
          <w:rFonts w:hint="eastAsia" w:ascii="微软雅黑" w:hAnsi="微软雅黑" w:eastAsia="微软雅黑"/>
          <w:lang w:val="en-US" w:eastAsia="zh-CN"/>
        </w:rPr>
      </w:pPr>
      <w:r>
        <w:rPr>
          <w:rFonts w:hint="eastAsia" w:ascii="微软雅黑" w:hAnsi="微软雅黑" w:eastAsia="微软雅黑"/>
          <w:lang w:val="en-US" w:eastAsia="zh-CN"/>
        </w:rPr>
        <w:t>●中华人民共和国强制执行的国家法律、法规和标准</w:t>
      </w:r>
    </w:p>
    <w:p>
      <w:pPr>
        <w:pStyle w:val="6"/>
        <w:spacing w:line="257" w:lineRule="auto"/>
        <w:ind w:right="122" w:firstLine="420"/>
        <w:rPr>
          <w:rFonts w:hint="eastAsia" w:ascii="微软雅黑" w:hAnsi="微软雅黑" w:eastAsia="微软雅黑"/>
          <w:lang w:val="en-US" w:eastAsia="zh-CN"/>
        </w:rPr>
      </w:pPr>
      <w:r>
        <w:rPr>
          <w:rFonts w:hint="eastAsia" w:ascii="微软雅黑" w:hAnsi="微软雅黑" w:eastAsia="微软雅黑"/>
          <w:lang w:val="en-US" w:eastAsia="zh-CN"/>
        </w:rPr>
        <w:t>●中国海油集团公司强制执行的行业标准</w:t>
      </w:r>
    </w:p>
    <w:p>
      <w:pPr>
        <w:pStyle w:val="6"/>
        <w:spacing w:line="257" w:lineRule="auto"/>
        <w:ind w:right="122" w:firstLine="420"/>
        <w:rPr>
          <w:rFonts w:hint="eastAsia" w:ascii="微软雅黑" w:hAnsi="微软雅黑" w:eastAsia="微软雅黑"/>
          <w:lang w:val="en-US" w:eastAsia="zh-CN"/>
        </w:rPr>
      </w:pPr>
      <w:r>
        <w:rPr>
          <w:rFonts w:hint="eastAsia" w:ascii="微软雅黑" w:hAnsi="微软雅黑" w:eastAsia="微软雅黑"/>
          <w:lang w:val="en-US" w:eastAsia="zh-CN"/>
        </w:rPr>
        <w:t>●项目所在地强制执行标准</w:t>
      </w:r>
    </w:p>
    <w:p>
      <w:pPr>
        <w:pStyle w:val="6"/>
        <w:spacing w:line="257" w:lineRule="auto"/>
        <w:ind w:right="122" w:firstLine="420"/>
        <w:rPr>
          <w:rFonts w:hint="eastAsia" w:ascii="微软雅黑" w:hAnsi="微软雅黑" w:eastAsia="微软雅黑"/>
          <w:lang w:val="en-US" w:eastAsia="zh-CN"/>
        </w:rPr>
      </w:pPr>
      <w:r>
        <w:rPr>
          <w:rFonts w:hint="eastAsia" w:ascii="微软雅黑" w:hAnsi="微软雅黑" w:eastAsia="微软雅黑"/>
          <w:lang w:val="en-US" w:eastAsia="zh-CN"/>
        </w:rPr>
        <w:t>●本技术文件所附文件</w:t>
      </w:r>
    </w:p>
    <w:p>
      <w:pPr>
        <w:pStyle w:val="6"/>
        <w:spacing w:line="257" w:lineRule="auto"/>
        <w:ind w:right="122" w:firstLine="420"/>
        <w:rPr>
          <w:rFonts w:hint="eastAsia" w:ascii="微软雅黑" w:hAnsi="微软雅黑" w:eastAsia="微软雅黑"/>
          <w:lang w:val="en-US" w:eastAsia="zh-CN"/>
        </w:rPr>
      </w:pPr>
      <w:r>
        <w:rPr>
          <w:rFonts w:hint="eastAsia" w:ascii="微软雅黑" w:hAnsi="微软雅黑" w:eastAsia="微软雅黑"/>
          <w:lang w:val="en-US" w:eastAsia="zh-CN"/>
        </w:rPr>
        <w:t>●非强制执行的行业标准</w:t>
      </w:r>
    </w:p>
    <w:p>
      <w:pPr>
        <w:pStyle w:val="6"/>
        <w:spacing w:line="257" w:lineRule="auto"/>
        <w:ind w:right="122" w:firstLine="420"/>
        <w:rPr>
          <w:rFonts w:hint="eastAsia" w:ascii="微软雅黑" w:hAnsi="微软雅黑" w:eastAsia="微软雅黑"/>
          <w:lang w:val="en-US" w:eastAsia="zh-CN"/>
        </w:rPr>
      </w:pPr>
      <w:r>
        <w:rPr>
          <w:rFonts w:hint="eastAsia" w:ascii="微软雅黑" w:hAnsi="微软雅黑" w:eastAsia="微软雅黑"/>
          <w:lang w:val="en-US" w:eastAsia="zh-CN"/>
        </w:rPr>
        <w:t>●非强制执行的国家标准</w:t>
      </w:r>
    </w:p>
    <w:p>
      <w:pPr>
        <w:pStyle w:val="6"/>
        <w:spacing w:line="257" w:lineRule="auto"/>
        <w:ind w:right="122" w:firstLine="420"/>
        <w:rPr>
          <w:rFonts w:hint="eastAsia" w:ascii="微软雅黑" w:hAnsi="微软雅黑" w:eastAsia="微软雅黑"/>
          <w:lang w:val="en-US" w:eastAsia="zh-CN"/>
        </w:rPr>
      </w:pPr>
      <w:r>
        <w:rPr>
          <w:rFonts w:hint="eastAsia" w:ascii="微软雅黑" w:hAnsi="微软雅黑" w:eastAsia="微软雅黑"/>
          <w:lang w:val="en-US" w:eastAsia="zh-CN"/>
        </w:rPr>
        <w:t>●通用的国际标准</w:t>
      </w:r>
    </w:p>
    <w:p>
      <w:pPr>
        <w:pStyle w:val="6"/>
        <w:spacing w:line="257" w:lineRule="auto"/>
        <w:ind w:right="122" w:firstLine="420"/>
        <w:rPr>
          <w:rFonts w:hint="default" w:ascii="微软雅黑" w:hAnsi="微软雅黑" w:eastAsia="微软雅黑"/>
          <w:lang w:val="en-US" w:eastAsia="zh-CN"/>
        </w:rPr>
      </w:pPr>
      <w:r>
        <w:rPr>
          <w:rFonts w:hint="eastAsia" w:ascii="微软雅黑" w:hAnsi="微软雅黑" w:eastAsia="微软雅黑"/>
          <w:lang w:val="en-US" w:eastAsia="zh-CN"/>
        </w:rPr>
        <w:t>本项目执行标准/规范如下：</w:t>
      </w:r>
    </w:p>
    <w:p>
      <w:pPr>
        <w:pStyle w:val="6"/>
        <w:spacing w:line="257" w:lineRule="auto"/>
        <w:ind w:right="122" w:firstLine="420"/>
        <w:rPr>
          <w:rFonts w:hint="default" w:ascii="微软雅黑" w:hAnsi="微软雅黑" w:eastAsia="微软雅黑"/>
          <w:lang w:val="en-US" w:eastAsia="zh-CN"/>
        </w:rPr>
      </w:pPr>
      <w:r>
        <w:rPr>
          <w:rFonts w:hint="eastAsia" w:ascii="微软雅黑" w:hAnsi="微软雅黑" w:eastAsia="微软雅黑"/>
          <w:lang w:eastAsia="zh-CN"/>
        </w:rPr>
        <w:t>《</w:t>
      </w:r>
      <w:r>
        <w:rPr>
          <w:rFonts w:hint="eastAsia" w:ascii="微软雅黑" w:hAnsi="微软雅黑" w:eastAsia="微软雅黑"/>
          <w:lang w:val="en-US" w:eastAsia="zh-CN"/>
        </w:rPr>
        <w:t>机动车测速仪</w:t>
      </w:r>
      <w:r>
        <w:rPr>
          <w:rFonts w:hint="eastAsia" w:ascii="微软雅黑" w:hAnsi="微软雅黑" w:eastAsia="微软雅黑"/>
          <w:lang w:eastAsia="zh-CN"/>
        </w:rPr>
        <w:t>》</w:t>
      </w:r>
      <w:r>
        <w:rPr>
          <w:rFonts w:hint="eastAsia" w:ascii="微软雅黑" w:hAnsi="微软雅黑" w:eastAsia="微软雅黑"/>
          <w:lang w:val="en-US" w:eastAsia="zh-CN"/>
        </w:rPr>
        <w:t>GB/T 21255-2019</w:t>
      </w:r>
    </w:p>
    <w:p>
      <w:pPr>
        <w:pStyle w:val="6"/>
        <w:spacing w:line="257" w:lineRule="auto"/>
        <w:ind w:right="122" w:firstLine="420"/>
        <w:rPr>
          <w:rFonts w:hint="eastAsia" w:ascii="微软雅黑" w:hAnsi="微软雅黑" w:eastAsia="微软雅黑"/>
          <w:lang w:eastAsia="zh-CN"/>
        </w:rPr>
      </w:pPr>
      <w:r>
        <w:rPr>
          <w:rFonts w:hint="eastAsia"/>
          <w:lang w:eastAsia="zh-CN"/>
        </w:rPr>
        <w:t>《中国海油采购标准体系建设工业电视监视系统》</w:t>
      </w:r>
      <w:r>
        <w:rPr>
          <w:lang w:eastAsia="zh-CN"/>
        </w:rPr>
        <w:t>CGBZ078-2021</w:t>
      </w:r>
    </w:p>
    <w:p>
      <w:pPr>
        <w:pStyle w:val="6"/>
        <w:spacing w:line="257" w:lineRule="auto"/>
        <w:ind w:right="122" w:firstLine="420"/>
        <w:rPr>
          <w:rFonts w:hint="eastAsia" w:ascii="微软雅黑" w:hAnsi="微软雅黑" w:eastAsia="微软雅黑"/>
          <w:lang w:eastAsia="zh-CN"/>
        </w:rPr>
      </w:pPr>
      <w:r>
        <w:rPr>
          <w:rFonts w:hint="eastAsia" w:ascii="微软雅黑" w:hAnsi="微软雅黑" w:eastAsia="微软雅黑"/>
          <w:lang w:val="en-US" w:eastAsia="zh-CN"/>
        </w:rPr>
        <w:t>其中引用绿色标准为：</w:t>
      </w:r>
    </w:p>
    <w:p>
      <w:pPr>
        <w:pStyle w:val="6"/>
        <w:spacing w:line="257" w:lineRule="auto"/>
        <w:ind w:right="122" w:firstLine="420"/>
        <w:rPr>
          <w:rFonts w:hint="eastAsia"/>
          <w:lang w:eastAsia="zh-CN"/>
        </w:rPr>
      </w:pPr>
      <w:r>
        <w:rPr>
          <w:rFonts w:hint="eastAsia" w:ascii="微软雅黑" w:hAnsi="微软雅黑" w:eastAsia="微软雅黑"/>
          <w:lang w:eastAsia="zh-CN"/>
        </w:rPr>
        <w:t>《通信终端产品绿色包装规范》GB-T30963-2014</w:t>
      </w:r>
    </w:p>
    <w:p>
      <w:pPr>
        <w:pStyle w:val="26"/>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四、设计/使用条件</w:t>
      </w:r>
    </w:p>
    <w:p>
      <w:pPr>
        <w:pStyle w:val="6"/>
        <w:spacing w:line="257" w:lineRule="auto"/>
        <w:ind w:right="122" w:firstLine="199" w:firstLineChars="95"/>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整个工程的执行主要包括以下阶段：</w:t>
      </w:r>
    </w:p>
    <w:p>
      <w:pPr>
        <w:pStyle w:val="6"/>
        <w:spacing w:line="257" w:lineRule="auto"/>
        <w:ind w:right="122" w:firstLine="199" w:firstLineChars="95"/>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1）技术方案（在投标阶段时完成）；</w:t>
      </w:r>
    </w:p>
    <w:p>
      <w:pPr>
        <w:pStyle w:val="6"/>
        <w:spacing w:line="257" w:lineRule="auto"/>
        <w:ind w:right="122" w:firstLine="199" w:firstLineChars="95"/>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2）深化设计（在技术方案的基础上，提出更专业的设计，再与业主确认）；</w:t>
      </w:r>
    </w:p>
    <w:p>
      <w:pPr>
        <w:pStyle w:val="6"/>
        <w:spacing w:line="257" w:lineRule="auto"/>
        <w:ind w:right="122" w:firstLine="199" w:firstLineChars="95"/>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3）制造（包括工厂试验和出厂检查）；</w:t>
      </w:r>
    </w:p>
    <w:p>
      <w:pPr>
        <w:pStyle w:val="6"/>
        <w:spacing w:line="257" w:lineRule="auto"/>
        <w:ind w:right="122" w:firstLine="199" w:firstLineChars="95"/>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4）包装运输（包括到货检查）；</w:t>
      </w:r>
    </w:p>
    <w:p>
      <w:pPr>
        <w:pStyle w:val="6"/>
        <w:spacing w:line="257" w:lineRule="auto"/>
        <w:ind w:right="122" w:firstLine="199" w:firstLineChars="95"/>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5）安装（包括系统全套管线敷设、设备开箱检查、设备安装施工）；</w:t>
      </w:r>
    </w:p>
    <w:p>
      <w:pPr>
        <w:pStyle w:val="6"/>
        <w:spacing w:line="257" w:lineRule="auto"/>
        <w:ind w:right="122" w:firstLine="199" w:firstLineChars="95"/>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6）测试（包括单点测试、系统调试）；</w:t>
      </w:r>
    </w:p>
    <w:p>
      <w:pPr>
        <w:pStyle w:val="6"/>
        <w:spacing w:line="257" w:lineRule="auto"/>
        <w:ind w:right="122" w:firstLine="199" w:firstLineChars="95"/>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7）系统调试和试运行；</w:t>
      </w:r>
    </w:p>
    <w:p>
      <w:pPr>
        <w:pStyle w:val="6"/>
        <w:spacing w:line="257" w:lineRule="auto"/>
        <w:ind w:right="122" w:firstLine="199" w:firstLineChars="95"/>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8）验收；</w:t>
      </w:r>
    </w:p>
    <w:p>
      <w:pPr>
        <w:pStyle w:val="6"/>
        <w:spacing w:line="257" w:lineRule="auto"/>
        <w:ind w:right="122" w:firstLine="199" w:firstLineChars="95"/>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9）培训。</w:t>
      </w:r>
    </w:p>
    <w:p>
      <w:pPr>
        <w:pStyle w:val="6"/>
        <w:spacing w:line="257" w:lineRule="auto"/>
        <w:ind w:right="122" w:firstLine="199" w:firstLineChars="95"/>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以上各阶段应可以交叉进行。</w:t>
      </w:r>
    </w:p>
    <w:p>
      <w:pPr>
        <w:pStyle w:val="6"/>
        <w:spacing w:line="257" w:lineRule="auto"/>
        <w:ind w:right="122" w:firstLine="199" w:firstLineChars="95"/>
        <w:rPr>
          <w:rFonts w:hint="eastAsia" w:ascii="微软雅黑" w:hAnsi="微软雅黑" w:eastAsia="微软雅黑"/>
          <w:lang w:eastAsia="zh-CN"/>
        </w:rPr>
      </w:pPr>
      <w:r>
        <w:rPr>
          <w:rFonts w:hint="eastAsia" w:ascii="微软雅黑" w:hAnsi="微软雅黑" w:eastAsia="微软雅黑"/>
          <w:lang w:eastAsia="zh-CN"/>
        </w:rPr>
        <w:t>设备使用地点位于海南省三亚市崖州区驷马村中海油南山终端。</w:t>
      </w:r>
    </w:p>
    <w:p>
      <w:pPr>
        <w:pStyle w:val="26"/>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五</w:t>
      </w:r>
      <w:r>
        <w:rPr>
          <w:rFonts w:ascii="微软雅黑" w:hAnsi="微软雅黑" w:eastAsia="微软雅黑" w:cs="Times New Roman"/>
          <w:bCs/>
          <w:color w:val="auto"/>
          <w:sz w:val="32"/>
          <w:szCs w:val="32"/>
        </w:rPr>
        <w:t>、</w:t>
      </w:r>
      <w:r>
        <w:rPr>
          <w:rFonts w:hint="eastAsia" w:ascii="微软雅黑" w:hAnsi="微软雅黑" w:eastAsia="微软雅黑" w:cs="Times New Roman"/>
          <w:bCs/>
          <w:color w:val="auto"/>
          <w:sz w:val="32"/>
          <w:szCs w:val="32"/>
        </w:rPr>
        <w:t>技术要求</w:t>
      </w:r>
    </w:p>
    <w:p>
      <w:pPr>
        <w:pStyle w:val="4"/>
        <w:rPr>
          <w:rFonts w:hint="eastAsia" w:ascii="微软雅黑" w:hAnsi="微软雅黑" w:eastAsia="微软雅黑" w:cs="微软雅黑"/>
          <w:sz w:val="21"/>
          <w:szCs w:val="21"/>
        </w:rPr>
      </w:pPr>
      <w:r>
        <w:rPr>
          <w:rFonts w:hint="eastAsia" w:ascii="微软雅黑" w:hAnsi="微软雅黑" w:eastAsia="微软雅黑" w:cs="微软雅黑"/>
          <w:sz w:val="21"/>
          <w:szCs w:val="21"/>
        </w:rPr>
        <w:t>5.1 产品技术参数</w:t>
      </w:r>
    </w:p>
    <w:p>
      <w:pPr>
        <w:pStyle w:val="6"/>
        <w:spacing w:line="257" w:lineRule="auto"/>
        <w:ind w:right="122" w:firstLine="630" w:firstLineChars="3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1、智能一体化雷视预警设备【</w:t>
      </w:r>
      <w:r>
        <w:rPr>
          <w:rFonts w:hint="eastAsia" w:ascii="微软雅黑" w:hAnsi="微软雅黑" w:eastAsia="微软雅黑" w:cs="微软雅黑"/>
          <w:sz w:val="21"/>
          <w:szCs w:val="21"/>
          <w:lang w:val="en-US" w:eastAsia="zh-CN"/>
        </w:rPr>
        <w:t>本设备部分引用</w:t>
      </w:r>
      <w:r>
        <w:rPr>
          <w:rFonts w:hint="eastAsia" w:ascii="微软雅黑" w:hAnsi="微软雅黑" w:eastAsia="微软雅黑"/>
          <w:lang w:eastAsia="zh-CN"/>
        </w:rPr>
        <w:t>《</w:t>
      </w:r>
      <w:r>
        <w:rPr>
          <w:rFonts w:hint="eastAsia" w:ascii="微软雅黑" w:hAnsi="微软雅黑" w:eastAsia="微软雅黑"/>
          <w:lang w:val="en-US" w:eastAsia="zh-CN"/>
        </w:rPr>
        <w:t>机动车测速仪</w:t>
      </w:r>
      <w:r>
        <w:rPr>
          <w:rFonts w:hint="eastAsia" w:ascii="微软雅黑" w:hAnsi="微软雅黑" w:eastAsia="微软雅黑"/>
          <w:lang w:eastAsia="zh-CN"/>
        </w:rPr>
        <w:t>》</w:t>
      </w:r>
      <w:r>
        <w:rPr>
          <w:rFonts w:hint="eastAsia" w:ascii="微软雅黑" w:hAnsi="微软雅黑" w:eastAsia="微软雅黑"/>
          <w:lang w:val="en-US" w:eastAsia="zh-CN"/>
        </w:rPr>
        <w:t>GB/T 21255-2019中5技术要求】，以下为引用标准中的参数</w:t>
      </w:r>
      <w:r>
        <w:rPr>
          <w:rFonts w:hint="eastAsia" w:ascii="微软雅黑" w:hAnsi="微软雅黑" w:eastAsia="微软雅黑" w:cs="微软雅黑"/>
          <w:sz w:val="21"/>
          <w:szCs w:val="21"/>
          <w:lang w:eastAsia="zh-CN"/>
        </w:rPr>
        <w:t>：</w:t>
      </w:r>
    </w:p>
    <w:p>
      <w:pPr>
        <w:numPr>
          <w:ilvl w:val="0"/>
          <w:numId w:val="0"/>
        </w:numPr>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(1)测速单元的测速范围</w:t>
      </w:r>
      <w:r>
        <w:rPr>
          <w:rFonts w:hint="eastAsia" w:ascii="微软雅黑" w:hAnsi="微软雅黑" w:eastAsia="微软雅黑" w:cs="微软雅黑"/>
          <w:sz w:val="21"/>
          <w:szCs w:val="21"/>
          <w:lang w:eastAsia="zh-CN"/>
        </w:rPr>
        <w:t>至少应满足２０ｋｍ／ｈ～２００ｋｍ／ｈ，测速误差应不超过－４ｋｍ／ｈ～０ｋｍ／ｈ</w:t>
      </w:r>
      <w:r>
        <w:rPr>
          <w:rFonts w:hint="eastAsia" w:ascii="微软雅黑" w:hAnsi="微软雅黑" w:eastAsia="微软雅黑" w:cs="微软雅黑"/>
          <w:sz w:val="21"/>
          <w:szCs w:val="21"/>
          <w:lang w:val="en-US" w:eastAsia="zh-CN"/>
        </w:rPr>
        <w:t>;</w:t>
      </w:r>
    </w:p>
    <w:p>
      <w:pPr>
        <w:pStyle w:val="2"/>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(2)视频分析测速单元的视频帧率应不小于２５帧／ｓ；</w:t>
      </w:r>
    </w:p>
    <w:p>
      <w:pPr>
        <w:pStyle w:val="2"/>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(3)图像分辨率应不小于１６００×１２００或１９２０×１０８０个像素点。</w:t>
      </w:r>
    </w:p>
    <w:p>
      <w:pPr>
        <w:numPr>
          <w:ilvl w:val="0"/>
          <w:numId w:val="0"/>
        </w:numPr>
        <w:ind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【下述补充要求为对上述标准中参数的补充优化】：</w:t>
      </w:r>
    </w:p>
    <w:p>
      <w:pPr>
        <w:numPr>
          <w:ilvl w:val="0"/>
          <w:numId w:val="0"/>
        </w:numPr>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包含：1、雷视测速一体机；2、抓拍补光灯；3、限速提示牌，含车速显示与提示信息显示2部分；采用高精度毫米波雷达 &amp; 800万低照度摄像机支持车辆以及车速检测；支持有线网络，</w:t>
      </w:r>
      <w:r>
        <w:rPr>
          <w:rFonts w:hint="eastAsia" w:ascii="微软雅黑" w:hAnsi="微软雅黑" w:eastAsia="微软雅黑" w:cs="微软雅黑"/>
          <w:sz w:val="21"/>
          <w:szCs w:val="21"/>
          <w:lang w:val="en-US" w:eastAsia="zh-CN"/>
        </w:rPr>
        <w:t>支持</w:t>
      </w:r>
      <w:r>
        <w:rPr>
          <w:rFonts w:hint="eastAsia" w:ascii="微软雅黑" w:hAnsi="微软雅黑" w:eastAsia="微软雅黑" w:cs="微软雅黑"/>
          <w:sz w:val="21"/>
          <w:szCs w:val="21"/>
          <w:lang w:eastAsia="zh-CN"/>
        </w:rPr>
        <w:t>4G</w:t>
      </w:r>
      <w:r>
        <w:rPr>
          <w:rFonts w:hint="eastAsia" w:ascii="微软雅黑" w:hAnsi="微软雅黑" w:eastAsia="微软雅黑" w:cs="微软雅黑"/>
          <w:sz w:val="21"/>
          <w:szCs w:val="21"/>
          <w:lang w:val="en-US" w:eastAsia="zh-CN"/>
        </w:rPr>
        <w:t>网络;</w:t>
      </w:r>
    </w:p>
    <w:p>
      <w:pPr>
        <w:numPr>
          <w:ilvl w:val="0"/>
          <w:numId w:val="0"/>
        </w:numPr>
        <w:ind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网络视频输入：SDK，ISAPI；网络接口：1个RJ45 100M /1000M自适应以太网口；串口：1个RS-485接口；</w:t>
      </w:r>
    </w:p>
    <w:p>
      <w:pPr>
        <w:numPr>
          <w:ilvl w:val="0"/>
          <w:numId w:val="0"/>
        </w:numPr>
        <w:ind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最小照度：彩色0.1Lux@(F1.2,AGC ON)；黑白0.01Lux@(F1.2,AGC ON)；</w:t>
      </w:r>
    </w:p>
    <w:p>
      <w:pPr>
        <w:numPr>
          <w:ilvl w:val="0"/>
          <w:numId w:val="0"/>
        </w:numPr>
        <w:ind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视频压缩标准：H.264;H.265;MJPEG；压缩输出码率：32 Kbps~16 Mbps；</w:t>
      </w:r>
    </w:p>
    <w:p>
      <w:pPr>
        <w:numPr>
          <w:ilvl w:val="0"/>
          <w:numId w:val="0"/>
        </w:numPr>
        <w:ind w:leftChars="0" w:firstLine="420" w:firstLineChars="20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lang w:eastAsia="zh-CN"/>
        </w:rPr>
        <w:t>视频分辨率：≥3840*2160；帧率：25fps(3840*2160)；图片分辨率：≥3840×2160；</w:t>
      </w:r>
    </w:p>
    <w:p>
      <w:pPr>
        <w:numPr>
          <w:ilvl w:val="0"/>
          <w:numId w:val="0"/>
        </w:numPr>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lang w:eastAsia="zh-CN"/>
        </w:rPr>
        <w:t>LED显示尺寸：上屏≥320mm*320mm，下屏≥320mm*1280mm，物理点</w:t>
      </w:r>
      <w:r>
        <w:rPr>
          <w:rFonts w:hint="eastAsia" w:ascii="微软雅黑" w:hAnsi="微软雅黑" w:eastAsia="微软雅黑" w:cs="微软雅黑"/>
          <w:color w:val="000000" w:themeColor="text1"/>
          <w:sz w:val="21"/>
          <w:szCs w:val="21"/>
          <w:lang w:eastAsia="zh-CN"/>
          <w14:textFill>
            <w14:solidFill>
              <w14:schemeClr w14:val="tx1"/>
            </w14:solidFill>
          </w14:textFill>
        </w:rPr>
        <w:t>间距：≤10mm；可视角度：水平：≥140°  垂直：≥100°；</w:t>
      </w:r>
    </w:p>
    <w:p>
      <w:pPr>
        <w:numPr>
          <w:ilvl w:val="0"/>
          <w:numId w:val="0"/>
        </w:numPr>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color w:val="000000" w:themeColor="text1"/>
          <w:sz w:val="21"/>
          <w:szCs w:val="21"/>
          <w:lang w:eastAsia="zh-CN"/>
          <w14:textFill>
            <w14:solidFill>
              <w14:schemeClr w14:val="tx1"/>
            </w14:solidFill>
          </w14:textFill>
        </w:rPr>
        <w:t>防护等级：≥IP54；</w:t>
      </w:r>
    </w:p>
    <w:p>
      <w:pPr>
        <w:numPr>
          <w:ilvl w:val="0"/>
          <w:numId w:val="0"/>
        </w:numPr>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color w:val="000000" w:themeColor="text1"/>
          <w:sz w:val="21"/>
          <w:szCs w:val="21"/>
          <w:lang w:eastAsia="zh-CN"/>
          <w14:textFill>
            <w14:solidFill>
              <w14:schemeClr w14:val="tx1"/>
            </w14:solidFill>
          </w14:textFill>
        </w:rPr>
        <w:t>有目标经过时红蓝爆闪灯可闪烁警示；支持超速预警、来车预警、自定义播报；</w:t>
      </w:r>
    </w:p>
    <w:p>
      <w:pPr>
        <w:numPr>
          <w:ilvl w:val="0"/>
          <w:numId w:val="0"/>
        </w:numPr>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color w:val="000000" w:themeColor="text1"/>
          <w:sz w:val="21"/>
          <w:szCs w:val="21"/>
          <w:lang w:eastAsia="zh-CN"/>
          <w14:textFill>
            <w14:solidFill>
              <w14:schemeClr w14:val="tx1"/>
            </w14:solidFill>
          </w14:textFill>
        </w:rPr>
        <w:t>P10模组LED屏红绿双色用于警示信息发布，支持预警文字显示，支持平台下发预警信息；内置大功率音柱，支持音量调节，可分时段控制；</w:t>
      </w:r>
    </w:p>
    <w:p>
      <w:pPr>
        <w:numPr>
          <w:ilvl w:val="0"/>
          <w:numId w:val="0"/>
        </w:numPr>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color w:val="000000" w:themeColor="text1"/>
          <w:sz w:val="21"/>
          <w:szCs w:val="21"/>
          <w:lang w:eastAsia="zh-CN"/>
          <w14:textFill>
            <w14:solidFill>
              <w14:schemeClr w14:val="tx1"/>
            </w14:solidFill>
          </w14:textFill>
        </w:rPr>
        <w:t>支持机动车辆抓拍，内置车牌识别、车身颜色识别、车型识别功能，车辆主子品牌识别功能；</w:t>
      </w:r>
    </w:p>
    <w:p>
      <w:pPr>
        <w:numPr>
          <w:ilvl w:val="0"/>
          <w:numId w:val="0"/>
        </w:numPr>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color w:val="000000" w:themeColor="text1"/>
          <w:sz w:val="21"/>
          <w:szCs w:val="21"/>
          <w:lang w:eastAsia="zh-CN"/>
          <w14:textFill>
            <w14:solidFill>
              <w14:schemeClr w14:val="tx1"/>
            </w14:solidFill>
          </w14:textFill>
        </w:rPr>
        <w:t>支持区分距离≤0.5m的相邻交通目标；支持对≥400个交通目标进行检测，可对交通目标进行轨迹跟踪监测。提供国家认可的第三方检测机构检测报告；</w:t>
      </w:r>
    </w:p>
    <w:p>
      <w:pPr>
        <w:numPr>
          <w:ilvl w:val="0"/>
          <w:numId w:val="0"/>
        </w:numPr>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color w:val="000000" w:themeColor="text1"/>
          <w:sz w:val="21"/>
          <w:szCs w:val="21"/>
          <w:lang w:eastAsia="zh-CN"/>
          <w14:textFill>
            <w14:solidFill>
              <w14:schemeClr w14:val="tx1"/>
            </w14:solidFill>
          </w14:textFill>
        </w:rPr>
        <w:t>支持事故检测和超速检测；支持目标检测录像；</w:t>
      </w:r>
    </w:p>
    <w:p>
      <w:pPr>
        <w:numPr>
          <w:ilvl w:val="0"/>
          <w:numId w:val="0"/>
        </w:numPr>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sz w:val="21"/>
          <w:szCs w:val="21"/>
          <w:lang w:val="en-US" w:eastAsia="zh-CN"/>
        </w:rPr>
        <w:t>(13)</w:t>
      </w:r>
      <w:r>
        <w:rPr>
          <w:rFonts w:hint="eastAsia" w:ascii="微软雅黑" w:hAnsi="微软雅黑" w:eastAsia="微软雅黑" w:cs="微软雅黑"/>
          <w:color w:val="000000" w:themeColor="text1"/>
          <w:sz w:val="21"/>
          <w:szCs w:val="21"/>
          <w:lang w:eastAsia="zh-CN"/>
          <w14:textFill>
            <w14:solidFill>
              <w14:schemeClr w14:val="tx1"/>
            </w14:solidFill>
          </w14:textFill>
        </w:rPr>
        <w:t>支持内置TF卡，最大可支持256GB，可存储图片和录像，可开启录像计划，支持数据循环覆盖和断网续传；</w:t>
      </w:r>
    </w:p>
    <w:p>
      <w:pPr>
        <w:numPr>
          <w:ilvl w:val="0"/>
          <w:numId w:val="0"/>
        </w:numPr>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color w:val="000000" w:themeColor="text1"/>
          <w:sz w:val="21"/>
          <w:szCs w:val="21"/>
          <w:lang w:eastAsia="zh-CN"/>
          <w14:textFill>
            <w14:solidFill>
              <w14:schemeClr w14:val="tx1"/>
            </w14:solidFill>
          </w14:textFill>
        </w:rPr>
        <w:t>支持对雷达参数进行设置，包括检测速度、原点坐标、车道数、车道宽度、方向、架设高度、距离修正参数、角度修正参数。支持雷达检测和视频检测结果坐标融合，支持手动标定，自动标定；支持实时显示目标的相对位置坐标输出、车道号、速度、航向角。提供国家认可的第三方检测机构检测报告；</w:t>
      </w:r>
    </w:p>
    <w:p>
      <w:pPr>
        <w:numPr>
          <w:ilvl w:val="0"/>
          <w:numId w:val="0"/>
        </w:numPr>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color w:val="000000" w:themeColor="text1"/>
          <w:sz w:val="21"/>
          <w:szCs w:val="21"/>
          <w:lang w:eastAsia="zh-CN"/>
          <w14:textFill>
            <w14:solidFill>
              <w14:schemeClr w14:val="tx1"/>
            </w14:solidFill>
          </w14:textFill>
        </w:rPr>
        <w:t>数据连接装置需</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提供工业和信息化部颁发的进网许可证</w:t>
      </w:r>
      <w:r>
        <w:rPr>
          <w:rFonts w:hint="eastAsia" w:ascii="微软雅黑" w:hAnsi="微软雅黑" w:eastAsia="微软雅黑" w:cs="微软雅黑"/>
          <w:color w:val="000000" w:themeColor="text1"/>
          <w:sz w:val="21"/>
          <w:szCs w:val="21"/>
          <w:lang w:eastAsia="zh-CN"/>
          <w14:textFill>
            <w14:solidFill>
              <w14:schemeClr w14:val="tx1"/>
            </w14:solidFill>
          </w14:textFill>
        </w:rPr>
        <w:t>；</w:t>
      </w:r>
    </w:p>
    <w:p>
      <w:pPr>
        <w:numPr>
          <w:ilvl w:val="0"/>
          <w:numId w:val="0"/>
        </w:numPr>
        <w:ind w:firstLine="420" w:firstLineChars="200"/>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sz w:val="21"/>
          <w:szCs w:val="21"/>
          <w:lang w:val="en-US" w:eastAsia="zh-CN"/>
        </w:rPr>
        <w:t>★(16)</w:t>
      </w:r>
      <w:r>
        <w:rPr>
          <w:rFonts w:hint="eastAsia" w:ascii="微软雅黑" w:hAnsi="微软雅黑" w:eastAsia="微软雅黑" w:cs="微软雅黑"/>
          <w:color w:val="000000" w:themeColor="text1"/>
          <w:sz w:val="21"/>
          <w:szCs w:val="21"/>
          <w:lang w:eastAsia="zh-CN"/>
          <w14:textFill>
            <w14:solidFill>
              <w14:schemeClr w14:val="tx1"/>
            </w14:solidFill>
          </w14:textFill>
        </w:rPr>
        <w:t>测试温度可达高温85±2°，低温 -40±2°，持续时间2小时试验后能正常工作。通过国家认可的第三方检测机构冲击、自由跌落测试检测，并提供检测报告。</w:t>
      </w:r>
    </w:p>
    <w:p>
      <w:pPr>
        <w:pStyle w:val="2"/>
        <w:rPr>
          <w:rFonts w:hint="default"/>
          <w:lang w:val="en-US" w:eastAsia="zh-CN"/>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 xml:space="preserve">   </w:t>
      </w:r>
      <w:r>
        <w:rPr>
          <w:rFonts w:hint="eastAsia" w:ascii="微软雅黑" w:hAnsi="微软雅黑" w:eastAsia="微软雅黑" w:cs="微软雅黑"/>
          <w:sz w:val="21"/>
          <w:szCs w:val="21"/>
          <w:lang w:val="en-US" w:eastAsia="zh-CN"/>
        </w:rPr>
        <w:t>★(17)设备需能兼容接入买方现有的海康威视综合安防平台。</w:t>
      </w:r>
    </w:p>
    <w:p>
      <w:p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5.</w:t>
      </w:r>
      <w:r>
        <w:rPr>
          <w:rFonts w:hint="eastAsia" w:ascii="微软雅黑" w:hAnsi="微软雅黑" w:eastAsia="微软雅黑"/>
          <w:sz w:val="21"/>
          <w:szCs w:val="21"/>
          <w:lang w:val="en-US" w:eastAsia="zh-CN"/>
        </w:rPr>
        <w:t xml:space="preserve">2 </w:t>
      </w:r>
      <w:r>
        <w:rPr>
          <w:rFonts w:hint="eastAsia" w:ascii="微软雅黑" w:hAnsi="微软雅黑" w:eastAsia="微软雅黑"/>
          <w:sz w:val="21"/>
          <w:szCs w:val="21"/>
          <w:lang w:eastAsia="zh-CN"/>
        </w:rPr>
        <w:t>技术配合</w:t>
      </w:r>
    </w:p>
    <w:p>
      <w:pPr>
        <w:rPr>
          <w:rFonts w:hint="eastAsia" w:ascii="微软雅黑" w:hAnsi="微软雅黑" w:eastAsia="微软雅黑"/>
          <w:sz w:val="21"/>
          <w:szCs w:val="21"/>
          <w:lang w:eastAsia="zh-CN"/>
        </w:rPr>
      </w:pPr>
      <w:r>
        <w:rPr>
          <w:rFonts w:hint="eastAsia"/>
          <w:color w:val="FF0000"/>
          <w:lang w:eastAsia="zh-CN"/>
        </w:rPr>
        <w:t xml:space="preserve">  </w:t>
      </w:r>
      <w:r>
        <w:rPr>
          <w:rFonts w:hint="eastAsia" w:ascii="微软雅黑" w:hAnsi="微软雅黑" w:eastAsia="微软雅黑"/>
          <w:sz w:val="21"/>
          <w:szCs w:val="21"/>
          <w:lang w:eastAsia="zh-CN"/>
        </w:rPr>
        <w:t xml:space="preserve"> 卖方需为买方的综合安防平台提供数据对接所需的各类技术支持，包括但不限于技术文档、数据接口、相关协议等。</w:t>
      </w:r>
    </w:p>
    <w:p>
      <w:pPr>
        <w:pStyle w:val="26"/>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六、检测和试验</w:t>
      </w:r>
    </w:p>
    <w:p>
      <w:pPr>
        <w:pStyle w:val="26"/>
        <w:spacing w:before="120" w:after="120"/>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6.1</w:t>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系统设备单体调试</w:t>
      </w:r>
    </w:p>
    <w:p>
      <w:pPr>
        <w:pStyle w:val="6"/>
        <w:spacing w:line="257" w:lineRule="auto"/>
        <w:ind w:right="122"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主要是对已安装完毕的设备进行检查和测试，以确认设备安装正确，能正常工作。卖方应有利用临时电源及时进行通电调试的措施，为处理问题争取时间。调试时注意做好调试记录，作为测试报告的一部分。</w:t>
      </w:r>
    </w:p>
    <w:p>
      <w:pPr>
        <w:pStyle w:val="26"/>
        <w:spacing w:before="120" w:after="120"/>
        <w:outlineLvl w:val="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6.2</w:t>
      </w:r>
      <w:r>
        <w:rPr>
          <w:rFonts w:hint="eastAsia" w:ascii="微软雅黑" w:hAnsi="微软雅黑" w:eastAsia="微软雅黑" w:cs="微软雅黑"/>
          <w:color w:val="auto"/>
          <w:sz w:val="21"/>
          <w:szCs w:val="21"/>
        </w:rPr>
        <w:tab/>
      </w:r>
      <w:r>
        <w:rPr>
          <w:rFonts w:hint="eastAsia" w:ascii="微软雅黑" w:hAnsi="微软雅黑" w:eastAsia="微软雅黑" w:cs="微软雅黑"/>
          <w:color w:val="auto"/>
          <w:sz w:val="21"/>
          <w:szCs w:val="21"/>
        </w:rPr>
        <w:t>系统调试</w:t>
      </w:r>
    </w:p>
    <w:p>
      <w:pPr>
        <w:pStyle w:val="6"/>
        <w:spacing w:line="257" w:lineRule="auto"/>
        <w:ind w:right="122"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系统调试分三步骤进行：本系统设备联调、联动联调和系统连续72小时运行测试。</w:t>
      </w:r>
    </w:p>
    <w:p>
      <w:pPr>
        <w:pStyle w:val="6"/>
        <w:spacing w:line="257" w:lineRule="auto"/>
        <w:ind w:right="122"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1）本系统设备联调是指：在与其它系统工程不相连的情况下，测试系统的所有设备作为一个完整的系统能否很好地工作，能否完成本系统每一个设备的功能要求。</w:t>
      </w:r>
    </w:p>
    <w:p>
      <w:pPr>
        <w:pStyle w:val="6"/>
        <w:spacing w:line="257" w:lineRule="auto"/>
        <w:ind w:right="122"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2）联动联调是指与其它相关系统设备连接一起进行系统全面调试，以测试检验本系统对与其它相关系统的联动功能，验证本系统与其它专业的接口是否兼容。</w:t>
      </w:r>
    </w:p>
    <w:p>
      <w:pPr>
        <w:pStyle w:val="6"/>
        <w:spacing w:line="257" w:lineRule="auto"/>
        <w:ind w:right="122"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3）系统连续72小时运行试验是指联动联调成功后进行的连续72小时运行，期间将抽查各种测试项目，检查系统运行的可靠性和稳定性。</w:t>
      </w:r>
    </w:p>
    <w:p>
      <w:pPr>
        <w:pStyle w:val="6"/>
        <w:spacing w:line="257" w:lineRule="auto"/>
        <w:ind w:right="122"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4）系统连续72小时运行试验成功，标志系统通过初步验收。</w:t>
      </w:r>
    </w:p>
    <w:p>
      <w:pPr>
        <w:pStyle w:val="6"/>
        <w:spacing w:line="257" w:lineRule="auto"/>
        <w:ind w:right="122"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5）系统调试报告：调试报告应真实反映系统的工作状况，叙述系统的基本情况，提供系统的运行管理方法，指出系统可能存在的隐患，并提出系统的改进建议。</w:t>
      </w:r>
    </w:p>
    <w:p>
      <w:pPr>
        <w:pStyle w:val="6"/>
        <w:spacing w:line="257" w:lineRule="auto"/>
        <w:ind w:right="122"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6）厂家资料（指随设备来的技术资料）、安装记录、测试报告、调试记录以及其它工程资料必须装订成册，作存档备案之用。</w:t>
      </w:r>
    </w:p>
    <w:p>
      <w:pPr>
        <w:pStyle w:val="26"/>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七、标识、包装、运输和存储</w:t>
      </w:r>
    </w:p>
    <w:p>
      <w:pPr>
        <w:pStyle w:val="4"/>
        <w:rPr>
          <w:rFonts w:hint="eastAsia" w:ascii="微软雅黑" w:hAnsi="微软雅黑" w:eastAsia="微软雅黑" w:cs="微软雅黑"/>
          <w:sz w:val="21"/>
          <w:szCs w:val="21"/>
        </w:rPr>
      </w:pPr>
      <w:r>
        <w:rPr>
          <w:rFonts w:hint="eastAsia" w:ascii="微软雅黑" w:hAnsi="微软雅黑" w:eastAsia="微软雅黑" w:cs="微软雅黑"/>
          <w:sz w:val="21"/>
          <w:szCs w:val="21"/>
        </w:rPr>
        <w:t>7.1. 产品标识</w:t>
      </w:r>
    </w:p>
    <w:p>
      <w:pPr>
        <w:pStyle w:val="38"/>
        <w:rPr>
          <w:rFonts w:hint="eastAsia" w:ascii="微软雅黑" w:hAnsi="微软雅黑" w:eastAsia="微软雅黑" w:cs="微软雅黑"/>
          <w:szCs w:val="21"/>
        </w:rPr>
      </w:pPr>
      <w:r>
        <w:rPr>
          <w:rFonts w:hint="eastAsia" w:ascii="微软雅黑" w:hAnsi="微软雅黑" w:eastAsia="微软雅黑" w:cs="微软雅黑"/>
          <w:szCs w:val="21"/>
        </w:rPr>
        <w:t>设备铭牌要求包括制造商名称，产品序列号，产品型号等内容。</w:t>
      </w:r>
    </w:p>
    <w:p>
      <w:pPr>
        <w:pStyle w:val="4"/>
        <w:rPr>
          <w:rFonts w:hint="eastAsia" w:ascii="微软雅黑" w:hAnsi="微软雅黑" w:eastAsia="微软雅黑" w:cs="微软雅黑"/>
          <w:sz w:val="21"/>
          <w:szCs w:val="21"/>
        </w:rPr>
      </w:pPr>
      <w:r>
        <w:rPr>
          <w:rFonts w:hint="eastAsia" w:ascii="微软雅黑" w:hAnsi="微软雅黑" w:eastAsia="微软雅黑" w:cs="微软雅黑"/>
          <w:sz w:val="21"/>
          <w:szCs w:val="21"/>
        </w:rPr>
        <w:t>7.2. 产品包装、运输要求</w:t>
      </w:r>
    </w:p>
    <w:p>
      <w:pPr>
        <w:pStyle w:val="6"/>
        <w:spacing w:line="257" w:lineRule="auto"/>
        <w:ind w:right="122"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包装应坚固完好，能抗御运输、储存和装卸过程中正常冲击，振动和挤压，并便于装卸和搬运。</w:t>
      </w:r>
    </w:p>
    <w:p>
      <w:pPr>
        <w:pStyle w:val="6"/>
        <w:spacing w:line="257" w:lineRule="auto"/>
        <w:ind w:right="122"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设备所需的备品备件及专用工具与仪器仪表应单独装箱并装在包装箱内，在箱上注明“专用工具”、“仪器仪表”， 以与本体相区别；并标明“防尘”、“防潮”、“防止损坏”、“易碎”、“向上”、“勿倒”等字样，同主设备一并发运。</w:t>
      </w:r>
    </w:p>
    <w:p>
      <w:pPr>
        <w:pStyle w:val="4"/>
        <w:rPr>
          <w:rFonts w:hint="eastAsia" w:ascii="微软雅黑" w:hAnsi="微软雅黑" w:eastAsia="微软雅黑" w:cs="微软雅黑"/>
          <w:sz w:val="21"/>
          <w:szCs w:val="21"/>
        </w:rPr>
      </w:pPr>
      <w:r>
        <w:rPr>
          <w:rFonts w:hint="eastAsia" w:ascii="微软雅黑" w:hAnsi="微软雅黑" w:eastAsia="微软雅黑" w:cs="微软雅黑"/>
          <w:sz w:val="21"/>
          <w:szCs w:val="21"/>
        </w:rPr>
        <w:t>7.3 产品存储</w:t>
      </w:r>
    </w:p>
    <w:p>
      <w:pPr>
        <w:pStyle w:val="6"/>
        <w:spacing w:line="257" w:lineRule="auto"/>
        <w:ind w:right="122" w:firstLine="420"/>
        <w:rPr>
          <w:rFonts w:hint="eastAsia"/>
          <w:lang w:eastAsia="zh-CN"/>
        </w:rPr>
      </w:pPr>
      <w:r>
        <w:rPr>
          <w:rFonts w:hint="eastAsia" w:ascii="微软雅黑" w:hAnsi="微软雅黑" w:eastAsia="微软雅黑" w:cs="微软雅黑"/>
          <w:lang w:eastAsia="zh-CN"/>
        </w:rPr>
        <w:t>产品到货后，需存放在安全、干燥、通风的仓库内，远离直射阳光和高温环境。存放区域应具备防尘、防潮、</w:t>
      </w:r>
      <w:r>
        <w:rPr>
          <w:lang w:eastAsia="zh-CN"/>
        </w:rPr>
        <w:t>防震的设施，确保</w:t>
      </w:r>
      <w:r>
        <w:rPr>
          <w:rFonts w:hint="eastAsia"/>
          <w:lang w:eastAsia="zh-CN"/>
        </w:rPr>
        <w:t>设备</w:t>
      </w:r>
      <w:r>
        <w:rPr>
          <w:lang w:eastAsia="zh-CN"/>
        </w:rPr>
        <w:t>表面和内部电子元件的长期稳定</w:t>
      </w:r>
      <w:r>
        <w:rPr>
          <w:rFonts w:hint="eastAsia"/>
          <w:lang w:eastAsia="zh-CN"/>
        </w:rPr>
        <w:t>。</w:t>
      </w:r>
      <w:r>
        <w:rPr>
          <w:lang w:eastAsia="zh-CN"/>
        </w:rPr>
        <w:t>存储位置应避免受到冷热变化过大的影响，以防止温度差异对产品性能产生负面影响。</w:t>
      </w:r>
    </w:p>
    <w:p>
      <w:pPr>
        <w:pStyle w:val="26"/>
        <w:numPr>
          <w:ilvl w:val="0"/>
          <w:numId w:val="1"/>
        </w:numPr>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技术文件</w:t>
      </w:r>
    </w:p>
    <w:p>
      <w:pPr>
        <w:pStyle w:val="6"/>
        <w:spacing w:line="257" w:lineRule="auto"/>
        <w:ind w:right="122" w:firstLine="420"/>
        <w:rPr>
          <w:rFonts w:hint="default"/>
          <w:lang w:val="en-US" w:eastAsia="zh-CN"/>
        </w:rPr>
      </w:pPr>
      <w:r>
        <w:rPr>
          <w:rFonts w:hint="eastAsia"/>
          <w:lang w:eastAsia="zh-CN"/>
        </w:rPr>
        <w:t>以下为部分引用《中国海油采购标准体系建设工业电视监视系统》</w:t>
      </w:r>
      <w:r>
        <w:rPr>
          <w:lang w:eastAsia="zh-CN"/>
        </w:rPr>
        <w:t>CGBZ078-2021</w:t>
      </w:r>
      <w:r>
        <w:rPr>
          <w:rFonts w:hint="eastAsia"/>
          <w:lang w:eastAsia="zh-CN"/>
        </w:rPr>
        <w:t>中</w:t>
      </w:r>
      <w:r>
        <w:rPr>
          <w:rFonts w:hint="eastAsia"/>
          <w:lang w:val="en-US" w:eastAsia="zh-CN"/>
        </w:rPr>
        <w:t>11.1文件要求。</w:t>
      </w:r>
    </w:p>
    <w:p>
      <w:pPr>
        <w:pStyle w:val="6"/>
        <w:spacing w:line="257" w:lineRule="auto"/>
        <w:ind w:right="122" w:firstLine="420"/>
        <w:rPr>
          <w:rFonts w:hint="eastAsia"/>
          <w:lang w:eastAsia="zh-CN"/>
        </w:rPr>
      </w:pPr>
      <w:r>
        <w:rPr>
          <w:rFonts w:hint="eastAsia"/>
          <w:lang w:eastAsia="zh-CN"/>
        </w:rPr>
        <w:t>卖方应提供系统设备的安装、使用和维护的技术文件：</w:t>
      </w:r>
    </w:p>
    <w:p>
      <w:pPr>
        <w:pStyle w:val="6"/>
        <w:spacing w:line="257" w:lineRule="auto"/>
        <w:ind w:right="122" w:firstLine="420"/>
        <w:rPr>
          <w:rFonts w:hint="eastAsia"/>
          <w:lang w:eastAsia="zh-CN"/>
        </w:rPr>
      </w:pPr>
      <w:r>
        <w:rPr>
          <w:rFonts w:hint="eastAsia"/>
          <w:lang w:eastAsia="zh-CN"/>
        </w:rPr>
        <w:t>1）系统安全性、可靠性、合理性、先进性及满足用户需求等方面的分析、计算报告。</w:t>
      </w:r>
    </w:p>
    <w:p>
      <w:pPr>
        <w:pStyle w:val="6"/>
        <w:spacing w:line="257" w:lineRule="auto"/>
        <w:ind w:right="122" w:firstLine="420"/>
        <w:rPr>
          <w:rFonts w:hint="eastAsia"/>
          <w:lang w:eastAsia="zh-CN"/>
        </w:rPr>
      </w:pPr>
      <w:r>
        <w:rPr>
          <w:rFonts w:hint="eastAsia"/>
          <w:lang w:eastAsia="zh-CN"/>
        </w:rPr>
        <w:t>2）系统设计文件应包括施工图、逻辑图等。</w:t>
      </w:r>
    </w:p>
    <w:p>
      <w:pPr>
        <w:pStyle w:val="6"/>
        <w:spacing w:line="257" w:lineRule="auto"/>
        <w:ind w:right="122" w:firstLine="420"/>
        <w:rPr>
          <w:rFonts w:hint="eastAsia"/>
          <w:lang w:eastAsia="zh-CN"/>
        </w:rPr>
      </w:pPr>
      <w:r>
        <w:rPr>
          <w:rFonts w:hint="eastAsia"/>
          <w:lang w:eastAsia="zh-CN"/>
        </w:rPr>
        <w:t>3）提交的手册应包括各类系统操作手册、软件手册、安装手册、调试手册、维护手册等。</w:t>
      </w:r>
    </w:p>
    <w:p>
      <w:pPr>
        <w:pStyle w:val="6"/>
        <w:spacing w:line="257" w:lineRule="auto"/>
        <w:ind w:right="122" w:firstLine="420"/>
        <w:rPr>
          <w:rFonts w:hint="eastAsia"/>
          <w:lang w:eastAsia="zh-CN"/>
        </w:rPr>
      </w:pPr>
      <w:r>
        <w:rPr>
          <w:rFonts w:hint="eastAsia"/>
          <w:lang w:eastAsia="zh-CN"/>
        </w:rPr>
        <w:t>4）提交硬件制造、出产检验、安装、单体调试、联调、开通各阶段的调试报告、检验程序、验收证书格式等文件。</w:t>
      </w:r>
    </w:p>
    <w:p>
      <w:pPr>
        <w:pStyle w:val="6"/>
        <w:spacing w:line="257" w:lineRule="auto"/>
        <w:ind w:right="122" w:firstLine="420"/>
        <w:rPr>
          <w:rFonts w:hint="eastAsia"/>
          <w:lang w:eastAsia="zh-CN"/>
        </w:rPr>
      </w:pPr>
      <w:r>
        <w:rPr>
          <w:rFonts w:hint="eastAsia"/>
          <w:lang w:eastAsia="zh-CN"/>
        </w:rPr>
        <w:t>5）所有产品应提交合格证。</w:t>
      </w:r>
    </w:p>
    <w:p>
      <w:pPr>
        <w:pStyle w:val="6"/>
        <w:spacing w:line="257" w:lineRule="auto"/>
        <w:ind w:right="122" w:firstLine="420"/>
        <w:rPr>
          <w:rFonts w:hint="eastAsia"/>
          <w:lang w:eastAsia="zh-CN"/>
        </w:rPr>
      </w:pPr>
      <w:r>
        <w:rPr>
          <w:rFonts w:hint="eastAsia"/>
          <w:lang w:eastAsia="zh-CN"/>
        </w:rPr>
        <w:t>6）所有文件应订装完好成册。</w:t>
      </w:r>
    </w:p>
    <w:p>
      <w:pPr>
        <w:pStyle w:val="6"/>
        <w:spacing w:line="257" w:lineRule="auto"/>
        <w:ind w:right="122"/>
        <w:rPr>
          <w:rFonts w:hint="eastAsia"/>
          <w:lang w:eastAsia="zh-CN"/>
        </w:rPr>
      </w:pPr>
      <w:r>
        <w:rPr>
          <w:rFonts w:hint="eastAsia"/>
          <w:lang w:eastAsia="zh-CN"/>
        </w:rPr>
        <w:t xml:space="preserve">7）所有文件应有统一的文件编号、分类、文件提交时同时应附有文件清单。   </w:t>
      </w:r>
    </w:p>
    <w:p>
      <w:pPr>
        <w:pStyle w:val="6"/>
        <w:spacing w:line="257" w:lineRule="auto"/>
        <w:ind w:right="122" w:firstLine="420"/>
        <w:rPr>
          <w:rFonts w:hint="eastAsia"/>
          <w:lang w:eastAsia="zh-CN"/>
        </w:rPr>
      </w:pPr>
      <w:r>
        <w:rPr>
          <w:rFonts w:hint="eastAsia"/>
          <w:lang w:eastAsia="zh-CN"/>
        </w:rPr>
        <w:t>8）系统集成过程中所涉及的标准，如相关的国标、IEC标准等。</w:t>
      </w:r>
    </w:p>
    <w:p>
      <w:pPr>
        <w:pStyle w:val="6"/>
        <w:spacing w:line="257" w:lineRule="auto"/>
        <w:ind w:right="122" w:firstLine="420"/>
        <w:rPr>
          <w:rFonts w:hint="eastAsia"/>
          <w:lang w:eastAsia="zh-CN"/>
        </w:rPr>
      </w:pPr>
      <w:r>
        <w:rPr>
          <w:rFonts w:hint="eastAsia"/>
          <w:lang w:eastAsia="zh-CN"/>
        </w:rPr>
        <w:t>9）系统集成各阶段质量保证、质量控制、质量管理及进度控制等报告，供业主检查督促。卖方应根据业主上述要求，在投标时详细提出文件资料提交包括提交时间建议书。</w:t>
      </w:r>
    </w:p>
    <w:p>
      <w:pPr>
        <w:pStyle w:val="26"/>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九、工作进度、监造和现场验收</w:t>
      </w:r>
    </w:p>
    <w:p>
      <w:pPr>
        <w:pStyle w:val="28"/>
        <w:numPr>
          <w:ilvl w:val="0"/>
          <w:numId w:val="2"/>
        </w:numPr>
        <w:ind w:left="845"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卖方需要承诺其工作进度能保障产品或设备按期交付（</w:t>
      </w:r>
      <w:r>
        <w:rPr>
          <w:rFonts w:hint="eastAsia" w:ascii="微软雅黑" w:hAnsi="微软雅黑" w:eastAsia="微软雅黑" w:cs="微软雅黑"/>
          <w:sz w:val="21"/>
          <w:szCs w:val="21"/>
          <w:lang w:val="en-US" w:eastAsia="zh-CN"/>
        </w:rPr>
        <w:t>合同签订后15天内到货）</w:t>
      </w:r>
      <w:r>
        <w:rPr>
          <w:rFonts w:hint="eastAsia" w:ascii="微软雅黑" w:hAnsi="微软雅黑" w:eastAsia="微软雅黑" w:cs="微软雅黑"/>
          <w:sz w:val="21"/>
          <w:szCs w:val="21"/>
          <w:lang w:eastAsia="zh-CN"/>
        </w:rPr>
        <w:t>，并接受买方监造（如有必要），同意买方了解制造厂质量保证体系文件的制订和有效实施情况；</w:t>
      </w:r>
    </w:p>
    <w:p>
      <w:pPr>
        <w:pStyle w:val="28"/>
        <w:numPr>
          <w:ilvl w:val="0"/>
          <w:numId w:val="2"/>
        </w:numPr>
        <w:ind w:left="845"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买方有权根据货物招标采购合同的全部内容制订监造检验计划，列出重点监造检验目录，并在产品或设备制造工作中，根据需要派出人员进驻制造现场进行监造与检验；</w:t>
      </w:r>
    </w:p>
    <w:p>
      <w:pPr>
        <w:pStyle w:val="28"/>
        <w:numPr>
          <w:ilvl w:val="0"/>
          <w:numId w:val="2"/>
        </w:numPr>
        <w:ind w:left="845"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在货物制造开始之前，买卖双方要组织召开协调会议，货物制造完毕后，买方应参加全面的质量验收；</w:t>
      </w:r>
    </w:p>
    <w:p>
      <w:pPr>
        <w:pStyle w:val="28"/>
        <w:numPr>
          <w:ilvl w:val="0"/>
          <w:numId w:val="2"/>
        </w:numPr>
        <w:ind w:left="845"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根据具体情况，买方也可聘请有资格和有信誉的第三方检验机构承担货物的检验工作；</w:t>
      </w:r>
    </w:p>
    <w:p>
      <w:pPr>
        <w:pStyle w:val="28"/>
        <w:numPr>
          <w:ilvl w:val="0"/>
          <w:numId w:val="2"/>
        </w:numPr>
        <w:ind w:left="845"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卖方承诺设备在现场安装及调试阶段的技术服务（指导）为供货范围，所提供的技术服务应至设备达标验收为止。能根据现场施工的实际需要要求提供服务工程师现场指导安装调试，提供现场培训，技术响应24小时内给与答复，72小时到达现场。</w:t>
      </w:r>
    </w:p>
    <w:p>
      <w:pPr>
        <w:pStyle w:val="28"/>
        <w:numPr>
          <w:ilvl w:val="0"/>
          <w:numId w:val="2"/>
        </w:numPr>
        <w:ind w:left="845"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此项</w:t>
      </w:r>
      <w:r>
        <w:rPr>
          <w:rFonts w:hint="eastAsia" w:ascii="微软雅黑" w:hAnsi="微软雅黑" w:eastAsia="微软雅黑" w:cs="微软雅黑"/>
          <w:sz w:val="21"/>
          <w:szCs w:val="21"/>
          <w:lang w:eastAsia="zh-CN"/>
        </w:rPr>
        <w:t>引用《</w:t>
      </w:r>
      <w:r>
        <w:rPr>
          <w:rFonts w:hint="eastAsia" w:ascii="微软雅黑" w:hAnsi="微软雅黑" w:eastAsia="微软雅黑" w:cs="微软雅黑"/>
          <w:sz w:val="21"/>
          <w:szCs w:val="21"/>
          <w:lang w:val="en-US" w:eastAsia="zh-CN"/>
        </w:rPr>
        <w:t>《机动车测速仪》GB/T 21255-2019</w:t>
      </w:r>
      <w:r>
        <w:rPr>
          <w:rFonts w:hint="eastAsia" w:ascii="微软雅黑" w:hAnsi="微软雅黑" w:eastAsia="微软雅黑" w:cs="微软雅黑"/>
          <w:sz w:val="21"/>
          <w:szCs w:val="21"/>
          <w:lang w:eastAsia="zh-CN"/>
        </w:rPr>
        <w:t>中</w:t>
      </w:r>
      <w:r>
        <w:rPr>
          <w:rFonts w:hint="eastAsia" w:ascii="微软雅黑" w:hAnsi="微软雅黑" w:eastAsia="微软雅黑" w:cs="微软雅黑"/>
          <w:sz w:val="21"/>
          <w:szCs w:val="21"/>
          <w:lang w:val="en-US" w:eastAsia="zh-CN"/>
        </w:rPr>
        <w:t>9标志、标签、检验合格证、包装：</w:t>
      </w:r>
    </w:p>
    <w:p>
      <w:pPr>
        <w:pStyle w:val="28"/>
        <w:numPr>
          <w:ilvl w:val="0"/>
          <w:numId w:val="0"/>
        </w:numPr>
        <w:ind w:left="420" w:leftChars="0" w:firstLine="42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6.1标志、标签</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测速仪的外包装应体现如下内容：</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ａ） 中文产品名称和型号，额定电源电压、电源频率等主要电气参数，结构尺寸、整机重量；</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ｂ） 制造商名称、详细地址、产品产地、商标或标识；</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ｃ） 产品所执行的标准编号及标准名称。</w:t>
      </w:r>
    </w:p>
    <w:p>
      <w:pPr>
        <w:pStyle w:val="28"/>
        <w:numPr>
          <w:ilvl w:val="0"/>
          <w:numId w:val="0"/>
        </w:numPr>
        <w:ind w:left="420" w:leftChars="0" w:firstLine="42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6.2 检验合格证</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每台出厂的产品应有检验合格证，检验合格证应有如下内容：</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ａ） 产品名称、型号；</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ｂ） 制造商名称；</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ｃ） 执行的产品标准编号；</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ｄ） 出厂检验结论、检验日期；</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ｅ） 检验员标识或检验员代号。</w:t>
      </w:r>
    </w:p>
    <w:p>
      <w:pPr>
        <w:pStyle w:val="28"/>
        <w:numPr>
          <w:ilvl w:val="0"/>
          <w:numId w:val="0"/>
        </w:numPr>
        <w:ind w:left="420" w:leftChars="0" w:firstLine="42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6.3 包装</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包装箱应符合防潮、防尘、防震、运输的要求。</w:t>
      </w:r>
    </w:p>
    <w:p>
      <w:pPr>
        <w:pStyle w:val="28"/>
        <w:numPr>
          <w:ilvl w:val="0"/>
          <w:numId w:val="0"/>
        </w:numPr>
        <w:ind w:left="420" w:leftChars="0" w:firstLine="420"/>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单个包装箱内应有使用说明书</w:t>
      </w:r>
      <w:r>
        <w:rPr>
          <w:rFonts w:hint="eastAsia" w:ascii="微软雅黑" w:hAnsi="微软雅黑" w:eastAsia="微软雅黑" w:cs="微软雅黑"/>
          <w:sz w:val="21"/>
          <w:szCs w:val="21"/>
          <w:lang w:val="en-US" w:eastAsia="zh-CN"/>
        </w:rPr>
        <w:t>（</w:t>
      </w:r>
      <w:r>
        <w:rPr>
          <w:rFonts w:hint="default" w:ascii="微软雅黑" w:hAnsi="微软雅黑" w:eastAsia="微软雅黑" w:cs="微软雅黑"/>
          <w:sz w:val="21"/>
          <w:szCs w:val="21"/>
          <w:lang w:val="en-US" w:eastAsia="zh-CN"/>
        </w:rPr>
        <w:t>内容应包括测速仪的使用条件等</w:t>
      </w:r>
      <w:r>
        <w:rPr>
          <w:rFonts w:hint="eastAsia" w:ascii="微软雅黑" w:hAnsi="微软雅黑" w:eastAsia="微软雅黑" w:cs="微软雅黑"/>
          <w:sz w:val="21"/>
          <w:szCs w:val="21"/>
          <w:lang w:val="en-US" w:eastAsia="zh-CN"/>
        </w:rPr>
        <w:t>）</w:t>
      </w:r>
      <w:r>
        <w:rPr>
          <w:rFonts w:hint="default" w:ascii="微软雅黑" w:hAnsi="微软雅黑" w:eastAsia="微软雅黑" w:cs="微软雅黑"/>
          <w:sz w:val="21"/>
          <w:szCs w:val="21"/>
          <w:lang w:val="en-US" w:eastAsia="zh-CN"/>
        </w:rPr>
        <w:t>、保修卡、检验 合格证及装箱清单。</w:t>
      </w:r>
    </w:p>
    <w:p>
      <w:pPr>
        <w:pStyle w:val="26"/>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十、技术服务与售后服务</w:t>
      </w:r>
    </w:p>
    <w:p>
      <w:pPr>
        <w:pStyle w:val="6"/>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1. 安装、调试指导要求：</w:t>
      </w:r>
    </w:p>
    <w:p>
      <w:pPr>
        <w:pStyle w:val="6"/>
        <w:spacing w:line="257" w:lineRule="auto"/>
        <w:ind w:right="122" w:firstLine="399" w:firstLineChars="190"/>
        <w:rPr>
          <w:rFonts w:hint="eastAsia" w:ascii="微软雅黑" w:hAnsi="微软雅黑" w:eastAsia="微软雅黑" w:cs="微软雅黑"/>
          <w:lang w:eastAsia="zh-CN"/>
        </w:rPr>
      </w:pPr>
      <w:r>
        <w:rPr>
          <w:rFonts w:hint="eastAsia" w:ascii="微软雅黑" w:hAnsi="微软雅黑" w:eastAsia="微软雅黑" w:cs="微软雅黑"/>
          <w:lang w:eastAsia="zh-CN"/>
        </w:rPr>
        <w:t>卖方设备安装方案需符合买方现场管理要求，及网络安全有关要求，符合中海油QHSE管理相关规定，安装方案需向买方项目负责人审批后，方可实施。</w:t>
      </w:r>
    </w:p>
    <w:p>
      <w:pPr>
        <w:pStyle w:val="6"/>
        <w:spacing w:line="257" w:lineRule="auto"/>
        <w:ind w:right="122" w:firstLine="399" w:firstLineChars="190"/>
        <w:rPr>
          <w:rFonts w:hint="eastAsia" w:ascii="微软雅黑" w:hAnsi="微软雅黑" w:eastAsia="微软雅黑" w:cs="微软雅黑"/>
          <w:lang w:eastAsia="zh-CN"/>
        </w:rPr>
      </w:pPr>
      <w:r>
        <w:rPr>
          <w:rFonts w:hint="eastAsia" w:ascii="微软雅黑" w:hAnsi="微软雅黑" w:eastAsia="微软雅黑" w:cs="微软雅黑"/>
          <w:lang w:eastAsia="zh-CN"/>
        </w:rPr>
        <w:t>1）作业人员要求：</w:t>
      </w:r>
    </w:p>
    <w:p>
      <w:pPr>
        <w:pStyle w:val="6"/>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卖方组织设备安装与调试人员在现场设备安装与调试时，需按照执行的标准规范开展相关工作。</w:t>
      </w:r>
    </w:p>
    <w:p>
      <w:pPr>
        <w:pStyle w:val="6"/>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卖方人员进入作业现场需按照中海油HSE管理规定穿戴劳保防护用品。现场管理及HSE管理符合买方现场管理要求。</w:t>
      </w:r>
    </w:p>
    <w:p>
      <w:pPr>
        <w:pStyle w:val="6"/>
        <w:spacing w:line="257" w:lineRule="auto"/>
        <w:ind w:right="122" w:firstLine="420"/>
        <w:rPr>
          <w:rFonts w:hint="eastAsia" w:ascii="微软雅黑" w:hAnsi="微软雅黑" w:eastAsia="微软雅黑" w:cs="微软雅黑"/>
          <w:lang w:eastAsia="zh-CN"/>
        </w:rPr>
      </w:pPr>
      <w:r>
        <w:rPr>
          <w:rFonts w:hint="eastAsia" w:ascii="微软雅黑" w:hAnsi="微软雅黑" w:eastAsia="微软雅黑"/>
          <w:lang w:eastAsia="zh-CN"/>
        </w:rPr>
        <w:t>2. 技术培训要求，卖方进场前需接受买方组织的安全教育培训</w:t>
      </w:r>
      <w:r>
        <w:rPr>
          <w:rFonts w:hint="eastAsia"/>
          <w:lang w:eastAsia="zh-CN"/>
        </w:rPr>
        <w:t>。</w:t>
      </w:r>
    </w:p>
    <w:p>
      <w:pPr>
        <w:pStyle w:val="6"/>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3. 技术联络与响应：</w:t>
      </w:r>
    </w:p>
    <w:p>
      <w:pPr>
        <w:pStyle w:val="6"/>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卖方在接到卖方通知24小时内给予答复，48小时到达现场；</w:t>
      </w:r>
    </w:p>
    <w:p>
      <w:pPr>
        <w:pStyle w:val="6"/>
        <w:numPr>
          <w:ilvl w:val="0"/>
          <w:numId w:val="3"/>
        </w:numPr>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保密要求：</w:t>
      </w:r>
    </w:p>
    <w:p>
      <w:pPr>
        <w:pStyle w:val="6"/>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未经买方许可不得将项目资料用于南山终端人车分流智慧门禁系统、车辆测速完善项目以外的用途。</w:t>
      </w:r>
    </w:p>
    <w:p>
      <w:pPr>
        <w:pStyle w:val="6"/>
        <w:numPr>
          <w:ilvl w:val="0"/>
          <w:numId w:val="3"/>
        </w:numPr>
        <w:spacing w:line="257" w:lineRule="auto"/>
        <w:ind w:left="420" w:right="122" w:firstLine="0" w:firstLineChars="0"/>
        <w:rPr>
          <w:rFonts w:hint="eastAsia"/>
          <w:lang w:eastAsia="zh-CN"/>
        </w:rPr>
      </w:pPr>
      <w:r>
        <w:rPr>
          <w:rFonts w:hint="eastAsia"/>
          <w:lang w:eastAsia="zh-CN"/>
        </w:rPr>
        <w:t>培训：</w:t>
      </w:r>
    </w:p>
    <w:p>
      <w:pPr>
        <w:pStyle w:val="6"/>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卖方必须为买方培训出合格的能进行系统的维护和维修的人员,对买方人员的培训原则上在现场进行培训。</w:t>
      </w:r>
    </w:p>
    <w:p>
      <w:pPr>
        <w:pStyle w:val="6"/>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卖方提供培训所需培训资料、教学设备、仪器。</w:t>
      </w:r>
    </w:p>
    <w:p>
      <w:pPr>
        <w:pStyle w:val="6"/>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设备投运后，卖方继续承诺为用户提供技术培训和咨询服务。</w:t>
      </w:r>
    </w:p>
    <w:p>
      <w:pPr>
        <w:pStyle w:val="26"/>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十一、质量保证</w:t>
      </w:r>
    </w:p>
    <w:p>
      <w:pPr>
        <w:pStyle w:val="6"/>
        <w:spacing w:line="257" w:lineRule="auto"/>
        <w:ind w:right="122" w:firstLine="420"/>
        <w:rPr>
          <w:rFonts w:ascii="微软雅黑" w:hAnsi="微软雅黑" w:eastAsia="微软雅黑"/>
          <w:lang w:eastAsia="zh-CN"/>
        </w:rPr>
      </w:pPr>
      <w:r>
        <w:rPr>
          <w:rFonts w:hint="eastAsia" w:ascii="微软雅黑" w:hAnsi="微软雅黑" w:eastAsia="微软雅黑"/>
          <w:lang w:eastAsia="zh-CN"/>
        </w:rPr>
        <w:t>以下为部分引用《中国海油采购标准体系建设工业电视</w:t>
      </w:r>
      <w:bookmarkStart w:id="66" w:name="_GoBack"/>
      <w:bookmarkEnd w:id="66"/>
      <w:r>
        <w:rPr>
          <w:rFonts w:hint="eastAsia" w:ascii="微软雅黑" w:hAnsi="微软雅黑" w:eastAsia="微软雅黑"/>
          <w:lang w:eastAsia="zh-CN"/>
        </w:rPr>
        <w:t>监视系统》</w:t>
      </w:r>
      <w:r>
        <w:rPr>
          <w:rFonts w:ascii="微软雅黑" w:hAnsi="微软雅黑" w:eastAsia="微软雅黑"/>
          <w:lang w:eastAsia="zh-CN"/>
        </w:rPr>
        <w:t>CGBZ078-2021</w:t>
      </w:r>
      <w:r>
        <w:rPr>
          <w:rFonts w:hint="eastAsia" w:ascii="微软雅黑" w:hAnsi="微软雅黑" w:eastAsia="微软雅黑"/>
          <w:lang w:eastAsia="zh-CN"/>
        </w:rPr>
        <w:t>中</w:t>
      </w:r>
      <w:r>
        <w:rPr>
          <w:rFonts w:hint="eastAsia" w:ascii="微软雅黑" w:hAnsi="微软雅黑" w:eastAsia="微软雅黑"/>
          <w:lang w:val="en-US" w:eastAsia="zh-CN"/>
        </w:rPr>
        <w:t>10质量保证。</w:t>
      </w:r>
    </w:p>
    <w:p>
      <w:pPr>
        <w:pStyle w:val="6"/>
        <w:spacing w:line="257" w:lineRule="auto"/>
        <w:ind w:right="122" w:firstLine="420"/>
        <w:rPr>
          <w:rFonts w:hint="eastAsia" w:ascii="微软雅黑" w:hAnsi="微软雅黑" w:eastAsia="微软雅黑"/>
          <w:color w:val="auto"/>
          <w:lang w:eastAsia="zh-CN"/>
        </w:rPr>
      </w:pPr>
      <w:r>
        <w:rPr>
          <w:rFonts w:ascii="微软雅黑" w:hAnsi="微软雅黑" w:eastAsia="微软雅黑"/>
          <w:color w:val="auto"/>
          <w:lang w:eastAsia="zh-CN"/>
        </w:rPr>
        <w:t>质保期要求</w:t>
      </w:r>
      <w:r>
        <w:rPr>
          <w:rFonts w:hint="eastAsia" w:ascii="微软雅黑" w:hAnsi="微软雅黑" w:eastAsia="微软雅黑"/>
          <w:color w:val="auto"/>
          <w:lang w:eastAsia="zh-CN"/>
        </w:rPr>
        <w:t>：质保期自验收合格之日起18个月。</w:t>
      </w:r>
    </w:p>
    <w:p>
      <w:pPr>
        <w:rPr>
          <w:lang w:eastAsia="zh-CN"/>
        </w:rPr>
      </w:pPr>
      <w:r>
        <w:rPr>
          <w:rFonts w:hint="eastAsia" w:ascii="微软雅黑" w:hAnsi="微软雅黑" w:eastAsia="微软雅黑"/>
          <w:lang w:eastAsia="zh-CN"/>
        </w:rPr>
        <w:t xml:space="preserve">    质保金要求：结算金额5%作为质保金。</w:t>
      </w:r>
    </w:p>
    <w:p>
      <w:pPr>
        <w:pStyle w:val="6"/>
        <w:spacing w:line="257" w:lineRule="auto"/>
        <w:ind w:right="122" w:firstLine="399" w:firstLineChars="190"/>
        <w:rPr>
          <w:rFonts w:hint="eastAsia" w:ascii="微软雅黑" w:hAnsi="微软雅黑" w:eastAsia="微软雅黑"/>
          <w:lang w:eastAsia="zh-CN"/>
        </w:rPr>
      </w:pPr>
      <w:bookmarkStart w:id="6" w:name="_Toc16566078"/>
      <w:bookmarkStart w:id="7" w:name="_Toc15953952"/>
      <w:bookmarkStart w:id="8" w:name="_Toc16571121"/>
      <w:bookmarkStart w:id="9" w:name="_Toc15726817"/>
      <w:bookmarkStart w:id="10" w:name="_Toc15806316"/>
      <w:bookmarkStart w:id="11" w:name="_Toc16494872"/>
      <w:bookmarkStart w:id="12" w:name="_Toc16662890"/>
      <w:bookmarkStart w:id="13" w:name="_Toc16569598"/>
      <w:bookmarkStart w:id="14" w:name="_Toc67086223"/>
      <w:bookmarkStart w:id="15" w:name="_Toc15726647"/>
      <w:bookmarkStart w:id="16" w:name="_Toc17023905"/>
      <w:bookmarkStart w:id="17" w:name="_Toc16477308"/>
      <w:bookmarkStart w:id="18" w:name="_Toc15726472"/>
      <w:bookmarkStart w:id="19" w:name="_Toc16661287"/>
      <w:bookmarkStart w:id="20" w:name="_Toc16850831"/>
      <w:bookmarkStart w:id="21" w:name="_Toc17084862"/>
      <w:bookmarkStart w:id="22" w:name="_Toc15726998"/>
      <w:bookmarkStart w:id="23" w:name="_Toc16570912"/>
      <w:bookmarkStart w:id="24" w:name="_Toc114841549"/>
      <w:bookmarkStart w:id="25" w:name="_Hlk151906674"/>
      <w:r>
        <w:rPr>
          <w:rFonts w:hint="eastAsia"/>
          <w:sz w:val="21"/>
          <w:szCs w:val="21"/>
          <w:lang w:eastAsia="zh-CN"/>
        </w:rPr>
        <w:sym w:font="Wingdings" w:char="00AB"/>
      </w:r>
      <w:r>
        <w:rPr>
          <w:rFonts w:hint="eastAsia" w:ascii="微软雅黑" w:hAnsi="微软雅黑" w:eastAsia="微软雅黑"/>
          <w:lang w:eastAsia="zh-CN"/>
        </w:rPr>
        <w:t>质量保证期</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ascii="微软雅黑" w:hAnsi="微软雅黑" w:eastAsia="微软雅黑"/>
          <w:lang w:eastAsia="zh-CN"/>
        </w:rPr>
        <w:t>：</w:t>
      </w:r>
      <w:bookmarkStart w:id="26" w:name="_Toc16662891"/>
      <w:bookmarkStart w:id="27" w:name="_Toc16850832"/>
      <w:bookmarkStart w:id="28" w:name="_Toc15726818"/>
      <w:bookmarkStart w:id="29" w:name="_Toc16570913"/>
      <w:bookmarkStart w:id="30" w:name="_Toc15806317"/>
      <w:bookmarkStart w:id="31" w:name="_Toc17023906"/>
      <w:bookmarkStart w:id="32" w:name="_Toc114841550"/>
      <w:bookmarkStart w:id="33" w:name="_Toc16566079"/>
      <w:bookmarkStart w:id="34" w:name="_Toc15726648"/>
      <w:bookmarkStart w:id="35" w:name="_Toc15953953"/>
      <w:bookmarkStart w:id="36" w:name="_Toc16571122"/>
      <w:bookmarkStart w:id="37" w:name="_Toc17084863"/>
      <w:bookmarkStart w:id="38" w:name="_Toc15726473"/>
      <w:bookmarkStart w:id="39" w:name="_Toc16477309"/>
      <w:bookmarkStart w:id="40" w:name="_Toc16661288"/>
      <w:bookmarkStart w:id="41" w:name="_Toc15726999"/>
      <w:bookmarkStart w:id="42" w:name="_Toc16569599"/>
      <w:bookmarkStart w:id="43" w:name="_Toc16494873"/>
      <w:r>
        <w:rPr>
          <w:rFonts w:hint="eastAsia" w:ascii="微软雅黑" w:hAnsi="微软雅黑" w:eastAsia="微软雅黑"/>
          <w:lang w:eastAsia="zh-CN"/>
        </w:rPr>
        <w:t>质保期内卖方免费提供设备正常使用情况下的维修及保养服务。质保期内卖方定期派工程师到现场维护和巡查；质保期后，如业主要求，卖方应长期负责有偿优惠维修。。</w:t>
      </w:r>
      <w:bookmarkStart w:id="44" w:name="_Toc67086224"/>
    </w:p>
    <w:p>
      <w:pPr>
        <w:pStyle w:val="6"/>
        <w:spacing w:line="257" w:lineRule="auto"/>
        <w:ind w:right="122" w:firstLine="399" w:firstLineChars="190"/>
        <w:rPr>
          <w:rFonts w:hint="eastAsia" w:ascii="微软雅黑" w:hAnsi="微软雅黑" w:eastAsia="微软雅黑"/>
          <w:lang w:eastAsia="zh-CN"/>
        </w:rPr>
      </w:pPr>
      <w:r>
        <w:rPr>
          <w:rFonts w:hint="eastAsia"/>
          <w:sz w:val="21"/>
          <w:szCs w:val="21"/>
          <w:lang w:eastAsia="zh-CN"/>
        </w:rPr>
        <w:sym w:font="Wingdings" w:char="00AB"/>
      </w:r>
      <w:r>
        <w:rPr>
          <w:rFonts w:hint="eastAsia" w:ascii="微软雅黑" w:hAnsi="微软雅黑" w:eastAsia="微软雅黑"/>
          <w:lang w:eastAsia="zh-CN"/>
        </w:rPr>
        <w:t>服务保障</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微软雅黑" w:hAnsi="微软雅黑" w:eastAsia="微软雅黑"/>
          <w:lang w:eastAsia="zh-CN"/>
        </w:rPr>
        <w:t>：卖方必须有可靠的售后服务保障，能提供正常的技术支持、备品备件供应和维护保养服务。</w:t>
      </w:r>
    </w:p>
    <w:p>
      <w:pPr>
        <w:pStyle w:val="6"/>
        <w:spacing w:line="257" w:lineRule="auto"/>
        <w:ind w:right="122" w:firstLine="399" w:firstLineChars="190"/>
        <w:rPr>
          <w:rFonts w:hint="eastAsia" w:ascii="微软雅黑" w:hAnsi="微软雅黑" w:eastAsia="微软雅黑"/>
          <w:lang w:eastAsia="zh-CN"/>
        </w:rPr>
      </w:pPr>
      <w:bookmarkStart w:id="45" w:name="_Toc16571123"/>
      <w:bookmarkStart w:id="46" w:name="_Toc16566080"/>
      <w:bookmarkStart w:id="47" w:name="_Toc114841551"/>
      <w:bookmarkStart w:id="48" w:name="_Toc15726474"/>
      <w:bookmarkStart w:id="49" w:name="_Toc16661289"/>
      <w:bookmarkStart w:id="50" w:name="_Toc15727000"/>
      <w:bookmarkStart w:id="51" w:name="_Toc16494874"/>
      <w:bookmarkStart w:id="52" w:name="_Toc16662892"/>
      <w:bookmarkStart w:id="53" w:name="_Toc15806318"/>
      <w:bookmarkStart w:id="54" w:name="_Toc15953954"/>
      <w:bookmarkStart w:id="55" w:name="_Toc16850833"/>
      <w:bookmarkStart w:id="56" w:name="_Toc17084864"/>
      <w:bookmarkStart w:id="57" w:name="_Toc67086225"/>
      <w:bookmarkStart w:id="58" w:name="_Toc16570914"/>
      <w:bookmarkStart w:id="59" w:name="_Toc16477310"/>
      <w:bookmarkStart w:id="60" w:name="_Toc15726819"/>
      <w:bookmarkStart w:id="61" w:name="_Toc16569600"/>
      <w:bookmarkStart w:id="62" w:name="_Toc17023907"/>
      <w:bookmarkStart w:id="63" w:name="_Toc15726649"/>
      <w:r>
        <w:rPr>
          <w:rFonts w:hint="eastAsia"/>
          <w:sz w:val="21"/>
          <w:szCs w:val="21"/>
          <w:lang w:eastAsia="zh-CN"/>
        </w:rPr>
        <w:sym w:font="Wingdings" w:char="00AB"/>
      </w:r>
      <w:r>
        <w:rPr>
          <w:rFonts w:hint="eastAsia" w:ascii="微软雅黑" w:hAnsi="微软雅黑" w:eastAsia="微软雅黑"/>
          <w:lang w:eastAsia="zh-CN"/>
        </w:rPr>
        <w:t>服务时间</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微软雅黑" w:hAnsi="微软雅黑" w:eastAsia="微软雅黑"/>
          <w:lang w:eastAsia="zh-CN"/>
        </w:rPr>
        <w:t>：卖方应有24小时服务热线，保证在接到故障通报电话后</w:t>
      </w:r>
      <w:r>
        <w:rPr>
          <w:rFonts w:ascii="微软雅黑" w:hAnsi="微软雅黑" w:eastAsia="微软雅黑"/>
          <w:lang w:eastAsia="zh-CN"/>
        </w:rPr>
        <w:t>2</w:t>
      </w:r>
      <w:r>
        <w:rPr>
          <w:rFonts w:hint="eastAsia" w:ascii="微软雅黑" w:hAnsi="微软雅黑" w:eastAsia="微软雅黑"/>
          <w:lang w:eastAsia="zh-CN"/>
        </w:rPr>
        <w:t>小时内作出响应，需要现场服务的4</w:t>
      </w:r>
      <w:r>
        <w:rPr>
          <w:rFonts w:ascii="微软雅黑" w:hAnsi="微软雅黑" w:eastAsia="微软雅黑"/>
          <w:lang w:eastAsia="zh-CN"/>
        </w:rPr>
        <w:t>8</w:t>
      </w:r>
      <w:r>
        <w:rPr>
          <w:rFonts w:hint="eastAsia" w:ascii="微软雅黑" w:hAnsi="微软雅黑" w:eastAsia="微软雅黑"/>
          <w:lang w:eastAsia="zh-CN"/>
        </w:rPr>
        <w:t>小时内到现场，在合理时间内解决问题。</w:t>
      </w:r>
    </w:p>
    <w:bookmarkEnd w:id="4"/>
    <w:bookmarkEnd w:id="5"/>
    <w:bookmarkEnd w:id="25"/>
    <w:p>
      <w:pPr>
        <w:pStyle w:val="26"/>
        <w:spacing w:before="120" w:after="120"/>
        <w:outlineLvl w:val="0"/>
        <w:rPr>
          <w:rFonts w:hint="eastAsia" w:ascii="微软雅黑" w:hAnsi="微软雅黑" w:eastAsia="微软雅黑" w:cs="Times New Roman"/>
          <w:bCs/>
          <w:color w:val="auto"/>
          <w:sz w:val="32"/>
          <w:szCs w:val="32"/>
        </w:rPr>
      </w:pPr>
      <w:bookmarkStart w:id="64" w:name="_Toc13248931"/>
      <w:bookmarkStart w:id="65" w:name="_Toc13249328"/>
      <w:r>
        <w:rPr>
          <w:rFonts w:hint="eastAsia" w:ascii="微软雅黑" w:hAnsi="微软雅黑" w:eastAsia="微软雅黑" w:cs="Times New Roman"/>
          <w:bCs/>
          <w:color w:val="auto"/>
          <w:sz w:val="32"/>
          <w:szCs w:val="32"/>
        </w:rPr>
        <w:t>十二</w:t>
      </w:r>
      <w:r>
        <w:rPr>
          <w:rFonts w:ascii="微软雅黑" w:hAnsi="微软雅黑" w:eastAsia="微软雅黑" w:cs="Times New Roman"/>
          <w:bCs/>
          <w:color w:val="auto"/>
          <w:sz w:val="32"/>
          <w:szCs w:val="32"/>
        </w:rPr>
        <w:t>、</w:t>
      </w:r>
      <w:r>
        <w:rPr>
          <w:rFonts w:hint="eastAsia" w:ascii="微软雅黑" w:hAnsi="微软雅黑" w:eastAsia="微软雅黑" w:cs="Times New Roman"/>
          <w:bCs/>
          <w:color w:val="auto"/>
          <w:sz w:val="32"/>
          <w:szCs w:val="32"/>
        </w:rPr>
        <w:t>其他</w:t>
      </w:r>
      <w:r>
        <w:rPr>
          <w:rFonts w:ascii="微软雅黑" w:hAnsi="微软雅黑" w:eastAsia="微软雅黑" w:cs="Times New Roman"/>
          <w:bCs/>
          <w:color w:val="auto"/>
          <w:sz w:val="32"/>
          <w:szCs w:val="32"/>
        </w:rPr>
        <w:t>要求</w:t>
      </w:r>
      <w:bookmarkEnd w:id="64"/>
      <w:bookmarkEnd w:id="65"/>
    </w:p>
    <w:p>
      <w:pPr>
        <w:pStyle w:val="6"/>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1、技术联系人：吴多龙，18389660616</w:t>
      </w:r>
    </w:p>
    <w:p>
      <w:pPr>
        <w:pStyle w:val="6"/>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2、付款方式：银行电汇。</w:t>
      </w:r>
    </w:p>
    <w:p>
      <w:pPr>
        <w:pStyle w:val="6"/>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3、付款周期要求，接到发票并提供付款支持材料后，45天内付款。</w:t>
      </w:r>
    </w:p>
    <w:p>
      <w:pPr>
        <w:pStyle w:val="6"/>
        <w:spacing w:line="257" w:lineRule="auto"/>
        <w:ind w:right="121" w:rightChars="55"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4、付款进度：</w:t>
      </w:r>
    </w:p>
    <w:p>
      <w:pPr>
        <w:pStyle w:val="6"/>
        <w:spacing w:line="257" w:lineRule="auto"/>
        <w:ind w:right="121" w:rightChars="55"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（1）卖方在合同规定的期限内将货物运至交货地点，双方开箱检验正常，经买方签字确认验收合格后，卖方向买方提供满足要求的全额增值税专用发票，买方四十五（45）日内向卖方支付合同总价的【95%】；</w:t>
      </w:r>
    </w:p>
    <w:p>
      <w:pPr>
        <w:ind w:firstLine="44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lang w:eastAsia="zh-CN"/>
        </w:rPr>
        <w:t>（2）</w:t>
      </w:r>
      <w:r>
        <w:rPr>
          <w:rFonts w:hint="eastAsia" w:ascii="微软雅黑" w:hAnsi="微软雅黑" w:eastAsia="微软雅黑" w:cs="微软雅黑"/>
          <w:sz w:val="21"/>
          <w:szCs w:val="21"/>
          <w:lang w:eastAsia="zh-CN"/>
        </w:rPr>
        <w:t>质保期满后，卖方向买方提交付款申请及合同金额【5%】的收据，买方四十五（45）日内向卖方支付合同总价的【5%】</w:t>
      </w:r>
      <w:r>
        <w:rPr>
          <w:rFonts w:hint="eastAsia" w:ascii="微软雅黑" w:hAnsi="微软雅黑" w:eastAsia="微软雅黑" w:cs="微软雅黑"/>
          <w:lang w:eastAsia="zh-CN"/>
        </w:rPr>
        <w:t>。</w:t>
      </w:r>
    </w:p>
    <w:p>
      <w:pPr>
        <w:widowControl/>
        <w:rPr>
          <w:kern w:val="2"/>
          <w:sz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0A682"/>
    <w:multiLevelType w:val="singleLevel"/>
    <w:tmpl w:val="D560A682"/>
    <w:lvl w:ilvl="0" w:tentative="0">
      <w:start w:val="4"/>
      <w:numFmt w:val="decimal"/>
      <w:suff w:val="space"/>
      <w:lvlText w:val="%1."/>
      <w:lvlJc w:val="left"/>
    </w:lvl>
  </w:abstractNum>
  <w:abstractNum w:abstractNumId="1">
    <w:nsid w:val="FDEA85E2"/>
    <w:multiLevelType w:val="singleLevel"/>
    <w:tmpl w:val="FDEA85E2"/>
    <w:lvl w:ilvl="0" w:tentative="0">
      <w:start w:val="1"/>
      <w:numFmt w:val="decimal"/>
      <w:lvlText w:val="%1."/>
      <w:lvlJc w:val="left"/>
      <w:pPr>
        <w:ind w:left="425" w:hanging="425"/>
      </w:pPr>
      <w:rPr>
        <w:rFonts w:hint="default"/>
      </w:rPr>
    </w:lvl>
  </w:abstractNum>
  <w:abstractNum w:abstractNumId="2">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MmU4MmJkN2EzMDBiZTIzOTUzMjg1M2Y0Y2VhMzIifQ=="/>
  </w:docVars>
  <w:rsids>
    <w:rsidRoot w:val="001644CF"/>
    <w:rsid w:val="0000572C"/>
    <w:rsid w:val="00015CC7"/>
    <w:rsid w:val="00055FDF"/>
    <w:rsid w:val="0009050D"/>
    <w:rsid w:val="000E7DCA"/>
    <w:rsid w:val="001323F9"/>
    <w:rsid w:val="001644CF"/>
    <w:rsid w:val="001B3054"/>
    <w:rsid w:val="001C0975"/>
    <w:rsid w:val="00223923"/>
    <w:rsid w:val="00255671"/>
    <w:rsid w:val="00291AC4"/>
    <w:rsid w:val="00296D9D"/>
    <w:rsid w:val="002A2EAC"/>
    <w:rsid w:val="002B756F"/>
    <w:rsid w:val="002D753E"/>
    <w:rsid w:val="002E2797"/>
    <w:rsid w:val="003132FA"/>
    <w:rsid w:val="00316452"/>
    <w:rsid w:val="00335848"/>
    <w:rsid w:val="00367E0B"/>
    <w:rsid w:val="0037391E"/>
    <w:rsid w:val="00397269"/>
    <w:rsid w:val="004020A3"/>
    <w:rsid w:val="004077E1"/>
    <w:rsid w:val="004236F4"/>
    <w:rsid w:val="004C178B"/>
    <w:rsid w:val="004D2468"/>
    <w:rsid w:val="004E0DAE"/>
    <w:rsid w:val="00547F6F"/>
    <w:rsid w:val="005C1CC9"/>
    <w:rsid w:val="005C6578"/>
    <w:rsid w:val="0060078E"/>
    <w:rsid w:val="00676B55"/>
    <w:rsid w:val="0069154A"/>
    <w:rsid w:val="006D5366"/>
    <w:rsid w:val="00706FF6"/>
    <w:rsid w:val="00723A5A"/>
    <w:rsid w:val="00740D9E"/>
    <w:rsid w:val="00753CBD"/>
    <w:rsid w:val="0076111A"/>
    <w:rsid w:val="00767FC6"/>
    <w:rsid w:val="0078770E"/>
    <w:rsid w:val="00834BD4"/>
    <w:rsid w:val="00852B10"/>
    <w:rsid w:val="00857686"/>
    <w:rsid w:val="00864AEC"/>
    <w:rsid w:val="008A30AE"/>
    <w:rsid w:val="008D107A"/>
    <w:rsid w:val="008F0F7B"/>
    <w:rsid w:val="008F1C83"/>
    <w:rsid w:val="009824EA"/>
    <w:rsid w:val="009B54BE"/>
    <w:rsid w:val="009C2FD5"/>
    <w:rsid w:val="00A2514C"/>
    <w:rsid w:val="00A8052C"/>
    <w:rsid w:val="00AF5B72"/>
    <w:rsid w:val="00B051FB"/>
    <w:rsid w:val="00B10F50"/>
    <w:rsid w:val="00B15418"/>
    <w:rsid w:val="00B324F3"/>
    <w:rsid w:val="00B56245"/>
    <w:rsid w:val="00B56A52"/>
    <w:rsid w:val="00BE3C84"/>
    <w:rsid w:val="00C55808"/>
    <w:rsid w:val="00C61DB8"/>
    <w:rsid w:val="00C74A9D"/>
    <w:rsid w:val="00CE1FC9"/>
    <w:rsid w:val="00CF5864"/>
    <w:rsid w:val="00D50E01"/>
    <w:rsid w:val="00D71F6F"/>
    <w:rsid w:val="00E30386"/>
    <w:rsid w:val="00E53CCA"/>
    <w:rsid w:val="00E63808"/>
    <w:rsid w:val="00E87CFE"/>
    <w:rsid w:val="00EF142B"/>
    <w:rsid w:val="00F22A9E"/>
    <w:rsid w:val="00FD2EA2"/>
    <w:rsid w:val="02996215"/>
    <w:rsid w:val="02FE0C2D"/>
    <w:rsid w:val="031F0BE5"/>
    <w:rsid w:val="04043713"/>
    <w:rsid w:val="050C42D8"/>
    <w:rsid w:val="056D25BA"/>
    <w:rsid w:val="05BE3D95"/>
    <w:rsid w:val="06A944DA"/>
    <w:rsid w:val="07034156"/>
    <w:rsid w:val="07844961"/>
    <w:rsid w:val="07A920E0"/>
    <w:rsid w:val="07EA0493"/>
    <w:rsid w:val="08051A37"/>
    <w:rsid w:val="0A002BCE"/>
    <w:rsid w:val="0A375E59"/>
    <w:rsid w:val="0A65207F"/>
    <w:rsid w:val="0AB04E98"/>
    <w:rsid w:val="0B5219C8"/>
    <w:rsid w:val="0C136D81"/>
    <w:rsid w:val="0CC26460"/>
    <w:rsid w:val="0CE92E27"/>
    <w:rsid w:val="0D820D93"/>
    <w:rsid w:val="0DEE0F90"/>
    <w:rsid w:val="0E89001D"/>
    <w:rsid w:val="0EBF1F8F"/>
    <w:rsid w:val="0EFC56A5"/>
    <w:rsid w:val="0F4C5F6E"/>
    <w:rsid w:val="10426A38"/>
    <w:rsid w:val="109776BD"/>
    <w:rsid w:val="10A800F7"/>
    <w:rsid w:val="1186384C"/>
    <w:rsid w:val="11B17BF5"/>
    <w:rsid w:val="11C67EB9"/>
    <w:rsid w:val="14DE5ECD"/>
    <w:rsid w:val="14E9425E"/>
    <w:rsid w:val="14FA380C"/>
    <w:rsid w:val="14FC1AFD"/>
    <w:rsid w:val="163547BD"/>
    <w:rsid w:val="163D388B"/>
    <w:rsid w:val="16931D91"/>
    <w:rsid w:val="16B75197"/>
    <w:rsid w:val="17D2722C"/>
    <w:rsid w:val="18AC12E8"/>
    <w:rsid w:val="1A0C4C78"/>
    <w:rsid w:val="1A414FE6"/>
    <w:rsid w:val="1A8E2F23"/>
    <w:rsid w:val="1B8975EE"/>
    <w:rsid w:val="1B8D2DC6"/>
    <w:rsid w:val="1D8E0B73"/>
    <w:rsid w:val="1D9546FF"/>
    <w:rsid w:val="1DA446DA"/>
    <w:rsid w:val="1F835531"/>
    <w:rsid w:val="203647FC"/>
    <w:rsid w:val="20FD2D5C"/>
    <w:rsid w:val="211808D1"/>
    <w:rsid w:val="220646A2"/>
    <w:rsid w:val="224867F4"/>
    <w:rsid w:val="22E76282"/>
    <w:rsid w:val="239922E2"/>
    <w:rsid w:val="24730251"/>
    <w:rsid w:val="24D74DFF"/>
    <w:rsid w:val="2573204F"/>
    <w:rsid w:val="26796C30"/>
    <w:rsid w:val="270E3873"/>
    <w:rsid w:val="28CC1A9B"/>
    <w:rsid w:val="28D47686"/>
    <w:rsid w:val="29235B3A"/>
    <w:rsid w:val="293B0155"/>
    <w:rsid w:val="29BD337A"/>
    <w:rsid w:val="2B6C7ACB"/>
    <w:rsid w:val="2BA370CB"/>
    <w:rsid w:val="2D925252"/>
    <w:rsid w:val="2DB94CBF"/>
    <w:rsid w:val="2DC810BF"/>
    <w:rsid w:val="305854DC"/>
    <w:rsid w:val="3210636A"/>
    <w:rsid w:val="32237852"/>
    <w:rsid w:val="32A058A2"/>
    <w:rsid w:val="32D02BEB"/>
    <w:rsid w:val="32E67131"/>
    <w:rsid w:val="33C06DA7"/>
    <w:rsid w:val="340D629C"/>
    <w:rsid w:val="34451B3C"/>
    <w:rsid w:val="346C285D"/>
    <w:rsid w:val="34A71D15"/>
    <w:rsid w:val="34E275EB"/>
    <w:rsid w:val="3551167B"/>
    <w:rsid w:val="355377A7"/>
    <w:rsid w:val="35753BC1"/>
    <w:rsid w:val="37FF4F52"/>
    <w:rsid w:val="384A33A8"/>
    <w:rsid w:val="38993243"/>
    <w:rsid w:val="38C46A93"/>
    <w:rsid w:val="39B06F76"/>
    <w:rsid w:val="3A301503"/>
    <w:rsid w:val="3A6B7341"/>
    <w:rsid w:val="3CA71DDF"/>
    <w:rsid w:val="3D196AA0"/>
    <w:rsid w:val="401977DF"/>
    <w:rsid w:val="401C3B3D"/>
    <w:rsid w:val="402737B8"/>
    <w:rsid w:val="407A601E"/>
    <w:rsid w:val="40D048E5"/>
    <w:rsid w:val="40E2269E"/>
    <w:rsid w:val="41834389"/>
    <w:rsid w:val="41AA563E"/>
    <w:rsid w:val="41AD15F9"/>
    <w:rsid w:val="41FC089C"/>
    <w:rsid w:val="4568612B"/>
    <w:rsid w:val="46337C01"/>
    <w:rsid w:val="46342C38"/>
    <w:rsid w:val="464A3D8B"/>
    <w:rsid w:val="48006ED5"/>
    <w:rsid w:val="48A217B6"/>
    <w:rsid w:val="49004DA6"/>
    <w:rsid w:val="490C0B1F"/>
    <w:rsid w:val="4B6B4C49"/>
    <w:rsid w:val="4C1D0A66"/>
    <w:rsid w:val="4C7279FA"/>
    <w:rsid w:val="4C843CEA"/>
    <w:rsid w:val="4CC732A2"/>
    <w:rsid w:val="4D16138E"/>
    <w:rsid w:val="4EF05565"/>
    <w:rsid w:val="4EF27CEE"/>
    <w:rsid w:val="50013B2E"/>
    <w:rsid w:val="500243D3"/>
    <w:rsid w:val="509B2F99"/>
    <w:rsid w:val="50E83041"/>
    <w:rsid w:val="51391ED1"/>
    <w:rsid w:val="513C04F9"/>
    <w:rsid w:val="51B3467D"/>
    <w:rsid w:val="52491C87"/>
    <w:rsid w:val="527A5743"/>
    <w:rsid w:val="528817F3"/>
    <w:rsid w:val="53135DB8"/>
    <w:rsid w:val="53C91B70"/>
    <w:rsid w:val="54606E7B"/>
    <w:rsid w:val="54FE0D7E"/>
    <w:rsid w:val="57DC494D"/>
    <w:rsid w:val="58016335"/>
    <w:rsid w:val="59FE2AD8"/>
    <w:rsid w:val="5A864B12"/>
    <w:rsid w:val="5ACB7D97"/>
    <w:rsid w:val="5B2B529F"/>
    <w:rsid w:val="5B3C59DB"/>
    <w:rsid w:val="5B6149FC"/>
    <w:rsid w:val="5BB60E5B"/>
    <w:rsid w:val="5BCA5525"/>
    <w:rsid w:val="5C8F2968"/>
    <w:rsid w:val="5CC97B56"/>
    <w:rsid w:val="5CE36C6A"/>
    <w:rsid w:val="5E363A31"/>
    <w:rsid w:val="5E710B1A"/>
    <w:rsid w:val="5EA23AF0"/>
    <w:rsid w:val="5F620D51"/>
    <w:rsid w:val="5FD924D3"/>
    <w:rsid w:val="61580343"/>
    <w:rsid w:val="61592294"/>
    <w:rsid w:val="61E5180E"/>
    <w:rsid w:val="620D2274"/>
    <w:rsid w:val="62385432"/>
    <w:rsid w:val="628A68EB"/>
    <w:rsid w:val="62D519F5"/>
    <w:rsid w:val="639C1186"/>
    <w:rsid w:val="64BC5151"/>
    <w:rsid w:val="64EF013A"/>
    <w:rsid w:val="663568D1"/>
    <w:rsid w:val="67284F32"/>
    <w:rsid w:val="678216A2"/>
    <w:rsid w:val="678C0EF7"/>
    <w:rsid w:val="67ED628D"/>
    <w:rsid w:val="684B657D"/>
    <w:rsid w:val="6889198F"/>
    <w:rsid w:val="68DE1099"/>
    <w:rsid w:val="69333D5D"/>
    <w:rsid w:val="69C95F5E"/>
    <w:rsid w:val="6A5C56BC"/>
    <w:rsid w:val="6CC42F7D"/>
    <w:rsid w:val="6CC77E10"/>
    <w:rsid w:val="6D467CD3"/>
    <w:rsid w:val="6F5A4CB2"/>
    <w:rsid w:val="6F917C18"/>
    <w:rsid w:val="6FDB76D2"/>
    <w:rsid w:val="71DE606F"/>
    <w:rsid w:val="72954DB0"/>
    <w:rsid w:val="72C33676"/>
    <w:rsid w:val="73F531FC"/>
    <w:rsid w:val="73FE3965"/>
    <w:rsid w:val="7443214A"/>
    <w:rsid w:val="74624D35"/>
    <w:rsid w:val="748D1686"/>
    <w:rsid w:val="74B57393"/>
    <w:rsid w:val="75DF4A93"/>
    <w:rsid w:val="76375D4D"/>
    <w:rsid w:val="765661D4"/>
    <w:rsid w:val="768A40CF"/>
    <w:rsid w:val="77F06286"/>
    <w:rsid w:val="78EA61E9"/>
    <w:rsid w:val="7AD75FBE"/>
    <w:rsid w:val="7B2C222B"/>
    <w:rsid w:val="7B322C9F"/>
    <w:rsid w:val="7CBC6FAC"/>
    <w:rsid w:val="7DFC554C"/>
    <w:rsid w:val="7EBF62E4"/>
    <w:rsid w:val="7EDC7492"/>
    <w:rsid w:val="7FB2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link w:val="27"/>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lang w:val="zh-CN" w:eastAsia="zh-CN"/>
    </w:rPr>
  </w:style>
  <w:style w:type="paragraph" w:styleId="4">
    <w:name w:val="heading 2"/>
    <w:basedOn w:val="1"/>
    <w:next w:val="1"/>
    <w:link w:val="21"/>
    <w:qFormat/>
    <w:uiPriority w:val="1"/>
    <w:pPr>
      <w:spacing w:line="479" w:lineRule="exact"/>
      <w:outlineLvl w:val="1"/>
    </w:pPr>
    <w:rPr>
      <w:rFonts w:ascii="Microsoft YaHei UI" w:hAnsi="Microsoft YaHei UI" w:eastAsia="Microsoft YaHei UI"/>
      <w:spacing w:val="2"/>
      <w:sz w:val="32"/>
      <w:szCs w:val="32"/>
      <w:lang w:eastAsia="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keepNext w:val="0"/>
    </w:pPr>
    <w:rPr>
      <w:rFonts w:ascii="宋体" w:hAnsi="Courier New" w:eastAsia="宋体" w:cs="Courier New"/>
      <w:szCs w:val="21"/>
    </w:rPr>
  </w:style>
  <w:style w:type="paragraph" w:styleId="5">
    <w:name w:val="annotation text"/>
    <w:basedOn w:val="1"/>
    <w:semiHidden/>
    <w:unhideWhenUsed/>
    <w:qFormat/>
    <w:uiPriority w:val="99"/>
  </w:style>
  <w:style w:type="paragraph" w:styleId="6">
    <w:name w:val="Body Text"/>
    <w:basedOn w:val="1"/>
    <w:next w:val="1"/>
    <w:link w:val="23"/>
    <w:qFormat/>
    <w:uiPriority w:val="1"/>
    <w:pPr>
      <w:ind w:firstLine="200" w:firstLineChars="200"/>
      <w:jc w:val="both"/>
    </w:pPr>
    <w:rPr>
      <w:rFonts w:ascii="Microsoft YaHei UI" w:hAnsi="Microsoft YaHei UI" w:eastAsia="Microsoft YaHei UI"/>
      <w:sz w:val="21"/>
      <w:szCs w:val="21"/>
    </w:rPr>
  </w:style>
  <w:style w:type="paragraph" w:styleId="7">
    <w:name w:val="Body Text Indent"/>
    <w:basedOn w:val="1"/>
    <w:qFormat/>
    <w:uiPriority w:val="0"/>
    <w:pPr>
      <w:autoSpaceDE w:val="0"/>
      <w:autoSpaceDN w:val="0"/>
      <w:adjustRightInd w:val="0"/>
      <w:spacing w:line="360" w:lineRule="auto"/>
      <w:ind w:firstLine="540"/>
    </w:pPr>
    <w:rPr>
      <w:rFonts w:ascii="仿宋_GB2312" w:eastAsia="仿宋_GB2312"/>
      <w:color w:val="000000"/>
      <w:sz w:val="28"/>
      <w:szCs w:val="24"/>
    </w:rPr>
  </w:style>
  <w:style w:type="paragraph" w:styleId="8">
    <w:name w:val="toc 3"/>
    <w:basedOn w:val="1"/>
    <w:next w:val="1"/>
    <w:unhideWhenUsed/>
    <w:qFormat/>
    <w:uiPriority w:val="39"/>
    <w:pPr>
      <w:widowControl/>
      <w:spacing w:after="100" w:line="259" w:lineRule="auto"/>
      <w:ind w:left="440"/>
    </w:pPr>
    <w:rPr>
      <w:rFonts w:cs="Times New Roman"/>
      <w:lang w:eastAsia="zh-CN"/>
    </w:rPr>
  </w:style>
  <w:style w:type="paragraph" w:styleId="9">
    <w:name w:val="Balloon Text"/>
    <w:basedOn w:val="1"/>
    <w:link w:val="33"/>
    <w:semiHidden/>
    <w:unhideWhenUsed/>
    <w:qFormat/>
    <w:uiPriority w:val="99"/>
    <w:rPr>
      <w:sz w:val="18"/>
      <w:szCs w:val="18"/>
    </w:rPr>
  </w:style>
  <w:style w:type="paragraph" w:styleId="10">
    <w:name w:val="footer"/>
    <w:basedOn w:val="1"/>
    <w:link w:val="32"/>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pPr>
    <w:rPr>
      <w:rFonts w:cs="Times New Roman"/>
      <w:lang w:eastAsia="zh-CN"/>
    </w:rPr>
  </w:style>
  <w:style w:type="paragraph" w:styleId="13">
    <w:name w:val="table of figures"/>
    <w:basedOn w:val="1"/>
    <w:next w:val="1"/>
    <w:qFormat/>
    <w:uiPriority w:val="0"/>
    <w:pPr>
      <w:ind w:left="200" w:leftChars="200" w:hanging="200" w:hangingChars="200"/>
    </w:p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before="0" w:after="0" w:line="240" w:lineRule="auto"/>
      <w:ind w:left="1080" w:leftChars="500" w:hanging="1080" w:hangingChars="500"/>
    </w:pPr>
    <w:rPr>
      <w:rFonts w:ascii="Cambria" w:hAnsi="Cambria"/>
      <w:kern w:val="2"/>
      <w:sz w:val="21"/>
      <w:szCs w:val="22"/>
    </w:rPr>
  </w:style>
  <w:style w:type="paragraph" w:styleId="15">
    <w:name w:val="Normal (Web)"/>
    <w:basedOn w:val="1"/>
    <w:semiHidden/>
    <w:unhideWhenUsed/>
    <w:qFormat/>
    <w:uiPriority w:val="99"/>
    <w:rPr>
      <w:sz w:val="24"/>
    </w:rPr>
  </w:style>
  <w:style w:type="paragraph" w:styleId="16">
    <w:name w:val="Body Text First Indent 2"/>
    <w:basedOn w:val="7"/>
    <w:qFormat/>
    <w:uiPriority w:val="0"/>
    <w:pPr>
      <w:widowControl/>
      <w:ind w:firstLine="420"/>
    </w:pPr>
    <w:rPr>
      <w:rFonts w:ascii="等线" w:hAnsi="等线" w:eastAsia="等线"/>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semiHidden/>
    <w:unhideWhenUsed/>
    <w:qFormat/>
    <w:uiPriority w:val="99"/>
    <w:rPr>
      <w:color w:val="0000FF"/>
      <w:u w:val="single"/>
    </w:rPr>
  </w:style>
  <w:style w:type="character" w:customStyle="1" w:styleId="21">
    <w:name w:val="标题 2 字符"/>
    <w:basedOn w:val="19"/>
    <w:link w:val="4"/>
    <w:qFormat/>
    <w:uiPriority w:val="1"/>
    <w:rPr>
      <w:rFonts w:ascii="Microsoft YaHei UI" w:hAnsi="Microsoft YaHei UI" w:eastAsia="Microsoft YaHei UI"/>
      <w:spacing w:val="2"/>
      <w:kern w:val="0"/>
      <w:sz w:val="32"/>
      <w:szCs w:val="32"/>
    </w:rPr>
  </w:style>
  <w:style w:type="table" w:customStyle="1" w:styleId="22">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3">
    <w:name w:val="正文文本 字符"/>
    <w:basedOn w:val="19"/>
    <w:link w:val="6"/>
    <w:qFormat/>
    <w:uiPriority w:val="1"/>
    <w:rPr>
      <w:rFonts w:ascii="Microsoft YaHei UI" w:hAnsi="Microsoft YaHei UI" w:eastAsia="Microsoft YaHei UI"/>
      <w:kern w:val="0"/>
      <w:szCs w:val="21"/>
      <w:lang w:eastAsia="en-US"/>
    </w:rPr>
  </w:style>
  <w:style w:type="paragraph" w:customStyle="1" w:styleId="24">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Table Paragraph"/>
    <w:basedOn w:val="1"/>
    <w:qFormat/>
    <w:uiPriority w:val="1"/>
  </w:style>
  <w:style w:type="paragraph" w:customStyle="1" w:styleId="2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7">
    <w:name w:val="标题 1 字符"/>
    <w:basedOn w:val="19"/>
    <w:link w:val="3"/>
    <w:qFormat/>
    <w:uiPriority w:val="0"/>
    <w:rPr>
      <w:rFonts w:ascii="Times New Roman" w:hAnsi="Times New Roman" w:eastAsia="宋体" w:cs="Times New Roman"/>
      <w:b/>
      <w:bCs/>
      <w:kern w:val="44"/>
      <w:sz w:val="44"/>
      <w:szCs w:val="44"/>
      <w:lang w:val="zh-CN" w:eastAsia="zh-CN"/>
    </w:rPr>
  </w:style>
  <w:style w:type="paragraph" w:styleId="28">
    <w:name w:val="List Paragraph"/>
    <w:basedOn w:val="1"/>
    <w:qFormat/>
    <w:uiPriority w:val="34"/>
    <w:pPr>
      <w:ind w:firstLine="420" w:firstLineChars="200"/>
    </w:pPr>
  </w:style>
  <w:style w:type="paragraph" w:customStyle="1" w:styleId="29">
    <w:name w:val="列出段落1"/>
    <w:basedOn w:val="1"/>
    <w:qFormat/>
    <w:uiPriority w:val="34"/>
    <w:pPr>
      <w:ind w:firstLine="420" w:firstLineChars="200"/>
      <w:jc w:val="both"/>
    </w:pPr>
    <w:rPr>
      <w:rFonts w:ascii="Calibri" w:hAnsi="Calibri" w:eastAsia="宋体" w:cs="Times New Roman"/>
      <w:kern w:val="2"/>
      <w:sz w:val="21"/>
      <w:lang w:eastAsia="zh-CN"/>
    </w:rPr>
  </w:style>
  <w:style w:type="paragraph" w:customStyle="1" w:styleId="30">
    <w:name w:val="设计正文2"/>
    <w:basedOn w:val="1"/>
    <w:qFormat/>
    <w:uiPriority w:val="0"/>
    <w:pPr>
      <w:snapToGrid w:val="0"/>
      <w:spacing w:before="160" w:line="320" w:lineRule="atLeast"/>
      <w:jc w:val="both"/>
    </w:pPr>
    <w:rPr>
      <w:rFonts w:ascii="Times New Roman" w:hAnsi="Times New Roman" w:eastAsia="宋体" w:cs="Times New Roman"/>
      <w:kern w:val="2"/>
      <w:sz w:val="24"/>
      <w:szCs w:val="20"/>
      <w:lang w:eastAsia="zh-CN"/>
    </w:rPr>
  </w:style>
  <w:style w:type="character" w:customStyle="1" w:styleId="31">
    <w:name w:val="页眉 字符"/>
    <w:basedOn w:val="19"/>
    <w:link w:val="11"/>
    <w:qFormat/>
    <w:uiPriority w:val="99"/>
    <w:rPr>
      <w:kern w:val="0"/>
      <w:sz w:val="18"/>
      <w:szCs w:val="18"/>
      <w:lang w:eastAsia="en-US"/>
    </w:rPr>
  </w:style>
  <w:style w:type="character" w:customStyle="1" w:styleId="32">
    <w:name w:val="页脚 字符"/>
    <w:basedOn w:val="19"/>
    <w:link w:val="10"/>
    <w:qFormat/>
    <w:uiPriority w:val="99"/>
    <w:rPr>
      <w:kern w:val="0"/>
      <w:sz w:val="18"/>
      <w:szCs w:val="18"/>
      <w:lang w:eastAsia="en-US"/>
    </w:rPr>
  </w:style>
  <w:style w:type="character" w:customStyle="1" w:styleId="33">
    <w:name w:val="批注框文本 字符"/>
    <w:basedOn w:val="19"/>
    <w:link w:val="9"/>
    <w:semiHidden/>
    <w:qFormat/>
    <w:uiPriority w:val="99"/>
    <w:rPr>
      <w:kern w:val="0"/>
      <w:sz w:val="18"/>
      <w:szCs w:val="18"/>
      <w:lang w:eastAsia="en-US"/>
    </w:rPr>
  </w:style>
  <w:style w:type="character" w:customStyle="1" w:styleId="34">
    <w:name w:val="font21"/>
    <w:basedOn w:val="19"/>
    <w:qFormat/>
    <w:uiPriority w:val="0"/>
    <w:rPr>
      <w:rFonts w:hint="eastAsia" w:ascii="微软雅黑" w:hAnsi="微软雅黑" w:eastAsia="微软雅黑" w:cs="微软雅黑"/>
      <w:color w:val="000000"/>
      <w:sz w:val="18"/>
      <w:szCs w:val="18"/>
      <w:u w:val="none"/>
    </w:rPr>
  </w:style>
  <w:style w:type="character" w:customStyle="1" w:styleId="35">
    <w:name w:val="font31"/>
    <w:basedOn w:val="19"/>
    <w:qFormat/>
    <w:uiPriority w:val="0"/>
    <w:rPr>
      <w:rFonts w:hint="default" w:ascii="Times New Roman" w:hAnsi="Times New Roman" w:cs="Times New Roman"/>
      <w:color w:val="000000"/>
      <w:sz w:val="18"/>
      <w:szCs w:val="18"/>
      <w:u w:val="none"/>
    </w:rPr>
  </w:style>
  <w:style w:type="paragraph" w:customStyle="1" w:styleId="36">
    <w:name w:val="默认段落字体 Para Char"/>
    <w:basedOn w:val="37"/>
    <w:qFormat/>
    <w:uiPriority w:val="0"/>
    <w:pPr>
      <w:ind w:firstLine="480" w:firstLineChars="200"/>
    </w:pPr>
    <w:rPr>
      <w:rFonts w:ascii="宋体" w:eastAsia="楷体_GB2312"/>
      <w:sz w:val="24"/>
      <w:szCs w:val="21"/>
    </w:rPr>
  </w:style>
  <w:style w:type="paragraph" w:customStyle="1" w:styleId="37">
    <w:name w:val="正文_1"/>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705</Words>
  <Characters>4023</Characters>
  <Lines>33</Lines>
  <Paragraphs>9</Paragraphs>
  <TotalTime>11</TotalTime>
  <ScaleCrop>false</ScaleCrop>
  <LinksUpToDate>false</LinksUpToDate>
  <CharactersWithSpaces>4719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2019-08-21T07:58:00Z</dcterms:created>
  <dc:creator>王琴</dc:creator>
  <cp:lastModifiedBy>user</cp:lastModifiedBy>
  <cp:lastPrinted>2024-09-11T10:20:00Z</cp:lastPrinted>
  <dcterms:modified xsi:type="dcterms:W3CDTF">2025-09-15T05:02:33Z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8EDF874FAEF449C3B35CA2006A1BAEC2_13</vt:lpwstr>
  </property>
  <property fmtid="{D5CDD505-2E9C-101B-9397-08002B2CF9AE}" pid="4" name="KSOTemplateDocerSaveRecord">
    <vt:lpwstr>eyJoZGlkIjoiMThkMzJmYWY1YjUzZjcwYThiMTFkMGUyZWRhNjM5ZmQiLCJ1c2VySWQiOiIxMjA0NjY3MDA2In0=</vt:lpwstr>
  </property>
</Properties>
</file>