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黑体" w:hAnsi="黑体" w:eastAsia="黑体" w:cstheme="minorEastAsia"/>
          <w:sz w:val="28"/>
          <w:szCs w:val="21"/>
          <w:lang w:eastAsia="zh-CN"/>
        </w:rPr>
      </w:pPr>
      <w:bookmarkStart w:id="0" w:name="_Toc160"/>
      <w:bookmarkStart w:id="27" w:name="_GoBack"/>
      <w:bookmarkEnd w:id="27"/>
      <w:r>
        <w:rPr>
          <w:rFonts w:hint="eastAsia" w:ascii="黑体" w:hAnsi="黑体" w:eastAsia="黑体" w:cstheme="minorEastAsia"/>
          <w:sz w:val="28"/>
          <w:szCs w:val="21"/>
          <w:lang w:val="en-US" w:eastAsia="zh-CN"/>
        </w:rPr>
        <w:t>普瑞工程2023年工业水及阀水冷系统检修技术服务采购项目</w:t>
      </w:r>
    </w:p>
    <w:p>
      <w:pPr>
        <w:adjustRightInd w:val="0"/>
        <w:snapToGrid w:val="0"/>
        <w:jc w:val="center"/>
        <w:rPr>
          <w:rFonts w:ascii="黑体" w:hAnsi="黑体" w:eastAsia="黑体" w:cstheme="minorEastAsia"/>
          <w:sz w:val="28"/>
          <w:szCs w:val="21"/>
        </w:rPr>
      </w:pPr>
      <w:r>
        <w:rPr>
          <w:rFonts w:hint="eastAsia" w:ascii="黑体" w:hAnsi="黑体" w:eastAsia="黑体" w:cstheme="minorEastAsia"/>
          <w:sz w:val="28"/>
          <w:szCs w:val="21"/>
        </w:rPr>
        <w:t>采购公告</w:t>
      </w:r>
      <w:bookmarkEnd w:id="0"/>
    </w:p>
    <w:p>
      <w:pPr>
        <w:adjustRightInd w:val="0"/>
        <w:snapToGrid w:val="0"/>
        <w:jc w:val="center"/>
        <w:rPr>
          <w:rFonts w:hint="eastAsia" w:ascii="黑体" w:hAnsi="黑体" w:eastAsia="黑体" w:cstheme="minorEastAsia"/>
          <w:sz w:val="24"/>
          <w:szCs w:val="21"/>
          <w:lang w:eastAsia="zh-CN"/>
        </w:rPr>
      </w:pPr>
      <w:r>
        <w:rPr>
          <w:rFonts w:hint="eastAsia" w:ascii="黑体" w:hAnsi="黑体" w:eastAsia="黑体" w:cstheme="minorEastAsia"/>
          <w:sz w:val="24"/>
          <w:szCs w:val="21"/>
        </w:rPr>
        <w:t>采购编号：</w:t>
      </w:r>
      <w:r>
        <w:rPr>
          <w:rFonts w:hint="eastAsia" w:ascii="黑体" w:hAnsi="黑体" w:eastAsia="黑体" w:cstheme="minorEastAsia"/>
          <w:sz w:val="24"/>
          <w:szCs w:val="21"/>
          <w:lang w:eastAsia="zh-CN"/>
        </w:rPr>
        <w:t>NARI-PRGC-THV22-202312001</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1" w:name="_Toc7788"/>
      <w:bookmarkStart w:id="2" w:name="_Toc11488"/>
      <w:bookmarkStart w:id="3" w:name="_Toc62566117"/>
      <w:r>
        <w:rPr>
          <w:rFonts w:hint="eastAsia" w:ascii="黑体" w:eastAsia="黑体" w:hAnsiTheme="majorHAnsi" w:cstheme="majorBidi"/>
          <w:b/>
          <w:kern w:val="0"/>
          <w:sz w:val="24"/>
          <w:lang w:bidi="en-US"/>
        </w:rPr>
        <w:t>1.采购条件</w:t>
      </w:r>
      <w:bookmarkEnd w:id="1"/>
      <w:bookmarkEnd w:id="2"/>
      <w:bookmarkEnd w:id="3"/>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本项目采购人为</w:t>
      </w:r>
      <w:r>
        <w:rPr>
          <w:rFonts w:hint="eastAsia" w:ascii="宋体" w:hAnsi="宋体"/>
          <w:color w:val="000000" w:themeColor="text1"/>
          <w:lang w:eastAsia="zh-CN"/>
          <w14:textFill>
            <w14:solidFill>
              <w14:schemeClr w14:val="tx1"/>
            </w14:solidFill>
          </w14:textFill>
        </w:rPr>
        <w:t>中电普瑞电力工程有限公司</w:t>
      </w:r>
      <w:r>
        <w:rPr>
          <w:rFonts w:hint="eastAsia" w:ascii="宋体" w:hAnsi="宋体"/>
          <w:color w:val="000000" w:themeColor="text1"/>
          <w14:textFill>
            <w14:solidFill>
              <w14:schemeClr w14:val="tx1"/>
            </w14:solidFill>
          </w14:textFill>
        </w:rPr>
        <w:t>（以下简称“项目单位”），项目资金来自企业自有资金，并委托天恒招标有限公司为采购代理机构。项目已具备采购条件，现对该项目进行公开竞争性谈判采购。</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本项目积极响应《中共中央国务院关于开展质量提升行动的指导意见》，倡导潜在应答人用先进标准引领服务质量提升，有效治理质量突出问题，推动形成优质优价的采购机制。</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4" w:name="_Toc31701"/>
      <w:bookmarkStart w:id="5" w:name="_Toc15047"/>
      <w:bookmarkStart w:id="6" w:name="_Toc62566118"/>
      <w:r>
        <w:rPr>
          <w:rFonts w:hint="eastAsia" w:ascii="黑体" w:eastAsia="黑体" w:hAnsiTheme="majorHAnsi" w:cstheme="majorBidi"/>
          <w:b/>
          <w:kern w:val="0"/>
          <w:sz w:val="24"/>
          <w:lang w:bidi="en-US"/>
        </w:rPr>
        <w:t>2.采购范围</w:t>
      </w:r>
      <w:bookmarkEnd w:id="4"/>
      <w:bookmarkEnd w:id="5"/>
      <w:bookmarkEnd w:id="6"/>
    </w:p>
    <w:p>
      <w:pPr>
        <w:adjustRightInd w:val="0"/>
        <w:snapToGrid w:val="0"/>
        <w:spacing w:line="360" w:lineRule="auto"/>
        <w:ind w:firstLine="420" w:firstLineChars="200"/>
        <w:rPr>
          <w:rFonts w:asciiTheme="minorEastAsia" w:hAnsiTheme="minorEastAsia" w:eastAsiaTheme="minorEastAsia" w:cstheme="minorEastAsia"/>
          <w:szCs w:val="21"/>
        </w:rPr>
      </w:pPr>
      <w:bookmarkStart w:id="7" w:name="_Toc17292456"/>
      <w:bookmarkStart w:id="8" w:name="_Toc62566119"/>
      <w:bookmarkStart w:id="9" w:name="_Toc24269"/>
      <w:bookmarkStart w:id="10" w:name="_Toc2249"/>
      <w:r>
        <w:rPr>
          <w:rFonts w:hint="eastAsia" w:asciiTheme="minorEastAsia" w:hAnsiTheme="minorEastAsia" w:eastAsiaTheme="minorEastAsia" w:cstheme="minorEastAsia"/>
          <w:szCs w:val="21"/>
        </w:rPr>
        <w:t>详见附件</w:t>
      </w:r>
      <w:bookmarkEnd w:id="7"/>
      <w:r>
        <w:rPr>
          <w:rFonts w:hint="eastAsia" w:asciiTheme="minorEastAsia" w:hAnsiTheme="minorEastAsia" w:eastAsiaTheme="minorEastAsia" w:cstheme="minorEastAsia"/>
          <w:szCs w:val="21"/>
        </w:rPr>
        <w:t>。</w:t>
      </w:r>
    </w:p>
    <w:p>
      <w:pPr>
        <w:widowControl/>
        <w:adjustRightInd w:val="0"/>
        <w:snapToGrid w:val="0"/>
        <w:spacing w:line="360" w:lineRule="auto"/>
        <w:jc w:val="left"/>
        <w:rPr>
          <w:rFonts w:ascii="黑体" w:eastAsia="黑体" w:hAnsiTheme="majorHAnsi" w:cstheme="majorBidi"/>
          <w:b/>
          <w:kern w:val="0"/>
          <w:sz w:val="24"/>
          <w:lang w:bidi="en-US"/>
        </w:rPr>
      </w:pPr>
      <w:r>
        <w:rPr>
          <w:rFonts w:hint="eastAsia" w:ascii="黑体" w:eastAsia="黑体" w:hAnsiTheme="majorHAnsi" w:cstheme="majorBidi"/>
          <w:b/>
          <w:kern w:val="0"/>
          <w:sz w:val="24"/>
          <w:lang w:bidi="en-US"/>
        </w:rPr>
        <w:t>3.应答人资格要求</w:t>
      </w:r>
      <w:bookmarkEnd w:id="8"/>
      <w:bookmarkEnd w:id="9"/>
      <w:bookmarkEnd w:id="10"/>
    </w:p>
    <w:p>
      <w:pPr>
        <w:adjustRightInd w:val="0"/>
        <w:snapToGrid w:val="0"/>
        <w:spacing w:line="400" w:lineRule="exact"/>
        <w:ind w:firstLine="422" w:firstLineChars="200"/>
        <w:rPr>
          <w:rFonts w:ascii="宋体" w:hAnsi="宋体"/>
          <w:b/>
        </w:rPr>
      </w:pPr>
      <w:r>
        <w:rPr>
          <w:rFonts w:ascii="宋体" w:hAnsi="宋体"/>
          <w:b/>
        </w:rPr>
        <w:t>3.1</w:t>
      </w:r>
      <w:r>
        <w:rPr>
          <w:rFonts w:hint="eastAsia" w:ascii="宋体" w:hAnsi="宋体"/>
          <w:b/>
        </w:rPr>
        <w:t xml:space="preserve"> 应答人须满足如下通用资格要求：</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（1）本次采购要求应答人须为中华人民共和国境内依法注册的法人或其他组织，须具备相应项目的实施能力，并在人员、设备、资金等方面具有保障如期完成项目等承担采购项目的能力。</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（2）法定代表人或单位负责人为同一人或者存在控股、管理关系的不同单位，不得参加同一标包应答或者未划分标包的同一采购项目应答；</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（3）取得国家法律、法规、部门规章及规范标准规定的有效许可证。取得采购文件要求的国家强制认证证书。</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根据《国家电网有限公司供应商不良行为处理管理细则》的规定，应答人存在导致其被暂停成交资格或取消成交资格的不良行为且在处理有效期内的，或应答人存在触发《国家电网有限公司供应商不良行为处理管理细则》第三十三条重大问题“熔断机制”情形的，其应答将被否决。</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根据最高人民法院、国家发展改革委、国家铁路局等九部门联合印发的《关于在招标投标活动中对失信被执行人实施联合惩戒的通知》（法〔2016〕285号），应答人不得被人民法院列为失信被执行人。应答人不得存在违法失信行为，不得被“信用中国”网站（www.creditchina.gov.cn）列入失信被执行人名单。</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（6）应答人不得被市场监督管理机关在国家企业信用信息公示系统中列入严重违法失信企业名单或列入经营异常名录信息的。</w:t>
      </w:r>
    </w:p>
    <w:p>
      <w:pPr>
        <w:adjustRightInd w:val="0"/>
        <w:snapToGrid w:val="0"/>
        <w:spacing w:line="400" w:lineRule="exact"/>
        <w:ind w:firstLine="422" w:firstLineChars="200"/>
        <w:rPr>
          <w:rFonts w:ascii="宋体" w:hAnsi="宋体"/>
          <w:b/>
        </w:rPr>
      </w:pPr>
      <w:r>
        <w:rPr>
          <w:rFonts w:ascii="宋体" w:hAnsi="宋体"/>
          <w:b/>
        </w:rPr>
        <w:t xml:space="preserve">3.2 </w:t>
      </w:r>
      <w:r>
        <w:rPr>
          <w:rFonts w:hint="eastAsia" w:ascii="宋体" w:hAnsi="宋体"/>
          <w:b/>
        </w:rPr>
        <w:t>应答人须满足如下专用资格要求：</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详见附件。</w:t>
      </w:r>
    </w:p>
    <w:p>
      <w:pPr>
        <w:widowControl/>
        <w:adjustRightInd w:val="0"/>
        <w:snapToGrid w:val="0"/>
        <w:spacing w:line="400" w:lineRule="exact"/>
        <w:ind w:firstLine="422" w:firstLineChars="200"/>
        <w:rPr>
          <w:b/>
        </w:rPr>
      </w:pPr>
      <w:r>
        <w:rPr>
          <w:rFonts w:ascii="宋体" w:hAnsi="宋体"/>
          <w:b/>
        </w:rPr>
        <w:t>3.</w:t>
      </w:r>
      <w:r>
        <w:rPr>
          <w:rFonts w:hint="eastAsia" w:ascii="宋体" w:hAnsi="宋体"/>
          <w:b/>
        </w:rPr>
        <w:t xml:space="preserve">3 </w:t>
      </w:r>
      <w:r>
        <w:rPr>
          <w:rFonts w:hint="eastAsia"/>
          <w:b/>
        </w:rPr>
        <w:t>除专用资格要求中明确接受联合体应答的项目外，不接受联合体应答。</w:t>
      </w:r>
    </w:p>
    <w:p>
      <w:pPr>
        <w:adjustRightInd w:val="0"/>
        <w:snapToGrid w:val="0"/>
        <w:spacing w:line="400" w:lineRule="exact"/>
        <w:ind w:firstLine="422" w:firstLineChars="200"/>
        <w:rPr>
          <w:rFonts w:ascii="宋体" w:hAnsi="宋体"/>
          <w:b/>
        </w:rPr>
      </w:pPr>
      <w:r>
        <w:rPr>
          <w:rFonts w:ascii="宋体" w:hAnsi="宋体"/>
          <w:b/>
        </w:rPr>
        <w:t>3.</w:t>
      </w:r>
      <w:r>
        <w:rPr>
          <w:rFonts w:hint="eastAsia" w:ascii="宋体" w:hAnsi="宋体"/>
          <w:b/>
        </w:rPr>
        <w:t>4 如接受联合体应答的，应答人还应遵守以下规定：</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（1）联合体各方应按照采购文件提供的格式签订联合体协议书，明确联合体牵头人和各方的权利义务；</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（2）由同一专业的单位组成的联合体，按照资质等级较低的单位确定资质等级；</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（3）联合体各方不得再以自己名义单独或参加其他联合体在同一标包中应答。</w:t>
      </w:r>
    </w:p>
    <w:p>
      <w:pPr>
        <w:adjustRightInd w:val="0"/>
        <w:snapToGrid w:val="0"/>
        <w:spacing w:line="400" w:lineRule="exact"/>
        <w:ind w:firstLine="422" w:firstLineChars="200"/>
      </w:pPr>
      <w:r>
        <w:rPr>
          <w:rFonts w:ascii="宋体" w:hAnsi="宋体"/>
          <w:b/>
        </w:rPr>
        <w:t>3.5</w:t>
      </w:r>
      <w:r>
        <w:rPr>
          <w:rFonts w:hint="eastAsia"/>
        </w:rPr>
        <w:t>除专用资格要求中明确接受代理商应答的项目外，不接受代理商应答。</w:t>
      </w:r>
    </w:p>
    <w:p>
      <w:pPr>
        <w:adjustRightInd w:val="0"/>
        <w:snapToGrid w:val="0"/>
        <w:spacing w:line="400" w:lineRule="exact"/>
        <w:ind w:firstLine="422" w:firstLineChars="200"/>
      </w:pPr>
      <w:r>
        <w:rPr>
          <w:rFonts w:ascii="宋体" w:hAnsi="宋体"/>
          <w:b/>
        </w:rPr>
        <w:t>3.6</w:t>
      </w:r>
      <w:r>
        <w:rPr>
          <w:rFonts w:hint="eastAsia"/>
        </w:rPr>
        <w:t>本次采购</w:t>
      </w:r>
      <w:r>
        <w:rPr>
          <w:rFonts w:hint="eastAsia" w:ascii="宋体" w:hAnsi="宋体"/>
          <w:szCs w:val="21"/>
        </w:rPr>
        <w:t>不接受</w:t>
      </w:r>
      <w:r>
        <w:rPr>
          <w:rFonts w:hint="eastAsia"/>
        </w:rPr>
        <w:t>代理应答。</w:t>
      </w:r>
    </w:p>
    <w:p>
      <w:pPr>
        <w:adjustRightInd w:val="0"/>
        <w:snapToGrid w:val="0"/>
        <w:spacing w:line="400" w:lineRule="exact"/>
        <w:ind w:firstLine="420" w:firstLineChars="199"/>
      </w:pPr>
      <w:r>
        <w:rPr>
          <w:rFonts w:ascii="宋体" w:hAnsi="宋体"/>
          <w:b/>
        </w:rPr>
        <w:t>3.7</w:t>
      </w:r>
      <w:r>
        <w:rPr>
          <w:rFonts w:hint="eastAsia"/>
        </w:rPr>
        <w:t>各应答人均可就本次采购的部分或全部标包应答。</w:t>
      </w:r>
    </w:p>
    <w:p>
      <w:pPr>
        <w:adjustRightInd w:val="0"/>
        <w:snapToGrid w:val="0"/>
        <w:spacing w:line="400" w:lineRule="exact"/>
        <w:ind w:firstLine="420" w:firstLineChars="199"/>
        <w:rPr>
          <w:rFonts w:ascii="Times New Roman" w:hAnsi="Times New Roman"/>
          <w:szCs w:val="24"/>
        </w:rPr>
      </w:pPr>
      <w:r>
        <w:rPr>
          <w:rFonts w:ascii="宋体" w:hAnsi="宋体"/>
          <w:b/>
        </w:rPr>
        <w:t>3.8</w:t>
      </w:r>
      <w:r>
        <w:rPr>
          <w:rFonts w:hint="eastAsia"/>
        </w:rPr>
        <w:t>其他要求：无</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11" w:name="_Toc62566120"/>
      <w:bookmarkStart w:id="12" w:name="_Toc26765"/>
      <w:bookmarkStart w:id="13" w:name="_Toc3136"/>
      <w:r>
        <w:rPr>
          <w:rFonts w:hint="eastAsia" w:ascii="黑体" w:eastAsia="黑体" w:hAnsiTheme="majorHAnsi" w:cstheme="majorBidi"/>
          <w:b/>
          <w:kern w:val="0"/>
          <w:sz w:val="24"/>
          <w:lang w:bidi="en-US"/>
        </w:rPr>
        <w:t>4.采购文件的获取</w:t>
      </w:r>
      <w:bookmarkEnd w:id="11"/>
      <w:bookmarkEnd w:id="12"/>
      <w:bookmarkEnd w:id="13"/>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4.1 采购文件（电子文件）免费获取。</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4.2</w:t>
      </w:r>
      <w:r>
        <w:rPr>
          <w:rFonts w:ascii="宋体" w:hAnsi="宋体"/>
          <w:color w:val="000000" w:themeColor="text1"/>
          <w14:textFill>
            <w14:solidFill>
              <w14:schemeClr w14:val="tx1"/>
            </w14:solidFill>
          </w14:textFill>
        </w:rPr>
        <w:t>凡有意参加</w:t>
      </w:r>
      <w:r>
        <w:rPr>
          <w:rFonts w:hint="eastAsia" w:ascii="宋体" w:hAnsi="宋体"/>
          <w:color w:val="000000" w:themeColor="text1"/>
          <w14:textFill>
            <w14:solidFill>
              <w14:schemeClr w14:val="tx1"/>
            </w14:solidFill>
          </w14:textFill>
        </w:rPr>
        <w:t>应答</w:t>
      </w:r>
      <w:r>
        <w:rPr>
          <w:rFonts w:ascii="宋体" w:hAnsi="宋体"/>
          <w:color w:val="000000" w:themeColor="text1"/>
          <w14:textFill>
            <w14:solidFill>
              <w14:schemeClr w14:val="tx1"/>
            </w14:solidFill>
          </w14:textFill>
        </w:rPr>
        <w:t>者，</w:t>
      </w:r>
      <w:r>
        <w:rPr>
          <w:rFonts w:ascii="宋体" w:hAnsi="宋体"/>
          <w:color w:val="000000" w:themeColor="text1"/>
          <w:highlight w:val="none"/>
          <w14:textFill>
            <w14:solidFill>
              <w14:schemeClr w14:val="tx1"/>
            </w14:solidFill>
          </w14:textFill>
        </w:rPr>
        <w:t>请</w:t>
      </w:r>
      <w:r>
        <w:rPr>
          <w:rFonts w:ascii="宋体" w:hAnsi="宋体" w:eastAsia="宋体" w:cs="Arial"/>
          <w:highlight w:val="none"/>
        </w:rPr>
        <w:t>于</w:t>
      </w:r>
      <w:r>
        <w:rPr>
          <w:rFonts w:hint="eastAsia" w:ascii="宋体" w:hAnsi="宋体" w:eastAsia="宋体" w:cs="Arial"/>
          <w:color w:val="auto"/>
          <w:highlight w:val="none"/>
        </w:rPr>
        <w:t>2023年</w:t>
      </w:r>
      <w:r>
        <w:rPr>
          <w:rFonts w:hint="eastAsia" w:ascii="宋体" w:hAnsi="宋体" w:cs="Arial"/>
          <w:color w:val="auto"/>
          <w:highlight w:val="none"/>
          <w:lang w:val="en-US" w:eastAsia="zh-CN"/>
        </w:rPr>
        <w:t>12</w:t>
      </w:r>
      <w:r>
        <w:rPr>
          <w:rFonts w:hint="eastAsia" w:ascii="宋体" w:hAnsi="宋体" w:eastAsia="宋体" w:cs="Arial"/>
          <w:color w:val="auto"/>
          <w:highlight w:val="none"/>
        </w:rPr>
        <w:t>月</w:t>
      </w:r>
      <w:r>
        <w:rPr>
          <w:rFonts w:hint="eastAsia" w:ascii="宋体" w:hAnsi="宋体" w:cs="Arial"/>
          <w:color w:val="auto"/>
          <w:highlight w:val="none"/>
          <w:lang w:val="en-US" w:eastAsia="zh-CN"/>
        </w:rPr>
        <w:t>27</w:t>
      </w:r>
      <w:r>
        <w:rPr>
          <w:rFonts w:hint="eastAsia" w:ascii="宋体" w:hAnsi="宋体" w:eastAsia="宋体" w:cs="Arial"/>
          <w:color w:val="auto"/>
          <w:highlight w:val="none"/>
        </w:rPr>
        <w:t>日09:00</w:t>
      </w:r>
      <w:r>
        <w:rPr>
          <w:rFonts w:ascii="宋体" w:hAnsi="宋体" w:eastAsia="宋体" w:cs="Arial"/>
          <w:color w:val="auto"/>
          <w:highlight w:val="none"/>
        </w:rPr>
        <w:t>时至</w:t>
      </w:r>
      <w:r>
        <w:rPr>
          <w:rFonts w:hint="eastAsia" w:ascii="宋体" w:hAnsi="宋体" w:eastAsia="宋体" w:cs="Arial"/>
          <w:color w:val="auto"/>
          <w:highlight w:val="none"/>
        </w:rPr>
        <w:t>202</w:t>
      </w:r>
      <w:r>
        <w:rPr>
          <w:rFonts w:hint="eastAsia" w:ascii="宋体" w:hAnsi="宋体" w:cs="Arial"/>
          <w:color w:val="auto"/>
          <w:highlight w:val="none"/>
          <w:lang w:val="en-US" w:eastAsia="zh-CN"/>
        </w:rPr>
        <w:t>4</w:t>
      </w:r>
      <w:r>
        <w:rPr>
          <w:rFonts w:hint="eastAsia" w:ascii="宋体" w:hAnsi="宋体" w:eastAsia="宋体" w:cs="Arial"/>
          <w:color w:val="auto"/>
          <w:highlight w:val="none"/>
        </w:rPr>
        <w:t>年</w:t>
      </w:r>
      <w:r>
        <w:rPr>
          <w:rFonts w:hint="eastAsia" w:ascii="宋体" w:hAnsi="宋体" w:cs="Arial"/>
          <w:color w:val="auto"/>
          <w:highlight w:val="none"/>
          <w:lang w:val="en-US" w:eastAsia="zh-CN"/>
        </w:rPr>
        <w:t>01</w:t>
      </w:r>
      <w:r>
        <w:rPr>
          <w:rFonts w:hint="eastAsia" w:ascii="宋体" w:hAnsi="宋体" w:eastAsia="宋体" w:cs="Arial"/>
          <w:color w:val="auto"/>
          <w:highlight w:val="none"/>
        </w:rPr>
        <w:t>月</w:t>
      </w:r>
      <w:r>
        <w:rPr>
          <w:rFonts w:hint="eastAsia" w:ascii="宋体" w:hAnsi="宋体" w:cs="Arial"/>
          <w:color w:val="auto"/>
          <w:highlight w:val="none"/>
          <w:lang w:val="en-US" w:eastAsia="zh-CN"/>
        </w:rPr>
        <w:t>02</w:t>
      </w:r>
      <w:r>
        <w:rPr>
          <w:rFonts w:hint="eastAsia" w:ascii="宋体" w:hAnsi="宋体" w:eastAsia="宋体" w:cs="Arial"/>
          <w:color w:val="auto"/>
          <w:highlight w:val="none"/>
        </w:rPr>
        <w:t>日1</w:t>
      </w:r>
      <w:r>
        <w:rPr>
          <w:rFonts w:hint="eastAsia" w:ascii="宋体" w:hAnsi="宋体" w:eastAsia="宋体" w:cs="Arial"/>
          <w:highlight w:val="none"/>
        </w:rPr>
        <w:t>7</w:t>
      </w:r>
      <w:r>
        <w:rPr>
          <w:rFonts w:hint="eastAsia" w:ascii="宋体" w:hAnsi="宋体" w:eastAsia="宋体" w:cs="Arial"/>
        </w:rPr>
        <w:t>:00</w:t>
      </w:r>
      <w:r>
        <w:rPr>
          <w:rFonts w:ascii="宋体" w:hAnsi="宋体" w:eastAsia="宋体" w:cs="Arial"/>
        </w:rPr>
        <w:t>（北</w:t>
      </w:r>
      <w:r>
        <w:rPr>
          <w:rFonts w:ascii="宋体" w:hAnsi="宋体"/>
          <w:color w:val="000000" w:themeColor="text1"/>
          <w14:textFill>
            <w14:solidFill>
              <w14:schemeClr w14:val="tx1"/>
            </w14:solidFill>
          </w14:textFill>
        </w:rPr>
        <w:t>京时间，下同），</w:t>
      </w:r>
      <w:r>
        <w:rPr>
          <w:rFonts w:hint="eastAsia" w:ascii="宋体" w:hAnsi="宋体"/>
          <w:color w:val="000000" w:themeColor="text1"/>
          <w14:textFill>
            <w14:solidFill>
              <w14:schemeClr w14:val="tx1"/>
            </w14:solidFill>
          </w14:textFill>
        </w:rPr>
        <w:t>登录采购人招投标交易平台信息系统（</w:t>
      </w:r>
      <w:r>
        <w:rPr>
          <w:rFonts w:hint="eastAsia" w:ascii="宋体" w:hAnsi="宋体"/>
          <w:b/>
          <w:color w:val="000000" w:themeColor="text1"/>
          <w14:textFill>
            <w14:solidFill>
              <w14:schemeClr w14:val="tx1"/>
            </w14:solidFill>
          </w14:textFill>
        </w:rPr>
        <w:t>登录国家电网有限公司电子商务平台-电工交易专区（https://sgccetp.com.cn/portal/，下同）</w:t>
      </w:r>
      <w:r>
        <w:rPr>
          <w:rFonts w:hint="eastAsia" w:ascii="宋体" w:hAnsi="宋体"/>
          <w:color w:val="000000" w:themeColor="text1"/>
          <w14:textFill>
            <w14:solidFill>
              <w14:schemeClr w14:val="tx1"/>
            </w14:solidFill>
          </w14:textFill>
        </w:rPr>
        <w:t>）获取采购文件，并按《电子招标投标办法》等国家法律法规要求，到第三方认证机构办理CA证书电子钥匙。应答人应妥善保管采购人招投标交易平台信息系统账号和密码，以及CA数字证书和密码，因上述账号、数字证书或密码保管不当造成的损失，由应答人自行承担。</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应答人应在采购人招投标交易平台信息系统注册并办理</w:t>
      </w:r>
      <w:r>
        <w:rPr>
          <w:rFonts w:ascii="宋体" w:hAnsi="宋体"/>
          <w:color w:val="000000" w:themeColor="text1"/>
          <w14:textFill>
            <w14:solidFill>
              <w14:schemeClr w14:val="tx1"/>
            </w14:solidFill>
          </w14:textFill>
        </w:rPr>
        <w:t>CA</w:t>
      </w:r>
      <w:r>
        <w:rPr>
          <w:rFonts w:hint="eastAsia" w:ascii="宋体" w:hAnsi="宋体"/>
          <w:color w:val="000000" w:themeColor="text1"/>
          <w14:textFill>
            <w14:solidFill>
              <w14:schemeClr w14:val="tx1"/>
            </w14:solidFill>
          </w14:textFill>
        </w:rPr>
        <w:t>证书电子钥匙方可获取采购文件，电子钥匙的办理流程请登录采购人招投标交易平台信息系统首页“新手指引”→“电子钥匙办理须知”下载所有文件仔细阅读。电子钥匙的办理需要一定的时间，请潜在应答人高度重视。由于没有及时办理电子钥匙导致获取采购文件失败，由应答人自行承担相关责任。支持电话为：4009915500。</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3投标工具下载方式：请各应答人在采购人招投标交易平台信息系统首页“下载专区→供应商投标工具”下载并安装。操作手册及注意事项见首页“操作说明→ECP2.0招标采购流程供应商操作手册”或“演示视频→投标工具操作指导视频”。投标工具操作问题联系采购人招投标交易平台信息系统运维支持电话：</w:t>
      </w:r>
      <w:r>
        <w:rPr>
          <w:rFonts w:ascii="宋体" w:hAnsi="宋体"/>
          <w:color w:val="000000" w:themeColor="text1"/>
          <w14:textFill>
            <w14:solidFill>
              <w14:schemeClr w14:val="tx1"/>
            </w14:solidFill>
          </w14:textFill>
        </w:rPr>
        <w:t>010-63411000</w:t>
      </w:r>
      <w:r>
        <w:rPr>
          <w:rFonts w:hint="eastAsia" w:ascii="宋体" w:hAnsi="宋体"/>
          <w:color w:val="000000" w:themeColor="text1"/>
          <w14:textFill>
            <w14:solidFill>
              <w14:schemeClr w14:val="tx1"/>
            </w14:solidFill>
          </w14:textFill>
        </w:rPr>
        <w:t>。</w:t>
      </w:r>
    </w:p>
    <w:p>
      <w:pPr>
        <w:pStyle w:val="2"/>
        <w:spacing w:line="36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4.4 </w:t>
      </w:r>
      <w:r>
        <w:rPr>
          <w:rFonts w:hint="eastAsia" w:ascii="宋体" w:hAnsi="宋体"/>
          <w:color w:val="000000" w:themeColor="text1"/>
          <w14:textFill>
            <w14:solidFill>
              <w14:schemeClr w14:val="tx1"/>
            </w14:solidFill>
          </w14:textFill>
        </w:rPr>
        <w:t>注意事项</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无</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14" w:name="_Toc26882"/>
      <w:bookmarkStart w:id="15" w:name="_Toc6421"/>
      <w:bookmarkStart w:id="16" w:name="_Toc62566121"/>
      <w:r>
        <w:rPr>
          <w:rFonts w:hint="eastAsia" w:ascii="黑体" w:eastAsia="黑体" w:hAnsiTheme="majorHAnsi" w:cstheme="majorBidi"/>
          <w:b/>
          <w:kern w:val="0"/>
          <w:sz w:val="24"/>
          <w:lang w:bidi="en-US"/>
        </w:rPr>
        <w:t>5.首次应答文件的提交</w:t>
      </w:r>
      <w:bookmarkEnd w:id="14"/>
      <w:bookmarkEnd w:id="15"/>
      <w:bookmarkEnd w:id="16"/>
    </w:p>
    <w:p>
      <w:pPr>
        <w:adjustRightInd w:val="0"/>
        <w:snapToGrid w:val="0"/>
        <w:spacing w:line="360" w:lineRule="auto"/>
        <w:ind w:firstLine="420" w:firstLineChars="200"/>
        <w:rPr>
          <w:rFonts w:ascii="宋体" w:hAnsi="宋体"/>
          <w:szCs w:val="21"/>
        </w:rPr>
      </w:pPr>
      <w:r>
        <w:rPr>
          <w:rFonts w:hint="eastAsia" w:ascii="宋体" w:hAnsi="宋体"/>
          <w:szCs w:val="21"/>
        </w:rPr>
        <w:t>5.1本次采购接受现场递交应答文件，</w:t>
      </w:r>
      <w:r>
        <w:rPr>
          <w:rFonts w:hint="eastAsia" w:ascii="宋体" w:hAnsi="宋体"/>
          <w:szCs w:val="21"/>
          <w:lang w:val="en-US" w:eastAsia="zh-CN"/>
        </w:rPr>
        <w:t>可</w:t>
      </w:r>
      <w:r>
        <w:rPr>
          <w:rFonts w:hint="eastAsia" w:ascii="宋体" w:hAnsi="宋体"/>
          <w:szCs w:val="21"/>
        </w:rPr>
        <w:t>通过邮寄、快递等非现场递交方式接收应答文件。</w:t>
      </w:r>
    </w:p>
    <w:p>
      <w:pPr>
        <w:adjustRightInd w:val="0"/>
        <w:snapToGrid w:val="0"/>
        <w:spacing w:line="360" w:lineRule="auto"/>
        <w:ind w:firstLine="420" w:firstLineChars="200"/>
        <w:rPr>
          <w:rFonts w:ascii="宋体" w:hAnsi="宋体"/>
          <w:szCs w:val="21"/>
        </w:rPr>
      </w:pPr>
      <w:r>
        <w:rPr>
          <w:rFonts w:hint="eastAsia" w:ascii="宋体" w:hAnsi="宋体"/>
          <w:szCs w:val="21"/>
        </w:rPr>
        <w:t>5.2采用非现场方式递交的应答人应在采购文件规定的密封包装外增加较坚固的纸箱外包装，以保证邮寄、快递过程中密封的完整；应答人应做好充分的准备工作及物流状态跟踪，确保应答文件在首次应答截止时间前被代理机构接收，同时承担在邮寄过程中因丢件、派送超时、寄件地址错误等情况导致应答文件未在规定时间内被代理机构接收的风险。代理机构将拒收在首次应答截止时间后送达的应答文件。快递、邮寄费用由应答人自行承担。</w:t>
      </w:r>
    </w:p>
    <w:p>
      <w:pPr>
        <w:adjustRightInd w:val="0"/>
        <w:snapToGrid w:val="0"/>
        <w:spacing w:line="360" w:lineRule="auto"/>
        <w:ind w:firstLine="420" w:firstLineChars="200"/>
        <w:rPr>
          <w:rFonts w:hint="eastAsia" w:ascii="宋体" w:hAnsi="宋体"/>
          <w:szCs w:val="21"/>
          <w:highlight w:val="none"/>
        </w:rPr>
      </w:pPr>
      <w:r>
        <w:rPr>
          <w:rFonts w:hint="eastAsia" w:ascii="宋体" w:hAnsi="宋体"/>
          <w:szCs w:val="21"/>
        </w:rPr>
        <w:t>5.3快递（应答文件）接收时间</w:t>
      </w:r>
      <w:r>
        <w:rPr>
          <w:rFonts w:hint="eastAsia" w:ascii="宋体" w:hAnsi="宋体"/>
          <w:szCs w:val="21"/>
          <w:highlight w:val="none"/>
        </w:rPr>
        <w:t>为：</w:t>
      </w:r>
      <w:r>
        <w:rPr>
          <w:rFonts w:hint="eastAsia" w:ascii="宋体" w:hAnsi="宋体" w:eastAsia="宋体" w:cs="Arial"/>
          <w:color w:val="auto"/>
          <w:highlight w:val="none"/>
        </w:rPr>
        <w:t>202</w:t>
      </w:r>
      <w:r>
        <w:rPr>
          <w:rFonts w:hint="eastAsia" w:ascii="宋体" w:hAnsi="宋体" w:cs="Arial"/>
          <w:color w:val="auto"/>
          <w:highlight w:val="none"/>
          <w:lang w:val="en-US" w:eastAsia="zh-CN"/>
        </w:rPr>
        <w:t>4</w:t>
      </w:r>
      <w:r>
        <w:rPr>
          <w:rFonts w:hint="eastAsia" w:ascii="宋体" w:hAnsi="宋体" w:eastAsia="宋体" w:cs="Arial"/>
          <w:color w:val="auto"/>
          <w:highlight w:val="none"/>
        </w:rPr>
        <w:t>年</w:t>
      </w:r>
      <w:r>
        <w:rPr>
          <w:rFonts w:hint="eastAsia" w:ascii="宋体" w:hAnsi="宋体" w:cs="Arial"/>
          <w:color w:val="auto"/>
          <w:highlight w:val="none"/>
          <w:lang w:val="en-US" w:eastAsia="zh-CN"/>
        </w:rPr>
        <w:t>01月03</w:t>
      </w:r>
      <w:r>
        <w:rPr>
          <w:rFonts w:hint="eastAsia" w:ascii="宋体" w:hAnsi="宋体"/>
          <w:szCs w:val="21"/>
          <w:highlight w:val="none"/>
        </w:rPr>
        <w:t>日09：00—</w:t>
      </w:r>
      <w:r>
        <w:rPr>
          <w:rFonts w:hint="eastAsia" w:ascii="宋体" w:hAnsi="宋体" w:eastAsia="宋体" w:cs="Arial"/>
          <w:color w:val="auto"/>
          <w:highlight w:val="none"/>
        </w:rPr>
        <w:t>202</w:t>
      </w:r>
      <w:r>
        <w:rPr>
          <w:rFonts w:hint="eastAsia" w:ascii="宋体" w:hAnsi="宋体" w:cs="Arial"/>
          <w:color w:val="auto"/>
          <w:highlight w:val="none"/>
          <w:lang w:val="en-US" w:eastAsia="zh-CN"/>
        </w:rPr>
        <w:t>4</w:t>
      </w:r>
      <w:r>
        <w:rPr>
          <w:rFonts w:hint="eastAsia" w:ascii="宋体" w:hAnsi="宋体" w:eastAsia="宋体" w:cs="Arial"/>
          <w:color w:val="auto"/>
          <w:highlight w:val="none"/>
        </w:rPr>
        <w:t>年</w:t>
      </w:r>
      <w:r>
        <w:rPr>
          <w:rFonts w:hint="eastAsia" w:ascii="宋体" w:hAnsi="宋体" w:cs="Arial"/>
          <w:color w:val="auto"/>
          <w:highlight w:val="none"/>
          <w:lang w:val="en-US" w:eastAsia="zh-CN"/>
        </w:rPr>
        <w:t>01月08</w:t>
      </w:r>
      <w:r>
        <w:rPr>
          <w:rFonts w:hint="eastAsia" w:ascii="宋体" w:hAnsi="宋体"/>
          <w:szCs w:val="21"/>
          <w:highlight w:val="none"/>
        </w:rPr>
        <w:t>日</w:t>
      </w:r>
      <w:r>
        <w:rPr>
          <w:rFonts w:hint="eastAsia" w:ascii="宋体" w:hAnsi="宋体"/>
          <w:szCs w:val="21"/>
          <w:lang w:val="en-US" w:eastAsia="zh-CN"/>
        </w:rPr>
        <w:t>09</w:t>
      </w:r>
      <w:r>
        <w:rPr>
          <w:rFonts w:hint="eastAsia" w:ascii="宋体" w:hAnsi="宋体"/>
          <w:szCs w:val="21"/>
        </w:rPr>
        <w:t>：</w:t>
      </w:r>
      <w:r>
        <w:rPr>
          <w:rFonts w:hint="eastAsia" w:ascii="宋体" w:hAnsi="宋体"/>
          <w:szCs w:val="21"/>
          <w:lang w:val="en-US" w:eastAsia="zh-CN"/>
        </w:rPr>
        <w:t>3</w:t>
      </w:r>
      <w:r>
        <w:rPr>
          <w:rFonts w:hint="eastAsia" w:ascii="宋体" w:hAnsi="宋体"/>
          <w:szCs w:val="21"/>
        </w:rPr>
        <w:t>0（北京时间）。</w:t>
      </w:r>
    </w:p>
    <w:p>
      <w:pPr>
        <w:adjustRightInd w:val="0"/>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5.4快递（应答文件）接收截止时间为：</w:t>
      </w:r>
      <w:r>
        <w:rPr>
          <w:rFonts w:hint="eastAsia" w:ascii="宋体" w:hAnsi="宋体" w:eastAsia="宋体" w:cs="Arial"/>
          <w:color w:val="auto"/>
          <w:highlight w:val="none"/>
        </w:rPr>
        <w:t>202</w:t>
      </w:r>
      <w:r>
        <w:rPr>
          <w:rFonts w:hint="eastAsia" w:ascii="宋体" w:hAnsi="宋体" w:cs="Arial"/>
          <w:color w:val="auto"/>
          <w:highlight w:val="none"/>
          <w:lang w:val="en-US" w:eastAsia="zh-CN"/>
        </w:rPr>
        <w:t>4</w:t>
      </w:r>
      <w:r>
        <w:rPr>
          <w:rFonts w:hint="eastAsia" w:ascii="宋体" w:hAnsi="宋体" w:eastAsia="宋体" w:cs="Arial"/>
          <w:color w:val="auto"/>
          <w:highlight w:val="none"/>
        </w:rPr>
        <w:t>年</w:t>
      </w:r>
      <w:r>
        <w:rPr>
          <w:rFonts w:hint="eastAsia" w:ascii="宋体" w:hAnsi="宋体" w:cs="Arial"/>
          <w:color w:val="auto"/>
          <w:highlight w:val="none"/>
          <w:lang w:val="en-US" w:eastAsia="zh-CN"/>
        </w:rPr>
        <w:t>01月08</w:t>
      </w:r>
      <w:r>
        <w:rPr>
          <w:rFonts w:hint="eastAsia" w:ascii="宋体" w:hAnsi="宋体"/>
          <w:szCs w:val="21"/>
          <w:highlight w:val="none"/>
        </w:rPr>
        <w:t>日</w:t>
      </w:r>
      <w:r>
        <w:rPr>
          <w:rFonts w:hint="eastAsia" w:ascii="宋体" w:hAnsi="宋体"/>
          <w:szCs w:val="21"/>
          <w:highlight w:val="none"/>
          <w:lang w:val="en-US" w:eastAsia="zh-CN"/>
        </w:rPr>
        <w:t>09</w:t>
      </w: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0（北京时间）。</w:t>
      </w:r>
    </w:p>
    <w:p>
      <w:pPr>
        <w:adjustRightInd w:val="0"/>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5.5快递（应答文件）接收指定地点：北京市东城区东四十条甲22号南新仓商务大厦B座922。</w:t>
      </w:r>
    </w:p>
    <w:p>
      <w:pPr>
        <w:adjustRightInd w:val="0"/>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5.6快递（应答文件）接收人及联系方式：同项目联系人。</w:t>
      </w:r>
    </w:p>
    <w:p>
      <w:pPr>
        <w:adjustRightInd w:val="0"/>
        <w:snapToGrid w:val="0"/>
        <w:spacing w:line="360" w:lineRule="auto"/>
        <w:ind w:firstLine="420" w:firstLineChars="200"/>
        <w:rPr>
          <w:rFonts w:ascii="宋体" w:hAnsi="宋体"/>
          <w:szCs w:val="21"/>
        </w:rPr>
      </w:pPr>
      <w:r>
        <w:rPr>
          <w:rFonts w:hint="eastAsia" w:ascii="宋体" w:hAnsi="宋体"/>
          <w:szCs w:val="21"/>
          <w:highlight w:val="none"/>
        </w:rPr>
        <w:t>5.7首次应答截止时间：</w:t>
      </w:r>
      <w:r>
        <w:rPr>
          <w:rFonts w:hint="eastAsia" w:ascii="宋体" w:hAnsi="宋体" w:eastAsia="宋体" w:cs="Arial"/>
          <w:color w:val="auto"/>
          <w:highlight w:val="none"/>
        </w:rPr>
        <w:t>202</w:t>
      </w:r>
      <w:r>
        <w:rPr>
          <w:rFonts w:hint="eastAsia" w:ascii="宋体" w:hAnsi="宋体" w:cs="Arial"/>
          <w:color w:val="auto"/>
          <w:highlight w:val="none"/>
          <w:lang w:val="en-US" w:eastAsia="zh-CN"/>
        </w:rPr>
        <w:t>4</w:t>
      </w:r>
      <w:r>
        <w:rPr>
          <w:rFonts w:hint="eastAsia" w:ascii="宋体" w:hAnsi="宋体" w:eastAsia="宋体" w:cs="Arial"/>
          <w:color w:val="auto"/>
          <w:highlight w:val="none"/>
        </w:rPr>
        <w:t>年</w:t>
      </w:r>
      <w:r>
        <w:rPr>
          <w:rFonts w:hint="eastAsia" w:ascii="宋体" w:hAnsi="宋体" w:cs="Arial"/>
          <w:color w:val="auto"/>
          <w:highlight w:val="none"/>
          <w:lang w:val="en-US" w:eastAsia="zh-CN"/>
        </w:rPr>
        <w:t>01月08</w:t>
      </w:r>
      <w:r>
        <w:rPr>
          <w:rFonts w:hint="eastAsia" w:ascii="宋体" w:hAnsi="宋体"/>
          <w:szCs w:val="21"/>
          <w:highlight w:val="none"/>
        </w:rPr>
        <w:t>日</w:t>
      </w:r>
      <w:r>
        <w:rPr>
          <w:rFonts w:hint="eastAsia" w:ascii="宋体" w:hAnsi="宋体"/>
          <w:szCs w:val="21"/>
          <w:highlight w:val="none"/>
          <w:lang w:val="en-US" w:eastAsia="zh-CN"/>
        </w:rPr>
        <w:t>09</w:t>
      </w: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0。首次应答文件</w:t>
      </w:r>
      <w:r>
        <w:rPr>
          <w:rFonts w:hint="eastAsia" w:ascii="宋体" w:hAnsi="宋体"/>
          <w:szCs w:val="21"/>
        </w:rPr>
        <w:t>递交（提交）的截止时间同首次应答截止时间。</w:t>
      </w:r>
    </w:p>
    <w:p>
      <w:pPr>
        <w:adjustRightInd w:val="0"/>
        <w:snapToGrid w:val="0"/>
        <w:spacing w:line="360" w:lineRule="auto"/>
        <w:ind w:firstLine="420" w:firstLineChars="200"/>
        <w:rPr>
          <w:rFonts w:ascii="宋体" w:hAnsi="宋体"/>
          <w:szCs w:val="21"/>
        </w:rPr>
      </w:pPr>
      <w:r>
        <w:rPr>
          <w:rFonts w:hint="eastAsia" w:ascii="宋体" w:hAnsi="宋体"/>
          <w:szCs w:val="21"/>
        </w:rPr>
        <w:t>5.8首次应答文件递交地点：电子应答文件应提交至国家电网有限公司电子商务平台-电工交易专区；纸质应答文件及其电子版U盘（所有应答文件需制作成电子版文件，拷入U盘中）递交至天恒招标有限公司会议室（北京市东城区东四十条甲22号南新仓商务大厦B座922）。</w:t>
      </w:r>
    </w:p>
    <w:p>
      <w:pPr>
        <w:adjustRightInd w:val="0"/>
        <w:snapToGrid w:val="0"/>
        <w:spacing w:line="360" w:lineRule="auto"/>
        <w:ind w:firstLine="420" w:firstLineChars="200"/>
        <w:rPr>
          <w:rFonts w:ascii="宋体" w:hAnsi="宋体"/>
          <w:szCs w:val="21"/>
        </w:rPr>
      </w:pPr>
      <w:r>
        <w:rPr>
          <w:rFonts w:hint="eastAsia" w:ascii="宋体" w:hAnsi="宋体"/>
          <w:szCs w:val="21"/>
        </w:rPr>
        <w:t>5.9首次应答截止时间之前未成功提交至国家电网有限公司电子商务平台-电工交易专区的电子应答文件、首次应答截止时间之后送达或者未送达指定地点的应答文件，采购人不予受理。</w:t>
      </w:r>
    </w:p>
    <w:p>
      <w:pPr>
        <w:adjustRightInd w:val="0"/>
        <w:snapToGrid w:val="0"/>
        <w:spacing w:line="400" w:lineRule="exact"/>
        <w:ind w:firstLine="420" w:firstLineChars="200"/>
        <w:rPr>
          <w:rFonts w:ascii="宋体" w:hAnsi="宋体"/>
          <w:szCs w:val="21"/>
        </w:rPr>
      </w:pPr>
      <w:r>
        <w:rPr>
          <w:rFonts w:hint="eastAsia" w:ascii="宋体" w:hAnsi="宋体"/>
          <w:szCs w:val="21"/>
        </w:rPr>
        <w:t>5.10未按采购公告规定的时间和方式获取并下载采购文件的应答，采购人将不予受理。</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17" w:name="_Toc62566122"/>
      <w:bookmarkStart w:id="18" w:name="_Toc20595"/>
      <w:bookmarkStart w:id="19" w:name="_Toc10970"/>
      <w:r>
        <w:rPr>
          <w:rFonts w:hint="eastAsia" w:ascii="黑体" w:eastAsia="黑体" w:hAnsiTheme="majorHAnsi" w:cstheme="majorBidi"/>
          <w:b/>
          <w:kern w:val="0"/>
          <w:sz w:val="24"/>
          <w:lang w:bidi="en-US"/>
        </w:rPr>
        <w:t>6.发布公告的媒介</w:t>
      </w:r>
      <w:bookmarkEnd w:id="17"/>
      <w:bookmarkEnd w:id="18"/>
      <w:bookmarkEnd w:id="19"/>
    </w:p>
    <w:p>
      <w:pPr>
        <w:adjustRightInd w:val="0"/>
        <w:snapToGrid w:val="0"/>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s="宋体"/>
          <w:szCs w:val="21"/>
        </w:rPr>
        <w:t>本次采购公告在国家电网有限公司电子商务平台-电工交易专区（https://sgccetp.com.cn/portal/</w:t>
      </w:r>
      <w:r>
        <w:rPr>
          <w:rFonts w:hint="eastAsia" w:cs="宋体"/>
          <w:szCs w:val="21"/>
        </w:rPr>
        <w:t>)、</w:t>
      </w:r>
      <w:r>
        <w:rPr>
          <w:rFonts w:hint="eastAsia" w:ascii="宋体" w:hAnsi="宋体" w:cs="宋体"/>
          <w:szCs w:val="21"/>
        </w:rPr>
        <w:t>中国招标投标公共服务平台（</w:t>
      </w:r>
      <w:bookmarkStart w:id="20" w:name="_Hlk511312026"/>
      <w:r>
        <w:rPr>
          <w:rFonts w:hint="eastAsia" w:ascii="宋体" w:hAnsi="宋体" w:cs="宋体"/>
          <w:szCs w:val="21"/>
        </w:rPr>
        <w:t>http://www.cebpubservice.com</w:t>
      </w:r>
      <w:bookmarkEnd w:id="20"/>
      <w:r>
        <w:rPr>
          <w:rFonts w:hint="eastAsia" w:ascii="宋体" w:hAnsi="宋体" w:cs="宋体"/>
          <w:szCs w:val="21"/>
        </w:rPr>
        <w:t>）上发布。</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21" w:name="_Toc1702"/>
      <w:bookmarkStart w:id="22" w:name="_Toc26152"/>
      <w:bookmarkStart w:id="23" w:name="_Toc62566123"/>
      <w:r>
        <w:rPr>
          <w:rFonts w:hint="eastAsia" w:ascii="黑体" w:eastAsia="黑体" w:hAnsiTheme="majorHAnsi" w:cstheme="majorBidi"/>
          <w:b/>
          <w:kern w:val="0"/>
          <w:sz w:val="24"/>
          <w:lang w:bidi="en-US"/>
        </w:rPr>
        <w:t>7.采购文件获取联系方式</w:t>
      </w:r>
      <w:bookmarkEnd w:id="21"/>
      <w:bookmarkEnd w:id="22"/>
      <w:bookmarkEnd w:id="23"/>
    </w:p>
    <w:p>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采购人</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中电普瑞电力工程有限公司</w:t>
      </w:r>
    </w:p>
    <w:p>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w:t>
      </w:r>
      <w:r>
        <w:rPr>
          <w:rFonts w:ascii="宋体" w:hAnsi="宋体"/>
          <w:color w:val="000000" w:themeColor="text1"/>
          <w:highlight w:val="none"/>
          <w14:textFill>
            <w14:solidFill>
              <w14:schemeClr w14:val="tx1"/>
            </w14:solidFill>
          </w14:textFill>
        </w:rPr>
        <w:t>:</w:t>
      </w:r>
      <w:r>
        <w:rPr>
          <w:rFonts w:hint="eastAsia" w:ascii="宋体" w:hAnsi="宋体" w:eastAsia="宋体" w:cs="宋体"/>
          <w:sz w:val="21"/>
          <w:szCs w:val="21"/>
          <w:highlight w:val="none"/>
          <w:lang w:eastAsia="zh-CN"/>
        </w:rPr>
        <w:t>北京市昌平区南邵镇南中路16号国家电网特高压直流基地1号产业楼6层</w:t>
      </w:r>
    </w:p>
    <w:p>
      <w:pPr>
        <w:adjustRightInd w:val="0"/>
        <w:snapToGrid w:val="0"/>
        <w:spacing w:line="400" w:lineRule="exact"/>
        <w:ind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highlight w:val="none"/>
          <w14:textFill>
            <w14:solidFill>
              <w14:schemeClr w14:val="tx1"/>
            </w14:solidFill>
          </w14:textFill>
        </w:rPr>
        <w:t>邮编</w:t>
      </w:r>
      <w:r>
        <w:rPr>
          <w:rFonts w:hint="eastAsia" w:ascii="宋体" w:hAnsi="宋体"/>
          <w:color w:val="000000" w:themeColor="text1"/>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102200</w:t>
      </w:r>
    </w:p>
    <w:p>
      <w:pPr>
        <w:adjustRightInd w:val="0"/>
        <w:snapToGrid w:val="0"/>
        <w:spacing w:line="400" w:lineRule="exact"/>
        <w:ind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采购代理机构：天恒招标有限公司</w:t>
      </w:r>
    </w:p>
    <w:p>
      <w:pPr>
        <w:adjustRightInd w:val="0"/>
        <w:snapToGrid w:val="0"/>
        <w:spacing w:line="400" w:lineRule="exact"/>
        <w:ind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地址：北京市东城区东四十条甲22号南新仓商务大厦B座922</w:t>
      </w:r>
    </w:p>
    <w:p>
      <w:pPr>
        <w:adjustRightInd w:val="0"/>
        <w:snapToGrid w:val="0"/>
        <w:spacing w:line="400" w:lineRule="exact"/>
        <w:ind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邮编：100007</w:t>
      </w:r>
    </w:p>
    <w:p>
      <w:pPr>
        <w:adjustRightInd w:val="0"/>
        <w:snapToGrid w:val="0"/>
        <w:spacing w:line="400" w:lineRule="exact"/>
        <w:ind w:firstLine="420" w:firstLineChars="200"/>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14:textFill>
            <w14:solidFill>
              <w14:schemeClr w14:val="tx1"/>
            </w14:solidFill>
          </w14:textFill>
        </w:rPr>
        <w:t>联系人：</w:t>
      </w:r>
      <w:r>
        <w:rPr>
          <w:rFonts w:hint="eastAsia" w:ascii="宋体" w:hAnsi="宋体"/>
          <w:color w:val="000000" w:themeColor="text1"/>
          <w:lang w:val="en-US" w:eastAsia="zh-CN"/>
          <w14:textFill>
            <w14:solidFill>
              <w14:schemeClr w14:val="tx1"/>
            </w14:solidFill>
          </w14:textFill>
        </w:rPr>
        <w:t>梁雅红、王雪梅、</w:t>
      </w:r>
      <w:r>
        <w:rPr>
          <w:rFonts w:hint="eastAsia" w:ascii="宋体" w:hAnsi="宋体"/>
          <w:color w:val="000000" w:themeColor="text1"/>
          <w:lang w:eastAsia="zh-CN"/>
          <w14:textFill>
            <w14:solidFill>
              <w14:schemeClr w14:val="tx1"/>
            </w14:solidFill>
          </w14:textFill>
        </w:rPr>
        <w:t>陈洁、刘戈、杨洋</w:t>
      </w:r>
    </w:p>
    <w:p>
      <w:pPr>
        <w:adjustRightInd w:val="0"/>
        <w:snapToGrid w:val="0"/>
        <w:spacing w:line="400" w:lineRule="exact"/>
        <w:ind w:firstLine="420" w:firstLineChars="200"/>
        <w:rPr>
          <w:rFonts w:hint="default" w:ascii="宋体" w:hAnsi="宋体"/>
          <w:color w:val="000000" w:themeColor="text1"/>
          <w:lang w:val="en-US"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电话：010-</w:t>
      </w:r>
      <w:r>
        <w:rPr>
          <w:rFonts w:hint="eastAsia" w:ascii="宋体" w:hAnsi="宋体"/>
          <w:color w:val="000000" w:themeColor="text1"/>
          <w:lang w:val="en-US" w:eastAsia="zh-CN"/>
          <w14:textFill>
            <w14:solidFill>
              <w14:schemeClr w14:val="tx1"/>
            </w14:solidFill>
          </w14:textFill>
        </w:rPr>
        <w:t>57024002</w:t>
      </w:r>
      <w:r>
        <w:rPr>
          <w:rFonts w:hint="eastAsia" w:ascii="宋体" w:hAnsi="宋体"/>
          <w:color w:val="000000" w:themeColor="text1"/>
          <w:lang w:eastAsia="zh-CN"/>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010-53393772</w:t>
      </w:r>
    </w:p>
    <w:p>
      <w:pPr>
        <w:adjustRightInd w:val="0"/>
        <w:snapToGrid w:val="0"/>
        <w:spacing w:line="400" w:lineRule="exact"/>
        <w:ind w:firstLine="420" w:firstLineChars="200"/>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电子邮件：</w:t>
      </w:r>
      <w:r>
        <w:rPr>
          <w:rFonts w:hint="eastAsia" w:ascii="宋体" w:hAnsi="宋体"/>
          <w:color w:val="000000" w:themeColor="text1"/>
          <w:lang w:val="en-US" w:eastAsia="zh-CN"/>
          <w14:textFill>
            <w14:solidFill>
              <w14:schemeClr w14:val="tx1"/>
            </w14:solidFill>
          </w14:textFill>
        </w:rPr>
        <w:t>LYH</w:t>
      </w:r>
      <w:r>
        <w:rPr>
          <w:rFonts w:hint="eastAsia" w:ascii="宋体" w:hAnsi="宋体"/>
          <w:color w:val="000000" w:themeColor="text1"/>
          <w:lang w:eastAsia="zh-CN"/>
          <w14:textFill>
            <w14:solidFill>
              <w14:schemeClr w14:val="tx1"/>
            </w14:solidFill>
          </w14:textFill>
        </w:rPr>
        <w:t>@thtc.com.cn</w:t>
      </w:r>
    </w:p>
    <w:p>
      <w:pPr>
        <w:widowControl/>
        <w:adjustRightInd w:val="0"/>
        <w:snapToGrid w:val="0"/>
        <w:spacing w:line="360" w:lineRule="auto"/>
        <w:ind w:firstLine="422" w:firstLineChars="200"/>
        <w:rPr>
          <w:rFonts w:hint="eastAsia" w:ascii="宋体" w:hAnsi="宋体" w:cs="宋体"/>
          <w:b/>
          <w:bCs/>
          <w:kern w:val="0"/>
          <w:szCs w:val="21"/>
          <w:lang w:bidi="en-US"/>
        </w:rPr>
      </w:pPr>
      <w:bookmarkStart w:id="24" w:name="_Toc21046"/>
      <w:bookmarkStart w:id="25" w:name="_Toc28046"/>
      <w:bookmarkStart w:id="26" w:name="_Toc62566124"/>
    </w:p>
    <w:p>
      <w:pPr>
        <w:widowControl/>
        <w:adjustRightInd w:val="0"/>
        <w:snapToGrid w:val="0"/>
        <w:spacing w:line="360" w:lineRule="auto"/>
        <w:ind w:firstLine="422" w:firstLineChars="200"/>
        <w:rPr>
          <w:rFonts w:ascii="宋体" w:hAnsi="宋体" w:cs="宋体"/>
          <w:kern w:val="0"/>
          <w:szCs w:val="21"/>
          <w:lang w:bidi="en-US"/>
        </w:rPr>
      </w:pPr>
      <w:r>
        <w:rPr>
          <w:rFonts w:hint="eastAsia" w:ascii="宋体" w:hAnsi="宋体" w:cs="宋体"/>
          <w:b/>
          <w:bCs/>
          <w:kern w:val="0"/>
          <w:szCs w:val="21"/>
          <w:lang w:bidi="en-US"/>
        </w:rPr>
        <w:t>国家电网有限公司电子商务平台-电工交易专区网址</w:t>
      </w:r>
      <w:r>
        <w:rPr>
          <w:rFonts w:hint="eastAsia" w:ascii="宋体" w:hAnsi="宋体" w:cs="宋体"/>
          <w:kern w:val="0"/>
          <w:szCs w:val="21"/>
          <w:lang w:bidi="en-US"/>
        </w:rPr>
        <w:t>：https://sgccetp.com.cn/portal/（请使用谷歌浏览器（推荐71版本），电脑配置推荐使用WIN7、WIN8、WIN10系统）</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r>
        <w:rPr>
          <w:rFonts w:hint="eastAsia" w:ascii="黑体" w:eastAsia="黑体" w:hAnsiTheme="majorHAnsi" w:cstheme="majorBidi"/>
          <w:b/>
          <w:kern w:val="0"/>
          <w:sz w:val="24"/>
          <w:lang w:bidi="en-US"/>
        </w:rPr>
        <w:t>8.合规声明</w:t>
      </w:r>
      <w:bookmarkEnd w:id="24"/>
      <w:bookmarkEnd w:id="25"/>
      <w:bookmarkEnd w:id="26"/>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本采购文件（包括商务部分和技术部分）符合国家现行法律法规规定，若国家颁布新的法律法规或对现有法律法规进行修订，以新颁布或修订后的法律法规规定为准。</w:t>
      </w:r>
    </w:p>
    <w:p>
      <w:pPr>
        <w:pStyle w:val="2"/>
        <w:ind w:firstLine="0"/>
        <w:rPr>
          <w:rFonts w:ascii="黑体" w:eastAsia="黑体" w:hAnsiTheme="majorHAnsi" w:cstheme="majorBidi"/>
          <w:b/>
          <w:kern w:val="0"/>
          <w:sz w:val="24"/>
          <w:szCs w:val="22"/>
          <w:lang w:bidi="en-US"/>
        </w:rPr>
      </w:pPr>
    </w:p>
    <w:p>
      <w:pPr>
        <w:pStyle w:val="2"/>
        <w:numPr>
          <w:ilvl w:val="0"/>
          <w:numId w:val="1"/>
        </w:numPr>
        <w:ind w:firstLine="0"/>
        <w:rPr>
          <w:rFonts w:ascii="黑体" w:eastAsia="黑体" w:hAnsiTheme="majorHAnsi" w:cstheme="majorBidi"/>
          <w:b/>
          <w:kern w:val="0"/>
          <w:sz w:val="24"/>
          <w:szCs w:val="22"/>
          <w:lang w:bidi="en-US"/>
        </w:rPr>
      </w:pPr>
      <w:r>
        <w:rPr>
          <w:rFonts w:hint="eastAsia" w:ascii="黑体" w:eastAsia="黑体" w:hAnsiTheme="majorHAnsi" w:cstheme="majorBidi"/>
          <w:b/>
          <w:kern w:val="0"/>
          <w:sz w:val="24"/>
          <w:szCs w:val="22"/>
          <w:lang w:bidi="en-US"/>
        </w:rPr>
        <w:t>其他补充事宜</w:t>
      </w:r>
    </w:p>
    <w:p>
      <w:pPr>
        <w:adjustRightInd w:val="0"/>
        <w:snapToGrid w:val="0"/>
        <w:spacing w:line="360" w:lineRule="auto"/>
        <w:ind w:firstLine="420" w:firstLineChars="200"/>
        <w:rPr>
          <w:rFonts w:ascii="宋体" w:hAnsi="宋体"/>
          <w:szCs w:val="21"/>
        </w:rPr>
      </w:pPr>
      <w:r>
        <w:rPr>
          <w:rFonts w:hint="eastAsia" w:ascii="宋体" w:hAnsi="宋体"/>
          <w:szCs w:val="21"/>
        </w:rPr>
        <w:t>9.1谈判方式：竞争性谈判过程通过线上会议形式，</w:t>
      </w:r>
      <w:r>
        <w:rPr>
          <w:rFonts w:hint="eastAsia"/>
          <w:szCs w:val="21"/>
        </w:rPr>
        <w:t>进行逐一谈判</w:t>
      </w:r>
      <w:r>
        <w:rPr>
          <w:rFonts w:hint="eastAsia" w:ascii="宋体" w:hAnsi="宋体"/>
          <w:szCs w:val="21"/>
        </w:rPr>
        <w:t>，应答人无需到场</w:t>
      </w:r>
      <w:r>
        <w:rPr>
          <w:rFonts w:hint="eastAsia"/>
          <w:szCs w:val="21"/>
        </w:rPr>
        <w:t>、保持手机畅通。</w:t>
      </w:r>
    </w:p>
    <w:p>
      <w:pPr>
        <w:adjustRightInd w:val="0"/>
        <w:snapToGrid w:val="0"/>
        <w:spacing w:line="360" w:lineRule="auto"/>
        <w:ind w:firstLine="420" w:firstLineChars="200"/>
        <w:rPr>
          <w:rFonts w:ascii="宋体" w:hAnsi="宋体"/>
          <w:szCs w:val="21"/>
        </w:rPr>
      </w:pPr>
      <w:r>
        <w:rPr>
          <w:rFonts w:hint="eastAsia" w:ascii="宋体" w:hAnsi="宋体"/>
          <w:szCs w:val="21"/>
        </w:rPr>
        <w:t>9.2每个应答人仅允许1名应答人代表参加会议谈判，请各应答人代表于首次应答截止时间前扫码添加我公司工作人员</w:t>
      </w:r>
      <w:r>
        <w:rPr>
          <w:rFonts w:hint="eastAsia" w:ascii="宋体" w:hAnsi="宋体"/>
          <w:b/>
          <w:bCs/>
          <w:szCs w:val="21"/>
        </w:rPr>
        <w:t>企业微信号（名片后附）</w:t>
      </w:r>
      <w:r>
        <w:rPr>
          <w:rFonts w:hint="eastAsia" w:ascii="宋体" w:hAnsi="宋体"/>
          <w:szCs w:val="21"/>
        </w:rPr>
        <w:t>，我公司将通过此微信号在首次应答截止时间前分别</w:t>
      </w:r>
      <w:r>
        <w:rPr>
          <w:rFonts w:hint="eastAsia" w:ascii="宋体" w:hAnsi="宋体"/>
          <w:szCs w:val="21"/>
          <w:lang w:val="en-US" w:eastAsia="zh-CN"/>
        </w:rPr>
        <w:t>与</w:t>
      </w:r>
      <w:r>
        <w:rPr>
          <w:rFonts w:hint="eastAsia" w:ascii="宋体" w:hAnsi="宋体"/>
          <w:szCs w:val="21"/>
        </w:rPr>
        <w:t>递交（提交）了应答文件的供应商谈判。</w:t>
      </w:r>
    </w:p>
    <w:p>
      <w:pPr>
        <w:adjustRightInd w:val="0"/>
        <w:snapToGrid w:val="0"/>
        <w:spacing w:line="360" w:lineRule="auto"/>
        <w:ind w:firstLine="480" w:firstLineChars="200"/>
        <w:jc w:val="center"/>
        <w:rPr>
          <w:rFonts w:hint="eastAsia"/>
          <w:sz w:val="24"/>
          <w:lang w:val="en-US" w:eastAsia="zh-CN"/>
        </w:rPr>
      </w:pPr>
      <w:r>
        <w:rPr>
          <w:rFonts w:hint="eastAsia"/>
          <w:sz w:val="24"/>
          <w:lang w:val="en-US" w:eastAsia="zh-CN"/>
        </w:rPr>
        <w:drawing>
          <wp:inline distT="0" distB="0" distL="114300" distR="114300">
            <wp:extent cx="2562860" cy="3961765"/>
            <wp:effectExtent l="0" t="0" r="12700" b="635"/>
            <wp:docPr id="4" name="图片 4" descr="b78bc79587c3922dbe09b4b43b4fa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78bc79587c3922dbe09b4b43b4fa34"/>
                    <pic:cNvPicPr>
                      <a:picLocks noChangeAspect="1"/>
                    </pic:cNvPicPr>
                  </pic:nvPicPr>
                  <pic:blipFill>
                    <a:blip r:embed="rId8"/>
                    <a:stretch>
                      <a:fillRect/>
                    </a:stretch>
                  </pic:blipFill>
                  <pic:spPr>
                    <a:xfrm>
                      <a:off x="0" y="0"/>
                      <a:ext cx="2562860" cy="3961765"/>
                    </a:xfrm>
                    <a:prstGeom prst="rect">
                      <a:avLst/>
                    </a:prstGeom>
                  </pic:spPr>
                </pic:pic>
              </a:graphicData>
            </a:graphic>
          </wp:inline>
        </w:drawing>
      </w:r>
    </w:p>
    <w:p>
      <w:pPr>
        <w:adjustRightInd w:val="0"/>
        <w:snapToGrid w:val="0"/>
        <w:spacing w:line="360" w:lineRule="auto"/>
        <w:ind w:firstLine="420" w:firstLineChars="200"/>
        <w:jc w:val="center"/>
        <w:rPr>
          <w:rFonts w:ascii="宋体" w:hAnsi="宋体"/>
          <w:szCs w:val="21"/>
        </w:rPr>
      </w:pPr>
      <w:r>
        <w:rPr>
          <w:rFonts w:hint="eastAsia" w:ascii="宋体" w:hAnsi="宋体"/>
          <w:szCs w:val="21"/>
        </w:rPr>
        <w:t>（注：此微信号对关于开标程序之外的其他问题不予回答）</w:t>
      </w:r>
    </w:p>
    <w:p>
      <w:pPr>
        <w:pStyle w:val="2"/>
        <w:numPr>
          <w:ilvl w:val="255"/>
          <w:numId w:val="0"/>
        </w:numPr>
        <w:jc w:val="center"/>
        <w:rPr>
          <w:rFonts w:ascii="宋体" w:hAnsi="宋体"/>
          <w:szCs w:val="21"/>
          <w:lang w:bidi="en-US"/>
        </w:rPr>
      </w:pP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r>
        <w:rPr>
          <w:rFonts w:hint="eastAsia" w:ascii="黑体" w:eastAsia="黑体" w:hAnsiTheme="majorHAnsi" w:cstheme="majorBidi"/>
          <w:b/>
          <w:kern w:val="0"/>
          <w:sz w:val="24"/>
          <w:lang w:bidi="en-US"/>
        </w:rPr>
        <w:t>10.权利声明</w:t>
      </w:r>
    </w:p>
    <w:p>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禁止对本采购文件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pPr>
        <w:adjustRightInd w:val="0"/>
        <w:snapToGrid w:val="0"/>
        <w:spacing w:line="400" w:lineRule="exact"/>
        <w:ind w:firstLine="420" w:firstLineChars="200"/>
        <w:rPr>
          <w:rFonts w:hint="eastAsia" w:ascii="宋体" w:hAnsi="宋体"/>
          <w:color w:val="000000" w:themeColor="text1"/>
          <w14:textFill>
            <w14:solidFill>
              <w14:schemeClr w14:val="tx1"/>
            </w14:solidFill>
          </w14:textFill>
        </w:rPr>
      </w:pPr>
    </w:p>
    <w:p>
      <w:pPr>
        <w:adjustRightInd w:val="0"/>
        <w:snapToGrid w:val="0"/>
        <w:spacing w:line="400" w:lineRule="exact"/>
        <w:ind w:firstLine="420" w:firstLineChars="200"/>
        <w:jc w:val="right"/>
      </w:pPr>
      <w:r>
        <w:rPr>
          <w:rFonts w:hint="eastAsia" w:ascii="宋体" w:hAnsi="宋体" w:eastAsia="宋体" w:cs="Arial"/>
          <w:color w:val="auto"/>
          <w:highlight w:val="none"/>
        </w:rPr>
        <w:t>2023年</w:t>
      </w:r>
      <w:r>
        <w:rPr>
          <w:rFonts w:hint="eastAsia" w:ascii="宋体" w:hAnsi="宋体" w:cs="Arial"/>
          <w:color w:val="auto"/>
          <w:highlight w:val="none"/>
          <w:lang w:val="en-US" w:eastAsia="zh-CN"/>
        </w:rPr>
        <w:t>12</w:t>
      </w:r>
      <w:r>
        <w:rPr>
          <w:rFonts w:hint="eastAsia" w:ascii="宋体" w:hAnsi="宋体" w:eastAsia="宋体" w:cs="Arial"/>
          <w:color w:val="auto"/>
          <w:highlight w:val="none"/>
        </w:rPr>
        <w:t>月</w:t>
      </w:r>
      <w:r>
        <w:rPr>
          <w:rFonts w:hint="eastAsia" w:ascii="宋体" w:hAnsi="宋体" w:cs="Arial"/>
          <w:color w:val="auto"/>
          <w:highlight w:val="none"/>
          <w:lang w:val="en-US" w:eastAsia="zh-CN"/>
        </w:rPr>
        <w:t>27</w:t>
      </w:r>
      <w:r>
        <w:rPr>
          <w:rFonts w:hint="eastAsia" w:ascii="宋体" w:hAnsi="宋体" w:eastAsia="宋体" w:cs="Arial"/>
          <w:color w:val="auto"/>
          <w:highlight w:val="none"/>
        </w:rPr>
        <w:t>日</w:t>
      </w:r>
      <w:r>
        <w:br w:type="page"/>
      </w:r>
    </w:p>
    <w:p>
      <w:pPr>
        <w:pStyle w:val="7"/>
        <w:spacing w:before="156" w:beforeLines="50"/>
        <w:ind w:firstLine="420"/>
        <w:jc w:val="right"/>
        <w:rPr>
          <w:color w:val="FF0000"/>
        </w:rPr>
        <w:sectPr>
          <w:headerReference r:id="rId3" w:type="default"/>
          <w:footerReference r:id="rId4" w:type="default"/>
          <w:pgSz w:w="11906" w:h="16838"/>
          <w:pgMar w:top="1417" w:right="1134" w:bottom="1134" w:left="1134" w:header="851" w:footer="992" w:gutter="0"/>
          <w:pgNumType w:start="1"/>
          <w:cols w:space="0" w:num="1"/>
          <w:docGrid w:type="lines" w:linePitch="312" w:charSpace="0"/>
        </w:sectPr>
      </w:pPr>
    </w:p>
    <w:p>
      <w:pPr>
        <w:pStyle w:val="38"/>
        <w:spacing w:after="120" w:line="400" w:lineRule="exact"/>
        <w:ind w:firstLine="482" w:firstLineChars="200"/>
        <w:rPr>
          <w:rFonts w:asciiTheme="minorEastAsia" w:hAnsiTheme="minorEastAsia" w:eastAsiaTheme="minorEastAsia"/>
          <w:b/>
          <w:color w:val="FF0000"/>
          <w:szCs w:val="21"/>
        </w:rPr>
      </w:pPr>
      <w:r>
        <w:rPr>
          <w:rFonts w:hint="eastAsia" w:cs="宋体"/>
          <w:b/>
          <w:bCs/>
          <w:sz w:val="24"/>
          <w:szCs w:val="24"/>
          <w:lang w:val="en-US" w:bidi="ar"/>
        </w:rPr>
        <w:t>附件1： 服务清单</w:t>
      </w:r>
    </w:p>
    <w:tbl>
      <w:tblPr>
        <w:tblStyle w:val="13"/>
        <w:tblW w:w="49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7"/>
        <w:gridCol w:w="1008"/>
        <w:gridCol w:w="2076"/>
        <w:gridCol w:w="672"/>
        <w:gridCol w:w="660"/>
        <w:gridCol w:w="1188"/>
        <w:gridCol w:w="1181"/>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blHeader/>
          <w:jc w:val="center"/>
        </w:trPr>
        <w:tc>
          <w:tcPr>
            <w:tcW w:w="950" w:type="pct"/>
            <w:vMerge w:val="restart"/>
            <w:vAlign w:val="center"/>
          </w:tcPr>
          <w:p>
            <w:pPr>
              <w:widowControl/>
              <w:adjustRightInd w:val="0"/>
              <w:snapToGrid w:val="0"/>
              <w:spacing w:line="320" w:lineRule="exact"/>
              <w:jc w:val="center"/>
              <w:rPr>
                <w:rFonts w:ascii="宋体" w:hAnsi="宋体" w:cs="宋体"/>
                <w:b/>
                <w:bCs/>
                <w:szCs w:val="21"/>
              </w:rPr>
            </w:pPr>
            <w:r>
              <w:rPr>
                <w:rFonts w:hint="eastAsia" w:ascii="宋体" w:hAnsi="宋体" w:cs="宋体"/>
                <w:b/>
                <w:bCs/>
                <w:szCs w:val="21"/>
              </w:rPr>
              <w:t>分标</w:t>
            </w:r>
            <w:r>
              <w:rPr>
                <w:rFonts w:hint="eastAsia" w:cs="宋体"/>
                <w:b/>
                <w:bCs/>
                <w:szCs w:val="21"/>
              </w:rPr>
              <w:t>编号</w:t>
            </w:r>
          </w:p>
        </w:tc>
        <w:tc>
          <w:tcPr>
            <w:tcW w:w="513" w:type="pct"/>
            <w:vMerge w:val="restart"/>
            <w:vAlign w:val="center"/>
          </w:tcPr>
          <w:p>
            <w:pPr>
              <w:widowControl/>
              <w:adjustRightInd w:val="0"/>
              <w:snapToGrid w:val="0"/>
              <w:spacing w:line="320" w:lineRule="exact"/>
              <w:jc w:val="center"/>
              <w:rPr>
                <w:rFonts w:ascii="宋体" w:hAnsi="宋体" w:cs="宋体"/>
                <w:b/>
                <w:bCs/>
                <w:szCs w:val="21"/>
              </w:rPr>
            </w:pPr>
            <w:r>
              <w:rPr>
                <w:rFonts w:hint="eastAsia" w:ascii="宋体" w:hAnsi="宋体" w:cs="宋体"/>
                <w:b/>
                <w:bCs/>
                <w:szCs w:val="21"/>
              </w:rPr>
              <w:t>包号</w:t>
            </w:r>
          </w:p>
        </w:tc>
        <w:tc>
          <w:tcPr>
            <w:tcW w:w="1735" w:type="pct"/>
            <w:gridSpan w:val="3"/>
            <w:vAlign w:val="center"/>
          </w:tcPr>
          <w:p>
            <w:pPr>
              <w:widowControl/>
              <w:adjustRightInd w:val="0"/>
              <w:snapToGrid w:val="0"/>
              <w:spacing w:line="320" w:lineRule="exact"/>
              <w:jc w:val="center"/>
              <w:rPr>
                <w:rFonts w:ascii="宋体" w:hAnsi="宋体" w:cs="宋体"/>
                <w:b/>
                <w:bCs/>
                <w:szCs w:val="21"/>
              </w:rPr>
            </w:pPr>
            <w:r>
              <w:rPr>
                <w:rFonts w:hint="eastAsia" w:ascii="宋体" w:hAnsi="宋体" w:cs="宋体"/>
                <w:b/>
                <w:bCs/>
                <w:szCs w:val="21"/>
              </w:rPr>
              <w:t>采购范围</w:t>
            </w:r>
          </w:p>
        </w:tc>
        <w:tc>
          <w:tcPr>
            <w:tcW w:w="605" w:type="pct"/>
            <w:vMerge w:val="restart"/>
            <w:vAlign w:val="center"/>
          </w:tcPr>
          <w:p>
            <w:pPr>
              <w:widowControl/>
              <w:adjustRightInd w:val="0"/>
              <w:snapToGrid w:val="0"/>
              <w:spacing w:line="320" w:lineRule="exact"/>
              <w:jc w:val="center"/>
              <w:rPr>
                <w:rFonts w:ascii="宋体" w:hAnsi="宋体" w:cs="宋体"/>
                <w:b/>
                <w:bCs/>
                <w:szCs w:val="21"/>
              </w:rPr>
            </w:pPr>
            <w:r>
              <w:rPr>
                <w:rFonts w:hint="eastAsia" w:ascii="宋体" w:hAnsi="宋体" w:cs="宋体"/>
                <w:b/>
                <w:bCs/>
                <w:szCs w:val="21"/>
              </w:rPr>
              <w:t>服务期</w:t>
            </w:r>
          </w:p>
        </w:tc>
        <w:tc>
          <w:tcPr>
            <w:tcW w:w="601" w:type="pct"/>
            <w:vMerge w:val="restart"/>
            <w:vAlign w:val="center"/>
          </w:tcPr>
          <w:p>
            <w:pPr>
              <w:widowControl/>
              <w:adjustRightInd w:val="0"/>
              <w:snapToGrid w:val="0"/>
              <w:spacing w:line="320" w:lineRule="exact"/>
              <w:jc w:val="center"/>
              <w:rPr>
                <w:rFonts w:ascii="宋体" w:hAnsi="宋体" w:cs="宋体"/>
                <w:b/>
                <w:bCs/>
                <w:szCs w:val="21"/>
              </w:rPr>
            </w:pPr>
            <w:r>
              <w:rPr>
                <w:rFonts w:hint="eastAsia" w:ascii="宋体" w:hAnsi="宋体" w:cs="宋体"/>
                <w:b/>
                <w:szCs w:val="21"/>
              </w:rPr>
              <w:t>服务地点</w:t>
            </w:r>
          </w:p>
        </w:tc>
        <w:tc>
          <w:tcPr>
            <w:tcW w:w="593" w:type="pct"/>
            <w:vMerge w:val="restart"/>
            <w:vAlign w:val="center"/>
          </w:tcPr>
          <w:p>
            <w:pPr>
              <w:widowControl/>
              <w:adjustRightInd w:val="0"/>
              <w:snapToGrid w:val="0"/>
              <w:spacing w:line="320" w:lineRule="exact"/>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blHeader/>
          <w:jc w:val="center"/>
        </w:trPr>
        <w:tc>
          <w:tcPr>
            <w:tcW w:w="950" w:type="pct"/>
            <w:vMerge w:val="continue"/>
            <w:vAlign w:val="center"/>
          </w:tcPr>
          <w:p>
            <w:pPr>
              <w:widowControl/>
              <w:adjustRightInd w:val="0"/>
              <w:snapToGrid w:val="0"/>
              <w:spacing w:line="320" w:lineRule="exact"/>
              <w:jc w:val="center"/>
              <w:rPr>
                <w:rFonts w:ascii="宋体" w:hAnsi="宋体" w:cs="宋体"/>
                <w:b/>
                <w:bCs/>
                <w:szCs w:val="21"/>
              </w:rPr>
            </w:pPr>
          </w:p>
        </w:tc>
        <w:tc>
          <w:tcPr>
            <w:tcW w:w="513" w:type="pct"/>
            <w:vMerge w:val="continue"/>
            <w:vAlign w:val="center"/>
          </w:tcPr>
          <w:p>
            <w:pPr>
              <w:widowControl/>
              <w:adjustRightInd w:val="0"/>
              <w:snapToGrid w:val="0"/>
              <w:spacing w:line="320" w:lineRule="exact"/>
              <w:jc w:val="center"/>
              <w:rPr>
                <w:rFonts w:ascii="宋体" w:hAnsi="宋体" w:cs="宋体"/>
                <w:b/>
                <w:bCs/>
                <w:szCs w:val="21"/>
              </w:rPr>
            </w:pPr>
          </w:p>
        </w:tc>
        <w:tc>
          <w:tcPr>
            <w:tcW w:w="1057" w:type="pct"/>
            <w:vAlign w:val="center"/>
          </w:tcPr>
          <w:p>
            <w:pPr>
              <w:widowControl/>
              <w:adjustRightInd w:val="0"/>
              <w:snapToGrid w:val="0"/>
              <w:spacing w:line="320" w:lineRule="exact"/>
              <w:jc w:val="center"/>
              <w:rPr>
                <w:rFonts w:ascii="宋体" w:hAnsi="宋体" w:cs="宋体"/>
                <w:b/>
                <w:bCs/>
                <w:szCs w:val="21"/>
              </w:rPr>
            </w:pPr>
            <w:r>
              <w:rPr>
                <w:rFonts w:hint="eastAsia" w:ascii="宋体" w:hAnsi="宋体" w:cs="宋体"/>
                <w:b/>
                <w:szCs w:val="21"/>
              </w:rPr>
              <w:t>服务名称</w:t>
            </w:r>
          </w:p>
        </w:tc>
        <w:tc>
          <w:tcPr>
            <w:tcW w:w="342" w:type="pct"/>
            <w:vAlign w:val="center"/>
          </w:tcPr>
          <w:p>
            <w:pPr>
              <w:widowControl/>
              <w:jc w:val="center"/>
              <w:rPr>
                <w:rFonts w:ascii="宋体" w:hAnsi="宋体" w:cs="宋体"/>
                <w:b/>
                <w:bCs/>
                <w:szCs w:val="21"/>
              </w:rPr>
            </w:pPr>
            <w:r>
              <w:rPr>
                <w:rFonts w:hint="eastAsia" w:ascii="宋体" w:hAnsi="宋体" w:cs="宋体"/>
                <w:b/>
                <w:szCs w:val="21"/>
              </w:rPr>
              <w:t>数量</w:t>
            </w:r>
          </w:p>
        </w:tc>
        <w:tc>
          <w:tcPr>
            <w:tcW w:w="336" w:type="pct"/>
            <w:vAlign w:val="center"/>
          </w:tcPr>
          <w:p>
            <w:pPr>
              <w:widowControl/>
              <w:jc w:val="center"/>
              <w:rPr>
                <w:rFonts w:ascii="宋体" w:hAnsi="宋体" w:cs="宋体"/>
                <w:b/>
                <w:bCs/>
                <w:szCs w:val="21"/>
              </w:rPr>
            </w:pPr>
            <w:r>
              <w:rPr>
                <w:rFonts w:hint="eastAsia" w:ascii="宋体" w:hAnsi="宋体" w:cs="宋体"/>
                <w:b/>
                <w:szCs w:val="21"/>
              </w:rPr>
              <w:t>单位</w:t>
            </w:r>
          </w:p>
        </w:tc>
        <w:tc>
          <w:tcPr>
            <w:tcW w:w="605" w:type="pct"/>
            <w:vMerge w:val="continue"/>
            <w:vAlign w:val="center"/>
          </w:tcPr>
          <w:p>
            <w:pPr>
              <w:widowControl/>
              <w:adjustRightInd w:val="0"/>
              <w:snapToGrid w:val="0"/>
              <w:spacing w:line="320" w:lineRule="exact"/>
              <w:jc w:val="center"/>
              <w:rPr>
                <w:rFonts w:ascii="宋体" w:hAnsi="宋体" w:cs="宋体"/>
                <w:b/>
                <w:bCs/>
                <w:szCs w:val="21"/>
              </w:rPr>
            </w:pPr>
          </w:p>
        </w:tc>
        <w:tc>
          <w:tcPr>
            <w:tcW w:w="601" w:type="pct"/>
            <w:vMerge w:val="continue"/>
            <w:vAlign w:val="center"/>
          </w:tcPr>
          <w:p>
            <w:pPr>
              <w:widowControl/>
              <w:adjustRightInd w:val="0"/>
              <w:snapToGrid w:val="0"/>
              <w:spacing w:line="320" w:lineRule="exact"/>
              <w:jc w:val="center"/>
              <w:rPr>
                <w:rFonts w:ascii="宋体" w:hAnsi="宋体" w:cs="宋体"/>
                <w:b/>
                <w:bCs/>
                <w:szCs w:val="21"/>
              </w:rPr>
            </w:pPr>
          </w:p>
        </w:tc>
        <w:tc>
          <w:tcPr>
            <w:tcW w:w="593" w:type="pct"/>
            <w:vMerge w:val="continue"/>
            <w:vAlign w:val="center"/>
          </w:tcPr>
          <w:p>
            <w:pPr>
              <w:widowControl/>
              <w:adjustRightInd w:val="0"/>
              <w:snapToGrid w:val="0"/>
              <w:spacing w:line="320" w:lineRule="exact"/>
              <w:jc w:val="center"/>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2" w:hRule="atLeast"/>
          <w:tblHeader/>
          <w:jc w:val="center"/>
        </w:trPr>
        <w:tc>
          <w:tcPr>
            <w:tcW w:w="950" w:type="pct"/>
            <w:vAlign w:val="center"/>
          </w:tcPr>
          <w:p>
            <w:pPr>
              <w:widowControl/>
              <w:adjustRightInd w:val="0"/>
              <w:snapToGrid w:val="0"/>
              <w:spacing w:line="320" w:lineRule="exact"/>
              <w:jc w:val="center"/>
              <w:rPr>
                <w:rFonts w:hint="default" w:ascii="宋体" w:hAnsi="宋体" w:eastAsia="宋体" w:cs="宋体"/>
                <w:bCs/>
                <w:szCs w:val="21"/>
                <w:lang w:val="en-US" w:eastAsia="zh-CN" w:bidi="ar"/>
              </w:rPr>
            </w:pPr>
            <w:r>
              <w:rPr>
                <w:rFonts w:hint="eastAsia" w:ascii="宋体" w:hAnsi="宋体" w:cs="宋体"/>
                <w:bCs/>
                <w:szCs w:val="21"/>
                <w:lang w:val="en-US" w:eastAsia="zh-CN" w:bidi="ar"/>
              </w:rPr>
              <w:t>标1</w:t>
            </w:r>
          </w:p>
        </w:tc>
        <w:tc>
          <w:tcPr>
            <w:tcW w:w="513" w:type="pct"/>
            <w:vAlign w:val="center"/>
          </w:tcPr>
          <w:p>
            <w:pPr>
              <w:widowControl/>
              <w:adjustRightInd w:val="0"/>
              <w:snapToGrid w:val="0"/>
              <w:spacing w:line="320" w:lineRule="exact"/>
              <w:jc w:val="center"/>
              <w:rPr>
                <w:rFonts w:hint="default" w:ascii="宋体" w:hAnsi="宋体" w:eastAsia="宋体" w:cs="宋体"/>
                <w:bCs/>
                <w:szCs w:val="21"/>
                <w:lang w:val="en-US" w:eastAsia="zh-CN" w:bidi="ar"/>
              </w:rPr>
            </w:pPr>
            <w:r>
              <w:rPr>
                <w:rFonts w:hint="eastAsia" w:ascii="宋体" w:hAnsi="宋体" w:eastAsia="宋体" w:cs="宋体"/>
                <w:bCs/>
                <w:szCs w:val="21"/>
                <w:lang w:val="en-US" w:eastAsia="zh-CN" w:bidi="ar"/>
              </w:rPr>
              <w:t>包1</w:t>
            </w:r>
          </w:p>
        </w:tc>
        <w:tc>
          <w:tcPr>
            <w:tcW w:w="1057" w:type="pct"/>
            <w:vAlign w:val="center"/>
          </w:tcPr>
          <w:p>
            <w:pPr>
              <w:widowControl/>
              <w:adjustRightInd w:val="0"/>
              <w:snapToGrid w:val="0"/>
              <w:spacing w:line="320" w:lineRule="exact"/>
              <w:jc w:val="center"/>
              <w:rPr>
                <w:rFonts w:hint="eastAsia" w:ascii="宋体" w:hAnsi="宋体" w:eastAsia="宋体" w:cs="宋体"/>
                <w:bCs/>
                <w:szCs w:val="21"/>
                <w:lang w:eastAsia="zh-CN" w:bidi="ar"/>
              </w:rPr>
            </w:pPr>
            <w:r>
              <w:rPr>
                <w:rFonts w:hint="eastAsia" w:ascii="宋体" w:hAnsi="宋体" w:cs="宋体"/>
                <w:bCs/>
                <w:szCs w:val="21"/>
                <w:lang w:eastAsia="zh-CN" w:bidi="ar"/>
              </w:rPr>
              <w:t>工业水及阀水冷系统检修技术服务</w:t>
            </w:r>
          </w:p>
        </w:tc>
        <w:tc>
          <w:tcPr>
            <w:tcW w:w="342" w:type="pct"/>
            <w:vAlign w:val="center"/>
          </w:tcPr>
          <w:p>
            <w:pPr>
              <w:widowControl/>
              <w:adjustRightInd w:val="0"/>
              <w:snapToGrid w:val="0"/>
              <w:spacing w:line="320" w:lineRule="exact"/>
              <w:jc w:val="center"/>
              <w:rPr>
                <w:rFonts w:hint="eastAsia" w:ascii="宋体" w:hAnsi="宋体" w:eastAsia="宋体" w:cs="宋体"/>
                <w:bCs/>
                <w:szCs w:val="21"/>
                <w:lang w:val="en-US" w:eastAsia="zh-CN" w:bidi="ar"/>
              </w:rPr>
            </w:pPr>
            <w:r>
              <w:rPr>
                <w:rFonts w:hint="eastAsia" w:ascii="宋体" w:hAnsi="宋体" w:eastAsia="宋体" w:cs="宋体"/>
                <w:bCs/>
                <w:szCs w:val="21"/>
                <w:lang w:val="en-US" w:eastAsia="zh-CN" w:bidi="ar"/>
              </w:rPr>
              <w:t>1</w:t>
            </w:r>
          </w:p>
        </w:tc>
        <w:tc>
          <w:tcPr>
            <w:tcW w:w="336" w:type="pct"/>
            <w:vAlign w:val="center"/>
          </w:tcPr>
          <w:p>
            <w:pPr>
              <w:widowControl/>
              <w:adjustRightInd w:val="0"/>
              <w:snapToGrid w:val="0"/>
              <w:spacing w:line="320" w:lineRule="exact"/>
              <w:jc w:val="center"/>
              <w:rPr>
                <w:rFonts w:hint="eastAsia" w:ascii="宋体" w:hAnsi="宋体" w:eastAsia="宋体" w:cs="宋体"/>
                <w:bCs/>
                <w:szCs w:val="21"/>
                <w:highlight w:val="none"/>
                <w:lang w:val="en-US" w:eastAsia="zh-CN" w:bidi="ar"/>
              </w:rPr>
            </w:pPr>
            <w:r>
              <w:rPr>
                <w:rFonts w:hint="eastAsia" w:ascii="宋体" w:hAnsi="宋体" w:eastAsia="宋体" w:cs="宋体"/>
                <w:bCs/>
                <w:szCs w:val="21"/>
                <w:highlight w:val="none"/>
                <w:lang w:val="en-US" w:eastAsia="zh-CN" w:bidi="ar"/>
              </w:rPr>
              <w:t>项</w:t>
            </w:r>
          </w:p>
        </w:tc>
        <w:tc>
          <w:tcPr>
            <w:tcW w:w="605" w:type="pct"/>
            <w:vAlign w:val="center"/>
          </w:tcPr>
          <w:p>
            <w:pPr>
              <w:widowControl/>
              <w:adjustRightInd w:val="0"/>
              <w:snapToGrid w:val="0"/>
              <w:spacing w:line="320" w:lineRule="exact"/>
              <w:jc w:val="center"/>
              <w:rPr>
                <w:rFonts w:hint="eastAsia" w:ascii="宋体" w:hAnsi="宋体" w:eastAsia="宋体" w:cs="宋体"/>
                <w:bCs/>
                <w:szCs w:val="21"/>
                <w:highlight w:val="none"/>
                <w:lang w:bidi="ar"/>
              </w:rPr>
            </w:pPr>
            <w:r>
              <w:rPr>
                <w:rFonts w:hint="eastAsia" w:ascii="宋体" w:hAnsi="宋体" w:eastAsia="宋体" w:cs="宋体"/>
                <w:bCs/>
                <w:szCs w:val="21"/>
                <w:highlight w:val="none"/>
                <w:lang w:bidi="ar"/>
              </w:rPr>
              <w:t>按照甲方工程进度</w:t>
            </w:r>
          </w:p>
        </w:tc>
        <w:tc>
          <w:tcPr>
            <w:tcW w:w="601" w:type="pct"/>
            <w:vAlign w:val="center"/>
          </w:tcPr>
          <w:p>
            <w:pPr>
              <w:widowControl/>
              <w:adjustRightInd w:val="0"/>
              <w:snapToGrid w:val="0"/>
              <w:spacing w:line="320" w:lineRule="exact"/>
              <w:jc w:val="center"/>
              <w:rPr>
                <w:rFonts w:hint="eastAsia" w:ascii="宋体" w:hAnsi="宋体" w:eastAsia="宋体" w:cs="宋体"/>
                <w:bCs/>
                <w:szCs w:val="21"/>
                <w:lang w:bidi="ar"/>
              </w:rPr>
            </w:pPr>
            <w:r>
              <w:rPr>
                <w:rFonts w:hint="eastAsia" w:ascii="宋体" w:hAnsi="宋体" w:eastAsia="宋体" w:cs="宋体"/>
                <w:bCs/>
                <w:szCs w:val="21"/>
                <w:lang w:bidi="ar"/>
              </w:rPr>
              <w:t>采购人指定地点</w:t>
            </w:r>
          </w:p>
        </w:tc>
        <w:tc>
          <w:tcPr>
            <w:tcW w:w="593" w:type="pct"/>
            <w:vAlign w:val="center"/>
          </w:tcPr>
          <w:p>
            <w:pPr>
              <w:widowControl/>
              <w:adjustRightInd w:val="0"/>
              <w:snapToGrid w:val="0"/>
              <w:spacing w:line="320" w:lineRule="exact"/>
              <w:jc w:val="center"/>
              <w:rPr>
                <w:rFonts w:ascii="宋体" w:hAnsi="宋体" w:cs="宋体"/>
                <w:b/>
                <w:szCs w:val="21"/>
                <w:lang w:bidi="ar"/>
              </w:rPr>
            </w:pPr>
            <w:r>
              <w:rPr>
                <w:rFonts w:hint="eastAsia" w:ascii="宋体" w:hAnsi="宋体" w:eastAsia="宋体" w:cs="宋体"/>
                <w:bCs/>
                <w:szCs w:val="21"/>
                <w:lang w:val="en-US" w:eastAsia="zh-CN" w:bidi="ar"/>
              </w:rPr>
              <w:t>具体需求详见技术规范书。</w:t>
            </w:r>
          </w:p>
        </w:tc>
      </w:tr>
    </w:tbl>
    <w:p>
      <w:pPr>
        <w:pStyle w:val="7"/>
        <w:spacing w:after="0"/>
        <w:jc w:val="left"/>
        <w:rPr>
          <w:rFonts w:asciiTheme="minorEastAsia" w:hAnsiTheme="minorEastAsia" w:eastAsiaTheme="minorEastAsia"/>
          <w:b/>
          <w:color w:val="FF0000"/>
          <w:szCs w:val="21"/>
        </w:rPr>
        <w:sectPr>
          <w:pgSz w:w="11906" w:h="16838"/>
          <w:pgMar w:top="1417" w:right="1134" w:bottom="1134" w:left="1134" w:header="851" w:footer="992" w:gutter="0"/>
          <w:cols w:space="0" w:num="1"/>
          <w:docGrid w:type="lines" w:linePitch="312" w:charSpace="0"/>
        </w:sectPr>
      </w:pPr>
    </w:p>
    <w:p>
      <w:pPr>
        <w:pStyle w:val="2"/>
        <w:spacing w:line="400" w:lineRule="exact"/>
        <w:ind w:firstLine="0"/>
        <w:jc w:val="left"/>
        <w:rPr>
          <w:rFonts w:ascii="宋体" w:hAnsi="宋体" w:cs="宋体"/>
          <w:b/>
          <w:bCs/>
          <w:sz w:val="24"/>
          <w:lang w:bidi="ar"/>
        </w:rPr>
      </w:pPr>
      <w:r>
        <w:rPr>
          <w:rFonts w:hint="eastAsia" w:ascii="宋体" w:hAnsi="宋体" w:cs="宋体"/>
          <w:b/>
          <w:bCs/>
          <w:sz w:val="24"/>
          <w:lang w:bidi="ar"/>
        </w:rPr>
        <w:t>附件2：专用资质业绩要求</w:t>
      </w:r>
    </w:p>
    <w:tbl>
      <w:tblPr>
        <w:tblStyle w:val="13"/>
        <w:tblW w:w="49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98" w:type="dxa"/>
          <w:bottom w:w="0" w:type="dxa"/>
          <w:right w:w="108" w:type="dxa"/>
        </w:tblCellMar>
      </w:tblPr>
      <w:tblGrid>
        <w:gridCol w:w="1179"/>
        <w:gridCol w:w="756"/>
        <w:gridCol w:w="1872"/>
        <w:gridCol w:w="5246"/>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108" w:type="dxa"/>
          </w:tblCellMar>
        </w:tblPrEx>
        <w:trPr>
          <w:cantSplit/>
          <w:trHeight w:val="870" w:hRule="atLeast"/>
          <w:tblHeader/>
        </w:trPr>
        <w:tc>
          <w:tcPr>
            <w:tcW w:w="595" w:type="pct"/>
            <w:vAlign w:val="center"/>
          </w:tcPr>
          <w:p>
            <w:pPr>
              <w:widowControl/>
              <w:adjustRightInd w:val="0"/>
              <w:snapToGrid w:val="0"/>
              <w:spacing w:line="0" w:lineRule="atLeast"/>
              <w:jc w:val="center"/>
              <w:rPr>
                <w:rFonts w:ascii="宋体" w:hAnsi="宋体" w:cs="宋体"/>
                <w:b/>
                <w:bCs/>
                <w:szCs w:val="21"/>
              </w:rPr>
            </w:pPr>
            <w:r>
              <w:rPr>
                <w:rFonts w:hint="eastAsia" w:ascii="宋体" w:hAnsi="宋体" w:cs="宋体"/>
                <w:b/>
                <w:bCs/>
                <w:szCs w:val="21"/>
              </w:rPr>
              <w:t>分标</w:t>
            </w:r>
            <w:r>
              <w:rPr>
                <w:rFonts w:hint="eastAsia" w:cs="宋体"/>
                <w:b/>
                <w:bCs/>
                <w:szCs w:val="21"/>
              </w:rPr>
              <w:t>编号</w:t>
            </w:r>
          </w:p>
        </w:tc>
        <w:tc>
          <w:tcPr>
            <w:tcW w:w="381" w:type="pct"/>
            <w:vAlign w:val="center"/>
          </w:tcPr>
          <w:p>
            <w:pPr>
              <w:widowControl/>
              <w:jc w:val="both"/>
              <w:rPr>
                <w:rFonts w:ascii="宋体" w:hAnsi="宋体" w:cs="宋体"/>
                <w:b/>
                <w:bCs/>
                <w:szCs w:val="21"/>
              </w:rPr>
            </w:pPr>
            <w:r>
              <w:rPr>
                <w:rFonts w:hint="eastAsia" w:ascii="宋体" w:hAnsi="宋体" w:cs="宋体"/>
                <w:b/>
                <w:bCs/>
                <w:szCs w:val="21"/>
              </w:rPr>
              <w:t>包号</w:t>
            </w:r>
          </w:p>
        </w:tc>
        <w:tc>
          <w:tcPr>
            <w:tcW w:w="944" w:type="pct"/>
            <w:vAlign w:val="center"/>
          </w:tcPr>
          <w:p>
            <w:pPr>
              <w:widowControl/>
              <w:adjustRightInd w:val="0"/>
              <w:snapToGrid w:val="0"/>
              <w:spacing w:line="0" w:lineRule="atLeast"/>
              <w:jc w:val="center"/>
              <w:rPr>
                <w:rFonts w:ascii="宋体" w:hAnsi="宋体" w:cs="宋体"/>
                <w:b/>
                <w:bCs/>
                <w:szCs w:val="21"/>
              </w:rPr>
            </w:pPr>
            <w:r>
              <w:rPr>
                <w:rFonts w:hint="eastAsia" w:ascii="宋体" w:hAnsi="宋体" w:cs="宋体"/>
                <w:b/>
                <w:bCs/>
                <w:szCs w:val="21"/>
              </w:rPr>
              <w:t>服务名称</w:t>
            </w:r>
          </w:p>
        </w:tc>
        <w:tc>
          <w:tcPr>
            <w:tcW w:w="2645" w:type="pct"/>
            <w:vAlign w:val="center"/>
          </w:tcPr>
          <w:p>
            <w:pPr>
              <w:widowControl/>
              <w:adjustRightInd w:val="0"/>
              <w:snapToGrid w:val="0"/>
              <w:spacing w:line="0" w:lineRule="atLeast"/>
              <w:jc w:val="center"/>
              <w:rPr>
                <w:rFonts w:ascii="宋体" w:hAnsi="宋体" w:cs="宋体"/>
                <w:b/>
                <w:bCs/>
                <w:szCs w:val="21"/>
              </w:rPr>
            </w:pPr>
            <w:r>
              <w:rPr>
                <w:rFonts w:hint="eastAsia" w:ascii="宋体" w:hAnsi="宋体" w:cs="宋体"/>
                <w:b/>
                <w:bCs/>
                <w:szCs w:val="21"/>
              </w:rPr>
              <w:t>专用资格要求</w:t>
            </w:r>
          </w:p>
        </w:tc>
        <w:tc>
          <w:tcPr>
            <w:tcW w:w="433" w:type="pct"/>
            <w:vAlign w:val="center"/>
          </w:tcPr>
          <w:p>
            <w:pPr>
              <w:widowControl/>
              <w:adjustRightInd w:val="0"/>
              <w:snapToGrid w:val="0"/>
              <w:spacing w:line="0" w:lineRule="atLeast"/>
              <w:jc w:val="center"/>
              <w:rPr>
                <w:rFonts w:ascii="宋体" w:hAnsi="宋体" w:cs="宋体"/>
                <w:b/>
                <w:bCs/>
                <w:szCs w:val="21"/>
              </w:rPr>
            </w:pPr>
            <w:r>
              <w:rPr>
                <w:rFonts w:hint="eastAsia" w:ascii="宋体" w:hAnsi="宋体" w:cs="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108" w:type="dxa"/>
          </w:tblCellMar>
        </w:tblPrEx>
        <w:trPr>
          <w:cantSplit/>
          <w:trHeight w:val="3072" w:hRule="atLeast"/>
        </w:trPr>
        <w:tc>
          <w:tcPr>
            <w:tcW w:w="595" w:type="pct"/>
            <w:vAlign w:val="center"/>
          </w:tcPr>
          <w:p>
            <w:pPr>
              <w:widowControl/>
              <w:jc w:val="center"/>
              <w:textAlignment w:val="center"/>
              <w:rPr>
                <w:rFonts w:hint="default" w:ascii="宋体" w:hAnsi="宋体" w:eastAsia="宋体" w:cs="宋体"/>
                <w:kern w:val="0"/>
                <w:sz w:val="22"/>
                <w:lang w:val="en-US" w:eastAsia="zh-CN" w:bidi="ar"/>
              </w:rPr>
            </w:pPr>
            <w:r>
              <w:rPr>
                <w:rFonts w:hint="eastAsia" w:ascii="宋体" w:hAnsi="宋体" w:cs="宋体"/>
                <w:bCs/>
                <w:szCs w:val="21"/>
                <w:lang w:val="en-US" w:eastAsia="zh-CN" w:bidi="ar"/>
              </w:rPr>
              <w:t>标1</w:t>
            </w:r>
          </w:p>
        </w:tc>
        <w:tc>
          <w:tcPr>
            <w:tcW w:w="381" w:type="pct"/>
            <w:vAlign w:val="center"/>
          </w:tcPr>
          <w:p>
            <w:pPr>
              <w:widowControl/>
              <w:adjustRightInd w:val="0"/>
              <w:snapToGrid w:val="0"/>
              <w:spacing w:line="320" w:lineRule="exact"/>
              <w:jc w:val="both"/>
              <w:rPr>
                <w:rFonts w:ascii="宋体" w:hAnsi="宋体" w:cs="宋体"/>
                <w:kern w:val="0"/>
                <w:sz w:val="22"/>
                <w:lang w:bidi="ar"/>
              </w:rPr>
            </w:pPr>
            <w:r>
              <w:rPr>
                <w:rFonts w:hint="eastAsia" w:ascii="宋体" w:hAnsi="宋体" w:eastAsia="宋体" w:cs="宋体"/>
                <w:bCs/>
                <w:szCs w:val="21"/>
                <w:lang w:val="en-US" w:eastAsia="zh-CN" w:bidi="ar"/>
              </w:rPr>
              <w:t>包1</w:t>
            </w:r>
          </w:p>
        </w:tc>
        <w:tc>
          <w:tcPr>
            <w:tcW w:w="944" w:type="pct"/>
            <w:vAlign w:val="center"/>
          </w:tcPr>
          <w:p>
            <w:pPr>
              <w:widowControl/>
              <w:adjustRightInd w:val="0"/>
              <w:snapToGrid w:val="0"/>
              <w:spacing w:line="320" w:lineRule="exact"/>
              <w:jc w:val="center"/>
              <w:rPr>
                <w:rFonts w:hint="eastAsia" w:ascii="宋体" w:hAnsi="宋体" w:cs="宋体"/>
                <w:bCs/>
                <w:szCs w:val="21"/>
                <w:lang w:eastAsia="zh-CN" w:bidi="ar"/>
              </w:rPr>
            </w:pPr>
            <w:r>
              <w:rPr>
                <w:rFonts w:hint="eastAsia" w:ascii="宋体" w:hAnsi="宋体" w:cs="宋体"/>
                <w:bCs/>
                <w:szCs w:val="21"/>
                <w:lang w:eastAsia="zh-CN" w:bidi="ar"/>
              </w:rPr>
              <w:t>工业水及阀水冷系统检修技术服务</w:t>
            </w:r>
          </w:p>
        </w:tc>
        <w:tc>
          <w:tcPr>
            <w:tcW w:w="2645" w:type="pct"/>
            <w:vAlign w:val="center"/>
          </w:tcPr>
          <w:p>
            <w:pPr>
              <w:widowControl/>
              <w:adjustRightInd w:val="0"/>
              <w:snapToGrid w:val="0"/>
              <w:spacing w:line="320" w:lineRule="exact"/>
              <w:jc w:val="left"/>
              <w:rPr>
                <w:rFonts w:hint="eastAsia" w:ascii="宋体" w:hAnsi="宋体" w:cs="宋体"/>
                <w:bCs/>
                <w:szCs w:val="21"/>
                <w:lang w:val="en-US" w:eastAsia="zh-CN" w:bidi="ar"/>
              </w:rPr>
            </w:pPr>
            <w:r>
              <w:rPr>
                <w:rFonts w:hint="eastAsia" w:ascii="宋体" w:hAnsi="宋体" w:cs="宋体"/>
                <w:bCs/>
                <w:szCs w:val="21"/>
                <w:lang w:val="en-US" w:eastAsia="zh-CN" w:bidi="ar"/>
              </w:rPr>
              <w:t>1.应答人注册资金须达到200万元人民币（含200万元）以上；如注册资本金为人民币以外的货币，则按供应商资质评审当月第一日中国银行公布的汇率中间价折算为人民币。</w:t>
            </w:r>
          </w:p>
          <w:p>
            <w:pPr>
              <w:widowControl/>
              <w:adjustRightInd w:val="0"/>
              <w:snapToGrid w:val="0"/>
              <w:spacing w:line="320" w:lineRule="exact"/>
              <w:jc w:val="left"/>
              <w:rPr>
                <w:rFonts w:hint="eastAsia" w:ascii="宋体" w:hAnsi="宋体" w:cs="宋体"/>
                <w:bCs/>
                <w:szCs w:val="21"/>
                <w:lang w:val="en-US" w:eastAsia="zh-CN" w:bidi="ar"/>
              </w:rPr>
            </w:pPr>
            <w:r>
              <w:rPr>
                <w:rFonts w:hint="eastAsia" w:ascii="宋体" w:hAnsi="宋体" w:cs="宋体"/>
                <w:bCs/>
                <w:szCs w:val="21"/>
                <w:lang w:val="en-US" w:eastAsia="zh-CN" w:bidi="ar"/>
              </w:rPr>
              <w:t>2. 2021年1月1日至首次应答截止日，要求与电力行业服务类合作的供货业绩（含签约合同）2个（含2个）以上或与化工类等重工业行业内服务类合同业绩达到50万元（含50万元，提供业绩表）</w:t>
            </w:r>
          </w:p>
        </w:tc>
        <w:tc>
          <w:tcPr>
            <w:tcW w:w="433" w:type="pct"/>
            <w:vAlign w:val="center"/>
          </w:tcPr>
          <w:p>
            <w:pPr>
              <w:widowControl/>
              <w:adjustRightInd w:val="0"/>
              <w:snapToGrid w:val="0"/>
              <w:spacing w:line="320" w:lineRule="exact"/>
              <w:jc w:val="center"/>
              <w:rPr>
                <w:rFonts w:hint="default" w:ascii="宋体" w:hAnsi="宋体" w:eastAsia="宋体" w:cs="宋体"/>
                <w:bCs/>
                <w:szCs w:val="21"/>
                <w:lang w:val="en-US" w:eastAsia="zh-CN" w:bidi="ar"/>
              </w:rPr>
            </w:pPr>
            <w:r>
              <w:rPr>
                <w:rFonts w:hint="eastAsia" w:ascii="宋体" w:hAnsi="宋体" w:eastAsia="宋体" w:cs="宋体"/>
                <w:bCs/>
                <w:szCs w:val="21"/>
                <w:lang w:val="en-US" w:eastAsia="zh-CN" w:bidi="ar"/>
              </w:rPr>
              <w:t>无</w:t>
            </w:r>
          </w:p>
        </w:tc>
      </w:tr>
    </w:tbl>
    <w:p>
      <w:pPr>
        <w:pStyle w:val="7"/>
        <w:jc w:val="left"/>
      </w:pPr>
    </w:p>
    <w:sectPr>
      <w:headerReference r:id="rId5" w:type="default"/>
      <w:footerReference r:id="rId6" w:type="default"/>
      <w:pgSz w:w="11906" w:h="16838"/>
      <w:pgMar w:top="1417"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50</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tabs>
        <w:tab w:val="left" w:pos="1141"/>
      </w:tabs>
      <w:jc w:val="left"/>
      <w:rPr>
        <w:rFonts w:hint="eastAsia" w:eastAsia="宋体"/>
        <w:lang w:eastAsia="zh-CN"/>
      </w:rPr>
    </w:pPr>
    <w:r>
      <w:rPr>
        <w:rFonts w:hint="eastAsia"/>
        <w:lang w:eastAsia="zh-CN"/>
      </w:rPr>
      <w:tab/>
    </w:r>
    <w:r>
      <w:rPr>
        <w:rFonts w:hint="eastAsia"/>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FAC4F8"/>
    <w:multiLevelType w:val="singleLevel"/>
    <w:tmpl w:val="CDFAC4F8"/>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hMWIwOTk0NDhjMGM1NjQ1ZTJjZmI4MjAwODE1ZDQifQ=="/>
  </w:docVars>
  <w:rsids>
    <w:rsidRoot w:val="06573004"/>
    <w:rsid w:val="002223A0"/>
    <w:rsid w:val="008C1AFE"/>
    <w:rsid w:val="00B561ED"/>
    <w:rsid w:val="04D74983"/>
    <w:rsid w:val="05F477B7"/>
    <w:rsid w:val="06573004"/>
    <w:rsid w:val="084C55A5"/>
    <w:rsid w:val="0A8F5D00"/>
    <w:rsid w:val="1065378B"/>
    <w:rsid w:val="117F262B"/>
    <w:rsid w:val="1640307C"/>
    <w:rsid w:val="164F4DAF"/>
    <w:rsid w:val="16CB72FE"/>
    <w:rsid w:val="18982C84"/>
    <w:rsid w:val="189F153D"/>
    <w:rsid w:val="18E97C1D"/>
    <w:rsid w:val="1D844FA6"/>
    <w:rsid w:val="20191E9C"/>
    <w:rsid w:val="21466CC1"/>
    <w:rsid w:val="21CD73E2"/>
    <w:rsid w:val="26944F78"/>
    <w:rsid w:val="288A7DDB"/>
    <w:rsid w:val="294363FE"/>
    <w:rsid w:val="2C3F0EDD"/>
    <w:rsid w:val="2D746964"/>
    <w:rsid w:val="309B06AC"/>
    <w:rsid w:val="320A7897"/>
    <w:rsid w:val="324059AE"/>
    <w:rsid w:val="34677222"/>
    <w:rsid w:val="35D74541"/>
    <w:rsid w:val="36195E55"/>
    <w:rsid w:val="39537D75"/>
    <w:rsid w:val="3B342408"/>
    <w:rsid w:val="3B691AD2"/>
    <w:rsid w:val="3C4B567C"/>
    <w:rsid w:val="3C883AA5"/>
    <w:rsid w:val="3CF361B9"/>
    <w:rsid w:val="3D143CBF"/>
    <w:rsid w:val="3D87623F"/>
    <w:rsid w:val="3D9C1E60"/>
    <w:rsid w:val="3DCC4F2B"/>
    <w:rsid w:val="3FC935EC"/>
    <w:rsid w:val="433E5B64"/>
    <w:rsid w:val="443B4605"/>
    <w:rsid w:val="450C178F"/>
    <w:rsid w:val="4954743F"/>
    <w:rsid w:val="4A534079"/>
    <w:rsid w:val="4ABC2AA6"/>
    <w:rsid w:val="4B0215FB"/>
    <w:rsid w:val="4B685902"/>
    <w:rsid w:val="4D08196C"/>
    <w:rsid w:val="4EE23C1E"/>
    <w:rsid w:val="52CD24EF"/>
    <w:rsid w:val="549E44FF"/>
    <w:rsid w:val="569440D1"/>
    <w:rsid w:val="589D0BB5"/>
    <w:rsid w:val="59975605"/>
    <w:rsid w:val="5A351CC3"/>
    <w:rsid w:val="5B441481"/>
    <w:rsid w:val="5C8B0E74"/>
    <w:rsid w:val="5F7D38E5"/>
    <w:rsid w:val="610B6817"/>
    <w:rsid w:val="729D5D30"/>
    <w:rsid w:val="76BF021D"/>
    <w:rsid w:val="7A8C5C85"/>
    <w:rsid w:val="7C653614"/>
    <w:rsid w:val="7EA47CF8"/>
    <w:rsid w:val="7FB56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link w:val="17"/>
    <w:qFormat/>
    <w:uiPriority w:val="0"/>
    <w:pPr>
      <w:keepNext/>
      <w:keepLines/>
      <w:spacing w:before="260" w:after="260" w:line="416" w:lineRule="auto"/>
      <w:outlineLvl w:val="1"/>
    </w:pPr>
    <w:rPr>
      <w:rFonts w:ascii="Arial" w:hAnsi="Arial"/>
      <w:b/>
      <w:bCs/>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9"/>
    <w:qFormat/>
    <w:uiPriority w:val="0"/>
    <w:pPr>
      <w:ind w:left="0" w:leftChars="0" w:firstLine="420"/>
    </w:pPr>
    <w:rPr>
      <w:rFonts w:ascii="Times New Roman" w:hAnsi="Times New Roman"/>
      <w:szCs w:val="24"/>
    </w:rPr>
  </w:style>
  <w:style w:type="paragraph" w:styleId="3">
    <w:name w:val="Body Text Indent"/>
    <w:basedOn w:val="1"/>
    <w:link w:val="18"/>
    <w:unhideWhenUsed/>
    <w:qFormat/>
    <w:uiPriority w:val="0"/>
    <w:pPr>
      <w:spacing w:after="120"/>
      <w:ind w:left="420" w:leftChars="200"/>
    </w:pPr>
  </w:style>
  <w:style w:type="paragraph" w:styleId="5">
    <w:name w:val="Document Map"/>
    <w:basedOn w:val="1"/>
    <w:link w:val="20"/>
    <w:qFormat/>
    <w:uiPriority w:val="0"/>
    <w:rPr>
      <w:rFonts w:ascii="Tahoma" w:hAnsi="Tahoma"/>
      <w:sz w:val="16"/>
      <w:szCs w:val="16"/>
    </w:rPr>
  </w:style>
  <w:style w:type="paragraph" w:styleId="6">
    <w:name w:val="annotation text"/>
    <w:basedOn w:val="1"/>
    <w:semiHidden/>
    <w:unhideWhenUsed/>
    <w:qFormat/>
    <w:uiPriority w:val="99"/>
    <w:pPr>
      <w:jc w:val="left"/>
    </w:pPr>
  </w:style>
  <w:style w:type="paragraph" w:styleId="7">
    <w:name w:val="Body Text"/>
    <w:basedOn w:val="1"/>
    <w:next w:val="8"/>
    <w:link w:val="21"/>
    <w:qFormat/>
    <w:uiPriority w:val="0"/>
    <w:pPr>
      <w:spacing w:after="120"/>
    </w:pPr>
    <w:rPr>
      <w:rFonts w:ascii="Times New Roman" w:hAnsi="Times New Roman"/>
      <w:szCs w:val="24"/>
    </w:rPr>
  </w:style>
  <w:style w:type="paragraph" w:styleId="8">
    <w:name w:val="toc 2"/>
    <w:basedOn w:val="1"/>
    <w:next w:val="1"/>
    <w:semiHidden/>
    <w:unhideWhenUsed/>
    <w:qFormat/>
    <w:uiPriority w:val="39"/>
    <w:pPr>
      <w:ind w:left="420" w:leftChars="200"/>
    </w:pPr>
  </w:style>
  <w:style w:type="paragraph" w:styleId="9">
    <w:name w:val="Plain Text"/>
    <w:basedOn w:val="1"/>
    <w:link w:val="22"/>
    <w:qFormat/>
    <w:uiPriority w:val="0"/>
    <w:rPr>
      <w:rFonts w:ascii="宋体" w:hAnsi="Courier New" w:cs="Courier New"/>
      <w:szCs w:val="21"/>
    </w:rPr>
  </w:style>
  <w:style w:type="paragraph" w:styleId="10">
    <w:name w:val="Balloon Text"/>
    <w:basedOn w:val="1"/>
    <w:link w:val="23"/>
    <w:qFormat/>
    <w:uiPriority w:val="0"/>
    <w:rPr>
      <w:sz w:val="18"/>
      <w:szCs w:val="18"/>
    </w:rPr>
  </w:style>
  <w:style w:type="paragraph" w:styleId="11">
    <w:name w:val="footer"/>
    <w:basedOn w:val="1"/>
    <w:link w:val="24"/>
    <w:unhideWhenUsed/>
    <w:qFormat/>
    <w:uiPriority w:val="0"/>
    <w:pPr>
      <w:tabs>
        <w:tab w:val="center" w:pos="4153"/>
        <w:tab w:val="right" w:pos="8306"/>
      </w:tabs>
      <w:snapToGrid w:val="0"/>
      <w:jc w:val="left"/>
    </w:pPr>
    <w:rPr>
      <w:sz w:val="18"/>
      <w:szCs w:val="18"/>
    </w:rPr>
  </w:style>
  <w:style w:type="paragraph" w:styleId="12">
    <w:name w:val="header"/>
    <w:basedOn w:val="1"/>
    <w:next w:val="7"/>
    <w:link w:val="25"/>
    <w:unhideWhenUsed/>
    <w:qFormat/>
    <w:uiPriority w:val="0"/>
    <w:pPr>
      <w:pBdr>
        <w:bottom w:val="single" w:color="auto" w:sz="6" w:space="1"/>
      </w:pBdr>
      <w:tabs>
        <w:tab w:val="center" w:pos="4153"/>
        <w:tab w:val="right" w:pos="8306"/>
      </w:tabs>
      <w:snapToGrid w:val="0"/>
      <w:jc w:val="center"/>
    </w:pPr>
    <w:rPr>
      <w:sz w:val="18"/>
      <w:szCs w:val="18"/>
    </w:rPr>
  </w:style>
  <w:style w:type="character" w:styleId="15">
    <w:name w:val="Hyperlink"/>
    <w:qFormat/>
    <w:uiPriority w:val="99"/>
    <w:rPr>
      <w:rFonts w:asciiTheme="minorHAnsi" w:hAnsiTheme="minorHAnsi" w:eastAsiaTheme="minorEastAsia" w:cstheme="minorBidi"/>
      <w:color w:val="0000FF"/>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link w:val="4"/>
    <w:qFormat/>
    <w:uiPriority w:val="0"/>
    <w:rPr>
      <w:rFonts w:ascii="Arial" w:hAnsi="Arial" w:eastAsiaTheme="minorEastAsia" w:cstheme="minorBidi"/>
      <w:b/>
      <w:bCs/>
      <w:szCs w:val="32"/>
    </w:rPr>
  </w:style>
  <w:style w:type="character" w:customStyle="1" w:styleId="18">
    <w:name w:val="正文文本缩进 字符"/>
    <w:basedOn w:val="14"/>
    <w:link w:val="3"/>
    <w:semiHidden/>
    <w:qFormat/>
    <w:uiPriority w:val="99"/>
    <w:rPr>
      <w:rFonts w:asciiTheme="minorHAnsi" w:hAnsiTheme="minorHAnsi" w:eastAsiaTheme="minorEastAsia" w:cstheme="minorBidi"/>
    </w:rPr>
  </w:style>
  <w:style w:type="character" w:customStyle="1" w:styleId="19">
    <w:name w:val="正文文本首行缩进 2 字符"/>
    <w:basedOn w:val="18"/>
    <w:link w:val="2"/>
    <w:qFormat/>
    <w:uiPriority w:val="0"/>
    <w:rPr>
      <w:rFonts w:ascii="Times New Roman" w:hAnsi="Times New Roman" w:eastAsiaTheme="minorEastAsia" w:cstheme="minorBidi"/>
      <w:szCs w:val="24"/>
    </w:rPr>
  </w:style>
  <w:style w:type="character" w:customStyle="1" w:styleId="20">
    <w:name w:val="文档结构图 字符"/>
    <w:basedOn w:val="14"/>
    <w:link w:val="5"/>
    <w:qFormat/>
    <w:uiPriority w:val="0"/>
    <w:rPr>
      <w:rFonts w:ascii="Tahoma" w:hAnsi="Tahoma" w:eastAsiaTheme="minorEastAsia" w:cstheme="minorBidi"/>
      <w:sz w:val="16"/>
      <w:szCs w:val="16"/>
    </w:rPr>
  </w:style>
  <w:style w:type="character" w:customStyle="1" w:styleId="21">
    <w:name w:val="正文文本 字符"/>
    <w:basedOn w:val="14"/>
    <w:link w:val="7"/>
    <w:qFormat/>
    <w:uiPriority w:val="0"/>
    <w:rPr>
      <w:rFonts w:ascii="Times New Roman" w:hAnsi="Times New Roman" w:eastAsiaTheme="minorEastAsia" w:cstheme="minorBidi"/>
      <w:szCs w:val="24"/>
    </w:rPr>
  </w:style>
  <w:style w:type="character" w:customStyle="1" w:styleId="22">
    <w:name w:val="纯文本 字符"/>
    <w:basedOn w:val="14"/>
    <w:link w:val="9"/>
    <w:qFormat/>
    <w:uiPriority w:val="0"/>
    <w:rPr>
      <w:rFonts w:ascii="宋体" w:hAnsi="Courier New" w:cs="Courier New" w:eastAsiaTheme="minorEastAsia"/>
      <w:szCs w:val="21"/>
    </w:rPr>
  </w:style>
  <w:style w:type="character" w:customStyle="1" w:styleId="23">
    <w:name w:val="批注框文本 字符"/>
    <w:basedOn w:val="14"/>
    <w:link w:val="10"/>
    <w:qFormat/>
    <w:uiPriority w:val="0"/>
    <w:rPr>
      <w:rFonts w:asciiTheme="minorHAnsi" w:hAnsiTheme="minorHAnsi" w:eastAsiaTheme="minorEastAsia" w:cstheme="minorBidi"/>
      <w:sz w:val="18"/>
      <w:szCs w:val="18"/>
    </w:rPr>
  </w:style>
  <w:style w:type="character" w:customStyle="1" w:styleId="24">
    <w:name w:val="页脚 字符"/>
    <w:basedOn w:val="14"/>
    <w:link w:val="11"/>
    <w:qFormat/>
    <w:uiPriority w:val="0"/>
    <w:rPr>
      <w:rFonts w:asciiTheme="minorHAnsi" w:hAnsiTheme="minorHAnsi" w:eastAsiaTheme="minorEastAsia" w:cstheme="minorBidi"/>
      <w:sz w:val="18"/>
      <w:szCs w:val="18"/>
    </w:rPr>
  </w:style>
  <w:style w:type="character" w:customStyle="1" w:styleId="25">
    <w:name w:val="页眉 字符"/>
    <w:basedOn w:val="14"/>
    <w:link w:val="12"/>
    <w:qFormat/>
    <w:uiPriority w:val="0"/>
    <w:rPr>
      <w:rFonts w:asciiTheme="minorHAnsi" w:hAnsiTheme="minorHAnsi" w:eastAsiaTheme="minorEastAsia" w:cstheme="minorBidi"/>
      <w:sz w:val="18"/>
      <w:szCs w:val="18"/>
    </w:rPr>
  </w:style>
  <w:style w:type="paragraph" w:customStyle="1" w:styleId="26">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27">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28">
    <w:name w:val="列出段落1"/>
    <w:basedOn w:val="1"/>
    <w:qFormat/>
    <w:uiPriority w:val="0"/>
    <w:pPr>
      <w:ind w:firstLine="420" w:firstLineChars="200"/>
    </w:pPr>
    <w:rPr>
      <w:szCs w:val="20"/>
    </w:rPr>
  </w:style>
  <w:style w:type="paragraph" w:customStyle="1" w:styleId="29">
    <w:name w:val="列表段落1"/>
    <w:basedOn w:val="1"/>
    <w:qFormat/>
    <w:uiPriority w:val="99"/>
    <w:pPr>
      <w:ind w:firstLine="420" w:firstLineChars="200"/>
    </w:pPr>
  </w:style>
  <w:style w:type="paragraph" w:customStyle="1" w:styleId="30">
    <w:name w:val="样式1"/>
    <w:basedOn w:val="1"/>
    <w:qFormat/>
    <w:uiPriority w:val="0"/>
    <w:rPr>
      <w:rFonts w:ascii="Times New Roman" w:hAnsi="Times New Roman"/>
      <w:sz w:val="28"/>
      <w:szCs w:val="24"/>
    </w:rPr>
  </w:style>
  <w:style w:type="paragraph" w:customStyle="1" w:styleId="31">
    <w:name w:val="bgg"/>
    <w:basedOn w:val="32"/>
    <w:qFormat/>
    <w:uiPriority w:val="0"/>
    <w:pPr>
      <w:snapToGrid w:val="0"/>
      <w:ind w:left="52" w:leftChars="25" w:right="52" w:rightChars="25"/>
      <w:jc w:val="center"/>
    </w:pPr>
    <w:rPr>
      <w:rFonts w:ascii="Times New Roman" w:hAnsi="Times New Roman"/>
      <w:b w:val="0"/>
      <w:color w:val="auto"/>
      <w:sz w:val="18"/>
      <w:szCs w:val="18"/>
    </w:rPr>
  </w:style>
  <w:style w:type="paragraph" w:customStyle="1" w:styleId="32">
    <w:name w:val="默认段落字体 Para Char Char Char Char"/>
    <w:basedOn w:val="1"/>
    <w:qFormat/>
    <w:uiPriority w:val="0"/>
    <w:rPr>
      <w:rFonts w:ascii="宋体" w:hAnsi="宋体"/>
      <w:b/>
      <w:color w:val="000000"/>
      <w:sz w:val="24"/>
      <w:szCs w:val="24"/>
    </w:rPr>
  </w:style>
  <w:style w:type="paragraph" w:customStyle="1" w:styleId="33">
    <w:name w:val="p0"/>
    <w:basedOn w:val="1"/>
    <w:qFormat/>
    <w:uiPriority w:val="0"/>
    <w:pPr>
      <w:widowControl/>
    </w:pPr>
    <w:rPr>
      <w:rFonts w:ascii="Times New Roman" w:hAnsi="Times New Roman"/>
      <w:kern w:val="0"/>
      <w:szCs w:val="21"/>
    </w:rPr>
  </w:style>
  <w:style w:type="paragraph" w:styleId="34">
    <w:name w:val="List Paragraph"/>
    <w:basedOn w:val="1"/>
    <w:unhideWhenUsed/>
    <w:qFormat/>
    <w:uiPriority w:val="99"/>
    <w:pPr>
      <w:ind w:firstLine="420" w:firstLineChars="200"/>
    </w:pPr>
  </w:style>
  <w:style w:type="paragraph" w:customStyle="1" w:styleId="35">
    <w:name w:val="纯文本2"/>
    <w:basedOn w:val="1"/>
    <w:qFormat/>
    <w:uiPriority w:val="0"/>
    <w:pPr>
      <w:adjustRightInd w:val="0"/>
      <w:textAlignment w:val="baseline"/>
    </w:pPr>
    <w:rPr>
      <w:rFonts w:ascii="宋体" w:hAnsi="Courier New"/>
      <w:kern w:val="0"/>
      <w:sz w:val="20"/>
      <w:szCs w:val="20"/>
    </w:rPr>
  </w:style>
  <w:style w:type="paragraph" w:customStyle="1" w:styleId="36">
    <w:name w:val="修订1"/>
    <w:hidden/>
    <w:semiHidden/>
    <w:qFormat/>
    <w:uiPriority w:val="99"/>
    <w:rPr>
      <w:rFonts w:ascii="Calibri" w:hAnsi="Calibri" w:eastAsia="宋体" w:cs="Times New Roman"/>
      <w:kern w:val="2"/>
      <w:sz w:val="21"/>
      <w:szCs w:val="22"/>
      <w:lang w:val="en-US" w:eastAsia="zh-CN" w:bidi="ar-SA"/>
    </w:rPr>
  </w:style>
  <w:style w:type="paragraph" w:customStyle="1" w:styleId="37">
    <w:name w:val="修订2"/>
    <w:hidden/>
    <w:semiHidden/>
    <w:qFormat/>
    <w:uiPriority w:val="99"/>
    <w:rPr>
      <w:rFonts w:ascii="Calibri" w:hAnsi="Calibri" w:eastAsia="宋体" w:cs="Times New Roman"/>
      <w:kern w:val="2"/>
      <w:sz w:val="21"/>
      <w:szCs w:val="22"/>
      <w:lang w:val="en-US" w:eastAsia="zh-CN" w:bidi="ar-SA"/>
    </w:rPr>
  </w:style>
  <w:style w:type="paragraph" w:customStyle="1" w:styleId="38">
    <w:name w:val="正文文本4"/>
    <w:basedOn w:val="1"/>
    <w:qFormat/>
    <w:uiPriority w:val="0"/>
    <w:pPr>
      <w:autoSpaceDE w:val="0"/>
      <w:autoSpaceDN w:val="0"/>
    </w:pPr>
    <w:rPr>
      <w:rFonts w:ascii="宋体" w:hAnsi="宋体"/>
      <w:sz w:val="20"/>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3222</Words>
  <Characters>3606</Characters>
  <Lines>26</Lines>
  <Paragraphs>7</Paragraphs>
  <TotalTime>1</TotalTime>
  <ScaleCrop>false</ScaleCrop>
  <LinksUpToDate>false</LinksUpToDate>
  <CharactersWithSpaces>3616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2022-11-16T02:49:00Z</dcterms:created>
  <dc:creator>liu shaoping</dc:creator>
  <cp:keywords>BD@@2023@@天恒服务竞谈.docx</cp:keywords>
  <cp:lastModifiedBy>小洁</cp:lastModifiedBy>
  <dcterms:modified xsi:type="dcterms:W3CDTF">2023-12-27T07:34:33Z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4905ED8764854D52BECE8ABB269D8CD5</vt:lpwstr>
  </property>
  <property fmtid="{D5CDD505-2E9C-101B-9397-08002B2CF9AE}" pid="4" name="GWFBBS_NAME" linkTarget="0">
    <vt:lpwstr>ZBWJFBBS</vt:lpwstr>
  </property>
</Properties>
</file>