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jc w:val="center"/>
        <w:outlineLvl w:val="1"/>
      </w:pPr>
      <w:r>
        <w:rPr>
          <w:b/>
          <w:sz w:val="36"/>
        </w:rPr>
        <w:t>第三章 招标项目技术、服务、商务及其他要求</w:t>
      </w:r>
    </w:p>
    <w:p>
      <w:pPr>
        <w:pStyle w:val="7"/>
        <w:ind w:firstLine="480"/>
      </w:pPr>
      <w:r>
        <w:t xml:space="preserve"> （注：当采购包的评标方法为综合评分法时带“★”的参数需求为实质性要求，供应商必须响应并满足的参数需求，采购人、采购代理机构应当根据项目实际需求合理设定，并明确具体要求。带“▲”号条款为允许负偏离的参数需求，若未响应或者不满足，将在综合评审中予以扣分处理。）</w:t>
      </w:r>
    </w:p>
    <w:p>
      <w:pPr>
        <w:pStyle w:val="7"/>
        <w:ind w:firstLine="480"/>
      </w:pPr>
      <w:r>
        <w:t xml:space="preserve"> （注：当采购包的评标方法为最低评标价法时带“★”的参数需求为实质性要求，供应商必须响应并满足的参数需求，采购人、采购代理机构应当根据项目实际需求合理设定，并明确具体要求。）</w:t>
      </w:r>
    </w:p>
    <w:p>
      <w:pPr>
        <w:pStyle w:val="7"/>
        <w:outlineLvl w:val="2"/>
      </w:pPr>
      <w:r>
        <w:rPr>
          <w:b/>
          <w:sz w:val="28"/>
        </w:rPr>
        <w:t>3.1采购项目概况</w:t>
      </w:r>
    </w:p>
    <w:p>
      <w:pPr>
        <w:pStyle w:val="7"/>
        <w:ind w:firstLine="480"/>
      </w:pPr>
    </w:p>
    <w:p>
      <w:pPr>
        <w:pStyle w:val="7"/>
      </w:pPr>
    </w:p>
    <w:p>
      <w:pPr>
        <w:pStyle w:val="7"/>
      </w:pPr>
      <w:r>
        <w:t>本项目为重型柴油车尾气检测服务项目，预算50万元。</w:t>
      </w:r>
    </w:p>
    <w:p>
      <w:pPr>
        <w:pStyle w:val="7"/>
        <w:outlineLvl w:val="2"/>
      </w:pPr>
      <w:r>
        <w:rPr>
          <w:b/>
          <w:sz w:val="28"/>
        </w:rPr>
        <w:t>3.2服务内容及服务要求</w:t>
      </w:r>
    </w:p>
    <w:p>
      <w:pPr>
        <w:pStyle w:val="7"/>
        <w:outlineLvl w:val="3"/>
      </w:pPr>
      <w:r>
        <w:rPr>
          <w:b/>
          <w:sz w:val="24"/>
        </w:rPr>
        <w:t>3.2.1服务内容</w:t>
      </w:r>
    </w:p>
    <w:p>
      <w:pPr>
        <w:pStyle w:val="7"/>
      </w:pPr>
    </w:p>
    <w:p>
      <w:pPr>
        <w:pStyle w:val="7"/>
      </w:pPr>
    </w:p>
    <w:p>
      <w:pPr>
        <w:pStyle w:val="7"/>
      </w:pPr>
      <w:r>
        <w:t>采购包1：</w:t>
      </w:r>
    </w:p>
    <w:p>
      <w:pPr>
        <w:pStyle w:val="7"/>
      </w:pPr>
      <w:r>
        <w:t>采购包预算金额（元）: 500,000.00</w:t>
      </w:r>
    </w:p>
    <w:p>
      <w:pPr>
        <w:pStyle w:val="7"/>
      </w:pPr>
      <w:r>
        <w:t>采购包最高限价（元）: 500,000.00</w:t>
      </w:r>
    </w:p>
    <w:tbl>
      <w:tblPr>
        <w:tblStyle w:val="5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271"/>
        <w:gridCol w:w="848"/>
        <w:gridCol w:w="1356"/>
        <w:gridCol w:w="678"/>
        <w:gridCol w:w="678"/>
        <w:gridCol w:w="593"/>
        <w:gridCol w:w="678"/>
        <w:gridCol w:w="678"/>
        <w:gridCol w:w="848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8" w:type="dxa"/>
          </w:tcPr>
          <w:p>
            <w:pPr>
              <w:pStyle w:val="7"/>
            </w:pPr>
            <w:r>
              <w:t>序号</w:t>
            </w:r>
          </w:p>
        </w:tc>
        <w:tc>
          <w:tcPr>
            <w:tcW w:w="1271" w:type="dxa"/>
          </w:tcPr>
          <w:p>
            <w:pPr>
              <w:pStyle w:val="7"/>
            </w:pPr>
            <w:r>
              <w:t>标的名称</w:t>
            </w:r>
          </w:p>
        </w:tc>
        <w:tc>
          <w:tcPr>
            <w:tcW w:w="848" w:type="dxa"/>
          </w:tcPr>
          <w:p>
            <w:pPr>
              <w:pStyle w:val="7"/>
            </w:pPr>
            <w:r>
              <w:t>数量</w:t>
            </w:r>
          </w:p>
        </w:tc>
        <w:tc>
          <w:tcPr>
            <w:tcW w:w="1356" w:type="dxa"/>
          </w:tcPr>
          <w:p>
            <w:pPr>
              <w:pStyle w:val="7"/>
            </w:pPr>
            <w:r>
              <w:t>标的金额 （元）</w:t>
            </w:r>
          </w:p>
        </w:tc>
        <w:tc>
          <w:tcPr>
            <w:tcW w:w="678" w:type="dxa"/>
          </w:tcPr>
          <w:p>
            <w:pPr>
              <w:pStyle w:val="7"/>
            </w:pPr>
            <w:r>
              <w:t>计量单位</w:t>
            </w:r>
          </w:p>
        </w:tc>
        <w:tc>
          <w:tcPr>
            <w:tcW w:w="678" w:type="dxa"/>
          </w:tcPr>
          <w:p>
            <w:pPr>
              <w:pStyle w:val="7"/>
            </w:pPr>
            <w:r>
              <w:t>所属行业</w:t>
            </w:r>
          </w:p>
        </w:tc>
        <w:tc>
          <w:tcPr>
            <w:tcW w:w="593" w:type="dxa"/>
          </w:tcPr>
          <w:p>
            <w:pPr>
              <w:pStyle w:val="7"/>
            </w:pPr>
            <w:r>
              <w:t>是否涉及核心产品</w:t>
            </w:r>
          </w:p>
        </w:tc>
        <w:tc>
          <w:tcPr>
            <w:tcW w:w="678" w:type="dxa"/>
          </w:tcPr>
          <w:p>
            <w:pPr>
              <w:pStyle w:val="7"/>
            </w:pPr>
            <w:r>
              <w:t>是否涉及采购进口产品</w:t>
            </w:r>
          </w:p>
        </w:tc>
        <w:tc>
          <w:tcPr>
            <w:tcW w:w="678" w:type="dxa"/>
          </w:tcPr>
          <w:p>
            <w:pPr>
              <w:pStyle w:val="7"/>
            </w:pPr>
            <w:r>
              <w:t>是否涉及采购节能产品</w:t>
            </w:r>
          </w:p>
        </w:tc>
        <w:tc>
          <w:tcPr>
            <w:tcW w:w="848" w:type="dxa"/>
          </w:tcPr>
          <w:p>
            <w:pPr>
              <w:pStyle w:val="7"/>
            </w:pPr>
            <w:r>
              <w:t>是否涉及采购环境标志产品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8" w:type="dxa"/>
          </w:tcPr>
          <w:p>
            <w:pPr>
              <w:pStyle w:val="7"/>
            </w:pPr>
            <w:r>
              <w:t>1</w:t>
            </w:r>
          </w:p>
        </w:tc>
        <w:tc>
          <w:tcPr>
            <w:tcW w:w="1271" w:type="dxa"/>
          </w:tcPr>
          <w:p>
            <w:pPr>
              <w:pStyle w:val="7"/>
            </w:pPr>
            <w:r>
              <w:t>重型柴油车尾气检测服务项目</w:t>
            </w:r>
          </w:p>
        </w:tc>
        <w:tc>
          <w:tcPr>
            <w:tcW w:w="848" w:type="dxa"/>
          </w:tcPr>
          <w:p>
            <w:pPr>
              <w:pStyle w:val="7"/>
              <w:jc w:val="right"/>
            </w:pPr>
            <w:r>
              <w:t>1.00</w:t>
            </w:r>
          </w:p>
        </w:tc>
        <w:tc>
          <w:tcPr>
            <w:tcW w:w="1356" w:type="dxa"/>
          </w:tcPr>
          <w:p>
            <w:pPr>
              <w:pStyle w:val="7"/>
              <w:jc w:val="right"/>
            </w:pPr>
            <w:r>
              <w:t>500,000.00</w:t>
            </w:r>
          </w:p>
        </w:tc>
        <w:tc>
          <w:tcPr>
            <w:tcW w:w="678" w:type="dxa"/>
          </w:tcPr>
          <w:p>
            <w:pPr>
              <w:pStyle w:val="7"/>
            </w:pPr>
            <w:r>
              <w:t>项</w:t>
            </w:r>
          </w:p>
        </w:tc>
        <w:tc>
          <w:tcPr>
            <w:tcW w:w="678" w:type="dxa"/>
          </w:tcPr>
          <w:p>
            <w:pPr>
              <w:pStyle w:val="7"/>
            </w:pPr>
            <w:r>
              <w:t>其他未列明行业</w:t>
            </w:r>
          </w:p>
        </w:tc>
        <w:tc>
          <w:tcPr>
            <w:tcW w:w="593" w:type="dxa"/>
          </w:tcPr>
          <w:p>
            <w:pPr>
              <w:pStyle w:val="7"/>
            </w:pPr>
            <w:r>
              <w:t>否</w:t>
            </w:r>
          </w:p>
        </w:tc>
        <w:tc>
          <w:tcPr>
            <w:tcW w:w="678" w:type="dxa"/>
          </w:tcPr>
          <w:p>
            <w:pPr>
              <w:pStyle w:val="7"/>
            </w:pPr>
            <w:r>
              <w:t>否</w:t>
            </w:r>
          </w:p>
        </w:tc>
        <w:tc>
          <w:tcPr>
            <w:tcW w:w="678" w:type="dxa"/>
          </w:tcPr>
          <w:p>
            <w:pPr>
              <w:pStyle w:val="7"/>
            </w:pPr>
            <w:r>
              <w:t>否</w:t>
            </w:r>
          </w:p>
        </w:tc>
        <w:tc>
          <w:tcPr>
            <w:tcW w:w="848" w:type="dxa"/>
          </w:tcPr>
          <w:p>
            <w:pPr>
              <w:pStyle w:val="7"/>
            </w:pPr>
            <w:r>
              <w:t>否</w:t>
            </w:r>
          </w:p>
        </w:tc>
      </w:tr>
    </w:tbl>
    <w:p>
      <w:pPr>
        <w:pStyle w:val="7"/>
        <w:outlineLvl w:val="3"/>
      </w:pPr>
      <w:r>
        <w:rPr>
          <w:b/>
          <w:sz w:val="24"/>
        </w:rPr>
        <w:t>3.2.2服务要求</w:t>
      </w:r>
    </w:p>
    <w:p>
      <w:pPr>
        <w:pStyle w:val="7"/>
      </w:pPr>
    </w:p>
    <w:p>
      <w:pPr>
        <w:pStyle w:val="7"/>
      </w:pPr>
    </w:p>
    <w:p>
      <w:pPr>
        <w:pStyle w:val="7"/>
      </w:pPr>
    </w:p>
    <w:p>
      <w:pPr>
        <w:pStyle w:val="7"/>
      </w:pPr>
      <w:r>
        <w:t>采购包1：</w:t>
      </w:r>
    </w:p>
    <w:p>
      <w:pPr>
        <w:pStyle w:val="7"/>
      </w:pPr>
    </w:p>
    <w:p>
      <w:pPr>
        <w:pStyle w:val="7"/>
      </w:pPr>
      <w:r>
        <w:t>标的名称：重型柴油车尾气检测服务项目</w:t>
      </w:r>
    </w:p>
    <w:tbl>
      <w:tblPr>
        <w:tblStyle w:val="5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9"/>
        <w:gridCol w:w="2769"/>
        <w:gridCol w:w="2769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9" w:type="dxa"/>
          </w:tcPr>
          <w:p>
            <w:pPr>
              <w:pStyle w:val="7"/>
            </w:pPr>
            <w:r>
              <w:t xml:space="preserve"> 参数性质</w:t>
            </w:r>
          </w:p>
        </w:tc>
        <w:tc>
          <w:tcPr>
            <w:tcW w:w="2769" w:type="dxa"/>
          </w:tcPr>
          <w:p>
            <w:pPr>
              <w:pStyle w:val="7"/>
            </w:pPr>
            <w:r>
              <w:t xml:space="preserve"> 序号</w:t>
            </w:r>
          </w:p>
        </w:tc>
        <w:tc>
          <w:tcPr>
            <w:tcW w:w="2769" w:type="dxa"/>
          </w:tcPr>
          <w:p>
            <w:pPr>
              <w:pStyle w:val="7"/>
            </w:pPr>
            <w:r>
              <w:t xml:space="preserve"> 技术参数与性能指标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9" w:type="dxa"/>
          </w:tcPr>
          <w:p>
            <w:pPr>
              <w:pStyle w:val="7"/>
            </w:pPr>
            <w:r>
              <w:t>★</w:t>
            </w:r>
          </w:p>
        </w:tc>
        <w:tc>
          <w:tcPr>
            <w:tcW w:w="2769" w:type="dxa"/>
          </w:tcPr>
          <w:p>
            <w:pPr>
              <w:pStyle w:val="7"/>
            </w:pPr>
            <w:r>
              <w:t>1</w:t>
            </w:r>
          </w:p>
        </w:tc>
        <w:tc>
          <w:tcPr>
            <w:tcW w:w="2769" w:type="dxa"/>
          </w:tcPr>
          <w:p>
            <w:pPr>
              <w:pStyle w:val="7"/>
              <w:ind w:firstLine="480"/>
              <w:jc w:val="both"/>
            </w:pPr>
            <w:r>
              <w:rPr>
                <w:rFonts w:ascii="宋体" w:hAnsi="宋体" w:eastAsia="宋体" w:cs="宋体"/>
                <w:sz w:val="24"/>
              </w:rPr>
              <w:t>一、服务范围</w:t>
            </w:r>
          </w:p>
          <w:p>
            <w:pPr>
              <w:pStyle w:val="7"/>
              <w:ind w:firstLine="480"/>
              <w:jc w:val="both"/>
            </w:pPr>
            <w:r>
              <w:rPr>
                <w:rFonts w:ascii="宋体" w:hAnsi="宋体" w:eastAsia="宋体" w:cs="宋体"/>
                <w:sz w:val="24"/>
              </w:rPr>
              <w:t>成华区2024年柴油车尾气排放监督抽测工作。</w:t>
            </w:r>
          </w:p>
          <w:p>
            <w:pPr>
              <w:pStyle w:val="7"/>
              <w:ind w:firstLine="480"/>
              <w:jc w:val="both"/>
            </w:pPr>
            <w:r>
              <w:rPr>
                <w:rFonts w:ascii="宋体" w:hAnsi="宋体" w:eastAsia="宋体" w:cs="宋体"/>
                <w:sz w:val="24"/>
              </w:rPr>
              <w:t>二、服务内容</w:t>
            </w:r>
          </w:p>
          <w:p>
            <w:pPr>
              <w:pStyle w:val="7"/>
              <w:ind w:firstLine="480"/>
              <w:jc w:val="both"/>
            </w:pPr>
            <w:r>
              <w:rPr>
                <w:rFonts w:ascii="宋体" w:hAnsi="宋体" w:eastAsia="宋体" w:cs="宋体"/>
                <w:sz w:val="24"/>
              </w:rPr>
              <w:t>采用《柴油车污染物排放限值及测量方法（自由加速法及加载减速法）》（GB 3847-2018）描述的方法，每月需开展柴油车常态化路检路查不少于500辆，监测项：光吸收系数（m</w:t>
            </w:r>
            <w:r>
              <w:rPr>
                <w:rFonts w:ascii="宋体" w:hAnsi="宋体" w:eastAsia="宋体" w:cs="宋体"/>
                <w:sz w:val="24"/>
                <w:vertAlign w:val="superscript"/>
              </w:rPr>
              <w:t>-1</w:t>
            </w:r>
            <w:r>
              <w:rPr>
                <w:rFonts w:ascii="宋体" w:hAnsi="宋体" w:eastAsia="宋体" w:cs="宋体"/>
                <w:sz w:val="24"/>
              </w:rPr>
              <w:t>），每月开展柴油车“大户”入户抽测不低于2次，且需加大重污染天气预警期间柴油车抽测工作力度。具体抽测要求以《成都市生态环境保护委员会办公室关于开展2024年柴油车和非道路移动机械监督抽测工作的通知》（成生委办 [2023] 121号）内容为准，本项目需开展柴油车尾气排放监督抽测不少于6000辆。</w:t>
            </w:r>
          </w:p>
          <w:p>
            <w:pPr>
              <w:pStyle w:val="7"/>
              <w:ind w:firstLine="480"/>
              <w:jc w:val="both"/>
            </w:pPr>
            <w:r>
              <w:rPr>
                <w:rFonts w:ascii="宋体" w:hAnsi="宋体" w:eastAsia="宋体" w:cs="宋体"/>
                <w:sz w:val="24"/>
              </w:rPr>
              <w:t>三、服务要求</w:t>
            </w:r>
          </w:p>
          <w:p>
            <w:pPr>
              <w:pStyle w:val="7"/>
              <w:ind w:firstLine="480"/>
              <w:jc w:val="both"/>
            </w:pPr>
            <w:r>
              <w:rPr>
                <w:rFonts w:ascii="宋体" w:hAnsi="宋体" w:eastAsia="宋体" w:cs="宋体"/>
                <w:sz w:val="24"/>
              </w:rPr>
              <w:t>（1）按照《柴油车污染物排放限值及测量方法（自由加速法及加载减速法）》（GB 3847-2018）对柴油车开展抽测工作和数据结果判定。</w:t>
            </w:r>
          </w:p>
          <w:p>
            <w:pPr>
              <w:pStyle w:val="7"/>
              <w:ind w:firstLine="480"/>
              <w:jc w:val="both"/>
            </w:pPr>
            <w:r>
              <w:rPr>
                <w:rFonts w:ascii="宋体" w:hAnsi="宋体" w:eastAsia="宋体" w:cs="宋体"/>
                <w:sz w:val="24"/>
              </w:rPr>
              <w:t>（2）供应商的检测人员应熟悉柴油车排放检测技术标准和流程规范，能操作检测设备设施。</w:t>
            </w:r>
          </w:p>
          <w:p>
            <w:pPr>
              <w:pStyle w:val="7"/>
              <w:ind w:firstLine="480"/>
              <w:jc w:val="both"/>
            </w:pPr>
            <w:r>
              <w:rPr>
                <w:rFonts w:ascii="宋体" w:hAnsi="宋体" w:eastAsia="宋体" w:cs="宋体"/>
                <w:sz w:val="24"/>
              </w:rPr>
              <w:t>（3）每组次抽检现场应派出不低于3名检验检测人员。长期从事环境检验检测的专业人员参与抽检工作，需具备环境监测上岗证。</w:t>
            </w:r>
          </w:p>
          <w:p>
            <w:pPr>
              <w:pStyle w:val="7"/>
              <w:ind w:firstLine="480"/>
              <w:jc w:val="left"/>
            </w:pPr>
            <w:r>
              <w:rPr>
                <w:rFonts w:ascii="宋体" w:hAnsi="宋体" w:eastAsia="宋体" w:cs="宋体"/>
                <w:sz w:val="24"/>
              </w:rPr>
              <w:t>（4）供应商在进行服务保障工作时，应保证工作人员的安全性（包括不限于按照相应的安全操作规程进行操作，配置个人防护装置，穿戴符合要求，确保周边环境以及自身安全，避免在工作过程出现意外，如交通事故等造成的人员伤害）。</w:t>
            </w:r>
          </w:p>
          <w:p>
            <w:pPr>
              <w:pStyle w:val="7"/>
              <w:jc w:val="both"/>
            </w:pPr>
            <w:r>
              <w:rPr>
                <w:rFonts w:ascii="宋体" w:hAnsi="宋体" w:eastAsia="宋体" w:cs="宋体"/>
                <w:sz w:val="24"/>
              </w:rPr>
              <w:t>（5）供应商负责检测设备的检定工作，并提供在有效期内的检定设备方能开展工作。</w:t>
            </w:r>
          </w:p>
        </w:tc>
      </w:tr>
    </w:tbl>
    <w:p>
      <w:pPr>
        <w:pStyle w:val="7"/>
        <w:outlineLvl w:val="3"/>
      </w:pPr>
      <w:r>
        <w:rPr>
          <w:b/>
          <w:sz w:val="24"/>
        </w:rPr>
        <w:t>3.2.3人员配置要求</w:t>
      </w:r>
    </w:p>
    <w:p>
      <w:pPr>
        <w:pStyle w:val="7"/>
      </w:pPr>
    </w:p>
    <w:p>
      <w:pPr>
        <w:pStyle w:val="7"/>
      </w:pPr>
    </w:p>
    <w:p>
      <w:pPr>
        <w:pStyle w:val="7"/>
      </w:pPr>
    </w:p>
    <w:p>
      <w:pPr>
        <w:pStyle w:val="7"/>
      </w:pPr>
      <w:r>
        <w:t>采购包1：</w:t>
      </w:r>
    </w:p>
    <w:p>
      <w:pPr>
        <w:pStyle w:val="7"/>
      </w:pPr>
      <w:r>
        <w:t>/</w:t>
      </w:r>
    </w:p>
    <w:p>
      <w:pPr>
        <w:pStyle w:val="7"/>
        <w:outlineLvl w:val="3"/>
      </w:pPr>
      <w:r>
        <w:rPr>
          <w:b/>
          <w:sz w:val="24"/>
        </w:rPr>
        <w:t>3.2.4设施设备配置要求</w:t>
      </w:r>
    </w:p>
    <w:p>
      <w:pPr>
        <w:pStyle w:val="7"/>
      </w:pPr>
    </w:p>
    <w:p>
      <w:pPr>
        <w:pStyle w:val="7"/>
      </w:pPr>
    </w:p>
    <w:p>
      <w:pPr>
        <w:pStyle w:val="7"/>
      </w:pPr>
    </w:p>
    <w:p>
      <w:pPr>
        <w:pStyle w:val="7"/>
      </w:pPr>
      <w:r>
        <w:t>采购包1：</w:t>
      </w:r>
    </w:p>
    <w:p>
      <w:pPr>
        <w:pStyle w:val="7"/>
      </w:pPr>
      <w:r>
        <w:t>/</w:t>
      </w:r>
    </w:p>
    <w:p>
      <w:pPr>
        <w:pStyle w:val="7"/>
        <w:outlineLvl w:val="3"/>
      </w:pPr>
      <w:r>
        <w:rPr>
          <w:b/>
          <w:sz w:val="24"/>
        </w:rPr>
        <w:t>3.2.5其他要求</w:t>
      </w:r>
    </w:p>
    <w:p>
      <w:pPr>
        <w:pStyle w:val="7"/>
      </w:pPr>
    </w:p>
    <w:p>
      <w:pPr>
        <w:pStyle w:val="7"/>
      </w:pPr>
    </w:p>
    <w:p>
      <w:pPr>
        <w:pStyle w:val="7"/>
      </w:pPr>
    </w:p>
    <w:p>
      <w:pPr>
        <w:pStyle w:val="7"/>
      </w:pPr>
      <w:r>
        <w:t>采购包1：</w:t>
      </w:r>
    </w:p>
    <w:p>
      <w:pPr>
        <w:pStyle w:val="7"/>
      </w:pPr>
      <w:r>
        <w:t>/</w:t>
      </w:r>
    </w:p>
    <w:p>
      <w:pPr>
        <w:pStyle w:val="7"/>
        <w:outlineLvl w:val="2"/>
      </w:pPr>
      <w:r>
        <w:rPr>
          <w:b/>
          <w:sz w:val="28"/>
        </w:rPr>
        <w:t>3.3商务要求</w:t>
      </w:r>
    </w:p>
    <w:p>
      <w:pPr>
        <w:pStyle w:val="7"/>
        <w:outlineLvl w:val="3"/>
      </w:pPr>
      <w:r>
        <w:rPr>
          <w:b/>
          <w:sz w:val="24"/>
        </w:rPr>
        <w:t>3.3.1服务期限</w:t>
      </w:r>
    </w:p>
    <w:p>
      <w:pPr>
        <w:pStyle w:val="7"/>
      </w:pPr>
    </w:p>
    <w:p>
      <w:pPr>
        <w:pStyle w:val="7"/>
      </w:pPr>
    </w:p>
    <w:p>
      <w:pPr>
        <w:pStyle w:val="7"/>
      </w:pPr>
    </w:p>
    <w:p>
      <w:pPr>
        <w:pStyle w:val="7"/>
      </w:pPr>
      <w:r>
        <w:t>采购包1：</w:t>
      </w:r>
    </w:p>
    <w:p>
      <w:pPr>
        <w:pStyle w:val="7"/>
      </w:pPr>
      <w:r>
        <w:t xml:space="preserve"> 自合同签订之日起365日</w:t>
      </w:r>
    </w:p>
    <w:p>
      <w:pPr>
        <w:pStyle w:val="7"/>
        <w:outlineLvl w:val="3"/>
      </w:pPr>
      <w:r>
        <w:rPr>
          <w:b/>
          <w:sz w:val="24"/>
        </w:rPr>
        <w:t>3.3.2服务地点</w:t>
      </w:r>
    </w:p>
    <w:p>
      <w:pPr>
        <w:pStyle w:val="7"/>
      </w:pPr>
    </w:p>
    <w:p>
      <w:pPr>
        <w:pStyle w:val="7"/>
      </w:pPr>
    </w:p>
    <w:p>
      <w:pPr>
        <w:pStyle w:val="7"/>
      </w:pPr>
    </w:p>
    <w:p>
      <w:pPr>
        <w:pStyle w:val="7"/>
      </w:pPr>
      <w:r>
        <w:t>采购包1：</w:t>
      </w:r>
    </w:p>
    <w:p>
      <w:pPr>
        <w:pStyle w:val="7"/>
      </w:pPr>
      <w:r>
        <w:t>采购人指定地点</w:t>
      </w:r>
    </w:p>
    <w:p>
      <w:pPr>
        <w:pStyle w:val="7"/>
        <w:outlineLvl w:val="3"/>
      </w:pPr>
      <w:r>
        <w:rPr>
          <w:b/>
          <w:sz w:val="24"/>
        </w:rPr>
        <w:t>3.3.3考核（验收）标准和方法</w:t>
      </w:r>
    </w:p>
    <w:p>
      <w:pPr>
        <w:pStyle w:val="7"/>
      </w:pPr>
    </w:p>
    <w:p>
      <w:pPr>
        <w:pStyle w:val="7"/>
      </w:pPr>
    </w:p>
    <w:p>
      <w:pPr>
        <w:pStyle w:val="7"/>
      </w:pPr>
    </w:p>
    <w:p>
      <w:pPr>
        <w:pStyle w:val="7"/>
      </w:pPr>
      <w:r>
        <w:t>采购包1：</w:t>
      </w:r>
    </w:p>
    <w:p>
      <w:pPr>
        <w:pStyle w:val="7"/>
      </w:pPr>
      <w:r>
        <w:t>中标单位与采购单位严格按照《财政部关于进一步加强政府采购需求和履约验收管理的指导意见》（</w:t>
      </w:r>
      <w:bookmarkStart w:id="0" w:name="_GoBack"/>
      <w:bookmarkEnd w:id="0"/>
      <w:r>
        <w:t>财库〔2016〕205号）的要求进行验收；政府采购项目履约验收工作由采购单位负责。</w:t>
      </w:r>
    </w:p>
    <w:p>
      <w:pPr>
        <w:pStyle w:val="7"/>
        <w:outlineLvl w:val="3"/>
      </w:pPr>
      <w:r>
        <w:rPr>
          <w:b/>
          <w:sz w:val="24"/>
        </w:rPr>
        <w:t>3.3.4支付方式</w:t>
      </w:r>
    </w:p>
    <w:p>
      <w:pPr>
        <w:pStyle w:val="7"/>
      </w:pPr>
    </w:p>
    <w:p>
      <w:pPr>
        <w:pStyle w:val="7"/>
      </w:pPr>
    </w:p>
    <w:p>
      <w:pPr>
        <w:pStyle w:val="7"/>
      </w:pPr>
    </w:p>
    <w:p>
      <w:pPr>
        <w:pStyle w:val="7"/>
      </w:pPr>
      <w:r>
        <w:t>采购包1：</w:t>
      </w:r>
    </w:p>
    <w:p>
      <w:pPr>
        <w:pStyle w:val="7"/>
      </w:pPr>
      <w:r>
        <w:t>分期付款</w:t>
      </w:r>
    </w:p>
    <w:p>
      <w:pPr>
        <w:pStyle w:val="7"/>
        <w:outlineLvl w:val="3"/>
      </w:pPr>
      <w:r>
        <w:rPr>
          <w:b/>
          <w:sz w:val="24"/>
        </w:rPr>
        <w:t>3.3.5.支付约定</w:t>
      </w:r>
    </w:p>
    <w:p>
      <w:pPr>
        <w:pStyle w:val="7"/>
      </w:pPr>
    </w:p>
    <w:p>
      <w:pPr>
        <w:pStyle w:val="7"/>
      </w:pPr>
    </w:p>
    <w:p>
      <w:pPr>
        <w:pStyle w:val="7"/>
      </w:pPr>
    </w:p>
    <w:p>
      <w:pPr>
        <w:pStyle w:val="7"/>
      </w:pPr>
      <w:r>
        <w:t>采购包1： 付款条件说明： 采购合同生效之日起 ，达到付款条件起 10 日内，支付合同总金额的 50.00%。</w:t>
      </w:r>
    </w:p>
    <w:p>
      <w:pPr>
        <w:pStyle w:val="7"/>
      </w:pPr>
      <w:r>
        <w:t>采购包1： 付款条件说明： 服务期满半年后 ，达到付款条件起 10 日内，支付合同总金额的 30.00%。</w:t>
      </w:r>
    </w:p>
    <w:p>
      <w:pPr>
        <w:pStyle w:val="7"/>
      </w:pPr>
      <w:r>
        <w:t>采购包1： 付款条件说明： 完成全部检测任务后 ，达到付款条件起 10 日内，支付合同总金额的 20.00%。</w:t>
      </w:r>
    </w:p>
    <w:p>
      <w:pPr>
        <w:pStyle w:val="7"/>
        <w:outlineLvl w:val="3"/>
      </w:pPr>
      <w:r>
        <w:rPr>
          <w:b/>
          <w:sz w:val="24"/>
        </w:rPr>
        <w:t>3.3.6违约责任与解决争议的方法</w:t>
      </w:r>
    </w:p>
    <w:p>
      <w:pPr>
        <w:pStyle w:val="7"/>
      </w:pPr>
    </w:p>
    <w:p>
      <w:pPr>
        <w:pStyle w:val="7"/>
      </w:pPr>
    </w:p>
    <w:p>
      <w:pPr>
        <w:pStyle w:val="7"/>
      </w:pPr>
    </w:p>
    <w:p>
      <w:pPr>
        <w:pStyle w:val="7"/>
      </w:pPr>
      <w:r>
        <w:t>采购包1：</w:t>
      </w:r>
    </w:p>
    <w:p>
      <w:pPr>
        <w:pStyle w:val="7"/>
      </w:pPr>
      <w:r>
        <w:t>/</w:t>
      </w:r>
    </w:p>
    <w:p>
      <w:pPr>
        <w:pStyle w:val="7"/>
        <w:jc w:val="left"/>
        <w:outlineLvl w:val="2"/>
      </w:pPr>
      <w:r>
        <w:rPr>
          <w:b/>
          <w:sz w:val="28"/>
        </w:rPr>
        <w:t>3.4其他要求</w:t>
      </w:r>
    </w:p>
    <w:p>
      <w:pPr>
        <w:pStyle w:val="7"/>
      </w:pPr>
    </w:p>
    <w:p>
      <w:pPr>
        <w:pStyle w:val="7"/>
      </w:pPr>
    </w:p>
    <w:p>
      <w:pPr>
        <w:pStyle w:val="7"/>
      </w:pPr>
      <w:r>
        <w:t>/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3MGY2MGRhNmEwZmE4ODE3NzkxMDNjYzRmZTg5N2IifQ=="/>
  </w:docVars>
  <w:rsids>
    <w:rsidRoot w:val="00000000"/>
    <w:rsid w:val="41825335"/>
    <w:rsid w:val="58C178E2"/>
    <w:rsid w:val="610B50B2"/>
    <w:rsid w:val="6182459F"/>
    <w:rsid w:val="6BFC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jc w:val="left"/>
    </w:pPr>
    <w:rPr>
      <w:rFonts w:eastAsia="仿宋" w:asciiTheme="minorAscii" w:hAnsiTheme="minorAscii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Lines="0" w:beforeAutospacing="0" w:afterLines="0" w:afterAutospacing="0" w:line="360" w:lineRule="auto"/>
      <w:jc w:val="left"/>
      <w:outlineLvl w:val="0"/>
    </w:pPr>
    <w:rPr>
      <w:rFonts w:eastAsia="仿宋" w:asciiTheme="minorAscii" w:hAnsiTheme="minorAscii"/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1"/>
    </w:pPr>
    <w:rPr>
      <w:rFonts w:ascii="Arial" w:hAnsi="Arial" w:eastAsia="仿宋"/>
      <w:b/>
      <w:sz w:val="30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jc w:val="left"/>
      <w:outlineLvl w:val="2"/>
    </w:pPr>
    <w:rPr>
      <w:rFonts w:ascii="Times New Roman" w:hAnsi="Times New Roman" w:eastAsia="仿宋" w:cs="Times New Roman"/>
      <w:b/>
      <w:sz w:val="24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null3"/>
    <w:autoRedefine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2024-01-11T05:51:00Z</dcterms:created>
  <dc:creator>98635</dc:creator>
  <cp:lastModifiedBy>博君一肖</cp:lastModifiedBy>
  <dcterms:modified xsi:type="dcterms:W3CDTF">2024-04-12T01:50:30Z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72EAD76F30B24570B86EA43B70792027_12</vt:lpwstr>
  </property>
</Properties>
</file>