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2877C">
      <w:pPr>
        <w:pStyle w:val="2"/>
        <w:keepNext w:val="0"/>
        <w:keepLines w:val="0"/>
        <w:numPr>
          <w:ilvl w:val="0"/>
          <w:numId w:val="0"/>
        </w:numPr>
        <w:spacing w:line="360" w:lineRule="auto"/>
        <w:ind w:leftChars="200"/>
        <w:jc w:val="center"/>
        <w:rPr>
          <w:rFonts w:hint="default" w:ascii="宋体" w:hAnsi="宋体" w:eastAsia="宋体" w:cs="宋体"/>
          <w:bCs w:val="0"/>
          <w:color w:val="auto"/>
          <w:sz w:val="32"/>
          <w:szCs w:val="32"/>
          <w:highlight w:val="none"/>
          <w:lang w:val="en-US" w:eastAsia="zh-CN"/>
        </w:rPr>
      </w:pPr>
      <w:bookmarkStart w:id="0" w:name="_Toc35393629"/>
      <w:bookmarkStart w:id="1" w:name="_Toc35393798"/>
      <w:bookmarkStart w:id="2" w:name="_Toc28359089"/>
      <w:bookmarkStart w:id="3" w:name="_Toc28359012"/>
      <w:r>
        <w:rPr>
          <w:rFonts w:hint="eastAsia" w:ascii="宋体" w:hAnsi="宋体" w:eastAsia="宋体" w:cs="宋体"/>
          <w:bCs w:val="0"/>
          <w:color w:val="auto"/>
          <w:sz w:val="32"/>
          <w:szCs w:val="32"/>
          <w:highlight w:val="none"/>
        </w:rPr>
        <w:t>金沙县人民医院大健康医疗服务项目智能化工程核心硬件售后运维服务项目</w:t>
      </w:r>
      <w:r>
        <w:rPr>
          <w:rFonts w:hint="eastAsia" w:ascii="宋体" w:hAnsi="宋体" w:eastAsia="宋体" w:cs="宋体"/>
          <w:bCs w:val="0"/>
          <w:color w:val="auto"/>
          <w:sz w:val="32"/>
          <w:szCs w:val="32"/>
          <w:highlight w:val="none"/>
          <w:lang w:val="en-US" w:eastAsia="zh-CN"/>
        </w:rPr>
        <w:t>采购需求公示</w:t>
      </w:r>
    </w:p>
    <w:p w14:paraId="6E6EC2F6">
      <w:pPr>
        <w:pStyle w:val="2"/>
        <w:keepNext w:val="0"/>
        <w:keepLines w:val="0"/>
        <w:numPr>
          <w:ilvl w:val="0"/>
          <w:numId w:val="0"/>
        </w:numPr>
        <w:spacing w:line="360" w:lineRule="auto"/>
        <w:ind w:leftChars="200"/>
        <w:rPr>
          <w:rFonts w:hint="eastAsia" w:ascii="宋体" w:hAnsi="宋体" w:eastAsia="宋体" w:cs="宋体"/>
          <w:color w:val="auto"/>
          <w:sz w:val="28"/>
          <w:szCs w:val="28"/>
          <w:highlight w:val="none"/>
          <w:lang w:eastAsia="zh-CN"/>
        </w:rPr>
      </w:pPr>
      <w:r>
        <w:rPr>
          <w:rFonts w:hint="eastAsia" w:ascii="宋体" w:hAnsi="宋体" w:eastAsia="宋体" w:cs="宋体"/>
          <w:bCs w:val="0"/>
          <w:color w:val="auto"/>
          <w:sz w:val="28"/>
          <w:szCs w:val="28"/>
          <w:highlight w:val="none"/>
        </w:rPr>
        <w:t>一、项目基本情况</w:t>
      </w:r>
      <w:bookmarkEnd w:id="0"/>
      <w:bookmarkEnd w:id="1"/>
      <w:bookmarkEnd w:id="2"/>
      <w:bookmarkEnd w:id="3"/>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b/>
          <w:bCs/>
          <w:color w:val="auto"/>
          <w:sz w:val="28"/>
          <w:szCs w:val="28"/>
          <w:highlight w:val="non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sz w:val="28"/>
          <w:szCs w:val="28"/>
          <w:highlight w:val="none"/>
          <w:lang w:val="en-US" w:eastAsia="zh-CN"/>
        </w:rPr>
        <w:t xml:space="preserve">     </w:t>
      </w:r>
    </w:p>
    <w:p w14:paraId="51DEC758">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项目名称：</w:t>
      </w:r>
      <w:r>
        <w:rPr>
          <w:rFonts w:hint="eastAsia" w:ascii="宋体" w:hAnsi="宋体" w:cs="宋体"/>
          <w:color w:val="auto"/>
          <w:sz w:val="28"/>
          <w:szCs w:val="28"/>
          <w:highlight w:val="none"/>
          <w:lang w:eastAsia="zh-CN"/>
        </w:rPr>
        <w:t>金沙县人民医院大健康医疗服务项目智能化工程核心硬件售后运维服务项目</w:t>
      </w:r>
      <w:r>
        <w:rPr>
          <w:rFonts w:hint="eastAsia" w:ascii="宋体" w:hAnsi="宋体" w:eastAsia="宋体" w:cs="宋体"/>
          <w:color w:val="auto"/>
          <w:sz w:val="28"/>
          <w:szCs w:val="28"/>
          <w:highlight w:val="none"/>
          <w:lang w:val="en-US" w:eastAsia="zh-CN"/>
        </w:rPr>
        <w:t xml:space="preserve"> </w:t>
      </w:r>
    </w:p>
    <w:p w14:paraId="541E152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采购方式：竞争性磋商</w:t>
      </w:r>
    </w:p>
    <w:p w14:paraId="4DCA72A2">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预算金额</w:t>
      </w:r>
      <w:r>
        <w:rPr>
          <w:rFonts w:hint="eastAsia" w:ascii="宋体" w:hAnsi="宋体" w:eastAsia="宋体" w:cs="宋体"/>
          <w:color w:val="auto"/>
          <w:sz w:val="28"/>
          <w:szCs w:val="28"/>
          <w:highlight w:val="none"/>
          <w:u w:val="none"/>
        </w:rPr>
        <w:t>：</w:t>
      </w:r>
      <w:r>
        <w:rPr>
          <w:rFonts w:hint="eastAsia" w:ascii="宋体" w:hAnsi="宋体" w:cs="宋体"/>
          <w:color w:val="auto"/>
          <w:sz w:val="28"/>
          <w:szCs w:val="28"/>
          <w:highlight w:val="none"/>
          <w:u w:val="none"/>
          <w:lang w:val="en-US" w:eastAsia="zh-CN"/>
        </w:rPr>
        <w:t>1200000</w:t>
      </w:r>
      <w:r>
        <w:rPr>
          <w:rFonts w:hint="eastAsia" w:ascii="宋体" w:hAnsi="宋体" w:eastAsia="宋体" w:cs="宋体"/>
          <w:color w:val="auto"/>
          <w:sz w:val="28"/>
          <w:szCs w:val="28"/>
          <w:highlight w:val="none"/>
          <w:u w:val="none"/>
          <w:lang w:val="en-US" w:eastAsia="zh-CN"/>
        </w:rPr>
        <w:t>.00</w:t>
      </w:r>
      <w:r>
        <w:rPr>
          <w:rFonts w:hint="eastAsia" w:ascii="宋体" w:hAnsi="宋体" w:eastAsia="宋体" w:cs="宋体"/>
          <w:color w:val="auto"/>
          <w:sz w:val="28"/>
          <w:szCs w:val="28"/>
          <w:highlight w:val="none"/>
          <w:u w:val="none"/>
        </w:rPr>
        <w:t>元</w:t>
      </w:r>
    </w:p>
    <w:p w14:paraId="2AD8E02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最高限价：</w:t>
      </w:r>
      <w:r>
        <w:rPr>
          <w:rFonts w:hint="eastAsia" w:ascii="宋体" w:hAnsi="宋体" w:cs="宋体"/>
          <w:color w:val="auto"/>
          <w:sz w:val="28"/>
          <w:szCs w:val="28"/>
          <w:highlight w:val="none"/>
          <w:lang w:val="en-US" w:eastAsia="zh-CN"/>
        </w:rPr>
        <w:t>1200000</w:t>
      </w:r>
      <w:r>
        <w:rPr>
          <w:rFonts w:hint="eastAsia" w:ascii="宋体" w:hAnsi="宋体" w:eastAsia="宋体" w:cs="宋体"/>
          <w:color w:val="auto"/>
          <w:sz w:val="28"/>
          <w:szCs w:val="28"/>
          <w:highlight w:val="none"/>
          <w:lang w:eastAsia="zh-CN"/>
        </w:rPr>
        <w:t>.00</w:t>
      </w:r>
      <w:r>
        <w:rPr>
          <w:rFonts w:hint="eastAsia" w:ascii="宋体" w:hAnsi="宋体" w:eastAsia="宋体" w:cs="宋体"/>
          <w:color w:val="auto"/>
          <w:sz w:val="28"/>
          <w:szCs w:val="28"/>
          <w:highlight w:val="none"/>
        </w:rPr>
        <w:t>元</w:t>
      </w:r>
    </w:p>
    <w:p w14:paraId="006CFEB9">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采购需求：</w:t>
      </w:r>
      <w:r>
        <w:rPr>
          <w:rFonts w:hint="eastAsia" w:ascii="宋体" w:hAnsi="宋体" w:eastAsia="宋体" w:cs="宋体"/>
          <w:color w:val="auto"/>
          <w:sz w:val="28"/>
          <w:szCs w:val="28"/>
          <w:highlight w:val="none"/>
          <w:lang w:eastAsia="zh-CN"/>
        </w:rPr>
        <w:t>金沙县人民医院大健康医疗服务项目智能化工程核心硬件售后运维服务项目</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详见采购文件</w:t>
      </w:r>
      <w:r>
        <w:rPr>
          <w:rFonts w:hint="eastAsia" w:ascii="宋体" w:hAnsi="宋体" w:cs="宋体"/>
          <w:color w:val="auto"/>
          <w:sz w:val="28"/>
          <w:szCs w:val="28"/>
          <w:highlight w:val="none"/>
          <w:lang w:eastAsia="zh-CN"/>
        </w:rPr>
        <w:t>）</w:t>
      </w:r>
    </w:p>
    <w:p w14:paraId="21E123C4">
      <w:pPr>
        <w:spacing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eastAsia="zh-CN"/>
        </w:rPr>
        <w:t>服务期</w:t>
      </w:r>
      <w:r>
        <w:rPr>
          <w:rFonts w:hint="eastAsia" w:ascii="宋体" w:hAnsi="宋体" w:eastAsia="宋体" w:cs="宋体"/>
          <w:color w:val="auto"/>
          <w:sz w:val="28"/>
          <w:szCs w:val="28"/>
          <w:highlight w:val="none"/>
          <w:lang w:eastAsia="zh-CN"/>
        </w:rPr>
        <w:t>：</w:t>
      </w:r>
      <w:r>
        <w:rPr>
          <w:rFonts w:hint="eastAsia" w:ascii="宋体" w:hAnsi="宋体" w:cs="宋体"/>
          <w:color w:val="auto"/>
          <w:sz w:val="28"/>
          <w:szCs w:val="28"/>
          <w:highlight w:val="none"/>
          <w:lang w:val="en-US" w:eastAsia="zh-CN"/>
        </w:rPr>
        <w:t>3年</w:t>
      </w:r>
      <w:r>
        <w:rPr>
          <w:rFonts w:hint="eastAsia" w:ascii="宋体" w:hAnsi="宋体" w:eastAsia="宋体" w:cs="宋体"/>
          <w:color w:val="auto"/>
          <w:sz w:val="28"/>
          <w:szCs w:val="28"/>
          <w:highlight w:val="none"/>
          <w:lang w:eastAsia="zh-CN"/>
        </w:rPr>
        <w:t>。</w:t>
      </w:r>
    </w:p>
    <w:p w14:paraId="50E873C2">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w:t>
      </w:r>
      <w:r>
        <w:rPr>
          <w:rFonts w:hint="eastAsia" w:ascii="宋体" w:hAnsi="宋体" w:eastAsia="宋体" w:cs="宋体"/>
          <w:b/>
          <w:bCs/>
          <w:color w:val="auto"/>
          <w:sz w:val="28"/>
          <w:szCs w:val="28"/>
          <w:highlight w:val="none"/>
        </w:rPr>
        <w:t>不接受</w:t>
      </w:r>
      <w:r>
        <w:rPr>
          <w:rFonts w:hint="eastAsia" w:ascii="宋体" w:hAnsi="宋体" w:eastAsia="宋体" w:cs="宋体"/>
          <w:color w:val="auto"/>
          <w:sz w:val="28"/>
          <w:szCs w:val="28"/>
          <w:highlight w:val="none"/>
        </w:rPr>
        <w:t>联合体投标。</w:t>
      </w:r>
    </w:p>
    <w:p w14:paraId="31B2E114">
      <w:pPr>
        <w:pStyle w:val="2"/>
        <w:keepNext w:val="0"/>
        <w:keepLines w:val="0"/>
        <w:numPr>
          <w:ilvl w:val="0"/>
          <w:numId w:val="2"/>
        </w:numPr>
        <w:spacing w:line="360" w:lineRule="auto"/>
        <w:rPr>
          <w:rFonts w:hint="eastAsia" w:ascii="宋体" w:hAnsi="宋体" w:eastAsia="宋体" w:cs="宋体"/>
          <w:bCs w:val="0"/>
          <w:color w:val="auto"/>
          <w:sz w:val="28"/>
          <w:szCs w:val="28"/>
          <w:highlight w:val="none"/>
        </w:rPr>
      </w:pPr>
      <w:bookmarkStart w:id="4" w:name="_Toc28359013"/>
      <w:bookmarkStart w:id="5" w:name="_Toc28359090"/>
      <w:bookmarkStart w:id="6" w:name="_Toc35393630"/>
      <w:bookmarkStart w:id="7" w:name="_Toc35393799"/>
      <w:r>
        <w:rPr>
          <w:rFonts w:hint="eastAsia" w:ascii="宋体" w:hAnsi="宋体" w:eastAsia="宋体" w:cs="宋体"/>
          <w:bCs w:val="0"/>
          <w:color w:val="auto"/>
          <w:sz w:val="28"/>
          <w:szCs w:val="28"/>
          <w:highlight w:val="none"/>
        </w:rPr>
        <w:t>申请人的资格要求：</w:t>
      </w:r>
      <w:bookmarkEnd w:id="4"/>
      <w:bookmarkEnd w:id="5"/>
      <w:bookmarkEnd w:id="6"/>
      <w:bookmarkEnd w:id="7"/>
      <w:bookmarkStart w:id="8" w:name="_Toc35393631"/>
      <w:bookmarkStart w:id="9" w:name="_Toc28359091"/>
      <w:bookmarkStart w:id="10" w:name="_Toc35393800"/>
      <w:bookmarkStart w:id="11" w:name="_Toc28359014"/>
    </w:p>
    <w:p w14:paraId="7A8A79DB">
      <w:pPr>
        <w:pStyle w:val="2"/>
        <w:keepNext w:val="0"/>
        <w:keepLines w:val="0"/>
        <w:numPr>
          <w:ilvl w:val="0"/>
          <w:numId w:val="0"/>
        </w:numPr>
        <w:spacing w:line="360" w:lineRule="auto"/>
        <w:ind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满足《中华人民共和国政府采购法》第二十二条规定；</w:t>
      </w:r>
    </w:p>
    <w:p w14:paraId="0DE77B0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562" w:firstLineChars="200"/>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en-US" w:eastAsia="zh-CN"/>
        </w:rPr>
        <w:t>1.1</w:t>
      </w:r>
      <w:r>
        <w:rPr>
          <w:rFonts w:hint="eastAsia" w:ascii="宋体" w:hAnsi="宋体" w:eastAsia="宋体" w:cs="宋体"/>
          <w:b/>
          <w:bCs/>
          <w:color w:val="auto"/>
          <w:sz w:val="28"/>
          <w:szCs w:val="28"/>
          <w:highlight w:val="none"/>
          <w:lang w:val="zh-CN"/>
        </w:rPr>
        <w:t>具有独立承担民事责任的能力：</w:t>
      </w:r>
      <w:r>
        <w:rPr>
          <w:rFonts w:hint="eastAsia" w:ascii="宋体" w:hAnsi="宋体" w:eastAsia="宋体" w:cs="宋体"/>
          <w:color w:val="auto"/>
          <w:sz w:val="28"/>
          <w:szCs w:val="28"/>
          <w:highlight w:val="none"/>
          <w:lang w:val="zh-CN"/>
        </w:rPr>
        <w:t>提供合法有效的工商营业执照、税务登记证、组织机构代码证或三证合一（或多证合一）的营业执照或事业单位法人证书、组织机构代码证或社会团体法人登记证书副本等属于法人或其他组织的证明材料；</w:t>
      </w:r>
    </w:p>
    <w:p w14:paraId="369B8DB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562" w:firstLineChars="200"/>
        <w:textAlignment w:val="auto"/>
        <w:rPr>
          <w:rFonts w:hint="eastAsia" w:ascii="宋体" w:hAnsi="宋体" w:eastAsia="宋体" w:cs="宋体"/>
          <w:color w:val="auto"/>
          <w:sz w:val="28"/>
          <w:szCs w:val="28"/>
          <w:highlight w:val="none"/>
          <w:lang w:val="zh-CN"/>
        </w:rPr>
      </w:pPr>
      <w:r>
        <w:rPr>
          <w:rFonts w:hint="eastAsia" w:ascii="宋体" w:hAnsi="宋体" w:eastAsia="宋体" w:cs="宋体"/>
          <w:b/>
          <w:bCs/>
          <w:color w:val="auto"/>
          <w:sz w:val="28"/>
          <w:szCs w:val="28"/>
          <w:highlight w:val="none"/>
          <w:lang w:val="en-US" w:eastAsia="zh-CN"/>
        </w:rPr>
        <w:t>1.2</w:t>
      </w:r>
      <w:r>
        <w:rPr>
          <w:rFonts w:hint="eastAsia" w:ascii="宋体" w:hAnsi="宋体" w:eastAsia="宋体" w:cs="宋体"/>
          <w:b/>
          <w:bCs/>
          <w:color w:val="auto"/>
          <w:sz w:val="28"/>
          <w:szCs w:val="28"/>
          <w:highlight w:val="none"/>
          <w:lang w:val="zh-CN"/>
        </w:rPr>
        <w:t>具有良好的商业信誉和健全的财务会计制度：</w:t>
      </w:r>
      <w:r>
        <w:rPr>
          <w:rFonts w:hint="eastAsia" w:ascii="宋体" w:hAnsi="宋体" w:eastAsia="宋体" w:cs="宋体"/>
          <w:color w:val="auto"/>
          <w:sz w:val="28"/>
          <w:szCs w:val="28"/>
          <w:highlight w:val="none"/>
          <w:lang w:val="zh-CN"/>
        </w:rPr>
        <w:t>提供合法有效的经法定审计机构审计</w:t>
      </w:r>
      <w:r>
        <w:rPr>
          <w:rFonts w:hint="eastAsia" w:ascii="宋体" w:hAnsi="宋体" w:eastAsia="宋体" w:cs="宋体"/>
          <w:b/>
          <w:bCs/>
          <w:color w:val="auto"/>
          <w:sz w:val="28"/>
          <w:szCs w:val="28"/>
          <w:highlight w:val="none"/>
          <w:u w:val="single"/>
          <w:lang w:val="zh-CN"/>
        </w:rPr>
        <w:t>202</w:t>
      </w:r>
      <w:r>
        <w:rPr>
          <w:rFonts w:hint="eastAsia" w:ascii="宋体" w:hAnsi="宋体" w:cs="宋体"/>
          <w:b/>
          <w:bCs/>
          <w:color w:val="auto"/>
          <w:sz w:val="28"/>
          <w:szCs w:val="28"/>
          <w:highlight w:val="none"/>
          <w:u w:val="single"/>
          <w:lang w:val="en-US" w:eastAsia="zh-CN"/>
        </w:rPr>
        <w:t>2</w:t>
      </w:r>
      <w:r>
        <w:rPr>
          <w:rFonts w:hint="eastAsia" w:ascii="宋体" w:hAnsi="宋体" w:eastAsia="宋体" w:cs="宋体"/>
          <w:color w:val="auto"/>
          <w:sz w:val="28"/>
          <w:szCs w:val="28"/>
          <w:highlight w:val="none"/>
          <w:lang w:val="zh-CN"/>
        </w:rPr>
        <w:t>年度或</w:t>
      </w:r>
      <w:r>
        <w:rPr>
          <w:rFonts w:hint="eastAsia" w:ascii="宋体" w:hAnsi="宋体" w:eastAsia="宋体" w:cs="宋体"/>
          <w:b/>
          <w:bCs/>
          <w:color w:val="auto"/>
          <w:sz w:val="28"/>
          <w:szCs w:val="28"/>
          <w:highlight w:val="none"/>
          <w:u w:val="single"/>
          <w:lang w:val="zh-CN"/>
        </w:rPr>
        <w:t>202</w:t>
      </w:r>
      <w:r>
        <w:rPr>
          <w:rFonts w:hint="eastAsia" w:ascii="宋体" w:hAnsi="宋体" w:cs="宋体"/>
          <w:b/>
          <w:bCs/>
          <w:color w:val="auto"/>
          <w:sz w:val="28"/>
          <w:szCs w:val="28"/>
          <w:highlight w:val="none"/>
          <w:u w:val="single"/>
          <w:lang w:val="en-US" w:eastAsia="zh-CN"/>
        </w:rPr>
        <w:t>3</w:t>
      </w:r>
      <w:r>
        <w:rPr>
          <w:rFonts w:hint="eastAsia" w:ascii="宋体" w:hAnsi="宋体" w:eastAsia="宋体" w:cs="宋体"/>
          <w:color w:val="auto"/>
          <w:sz w:val="28"/>
          <w:szCs w:val="28"/>
          <w:highlight w:val="none"/>
          <w:lang w:val="zh-CN"/>
        </w:rPr>
        <w:t>年度财务审计报告（报表须加盖审计机构章）</w:t>
      </w:r>
      <w:r>
        <w:rPr>
          <w:rFonts w:hint="eastAsia" w:ascii="宋体" w:hAnsi="宋体" w:eastAsia="宋体" w:cs="宋体"/>
          <w:color w:val="auto"/>
          <w:sz w:val="28"/>
          <w:szCs w:val="28"/>
          <w:highlight w:val="none"/>
          <w:lang w:val="en-US" w:eastAsia="zh-CN"/>
        </w:rPr>
        <w:t>或由基本开户行2024年出具的银行资信证明；</w:t>
      </w:r>
    </w:p>
    <w:p w14:paraId="2E541DA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562" w:firstLineChars="200"/>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en-US" w:eastAsia="zh-CN"/>
        </w:rPr>
        <w:t>1.3</w:t>
      </w:r>
      <w:r>
        <w:rPr>
          <w:rFonts w:hint="eastAsia" w:ascii="宋体" w:hAnsi="宋体" w:eastAsia="宋体" w:cs="宋体"/>
          <w:b/>
          <w:bCs/>
          <w:color w:val="auto"/>
          <w:sz w:val="28"/>
          <w:szCs w:val="28"/>
          <w:highlight w:val="none"/>
        </w:rPr>
        <w:t>提供履行合同所需设备和专业技术能力证明材料：</w:t>
      </w:r>
      <w:r>
        <w:rPr>
          <w:rFonts w:hint="eastAsia" w:ascii="宋体" w:hAnsi="宋体" w:eastAsia="宋体" w:cs="宋体"/>
          <w:color w:val="auto"/>
          <w:sz w:val="28"/>
          <w:szCs w:val="28"/>
          <w:highlight w:val="none"/>
        </w:rPr>
        <w:t>自行提供具备履行合同所需设备和专业技术能力的承诺；</w:t>
      </w:r>
    </w:p>
    <w:p w14:paraId="7DFA648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562" w:firstLineChars="200"/>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en-US" w:eastAsia="zh-CN"/>
        </w:rPr>
        <w:t>1.4</w:t>
      </w:r>
      <w:r>
        <w:rPr>
          <w:rFonts w:hint="eastAsia" w:ascii="宋体" w:hAnsi="宋体" w:eastAsia="宋体" w:cs="宋体"/>
          <w:b/>
          <w:bCs/>
          <w:color w:val="auto"/>
          <w:sz w:val="28"/>
          <w:szCs w:val="28"/>
          <w:highlight w:val="none"/>
        </w:rPr>
        <w:t>供应商须有依法缴纳税收的良好记录：</w:t>
      </w:r>
      <w:r>
        <w:rPr>
          <w:rFonts w:hint="eastAsia" w:ascii="宋体" w:hAnsi="宋体" w:eastAsia="宋体" w:cs="宋体"/>
          <w:color w:val="auto"/>
          <w:sz w:val="28"/>
          <w:szCs w:val="28"/>
          <w:highlight w:val="none"/>
          <w:lang w:eastAsia="zh-CN"/>
        </w:rPr>
        <w:t>提供</w:t>
      </w:r>
      <w:r>
        <w:rPr>
          <w:rFonts w:hint="eastAsia" w:ascii="宋体" w:hAnsi="宋体" w:eastAsia="宋体" w:cs="宋体"/>
          <w:b/>
          <w:bCs/>
          <w:color w:val="auto"/>
          <w:sz w:val="28"/>
          <w:szCs w:val="28"/>
          <w:highlight w:val="none"/>
          <w:u w:val="single"/>
          <w:lang w:eastAsia="zh-CN"/>
        </w:rPr>
        <w:t>202</w:t>
      </w:r>
      <w:r>
        <w:rPr>
          <w:rFonts w:hint="eastAsia" w:ascii="宋体" w:hAnsi="宋体" w:cs="宋体"/>
          <w:b/>
          <w:bCs/>
          <w:color w:val="auto"/>
          <w:sz w:val="28"/>
          <w:szCs w:val="28"/>
          <w:highlight w:val="none"/>
          <w:u w:val="single"/>
          <w:lang w:val="en-US" w:eastAsia="zh-CN"/>
        </w:rPr>
        <w:t>4</w:t>
      </w:r>
      <w:r>
        <w:rPr>
          <w:rFonts w:hint="eastAsia" w:ascii="宋体" w:hAnsi="宋体" w:eastAsia="宋体" w:cs="宋体"/>
          <w:color w:val="auto"/>
          <w:sz w:val="28"/>
          <w:szCs w:val="28"/>
          <w:highlight w:val="none"/>
          <w:lang w:eastAsia="zh-CN"/>
        </w:rPr>
        <w:t>年</w:t>
      </w:r>
      <w:r>
        <w:rPr>
          <w:rFonts w:hint="eastAsia" w:ascii="宋体" w:hAnsi="宋体" w:cs="宋体"/>
          <w:b/>
          <w:bCs/>
          <w:color w:val="auto"/>
          <w:sz w:val="28"/>
          <w:szCs w:val="28"/>
          <w:highlight w:val="none"/>
          <w:u w:val="single"/>
          <w:lang w:val="en-US" w:eastAsia="zh-CN"/>
        </w:rPr>
        <w:t>1</w:t>
      </w:r>
      <w:r>
        <w:rPr>
          <w:rFonts w:hint="eastAsia" w:ascii="宋体" w:hAnsi="宋体" w:eastAsia="宋体" w:cs="宋体"/>
          <w:color w:val="auto"/>
          <w:sz w:val="28"/>
          <w:szCs w:val="28"/>
          <w:highlight w:val="none"/>
          <w:lang w:eastAsia="zh-CN"/>
        </w:rPr>
        <w:t>月以来任意</w:t>
      </w:r>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lang w:eastAsia="zh-CN"/>
        </w:rPr>
        <w:t>个月</w:t>
      </w:r>
      <w:r>
        <w:rPr>
          <w:rFonts w:hint="eastAsia" w:ascii="宋体" w:hAnsi="宋体" w:eastAsia="宋体" w:cs="宋体"/>
          <w:color w:val="auto"/>
          <w:sz w:val="28"/>
          <w:szCs w:val="28"/>
          <w:highlight w:val="none"/>
        </w:rPr>
        <w:t>发生并缴纳的完税凭证或银行回单原件（凭证或回单须标明有本款要求的税种方为有效）。未发生缴税情况的，须提供零申报证明，即提供企业所在地税务部门出具的申报证明原件或加盖税务机关公章的申报表或自行在网上申报系统中打印的已申报报表（加盖投标人印章）。</w:t>
      </w:r>
    </w:p>
    <w:p w14:paraId="311B87A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562" w:firstLineChars="200"/>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en-US" w:eastAsia="zh-CN"/>
        </w:rPr>
        <w:t>1.5</w:t>
      </w:r>
      <w:r>
        <w:rPr>
          <w:rFonts w:hint="eastAsia" w:ascii="宋体" w:hAnsi="宋体" w:eastAsia="宋体" w:cs="宋体"/>
          <w:b/>
          <w:bCs/>
          <w:color w:val="auto"/>
          <w:sz w:val="28"/>
          <w:szCs w:val="28"/>
          <w:highlight w:val="none"/>
        </w:rPr>
        <w:t>供应商须有依法缴纳社会保障资金的良好记录：</w:t>
      </w:r>
      <w:r>
        <w:rPr>
          <w:rFonts w:hint="eastAsia" w:ascii="宋体" w:hAnsi="宋体" w:eastAsia="宋体" w:cs="宋体"/>
          <w:color w:val="auto"/>
          <w:sz w:val="28"/>
          <w:szCs w:val="28"/>
          <w:highlight w:val="none"/>
          <w:lang w:eastAsia="zh-CN"/>
        </w:rPr>
        <w:t>提供</w:t>
      </w:r>
      <w:r>
        <w:rPr>
          <w:rFonts w:hint="eastAsia" w:ascii="宋体" w:hAnsi="宋体" w:eastAsia="宋体" w:cs="宋体"/>
          <w:b/>
          <w:bCs/>
          <w:color w:val="auto"/>
          <w:sz w:val="28"/>
          <w:szCs w:val="28"/>
          <w:highlight w:val="none"/>
          <w:u w:val="single"/>
          <w:lang w:eastAsia="zh-CN"/>
        </w:rPr>
        <w:t>202</w:t>
      </w:r>
      <w:r>
        <w:rPr>
          <w:rFonts w:hint="eastAsia" w:ascii="宋体" w:hAnsi="宋体" w:cs="宋体"/>
          <w:b/>
          <w:bCs/>
          <w:color w:val="auto"/>
          <w:sz w:val="28"/>
          <w:szCs w:val="28"/>
          <w:highlight w:val="none"/>
          <w:u w:val="single"/>
          <w:lang w:val="en-US" w:eastAsia="zh-CN"/>
        </w:rPr>
        <w:t>4</w:t>
      </w:r>
      <w:r>
        <w:rPr>
          <w:rFonts w:hint="eastAsia" w:ascii="宋体" w:hAnsi="宋体" w:eastAsia="宋体" w:cs="宋体"/>
          <w:color w:val="auto"/>
          <w:sz w:val="28"/>
          <w:szCs w:val="28"/>
          <w:highlight w:val="none"/>
          <w:lang w:eastAsia="zh-CN"/>
        </w:rPr>
        <w:t>年</w:t>
      </w:r>
      <w:r>
        <w:rPr>
          <w:rFonts w:hint="eastAsia" w:ascii="宋体" w:hAnsi="宋体" w:cs="宋体"/>
          <w:b/>
          <w:bCs/>
          <w:color w:val="auto"/>
          <w:sz w:val="28"/>
          <w:szCs w:val="28"/>
          <w:highlight w:val="none"/>
          <w:u w:val="single"/>
          <w:lang w:val="en-US" w:eastAsia="zh-CN"/>
        </w:rPr>
        <w:t>1</w:t>
      </w:r>
      <w:r>
        <w:rPr>
          <w:rFonts w:hint="eastAsia" w:ascii="宋体" w:hAnsi="宋体" w:eastAsia="宋体" w:cs="宋体"/>
          <w:color w:val="auto"/>
          <w:sz w:val="28"/>
          <w:szCs w:val="28"/>
          <w:highlight w:val="none"/>
          <w:lang w:eastAsia="zh-CN"/>
        </w:rPr>
        <w:t>月以来任意</w:t>
      </w:r>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lang w:eastAsia="zh-CN"/>
        </w:rPr>
        <w:t>个月</w:t>
      </w:r>
      <w:r>
        <w:rPr>
          <w:rFonts w:hint="eastAsia" w:ascii="宋体" w:hAnsi="宋体" w:eastAsia="宋体" w:cs="宋体"/>
          <w:color w:val="auto"/>
          <w:sz w:val="28"/>
          <w:szCs w:val="28"/>
          <w:highlight w:val="none"/>
        </w:rPr>
        <w:t>缴纳社会保险的有效证明（以加盖社保机构公章的社保资金收据凭证或加盖社保机构公章的本单位社保缴纳花名册或向税务机关缴纳社保费的完税证明或加盖社保机构公章的其他社保交纳证明为准）。</w:t>
      </w:r>
    </w:p>
    <w:p w14:paraId="4D5D59FF">
      <w:pPr>
        <w:pStyle w:val="5"/>
        <w:keepNext w:val="0"/>
        <w:keepLines w:val="0"/>
        <w:pageBreakBefore w:val="0"/>
        <w:widowControl w:val="0"/>
        <w:numPr>
          <w:ilvl w:val="0"/>
          <w:numId w:val="0"/>
        </w:numPr>
        <w:kinsoku/>
        <w:wordWrap/>
        <w:overflowPunct/>
        <w:topLinePunct w:val="0"/>
        <w:autoSpaceDE/>
        <w:autoSpaceDN/>
        <w:bidi w:val="0"/>
        <w:adjustRightInd/>
        <w:snapToGrid w:val="0"/>
        <w:ind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1.6</w:t>
      </w:r>
      <w:r>
        <w:rPr>
          <w:rFonts w:hint="eastAsia" w:ascii="宋体" w:hAnsi="宋体" w:eastAsia="宋体" w:cs="宋体"/>
          <w:color w:val="auto"/>
          <w:sz w:val="28"/>
          <w:szCs w:val="28"/>
          <w:highlight w:val="none"/>
        </w:rPr>
        <w:t>参加政府采购活动前三年内，在经营活动中没有重大违法记录的书面声明函：自行提供声明函；</w:t>
      </w:r>
    </w:p>
    <w:p w14:paraId="14DE8BB0">
      <w:pPr>
        <w:keepNext w:val="0"/>
        <w:keepLines w:val="0"/>
        <w:pageBreakBefore w:val="0"/>
        <w:widowControl w:val="0"/>
        <w:kinsoku/>
        <w:wordWrap/>
        <w:overflowPunct/>
        <w:topLinePunct w:val="0"/>
        <w:autoSpaceDE/>
        <w:autoSpaceDN/>
        <w:bidi w:val="0"/>
        <w:adjustRightInd/>
        <w:snapToGrid/>
        <w:spacing w:line="360" w:lineRule="auto"/>
        <w:ind w:firstLine="624"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spacing w:val="16"/>
          <w:kern w:val="15"/>
          <w:sz w:val="28"/>
          <w:szCs w:val="28"/>
          <w:highlight w:val="none"/>
          <w:lang w:val="en-US" w:eastAsia="zh-CN"/>
        </w:rPr>
        <w:t>1.7</w:t>
      </w:r>
      <w:r>
        <w:rPr>
          <w:rFonts w:hint="eastAsia" w:ascii="宋体" w:hAnsi="宋体" w:eastAsia="宋体" w:cs="宋体"/>
          <w:color w:val="auto"/>
          <w:sz w:val="28"/>
          <w:szCs w:val="28"/>
          <w:highlight w:val="none"/>
        </w:rPr>
        <w:t>投标供应商必须为未被列入信用中国网站渠道信用记录失信被执行人、重大税收违法案件当事人名单、政府采购严重违法失信行为记录名单和中国政府采购网渠道政府采购严重违法失信行为记录名单的投标供应商</w:t>
      </w:r>
      <w:r>
        <w:rPr>
          <w:rFonts w:hint="eastAsia" w:ascii="宋体" w:hAnsi="宋体" w:eastAsia="宋体" w:cs="宋体"/>
          <w:color w:val="auto"/>
          <w:kern w:val="0"/>
          <w:sz w:val="28"/>
          <w:szCs w:val="28"/>
          <w:highlight w:val="none"/>
        </w:rPr>
        <w:t>；</w:t>
      </w:r>
    </w:p>
    <w:p w14:paraId="11580CC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624" w:firstLineChars="200"/>
        <w:textAlignment w:val="auto"/>
        <w:rPr>
          <w:rFonts w:hint="eastAsia" w:ascii="宋体" w:hAnsi="宋体" w:eastAsia="宋体" w:cs="宋体"/>
          <w:color w:val="auto"/>
          <w:spacing w:val="16"/>
          <w:kern w:val="15"/>
          <w:sz w:val="28"/>
          <w:szCs w:val="28"/>
          <w:highlight w:val="none"/>
        </w:rPr>
      </w:pPr>
      <w:r>
        <w:rPr>
          <w:rFonts w:hint="eastAsia" w:ascii="宋体" w:hAnsi="宋体" w:eastAsia="宋体" w:cs="宋体"/>
          <w:color w:val="auto"/>
          <w:spacing w:val="16"/>
          <w:kern w:val="15"/>
          <w:sz w:val="28"/>
          <w:szCs w:val="28"/>
          <w:highlight w:val="none"/>
          <w:lang w:val="en-US" w:eastAsia="zh-CN"/>
        </w:rPr>
        <w:t>1.8</w:t>
      </w:r>
      <w:r>
        <w:rPr>
          <w:rFonts w:hint="eastAsia" w:ascii="宋体" w:hAnsi="宋体" w:eastAsia="宋体" w:cs="宋体"/>
          <w:color w:val="auto"/>
          <w:spacing w:val="16"/>
          <w:kern w:val="15"/>
          <w:sz w:val="28"/>
          <w:szCs w:val="28"/>
          <w:highlight w:val="none"/>
        </w:rPr>
        <w:t>法定代表人参加磋商会议的持本人有效身份证原件及法人身份证明原件，法人授权委托人参加磋商会议的持委托人身份证原件及法人授权委托书原件；</w:t>
      </w:r>
    </w:p>
    <w:p w14:paraId="5B4AF837">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.落实政府采购政策需满足的资格要求：</w:t>
      </w:r>
      <w:r>
        <w:rPr>
          <w:rFonts w:hint="eastAsia" w:ascii="宋体" w:hAnsi="宋体" w:eastAsia="宋体" w:cs="宋体"/>
          <w:b/>
          <w:bCs/>
          <w:color w:val="auto"/>
          <w:sz w:val="28"/>
          <w:szCs w:val="28"/>
          <w:highlight w:val="none"/>
          <w:u w:val="none"/>
          <w:lang w:val="en-US" w:eastAsia="zh-CN"/>
        </w:rPr>
        <w:t xml:space="preserve"> 已落实，本项目非专门面向中小企业采购。本项目采购标的对应的企业划分标准所属行业为：</w:t>
      </w:r>
      <w:r>
        <w:rPr>
          <w:rFonts w:hint="eastAsia" w:ascii="宋体" w:hAnsi="宋体" w:cs="宋体"/>
          <w:b/>
          <w:bCs/>
          <w:color w:val="auto"/>
          <w:sz w:val="28"/>
          <w:szCs w:val="28"/>
          <w:highlight w:val="none"/>
          <w:u w:val="none"/>
          <w:lang w:val="en-US" w:eastAsia="zh-CN"/>
        </w:rPr>
        <w:t>软件和信息技术服务业</w:t>
      </w:r>
      <w:r>
        <w:rPr>
          <w:rFonts w:hint="eastAsia" w:ascii="宋体" w:hAnsi="宋体" w:eastAsia="宋体" w:cs="宋体"/>
          <w:b/>
          <w:bCs/>
          <w:color w:val="auto"/>
          <w:sz w:val="28"/>
          <w:szCs w:val="28"/>
          <w:highlight w:val="none"/>
          <w:u w:val="none"/>
          <w:lang w:val="en-US" w:eastAsia="zh-CN"/>
        </w:rPr>
        <w:t xml:space="preserve">。 </w:t>
      </w:r>
    </w:p>
    <w:p w14:paraId="4F5BBB10">
      <w:pPr>
        <w:pStyle w:val="2"/>
        <w:rPr>
          <w:rFonts w:hint="eastAsia" w:ascii="宋体" w:hAnsi="宋体" w:eastAsia="宋体" w:cs="宋体"/>
          <w:bCs w:val="0"/>
          <w:color w:val="auto"/>
          <w:sz w:val="28"/>
          <w:szCs w:val="28"/>
          <w:highlight w:val="none"/>
        </w:rPr>
      </w:pP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bCs w:val="0"/>
          <w:color w:val="auto"/>
          <w:sz w:val="28"/>
          <w:szCs w:val="28"/>
          <w:highlight w:val="none"/>
        </w:rPr>
        <w:t>三、</w:t>
      </w:r>
      <w:bookmarkEnd w:id="8"/>
      <w:bookmarkEnd w:id="9"/>
      <w:bookmarkEnd w:id="10"/>
      <w:bookmarkEnd w:id="11"/>
      <w:r>
        <w:rPr>
          <w:rFonts w:hint="eastAsia" w:ascii="宋体" w:hAnsi="宋体" w:eastAsia="宋体" w:cs="宋体"/>
          <w:bCs w:val="0"/>
          <w:color w:val="auto"/>
          <w:sz w:val="28"/>
          <w:szCs w:val="28"/>
          <w:highlight w:val="none"/>
          <w:lang w:val="en-US" w:eastAsia="zh-CN"/>
        </w:rPr>
        <w:t>评标办法</w:t>
      </w:r>
    </w:p>
    <w:p w14:paraId="334DE89A">
      <w:pPr>
        <w:rPr>
          <w:rFonts w:hint="default"/>
          <w:lang w:val="en-US"/>
        </w:rPr>
      </w:pPr>
      <w:r>
        <w:rPr>
          <w:rFonts w:hint="eastAsia" w:ascii="宋体" w:hAnsi="宋体" w:cs="宋体"/>
          <w:bCs w:val="0"/>
          <w:color w:val="auto"/>
          <w:sz w:val="28"/>
          <w:szCs w:val="28"/>
          <w:highlight w:val="none"/>
          <w:lang w:val="en-US" w:eastAsia="zh-CN"/>
        </w:rPr>
        <w:t>本项目采用综合评分法</w:t>
      </w:r>
      <w:bookmarkStart w:id="12" w:name="_GoBack"/>
      <w:bookmarkEnd w:id="12"/>
    </w:p>
    <w:p w14:paraId="219E314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1444F"/>
    <w:multiLevelType w:val="singleLevel"/>
    <w:tmpl w:val="8C51444F"/>
    <w:lvl w:ilvl="0" w:tentative="0">
      <w:start w:val="2"/>
      <w:numFmt w:val="chineseCounting"/>
      <w:suff w:val="nothing"/>
      <w:lvlText w:val="%1、"/>
      <w:lvlJc w:val="left"/>
      <w:rPr>
        <w:rFonts w:hint="eastAsia"/>
      </w:rPr>
    </w:lvl>
  </w:abstractNum>
  <w:abstractNum w:abstractNumId="1">
    <w:nsid w:val="7E8F04B4"/>
    <w:multiLevelType w:val="multilevel"/>
    <w:tmpl w:val="7E8F04B4"/>
    <w:lvl w:ilvl="0" w:tentative="0">
      <w:start w:val="0"/>
      <w:numFmt w:val="decimal"/>
      <w:lvlText w:val=""/>
      <w:lvlJc w:val="left"/>
      <w:pPr>
        <w:tabs>
          <w:tab w:val="left" w:pos="0"/>
        </w:tabs>
        <w:ind w:left="0" w:firstLine="0"/>
      </w:pPr>
    </w:lvl>
    <w:lvl w:ilvl="1" w:tentative="0">
      <w:start w:val="0"/>
      <w:numFmt w:val="decimal"/>
      <w:pStyle w:val="2"/>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hZGE2OGRiNzc0MGFjN2Y4MTIyZWM5Y2E2OTFhMWQifQ=="/>
  </w:docVars>
  <w:rsids>
    <w:rsidRoot w:val="00000000"/>
    <w:rsid w:val="6CAF0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numPr>
        <w:ilvl w:val="1"/>
        <w:numId w:val="1"/>
      </w:numPr>
      <w:spacing w:before="260" w:beforeLines="0" w:after="260" w:afterLines="0" w:line="412" w:lineRule="auto"/>
      <w:outlineLvl w:val="1"/>
    </w:pPr>
    <w:rPr>
      <w:rFonts w:ascii="Arial" w:hAnsi="Arial" w:eastAsia="黑体"/>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首行缩进"/>
    <w:basedOn w:val="1"/>
    <w:autoRedefine/>
    <w:qFormat/>
    <w:uiPriority w:val="99"/>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2024-10-09T09:22:55Z</dcterms:created>
  <dc:creator>11076</dc:creator>
  <cp:lastModifiedBy>Tang</cp:lastModifiedBy>
  <dcterms:modified xsi:type="dcterms:W3CDTF">2024-10-09T09:23:54Z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5559644174934C0A97BE420B920F1A70_12</vt:lpwstr>
  </property>
</Properties>
</file>