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602"/>
        <w:jc w:val="center"/>
        <w:rPr>
          <w:rFonts w:ascii="微软雅黑" w:hAnsi="微软雅黑" w:eastAsia="微软雅黑"/>
          <w:b/>
          <w:sz w:val="30"/>
          <w:szCs w:val="30"/>
          <w:lang w:eastAsia="zh-CN"/>
        </w:rPr>
      </w:pPr>
      <w:r>
        <w:rPr>
          <w:rFonts w:ascii="Times New Roman" w:hAnsi="Times New Roman" w:eastAsia="仿宋" w:cs="Times New Roman"/>
          <w:b/>
          <w:sz w:val="30"/>
          <w:szCs w:val="30"/>
          <w:lang w:eastAsia="zh-CN"/>
        </w:rPr>
        <w:t>供应商资质基本要求</w:t>
      </w:r>
    </w:p>
    <w:p>
      <w:pPr>
        <w:pStyle w:val="2"/>
        <w:spacing w:line="360" w:lineRule="auto"/>
        <w:ind w:firstLine="480"/>
        <w:rPr>
          <w:rFonts w:ascii="微软雅黑" w:hAnsi="微软雅黑" w:eastAsia="微软雅黑"/>
          <w:b/>
          <w:sz w:val="24"/>
          <w:szCs w:val="24"/>
          <w:lang w:eastAsia="zh-CN"/>
        </w:rPr>
      </w:pPr>
      <w:bookmarkStart w:id="0" w:name="OLE_LINK6"/>
      <w:bookmarkStart w:id="1" w:name="OLE_LINK1"/>
      <w:r>
        <w:rPr>
          <w:rFonts w:ascii="微软雅黑" w:hAnsi="微软雅黑" w:eastAsia="微软雅黑"/>
          <w:b/>
          <w:sz w:val="24"/>
          <w:szCs w:val="24"/>
          <w:lang w:eastAsia="zh-CN"/>
        </w:rPr>
        <w:t>1</w:t>
      </w:r>
      <w:r>
        <w:rPr>
          <w:rFonts w:hint="eastAsia" w:ascii="微软雅黑" w:hAnsi="微软雅黑" w:eastAsia="微软雅黑"/>
          <w:b/>
          <w:sz w:val="24"/>
          <w:szCs w:val="24"/>
          <w:lang w:eastAsia="zh-CN"/>
        </w:rPr>
        <w:t>、</w:t>
      </w:r>
      <w:r>
        <w:rPr>
          <w:rFonts w:hint="eastAsia" w:ascii="微软雅黑" w:hAnsi="微软雅黑" w:eastAsia="微软雅黑"/>
          <w:b/>
          <w:sz w:val="24"/>
          <w:szCs w:val="24"/>
          <w:lang w:val="en-US" w:eastAsia="zh-CN"/>
        </w:rPr>
        <w:t>资格</w:t>
      </w:r>
      <w:r>
        <w:rPr>
          <w:rFonts w:hint="eastAsia" w:ascii="微软雅黑" w:hAnsi="微软雅黑" w:eastAsia="微软雅黑"/>
          <w:b/>
          <w:sz w:val="24"/>
          <w:szCs w:val="24"/>
          <w:lang w:eastAsia="zh-CN"/>
        </w:rPr>
        <w:t>要求：</w:t>
      </w:r>
      <w:r>
        <w:rPr>
          <w:rFonts w:ascii="微软雅黑" w:hAnsi="微软雅黑" w:eastAsia="微软雅黑"/>
          <w:b/>
          <w:sz w:val="24"/>
          <w:szCs w:val="24"/>
          <w:lang w:eastAsia="zh-CN"/>
        </w:rPr>
        <w:t xml:space="preserve"> </w:t>
      </w:r>
    </w:p>
    <w:p>
      <w:pPr>
        <w:pStyle w:val="2"/>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①投标人须是中华人民共和国境内具有独立承担民事责任能力的法人，或具备国家认可经营资格的其他组织。</w:t>
      </w:r>
    </w:p>
    <w:p>
      <w:pPr>
        <w:pStyle w:val="2"/>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1）投标人为企业的，应具有合法有效的企业法人营业执照、税务登记证及组织机构代码证或证照合一的营业执照；</w:t>
      </w:r>
    </w:p>
    <w:p>
      <w:pPr>
        <w:pStyle w:val="2"/>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2）投标人为分公司的，应具有合法有效的营业执照、税务登记证及组织机构代码证或证照合一的营业执照和总公司合法授权书。总公司与分支机构只可一家参与投标，同时参与投标视为投标无效。</w:t>
      </w:r>
    </w:p>
    <w:p>
      <w:pPr>
        <w:pStyle w:val="2"/>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 xml:space="preserve">3）投标人为事业单位的，投标人应经全国各级事业单位登记管理机关核准登记或者备案，具有合法有效的事业单位法人证书；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②体系要求：</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投标人须同时具备有效的GB/T19001（ISO9001）质量体系认证证书、GB/T24001（ISO14001）环境管理体系认证证书、OHSAS18001或GB/T认证45001(ISO45001)职业健康管理体系证书，国内认证机构签发的证书应可在中国国家认证认可监督管理委员会网站(http://www.cnca.gov.cn/)核实。如果有国家相关部门发布的最新体系标准，以最新体系标准为准。投标时需提供原件扫描件（原件备查）。</w:t>
      </w:r>
    </w:p>
    <w:p>
      <w:pPr>
        <w:pStyle w:val="2"/>
        <w:spacing w:line="360" w:lineRule="auto"/>
        <w:ind w:firstLine="482"/>
        <w:rPr>
          <w:rFonts w:asciiTheme="minorEastAsia" w:hAnsiTheme="minorEastAsia" w:eastAsiaTheme="minorEastAsia"/>
          <w:b/>
          <w:sz w:val="24"/>
          <w:szCs w:val="24"/>
          <w:lang w:eastAsia="zh-CN"/>
        </w:rPr>
      </w:pPr>
      <w:r>
        <w:rPr>
          <w:rStyle w:val="11"/>
          <w:rFonts w:hint="eastAsia" w:ascii="Arial" w:hAnsi="Arial" w:eastAsia="宋体" w:cs="Arial"/>
          <w:b w:val="0"/>
          <w:bCs w:val="0"/>
          <w:i w:val="0"/>
          <w:iCs w:val="0"/>
          <w:smallCaps w:val="0"/>
          <w:color w:val="000000"/>
          <w:kern w:val="0"/>
          <w:sz w:val="24"/>
          <w:szCs w:val="24"/>
          <w:u w:val="none"/>
          <w:lang w:val="en-US" w:eastAsia="zh-CN"/>
        </w:rPr>
        <w:t xml:space="preserve"> </w:t>
      </w:r>
      <w:r>
        <w:rPr>
          <w:rFonts w:asciiTheme="minorEastAsia" w:hAnsiTheme="minorEastAsia" w:eastAsiaTheme="minorEastAsia"/>
          <w:b/>
          <w:sz w:val="24"/>
          <w:szCs w:val="24"/>
          <w:lang w:eastAsia="zh-CN"/>
        </w:rPr>
        <w:t>2</w:t>
      </w:r>
      <w:r>
        <w:rPr>
          <w:rFonts w:hint="eastAsia" w:asciiTheme="minorEastAsia" w:hAnsiTheme="minorEastAsia" w:eastAsiaTheme="minorEastAsia"/>
          <w:b/>
          <w:sz w:val="24"/>
          <w:szCs w:val="24"/>
          <w:lang w:eastAsia="zh-CN"/>
        </w:rPr>
        <w:t>、业绩要求：</w:t>
      </w:r>
      <w:r>
        <w:rPr>
          <w:rFonts w:asciiTheme="minorEastAsia" w:hAnsiTheme="minorEastAsia" w:eastAsiaTheme="minorEastAsia"/>
          <w:b/>
          <w:sz w:val="24"/>
          <w:szCs w:val="24"/>
          <w:lang w:eastAsia="zh-CN"/>
        </w:rPr>
        <w:t xml:space="preserve"> </w:t>
      </w:r>
    </w:p>
    <w:p>
      <w:pPr>
        <w:pStyle w:val="2"/>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①202</w:t>
      </w:r>
      <w:r>
        <w:rPr>
          <w:rStyle w:val="11"/>
          <w:rFonts w:hint="eastAsia" w:ascii="Arial" w:hAnsi="Arial" w:eastAsia="宋体" w:cs="Arial"/>
          <w:b w:val="0"/>
          <w:bCs w:val="0"/>
          <w:i w:val="0"/>
          <w:iCs w:val="0"/>
          <w:smallCaps w:val="0"/>
          <w:color w:val="auto"/>
          <w:kern w:val="0"/>
          <w:sz w:val="24"/>
          <w:szCs w:val="24"/>
          <w:highlight w:val="none"/>
          <w:u w:val="none"/>
          <w:lang w:val="en-US" w:eastAsia="zh-CN"/>
        </w:rPr>
        <w:t>2年1月1日至投标截止日（以合同签署时间为准），投标人应具有1项压控式智能配水器工作筒(或压控式智能配水器芯子)供货业绩或加工服务业绩，并提供相应业绩证明文件。</w:t>
      </w:r>
    </w:p>
    <w:p>
      <w:pPr>
        <w:pStyle w:val="2"/>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②业绩证明文件至少包括：1）合同扫描件和2）服务验收证明材料。投标人所提交的业绩证明文件必须至少体现以下内容：合同首页、合同签署页（具有签字或盖章、合同签署时间）、服务内容；服务验收证明材料包括服务验收单或结算发票，服务验收单应有合同甲方或使用方签字或盖章，以及验收时间。</w:t>
      </w:r>
    </w:p>
    <w:p>
      <w:pPr>
        <w:pStyle w:val="2"/>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③若业绩合同为年度协议，还应至少提供1项完成订单，要求订单编号或者内容要与框架协议相关联，并提供服务验收证明材料。同一个年协合同提供1项及以上订单的均算为1个有效业绩。</w:t>
      </w:r>
    </w:p>
    <w:p>
      <w:pPr>
        <w:pStyle w:val="2"/>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④未提交业绩证明文件，或通过所提供的业绩证明文件无法认定满足上述业绩要求的，均视为无效业绩。</w:t>
      </w:r>
    </w:p>
    <w:p>
      <w:pPr>
        <w:pStyle w:val="2"/>
        <w:spacing w:line="360" w:lineRule="auto"/>
        <w:ind w:firstLine="480"/>
        <w:rPr>
          <w:rStyle w:val="11"/>
          <w:rFonts w:hint="eastAsia" w:ascii="Arial" w:hAnsi="Arial" w:eastAsia="宋体" w:cs="Arial"/>
          <w:b w:val="0"/>
          <w:bCs w:val="0"/>
          <w:i w:val="0"/>
          <w:iCs w:val="0"/>
          <w:smallCaps w:val="0"/>
          <w:color w:val="000000"/>
          <w:kern w:val="0"/>
          <w:sz w:val="24"/>
          <w:szCs w:val="24"/>
          <w:highlight w:val="none"/>
          <w:u w:val="none"/>
          <w:lang w:val="en-US" w:eastAsia="zh-CN"/>
        </w:rPr>
      </w:pPr>
      <w:r>
        <w:rPr>
          <w:rStyle w:val="11"/>
          <w:rFonts w:hint="eastAsia" w:ascii="Arial" w:hAnsi="Arial" w:eastAsia="宋体" w:cs="Arial"/>
          <w:b w:val="0"/>
          <w:bCs w:val="0"/>
          <w:i w:val="0"/>
          <w:iCs w:val="0"/>
          <w:smallCaps w:val="0"/>
          <w:color w:val="000000"/>
          <w:kern w:val="0"/>
          <w:sz w:val="24"/>
          <w:szCs w:val="24"/>
          <w:highlight w:val="none"/>
          <w:u w:val="none"/>
          <w:lang w:val="en-US" w:eastAsia="zh-CN"/>
        </w:rPr>
        <w:t>⑤原件备查：招标公示结束后，招标人有权要求中标人提供投标文件涉及业绩的对应发票，以便对发票进行查验；如中标人不能提供发票，将视为无效业绩，按照提供虚假材料处理；如提供为新开发票，招标人将在六个月后进行发票再次核验，如冲红，也将视为无效业绩，按照提供虚假材料处理。如发生中标候选人变更，招标人有权要求变更后的中标人提供投标文件涉及业绩的对应发票，其要求按照上述第1条执行。</w:t>
      </w:r>
    </w:p>
    <w:p>
      <w:pPr>
        <w:pStyle w:val="2"/>
        <w:spacing w:line="360" w:lineRule="auto"/>
        <w:ind w:firstLine="480"/>
        <w:rPr>
          <w:rFonts w:ascii="微软雅黑" w:hAnsi="微软雅黑" w:eastAsia="微软雅黑"/>
          <w:b/>
          <w:sz w:val="24"/>
          <w:szCs w:val="24"/>
          <w:lang w:eastAsia="zh-CN"/>
        </w:rPr>
      </w:pPr>
      <w:r>
        <w:rPr>
          <w:rFonts w:ascii="微软雅黑" w:hAnsi="微软雅黑" w:eastAsia="微软雅黑"/>
          <w:b/>
          <w:sz w:val="24"/>
          <w:szCs w:val="24"/>
          <w:lang w:eastAsia="zh-CN"/>
        </w:rPr>
        <w:t>3</w:t>
      </w:r>
      <w:r>
        <w:rPr>
          <w:rFonts w:hint="eastAsia" w:ascii="微软雅黑" w:hAnsi="微软雅黑" w:eastAsia="微软雅黑"/>
          <w:b/>
          <w:sz w:val="24"/>
          <w:szCs w:val="24"/>
          <w:lang w:eastAsia="zh-CN"/>
        </w:rPr>
        <w:t>、信誉</w:t>
      </w:r>
      <w:r>
        <w:rPr>
          <w:rFonts w:ascii="微软雅黑" w:hAnsi="微软雅黑" w:eastAsia="微软雅黑"/>
          <w:b/>
          <w:sz w:val="24"/>
          <w:szCs w:val="24"/>
          <w:lang w:eastAsia="zh-CN"/>
        </w:rPr>
        <w:t>要求：</w:t>
      </w:r>
    </w:p>
    <w:bookmarkEnd w:id="0"/>
    <w:bookmarkEnd w:id="1"/>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1.应答人不得是最高人民法院在“信用中国”网站（www.creditchina.gov.cn）或</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“中国执行信息公开网”（http://zxgk.court.gov.cn/）列入失信被执行人名单；</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2.近3年（202</w:t>
      </w:r>
      <w:r>
        <w:rPr>
          <w:rFonts w:hint="eastAsia" w:ascii="宋体" w:hAnsi="宋体"/>
          <w:sz w:val="24"/>
          <w:szCs w:val="24"/>
          <w:lang w:val="en-US" w:eastAsia="zh-CN"/>
        </w:rPr>
        <w:t>2</w:t>
      </w:r>
      <w:r>
        <w:rPr>
          <w:rFonts w:hint="eastAsia" w:ascii="宋体" w:hAnsi="宋体" w:eastAsiaTheme="minorEastAsia"/>
          <w:sz w:val="24"/>
          <w:szCs w:val="24"/>
          <w:lang w:eastAsia="zh-CN"/>
        </w:rPr>
        <w:t>年1月1日-报价截止日前）内应答人或其法定代表人、拟委任的项目负责人不得有行贿犯罪行为，查询网站为“中国裁判文书网”http://wenshu.court.gov.cn）；</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3.应答人不得被工商行政管理机关在全国企业信用信息公示系统（http://www.gsxt.gov.cn）中列入严重违法失信企业名单。事业单位、大学除外。</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spacing w:line="360" w:lineRule="auto"/>
        <w:ind w:firstLine="200"/>
        <w:rPr>
          <w:rFonts w:hint="eastAsia" w:ascii="宋体" w:hAnsi="宋体" w:eastAsiaTheme="minorEastAsia"/>
          <w:sz w:val="24"/>
          <w:szCs w:val="24"/>
          <w:lang w:eastAsia="zh-CN"/>
        </w:rPr>
      </w:pPr>
      <w:r>
        <w:rPr>
          <w:rFonts w:hint="eastAsia" w:ascii="宋体" w:hAnsi="宋体" w:eastAsiaTheme="minorEastAsia"/>
          <w:sz w:val="24"/>
          <w:szCs w:val="24"/>
          <w:lang w:eastAsia="zh-CN"/>
        </w:rPr>
        <w:t>5.应答人应在应答文件中提供其公司章程或其他能够体现出资人、股东信息的法定文件，作为评标/评审时的依据。</w:t>
      </w:r>
    </w:p>
    <w:p>
      <w:pPr>
        <w:spacing w:line="360" w:lineRule="auto"/>
        <w:ind w:firstLine="200"/>
        <w:rPr>
          <w:lang w:eastAsia="zh-CN"/>
        </w:rPr>
      </w:pPr>
      <w:r>
        <w:rPr>
          <w:rFonts w:hint="eastAsia" w:ascii="宋体" w:hAnsi="宋体" w:eastAsiaTheme="minorEastAsia"/>
          <w:sz w:val="24"/>
          <w:szCs w:val="24"/>
          <w:lang w:eastAsia="zh-CN"/>
        </w:rPr>
        <w:t>6.应答人承诺：中国海油在职员工（不含正式派出的）未有在应答人单位担任股东、法人代表、董事、监事和其他任职人员的情形。</w:t>
      </w:r>
    </w:p>
    <w:p>
      <w:pPr>
        <w:spacing w:line="360" w:lineRule="auto"/>
        <w:ind w:firstLine="200"/>
        <w:rPr>
          <w:lang w:eastAsia="zh-CN"/>
        </w:rPr>
      </w:pPr>
    </w:p>
    <w:p>
      <w:pPr>
        <w:spacing w:line="360" w:lineRule="auto"/>
        <w:ind w:firstLine="200"/>
        <w:rPr>
          <w:lang w:eastAsia="zh-CN"/>
        </w:rPr>
      </w:pPr>
    </w:p>
    <w:p>
      <w:pPr>
        <w:spacing w:line="360" w:lineRule="auto"/>
        <w:ind w:firstLine="200"/>
        <w:rPr>
          <w:lang w:eastAsia="zh-CN"/>
        </w:rPr>
      </w:pPr>
    </w:p>
    <w:p>
      <w:pPr>
        <w:pStyle w:val="4"/>
        <w:ind w:left="0" w:leftChars="0" w:firstLine="0" w:firstLineChars="0"/>
        <w:rPr>
          <w:lang w:eastAsia="zh-CN"/>
        </w:rPr>
      </w:pPr>
    </w:p>
    <w:tbl>
      <w:tblPr>
        <w:tblStyle w:val="10"/>
        <w:tblpPr w:leftFromText="180" w:rightFromText="180" w:vertAnchor="text" w:horzAnchor="page" w:tblpX="1267" w:tblpY="175"/>
        <w:tblOverlap w:val="never"/>
        <w:tblW w:w="6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84"/>
        <w:gridCol w:w="1858"/>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9"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审查类别</w:t>
            </w:r>
          </w:p>
        </w:tc>
        <w:tc>
          <w:tcPr>
            <w:tcW w:w="330"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序号</w:t>
            </w:r>
          </w:p>
        </w:tc>
        <w:tc>
          <w:tcPr>
            <w:tcW w:w="896"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审查项目</w:t>
            </w:r>
          </w:p>
        </w:tc>
        <w:tc>
          <w:tcPr>
            <w:tcW w:w="3413"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9" w:type="pct"/>
            <w:vMerge w:val="restar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资格审查</w:t>
            </w:r>
          </w:p>
        </w:tc>
        <w:tc>
          <w:tcPr>
            <w:tcW w:w="330"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1</w:t>
            </w:r>
          </w:p>
        </w:tc>
        <w:tc>
          <w:tcPr>
            <w:tcW w:w="89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w:t>
            </w:r>
          </w:p>
        </w:tc>
        <w:tc>
          <w:tcPr>
            <w:tcW w:w="3413" w:type="pct"/>
            <w:vAlign w:val="center"/>
          </w:tcPr>
          <w:p>
            <w:pPr>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营业执照与开户许可证及投标人名称一致。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2</w:t>
            </w:r>
          </w:p>
        </w:tc>
        <w:tc>
          <w:tcPr>
            <w:tcW w:w="89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★信誉要求</w:t>
            </w:r>
          </w:p>
        </w:tc>
        <w:tc>
          <w:tcPr>
            <w:tcW w:w="3413" w:type="pct"/>
            <w:vAlign w:val="center"/>
          </w:tcPr>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val="en-US" w:eastAsia="zh-CN"/>
              </w:rPr>
              <w:t>1</w:t>
            </w:r>
            <w:r>
              <w:rPr>
                <w:rFonts w:hint="eastAsia" w:ascii="宋体" w:hAnsi="宋体" w:eastAsia="宋体"/>
                <w:kern w:val="2"/>
                <w:sz w:val="18"/>
                <w:szCs w:val="18"/>
                <w:lang w:eastAsia="zh-CN"/>
              </w:rPr>
              <w:t>.应答人不得是最高人民法院在“信用中国”网站（www.creditchina.gov.cn）或</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“中国执行信息公开网”（http://zxgk.court.gov.cn/）列入失信被执行人名单；</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2.近3年（202</w:t>
            </w:r>
            <w:r>
              <w:rPr>
                <w:rFonts w:hint="eastAsia" w:ascii="宋体" w:hAnsi="宋体" w:eastAsia="宋体"/>
                <w:kern w:val="2"/>
                <w:sz w:val="18"/>
                <w:szCs w:val="18"/>
                <w:lang w:val="en-US" w:eastAsia="zh-CN"/>
              </w:rPr>
              <w:t>2</w:t>
            </w:r>
            <w:r>
              <w:rPr>
                <w:rFonts w:hint="eastAsia" w:ascii="宋体" w:hAnsi="宋体" w:eastAsia="宋体"/>
                <w:kern w:val="2"/>
                <w:sz w:val="18"/>
                <w:szCs w:val="18"/>
                <w:lang w:eastAsia="zh-CN"/>
              </w:rPr>
              <w:t>年1月1日-报价截止日前）内应答人或其法定代表人、拟委任的项目负责人不得有行贿犯罪行为，查询网站为“中国裁判文书网”http://wenshu.court.gov.cn）；</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3.应答人不得被工商行政管理机关在全国企业信用信息公示系统（http://www.gsxt.gov.cn）中列入严重违法失信企业名单。事业单位、大学除外。</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numPr>
                <w:ilvl w:val="0"/>
                <w:numId w:val="0"/>
              </w:numPr>
              <w:ind w:leftChars="0"/>
              <w:jc w:val="left"/>
              <w:rPr>
                <w:rFonts w:hint="eastAsia" w:ascii="宋体" w:hAnsi="宋体" w:eastAsia="宋体"/>
                <w:kern w:val="2"/>
                <w:sz w:val="18"/>
                <w:szCs w:val="18"/>
                <w:lang w:eastAsia="zh-CN"/>
              </w:rPr>
            </w:pPr>
            <w:r>
              <w:rPr>
                <w:rFonts w:hint="eastAsia" w:ascii="宋体" w:hAnsi="宋体" w:eastAsia="宋体"/>
                <w:kern w:val="2"/>
                <w:sz w:val="18"/>
                <w:szCs w:val="18"/>
                <w:lang w:eastAsia="zh-CN"/>
              </w:rPr>
              <w:t>5.应答人应在应答文件中提供其公司章程或其他能够体现出资人、股东信息的法定文件，作为评标/评审时的依据。</w:t>
            </w:r>
          </w:p>
          <w:p>
            <w:pPr>
              <w:numPr>
                <w:ilvl w:val="0"/>
                <w:numId w:val="0"/>
              </w:numPr>
              <w:ind w:leftChars="0"/>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6.应答人承诺：中国海油在职员工（不含正式派出的）未有在应答人单位担任股东、法人代表、董事、监事和其他任职人员的情形。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eastAsia="zh-CN"/>
              </w:rPr>
              <w:t>3</w:t>
            </w:r>
          </w:p>
        </w:tc>
        <w:tc>
          <w:tcPr>
            <w:tcW w:w="896" w:type="pct"/>
            <w:vAlign w:val="center"/>
          </w:tcPr>
          <w:p>
            <w:pPr>
              <w:jc w:val="cente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★投标形式</w:t>
            </w:r>
          </w:p>
        </w:tc>
        <w:tc>
          <w:tcPr>
            <w:tcW w:w="3413" w:type="pct"/>
            <w:vAlign w:val="center"/>
          </w:tcPr>
          <w:p>
            <w:pPr>
              <w:jc w:val="left"/>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ascii="宋体" w:hAnsi="宋体" w:eastAsia="宋体"/>
                <w:kern w:val="2"/>
                <w:sz w:val="18"/>
                <w:szCs w:val="18"/>
                <w:lang w:eastAsia="zh-CN"/>
              </w:rPr>
            </w:pPr>
            <w:r>
              <w:rPr>
                <w:rFonts w:hint="eastAsia" w:ascii="宋体" w:hAnsi="宋体" w:eastAsia="宋体"/>
                <w:kern w:val="2"/>
                <w:sz w:val="18"/>
                <w:szCs w:val="18"/>
                <w:lang w:val="en-US" w:eastAsia="zh-CN"/>
              </w:rPr>
              <w:t>4</w:t>
            </w:r>
          </w:p>
        </w:tc>
        <w:tc>
          <w:tcPr>
            <w:tcW w:w="89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★业绩</w:t>
            </w:r>
            <w:r>
              <w:rPr>
                <w:rFonts w:hint="eastAsia" w:ascii="宋体" w:hAnsi="宋体" w:eastAsia="宋体"/>
                <w:kern w:val="2"/>
                <w:sz w:val="18"/>
                <w:szCs w:val="18"/>
                <w:lang w:val="en-US" w:eastAsia="zh-CN"/>
              </w:rPr>
              <w:t>要求</w:t>
            </w:r>
          </w:p>
          <w:p>
            <w:pPr>
              <w:jc w:val="center"/>
              <w:rPr>
                <w:rFonts w:hint="default" w:ascii="宋体" w:hAnsi="宋体" w:eastAsia="宋体"/>
                <w:kern w:val="2"/>
                <w:sz w:val="18"/>
                <w:szCs w:val="18"/>
                <w:lang w:val="en-US" w:eastAsia="zh-CN"/>
              </w:rPr>
            </w:pPr>
          </w:p>
        </w:tc>
        <w:tc>
          <w:tcPr>
            <w:tcW w:w="3413" w:type="pct"/>
            <w:vAlign w:val="center"/>
          </w:tcPr>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①2022年1月1日至投标截止日（以合同签署时间为准），投标人应具有1项压控式智能配水器工作筒(或压控式智能配水器芯子)供货业绩或加工服务业绩，并提供相应业绩证明文件。</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②业绩证明文件至少包括：1）合同扫描件和2）服务验收证明材料。投标人所提交的业绩证明文件必须至少体现以下内容：合同首页、合同签署页（具有签字或盖章、合同签署时间）、服务内容；服务验收证明材料包括服务验收单或结算发票，服务验收单应有合同甲方或使用方签字或盖章，以及验收时间。</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③若业绩合同为年度协议，还应至少提供1项完成订单，要求订单编号或者内容要与框架协议相关联，并提供服务验收证明材料。同一个年协合同提供1项及以上订单的均算为1个有效业绩。</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④未提交业绩证明文件，或通过所提供的业绩证明文件无法认定满足上述业绩要求的，均视为无效业绩。</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⑤原件备查：招标公示结束后，招标人有权要求中标人提供投标文件涉及业绩的对应发票，以便对发票进行查验；如中标人不能提供发票，将视为无效业绩，按照提供虚假材料处理；如提供为新开发票，招标人将在六个月后进行发票再次核验，如冲红，也将视为无效业绩，按照提供虚假材料处理。如发生中标候选人变更，招标人有权要求变更后的中标人提供投标文件涉及业绩的对应发票，其要求按照上述第1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5</w:t>
            </w:r>
          </w:p>
        </w:tc>
        <w:tc>
          <w:tcPr>
            <w:tcW w:w="89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制造商要求</w:t>
            </w:r>
          </w:p>
        </w:tc>
        <w:tc>
          <w:tcPr>
            <w:tcW w:w="3413" w:type="pct"/>
            <w:vAlign w:val="center"/>
          </w:tcPr>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①若自有厂房提供厂房产权证产权证或土地使用证，若租赁厂房提供租赁合同；</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②提供生产设备照片和采购合同（或者生产设备照片和发票）。</w:t>
            </w:r>
          </w:p>
          <w:p>
            <w:pPr>
              <w:jc w:val="left"/>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注：以上两项资料都需提供，否则会废标，可与“</w:t>
            </w: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设备</w:t>
            </w:r>
            <w:bookmarkStart w:id="3" w:name="_GoBack"/>
            <w:bookmarkEnd w:id="3"/>
            <w:r>
              <w:rPr>
                <w:rFonts w:hint="eastAsia" w:ascii="宋体" w:hAnsi="宋体" w:eastAsia="宋体"/>
                <w:kern w:val="2"/>
                <w:sz w:val="18"/>
                <w:szCs w:val="18"/>
                <w:lang w:val="en-US" w:eastAsia="zh-CN"/>
              </w:rPr>
              <w:t>要求”设备资料重叠。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6</w:t>
            </w:r>
          </w:p>
        </w:tc>
        <w:tc>
          <w:tcPr>
            <w:tcW w:w="89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体系要求</w:t>
            </w:r>
          </w:p>
        </w:tc>
        <w:tc>
          <w:tcPr>
            <w:tcW w:w="3413" w:type="pct"/>
            <w:vAlign w:val="center"/>
          </w:tcPr>
          <w:p>
            <w:pPr>
              <w:jc w:val="left"/>
              <w:rPr>
                <w:rFonts w:hint="eastAsia" w:ascii="宋体" w:hAnsi="宋体" w:eastAsia="宋体"/>
                <w:kern w:val="2"/>
                <w:sz w:val="18"/>
                <w:szCs w:val="18"/>
                <w:lang w:val="en-US" w:eastAsia="zh-CN"/>
              </w:rPr>
            </w:pPr>
            <w:bookmarkStart w:id="2" w:name="OLE_LINK2"/>
            <w:r>
              <w:rPr>
                <w:rFonts w:hint="eastAsia" w:ascii="宋体" w:hAnsi="宋体" w:eastAsia="宋体"/>
                <w:kern w:val="2"/>
                <w:sz w:val="18"/>
                <w:szCs w:val="18"/>
                <w:lang w:val="en-US" w:eastAsia="zh-CN"/>
              </w:rPr>
              <w:t>投标人须同时具备有效的GB/T19001（ISO9001）质量体系认证证书、GB/T24001（ISO14001）环境管理体系认证证书、OHSAS18001或GB/T45001(ISO45001)职业健康管理体系认证证书，国内认证机构签发的证书应可在中国国家认证认可监督管理委员会网站(http://www.cnca.gov.cn/)核实。如果有国家相关部门发布的最新体系标准，以最新体系标准为准。投标时需提供原件扫描件（原件备查）</w:t>
            </w:r>
            <w:bookmarkEnd w:id="2"/>
            <w:r>
              <w:rPr>
                <w:rFonts w:hint="eastAsia" w:ascii="宋体" w:hAnsi="宋体" w:eastAsia="宋体"/>
                <w:kern w:val="2"/>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7</w:t>
            </w:r>
          </w:p>
        </w:tc>
        <w:tc>
          <w:tcPr>
            <w:tcW w:w="89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图纸要求</w:t>
            </w:r>
          </w:p>
        </w:tc>
        <w:tc>
          <w:tcPr>
            <w:tcW w:w="3413" w:type="pct"/>
            <w:vAlign w:val="center"/>
          </w:tcPr>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投标人提供以下2项产品的结构简图（需标注各结构名称，具体参数可不体现）：</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1、压控式智能配水器工作筒结构简图要求：通过剖面图\俯视图\局部图等展示仪器过流通道结构、出水口结构，密封结构。（结构图需标注部位名称）</w:t>
            </w:r>
          </w:p>
          <w:p>
            <w:pPr>
              <w:jc w:val="left"/>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2、压控式智能配水器芯子结构简图要求：通过剖面图\俯视图\局部图等清晰展示水嘴短节结构、压力测量模块结构、流量测量模块结构、供电电池组件、打捞头、密封结构、通信接口、主控单元。（结构图需标注部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59" w:type="pct"/>
            <w:vMerge w:val="continue"/>
            <w:vAlign w:val="center"/>
          </w:tcPr>
          <w:p>
            <w:pPr>
              <w:jc w:val="center"/>
              <w:rPr>
                <w:rFonts w:ascii="宋体" w:hAnsi="宋体" w:eastAsia="宋体"/>
                <w:kern w:val="2"/>
                <w:sz w:val="18"/>
                <w:szCs w:val="18"/>
                <w:lang w:eastAsia="zh-CN"/>
              </w:rPr>
            </w:pPr>
          </w:p>
        </w:tc>
        <w:tc>
          <w:tcPr>
            <w:tcW w:w="330"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8</w:t>
            </w:r>
          </w:p>
        </w:tc>
        <w:tc>
          <w:tcPr>
            <w:tcW w:w="896" w:type="pct"/>
            <w:vAlign w:val="center"/>
          </w:tcPr>
          <w:p>
            <w:pPr>
              <w:jc w:val="cente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设备要求</w:t>
            </w:r>
          </w:p>
        </w:tc>
        <w:tc>
          <w:tcPr>
            <w:tcW w:w="3413" w:type="pct"/>
            <w:vAlign w:val="center"/>
          </w:tcPr>
          <w:p>
            <w:pPr>
              <w:jc w:val="left"/>
              <w:rPr>
                <w:rFonts w:hint="eastAsia"/>
                <w:lang w:val="en-US" w:eastAsia="zh-CN"/>
              </w:rPr>
            </w:pPr>
            <w:r>
              <w:rPr>
                <w:rFonts w:hint="eastAsia"/>
                <w:lang w:val="en-US" w:eastAsia="zh-CN"/>
              </w:rPr>
              <w:t>投标人应提供以下6台设备资料：</w:t>
            </w:r>
          </w:p>
          <w:p>
            <w:pPr>
              <w:jc w:val="left"/>
              <w:rPr>
                <w:rFonts w:hint="default"/>
                <w:lang w:val="en-US" w:eastAsia="zh-CN"/>
              </w:rPr>
            </w:pPr>
            <w:r>
              <w:rPr>
                <w:rFonts w:hint="eastAsia"/>
                <w:lang w:val="en-US" w:eastAsia="zh-CN"/>
              </w:rPr>
              <w:t>1、投标时提供设备证明文件包括：①设备采购合同和设备实物照片或②设备采购发票和设备实物照片</w:t>
            </w:r>
          </w:p>
          <w:p>
            <w:pPr>
              <w:numPr>
                <w:numId w:val="0"/>
              </w:numPr>
              <w:jc w:val="left"/>
              <w:rPr>
                <w:rFonts w:hint="eastAsia"/>
                <w:lang w:val="en-US" w:eastAsia="zh-CN"/>
              </w:rPr>
            </w:pPr>
            <w:r>
              <w:rPr>
                <w:rFonts w:hint="eastAsia"/>
                <w:lang w:val="en-US" w:eastAsia="zh-CN"/>
              </w:rPr>
              <w:t>2、应提供的6台设备信息如下：</w:t>
            </w:r>
          </w:p>
          <w:p>
            <w:pPr>
              <w:numPr>
                <w:numId w:val="0"/>
              </w:numPr>
              <w:jc w:val="left"/>
              <w:rPr>
                <w:rFonts w:hint="eastAsia"/>
                <w:lang w:val="en-US" w:eastAsia="zh-CN"/>
              </w:rPr>
            </w:pPr>
            <w:r>
              <w:rPr>
                <w:rFonts w:hint="eastAsia"/>
                <w:lang w:val="en-US" w:eastAsia="zh-CN"/>
              </w:rPr>
              <w:t>①</w:t>
            </w:r>
            <w:r>
              <w:rPr>
                <w:rFonts w:hint="eastAsia"/>
                <w:b/>
                <w:bCs/>
                <w:lang w:val="en-US" w:eastAsia="zh-CN"/>
              </w:rPr>
              <w:t>流量模拟标定装置</w:t>
            </w:r>
            <w:r>
              <w:rPr>
                <w:rFonts w:hint="eastAsia"/>
                <w:lang w:val="en-US" w:eastAsia="zh-CN"/>
              </w:rPr>
              <w:t>：流量模拟标定装置是一种水流量模拟测试环境，用于对流量测试仪器流量系数进行标定，确保仪器流量测量的准确性；也用于对仪器流量测量精确度进行检定，检验流量测量仪器是否满足设计测量精度要求。</w:t>
            </w:r>
          </w:p>
          <w:p>
            <w:pPr>
              <w:numPr>
                <w:numId w:val="0"/>
              </w:numPr>
              <w:jc w:val="left"/>
              <w:rPr>
                <w:rFonts w:hint="eastAsia"/>
                <w:lang w:val="en-US" w:eastAsia="zh-CN"/>
              </w:rPr>
            </w:pPr>
            <w:r>
              <w:rPr>
                <w:rFonts w:hint="eastAsia"/>
                <w:lang w:val="en-US" w:eastAsia="zh-CN"/>
              </w:rPr>
              <w:t>②</w:t>
            </w:r>
            <w:r>
              <w:rPr>
                <w:rFonts w:hint="eastAsia"/>
                <w:b/>
                <w:bCs/>
                <w:lang w:val="en-US" w:eastAsia="zh-CN"/>
              </w:rPr>
              <w:t>压力标定系统</w:t>
            </w:r>
            <w:r>
              <w:rPr>
                <w:rFonts w:hint="eastAsia"/>
                <w:lang w:val="en-US" w:eastAsia="zh-CN"/>
              </w:rPr>
              <w:t>：温度压力标定系统采用活塞式压力计、电热鼓风干燥箱和温度压力采集系统组成。电热鼓风干燥箱提供稳定的温度，活塞式压力计提供稳定的压力，通过调整不同的温度和压力，完成在一个温压变化梯度下温度传感器和压力传感器的标定。</w:t>
            </w:r>
          </w:p>
          <w:p>
            <w:pPr>
              <w:numPr>
                <w:numId w:val="0"/>
              </w:numPr>
              <w:jc w:val="left"/>
              <w:rPr>
                <w:rFonts w:hint="eastAsia"/>
                <w:lang w:val="en-US" w:eastAsia="zh-CN"/>
              </w:rPr>
            </w:pPr>
            <w:r>
              <w:rPr>
                <w:rFonts w:hint="eastAsia"/>
                <w:lang w:val="en-US" w:eastAsia="zh-CN"/>
              </w:rPr>
              <w:t>③</w:t>
            </w:r>
            <w:r>
              <w:rPr>
                <w:rFonts w:hint="eastAsia"/>
                <w:b/>
                <w:bCs/>
                <w:lang w:val="en-US" w:eastAsia="zh-CN"/>
              </w:rPr>
              <w:t>振动试验台</w:t>
            </w:r>
            <w:r>
              <w:rPr>
                <w:rFonts w:hint="eastAsia"/>
                <w:lang w:val="en-US" w:eastAsia="zh-CN"/>
              </w:rPr>
              <w:t>：振动试验台通过大位移随机振动、大位移正弦和大位移冲击来模拟振动和冲击的试验环境。用于评估仪器在运输和实际应用中经过振动和冲击后的工作稳定性。</w:t>
            </w:r>
          </w:p>
          <w:p>
            <w:pPr>
              <w:numPr>
                <w:numId w:val="0"/>
              </w:numPr>
              <w:jc w:val="left"/>
              <w:rPr>
                <w:rFonts w:hint="eastAsia"/>
                <w:lang w:val="en-US" w:eastAsia="zh-CN"/>
              </w:rPr>
            </w:pPr>
            <w:r>
              <w:rPr>
                <w:rFonts w:hint="eastAsia"/>
                <w:lang w:val="en-US" w:eastAsia="zh-CN"/>
              </w:rPr>
              <w:t>④</w:t>
            </w:r>
            <w:r>
              <w:rPr>
                <w:rFonts w:hint="eastAsia"/>
                <w:b/>
                <w:bCs/>
                <w:lang w:val="en-US" w:eastAsia="zh-CN"/>
              </w:rPr>
              <w:t>高温老化系统</w:t>
            </w:r>
            <w:r>
              <w:rPr>
                <w:rFonts w:hint="eastAsia"/>
                <w:lang w:val="en-US" w:eastAsia="zh-CN"/>
              </w:rPr>
              <w:t>：高温老化系统通过模拟高温条件，评估仪器电路及电子元器件在不同温度下的可靠性和稳定性，检测电路在高温环境下的性能变化和潜在缺陷，提前发现生产过程中的隐患，提高产品质量。</w:t>
            </w:r>
          </w:p>
          <w:p>
            <w:pPr>
              <w:numPr>
                <w:numId w:val="0"/>
              </w:numPr>
              <w:jc w:val="left"/>
              <w:rPr>
                <w:rFonts w:hint="eastAsia"/>
                <w:lang w:val="en-US" w:eastAsia="zh-CN"/>
              </w:rPr>
            </w:pPr>
            <w:r>
              <w:rPr>
                <w:rFonts w:hint="eastAsia"/>
                <w:lang w:val="en-US" w:eastAsia="zh-CN"/>
              </w:rPr>
              <w:t>⑤</w:t>
            </w:r>
            <w:r>
              <w:rPr>
                <w:rFonts w:hint="eastAsia"/>
                <w:b/>
                <w:bCs/>
                <w:lang w:val="en-US" w:eastAsia="zh-CN"/>
              </w:rPr>
              <w:t>高低温试验箱</w:t>
            </w:r>
            <w:r>
              <w:rPr>
                <w:rFonts w:hint="eastAsia"/>
                <w:lang w:val="en-US" w:eastAsia="zh-CN"/>
              </w:rPr>
              <w:t>：高低温烘箱通过模拟高低温环境，用于检验仪器电路、电机对高温、低温环境的适应性，以及通信性能，也用于提供恒温环境测试仪器的耐温性能。</w:t>
            </w:r>
          </w:p>
          <w:p>
            <w:pPr>
              <w:numPr>
                <w:numId w:val="0"/>
              </w:numPr>
              <w:jc w:val="left"/>
              <w:rPr>
                <w:rFonts w:hint="default"/>
                <w:lang w:val="en-US" w:eastAsia="zh-CN"/>
              </w:rPr>
            </w:pPr>
            <w:r>
              <w:rPr>
                <w:rFonts w:hint="eastAsia"/>
                <w:lang w:val="en-US" w:eastAsia="zh-CN"/>
              </w:rPr>
              <w:t>⑥</w:t>
            </w:r>
            <w:r>
              <w:rPr>
                <w:rFonts w:hint="eastAsia"/>
                <w:b/>
                <w:bCs/>
                <w:lang w:val="en-US" w:eastAsia="zh-CN"/>
              </w:rPr>
              <w:t>高温高压模拟井</w:t>
            </w:r>
            <w:r>
              <w:rPr>
                <w:rFonts w:hint="eastAsia"/>
                <w:lang w:val="en-US" w:eastAsia="zh-CN"/>
              </w:rPr>
              <w:t>：高温高压模拟井主要模拟油田井下高温高压环境，用于检测仪器或工作筒在高温高压环境下的密封性和稳定性。因该试验装置需耐受高温高压，主体位于地下。</w:t>
            </w:r>
            <w:r>
              <w:rPr>
                <w:rFonts w:hint="eastAsia"/>
                <w:b/>
                <w:bCs/>
                <w:lang w:val="en-US" w:eastAsia="zh-CN"/>
              </w:rPr>
              <w:t>至少满足耐压80MPa、耐温150℃，井筒内径≥120mm，井筒深度≥3m</w:t>
            </w:r>
            <w:r>
              <w:rPr>
                <w:rFonts w:hint="eastAsia"/>
                <w:lang w:val="en-US" w:eastAsia="zh-CN"/>
              </w:rPr>
              <w:t>；（提供资料中需体现相关参数）</w:t>
            </w:r>
          </w:p>
        </w:tc>
      </w:tr>
    </w:tbl>
    <w:p>
      <w:pPr>
        <w:pStyle w:val="4"/>
        <w:rPr>
          <w:lang w:eastAsia="zh-CN"/>
        </w:rPr>
      </w:pPr>
    </w:p>
    <w:p>
      <w:pPr>
        <w:pStyle w:val="5"/>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Noto Sans CJK DemiLight">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hMWJhZTQ4YzZjODAxNDNhNWMyYThjMjMyNjk1NjEifQ=="/>
  </w:docVars>
  <w:rsids>
    <w:rsidRoot w:val="005416CC"/>
    <w:rsid w:val="000004AD"/>
    <w:rsid w:val="00101862"/>
    <w:rsid w:val="0011220A"/>
    <w:rsid w:val="002179F9"/>
    <w:rsid w:val="00244D83"/>
    <w:rsid w:val="00405821"/>
    <w:rsid w:val="00465909"/>
    <w:rsid w:val="00510016"/>
    <w:rsid w:val="005416CC"/>
    <w:rsid w:val="005811F6"/>
    <w:rsid w:val="00793688"/>
    <w:rsid w:val="009903F6"/>
    <w:rsid w:val="009D7DEC"/>
    <w:rsid w:val="00B26127"/>
    <w:rsid w:val="00E3644E"/>
    <w:rsid w:val="02886B37"/>
    <w:rsid w:val="02B73E03"/>
    <w:rsid w:val="04E6780F"/>
    <w:rsid w:val="0709089A"/>
    <w:rsid w:val="07190B35"/>
    <w:rsid w:val="076B08DA"/>
    <w:rsid w:val="079E3C9C"/>
    <w:rsid w:val="07B66435"/>
    <w:rsid w:val="08EF4E07"/>
    <w:rsid w:val="090573DB"/>
    <w:rsid w:val="09EF451D"/>
    <w:rsid w:val="0B2628D9"/>
    <w:rsid w:val="0C265B28"/>
    <w:rsid w:val="0D573E72"/>
    <w:rsid w:val="0EFB4523"/>
    <w:rsid w:val="0F5C7A3F"/>
    <w:rsid w:val="0FCD09E8"/>
    <w:rsid w:val="102F462E"/>
    <w:rsid w:val="104D4D6C"/>
    <w:rsid w:val="10A0431A"/>
    <w:rsid w:val="12545A53"/>
    <w:rsid w:val="13AD22D8"/>
    <w:rsid w:val="140B4B1A"/>
    <w:rsid w:val="17D22FF3"/>
    <w:rsid w:val="18B63075"/>
    <w:rsid w:val="199713EA"/>
    <w:rsid w:val="19CC6F5F"/>
    <w:rsid w:val="19E83014"/>
    <w:rsid w:val="1A9628AA"/>
    <w:rsid w:val="1B0B6F3A"/>
    <w:rsid w:val="1BB511B2"/>
    <w:rsid w:val="1C2403B8"/>
    <w:rsid w:val="1CD4214C"/>
    <w:rsid w:val="1D0165EA"/>
    <w:rsid w:val="1D8264E0"/>
    <w:rsid w:val="1E75584D"/>
    <w:rsid w:val="2127158C"/>
    <w:rsid w:val="215012F7"/>
    <w:rsid w:val="2152133A"/>
    <w:rsid w:val="22660E07"/>
    <w:rsid w:val="226E080D"/>
    <w:rsid w:val="2353527F"/>
    <w:rsid w:val="23574C0D"/>
    <w:rsid w:val="23727B8C"/>
    <w:rsid w:val="23FB46E3"/>
    <w:rsid w:val="246F454E"/>
    <w:rsid w:val="24AD7A37"/>
    <w:rsid w:val="24F70700"/>
    <w:rsid w:val="268279BE"/>
    <w:rsid w:val="26882799"/>
    <w:rsid w:val="273E4780"/>
    <w:rsid w:val="28D56EC0"/>
    <w:rsid w:val="295D00EB"/>
    <w:rsid w:val="2A2B3C3C"/>
    <w:rsid w:val="2C8D3ADC"/>
    <w:rsid w:val="2C9C7AE4"/>
    <w:rsid w:val="2CD5161C"/>
    <w:rsid w:val="2D426E7E"/>
    <w:rsid w:val="2E180D2E"/>
    <w:rsid w:val="2F3C476D"/>
    <w:rsid w:val="2F7A7ADA"/>
    <w:rsid w:val="334409AC"/>
    <w:rsid w:val="3479651F"/>
    <w:rsid w:val="34CD07E6"/>
    <w:rsid w:val="35A85C17"/>
    <w:rsid w:val="35E96276"/>
    <w:rsid w:val="361966AF"/>
    <w:rsid w:val="369A0A23"/>
    <w:rsid w:val="36C10065"/>
    <w:rsid w:val="36E71035"/>
    <w:rsid w:val="37311DBF"/>
    <w:rsid w:val="37800DD7"/>
    <w:rsid w:val="388A00B1"/>
    <w:rsid w:val="39D6357B"/>
    <w:rsid w:val="3A2D2FA8"/>
    <w:rsid w:val="3AB72070"/>
    <w:rsid w:val="3C2A0F73"/>
    <w:rsid w:val="3CFF6897"/>
    <w:rsid w:val="3DD849E3"/>
    <w:rsid w:val="3ED734A6"/>
    <w:rsid w:val="3FEF3F72"/>
    <w:rsid w:val="406E6A5B"/>
    <w:rsid w:val="40EA1C0C"/>
    <w:rsid w:val="415E1BCB"/>
    <w:rsid w:val="42EF6CB4"/>
    <w:rsid w:val="43D22DC0"/>
    <w:rsid w:val="43D971B0"/>
    <w:rsid w:val="445C2567"/>
    <w:rsid w:val="45140D01"/>
    <w:rsid w:val="47370455"/>
    <w:rsid w:val="473820F3"/>
    <w:rsid w:val="47762328"/>
    <w:rsid w:val="479B4F27"/>
    <w:rsid w:val="480672D5"/>
    <w:rsid w:val="4849429E"/>
    <w:rsid w:val="48D24754"/>
    <w:rsid w:val="49814273"/>
    <w:rsid w:val="4B037E14"/>
    <w:rsid w:val="4B477F0A"/>
    <w:rsid w:val="4B977B17"/>
    <w:rsid w:val="4BEC4E4D"/>
    <w:rsid w:val="4C00513D"/>
    <w:rsid w:val="4C153A52"/>
    <w:rsid w:val="4C5216C4"/>
    <w:rsid w:val="4C6B5E1E"/>
    <w:rsid w:val="4CB21C7C"/>
    <w:rsid w:val="4D1474EB"/>
    <w:rsid w:val="4D306C61"/>
    <w:rsid w:val="4D5D3024"/>
    <w:rsid w:val="4DD672C1"/>
    <w:rsid w:val="4EB25654"/>
    <w:rsid w:val="4F0D0761"/>
    <w:rsid w:val="4FF03354"/>
    <w:rsid w:val="507232CE"/>
    <w:rsid w:val="521B4A42"/>
    <w:rsid w:val="546A300E"/>
    <w:rsid w:val="558E78ED"/>
    <w:rsid w:val="55916398"/>
    <w:rsid w:val="55A968B0"/>
    <w:rsid w:val="55BF6EEB"/>
    <w:rsid w:val="56013A96"/>
    <w:rsid w:val="56CD059B"/>
    <w:rsid w:val="56DC352C"/>
    <w:rsid w:val="571168E4"/>
    <w:rsid w:val="57AD2A8E"/>
    <w:rsid w:val="58D21C48"/>
    <w:rsid w:val="5AEA502C"/>
    <w:rsid w:val="5BA54F69"/>
    <w:rsid w:val="5BB60836"/>
    <w:rsid w:val="5BE537D4"/>
    <w:rsid w:val="5D6F1A08"/>
    <w:rsid w:val="5D9A411F"/>
    <w:rsid w:val="5E4100C4"/>
    <w:rsid w:val="600A0901"/>
    <w:rsid w:val="61277B74"/>
    <w:rsid w:val="61310483"/>
    <w:rsid w:val="616F0B9B"/>
    <w:rsid w:val="633C1A2A"/>
    <w:rsid w:val="640E2008"/>
    <w:rsid w:val="64563C12"/>
    <w:rsid w:val="65B468A5"/>
    <w:rsid w:val="6612767B"/>
    <w:rsid w:val="667A63AC"/>
    <w:rsid w:val="6B1D7227"/>
    <w:rsid w:val="6BA908D1"/>
    <w:rsid w:val="6C0360C6"/>
    <w:rsid w:val="6C5F2AE0"/>
    <w:rsid w:val="6C78254E"/>
    <w:rsid w:val="6CA86B23"/>
    <w:rsid w:val="6D1C60F5"/>
    <w:rsid w:val="6E993C51"/>
    <w:rsid w:val="6EEE24F3"/>
    <w:rsid w:val="6F6D675F"/>
    <w:rsid w:val="6F9817A2"/>
    <w:rsid w:val="6FCF34C9"/>
    <w:rsid w:val="704A5A6D"/>
    <w:rsid w:val="70D74BA8"/>
    <w:rsid w:val="71477F3F"/>
    <w:rsid w:val="714F3E0D"/>
    <w:rsid w:val="724B5893"/>
    <w:rsid w:val="72DA47BC"/>
    <w:rsid w:val="73020770"/>
    <w:rsid w:val="73360D13"/>
    <w:rsid w:val="738F6528"/>
    <w:rsid w:val="746A65F5"/>
    <w:rsid w:val="74862689"/>
    <w:rsid w:val="74B90E8F"/>
    <w:rsid w:val="751444F3"/>
    <w:rsid w:val="75946E5E"/>
    <w:rsid w:val="75C53773"/>
    <w:rsid w:val="768C1913"/>
    <w:rsid w:val="76903014"/>
    <w:rsid w:val="76D07B19"/>
    <w:rsid w:val="77FE210B"/>
    <w:rsid w:val="787538F4"/>
    <w:rsid w:val="78AD7B0B"/>
    <w:rsid w:val="78F13953"/>
    <w:rsid w:val="79D638EC"/>
    <w:rsid w:val="7A1302CB"/>
    <w:rsid w:val="7B3828EB"/>
    <w:rsid w:val="7CCC7ADF"/>
    <w:rsid w:val="7F8A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3">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1"/>
    <w:pPr>
      <w:ind w:firstLine="200" w:firstLineChars="200"/>
      <w:jc w:val="both"/>
    </w:pPr>
    <w:rPr>
      <w:rFonts w:ascii="Microsoft YaHei UI" w:hAnsi="Microsoft YaHei UI" w:eastAsia="Microsoft YaHei UI"/>
      <w:sz w:val="21"/>
      <w:szCs w:val="21"/>
    </w:rPr>
  </w:style>
  <w:style w:type="paragraph" w:styleId="4">
    <w:name w:val="Normal Indent"/>
    <w:basedOn w:val="1"/>
    <w:unhideWhenUsed/>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annotation text"/>
    <w:basedOn w:val="1"/>
    <w:semiHidden/>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widowControl/>
      <w:spacing w:after="120"/>
      <w:ind w:firstLine="420" w:firstLineChars="100"/>
      <w:jc w:val="left"/>
    </w:pPr>
    <w:rPr>
      <w:rFonts w:ascii="Arial" w:hAnsi="Arial" w:eastAsia="Noto Sans CJK DemiLight"/>
      <w:sz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正文文本 Char"/>
    <w:basedOn w:val="11"/>
    <w:link w:val="2"/>
    <w:qFormat/>
    <w:uiPriority w:val="1"/>
    <w:rPr>
      <w:rFonts w:ascii="Microsoft YaHei UI" w:hAnsi="Microsoft YaHei UI" w:eastAsia="Microsoft YaHei UI"/>
      <w:kern w:val="0"/>
      <w:szCs w:val="21"/>
      <w:lang w:eastAsia="en-US"/>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Normal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4437</Words>
  <Characters>5796</Characters>
  <Lines>19</Lines>
  <Paragraphs>5</Paragraphs>
  <TotalTime>0</TotalTime>
  <ScaleCrop>false</ScaleCrop>
  <LinksUpToDate>false</LinksUpToDate>
  <CharactersWithSpaces>5888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2021-05-13T00:45:00Z</dcterms:created>
  <dc:creator>许朝阳</dc:creator>
  <cp:lastModifiedBy>Administrator</cp:lastModifiedBy>
  <cp:lastPrinted>2025-06-30T08:06:00Z</cp:lastPrinted>
  <dcterms:modified xsi:type="dcterms:W3CDTF">2026-01-08T02:45:26Z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F71E97FFB14C442AA43C0B77326576AA</vt:lpwstr>
  </property>
</Properties>
</file>