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C7D947">
      <w:pPr>
        <w:pStyle w:val="2"/>
        <w:outlineLvl w:val="1"/>
        <w:rPr>
          <w:rFonts w:hint="eastAsia" w:ascii="仿宋" w:hAnsi="仿宋" w:eastAsia="仿宋"/>
        </w:rPr>
      </w:pPr>
      <w:bookmarkStart w:id="0" w:name="_Toc18919"/>
      <w:bookmarkStart w:id="1" w:name="_Toc92813809"/>
      <w:bookmarkStart w:id="2" w:name="_Toc6244"/>
      <w:r>
        <w:rPr>
          <w:rFonts w:hint="eastAsia" w:ascii="仿宋" w:hAnsi="仿宋" w:eastAsia="仿宋"/>
        </w:rPr>
        <w:t>二、</w:t>
      </w:r>
      <w:r>
        <w:rPr>
          <w:rFonts w:hint="eastAsia" w:ascii="仿宋" w:hAnsi="仿宋"/>
          <w:lang w:val="en-US" w:eastAsia="zh-CN"/>
        </w:rPr>
        <w:t>服务内容</w:t>
      </w:r>
      <w:r>
        <w:rPr>
          <w:rFonts w:hint="eastAsia" w:ascii="仿宋" w:hAnsi="仿宋" w:eastAsia="仿宋"/>
        </w:rPr>
        <w:t>及要求</w:t>
      </w:r>
      <w:bookmarkEnd w:id="0"/>
      <w:bookmarkEnd w:id="1"/>
      <w:bookmarkEnd w:id="2"/>
    </w:p>
    <w:p w14:paraId="37DBB63B">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按照国家图书馆（国家古籍保护中心）最新颁发的《全国智慧图书馆体系建设：古籍数字化和知识标引规范手册》（以下简称《规范手册》）及采购人对古籍文献的相关管理要求，对江西省图书馆入选国家级珍贵古籍名录和省级珍贵古籍名录的古籍在采购人指定地点进行数字化加工，加工量</w:t>
      </w:r>
      <w:r>
        <w:rPr>
          <w:rFonts w:hint="eastAsia" w:ascii="仿宋" w:hAnsi="仿宋" w:eastAsia="仿宋"/>
          <w:color w:val="auto"/>
          <w:sz w:val="28"/>
          <w:szCs w:val="28"/>
          <w:highlight w:val="none"/>
          <w:lang w:eastAsia="zh-CN"/>
        </w:rPr>
        <w:t>不少于</w:t>
      </w: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万筒子叶。</w:t>
      </w:r>
    </w:p>
    <w:p w14:paraId="22D885B9">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加工内容包含但不限于：古籍文献图像采集、古籍元数据著录、古籍结构数据和卷目篇目数据标引、外字信息处理加工、古籍全文文本转换，格式转换、制作符合要求的发布服务级PDF文件、TXT文本文件、XML封装文件、文献整理登记表、古籍外字表、项目总体说明文件等，加工成果须与馆内平台进行对接</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兼容</w:t>
      </w:r>
      <w:r>
        <w:rPr>
          <w:rFonts w:hint="eastAsia" w:ascii="仿宋" w:hAnsi="仿宋" w:eastAsia="仿宋"/>
          <w:color w:val="auto"/>
          <w:sz w:val="28"/>
          <w:szCs w:val="28"/>
          <w:highlight w:val="none"/>
        </w:rPr>
        <w:t>。</w:t>
      </w:r>
    </w:p>
    <w:p w14:paraId="27FAD6AD">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项目建设时，如国家图书馆（国家古籍保护中心）制定、发布新的加工标准规范，则按最新标准执行。</w:t>
      </w:r>
    </w:p>
    <w:p w14:paraId="4BC7E87D">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（一）</w:t>
      </w:r>
      <w:r>
        <w:rPr>
          <w:rFonts w:hint="eastAsia" w:ascii="仿宋" w:hAnsi="仿宋" w:eastAsia="仿宋"/>
          <w:color w:val="auto"/>
          <w:sz w:val="28"/>
          <w:szCs w:val="28"/>
          <w:highlight w:val="none"/>
        </w:rPr>
        <w:t>质量要求</w:t>
      </w:r>
    </w:p>
    <w:p w14:paraId="4F2EDDEC">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总体要求</w:t>
      </w:r>
    </w:p>
    <w:p w14:paraId="540490C2">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古籍数字化成果要确保古籍信息内容的完整和准确，即古籍数据著录字段完整，标引内容准确，位置保持一致。古籍数字化加工数据应设立数据多检制度。检查范围包括各种类型数据质量和技术指标，并达到以下要求，确保符合《规范手册》质量要求。</w:t>
      </w:r>
    </w:p>
    <w:p w14:paraId="4E323D24">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元数据著录和标引要求</w:t>
      </w:r>
    </w:p>
    <w:p w14:paraId="3AEBDD11">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遵照XML1.0规范，使用UTF-8编码方式及Unicode5.0以上版本字符集，同时著录信息应严格按照文献实际内容进行客观著录，确保标引词与标引对象文件正确链接，卷目篇目层级与链接正确无误，实用性强，且文字错误率不超过0.3‰。</w:t>
      </w:r>
    </w:p>
    <w:p w14:paraId="4352236A">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 xml:space="preserve">数字图像质量要求 </w:t>
      </w:r>
    </w:p>
    <w:p w14:paraId="045E8E2F">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为满足长期保存级古籍原件扫描要求，双层PDF文件应保证图像层与文字层的文字对位准确，反显区域与文字区域相差不超过1毫米，且该PDF文件与对应TXT文件的文字内容保持一致，文字错误率不超过1‰；同时，标准TIFF格式图像的分辨率根据文献短边尺寸确定：短边≤14.8cm（A5尺寸）时不低于800dpi，短边在14.8cm 与29.7cm（A3尺寸）之间时不低于600dpi，短边&gt;29.7cm时不低于400dpi，色彩位数不少于24bit。</w:t>
      </w:r>
    </w:p>
    <w:p w14:paraId="4BB5FDDB">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全文转换质量要求</w:t>
      </w:r>
    </w:p>
    <w:p w14:paraId="1E92A05B">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文本数据的文字、版式、符号、段落顺序等，其字符综合错误率不超过1‰</w:t>
      </w:r>
      <w:r>
        <w:rPr>
          <w:rFonts w:hint="eastAsia" w:ascii="仿宋" w:hAnsi="仿宋" w:eastAsia="仿宋"/>
          <w:color w:val="auto"/>
          <w:sz w:val="28"/>
          <w:szCs w:val="28"/>
          <w:highlight w:val="none"/>
          <w:lang w:eastAsia="zh-CN"/>
        </w:rPr>
        <w:t>，且</w:t>
      </w:r>
      <w:r>
        <w:rPr>
          <w:rFonts w:hint="eastAsia" w:ascii="仿宋" w:hAnsi="仿宋" w:eastAsia="仿宋"/>
          <w:color w:val="auto"/>
          <w:sz w:val="28"/>
          <w:szCs w:val="28"/>
          <w:highlight w:val="none"/>
        </w:rPr>
        <w:t>文本数据文件与发布服务级PDF文件</w:t>
      </w:r>
      <w:r>
        <w:rPr>
          <w:rFonts w:hint="eastAsia" w:ascii="仿宋" w:hAnsi="仿宋" w:eastAsia="仿宋"/>
          <w:color w:val="auto"/>
          <w:sz w:val="28"/>
          <w:szCs w:val="28"/>
          <w:highlight w:val="none"/>
          <w:lang w:eastAsia="zh-CN"/>
        </w:rPr>
        <w:t>须完全</w:t>
      </w:r>
      <w:r>
        <w:rPr>
          <w:rFonts w:hint="eastAsia" w:ascii="仿宋" w:hAnsi="仿宋" w:eastAsia="仿宋"/>
          <w:color w:val="auto"/>
          <w:sz w:val="28"/>
          <w:szCs w:val="28"/>
          <w:highlight w:val="none"/>
        </w:rPr>
        <w:t>对应，叶面连续，不得跳号，不丢失文件</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错误率为0。</w:t>
      </w:r>
    </w:p>
    <w:p w14:paraId="1822A975">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（二）</w:t>
      </w:r>
      <w:r>
        <w:rPr>
          <w:rFonts w:hint="eastAsia" w:ascii="仿宋" w:hAnsi="仿宋" w:eastAsia="仿宋"/>
          <w:color w:val="auto"/>
          <w:sz w:val="28"/>
          <w:szCs w:val="28"/>
          <w:highlight w:val="none"/>
        </w:rPr>
        <w:t>成果要求</w:t>
      </w:r>
    </w:p>
    <w:p w14:paraId="04CBBE21">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按《规范手册》要求进行格式转换、制作并交付符合要求的发布服务级PDF文件、TXT文本文件、XML封装文件、文献整理登记表、古籍外字表、项目总体说明文件等，相关成果文件按照《规范手册》要求的数据存储结构形式进行存档，线下以移动硬盘形式交付，共两份。成果展示页面在采购人指定位置安装、调试到位，与现有数字资源平台对接</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lang w:val="en-US" w:eastAsia="zh-CN"/>
        </w:rPr>
        <w:t>兼容</w:t>
      </w:r>
      <w:r>
        <w:rPr>
          <w:rFonts w:hint="eastAsia" w:ascii="仿宋" w:hAnsi="仿宋" w:eastAsia="仿宋"/>
          <w:color w:val="auto"/>
          <w:sz w:val="28"/>
          <w:szCs w:val="28"/>
          <w:highlight w:val="none"/>
        </w:rPr>
        <w:t>，使用流畅同时，还需围绕建设成果配合采购人开展相关的资源推广工作</w:t>
      </w:r>
      <w:r>
        <w:rPr>
          <w:rFonts w:hint="eastAsia" w:ascii="仿宋" w:hAnsi="仿宋" w:eastAsia="仿宋"/>
          <w:color w:val="auto"/>
          <w:sz w:val="28"/>
          <w:szCs w:val="28"/>
          <w:highlight w:val="none"/>
          <w:lang w:eastAsia="zh-CN"/>
        </w:rPr>
        <w:t>，包括但不限于讲座、展览等形式</w:t>
      </w:r>
      <w:r>
        <w:rPr>
          <w:rFonts w:hint="eastAsia" w:ascii="仿宋" w:hAnsi="仿宋" w:eastAsia="仿宋"/>
          <w:color w:val="auto"/>
          <w:sz w:val="28"/>
          <w:szCs w:val="28"/>
          <w:highlight w:val="none"/>
        </w:rPr>
        <w:t>。</w:t>
      </w:r>
    </w:p>
    <w:p w14:paraId="1749BC8D">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（三）</w:t>
      </w:r>
      <w:r>
        <w:rPr>
          <w:rFonts w:hint="eastAsia" w:ascii="仿宋" w:hAnsi="仿宋" w:eastAsia="仿宋"/>
          <w:color w:val="auto"/>
          <w:sz w:val="28"/>
          <w:szCs w:val="28"/>
          <w:highlight w:val="none"/>
        </w:rPr>
        <w:t>数据内容</w:t>
      </w:r>
    </w:p>
    <w:p w14:paraId="02D3286C">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XML文件：XML文件内容包括古籍基本元数据、结构数据、卷目篇名。</w:t>
      </w:r>
    </w:p>
    <w:p w14:paraId="79C25760">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对象数据：长期保存级、发布服务级数据，包括：TIFF格式文件、PDF格式文件、TXT格式文件</w:t>
      </w:r>
      <w:r>
        <w:rPr>
          <w:rFonts w:hint="eastAsia" w:ascii="仿宋" w:hAnsi="仿宋" w:eastAsia="仿宋"/>
          <w:color w:val="auto"/>
          <w:sz w:val="28"/>
          <w:szCs w:val="28"/>
          <w:highlight w:val="none"/>
          <w:lang w:eastAsia="zh-CN"/>
        </w:rPr>
        <w:t>。</w:t>
      </w:r>
    </w:p>
    <w:p w14:paraId="2F9EFB29">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文献整理登记表和外字表</w:t>
      </w:r>
    </w:p>
    <w:p w14:paraId="01161310">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文献整理登记表和外字表用EXCEL表填写。</w:t>
      </w:r>
    </w:p>
    <w:p w14:paraId="46E60502">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文献整理登记表内容包括：名录号、普查编号、索书号、题名、册数、总叶数、开本尺寸、透字、夹框、夹字、皱折、缺残叶、重叶、签条、夹纸、登记人员、登记日期、备注。</w:t>
      </w:r>
    </w:p>
    <w:p w14:paraId="015B006A">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外字表的内容包括：加工记录标识号、内部序号、外字、描述、位置。</w:t>
      </w:r>
    </w:p>
    <w:p w14:paraId="1B2B838E">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说明文件</w:t>
      </w:r>
    </w:p>
    <w:p w14:paraId="6F629608">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项目总体说明文件用EXCEL表填写。</w:t>
      </w:r>
    </w:p>
    <w:p w14:paraId="766FFEAE">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rPr>
        <w:t>填写内容包括：项目建设年、单位名称</w:t>
      </w:r>
      <w:r>
        <w:rPr>
          <w:rFonts w:hint="eastAsia" w:ascii="仿宋" w:hAnsi="仿宋" w:eastAsia="仿宋"/>
          <w:color w:val="auto"/>
          <w:sz w:val="28"/>
          <w:szCs w:val="28"/>
          <w:highlight w:val="none"/>
          <w:lang w:eastAsia="zh-CN"/>
        </w:rPr>
        <w:t>、</w:t>
      </w:r>
      <w:r>
        <w:rPr>
          <w:rFonts w:hint="eastAsia" w:ascii="仿宋" w:hAnsi="仿宋" w:eastAsia="仿宋"/>
          <w:color w:val="auto"/>
          <w:sz w:val="28"/>
          <w:szCs w:val="28"/>
          <w:highlight w:val="none"/>
        </w:rPr>
        <w:t>记录标识号、题名、TIFF格式文件数量、PDF格式文件数量、TXT格式文件数量、采集分辨率/拍照像素</w:t>
      </w:r>
      <w:r>
        <w:rPr>
          <w:rFonts w:hint="eastAsia" w:ascii="仿宋" w:hAnsi="仿宋" w:eastAsia="仿宋"/>
          <w:color w:val="auto"/>
          <w:sz w:val="28"/>
          <w:szCs w:val="28"/>
          <w:highlight w:val="none"/>
          <w:lang w:eastAsia="zh-CN"/>
        </w:rPr>
        <w:t>（如有</w:t>
      </w:r>
      <w:r>
        <w:rPr>
          <w:rFonts w:hint="eastAsia" w:ascii="仿宋" w:hAnsi="仿宋" w:eastAsia="仿宋"/>
          <w:color w:val="auto"/>
          <w:sz w:val="28"/>
          <w:szCs w:val="28"/>
          <w:highlight w:val="none"/>
        </w:rPr>
        <w:t>特别说明的事项</w:t>
      </w:r>
      <w:r>
        <w:rPr>
          <w:rFonts w:hint="eastAsia" w:ascii="仿宋" w:hAnsi="仿宋" w:eastAsia="仿宋"/>
          <w:color w:val="auto"/>
          <w:sz w:val="28"/>
          <w:szCs w:val="28"/>
          <w:highlight w:val="none"/>
          <w:lang w:eastAsia="zh-CN"/>
        </w:rPr>
        <w:t>需备注说明）。</w:t>
      </w:r>
    </w:p>
    <w:p w14:paraId="418A4A47">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（四）</w:t>
      </w:r>
      <w:r>
        <w:rPr>
          <w:rFonts w:hint="eastAsia" w:ascii="仿宋" w:hAnsi="仿宋" w:eastAsia="仿宋"/>
          <w:color w:val="auto"/>
          <w:sz w:val="28"/>
          <w:szCs w:val="28"/>
          <w:highlight w:val="none"/>
        </w:rPr>
        <w:t>数据标准</w:t>
      </w:r>
    </w:p>
    <w:p w14:paraId="71506360">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送检数据有效，与《数据说明文件》内容和数量一致，不夹杂无关文件。</w:t>
      </w:r>
    </w:p>
    <w:p w14:paraId="3401550F">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著录、标引文字、符号，标引位置等信息准确，综合错误率不超过0.3‰。</w:t>
      </w:r>
    </w:p>
    <w:p w14:paraId="3228EB9A">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w:t>
      </w:r>
      <w:r>
        <w:rPr>
          <w:rFonts w:hint="eastAsia" w:ascii="仿宋" w:hAnsi="仿宋" w:eastAsia="仿宋"/>
          <w:color w:val="auto"/>
          <w:sz w:val="28"/>
          <w:szCs w:val="28"/>
          <w:highlight w:val="none"/>
        </w:rPr>
        <w:t>双层PDF、全文文本文件的内容编码、文字识别等，综合错误率不超过1‰。</w:t>
      </w:r>
    </w:p>
    <w:p w14:paraId="66E353E7">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4.</w:t>
      </w:r>
      <w:r>
        <w:rPr>
          <w:rFonts w:hint="eastAsia" w:ascii="仿宋" w:hAnsi="仿宋" w:eastAsia="仿宋"/>
          <w:color w:val="auto"/>
          <w:sz w:val="28"/>
          <w:szCs w:val="28"/>
          <w:highlight w:val="none"/>
        </w:rPr>
        <w:t>数据的采集方式、技术指标、文件格式、文件命名、图像处理等综合错误率不超过1‰。</w:t>
      </w:r>
    </w:p>
    <w:p w14:paraId="3A16A068">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5.</w:t>
      </w:r>
      <w:r>
        <w:rPr>
          <w:rFonts w:hint="eastAsia" w:ascii="仿宋" w:hAnsi="仿宋" w:eastAsia="仿宋"/>
          <w:color w:val="auto"/>
          <w:sz w:val="28"/>
          <w:szCs w:val="28"/>
          <w:highlight w:val="none"/>
        </w:rPr>
        <w:t>成果数据中古籍图像完整，无缺失；数据类型和文件结构符合规范要求，且无坏死文件、不携带病毒，错误率为0。</w:t>
      </w:r>
    </w:p>
    <w:p w14:paraId="1114874E">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6.</w:t>
      </w:r>
      <w:r>
        <w:rPr>
          <w:rFonts w:hint="eastAsia" w:ascii="仿宋" w:hAnsi="仿宋" w:eastAsia="仿宋"/>
          <w:color w:val="auto"/>
          <w:sz w:val="28"/>
          <w:szCs w:val="28"/>
          <w:highlight w:val="none"/>
        </w:rPr>
        <w:t>达到标准的数据视为合格，在规定错误率范围内检查出的数据问题由中标单位进行修正；超出错误率、未达到标准的数据由中标单位对全部数据进行整改、返工处理。</w:t>
      </w:r>
    </w:p>
    <w:p w14:paraId="2C5BBB1C">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（五）数据提交要求</w:t>
      </w:r>
    </w:p>
    <w:p w14:paraId="22B4249A">
      <w:pPr>
        <w:spacing w:line="360" w:lineRule="auto"/>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rPr>
        <w:t>各类数据按《规范手册》要求存储于移动固态硬盘（PSSD）上，移动硬盘的读写速度不小于1000MB/S，至少需要提交2份数据。此设备将作为数字资源配套产品交付给采购人，所有权归属采购人。</w:t>
      </w:r>
    </w:p>
    <w:p w14:paraId="5B9786CA">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（六）</w:t>
      </w:r>
      <w:r>
        <w:rPr>
          <w:rFonts w:hint="eastAsia" w:ascii="仿宋" w:hAnsi="仿宋" w:eastAsia="仿宋"/>
          <w:color w:val="auto"/>
          <w:sz w:val="28"/>
          <w:szCs w:val="28"/>
          <w:highlight w:val="none"/>
        </w:rPr>
        <w:t>成果展示</w:t>
      </w:r>
    </w:p>
    <w:p w14:paraId="78391469">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rPr>
        <w:t>供应商需按采购人要求进行古籍数字化成果展示，支持数字化成果导入导出管理，实现古籍数字化成果在线查询阅读及知识挖掘等智慧服务</w:t>
      </w:r>
      <w:r>
        <w:rPr>
          <w:rFonts w:hint="eastAsia" w:ascii="仿宋" w:hAnsi="仿宋" w:eastAsia="仿宋"/>
          <w:color w:val="auto"/>
          <w:sz w:val="28"/>
          <w:szCs w:val="28"/>
          <w:highlight w:val="none"/>
          <w:lang w:eastAsia="zh-CN"/>
        </w:rPr>
        <w:t>，开展的服务包括：</w:t>
      </w:r>
    </w:p>
    <w:p w14:paraId="2AEAC065">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1.</w:t>
      </w:r>
      <w:r>
        <w:rPr>
          <w:rFonts w:hint="eastAsia" w:ascii="仿宋" w:hAnsi="仿宋" w:eastAsia="仿宋"/>
          <w:color w:val="auto"/>
          <w:sz w:val="28"/>
          <w:szCs w:val="28"/>
          <w:highlight w:val="none"/>
        </w:rPr>
        <w:t>古籍资源线上推广：支持</w:t>
      </w:r>
      <w:r>
        <w:rPr>
          <w:rFonts w:hint="eastAsia" w:ascii="仿宋" w:hAnsi="仿宋" w:eastAsia="仿宋"/>
          <w:color w:val="auto"/>
          <w:sz w:val="28"/>
          <w:szCs w:val="28"/>
          <w:highlight w:val="none"/>
          <w:lang w:eastAsia="zh-CN"/>
        </w:rPr>
        <w:t>对采购人制定的古籍资源</w:t>
      </w:r>
      <w:r>
        <w:rPr>
          <w:rFonts w:hint="eastAsia" w:ascii="仿宋" w:hAnsi="仿宋" w:eastAsia="仿宋"/>
          <w:color w:val="auto"/>
          <w:sz w:val="28"/>
          <w:szCs w:val="28"/>
          <w:highlight w:val="none"/>
        </w:rPr>
        <w:t>;支持数字化古籍3D模型制作；支持古籍Ai数字人</w:t>
      </w:r>
      <w:r>
        <w:rPr>
          <w:rFonts w:hint="eastAsia" w:ascii="仿宋" w:hAnsi="仿宋" w:eastAsia="仿宋"/>
          <w:color w:val="auto"/>
          <w:sz w:val="28"/>
          <w:szCs w:val="28"/>
          <w:highlight w:val="none"/>
          <w:lang w:eastAsia="zh-CN"/>
        </w:rPr>
        <w:t>及相关知识库</w:t>
      </w:r>
      <w:r>
        <w:rPr>
          <w:rFonts w:hint="eastAsia" w:ascii="仿宋" w:hAnsi="仿宋" w:eastAsia="仿宋"/>
          <w:color w:val="auto"/>
          <w:sz w:val="28"/>
          <w:szCs w:val="28"/>
          <w:highlight w:val="none"/>
        </w:rPr>
        <w:t>服务，实现人机自动交互及古籍文本无损播报。</w:t>
      </w:r>
    </w:p>
    <w:p w14:paraId="61183888">
      <w:pPr>
        <w:spacing w:line="360" w:lineRule="auto"/>
        <w:ind w:firstLine="560" w:firstLineChars="200"/>
        <w:rPr>
          <w:rFonts w:hint="default"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w:t>
      </w:r>
      <w:r>
        <w:rPr>
          <w:rFonts w:hint="eastAsia" w:ascii="仿宋" w:hAnsi="仿宋" w:eastAsia="仿宋"/>
          <w:color w:val="auto"/>
          <w:sz w:val="28"/>
          <w:szCs w:val="28"/>
          <w:highlight w:val="none"/>
        </w:rPr>
        <w:t>成果宣传推广</w:t>
      </w:r>
      <w:r>
        <w:rPr>
          <w:rFonts w:hint="eastAsia" w:ascii="仿宋" w:hAnsi="仿宋" w:eastAsia="仿宋"/>
          <w:color w:val="auto"/>
          <w:sz w:val="28"/>
          <w:szCs w:val="28"/>
          <w:highlight w:val="none"/>
          <w:lang w:eastAsia="zh-CN"/>
        </w:rPr>
        <w:t>：按照采购人需求，免费搭建</w:t>
      </w:r>
      <w:r>
        <w:rPr>
          <w:rFonts w:hint="eastAsia" w:ascii="仿宋" w:hAnsi="仿宋" w:eastAsia="仿宋"/>
          <w:color w:val="auto"/>
          <w:sz w:val="28"/>
          <w:szCs w:val="28"/>
          <w:highlight w:val="none"/>
        </w:rPr>
        <w:t>线下建设成果展示专区</w:t>
      </w:r>
      <w:r>
        <w:rPr>
          <w:rFonts w:hint="eastAsia" w:ascii="仿宋" w:hAnsi="仿宋" w:eastAsia="仿宋"/>
          <w:color w:val="auto"/>
          <w:sz w:val="28"/>
          <w:szCs w:val="28"/>
          <w:highlight w:val="none"/>
          <w:lang w:eastAsia="zh-CN"/>
        </w:rPr>
        <w:t>。须提供至少</w:t>
      </w:r>
      <w:r>
        <w:rPr>
          <w:rFonts w:hint="eastAsia" w:ascii="仿宋" w:hAnsi="仿宋" w:eastAsia="仿宋"/>
          <w:color w:val="auto"/>
          <w:sz w:val="28"/>
          <w:szCs w:val="28"/>
          <w:highlight w:val="none"/>
          <w:lang w:val="en-US" w:eastAsia="zh-CN"/>
        </w:rPr>
        <w:t>1套线下展示方案，以本项目数字化成果为主要展示内容，在馆内（或指定场所）进行集中展示或长期展示。展示内容包括但不限于：古籍高清扫描影像、OCR识别文本、项目介绍、代表性古籍案例介绍等，整体风格以采购人要求为准。</w:t>
      </w:r>
    </w:p>
    <w:p w14:paraId="6F225C2A">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val="en-US" w:eastAsia="zh-CN"/>
        </w:rPr>
        <w:t>（七）</w:t>
      </w:r>
      <w:r>
        <w:rPr>
          <w:rFonts w:hint="eastAsia" w:ascii="仿宋" w:hAnsi="仿宋" w:eastAsia="仿宋"/>
          <w:color w:val="auto"/>
          <w:sz w:val="28"/>
          <w:szCs w:val="28"/>
          <w:highlight w:val="none"/>
        </w:rPr>
        <w:t>人员</w:t>
      </w:r>
      <w:r>
        <w:rPr>
          <w:rFonts w:hint="eastAsia" w:ascii="仿宋" w:hAnsi="仿宋" w:eastAsia="仿宋"/>
          <w:color w:val="auto"/>
          <w:sz w:val="28"/>
          <w:szCs w:val="28"/>
          <w:highlight w:val="none"/>
          <w:lang w:eastAsia="zh-CN"/>
        </w:rPr>
        <w:t>要求</w:t>
      </w:r>
    </w:p>
    <w:p w14:paraId="59732314">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根据项目具体特点、需求，配备项目实施团队，包括项目负责人、专家、技术工程师、图像采集人员、数据标引与校对人员、项目质检人员等。要求配备不少于10人的项目团队。应提供相关人员名单。</w:t>
      </w:r>
    </w:p>
    <w:p w14:paraId="677DBED2">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（八）设备要求</w:t>
      </w:r>
    </w:p>
    <w:p w14:paraId="533C9512">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项目实施开展所需的一切软硬件设备均由供应商提供，在双方合同签订后，10个工作日内入场安装及完成调试工作。</w:t>
      </w:r>
    </w:p>
    <w:p w14:paraId="0FA7A658">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有关设备要求如下：</w:t>
      </w:r>
    </w:p>
    <w:p w14:paraId="39F96571">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1.扫描设备选择非接触式扫描仪。为按时完成图像采集工作，应配置至少2台非接触式扫描仪设备，设备至少为A3幅面，光学分辨率至少为600dpi，色彩位数不少于24bit。扫描设备应是无紫外线的同步冷光源。</w:t>
      </w:r>
    </w:p>
    <w:p w14:paraId="246A8C4B">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2.数码拍照相机。设备有效像素不低于6500万像素，裁切后图像短边像素换算分辨率不得低于同规格扫描分辨率，感光元件尺寸不低于全画幅（36×24mm），采用1：1微距镜头。</w:t>
      </w:r>
    </w:p>
    <w:p w14:paraId="2F9F156C">
      <w:pPr>
        <w:spacing w:line="360" w:lineRule="auto"/>
        <w:ind w:firstLine="560" w:firstLineChars="200"/>
        <w:rPr>
          <w:rFonts w:hint="eastAsia" w:ascii="仿宋" w:hAnsi="仿宋" w:eastAsia="仿宋"/>
          <w:color w:val="auto"/>
          <w:sz w:val="28"/>
          <w:szCs w:val="28"/>
          <w:highlight w:val="none"/>
        </w:rPr>
      </w:pPr>
      <w:r>
        <w:rPr>
          <w:rFonts w:hint="eastAsia" w:ascii="仿宋" w:hAnsi="仿宋" w:eastAsia="仿宋"/>
          <w:color w:val="auto"/>
          <w:sz w:val="28"/>
          <w:szCs w:val="28"/>
          <w:highlight w:val="none"/>
          <w:lang w:val="en-US" w:eastAsia="zh-CN"/>
        </w:rPr>
        <w:t>3.存储设备。为配合数据的安全存取和处理，应配置1台内部共享使用的存储设备，设备配置要求：内存不少于8G、盘位不少5个，硬盘总容量不小于48TB，支持容量扩展；此设备将作为数字资源配套产品交付给采购人，所有权归属采购人。</w:t>
      </w:r>
    </w:p>
    <w:p w14:paraId="670C0F4C">
      <w:pPr>
        <w:spacing w:line="360" w:lineRule="auto"/>
        <w:ind w:firstLine="560" w:firstLineChars="200"/>
        <w:rPr>
          <w:rFonts w:hint="eastAsia" w:ascii="仿宋" w:hAnsi="仿宋" w:eastAsia="仿宋"/>
          <w:color w:val="auto"/>
          <w:sz w:val="28"/>
          <w:szCs w:val="28"/>
          <w:highlight w:val="none"/>
          <w:lang w:val="en-US" w:eastAsia="zh-CN"/>
        </w:rPr>
      </w:pPr>
      <w:r>
        <w:rPr>
          <w:rFonts w:hint="eastAsia" w:ascii="仿宋" w:hAnsi="仿宋" w:eastAsia="仿宋"/>
          <w:color w:val="auto"/>
          <w:sz w:val="28"/>
          <w:szCs w:val="28"/>
          <w:highlight w:val="none"/>
          <w:lang w:val="en-US" w:eastAsia="zh-CN"/>
        </w:rPr>
        <w:t>如在实际加工过程中需涉及其他辅助设备，</w:t>
      </w:r>
      <w:r>
        <w:rPr>
          <w:rFonts w:hint="eastAsia" w:ascii="仿宋" w:hAnsi="仿宋" w:eastAsia="仿宋"/>
          <w:color w:val="auto"/>
          <w:sz w:val="28"/>
          <w:szCs w:val="28"/>
          <w:highlight w:val="none"/>
        </w:rPr>
        <w:t>供应商</w:t>
      </w:r>
      <w:r>
        <w:rPr>
          <w:rFonts w:hint="eastAsia" w:ascii="仿宋" w:hAnsi="仿宋" w:eastAsia="仿宋"/>
          <w:color w:val="auto"/>
          <w:sz w:val="28"/>
          <w:szCs w:val="28"/>
          <w:highlight w:val="none"/>
          <w:lang w:val="en-US" w:eastAsia="zh-CN"/>
        </w:rPr>
        <w:t>应按需进行配备。</w:t>
      </w:r>
    </w:p>
    <w:p w14:paraId="23C6E2BE">
      <w:pPr>
        <w:bidi w:val="0"/>
      </w:pPr>
    </w:p>
    <w:p w14:paraId="03D24446">
      <w:pPr>
        <w:spacing w:line="360" w:lineRule="auto"/>
        <w:rPr>
          <w:rFonts w:hint="eastAsia" w:ascii="仿宋" w:hAnsi="仿宋" w:eastAsia="仿宋"/>
          <w:b/>
          <w:sz w:val="28"/>
          <w:szCs w:val="28"/>
        </w:rPr>
      </w:pPr>
      <w:r>
        <w:rPr>
          <w:rFonts w:hint="eastAsia" w:ascii="仿宋" w:hAnsi="仿宋" w:eastAsia="仿宋"/>
          <w:b/>
          <w:sz w:val="28"/>
          <w:szCs w:val="28"/>
        </w:rPr>
        <w:t>注：以上所有</w:t>
      </w:r>
      <w:r>
        <w:rPr>
          <w:rFonts w:hint="eastAsia"/>
          <w:b/>
          <w:sz w:val="28"/>
          <w:szCs w:val="28"/>
          <w:lang w:val="en-US" w:eastAsia="zh-CN"/>
        </w:rPr>
        <w:t>服务内容</w:t>
      </w:r>
      <w:r>
        <w:rPr>
          <w:rFonts w:hint="eastAsia" w:ascii="仿宋" w:hAnsi="仿宋" w:eastAsia="仿宋"/>
          <w:b/>
          <w:sz w:val="28"/>
          <w:szCs w:val="28"/>
        </w:rPr>
        <w:t>及要求为实质性要求，须全部满足或优于，否则按无效响应文件处理。</w:t>
      </w:r>
    </w:p>
    <w:p w14:paraId="0BB66ACB">
      <w:bookmarkStart w:id="3" w:name="_GoBack"/>
      <w:bookmarkEnd w:id="3"/>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560"/>
      </w:pPr>
      <w:r>
        <w:separator/>
      </w:r>
    </w:p>
  </w:endnote>
  <w:endnote w:type="continuationSeparator" w:id="1">
    <w:p>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560"/>
      </w:pPr>
      <w:r>
        <w:separator/>
      </w:r>
    </w:p>
  </w:footnote>
  <w:footnote w:type="continuationSeparator" w:id="1">
    <w:p>
      <w:pPr>
        <w:spacing w:line="240" w:lineRule="auto"/>
        <w:ind w:firstLine="56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897842"/>
    <w:rsid w:val="308978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00" w:lineRule="exact"/>
      <w:ind w:firstLine="1687" w:firstLineChars="200"/>
      <w:jc w:val="both"/>
    </w:pPr>
    <w:rPr>
      <w:rFonts w:ascii="仿宋" w:hAnsi="仿宋" w:eastAsia="仿宋" w:cs="仿宋"/>
      <w:kern w:val="2"/>
      <w:sz w:val="28"/>
      <w:szCs w:val="28"/>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Subtitle"/>
    <w:basedOn w:val="1"/>
    <w:next w:val="1"/>
    <w:qFormat/>
    <w:uiPriority w:val="11"/>
    <w:pPr>
      <w:spacing w:line="312" w:lineRule="auto"/>
      <w:jc w:val="center"/>
      <w:outlineLvl w:val="1"/>
    </w:pPr>
    <w:rPr>
      <w:rFonts w:ascii="Cambria" w:hAnsi="Cambria"/>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2026-04-29T06:34:00Z</dcterms:created>
  <dc:creator>Administrator</dc:creator>
  <cp:lastModifiedBy>Administrator</cp:lastModifiedBy>
  <dcterms:modified xsi:type="dcterms:W3CDTF">2026-04-29T06:35:19Z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22D3D776270D460E80B5787394503FE9_11</vt:lpwstr>
  </property>
  <property fmtid="{D5CDD505-2E9C-101B-9397-08002B2CF9AE}" pid="4" name="KSOTemplateDocerSaveRecord">
    <vt:lpwstr>eyJoZGlkIjoiZjBkMDJkOGIwYmY1ODZmMDE5ZmY1MmM3ZGFiMWE0ODUiLCJ1c2VySWQiOiIyODc4NDg0MTkifQ==</vt:lpwstr>
  </property>
</Properties>
</file>