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963B3">
      <w:pPr>
        <w:spacing w:after="240" w:afterLines="100" w:line="400" w:lineRule="exact"/>
        <w:jc w:val="center"/>
        <w:outlineLvl w:val="0"/>
        <w:rPr>
          <w:rFonts w:hint="eastAsia" w:ascii="宋体" w:hAnsi="宋体" w:eastAsia="宋体" w:cs="宋体"/>
          <w:b/>
          <w:bCs/>
          <w:color w:val="auto"/>
          <w:sz w:val="32"/>
          <w:szCs w:val="32"/>
          <w:highlight w:val="none"/>
          <w:u w:val="none"/>
        </w:rPr>
      </w:pPr>
      <w:bookmarkStart w:id="0" w:name="_Toc71367976"/>
      <w:bookmarkStart w:id="1" w:name="_Toc426028734"/>
      <w:bookmarkStart w:id="2" w:name="_Toc7509"/>
      <w:r>
        <w:rPr>
          <w:rFonts w:hint="eastAsia" w:ascii="宋体" w:hAnsi="宋体" w:eastAsia="宋体" w:cs="宋体"/>
          <w:b/>
          <w:bCs/>
          <w:color w:val="auto"/>
          <w:sz w:val="32"/>
          <w:szCs w:val="32"/>
          <w:highlight w:val="none"/>
          <w:u w:val="none"/>
        </w:rPr>
        <w:t xml:space="preserve">第一章 </w:t>
      </w:r>
      <w:bookmarkEnd w:id="0"/>
      <w:bookmarkEnd w:id="1"/>
      <w:r>
        <w:rPr>
          <w:rFonts w:hint="eastAsia" w:ascii="宋体" w:hAnsi="宋体" w:eastAsia="宋体" w:cs="宋体"/>
          <w:b/>
          <w:bCs/>
          <w:color w:val="auto"/>
          <w:sz w:val="32"/>
          <w:szCs w:val="32"/>
          <w:highlight w:val="none"/>
          <w:u w:val="none"/>
          <w:lang w:eastAsia="zh-CN"/>
        </w:rPr>
        <w:t>谈判采购公告</w:t>
      </w:r>
    </w:p>
    <w:bookmarkEnd w:id="2"/>
    <w:p w14:paraId="5C0246DD">
      <w:pPr>
        <w:spacing w:line="36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川庆钻井液2026年新疆区域油气层保护剂采购</w:t>
      </w:r>
      <w:r>
        <w:rPr>
          <w:rFonts w:hint="eastAsia" w:asciiTheme="minorEastAsia" w:hAnsiTheme="minorEastAsia" w:eastAsiaTheme="minorEastAsia" w:cstheme="minorEastAsia"/>
          <w:color w:val="auto"/>
          <w:sz w:val="36"/>
          <w:szCs w:val="36"/>
          <w:highlight w:val="none"/>
        </w:rPr>
        <w:t>公告</w:t>
      </w:r>
    </w:p>
    <w:p w14:paraId="380614BC">
      <w:pPr>
        <w:spacing w:line="360" w:lineRule="auto"/>
        <w:jc w:val="righ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项目编号：202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CD</w:t>
      </w:r>
      <w:r>
        <w:rPr>
          <w:rFonts w:hint="eastAsia" w:asciiTheme="minorEastAsia" w:hAnsiTheme="minorEastAsia" w:eastAsiaTheme="minorEastAsia" w:cstheme="minorEastAsia"/>
          <w:color w:val="auto"/>
          <w:szCs w:val="21"/>
          <w:highlight w:val="none"/>
          <w:lang w:val="en-US" w:eastAsia="zh-CN"/>
        </w:rPr>
        <w:t>WZ</w:t>
      </w:r>
      <w:r>
        <w:rPr>
          <w:rFonts w:hint="eastAsia" w:asciiTheme="minorEastAsia" w:hAnsiTheme="minorEastAsia" w:eastAsiaTheme="minorEastAsia" w:cstheme="minorEastAsia"/>
          <w:color w:val="auto"/>
          <w:szCs w:val="21"/>
          <w:highlight w:val="none"/>
        </w:rPr>
        <w:t>TP0</w:t>
      </w:r>
      <w:r>
        <w:rPr>
          <w:rFonts w:hint="eastAsia" w:asciiTheme="minorEastAsia" w:hAnsiTheme="minorEastAsia" w:eastAsiaTheme="minorEastAsia" w:cstheme="minorEastAsia"/>
          <w:color w:val="auto"/>
          <w:szCs w:val="21"/>
          <w:highlight w:val="none"/>
          <w:lang w:val="en-US" w:eastAsia="zh-CN"/>
        </w:rPr>
        <w:t>003</w:t>
      </w:r>
    </w:p>
    <w:p w14:paraId="5CD5BF2E">
      <w:pPr>
        <w:numPr>
          <w:ilvl w:val="0"/>
          <w:numId w:val="0"/>
        </w:numPr>
        <w:spacing w:line="480" w:lineRule="exact"/>
        <w:ind w:left="549" w:leftChars="0" w:hanging="549" w:hangingChars="228"/>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1.项目基本情况</w:t>
      </w:r>
    </w:p>
    <w:p w14:paraId="691F328A">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1.1标的物：详见下表。</w:t>
      </w:r>
    </w:p>
    <w:tbl>
      <w:tblPr>
        <w:tblStyle w:val="13"/>
        <w:tblW w:w="9839" w:type="dxa"/>
        <w:jc w:val="center"/>
        <w:tblLayout w:type="fixed"/>
        <w:tblCellMar>
          <w:top w:w="0" w:type="dxa"/>
          <w:left w:w="108" w:type="dxa"/>
          <w:bottom w:w="0" w:type="dxa"/>
          <w:right w:w="108" w:type="dxa"/>
        </w:tblCellMar>
      </w:tblPr>
      <w:tblGrid>
        <w:gridCol w:w="444"/>
        <w:gridCol w:w="1155"/>
        <w:gridCol w:w="668"/>
        <w:gridCol w:w="768"/>
        <w:gridCol w:w="1237"/>
        <w:gridCol w:w="1500"/>
        <w:gridCol w:w="529"/>
        <w:gridCol w:w="723"/>
        <w:gridCol w:w="1178"/>
        <w:gridCol w:w="1004"/>
        <w:gridCol w:w="633"/>
      </w:tblGrid>
      <w:tr w14:paraId="7DBEC69D">
        <w:tblPrEx>
          <w:tblCellMar>
            <w:top w:w="0" w:type="dxa"/>
            <w:left w:w="108" w:type="dxa"/>
            <w:bottom w:w="0" w:type="dxa"/>
            <w:right w:w="108" w:type="dxa"/>
          </w:tblCellMar>
        </w:tblPrEx>
        <w:trPr>
          <w:trHeight w:val="1263" w:hRule="atLeast"/>
          <w:jc w:val="center"/>
        </w:trPr>
        <w:tc>
          <w:tcPr>
            <w:tcW w:w="444" w:type="dxa"/>
            <w:tcBorders>
              <w:top w:val="single" w:color="auto" w:sz="4" w:space="0"/>
              <w:left w:val="single" w:color="auto" w:sz="4" w:space="0"/>
              <w:bottom w:val="single" w:color="auto" w:sz="4" w:space="0"/>
              <w:right w:val="single" w:color="auto" w:sz="4" w:space="0"/>
            </w:tcBorders>
            <w:noWrap w:val="0"/>
            <w:vAlign w:val="center"/>
          </w:tcPr>
          <w:p w14:paraId="6DF3073E">
            <w:pPr>
              <w:widowControl w:val="0"/>
              <w:autoSpaceDE w:val="0"/>
              <w:autoSpaceDN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序号</w:t>
            </w:r>
          </w:p>
        </w:tc>
        <w:tc>
          <w:tcPr>
            <w:tcW w:w="1155" w:type="dxa"/>
            <w:tcBorders>
              <w:top w:val="single" w:color="auto" w:sz="4" w:space="0"/>
              <w:left w:val="nil"/>
              <w:bottom w:val="single" w:color="auto" w:sz="4" w:space="0"/>
              <w:right w:val="single" w:color="auto" w:sz="4" w:space="0"/>
            </w:tcBorders>
            <w:noWrap w:val="0"/>
            <w:vAlign w:val="center"/>
          </w:tcPr>
          <w:p w14:paraId="61BDF87D">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物资分类与代码</w:t>
            </w:r>
          </w:p>
        </w:tc>
        <w:tc>
          <w:tcPr>
            <w:tcW w:w="668" w:type="dxa"/>
            <w:tcBorders>
              <w:top w:val="single" w:color="auto" w:sz="4" w:space="0"/>
              <w:left w:val="nil"/>
              <w:bottom w:val="single" w:color="auto" w:sz="4" w:space="0"/>
              <w:right w:val="single" w:color="auto" w:sz="4" w:space="0"/>
            </w:tcBorders>
            <w:noWrap/>
            <w:vAlign w:val="center"/>
          </w:tcPr>
          <w:p w14:paraId="60E3C7C5">
            <w:pPr>
              <w:widowControl w:val="0"/>
              <w:autoSpaceDE w:val="0"/>
              <w:autoSpaceDN w:val="0"/>
              <w:jc w:val="center"/>
              <w:rPr>
                <w:rFonts w:hint="eastAsia" w:ascii="宋体" w:hAnsi="宋体" w:eastAsia="宋体"/>
                <w:sz w:val="21"/>
                <w:szCs w:val="21"/>
                <w:lang w:eastAsia="zh-CN"/>
              </w:rPr>
            </w:pPr>
            <w:r>
              <w:rPr>
                <w:rFonts w:hint="eastAsia" w:ascii="宋体" w:hAnsi="宋体" w:eastAsia="宋体"/>
                <w:sz w:val="21"/>
                <w:szCs w:val="21"/>
                <w:lang w:eastAsia="zh-CN"/>
              </w:rPr>
              <w:t>物资</w:t>
            </w:r>
            <w:r>
              <w:rPr>
                <w:rFonts w:hint="eastAsia" w:ascii="宋体" w:hAnsi="宋体" w:eastAsia="宋体"/>
                <w:sz w:val="21"/>
                <w:szCs w:val="21"/>
                <w:lang w:val="en-US" w:eastAsia="zh-CN"/>
              </w:rPr>
              <w:t>级别</w:t>
            </w:r>
          </w:p>
        </w:tc>
        <w:tc>
          <w:tcPr>
            <w:tcW w:w="768" w:type="dxa"/>
            <w:tcBorders>
              <w:top w:val="single" w:color="auto" w:sz="4" w:space="0"/>
              <w:left w:val="nil"/>
              <w:bottom w:val="single" w:color="auto" w:sz="4" w:space="0"/>
              <w:right w:val="single" w:color="auto" w:sz="4" w:space="0"/>
            </w:tcBorders>
            <w:noWrap/>
            <w:vAlign w:val="center"/>
          </w:tcPr>
          <w:p w14:paraId="1E9FFA5E">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物资</w:t>
            </w:r>
          </w:p>
          <w:p w14:paraId="48129AD9">
            <w:pPr>
              <w:widowControl w:val="0"/>
              <w:autoSpaceDE w:val="0"/>
              <w:autoSpaceDN w:val="0"/>
              <w:jc w:val="center"/>
              <w:rPr>
                <w:rFonts w:hint="eastAsia" w:ascii="宋体" w:hAnsi="宋体" w:eastAsia="宋体"/>
                <w:sz w:val="21"/>
                <w:szCs w:val="21"/>
                <w:lang w:eastAsia="zh-CN"/>
              </w:rPr>
            </w:pPr>
            <w:r>
              <w:rPr>
                <w:rFonts w:hint="eastAsia" w:ascii="宋体" w:hAnsi="宋体" w:eastAsia="宋体"/>
                <w:sz w:val="21"/>
                <w:szCs w:val="21"/>
              </w:rPr>
              <w:t>名称</w:t>
            </w:r>
          </w:p>
        </w:tc>
        <w:tc>
          <w:tcPr>
            <w:tcW w:w="1237" w:type="dxa"/>
            <w:tcBorders>
              <w:top w:val="single" w:color="auto" w:sz="4" w:space="0"/>
              <w:left w:val="nil"/>
              <w:bottom w:val="single" w:color="auto" w:sz="4" w:space="0"/>
              <w:right w:val="single" w:color="auto" w:sz="4" w:space="0"/>
            </w:tcBorders>
            <w:noWrap/>
            <w:vAlign w:val="center"/>
          </w:tcPr>
          <w:p w14:paraId="7830DBC4">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规格型号</w:t>
            </w:r>
          </w:p>
        </w:tc>
        <w:tc>
          <w:tcPr>
            <w:tcW w:w="1500" w:type="dxa"/>
            <w:tcBorders>
              <w:top w:val="single" w:color="auto" w:sz="4" w:space="0"/>
              <w:left w:val="nil"/>
              <w:bottom w:val="single" w:color="auto" w:sz="4" w:space="0"/>
              <w:right w:val="single" w:color="auto" w:sz="4" w:space="0"/>
            </w:tcBorders>
            <w:noWrap w:val="0"/>
            <w:vAlign w:val="center"/>
          </w:tcPr>
          <w:p w14:paraId="1E282196">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产品</w:t>
            </w:r>
          </w:p>
          <w:p w14:paraId="616E0791">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 xml:space="preserve">标准         </w:t>
            </w:r>
          </w:p>
        </w:tc>
        <w:tc>
          <w:tcPr>
            <w:tcW w:w="529" w:type="dxa"/>
            <w:tcBorders>
              <w:top w:val="single" w:color="auto" w:sz="4" w:space="0"/>
              <w:left w:val="nil"/>
              <w:bottom w:val="single" w:color="auto" w:sz="4" w:space="0"/>
              <w:right w:val="single" w:color="auto" w:sz="4" w:space="0"/>
            </w:tcBorders>
            <w:noWrap w:val="0"/>
            <w:vAlign w:val="center"/>
          </w:tcPr>
          <w:p w14:paraId="6505F794">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单位</w:t>
            </w:r>
          </w:p>
        </w:tc>
        <w:tc>
          <w:tcPr>
            <w:tcW w:w="723" w:type="dxa"/>
            <w:tcBorders>
              <w:top w:val="single" w:color="auto" w:sz="4" w:space="0"/>
              <w:left w:val="nil"/>
              <w:bottom w:val="single" w:color="auto" w:sz="4" w:space="0"/>
              <w:right w:val="single" w:color="auto" w:sz="4" w:space="0"/>
            </w:tcBorders>
            <w:noWrap w:val="0"/>
            <w:vAlign w:val="center"/>
          </w:tcPr>
          <w:p w14:paraId="20894CD5">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采购数量</w:t>
            </w:r>
          </w:p>
        </w:tc>
        <w:tc>
          <w:tcPr>
            <w:tcW w:w="1178" w:type="dxa"/>
            <w:tcBorders>
              <w:top w:val="single" w:color="auto" w:sz="4" w:space="0"/>
              <w:left w:val="nil"/>
              <w:bottom w:val="single" w:color="auto" w:sz="4" w:space="0"/>
              <w:right w:val="single" w:color="auto" w:sz="4" w:space="0"/>
            </w:tcBorders>
            <w:noWrap w:val="0"/>
            <w:vAlign w:val="center"/>
          </w:tcPr>
          <w:p w14:paraId="6BCCBA75">
            <w:pPr>
              <w:widowControl w:val="0"/>
              <w:autoSpaceDE w:val="0"/>
              <w:autoSpaceDN w:val="0"/>
              <w:jc w:val="center"/>
              <w:rPr>
                <w:rFonts w:hint="eastAsia" w:ascii="宋体" w:hAnsi="宋体" w:eastAsia="宋体"/>
                <w:sz w:val="21"/>
                <w:szCs w:val="21"/>
                <w:lang w:eastAsia="zh-CN"/>
              </w:rPr>
            </w:pPr>
            <w:r>
              <w:rPr>
                <w:rFonts w:hint="eastAsia" w:ascii="宋体" w:hAnsi="宋体" w:eastAsia="宋体"/>
                <w:sz w:val="21"/>
                <w:szCs w:val="21"/>
                <w:lang w:val="en-US" w:eastAsia="zh-CN"/>
              </w:rPr>
              <w:t>限价</w:t>
            </w:r>
            <w:r>
              <w:rPr>
                <w:rFonts w:hint="eastAsia" w:ascii="宋体" w:hAnsi="宋体" w:eastAsia="宋体"/>
                <w:sz w:val="21"/>
                <w:szCs w:val="21"/>
                <w:lang w:eastAsia="zh-CN"/>
              </w:rPr>
              <w:t>单价</w:t>
            </w:r>
          </w:p>
          <w:p w14:paraId="39F57C56">
            <w:pPr>
              <w:widowControl w:val="0"/>
              <w:autoSpaceDE w:val="0"/>
              <w:autoSpaceDN w:val="0"/>
              <w:jc w:val="center"/>
              <w:rPr>
                <w:rFonts w:hint="eastAsia" w:ascii="宋体" w:hAnsi="宋体" w:eastAsia="宋体"/>
                <w:sz w:val="21"/>
                <w:szCs w:val="21"/>
                <w:lang w:eastAsia="zh-CN"/>
              </w:rPr>
            </w:pPr>
            <w:r>
              <w:rPr>
                <w:rFonts w:hint="eastAsia" w:ascii="宋体" w:hAnsi="宋体" w:eastAsia="宋体"/>
                <w:sz w:val="21"/>
                <w:szCs w:val="21"/>
              </w:rPr>
              <w:t>（元</w:t>
            </w:r>
            <w:r>
              <w:rPr>
                <w:rFonts w:hint="eastAsia" w:ascii="宋体" w:hAnsi="宋体" w:eastAsia="宋体"/>
                <w:sz w:val="21"/>
                <w:szCs w:val="21"/>
                <w:lang w:val="en-US" w:eastAsia="zh-CN"/>
              </w:rPr>
              <w:t>/吨</w:t>
            </w:r>
            <w:r>
              <w:rPr>
                <w:rFonts w:hint="eastAsia" w:ascii="宋体" w:hAnsi="宋体" w:eastAsia="宋体"/>
                <w:sz w:val="21"/>
                <w:szCs w:val="21"/>
              </w:rPr>
              <w:t>）</w:t>
            </w:r>
          </w:p>
        </w:tc>
        <w:tc>
          <w:tcPr>
            <w:tcW w:w="1004" w:type="dxa"/>
            <w:tcBorders>
              <w:top w:val="single" w:color="auto" w:sz="4" w:space="0"/>
              <w:left w:val="nil"/>
              <w:bottom w:val="single" w:color="auto" w:sz="4" w:space="0"/>
              <w:right w:val="single" w:color="auto" w:sz="4" w:space="0"/>
            </w:tcBorders>
            <w:noWrap w:val="0"/>
            <w:vAlign w:val="center"/>
          </w:tcPr>
          <w:p w14:paraId="67AF6B68">
            <w:pPr>
              <w:widowControl w:val="0"/>
              <w:autoSpaceDE w:val="0"/>
              <w:autoSpaceDN w:val="0"/>
              <w:jc w:val="center"/>
              <w:rPr>
                <w:rFonts w:hint="eastAsia" w:ascii="宋体" w:hAnsi="宋体" w:eastAsia="宋体"/>
                <w:sz w:val="21"/>
                <w:szCs w:val="21"/>
              </w:rPr>
            </w:pPr>
            <w:r>
              <w:rPr>
                <w:rFonts w:hint="eastAsia" w:ascii="宋体" w:hAnsi="宋体" w:eastAsia="宋体"/>
                <w:sz w:val="21"/>
                <w:szCs w:val="21"/>
                <w:lang w:val="en-US" w:eastAsia="zh-CN"/>
              </w:rPr>
              <w:t>限价总价</w:t>
            </w:r>
            <w:r>
              <w:rPr>
                <w:rFonts w:hint="eastAsia" w:ascii="宋体" w:hAnsi="宋体" w:eastAsia="宋体"/>
                <w:sz w:val="21"/>
                <w:szCs w:val="21"/>
              </w:rPr>
              <w:t>（元）</w:t>
            </w:r>
          </w:p>
        </w:tc>
        <w:tc>
          <w:tcPr>
            <w:tcW w:w="633" w:type="dxa"/>
            <w:tcBorders>
              <w:top w:val="single" w:color="auto" w:sz="4" w:space="0"/>
              <w:left w:val="nil"/>
              <w:bottom w:val="single" w:color="auto" w:sz="4" w:space="0"/>
              <w:right w:val="single" w:color="auto" w:sz="4" w:space="0"/>
            </w:tcBorders>
            <w:noWrap w:val="0"/>
            <w:vAlign w:val="center"/>
          </w:tcPr>
          <w:p w14:paraId="6C0A66E7">
            <w:pPr>
              <w:widowControl w:val="0"/>
              <w:autoSpaceDE w:val="0"/>
              <w:autoSpaceDN w:val="0"/>
              <w:jc w:val="center"/>
              <w:rPr>
                <w:rFonts w:hint="eastAsia" w:ascii="宋体" w:hAnsi="宋体" w:eastAsia="宋体"/>
                <w:sz w:val="21"/>
                <w:szCs w:val="21"/>
              </w:rPr>
            </w:pPr>
            <w:r>
              <w:rPr>
                <w:rFonts w:hint="eastAsia" w:ascii="宋体" w:hAnsi="宋体" w:eastAsia="宋体"/>
                <w:sz w:val="21"/>
                <w:szCs w:val="21"/>
              </w:rPr>
              <w:t>备注</w:t>
            </w:r>
          </w:p>
        </w:tc>
      </w:tr>
      <w:tr w14:paraId="617A0C2C">
        <w:tblPrEx>
          <w:tblCellMar>
            <w:top w:w="0" w:type="dxa"/>
            <w:left w:w="108" w:type="dxa"/>
            <w:bottom w:w="0" w:type="dxa"/>
            <w:right w:w="108" w:type="dxa"/>
          </w:tblCellMar>
        </w:tblPrEx>
        <w:trPr>
          <w:trHeight w:val="1263" w:hRule="atLeast"/>
          <w:jc w:val="center"/>
        </w:trPr>
        <w:tc>
          <w:tcPr>
            <w:tcW w:w="444" w:type="dxa"/>
            <w:tcBorders>
              <w:top w:val="single" w:color="auto" w:sz="4" w:space="0"/>
              <w:left w:val="single" w:color="auto" w:sz="4" w:space="0"/>
              <w:bottom w:val="single" w:color="auto" w:sz="4" w:space="0"/>
              <w:right w:val="single" w:color="auto" w:sz="4" w:space="0"/>
            </w:tcBorders>
            <w:noWrap w:val="0"/>
            <w:vAlign w:val="center"/>
          </w:tcPr>
          <w:p w14:paraId="45CB258F">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1155" w:type="dxa"/>
            <w:tcBorders>
              <w:top w:val="single" w:color="auto" w:sz="4" w:space="0"/>
              <w:left w:val="nil"/>
              <w:bottom w:val="single" w:color="auto" w:sz="4" w:space="0"/>
              <w:right w:val="single" w:color="auto" w:sz="4" w:space="0"/>
            </w:tcBorders>
            <w:noWrap w:val="0"/>
            <w:vAlign w:val="center"/>
          </w:tcPr>
          <w:p w14:paraId="0FD17C67">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kern w:val="0"/>
                <w:sz w:val="21"/>
                <w:szCs w:val="21"/>
                <w:lang w:val="en-US" w:eastAsia="zh-CN"/>
              </w:rPr>
              <w:t>A14020802</w:t>
            </w:r>
          </w:p>
        </w:tc>
        <w:tc>
          <w:tcPr>
            <w:tcW w:w="668" w:type="dxa"/>
            <w:tcBorders>
              <w:top w:val="single" w:color="auto" w:sz="4" w:space="0"/>
              <w:left w:val="nil"/>
              <w:bottom w:val="single" w:color="auto" w:sz="4" w:space="0"/>
              <w:right w:val="single" w:color="auto" w:sz="4" w:space="0"/>
            </w:tcBorders>
            <w:noWrap/>
            <w:vAlign w:val="center"/>
          </w:tcPr>
          <w:p w14:paraId="5AF695C1">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val="en-US" w:eastAsia="zh-CN"/>
              </w:rPr>
              <w:t>二级</w:t>
            </w:r>
          </w:p>
        </w:tc>
        <w:tc>
          <w:tcPr>
            <w:tcW w:w="768" w:type="dxa"/>
            <w:tcBorders>
              <w:top w:val="single" w:color="auto" w:sz="4" w:space="0"/>
              <w:left w:val="nil"/>
              <w:bottom w:val="single" w:color="auto" w:sz="4" w:space="0"/>
              <w:right w:val="single" w:color="auto" w:sz="4" w:space="0"/>
            </w:tcBorders>
            <w:noWrap/>
            <w:vAlign w:val="center"/>
          </w:tcPr>
          <w:p w14:paraId="22204626">
            <w:pPr>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油溶性暂堵剂</w:t>
            </w:r>
          </w:p>
        </w:tc>
        <w:tc>
          <w:tcPr>
            <w:tcW w:w="1237" w:type="dxa"/>
            <w:tcBorders>
              <w:top w:val="single" w:color="auto" w:sz="4" w:space="0"/>
              <w:left w:val="nil"/>
              <w:bottom w:val="single" w:color="auto" w:sz="4" w:space="0"/>
              <w:right w:val="single" w:color="auto" w:sz="4" w:space="0"/>
            </w:tcBorders>
            <w:noWrap/>
            <w:vAlign w:val="center"/>
          </w:tcPr>
          <w:p w14:paraId="0A4F6BBF">
            <w:pPr>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水基钻井液用页岩抑制剂聚合醇类</w:t>
            </w:r>
          </w:p>
        </w:tc>
        <w:tc>
          <w:tcPr>
            <w:tcW w:w="1500" w:type="dxa"/>
            <w:tcBorders>
              <w:top w:val="single" w:color="auto" w:sz="4" w:space="0"/>
              <w:left w:val="nil"/>
              <w:bottom w:val="single" w:color="auto" w:sz="4" w:space="0"/>
              <w:right w:val="single" w:color="auto" w:sz="4" w:space="0"/>
            </w:tcBorders>
            <w:noWrap w:val="0"/>
            <w:vAlign w:val="center"/>
          </w:tcPr>
          <w:p w14:paraId="36646007">
            <w:pPr>
              <w:widowControl/>
              <w:jc w:val="both"/>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Q/SYTZ0093-2002钻井液用油溶性暂堵剂技术要求及试验方法</w:t>
            </w:r>
          </w:p>
        </w:tc>
        <w:tc>
          <w:tcPr>
            <w:tcW w:w="529" w:type="dxa"/>
            <w:tcBorders>
              <w:top w:val="single" w:color="auto" w:sz="4" w:space="0"/>
              <w:left w:val="nil"/>
              <w:bottom w:val="single" w:color="auto" w:sz="4" w:space="0"/>
              <w:right w:val="single" w:color="auto" w:sz="4" w:space="0"/>
            </w:tcBorders>
            <w:noWrap w:val="0"/>
            <w:vAlign w:val="center"/>
          </w:tcPr>
          <w:p w14:paraId="20C43BAB">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吨</w:t>
            </w:r>
          </w:p>
        </w:tc>
        <w:tc>
          <w:tcPr>
            <w:tcW w:w="723" w:type="dxa"/>
            <w:tcBorders>
              <w:top w:val="single" w:color="auto" w:sz="4" w:space="0"/>
              <w:left w:val="nil"/>
              <w:bottom w:val="single" w:color="auto" w:sz="4" w:space="0"/>
              <w:right w:val="single" w:color="auto" w:sz="4" w:space="0"/>
            </w:tcBorders>
            <w:noWrap w:val="0"/>
            <w:vAlign w:val="center"/>
          </w:tcPr>
          <w:p w14:paraId="2600FB21">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20</w:t>
            </w:r>
          </w:p>
        </w:tc>
        <w:tc>
          <w:tcPr>
            <w:tcW w:w="1178" w:type="dxa"/>
            <w:tcBorders>
              <w:top w:val="single" w:color="auto" w:sz="4" w:space="0"/>
              <w:left w:val="nil"/>
              <w:bottom w:val="single" w:color="auto" w:sz="4" w:space="0"/>
              <w:right w:val="single" w:color="auto" w:sz="4" w:space="0"/>
            </w:tcBorders>
            <w:noWrap w:val="0"/>
            <w:vAlign w:val="center"/>
          </w:tcPr>
          <w:p w14:paraId="7D81A015">
            <w:pPr>
              <w:widowControl/>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13400</w:t>
            </w:r>
          </w:p>
        </w:tc>
        <w:tc>
          <w:tcPr>
            <w:tcW w:w="1004" w:type="dxa"/>
            <w:tcBorders>
              <w:top w:val="single" w:color="auto" w:sz="4" w:space="0"/>
              <w:left w:val="nil"/>
              <w:bottom w:val="single" w:color="auto" w:sz="4" w:space="0"/>
              <w:right w:val="single" w:color="auto" w:sz="4" w:space="0"/>
            </w:tcBorders>
            <w:noWrap w:val="0"/>
            <w:vAlign w:val="center"/>
          </w:tcPr>
          <w:p w14:paraId="2A46CC1F">
            <w:pPr>
              <w:widowControl/>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268000</w:t>
            </w:r>
          </w:p>
        </w:tc>
        <w:tc>
          <w:tcPr>
            <w:tcW w:w="633" w:type="dxa"/>
            <w:tcBorders>
              <w:top w:val="single" w:color="auto" w:sz="4" w:space="0"/>
              <w:left w:val="nil"/>
              <w:bottom w:val="single" w:color="auto" w:sz="4" w:space="0"/>
              <w:right w:val="single" w:color="auto" w:sz="4" w:space="0"/>
            </w:tcBorders>
            <w:noWrap w:val="0"/>
            <w:vAlign w:val="center"/>
          </w:tcPr>
          <w:p w14:paraId="4C253545">
            <w:pPr>
              <w:widowControl/>
              <w:jc w:val="center"/>
              <w:rPr>
                <w:rFonts w:hint="eastAsia" w:ascii="宋体" w:hAnsi="宋体" w:eastAsia="宋体" w:cs="宋体"/>
                <w:b/>
                <w:bCs/>
                <w:color w:val="000000"/>
                <w:kern w:val="0"/>
                <w:sz w:val="21"/>
                <w:szCs w:val="21"/>
              </w:rPr>
            </w:pPr>
          </w:p>
        </w:tc>
      </w:tr>
      <w:tr w14:paraId="41307AC2">
        <w:tblPrEx>
          <w:tblCellMar>
            <w:top w:w="0" w:type="dxa"/>
            <w:left w:w="108" w:type="dxa"/>
            <w:bottom w:w="0" w:type="dxa"/>
            <w:right w:w="108" w:type="dxa"/>
          </w:tblCellMar>
        </w:tblPrEx>
        <w:trPr>
          <w:trHeight w:val="698" w:hRule="atLeast"/>
          <w:jc w:val="center"/>
        </w:trPr>
        <w:tc>
          <w:tcPr>
            <w:tcW w:w="444" w:type="dxa"/>
            <w:tcBorders>
              <w:top w:val="single" w:color="auto" w:sz="4" w:space="0"/>
              <w:left w:val="single" w:color="auto" w:sz="4" w:space="0"/>
              <w:bottom w:val="single" w:color="auto" w:sz="4" w:space="0"/>
              <w:right w:val="single" w:color="auto" w:sz="4" w:space="0"/>
            </w:tcBorders>
            <w:noWrap w:val="0"/>
            <w:vAlign w:val="center"/>
          </w:tcPr>
          <w:p w14:paraId="12AD5B0D">
            <w:pPr>
              <w:widowControl/>
              <w:jc w:val="center"/>
              <w:rPr>
                <w:rFonts w:hint="eastAsia" w:ascii="方正仿宋简体" w:hAnsi="宋体" w:eastAsia="方正仿宋简体" w:cs="宋体"/>
                <w:color w:val="000000"/>
                <w:kern w:val="0"/>
                <w:sz w:val="20"/>
                <w:szCs w:val="20"/>
              </w:rPr>
            </w:pPr>
          </w:p>
        </w:tc>
        <w:tc>
          <w:tcPr>
            <w:tcW w:w="1155" w:type="dxa"/>
            <w:tcBorders>
              <w:top w:val="single" w:color="auto" w:sz="4" w:space="0"/>
              <w:left w:val="nil"/>
              <w:bottom w:val="single" w:color="auto" w:sz="4" w:space="0"/>
              <w:right w:val="single" w:color="auto" w:sz="4" w:space="0"/>
            </w:tcBorders>
            <w:noWrap w:val="0"/>
            <w:vAlign w:val="center"/>
          </w:tcPr>
          <w:p w14:paraId="595AEC34">
            <w:pPr>
              <w:widowControl/>
              <w:jc w:val="center"/>
              <w:rPr>
                <w:rFonts w:hint="eastAsia" w:ascii="方正仿宋简体" w:hAnsi="宋体" w:cs="宋体"/>
                <w:color w:val="000000"/>
                <w:kern w:val="0"/>
                <w:sz w:val="20"/>
                <w:szCs w:val="20"/>
                <w:lang w:val="en-US" w:eastAsia="zh-CN"/>
              </w:rPr>
            </w:pPr>
            <w:r>
              <w:rPr>
                <w:rFonts w:hint="eastAsia" w:ascii="方正仿宋简体" w:hAnsi="宋体" w:cs="宋体"/>
                <w:b/>
                <w:bCs/>
                <w:color w:val="000000"/>
                <w:kern w:val="0"/>
                <w:sz w:val="20"/>
                <w:szCs w:val="20"/>
                <w:lang w:val="en-US" w:eastAsia="zh-CN"/>
              </w:rPr>
              <w:t>合计</w:t>
            </w:r>
          </w:p>
        </w:tc>
        <w:tc>
          <w:tcPr>
            <w:tcW w:w="668" w:type="dxa"/>
            <w:tcBorders>
              <w:top w:val="single" w:color="auto" w:sz="4" w:space="0"/>
              <w:left w:val="nil"/>
              <w:bottom w:val="single" w:color="auto" w:sz="4" w:space="0"/>
              <w:right w:val="single" w:color="auto" w:sz="4" w:space="0"/>
            </w:tcBorders>
            <w:noWrap/>
            <w:vAlign w:val="center"/>
          </w:tcPr>
          <w:p w14:paraId="1AB38C87">
            <w:pPr>
              <w:widowControl/>
              <w:jc w:val="center"/>
              <w:rPr>
                <w:rFonts w:hint="eastAsia" w:ascii="方正仿宋简体" w:hAnsi="宋体" w:cs="宋体"/>
                <w:color w:val="000000"/>
                <w:kern w:val="0"/>
                <w:sz w:val="20"/>
                <w:szCs w:val="20"/>
                <w:lang w:eastAsia="zh-CN"/>
              </w:rPr>
            </w:pPr>
          </w:p>
        </w:tc>
        <w:tc>
          <w:tcPr>
            <w:tcW w:w="768" w:type="dxa"/>
            <w:tcBorders>
              <w:top w:val="single" w:color="auto" w:sz="4" w:space="0"/>
              <w:left w:val="nil"/>
              <w:bottom w:val="single" w:color="auto" w:sz="4" w:space="0"/>
              <w:right w:val="single" w:color="auto" w:sz="4" w:space="0"/>
            </w:tcBorders>
            <w:noWrap/>
            <w:vAlign w:val="center"/>
          </w:tcPr>
          <w:p w14:paraId="6F0FB12F">
            <w:pPr>
              <w:widowControl/>
              <w:jc w:val="center"/>
              <w:rPr>
                <w:rFonts w:hint="eastAsia" w:ascii="方正仿宋简体" w:hAnsi="宋体" w:eastAsia="方正仿宋简体" w:cs="宋体"/>
                <w:color w:val="000000"/>
                <w:kern w:val="0"/>
                <w:sz w:val="20"/>
                <w:szCs w:val="20"/>
              </w:rPr>
            </w:pPr>
          </w:p>
        </w:tc>
        <w:tc>
          <w:tcPr>
            <w:tcW w:w="1237" w:type="dxa"/>
            <w:tcBorders>
              <w:top w:val="single" w:color="auto" w:sz="4" w:space="0"/>
              <w:left w:val="nil"/>
              <w:bottom w:val="single" w:color="auto" w:sz="4" w:space="0"/>
              <w:right w:val="single" w:color="auto" w:sz="4" w:space="0"/>
            </w:tcBorders>
            <w:noWrap/>
            <w:vAlign w:val="center"/>
          </w:tcPr>
          <w:p w14:paraId="661D21BE">
            <w:pPr>
              <w:widowControl/>
              <w:jc w:val="center"/>
              <w:rPr>
                <w:rFonts w:hint="eastAsia" w:ascii="方正仿宋简体" w:hAnsi="宋体" w:eastAsia="方正仿宋简体" w:cs="宋体"/>
                <w:color w:val="000000"/>
                <w:kern w:val="0"/>
                <w:sz w:val="20"/>
                <w:szCs w:val="20"/>
              </w:rPr>
            </w:pPr>
          </w:p>
        </w:tc>
        <w:tc>
          <w:tcPr>
            <w:tcW w:w="1500" w:type="dxa"/>
            <w:tcBorders>
              <w:top w:val="single" w:color="auto" w:sz="4" w:space="0"/>
              <w:left w:val="nil"/>
              <w:bottom w:val="single" w:color="auto" w:sz="4" w:space="0"/>
              <w:right w:val="single" w:color="auto" w:sz="4" w:space="0"/>
            </w:tcBorders>
            <w:noWrap w:val="0"/>
            <w:vAlign w:val="center"/>
          </w:tcPr>
          <w:p w14:paraId="211DAEAC">
            <w:pPr>
              <w:widowControl/>
              <w:jc w:val="center"/>
              <w:rPr>
                <w:rFonts w:hint="eastAsia" w:ascii="方正仿宋简体" w:hAnsi="宋体" w:eastAsia="方正仿宋简体" w:cs="宋体"/>
                <w:color w:val="000000"/>
                <w:kern w:val="0"/>
                <w:sz w:val="20"/>
                <w:szCs w:val="20"/>
              </w:rPr>
            </w:pPr>
          </w:p>
        </w:tc>
        <w:tc>
          <w:tcPr>
            <w:tcW w:w="529" w:type="dxa"/>
            <w:tcBorders>
              <w:top w:val="single" w:color="auto" w:sz="4" w:space="0"/>
              <w:left w:val="nil"/>
              <w:bottom w:val="single" w:color="auto" w:sz="4" w:space="0"/>
              <w:right w:val="single" w:color="auto" w:sz="4" w:space="0"/>
            </w:tcBorders>
            <w:noWrap w:val="0"/>
            <w:vAlign w:val="center"/>
          </w:tcPr>
          <w:p w14:paraId="393B39BF">
            <w:pPr>
              <w:widowControl/>
              <w:jc w:val="center"/>
              <w:rPr>
                <w:rFonts w:hint="eastAsia" w:ascii="方正仿宋简体" w:hAnsi="宋体" w:eastAsia="方正仿宋简体" w:cs="宋体"/>
                <w:color w:val="000000"/>
                <w:kern w:val="0"/>
                <w:sz w:val="20"/>
                <w:szCs w:val="20"/>
              </w:rPr>
            </w:pPr>
          </w:p>
        </w:tc>
        <w:tc>
          <w:tcPr>
            <w:tcW w:w="723" w:type="dxa"/>
            <w:tcBorders>
              <w:top w:val="single" w:color="auto" w:sz="4" w:space="0"/>
              <w:left w:val="nil"/>
              <w:bottom w:val="single" w:color="auto" w:sz="4" w:space="0"/>
              <w:right w:val="single" w:color="auto" w:sz="4" w:space="0"/>
            </w:tcBorders>
            <w:noWrap w:val="0"/>
            <w:vAlign w:val="center"/>
          </w:tcPr>
          <w:p w14:paraId="6D5072EF">
            <w:pPr>
              <w:widowControl/>
              <w:jc w:val="center"/>
              <w:rPr>
                <w:rFonts w:hint="default" w:ascii="方正仿宋简体" w:hAnsi="宋体" w:eastAsia="方正仿宋简体" w:cs="宋体"/>
                <w:b/>
                <w:bCs/>
                <w:color w:val="000000"/>
                <w:kern w:val="0"/>
                <w:sz w:val="20"/>
                <w:szCs w:val="20"/>
                <w:lang w:val="en-US" w:eastAsia="zh-CN"/>
              </w:rPr>
            </w:pPr>
            <w:r>
              <w:rPr>
                <w:rFonts w:hint="eastAsia" w:ascii="方正仿宋简体" w:hAnsi="宋体" w:cs="宋体"/>
                <w:b/>
                <w:bCs/>
                <w:color w:val="000000"/>
                <w:kern w:val="0"/>
                <w:sz w:val="20"/>
                <w:szCs w:val="20"/>
                <w:lang w:val="en-US" w:eastAsia="zh-CN"/>
              </w:rPr>
              <w:t>20</w:t>
            </w:r>
          </w:p>
        </w:tc>
        <w:tc>
          <w:tcPr>
            <w:tcW w:w="1178" w:type="dxa"/>
            <w:tcBorders>
              <w:top w:val="single" w:color="auto" w:sz="4" w:space="0"/>
              <w:left w:val="nil"/>
              <w:bottom w:val="single" w:color="auto" w:sz="4" w:space="0"/>
              <w:right w:val="single" w:color="auto" w:sz="4" w:space="0"/>
            </w:tcBorders>
            <w:noWrap w:val="0"/>
            <w:vAlign w:val="center"/>
          </w:tcPr>
          <w:p w14:paraId="1EC1F704">
            <w:pPr>
              <w:widowControl/>
              <w:jc w:val="center"/>
              <w:rPr>
                <w:rFonts w:hint="eastAsia" w:ascii="方正仿宋简体" w:hAnsi="宋体" w:eastAsia="方正仿宋简体" w:cs="宋体"/>
                <w:b/>
                <w:bCs/>
                <w:color w:val="000000"/>
                <w:kern w:val="0"/>
                <w:sz w:val="20"/>
                <w:szCs w:val="20"/>
                <w:highlight w:val="none"/>
              </w:rPr>
            </w:pPr>
          </w:p>
        </w:tc>
        <w:tc>
          <w:tcPr>
            <w:tcW w:w="1004" w:type="dxa"/>
            <w:tcBorders>
              <w:top w:val="single" w:color="auto" w:sz="4" w:space="0"/>
              <w:left w:val="nil"/>
              <w:bottom w:val="single" w:color="auto" w:sz="4" w:space="0"/>
              <w:right w:val="single" w:color="auto" w:sz="4" w:space="0"/>
            </w:tcBorders>
            <w:noWrap w:val="0"/>
            <w:vAlign w:val="center"/>
          </w:tcPr>
          <w:p w14:paraId="230B9711">
            <w:pPr>
              <w:widowControl/>
              <w:jc w:val="center"/>
              <w:rPr>
                <w:rFonts w:hint="default" w:ascii="方正仿宋简体" w:hAnsi="宋体" w:eastAsia="方正仿宋简体" w:cs="宋体"/>
                <w:b/>
                <w:bCs/>
                <w:color w:val="000000"/>
                <w:kern w:val="0"/>
                <w:sz w:val="20"/>
                <w:szCs w:val="20"/>
                <w:highlight w:val="none"/>
                <w:lang w:val="en-US" w:eastAsia="zh-CN"/>
              </w:rPr>
            </w:pPr>
            <w:r>
              <w:rPr>
                <w:rFonts w:hint="eastAsia" w:ascii="方正仿宋简体" w:hAnsi="宋体" w:cs="宋体"/>
                <w:b/>
                <w:bCs/>
                <w:color w:val="000000"/>
                <w:kern w:val="0"/>
                <w:sz w:val="20"/>
                <w:szCs w:val="20"/>
                <w:highlight w:val="none"/>
                <w:lang w:val="en-US" w:eastAsia="zh-CN"/>
              </w:rPr>
              <w:t>268000</w:t>
            </w:r>
          </w:p>
        </w:tc>
        <w:tc>
          <w:tcPr>
            <w:tcW w:w="633" w:type="dxa"/>
            <w:tcBorders>
              <w:top w:val="single" w:color="auto" w:sz="4" w:space="0"/>
              <w:left w:val="nil"/>
              <w:bottom w:val="single" w:color="auto" w:sz="4" w:space="0"/>
              <w:right w:val="single" w:color="auto" w:sz="4" w:space="0"/>
            </w:tcBorders>
            <w:noWrap w:val="0"/>
            <w:vAlign w:val="center"/>
          </w:tcPr>
          <w:p w14:paraId="4BD649F6">
            <w:pPr>
              <w:widowControl/>
              <w:jc w:val="center"/>
              <w:rPr>
                <w:rFonts w:hint="eastAsia" w:ascii="方正仿宋简体" w:hAnsi="宋体" w:eastAsia="方正仿宋简体" w:cs="宋体"/>
                <w:color w:val="000000"/>
                <w:kern w:val="0"/>
                <w:sz w:val="20"/>
                <w:szCs w:val="20"/>
              </w:rPr>
            </w:pPr>
          </w:p>
        </w:tc>
      </w:tr>
    </w:tbl>
    <w:p w14:paraId="3A637D7B">
      <w:pPr>
        <w:numPr>
          <w:ilvl w:val="0"/>
          <w:numId w:val="0"/>
        </w:numPr>
        <w:spacing w:line="480" w:lineRule="exact"/>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2.商务要求</w:t>
      </w:r>
    </w:p>
    <w:p w14:paraId="6C3FA0FB">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2.1商务计价方式： 货物运送至买方指定库房的到库价。（包括货物及货物的13%的增值税、包装费、运输费、保险费、装卸费、包装回收费等全部费用。买方不再支付其它费用。） </w:t>
      </w:r>
    </w:p>
    <w:p w14:paraId="3B11F98F">
      <w:pPr>
        <w:spacing w:line="360" w:lineRule="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2.2价格构成及限价依据等： 本项目设置最高限价13400元/吨，包括货物及货物的13%的增值税、包装费、运输费、保险费、装卸费、包装回收费等全部费用。限价为在2024年新疆分公司竞争性谈判中标单价（14592元/吨）基础上，结合提质增效要求进行下调。</w:t>
      </w:r>
    </w:p>
    <w:p w14:paraId="1C480630">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2.3包装要求：1000kg/袋。外包装上应标识以下信息：物资名称、规格型号、自我申明公开的产品标准、批次号、生产日期、有效期、制造商信息（名称、地址、联系电话等）。</w:t>
      </w:r>
    </w:p>
    <w:p w14:paraId="5948BDD1">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2.4交货地点：新疆南疆区域库房（库尔勒市）</w:t>
      </w:r>
    </w:p>
    <w:p w14:paraId="4DCF54AB">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轮台库地址：新疆维吾尔自治区巴音郭楞蒙古自治州轮台县轮南镇轮油北路23号川庆新疆分公司轮南基地。</w:t>
      </w:r>
    </w:p>
    <w:p w14:paraId="1FF15AF5">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2.5交货时间： 订单下达后3个日历日，实施代储代销。</w:t>
      </w:r>
    </w:p>
    <w:p w14:paraId="4BBBF451">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2.6付款条件：响应川庆公司付款要求。付款方式：银行转账方式支付。</w:t>
      </w:r>
    </w:p>
    <w:p w14:paraId="1A935D33">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2.7交付期限：自合同生效之日起1年止。</w:t>
      </w:r>
    </w:p>
    <w:p w14:paraId="15CD3CA7">
      <w:pPr>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val="en-US" w:eastAsia="zh-CN"/>
        </w:rPr>
        <w:t>3.</w:t>
      </w:r>
      <w:r>
        <w:rPr>
          <w:rFonts w:hint="eastAsia" w:asciiTheme="minorEastAsia" w:hAnsiTheme="minorEastAsia" w:eastAsiaTheme="minorEastAsia" w:cstheme="minorEastAsia"/>
          <w:b/>
          <w:kern w:val="0"/>
          <w:sz w:val="24"/>
          <w:szCs w:val="24"/>
        </w:rPr>
        <w:t>谈判（评审）时间及地点安排</w:t>
      </w:r>
    </w:p>
    <w:p w14:paraId="3D1B071C">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3.1谈判时间：2026年1月19日09时30分。</w:t>
      </w:r>
    </w:p>
    <w:p w14:paraId="1A1BF311">
      <w:pP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3.2会议地点：腾讯会议软件  会议号：949-442-002</w:t>
      </w:r>
    </w:p>
    <w:p w14:paraId="79BAD418">
      <w:pPr>
        <w:spacing w:line="360" w:lineRule="auto"/>
        <w:ind w:left="-2" w:leftChars="0" w:firstLine="0" w:firstLineChars="0"/>
        <w:rPr>
          <w:rFonts w:hint="default" w:asciiTheme="minorEastAsia" w:hAnsiTheme="minorEastAsia" w:eastAsiaTheme="minorEastAsia" w:cstheme="minorEastAsia"/>
          <w:b/>
          <w:kern w:val="0"/>
          <w:sz w:val="24"/>
          <w:szCs w:val="24"/>
          <w:lang w:val="en-US" w:eastAsia="zh-CN"/>
        </w:rPr>
      </w:pPr>
      <w:r>
        <w:rPr>
          <w:rFonts w:hint="default" w:asciiTheme="minorEastAsia" w:hAnsiTheme="minorEastAsia" w:eastAsiaTheme="minorEastAsia" w:cstheme="minorEastAsia"/>
          <w:b/>
          <w:kern w:val="0"/>
          <w:sz w:val="24"/>
          <w:szCs w:val="24"/>
          <w:lang w:val="en-US" w:eastAsia="zh-CN"/>
        </w:rPr>
        <w:t>4.</w:t>
      </w:r>
      <w:r>
        <w:rPr>
          <w:rFonts w:hint="eastAsia" w:asciiTheme="minorEastAsia" w:hAnsiTheme="minorEastAsia" w:eastAsiaTheme="minorEastAsia" w:cstheme="minorEastAsia"/>
          <w:b/>
          <w:kern w:val="0"/>
          <w:sz w:val="24"/>
          <w:szCs w:val="24"/>
          <w:lang w:val="en-US" w:eastAsia="zh-CN"/>
        </w:rPr>
        <w:t>供应商资质要求</w:t>
      </w:r>
    </w:p>
    <w:p w14:paraId="51789815">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*4.1供应商应具备合格有效的营业执照、税务登记证、组织机构代码证证件。（执行“三证合一”改革的投标人，无需单独提供组织机构代码证和税务登记证，只需提供加载统一代码的营业执照即可）。</w:t>
      </w:r>
    </w:p>
    <w:p w14:paraId="3B47C039">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4.2供应商必须是中石油云梦泽系统内准入供应商，且准入范围涵盖本项目产品A14020802水基钻井液用页岩抑制剂聚合醇类。在云梦泽系统中的供应商状态和本项目产品（A14020802水基钻井液用页岩抑制剂聚合醇类）状态必须为正常。（响应文件中须提供网站查询清晰的截图，判定以谈判当日采购人在云梦泽系统中查询结果为准。）。</w:t>
      </w:r>
    </w:p>
    <w:p w14:paraId="20035182">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*4.3供应商具有良好的商业信誉。</w:t>
      </w:r>
    </w:p>
    <w:p w14:paraId="76BF140C">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（1）供应商未被“国家企业信用信息公示系统”网站（www.gsxt.gov.cn）列入严重违法失信企业名单。</w:t>
      </w:r>
    </w:p>
    <w:p w14:paraId="2BAB8CDB">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（2）供应商未被人民法院在“信用中国”网站（www.creditchina.gov.cn）列入严重失信主体名单。</w:t>
      </w:r>
    </w:p>
    <w:p w14:paraId="5413A735">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法定代表人或者负责人未被人民法院中国执行信息公开网（https://zxgk.court.gov.cn/shixin/）列为失信被执行人。</w:t>
      </w:r>
    </w:p>
    <w:p w14:paraId="57ABA956">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（3）谈判当日未被中国石油招标投标网暂停或取消投标资格。</w:t>
      </w:r>
    </w:p>
    <w:p w14:paraId="4D53B5C7">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近三年生产经营活动中无违法、违规等不良记录（此不良记录是指在生产经营活动中有商业欺诈、质量伪劣等实质性侵害招标人权益的情形，具体表现形式包括但不限于因上述行为受到行政处罚、被办案机关立案追查、审查起诉、被法院判决有罪等）；未被国家、采购人及其上级部门明文规定暂停、中止或取消交易资格。</w:t>
      </w:r>
    </w:p>
    <w:p w14:paraId="03350BD5">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（5）供应商没有法律、行政法规规定的其他限制参与招投标活动的情形。</w:t>
      </w:r>
    </w:p>
    <w:p w14:paraId="6029A5D4">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本条款第（1）和（2）项由供应商提供网站查询截图，（3）、（4）、（5）项由供应商提供承诺。</w:t>
      </w:r>
    </w:p>
    <w:p w14:paraId="712139D8">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4.4供应商具有良好的商业信誉，未被责令停业、无资产被冻结、财产被接管、破产、资不抵债、经营异常等情况，须提供经会计师事务所或审计机构出具的2024年度财务审计报告，包括但不限于资产负债表、现金流量表、利润表，如未提供或提供无效，谈判响应将被否决。供应商的成立时间为2024年或以后的，应提供成立以来的财务状况表。</w:t>
      </w:r>
    </w:p>
    <w:p w14:paraId="57549592">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*4.5 应符合本项目要求的法律、行政法规和集团公司、公司规定的其他条件。</w:t>
      </w:r>
    </w:p>
    <w:p w14:paraId="586085F1">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*4.6 供应商的本项目产品（A14020802水基钻井液用页岩抑制剂聚合醇类）应具有有效的中国石油天然气集团公司油田化学剂产品质量认可证书，须提供证书。</w:t>
      </w:r>
    </w:p>
    <w:p w14:paraId="6A31C22C">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*4.7 供应商还应具有本项目产品（A14020802水基钻井液用页岩抑制剂聚合醇类）有效的塔里木油田公司准入资质或备案，如不具备塔里木油田公司相应准入或备案的，中选供应商须承诺在中标后30个日历日内自行办理并取得塔里木油田公司准入或备案，如在规定时间内未取得新证的和未取得塔里木油田公司准入或备案的，采购人有权取消其中选资格，采购人可以按照谈判评审小组提出的候选供应商名单排序依次确定其他候选供应商为成交供应商，或重新组织谈判。</w:t>
      </w:r>
    </w:p>
    <w:p w14:paraId="2D449F74">
      <w:pPr>
        <w:numPr>
          <w:ilvl w:val="0"/>
          <w:numId w:val="0"/>
        </w:numPr>
        <w:spacing w:line="480" w:lineRule="exact"/>
        <w:ind w:left="439" w:leftChars="0" w:hanging="439" w:hangingChars="182"/>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5.技术要求</w:t>
      </w:r>
    </w:p>
    <w:p w14:paraId="53A4FDC6">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详见附件1：Q/SY TZ 0093-2002</w:t>
      </w:r>
    </w:p>
    <w:p w14:paraId="0D796508">
      <w:pPr>
        <w:numPr>
          <w:ilvl w:val="0"/>
          <w:numId w:val="0"/>
        </w:numPr>
        <w:spacing w:line="480" w:lineRule="exact"/>
        <w:ind w:left="439" w:leftChars="0" w:hanging="439" w:hangingChars="182"/>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6.谈判文件的获取 </w:t>
      </w:r>
    </w:p>
    <w:p w14:paraId="434A2508">
      <w:pPr>
        <w:spacing w:line="360" w:lineRule="auto"/>
        <w:rPr>
          <w:rFonts w:hint="eastAsia" w:ascii="宋体" w:hAnsi="宋体" w:cs="宋体"/>
          <w:b w:val="0"/>
          <w:bCs w:val="0"/>
          <w:color w:val="auto"/>
          <w:szCs w:val="21"/>
          <w:highlight w:val="none"/>
        </w:rPr>
      </w:pPr>
      <w:r>
        <w:rPr>
          <w:rFonts w:hint="eastAsia" w:asciiTheme="minorEastAsia" w:hAnsiTheme="minorEastAsia" w:eastAsiaTheme="minorEastAsia" w:cstheme="minorEastAsia"/>
          <w:kern w:val="0"/>
          <w:sz w:val="24"/>
          <w:szCs w:val="24"/>
          <w:lang w:val="en-US" w:eastAsia="zh-CN"/>
        </w:rPr>
        <w:t>6.1谈判文件出售时间：自2026年1月8日</w:t>
      </w:r>
      <w:bookmarkStart w:id="3" w:name="_GoBack"/>
      <w:bookmarkEnd w:id="3"/>
      <w:r>
        <w:rPr>
          <w:rFonts w:hint="eastAsia" w:asciiTheme="minorEastAsia" w:hAnsiTheme="minorEastAsia" w:eastAsiaTheme="minorEastAsia" w:cstheme="minorEastAsia"/>
          <w:kern w:val="0"/>
          <w:sz w:val="24"/>
          <w:szCs w:val="24"/>
          <w:lang w:val="en-US" w:eastAsia="zh-CN"/>
        </w:rPr>
        <w:t>至2026年1月13日</w:t>
      </w:r>
      <w:r>
        <w:rPr>
          <w:rFonts w:hint="eastAsia" w:ascii="宋体" w:hAnsi="宋体" w:cs="宋体"/>
          <w:b w:val="0"/>
          <w:bCs w:val="0"/>
          <w:color w:val="auto"/>
          <w:szCs w:val="21"/>
          <w:highlight w:val="none"/>
        </w:rPr>
        <w:t>；</w:t>
      </w:r>
    </w:p>
    <w:p w14:paraId="6C73653A">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6.2谈判文件获取方式：线上发售。谈判响应人登录大庆油田招标中心非招标采购交易平台（https://dqytzbzx.com）自行交费、下载谈判文件及发票（操作手册详见附件），谈判文件每套售价</w:t>
      </w:r>
      <w:r>
        <w:rPr>
          <w:rFonts w:hint="eastAsia" w:asciiTheme="minorEastAsia" w:hAnsiTheme="minorEastAsia" w:eastAsiaTheme="minorEastAsia" w:cstheme="minorEastAsia"/>
          <w:b/>
          <w:bCs/>
          <w:kern w:val="0"/>
          <w:sz w:val="24"/>
          <w:szCs w:val="24"/>
          <w:lang w:val="en-US" w:eastAsia="zh-CN"/>
        </w:rPr>
        <w:t>人民币200元</w:t>
      </w:r>
      <w:r>
        <w:rPr>
          <w:rFonts w:hint="eastAsia" w:asciiTheme="minorEastAsia" w:hAnsiTheme="minorEastAsia" w:eastAsiaTheme="minorEastAsia" w:cstheme="minorEastAsia"/>
          <w:kern w:val="0"/>
          <w:sz w:val="24"/>
          <w:szCs w:val="24"/>
          <w:lang w:val="en-US" w:eastAsia="zh-CN"/>
        </w:rPr>
        <w:t>，售后不退。</w:t>
      </w:r>
    </w:p>
    <w:p w14:paraId="3CB542D5">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6.3本项目公告、公示同时在中国石油招标投标网发布，成交通知书在大庆油田招标中心非招标采购交易平台发放。请各潜在响应人及时注册，以免错过相关信息。</w:t>
      </w:r>
    </w:p>
    <w:p w14:paraId="3C0FEC2F">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6.4如本项目需要重新组织谈判，在代理机构重新发布竞争性谈判公告后所有潜在响应人应重新履行报名、响应文件编制和响应文件递交等谈判的全部流程。竞争性谈判公告发布媒介为“大庆油田招标中心非招标采购交易平台（https://dqytzbzx.com），重新组织谈判的项目发布的竞争性谈判公告的项目名称后面会带“（二次）”、“（三次）”等后缀。 </w:t>
      </w:r>
    </w:p>
    <w:p w14:paraId="1362A009">
      <w:pPr>
        <w:spacing w:line="360" w:lineRule="auto"/>
        <w:ind w:left="441" w:leftChars="0" w:hanging="441" w:hangingChars="183"/>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大庆油田招标中心非招标采购交易平台平台注册、审核咨询电话：029-68320561</w:t>
      </w:r>
    </w:p>
    <w:p w14:paraId="6FFABDD1">
      <w:pPr>
        <w:numPr>
          <w:ilvl w:val="0"/>
          <w:numId w:val="0"/>
        </w:numPr>
        <w:spacing w:line="360" w:lineRule="auto"/>
        <w:ind w:left="-2" w:leftChars="0" w:firstLine="0" w:firstLineChars="0"/>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7．谈判响应文件的递交</w:t>
      </w:r>
    </w:p>
    <w:p w14:paraId="26667438">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7.1本次竞争性谈判采取远程开标方式，线上递交电子版谈判响应文件，不接受现场递交；</w:t>
      </w:r>
    </w:p>
    <w:p w14:paraId="43BC7DE8">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7.2远程开标会地点及时间</w:t>
      </w:r>
    </w:p>
    <w:p w14:paraId="4734B3EC">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7.2.1会议地点：腾讯会议软件  会议号：949-442-002</w:t>
      </w:r>
    </w:p>
    <w:p w14:paraId="6763AFF9">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7.2.2会议开始时间(谈判响应文件接收开始时间）：2026年1月19日09时00分至09时30分（投标人配合主持人完成谈判响应文件递交）</w:t>
      </w:r>
    </w:p>
    <w:p w14:paraId="1F8BCCA2">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7.2.3谈判时间（谈判响应文件接收截止时间）：2026年1月19日09时30分（未在本时间前入会的投标人不具备投标资格。）</w:t>
      </w:r>
    </w:p>
    <w:p w14:paraId="4A519058">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7.3入会准备及注意事项：</w:t>
      </w:r>
    </w:p>
    <w:p w14:paraId="5CB2927D">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7.3.1投标人需在在谈判时间前将响应文件（PDF格式加密）上传至招标代理机构项目负责人邮箱（874469584@qq.com），开标时间后上传的谈判响应文件将不被接收。</w:t>
      </w:r>
    </w:p>
    <w:p w14:paraId="7AB72ECA">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7.3.2为保障网络稳定及相关功能的使用，请使用电脑版腾讯会议软件，不建议使用手机版。</w:t>
      </w:r>
    </w:p>
    <w:p w14:paraId="4A233D4F">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7.3.3投标人代表（法定代表人或其授权委托人）需持《法定代表人身份证明》或《法定代表人授权委托书》及身份证，并确保在开标时间前进入腾讯会议指定会议室入会等待。</w:t>
      </w:r>
    </w:p>
    <w:p w14:paraId="09265A1B">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7.3.4每家投标人只限一名投标代表参会，尽量提前入会并进行谈判响应文件递交，会议过程需保持网络畅通，请勿在会议结束前中途退出。</w:t>
      </w:r>
    </w:p>
    <w:p w14:paraId="3D13A76A">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7.3.5会议过程中如遇紧急情况请联系本项目招标代理机构负责人。</w:t>
      </w:r>
    </w:p>
    <w:p w14:paraId="538D8EFC">
      <w:pPr>
        <w:spacing w:line="360" w:lineRule="auto"/>
        <w:ind w:left="-2"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7.3.6竞谈投标文件电子文档小于100M，避免文件下载时间过长。</w:t>
      </w:r>
    </w:p>
    <w:p w14:paraId="3F9815D7">
      <w:pPr>
        <w:numPr>
          <w:ilvl w:val="0"/>
          <w:numId w:val="0"/>
        </w:numPr>
        <w:spacing w:line="360" w:lineRule="auto"/>
        <w:ind w:left="-2" w:leftChars="0" w:firstLine="0" w:firstLineChars="0"/>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8.联系方式</w:t>
      </w:r>
    </w:p>
    <w:p w14:paraId="3DDD477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代理机构：大庆油田招标中心有限责任公司</w:t>
      </w:r>
      <w:r>
        <w:rPr>
          <w:rFonts w:hint="eastAsia" w:ascii="宋体" w:hAnsi="宋体" w:eastAsia="宋体" w:cs="宋体"/>
          <w:b/>
          <w:color w:val="000000"/>
          <w:szCs w:val="21"/>
          <w:highlight w:val="none"/>
          <w:lang w:val="en-US" w:eastAsia="zh-CN"/>
        </w:rPr>
        <w:t>成都</w:t>
      </w:r>
      <w:r>
        <w:rPr>
          <w:rFonts w:hint="eastAsia" w:ascii="宋体" w:hAnsi="宋体" w:eastAsia="宋体" w:cs="宋体"/>
          <w:b/>
          <w:color w:val="000000"/>
          <w:szCs w:val="21"/>
          <w:highlight w:val="none"/>
        </w:rPr>
        <w:t>分公司</w:t>
      </w:r>
    </w:p>
    <w:p w14:paraId="28A6A5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地址：</w:t>
      </w:r>
      <w:r>
        <w:rPr>
          <w:rFonts w:hint="eastAsia" w:ascii="宋体" w:hAnsi="宋体" w:eastAsia="宋体" w:cs="Times New Roman"/>
          <w:color w:val="000000"/>
          <w:kern w:val="0"/>
          <w:szCs w:val="21"/>
          <w:highlight w:val="none"/>
          <w:lang w:val="zh-CN"/>
        </w:rPr>
        <w:t>四川省成都市成华区猛追湾横街99号世茂大厦29楼</w:t>
      </w:r>
      <w:r>
        <w:rPr>
          <w:rFonts w:hint="eastAsia" w:ascii="宋体" w:hAnsi="宋体" w:eastAsia="宋体" w:cs="宋体"/>
          <w:color w:val="000000"/>
          <w:szCs w:val="21"/>
          <w:highlight w:val="none"/>
        </w:rPr>
        <w:t>。</w:t>
      </w:r>
    </w:p>
    <w:p w14:paraId="23E318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联系人：</w:t>
      </w:r>
      <w:r>
        <w:rPr>
          <w:rFonts w:hint="eastAsia" w:cs="宋体"/>
          <w:color w:val="000000"/>
          <w:szCs w:val="21"/>
          <w:highlight w:val="none"/>
          <w:lang w:val="en-US" w:eastAsia="zh-CN"/>
        </w:rPr>
        <w:t>蒋婷婷</w:t>
      </w:r>
      <w:r>
        <w:rPr>
          <w:rFonts w:hint="eastAsia" w:ascii="宋体" w:hAnsi="宋体" w:cs="宋体"/>
          <w:color w:val="000000"/>
          <w:szCs w:val="21"/>
          <w:highlight w:val="none"/>
          <w:lang w:val="en-US" w:eastAsia="zh-CN"/>
        </w:rPr>
        <w:t>、李建达</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lang w:val="en-US" w:eastAsia="zh-CN"/>
        </w:rPr>
        <w:t>028-6306025</w:t>
      </w:r>
      <w:r>
        <w:rPr>
          <w:rFonts w:hint="eastAsia" w:cs="宋体"/>
          <w:color w:val="000000"/>
          <w:szCs w:val="21"/>
          <w:highlight w:val="none"/>
          <w:lang w:val="en-US" w:eastAsia="zh-CN"/>
        </w:rPr>
        <w:t>7</w:t>
      </w:r>
    </w:p>
    <w:p w14:paraId="1476680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0"/>
          <w:kern w:val="2"/>
          <w:szCs w:val="21"/>
          <w:highlight w:val="none"/>
          <w:lang w:eastAsia="zh-CN" w:bidi="ar-SA"/>
        </w:rPr>
      </w:pPr>
    </w:p>
    <w:p w14:paraId="4C42797A">
      <w:pPr>
        <w:spacing w:line="240" w:lineRule="auto"/>
        <w:ind w:left="0" w:leftChars="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spacing w:val="0"/>
          <w:kern w:val="2"/>
          <w:szCs w:val="21"/>
          <w:highlight w:val="none"/>
          <w:lang w:eastAsia="zh-CN" w:bidi="ar-SA"/>
        </w:rPr>
        <w:t>谈判公告中未尽事宜或与谈判文件不符之处，以谈判文件为准。</w:t>
      </w:r>
    </w:p>
    <w:p w14:paraId="3DE098D8">
      <w:pPr>
        <w:pStyle w:val="11"/>
        <w:rPr>
          <w:rFonts w:hint="eastAsia" w:asciiTheme="minorEastAsia" w:hAnsiTheme="minorEastAsia" w:eastAsiaTheme="minorEastAsia" w:cstheme="minorEastAsia"/>
          <w:lang w:val="en-US" w:eastAsia="zh-CN"/>
        </w:rPr>
      </w:pPr>
    </w:p>
    <w:p w14:paraId="798DED97">
      <w:pPr>
        <w:pStyle w:val="2"/>
        <w:spacing w:before="30"/>
        <w:ind w:left="878" w:firstLine="0"/>
        <w:rPr>
          <w:rFonts w:hint="eastAsia" w:asciiTheme="minorEastAsia" w:hAnsiTheme="minorEastAsia" w:eastAsiaTheme="minorEastAsia" w:cstheme="minorEastAsia"/>
          <w:spacing w:val="-12"/>
          <w:lang w:val="en-US" w:eastAsia="zh-CN"/>
        </w:rPr>
      </w:pPr>
      <w:r>
        <w:rPr>
          <w:rFonts w:hint="eastAsia" w:asciiTheme="minorEastAsia" w:hAnsiTheme="minorEastAsia" w:eastAsiaTheme="minorEastAsia" w:cstheme="minorEastAsia"/>
        </w:rPr>
        <w:br w:type="page"/>
      </w:r>
    </w:p>
    <w:p w14:paraId="073A157B">
      <w:pPr>
        <w:numPr>
          <w:ilvl w:val="0"/>
          <w:numId w:val="0"/>
        </w:numPr>
        <w:spacing w:line="360" w:lineRule="auto"/>
        <w:outlineLvl w:val="0"/>
        <w:rPr>
          <w:rFonts w:hint="eastAsia" w:ascii="方正仿宋简体" w:hAnsi="方正仿宋简体" w:eastAsia="方正仿宋简体" w:cs="方正仿宋简体"/>
          <w:b/>
          <w:sz w:val="24"/>
          <w:szCs w:val="24"/>
          <w:highlight w:val="none"/>
          <w:lang w:val="en-US" w:eastAsia="zh-CN"/>
        </w:rPr>
      </w:pPr>
      <w:r>
        <w:rPr>
          <w:rFonts w:hint="eastAsia" w:ascii="方正仿宋简体" w:hAnsi="宋体" w:cs="方正仿宋简体"/>
          <w:b/>
          <w:bCs/>
          <w:kern w:val="0"/>
          <w:sz w:val="28"/>
          <w:szCs w:val="28"/>
          <w:highlight w:val="none"/>
          <w:lang w:val="en-US" w:eastAsia="zh-CN"/>
        </w:rPr>
        <w:t>附件1：Q/SY TZ 0093-2002</w:t>
      </w:r>
    </w:p>
    <w:p w14:paraId="3BC0F079">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b/>
          <w:sz w:val="28"/>
          <w:szCs w:val="28"/>
          <w:highlight w:val="none"/>
        </w:rPr>
      </w:pPr>
      <w:r>
        <w:rPr>
          <w:rFonts w:hint="eastAsia" w:ascii="方正仿宋简体" w:hAnsi="方正仿宋简体" w:eastAsia="方正仿宋简体" w:cs="方正仿宋简体"/>
          <w:b/>
          <w:sz w:val="28"/>
          <w:szCs w:val="28"/>
          <w:highlight w:val="none"/>
        </w:rPr>
        <w:drawing>
          <wp:inline distT="0" distB="0" distL="114300" distR="114300">
            <wp:extent cx="5268595" cy="7409815"/>
            <wp:effectExtent l="0" t="0" r="825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
                    <a:stretch>
                      <a:fillRect/>
                    </a:stretch>
                  </pic:blipFill>
                  <pic:spPr>
                    <a:xfrm>
                      <a:off x="0" y="0"/>
                      <a:ext cx="5268595" cy="7409815"/>
                    </a:xfrm>
                    <a:prstGeom prst="rect">
                      <a:avLst/>
                    </a:prstGeom>
                    <a:noFill/>
                    <a:ln>
                      <a:noFill/>
                    </a:ln>
                  </pic:spPr>
                </pic:pic>
              </a:graphicData>
            </a:graphic>
          </wp:inline>
        </w:drawing>
      </w:r>
      <w:r>
        <w:rPr>
          <w:rFonts w:hint="eastAsia" w:ascii="方正仿宋简体" w:hAnsi="方正仿宋简体" w:eastAsia="方正仿宋简体" w:cs="方正仿宋简体"/>
          <w:b/>
          <w:sz w:val="28"/>
          <w:szCs w:val="28"/>
          <w:highlight w:val="none"/>
        </w:rPr>
        <w:drawing>
          <wp:inline distT="0" distB="0" distL="114300" distR="114300">
            <wp:extent cx="5271135" cy="7183755"/>
            <wp:effectExtent l="0" t="0" r="5715" b="171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a:stretch>
                      <a:fillRect/>
                    </a:stretch>
                  </pic:blipFill>
                  <pic:spPr>
                    <a:xfrm>
                      <a:off x="0" y="0"/>
                      <a:ext cx="5271135" cy="7183755"/>
                    </a:xfrm>
                    <a:prstGeom prst="rect">
                      <a:avLst/>
                    </a:prstGeom>
                    <a:noFill/>
                    <a:ln>
                      <a:noFill/>
                    </a:ln>
                  </pic:spPr>
                </pic:pic>
              </a:graphicData>
            </a:graphic>
          </wp:inline>
        </w:drawing>
      </w:r>
      <w:r>
        <w:rPr>
          <w:rFonts w:hint="eastAsia" w:ascii="方正仿宋简体" w:hAnsi="方正仿宋简体" w:eastAsia="方正仿宋简体" w:cs="方正仿宋简体"/>
          <w:b/>
          <w:sz w:val="28"/>
          <w:szCs w:val="28"/>
          <w:highlight w:val="none"/>
        </w:rPr>
        <w:drawing>
          <wp:inline distT="0" distB="0" distL="114300" distR="114300">
            <wp:extent cx="5272405" cy="7367905"/>
            <wp:effectExtent l="0" t="0" r="4445"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5272405" cy="7367905"/>
                    </a:xfrm>
                    <a:prstGeom prst="rect">
                      <a:avLst/>
                    </a:prstGeom>
                    <a:noFill/>
                    <a:ln>
                      <a:noFill/>
                    </a:ln>
                  </pic:spPr>
                </pic:pic>
              </a:graphicData>
            </a:graphic>
          </wp:inline>
        </w:drawing>
      </w:r>
      <w:r>
        <w:rPr>
          <w:rFonts w:hint="eastAsia" w:ascii="方正仿宋简体" w:hAnsi="方正仿宋简体" w:eastAsia="方正仿宋简体" w:cs="方正仿宋简体"/>
          <w:b/>
          <w:sz w:val="28"/>
          <w:szCs w:val="28"/>
          <w:highlight w:val="none"/>
        </w:rPr>
        <w:drawing>
          <wp:inline distT="0" distB="0" distL="114300" distR="114300">
            <wp:extent cx="5272405" cy="7384415"/>
            <wp:effectExtent l="0" t="0" r="444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5272405" cy="7384415"/>
                    </a:xfrm>
                    <a:prstGeom prst="rect">
                      <a:avLst/>
                    </a:prstGeom>
                    <a:noFill/>
                    <a:ln>
                      <a:noFill/>
                    </a:ln>
                  </pic:spPr>
                </pic:pic>
              </a:graphicData>
            </a:graphic>
          </wp:inline>
        </w:drawing>
      </w:r>
      <w:r>
        <w:rPr>
          <w:rFonts w:hint="eastAsia" w:ascii="方正仿宋简体" w:hAnsi="方正仿宋简体" w:eastAsia="方正仿宋简体" w:cs="方正仿宋简体"/>
          <w:b/>
          <w:sz w:val="28"/>
          <w:szCs w:val="28"/>
          <w:highlight w:val="none"/>
        </w:rPr>
        <w:drawing>
          <wp:inline distT="0" distB="0" distL="114300" distR="114300">
            <wp:extent cx="5268595" cy="7485380"/>
            <wp:effectExtent l="0" t="0" r="8255"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5268595" cy="7485380"/>
                    </a:xfrm>
                    <a:prstGeom prst="rect">
                      <a:avLst/>
                    </a:prstGeom>
                    <a:noFill/>
                    <a:ln>
                      <a:noFill/>
                    </a:ln>
                  </pic:spPr>
                </pic:pic>
              </a:graphicData>
            </a:graphic>
          </wp:inline>
        </w:drawing>
      </w:r>
    </w:p>
    <w:p w14:paraId="321DF28D">
      <w:pPr>
        <w:widowControl/>
        <w:jc w:val="both"/>
        <w:rPr>
          <w:rFonts w:hint="eastAsia" w:cs="宋体"/>
          <w:b/>
          <w:kern w:val="0"/>
          <w:sz w:val="32"/>
          <w:szCs w:val="32"/>
          <w:lang w:val="en-US" w:eastAsia="zh-CN"/>
        </w:rPr>
        <w:sectPr>
          <w:pgSz w:w="11906" w:h="16838"/>
          <w:pgMar w:top="1440" w:right="1800" w:bottom="1440" w:left="1800" w:header="851" w:footer="992" w:gutter="0"/>
          <w:cols w:space="425" w:num="1"/>
          <w:docGrid w:type="lines" w:linePitch="312" w:charSpace="0"/>
        </w:sectPr>
      </w:pPr>
    </w:p>
    <w:p w14:paraId="177C8855">
      <w:pPr>
        <w:widowControl/>
        <w:jc w:val="both"/>
        <w:rPr>
          <w:rFonts w:ascii="宋体" w:hAnsi="宋体" w:eastAsia="宋体" w:cs="宋体"/>
          <w:b/>
          <w:kern w:val="0"/>
          <w:sz w:val="32"/>
          <w:szCs w:val="32"/>
        </w:rPr>
      </w:pPr>
      <w:r>
        <w:rPr>
          <w:rFonts w:hint="eastAsia" w:cs="宋体"/>
          <w:b/>
          <w:kern w:val="0"/>
          <w:sz w:val="32"/>
          <w:szCs w:val="32"/>
          <w:lang w:val="en-US" w:eastAsia="zh-CN"/>
        </w:rPr>
        <w:t>附件2</w:t>
      </w:r>
      <w:r>
        <w:rPr>
          <w:rFonts w:hint="eastAsia" w:ascii="宋体" w:hAnsi="宋体" w:eastAsia="宋体" w:cs="宋体"/>
          <w:b/>
          <w:kern w:val="0"/>
          <w:sz w:val="32"/>
          <w:szCs w:val="32"/>
          <w:lang w:val="en-US" w:eastAsia="zh-CN"/>
        </w:rPr>
        <w:t>：非招标采购交易平台</w:t>
      </w:r>
      <w:r>
        <w:rPr>
          <w:rFonts w:hint="eastAsia" w:ascii="宋体" w:hAnsi="宋体" w:eastAsia="宋体" w:cs="宋体"/>
          <w:b/>
          <w:kern w:val="0"/>
          <w:sz w:val="32"/>
          <w:szCs w:val="32"/>
        </w:rPr>
        <w:t>操作手册</w:t>
      </w:r>
    </w:p>
    <w:p w14:paraId="683F33FA">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hint="eastAsia" w:ascii="宋体" w:hAnsi="宋体" w:eastAsia="宋体" w:cs="宋体"/>
          <w:bCs/>
          <w:kern w:val="0"/>
          <w:szCs w:val="21"/>
          <w:u w:val="none"/>
          <w:lang w:val="zh-CN"/>
        </w:rPr>
        <w:t>一、注册</w:t>
      </w:r>
    </w:p>
    <w:p w14:paraId="2EA6A108">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hint="eastAsia" w:ascii="宋体" w:hAnsi="宋体" w:eastAsia="宋体" w:cs="宋体"/>
          <w:bCs/>
          <w:kern w:val="0"/>
          <w:szCs w:val="21"/>
          <w:u w:val="none"/>
          <w:lang w:val="zh-CN"/>
        </w:rPr>
        <w:t>1.</w:t>
      </w:r>
      <w:r>
        <w:rPr>
          <w:rFonts w:hint="eastAsia" w:ascii="宋体" w:hAnsi="宋体" w:eastAsia="宋体" w:cs="宋体"/>
          <w:bCs/>
          <w:kern w:val="0"/>
          <w:szCs w:val="21"/>
          <w:u w:val="none"/>
          <w:lang w:val="en-US" w:eastAsia="zh-CN"/>
        </w:rPr>
        <w:t>浏览器</w:t>
      </w:r>
      <w:r>
        <w:rPr>
          <w:rFonts w:hint="eastAsia" w:ascii="宋体" w:hAnsi="宋体" w:eastAsia="宋体" w:cs="宋体"/>
          <w:bCs/>
          <w:kern w:val="0"/>
          <w:szCs w:val="21"/>
          <w:u w:val="none"/>
          <w:lang w:val="zh-CN"/>
        </w:rPr>
        <w:t>打开https://dqytzbzx.com，进入</w:t>
      </w:r>
      <w:r>
        <w:rPr>
          <w:rFonts w:hint="eastAsia" w:ascii="宋体" w:hAnsi="宋体" w:eastAsia="宋体" w:cs="宋体"/>
          <w:bCs/>
          <w:kern w:val="0"/>
          <w:szCs w:val="21"/>
          <w:u w:val="none"/>
          <w:lang w:val="en-US" w:eastAsia="zh-CN"/>
        </w:rPr>
        <w:t>非招标采购交易平台</w:t>
      </w:r>
      <w:r>
        <w:rPr>
          <w:rFonts w:hint="eastAsia" w:ascii="宋体" w:hAnsi="宋体" w:eastAsia="宋体" w:cs="宋体"/>
          <w:bCs/>
          <w:kern w:val="0"/>
          <w:szCs w:val="21"/>
          <w:u w:val="none"/>
          <w:lang w:val="zh-CN"/>
        </w:rPr>
        <w:t>界面。</w:t>
      </w:r>
    </w:p>
    <w:p w14:paraId="26C55A81">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hint="eastAsia" w:ascii="宋体" w:hAnsi="宋体" w:eastAsia="宋体" w:cs="宋体"/>
          <w:bCs/>
          <w:kern w:val="0"/>
          <w:szCs w:val="21"/>
          <w:u w:val="none"/>
          <w:lang w:val="en-US" w:eastAsia="zh-CN"/>
        </w:rPr>
        <w:t>2</w:t>
      </w:r>
      <w:r>
        <w:rPr>
          <w:rFonts w:hint="eastAsia" w:ascii="宋体" w:hAnsi="宋体" w:eastAsia="宋体" w:cs="宋体"/>
          <w:bCs/>
          <w:kern w:val="0"/>
          <w:szCs w:val="21"/>
          <w:u w:val="none"/>
          <w:lang w:val="zh-CN"/>
        </w:rPr>
        <w:t>.点击</w:t>
      </w:r>
      <w:r>
        <w:rPr>
          <w:rFonts w:hint="eastAsia" w:ascii="宋体" w:hAnsi="宋体" w:eastAsia="宋体" w:cs="宋体"/>
          <w:bCs/>
          <w:kern w:val="0"/>
          <w:szCs w:val="21"/>
          <w:u w:val="none"/>
          <w:lang w:val="en-US" w:eastAsia="zh-CN"/>
        </w:rPr>
        <w:t>用户注册</w:t>
      </w:r>
      <w:r>
        <w:rPr>
          <w:rFonts w:hint="eastAsia" w:ascii="宋体" w:hAnsi="宋体" w:eastAsia="宋体" w:cs="宋体"/>
          <w:bCs/>
          <w:kern w:val="0"/>
          <w:szCs w:val="21"/>
          <w:u w:val="none"/>
          <w:lang w:val="zh-CN"/>
        </w:rPr>
        <w:t>，进入注册界面</w:t>
      </w:r>
      <w:r>
        <w:rPr>
          <w:rFonts w:hint="eastAsia" w:ascii="宋体" w:hAnsi="宋体" w:eastAsia="宋体" w:cs="宋体"/>
          <w:bCs/>
          <w:kern w:val="0"/>
          <w:szCs w:val="21"/>
          <w:u w:val="none"/>
          <w:lang w:val="zh-CN" w:eastAsia="zh-CN"/>
        </w:rPr>
        <w:t>。</w:t>
      </w:r>
    </w:p>
    <w:p w14:paraId="3D30480B">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ascii="Calibri" w:hAnsi="Calibri" w:eastAsia="宋体" w:cs="Times New Roman"/>
        </w:rPr>
        <w:drawing>
          <wp:inline distT="0" distB="0" distL="114300" distR="114300">
            <wp:extent cx="3797300" cy="1788795"/>
            <wp:effectExtent l="0" t="0" r="1270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797300" cy="1788795"/>
                    </a:xfrm>
                    <a:prstGeom prst="rect">
                      <a:avLst/>
                    </a:prstGeom>
                    <a:noFill/>
                    <a:ln>
                      <a:noFill/>
                    </a:ln>
                  </pic:spPr>
                </pic:pic>
              </a:graphicData>
            </a:graphic>
          </wp:inline>
        </w:drawing>
      </w:r>
    </w:p>
    <w:p w14:paraId="151DE55A">
      <w:pPr>
        <w:widowControl/>
        <w:shd w:val="clear" w:color="auto" w:fill="auto"/>
        <w:tabs>
          <w:tab w:val="left" w:pos="4140"/>
        </w:tabs>
        <w:spacing w:line="360" w:lineRule="auto"/>
        <w:rPr>
          <w:rFonts w:hint="eastAsia" w:ascii="宋体" w:hAnsi="宋体" w:eastAsia="宋体" w:cs="宋体"/>
          <w:bCs/>
          <w:kern w:val="0"/>
          <w:szCs w:val="21"/>
          <w:u w:val="none"/>
          <w:lang w:val="zh-CN"/>
        </w:rPr>
      </w:pPr>
    </w:p>
    <w:p w14:paraId="2B0CAC3D">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ascii="Calibri" w:hAnsi="Calibri" w:eastAsia="宋体" w:cs="Times New Roman"/>
        </w:rPr>
        <w:drawing>
          <wp:inline distT="0" distB="0" distL="114300" distR="114300">
            <wp:extent cx="5267325" cy="1835785"/>
            <wp:effectExtent l="0" t="0" r="9525"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267325" cy="1835785"/>
                    </a:xfrm>
                    <a:prstGeom prst="rect">
                      <a:avLst/>
                    </a:prstGeom>
                    <a:noFill/>
                    <a:ln>
                      <a:noFill/>
                    </a:ln>
                  </pic:spPr>
                </pic:pic>
              </a:graphicData>
            </a:graphic>
          </wp:inline>
        </w:drawing>
      </w:r>
    </w:p>
    <w:p w14:paraId="3CF6F8D4">
      <w:pPr>
        <w:widowControl/>
        <w:shd w:val="clear" w:color="auto" w:fill="auto"/>
        <w:tabs>
          <w:tab w:val="left" w:pos="4140"/>
        </w:tabs>
        <w:spacing w:line="360" w:lineRule="auto"/>
        <w:rPr>
          <w:rFonts w:hint="eastAsia" w:ascii="宋体" w:hAnsi="宋体" w:eastAsia="宋体" w:cs="宋体"/>
          <w:bCs/>
          <w:color w:val="FF0000"/>
          <w:kern w:val="0"/>
          <w:szCs w:val="21"/>
          <w:u w:val="none"/>
          <w:lang w:val="en-US" w:eastAsia="zh-CN"/>
        </w:rPr>
      </w:pPr>
      <w:r>
        <w:rPr>
          <w:rFonts w:hint="eastAsia" w:ascii="宋体" w:hAnsi="宋体" w:eastAsia="宋体" w:cs="宋体"/>
          <w:bCs/>
          <w:kern w:val="0"/>
          <w:szCs w:val="21"/>
          <w:u w:val="none"/>
          <w:lang w:val="zh-CN"/>
        </w:rPr>
        <w:t>全部填写完毕之后，点击“提交”</w:t>
      </w:r>
      <w:r>
        <w:rPr>
          <w:rFonts w:hint="eastAsia" w:ascii="宋体" w:hAnsi="宋体" w:eastAsia="宋体" w:cs="宋体"/>
          <w:bCs/>
          <w:kern w:val="0"/>
          <w:szCs w:val="21"/>
          <w:u w:val="none"/>
          <w:lang w:val="zh-CN" w:eastAsia="zh-CN"/>
        </w:rPr>
        <w:t>，</w:t>
      </w:r>
      <w:r>
        <w:rPr>
          <w:rFonts w:hint="eastAsia" w:ascii="宋体" w:hAnsi="宋体" w:eastAsia="宋体" w:cs="宋体"/>
          <w:bCs/>
          <w:kern w:val="0"/>
          <w:szCs w:val="21"/>
          <w:u w:val="none"/>
          <w:lang w:val="zh-CN"/>
        </w:rPr>
        <w:t>等待审核即可</w:t>
      </w:r>
      <w:r>
        <w:rPr>
          <w:rFonts w:hint="eastAsia" w:ascii="宋体" w:hAnsi="宋体" w:eastAsia="宋体" w:cs="宋体"/>
          <w:bCs/>
          <w:kern w:val="0"/>
          <w:szCs w:val="21"/>
          <w:u w:val="none"/>
          <w:lang w:val="zh-CN" w:eastAsia="zh-CN"/>
        </w:rPr>
        <w:t>（</w:t>
      </w:r>
      <w:r>
        <w:rPr>
          <w:rFonts w:hint="eastAsia" w:ascii="宋体" w:hAnsi="宋体" w:eastAsia="宋体" w:cs="宋体"/>
          <w:bCs/>
          <w:kern w:val="0"/>
          <w:szCs w:val="21"/>
          <w:u w:val="none"/>
          <w:lang w:val="en-US" w:eastAsia="zh-CN"/>
        </w:rPr>
        <w:t>工作日8时30分至17时30分</w:t>
      </w:r>
      <w:r>
        <w:rPr>
          <w:rFonts w:hint="eastAsia" w:ascii="宋体" w:hAnsi="宋体" w:eastAsia="宋体" w:cs="宋体"/>
          <w:bCs/>
          <w:kern w:val="0"/>
          <w:szCs w:val="21"/>
          <w:u w:val="none"/>
          <w:lang w:val="zh-CN" w:eastAsia="zh-CN"/>
        </w:rPr>
        <w:t>），</w:t>
      </w:r>
      <w:r>
        <w:rPr>
          <w:rFonts w:hint="eastAsia" w:ascii="宋体" w:hAnsi="宋体" w:eastAsia="宋体" w:cs="宋体"/>
          <w:bCs/>
          <w:kern w:val="0"/>
          <w:szCs w:val="21"/>
          <w:u w:val="none"/>
          <w:lang w:val="en-US" w:eastAsia="zh-CN"/>
        </w:rPr>
        <w:t>审批进度通过短信形式发至注册时所留手机号。</w:t>
      </w:r>
      <w:r>
        <w:rPr>
          <w:rFonts w:hint="eastAsia" w:ascii="宋体" w:hAnsi="宋体" w:eastAsia="宋体" w:cs="宋体"/>
          <w:bCs/>
          <w:color w:val="FF0000"/>
          <w:kern w:val="0"/>
          <w:szCs w:val="21"/>
          <w:u w:val="none"/>
          <w:lang w:val="en-US" w:eastAsia="zh-CN"/>
        </w:rPr>
        <w:t>在</w:t>
      </w:r>
      <w:r>
        <w:rPr>
          <w:rFonts w:hint="eastAsia" w:ascii="宋体" w:hAnsi="宋体" w:eastAsia="宋体" w:cs="宋体"/>
          <w:bCs/>
          <w:color w:val="FF0000"/>
          <w:kern w:val="0"/>
          <w:szCs w:val="21"/>
          <w:u w:val="none"/>
          <w:lang w:val="zh-CN"/>
        </w:rPr>
        <w:t>dqytzbzx.com:880/purchase</w:t>
      </w:r>
      <w:r>
        <w:rPr>
          <w:rFonts w:hint="eastAsia" w:ascii="宋体" w:hAnsi="宋体" w:eastAsia="宋体" w:cs="宋体"/>
          <w:bCs/>
          <w:color w:val="FF0000"/>
          <w:kern w:val="0"/>
          <w:szCs w:val="21"/>
          <w:u w:val="none"/>
          <w:lang w:val="en-US" w:eastAsia="zh-CN"/>
        </w:rPr>
        <w:t>已注册的可直接登录。</w:t>
      </w:r>
    </w:p>
    <w:p w14:paraId="15528CA1">
      <w:pPr>
        <w:widowControl/>
        <w:shd w:val="clear" w:color="auto" w:fill="auto"/>
        <w:tabs>
          <w:tab w:val="left" w:pos="4140"/>
        </w:tabs>
        <w:spacing w:line="360" w:lineRule="auto"/>
        <w:rPr>
          <w:rFonts w:hint="default" w:ascii="宋体" w:hAnsi="宋体" w:eastAsia="宋体" w:cs="宋体"/>
          <w:bCs/>
          <w:color w:val="FF0000"/>
          <w:kern w:val="0"/>
          <w:szCs w:val="21"/>
          <w:u w:val="none"/>
          <w:lang w:val="en-US" w:eastAsia="zh-CN"/>
        </w:rPr>
      </w:pPr>
      <w:r>
        <w:rPr>
          <w:rFonts w:hint="eastAsia" w:ascii="宋体" w:hAnsi="宋体" w:eastAsia="宋体" w:cs="宋体"/>
          <w:bCs/>
          <w:color w:val="FF0000"/>
          <w:kern w:val="0"/>
          <w:szCs w:val="21"/>
          <w:u w:val="none"/>
          <w:lang w:val="en-US" w:eastAsia="zh-CN"/>
        </w:rPr>
        <w:t>3.忘记密码时，可通过“忘记密码？”输入账户名或手机号码，输入验证码修改密码。</w:t>
      </w:r>
    </w:p>
    <w:p w14:paraId="45849A35">
      <w:pPr>
        <w:widowControl/>
        <w:shd w:val="clear" w:color="auto" w:fill="auto"/>
        <w:tabs>
          <w:tab w:val="left" w:pos="4140"/>
        </w:tabs>
        <w:spacing w:line="360" w:lineRule="auto"/>
        <w:rPr>
          <w:rFonts w:hint="eastAsia" w:ascii="宋体" w:hAnsi="宋体" w:eastAsia="宋体" w:cs="宋体"/>
          <w:bCs/>
          <w:kern w:val="0"/>
          <w:szCs w:val="21"/>
          <w:u w:val="none"/>
          <w:lang w:val="en-US" w:eastAsia="zh-CN"/>
        </w:rPr>
      </w:pPr>
      <w:r>
        <w:rPr>
          <w:rFonts w:hint="eastAsia" w:ascii="宋体" w:hAnsi="宋体" w:eastAsia="宋体" w:cs="宋体"/>
          <w:bCs/>
          <w:kern w:val="0"/>
          <w:szCs w:val="21"/>
          <w:u w:val="none"/>
          <w:lang w:val="en-US" w:eastAsia="zh-CN"/>
        </w:rPr>
        <w:t>二、文件领取</w:t>
      </w:r>
    </w:p>
    <w:p w14:paraId="5912E11A">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hint="eastAsia" w:ascii="宋体" w:hAnsi="宋体" w:eastAsia="宋体" w:cs="宋体"/>
          <w:bCs/>
          <w:kern w:val="0"/>
          <w:szCs w:val="21"/>
          <w:u w:val="none"/>
          <w:lang w:val="zh-CN"/>
        </w:rPr>
        <w:t>1.</w:t>
      </w:r>
      <w:r>
        <w:rPr>
          <w:rFonts w:hint="eastAsia" w:ascii="宋体" w:hAnsi="宋体" w:eastAsia="宋体" w:cs="宋体"/>
          <w:bCs/>
          <w:kern w:val="0"/>
          <w:szCs w:val="21"/>
          <w:u w:val="none"/>
          <w:lang w:val="en-US" w:eastAsia="zh-CN"/>
        </w:rPr>
        <w:t>点击拟报名的项目，确认无误后点击立即报名</w:t>
      </w:r>
      <w:r>
        <w:rPr>
          <w:rFonts w:hint="eastAsia" w:ascii="宋体" w:hAnsi="宋体" w:eastAsia="宋体" w:cs="宋体"/>
          <w:bCs/>
          <w:kern w:val="0"/>
          <w:szCs w:val="21"/>
          <w:u w:val="none"/>
          <w:lang w:val="zh-CN"/>
        </w:rPr>
        <w:t>。</w:t>
      </w:r>
    </w:p>
    <w:p w14:paraId="0EF7101F">
      <w:pPr>
        <w:widowControl/>
        <w:shd w:val="clear" w:color="auto" w:fill="auto"/>
        <w:tabs>
          <w:tab w:val="left" w:pos="4140"/>
        </w:tabs>
        <w:spacing w:line="360" w:lineRule="auto"/>
        <w:rPr>
          <w:rFonts w:hint="eastAsia" w:ascii="宋体" w:hAnsi="宋体" w:eastAsia="宋体" w:cs="宋体"/>
          <w:bCs/>
          <w:kern w:val="0"/>
          <w:szCs w:val="21"/>
          <w:u w:val="none"/>
          <w:lang w:val="zh-CN"/>
        </w:rPr>
      </w:pPr>
    </w:p>
    <w:p w14:paraId="1F02CD20">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hint="eastAsia" w:ascii="宋体" w:hAnsi="宋体" w:eastAsia="宋体" w:cs="宋体"/>
          <w:bCs/>
          <w:kern w:val="0"/>
          <w:szCs w:val="21"/>
          <w:u w:val="none"/>
          <w:lang w:val="zh-CN"/>
        </w:rPr>
        <w:drawing>
          <wp:inline distT="0" distB="0" distL="114300" distR="114300">
            <wp:extent cx="5267325" cy="1338580"/>
            <wp:effectExtent l="0" t="0" r="9525" b="1397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1"/>
                    <a:stretch>
                      <a:fillRect/>
                    </a:stretch>
                  </pic:blipFill>
                  <pic:spPr>
                    <a:xfrm>
                      <a:off x="0" y="0"/>
                      <a:ext cx="5267325" cy="1338580"/>
                    </a:xfrm>
                    <a:prstGeom prst="rect">
                      <a:avLst/>
                    </a:prstGeom>
                    <a:noFill/>
                    <a:ln>
                      <a:noFill/>
                    </a:ln>
                  </pic:spPr>
                </pic:pic>
              </a:graphicData>
            </a:graphic>
          </wp:inline>
        </w:drawing>
      </w:r>
    </w:p>
    <w:p w14:paraId="6B81530C">
      <w:pPr>
        <w:widowControl/>
        <w:shd w:val="clear" w:color="auto" w:fill="auto"/>
        <w:tabs>
          <w:tab w:val="left" w:pos="4140"/>
        </w:tabs>
        <w:spacing w:line="360" w:lineRule="auto"/>
        <w:rPr>
          <w:rFonts w:hint="eastAsia" w:ascii="宋体" w:hAnsi="宋体" w:eastAsia="宋体" w:cs="宋体"/>
          <w:bCs/>
          <w:kern w:val="0"/>
          <w:szCs w:val="21"/>
          <w:u w:val="none"/>
          <w:lang w:val="en-US" w:eastAsia="zh-CN"/>
        </w:rPr>
      </w:pPr>
      <w:r>
        <w:rPr>
          <w:rFonts w:hint="eastAsia" w:ascii="宋体" w:hAnsi="宋体" w:eastAsia="宋体" w:cs="宋体"/>
          <w:bCs/>
          <w:kern w:val="0"/>
          <w:szCs w:val="21"/>
          <w:u w:val="none"/>
          <w:lang w:val="en-US" w:eastAsia="zh-CN"/>
        </w:rPr>
        <w:t>2</w:t>
      </w:r>
      <w:r>
        <w:rPr>
          <w:rFonts w:hint="eastAsia" w:ascii="宋体" w:hAnsi="宋体" w:eastAsia="宋体" w:cs="宋体"/>
          <w:bCs/>
          <w:kern w:val="0"/>
          <w:szCs w:val="21"/>
          <w:u w:val="none"/>
          <w:lang w:val="zh-CN"/>
        </w:rPr>
        <w:t>.</w:t>
      </w:r>
      <w:r>
        <w:rPr>
          <w:rFonts w:hint="eastAsia" w:ascii="宋体" w:hAnsi="宋体" w:eastAsia="宋体" w:cs="宋体"/>
          <w:bCs/>
          <w:kern w:val="0"/>
          <w:szCs w:val="21"/>
          <w:u w:val="none"/>
          <w:lang w:val="en-US" w:eastAsia="zh-CN"/>
        </w:rPr>
        <w:t>扫码交费后，点击首页公司图标，在订单管理查看报名交费情况。</w:t>
      </w:r>
    </w:p>
    <w:p w14:paraId="4A974875">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hint="eastAsia" w:ascii="宋体" w:hAnsi="宋体" w:eastAsia="宋体" w:cs="宋体"/>
          <w:bCs/>
          <w:kern w:val="0"/>
          <w:szCs w:val="21"/>
          <w:u w:val="none"/>
          <w:lang w:val="zh-CN"/>
        </w:rPr>
        <w:drawing>
          <wp:inline distT="0" distB="0" distL="114300" distR="114300">
            <wp:extent cx="5273040" cy="2837815"/>
            <wp:effectExtent l="0" t="0" r="3810"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2"/>
                    <a:stretch>
                      <a:fillRect/>
                    </a:stretch>
                  </pic:blipFill>
                  <pic:spPr>
                    <a:xfrm>
                      <a:off x="0" y="0"/>
                      <a:ext cx="5273040" cy="2837815"/>
                    </a:xfrm>
                    <a:prstGeom prst="rect">
                      <a:avLst/>
                    </a:prstGeom>
                    <a:noFill/>
                    <a:ln>
                      <a:noFill/>
                    </a:ln>
                  </pic:spPr>
                </pic:pic>
              </a:graphicData>
            </a:graphic>
          </wp:inline>
        </w:drawing>
      </w:r>
    </w:p>
    <w:p w14:paraId="5CE6207F">
      <w:pPr>
        <w:widowControl/>
        <w:shd w:val="clear" w:color="auto" w:fill="auto"/>
        <w:tabs>
          <w:tab w:val="left" w:pos="4140"/>
        </w:tabs>
        <w:spacing w:line="360" w:lineRule="auto"/>
        <w:rPr>
          <w:rFonts w:hint="eastAsia" w:ascii="宋体" w:hAnsi="宋体" w:eastAsia="宋体" w:cs="宋体"/>
          <w:bCs/>
          <w:kern w:val="0"/>
          <w:szCs w:val="21"/>
          <w:u w:val="none"/>
          <w:lang w:val="en-US" w:eastAsia="zh-CN"/>
        </w:rPr>
      </w:pPr>
      <w:r>
        <w:rPr>
          <w:rFonts w:ascii="Calibri" w:hAnsi="Calibri" w:eastAsia="宋体" w:cs="Times New Roman"/>
        </w:rPr>
        <w:drawing>
          <wp:inline distT="0" distB="0" distL="114300" distR="114300">
            <wp:extent cx="5269865" cy="1203325"/>
            <wp:effectExtent l="0" t="0" r="6985"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a:stretch>
                      <a:fillRect/>
                    </a:stretch>
                  </pic:blipFill>
                  <pic:spPr>
                    <a:xfrm>
                      <a:off x="0" y="0"/>
                      <a:ext cx="5269865" cy="1203325"/>
                    </a:xfrm>
                    <a:prstGeom prst="rect">
                      <a:avLst/>
                    </a:prstGeom>
                    <a:noFill/>
                    <a:ln>
                      <a:noFill/>
                    </a:ln>
                  </pic:spPr>
                </pic:pic>
              </a:graphicData>
            </a:graphic>
          </wp:inline>
        </w:drawing>
      </w:r>
    </w:p>
    <w:p w14:paraId="4895F00C">
      <w:pPr>
        <w:widowControl/>
        <w:shd w:val="clear" w:color="auto" w:fill="auto"/>
        <w:tabs>
          <w:tab w:val="left" w:pos="4140"/>
        </w:tabs>
        <w:spacing w:line="360" w:lineRule="auto"/>
        <w:rPr>
          <w:rFonts w:hint="eastAsia" w:ascii="宋体" w:hAnsi="宋体" w:eastAsia="宋体" w:cs="宋体"/>
          <w:bCs/>
          <w:kern w:val="0"/>
          <w:szCs w:val="21"/>
          <w:u w:val="none"/>
          <w:lang w:val="zh-CN"/>
        </w:rPr>
      </w:pPr>
    </w:p>
    <w:p w14:paraId="61CA9318">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ascii="Calibri" w:hAnsi="Calibri" w:eastAsia="宋体" w:cs="Times New Roman"/>
        </w:rPr>
        <w:drawing>
          <wp:inline distT="0" distB="0" distL="114300" distR="114300">
            <wp:extent cx="5263515" cy="1167130"/>
            <wp:effectExtent l="0" t="0" r="13335"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tretch>
                      <a:fillRect/>
                    </a:stretch>
                  </pic:blipFill>
                  <pic:spPr>
                    <a:xfrm>
                      <a:off x="0" y="0"/>
                      <a:ext cx="5263515" cy="1167130"/>
                    </a:xfrm>
                    <a:prstGeom prst="rect">
                      <a:avLst/>
                    </a:prstGeom>
                    <a:noFill/>
                    <a:ln>
                      <a:noFill/>
                    </a:ln>
                  </pic:spPr>
                </pic:pic>
              </a:graphicData>
            </a:graphic>
          </wp:inline>
        </w:drawing>
      </w:r>
    </w:p>
    <w:p w14:paraId="2D6CB350">
      <w:pPr>
        <w:widowControl/>
        <w:shd w:val="clear" w:color="auto" w:fill="auto"/>
        <w:tabs>
          <w:tab w:val="left" w:pos="4140"/>
        </w:tabs>
        <w:spacing w:line="360" w:lineRule="auto"/>
        <w:rPr>
          <w:rFonts w:hint="eastAsia" w:ascii="宋体" w:hAnsi="宋体" w:eastAsia="宋体" w:cs="宋体"/>
          <w:bCs/>
          <w:kern w:val="0"/>
          <w:szCs w:val="21"/>
          <w:u w:val="none"/>
          <w:lang w:val="zh-CN"/>
        </w:rPr>
      </w:pPr>
    </w:p>
    <w:p w14:paraId="3349A8D0">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hint="eastAsia" w:ascii="宋体" w:hAnsi="宋体" w:eastAsia="宋体" w:cs="宋体"/>
          <w:bCs/>
          <w:kern w:val="0"/>
          <w:szCs w:val="21"/>
          <w:u w:val="none"/>
          <w:lang w:val="en-US" w:eastAsia="zh-CN"/>
        </w:rPr>
        <w:t>3.交费成功后，可查看、下载此项目的谈判文件。</w:t>
      </w:r>
    </w:p>
    <w:p w14:paraId="2673F4C1">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hint="eastAsia" w:ascii="宋体" w:hAnsi="宋体" w:eastAsia="宋体" w:cs="宋体"/>
          <w:bCs/>
          <w:kern w:val="0"/>
          <w:szCs w:val="21"/>
          <w:u w:val="none"/>
          <w:lang w:val="zh-CN"/>
        </w:rPr>
        <w:drawing>
          <wp:inline distT="0" distB="0" distL="114300" distR="114300">
            <wp:extent cx="5272405" cy="1114425"/>
            <wp:effectExtent l="0" t="0" r="4445"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a:stretch>
                      <a:fillRect/>
                    </a:stretch>
                  </pic:blipFill>
                  <pic:spPr>
                    <a:xfrm>
                      <a:off x="0" y="0"/>
                      <a:ext cx="5272405" cy="1114425"/>
                    </a:xfrm>
                    <a:prstGeom prst="rect">
                      <a:avLst/>
                    </a:prstGeom>
                    <a:noFill/>
                    <a:ln>
                      <a:noFill/>
                    </a:ln>
                  </pic:spPr>
                </pic:pic>
              </a:graphicData>
            </a:graphic>
          </wp:inline>
        </w:drawing>
      </w:r>
    </w:p>
    <w:p w14:paraId="15EA827C">
      <w:pPr>
        <w:widowControl/>
        <w:shd w:val="clear" w:color="auto" w:fill="auto"/>
        <w:tabs>
          <w:tab w:val="left" w:pos="4140"/>
        </w:tabs>
        <w:spacing w:line="360" w:lineRule="auto"/>
        <w:rPr>
          <w:rFonts w:hint="default" w:ascii="宋体" w:hAnsi="宋体" w:eastAsia="宋体" w:cs="宋体"/>
          <w:bCs/>
          <w:kern w:val="0"/>
          <w:szCs w:val="21"/>
          <w:u w:val="none"/>
          <w:lang w:val="en-US" w:eastAsia="zh-CN"/>
        </w:rPr>
      </w:pPr>
      <w:r>
        <w:rPr>
          <w:rFonts w:hint="eastAsia" w:ascii="宋体" w:hAnsi="宋体" w:eastAsia="宋体" w:cs="宋体"/>
          <w:bCs/>
          <w:kern w:val="0"/>
          <w:szCs w:val="21"/>
          <w:u w:val="none"/>
          <w:lang w:val="en-US" w:eastAsia="zh-CN"/>
        </w:rPr>
        <w:t>4.在发票管理中可以查看、下载电子发票，</w:t>
      </w:r>
      <w:r>
        <w:rPr>
          <w:rFonts w:hint="eastAsia" w:ascii="宋体" w:hAnsi="宋体" w:eastAsia="宋体" w:cs="宋体"/>
          <w:bCs/>
          <w:color w:val="FF0000"/>
          <w:kern w:val="0"/>
          <w:szCs w:val="21"/>
          <w:u w:val="none"/>
          <w:lang w:val="en-US" w:eastAsia="zh-CN"/>
        </w:rPr>
        <w:t>首次开票前应填写发票信息（因发票推送平台系统升级维护、网络延迟等原因没有实时推送的，恢复后会自动推送）</w:t>
      </w:r>
      <w:r>
        <w:rPr>
          <w:rFonts w:hint="eastAsia" w:ascii="宋体" w:hAnsi="宋体" w:eastAsia="宋体" w:cs="宋体"/>
          <w:bCs/>
          <w:kern w:val="0"/>
          <w:szCs w:val="21"/>
          <w:u w:val="none"/>
          <w:lang w:val="en-US" w:eastAsia="zh-CN"/>
        </w:rPr>
        <w:t>。</w:t>
      </w:r>
    </w:p>
    <w:p w14:paraId="47B3D36E">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ascii="Calibri" w:hAnsi="Calibri" w:eastAsia="宋体" w:cs="Times New Roman"/>
        </w:rPr>
        <w:drawing>
          <wp:inline distT="0" distB="0" distL="114300" distR="114300">
            <wp:extent cx="5272405" cy="1722120"/>
            <wp:effectExtent l="0" t="0" r="444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2405" cy="1722120"/>
                    </a:xfrm>
                    <a:prstGeom prst="rect">
                      <a:avLst/>
                    </a:prstGeom>
                    <a:noFill/>
                    <a:ln>
                      <a:noFill/>
                    </a:ln>
                  </pic:spPr>
                </pic:pic>
              </a:graphicData>
            </a:graphic>
          </wp:inline>
        </w:drawing>
      </w:r>
    </w:p>
    <w:p w14:paraId="1EF02484">
      <w:pPr>
        <w:widowControl/>
        <w:shd w:val="clear" w:color="auto" w:fill="auto"/>
        <w:tabs>
          <w:tab w:val="left" w:pos="4140"/>
        </w:tabs>
        <w:spacing w:line="360" w:lineRule="auto"/>
        <w:rPr>
          <w:rFonts w:hint="eastAsia" w:ascii="宋体" w:hAnsi="宋体" w:eastAsia="宋体" w:cs="宋体"/>
          <w:bCs/>
          <w:kern w:val="0"/>
          <w:szCs w:val="21"/>
          <w:u w:val="none"/>
          <w:lang w:val="zh-CN"/>
        </w:rPr>
      </w:pPr>
      <w:r>
        <w:rPr>
          <w:rFonts w:ascii="Calibri" w:hAnsi="Calibri" w:eastAsia="宋体" w:cs="Times New Roman"/>
        </w:rPr>
        <w:drawing>
          <wp:inline distT="0" distB="0" distL="114300" distR="114300">
            <wp:extent cx="5260975" cy="1242695"/>
            <wp:effectExtent l="0" t="0" r="15875" b="1460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7"/>
                    <a:stretch>
                      <a:fillRect/>
                    </a:stretch>
                  </pic:blipFill>
                  <pic:spPr>
                    <a:xfrm>
                      <a:off x="0" y="0"/>
                      <a:ext cx="5260975" cy="1242695"/>
                    </a:xfrm>
                    <a:prstGeom prst="rect">
                      <a:avLst/>
                    </a:prstGeom>
                    <a:noFill/>
                    <a:ln>
                      <a:noFill/>
                    </a:ln>
                  </pic:spPr>
                </pic:pic>
              </a:graphicData>
            </a:graphic>
          </wp:inline>
        </w:drawing>
      </w:r>
    </w:p>
    <w:p w14:paraId="584CBA64">
      <w:pPr>
        <w:widowControl/>
        <w:numPr>
          <w:ilvl w:val="0"/>
          <w:numId w:val="1"/>
        </w:numPr>
        <w:shd w:val="clear" w:color="auto" w:fill="auto"/>
        <w:tabs>
          <w:tab w:val="left" w:pos="4140"/>
        </w:tabs>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成交通知书</w:t>
      </w:r>
    </w:p>
    <w:p w14:paraId="5ED29D11">
      <w:pPr>
        <w:widowControl/>
        <w:numPr>
          <w:ilvl w:val="0"/>
          <w:numId w:val="0"/>
        </w:numPr>
        <w:shd w:val="clear" w:color="auto" w:fill="auto"/>
        <w:tabs>
          <w:tab w:val="left" w:pos="4140"/>
        </w:tabs>
        <w:spacing w:line="360" w:lineRule="auto"/>
        <w:rPr>
          <w:rFonts w:hint="eastAsia" w:ascii="宋体" w:hAnsi="宋体" w:eastAsia="宋体" w:cs="宋体"/>
          <w:b/>
          <w:bCs/>
          <w:color w:val="auto"/>
          <w:highlight w:val="none"/>
          <w:lang w:val="en-US" w:eastAsia="zh-CN"/>
        </w:rPr>
      </w:pPr>
      <w:r>
        <w:rPr>
          <w:rFonts w:hint="eastAsia" w:ascii="宋体" w:hAnsi="宋体" w:eastAsia="宋体" w:cs="宋体"/>
          <w:bCs/>
          <w:color w:val="auto"/>
          <w:kern w:val="0"/>
          <w:szCs w:val="21"/>
          <w:u w:val="none"/>
          <w:lang w:val="en-US" w:eastAsia="zh-CN"/>
        </w:rPr>
        <w:t>公示期结束后，在项目管理中查找成交项目，在中标详情中交纳代理服务费并根据实际情况选择电子普通发票、专用发票。</w:t>
      </w:r>
    </w:p>
    <w:p w14:paraId="3FCFC4E4">
      <w:pPr>
        <w:keepNext/>
        <w:keepLines/>
        <w:widowControl w:val="0"/>
        <w:numPr>
          <w:ilvl w:val="0"/>
          <w:numId w:val="0"/>
        </w:numPr>
        <w:spacing w:before="78" w:beforeLines="25" w:after="78" w:afterLines="25" w:line="360" w:lineRule="auto"/>
        <w:ind w:firstLine="281" w:firstLineChars="100"/>
        <w:jc w:val="both"/>
        <w:outlineLvl w:val="3"/>
        <w:rPr>
          <w:rFonts w:ascii="Cambria" w:hAnsi="Cambria" w:eastAsia="方正黑体简体" w:cs="Times New Roman"/>
          <w:b/>
          <w:bCs/>
          <w:iCs/>
          <w:kern w:val="0"/>
          <w:sz w:val="28"/>
          <w:szCs w:val="32"/>
          <w:lang w:val="en-US" w:eastAsia="en-US" w:bidi="en-US"/>
        </w:rPr>
      </w:pPr>
      <w:r>
        <w:rPr>
          <w:rFonts w:ascii="Cambria" w:hAnsi="Cambria" w:eastAsia="方正黑体简体" w:cs="Times New Roman"/>
          <w:b/>
          <w:bCs/>
          <w:iCs/>
          <w:kern w:val="0"/>
          <w:sz w:val="28"/>
          <w:szCs w:val="32"/>
          <w:lang w:val="en-US" w:eastAsia="en-US" w:bidi="en-US"/>
        </w:rPr>
        <w:drawing>
          <wp:inline distT="0" distB="0" distL="114300" distR="114300">
            <wp:extent cx="5264785" cy="1230630"/>
            <wp:effectExtent l="0" t="0" r="12065" b="762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8"/>
                    <a:stretch>
                      <a:fillRect/>
                    </a:stretch>
                  </pic:blipFill>
                  <pic:spPr>
                    <a:xfrm>
                      <a:off x="0" y="0"/>
                      <a:ext cx="5264785" cy="1230630"/>
                    </a:xfrm>
                    <a:prstGeom prst="rect">
                      <a:avLst/>
                    </a:prstGeom>
                    <a:noFill/>
                    <a:ln>
                      <a:noFill/>
                    </a:ln>
                  </pic:spPr>
                </pic:pic>
              </a:graphicData>
            </a:graphic>
          </wp:inline>
        </w:drawing>
      </w:r>
    </w:p>
    <w:p w14:paraId="19A670BC">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A015E"/>
    <w:multiLevelType w:val="singleLevel"/>
    <w:tmpl w:val="70AA01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055F0"/>
    <w:rsid w:val="03A4413B"/>
    <w:rsid w:val="046823DA"/>
    <w:rsid w:val="06725923"/>
    <w:rsid w:val="06B01128"/>
    <w:rsid w:val="09E777FD"/>
    <w:rsid w:val="0A4F6B43"/>
    <w:rsid w:val="0AB239B9"/>
    <w:rsid w:val="0AF0679F"/>
    <w:rsid w:val="0CD055F0"/>
    <w:rsid w:val="147F2631"/>
    <w:rsid w:val="18506ACF"/>
    <w:rsid w:val="1C4D302A"/>
    <w:rsid w:val="227E5DBA"/>
    <w:rsid w:val="22F438C3"/>
    <w:rsid w:val="27C16FBF"/>
    <w:rsid w:val="284A149E"/>
    <w:rsid w:val="2EB0038B"/>
    <w:rsid w:val="3AA840F1"/>
    <w:rsid w:val="3ED05E1A"/>
    <w:rsid w:val="3F0E5747"/>
    <w:rsid w:val="44E67970"/>
    <w:rsid w:val="4A581909"/>
    <w:rsid w:val="4BA22B54"/>
    <w:rsid w:val="56343B5B"/>
    <w:rsid w:val="59EE777A"/>
    <w:rsid w:val="61B57C27"/>
    <w:rsid w:val="61B661AB"/>
    <w:rsid w:val="6759381B"/>
    <w:rsid w:val="68BE651B"/>
    <w:rsid w:val="699E596D"/>
    <w:rsid w:val="6D4A1D92"/>
    <w:rsid w:val="70B77B43"/>
    <w:rsid w:val="728A085A"/>
    <w:rsid w:val="74FB690E"/>
    <w:rsid w:val="76AF2C0C"/>
    <w:rsid w:val="777C443F"/>
    <w:rsid w:val="78416033"/>
    <w:rsid w:val="7BA436B3"/>
    <w:rsid w:val="7D12240C"/>
    <w:rsid w:val="7DFC5CA5"/>
    <w:rsid w:val="7E04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ind w:left="1761" w:hanging="338"/>
      <w:outlineLvl w:val="0"/>
    </w:pPr>
    <w:rPr>
      <w:b/>
      <w:bCs/>
      <w:sz w:val="28"/>
      <w:szCs w:val="28"/>
    </w:rPr>
  </w:style>
  <w:style w:type="paragraph" w:styleId="3">
    <w:name w:val="heading 2"/>
    <w:basedOn w:val="1"/>
    <w:next w:val="1"/>
    <w:qFormat/>
    <w:uiPriority w:val="0"/>
    <w:pPr>
      <w:keepNext/>
      <w:keepLines/>
      <w:spacing w:line="360" w:lineRule="auto"/>
      <w:ind w:firstLine="540" w:firstLineChars="192"/>
      <w:jc w:val="center"/>
      <w:outlineLvl w:val="1"/>
    </w:pPr>
    <w:rPr>
      <w:rFonts w:ascii="Arial" w:hAnsi="Arial" w:eastAsia="宋体" w:cs="Times New Roman"/>
      <w:b/>
      <w:bCs/>
      <w:sz w:val="28"/>
      <w:szCs w:val="32"/>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3"/>
    <w:next w:val="1"/>
    <w:qFormat/>
    <w:uiPriority w:val="0"/>
    <w:pPr>
      <w:keepNext/>
      <w:keepLines/>
      <w:spacing w:before="280" w:beforeLines="0" w:after="290" w:afterLines="0" w:line="376" w:lineRule="auto"/>
      <w:outlineLvl w:val="3"/>
    </w:pPr>
    <w:rPr>
      <w:rFonts w:ascii="Arial" w:hAnsi="Arial" w:eastAsia="黑体" w:cs="Times New Roman"/>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after="120" w:afterLines="0"/>
      <w:ind w:left="420" w:leftChars="200"/>
    </w:pPr>
    <w:rPr>
      <w:kern w:val="2"/>
      <w:sz w:val="21"/>
      <w:szCs w:val="24"/>
    </w:rPr>
  </w:style>
  <w:style w:type="paragraph" w:styleId="8">
    <w:name w:val="envelope return"/>
    <w:basedOn w:val="1"/>
    <w:qFormat/>
    <w:uiPriority w:val="0"/>
    <w:pPr>
      <w:widowControl/>
      <w:jc w:val="left"/>
    </w:pPr>
    <w:rPr>
      <w:rFonts w:ascii="Arial" w:hAnsi="Arial" w:eastAsia="楷体_GB2312" w:cs="Arial"/>
      <w:spacing w:val="-8"/>
      <w:kern w:val="0"/>
      <w:sz w:val="24"/>
      <w:szCs w:val="28"/>
      <w:lang w:eastAsia="en-US"/>
    </w:rPr>
  </w:style>
  <w:style w:type="paragraph" w:styleId="9">
    <w:name w:val="footer"/>
    <w:basedOn w:val="1"/>
    <w:qFormat/>
    <w:uiPriority w:val="99"/>
    <w:pPr>
      <w:tabs>
        <w:tab w:val="center" w:pos="4153"/>
        <w:tab w:val="right" w:pos="8306"/>
      </w:tabs>
      <w:snapToGrid w:val="0"/>
      <w:jc w:val="left"/>
    </w:pPr>
    <w:rPr>
      <w:sz w:val="18"/>
    </w:rPr>
  </w:style>
  <w:style w:type="paragraph" w:styleId="10">
    <w:name w:val="Body Text 2"/>
    <w:basedOn w:val="1"/>
    <w:unhideWhenUsed/>
    <w:qFormat/>
    <w:uiPriority w:val="99"/>
    <w:pPr>
      <w:spacing w:after="120" w:line="480" w:lineRule="auto"/>
    </w:pPr>
  </w:style>
  <w:style w:type="paragraph" w:styleId="11">
    <w:name w:val="Body Text First Indent"/>
    <w:basedOn w:val="6"/>
    <w:next w:val="12"/>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firstLine="420" w:firstLineChars="100"/>
    </w:pPr>
    <w:rPr>
      <w:rFonts w:hint="eastAsia" w:hAnsi="Arial"/>
      <w:color w:val="000000"/>
      <w:sz w:val="24"/>
    </w:rPr>
  </w:style>
  <w:style w:type="paragraph" w:styleId="12">
    <w:name w:val="Body Text First Indent 2"/>
    <w:basedOn w:val="7"/>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7">
    <w:name w:val="font01"/>
    <w:basedOn w:val="15"/>
    <w:qFormat/>
    <w:uiPriority w:val="0"/>
    <w:rPr>
      <w:rFonts w:hint="eastAsia" w:ascii="宋体" w:hAnsi="宋体" w:eastAsia="宋体" w:cs="宋体"/>
      <w:color w:val="000000"/>
      <w:sz w:val="22"/>
      <w:szCs w:val="22"/>
      <w:u w:val="none"/>
    </w:rPr>
  </w:style>
  <w:style w:type="paragraph" w:styleId="18">
    <w:name w:val="List Paragraph"/>
    <w:basedOn w:val="1"/>
    <w:autoRedefine/>
    <w:qFormat/>
    <w:uiPriority w:val="34"/>
    <w:pPr>
      <w:ind w:firstLine="420" w:firstLineChars="200"/>
    </w:pPr>
    <w:rPr>
      <w:szCs w:val="24"/>
    </w:rPr>
  </w:style>
  <w:style w:type="paragraph" w:customStyle="1" w:styleId="19">
    <w:name w:val="中文正文、"/>
    <w:basedOn w:val="1"/>
    <w:qFormat/>
    <w:uiPriority w:val="0"/>
    <w:pPr>
      <w:spacing w:line="360" w:lineRule="auto"/>
      <w:ind w:firstLine="420" w:firstLineChars="200"/>
      <w:jc w:val="left"/>
    </w:pPr>
    <w:rPr>
      <w:rFonts w:ascii="Times New Roman" w:hAnsi="Times New Roman"/>
      <w:szCs w:val="21"/>
    </w:rPr>
  </w:style>
  <w:style w:type="paragraph" w:customStyle="1" w:styleId="20">
    <w:name w:val="Deed_Heading"/>
    <w:basedOn w:val="1"/>
    <w:qFormat/>
    <w:uiPriority w:val="0"/>
    <w:pPr>
      <w:widowControl/>
      <w:pBdr>
        <w:top w:val="single" w:color="auto" w:sz="12" w:space="7"/>
      </w:pBdr>
      <w:spacing w:line="440" w:lineRule="exact"/>
      <w:jc w:val="left"/>
    </w:pPr>
    <w:rPr>
      <w:rFonts w:ascii="Arial Black" w:hAnsi="Arial Black"/>
      <w:b/>
      <w:kern w:val="0"/>
      <w:sz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2025-06-10T06:46:00Z</dcterms:created>
  <dc:creator>Administrator</dc:creator>
  <cp:lastModifiedBy>协助建议</cp:lastModifiedBy>
  <dcterms:modified xsi:type="dcterms:W3CDTF">2026-01-08T06:08:25Z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913071950CB34D69A296A69BCC323118_13</vt:lpwstr>
  </property>
  <property fmtid="{D5CDD505-2E9C-101B-9397-08002B2CF9AE}" pid="4" name="KSOTemplateDocerSaveRecord">
    <vt:lpwstr>eyJoZGlkIjoiYjhmYzUzYzk0ZDNhODMzMTgxNDcxMTQxMDQ4MzIzZjAifQ==</vt:lpwstr>
  </property>
</Properties>
</file>