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829CAD7">
      <w:pPr>
        <w:spacing w:line="360" w:lineRule="auto"/>
        <w:jc w:val="both"/>
        <w:rPr>
          <w:rFonts w:hint="eastAsia" w:ascii="仿宋" w:hAnsi="仿宋" w:eastAsia="仿宋"/>
          <w:b/>
          <w:bCs/>
          <w:color w:val="auto"/>
          <w:sz w:val="48"/>
          <w:szCs w:val="48"/>
          <w:highlight w:val="none"/>
        </w:rPr>
      </w:pPr>
      <w:r>
        <w:rPr>
          <w:rFonts w:hint="eastAsia" w:ascii="仿宋" w:hAnsi="仿宋" w:eastAsia="仿宋" w:cs="仿宋"/>
          <w:b/>
          <w:bCs/>
          <w:color w:val="auto"/>
          <w:sz w:val="28"/>
          <w:szCs w:val="28"/>
          <w:highlight w:val="none"/>
          <w:lang w:val="en-US" w:eastAsia="zh-CN"/>
        </w:rPr>
        <w:t xml:space="preserve"> </w:t>
      </w:r>
      <w:r>
        <w:rPr>
          <w:rFonts w:hint="eastAsia" w:ascii="仿宋" w:hAnsi="仿宋" w:eastAsia="仿宋"/>
          <w:b/>
          <w:bCs/>
          <w:color w:val="auto"/>
          <w:sz w:val="48"/>
          <w:szCs w:val="48"/>
          <w:highlight w:val="none"/>
        </w:rPr>
        <w:t>中交一公局集团北京凯通物资有限公司</w:t>
      </w:r>
    </w:p>
    <w:p w14:paraId="48B31E07">
      <w:pPr>
        <w:spacing w:line="360" w:lineRule="auto"/>
        <w:ind w:firstLine="1080" w:firstLineChars="300"/>
        <w:jc w:val="both"/>
        <w:rPr>
          <w:rFonts w:hint="default" w:ascii="仿宋" w:hAnsi="仿宋" w:eastAsia="仿宋"/>
          <w:b/>
          <w:bCs/>
          <w:color w:val="auto"/>
          <w:sz w:val="36"/>
          <w:szCs w:val="36"/>
          <w:highlight w:val="none"/>
          <w:lang w:val="en-US" w:eastAsia="zh-CN"/>
        </w:rPr>
      </w:pPr>
      <w:r>
        <w:rPr>
          <w:rFonts w:hint="eastAsia" w:ascii="仿宋" w:hAnsi="仿宋" w:eastAsia="仿宋"/>
          <w:b/>
          <w:bCs/>
          <w:color w:val="auto"/>
          <w:sz w:val="36"/>
          <w:szCs w:val="36"/>
          <w:highlight w:val="none"/>
          <w:lang w:val="en-US" w:eastAsia="zh-CN"/>
        </w:rPr>
        <w:t>华东北营销中心7月份水泥</w:t>
      </w:r>
      <w:r>
        <w:rPr>
          <w:rFonts w:hint="eastAsia" w:ascii="仿宋" w:hAnsi="仿宋" w:eastAsia="仿宋"/>
          <w:b/>
          <w:bCs/>
          <w:color w:val="auto"/>
          <w:sz w:val="36"/>
          <w:szCs w:val="36"/>
          <w:highlight w:val="none"/>
        </w:rPr>
        <w:t>运输</w:t>
      </w:r>
      <w:r>
        <w:rPr>
          <w:rFonts w:hint="eastAsia" w:ascii="仿宋" w:hAnsi="仿宋" w:eastAsia="仿宋"/>
          <w:b/>
          <w:bCs/>
          <w:color w:val="auto"/>
          <w:sz w:val="36"/>
          <w:szCs w:val="36"/>
          <w:highlight w:val="none"/>
          <w:lang w:val="en-US" w:eastAsia="zh-CN"/>
        </w:rPr>
        <w:t>公开竞价公告</w:t>
      </w:r>
    </w:p>
    <w:p w14:paraId="6A1057C5">
      <w:pPr>
        <w:pStyle w:val="33"/>
        <w:ind w:firstLine="1680" w:firstLineChars="600"/>
        <w:rPr>
          <w:rFonts w:hint="default"/>
          <w:sz w:val="28"/>
          <w:szCs w:val="28"/>
          <w:highlight w:val="none"/>
          <w:lang w:val="en-US" w:eastAsia="zh-CN"/>
        </w:rPr>
      </w:pPr>
      <w:r>
        <w:rPr>
          <w:rFonts w:hint="eastAsia" w:ascii="仿宋" w:hAnsi="仿宋" w:eastAsia="仿宋"/>
          <w:b/>
          <w:bCs/>
          <w:color w:val="auto"/>
          <w:sz w:val="28"/>
          <w:szCs w:val="28"/>
          <w:highlight w:val="none"/>
          <w:lang w:val="en-US" w:eastAsia="zh-CN"/>
        </w:rPr>
        <w:t>（竞价编号：</w:t>
      </w:r>
      <w:r>
        <w:rPr>
          <w:rFonts w:hint="eastAsia" w:ascii="仿宋" w:hAnsi="仿宋" w:eastAsia="仿宋" w:cs="Times New Roman"/>
          <w:b/>
          <w:bCs/>
          <w:color w:val="auto"/>
          <w:kern w:val="2"/>
          <w:sz w:val="36"/>
          <w:szCs w:val="36"/>
          <w:highlight w:val="none"/>
          <w:lang w:val="en-US" w:eastAsia="zh-CN" w:bidi="ar-SA"/>
        </w:rPr>
        <w:t>FWFA00000049092</w:t>
      </w:r>
      <w:r>
        <w:rPr>
          <w:rFonts w:hint="eastAsia" w:ascii="仿宋" w:hAnsi="仿宋" w:eastAsia="仿宋"/>
          <w:b/>
          <w:bCs/>
          <w:color w:val="auto"/>
          <w:sz w:val="28"/>
          <w:szCs w:val="28"/>
          <w:highlight w:val="none"/>
          <w:lang w:val="en-US" w:eastAsia="zh-CN"/>
        </w:rPr>
        <w:t>）</w:t>
      </w:r>
    </w:p>
    <w:p w14:paraId="129BFA91">
      <w:pPr>
        <w:adjustRightInd w:val="0"/>
        <w:snapToGrid w:val="0"/>
        <w:spacing w:line="240" w:lineRule="auto"/>
        <w:jc w:val="both"/>
        <w:rPr>
          <w:rFonts w:hint="eastAsia" w:ascii="仿宋" w:hAnsi="仿宋" w:eastAsia="仿宋"/>
          <w:b/>
          <w:bCs/>
          <w:color w:val="auto"/>
          <w:sz w:val="28"/>
          <w:szCs w:val="28"/>
          <w:highlight w:val="none"/>
          <w:lang w:val="en-US" w:eastAsia="zh-CN"/>
        </w:rPr>
      </w:pPr>
      <w:r>
        <w:rPr>
          <w:rFonts w:hint="eastAsia" w:ascii="仿宋" w:hAnsi="仿宋" w:eastAsia="仿宋"/>
          <w:color w:val="auto"/>
          <w:sz w:val="24"/>
          <w:highlight w:val="none"/>
          <w:u w:val="dotted"/>
        </w:rPr>
        <mc:AlternateContent>
          <mc:Choice Requires="wps">
            <w:drawing>
              <wp:anchor distT="0" distB="0" distL="114300" distR="114300" simplePos="0" relativeHeight="251659264" behindDoc="0" locked="0" layoutInCell="1" allowOverlap="1">
                <wp:simplePos x="0" y="0"/>
                <wp:positionH relativeFrom="column">
                  <wp:posOffset>5305425</wp:posOffset>
                </wp:positionH>
                <wp:positionV relativeFrom="paragraph">
                  <wp:posOffset>-74930</wp:posOffset>
                </wp:positionV>
                <wp:extent cx="457200" cy="2354580"/>
                <wp:effectExtent l="0" t="0" r="0" b="0"/>
                <wp:wrapNone/>
                <wp:docPr id="1" name="Text Box 2"/>
                <wp:cNvGraphicFramePr/>
                <a:graphic xmlns:a="http://schemas.openxmlformats.org/drawingml/2006/main">
                  <a:graphicData uri="http://schemas.microsoft.com/office/word/2010/wordprocessingShape">
                    <wps:wsp>
                      <wps:cNvSpPr txBox="1"/>
                      <wps:spPr>
                        <a:xfrm>
                          <a:off x="0" y="0"/>
                          <a:ext cx="457200" cy="2354580"/>
                        </a:xfrm>
                        <a:prstGeom prst="rect">
                          <a:avLst/>
                        </a:prstGeom>
                        <a:noFill/>
                        <a:ln>
                          <a:noFill/>
                        </a:ln>
                      </wps:spPr>
                      <wps:txbx>
                        <w:txbxContent>
                          <w:p w14:paraId="7BA517DD">
                            <w:pPr>
                              <w:adjustRightInd w:val="0"/>
                              <w:snapToGrid w:val="0"/>
                              <w:spacing w:line="408" w:lineRule="auto"/>
                              <w:jc w:val="right"/>
                              <w:rPr>
                                <w:rFonts w:hint="eastAsia" w:ascii="宋体" w:hAnsi="宋体"/>
                                <w:sz w:val="24"/>
                              </w:rPr>
                            </w:pPr>
                          </w:p>
                          <w:p w14:paraId="089CC5A5">
                            <w:pPr>
                              <w:adjustRightInd w:val="0"/>
                              <w:snapToGrid w:val="0"/>
                              <w:spacing w:line="408" w:lineRule="auto"/>
                              <w:jc w:val="right"/>
                              <w:rPr>
                                <w:rFonts w:hint="eastAsia" w:ascii="宋体" w:hAnsi="宋体"/>
                                <w:sz w:val="24"/>
                              </w:rPr>
                            </w:pPr>
                          </w:p>
                        </w:txbxContent>
                      </wps:txbx>
                      <wps:bodyPr wrap="square" upright="1"/>
                    </wps:wsp>
                  </a:graphicData>
                </a:graphic>
              </wp:anchor>
            </w:drawing>
          </mc:Choice>
          <mc:Fallback>
            <w:pict>
              <v:shape id="Text Box 2" o:spid="_x0000_s1026" o:spt="202" type="#_x0000_t202" style="position:absolute;left:0pt;margin-left:417.75pt;margin-top:-5.9pt;height:185.4pt;width:36pt;z-index:251659264;mso-width-relative:page;mso-height-relative:page;" filled="f" stroked="f" coordsize="21600,21600" o:gfxdata="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CSNi2y1wAAAAsBAAAP&#10;AAAAAAAAAAEAIAAAACIAAABkcnMvZG93bnJldi54bWxQSwECFAAUAAAACACHTuJA0ZNp/KcBAABb&#10;AwAADgAAAAAAAAABACAAAAAmAQAAZHJzL2Uyb0RvYy54bWxQSwUGAAAAAAYABgBZAQAAPwUAAAAA&#10;">
                <v:fill on="f" focussize="0,0"/>
                <v:stroke on="f"/>
                <v:imagedata o:title=""/>
                <o:lock v:ext="edit" aspectratio="f"/>
                <v:textbox>
                  <w:txbxContent>
                    <w:p w14:paraId="7BA517DD">
                      <w:pPr>
                        <w:adjustRightInd w:val="0"/>
                        <w:snapToGrid w:val="0"/>
                        <w:spacing w:line="408" w:lineRule="auto"/>
                        <w:jc w:val="right"/>
                        <w:rPr>
                          <w:rFonts w:hint="eastAsia" w:ascii="宋体" w:hAnsi="宋体"/>
                          <w:sz w:val="24"/>
                        </w:rPr>
                      </w:pPr>
                    </w:p>
                    <w:p w14:paraId="089CC5A5">
                      <w:pPr>
                        <w:adjustRightInd w:val="0"/>
                        <w:snapToGrid w:val="0"/>
                        <w:spacing w:line="408" w:lineRule="auto"/>
                        <w:jc w:val="right"/>
                        <w:rPr>
                          <w:rFonts w:hint="eastAsia" w:ascii="宋体" w:hAnsi="宋体"/>
                          <w:sz w:val="24"/>
                        </w:rPr>
                      </w:pPr>
                    </w:p>
                  </w:txbxContent>
                </v:textbox>
              </v:shape>
            </w:pict>
          </mc:Fallback>
        </mc:AlternateContent>
      </w:r>
      <w:bookmarkStart w:id="0" w:name="_Toc238797548"/>
      <w:bookmarkStart w:id="1" w:name="_Toc266992520"/>
      <w:bookmarkStart w:id="2" w:name="_Toc152045527"/>
      <w:bookmarkStart w:id="3" w:name="_Toc152042303"/>
      <w:bookmarkStart w:id="4" w:name="_Toc238552193"/>
      <w:bookmarkStart w:id="5" w:name="_Toc144974495"/>
    </w:p>
    <w:p w14:paraId="1626D66A">
      <w:pPr>
        <w:numPr>
          <w:ilvl w:val="0"/>
          <w:numId w:val="0"/>
        </w:numPr>
        <w:spacing w:line="360" w:lineRule="auto"/>
        <w:rPr>
          <w:rFonts w:hint="eastAsia" w:ascii="仿宋" w:hAnsi="仿宋" w:eastAsia="仿宋" w:cs="仿宋"/>
          <w:b/>
          <w:bCs/>
          <w:color w:val="auto"/>
          <w:sz w:val="28"/>
          <w:szCs w:val="28"/>
          <w:highlight w:val="none"/>
        </w:rPr>
      </w:pPr>
      <w:bookmarkStart w:id="6" w:name="_Toc488656946"/>
      <w:r>
        <w:rPr>
          <w:rFonts w:hint="eastAsia" w:ascii="仿宋" w:hAnsi="仿宋" w:eastAsia="仿宋" w:cs="仿宋"/>
          <w:b/>
          <w:bCs/>
          <w:color w:val="auto"/>
          <w:sz w:val="28"/>
          <w:szCs w:val="28"/>
          <w:highlight w:val="none"/>
          <w:lang w:val="en-US" w:eastAsia="zh-CN"/>
        </w:rPr>
        <w:t>1.</w:t>
      </w:r>
      <w:r>
        <w:rPr>
          <w:rFonts w:hint="eastAsia" w:ascii="仿宋" w:hAnsi="仿宋" w:eastAsia="仿宋" w:cs="仿宋"/>
          <w:b/>
          <w:bCs/>
          <w:color w:val="auto"/>
          <w:sz w:val="28"/>
          <w:szCs w:val="28"/>
          <w:highlight w:val="none"/>
        </w:rPr>
        <w:t>基本情况介绍</w:t>
      </w:r>
    </w:p>
    <w:p w14:paraId="62472C86">
      <w:pPr>
        <w:pStyle w:val="33"/>
        <w:ind w:left="0" w:leftChars="0" w:firstLine="560"/>
        <w:rPr>
          <w:rFonts w:hint="eastAsia" w:ascii="仿宋" w:hAnsi="仿宋" w:eastAsia="仿宋" w:cs="仿宋"/>
          <w:color w:val="auto"/>
          <w:sz w:val="28"/>
          <w:szCs w:val="28"/>
          <w:highlight w:val="none"/>
        </w:rPr>
      </w:pPr>
      <w:r>
        <w:rPr>
          <w:rFonts w:hint="eastAsia" w:ascii="仿宋" w:hAnsi="仿宋" w:eastAsia="仿宋" w:cs="仿宋"/>
          <w:b w:val="0"/>
          <w:bCs w:val="0"/>
          <w:sz w:val="28"/>
          <w:szCs w:val="28"/>
          <w:highlight w:val="none"/>
          <w:lang w:val="en-US" w:eastAsia="zh-CN"/>
        </w:rPr>
        <w:t>华东北营销中心安徽网点中交一公局五公司池州G236改建01标项目，现需水泥运输约7000吨，</w:t>
      </w:r>
      <w:r>
        <w:rPr>
          <w:rFonts w:hint="eastAsia" w:ascii="仿宋" w:hAnsi="仿宋" w:eastAsia="仿宋"/>
          <w:color w:val="auto"/>
          <w:sz w:val="28"/>
          <w:szCs w:val="28"/>
          <w:highlight w:val="none"/>
        </w:rPr>
        <w:t>已具备</w:t>
      </w:r>
      <w:r>
        <w:rPr>
          <w:rFonts w:hint="eastAsia" w:ascii="仿宋" w:hAnsi="仿宋" w:eastAsia="仿宋" w:cs="Times New Roman"/>
          <w:b w:val="0"/>
          <w:bCs w:val="0"/>
          <w:color w:val="auto"/>
          <w:sz w:val="28"/>
          <w:szCs w:val="28"/>
          <w:highlight w:val="none"/>
          <w:lang w:val="en-US" w:eastAsia="zh-CN"/>
        </w:rPr>
        <w:t>公开竞价</w:t>
      </w:r>
      <w:r>
        <w:rPr>
          <w:rFonts w:hint="eastAsia" w:ascii="仿宋" w:hAnsi="仿宋" w:eastAsia="仿宋"/>
          <w:color w:val="auto"/>
          <w:sz w:val="28"/>
          <w:szCs w:val="28"/>
          <w:highlight w:val="none"/>
        </w:rPr>
        <w:t>条件，现对</w:t>
      </w:r>
      <w:r>
        <w:rPr>
          <w:rFonts w:hint="eastAsia" w:ascii="仿宋" w:hAnsi="仿宋" w:eastAsia="仿宋"/>
          <w:color w:val="auto"/>
          <w:sz w:val="28"/>
          <w:szCs w:val="28"/>
          <w:highlight w:val="none"/>
          <w:lang w:eastAsia="zh-CN"/>
        </w:rPr>
        <w:t>该</w:t>
      </w:r>
      <w:r>
        <w:rPr>
          <w:rFonts w:hint="eastAsia" w:ascii="仿宋" w:hAnsi="仿宋" w:eastAsia="仿宋"/>
          <w:color w:val="auto"/>
          <w:sz w:val="28"/>
          <w:szCs w:val="28"/>
          <w:highlight w:val="none"/>
          <w:lang w:val="en-US" w:eastAsia="zh-CN"/>
        </w:rPr>
        <w:t>安徽网点该</w:t>
      </w:r>
      <w:r>
        <w:rPr>
          <w:rFonts w:hint="eastAsia" w:ascii="仿宋" w:hAnsi="仿宋" w:eastAsia="仿宋" w:cs="仿宋"/>
          <w:color w:val="auto"/>
          <w:sz w:val="28"/>
          <w:szCs w:val="28"/>
          <w:highlight w:val="none"/>
        </w:rPr>
        <w:t>项目的</w:t>
      </w:r>
      <w:r>
        <w:rPr>
          <w:rFonts w:hint="eastAsia" w:ascii="仿宋" w:hAnsi="仿宋" w:eastAsia="仿宋" w:cs="仿宋"/>
          <w:color w:val="auto"/>
          <w:sz w:val="28"/>
          <w:szCs w:val="28"/>
          <w:highlight w:val="none"/>
          <w:lang w:val="en-US" w:eastAsia="zh-CN"/>
        </w:rPr>
        <w:t>水泥</w:t>
      </w:r>
      <w:r>
        <w:rPr>
          <w:rFonts w:hint="eastAsia" w:ascii="仿宋" w:hAnsi="仿宋" w:eastAsia="仿宋" w:cs="仿宋"/>
          <w:color w:val="auto"/>
          <w:sz w:val="28"/>
          <w:szCs w:val="28"/>
          <w:highlight w:val="none"/>
        </w:rPr>
        <w:t>运输进行公开</w:t>
      </w:r>
      <w:r>
        <w:rPr>
          <w:rFonts w:hint="eastAsia" w:ascii="仿宋" w:hAnsi="仿宋" w:eastAsia="仿宋" w:cs="仿宋"/>
          <w:color w:val="auto"/>
          <w:sz w:val="28"/>
          <w:szCs w:val="28"/>
          <w:highlight w:val="none"/>
          <w:lang w:val="en-US" w:eastAsia="zh-CN"/>
        </w:rPr>
        <w:t>竞价</w:t>
      </w:r>
      <w:r>
        <w:rPr>
          <w:rFonts w:hint="eastAsia" w:ascii="仿宋" w:hAnsi="仿宋" w:eastAsia="仿宋" w:cs="仿宋"/>
          <w:color w:val="auto"/>
          <w:sz w:val="28"/>
          <w:szCs w:val="28"/>
          <w:highlight w:val="none"/>
        </w:rPr>
        <w:t>。</w:t>
      </w:r>
    </w:p>
    <w:p w14:paraId="75476F74">
      <w:pPr>
        <w:pStyle w:val="27"/>
        <w:ind w:left="0" w:leftChars="0" w:firstLine="560" w:firstLineChars="200"/>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项目地址</w:t>
      </w:r>
      <w:r>
        <w:rPr>
          <w:rFonts w:hint="eastAsia" w:ascii="宋体" w:hAnsi="宋体" w:eastAsia="宋体" w:cs="宋体"/>
          <w:color w:val="auto"/>
          <w:sz w:val="28"/>
          <w:szCs w:val="28"/>
        </w:rPr>
        <w:t>：</w:t>
      </w:r>
      <w:r>
        <w:rPr>
          <w:rFonts w:hint="eastAsia" w:ascii="仿宋" w:hAnsi="仿宋" w:eastAsia="仿宋" w:cs="仿宋"/>
          <w:color w:val="auto"/>
          <w:kern w:val="2"/>
          <w:sz w:val="28"/>
          <w:szCs w:val="28"/>
          <w:highlight w:val="none"/>
          <w:lang w:val="en-US" w:eastAsia="zh-CN" w:bidi="ar-SA"/>
        </w:rPr>
        <w:t>安徽省池州市贵池区殷汇镇枫树王中交一公局五公司池州G236改建01标项目施工现场</w:t>
      </w:r>
    </w:p>
    <w:p w14:paraId="4F83FF19">
      <w:pPr>
        <w:numPr>
          <w:ilvl w:val="0"/>
          <w:numId w:val="0"/>
        </w:numPr>
        <w:spacing w:line="360" w:lineRule="auto"/>
        <w:rPr>
          <w:rFonts w:hint="eastAsia" w:ascii="仿宋" w:hAnsi="仿宋" w:eastAsia="仿宋"/>
          <w:b/>
          <w:bCs/>
          <w:color w:val="auto"/>
          <w:sz w:val="28"/>
          <w:szCs w:val="18"/>
          <w:highlight w:val="none"/>
        </w:rPr>
      </w:pPr>
      <w:r>
        <w:rPr>
          <w:rFonts w:hint="eastAsia" w:ascii="仿宋" w:hAnsi="仿宋" w:eastAsia="仿宋"/>
          <w:b/>
          <w:bCs/>
          <w:color w:val="auto"/>
          <w:sz w:val="28"/>
          <w:szCs w:val="18"/>
          <w:highlight w:val="none"/>
          <w:lang w:val="en-US" w:eastAsia="zh-CN"/>
        </w:rPr>
        <w:t>2.</w:t>
      </w:r>
      <w:r>
        <w:rPr>
          <w:rFonts w:hint="eastAsia" w:ascii="仿宋" w:hAnsi="仿宋" w:eastAsia="仿宋"/>
          <w:b/>
          <w:bCs/>
          <w:color w:val="auto"/>
          <w:sz w:val="28"/>
          <w:szCs w:val="18"/>
          <w:highlight w:val="none"/>
        </w:rPr>
        <w:t>物资采购项目及数量</w:t>
      </w:r>
    </w:p>
    <w:p w14:paraId="24F66ABE">
      <w:pPr>
        <w:spacing w:line="360" w:lineRule="auto"/>
        <w:ind w:left="840" w:hanging="840" w:hangingChars="300"/>
        <w:jc w:val="left"/>
        <w:rPr>
          <w:rFonts w:hint="eastAsia" w:ascii="仿宋" w:hAnsi="仿宋" w:eastAsia="仿宋"/>
          <w:bCs/>
          <w:color w:val="auto"/>
          <w:sz w:val="28"/>
          <w:szCs w:val="28"/>
          <w:highlight w:val="none"/>
        </w:rPr>
      </w:pPr>
      <w:r>
        <w:rPr>
          <w:rFonts w:hint="eastAsia" w:ascii="仿宋" w:hAnsi="仿宋" w:eastAsia="仿宋"/>
          <w:bCs/>
          <w:color w:val="auto"/>
          <w:sz w:val="28"/>
          <w:szCs w:val="28"/>
          <w:highlight w:val="none"/>
        </w:rPr>
        <w:t>本次</w:t>
      </w:r>
      <w:r>
        <w:rPr>
          <w:rFonts w:hint="eastAsia" w:ascii="仿宋" w:hAnsi="仿宋" w:eastAsia="仿宋"/>
          <w:bCs/>
          <w:color w:val="auto"/>
          <w:sz w:val="28"/>
          <w:szCs w:val="28"/>
          <w:highlight w:val="none"/>
          <w:lang w:val="en-US" w:eastAsia="zh-CN"/>
        </w:rPr>
        <w:t>运输</w:t>
      </w:r>
      <w:r>
        <w:rPr>
          <w:rFonts w:hint="eastAsia" w:ascii="仿宋" w:hAnsi="仿宋" w:eastAsia="仿宋"/>
          <w:bCs/>
          <w:color w:val="auto"/>
          <w:sz w:val="28"/>
          <w:szCs w:val="28"/>
          <w:highlight w:val="none"/>
          <w:lang w:eastAsia="zh-CN"/>
        </w:rPr>
        <w:t>采购</w:t>
      </w:r>
      <w:r>
        <w:rPr>
          <w:rFonts w:hint="eastAsia" w:ascii="仿宋" w:hAnsi="仿宋" w:eastAsia="仿宋"/>
          <w:bCs/>
          <w:color w:val="auto"/>
          <w:sz w:val="28"/>
          <w:szCs w:val="28"/>
          <w:highlight w:val="none"/>
        </w:rPr>
        <w:t>分为</w:t>
      </w:r>
      <w:r>
        <w:rPr>
          <w:rFonts w:hint="eastAsia" w:ascii="仿宋" w:hAnsi="仿宋" w:eastAsia="仿宋"/>
          <w:bCs/>
          <w:color w:val="auto"/>
          <w:sz w:val="28"/>
          <w:szCs w:val="28"/>
          <w:highlight w:val="none"/>
          <w:lang w:val="en-US" w:eastAsia="zh-CN"/>
        </w:rPr>
        <w:t>1</w:t>
      </w:r>
      <w:r>
        <w:rPr>
          <w:rFonts w:hint="eastAsia" w:ascii="仿宋" w:hAnsi="仿宋" w:eastAsia="仿宋"/>
          <w:bCs/>
          <w:color w:val="auto"/>
          <w:sz w:val="28"/>
          <w:szCs w:val="28"/>
          <w:highlight w:val="none"/>
        </w:rPr>
        <w:t>个包件</w:t>
      </w:r>
    </w:p>
    <w:tbl>
      <w:tblPr>
        <w:tblStyle w:val="34"/>
        <w:tblW w:w="10980" w:type="dxa"/>
        <w:tblInd w:w="-73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30"/>
        <w:gridCol w:w="735"/>
        <w:gridCol w:w="840"/>
        <w:gridCol w:w="825"/>
        <w:gridCol w:w="1380"/>
        <w:gridCol w:w="1847"/>
        <w:gridCol w:w="1260"/>
        <w:gridCol w:w="2308"/>
        <w:gridCol w:w="855"/>
      </w:tblGrid>
      <w:tr w14:paraId="46A7A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9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A9BE6D0">
            <w:pPr>
              <w:keepNext w:val="0"/>
              <w:keepLines w:val="0"/>
              <w:widowControl/>
              <w:suppressLineNumbers w:val="0"/>
              <w:jc w:val="center"/>
              <w:textAlignment w:val="center"/>
              <w:rPr>
                <w:rFonts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包件号</w:t>
            </w:r>
          </w:p>
        </w:tc>
        <w:tc>
          <w:tcPr>
            <w:tcW w:w="73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9C62E7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序号</w:t>
            </w:r>
          </w:p>
        </w:tc>
        <w:tc>
          <w:tcPr>
            <w:tcW w:w="84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3F7988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物资名称</w:t>
            </w:r>
          </w:p>
        </w:tc>
        <w:tc>
          <w:tcPr>
            <w:tcW w:w="82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8B393C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计量单位</w:t>
            </w:r>
          </w:p>
        </w:tc>
        <w:tc>
          <w:tcPr>
            <w:tcW w:w="13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63C017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预估数量</w:t>
            </w:r>
          </w:p>
        </w:tc>
        <w:tc>
          <w:tcPr>
            <w:tcW w:w="184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D7FC6E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起运地</w:t>
            </w:r>
          </w:p>
        </w:tc>
        <w:tc>
          <w:tcPr>
            <w:tcW w:w="12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CA0C72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交货地点所属市</w:t>
            </w:r>
          </w:p>
        </w:tc>
        <w:tc>
          <w:tcPr>
            <w:tcW w:w="230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80B525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交货地点</w:t>
            </w:r>
          </w:p>
        </w:tc>
        <w:tc>
          <w:tcPr>
            <w:tcW w:w="8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1A6943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备注</w:t>
            </w:r>
          </w:p>
        </w:tc>
      </w:tr>
      <w:tr w14:paraId="4BDE7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0" w:type="dxa"/>
            <w:tcBorders>
              <w:top w:val="nil"/>
              <w:left w:val="single" w:color="000000" w:sz="8" w:space="0"/>
              <w:bottom w:val="single" w:color="000000" w:sz="8" w:space="0"/>
              <w:right w:val="single" w:color="000000" w:sz="8" w:space="0"/>
            </w:tcBorders>
            <w:shd w:val="clear" w:color="auto" w:fill="auto"/>
            <w:noWrap/>
            <w:vAlign w:val="center"/>
          </w:tcPr>
          <w:p w14:paraId="557C1D2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01包件</w:t>
            </w:r>
          </w:p>
        </w:tc>
        <w:tc>
          <w:tcPr>
            <w:tcW w:w="735" w:type="dxa"/>
            <w:tcBorders>
              <w:top w:val="nil"/>
              <w:left w:val="single" w:color="000000" w:sz="8" w:space="0"/>
              <w:bottom w:val="single" w:color="000000" w:sz="8" w:space="0"/>
              <w:right w:val="single" w:color="000000" w:sz="8" w:space="0"/>
            </w:tcBorders>
            <w:shd w:val="clear" w:color="auto" w:fill="auto"/>
            <w:noWrap/>
            <w:vAlign w:val="center"/>
          </w:tcPr>
          <w:p w14:paraId="427A953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840" w:type="dxa"/>
            <w:tcBorders>
              <w:top w:val="nil"/>
              <w:left w:val="single" w:color="000000" w:sz="8" w:space="0"/>
              <w:bottom w:val="single" w:color="000000" w:sz="8" w:space="0"/>
              <w:right w:val="single" w:color="000000" w:sz="8" w:space="0"/>
            </w:tcBorders>
            <w:shd w:val="clear" w:color="auto" w:fill="auto"/>
            <w:noWrap/>
            <w:vAlign w:val="center"/>
          </w:tcPr>
          <w:p w14:paraId="1DD3CB6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水泥</w:t>
            </w:r>
          </w:p>
        </w:tc>
        <w:tc>
          <w:tcPr>
            <w:tcW w:w="825" w:type="dxa"/>
            <w:tcBorders>
              <w:top w:val="nil"/>
              <w:left w:val="single" w:color="000000" w:sz="8" w:space="0"/>
              <w:bottom w:val="single" w:color="000000" w:sz="8" w:space="0"/>
              <w:right w:val="single" w:color="000000" w:sz="8" w:space="0"/>
            </w:tcBorders>
            <w:shd w:val="clear" w:color="auto" w:fill="auto"/>
            <w:vAlign w:val="center"/>
          </w:tcPr>
          <w:p w14:paraId="5EFC93A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吨</w:t>
            </w:r>
          </w:p>
        </w:tc>
        <w:tc>
          <w:tcPr>
            <w:tcW w:w="1380" w:type="dxa"/>
            <w:tcBorders>
              <w:top w:val="nil"/>
              <w:left w:val="single" w:color="000000" w:sz="8" w:space="0"/>
              <w:bottom w:val="single" w:color="000000" w:sz="8" w:space="0"/>
              <w:right w:val="single" w:color="000000" w:sz="8" w:space="0"/>
            </w:tcBorders>
            <w:shd w:val="clear" w:color="auto" w:fill="auto"/>
            <w:vAlign w:val="center"/>
          </w:tcPr>
          <w:p w14:paraId="79EE3D13">
            <w:pPr>
              <w:keepNext w:val="0"/>
              <w:keepLines w:val="0"/>
              <w:widowControl/>
              <w:suppressLineNumbers w:val="0"/>
              <w:jc w:val="center"/>
              <w:textAlignment w:val="center"/>
              <w:rPr>
                <w:rFonts w:hint="default" w:ascii="仿宋" w:hAnsi="仿宋" w:eastAsia="仿宋" w:cs="仿宋"/>
                <w:i w:val="0"/>
                <w:iCs w:val="0"/>
                <w:color w:val="000000"/>
                <w:sz w:val="20"/>
                <w:szCs w:val="20"/>
                <w:u w:val="none"/>
                <w:lang w:val="en-US"/>
              </w:rPr>
            </w:pPr>
            <w:r>
              <w:rPr>
                <w:rFonts w:hint="eastAsia" w:ascii="仿宋" w:hAnsi="仿宋" w:eastAsia="仿宋" w:cs="仿宋"/>
                <w:i w:val="0"/>
                <w:iCs w:val="0"/>
                <w:color w:val="000000"/>
                <w:kern w:val="0"/>
                <w:sz w:val="20"/>
                <w:szCs w:val="20"/>
                <w:u w:val="none"/>
                <w:lang w:val="en-US" w:eastAsia="zh-CN" w:bidi="ar"/>
              </w:rPr>
              <w:t>7000</w:t>
            </w:r>
          </w:p>
        </w:tc>
        <w:tc>
          <w:tcPr>
            <w:tcW w:w="1847" w:type="dxa"/>
            <w:tcBorders>
              <w:top w:val="nil"/>
              <w:left w:val="single" w:color="000000" w:sz="8" w:space="0"/>
              <w:bottom w:val="single" w:color="000000" w:sz="8" w:space="0"/>
              <w:right w:val="nil"/>
            </w:tcBorders>
            <w:shd w:val="clear" w:color="auto" w:fill="auto"/>
            <w:vAlign w:val="center"/>
          </w:tcPr>
          <w:p w14:paraId="11E214CA">
            <w:pPr>
              <w:keepNext w:val="0"/>
              <w:keepLines w:val="0"/>
              <w:widowControl/>
              <w:suppressLineNumbers w:val="0"/>
              <w:jc w:val="center"/>
              <w:textAlignment w:val="center"/>
              <w:rPr>
                <w:rFonts w:hint="default" w:ascii="仿宋" w:hAnsi="仿宋" w:eastAsia="仿宋" w:cs="仿宋"/>
                <w:i w:val="0"/>
                <w:iCs w:val="0"/>
                <w:color w:val="000000"/>
                <w:sz w:val="18"/>
                <w:szCs w:val="18"/>
                <w:u w:val="none"/>
                <w:lang w:val="en-US"/>
              </w:rPr>
            </w:pPr>
            <w:r>
              <w:rPr>
                <w:rFonts w:hint="eastAsia" w:ascii="仿宋" w:hAnsi="仿宋" w:eastAsia="仿宋" w:cs="仿宋"/>
                <w:i w:val="0"/>
                <w:iCs w:val="0"/>
                <w:color w:val="000000"/>
                <w:kern w:val="0"/>
                <w:sz w:val="18"/>
                <w:szCs w:val="18"/>
                <w:u w:val="none"/>
                <w:lang w:val="en-US" w:eastAsia="zh-CN" w:bidi="ar"/>
              </w:rPr>
              <w:t>安徽池州海螺水泥股份有限公司</w:t>
            </w:r>
          </w:p>
        </w:tc>
        <w:tc>
          <w:tcPr>
            <w:tcW w:w="1260" w:type="dxa"/>
            <w:tcBorders>
              <w:top w:val="nil"/>
              <w:left w:val="single" w:color="000000" w:sz="8" w:space="0"/>
              <w:bottom w:val="single" w:color="000000" w:sz="8" w:space="0"/>
              <w:right w:val="nil"/>
            </w:tcBorders>
            <w:shd w:val="clear" w:color="auto" w:fill="auto"/>
            <w:vAlign w:val="center"/>
          </w:tcPr>
          <w:p w14:paraId="32981079">
            <w:pPr>
              <w:keepNext w:val="0"/>
              <w:keepLines w:val="0"/>
              <w:widowControl/>
              <w:suppressLineNumbers w:val="0"/>
              <w:jc w:val="center"/>
              <w:textAlignment w:val="center"/>
              <w:rPr>
                <w:rFonts w:hint="eastAsia"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sz w:val="18"/>
                <w:szCs w:val="18"/>
                <w:u w:val="none"/>
                <w:lang w:val="en-US" w:eastAsia="zh-CN"/>
              </w:rPr>
              <w:t>池州市</w:t>
            </w:r>
          </w:p>
        </w:tc>
        <w:tc>
          <w:tcPr>
            <w:tcW w:w="230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B7CAC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安徽省池州市贵池区殷汇镇枫树王中交一公局五公司池州G236改建01标项目施工现场</w:t>
            </w:r>
          </w:p>
        </w:tc>
        <w:tc>
          <w:tcPr>
            <w:tcW w:w="855" w:type="dxa"/>
            <w:tcBorders>
              <w:top w:val="nil"/>
              <w:left w:val="nil"/>
              <w:bottom w:val="single" w:color="000000" w:sz="8" w:space="0"/>
              <w:right w:val="single" w:color="000000" w:sz="8" w:space="0"/>
            </w:tcBorders>
            <w:shd w:val="clear" w:color="auto" w:fill="auto"/>
            <w:vAlign w:val="center"/>
          </w:tcPr>
          <w:p w14:paraId="1DD265F9">
            <w:pPr>
              <w:jc w:val="center"/>
              <w:rPr>
                <w:rFonts w:hint="eastAsia" w:ascii="仿宋" w:hAnsi="仿宋" w:eastAsia="仿宋" w:cs="仿宋"/>
                <w:i w:val="0"/>
                <w:iCs w:val="0"/>
                <w:color w:val="000000"/>
                <w:sz w:val="20"/>
                <w:szCs w:val="20"/>
                <w:u w:val="none"/>
              </w:rPr>
            </w:pPr>
          </w:p>
        </w:tc>
      </w:tr>
      <w:tr w14:paraId="01478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330" w:type="dxa"/>
            <w:gridSpan w:val="4"/>
            <w:tcBorders>
              <w:top w:val="nil"/>
              <w:left w:val="single" w:color="000000" w:sz="8" w:space="0"/>
              <w:bottom w:val="single" w:color="000000" w:sz="8" w:space="0"/>
              <w:right w:val="single" w:color="000000" w:sz="8" w:space="0"/>
            </w:tcBorders>
            <w:shd w:val="clear" w:color="auto" w:fill="auto"/>
            <w:noWrap/>
            <w:vAlign w:val="center"/>
          </w:tcPr>
          <w:p w14:paraId="2B98004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合计</w:t>
            </w:r>
          </w:p>
        </w:tc>
        <w:tc>
          <w:tcPr>
            <w:tcW w:w="1380" w:type="dxa"/>
            <w:tcBorders>
              <w:top w:val="nil"/>
              <w:left w:val="single" w:color="000000" w:sz="8" w:space="0"/>
              <w:bottom w:val="single" w:color="000000" w:sz="8" w:space="0"/>
              <w:right w:val="single" w:color="000000" w:sz="8" w:space="0"/>
            </w:tcBorders>
            <w:shd w:val="clear" w:color="auto" w:fill="auto"/>
            <w:noWrap/>
            <w:vAlign w:val="center"/>
          </w:tcPr>
          <w:p w14:paraId="491C3D71">
            <w:pPr>
              <w:keepNext w:val="0"/>
              <w:keepLines w:val="0"/>
              <w:widowControl/>
              <w:suppressLineNumbers w:val="0"/>
              <w:jc w:val="center"/>
              <w:textAlignment w:val="center"/>
              <w:rPr>
                <w:rFonts w:hint="default" w:ascii="仿宋" w:hAnsi="仿宋" w:eastAsia="仿宋" w:cs="仿宋"/>
                <w:i w:val="0"/>
                <w:iCs w:val="0"/>
                <w:color w:val="000000"/>
                <w:sz w:val="20"/>
                <w:szCs w:val="20"/>
                <w:u w:val="none"/>
                <w:lang w:val="en-US"/>
              </w:rPr>
            </w:pPr>
            <w:r>
              <w:rPr>
                <w:rFonts w:hint="eastAsia" w:ascii="仿宋" w:hAnsi="仿宋" w:eastAsia="仿宋" w:cs="仿宋"/>
                <w:i w:val="0"/>
                <w:iCs w:val="0"/>
                <w:color w:val="000000"/>
                <w:kern w:val="0"/>
                <w:sz w:val="20"/>
                <w:szCs w:val="20"/>
                <w:u w:val="none"/>
                <w:lang w:val="en-US" w:eastAsia="zh-CN" w:bidi="ar"/>
              </w:rPr>
              <w:t>7000</w:t>
            </w:r>
          </w:p>
        </w:tc>
        <w:tc>
          <w:tcPr>
            <w:tcW w:w="1847" w:type="dxa"/>
            <w:tcBorders>
              <w:top w:val="nil"/>
              <w:left w:val="single" w:color="000000" w:sz="8" w:space="0"/>
              <w:bottom w:val="single" w:color="000000" w:sz="8" w:space="0"/>
              <w:right w:val="single" w:color="000000" w:sz="8" w:space="0"/>
            </w:tcBorders>
            <w:shd w:val="clear" w:color="auto" w:fill="auto"/>
            <w:noWrap/>
            <w:vAlign w:val="center"/>
          </w:tcPr>
          <w:p w14:paraId="14F83D3F">
            <w:pPr>
              <w:jc w:val="center"/>
              <w:rPr>
                <w:rFonts w:hint="eastAsia" w:ascii="仿宋" w:hAnsi="仿宋" w:eastAsia="仿宋" w:cs="仿宋"/>
                <w:i w:val="0"/>
                <w:iCs w:val="0"/>
                <w:color w:val="000000"/>
                <w:sz w:val="22"/>
                <w:szCs w:val="22"/>
                <w:u w:val="none"/>
              </w:rPr>
            </w:pPr>
          </w:p>
        </w:tc>
        <w:tc>
          <w:tcPr>
            <w:tcW w:w="1260" w:type="dxa"/>
            <w:tcBorders>
              <w:top w:val="nil"/>
              <w:left w:val="single" w:color="000000" w:sz="8" w:space="0"/>
              <w:bottom w:val="single" w:color="000000" w:sz="8" w:space="0"/>
              <w:right w:val="single" w:color="000000" w:sz="8" w:space="0"/>
            </w:tcBorders>
            <w:shd w:val="clear" w:color="auto" w:fill="auto"/>
            <w:noWrap/>
            <w:vAlign w:val="center"/>
          </w:tcPr>
          <w:p w14:paraId="5F08E73A">
            <w:pPr>
              <w:jc w:val="center"/>
              <w:rPr>
                <w:rFonts w:hint="eastAsia" w:ascii="仿宋" w:hAnsi="仿宋" w:eastAsia="仿宋" w:cs="仿宋"/>
                <w:i w:val="0"/>
                <w:iCs w:val="0"/>
                <w:color w:val="000000"/>
                <w:sz w:val="22"/>
                <w:szCs w:val="22"/>
                <w:u w:val="none"/>
              </w:rPr>
            </w:pPr>
          </w:p>
        </w:tc>
        <w:tc>
          <w:tcPr>
            <w:tcW w:w="2308" w:type="dxa"/>
            <w:tcBorders>
              <w:top w:val="nil"/>
              <w:left w:val="single" w:color="000000" w:sz="8" w:space="0"/>
              <w:bottom w:val="single" w:color="000000" w:sz="8" w:space="0"/>
              <w:right w:val="single" w:color="000000" w:sz="8" w:space="0"/>
            </w:tcBorders>
            <w:shd w:val="clear" w:color="auto" w:fill="auto"/>
            <w:noWrap/>
            <w:vAlign w:val="center"/>
          </w:tcPr>
          <w:p w14:paraId="0B83680D">
            <w:pPr>
              <w:rPr>
                <w:rFonts w:hint="eastAsia" w:ascii="宋体" w:hAnsi="宋体" w:eastAsia="宋体" w:cs="宋体"/>
                <w:i w:val="0"/>
                <w:iCs w:val="0"/>
                <w:color w:val="000000"/>
                <w:sz w:val="22"/>
                <w:szCs w:val="22"/>
                <w:u w:val="none"/>
              </w:rPr>
            </w:pPr>
          </w:p>
        </w:tc>
        <w:tc>
          <w:tcPr>
            <w:tcW w:w="855" w:type="dxa"/>
            <w:tcBorders>
              <w:top w:val="nil"/>
              <w:left w:val="single" w:color="000000" w:sz="8" w:space="0"/>
              <w:bottom w:val="single" w:color="000000" w:sz="8" w:space="0"/>
              <w:right w:val="single" w:color="000000" w:sz="8" w:space="0"/>
            </w:tcBorders>
            <w:shd w:val="clear" w:color="auto" w:fill="auto"/>
            <w:noWrap/>
            <w:vAlign w:val="center"/>
          </w:tcPr>
          <w:p w14:paraId="671974C6">
            <w:pPr>
              <w:rPr>
                <w:rFonts w:hint="eastAsia" w:ascii="宋体" w:hAnsi="宋体" w:eastAsia="宋体" w:cs="宋体"/>
                <w:i w:val="0"/>
                <w:iCs w:val="0"/>
                <w:color w:val="000000"/>
                <w:sz w:val="22"/>
                <w:szCs w:val="22"/>
                <w:u w:val="none"/>
              </w:rPr>
            </w:pPr>
          </w:p>
        </w:tc>
      </w:tr>
    </w:tbl>
    <w:p w14:paraId="4D146D57">
      <w:pPr>
        <w:pStyle w:val="2"/>
        <w:keepNext w:val="0"/>
        <w:keepLines w:val="0"/>
        <w:pageBreakBefore w:val="0"/>
        <w:widowControl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bCs/>
          <w:color w:val="auto"/>
          <w:sz w:val="28"/>
          <w:szCs w:val="28"/>
          <w:highlight w:val="none"/>
        </w:rPr>
        <w:t>备注：</w:t>
      </w:r>
      <w:r>
        <w:rPr>
          <w:rFonts w:hint="eastAsia" w:ascii="仿宋" w:hAnsi="仿宋" w:eastAsia="仿宋"/>
          <w:bCs/>
          <w:color w:val="auto"/>
          <w:sz w:val="28"/>
          <w:szCs w:val="28"/>
          <w:highlight w:val="none"/>
          <w:lang w:val="en-US" w:eastAsia="zh-CN"/>
        </w:rPr>
        <w:t>（1）</w:t>
      </w:r>
      <w:r>
        <w:rPr>
          <w:rFonts w:hint="eastAsia" w:ascii="仿宋" w:hAnsi="仿宋" w:eastAsia="仿宋" w:cs="仿宋"/>
          <w:color w:val="auto"/>
          <w:kern w:val="2"/>
          <w:sz w:val="28"/>
          <w:szCs w:val="28"/>
          <w:highlight w:val="none"/>
          <w:lang w:val="en-US" w:eastAsia="zh-CN" w:bidi="ar-SA"/>
        </w:rPr>
        <w:t>以上数量均为预计数量，具体数量以实际使用量为准，采购人不承担因数量变动给报价人带来的任何损失，具体进货时间根据工程实际进度需求而定，报价人应予理解并接受。</w:t>
      </w:r>
    </w:p>
    <w:p w14:paraId="5A8073BC">
      <w:pPr>
        <w:adjustRightInd w:val="0"/>
        <w:snapToGrid w:val="0"/>
        <w:spacing w:before="156" w:beforeLines="50" w:line="360" w:lineRule="auto"/>
        <w:rPr>
          <w:rFonts w:hint="eastAsia"/>
          <w:color w:val="auto"/>
          <w:highlight w:val="none"/>
        </w:rPr>
      </w:pPr>
      <w:r>
        <w:rPr>
          <w:rFonts w:hint="eastAsia" w:ascii="仿宋" w:hAnsi="仿宋" w:eastAsia="仿宋"/>
          <w:b/>
          <w:color w:val="auto"/>
          <w:sz w:val="28"/>
          <w:szCs w:val="18"/>
          <w:highlight w:val="none"/>
        </w:rPr>
        <w:t>3.</w:t>
      </w:r>
      <w:r>
        <w:rPr>
          <w:rFonts w:hint="eastAsia" w:ascii="仿宋" w:hAnsi="仿宋" w:eastAsia="仿宋"/>
          <w:b/>
          <w:color w:val="auto"/>
          <w:sz w:val="28"/>
          <w:szCs w:val="18"/>
          <w:highlight w:val="none"/>
          <w:lang w:val="en-US" w:eastAsia="zh-CN"/>
        </w:rPr>
        <w:t>采购</w:t>
      </w:r>
      <w:r>
        <w:rPr>
          <w:rFonts w:hint="eastAsia" w:ascii="仿宋" w:hAnsi="仿宋" w:eastAsia="仿宋"/>
          <w:b/>
          <w:color w:val="auto"/>
          <w:sz w:val="28"/>
          <w:szCs w:val="18"/>
          <w:highlight w:val="none"/>
        </w:rPr>
        <w:t>方式：</w:t>
      </w:r>
      <w:r>
        <w:rPr>
          <w:rFonts w:hint="eastAsia" w:ascii="仿宋" w:hAnsi="仿宋" w:eastAsia="仿宋"/>
          <w:color w:val="auto"/>
          <w:sz w:val="28"/>
          <w:szCs w:val="18"/>
          <w:highlight w:val="none"/>
        </w:rPr>
        <w:t>采用公开</w:t>
      </w:r>
      <w:r>
        <w:rPr>
          <w:rFonts w:hint="eastAsia" w:ascii="仿宋" w:hAnsi="仿宋" w:eastAsia="仿宋"/>
          <w:color w:val="auto"/>
          <w:sz w:val="28"/>
          <w:szCs w:val="18"/>
          <w:highlight w:val="none"/>
          <w:lang w:val="en-US" w:eastAsia="zh-CN"/>
        </w:rPr>
        <w:t>竞价</w:t>
      </w:r>
      <w:r>
        <w:rPr>
          <w:rFonts w:hint="eastAsia" w:ascii="仿宋" w:hAnsi="仿宋" w:eastAsia="仿宋"/>
          <w:color w:val="auto"/>
          <w:sz w:val="28"/>
          <w:szCs w:val="18"/>
          <w:highlight w:val="none"/>
        </w:rPr>
        <w:t>方式。</w:t>
      </w:r>
    </w:p>
    <w:p w14:paraId="74FB7FA4">
      <w:pPr>
        <w:adjustRightInd w:val="0"/>
        <w:snapToGrid w:val="0"/>
        <w:spacing w:line="360" w:lineRule="auto"/>
        <w:rPr>
          <w:rFonts w:hint="eastAsia" w:ascii="仿宋" w:hAnsi="仿宋" w:eastAsia="仿宋" w:cs="仿宋"/>
          <w:b/>
          <w:bCs/>
          <w:color w:val="auto"/>
          <w:sz w:val="24"/>
          <w:highlight w:val="none"/>
        </w:rPr>
      </w:pPr>
      <w:r>
        <w:rPr>
          <w:rFonts w:hint="eastAsia" w:ascii="仿宋" w:hAnsi="仿宋" w:eastAsia="仿宋"/>
          <w:b/>
          <w:color w:val="auto"/>
          <w:sz w:val="28"/>
          <w:szCs w:val="18"/>
          <w:highlight w:val="none"/>
        </w:rPr>
        <w:t>4.</w:t>
      </w:r>
      <w:r>
        <w:rPr>
          <w:rFonts w:hint="eastAsia" w:ascii="仿宋" w:hAnsi="仿宋" w:eastAsia="仿宋"/>
          <w:b/>
          <w:color w:val="auto"/>
          <w:sz w:val="28"/>
          <w:szCs w:val="18"/>
          <w:highlight w:val="none"/>
          <w:lang w:val="en-US" w:eastAsia="zh-CN"/>
        </w:rPr>
        <w:t>报价</w:t>
      </w:r>
      <w:r>
        <w:rPr>
          <w:rFonts w:hint="eastAsia" w:ascii="仿宋" w:hAnsi="仿宋" w:eastAsia="仿宋"/>
          <w:b/>
          <w:color w:val="auto"/>
          <w:sz w:val="28"/>
          <w:szCs w:val="18"/>
          <w:highlight w:val="none"/>
        </w:rPr>
        <w:t>人资格要求</w:t>
      </w:r>
    </w:p>
    <w:p w14:paraId="3D84C756">
      <w:pPr>
        <w:spacing w:line="360" w:lineRule="auto"/>
        <w:ind w:firstLine="560" w:firstLineChars="200"/>
        <w:jc w:val="left"/>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4.1 营业范围：在中华人民共和国境内依法注册，具有</w:t>
      </w:r>
      <w:r>
        <w:rPr>
          <w:rFonts w:hint="eastAsia" w:ascii="仿宋" w:hAnsi="仿宋" w:eastAsia="仿宋" w:cs="仿宋"/>
          <w:color w:val="auto"/>
          <w:sz w:val="28"/>
          <w:szCs w:val="28"/>
          <w:highlight w:val="none"/>
          <w:lang w:val="en-US" w:eastAsia="zh-CN"/>
        </w:rPr>
        <w:t>水泥</w:t>
      </w:r>
      <w:r>
        <w:rPr>
          <w:rFonts w:hint="eastAsia" w:ascii="仿宋" w:hAnsi="仿宋" w:eastAsia="仿宋" w:cs="仿宋"/>
          <w:color w:val="auto"/>
          <w:sz w:val="28"/>
          <w:szCs w:val="28"/>
          <w:highlight w:val="none"/>
        </w:rPr>
        <w:t>货物运输经验的运输企业（具备一般纳税人资格）并且具有合法、有效的企业法人营业执照、税务登记证书、组织机构代码证（三证合一的不用单独提供）、道路运输经营许可证、开户许可证。</w:t>
      </w:r>
    </w:p>
    <w:p w14:paraId="540E7544">
      <w:pPr>
        <w:spacing w:line="360" w:lineRule="auto"/>
        <w:ind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4.2 承运能力：运输企业</w:t>
      </w:r>
      <w:r>
        <w:rPr>
          <w:rFonts w:hint="eastAsia" w:ascii="仿宋" w:hAnsi="仿宋" w:eastAsia="仿宋" w:cs="仿宋"/>
          <w:color w:val="auto"/>
          <w:sz w:val="28"/>
          <w:szCs w:val="28"/>
          <w:highlight w:val="none"/>
          <w:lang w:val="en-US" w:eastAsia="zh-CN"/>
        </w:rPr>
        <w:t>水泥</w:t>
      </w:r>
      <w:r>
        <w:rPr>
          <w:rFonts w:hint="eastAsia" w:ascii="仿宋" w:hAnsi="仿宋" w:eastAsia="仿宋" w:cs="仿宋"/>
          <w:color w:val="auto"/>
          <w:sz w:val="28"/>
          <w:szCs w:val="28"/>
          <w:highlight w:val="none"/>
        </w:rPr>
        <w:t>运输的车辆不低于</w:t>
      </w:r>
      <w:r>
        <w:rPr>
          <w:rFonts w:hint="eastAsia" w:ascii="仿宋" w:hAnsi="仿宋" w:eastAsia="仿宋" w:cs="仿宋"/>
          <w:color w:val="auto"/>
          <w:sz w:val="28"/>
          <w:szCs w:val="28"/>
          <w:highlight w:val="none"/>
          <w:lang w:val="en-US" w:eastAsia="zh-CN"/>
        </w:rPr>
        <w:t>10</w:t>
      </w:r>
      <w:r>
        <w:rPr>
          <w:rFonts w:hint="eastAsia" w:ascii="仿宋" w:hAnsi="仿宋" w:eastAsia="仿宋" w:cs="仿宋"/>
          <w:color w:val="auto"/>
          <w:sz w:val="28"/>
          <w:szCs w:val="28"/>
          <w:highlight w:val="none"/>
        </w:rPr>
        <w:t>辆，其中自有车辆不低于</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辆。</w:t>
      </w:r>
    </w:p>
    <w:p w14:paraId="3BF61354">
      <w:pPr>
        <w:spacing w:line="360" w:lineRule="auto"/>
        <w:ind w:firstLine="560" w:firstLineChars="200"/>
        <w:jc w:val="left"/>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4.3 运输保证能力：具备运输风险抵抗能力和运输质量保障能力，能够承担在运输过程中造成的一切货物损失</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具有</w:t>
      </w:r>
      <w:r>
        <w:rPr>
          <w:rFonts w:hint="eastAsia" w:ascii="仿宋" w:hAnsi="仿宋" w:eastAsia="仿宋" w:cs="仿宋"/>
          <w:color w:val="auto"/>
          <w:sz w:val="28"/>
          <w:szCs w:val="28"/>
          <w:highlight w:val="none"/>
        </w:rPr>
        <w:t>运输过程中货物质量保障方案和按期运达交货地点的运送组织方案。</w:t>
      </w:r>
      <w:r>
        <w:rPr>
          <w:rFonts w:hint="eastAsia" w:ascii="仿宋" w:hAnsi="仿宋" w:eastAsia="仿宋" w:cs="仿宋"/>
          <w:color w:val="auto"/>
          <w:sz w:val="28"/>
          <w:szCs w:val="28"/>
          <w:highlight w:val="none"/>
          <w:lang w:val="en-US" w:eastAsia="zh-CN"/>
        </w:rPr>
        <w:t>有符合规定条件的驾驶人员;能够满足国家法律法规规定的其他条件。</w:t>
      </w:r>
    </w:p>
    <w:p w14:paraId="758FC384">
      <w:pPr>
        <w:spacing w:line="360" w:lineRule="auto"/>
        <w:ind w:firstLine="560" w:firstLineChars="200"/>
        <w:jc w:val="left"/>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4.4 运输业绩：</w:t>
      </w:r>
      <w:r>
        <w:rPr>
          <w:rFonts w:hint="eastAsia" w:ascii="仿宋" w:hAnsi="仿宋" w:eastAsia="仿宋" w:cs="仿宋"/>
          <w:color w:val="auto"/>
          <w:sz w:val="28"/>
          <w:szCs w:val="28"/>
          <w:highlight w:val="none"/>
          <w:lang w:val="en-US" w:eastAsia="zh-CN"/>
        </w:rPr>
        <w:t>有类似工程运输经验</w:t>
      </w:r>
      <w:r>
        <w:rPr>
          <w:rFonts w:hint="eastAsia" w:ascii="仿宋" w:hAnsi="仿宋" w:eastAsia="仿宋" w:cs="仿宋"/>
          <w:color w:val="auto"/>
          <w:sz w:val="28"/>
          <w:szCs w:val="28"/>
          <w:highlight w:val="none"/>
        </w:rPr>
        <w:t>。</w:t>
      </w:r>
    </w:p>
    <w:p w14:paraId="5FEA2E2B">
      <w:pPr>
        <w:spacing w:line="360" w:lineRule="auto"/>
        <w:ind w:firstLine="560" w:firstLineChars="200"/>
        <w:jc w:val="left"/>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4.5 履约信用：运输企业具有良好的社会信誉，近期没有在其他项目货物运输中提供虚假材料或违规违纪处于被处罚阶段；最近两年内没有与骗取合同有关的犯罪或严重违法行为而引起的诉讼和仲裁；近两年不曾在合同中严重违约或被逐；财产未被接管或冻结</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未与中交一局及下属单位发生法律纠纷。</w:t>
      </w:r>
    </w:p>
    <w:p w14:paraId="4C7E2066">
      <w:pPr>
        <w:spacing w:line="360" w:lineRule="auto"/>
        <w:ind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4.6 其他要求：不接受联合体参与竞价。</w:t>
      </w:r>
    </w:p>
    <w:p w14:paraId="16962ECB">
      <w:pPr>
        <w:spacing w:line="360" w:lineRule="auto"/>
        <w:ind w:firstLine="560" w:firstLineChars="200"/>
        <w:jc w:val="left"/>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4.7不得参加竞拍的情况：</w:t>
      </w:r>
    </w:p>
    <w:p w14:paraId="6F3AFFAE">
      <w:pPr>
        <w:spacing w:line="360" w:lineRule="auto"/>
        <w:ind w:firstLine="560" w:firstLineChars="200"/>
        <w:jc w:val="left"/>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未取得法律法规规定货运相关经营许可，擅自从事货运站经营的;使用失效、伪造、变造、被注销等无效的道路运输经营许可证件从事货运站经营的;被中国交建所属各单位纳入黑名单的；国家法律法规规定的不满足运输条件的其情况不得参加竞拍。</w:t>
      </w:r>
    </w:p>
    <w:p w14:paraId="720AACB9">
      <w:pPr>
        <w:spacing w:line="360" w:lineRule="auto"/>
        <w:ind w:firstLine="560" w:firstLineChars="200"/>
        <w:jc w:val="left"/>
        <w:rPr>
          <w:rFonts w:hint="default" w:ascii="仿宋" w:hAnsi="仿宋" w:eastAsia="仿宋" w:cs="仿宋"/>
          <w:color w:val="FF0000"/>
          <w:sz w:val="28"/>
          <w:szCs w:val="28"/>
          <w:highlight w:val="none"/>
          <w:lang w:val="en-US" w:eastAsia="zh-CN"/>
        </w:rPr>
      </w:pPr>
      <w:r>
        <w:rPr>
          <w:rFonts w:hint="default" w:ascii="仿宋" w:hAnsi="仿宋" w:eastAsia="仿宋" w:cs="仿宋"/>
          <w:color w:val="FF0000"/>
          <w:sz w:val="28"/>
          <w:szCs w:val="28"/>
          <w:highlight w:val="none"/>
          <w:lang w:val="en-US" w:eastAsia="zh-CN"/>
        </w:rPr>
        <w:t>不能满足上述条件之一的，禁止参与报名竞价，有瞒报或恶意参与竞争者，一经发现，做废标及黑名单处理。</w:t>
      </w:r>
    </w:p>
    <w:p w14:paraId="143262F8">
      <w:pPr>
        <w:pStyle w:val="2"/>
        <w:numPr>
          <w:ilvl w:val="0"/>
          <w:numId w:val="2"/>
        </w:numP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en-US" w:eastAsia="zh-CN"/>
        </w:rPr>
        <w:t>报价</w:t>
      </w:r>
      <w:r>
        <w:rPr>
          <w:rFonts w:hint="eastAsia" w:ascii="仿宋" w:hAnsi="仿宋" w:eastAsia="仿宋" w:cs="仿宋"/>
          <w:b/>
          <w:bCs/>
          <w:color w:val="auto"/>
          <w:sz w:val="28"/>
          <w:szCs w:val="28"/>
          <w:highlight w:val="none"/>
        </w:rPr>
        <w:t>人注册</w:t>
      </w:r>
    </w:p>
    <w:p w14:paraId="58048046">
      <w:pPr>
        <w:pStyle w:val="2"/>
        <w:spacing w:line="240" w:lineRule="atLeast"/>
        <w:ind w:firstLine="560" w:firstLineChars="200"/>
        <w:rPr>
          <w:rFonts w:hint="default"/>
          <w:lang w:val="en-US" w:eastAsia="zh-CN"/>
        </w:rPr>
      </w:pPr>
      <w:r>
        <w:rPr>
          <w:rFonts w:hint="eastAsia" w:ascii="仿宋" w:hAnsi="仿宋" w:eastAsia="仿宋" w:cs="仿宋"/>
          <w:b w:val="0"/>
          <w:bCs w:val="0"/>
          <w:color w:val="auto"/>
          <w:sz w:val="28"/>
          <w:szCs w:val="28"/>
          <w:highlight w:val="none"/>
          <w:u w:val="none"/>
          <w:lang w:val="en-US" w:eastAsia="zh-CN"/>
        </w:rPr>
        <w:t>报价</w:t>
      </w:r>
      <w:r>
        <w:rPr>
          <w:rFonts w:hint="eastAsia" w:ascii="仿宋" w:hAnsi="仿宋" w:eastAsia="仿宋" w:cs="仿宋"/>
          <w:b w:val="0"/>
          <w:bCs w:val="0"/>
          <w:color w:val="auto"/>
          <w:sz w:val="28"/>
          <w:szCs w:val="28"/>
          <w:highlight w:val="none"/>
          <w:u w:val="none"/>
        </w:rPr>
        <w:t>人需登录中交集团供应链管理信息系统（网址：</w:t>
      </w:r>
      <w:r>
        <w:rPr>
          <w:rFonts w:hint="eastAsia" w:ascii="仿宋" w:hAnsi="仿宋" w:eastAsia="仿宋" w:cs="仿宋"/>
          <w:b w:val="0"/>
          <w:bCs w:val="0"/>
          <w:color w:val="auto"/>
          <w:sz w:val="28"/>
          <w:szCs w:val="28"/>
          <w:highlight w:val="none"/>
          <w:u w:val="none"/>
        </w:rPr>
        <w:fldChar w:fldCharType="begin"/>
      </w:r>
      <w:r>
        <w:rPr>
          <w:rFonts w:hint="eastAsia" w:ascii="仿宋" w:hAnsi="仿宋" w:eastAsia="仿宋" w:cs="仿宋"/>
          <w:b w:val="0"/>
          <w:bCs w:val="0"/>
          <w:color w:val="auto"/>
          <w:sz w:val="28"/>
          <w:szCs w:val="28"/>
          <w:highlight w:val="none"/>
          <w:u w:val="none"/>
        </w:rPr>
        <w:instrText xml:space="preserve"> HYPERLINK "http://ec.ccccltd.cn）供应商注册，未注册成功的供应商将无法参与报价。注册后需提交合作意向申请，选择\“北京凯通物资有限公司\”，待凯通公司审批通过后方能参与报名、报价。" </w:instrText>
      </w:r>
      <w:r>
        <w:rPr>
          <w:rFonts w:hint="eastAsia" w:ascii="仿宋" w:hAnsi="仿宋" w:eastAsia="仿宋" w:cs="仿宋"/>
          <w:b w:val="0"/>
          <w:bCs w:val="0"/>
          <w:color w:val="auto"/>
          <w:sz w:val="28"/>
          <w:szCs w:val="28"/>
          <w:highlight w:val="none"/>
          <w:u w:val="none"/>
        </w:rPr>
        <w:fldChar w:fldCharType="separate"/>
      </w:r>
      <w:r>
        <w:rPr>
          <w:rStyle w:val="40"/>
          <w:rFonts w:hint="eastAsia" w:ascii="仿宋" w:hAnsi="仿宋" w:eastAsia="仿宋" w:cs="仿宋"/>
          <w:b w:val="0"/>
          <w:bCs w:val="0"/>
          <w:color w:val="auto"/>
          <w:sz w:val="28"/>
          <w:szCs w:val="28"/>
          <w:highlight w:val="none"/>
          <w:u w:val="none"/>
        </w:rPr>
        <w:t>http://ec.ccccltd.cn）供应商注册，未注册成功的供应商将无法参与</w:t>
      </w:r>
      <w:r>
        <w:rPr>
          <w:rStyle w:val="40"/>
          <w:rFonts w:hint="eastAsia" w:ascii="仿宋" w:hAnsi="仿宋" w:eastAsia="仿宋" w:cs="仿宋"/>
          <w:b w:val="0"/>
          <w:bCs w:val="0"/>
          <w:color w:val="auto"/>
          <w:sz w:val="28"/>
          <w:szCs w:val="28"/>
          <w:highlight w:val="none"/>
          <w:u w:val="none"/>
          <w:lang w:eastAsia="zh-CN"/>
        </w:rPr>
        <w:t>报价</w:t>
      </w:r>
      <w:r>
        <w:rPr>
          <w:rStyle w:val="40"/>
          <w:rFonts w:hint="eastAsia" w:ascii="仿宋" w:hAnsi="仿宋" w:eastAsia="仿宋" w:cs="仿宋"/>
          <w:b w:val="0"/>
          <w:bCs w:val="0"/>
          <w:color w:val="auto"/>
          <w:sz w:val="28"/>
          <w:szCs w:val="28"/>
          <w:highlight w:val="none"/>
          <w:u w:val="none"/>
        </w:rPr>
        <w:t>。</w:t>
      </w:r>
      <w:r>
        <w:rPr>
          <w:rStyle w:val="40"/>
          <w:rFonts w:hint="eastAsia" w:ascii="仿宋" w:hAnsi="仿宋" w:eastAsia="仿宋" w:cs="仿宋"/>
          <w:b w:val="0"/>
          <w:bCs w:val="0"/>
          <w:color w:val="auto"/>
          <w:sz w:val="28"/>
          <w:szCs w:val="28"/>
          <w:highlight w:val="none"/>
          <w:u w:val="none"/>
          <w:shd w:val="clear" w:color="auto" w:fill="auto"/>
          <w:lang w:val="en-US" w:eastAsia="zh-CN"/>
        </w:rPr>
        <w:t>注册后需提交合作意向申请，选择“北京凯通物资有限公司”，待凯通公司审批通过后方能参与报名、报价。</w:t>
      </w:r>
      <w:r>
        <w:rPr>
          <w:rFonts w:hint="eastAsia" w:ascii="仿宋" w:hAnsi="仿宋" w:eastAsia="仿宋" w:cs="仿宋"/>
          <w:b w:val="0"/>
          <w:bCs w:val="0"/>
          <w:color w:val="auto"/>
          <w:sz w:val="28"/>
          <w:szCs w:val="28"/>
          <w:highlight w:val="none"/>
          <w:u w:val="none"/>
        </w:rPr>
        <w:fldChar w:fldCharType="end"/>
      </w:r>
    </w:p>
    <w:p w14:paraId="6F0F0C29">
      <w:pPr>
        <w:numPr>
          <w:ilvl w:val="0"/>
          <w:numId w:val="2"/>
        </w:numPr>
        <w:adjustRightInd w:val="0"/>
        <w:snapToGrid w:val="0"/>
        <w:spacing w:line="360" w:lineRule="auto"/>
        <w:ind w:left="0" w:leftChars="0" w:firstLine="0" w:firstLineChars="0"/>
        <w:rPr>
          <w:rFonts w:hint="eastAsia" w:ascii="仿宋" w:hAnsi="仿宋" w:eastAsia="仿宋"/>
          <w:b/>
          <w:color w:val="auto"/>
          <w:sz w:val="28"/>
          <w:szCs w:val="18"/>
          <w:highlight w:val="none"/>
          <w:lang w:val="en-US" w:eastAsia="zh-CN"/>
        </w:rPr>
      </w:pPr>
      <w:r>
        <w:rPr>
          <w:rFonts w:hint="eastAsia" w:ascii="仿宋" w:hAnsi="仿宋" w:eastAsia="仿宋"/>
          <w:b/>
          <w:color w:val="auto"/>
          <w:sz w:val="28"/>
          <w:szCs w:val="18"/>
          <w:highlight w:val="none"/>
          <w:lang w:val="en-US" w:eastAsia="zh-CN"/>
        </w:rPr>
        <w:t>竞价时间及要求</w:t>
      </w:r>
    </w:p>
    <w:p w14:paraId="51C9C0B1">
      <w:pPr>
        <w:spacing w:line="360" w:lineRule="auto"/>
        <w:ind w:firstLine="560" w:firstLineChars="200"/>
        <w:rPr>
          <w:rFonts w:hint="eastAsia" w:ascii="仿宋" w:hAnsi="仿宋" w:eastAsia="仿宋" w:cs="仿宋"/>
          <w:b/>
          <w:bCs/>
          <w:color w:val="FF0000"/>
          <w:sz w:val="28"/>
          <w:szCs w:val="28"/>
          <w:highlight w:val="none"/>
          <w:lang w:val="en-US" w:eastAsia="zh-CN"/>
        </w:rPr>
      </w:pPr>
      <w:bookmarkStart w:id="7" w:name="_Toc487731761"/>
      <w:bookmarkStart w:id="8" w:name="_Toc463907276"/>
      <w:bookmarkStart w:id="9" w:name="_Toc463908707"/>
      <w:r>
        <w:rPr>
          <w:rFonts w:hint="eastAsia" w:ascii="仿宋" w:hAnsi="仿宋" w:eastAsia="仿宋" w:cs="仿宋"/>
          <w:b/>
          <w:bCs/>
          <w:color w:val="FF0000"/>
          <w:sz w:val="28"/>
          <w:szCs w:val="28"/>
          <w:highlight w:val="none"/>
          <w:lang w:val="en-US" w:eastAsia="zh-CN"/>
        </w:rPr>
        <w:t>竞价报名开始及结束时间：2025年7月11日上午10时至2025年7月15日上午10时。</w:t>
      </w:r>
    </w:p>
    <w:p w14:paraId="6BC16480">
      <w:pPr>
        <w:spacing w:line="360" w:lineRule="auto"/>
        <w:ind w:firstLine="560" w:firstLineChars="200"/>
        <w:rPr>
          <w:rFonts w:hint="eastAsia" w:ascii="仿宋" w:hAnsi="仿宋" w:eastAsia="仿宋" w:cs="仿宋"/>
          <w:b/>
          <w:bCs/>
          <w:color w:val="FF0000"/>
          <w:sz w:val="28"/>
          <w:szCs w:val="28"/>
          <w:highlight w:val="none"/>
          <w:lang w:val="en-US" w:eastAsia="zh-CN"/>
        </w:rPr>
      </w:pPr>
      <w:r>
        <w:rPr>
          <w:rFonts w:hint="eastAsia" w:ascii="仿宋" w:hAnsi="仿宋" w:eastAsia="仿宋" w:cs="仿宋"/>
          <w:b/>
          <w:bCs/>
          <w:color w:val="FF0000"/>
          <w:sz w:val="28"/>
          <w:szCs w:val="28"/>
          <w:highlight w:val="none"/>
          <w:lang w:val="en-US" w:eastAsia="zh-CN"/>
        </w:rPr>
        <w:t>竞价报价开始及结束时间：2025年7月15日上午10时至2025年7月16日上午10时。</w:t>
      </w:r>
    </w:p>
    <w:p w14:paraId="4CD38475">
      <w:pPr>
        <w:numPr>
          <w:ilvl w:val="0"/>
          <w:numId w:val="2"/>
        </w:numPr>
        <w:adjustRightInd w:val="0"/>
        <w:snapToGrid w:val="0"/>
        <w:spacing w:line="360" w:lineRule="auto"/>
        <w:ind w:left="0" w:leftChars="0" w:firstLine="0" w:firstLineChars="0"/>
        <w:rPr>
          <w:rFonts w:hint="eastAsia" w:ascii="仿宋" w:hAnsi="仿宋" w:eastAsia="仿宋"/>
          <w:b/>
          <w:color w:val="auto"/>
          <w:sz w:val="28"/>
          <w:szCs w:val="18"/>
          <w:highlight w:val="none"/>
          <w:lang w:val="en-US" w:eastAsia="zh-CN"/>
        </w:rPr>
      </w:pPr>
      <w:r>
        <w:rPr>
          <w:rFonts w:hint="eastAsia" w:ascii="仿宋" w:hAnsi="仿宋" w:eastAsia="仿宋"/>
          <w:b/>
          <w:color w:val="auto"/>
          <w:sz w:val="28"/>
          <w:szCs w:val="18"/>
          <w:highlight w:val="none"/>
          <w:lang w:val="en-US" w:eastAsia="zh-CN"/>
        </w:rPr>
        <w:t>开标时间</w:t>
      </w:r>
      <w:bookmarkEnd w:id="7"/>
    </w:p>
    <w:p w14:paraId="27C9BFEE">
      <w:pPr>
        <w:spacing w:line="360" w:lineRule="auto"/>
        <w:ind w:firstLine="560" w:firstLineChars="200"/>
        <w:rPr>
          <w:rFonts w:hint="eastAsia" w:ascii="仿宋" w:hAnsi="仿宋" w:eastAsia="仿宋"/>
          <w:b/>
          <w:color w:val="auto"/>
          <w:sz w:val="28"/>
          <w:szCs w:val="18"/>
          <w:highlight w:val="none"/>
          <w:lang w:val="en-US" w:eastAsia="zh-CN"/>
        </w:rPr>
      </w:pPr>
      <w:r>
        <w:rPr>
          <w:rFonts w:hint="eastAsia" w:ascii="仿宋" w:hAnsi="仿宋" w:eastAsia="仿宋" w:cs="仿宋"/>
          <w:b/>
          <w:bCs/>
          <w:color w:val="FF0000"/>
          <w:sz w:val="28"/>
          <w:szCs w:val="28"/>
          <w:highlight w:val="none"/>
          <w:lang w:val="en-US" w:eastAsia="zh-CN"/>
        </w:rPr>
        <w:t>开标时间：2025年7月16日上午10时，进行线上开标。</w:t>
      </w:r>
    </w:p>
    <w:p w14:paraId="2FBFDF02">
      <w:pPr>
        <w:adjustRightInd w:val="0"/>
        <w:snapToGrid w:val="0"/>
        <w:spacing w:line="360" w:lineRule="auto"/>
        <w:rPr>
          <w:rFonts w:hint="eastAsia" w:ascii="仿宋" w:hAnsi="仿宋" w:eastAsia="仿宋"/>
          <w:b/>
          <w:color w:val="auto"/>
          <w:sz w:val="28"/>
          <w:szCs w:val="18"/>
          <w:highlight w:val="none"/>
        </w:rPr>
      </w:pPr>
      <w:r>
        <w:rPr>
          <w:rFonts w:hint="eastAsia" w:ascii="仿宋" w:hAnsi="仿宋" w:eastAsia="仿宋"/>
          <w:b/>
          <w:color w:val="auto"/>
          <w:sz w:val="28"/>
          <w:szCs w:val="18"/>
          <w:highlight w:val="none"/>
          <w:lang w:val="en-US" w:eastAsia="zh-CN"/>
        </w:rPr>
        <w:t>8</w:t>
      </w:r>
      <w:r>
        <w:rPr>
          <w:rFonts w:hint="eastAsia" w:ascii="仿宋" w:hAnsi="仿宋" w:eastAsia="仿宋"/>
          <w:b/>
          <w:color w:val="auto"/>
          <w:sz w:val="28"/>
          <w:szCs w:val="18"/>
          <w:highlight w:val="none"/>
        </w:rPr>
        <w:t>.</w:t>
      </w:r>
      <w:r>
        <w:rPr>
          <w:rFonts w:hint="eastAsia" w:ascii="仿宋" w:hAnsi="仿宋" w:eastAsia="仿宋"/>
          <w:b/>
          <w:color w:val="auto"/>
          <w:sz w:val="28"/>
          <w:szCs w:val="18"/>
          <w:highlight w:val="none"/>
          <w:lang w:eastAsia="zh-CN"/>
        </w:rPr>
        <w:t>采购</w:t>
      </w:r>
      <w:r>
        <w:rPr>
          <w:rFonts w:hint="eastAsia" w:ascii="仿宋" w:hAnsi="仿宋" w:eastAsia="仿宋"/>
          <w:b/>
          <w:color w:val="auto"/>
          <w:sz w:val="28"/>
          <w:szCs w:val="18"/>
          <w:highlight w:val="none"/>
        </w:rPr>
        <w:t>现场勘察</w:t>
      </w:r>
    </w:p>
    <w:p w14:paraId="1A31A532">
      <w:pPr>
        <w:spacing w:line="360" w:lineRule="auto"/>
        <w:ind w:firstLine="560" w:firstLineChars="200"/>
        <w:rPr>
          <w:rFonts w:hint="eastAsia" w:ascii="仿宋" w:hAnsi="仿宋" w:eastAsia="仿宋" w:cs="Times New Roman"/>
          <w:b/>
          <w:color w:val="auto"/>
          <w:sz w:val="28"/>
          <w:szCs w:val="18"/>
          <w:highlight w:val="none"/>
          <w:lang w:val="en-US" w:eastAsia="zh-CN"/>
        </w:rPr>
      </w:pPr>
      <w:r>
        <w:rPr>
          <w:rFonts w:hint="eastAsia" w:ascii="仿宋" w:hAnsi="仿宋" w:eastAsia="仿宋"/>
          <w:color w:val="auto"/>
          <w:sz w:val="28"/>
          <w:szCs w:val="18"/>
          <w:highlight w:val="none"/>
          <w:lang w:val="en-US" w:eastAsia="zh-CN"/>
        </w:rPr>
        <w:t>本次运输招标路线</w:t>
      </w:r>
      <w:r>
        <w:rPr>
          <w:rFonts w:hint="eastAsia" w:ascii="仿宋" w:hAnsi="仿宋" w:eastAsia="仿宋"/>
          <w:color w:val="auto"/>
          <w:kern w:val="0"/>
          <w:sz w:val="28"/>
          <w:szCs w:val="18"/>
          <w:highlight w:val="none"/>
          <w:lang w:val="en-US" w:eastAsia="zh-CN"/>
        </w:rPr>
        <w:t>为从安徽池州海螺水泥股份有限公司运输至安徽省池州市贵池区殷汇镇枫树王，具体地点为安徽省池州市贵池区殷汇镇枫树王中交一公局五公司池州G236改建01标项目施工现场。</w:t>
      </w:r>
      <w:r>
        <w:rPr>
          <w:rFonts w:hint="eastAsia" w:ascii="仿宋" w:hAnsi="仿宋" w:eastAsia="仿宋"/>
          <w:color w:val="auto"/>
          <w:kern w:val="0"/>
          <w:sz w:val="28"/>
          <w:szCs w:val="18"/>
          <w:highlight w:val="none"/>
          <w:lang w:eastAsia="zh-CN"/>
        </w:rPr>
        <w:t>本</w:t>
      </w:r>
      <w:bookmarkEnd w:id="8"/>
      <w:bookmarkEnd w:id="9"/>
      <w:r>
        <w:rPr>
          <w:rFonts w:hint="eastAsia" w:ascii="仿宋" w:hAnsi="仿宋" w:eastAsia="仿宋"/>
          <w:color w:val="auto"/>
          <w:kern w:val="0"/>
          <w:sz w:val="28"/>
          <w:szCs w:val="18"/>
          <w:highlight w:val="none"/>
        </w:rPr>
        <w:t>次</w:t>
      </w:r>
      <w:r>
        <w:rPr>
          <w:rFonts w:hint="eastAsia" w:ascii="仿宋" w:hAnsi="仿宋" w:eastAsia="仿宋"/>
          <w:color w:val="auto"/>
          <w:kern w:val="0"/>
          <w:sz w:val="28"/>
          <w:szCs w:val="18"/>
          <w:highlight w:val="none"/>
          <w:lang w:val="en-US" w:eastAsia="zh-CN"/>
        </w:rPr>
        <w:t>采购</w:t>
      </w:r>
      <w:r>
        <w:rPr>
          <w:rFonts w:hint="eastAsia" w:ascii="仿宋" w:hAnsi="仿宋" w:eastAsia="仿宋"/>
          <w:color w:val="auto"/>
          <w:kern w:val="0"/>
          <w:sz w:val="28"/>
          <w:szCs w:val="18"/>
          <w:highlight w:val="none"/>
        </w:rPr>
        <w:t>运输费用为我公司指定地点发货至项目指定卸货地后所发生的一切费用</w:t>
      </w:r>
      <w:r>
        <w:rPr>
          <w:rFonts w:hint="eastAsia" w:ascii="仿宋" w:hAnsi="仿宋" w:eastAsia="仿宋"/>
          <w:color w:val="auto"/>
          <w:kern w:val="0"/>
          <w:sz w:val="28"/>
          <w:szCs w:val="18"/>
          <w:highlight w:val="none"/>
          <w:lang w:eastAsia="zh-CN"/>
        </w:rPr>
        <w:t>，</w:t>
      </w:r>
      <w:r>
        <w:rPr>
          <w:rFonts w:hint="eastAsia" w:ascii="仿宋" w:hAnsi="仿宋" w:eastAsia="仿宋"/>
          <w:color w:val="auto"/>
          <w:kern w:val="0"/>
          <w:sz w:val="28"/>
          <w:szCs w:val="18"/>
          <w:highlight w:val="none"/>
          <w:lang w:val="en-US" w:eastAsia="zh-CN"/>
        </w:rPr>
        <w:t>投标单位需充分考虑该部分费用</w:t>
      </w:r>
      <w:r>
        <w:rPr>
          <w:rFonts w:hint="eastAsia" w:ascii="仿宋" w:hAnsi="仿宋" w:eastAsia="仿宋"/>
          <w:color w:val="auto"/>
          <w:kern w:val="0"/>
          <w:sz w:val="28"/>
          <w:szCs w:val="18"/>
          <w:highlight w:val="none"/>
        </w:rPr>
        <w:t>。在合同履行期间，运输单位不得以任何理由向</w:t>
      </w:r>
      <w:r>
        <w:rPr>
          <w:rFonts w:hint="eastAsia" w:ascii="仿宋" w:hAnsi="仿宋" w:eastAsia="仿宋"/>
          <w:color w:val="auto"/>
          <w:kern w:val="0"/>
          <w:sz w:val="28"/>
          <w:szCs w:val="18"/>
          <w:highlight w:val="none"/>
          <w:lang w:eastAsia="zh-CN"/>
        </w:rPr>
        <w:t>采购</w:t>
      </w:r>
      <w:r>
        <w:rPr>
          <w:rFonts w:hint="eastAsia" w:ascii="仿宋" w:hAnsi="仿宋" w:eastAsia="仿宋"/>
          <w:color w:val="auto"/>
          <w:kern w:val="0"/>
          <w:sz w:val="28"/>
          <w:szCs w:val="18"/>
          <w:highlight w:val="none"/>
        </w:rPr>
        <w:t>方提高运输费用标准。本次</w:t>
      </w:r>
      <w:r>
        <w:rPr>
          <w:rFonts w:hint="eastAsia" w:ascii="仿宋" w:hAnsi="仿宋" w:eastAsia="仿宋"/>
          <w:color w:val="auto"/>
          <w:kern w:val="0"/>
          <w:sz w:val="28"/>
          <w:szCs w:val="18"/>
          <w:highlight w:val="none"/>
          <w:lang w:eastAsia="zh-CN"/>
        </w:rPr>
        <w:t>采购</w:t>
      </w:r>
      <w:r>
        <w:rPr>
          <w:rFonts w:hint="eastAsia" w:ascii="仿宋" w:hAnsi="仿宋" w:eastAsia="仿宋"/>
          <w:color w:val="auto"/>
          <w:kern w:val="0"/>
          <w:sz w:val="28"/>
          <w:szCs w:val="18"/>
          <w:highlight w:val="none"/>
        </w:rPr>
        <w:t>人不组织</w:t>
      </w:r>
      <w:r>
        <w:rPr>
          <w:rFonts w:hint="eastAsia" w:ascii="仿宋" w:hAnsi="仿宋" w:eastAsia="仿宋"/>
          <w:color w:val="auto"/>
          <w:kern w:val="0"/>
          <w:sz w:val="28"/>
          <w:szCs w:val="18"/>
          <w:highlight w:val="none"/>
          <w:lang w:eastAsia="zh-CN"/>
        </w:rPr>
        <w:t>报价</w:t>
      </w:r>
      <w:r>
        <w:rPr>
          <w:rFonts w:hint="eastAsia" w:ascii="仿宋" w:hAnsi="仿宋" w:eastAsia="仿宋"/>
          <w:color w:val="auto"/>
          <w:kern w:val="0"/>
          <w:sz w:val="28"/>
          <w:szCs w:val="18"/>
          <w:highlight w:val="none"/>
        </w:rPr>
        <w:t>预备会，不组织现场考察，建议</w:t>
      </w:r>
      <w:r>
        <w:rPr>
          <w:rFonts w:hint="eastAsia" w:ascii="仿宋" w:hAnsi="仿宋" w:eastAsia="仿宋"/>
          <w:color w:val="auto"/>
          <w:kern w:val="0"/>
          <w:sz w:val="28"/>
          <w:szCs w:val="18"/>
          <w:highlight w:val="none"/>
          <w:lang w:eastAsia="zh-CN"/>
        </w:rPr>
        <w:t>报价</w:t>
      </w:r>
      <w:r>
        <w:rPr>
          <w:rFonts w:hint="eastAsia" w:ascii="仿宋" w:hAnsi="仿宋" w:eastAsia="仿宋"/>
          <w:color w:val="auto"/>
          <w:kern w:val="0"/>
          <w:sz w:val="28"/>
          <w:szCs w:val="18"/>
          <w:highlight w:val="none"/>
        </w:rPr>
        <w:t>人自行进行现场踏勘，</w:t>
      </w:r>
      <w:r>
        <w:rPr>
          <w:rFonts w:hint="eastAsia" w:ascii="仿宋" w:hAnsi="仿宋" w:eastAsia="仿宋"/>
          <w:color w:val="auto"/>
          <w:kern w:val="0"/>
          <w:sz w:val="28"/>
          <w:szCs w:val="18"/>
          <w:highlight w:val="none"/>
          <w:lang w:eastAsia="zh-CN"/>
        </w:rPr>
        <w:t>报价</w:t>
      </w:r>
      <w:r>
        <w:rPr>
          <w:rFonts w:hint="eastAsia" w:ascii="仿宋" w:hAnsi="仿宋" w:eastAsia="仿宋"/>
          <w:color w:val="auto"/>
          <w:kern w:val="0"/>
          <w:sz w:val="28"/>
          <w:szCs w:val="18"/>
          <w:highlight w:val="none"/>
        </w:rPr>
        <w:t>人可以选择多种运输方式和多种运输线路，</w:t>
      </w:r>
      <w:r>
        <w:rPr>
          <w:rFonts w:hint="eastAsia" w:ascii="仿宋" w:hAnsi="仿宋" w:eastAsia="仿宋"/>
          <w:color w:val="auto"/>
          <w:kern w:val="0"/>
          <w:sz w:val="28"/>
          <w:szCs w:val="18"/>
          <w:highlight w:val="none"/>
          <w:lang w:eastAsia="zh-CN"/>
        </w:rPr>
        <w:t>报价</w:t>
      </w:r>
      <w:r>
        <w:rPr>
          <w:rFonts w:hint="eastAsia" w:ascii="仿宋" w:hAnsi="仿宋" w:eastAsia="仿宋"/>
          <w:color w:val="auto"/>
          <w:kern w:val="0"/>
          <w:sz w:val="28"/>
          <w:szCs w:val="18"/>
          <w:highlight w:val="none"/>
        </w:rPr>
        <w:t>人的运输费用不因运输方式、运输线路及道路情况的变化而调整，</w:t>
      </w:r>
      <w:r>
        <w:rPr>
          <w:rFonts w:hint="eastAsia" w:ascii="仿宋" w:hAnsi="仿宋" w:eastAsia="仿宋"/>
          <w:color w:val="auto"/>
          <w:kern w:val="0"/>
          <w:sz w:val="28"/>
          <w:szCs w:val="18"/>
          <w:highlight w:val="none"/>
          <w:lang w:eastAsia="zh-CN"/>
        </w:rPr>
        <w:t>报价</w:t>
      </w:r>
      <w:r>
        <w:rPr>
          <w:rFonts w:hint="eastAsia" w:ascii="仿宋" w:hAnsi="仿宋" w:eastAsia="仿宋"/>
          <w:color w:val="auto"/>
          <w:kern w:val="0"/>
          <w:sz w:val="28"/>
          <w:szCs w:val="18"/>
          <w:highlight w:val="none"/>
        </w:rPr>
        <w:t>人报价时应将此因素考虑在内。</w:t>
      </w:r>
    </w:p>
    <w:p w14:paraId="0EBBF862">
      <w:pPr>
        <w:adjustRightInd w:val="0"/>
        <w:snapToGrid w:val="0"/>
        <w:spacing w:line="360" w:lineRule="auto"/>
        <w:rPr>
          <w:rFonts w:hint="eastAsia" w:ascii="仿宋" w:hAnsi="仿宋" w:eastAsia="仿宋" w:cs="Times New Roman"/>
          <w:b/>
          <w:color w:val="auto"/>
          <w:sz w:val="28"/>
          <w:szCs w:val="18"/>
          <w:highlight w:val="none"/>
          <w:lang w:val="en-US" w:eastAsia="zh-CN"/>
        </w:rPr>
      </w:pPr>
      <w:r>
        <w:rPr>
          <w:rFonts w:hint="eastAsia" w:ascii="仿宋" w:hAnsi="仿宋" w:eastAsia="仿宋" w:cs="Times New Roman"/>
          <w:b/>
          <w:color w:val="auto"/>
          <w:sz w:val="28"/>
          <w:szCs w:val="18"/>
          <w:highlight w:val="none"/>
          <w:lang w:val="en-US" w:eastAsia="zh-CN"/>
        </w:rPr>
        <w:t>9.定价方式</w:t>
      </w:r>
    </w:p>
    <w:p w14:paraId="1A0FD4BF">
      <w:pPr>
        <w:adjustRightInd w:val="0"/>
        <w:snapToGrid w:val="0"/>
        <w:spacing w:line="360" w:lineRule="auto"/>
        <w:rPr>
          <w:rFonts w:hint="eastAsia" w:ascii="仿宋" w:hAnsi="仿宋" w:eastAsia="仿宋" w:cs="Times New Roman"/>
          <w:b/>
          <w:color w:val="auto"/>
          <w:sz w:val="28"/>
          <w:szCs w:val="18"/>
          <w:highlight w:val="none"/>
          <w:lang w:val="en-US" w:eastAsia="zh-CN"/>
        </w:rPr>
      </w:pPr>
      <w:r>
        <w:rPr>
          <w:rFonts w:hint="eastAsia" w:ascii="仿宋" w:hAnsi="仿宋" w:eastAsia="仿宋" w:cs="Times New Roman"/>
          <w:b w:val="0"/>
          <w:bCs/>
          <w:color w:val="auto"/>
          <w:sz w:val="28"/>
          <w:szCs w:val="18"/>
          <w:highlight w:val="none"/>
          <w:lang w:val="en-US" w:eastAsia="zh-CN"/>
        </w:rPr>
        <w:t>采用一票制固定价，承运人提供9%增值税发票。</w:t>
      </w:r>
    </w:p>
    <w:p w14:paraId="502F6050">
      <w:pPr>
        <w:adjustRightInd w:val="0"/>
        <w:snapToGrid w:val="0"/>
        <w:spacing w:line="360" w:lineRule="auto"/>
        <w:rPr>
          <w:rFonts w:hint="eastAsia" w:ascii="仿宋" w:hAnsi="仿宋" w:eastAsia="仿宋" w:cs="Times New Roman"/>
          <w:b/>
          <w:color w:val="auto"/>
          <w:sz w:val="28"/>
          <w:szCs w:val="18"/>
          <w:highlight w:val="none"/>
          <w:lang w:val="en-US" w:eastAsia="zh-CN"/>
        </w:rPr>
      </w:pPr>
      <w:r>
        <w:rPr>
          <w:rFonts w:hint="eastAsia" w:ascii="仿宋" w:hAnsi="仿宋" w:eastAsia="仿宋" w:cs="Times New Roman"/>
          <w:b/>
          <w:color w:val="auto"/>
          <w:sz w:val="28"/>
          <w:szCs w:val="18"/>
          <w:highlight w:val="none"/>
          <w:lang w:val="en-US" w:eastAsia="zh-CN"/>
        </w:rPr>
        <w:t>10.结算支付</w:t>
      </w:r>
    </w:p>
    <w:p w14:paraId="3B9680F5">
      <w:pPr>
        <w:adjustRightInd w:val="0"/>
        <w:snapToGrid w:val="0"/>
        <w:spacing w:line="360" w:lineRule="auto"/>
        <w:ind w:firstLine="560" w:firstLineChars="200"/>
        <w:rPr>
          <w:rFonts w:hint="eastAsia" w:ascii="仿宋" w:hAnsi="仿宋" w:eastAsia="仿宋" w:cs="仿宋"/>
          <w:b/>
          <w:sz w:val="28"/>
          <w:szCs w:val="28"/>
          <w:lang w:val="en-US" w:eastAsia="zh-CN"/>
        </w:rPr>
      </w:pPr>
      <w:r>
        <w:rPr>
          <w:rFonts w:hint="eastAsia" w:ascii="仿宋" w:hAnsi="仿宋" w:eastAsia="仿宋" w:cs="Times New Roman"/>
          <w:b w:val="0"/>
          <w:bCs/>
          <w:color w:val="auto"/>
          <w:sz w:val="28"/>
          <w:szCs w:val="18"/>
          <w:highlight w:val="none"/>
          <w:lang w:val="en-US" w:eastAsia="zh-CN"/>
        </w:rPr>
        <w:t>结算、支付：按月度办理结算、支付手续，结算时间、地点、结算时提供资料要求均按采购人公司结算管理办法执行。</w:t>
      </w:r>
      <w:bookmarkStart w:id="10" w:name="_Toc22242"/>
      <w:bookmarkStart w:id="11" w:name="_Toc18471"/>
    </w:p>
    <w:p w14:paraId="2894F0D0">
      <w:pPr>
        <w:spacing w:line="360" w:lineRule="auto"/>
        <w:outlineLvl w:val="2"/>
        <w:rPr>
          <w:rFonts w:hint="eastAsia" w:ascii="仿宋" w:hAnsi="仿宋" w:eastAsia="仿宋" w:cs="仿宋"/>
          <w:b/>
          <w:sz w:val="28"/>
          <w:szCs w:val="28"/>
        </w:rPr>
      </w:pPr>
      <w:r>
        <w:rPr>
          <w:rFonts w:hint="eastAsia" w:ascii="仿宋" w:hAnsi="仿宋" w:eastAsia="仿宋" w:cs="仿宋"/>
          <w:b/>
          <w:sz w:val="28"/>
          <w:szCs w:val="28"/>
          <w:lang w:val="en-US" w:eastAsia="zh-CN"/>
        </w:rPr>
        <w:t>11.</w:t>
      </w:r>
      <w:r>
        <w:rPr>
          <w:rFonts w:hint="eastAsia" w:ascii="仿宋" w:hAnsi="仿宋" w:eastAsia="仿宋" w:cs="仿宋"/>
          <w:b/>
          <w:sz w:val="28"/>
          <w:szCs w:val="28"/>
          <w:lang w:eastAsia="zh-CN"/>
        </w:rPr>
        <w:t>报价</w:t>
      </w:r>
      <w:bookmarkEnd w:id="10"/>
      <w:bookmarkEnd w:id="11"/>
    </w:p>
    <w:p w14:paraId="4F04A84D">
      <w:pPr>
        <w:pStyle w:val="2"/>
        <w:keepNext w:val="0"/>
        <w:keepLines w:val="0"/>
        <w:pageBreakBefore w:val="0"/>
        <w:widowControl w:val="0"/>
        <w:kinsoku/>
        <w:wordWrap/>
        <w:overflowPunct/>
        <w:topLinePunct w:val="0"/>
        <w:autoSpaceDE/>
        <w:autoSpaceDN/>
        <w:bidi w:val="0"/>
        <w:adjustRightInd/>
        <w:snapToGrid/>
        <w:spacing w:after="0" w:line="360" w:lineRule="auto"/>
        <w:jc w:val="both"/>
        <w:textAlignment w:val="auto"/>
        <w:rPr>
          <w:rFonts w:hint="eastAsia" w:ascii="仿宋" w:hAnsi="仿宋" w:eastAsia="仿宋" w:cs="仿宋"/>
          <w:b w:val="0"/>
          <w:bCs w:val="0"/>
          <w:color w:val="FF0000"/>
          <w:sz w:val="28"/>
          <w:szCs w:val="28"/>
          <w:highlight w:val="none"/>
          <w:lang w:val="en-US" w:eastAsia="zh-CN"/>
        </w:rPr>
      </w:pPr>
      <w:r>
        <w:rPr>
          <w:rFonts w:hint="eastAsia" w:ascii="仿宋" w:hAnsi="仿宋" w:eastAsia="仿宋" w:cs="仿宋"/>
          <w:b w:val="0"/>
          <w:bCs w:val="0"/>
          <w:color w:val="FF0000"/>
          <w:sz w:val="28"/>
          <w:szCs w:val="28"/>
          <w:highlight w:val="none"/>
          <w:lang w:val="en-US" w:eastAsia="zh-CN"/>
        </w:rPr>
        <w:t>报价人需将报价单原件及盖章扫描件(PDF版本)上传系统。投标人需对所有清单进行报价，未全部报价视为无效。</w:t>
      </w:r>
    </w:p>
    <w:p w14:paraId="3BF2C365">
      <w:pPr>
        <w:snapToGrid w:val="0"/>
        <w:spacing w:line="360" w:lineRule="auto"/>
        <w:rPr>
          <w:rFonts w:hint="eastAsia" w:ascii="仿宋" w:hAnsi="仿宋" w:eastAsia="仿宋"/>
          <w:b/>
          <w:bCs/>
          <w:color w:val="auto"/>
          <w:sz w:val="28"/>
          <w:szCs w:val="18"/>
          <w:highlight w:val="none"/>
          <w:lang w:val="en-US" w:eastAsia="zh-CN"/>
        </w:rPr>
      </w:pPr>
    </w:p>
    <w:p w14:paraId="186C0F64">
      <w:pPr>
        <w:snapToGrid w:val="0"/>
        <w:spacing w:line="360" w:lineRule="auto"/>
        <w:rPr>
          <w:rFonts w:hint="eastAsia" w:ascii="仿宋" w:hAnsi="仿宋" w:eastAsia="仿宋"/>
          <w:b/>
          <w:bCs/>
          <w:color w:val="auto"/>
          <w:sz w:val="28"/>
          <w:szCs w:val="18"/>
          <w:highlight w:val="none"/>
          <w:lang w:val="en-US" w:eastAsia="zh-CN"/>
        </w:rPr>
      </w:pPr>
    </w:p>
    <w:p w14:paraId="18D51BD0">
      <w:pPr>
        <w:snapToGrid w:val="0"/>
        <w:spacing w:line="360" w:lineRule="auto"/>
        <w:rPr>
          <w:rFonts w:hint="eastAsia" w:ascii="仿宋" w:hAnsi="仿宋" w:eastAsia="仿宋"/>
          <w:b/>
          <w:bCs/>
          <w:color w:val="auto"/>
          <w:sz w:val="28"/>
          <w:szCs w:val="18"/>
          <w:highlight w:val="none"/>
        </w:rPr>
      </w:pPr>
      <w:r>
        <w:rPr>
          <w:rFonts w:hint="eastAsia" w:ascii="仿宋" w:hAnsi="仿宋" w:eastAsia="仿宋"/>
          <w:b/>
          <w:bCs/>
          <w:color w:val="auto"/>
          <w:sz w:val="28"/>
          <w:szCs w:val="18"/>
          <w:highlight w:val="none"/>
          <w:lang w:val="en-US" w:eastAsia="zh-CN"/>
        </w:rPr>
        <w:t>12</w:t>
      </w:r>
      <w:r>
        <w:rPr>
          <w:rFonts w:hint="eastAsia" w:ascii="仿宋" w:hAnsi="仿宋" w:eastAsia="仿宋"/>
          <w:b/>
          <w:bCs/>
          <w:color w:val="auto"/>
          <w:sz w:val="28"/>
          <w:szCs w:val="18"/>
          <w:highlight w:val="none"/>
        </w:rPr>
        <w:t>.联系方式：</w:t>
      </w:r>
    </w:p>
    <w:bookmarkEnd w:id="0"/>
    <w:bookmarkEnd w:id="1"/>
    <w:bookmarkEnd w:id="2"/>
    <w:bookmarkEnd w:id="3"/>
    <w:bookmarkEnd w:id="4"/>
    <w:bookmarkEnd w:id="5"/>
    <w:bookmarkEnd w:id="6"/>
    <w:p w14:paraId="51E9E9B3">
      <w:pPr>
        <w:spacing w:line="242" w:lineRule="auto"/>
        <w:ind w:firstLine="552" w:firstLineChars="200"/>
        <w:rPr>
          <w:rFonts w:hint="eastAsia" w:asciiTheme="minorEastAsia" w:hAnsiTheme="minorEastAsia" w:eastAsiaTheme="minorEastAsia" w:cstheme="minorEastAsia"/>
          <w:spacing w:val="-2"/>
          <w:sz w:val="28"/>
          <w:szCs w:val="28"/>
          <w:highlight w:val="none"/>
        </w:rPr>
      </w:pPr>
      <w:r>
        <w:rPr>
          <w:rFonts w:hint="eastAsia" w:asciiTheme="minorEastAsia" w:hAnsiTheme="minorEastAsia" w:eastAsiaTheme="minorEastAsia" w:cstheme="minorEastAsia"/>
          <w:spacing w:val="-2"/>
          <w:sz w:val="28"/>
          <w:szCs w:val="28"/>
          <w:highlight w:val="none"/>
        </w:rPr>
        <w:t>询价人:北京凯通物资有限公司</w:t>
      </w:r>
    </w:p>
    <w:p w14:paraId="57105F69">
      <w:pPr>
        <w:spacing w:line="242" w:lineRule="auto"/>
        <w:ind w:firstLine="552" w:firstLineChars="200"/>
        <w:rPr>
          <w:rFonts w:hint="eastAsia" w:asciiTheme="minorEastAsia" w:hAnsiTheme="minorEastAsia" w:eastAsiaTheme="minorEastAsia" w:cstheme="minorEastAsia"/>
          <w:spacing w:val="-2"/>
          <w:sz w:val="28"/>
          <w:szCs w:val="28"/>
          <w:highlight w:val="none"/>
        </w:rPr>
      </w:pPr>
      <w:r>
        <w:rPr>
          <w:rFonts w:hint="eastAsia" w:asciiTheme="minorEastAsia" w:hAnsiTheme="minorEastAsia" w:eastAsiaTheme="minorEastAsia" w:cstheme="minorEastAsia"/>
          <w:spacing w:val="-2"/>
          <w:sz w:val="28"/>
          <w:szCs w:val="28"/>
          <w:highlight w:val="none"/>
        </w:rPr>
        <w:t>招标地址:北京市通州区新华西街西145号</w:t>
      </w:r>
    </w:p>
    <w:p w14:paraId="0838A88F">
      <w:pPr>
        <w:spacing w:line="242" w:lineRule="auto"/>
        <w:ind w:firstLine="552" w:firstLineChars="200"/>
        <w:rPr>
          <w:rFonts w:hint="default" w:asciiTheme="minorEastAsia" w:hAnsiTheme="minorEastAsia" w:eastAsiaTheme="minorEastAsia" w:cstheme="minorEastAsia"/>
          <w:spacing w:val="-2"/>
          <w:sz w:val="28"/>
          <w:szCs w:val="28"/>
          <w:highlight w:val="none"/>
          <w:lang w:val="en-US" w:eastAsia="zh-CN"/>
        </w:rPr>
      </w:pPr>
      <w:r>
        <w:rPr>
          <w:rFonts w:hint="eastAsia" w:asciiTheme="minorEastAsia" w:hAnsiTheme="minorEastAsia" w:eastAsiaTheme="minorEastAsia" w:cstheme="minorEastAsia"/>
          <w:spacing w:val="-2"/>
          <w:sz w:val="28"/>
          <w:szCs w:val="28"/>
          <w:highlight w:val="none"/>
        </w:rPr>
        <w:t>中心询价业务联系人:</w:t>
      </w:r>
      <w:r>
        <w:rPr>
          <w:rFonts w:hint="eastAsia" w:asciiTheme="minorEastAsia" w:hAnsiTheme="minorEastAsia" w:eastAsiaTheme="minorEastAsia" w:cstheme="minorEastAsia"/>
          <w:spacing w:val="-2"/>
          <w:sz w:val="28"/>
          <w:szCs w:val="28"/>
          <w:highlight w:val="none"/>
          <w:lang w:val="en-US" w:eastAsia="zh-CN"/>
        </w:rPr>
        <w:t>张智崇13335091362</w:t>
      </w:r>
    </w:p>
    <w:p w14:paraId="65816DF4">
      <w:pPr>
        <w:spacing w:line="242" w:lineRule="auto"/>
        <w:ind w:firstLine="552" w:firstLineChars="200"/>
        <w:rPr>
          <w:rFonts w:hint="eastAsia" w:asciiTheme="minorEastAsia" w:hAnsiTheme="minorEastAsia" w:eastAsiaTheme="minorEastAsia" w:cstheme="minorEastAsia"/>
          <w:spacing w:val="-2"/>
          <w:sz w:val="28"/>
          <w:szCs w:val="28"/>
          <w:highlight w:val="none"/>
        </w:rPr>
      </w:pPr>
      <w:r>
        <w:rPr>
          <w:rFonts w:hint="eastAsia" w:asciiTheme="minorEastAsia" w:hAnsiTheme="minorEastAsia" w:eastAsiaTheme="minorEastAsia" w:cstheme="minorEastAsia"/>
          <w:spacing w:val="-2"/>
          <w:sz w:val="28"/>
          <w:szCs w:val="28"/>
          <w:highlight w:val="none"/>
        </w:rPr>
        <w:t>集采中心询价系统联系人:高淑琴18516813659</w:t>
      </w:r>
    </w:p>
    <w:p w14:paraId="4218863A">
      <w:pPr>
        <w:spacing w:line="242" w:lineRule="auto"/>
        <w:ind w:firstLine="552" w:firstLineChars="200"/>
        <w:rPr>
          <w:rFonts w:ascii="Arial"/>
          <w:sz w:val="21"/>
        </w:rPr>
      </w:pPr>
      <w:r>
        <w:rPr>
          <w:rFonts w:hint="eastAsia" w:asciiTheme="minorEastAsia" w:hAnsiTheme="minorEastAsia" w:eastAsiaTheme="minorEastAsia" w:cstheme="minorEastAsia"/>
          <w:spacing w:val="-2"/>
          <w:sz w:val="28"/>
          <w:szCs w:val="28"/>
          <w:highlight w:val="none"/>
        </w:rPr>
        <w:t>公司询价监督联系人:李敏志 18610860755</w:t>
      </w:r>
    </w:p>
    <w:p w14:paraId="25762E15">
      <w:pPr>
        <w:rPr>
          <w:rFonts w:hint="eastAsia"/>
          <w:lang w:val="en-US" w:eastAsia="zh-CN"/>
        </w:rPr>
      </w:pPr>
    </w:p>
    <w:p w14:paraId="2905BDCE">
      <w:pPr>
        <w:pStyle w:val="33"/>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 xml:space="preserve">                              北京凯通物资有限公司</w:t>
      </w:r>
    </w:p>
    <w:p w14:paraId="6031E499">
      <w:pPr>
        <w:rPr>
          <w:rFonts w:hint="eastAsia" w:ascii="仿宋" w:hAnsi="仿宋" w:eastAsia="仿宋" w:cs="仿宋"/>
          <w:sz w:val="28"/>
          <w:szCs w:val="28"/>
          <w:lang w:val="en-US" w:eastAsia="zh-CN"/>
        </w:rPr>
      </w:pPr>
      <w:r>
        <w:rPr>
          <w:rFonts w:hint="eastAsia"/>
          <w:lang w:val="en-US" w:eastAsia="zh-CN"/>
        </w:rPr>
        <w:t xml:space="preserve">                                            </w:t>
      </w:r>
      <w:r>
        <w:rPr>
          <w:rFonts w:hint="eastAsia" w:ascii="仿宋" w:hAnsi="仿宋" w:eastAsia="仿宋" w:cs="仿宋"/>
          <w:sz w:val="28"/>
          <w:szCs w:val="28"/>
          <w:lang w:val="en-US" w:eastAsia="zh-CN"/>
        </w:rPr>
        <w:t xml:space="preserve">      2025年7月10日</w:t>
      </w:r>
    </w:p>
    <w:p w14:paraId="1A8140E1">
      <w:pPr>
        <w:pStyle w:val="33"/>
        <w:rPr>
          <w:rFonts w:hint="eastAsia"/>
          <w:lang w:val="en-US" w:eastAsia="zh-CN"/>
        </w:rPr>
      </w:pPr>
    </w:p>
    <w:p w14:paraId="237C453F">
      <w:pPr>
        <w:pStyle w:val="33"/>
        <w:rPr>
          <w:rFonts w:hint="eastAsia" w:ascii="仿宋" w:hAnsi="仿宋" w:eastAsia="仿宋" w:cs="仿宋"/>
          <w:color w:val="auto"/>
          <w:kern w:val="0"/>
          <w:sz w:val="28"/>
          <w:szCs w:val="28"/>
          <w:highlight w:val="none"/>
          <w:lang w:val="en-US" w:eastAsia="zh-CN" w:bidi="ar"/>
        </w:rPr>
      </w:pPr>
    </w:p>
    <w:p w14:paraId="60A0FB15">
      <w:pPr>
        <w:rPr>
          <w:rFonts w:hint="eastAsia"/>
        </w:rPr>
        <w:sectPr>
          <w:headerReference r:id="rId3" w:type="default"/>
          <w:footerReference r:id="rId4" w:type="default"/>
          <w:pgSz w:w="11906" w:h="16838"/>
          <w:pgMar w:top="1440" w:right="1463" w:bottom="1440" w:left="1519" w:header="851" w:footer="992" w:gutter="0"/>
          <w:pgBorders>
            <w:top w:val="none" w:sz="0" w:space="0"/>
            <w:left w:val="none" w:sz="0" w:space="0"/>
            <w:bottom w:val="none" w:sz="0" w:space="0"/>
            <w:right w:val="none" w:sz="0" w:space="0"/>
          </w:pgBorders>
          <w:pgNumType w:fmt="decimal"/>
          <w:cols w:space="720" w:num="1"/>
          <w:docGrid w:type="linesAndChars" w:linePitch="312" w:charSpace="0"/>
        </w:sectPr>
      </w:pPr>
    </w:p>
    <w:p w14:paraId="429076FB">
      <w:pPr>
        <w:pStyle w:val="2"/>
        <w:ind w:firstLine="6400" w:firstLineChars="1600"/>
        <w:rPr>
          <w:rFonts w:hint="eastAsia"/>
        </w:rPr>
      </w:pPr>
      <w:r>
        <w:rPr>
          <w:rFonts w:hint="eastAsia" w:ascii="仿宋" w:hAnsi="仿宋" w:eastAsia="仿宋"/>
          <w:bCs/>
          <w:color w:val="auto"/>
          <w:spacing w:val="20"/>
          <w:sz w:val="36"/>
          <w:szCs w:val="44"/>
          <w:highlight w:val="none"/>
        </w:rPr>
        <w:t>报价表</w:t>
      </w:r>
    </w:p>
    <w:p w14:paraId="6BB881C9">
      <w:pPr>
        <w:rPr>
          <w:rFonts w:hint="eastAsia"/>
        </w:rPr>
      </w:pPr>
    </w:p>
    <w:p w14:paraId="7B5EF6E7">
      <w:pPr>
        <w:spacing w:line="360" w:lineRule="auto"/>
        <w:rPr>
          <w:rFonts w:hint="eastAsia" w:ascii="仿宋" w:hAnsi="仿宋" w:eastAsia="仿宋" w:cs="仿宋"/>
          <w:b/>
          <w:color w:val="auto"/>
          <w:sz w:val="24"/>
          <w:highlight w:val="none"/>
          <w:lang w:eastAsia="zh-CN"/>
        </w:rPr>
      </w:pPr>
      <w:r>
        <w:rPr>
          <w:rFonts w:hint="eastAsia" w:ascii="仿宋" w:hAnsi="仿宋" w:eastAsia="仿宋" w:cs="仿宋"/>
          <w:b/>
          <w:color w:val="auto"/>
          <w:sz w:val="24"/>
          <w:highlight w:val="none"/>
          <w:lang w:eastAsia="zh-CN"/>
        </w:rPr>
        <w:t>报价</w:t>
      </w:r>
      <w:r>
        <w:rPr>
          <w:rFonts w:hint="eastAsia" w:ascii="仿宋" w:hAnsi="仿宋" w:eastAsia="仿宋" w:cs="仿宋"/>
          <w:b/>
          <w:color w:val="auto"/>
          <w:sz w:val="24"/>
          <w:highlight w:val="none"/>
        </w:rPr>
        <w:t xml:space="preserve">人名称：                     </w:t>
      </w:r>
      <w:r>
        <w:rPr>
          <w:rFonts w:hint="eastAsia" w:ascii="仿宋" w:hAnsi="仿宋" w:eastAsia="仿宋" w:cs="仿宋"/>
          <w:b/>
          <w:color w:val="auto"/>
          <w:sz w:val="24"/>
          <w:highlight w:val="none"/>
          <w:lang w:val="en-US" w:eastAsia="zh-CN"/>
        </w:rPr>
        <w:t xml:space="preserve"> </w:t>
      </w:r>
      <w:r>
        <w:rPr>
          <w:rFonts w:hint="eastAsia" w:ascii="仿宋" w:hAnsi="仿宋" w:eastAsia="仿宋" w:cs="仿宋"/>
          <w:b/>
          <w:color w:val="auto"/>
          <w:sz w:val="24"/>
          <w:highlight w:val="none"/>
        </w:rPr>
        <w:t xml:space="preserve">    </w:t>
      </w:r>
      <w:r>
        <w:rPr>
          <w:rFonts w:hint="eastAsia" w:ascii="仿宋" w:hAnsi="仿宋" w:eastAsia="仿宋" w:cs="仿宋"/>
          <w:b/>
          <w:color w:val="auto"/>
          <w:sz w:val="24"/>
          <w:highlight w:val="none"/>
          <w:lang w:eastAsia="zh-CN"/>
        </w:rPr>
        <w:t>采购</w:t>
      </w:r>
      <w:r>
        <w:rPr>
          <w:rFonts w:hint="eastAsia" w:ascii="仿宋" w:hAnsi="仿宋" w:eastAsia="仿宋" w:cs="仿宋"/>
          <w:b/>
          <w:color w:val="auto"/>
          <w:sz w:val="24"/>
          <w:highlight w:val="none"/>
        </w:rPr>
        <w:t>编号：</w:t>
      </w:r>
      <w:r>
        <w:rPr>
          <w:rFonts w:hint="eastAsia" w:ascii="仿宋" w:hAnsi="仿宋" w:eastAsia="仿宋"/>
          <w:b/>
          <w:color w:val="auto"/>
          <w:sz w:val="24"/>
          <w:highlight w:val="none"/>
        </w:rPr>
        <w:t xml:space="preserve">             </w:t>
      </w:r>
      <w:r>
        <w:rPr>
          <w:rFonts w:hint="eastAsia" w:ascii="仿宋" w:hAnsi="仿宋" w:eastAsia="仿宋"/>
          <w:b/>
          <w:color w:val="auto"/>
          <w:sz w:val="24"/>
          <w:highlight w:val="none"/>
          <w:lang w:val="en-US" w:eastAsia="zh-CN"/>
        </w:rPr>
        <w:t xml:space="preserve">     </w:t>
      </w:r>
      <w:r>
        <w:rPr>
          <w:rFonts w:hint="eastAsia" w:ascii="仿宋" w:hAnsi="仿宋" w:eastAsia="仿宋"/>
          <w:b/>
          <w:color w:val="auto"/>
          <w:sz w:val="24"/>
          <w:highlight w:val="none"/>
        </w:rPr>
        <w:t xml:space="preserve">  </w:t>
      </w:r>
      <w:r>
        <w:rPr>
          <w:rFonts w:hint="eastAsia" w:ascii="仿宋" w:hAnsi="仿宋" w:eastAsia="仿宋" w:cs="仿宋"/>
          <w:b/>
          <w:color w:val="auto"/>
          <w:sz w:val="24"/>
          <w:highlight w:val="none"/>
        </w:rPr>
        <w:t xml:space="preserve"> 包件号：</w:t>
      </w:r>
    </w:p>
    <w:tbl>
      <w:tblPr>
        <w:tblStyle w:val="34"/>
        <w:tblW w:w="15285" w:type="dxa"/>
        <w:tblInd w:w="-48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40"/>
        <w:gridCol w:w="1035"/>
        <w:gridCol w:w="1638"/>
        <w:gridCol w:w="1080"/>
        <w:gridCol w:w="1080"/>
        <w:gridCol w:w="1080"/>
        <w:gridCol w:w="1080"/>
        <w:gridCol w:w="1080"/>
        <w:gridCol w:w="1080"/>
        <w:gridCol w:w="1602"/>
        <w:gridCol w:w="2640"/>
        <w:gridCol w:w="750"/>
      </w:tblGrid>
      <w:tr w14:paraId="26127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114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CFD35F1">
            <w:pPr>
              <w:keepNext w:val="0"/>
              <w:keepLines w:val="0"/>
              <w:widowControl/>
              <w:suppressLineNumbers w:val="0"/>
              <w:jc w:val="center"/>
              <w:textAlignment w:val="center"/>
              <w:rPr>
                <w:rFonts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包件号</w:t>
            </w:r>
          </w:p>
        </w:tc>
        <w:tc>
          <w:tcPr>
            <w:tcW w:w="1035" w:type="dxa"/>
            <w:vMerge w:val="restart"/>
            <w:tcBorders>
              <w:top w:val="single" w:color="000000" w:sz="8" w:space="0"/>
              <w:left w:val="nil"/>
              <w:bottom w:val="single" w:color="000000" w:sz="8" w:space="0"/>
              <w:right w:val="single" w:color="000000" w:sz="8" w:space="0"/>
            </w:tcBorders>
            <w:shd w:val="clear" w:color="auto" w:fill="auto"/>
            <w:vAlign w:val="center"/>
          </w:tcPr>
          <w:p w14:paraId="43D8EE15">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标的物</w:t>
            </w:r>
          </w:p>
        </w:tc>
        <w:tc>
          <w:tcPr>
            <w:tcW w:w="1638" w:type="dxa"/>
            <w:vMerge w:val="restart"/>
            <w:tcBorders>
              <w:top w:val="single" w:color="000000" w:sz="8" w:space="0"/>
              <w:left w:val="nil"/>
              <w:bottom w:val="single" w:color="000000" w:sz="8" w:space="0"/>
              <w:right w:val="single" w:color="000000" w:sz="8" w:space="0"/>
            </w:tcBorders>
            <w:shd w:val="clear" w:color="auto" w:fill="auto"/>
            <w:vAlign w:val="center"/>
          </w:tcPr>
          <w:p w14:paraId="62E2EF0B">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规格 型号</w:t>
            </w:r>
          </w:p>
        </w:tc>
        <w:tc>
          <w:tcPr>
            <w:tcW w:w="1080" w:type="dxa"/>
            <w:vMerge w:val="restart"/>
            <w:tcBorders>
              <w:top w:val="single" w:color="000000" w:sz="8" w:space="0"/>
              <w:left w:val="nil"/>
              <w:bottom w:val="single" w:color="000000" w:sz="8" w:space="0"/>
              <w:right w:val="single" w:color="000000" w:sz="8" w:space="0"/>
            </w:tcBorders>
            <w:shd w:val="clear" w:color="auto" w:fill="auto"/>
            <w:vAlign w:val="center"/>
          </w:tcPr>
          <w:p w14:paraId="52B436A5">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数量 （吨）</w:t>
            </w:r>
          </w:p>
        </w:tc>
        <w:tc>
          <w:tcPr>
            <w:tcW w:w="1080" w:type="dxa"/>
            <w:tcBorders>
              <w:top w:val="single" w:color="000000" w:sz="8" w:space="0"/>
              <w:left w:val="nil"/>
              <w:bottom w:val="nil"/>
              <w:right w:val="single" w:color="000000" w:sz="8" w:space="0"/>
            </w:tcBorders>
            <w:shd w:val="clear" w:color="auto" w:fill="auto"/>
            <w:vAlign w:val="center"/>
          </w:tcPr>
          <w:p w14:paraId="46961D33">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运费含税单价</w:t>
            </w:r>
          </w:p>
        </w:tc>
        <w:tc>
          <w:tcPr>
            <w:tcW w:w="1080" w:type="dxa"/>
            <w:vMerge w:val="restart"/>
            <w:tcBorders>
              <w:top w:val="single" w:color="000000" w:sz="8" w:space="0"/>
              <w:left w:val="nil"/>
              <w:bottom w:val="single" w:color="000000" w:sz="8" w:space="0"/>
              <w:right w:val="single" w:color="000000" w:sz="8" w:space="0"/>
            </w:tcBorders>
            <w:shd w:val="clear" w:color="auto" w:fill="auto"/>
            <w:vAlign w:val="center"/>
          </w:tcPr>
          <w:p w14:paraId="3C2CFCA2">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运距（km）</w:t>
            </w:r>
          </w:p>
        </w:tc>
        <w:tc>
          <w:tcPr>
            <w:tcW w:w="1080" w:type="dxa"/>
            <w:tcBorders>
              <w:top w:val="single" w:color="000000" w:sz="8" w:space="0"/>
              <w:left w:val="nil"/>
              <w:bottom w:val="nil"/>
              <w:right w:val="single" w:color="000000" w:sz="8" w:space="0"/>
            </w:tcBorders>
            <w:shd w:val="clear" w:color="auto" w:fill="auto"/>
            <w:vAlign w:val="center"/>
          </w:tcPr>
          <w:p w14:paraId="0BCDDFAA">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含税综合单价</w:t>
            </w:r>
          </w:p>
        </w:tc>
        <w:tc>
          <w:tcPr>
            <w:tcW w:w="1080" w:type="dxa"/>
            <w:tcBorders>
              <w:top w:val="single" w:color="000000" w:sz="8" w:space="0"/>
              <w:left w:val="nil"/>
              <w:bottom w:val="nil"/>
              <w:right w:val="single" w:color="000000" w:sz="8" w:space="0"/>
            </w:tcBorders>
            <w:shd w:val="clear" w:color="auto" w:fill="auto"/>
            <w:vAlign w:val="center"/>
          </w:tcPr>
          <w:p w14:paraId="34E0350D">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含税</w:t>
            </w:r>
          </w:p>
        </w:tc>
        <w:tc>
          <w:tcPr>
            <w:tcW w:w="1080" w:type="dxa"/>
            <w:tcBorders>
              <w:top w:val="single" w:color="000000" w:sz="8" w:space="0"/>
              <w:left w:val="nil"/>
              <w:bottom w:val="nil"/>
              <w:right w:val="single" w:color="000000" w:sz="8" w:space="0"/>
            </w:tcBorders>
            <w:shd w:val="clear" w:color="auto" w:fill="auto"/>
            <w:vAlign w:val="center"/>
          </w:tcPr>
          <w:p w14:paraId="710CECE9">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不含税</w:t>
            </w:r>
          </w:p>
        </w:tc>
        <w:tc>
          <w:tcPr>
            <w:tcW w:w="1602" w:type="dxa"/>
            <w:tcBorders>
              <w:top w:val="single" w:color="000000" w:sz="8" w:space="0"/>
              <w:left w:val="nil"/>
              <w:bottom w:val="nil"/>
              <w:right w:val="single" w:color="000000" w:sz="8" w:space="0"/>
            </w:tcBorders>
            <w:shd w:val="clear" w:color="auto" w:fill="auto"/>
            <w:vAlign w:val="center"/>
          </w:tcPr>
          <w:p w14:paraId="55859FA4">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起运地</w:t>
            </w:r>
          </w:p>
        </w:tc>
        <w:tc>
          <w:tcPr>
            <w:tcW w:w="2640" w:type="dxa"/>
            <w:vMerge w:val="restart"/>
            <w:tcBorders>
              <w:top w:val="single" w:color="000000" w:sz="8" w:space="0"/>
              <w:left w:val="nil"/>
              <w:bottom w:val="single" w:color="000000" w:sz="8" w:space="0"/>
              <w:right w:val="single" w:color="000000" w:sz="8" w:space="0"/>
            </w:tcBorders>
            <w:shd w:val="clear" w:color="auto" w:fill="auto"/>
            <w:vAlign w:val="center"/>
          </w:tcPr>
          <w:p w14:paraId="36F1D213">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 xml:space="preserve">到达地                                  </w:t>
            </w:r>
          </w:p>
        </w:tc>
        <w:tc>
          <w:tcPr>
            <w:tcW w:w="750" w:type="dxa"/>
            <w:vMerge w:val="restart"/>
            <w:tcBorders>
              <w:top w:val="single" w:color="000000" w:sz="8" w:space="0"/>
              <w:left w:val="nil"/>
              <w:bottom w:val="single" w:color="000000" w:sz="8" w:space="0"/>
              <w:right w:val="single" w:color="000000" w:sz="8" w:space="0"/>
            </w:tcBorders>
            <w:shd w:val="clear" w:color="auto" w:fill="auto"/>
            <w:vAlign w:val="center"/>
          </w:tcPr>
          <w:p w14:paraId="7728AF5B">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备注</w:t>
            </w:r>
          </w:p>
        </w:tc>
      </w:tr>
      <w:tr w14:paraId="59ED3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FC38BD4">
            <w:pPr>
              <w:jc w:val="center"/>
              <w:rPr>
                <w:rFonts w:hint="eastAsia" w:ascii="仿宋" w:hAnsi="仿宋" w:eastAsia="仿宋" w:cs="仿宋"/>
                <w:b/>
                <w:bCs/>
                <w:i w:val="0"/>
                <w:iCs w:val="0"/>
                <w:color w:val="000000"/>
                <w:sz w:val="20"/>
                <w:szCs w:val="20"/>
                <w:u w:val="none"/>
              </w:rPr>
            </w:pPr>
          </w:p>
        </w:tc>
        <w:tc>
          <w:tcPr>
            <w:tcW w:w="1035" w:type="dxa"/>
            <w:vMerge w:val="continue"/>
            <w:tcBorders>
              <w:top w:val="single" w:color="000000" w:sz="8" w:space="0"/>
              <w:left w:val="nil"/>
              <w:bottom w:val="single" w:color="000000" w:sz="8" w:space="0"/>
              <w:right w:val="single" w:color="000000" w:sz="8" w:space="0"/>
            </w:tcBorders>
            <w:shd w:val="clear" w:color="auto" w:fill="auto"/>
            <w:vAlign w:val="center"/>
          </w:tcPr>
          <w:p w14:paraId="74F31CF8">
            <w:pPr>
              <w:jc w:val="center"/>
              <w:rPr>
                <w:rFonts w:hint="eastAsia" w:ascii="仿宋" w:hAnsi="仿宋" w:eastAsia="仿宋" w:cs="仿宋"/>
                <w:b/>
                <w:bCs/>
                <w:i w:val="0"/>
                <w:iCs w:val="0"/>
                <w:color w:val="000000"/>
                <w:sz w:val="20"/>
                <w:szCs w:val="20"/>
                <w:u w:val="none"/>
              </w:rPr>
            </w:pPr>
          </w:p>
        </w:tc>
        <w:tc>
          <w:tcPr>
            <w:tcW w:w="1638" w:type="dxa"/>
            <w:vMerge w:val="continue"/>
            <w:tcBorders>
              <w:top w:val="single" w:color="000000" w:sz="8" w:space="0"/>
              <w:left w:val="nil"/>
              <w:bottom w:val="single" w:color="000000" w:sz="8" w:space="0"/>
              <w:right w:val="single" w:color="000000" w:sz="8" w:space="0"/>
            </w:tcBorders>
            <w:shd w:val="clear" w:color="auto" w:fill="auto"/>
            <w:vAlign w:val="center"/>
          </w:tcPr>
          <w:p w14:paraId="64E87ACE">
            <w:pPr>
              <w:jc w:val="center"/>
              <w:rPr>
                <w:rFonts w:hint="eastAsia" w:ascii="仿宋" w:hAnsi="仿宋" w:eastAsia="仿宋" w:cs="仿宋"/>
                <w:b/>
                <w:bCs/>
                <w:i w:val="0"/>
                <w:iCs w:val="0"/>
                <w:color w:val="000000"/>
                <w:sz w:val="20"/>
                <w:szCs w:val="20"/>
                <w:u w:val="none"/>
              </w:rPr>
            </w:pPr>
          </w:p>
        </w:tc>
        <w:tc>
          <w:tcPr>
            <w:tcW w:w="1080" w:type="dxa"/>
            <w:vMerge w:val="continue"/>
            <w:tcBorders>
              <w:top w:val="single" w:color="000000" w:sz="8" w:space="0"/>
              <w:left w:val="nil"/>
              <w:bottom w:val="single" w:color="000000" w:sz="8" w:space="0"/>
              <w:right w:val="single" w:color="000000" w:sz="8" w:space="0"/>
            </w:tcBorders>
            <w:shd w:val="clear" w:color="auto" w:fill="auto"/>
            <w:vAlign w:val="center"/>
          </w:tcPr>
          <w:p w14:paraId="6207453B">
            <w:pPr>
              <w:jc w:val="center"/>
              <w:rPr>
                <w:rFonts w:hint="eastAsia" w:ascii="仿宋" w:hAnsi="仿宋" w:eastAsia="仿宋" w:cs="仿宋"/>
                <w:b/>
                <w:bCs/>
                <w:i w:val="0"/>
                <w:iCs w:val="0"/>
                <w:color w:val="000000"/>
                <w:sz w:val="20"/>
                <w:szCs w:val="20"/>
                <w:u w:val="none"/>
              </w:rPr>
            </w:pPr>
          </w:p>
        </w:tc>
        <w:tc>
          <w:tcPr>
            <w:tcW w:w="1080" w:type="dxa"/>
            <w:tcBorders>
              <w:top w:val="nil"/>
              <w:left w:val="nil"/>
              <w:bottom w:val="nil"/>
              <w:right w:val="single" w:color="000000" w:sz="8" w:space="0"/>
            </w:tcBorders>
            <w:shd w:val="clear" w:color="auto" w:fill="auto"/>
            <w:vAlign w:val="center"/>
          </w:tcPr>
          <w:p w14:paraId="4A7B7319">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（元/吨/公里）</w:t>
            </w:r>
          </w:p>
        </w:tc>
        <w:tc>
          <w:tcPr>
            <w:tcW w:w="1080" w:type="dxa"/>
            <w:vMerge w:val="continue"/>
            <w:tcBorders>
              <w:top w:val="single" w:color="000000" w:sz="8" w:space="0"/>
              <w:left w:val="nil"/>
              <w:bottom w:val="single" w:color="000000" w:sz="8" w:space="0"/>
              <w:right w:val="single" w:color="000000" w:sz="8" w:space="0"/>
            </w:tcBorders>
            <w:shd w:val="clear" w:color="auto" w:fill="auto"/>
            <w:vAlign w:val="center"/>
          </w:tcPr>
          <w:p w14:paraId="765032E3">
            <w:pPr>
              <w:jc w:val="center"/>
              <w:rPr>
                <w:rFonts w:hint="eastAsia" w:ascii="仿宋" w:hAnsi="仿宋" w:eastAsia="仿宋" w:cs="仿宋"/>
                <w:b/>
                <w:bCs/>
                <w:i w:val="0"/>
                <w:iCs w:val="0"/>
                <w:color w:val="000000"/>
                <w:sz w:val="20"/>
                <w:szCs w:val="20"/>
                <w:u w:val="none"/>
              </w:rPr>
            </w:pPr>
          </w:p>
        </w:tc>
        <w:tc>
          <w:tcPr>
            <w:tcW w:w="1080" w:type="dxa"/>
            <w:tcBorders>
              <w:top w:val="nil"/>
              <w:left w:val="nil"/>
              <w:bottom w:val="nil"/>
              <w:right w:val="single" w:color="000000" w:sz="8" w:space="0"/>
            </w:tcBorders>
            <w:shd w:val="clear" w:color="auto" w:fill="auto"/>
            <w:vAlign w:val="center"/>
          </w:tcPr>
          <w:p w14:paraId="55EF7E4D">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（元/吨）</w:t>
            </w:r>
          </w:p>
        </w:tc>
        <w:tc>
          <w:tcPr>
            <w:tcW w:w="1080" w:type="dxa"/>
            <w:tcBorders>
              <w:top w:val="nil"/>
              <w:left w:val="nil"/>
              <w:bottom w:val="nil"/>
              <w:right w:val="single" w:color="000000" w:sz="8" w:space="0"/>
            </w:tcBorders>
            <w:shd w:val="clear" w:color="auto" w:fill="auto"/>
            <w:vAlign w:val="center"/>
          </w:tcPr>
          <w:p w14:paraId="7A4ED2E1">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总价</w:t>
            </w:r>
          </w:p>
        </w:tc>
        <w:tc>
          <w:tcPr>
            <w:tcW w:w="1080" w:type="dxa"/>
            <w:tcBorders>
              <w:top w:val="nil"/>
              <w:left w:val="nil"/>
              <w:bottom w:val="nil"/>
              <w:right w:val="single" w:color="000000" w:sz="8" w:space="0"/>
            </w:tcBorders>
            <w:shd w:val="clear" w:color="auto" w:fill="auto"/>
            <w:vAlign w:val="center"/>
          </w:tcPr>
          <w:p w14:paraId="7C07120A">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总价</w:t>
            </w:r>
          </w:p>
        </w:tc>
        <w:tc>
          <w:tcPr>
            <w:tcW w:w="1602" w:type="dxa"/>
            <w:tcBorders>
              <w:top w:val="nil"/>
              <w:left w:val="nil"/>
              <w:bottom w:val="nil"/>
              <w:right w:val="single" w:color="000000" w:sz="8" w:space="0"/>
            </w:tcBorders>
            <w:shd w:val="clear" w:color="auto" w:fill="auto"/>
            <w:vAlign w:val="center"/>
          </w:tcPr>
          <w:p w14:paraId="3B4E05F0">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（水泥厂）</w:t>
            </w:r>
          </w:p>
        </w:tc>
        <w:tc>
          <w:tcPr>
            <w:tcW w:w="2640" w:type="dxa"/>
            <w:vMerge w:val="continue"/>
            <w:tcBorders>
              <w:top w:val="single" w:color="000000" w:sz="8" w:space="0"/>
              <w:left w:val="nil"/>
              <w:bottom w:val="single" w:color="000000" w:sz="8" w:space="0"/>
              <w:right w:val="single" w:color="000000" w:sz="8" w:space="0"/>
            </w:tcBorders>
            <w:shd w:val="clear" w:color="auto" w:fill="auto"/>
            <w:vAlign w:val="center"/>
          </w:tcPr>
          <w:p w14:paraId="05B9FB3F">
            <w:pPr>
              <w:jc w:val="center"/>
              <w:rPr>
                <w:rFonts w:hint="eastAsia" w:ascii="仿宋" w:hAnsi="仿宋" w:eastAsia="仿宋" w:cs="仿宋"/>
                <w:b/>
                <w:bCs/>
                <w:i w:val="0"/>
                <w:iCs w:val="0"/>
                <w:color w:val="000000"/>
                <w:sz w:val="20"/>
                <w:szCs w:val="20"/>
                <w:u w:val="none"/>
              </w:rPr>
            </w:pPr>
          </w:p>
        </w:tc>
        <w:tc>
          <w:tcPr>
            <w:tcW w:w="750" w:type="dxa"/>
            <w:vMerge w:val="continue"/>
            <w:tcBorders>
              <w:top w:val="single" w:color="000000" w:sz="8" w:space="0"/>
              <w:left w:val="nil"/>
              <w:bottom w:val="single" w:color="000000" w:sz="8" w:space="0"/>
              <w:right w:val="single" w:color="000000" w:sz="8" w:space="0"/>
            </w:tcBorders>
            <w:shd w:val="clear" w:color="auto" w:fill="auto"/>
            <w:vAlign w:val="center"/>
          </w:tcPr>
          <w:p w14:paraId="19608F9D">
            <w:pPr>
              <w:jc w:val="left"/>
              <w:rPr>
                <w:rFonts w:hint="eastAsia" w:ascii="仿宋" w:hAnsi="仿宋" w:eastAsia="仿宋" w:cs="仿宋"/>
                <w:b/>
                <w:bCs/>
                <w:i w:val="0"/>
                <w:iCs w:val="0"/>
                <w:color w:val="000000"/>
                <w:sz w:val="20"/>
                <w:szCs w:val="20"/>
                <w:u w:val="none"/>
              </w:rPr>
            </w:pPr>
          </w:p>
        </w:tc>
      </w:tr>
      <w:tr w14:paraId="52266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D8C931C">
            <w:pPr>
              <w:jc w:val="center"/>
              <w:rPr>
                <w:rFonts w:hint="eastAsia" w:ascii="仿宋" w:hAnsi="仿宋" w:eastAsia="仿宋" w:cs="仿宋"/>
                <w:b/>
                <w:bCs/>
                <w:i w:val="0"/>
                <w:iCs w:val="0"/>
                <w:color w:val="000000"/>
                <w:sz w:val="20"/>
                <w:szCs w:val="20"/>
                <w:u w:val="none"/>
              </w:rPr>
            </w:pPr>
          </w:p>
        </w:tc>
        <w:tc>
          <w:tcPr>
            <w:tcW w:w="1035" w:type="dxa"/>
            <w:vMerge w:val="continue"/>
            <w:tcBorders>
              <w:top w:val="single" w:color="000000" w:sz="8" w:space="0"/>
              <w:left w:val="nil"/>
              <w:bottom w:val="single" w:color="auto" w:sz="4" w:space="0"/>
              <w:right w:val="single" w:color="000000" w:sz="8" w:space="0"/>
            </w:tcBorders>
            <w:shd w:val="clear" w:color="auto" w:fill="auto"/>
            <w:vAlign w:val="center"/>
          </w:tcPr>
          <w:p w14:paraId="4D29DCCB">
            <w:pPr>
              <w:jc w:val="center"/>
              <w:rPr>
                <w:rFonts w:hint="eastAsia" w:ascii="仿宋" w:hAnsi="仿宋" w:eastAsia="仿宋" w:cs="仿宋"/>
                <w:b/>
                <w:bCs/>
                <w:i w:val="0"/>
                <w:iCs w:val="0"/>
                <w:color w:val="000000"/>
                <w:sz w:val="20"/>
                <w:szCs w:val="20"/>
                <w:u w:val="none"/>
              </w:rPr>
            </w:pPr>
          </w:p>
        </w:tc>
        <w:tc>
          <w:tcPr>
            <w:tcW w:w="1638" w:type="dxa"/>
            <w:vMerge w:val="continue"/>
            <w:tcBorders>
              <w:top w:val="single" w:color="000000" w:sz="8" w:space="0"/>
              <w:left w:val="nil"/>
              <w:bottom w:val="single" w:color="000000" w:sz="8" w:space="0"/>
              <w:right w:val="single" w:color="000000" w:sz="8" w:space="0"/>
            </w:tcBorders>
            <w:shd w:val="clear" w:color="auto" w:fill="auto"/>
            <w:vAlign w:val="center"/>
          </w:tcPr>
          <w:p w14:paraId="68701C87">
            <w:pPr>
              <w:jc w:val="center"/>
              <w:rPr>
                <w:rFonts w:hint="eastAsia" w:ascii="仿宋" w:hAnsi="仿宋" w:eastAsia="仿宋" w:cs="仿宋"/>
                <w:b/>
                <w:bCs/>
                <w:i w:val="0"/>
                <w:iCs w:val="0"/>
                <w:color w:val="000000"/>
                <w:sz w:val="20"/>
                <w:szCs w:val="20"/>
                <w:u w:val="none"/>
              </w:rPr>
            </w:pPr>
          </w:p>
        </w:tc>
        <w:tc>
          <w:tcPr>
            <w:tcW w:w="1080" w:type="dxa"/>
            <w:vMerge w:val="continue"/>
            <w:tcBorders>
              <w:top w:val="single" w:color="000000" w:sz="8" w:space="0"/>
              <w:left w:val="nil"/>
              <w:bottom w:val="single" w:color="000000" w:sz="8" w:space="0"/>
              <w:right w:val="single" w:color="000000" w:sz="8" w:space="0"/>
            </w:tcBorders>
            <w:shd w:val="clear" w:color="auto" w:fill="auto"/>
            <w:vAlign w:val="center"/>
          </w:tcPr>
          <w:p w14:paraId="0AB2B41A">
            <w:pPr>
              <w:jc w:val="center"/>
              <w:rPr>
                <w:rFonts w:hint="eastAsia" w:ascii="仿宋" w:hAnsi="仿宋" w:eastAsia="仿宋" w:cs="仿宋"/>
                <w:b/>
                <w:bCs/>
                <w:i w:val="0"/>
                <w:iCs w:val="0"/>
                <w:color w:val="000000"/>
                <w:sz w:val="20"/>
                <w:szCs w:val="20"/>
                <w:u w:val="none"/>
              </w:rPr>
            </w:pPr>
          </w:p>
        </w:tc>
        <w:tc>
          <w:tcPr>
            <w:tcW w:w="1080" w:type="dxa"/>
            <w:tcBorders>
              <w:top w:val="nil"/>
              <w:left w:val="nil"/>
              <w:bottom w:val="nil"/>
              <w:right w:val="single" w:color="000000" w:sz="8" w:space="0"/>
            </w:tcBorders>
            <w:shd w:val="clear" w:color="auto" w:fill="auto"/>
            <w:noWrap/>
            <w:vAlign w:val="center"/>
          </w:tcPr>
          <w:p w14:paraId="25F25E02">
            <w:pPr>
              <w:rPr>
                <w:rFonts w:hint="eastAsia" w:ascii="宋体" w:hAnsi="宋体" w:eastAsia="宋体" w:cs="宋体"/>
                <w:i w:val="0"/>
                <w:iCs w:val="0"/>
                <w:color w:val="000000"/>
                <w:sz w:val="22"/>
                <w:szCs w:val="22"/>
                <w:u w:val="none"/>
              </w:rPr>
            </w:pPr>
          </w:p>
        </w:tc>
        <w:tc>
          <w:tcPr>
            <w:tcW w:w="1080" w:type="dxa"/>
            <w:vMerge w:val="continue"/>
            <w:tcBorders>
              <w:top w:val="single" w:color="000000" w:sz="8" w:space="0"/>
              <w:left w:val="nil"/>
              <w:bottom w:val="single" w:color="000000" w:sz="8" w:space="0"/>
              <w:right w:val="single" w:color="000000" w:sz="8" w:space="0"/>
            </w:tcBorders>
            <w:shd w:val="clear" w:color="auto" w:fill="auto"/>
            <w:vAlign w:val="center"/>
          </w:tcPr>
          <w:p w14:paraId="76C183A2">
            <w:pPr>
              <w:jc w:val="center"/>
              <w:rPr>
                <w:rFonts w:hint="eastAsia" w:ascii="仿宋" w:hAnsi="仿宋" w:eastAsia="仿宋" w:cs="仿宋"/>
                <w:b/>
                <w:bCs/>
                <w:i w:val="0"/>
                <w:iCs w:val="0"/>
                <w:color w:val="000000"/>
                <w:sz w:val="20"/>
                <w:szCs w:val="20"/>
                <w:u w:val="none"/>
              </w:rPr>
            </w:pPr>
          </w:p>
        </w:tc>
        <w:tc>
          <w:tcPr>
            <w:tcW w:w="1080" w:type="dxa"/>
            <w:tcBorders>
              <w:top w:val="nil"/>
              <w:left w:val="nil"/>
              <w:bottom w:val="single" w:color="000000" w:sz="8" w:space="0"/>
              <w:right w:val="single" w:color="000000" w:sz="8" w:space="0"/>
            </w:tcBorders>
            <w:shd w:val="clear" w:color="auto" w:fill="auto"/>
            <w:noWrap/>
            <w:vAlign w:val="center"/>
          </w:tcPr>
          <w:p w14:paraId="5D5BDCB0">
            <w:pPr>
              <w:rPr>
                <w:rFonts w:hint="eastAsia" w:ascii="宋体" w:hAnsi="宋体" w:eastAsia="宋体" w:cs="宋体"/>
                <w:i w:val="0"/>
                <w:iCs w:val="0"/>
                <w:color w:val="000000"/>
                <w:sz w:val="22"/>
                <w:szCs w:val="22"/>
                <w:u w:val="none"/>
              </w:rPr>
            </w:pPr>
          </w:p>
        </w:tc>
        <w:tc>
          <w:tcPr>
            <w:tcW w:w="1080" w:type="dxa"/>
            <w:tcBorders>
              <w:top w:val="nil"/>
              <w:left w:val="nil"/>
              <w:bottom w:val="single" w:color="000000" w:sz="8" w:space="0"/>
              <w:right w:val="single" w:color="000000" w:sz="8" w:space="0"/>
            </w:tcBorders>
            <w:shd w:val="clear" w:color="auto" w:fill="auto"/>
            <w:vAlign w:val="center"/>
          </w:tcPr>
          <w:p w14:paraId="3B3A4E42">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（元）</w:t>
            </w:r>
          </w:p>
        </w:tc>
        <w:tc>
          <w:tcPr>
            <w:tcW w:w="1080" w:type="dxa"/>
            <w:tcBorders>
              <w:top w:val="nil"/>
              <w:left w:val="nil"/>
              <w:bottom w:val="nil"/>
              <w:right w:val="single" w:color="000000" w:sz="8" w:space="0"/>
            </w:tcBorders>
            <w:shd w:val="clear" w:color="auto" w:fill="auto"/>
            <w:vAlign w:val="center"/>
          </w:tcPr>
          <w:p w14:paraId="322C13E5">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（元）</w:t>
            </w:r>
          </w:p>
        </w:tc>
        <w:tc>
          <w:tcPr>
            <w:tcW w:w="1602" w:type="dxa"/>
            <w:tcBorders>
              <w:top w:val="nil"/>
              <w:left w:val="nil"/>
              <w:bottom w:val="single" w:color="000000" w:sz="8" w:space="0"/>
              <w:right w:val="single" w:color="000000" w:sz="8" w:space="0"/>
            </w:tcBorders>
            <w:shd w:val="clear" w:color="auto" w:fill="auto"/>
            <w:noWrap/>
            <w:vAlign w:val="center"/>
          </w:tcPr>
          <w:p w14:paraId="630CC702">
            <w:pPr>
              <w:rPr>
                <w:rFonts w:hint="eastAsia" w:ascii="宋体" w:hAnsi="宋体" w:eastAsia="宋体" w:cs="宋体"/>
                <w:i w:val="0"/>
                <w:iCs w:val="0"/>
                <w:color w:val="000000"/>
                <w:sz w:val="22"/>
                <w:szCs w:val="22"/>
                <w:u w:val="none"/>
              </w:rPr>
            </w:pPr>
          </w:p>
        </w:tc>
        <w:tc>
          <w:tcPr>
            <w:tcW w:w="2640" w:type="dxa"/>
            <w:vMerge w:val="continue"/>
            <w:tcBorders>
              <w:top w:val="single" w:color="000000" w:sz="8" w:space="0"/>
              <w:left w:val="nil"/>
              <w:bottom w:val="single" w:color="000000" w:sz="8" w:space="0"/>
              <w:right w:val="single" w:color="000000" w:sz="8" w:space="0"/>
            </w:tcBorders>
            <w:shd w:val="clear" w:color="auto" w:fill="auto"/>
            <w:vAlign w:val="center"/>
          </w:tcPr>
          <w:p w14:paraId="52A456DA">
            <w:pPr>
              <w:jc w:val="center"/>
              <w:rPr>
                <w:rFonts w:hint="eastAsia" w:ascii="仿宋" w:hAnsi="仿宋" w:eastAsia="仿宋" w:cs="仿宋"/>
                <w:b/>
                <w:bCs/>
                <w:i w:val="0"/>
                <w:iCs w:val="0"/>
                <w:color w:val="000000"/>
                <w:sz w:val="20"/>
                <w:szCs w:val="20"/>
                <w:u w:val="none"/>
              </w:rPr>
            </w:pPr>
          </w:p>
        </w:tc>
        <w:tc>
          <w:tcPr>
            <w:tcW w:w="750" w:type="dxa"/>
            <w:vMerge w:val="continue"/>
            <w:tcBorders>
              <w:top w:val="single" w:color="000000" w:sz="8" w:space="0"/>
              <w:left w:val="nil"/>
              <w:bottom w:val="single" w:color="000000" w:sz="8" w:space="0"/>
              <w:right w:val="single" w:color="000000" w:sz="8" w:space="0"/>
            </w:tcBorders>
            <w:shd w:val="clear" w:color="auto" w:fill="auto"/>
            <w:vAlign w:val="center"/>
          </w:tcPr>
          <w:p w14:paraId="599874C1">
            <w:pPr>
              <w:jc w:val="left"/>
              <w:rPr>
                <w:rFonts w:hint="eastAsia" w:ascii="仿宋" w:hAnsi="仿宋" w:eastAsia="仿宋" w:cs="仿宋"/>
                <w:b/>
                <w:bCs/>
                <w:i w:val="0"/>
                <w:iCs w:val="0"/>
                <w:color w:val="000000"/>
                <w:sz w:val="20"/>
                <w:szCs w:val="20"/>
                <w:u w:val="none"/>
              </w:rPr>
            </w:pPr>
          </w:p>
        </w:tc>
      </w:tr>
      <w:tr w14:paraId="74D44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4" w:hRule="atLeast"/>
        </w:trPr>
        <w:tc>
          <w:tcPr>
            <w:tcW w:w="1140" w:type="dxa"/>
            <w:tcBorders>
              <w:top w:val="nil"/>
              <w:left w:val="single" w:color="000000" w:sz="8" w:space="0"/>
              <w:right w:val="single" w:color="auto" w:sz="4" w:space="0"/>
            </w:tcBorders>
            <w:shd w:val="clear" w:color="auto" w:fill="auto"/>
            <w:vAlign w:val="center"/>
          </w:tcPr>
          <w:p w14:paraId="66D2CD6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01包件</w:t>
            </w:r>
          </w:p>
        </w:tc>
        <w:tc>
          <w:tcPr>
            <w:tcW w:w="1035" w:type="dxa"/>
            <w:tcBorders>
              <w:top w:val="single" w:color="auto" w:sz="4" w:space="0"/>
              <w:left w:val="single" w:color="auto" w:sz="4" w:space="0"/>
              <w:bottom w:val="single" w:color="auto" w:sz="4" w:space="0"/>
              <w:right w:val="single" w:color="auto" w:sz="4" w:space="0"/>
            </w:tcBorders>
            <w:shd w:val="clear" w:color="auto" w:fill="auto"/>
            <w:vAlign w:val="center"/>
          </w:tcPr>
          <w:p w14:paraId="022B579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水泥</w:t>
            </w:r>
          </w:p>
        </w:tc>
        <w:tc>
          <w:tcPr>
            <w:tcW w:w="1638" w:type="dxa"/>
            <w:tcBorders>
              <w:top w:val="single" w:color="000000" w:sz="8" w:space="0"/>
              <w:left w:val="single" w:color="auto" w:sz="4" w:space="0"/>
              <w:bottom w:val="single" w:color="000000" w:sz="8" w:space="0"/>
              <w:right w:val="single" w:color="000000" w:sz="8" w:space="0"/>
            </w:tcBorders>
            <w:shd w:val="clear" w:color="auto" w:fill="auto"/>
            <w:vAlign w:val="center"/>
          </w:tcPr>
          <w:p w14:paraId="1CCFAAA8">
            <w:pPr>
              <w:keepNext w:val="0"/>
              <w:keepLines w:val="0"/>
              <w:widowControl/>
              <w:suppressLineNumbers w:val="0"/>
              <w:jc w:val="center"/>
              <w:textAlignment w:val="center"/>
              <w:rPr>
                <w:rFonts w:hint="default" w:ascii="仿宋" w:hAnsi="仿宋" w:eastAsia="仿宋" w:cs="仿宋"/>
                <w:i w:val="0"/>
                <w:iCs w:val="0"/>
                <w:color w:val="000000"/>
                <w:sz w:val="18"/>
                <w:szCs w:val="18"/>
                <w:u w:val="none"/>
                <w:lang w:val="en-US"/>
              </w:rPr>
            </w:pPr>
            <w:r>
              <w:rPr>
                <w:rFonts w:hint="eastAsia" w:ascii="仿宋" w:hAnsi="仿宋" w:eastAsia="仿宋" w:cs="仿宋"/>
                <w:i w:val="0"/>
                <w:iCs w:val="0"/>
                <w:color w:val="000000"/>
                <w:kern w:val="0"/>
                <w:sz w:val="18"/>
                <w:szCs w:val="18"/>
                <w:u w:val="none"/>
                <w:lang w:val="en-US" w:eastAsia="zh-CN" w:bidi="ar"/>
              </w:rPr>
              <w:t xml:space="preserve">  P.O42.5散装</w:t>
            </w:r>
          </w:p>
        </w:tc>
        <w:tc>
          <w:tcPr>
            <w:tcW w:w="1080" w:type="dxa"/>
            <w:tcBorders>
              <w:top w:val="nil"/>
              <w:left w:val="nil"/>
              <w:bottom w:val="single" w:color="000000" w:sz="8" w:space="0"/>
              <w:right w:val="single" w:color="000000" w:sz="8" w:space="0"/>
            </w:tcBorders>
            <w:shd w:val="clear" w:color="auto" w:fill="auto"/>
            <w:noWrap/>
            <w:vAlign w:val="center"/>
          </w:tcPr>
          <w:p w14:paraId="3D16EC16">
            <w:pPr>
              <w:keepNext w:val="0"/>
              <w:keepLines w:val="0"/>
              <w:widowControl/>
              <w:suppressLineNumbers w:val="0"/>
              <w:jc w:val="center"/>
              <w:textAlignment w:val="center"/>
              <w:rPr>
                <w:rFonts w:hint="default" w:ascii="仿宋" w:hAnsi="仿宋" w:eastAsia="仿宋" w:cs="仿宋"/>
                <w:i w:val="0"/>
                <w:iCs w:val="0"/>
                <w:color w:val="000000"/>
                <w:sz w:val="18"/>
                <w:szCs w:val="18"/>
                <w:u w:val="none"/>
                <w:lang w:val="en-US"/>
              </w:rPr>
            </w:pPr>
            <w:r>
              <w:rPr>
                <w:rFonts w:hint="eastAsia" w:ascii="仿宋" w:hAnsi="仿宋" w:eastAsia="仿宋" w:cs="仿宋"/>
                <w:i w:val="0"/>
                <w:iCs w:val="0"/>
                <w:color w:val="000000"/>
                <w:kern w:val="0"/>
                <w:sz w:val="18"/>
                <w:szCs w:val="18"/>
                <w:u w:val="none"/>
                <w:lang w:val="en-US" w:eastAsia="zh-CN" w:bidi="ar"/>
              </w:rPr>
              <w:t>7000</w:t>
            </w:r>
          </w:p>
        </w:tc>
        <w:tc>
          <w:tcPr>
            <w:tcW w:w="1080" w:type="dxa"/>
            <w:tcBorders>
              <w:top w:val="single" w:color="000000" w:sz="8" w:space="0"/>
              <w:left w:val="nil"/>
              <w:bottom w:val="single" w:color="000000" w:sz="8" w:space="0"/>
              <w:right w:val="single" w:color="000000" w:sz="8" w:space="0"/>
            </w:tcBorders>
            <w:shd w:val="clear" w:color="auto" w:fill="auto"/>
            <w:vAlign w:val="center"/>
          </w:tcPr>
          <w:p w14:paraId="5A1C13A2">
            <w:pPr>
              <w:jc w:val="center"/>
              <w:rPr>
                <w:rFonts w:hint="eastAsia" w:ascii="仿宋" w:hAnsi="仿宋" w:eastAsia="仿宋" w:cs="仿宋"/>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auto"/>
            <w:vAlign w:val="center"/>
          </w:tcPr>
          <w:p w14:paraId="37CF682A">
            <w:pPr>
              <w:jc w:val="center"/>
              <w:rPr>
                <w:rFonts w:hint="eastAsia" w:ascii="仿宋" w:hAnsi="仿宋" w:eastAsia="仿宋" w:cs="仿宋"/>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auto"/>
            <w:vAlign w:val="center"/>
          </w:tcPr>
          <w:p w14:paraId="72831898">
            <w:pPr>
              <w:jc w:val="center"/>
              <w:rPr>
                <w:rFonts w:hint="eastAsia" w:ascii="仿宋" w:hAnsi="仿宋" w:eastAsia="仿宋" w:cs="仿宋"/>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auto"/>
            <w:vAlign w:val="center"/>
          </w:tcPr>
          <w:p w14:paraId="464E91BA">
            <w:pPr>
              <w:jc w:val="center"/>
              <w:rPr>
                <w:rFonts w:hint="eastAsia" w:ascii="仿宋" w:hAnsi="仿宋" w:eastAsia="仿宋" w:cs="仿宋"/>
                <w:i w:val="0"/>
                <w:iCs w:val="0"/>
                <w:color w:val="000000"/>
                <w:sz w:val="18"/>
                <w:szCs w:val="18"/>
                <w:u w:val="none"/>
              </w:rPr>
            </w:pPr>
          </w:p>
        </w:tc>
        <w:tc>
          <w:tcPr>
            <w:tcW w:w="1080" w:type="dxa"/>
            <w:tcBorders>
              <w:top w:val="single" w:color="000000" w:sz="8" w:space="0"/>
              <w:left w:val="nil"/>
              <w:bottom w:val="single" w:color="000000" w:sz="8" w:space="0"/>
              <w:right w:val="single" w:color="000000" w:sz="8" w:space="0"/>
            </w:tcBorders>
            <w:shd w:val="clear" w:color="auto" w:fill="auto"/>
            <w:vAlign w:val="center"/>
          </w:tcPr>
          <w:p w14:paraId="6FA026A5">
            <w:pPr>
              <w:jc w:val="center"/>
              <w:rPr>
                <w:rFonts w:hint="eastAsia" w:ascii="仿宋" w:hAnsi="仿宋" w:eastAsia="仿宋" w:cs="仿宋"/>
                <w:i w:val="0"/>
                <w:iCs w:val="0"/>
                <w:color w:val="000000"/>
                <w:sz w:val="18"/>
                <w:szCs w:val="18"/>
                <w:u w:val="none"/>
              </w:rPr>
            </w:pPr>
          </w:p>
        </w:tc>
        <w:tc>
          <w:tcPr>
            <w:tcW w:w="160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158934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安徽池州海螺水泥股份有限公司</w:t>
            </w:r>
          </w:p>
        </w:tc>
        <w:tc>
          <w:tcPr>
            <w:tcW w:w="264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E3FC31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安徽省池州市贵池区殷汇镇枫树王中交一公局五公司池州G236改建01标项目施工现场</w:t>
            </w:r>
          </w:p>
        </w:tc>
        <w:tc>
          <w:tcPr>
            <w:tcW w:w="750" w:type="dxa"/>
            <w:tcBorders>
              <w:top w:val="nil"/>
              <w:left w:val="nil"/>
              <w:bottom w:val="nil"/>
              <w:right w:val="single" w:color="000000" w:sz="8" w:space="0"/>
            </w:tcBorders>
            <w:shd w:val="clear" w:color="auto" w:fill="auto"/>
            <w:vAlign w:val="center"/>
          </w:tcPr>
          <w:p w14:paraId="378C1F31">
            <w:pPr>
              <w:jc w:val="center"/>
              <w:rPr>
                <w:rFonts w:hint="eastAsia" w:ascii="宋体" w:hAnsi="宋体" w:eastAsia="宋体" w:cs="宋体"/>
                <w:i w:val="0"/>
                <w:iCs w:val="0"/>
                <w:color w:val="000000"/>
                <w:sz w:val="18"/>
                <w:szCs w:val="18"/>
                <w:u w:val="none"/>
              </w:rPr>
            </w:pPr>
          </w:p>
        </w:tc>
      </w:tr>
      <w:tr w14:paraId="5F501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813"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3164B0AC">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合计</w:t>
            </w:r>
          </w:p>
        </w:tc>
        <w:tc>
          <w:tcPr>
            <w:tcW w:w="1080" w:type="dxa"/>
            <w:tcBorders>
              <w:top w:val="single" w:color="000000" w:sz="8" w:space="0"/>
              <w:left w:val="nil"/>
              <w:bottom w:val="single" w:color="000000" w:sz="8" w:space="0"/>
              <w:right w:val="single" w:color="000000" w:sz="8" w:space="0"/>
            </w:tcBorders>
            <w:shd w:val="clear" w:color="auto" w:fill="auto"/>
            <w:vAlign w:val="center"/>
          </w:tcPr>
          <w:p w14:paraId="7AC0A3E3">
            <w:pPr>
              <w:keepNext w:val="0"/>
              <w:keepLines w:val="0"/>
              <w:widowControl/>
              <w:suppressLineNumbers w:val="0"/>
              <w:jc w:val="center"/>
              <w:textAlignment w:val="center"/>
              <w:rPr>
                <w:rFonts w:hint="default" w:ascii="仿宋" w:hAnsi="仿宋" w:eastAsia="仿宋" w:cs="仿宋"/>
                <w:b/>
                <w:bCs/>
                <w:i w:val="0"/>
                <w:iCs w:val="0"/>
                <w:color w:val="000000"/>
                <w:sz w:val="20"/>
                <w:szCs w:val="20"/>
                <w:u w:val="none"/>
                <w:lang w:val="en-US"/>
              </w:rPr>
            </w:pPr>
            <w:r>
              <w:rPr>
                <w:rFonts w:hint="eastAsia" w:ascii="仿宋" w:hAnsi="仿宋" w:eastAsia="仿宋" w:cs="仿宋"/>
                <w:b/>
                <w:bCs/>
                <w:i w:val="0"/>
                <w:iCs w:val="0"/>
                <w:color w:val="000000"/>
                <w:kern w:val="0"/>
                <w:sz w:val="20"/>
                <w:szCs w:val="20"/>
                <w:u w:val="none"/>
                <w:lang w:val="en-US" w:eastAsia="zh-CN" w:bidi="ar"/>
              </w:rPr>
              <w:t>7000</w:t>
            </w:r>
          </w:p>
        </w:tc>
        <w:tc>
          <w:tcPr>
            <w:tcW w:w="1080" w:type="dxa"/>
            <w:tcBorders>
              <w:top w:val="single" w:color="000000" w:sz="8" w:space="0"/>
              <w:left w:val="nil"/>
              <w:bottom w:val="single" w:color="000000" w:sz="8" w:space="0"/>
              <w:right w:val="single" w:color="000000" w:sz="8" w:space="0"/>
            </w:tcBorders>
            <w:shd w:val="clear" w:color="auto" w:fill="auto"/>
            <w:vAlign w:val="center"/>
          </w:tcPr>
          <w:p w14:paraId="49C1269E">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auto"/>
            <w:vAlign w:val="center"/>
          </w:tcPr>
          <w:p w14:paraId="66DA048C">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auto"/>
            <w:vAlign w:val="center"/>
          </w:tcPr>
          <w:p w14:paraId="40087FA6">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auto"/>
            <w:vAlign w:val="center"/>
          </w:tcPr>
          <w:p w14:paraId="55516DE4">
            <w:pPr>
              <w:jc w:val="center"/>
              <w:rPr>
                <w:rFonts w:hint="eastAsia" w:ascii="仿宋" w:hAnsi="仿宋" w:eastAsia="仿宋" w:cs="仿宋"/>
                <w:b/>
                <w:bCs/>
                <w:i w:val="0"/>
                <w:iCs w:val="0"/>
                <w:color w:val="000000"/>
                <w:sz w:val="18"/>
                <w:szCs w:val="18"/>
                <w:u w:val="none"/>
              </w:rPr>
            </w:pPr>
          </w:p>
        </w:tc>
        <w:tc>
          <w:tcPr>
            <w:tcW w:w="1080" w:type="dxa"/>
            <w:tcBorders>
              <w:top w:val="nil"/>
              <w:left w:val="nil"/>
              <w:bottom w:val="single" w:color="000000" w:sz="8" w:space="0"/>
              <w:right w:val="single" w:color="000000" w:sz="8" w:space="0"/>
            </w:tcBorders>
            <w:shd w:val="clear" w:color="auto" w:fill="auto"/>
            <w:vAlign w:val="center"/>
          </w:tcPr>
          <w:p w14:paraId="432F5FEF">
            <w:pPr>
              <w:jc w:val="center"/>
              <w:rPr>
                <w:rFonts w:hint="eastAsia" w:ascii="仿宋" w:hAnsi="仿宋" w:eastAsia="仿宋" w:cs="仿宋"/>
                <w:b/>
                <w:bCs/>
                <w:i w:val="0"/>
                <w:iCs w:val="0"/>
                <w:color w:val="000000"/>
                <w:sz w:val="18"/>
                <w:szCs w:val="18"/>
                <w:u w:val="none"/>
              </w:rPr>
            </w:pPr>
          </w:p>
        </w:tc>
        <w:tc>
          <w:tcPr>
            <w:tcW w:w="1602" w:type="dxa"/>
            <w:tcBorders>
              <w:top w:val="nil"/>
              <w:left w:val="nil"/>
              <w:bottom w:val="single" w:color="000000" w:sz="8" w:space="0"/>
              <w:right w:val="single" w:color="000000" w:sz="8" w:space="0"/>
            </w:tcBorders>
            <w:shd w:val="clear" w:color="auto" w:fill="auto"/>
            <w:vAlign w:val="center"/>
          </w:tcPr>
          <w:p w14:paraId="13FA60FA">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p>
        </w:tc>
        <w:tc>
          <w:tcPr>
            <w:tcW w:w="2640" w:type="dxa"/>
            <w:tcBorders>
              <w:top w:val="nil"/>
              <w:left w:val="nil"/>
              <w:bottom w:val="single" w:color="000000" w:sz="8" w:space="0"/>
              <w:right w:val="single" w:color="000000" w:sz="8" w:space="0"/>
            </w:tcBorders>
            <w:shd w:val="clear" w:color="auto" w:fill="auto"/>
            <w:vAlign w:val="center"/>
          </w:tcPr>
          <w:p w14:paraId="11831E30">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p>
        </w:tc>
        <w:tc>
          <w:tcPr>
            <w:tcW w:w="750" w:type="dxa"/>
            <w:tcBorders>
              <w:top w:val="nil"/>
              <w:left w:val="nil"/>
              <w:bottom w:val="single" w:color="000000" w:sz="8" w:space="0"/>
              <w:right w:val="single" w:color="000000" w:sz="8" w:space="0"/>
            </w:tcBorders>
            <w:shd w:val="clear" w:color="auto" w:fill="auto"/>
            <w:vAlign w:val="center"/>
          </w:tcPr>
          <w:p w14:paraId="639160D6">
            <w:pPr>
              <w:jc w:val="center"/>
              <w:rPr>
                <w:rFonts w:hint="eastAsia" w:ascii="仿宋" w:hAnsi="仿宋" w:eastAsia="仿宋" w:cs="仿宋"/>
                <w:b/>
                <w:bCs/>
                <w:i w:val="0"/>
                <w:iCs w:val="0"/>
                <w:color w:val="000000"/>
                <w:sz w:val="18"/>
                <w:szCs w:val="18"/>
                <w:u w:val="none"/>
              </w:rPr>
            </w:pPr>
          </w:p>
        </w:tc>
      </w:tr>
      <w:tr w14:paraId="0FE8A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813" w:type="dxa"/>
            <w:gridSpan w:val="3"/>
            <w:tcBorders>
              <w:top w:val="nil"/>
              <w:left w:val="single" w:color="000000" w:sz="8" w:space="0"/>
              <w:bottom w:val="single" w:color="000000" w:sz="8" w:space="0"/>
              <w:right w:val="single" w:color="000000" w:sz="8" w:space="0"/>
            </w:tcBorders>
            <w:shd w:val="clear" w:color="auto" w:fill="auto"/>
            <w:vAlign w:val="center"/>
          </w:tcPr>
          <w:p w14:paraId="5FF5A66E">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含税总价合计大写</w:t>
            </w:r>
          </w:p>
        </w:tc>
        <w:tc>
          <w:tcPr>
            <w:tcW w:w="1080" w:type="dxa"/>
            <w:tcBorders>
              <w:top w:val="nil"/>
              <w:left w:val="nil"/>
              <w:bottom w:val="single" w:color="000000" w:sz="8" w:space="0"/>
              <w:right w:val="single" w:color="000000" w:sz="8" w:space="0"/>
            </w:tcBorders>
            <w:shd w:val="clear" w:color="auto" w:fill="auto"/>
            <w:noWrap/>
            <w:vAlign w:val="center"/>
          </w:tcPr>
          <w:p w14:paraId="29BF2FEC">
            <w:pPr>
              <w:jc w:val="both"/>
              <w:rPr>
                <w:rFonts w:hint="eastAsia" w:ascii="宋体" w:hAnsi="宋体" w:eastAsia="宋体" w:cs="宋体"/>
                <w:i w:val="0"/>
                <w:iCs w:val="0"/>
                <w:color w:val="000000"/>
                <w:sz w:val="22"/>
                <w:szCs w:val="22"/>
                <w:u w:val="none"/>
              </w:rPr>
            </w:pPr>
          </w:p>
        </w:tc>
        <w:tc>
          <w:tcPr>
            <w:tcW w:w="9642" w:type="dxa"/>
            <w:gridSpan w:val="7"/>
            <w:tcBorders>
              <w:top w:val="nil"/>
              <w:left w:val="nil"/>
              <w:bottom w:val="single" w:color="000000" w:sz="8" w:space="0"/>
              <w:right w:val="single" w:color="000000" w:sz="8" w:space="0"/>
            </w:tcBorders>
            <w:shd w:val="clear" w:color="auto" w:fill="auto"/>
            <w:noWrap/>
            <w:vAlign w:val="center"/>
          </w:tcPr>
          <w:p w14:paraId="1B3CE34B">
            <w:pPr>
              <w:jc w:val="both"/>
              <w:rPr>
                <w:rFonts w:hint="eastAsia" w:ascii="宋体" w:hAnsi="宋体" w:eastAsia="宋体" w:cs="宋体"/>
                <w:i w:val="0"/>
                <w:iCs w:val="0"/>
                <w:color w:val="000000"/>
                <w:sz w:val="22"/>
                <w:szCs w:val="22"/>
                <w:u w:val="none"/>
              </w:rPr>
            </w:pPr>
          </w:p>
        </w:tc>
        <w:tc>
          <w:tcPr>
            <w:tcW w:w="750" w:type="dxa"/>
            <w:tcBorders>
              <w:top w:val="nil"/>
              <w:left w:val="nil"/>
              <w:bottom w:val="single" w:color="000000" w:sz="8" w:space="0"/>
              <w:right w:val="single" w:color="000000" w:sz="8" w:space="0"/>
            </w:tcBorders>
            <w:shd w:val="clear" w:color="auto" w:fill="auto"/>
            <w:noWrap/>
            <w:vAlign w:val="center"/>
          </w:tcPr>
          <w:p w14:paraId="04C1A94D">
            <w:pPr>
              <w:rPr>
                <w:rFonts w:hint="eastAsia" w:ascii="宋体" w:hAnsi="宋体" w:eastAsia="宋体" w:cs="宋体"/>
                <w:i w:val="0"/>
                <w:iCs w:val="0"/>
                <w:color w:val="000000"/>
                <w:sz w:val="22"/>
                <w:szCs w:val="22"/>
                <w:u w:val="none"/>
              </w:rPr>
            </w:pPr>
          </w:p>
        </w:tc>
      </w:tr>
    </w:tbl>
    <w:p w14:paraId="61DF34DF">
      <w:pPr>
        <w:widowControl/>
        <w:numPr>
          <w:ilvl w:val="0"/>
          <w:numId w:val="0"/>
        </w:numPr>
        <w:spacing w:line="360" w:lineRule="auto"/>
        <w:ind w:firstLine="420" w:firstLineChars="200"/>
        <w:jc w:val="left"/>
        <w:rPr>
          <w:rFonts w:hint="eastAsia" w:ascii="仿宋" w:hAnsi="仿宋" w:eastAsia="仿宋" w:cs="Times New Roman"/>
          <w:b/>
          <w:color w:val="auto"/>
          <w:sz w:val="28"/>
          <w:szCs w:val="21"/>
          <w:highlight w:val="none"/>
          <w:lang w:val="en-US" w:eastAsia="zh-CN"/>
        </w:rPr>
      </w:pPr>
      <w:r>
        <w:rPr>
          <w:rFonts w:hint="eastAsia" w:ascii="仿宋" w:hAnsi="仿宋" w:eastAsia="仿宋"/>
          <w:b/>
          <w:color w:val="auto"/>
          <w:szCs w:val="21"/>
          <w:highlight w:val="none"/>
        </w:rPr>
        <w:t>注（1）以上报价中含税为含9%增值税</w:t>
      </w:r>
      <w:r>
        <w:rPr>
          <w:rFonts w:ascii="仿宋" w:hAnsi="仿宋" w:eastAsia="仿宋"/>
          <w:b/>
          <w:color w:val="auto"/>
          <w:highlight w:val="none"/>
        </w:rPr>
        <w:t>税</w:t>
      </w:r>
      <w:r>
        <w:rPr>
          <w:rFonts w:hint="eastAsia" w:ascii="仿宋" w:hAnsi="仿宋" w:eastAsia="仿宋"/>
          <w:b/>
          <w:color w:val="auto"/>
          <w:highlight w:val="none"/>
        </w:rPr>
        <w:t>金；</w:t>
      </w:r>
      <w:r>
        <w:rPr>
          <w:rFonts w:hint="eastAsia" w:ascii="仿宋" w:hAnsi="仿宋" w:eastAsia="仿宋"/>
          <w:b/>
          <w:color w:val="auto"/>
          <w:szCs w:val="21"/>
          <w:highlight w:val="none"/>
        </w:rPr>
        <w:t xml:space="preserve"> (2)中国交建系统上填报的价格为每个条线路运输的最高报价；（3）本次报价只作为</w:t>
      </w:r>
      <w:r>
        <w:rPr>
          <w:rFonts w:hint="eastAsia" w:ascii="仿宋" w:hAnsi="仿宋" w:eastAsia="仿宋"/>
          <w:b/>
          <w:color w:val="auto"/>
          <w:szCs w:val="21"/>
          <w:highlight w:val="none"/>
          <w:lang w:eastAsia="zh-CN"/>
        </w:rPr>
        <w:t>报价</w:t>
      </w:r>
      <w:r>
        <w:rPr>
          <w:rFonts w:hint="eastAsia" w:ascii="仿宋" w:hAnsi="仿宋" w:eastAsia="仿宋"/>
          <w:b/>
          <w:color w:val="auto"/>
          <w:szCs w:val="21"/>
          <w:highlight w:val="none"/>
        </w:rPr>
        <w:t>评标的依据，最终经综合评定及合同谈判后确定合同单价，合同单价不得高于</w:t>
      </w:r>
      <w:r>
        <w:rPr>
          <w:rFonts w:hint="eastAsia" w:ascii="仿宋" w:hAnsi="仿宋" w:eastAsia="仿宋"/>
          <w:b/>
          <w:color w:val="auto"/>
          <w:szCs w:val="21"/>
          <w:highlight w:val="none"/>
          <w:lang w:eastAsia="zh-CN"/>
        </w:rPr>
        <w:t>报价</w:t>
      </w:r>
      <w:r>
        <w:rPr>
          <w:rFonts w:hint="eastAsia" w:ascii="仿宋" w:hAnsi="仿宋" w:eastAsia="仿宋"/>
          <w:b/>
          <w:color w:val="auto"/>
          <w:szCs w:val="21"/>
          <w:highlight w:val="none"/>
        </w:rPr>
        <w:t>单价；（4）表中数量（不可改动）为</w:t>
      </w:r>
      <w:r>
        <w:rPr>
          <w:rFonts w:hint="eastAsia" w:ascii="仿宋" w:hAnsi="仿宋" w:eastAsia="仿宋"/>
          <w:b/>
          <w:color w:val="auto"/>
          <w:szCs w:val="21"/>
          <w:highlight w:val="none"/>
          <w:lang w:eastAsia="zh-CN"/>
        </w:rPr>
        <w:t>报价</w:t>
      </w:r>
      <w:r>
        <w:rPr>
          <w:rFonts w:hint="eastAsia" w:ascii="仿宋" w:hAnsi="仿宋" w:eastAsia="仿宋"/>
          <w:b/>
          <w:color w:val="auto"/>
          <w:szCs w:val="21"/>
          <w:highlight w:val="none"/>
          <w:lang w:val="en-US" w:eastAsia="zh-CN"/>
        </w:rPr>
        <w:t>人</w:t>
      </w:r>
      <w:r>
        <w:rPr>
          <w:rFonts w:hint="eastAsia" w:ascii="仿宋" w:hAnsi="仿宋" w:eastAsia="仿宋"/>
          <w:b/>
          <w:color w:val="auto"/>
          <w:szCs w:val="21"/>
          <w:highlight w:val="none"/>
        </w:rPr>
        <w:t>报价计算使用，实际各条线路数量及运距以</w:t>
      </w:r>
      <w:r>
        <w:rPr>
          <w:rFonts w:hint="eastAsia" w:ascii="仿宋" w:hAnsi="仿宋" w:eastAsia="仿宋"/>
          <w:b/>
          <w:color w:val="auto"/>
          <w:szCs w:val="21"/>
          <w:highlight w:val="none"/>
          <w:lang w:eastAsia="zh-CN"/>
        </w:rPr>
        <w:t>采购</w:t>
      </w:r>
      <w:r>
        <w:rPr>
          <w:rFonts w:hint="eastAsia" w:ascii="仿宋" w:hAnsi="仿宋" w:eastAsia="仿宋"/>
          <w:b/>
          <w:color w:val="auto"/>
          <w:szCs w:val="21"/>
          <w:highlight w:val="none"/>
        </w:rPr>
        <w:t>人实际需求为准。（5）表中到站地的位置为参考，以</w:t>
      </w:r>
      <w:r>
        <w:rPr>
          <w:rFonts w:hint="eastAsia" w:ascii="仿宋" w:hAnsi="仿宋" w:eastAsia="仿宋"/>
          <w:b/>
          <w:color w:val="auto"/>
          <w:szCs w:val="21"/>
          <w:highlight w:val="none"/>
          <w:lang w:eastAsia="zh-CN"/>
        </w:rPr>
        <w:t>报价</w:t>
      </w:r>
      <w:r>
        <w:rPr>
          <w:rFonts w:hint="eastAsia" w:ascii="仿宋" w:hAnsi="仿宋" w:eastAsia="仿宋"/>
          <w:b/>
          <w:color w:val="auto"/>
          <w:szCs w:val="21"/>
          <w:highlight w:val="none"/>
        </w:rPr>
        <w:t>人实地考察测算为准。（6）</w:t>
      </w:r>
      <w:r>
        <w:rPr>
          <w:rFonts w:hint="eastAsia" w:ascii="仿宋" w:hAnsi="仿宋" w:eastAsia="仿宋" w:cs="Times New Roman"/>
          <w:b/>
          <w:color w:val="auto"/>
          <w:szCs w:val="21"/>
          <w:highlight w:val="none"/>
          <w:lang w:val="en-US" w:eastAsia="zh-CN"/>
        </w:rPr>
        <w:t>运费含税总价 = 数量*含税综合单价；含税综合单价 = 运费含税单价*数量，以含税综合单价为系统报价依据。</w:t>
      </w:r>
      <w:bookmarkStart w:id="12" w:name="_GoBack"/>
      <w:bookmarkEnd w:id="12"/>
    </w:p>
    <w:sectPr>
      <w:pgSz w:w="16838" w:h="11906" w:orient="landscape"/>
      <w:pgMar w:top="1519" w:right="1440" w:bottom="1463" w:left="1440" w:header="851" w:footer="992" w:gutter="0"/>
      <w:pgBorders>
        <w:top w:val="none" w:sz="0" w:space="0"/>
        <w:left w:val="none" w:sz="0" w:space="0"/>
        <w:bottom w:val="none" w:sz="0" w:space="0"/>
        <w:right w:val="none" w:sz="0" w:space="0"/>
      </w:pgBorders>
      <w:pgNumType w:fmt="decimal"/>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7AF51">
    <w:pPr>
      <w:pStyle w:val="2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2BC5F16">
                          <w:pPr>
                            <w:pStyle w:val="22"/>
                            <w:jc w:val="center"/>
                          </w:pPr>
                          <w:r>
                            <w:fldChar w:fldCharType="begin"/>
                          </w:r>
                          <w:r>
                            <w:instrText xml:space="preserve"> PAGE   \* MERGEFORMAT </w:instrText>
                          </w:r>
                          <w:r>
                            <w:fldChar w:fldCharType="separate"/>
                          </w:r>
                          <w:r>
                            <w:rPr>
                              <w:lang w:val="zh-CN"/>
                            </w:rPr>
                            <w:t>1</w:t>
                          </w:r>
                          <w:r>
                            <w:fldChar w:fldCharType="end"/>
                          </w:r>
                        </w:p>
                      </w:txbxContent>
                    </wps:txbx>
                    <wps:bodyPr vert="horz" wrap="none" lIns="0" tIns="0" rIns="0" bIns="0" anchor="t" anchorCtr="0" upright="0">
                      <a:spAutoFit/>
                    </wps:bodyPr>
                  </wps:wsp>
                </a:graphicData>
              </a:graphic>
            </wp:anchor>
          </w:drawing>
        </mc:Choice>
        <mc:Fallback>
          <w:pict>
            <v:shape id="文本框 1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oaYJL0wAAAAUB&#10;AAAPAAAAAAAAAAEAIAAAACIAAABkcnMvZG93bnJldi54bWxQSwECFAAUAAAACACHTuJArCRK/OcB&#10;AADJAwAADgAAAAAAAAABACAAAAAiAQAAZHJzL2Uyb0RvYy54bWxQSwUGAAAAAAYABgBZAQAAewUA&#10;AAAA&#10;">
              <v:fill on="f" focussize="0,0"/>
              <v:stroke on="f" weight="1.25pt"/>
              <v:imagedata o:title=""/>
              <o:lock v:ext="edit" aspectratio="f"/>
              <v:textbox inset="0mm,0mm,0mm,0mm" style="mso-fit-shape-to-text:t;">
                <w:txbxContent>
                  <w:p w14:paraId="42BC5F16">
                    <w:pPr>
                      <w:pStyle w:val="22"/>
                      <w:jc w:val="center"/>
                    </w:pPr>
                    <w:r>
                      <w:fldChar w:fldCharType="begin"/>
                    </w:r>
                    <w:r>
                      <w:instrText xml:space="preserve"> PAGE   \* MERGEFORMAT </w:instrText>
                    </w:r>
                    <w:r>
                      <w:fldChar w:fldCharType="separate"/>
                    </w:r>
                    <w:r>
                      <w:rPr>
                        <w:lang w:val="zh-CN"/>
                      </w:rPr>
                      <w:t>1</w:t>
                    </w:r>
                    <w:r>
                      <w:fldChar w:fldCharType="end"/>
                    </w:r>
                  </w:p>
                </w:txbxContent>
              </v:textbox>
            </v:shape>
          </w:pict>
        </mc:Fallback>
      </mc:AlternateContent>
    </w:r>
  </w:p>
  <w:p w14:paraId="3ECEAC44">
    <w:pPr>
      <w:pStyle w:val="2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6281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180E1F"/>
    <w:multiLevelType w:val="singleLevel"/>
    <w:tmpl w:val="98180E1F"/>
    <w:lvl w:ilvl="0" w:tentative="0">
      <w:start w:val="5"/>
      <w:numFmt w:val="decimal"/>
      <w:lvlText w:val="%1."/>
      <w:lvlJc w:val="left"/>
      <w:pPr>
        <w:tabs>
          <w:tab w:val="left" w:pos="312"/>
        </w:tabs>
      </w:pPr>
    </w:lvl>
  </w:abstractNum>
  <w:abstractNum w:abstractNumId="1">
    <w:nsid w:val="00000000"/>
    <w:multiLevelType w:val="multilevel"/>
    <w:tmpl w:val="00000000"/>
    <w:lvl w:ilvl="0" w:tentative="0">
      <w:start w:val="1"/>
      <w:numFmt w:val="decimal"/>
      <w:lvlText w:val="%1"/>
      <w:lvlJc w:val="left"/>
      <w:pPr>
        <w:tabs>
          <w:tab w:val="left" w:pos="432"/>
        </w:tabs>
        <w:ind w:left="432" w:hanging="432"/>
      </w:pPr>
      <w:rPr>
        <w:rFonts w:hint="eastAsia"/>
      </w:rPr>
    </w:lvl>
    <w:lvl w:ilvl="1" w:tentative="0">
      <w:start w:val="1"/>
      <w:numFmt w:val="decimal"/>
      <w:pStyle w:val="100"/>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MyODc4MWMxZjlhYjIwZDIzMjU5ZDQ5MTcyZTA4NmYifQ=="/>
  </w:docVars>
  <w:rsids>
    <w:rsidRoot w:val="00172A27"/>
    <w:rsid w:val="00001D1B"/>
    <w:rsid w:val="00007610"/>
    <w:rsid w:val="000128E9"/>
    <w:rsid w:val="00015A4C"/>
    <w:rsid w:val="0001641A"/>
    <w:rsid w:val="00035079"/>
    <w:rsid w:val="00044776"/>
    <w:rsid w:val="00046F61"/>
    <w:rsid w:val="00057234"/>
    <w:rsid w:val="00065195"/>
    <w:rsid w:val="00067D1F"/>
    <w:rsid w:val="00077F3F"/>
    <w:rsid w:val="00085AA2"/>
    <w:rsid w:val="00085ABB"/>
    <w:rsid w:val="00091291"/>
    <w:rsid w:val="000962F8"/>
    <w:rsid w:val="000A0235"/>
    <w:rsid w:val="000A0DEE"/>
    <w:rsid w:val="000A1FE0"/>
    <w:rsid w:val="000B2E11"/>
    <w:rsid w:val="000B46C5"/>
    <w:rsid w:val="000B54EF"/>
    <w:rsid w:val="000B5B95"/>
    <w:rsid w:val="000B6716"/>
    <w:rsid w:val="000C6D69"/>
    <w:rsid w:val="000D18DB"/>
    <w:rsid w:val="000F5C6E"/>
    <w:rsid w:val="000F7A72"/>
    <w:rsid w:val="001004EB"/>
    <w:rsid w:val="00101AD5"/>
    <w:rsid w:val="00103D1C"/>
    <w:rsid w:val="001047CA"/>
    <w:rsid w:val="00107FB4"/>
    <w:rsid w:val="00117AB1"/>
    <w:rsid w:val="00126039"/>
    <w:rsid w:val="00132E5A"/>
    <w:rsid w:val="0014395B"/>
    <w:rsid w:val="0016210F"/>
    <w:rsid w:val="001628EF"/>
    <w:rsid w:val="0016501E"/>
    <w:rsid w:val="00165254"/>
    <w:rsid w:val="0016635F"/>
    <w:rsid w:val="001724AD"/>
    <w:rsid w:val="00175AE3"/>
    <w:rsid w:val="00184667"/>
    <w:rsid w:val="001870BA"/>
    <w:rsid w:val="00194AB2"/>
    <w:rsid w:val="001971D0"/>
    <w:rsid w:val="001A4297"/>
    <w:rsid w:val="001A540A"/>
    <w:rsid w:val="001B2501"/>
    <w:rsid w:val="001B7861"/>
    <w:rsid w:val="001D063D"/>
    <w:rsid w:val="001E2B58"/>
    <w:rsid w:val="001F2116"/>
    <w:rsid w:val="001F3069"/>
    <w:rsid w:val="00201081"/>
    <w:rsid w:val="00203962"/>
    <w:rsid w:val="00204E7B"/>
    <w:rsid w:val="00207BCB"/>
    <w:rsid w:val="0022320B"/>
    <w:rsid w:val="002233B5"/>
    <w:rsid w:val="00227824"/>
    <w:rsid w:val="00230AF3"/>
    <w:rsid w:val="00232194"/>
    <w:rsid w:val="00233348"/>
    <w:rsid w:val="002339DE"/>
    <w:rsid w:val="0024048B"/>
    <w:rsid w:val="00242317"/>
    <w:rsid w:val="00242C21"/>
    <w:rsid w:val="00244454"/>
    <w:rsid w:val="00245DE5"/>
    <w:rsid w:val="0024741B"/>
    <w:rsid w:val="00264CA3"/>
    <w:rsid w:val="00264CDB"/>
    <w:rsid w:val="00284A52"/>
    <w:rsid w:val="00286437"/>
    <w:rsid w:val="00293A8C"/>
    <w:rsid w:val="002A317B"/>
    <w:rsid w:val="002A46DE"/>
    <w:rsid w:val="002B408A"/>
    <w:rsid w:val="002B4B68"/>
    <w:rsid w:val="002B5ECD"/>
    <w:rsid w:val="002C5D39"/>
    <w:rsid w:val="002C65FE"/>
    <w:rsid w:val="002C7F02"/>
    <w:rsid w:val="002D3B4D"/>
    <w:rsid w:val="002D67E0"/>
    <w:rsid w:val="002E4CE8"/>
    <w:rsid w:val="002E5625"/>
    <w:rsid w:val="002F7A11"/>
    <w:rsid w:val="00313ED7"/>
    <w:rsid w:val="00323F17"/>
    <w:rsid w:val="00324B68"/>
    <w:rsid w:val="00324BC4"/>
    <w:rsid w:val="0032576A"/>
    <w:rsid w:val="00330E36"/>
    <w:rsid w:val="00332C21"/>
    <w:rsid w:val="003370E7"/>
    <w:rsid w:val="003371E3"/>
    <w:rsid w:val="0034202F"/>
    <w:rsid w:val="00343400"/>
    <w:rsid w:val="003435AC"/>
    <w:rsid w:val="00353506"/>
    <w:rsid w:val="0035450F"/>
    <w:rsid w:val="003546E9"/>
    <w:rsid w:val="00362215"/>
    <w:rsid w:val="003647D7"/>
    <w:rsid w:val="0036493C"/>
    <w:rsid w:val="00367E9B"/>
    <w:rsid w:val="00371C64"/>
    <w:rsid w:val="00384675"/>
    <w:rsid w:val="00391DB5"/>
    <w:rsid w:val="003942AC"/>
    <w:rsid w:val="003965D1"/>
    <w:rsid w:val="003A0CF5"/>
    <w:rsid w:val="003A53FD"/>
    <w:rsid w:val="003B5BF7"/>
    <w:rsid w:val="003C346A"/>
    <w:rsid w:val="003C3E82"/>
    <w:rsid w:val="003C5E0C"/>
    <w:rsid w:val="003C78C7"/>
    <w:rsid w:val="003D3AE7"/>
    <w:rsid w:val="003E03BB"/>
    <w:rsid w:val="003F1FAE"/>
    <w:rsid w:val="003F302A"/>
    <w:rsid w:val="00405A00"/>
    <w:rsid w:val="00412C66"/>
    <w:rsid w:val="00413D32"/>
    <w:rsid w:val="00421086"/>
    <w:rsid w:val="004337E1"/>
    <w:rsid w:val="00437697"/>
    <w:rsid w:val="004428DA"/>
    <w:rsid w:val="0044365F"/>
    <w:rsid w:val="004504B9"/>
    <w:rsid w:val="00460B56"/>
    <w:rsid w:val="004628FD"/>
    <w:rsid w:val="00474BB7"/>
    <w:rsid w:val="00483192"/>
    <w:rsid w:val="00485A32"/>
    <w:rsid w:val="00487861"/>
    <w:rsid w:val="00490321"/>
    <w:rsid w:val="0049588B"/>
    <w:rsid w:val="004B0A26"/>
    <w:rsid w:val="004B2C47"/>
    <w:rsid w:val="004C712F"/>
    <w:rsid w:val="004D2183"/>
    <w:rsid w:val="004E4F54"/>
    <w:rsid w:val="004E79F2"/>
    <w:rsid w:val="004F6ED3"/>
    <w:rsid w:val="00516A44"/>
    <w:rsid w:val="0052184C"/>
    <w:rsid w:val="00531074"/>
    <w:rsid w:val="00536DE4"/>
    <w:rsid w:val="00540709"/>
    <w:rsid w:val="005420C8"/>
    <w:rsid w:val="005454D3"/>
    <w:rsid w:val="005513A4"/>
    <w:rsid w:val="00552945"/>
    <w:rsid w:val="00556421"/>
    <w:rsid w:val="00557ACE"/>
    <w:rsid w:val="0056183E"/>
    <w:rsid w:val="00562E85"/>
    <w:rsid w:val="0057334A"/>
    <w:rsid w:val="00574985"/>
    <w:rsid w:val="005767AC"/>
    <w:rsid w:val="00583BC8"/>
    <w:rsid w:val="00587BA5"/>
    <w:rsid w:val="00595BE3"/>
    <w:rsid w:val="005A0619"/>
    <w:rsid w:val="005A3C3A"/>
    <w:rsid w:val="005A6E8F"/>
    <w:rsid w:val="005B1696"/>
    <w:rsid w:val="005B25A0"/>
    <w:rsid w:val="005B7AF1"/>
    <w:rsid w:val="005C1712"/>
    <w:rsid w:val="005C6797"/>
    <w:rsid w:val="005D10FD"/>
    <w:rsid w:val="005D4C74"/>
    <w:rsid w:val="005D74D9"/>
    <w:rsid w:val="005F18CE"/>
    <w:rsid w:val="00600E47"/>
    <w:rsid w:val="006021D7"/>
    <w:rsid w:val="00607AB1"/>
    <w:rsid w:val="00615182"/>
    <w:rsid w:val="00615847"/>
    <w:rsid w:val="006279A8"/>
    <w:rsid w:val="006300A7"/>
    <w:rsid w:val="006312FB"/>
    <w:rsid w:val="00631782"/>
    <w:rsid w:val="006350EF"/>
    <w:rsid w:val="0064591F"/>
    <w:rsid w:val="006528B1"/>
    <w:rsid w:val="00657032"/>
    <w:rsid w:val="006575EC"/>
    <w:rsid w:val="00660632"/>
    <w:rsid w:val="00660AB0"/>
    <w:rsid w:val="00667CDF"/>
    <w:rsid w:val="00675A9C"/>
    <w:rsid w:val="0067673A"/>
    <w:rsid w:val="00677665"/>
    <w:rsid w:val="00685660"/>
    <w:rsid w:val="0069445F"/>
    <w:rsid w:val="00695489"/>
    <w:rsid w:val="006A1105"/>
    <w:rsid w:val="006A78F2"/>
    <w:rsid w:val="006B08F1"/>
    <w:rsid w:val="006B4B72"/>
    <w:rsid w:val="006B4F40"/>
    <w:rsid w:val="006C24FD"/>
    <w:rsid w:val="006C5250"/>
    <w:rsid w:val="006D506E"/>
    <w:rsid w:val="006D57DD"/>
    <w:rsid w:val="006E2CAE"/>
    <w:rsid w:val="006F0FB4"/>
    <w:rsid w:val="007024F4"/>
    <w:rsid w:val="007117A6"/>
    <w:rsid w:val="0071547E"/>
    <w:rsid w:val="007215EF"/>
    <w:rsid w:val="0072611E"/>
    <w:rsid w:val="00745A48"/>
    <w:rsid w:val="00747721"/>
    <w:rsid w:val="007478B5"/>
    <w:rsid w:val="00774522"/>
    <w:rsid w:val="007821FA"/>
    <w:rsid w:val="0078367E"/>
    <w:rsid w:val="007846DA"/>
    <w:rsid w:val="007A25DE"/>
    <w:rsid w:val="007B1258"/>
    <w:rsid w:val="007B6657"/>
    <w:rsid w:val="007C29DD"/>
    <w:rsid w:val="007D5BC2"/>
    <w:rsid w:val="007D6783"/>
    <w:rsid w:val="007E43F1"/>
    <w:rsid w:val="007F4567"/>
    <w:rsid w:val="0080620C"/>
    <w:rsid w:val="00811A01"/>
    <w:rsid w:val="00820EA3"/>
    <w:rsid w:val="00825489"/>
    <w:rsid w:val="0082619C"/>
    <w:rsid w:val="00826C21"/>
    <w:rsid w:val="00827661"/>
    <w:rsid w:val="008337DE"/>
    <w:rsid w:val="008410AD"/>
    <w:rsid w:val="008446EB"/>
    <w:rsid w:val="00852E36"/>
    <w:rsid w:val="008535D5"/>
    <w:rsid w:val="00853716"/>
    <w:rsid w:val="008563EF"/>
    <w:rsid w:val="008576D7"/>
    <w:rsid w:val="00865573"/>
    <w:rsid w:val="008664AD"/>
    <w:rsid w:val="00873112"/>
    <w:rsid w:val="008741E9"/>
    <w:rsid w:val="00881523"/>
    <w:rsid w:val="00883BB6"/>
    <w:rsid w:val="00885A1F"/>
    <w:rsid w:val="00893AA1"/>
    <w:rsid w:val="0089677F"/>
    <w:rsid w:val="008B159E"/>
    <w:rsid w:val="008B36C8"/>
    <w:rsid w:val="008B5043"/>
    <w:rsid w:val="008C3476"/>
    <w:rsid w:val="008C618C"/>
    <w:rsid w:val="008D6C53"/>
    <w:rsid w:val="008D70B6"/>
    <w:rsid w:val="008E3A30"/>
    <w:rsid w:val="008F074B"/>
    <w:rsid w:val="008F0A0E"/>
    <w:rsid w:val="008F4864"/>
    <w:rsid w:val="009015F2"/>
    <w:rsid w:val="009105F4"/>
    <w:rsid w:val="00916F60"/>
    <w:rsid w:val="009204CD"/>
    <w:rsid w:val="00925EA3"/>
    <w:rsid w:val="009322E0"/>
    <w:rsid w:val="0093321F"/>
    <w:rsid w:val="0094590F"/>
    <w:rsid w:val="00946B12"/>
    <w:rsid w:val="00946B48"/>
    <w:rsid w:val="009551B9"/>
    <w:rsid w:val="00962698"/>
    <w:rsid w:val="00963DAE"/>
    <w:rsid w:val="0096625E"/>
    <w:rsid w:val="00982A05"/>
    <w:rsid w:val="00990369"/>
    <w:rsid w:val="0099717B"/>
    <w:rsid w:val="009A43DC"/>
    <w:rsid w:val="009A62FC"/>
    <w:rsid w:val="009B2866"/>
    <w:rsid w:val="009B2C59"/>
    <w:rsid w:val="009B6488"/>
    <w:rsid w:val="009C1B02"/>
    <w:rsid w:val="009C3D1B"/>
    <w:rsid w:val="009C533F"/>
    <w:rsid w:val="009C560B"/>
    <w:rsid w:val="009C7E87"/>
    <w:rsid w:val="009D0A5E"/>
    <w:rsid w:val="009F12A3"/>
    <w:rsid w:val="00A044DE"/>
    <w:rsid w:val="00A06EFB"/>
    <w:rsid w:val="00A1327F"/>
    <w:rsid w:val="00A2655F"/>
    <w:rsid w:val="00A35FB1"/>
    <w:rsid w:val="00A710C9"/>
    <w:rsid w:val="00A73EED"/>
    <w:rsid w:val="00A92602"/>
    <w:rsid w:val="00A95254"/>
    <w:rsid w:val="00AB3069"/>
    <w:rsid w:val="00AB4EB1"/>
    <w:rsid w:val="00AC2850"/>
    <w:rsid w:val="00AC781E"/>
    <w:rsid w:val="00AD4E1D"/>
    <w:rsid w:val="00AD5882"/>
    <w:rsid w:val="00AE11B3"/>
    <w:rsid w:val="00AE555B"/>
    <w:rsid w:val="00AF5A68"/>
    <w:rsid w:val="00B04886"/>
    <w:rsid w:val="00B175F7"/>
    <w:rsid w:val="00B20C62"/>
    <w:rsid w:val="00B213A6"/>
    <w:rsid w:val="00B24192"/>
    <w:rsid w:val="00B313B7"/>
    <w:rsid w:val="00B370AE"/>
    <w:rsid w:val="00B50463"/>
    <w:rsid w:val="00B567B5"/>
    <w:rsid w:val="00B5700B"/>
    <w:rsid w:val="00B60FC4"/>
    <w:rsid w:val="00B63C09"/>
    <w:rsid w:val="00B66725"/>
    <w:rsid w:val="00B66F26"/>
    <w:rsid w:val="00B66F65"/>
    <w:rsid w:val="00B67C6E"/>
    <w:rsid w:val="00B71B53"/>
    <w:rsid w:val="00B734FE"/>
    <w:rsid w:val="00B73D23"/>
    <w:rsid w:val="00B81DD3"/>
    <w:rsid w:val="00B84555"/>
    <w:rsid w:val="00B84CF9"/>
    <w:rsid w:val="00B9219D"/>
    <w:rsid w:val="00BA1D29"/>
    <w:rsid w:val="00BA25CB"/>
    <w:rsid w:val="00BA2664"/>
    <w:rsid w:val="00BB0243"/>
    <w:rsid w:val="00BB31D6"/>
    <w:rsid w:val="00BB7C28"/>
    <w:rsid w:val="00BC1BE5"/>
    <w:rsid w:val="00BC7FD8"/>
    <w:rsid w:val="00BD2823"/>
    <w:rsid w:val="00BF7D91"/>
    <w:rsid w:val="00C0218D"/>
    <w:rsid w:val="00C16403"/>
    <w:rsid w:val="00C17314"/>
    <w:rsid w:val="00C259A0"/>
    <w:rsid w:val="00C32618"/>
    <w:rsid w:val="00C32759"/>
    <w:rsid w:val="00C327BD"/>
    <w:rsid w:val="00C34833"/>
    <w:rsid w:val="00C378CE"/>
    <w:rsid w:val="00C424F3"/>
    <w:rsid w:val="00C45D37"/>
    <w:rsid w:val="00C47E03"/>
    <w:rsid w:val="00C52669"/>
    <w:rsid w:val="00C57F2E"/>
    <w:rsid w:val="00C61D16"/>
    <w:rsid w:val="00C63162"/>
    <w:rsid w:val="00C67B29"/>
    <w:rsid w:val="00C70389"/>
    <w:rsid w:val="00C84A34"/>
    <w:rsid w:val="00C851BB"/>
    <w:rsid w:val="00C918AE"/>
    <w:rsid w:val="00C92D66"/>
    <w:rsid w:val="00C947A7"/>
    <w:rsid w:val="00C96FA8"/>
    <w:rsid w:val="00CA0084"/>
    <w:rsid w:val="00CA4167"/>
    <w:rsid w:val="00CA7C50"/>
    <w:rsid w:val="00CB168C"/>
    <w:rsid w:val="00CB53DF"/>
    <w:rsid w:val="00CC4B8C"/>
    <w:rsid w:val="00CD13C1"/>
    <w:rsid w:val="00CE21F7"/>
    <w:rsid w:val="00CE6831"/>
    <w:rsid w:val="00CE762C"/>
    <w:rsid w:val="00CF12C1"/>
    <w:rsid w:val="00CF174F"/>
    <w:rsid w:val="00CF3428"/>
    <w:rsid w:val="00D00D04"/>
    <w:rsid w:val="00D02379"/>
    <w:rsid w:val="00D02683"/>
    <w:rsid w:val="00D03616"/>
    <w:rsid w:val="00D072CE"/>
    <w:rsid w:val="00D27169"/>
    <w:rsid w:val="00D31539"/>
    <w:rsid w:val="00D44D69"/>
    <w:rsid w:val="00D50E18"/>
    <w:rsid w:val="00D52C81"/>
    <w:rsid w:val="00D548CE"/>
    <w:rsid w:val="00D54CE2"/>
    <w:rsid w:val="00D552AF"/>
    <w:rsid w:val="00D5774E"/>
    <w:rsid w:val="00D60B05"/>
    <w:rsid w:val="00D65E4A"/>
    <w:rsid w:val="00D71196"/>
    <w:rsid w:val="00D86392"/>
    <w:rsid w:val="00D90659"/>
    <w:rsid w:val="00D92AFF"/>
    <w:rsid w:val="00DA43B0"/>
    <w:rsid w:val="00DA52E7"/>
    <w:rsid w:val="00DC2C5C"/>
    <w:rsid w:val="00DC537A"/>
    <w:rsid w:val="00DE010D"/>
    <w:rsid w:val="00DE7026"/>
    <w:rsid w:val="00DF2085"/>
    <w:rsid w:val="00DF3030"/>
    <w:rsid w:val="00E00503"/>
    <w:rsid w:val="00E102F2"/>
    <w:rsid w:val="00E13CBE"/>
    <w:rsid w:val="00E157C5"/>
    <w:rsid w:val="00E275D5"/>
    <w:rsid w:val="00E41426"/>
    <w:rsid w:val="00E44642"/>
    <w:rsid w:val="00E461BB"/>
    <w:rsid w:val="00E47736"/>
    <w:rsid w:val="00E550A4"/>
    <w:rsid w:val="00E555CB"/>
    <w:rsid w:val="00E62EC2"/>
    <w:rsid w:val="00E6693A"/>
    <w:rsid w:val="00E72E16"/>
    <w:rsid w:val="00E752C0"/>
    <w:rsid w:val="00E80CF7"/>
    <w:rsid w:val="00E82536"/>
    <w:rsid w:val="00E8730A"/>
    <w:rsid w:val="00E94B0B"/>
    <w:rsid w:val="00E96D54"/>
    <w:rsid w:val="00EB118D"/>
    <w:rsid w:val="00EB40E4"/>
    <w:rsid w:val="00EC45C1"/>
    <w:rsid w:val="00EC7C59"/>
    <w:rsid w:val="00ED46FC"/>
    <w:rsid w:val="00ED696C"/>
    <w:rsid w:val="00EE31FF"/>
    <w:rsid w:val="00EE4246"/>
    <w:rsid w:val="00EE4F4B"/>
    <w:rsid w:val="00EF1CD8"/>
    <w:rsid w:val="00F0203D"/>
    <w:rsid w:val="00F027C3"/>
    <w:rsid w:val="00F035AB"/>
    <w:rsid w:val="00F116FB"/>
    <w:rsid w:val="00F1339F"/>
    <w:rsid w:val="00F2004A"/>
    <w:rsid w:val="00F20DC6"/>
    <w:rsid w:val="00F253B5"/>
    <w:rsid w:val="00F26312"/>
    <w:rsid w:val="00F3191D"/>
    <w:rsid w:val="00F321AB"/>
    <w:rsid w:val="00F4357F"/>
    <w:rsid w:val="00F43AD2"/>
    <w:rsid w:val="00F44417"/>
    <w:rsid w:val="00F445BB"/>
    <w:rsid w:val="00F469E2"/>
    <w:rsid w:val="00F46C39"/>
    <w:rsid w:val="00F53CDA"/>
    <w:rsid w:val="00F615B9"/>
    <w:rsid w:val="00F73B4E"/>
    <w:rsid w:val="00F81DF7"/>
    <w:rsid w:val="00F835F4"/>
    <w:rsid w:val="00FA2458"/>
    <w:rsid w:val="00FA6AD5"/>
    <w:rsid w:val="00FA75AD"/>
    <w:rsid w:val="00FB5AFC"/>
    <w:rsid w:val="00FC0465"/>
    <w:rsid w:val="00FC0CC5"/>
    <w:rsid w:val="00FC1C2C"/>
    <w:rsid w:val="00FC5F28"/>
    <w:rsid w:val="00FD06E4"/>
    <w:rsid w:val="00FE2891"/>
    <w:rsid w:val="00FE3A5C"/>
    <w:rsid w:val="00FF1143"/>
    <w:rsid w:val="00FF574E"/>
    <w:rsid w:val="01662F3A"/>
    <w:rsid w:val="026C0A81"/>
    <w:rsid w:val="032C53B4"/>
    <w:rsid w:val="035A6E90"/>
    <w:rsid w:val="03B046C8"/>
    <w:rsid w:val="03D509C7"/>
    <w:rsid w:val="03E06FC4"/>
    <w:rsid w:val="042B223A"/>
    <w:rsid w:val="04343DB7"/>
    <w:rsid w:val="04515964"/>
    <w:rsid w:val="046C6C7C"/>
    <w:rsid w:val="04D74CBE"/>
    <w:rsid w:val="051933E2"/>
    <w:rsid w:val="05711465"/>
    <w:rsid w:val="05724217"/>
    <w:rsid w:val="0655232C"/>
    <w:rsid w:val="068D2AFC"/>
    <w:rsid w:val="069A27E5"/>
    <w:rsid w:val="06DD05D7"/>
    <w:rsid w:val="07505F49"/>
    <w:rsid w:val="07BF6098"/>
    <w:rsid w:val="07CF4EE9"/>
    <w:rsid w:val="08922052"/>
    <w:rsid w:val="09847929"/>
    <w:rsid w:val="098F3E6F"/>
    <w:rsid w:val="09BF4938"/>
    <w:rsid w:val="0A4178FB"/>
    <w:rsid w:val="0A5A6601"/>
    <w:rsid w:val="0A742E1B"/>
    <w:rsid w:val="0AC65E0E"/>
    <w:rsid w:val="0AF04A1E"/>
    <w:rsid w:val="0B267D41"/>
    <w:rsid w:val="0B9B2EC2"/>
    <w:rsid w:val="0BA0230F"/>
    <w:rsid w:val="0BE0253A"/>
    <w:rsid w:val="0BF2705B"/>
    <w:rsid w:val="0BFF003E"/>
    <w:rsid w:val="0D6C2A51"/>
    <w:rsid w:val="0D962B00"/>
    <w:rsid w:val="0DD53401"/>
    <w:rsid w:val="0DE7465B"/>
    <w:rsid w:val="0EB053A8"/>
    <w:rsid w:val="0F822C01"/>
    <w:rsid w:val="0F9E6D49"/>
    <w:rsid w:val="0FB651A5"/>
    <w:rsid w:val="100B40A3"/>
    <w:rsid w:val="103B597C"/>
    <w:rsid w:val="10B56AB9"/>
    <w:rsid w:val="11103EF0"/>
    <w:rsid w:val="111F76E2"/>
    <w:rsid w:val="11223474"/>
    <w:rsid w:val="117749BA"/>
    <w:rsid w:val="11E87DBD"/>
    <w:rsid w:val="11F8610A"/>
    <w:rsid w:val="11FD778B"/>
    <w:rsid w:val="13046852"/>
    <w:rsid w:val="13103A2B"/>
    <w:rsid w:val="131320DA"/>
    <w:rsid w:val="131F3158"/>
    <w:rsid w:val="131F60D0"/>
    <w:rsid w:val="1351487D"/>
    <w:rsid w:val="13C608B8"/>
    <w:rsid w:val="13FA5100"/>
    <w:rsid w:val="14041345"/>
    <w:rsid w:val="14774322"/>
    <w:rsid w:val="148C60C3"/>
    <w:rsid w:val="14B924F2"/>
    <w:rsid w:val="14F93A0B"/>
    <w:rsid w:val="15964FD7"/>
    <w:rsid w:val="159A4162"/>
    <w:rsid w:val="159C3D02"/>
    <w:rsid w:val="160E07BD"/>
    <w:rsid w:val="16427D13"/>
    <w:rsid w:val="16F72CB9"/>
    <w:rsid w:val="16FF7821"/>
    <w:rsid w:val="17125AF8"/>
    <w:rsid w:val="17412F76"/>
    <w:rsid w:val="184D106D"/>
    <w:rsid w:val="18952E16"/>
    <w:rsid w:val="189D4C0E"/>
    <w:rsid w:val="18C85454"/>
    <w:rsid w:val="18DA365A"/>
    <w:rsid w:val="18F6239E"/>
    <w:rsid w:val="19285538"/>
    <w:rsid w:val="19312D20"/>
    <w:rsid w:val="193423F1"/>
    <w:rsid w:val="1990795C"/>
    <w:rsid w:val="199771B7"/>
    <w:rsid w:val="199B6790"/>
    <w:rsid w:val="199E2001"/>
    <w:rsid w:val="19DF017E"/>
    <w:rsid w:val="1A55661F"/>
    <w:rsid w:val="1A74077C"/>
    <w:rsid w:val="1AB4529B"/>
    <w:rsid w:val="1AF835FD"/>
    <w:rsid w:val="1BAB0AEB"/>
    <w:rsid w:val="1BC8138D"/>
    <w:rsid w:val="1BDA61EA"/>
    <w:rsid w:val="1BFC6EA8"/>
    <w:rsid w:val="1C893BEA"/>
    <w:rsid w:val="1CE508B3"/>
    <w:rsid w:val="1D3E218A"/>
    <w:rsid w:val="1D441B15"/>
    <w:rsid w:val="1D915B3A"/>
    <w:rsid w:val="1DBF6840"/>
    <w:rsid w:val="1DE91463"/>
    <w:rsid w:val="1DEB09D2"/>
    <w:rsid w:val="1E0C0259"/>
    <w:rsid w:val="1E8C5851"/>
    <w:rsid w:val="1EAD60BA"/>
    <w:rsid w:val="1EF052D3"/>
    <w:rsid w:val="1F332D34"/>
    <w:rsid w:val="1F5426E1"/>
    <w:rsid w:val="1FA12821"/>
    <w:rsid w:val="1FB667B1"/>
    <w:rsid w:val="205E58E3"/>
    <w:rsid w:val="208D59CB"/>
    <w:rsid w:val="20BD003F"/>
    <w:rsid w:val="20F14799"/>
    <w:rsid w:val="21ED4AEA"/>
    <w:rsid w:val="22A74490"/>
    <w:rsid w:val="22CB1A61"/>
    <w:rsid w:val="231A2B8A"/>
    <w:rsid w:val="23710FAA"/>
    <w:rsid w:val="23873D21"/>
    <w:rsid w:val="239B59B5"/>
    <w:rsid w:val="23C40FD2"/>
    <w:rsid w:val="240B5CB0"/>
    <w:rsid w:val="243316B9"/>
    <w:rsid w:val="243D4940"/>
    <w:rsid w:val="246D6B75"/>
    <w:rsid w:val="24703456"/>
    <w:rsid w:val="249A209C"/>
    <w:rsid w:val="24B113FE"/>
    <w:rsid w:val="24BE608E"/>
    <w:rsid w:val="25614063"/>
    <w:rsid w:val="25647E26"/>
    <w:rsid w:val="26D8339F"/>
    <w:rsid w:val="275E57A6"/>
    <w:rsid w:val="27633E3E"/>
    <w:rsid w:val="27981C98"/>
    <w:rsid w:val="27F210EA"/>
    <w:rsid w:val="288707C4"/>
    <w:rsid w:val="28A21B38"/>
    <w:rsid w:val="28EF2C56"/>
    <w:rsid w:val="29144474"/>
    <w:rsid w:val="297A39F6"/>
    <w:rsid w:val="2A767230"/>
    <w:rsid w:val="2AB36BFF"/>
    <w:rsid w:val="2B00200F"/>
    <w:rsid w:val="2BA91EAE"/>
    <w:rsid w:val="2BAA7930"/>
    <w:rsid w:val="2C773801"/>
    <w:rsid w:val="2CFA48D8"/>
    <w:rsid w:val="2D0852EE"/>
    <w:rsid w:val="2D7B6DFB"/>
    <w:rsid w:val="2E121EB0"/>
    <w:rsid w:val="2E7A016D"/>
    <w:rsid w:val="2F2765E4"/>
    <w:rsid w:val="2FC73241"/>
    <w:rsid w:val="303A4D5D"/>
    <w:rsid w:val="309E6F15"/>
    <w:rsid w:val="30DE19C6"/>
    <w:rsid w:val="310B74E2"/>
    <w:rsid w:val="31160A8F"/>
    <w:rsid w:val="31E610EF"/>
    <w:rsid w:val="320C1BA8"/>
    <w:rsid w:val="323432F8"/>
    <w:rsid w:val="32496B6E"/>
    <w:rsid w:val="333D3A5D"/>
    <w:rsid w:val="339201BE"/>
    <w:rsid w:val="3405557F"/>
    <w:rsid w:val="341C072F"/>
    <w:rsid w:val="345179EF"/>
    <w:rsid w:val="34676BC0"/>
    <w:rsid w:val="34820E7C"/>
    <w:rsid w:val="34AF0766"/>
    <w:rsid w:val="34D74C5E"/>
    <w:rsid w:val="350E68E5"/>
    <w:rsid w:val="352B4E7B"/>
    <w:rsid w:val="35302F2E"/>
    <w:rsid w:val="354F1238"/>
    <w:rsid w:val="35716EA9"/>
    <w:rsid w:val="366F1E72"/>
    <w:rsid w:val="3707010A"/>
    <w:rsid w:val="3733355C"/>
    <w:rsid w:val="37B66983"/>
    <w:rsid w:val="37C533B2"/>
    <w:rsid w:val="38684E22"/>
    <w:rsid w:val="38A2387C"/>
    <w:rsid w:val="398D6579"/>
    <w:rsid w:val="39AF4C06"/>
    <w:rsid w:val="39C11383"/>
    <w:rsid w:val="39DA3076"/>
    <w:rsid w:val="3A22476C"/>
    <w:rsid w:val="3A9B69B4"/>
    <w:rsid w:val="3AA25483"/>
    <w:rsid w:val="3B276628"/>
    <w:rsid w:val="3BF215E4"/>
    <w:rsid w:val="3BFA79FA"/>
    <w:rsid w:val="3C195500"/>
    <w:rsid w:val="3C1A4DE7"/>
    <w:rsid w:val="3C3660B0"/>
    <w:rsid w:val="3C414DED"/>
    <w:rsid w:val="3CB015D5"/>
    <w:rsid w:val="3CFB1E32"/>
    <w:rsid w:val="3DD652F9"/>
    <w:rsid w:val="3DE2728C"/>
    <w:rsid w:val="3E9374E4"/>
    <w:rsid w:val="3FA937FE"/>
    <w:rsid w:val="3FB3156E"/>
    <w:rsid w:val="40157DE2"/>
    <w:rsid w:val="406242B1"/>
    <w:rsid w:val="40826797"/>
    <w:rsid w:val="40D727DF"/>
    <w:rsid w:val="410A07A5"/>
    <w:rsid w:val="4116250E"/>
    <w:rsid w:val="41B479CE"/>
    <w:rsid w:val="41B8355E"/>
    <w:rsid w:val="41DE1881"/>
    <w:rsid w:val="42074BCB"/>
    <w:rsid w:val="420C1D51"/>
    <w:rsid w:val="425B6A4B"/>
    <w:rsid w:val="425F4FF1"/>
    <w:rsid w:val="42E160AA"/>
    <w:rsid w:val="431C1410"/>
    <w:rsid w:val="432F4C94"/>
    <w:rsid w:val="43460D25"/>
    <w:rsid w:val="4350685B"/>
    <w:rsid w:val="43652A29"/>
    <w:rsid w:val="446E2557"/>
    <w:rsid w:val="45016CDF"/>
    <w:rsid w:val="450219BE"/>
    <w:rsid w:val="452530E4"/>
    <w:rsid w:val="45B07811"/>
    <w:rsid w:val="460A7C68"/>
    <w:rsid w:val="4663778A"/>
    <w:rsid w:val="46650B0F"/>
    <w:rsid w:val="477330AB"/>
    <w:rsid w:val="47B3315C"/>
    <w:rsid w:val="480F433B"/>
    <w:rsid w:val="486A23DB"/>
    <w:rsid w:val="48AF2C09"/>
    <w:rsid w:val="48B9582F"/>
    <w:rsid w:val="490E3CB8"/>
    <w:rsid w:val="491B7149"/>
    <w:rsid w:val="492775AB"/>
    <w:rsid w:val="493B6FFE"/>
    <w:rsid w:val="49EC2AE4"/>
    <w:rsid w:val="4A357CD0"/>
    <w:rsid w:val="4A6031E3"/>
    <w:rsid w:val="4A6F5CAB"/>
    <w:rsid w:val="4A8205FB"/>
    <w:rsid w:val="4A8D6B1E"/>
    <w:rsid w:val="4B02159D"/>
    <w:rsid w:val="4B5B1739"/>
    <w:rsid w:val="4B7B1D6F"/>
    <w:rsid w:val="4BBC073E"/>
    <w:rsid w:val="4C3D0B2A"/>
    <w:rsid w:val="4D3A75FC"/>
    <w:rsid w:val="4D8A3208"/>
    <w:rsid w:val="4DE35714"/>
    <w:rsid w:val="4E023609"/>
    <w:rsid w:val="4E1622A9"/>
    <w:rsid w:val="4E1E7520"/>
    <w:rsid w:val="4E626786"/>
    <w:rsid w:val="4E674E57"/>
    <w:rsid w:val="4EDA54DB"/>
    <w:rsid w:val="4F113A2F"/>
    <w:rsid w:val="4F442A40"/>
    <w:rsid w:val="4F4A26C0"/>
    <w:rsid w:val="4FA17831"/>
    <w:rsid w:val="501D04CE"/>
    <w:rsid w:val="505E5384"/>
    <w:rsid w:val="50A4615B"/>
    <w:rsid w:val="50CD5F6E"/>
    <w:rsid w:val="51253231"/>
    <w:rsid w:val="51311242"/>
    <w:rsid w:val="514C6AB8"/>
    <w:rsid w:val="5157404C"/>
    <w:rsid w:val="51711884"/>
    <w:rsid w:val="51F90D7A"/>
    <w:rsid w:val="528B3391"/>
    <w:rsid w:val="529B4DF2"/>
    <w:rsid w:val="534B3194"/>
    <w:rsid w:val="538F634F"/>
    <w:rsid w:val="53FD2D5F"/>
    <w:rsid w:val="54712998"/>
    <w:rsid w:val="54B569EB"/>
    <w:rsid w:val="54BB6290"/>
    <w:rsid w:val="54EB2BEC"/>
    <w:rsid w:val="55055F9E"/>
    <w:rsid w:val="55092F30"/>
    <w:rsid w:val="555620B4"/>
    <w:rsid w:val="55BF068B"/>
    <w:rsid w:val="55F136A1"/>
    <w:rsid w:val="569F5D80"/>
    <w:rsid w:val="56D34F52"/>
    <w:rsid w:val="574D1DE6"/>
    <w:rsid w:val="57522A6F"/>
    <w:rsid w:val="575D10B2"/>
    <w:rsid w:val="579E6707"/>
    <w:rsid w:val="57CC0D34"/>
    <w:rsid w:val="58A02D80"/>
    <w:rsid w:val="58B6627E"/>
    <w:rsid w:val="58C625B2"/>
    <w:rsid w:val="58C754EB"/>
    <w:rsid w:val="58C77795"/>
    <w:rsid w:val="58CA20E9"/>
    <w:rsid w:val="593E6D79"/>
    <w:rsid w:val="598B07FF"/>
    <w:rsid w:val="59907A7D"/>
    <w:rsid w:val="599559B9"/>
    <w:rsid w:val="5B6561DA"/>
    <w:rsid w:val="5BEA7514"/>
    <w:rsid w:val="5CBE6D84"/>
    <w:rsid w:val="5D282971"/>
    <w:rsid w:val="5DD32874"/>
    <w:rsid w:val="5DDD48F1"/>
    <w:rsid w:val="5DEE1B91"/>
    <w:rsid w:val="5E0F295F"/>
    <w:rsid w:val="5E622462"/>
    <w:rsid w:val="5E7F7895"/>
    <w:rsid w:val="5E884984"/>
    <w:rsid w:val="5EBD517B"/>
    <w:rsid w:val="5EBF3F02"/>
    <w:rsid w:val="5ECA018E"/>
    <w:rsid w:val="5ECC0549"/>
    <w:rsid w:val="5ECF7930"/>
    <w:rsid w:val="5EDE5089"/>
    <w:rsid w:val="5EE240B6"/>
    <w:rsid w:val="606A0A4E"/>
    <w:rsid w:val="60AB2100"/>
    <w:rsid w:val="60C95EBA"/>
    <w:rsid w:val="60F85BD5"/>
    <w:rsid w:val="61074CE9"/>
    <w:rsid w:val="612641F3"/>
    <w:rsid w:val="615E4B62"/>
    <w:rsid w:val="617A44DD"/>
    <w:rsid w:val="617D08AE"/>
    <w:rsid w:val="61906749"/>
    <w:rsid w:val="62291E3E"/>
    <w:rsid w:val="62AF08F4"/>
    <w:rsid w:val="6347090E"/>
    <w:rsid w:val="63D42827"/>
    <w:rsid w:val="63EA4C38"/>
    <w:rsid w:val="64235242"/>
    <w:rsid w:val="648573E8"/>
    <w:rsid w:val="64B8674B"/>
    <w:rsid w:val="659E0FC7"/>
    <w:rsid w:val="660665F6"/>
    <w:rsid w:val="664930AC"/>
    <w:rsid w:val="665975BF"/>
    <w:rsid w:val="66BE361D"/>
    <w:rsid w:val="66E015D3"/>
    <w:rsid w:val="67072B18"/>
    <w:rsid w:val="676B6FB9"/>
    <w:rsid w:val="67F86C39"/>
    <w:rsid w:val="68161220"/>
    <w:rsid w:val="68853EC4"/>
    <w:rsid w:val="689916A9"/>
    <w:rsid w:val="68C52974"/>
    <w:rsid w:val="68E877BC"/>
    <w:rsid w:val="69B12728"/>
    <w:rsid w:val="69CF6CFC"/>
    <w:rsid w:val="69D770B2"/>
    <w:rsid w:val="6A8103AB"/>
    <w:rsid w:val="6A8F4802"/>
    <w:rsid w:val="6B0807C6"/>
    <w:rsid w:val="6B3D3BF7"/>
    <w:rsid w:val="6BAB7D8B"/>
    <w:rsid w:val="6BF13539"/>
    <w:rsid w:val="6BF32BCB"/>
    <w:rsid w:val="6C8D4208"/>
    <w:rsid w:val="6CBE48F7"/>
    <w:rsid w:val="6CEB66C0"/>
    <w:rsid w:val="6CF46C15"/>
    <w:rsid w:val="6D582FC7"/>
    <w:rsid w:val="6D5F18E3"/>
    <w:rsid w:val="6D6157C8"/>
    <w:rsid w:val="6D8C2184"/>
    <w:rsid w:val="6DA51E48"/>
    <w:rsid w:val="6DBE18DE"/>
    <w:rsid w:val="6DE134B2"/>
    <w:rsid w:val="6DE15507"/>
    <w:rsid w:val="6DF94AB6"/>
    <w:rsid w:val="6DFD158C"/>
    <w:rsid w:val="6EA41295"/>
    <w:rsid w:val="6EA76D38"/>
    <w:rsid w:val="6F0B3119"/>
    <w:rsid w:val="6FBB0A5D"/>
    <w:rsid w:val="707E73D2"/>
    <w:rsid w:val="709C3988"/>
    <w:rsid w:val="70F14A1E"/>
    <w:rsid w:val="71174C1A"/>
    <w:rsid w:val="713C7D15"/>
    <w:rsid w:val="7149616F"/>
    <w:rsid w:val="719F3DFE"/>
    <w:rsid w:val="71D92FD5"/>
    <w:rsid w:val="720B48AF"/>
    <w:rsid w:val="72414F83"/>
    <w:rsid w:val="72886129"/>
    <w:rsid w:val="72EE27D4"/>
    <w:rsid w:val="736C13E3"/>
    <w:rsid w:val="73827B0E"/>
    <w:rsid w:val="74263B7E"/>
    <w:rsid w:val="743060CC"/>
    <w:rsid w:val="74312251"/>
    <w:rsid w:val="744B4FD8"/>
    <w:rsid w:val="746020D9"/>
    <w:rsid w:val="750E49F4"/>
    <w:rsid w:val="75172D58"/>
    <w:rsid w:val="751C7440"/>
    <w:rsid w:val="752F0ACE"/>
    <w:rsid w:val="75955609"/>
    <w:rsid w:val="75A3300B"/>
    <w:rsid w:val="75E40EA0"/>
    <w:rsid w:val="762D32C2"/>
    <w:rsid w:val="77005FEE"/>
    <w:rsid w:val="770706D4"/>
    <w:rsid w:val="7728495A"/>
    <w:rsid w:val="772E12E1"/>
    <w:rsid w:val="7778695F"/>
    <w:rsid w:val="777D3B96"/>
    <w:rsid w:val="77815E20"/>
    <w:rsid w:val="77833EB0"/>
    <w:rsid w:val="77EC193C"/>
    <w:rsid w:val="783E55DD"/>
    <w:rsid w:val="785E1614"/>
    <w:rsid w:val="786F7050"/>
    <w:rsid w:val="787F4E65"/>
    <w:rsid w:val="78833631"/>
    <w:rsid w:val="78860F94"/>
    <w:rsid w:val="78AE1D0A"/>
    <w:rsid w:val="790E3028"/>
    <w:rsid w:val="790F1C86"/>
    <w:rsid w:val="79AC4B83"/>
    <w:rsid w:val="79E41D86"/>
    <w:rsid w:val="7A0774DE"/>
    <w:rsid w:val="7A6C46BC"/>
    <w:rsid w:val="7AD33C0D"/>
    <w:rsid w:val="7B1B1ACB"/>
    <w:rsid w:val="7B326961"/>
    <w:rsid w:val="7B760B99"/>
    <w:rsid w:val="7BEF30E0"/>
    <w:rsid w:val="7BEF4EF4"/>
    <w:rsid w:val="7C016C3F"/>
    <w:rsid w:val="7C207132"/>
    <w:rsid w:val="7C256D5B"/>
    <w:rsid w:val="7CAA7097"/>
    <w:rsid w:val="7CE31F2E"/>
    <w:rsid w:val="7D5B22B8"/>
    <w:rsid w:val="7DFA1234"/>
    <w:rsid w:val="7E1113C7"/>
    <w:rsid w:val="7E3C5A1C"/>
    <w:rsid w:val="7E595AD8"/>
    <w:rsid w:val="7EBE7D2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3"/>
    <w:qFormat/>
    <w:uiPriority w:val="0"/>
    <w:pPr>
      <w:keepNext/>
      <w:keepLines/>
      <w:spacing w:before="340" w:beforeLines="0" w:after="330" w:afterLines="0" w:line="576" w:lineRule="auto"/>
      <w:outlineLvl w:val="0"/>
    </w:pPr>
    <w:rPr>
      <w:b/>
      <w:bCs/>
      <w:kern w:val="44"/>
      <w:sz w:val="44"/>
      <w:szCs w:val="44"/>
    </w:rPr>
  </w:style>
  <w:style w:type="paragraph" w:styleId="4">
    <w:name w:val="heading 2"/>
    <w:basedOn w:val="5"/>
    <w:next w:val="5"/>
    <w:link w:val="44"/>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6">
    <w:name w:val="heading 3"/>
    <w:basedOn w:val="1"/>
    <w:next w:val="1"/>
    <w:link w:val="45"/>
    <w:qFormat/>
    <w:uiPriority w:val="0"/>
    <w:pPr>
      <w:keepNext/>
      <w:keepLines/>
      <w:spacing w:before="260" w:beforeLines="0" w:after="260" w:afterLines="0" w:line="413" w:lineRule="auto"/>
      <w:outlineLvl w:val="2"/>
    </w:pPr>
    <w:rPr>
      <w:b/>
      <w:bCs/>
      <w:sz w:val="32"/>
      <w:szCs w:val="32"/>
    </w:rPr>
  </w:style>
  <w:style w:type="paragraph" w:styleId="7">
    <w:name w:val="heading 4"/>
    <w:basedOn w:val="1"/>
    <w:next w:val="1"/>
    <w:link w:val="46"/>
    <w:qFormat/>
    <w:uiPriority w:val="0"/>
    <w:pPr>
      <w:keepNext/>
      <w:keepLines/>
      <w:spacing w:before="280" w:beforeLines="0" w:after="290" w:afterLines="0" w:line="372" w:lineRule="auto"/>
      <w:outlineLvl w:val="3"/>
    </w:pPr>
    <w:rPr>
      <w:rFonts w:ascii="Arial" w:hAnsi="Arial" w:eastAsia="黑体"/>
      <w:b/>
      <w:bCs/>
      <w:sz w:val="28"/>
      <w:szCs w:val="28"/>
    </w:rPr>
  </w:style>
  <w:style w:type="paragraph" w:styleId="8">
    <w:name w:val="heading 6"/>
    <w:basedOn w:val="1"/>
    <w:next w:val="1"/>
    <w:link w:val="47"/>
    <w:qFormat/>
    <w:uiPriority w:val="0"/>
    <w:pPr>
      <w:keepNext/>
      <w:keepLines/>
      <w:widowControl/>
      <w:tabs>
        <w:tab w:val="left" w:pos="1440"/>
      </w:tabs>
      <w:spacing w:before="240" w:beforeLines="0" w:after="64" w:afterLines="0" w:line="317" w:lineRule="auto"/>
      <w:ind w:left="1152" w:hanging="1152"/>
      <w:jc w:val="left"/>
      <w:outlineLvl w:val="5"/>
    </w:pPr>
    <w:rPr>
      <w:rFonts w:ascii="Arial" w:hAnsi="Arial" w:eastAsia="黑体"/>
      <w:b/>
      <w:bCs/>
      <w:kern w:val="0"/>
      <w:sz w:val="24"/>
    </w:rPr>
  </w:style>
  <w:style w:type="paragraph" w:styleId="9">
    <w:name w:val="heading 7"/>
    <w:basedOn w:val="1"/>
    <w:next w:val="1"/>
    <w:link w:val="48"/>
    <w:qFormat/>
    <w:uiPriority w:val="0"/>
    <w:pPr>
      <w:keepNext/>
      <w:keepLines/>
      <w:widowControl/>
      <w:tabs>
        <w:tab w:val="left" w:pos="2520"/>
      </w:tabs>
      <w:spacing w:before="240" w:beforeLines="0" w:after="64" w:afterLines="0" w:line="317" w:lineRule="auto"/>
      <w:ind w:left="1296" w:hanging="1296"/>
      <w:jc w:val="left"/>
      <w:outlineLvl w:val="6"/>
    </w:pPr>
    <w:rPr>
      <w:b/>
      <w:bCs/>
      <w:kern w:val="0"/>
      <w:sz w:val="24"/>
    </w:rPr>
  </w:style>
  <w:style w:type="paragraph" w:styleId="10">
    <w:name w:val="heading 8"/>
    <w:basedOn w:val="1"/>
    <w:next w:val="1"/>
    <w:link w:val="49"/>
    <w:qFormat/>
    <w:uiPriority w:val="0"/>
    <w:pPr>
      <w:keepNext/>
      <w:keepLines/>
      <w:widowControl/>
      <w:tabs>
        <w:tab w:val="left" w:pos="1440"/>
      </w:tabs>
      <w:spacing w:before="240" w:beforeLines="0" w:after="64" w:afterLines="0" w:line="317" w:lineRule="auto"/>
      <w:ind w:left="1440" w:hanging="1440"/>
      <w:jc w:val="left"/>
      <w:outlineLvl w:val="7"/>
    </w:pPr>
    <w:rPr>
      <w:rFonts w:ascii="Arial" w:hAnsi="Arial" w:eastAsia="黑体"/>
      <w:kern w:val="0"/>
      <w:sz w:val="24"/>
    </w:rPr>
  </w:style>
  <w:style w:type="paragraph" w:styleId="11">
    <w:name w:val="heading 9"/>
    <w:basedOn w:val="1"/>
    <w:next w:val="1"/>
    <w:link w:val="50"/>
    <w:qFormat/>
    <w:uiPriority w:val="0"/>
    <w:pPr>
      <w:keepNext/>
      <w:keepLines/>
      <w:widowControl/>
      <w:tabs>
        <w:tab w:val="left" w:pos="1584"/>
      </w:tabs>
      <w:spacing w:before="240" w:beforeLines="0" w:after="64" w:afterLines="0" w:line="317" w:lineRule="auto"/>
      <w:ind w:left="1584" w:hanging="1584"/>
      <w:jc w:val="left"/>
      <w:outlineLvl w:val="8"/>
    </w:pPr>
    <w:rPr>
      <w:rFonts w:ascii="Arial" w:hAnsi="Arial" w:eastAsia="黑体"/>
      <w:kern w:val="0"/>
      <w:szCs w:val="21"/>
    </w:rPr>
  </w:style>
  <w:style w:type="character" w:default="1" w:styleId="36">
    <w:name w:val="Default Paragraph Font"/>
    <w:qFormat/>
    <w:uiPriority w:val="0"/>
  </w:style>
  <w:style w:type="table" w:default="1" w:styleId="34">
    <w:name w:val="Normal Table"/>
    <w:unhideWhenUsed/>
    <w:qFormat/>
    <w:uiPriority w:val="99"/>
    <w:tblPr>
      <w:tblCellMar>
        <w:top w:w="0" w:type="dxa"/>
        <w:left w:w="108" w:type="dxa"/>
        <w:bottom w:w="0" w:type="dxa"/>
        <w:right w:w="108" w:type="dxa"/>
      </w:tblCellMar>
    </w:tblPr>
  </w:style>
  <w:style w:type="paragraph" w:styleId="2">
    <w:name w:val="Body Text"/>
    <w:basedOn w:val="1"/>
    <w:next w:val="1"/>
    <w:link w:val="54"/>
    <w:qFormat/>
    <w:uiPriority w:val="0"/>
    <w:pPr>
      <w:spacing w:after="120" w:afterLines="0"/>
    </w:pPr>
  </w:style>
  <w:style w:type="paragraph" w:customStyle="1" w:styleId="5">
    <w:name w:val="无间隔1"/>
    <w:qFormat/>
    <w:uiPriority w:val="1"/>
    <w:pPr>
      <w:widowControl w:val="0"/>
      <w:jc w:val="both"/>
    </w:pPr>
    <w:rPr>
      <w:rFonts w:ascii="Calibri" w:hAnsi="Calibri" w:eastAsia="宋体" w:cs="Times New Roman"/>
      <w:kern w:val="2"/>
      <w:sz w:val="21"/>
      <w:szCs w:val="22"/>
      <w:lang w:val="en-US" w:eastAsia="zh-CN" w:bidi="ar-SA"/>
    </w:rPr>
  </w:style>
  <w:style w:type="paragraph" w:styleId="12">
    <w:name w:val="Normal Indent"/>
    <w:basedOn w:val="1"/>
    <w:qFormat/>
    <w:uiPriority w:val="0"/>
    <w:pPr>
      <w:ind w:firstLine="420" w:firstLineChars="200"/>
    </w:pPr>
  </w:style>
  <w:style w:type="paragraph" w:styleId="13">
    <w:name w:val="Document Map"/>
    <w:basedOn w:val="1"/>
    <w:link w:val="51"/>
    <w:qFormat/>
    <w:uiPriority w:val="0"/>
    <w:pPr>
      <w:shd w:val="clear" w:color="auto" w:fill="000080"/>
    </w:pPr>
  </w:style>
  <w:style w:type="paragraph" w:styleId="14">
    <w:name w:val="annotation text"/>
    <w:basedOn w:val="1"/>
    <w:link w:val="52"/>
    <w:qFormat/>
    <w:uiPriority w:val="0"/>
    <w:pPr>
      <w:jc w:val="left"/>
    </w:pPr>
  </w:style>
  <w:style w:type="paragraph" w:styleId="15">
    <w:name w:val="Body Text 3"/>
    <w:basedOn w:val="1"/>
    <w:link w:val="53"/>
    <w:qFormat/>
    <w:uiPriority w:val="0"/>
    <w:rPr>
      <w:rFonts w:ascii="宋体"/>
      <w:sz w:val="24"/>
      <w:szCs w:val="20"/>
    </w:rPr>
  </w:style>
  <w:style w:type="paragraph" w:styleId="16">
    <w:name w:val="Body Text Indent"/>
    <w:basedOn w:val="1"/>
    <w:next w:val="1"/>
    <w:link w:val="42"/>
    <w:qFormat/>
    <w:uiPriority w:val="0"/>
    <w:pPr>
      <w:spacing w:after="120" w:afterLines="0"/>
      <w:ind w:left="420" w:leftChars="200"/>
    </w:pPr>
  </w:style>
  <w:style w:type="paragraph" w:styleId="17">
    <w:name w:val="toc 3"/>
    <w:basedOn w:val="1"/>
    <w:next w:val="1"/>
    <w:qFormat/>
    <w:uiPriority w:val="39"/>
    <w:pPr>
      <w:ind w:left="420"/>
      <w:jc w:val="left"/>
    </w:pPr>
    <w:rPr>
      <w:i/>
      <w:iCs/>
      <w:sz w:val="20"/>
      <w:szCs w:val="20"/>
    </w:rPr>
  </w:style>
  <w:style w:type="paragraph" w:styleId="18">
    <w:name w:val="Plain Text"/>
    <w:basedOn w:val="1"/>
    <w:link w:val="55"/>
    <w:qFormat/>
    <w:uiPriority w:val="0"/>
    <w:pPr>
      <w:ind w:firstLine="200" w:firstLineChars="200"/>
    </w:pPr>
    <w:rPr>
      <w:rFonts w:ascii="宋体" w:hAnsi="Courier New" w:eastAsia="仿宋_GB2312" w:cs="Courier New"/>
      <w:szCs w:val="21"/>
    </w:rPr>
  </w:style>
  <w:style w:type="paragraph" w:styleId="19">
    <w:name w:val="Date"/>
    <w:basedOn w:val="1"/>
    <w:next w:val="1"/>
    <w:link w:val="56"/>
    <w:qFormat/>
    <w:uiPriority w:val="0"/>
    <w:rPr>
      <w:sz w:val="24"/>
      <w:szCs w:val="20"/>
    </w:rPr>
  </w:style>
  <w:style w:type="paragraph" w:styleId="20">
    <w:name w:val="Body Text Indent 2"/>
    <w:basedOn w:val="1"/>
    <w:qFormat/>
    <w:uiPriority w:val="0"/>
    <w:pPr>
      <w:spacing w:after="120" w:afterLines="0" w:line="480" w:lineRule="auto"/>
      <w:ind w:left="420" w:leftChars="200"/>
    </w:pPr>
  </w:style>
  <w:style w:type="paragraph" w:styleId="21">
    <w:name w:val="Balloon Text"/>
    <w:basedOn w:val="1"/>
    <w:link w:val="57"/>
    <w:qFormat/>
    <w:uiPriority w:val="0"/>
    <w:rPr>
      <w:sz w:val="18"/>
      <w:szCs w:val="18"/>
    </w:rPr>
  </w:style>
  <w:style w:type="paragraph" w:styleId="22">
    <w:name w:val="footer"/>
    <w:basedOn w:val="1"/>
    <w:link w:val="58"/>
    <w:qFormat/>
    <w:uiPriority w:val="99"/>
    <w:pPr>
      <w:tabs>
        <w:tab w:val="center" w:pos="4153"/>
        <w:tab w:val="right" w:pos="8306"/>
      </w:tabs>
      <w:snapToGrid w:val="0"/>
      <w:jc w:val="left"/>
    </w:pPr>
    <w:rPr>
      <w:sz w:val="18"/>
      <w:szCs w:val="18"/>
    </w:rPr>
  </w:style>
  <w:style w:type="paragraph" w:styleId="23">
    <w:name w:val="header"/>
    <w:basedOn w:val="1"/>
    <w:link w:val="59"/>
    <w:qFormat/>
    <w:uiPriority w:val="99"/>
    <w:pPr>
      <w:pBdr>
        <w:bottom w:val="single" w:color="auto" w:sz="6" w:space="1"/>
      </w:pBdr>
      <w:tabs>
        <w:tab w:val="center" w:pos="4153"/>
        <w:tab w:val="right" w:pos="8306"/>
      </w:tabs>
      <w:snapToGrid w:val="0"/>
      <w:jc w:val="center"/>
    </w:pPr>
    <w:rPr>
      <w:sz w:val="18"/>
      <w:szCs w:val="18"/>
    </w:rPr>
  </w:style>
  <w:style w:type="paragraph" w:styleId="24">
    <w:name w:val="toc 1"/>
    <w:basedOn w:val="1"/>
    <w:next w:val="1"/>
    <w:qFormat/>
    <w:uiPriority w:val="39"/>
    <w:pPr>
      <w:spacing w:before="120" w:beforeLines="0" w:after="120" w:afterLines="0"/>
      <w:jc w:val="left"/>
    </w:pPr>
    <w:rPr>
      <w:rFonts w:ascii="Times New Roman" w:hAnsi="Times New Roman" w:eastAsia="仿宋"/>
      <w:bCs/>
      <w:caps/>
      <w:sz w:val="32"/>
      <w:szCs w:val="20"/>
    </w:rPr>
  </w:style>
  <w:style w:type="paragraph" w:styleId="25">
    <w:name w:val="toc 4"/>
    <w:basedOn w:val="1"/>
    <w:next w:val="1"/>
    <w:unhideWhenUsed/>
    <w:qFormat/>
    <w:uiPriority w:val="39"/>
    <w:pPr>
      <w:ind w:left="630"/>
      <w:jc w:val="left"/>
    </w:pPr>
    <w:rPr>
      <w:sz w:val="18"/>
      <w:szCs w:val="18"/>
    </w:rPr>
  </w:style>
  <w:style w:type="paragraph" w:styleId="26">
    <w:name w:val="List"/>
    <w:basedOn w:val="1"/>
    <w:qFormat/>
    <w:uiPriority w:val="0"/>
    <w:pPr>
      <w:autoSpaceDE w:val="0"/>
      <w:autoSpaceDN w:val="0"/>
      <w:adjustRightInd w:val="0"/>
      <w:ind w:left="360" w:hanging="360"/>
      <w:jc w:val="left"/>
      <w:textAlignment w:val="baseline"/>
    </w:pPr>
    <w:rPr>
      <w:kern w:val="0"/>
      <w:sz w:val="20"/>
      <w:szCs w:val="20"/>
    </w:rPr>
  </w:style>
  <w:style w:type="paragraph" w:styleId="27">
    <w:name w:val="Body Text Indent 3"/>
    <w:basedOn w:val="1"/>
    <w:link w:val="60"/>
    <w:qFormat/>
    <w:uiPriority w:val="0"/>
    <w:pPr>
      <w:spacing w:after="120" w:afterLines="0"/>
      <w:ind w:left="420" w:leftChars="200"/>
    </w:pPr>
    <w:rPr>
      <w:sz w:val="16"/>
      <w:szCs w:val="16"/>
    </w:rPr>
  </w:style>
  <w:style w:type="paragraph" w:styleId="28">
    <w:name w:val="toc 2"/>
    <w:basedOn w:val="1"/>
    <w:next w:val="1"/>
    <w:qFormat/>
    <w:uiPriority w:val="39"/>
    <w:pPr>
      <w:ind w:left="210"/>
      <w:jc w:val="left"/>
    </w:pPr>
    <w:rPr>
      <w:smallCaps/>
      <w:sz w:val="20"/>
      <w:szCs w:val="20"/>
    </w:rPr>
  </w:style>
  <w:style w:type="paragraph" w:styleId="2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30">
    <w:name w:val="Normal (Web)"/>
    <w:basedOn w:val="1"/>
    <w:next w:val="1"/>
    <w:qFormat/>
    <w:uiPriority w:val="0"/>
    <w:pPr>
      <w:widowControl/>
      <w:spacing w:before="100" w:beforeLines="0" w:beforeAutospacing="1" w:after="100" w:afterLines="0" w:afterAutospacing="1"/>
      <w:jc w:val="left"/>
    </w:pPr>
    <w:rPr>
      <w:rFonts w:ascii="宋体" w:hAnsi="宋体"/>
      <w:kern w:val="0"/>
      <w:sz w:val="24"/>
    </w:rPr>
  </w:style>
  <w:style w:type="paragraph" w:styleId="31">
    <w:name w:val="Title"/>
    <w:basedOn w:val="1"/>
    <w:link w:val="61"/>
    <w:qFormat/>
    <w:uiPriority w:val="0"/>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32">
    <w:name w:val="annotation subject"/>
    <w:basedOn w:val="14"/>
    <w:next w:val="14"/>
    <w:link w:val="62"/>
    <w:qFormat/>
    <w:uiPriority w:val="0"/>
    <w:rPr>
      <w:b/>
      <w:bCs/>
    </w:rPr>
  </w:style>
  <w:style w:type="paragraph" w:styleId="33">
    <w:name w:val="Body Text First Indent 2"/>
    <w:basedOn w:val="16"/>
    <w:next w:val="1"/>
    <w:qFormat/>
    <w:uiPriority w:val="0"/>
    <w:pPr>
      <w:ind w:firstLine="420" w:firstLineChars="200"/>
    </w:pPr>
  </w:style>
  <w:style w:type="table" w:styleId="35">
    <w:name w:val="Table Grid"/>
    <w:basedOn w:val="3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7">
    <w:name w:val="Strong"/>
    <w:qFormat/>
    <w:uiPriority w:val="0"/>
    <w:rPr>
      <w:b/>
    </w:rPr>
  </w:style>
  <w:style w:type="character" w:styleId="38">
    <w:name w:val="page number"/>
    <w:qFormat/>
    <w:uiPriority w:val="0"/>
  </w:style>
  <w:style w:type="character" w:styleId="39">
    <w:name w:val="FollowedHyperlink"/>
    <w:qFormat/>
    <w:uiPriority w:val="0"/>
    <w:rPr>
      <w:color w:val="800080"/>
      <w:u w:val="single"/>
    </w:rPr>
  </w:style>
  <w:style w:type="character" w:styleId="40">
    <w:name w:val="Hyperlink"/>
    <w:qFormat/>
    <w:uiPriority w:val="99"/>
    <w:rPr>
      <w:color w:val="0000FF"/>
      <w:u w:val="single"/>
    </w:rPr>
  </w:style>
  <w:style w:type="character" w:styleId="41">
    <w:name w:val="annotation reference"/>
    <w:qFormat/>
    <w:uiPriority w:val="0"/>
    <w:rPr>
      <w:sz w:val="21"/>
      <w:szCs w:val="21"/>
    </w:rPr>
  </w:style>
  <w:style w:type="character" w:customStyle="1" w:styleId="42">
    <w:name w:val="正文文本缩进 字符"/>
    <w:link w:val="16"/>
    <w:qFormat/>
    <w:uiPriority w:val="0"/>
    <w:rPr>
      <w:rFonts w:eastAsia="宋体"/>
      <w:kern w:val="2"/>
      <w:sz w:val="21"/>
      <w:szCs w:val="24"/>
      <w:lang w:val="en-US" w:eastAsia="zh-CN" w:bidi="ar-SA"/>
    </w:rPr>
  </w:style>
  <w:style w:type="character" w:customStyle="1" w:styleId="43">
    <w:name w:val="标题 1 字符"/>
    <w:link w:val="3"/>
    <w:qFormat/>
    <w:uiPriority w:val="0"/>
    <w:rPr>
      <w:rFonts w:eastAsia="宋体"/>
      <w:b/>
      <w:bCs/>
      <w:kern w:val="44"/>
      <w:sz w:val="44"/>
      <w:szCs w:val="44"/>
      <w:lang w:val="en-US" w:eastAsia="zh-CN" w:bidi="ar-SA"/>
    </w:rPr>
  </w:style>
  <w:style w:type="character" w:customStyle="1" w:styleId="44">
    <w:name w:val="标题 2 字符"/>
    <w:link w:val="4"/>
    <w:qFormat/>
    <w:uiPriority w:val="0"/>
    <w:rPr>
      <w:rFonts w:ascii="Arial" w:hAnsi="Arial" w:eastAsia="黑体"/>
      <w:b/>
      <w:bCs/>
      <w:kern w:val="2"/>
      <w:sz w:val="32"/>
      <w:szCs w:val="32"/>
      <w:lang w:val="en-US" w:eastAsia="zh-CN" w:bidi="ar-SA"/>
    </w:rPr>
  </w:style>
  <w:style w:type="character" w:customStyle="1" w:styleId="45">
    <w:name w:val="标题 3 字符"/>
    <w:link w:val="6"/>
    <w:qFormat/>
    <w:uiPriority w:val="0"/>
    <w:rPr>
      <w:rFonts w:eastAsia="宋体"/>
      <w:b/>
      <w:bCs/>
      <w:kern w:val="2"/>
      <w:sz w:val="32"/>
      <w:szCs w:val="32"/>
      <w:lang w:val="en-US" w:eastAsia="zh-CN" w:bidi="ar-SA"/>
    </w:rPr>
  </w:style>
  <w:style w:type="character" w:customStyle="1" w:styleId="46">
    <w:name w:val="标题 4 字符"/>
    <w:link w:val="7"/>
    <w:qFormat/>
    <w:uiPriority w:val="0"/>
    <w:rPr>
      <w:rFonts w:ascii="Arial" w:hAnsi="Arial" w:eastAsia="黑体"/>
      <w:b/>
      <w:bCs/>
      <w:kern w:val="2"/>
      <w:sz w:val="28"/>
      <w:szCs w:val="28"/>
      <w:lang w:val="en-US" w:eastAsia="zh-CN" w:bidi="ar-SA"/>
    </w:rPr>
  </w:style>
  <w:style w:type="character" w:customStyle="1" w:styleId="47">
    <w:name w:val="标题 6 字符"/>
    <w:link w:val="8"/>
    <w:qFormat/>
    <w:uiPriority w:val="0"/>
    <w:rPr>
      <w:rFonts w:ascii="Arial" w:hAnsi="Arial" w:eastAsia="黑体"/>
      <w:b/>
      <w:bCs/>
      <w:sz w:val="24"/>
      <w:szCs w:val="24"/>
      <w:lang w:val="en-US" w:eastAsia="zh-CN" w:bidi="ar-SA"/>
    </w:rPr>
  </w:style>
  <w:style w:type="character" w:customStyle="1" w:styleId="48">
    <w:name w:val="标题 7 字符"/>
    <w:link w:val="9"/>
    <w:qFormat/>
    <w:uiPriority w:val="0"/>
    <w:rPr>
      <w:rFonts w:eastAsia="宋体"/>
      <w:b/>
      <w:bCs/>
      <w:sz w:val="24"/>
      <w:szCs w:val="24"/>
      <w:lang w:val="en-US" w:eastAsia="zh-CN" w:bidi="ar-SA"/>
    </w:rPr>
  </w:style>
  <w:style w:type="character" w:customStyle="1" w:styleId="49">
    <w:name w:val="标题 8 字符"/>
    <w:link w:val="10"/>
    <w:qFormat/>
    <w:uiPriority w:val="0"/>
    <w:rPr>
      <w:rFonts w:ascii="Arial" w:hAnsi="Arial" w:eastAsia="黑体"/>
      <w:sz w:val="24"/>
      <w:szCs w:val="24"/>
      <w:lang w:val="en-US" w:eastAsia="zh-CN" w:bidi="ar-SA"/>
    </w:rPr>
  </w:style>
  <w:style w:type="character" w:customStyle="1" w:styleId="50">
    <w:name w:val="标题 9 字符"/>
    <w:link w:val="11"/>
    <w:qFormat/>
    <w:uiPriority w:val="0"/>
    <w:rPr>
      <w:rFonts w:ascii="Arial" w:hAnsi="Arial" w:eastAsia="黑体"/>
      <w:sz w:val="21"/>
      <w:szCs w:val="21"/>
      <w:lang w:val="en-US" w:eastAsia="zh-CN" w:bidi="ar-SA"/>
    </w:rPr>
  </w:style>
  <w:style w:type="character" w:customStyle="1" w:styleId="51">
    <w:name w:val="文档结构图 字符"/>
    <w:link w:val="13"/>
    <w:qFormat/>
    <w:uiPriority w:val="0"/>
    <w:rPr>
      <w:rFonts w:eastAsia="宋体"/>
      <w:kern w:val="2"/>
      <w:sz w:val="21"/>
      <w:szCs w:val="24"/>
      <w:lang w:val="en-US" w:eastAsia="zh-CN" w:bidi="ar-SA"/>
    </w:rPr>
  </w:style>
  <w:style w:type="character" w:customStyle="1" w:styleId="52">
    <w:name w:val="批注文字 字符"/>
    <w:link w:val="14"/>
    <w:qFormat/>
    <w:uiPriority w:val="0"/>
    <w:rPr>
      <w:rFonts w:eastAsia="宋体"/>
      <w:kern w:val="2"/>
      <w:sz w:val="21"/>
      <w:szCs w:val="24"/>
      <w:lang w:val="en-US" w:eastAsia="zh-CN" w:bidi="ar-SA"/>
    </w:rPr>
  </w:style>
  <w:style w:type="character" w:customStyle="1" w:styleId="53">
    <w:name w:val="正文文本 3 字符"/>
    <w:link w:val="15"/>
    <w:qFormat/>
    <w:uiPriority w:val="0"/>
    <w:rPr>
      <w:rFonts w:ascii="宋体" w:eastAsia="宋体"/>
      <w:kern w:val="2"/>
      <w:sz w:val="24"/>
      <w:lang w:val="en-US" w:eastAsia="zh-CN" w:bidi="ar-SA"/>
    </w:rPr>
  </w:style>
  <w:style w:type="character" w:customStyle="1" w:styleId="54">
    <w:name w:val="正文文本 字符"/>
    <w:link w:val="2"/>
    <w:qFormat/>
    <w:uiPriority w:val="0"/>
    <w:rPr>
      <w:rFonts w:eastAsia="宋体"/>
      <w:kern w:val="2"/>
      <w:sz w:val="21"/>
      <w:szCs w:val="24"/>
      <w:lang w:val="en-US" w:eastAsia="zh-CN" w:bidi="ar-SA"/>
    </w:rPr>
  </w:style>
  <w:style w:type="character" w:customStyle="1" w:styleId="55">
    <w:name w:val="纯文本 字符"/>
    <w:link w:val="18"/>
    <w:qFormat/>
    <w:uiPriority w:val="0"/>
    <w:rPr>
      <w:rFonts w:ascii="宋体" w:hAnsi="Courier New" w:eastAsia="仿宋_GB2312" w:cs="Courier New"/>
      <w:kern w:val="2"/>
      <w:sz w:val="21"/>
      <w:szCs w:val="21"/>
      <w:lang w:val="en-US" w:eastAsia="zh-CN" w:bidi="ar-SA"/>
    </w:rPr>
  </w:style>
  <w:style w:type="character" w:customStyle="1" w:styleId="56">
    <w:name w:val="日期 字符"/>
    <w:link w:val="19"/>
    <w:qFormat/>
    <w:uiPriority w:val="0"/>
    <w:rPr>
      <w:rFonts w:eastAsia="宋体"/>
      <w:kern w:val="2"/>
      <w:sz w:val="24"/>
      <w:lang w:val="en-US" w:eastAsia="zh-CN" w:bidi="ar-SA"/>
    </w:rPr>
  </w:style>
  <w:style w:type="character" w:customStyle="1" w:styleId="57">
    <w:name w:val="批注框文本 字符"/>
    <w:link w:val="21"/>
    <w:qFormat/>
    <w:uiPriority w:val="0"/>
    <w:rPr>
      <w:rFonts w:eastAsia="宋体"/>
      <w:kern w:val="2"/>
      <w:sz w:val="18"/>
      <w:szCs w:val="18"/>
      <w:lang w:val="en-US" w:eastAsia="zh-CN" w:bidi="ar-SA"/>
    </w:rPr>
  </w:style>
  <w:style w:type="character" w:customStyle="1" w:styleId="58">
    <w:name w:val="页脚 字符"/>
    <w:link w:val="22"/>
    <w:qFormat/>
    <w:uiPriority w:val="99"/>
    <w:rPr>
      <w:rFonts w:eastAsia="宋体"/>
      <w:kern w:val="2"/>
      <w:sz w:val="18"/>
      <w:szCs w:val="18"/>
      <w:lang w:val="en-US" w:eastAsia="zh-CN" w:bidi="ar-SA"/>
    </w:rPr>
  </w:style>
  <w:style w:type="character" w:customStyle="1" w:styleId="59">
    <w:name w:val="页眉 字符"/>
    <w:link w:val="23"/>
    <w:qFormat/>
    <w:uiPriority w:val="99"/>
    <w:rPr>
      <w:rFonts w:eastAsia="宋体"/>
      <w:kern w:val="2"/>
      <w:sz w:val="18"/>
      <w:szCs w:val="18"/>
      <w:lang w:val="en-US" w:eastAsia="zh-CN" w:bidi="ar-SA"/>
    </w:rPr>
  </w:style>
  <w:style w:type="character" w:customStyle="1" w:styleId="60">
    <w:name w:val="正文文本缩进 3 字符"/>
    <w:link w:val="27"/>
    <w:qFormat/>
    <w:uiPriority w:val="0"/>
    <w:rPr>
      <w:rFonts w:eastAsia="宋体"/>
      <w:kern w:val="2"/>
      <w:sz w:val="16"/>
      <w:szCs w:val="16"/>
      <w:lang w:val="en-US" w:eastAsia="zh-CN" w:bidi="ar-SA"/>
    </w:rPr>
  </w:style>
  <w:style w:type="character" w:customStyle="1" w:styleId="61">
    <w:name w:val="标题 字符"/>
    <w:link w:val="31"/>
    <w:qFormat/>
    <w:uiPriority w:val="0"/>
    <w:rPr>
      <w:rFonts w:ascii="Arial" w:hAnsi="Arial" w:eastAsia="宋体"/>
      <w:b/>
      <w:sz w:val="32"/>
      <w:lang w:val="en-US" w:eastAsia="zh-CN" w:bidi="ar-SA"/>
    </w:rPr>
  </w:style>
  <w:style w:type="character" w:customStyle="1" w:styleId="62">
    <w:name w:val="批注主题 字符"/>
    <w:link w:val="32"/>
    <w:qFormat/>
    <w:uiPriority w:val="0"/>
    <w:rPr>
      <w:rFonts w:eastAsia="宋体"/>
      <w:b/>
      <w:bCs/>
      <w:kern w:val="2"/>
      <w:sz w:val="21"/>
      <w:szCs w:val="24"/>
      <w:lang w:val="en-US" w:eastAsia="zh-CN" w:bidi="ar-SA"/>
    </w:rPr>
  </w:style>
  <w:style w:type="character" w:customStyle="1" w:styleId="63">
    <w:name w:val="_Style 62"/>
    <w:unhideWhenUsed/>
    <w:qFormat/>
    <w:uiPriority w:val="99"/>
    <w:rPr>
      <w:color w:val="605E5C"/>
      <w:shd w:val="clear" w:color="auto" w:fill="E1DFDD"/>
    </w:rPr>
  </w:style>
  <w:style w:type="character" w:customStyle="1" w:styleId="64">
    <w:name w:val="font11"/>
    <w:basedOn w:val="36"/>
    <w:qFormat/>
    <w:uiPriority w:val="0"/>
    <w:rPr>
      <w:rFonts w:hint="eastAsia" w:ascii="仿宋" w:hAnsi="仿宋" w:eastAsia="仿宋" w:cs="仿宋"/>
      <w:b/>
      <w:bCs/>
      <w:color w:val="000000"/>
      <w:sz w:val="18"/>
      <w:szCs w:val="18"/>
      <w:u w:val="none"/>
    </w:rPr>
  </w:style>
  <w:style w:type="character" w:customStyle="1" w:styleId="65">
    <w:name w:val="纯文本 Char1"/>
    <w:qFormat/>
    <w:uiPriority w:val="0"/>
    <w:rPr>
      <w:rFonts w:ascii="宋体" w:hAnsi="Courier New" w:eastAsia="宋体" w:cs="Courier New"/>
      <w:kern w:val="2"/>
      <w:sz w:val="21"/>
      <w:szCs w:val="21"/>
      <w:lang w:val="en-US" w:eastAsia="zh-CN" w:bidi="ar-SA"/>
    </w:rPr>
  </w:style>
  <w:style w:type="character" w:customStyle="1" w:styleId="66">
    <w:name w:val="font31"/>
    <w:basedOn w:val="36"/>
    <w:qFormat/>
    <w:uiPriority w:val="0"/>
    <w:rPr>
      <w:rFonts w:hint="eastAsia" w:ascii="仿宋" w:hAnsi="仿宋" w:eastAsia="仿宋" w:cs="仿宋"/>
      <w:b/>
      <w:bCs/>
      <w:color w:val="000000"/>
      <w:sz w:val="18"/>
      <w:szCs w:val="18"/>
      <w:u w:val="none"/>
    </w:rPr>
  </w:style>
  <w:style w:type="character" w:customStyle="1" w:styleId="67">
    <w:name w:val="NormalCharacter"/>
    <w:qFormat/>
    <w:uiPriority w:val="0"/>
  </w:style>
  <w:style w:type="character" w:customStyle="1" w:styleId="68">
    <w:name w:val="普通文字 Char Char"/>
    <w:qFormat/>
    <w:uiPriority w:val="0"/>
    <w:rPr>
      <w:rFonts w:ascii="宋体" w:hAnsi="Courier New" w:eastAsia="宋体" w:cs="Courier New"/>
      <w:kern w:val="2"/>
      <w:sz w:val="21"/>
      <w:szCs w:val="21"/>
      <w:lang w:val="en-US" w:eastAsia="zh-CN" w:bidi="ar-SA"/>
    </w:rPr>
  </w:style>
  <w:style w:type="character" w:customStyle="1" w:styleId="69">
    <w:name w:val="font61"/>
    <w:basedOn w:val="36"/>
    <w:qFormat/>
    <w:uiPriority w:val="0"/>
    <w:rPr>
      <w:rFonts w:hint="eastAsia" w:ascii="仿宋" w:hAnsi="仿宋" w:eastAsia="仿宋" w:cs="仿宋"/>
      <w:b/>
      <w:bCs/>
      <w:color w:val="000000"/>
      <w:sz w:val="18"/>
      <w:szCs w:val="18"/>
      <w:u w:val="none"/>
    </w:rPr>
  </w:style>
  <w:style w:type="character" w:customStyle="1" w:styleId="70">
    <w:name w:val="Char Char1"/>
    <w:qFormat/>
    <w:uiPriority w:val="0"/>
    <w:rPr>
      <w:rFonts w:ascii="宋体"/>
      <w:kern w:val="2"/>
      <w:sz w:val="24"/>
    </w:rPr>
  </w:style>
  <w:style w:type="character" w:customStyle="1" w:styleId="71">
    <w:name w:val="Char Char2"/>
    <w:qFormat/>
    <w:uiPriority w:val="0"/>
    <w:rPr>
      <w:kern w:val="2"/>
      <w:sz w:val="18"/>
      <w:szCs w:val="18"/>
    </w:rPr>
  </w:style>
  <w:style w:type="character" w:customStyle="1" w:styleId="72">
    <w:name w:val="even Char"/>
    <w:qFormat/>
    <w:uiPriority w:val="0"/>
    <w:rPr>
      <w:kern w:val="2"/>
      <w:sz w:val="18"/>
      <w:szCs w:val="18"/>
    </w:rPr>
  </w:style>
  <w:style w:type="character" w:customStyle="1" w:styleId="73">
    <w:name w:val="font21"/>
    <w:qFormat/>
    <w:uiPriority w:val="0"/>
    <w:rPr>
      <w:rFonts w:hint="eastAsia" w:ascii="仿宋" w:hAnsi="仿宋" w:eastAsia="仿宋" w:cs="仿宋"/>
      <w:b/>
      <w:bCs/>
      <w:color w:val="000000"/>
      <w:sz w:val="18"/>
      <w:szCs w:val="18"/>
      <w:u w:val="none"/>
    </w:rPr>
  </w:style>
  <w:style w:type="character" w:customStyle="1" w:styleId="74">
    <w:name w:val="Char Char Char"/>
    <w:qFormat/>
    <w:uiPriority w:val="0"/>
    <w:rPr>
      <w:rFonts w:ascii="宋体" w:hAnsi="Courier New" w:eastAsia="仿宋_GB2312" w:cs="Courier New"/>
      <w:kern w:val="2"/>
      <w:sz w:val="21"/>
      <w:szCs w:val="21"/>
    </w:rPr>
  </w:style>
  <w:style w:type="character" w:customStyle="1" w:styleId="75">
    <w:name w:val="font51"/>
    <w:qFormat/>
    <w:uiPriority w:val="0"/>
    <w:rPr>
      <w:rFonts w:hint="eastAsia" w:ascii="仿宋" w:hAnsi="仿宋" w:eastAsia="仿宋" w:cs="仿宋"/>
      <w:b/>
      <w:bCs/>
      <w:color w:val="000000"/>
      <w:sz w:val="20"/>
      <w:szCs w:val="20"/>
      <w:u w:val="none"/>
    </w:rPr>
  </w:style>
  <w:style w:type="character" w:customStyle="1" w:styleId="76">
    <w:name w:val="普通文字 Char1"/>
    <w:qFormat/>
    <w:uiPriority w:val="0"/>
    <w:rPr>
      <w:rFonts w:ascii="宋体" w:hAnsi="Courier New" w:eastAsia="仿宋_GB2312" w:cs="Courier New"/>
      <w:kern w:val="2"/>
      <w:sz w:val="21"/>
      <w:szCs w:val="21"/>
      <w:lang w:val="en-US" w:eastAsia="zh-CN" w:bidi="ar-SA"/>
    </w:rPr>
  </w:style>
  <w:style w:type="character" w:customStyle="1" w:styleId="77">
    <w:name w:val="font161"/>
    <w:qFormat/>
    <w:uiPriority w:val="0"/>
    <w:rPr>
      <w:b/>
      <w:bCs/>
      <w:sz w:val="32"/>
      <w:szCs w:val="32"/>
    </w:rPr>
  </w:style>
  <w:style w:type="character" w:customStyle="1" w:styleId="78">
    <w:name w:val="Char Char3"/>
    <w:qFormat/>
    <w:uiPriority w:val="0"/>
    <w:rPr>
      <w:rFonts w:ascii="Arial" w:hAnsi="Arial" w:eastAsia="黑体"/>
      <w:b/>
      <w:bCs/>
      <w:kern w:val="2"/>
      <w:sz w:val="32"/>
      <w:szCs w:val="32"/>
      <w:lang w:val="en-US" w:eastAsia="zh-CN" w:bidi="ar-SA"/>
    </w:rPr>
  </w:style>
  <w:style w:type="character" w:customStyle="1" w:styleId="79">
    <w:name w:val="font71"/>
    <w:basedOn w:val="36"/>
    <w:qFormat/>
    <w:uiPriority w:val="0"/>
    <w:rPr>
      <w:rFonts w:hint="eastAsia" w:ascii="仿宋" w:hAnsi="仿宋" w:eastAsia="仿宋" w:cs="仿宋"/>
      <w:b/>
      <w:bCs/>
      <w:color w:val="000000"/>
      <w:sz w:val="18"/>
      <w:szCs w:val="18"/>
      <w:u w:val="none"/>
    </w:rPr>
  </w:style>
  <w:style w:type="character" w:customStyle="1" w:styleId="80">
    <w:name w:val="font01"/>
    <w:basedOn w:val="36"/>
    <w:qFormat/>
    <w:uiPriority w:val="0"/>
    <w:rPr>
      <w:rFonts w:hint="eastAsia" w:ascii="仿宋" w:hAnsi="仿宋" w:eastAsia="仿宋" w:cs="仿宋"/>
      <w:b/>
      <w:bCs/>
      <w:color w:val="000000"/>
      <w:sz w:val="20"/>
      <w:szCs w:val="20"/>
      <w:u w:val="none"/>
    </w:rPr>
  </w:style>
  <w:style w:type="character" w:customStyle="1" w:styleId="81">
    <w:name w:val="font41"/>
    <w:basedOn w:val="36"/>
    <w:qFormat/>
    <w:uiPriority w:val="0"/>
    <w:rPr>
      <w:rFonts w:hint="eastAsia" w:ascii="仿宋" w:hAnsi="仿宋" w:eastAsia="仿宋" w:cs="仿宋"/>
      <w:b/>
      <w:bCs/>
      <w:color w:val="000000"/>
      <w:sz w:val="18"/>
      <w:szCs w:val="18"/>
      <w:u w:val="none"/>
    </w:rPr>
  </w:style>
  <w:style w:type="paragraph" w:customStyle="1" w:styleId="82">
    <w:name w:val="Default Paragraph Char Char Char Char"/>
    <w:basedOn w:val="1"/>
    <w:next w:val="1"/>
    <w:qFormat/>
    <w:uiPriority w:val="0"/>
    <w:pPr>
      <w:widowControl/>
      <w:spacing w:line="360" w:lineRule="auto"/>
      <w:jc w:val="left"/>
    </w:pPr>
  </w:style>
  <w:style w:type="paragraph" w:customStyle="1" w:styleId="83">
    <w:name w:val="表格"/>
    <w:basedOn w:val="1"/>
    <w:qFormat/>
    <w:uiPriority w:val="0"/>
    <w:pPr>
      <w:jc w:val="center"/>
      <w:textAlignment w:val="center"/>
    </w:pPr>
    <w:rPr>
      <w:rFonts w:ascii="华文细黑" w:hAnsi="华文细黑"/>
      <w:kern w:val="0"/>
      <w:szCs w:val="20"/>
    </w:rPr>
  </w:style>
  <w:style w:type="paragraph" w:customStyle="1" w:styleId="84">
    <w:name w:val="表格文字"/>
    <w:basedOn w:val="1"/>
    <w:qFormat/>
    <w:uiPriority w:val="0"/>
    <w:pPr>
      <w:adjustRightInd w:val="0"/>
      <w:spacing w:line="420" w:lineRule="atLeast"/>
      <w:jc w:val="left"/>
      <w:textAlignment w:val="baseline"/>
    </w:pPr>
    <w:rPr>
      <w:kern w:val="0"/>
      <w:szCs w:val="20"/>
    </w:rPr>
  </w:style>
  <w:style w:type="paragraph" w:customStyle="1" w:styleId="85">
    <w:name w:val="样式 标题 3 + (中文) 黑体 小四 非加粗 段前: 7.8 磅 段后: 0 磅 行距: 固定值 20 磅"/>
    <w:basedOn w:val="6"/>
    <w:qFormat/>
    <w:uiPriority w:val="0"/>
    <w:pPr>
      <w:spacing w:before="0" w:beforeLines="0" w:after="0" w:afterLines="0" w:line="400" w:lineRule="exact"/>
    </w:pPr>
    <w:rPr>
      <w:rFonts w:eastAsia="黑体" w:cs="宋体"/>
      <w:b w:val="0"/>
      <w:bCs w:val="0"/>
      <w:sz w:val="24"/>
      <w:szCs w:val="20"/>
    </w:rPr>
  </w:style>
  <w:style w:type="paragraph" w:customStyle="1" w:styleId="86">
    <w:name w:val="Normal (Web)"/>
    <w:basedOn w:val="1"/>
    <w:qFormat/>
    <w:uiPriority w:val="0"/>
    <w:pPr>
      <w:widowControl/>
      <w:spacing w:before="100" w:beforeLines="0" w:beforeAutospacing="1" w:after="100" w:afterLines="0" w:afterAutospacing="1"/>
      <w:jc w:val="left"/>
    </w:pPr>
    <w:rPr>
      <w:rFonts w:ascii="宋体" w:hAnsi="宋体"/>
      <w:kern w:val="0"/>
      <w:sz w:val="24"/>
    </w:rPr>
  </w:style>
  <w:style w:type="paragraph" w:customStyle="1" w:styleId="87">
    <w:name w:val="列出段落1"/>
    <w:basedOn w:val="1"/>
    <w:qFormat/>
    <w:uiPriority w:val="34"/>
    <w:pPr>
      <w:ind w:firstLine="420" w:firstLineChars="200"/>
    </w:pPr>
  </w:style>
  <w:style w:type="paragraph" w:customStyle="1" w:styleId="88">
    <w:name w:val="Body Text First Indent 2"/>
    <w:basedOn w:val="89"/>
    <w:qFormat/>
    <w:uiPriority w:val="0"/>
    <w:pPr>
      <w:ind w:firstLine="420" w:firstLineChars="200"/>
    </w:pPr>
    <w:rPr>
      <w:rFonts w:ascii="Times New Roman" w:hAnsi="Times New Roman" w:eastAsia="宋体" w:cs="Times New Roman"/>
      <w:kern w:val="0"/>
      <w:sz w:val="20"/>
      <w:szCs w:val="20"/>
    </w:rPr>
  </w:style>
  <w:style w:type="paragraph" w:customStyle="1" w:styleId="89">
    <w:name w:val="Body Text Indent"/>
    <w:basedOn w:val="1"/>
    <w:qFormat/>
    <w:uiPriority w:val="0"/>
    <w:pPr>
      <w:spacing w:after="120" w:afterLines="0"/>
      <w:ind w:left="420" w:leftChars="200"/>
    </w:pPr>
  </w:style>
  <w:style w:type="paragraph" w:customStyle="1" w:styleId="90">
    <w:name w:val="公文标题"/>
    <w:basedOn w:val="1"/>
    <w:qFormat/>
    <w:uiPriority w:val="0"/>
    <w:pPr>
      <w:jc w:val="center"/>
    </w:pPr>
    <w:rPr>
      <w:rFonts w:ascii="仿宋_GB2312" w:eastAsia="仿宋_GB2312"/>
      <w:sz w:val="44"/>
      <w:szCs w:val="32"/>
    </w:rPr>
  </w:style>
  <w:style w:type="paragraph" w:customStyle="1" w:styleId="91">
    <w:name w:val=" Char Char Char1 Char"/>
    <w:basedOn w:val="1"/>
    <w:qFormat/>
    <w:uiPriority w:val="0"/>
    <w:pPr>
      <w:widowControl/>
      <w:jc w:val="left"/>
    </w:pPr>
    <w:rPr>
      <w:rFonts w:ascii="宋体" w:hAnsi="宋体" w:cs="宋体"/>
      <w:color w:val="000000"/>
      <w:kern w:val="0"/>
      <w:sz w:val="24"/>
      <w:szCs w:val="20"/>
    </w:rPr>
  </w:style>
  <w:style w:type="paragraph" w:customStyle="1" w:styleId="92">
    <w:name w:val="样式 WG标题2 + 行距: 固定值 18 磅"/>
    <w:basedOn w:val="1"/>
    <w:qFormat/>
    <w:uiPriority w:val="0"/>
    <w:pPr>
      <w:autoSpaceDE w:val="0"/>
      <w:autoSpaceDN w:val="0"/>
      <w:adjustRightInd w:val="0"/>
      <w:spacing w:line="360" w:lineRule="exact"/>
      <w:textAlignment w:val="baseline"/>
      <w:outlineLvl w:val="1"/>
    </w:pPr>
    <w:rPr>
      <w:rFonts w:ascii="仿宋_GB2312" w:hAnsi="宋体" w:cs="宋体"/>
      <w:b/>
      <w:bCs/>
      <w:color w:val="000000"/>
      <w:kern w:val="20"/>
      <w:sz w:val="24"/>
      <w:szCs w:val="20"/>
    </w:rPr>
  </w:style>
  <w:style w:type="paragraph" w:customStyle="1" w:styleId="93">
    <w:name w:val="样式 标题 1 + 黑体 三号 非加粗 居中 段前: 6 磅 段后: 6 磅 行距: 固定值 20 磅"/>
    <w:basedOn w:val="3"/>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94">
    <w:name w:val="Char2"/>
    <w:basedOn w:val="1"/>
    <w:next w:val="1"/>
    <w:qFormat/>
    <w:uiPriority w:val="0"/>
    <w:pPr>
      <w:widowControl/>
      <w:tabs>
        <w:tab w:val="left" w:pos="777"/>
      </w:tabs>
      <w:spacing w:before="156" w:beforeLines="50" w:after="312" w:afterLines="100" w:line="360" w:lineRule="auto"/>
      <w:ind w:left="4420" w:hanging="748" w:firstLineChars="200"/>
      <w:jc w:val="center"/>
    </w:pPr>
  </w:style>
  <w:style w:type="paragraph" w:customStyle="1" w:styleId="95">
    <w:name w:val="Body Text First Indent 21"/>
    <w:basedOn w:val="96"/>
    <w:qFormat/>
    <w:uiPriority w:val="0"/>
    <w:pPr>
      <w:ind w:firstLine="420" w:firstLineChars="200"/>
    </w:pPr>
    <w:rPr>
      <w:rFonts w:ascii="Times New Roman" w:hAnsi="Times New Roman" w:eastAsia="宋体" w:cs="Times New Roman"/>
      <w:kern w:val="0"/>
      <w:sz w:val="20"/>
      <w:szCs w:val="20"/>
    </w:rPr>
  </w:style>
  <w:style w:type="paragraph" w:customStyle="1" w:styleId="96">
    <w:name w:val="Body Text Indent1"/>
    <w:basedOn w:val="1"/>
    <w:qFormat/>
    <w:uiPriority w:val="0"/>
    <w:pPr>
      <w:spacing w:after="120" w:afterLines="0"/>
      <w:ind w:left="420" w:leftChars="200"/>
    </w:pPr>
  </w:style>
  <w:style w:type="paragraph" w:customStyle="1" w:styleId="97">
    <w:name w:val=" Char Char Char Char Char Char"/>
    <w:basedOn w:val="13"/>
    <w:qFormat/>
    <w:uiPriority w:val="0"/>
    <w:pPr>
      <w:adjustRightInd w:val="0"/>
      <w:spacing w:line="436" w:lineRule="exact"/>
      <w:ind w:left="357"/>
      <w:jc w:val="left"/>
      <w:outlineLvl w:val="3"/>
    </w:pPr>
    <w:rPr>
      <w:rFonts w:ascii="Tahoma" w:hAnsi="Tahoma"/>
      <w:b/>
      <w:sz w:val="24"/>
    </w:rPr>
  </w:style>
  <w:style w:type="paragraph" w:customStyle="1" w:styleId="98">
    <w:name w:val="1"/>
    <w:basedOn w:val="1"/>
    <w:qFormat/>
    <w:uiPriority w:val="0"/>
  </w:style>
  <w:style w:type="paragraph" w:styleId="99">
    <w:name w:val="List Paragraph"/>
    <w:basedOn w:val="1"/>
    <w:qFormat/>
    <w:uiPriority w:val="34"/>
    <w:pPr>
      <w:ind w:firstLine="420" w:firstLineChars="200"/>
    </w:pPr>
  </w:style>
  <w:style w:type="paragraph" w:customStyle="1" w:styleId="100">
    <w:name w:val="节"/>
    <w:basedOn w:val="4"/>
    <w:qFormat/>
    <w:uiPriority w:val="0"/>
    <w:pPr>
      <w:numPr>
        <w:ilvl w:val="1"/>
        <w:numId w:val="1"/>
      </w:numPr>
      <w:spacing w:line="240" w:lineRule="auto"/>
    </w:pPr>
    <w:rPr>
      <w:rFonts w:ascii="黑体"/>
      <w:b w:val="0"/>
      <w:sz w:val="28"/>
      <w:szCs w:val="28"/>
    </w:rPr>
  </w:style>
  <w:style w:type="paragraph" w:customStyle="1" w:styleId="101">
    <w:name w:val="封面文件名称"/>
    <w:basedOn w:val="12"/>
    <w:qFormat/>
    <w:uiPriority w:val="0"/>
    <w:pPr>
      <w:widowControl w:val="0"/>
      <w:adjustRightInd w:val="0"/>
      <w:snapToGrid w:val="0"/>
      <w:spacing w:line="300" w:lineRule="auto"/>
      <w:ind w:firstLine="0" w:firstLineChars="0"/>
      <w:jc w:val="center"/>
    </w:pPr>
    <w:rPr>
      <w:rFonts w:ascii="仿宋_GB2312" w:eastAsia="仿宋_GB2312"/>
      <w:b/>
      <w:bCs/>
      <w:snapToGrid w:val="0"/>
      <w:color w:val="000000"/>
      <w:sz w:val="52"/>
    </w:rPr>
  </w:style>
  <w:style w:type="paragraph" w:customStyle="1" w:styleId="102">
    <w:name w:val="Char Char Char Char Char Char"/>
    <w:basedOn w:val="13"/>
    <w:qFormat/>
    <w:uiPriority w:val="0"/>
    <w:pPr>
      <w:adjustRightInd w:val="0"/>
      <w:spacing w:line="436" w:lineRule="exact"/>
      <w:ind w:left="357"/>
      <w:jc w:val="left"/>
      <w:outlineLvl w:val="3"/>
    </w:pPr>
    <w:rPr>
      <w:rFonts w:ascii="Tahoma" w:hAnsi="Tahoma"/>
      <w:b/>
      <w:sz w:val="24"/>
    </w:rPr>
  </w:style>
  <w:style w:type="paragraph" w:customStyle="1" w:styleId="103">
    <w:name w:val=" Char2"/>
    <w:basedOn w:val="1"/>
    <w:next w:val="1"/>
    <w:qFormat/>
    <w:uiPriority w:val="0"/>
    <w:pPr>
      <w:widowControl/>
      <w:tabs>
        <w:tab w:val="left" w:pos="777"/>
      </w:tabs>
      <w:spacing w:before="156" w:beforeLines="50" w:after="312" w:afterLines="100" w:line="360" w:lineRule="auto"/>
      <w:ind w:left="2210" w:hanging="748" w:firstLineChars="200"/>
      <w:jc w:val="center"/>
    </w:pPr>
  </w:style>
  <w:style w:type="paragraph" w:customStyle="1" w:styleId="10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05">
    <w:name w:val="样式 标题 2 + Times New Roman 四号 非加粗 段前: 5 磅 段后: 0 磅 行距: 固定值 20..."/>
    <w:basedOn w:val="4"/>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106">
    <w:name w:val="_Style 105"/>
    <w:basedOn w:val="3"/>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107">
    <w:name w:val="普通(Web)"/>
    <w:basedOn w:val="1"/>
    <w:qFormat/>
    <w:uiPriority w:val="0"/>
    <w:pPr>
      <w:widowControl/>
      <w:spacing w:before="100" w:beforeLines="0" w:beforeAutospacing="1" w:after="100" w:afterLines="0" w:afterAutospacing="1"/>
      <w:jc w:val="left"/>
    </w:pPr>
    <w:rPr>
      <w:rFonts w:ascii="宋体" w:hAnsi="宋体"/>
      <w:kern w:val="0"/>
      <w:sz w:val="24"/>
    </w:rPr>
  </w:style>
  <w:style w:type="table" w:customStyle="1" w:styleId="108">
    <w:name w:val="Table Normal"/>
    <w:unhideWhenUsed/>
    <w:qFormat/>
    <w:uiPriority w:val="2"/>
    <w:pPr>
      <w:widowControl w:val="0"/>
      <w:autoSpaceDE w:val="0"/>
      <w:autoSpaceDN w:val="0"/>
    </w:pPr>
    <w:rPr>
      <w:rFonts w:ascii="Calibri" w:hAnsi="Calibri"/>
      <w:lang w:val="en-US" w:eastAsia="en-US" w:bidi="ar-SA"/>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2127</Words>
  <Characters>2329</Characters>
  <Lines>156</Lines>
  <Paragraphs>43</Paragraphs>
  <TotalTime>10</TotalTime>
  <ScaleCrop>false</ScaleCrop>
  <LinksUpToDate>false</LinksUpToDate>
  <CharactersWithSpaces>2507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2011-07-17T19:08:00Z</dcterms:created>
  <dc:creator>微软用户</dc:creator>
  <cp:lastModifiedBy>大魔王</cp:lastModifiedBy>
  <cp:lastPrinted>2023-08-03T03:06:00Z</cp:lastPrinted>
  <dcterms:modified xsi:type="dcterms:W3CDTF">2025-07-10T06:30:01Z</dcterms:modified>
  <dc:title>（项目名称）             （物资品种）招标</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4FBDF39955D14746BE4C2CA5E5A50A5C_13</vt:lpwstr>
  </property>
  <property fmtid="{D5CDD505-2E9C-101B-9397-08002B2CF9AE}" pid="4" name="KSOTemplateDocerSaveRecord">
    <vt:lpwstr>eyJoZGlkIjoiYzU1NDQ0MDRmYzljNzA0ZmMxMGI0ZWI1MTQwNjdkOWQiLCJ1c2VySWQiOiI1ODI3NTc4MDUifQ==</vt:lpwstr>
  </property>
</Properties>
</file>