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6"/>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1" w:hRule="atLeast"/>
          <w:jc w:val="center"/>
        </w:trPr>
        <w:tc>
          <w:tcPr>
            <w:tcW w:w="9155" w:type="dxa"/>
            <w:tcBorders>
              <w:top w:val="single" w:color="auto" w:sz="4" w:space="0"/>
              <w:left w:val="single" w:color="auto" w:sz="4" w:space="0"/>
              <w:bottom w:val="single" w:color="auto" w:sz="4" w:space="0"/>
              <w:right w:val="single" w:color="auto" w:sz="4" w:space="0"/>
            </w:tcBorders>
          </w:tcPr>
          <w:p>
            <w:pPr>
              <w:ind w:left="227" w:firstLine="480" w:firstLineChars="200"/>
              <w:jc w:val="center"/>
              <w:rPr>
                <w:color w:val="000000" w:themeColor="text1"/>
                <w:lang w:val="ru-RU"/>
                <w14:textFill>
                  <w14:solidFill>
                    <w14:schemeClr w14:val="tx1"/>
                  </w14:solidFill>
                </w14:textFill>
              </w:rPr>
            </w:pPr>
          </w:p>
          <w:p>
            <w:pPr>
              <w:ind w:left="227" w:firstLine="480" w:firstLineChars="200"/>
              <w:jc w:val="center"/>
              <w:rPr>
                <w:color w:val="000000" w:themeColor="text1"/>
                <w:lang w:val="ru-RU"/>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323215</wp:posOffset>
                  </wp:positionH>
                  <wp:positionV relativeFrom="paragraph">
                    <wp:posOffset>196850</wp:posOffset>
                  </wp:positionV>
                  <wp:extent cx="714375" cy="67627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14375" cy="676275"/>
                          </a:xfrm>
                          <a:prstGeom prst="rect">
                            <a:avLst/>
                          </a:prstGeom>
                          <a:noFill/>
                          <a:ln>
                            <a:noFill/>
                          </a:ln>
                        </pic:spPr>
                      </pic:pic>
                    </a:graphicData>
                  </a:graphic>
                </wp:anchor>
              </w:drawing>
            </w:r>
          </w:p>
          <w:p>
            <w:pPr>
              <w:ind w:left="227" w:firstLine="480" w:firstLineChars="200"/>
              <w:jc w:val="center"/>
              <w:rPr>
                <w:color w:val="000000" w:themeColor="text1"/>
                <w14:textFill>
                  <w14:solidFill>
                    <w14:schemeClr w14:val="tx1"/>
                  </w14:solidFill>
                </w14:textFill>
              </w:rPr>
            </w:pPr>
          </w:p>
          <w:p>
            <w:pPr>
              <w:ind w:left="227" w:firstLine="602" w:firstLineChars="200"/>
              <w:jc w:val="center"/>
              <w:rPr>
                <w:b/>
                <w:bCs/>
                <w:color w:val="000000" w:themeColor="text1"/>
                <w:sz w:val="30"/>
                <w:szCs w:val="30"/>
                <w:lang w:val="pt-BR"/>
                <w14:textFill>
                  <w14:solidFill>
                    <w14:schemeClr w14:val="tx1"/>
                  </w14:solidFill>
                </w14:textFill>
              </w:rPr>
            </w:pPr>
          </w:p>
          <w:p>
            <w:pPr>
              <w:tabs>
                <w:tab w:val="left" w:pos="420"/>
                <w:tab w:val="clear" w:pos="360"/>
              </w:tabs>
              <w:jc w:val="center"/>
              <w:rPr>
                <w:rFonts w:eastAsiaTheme="minorEastAsia"/>
                <w:b/>
                <w:bCs/>
                <w:color w:val="000000" w:themeColor="text1"/>
                <w:sz w:val="36"/>
                <w:szCs w:val="36"/>
                <w:lang w:val="pt-BR"/>
                <w14:textFill>
                  <w14:solidFill>
                    <w14:schemeClr w14:val="tx1"/>
                  </w14:solidFill>
                </w14:textFill>
              </w:rPr>
            </w:pPr>
            <w:r>
              <w:rPr>
                <w:rFonts w:eastAsiaTheme="minorEastAsia"/>
                <w:b/>
                <w:bCs/>
                <w:color w:val="000000" w:themeColor="text1"/>
                <w:sz w:val="36"/>
                <w:szCs w:val="36"/>
                <w14:textFill>
                  <w14:solidFill>
                    <w14:schemeClr w14:val="tx1"/>
                  </w14:solidFill>
                </w14:textFill>
              </w:rPr>
              <w:t>中海油石化工程有限公司</w:t>
            </w:r>
          </w:p>
          <w:p>
            <w:pPr>
              <w:tabs>
                <w:tab w:val="left" w:pos="420"/>
                <w:tab w:val="clear" w:pos="360"/>
              </w:tabs>
              <w:jc w:val="center"/>
              <w:rPr>
                <w:rFonts w:eastAsiaTheme="minorEastAsia"/>
                <w:b/>
                <w:bCs/>
                <w:color w:val="000000" w:themeColor="text1"/>
                <w:sz w:val="36"/>
                <w:szCs w:val="36"/>
                <w:lang w:val="pt-BR"/>
                <w14:textFill>
                  <w14:solidFill>
                    <w14:schemeClr w14:val="tx1"/>
                  </w14:solidFill>
                </w14:textFill>
              </w:rPr>
            </w:pPr>
          </w:p>
          <w:p>
            <w:pPr>
              <w:tabs>
                <w:tab w:val="left" w:pos="420"/>
                <w:tab w:val="clear" w:pos="360"/>
              </w:tabs>
              <w:jc w:val="center"/>
              <w:rPr>
                <w:rFonts w:eastAsiaTheme="minorEastAsia"/>
                <w:b/>
                <w:bCs/>
                <w:color w:val="000000" w:themeColor="text1"/>
                <w:sz w:val="36"/>
                <w:szCs w:val="36"/>
                <w:lang w:val="pt-BR"/>
                <w14:textFill>
                  <w14:solidFill>
                    <w14:schemeClr w14:val="tx1"/>
                  </w14:solidFill>
                </w14:textFill>
              </w:rPr>
            </w:pPr>
          </w:p>
          <w:p>
            <w:pPr>
              <w:tabs>
                <w:tab w:val="left" w:pos="420"/>
                <w:tab w:val="clear" w:pos="360"/>
              </w:tabs>
              <w:jc w:val="center"/>
              <w:rPr>
                <w:rFonts w:eastAsiaTheme="minorEastAsia"/>
                <w:b/>
                <w:bCs/>
                <w:color w:val="000000" w:themeColor="text1"/>
                <w:sz w:val="36"/>
                <w:szCs w:val="36"/>
                <w14:textFill>
                  <w14:solidFill>
                    <w14:schemeClr w14:val="tx1"/>
                  </w14:solidFill>
                </w14:textFill>
              </w:rPr>
            </w:pPr>
            <w:r>
              <w:rPr>
                <w:rFonts w:eastAsiaTheme="minorEastAsia"/>
                <w:b/>
                <w:bCs/>
                <w:color w:val="000000" w:themeColor="text1"/>
                <w:sz w:val="36"/>
                <w:szCs w:val="36"/>
                <w14:textFill>
                  <w14:solidFill>
                    <w14:schemeClr w14:val="tx1"/>
                  </w14:solidFill>
                </w14:textFill>
              </w:rPr>
              <w:t>伊拉克米桑油田</w:t>
            </w:r>
          </w:p>
          <w:p>
            <w:pPr>
              <w:tabs>
                <w:tab w:val="left" w:pos="420"/>
                <w:tab w:val="clear" w:pos="360"/>
              </w:tabs>
              <w:jc w:val="center"/>
              <w:rPr>
                <w:b/>
                <w:bCs/>
                <w:color w:val="000000" w:themeColor="text1"/>
                <w:sz w:val="36"/>
                <w:szCs w:val="36"/>
                <w14:textFill>
                  <w14:solidFill>
                    <w14:schemeClr w14:val="tx1"/>
                  </w14:solidFill>
                </w14:textFill>
              </w:rPr>
            </w:pPr>
            <w:r>
              <w:rPr>
                <w:rFonts w:hint="eastAsia" w:eastAsiaTheme="minorEastAsia"/>
                <w:b/>
                <w:bCs/>
                <w:color w:val="000000" w:themeColor="text1"/>
                <w:sz w:val="36"/>
                <w:szCs w:val="36"/>
                <w14:textFill>
                  <w14:solidFill>
                    <w14:schemeClr w14:val="tx1"/>
                  </w14:solidFill>
                </w14:textFill>
              </w:rPr>
              <w:t>FQN脱气站</w:t>
            </w:r>
            <w:r>
              <w:rPr>
                <w:rFonts w:hint="eastAsia" w:eastAsiaTheme="minorEastAsia"/>
                <w:b/>
                <w:bCs/>
                <w:color w:val="000000" w:themeColor="text1"/>
                <w:sz w:val="36"/>
                <w:szCs w:val="36"/>
                <w:lang w:val="en-US" w:eastAsia="zh-CN"/>
                <w14:textFill>
                  <w14:solidFill>
                    <w14:schemeClr w14:val="tx1"/>
                  </w14:solidFill>
                </w14:textFill>
              </w:rPr>
              <w:t>升级</w:t>
            </w:r>
            <w:r>
              <w:rPr>
                <w:rFonts w:hint="eastAsia" w:ascii="宋体" w:cs="宋体"/>
                <w:b/>
                <w:bCs/>
                <w:sz w:val="36"/>
                <w:szCs w:val="36"/>
              </w:rPr>
              <w:t>项目安装及</w:t>
            </w:r>
          </w:p>
          <w:p>
            <w:pPr>
              <w:tabs>
                <w:tab w:val="left" w:pos="420"/>
                <w:tab w:val="clear" w:pos="360"/>
              </w:tabs>
              <w:jc w:val="center"/>
              <w:rPr>
                <w:rFonts w:hint="default" w:eastAsiaTheme="minorEastAsia"/>
                <w:b/>
                <w:bCs/>
                <w:color w:val="000000" w:themeColor="text1"/>
                <w:sz w:val="36"/>
                <w:szCs w:val="36"/>
                <w:lang w:val="en-US" w:eastAsia="zh-CN"/>
                <w14:textFill>
                  <w14:solidFill>
                    <w14:schemeClr w14:val="tx1"/>
                  </w14:solidFill>
                </w14:textFill>
              </w:rPr>
            </w:pPr>
            <w:r>
              <w:rPr>
                <w:rFonts w:hint="eastAsia" w:eastAsiaTheme="minorEastAsia"/>
                <w:b/>
                <w:bCs/>
                <w:color w:val="000000" w:themeColor="text1"/>
                <w:sz w:val="36"/>
                <w:szCs w:val="36"/>
                <w:lang w:val="en-US" w:eastAsia="zh-CN"/>
                <w14:textFill>
                  <w14:solidFill>
                    <w14:schemeClr w14:val="tx1"/>
                  </w14:solidFill>
                </w14:textFill>
              </w:rPr>
              <w:t>外输泵升级项目</w:t>
            </w:r>
            <w:r>
              <w:rPr>
                <w:rFonts w:hint="eastAsia" w:eastAsiaTheme="minorEastAsia"/>
                <w:b/>
                <w:bCs/>
                <w:color w:val="000000" w:themeColor="text1"/>
                <w:sz w:val="36"/>
                <w:szCs w:val="36"/>
                <w14:textFill>
                  <w14:solidFill>
                    <w14:schemeClr w14:val="tx1"/>
                  </w14:solidFill>
                </w14:textFill>
              </w:rPr>
              <w:t>土建和安装施工工程</w:t>
            </w:r>
            <w:r>
              <w:rPr>
                <w:rFonts w:hint="eastAsia" w:eastAsiaTheme="minorEastAsia"/>
                <w:b/>
                <w:bCs/>
                <w:color w:val="000000" w:themeColor="text1"/>
                <w:sz w:val="36"/>
                <w:szCs w:val="36"/>
                <w:lang w:val="en-US" w:eastAsia="zh-CN"/>
                <w14:textFill>
                  <w14:solidFill>
                    <w14:schemeClr w14:val="tx1"/>
                  </w14:solidFill>
                </w14:textFill>
              </w:rPr>
              <w:t>承包合同</w:t>
            </w:r>
          </w:p>
          <w:p>
            <w:pPr>
              <w:jc w:val="center"/>
              <w:rPr>
                <w:rFonts w:hint="eastAsia" w:ascii="宋体" w:hAnsi="宋体" w:cs="Arial"/>
                <w:b/>
                <w:bCs/>
                <w:sz w:val="36"/>
              </w:rPr>
            </w:pPr>
          </w:p>
          <w:p>
            <w:pPr>
              <w:widowControl/>
              <w:tabs>
                <w:tab w:val="left" w:pos="420"/>
                <w:tab w:val="clear" w:pos="360"/>
              </w:tabs>
              <w:rPr>
                <w:b/>
                <w:bCs/>
                <w:color w:val="000000" w:themeColor="text1"/>
                <w:sz w:val="36"/>
                <w:szCs w:val="36"/>
                <w:lang w:val="pt-BR"/>
                <w14:textFill>
                  <w14:solidFill>
                    <w14:schemeClr w14:val="tx1"/>
                  </w14:solidFill>
                </w14:textFill>
              </w:rPr>
            </w:pPr>
          </w:p>
          <w:p>
            <w:pPr>
              <w:tabs>
                <w:tab w:val="left" w:pos="420"/>
                <w:tab w:val="clear" w:pos="360"/>
              </w:tabs>
              <w:jc w:val="center"/>
              <w:rPr>
                <w:b/>
                <w:bCs/>
                <w:color w:val="000000" w:themeColor="text1"/>
                <w:sz w:val="36"/>
                <w:szCs w:val="36"/>
                <w14:textFill>
                  <w14:solidFill>
                    <w14:schemeClr w14:val="tx1"/>
                  </w14:solidFill>
                </w14:textFill>
              </w:rPr>
            </w:pPr>
            <w:bookmarkStart w:id="0" w:name="OLE_LINK1"/>
            <w:bookmarkStart w:id="1" w:name="OLE_LINK3"/>
            <w:bookmarkStart w:id="2" w:name="OLE_LINK2"/>
            <w:r>
              <w:rPr>
                <w:rFonts w:hint="eastAsia"/>
                <w:b/>
                <w:bCs/>
                <w:color w:val="000000" w:themeColor="text1"/>
                <w:sz w:val="36"/>
                <w:szCs w:val="36"/>
                <w14:textFill>
                  <w14:solidFill>
                    <w14:schemeClr w14:val="tx1"/>
                  </w14:solidFill>
                </w14:textFill>
              </w:rPr>
              <w:t>附件1-7：</w:t>
            </w:r>
            <w:bookmarkEnd w:id="0"/>
            <w:bookmarkEnd w:id="1"/>
            <w:bookmarkEnd w:id="2"/>
            <w:r>
              <w:rPr>
                <w:rFonts w:hint="eastAsia"/>
                <w:b/>
                <w:bCs/>
                <w:color w:val="000000" w:themeColor="text1"/>
                <w:sz w:val="36"/>
                <w:szCs w:val="36"/>
                <w14:textFill>
                  <w14:solidFill>
                    <w14:schemeClr w14:val="tx1"/>
                  </w14:solidFill>
                </w14:textFill>
              </w:rPr>
              <w:t>邀请函及工作许可代办管理和要求</w:t>
            </w:r>
          </w:p>
          <w:p>
            <w:pPr>
              <w:tabs>
                <w:tab w:val="left" w:pos="420"/>
                <w:tab w:val="clear" w:pos="360"/>
              </w:tabs>
              <w:rPr>
                <w:bCs/>
                <w:color w:val="000000" w:themeColor="text1"/>
                <w:lang w:val="pt-BR"/>
                <w14:textFill>
                  <w14:solidFill>
                    <w14:schemeClr w14:val="tx1"/>
                  </w14:solidFill>
                </w14:textFill>
              </w:rPr>
            </w:pPr>
          </w:p>
          <w:p>
            <w:pPr>
              <w:widowControl/>
              <w:spacing w:before="156" w:beforeLines="50" w:after="156" w:afterLines="50" w:line="600" w:lineRule="auto"/>
              <w:ind w:firstLine="2891" w:firstLineChars="800"/>
              <w:rPr>
                <w:rFonts w:hint="eastAsia" w:ascii="宋体" w:hAnsi="宋体"/>
                <w:b/>
                <w:bCs/>
                <w:sz w:val="36"/>
                <w:szCs w:val="36"/>
              </w:rPr>
            </w:pPr>
            <w:r>
              <w:rPr>
                <w:rFonts w:hint="eastAsia" w:ascii="宋体" w:hAnsi="宋体"/>
                <w:b/>
                <w:bCs/>
                <w:sz w:val="36"/>
                <w:szCs w:val="36"/>
              </w:rPr>
              <w:t>编制：</w:t>
            </w:r>
          </w:p>
          <w:p>
            <w:pPr>
              <w:widowControl/>
              <w:spacing w:before="156" w:beforeLines="50" w:after="156" w:afterLines="50" w:line="600" w:lineRule="auto"/>
              <w:ind w:firstLine="2891" w:firstLineChars="800"/>
              <w:rPr>
                <w:rFonts w:hint="eastAsia" w:ascii="宋体" w:hAnsi="宋体"/>
                <w:b/>
                <w:bCs/>
                <w:sz w:val="36"/>
                <w:szCs w:val="36"/>
              </w:rPr>
            </w:pPr>
            <w:r>
              <w:rPr>
                <w:rFonts w:hint="eastAsia" w:ascii="宋体" w:hAnsi="宋体"/>
                <w:b/>
                <w:bCs/>
                <w:sz w:val="36"/>
                <w:szCs w:val="36"/>
              </w:rPr>
              <w:t>校对：</w:t>
            </w:r>
          </w:p>
          <w:p>
            <w:pPr>
              <w:widowControl/>
              <w:spacing w:before="156" w:beforeLines="50" w:after="156" w:afterLines="50" w:line="600" w:lineRule="auto"/>
              <w:ind w:firstLine="2891" w:firstLineChars="800"/>
              <w:rPr>
                <w:rFonts w:hint="eastAsia" w:ascii="宋体" w:hAnsi="宋体"/>
                <w:b/>
                <w:bCs/>
                <w:sz w:val="36"/>
                <w:szCs w:val="36"/>
              </w:rPr>
            </w:pPr>
            <w:r>
              <w:rPr>
                <w:rFonts w:hint="eastAsia" w:ascii="宋体" w:hAnsi="宋体"/>
                <w:b/>
                <w:bCs/>
                <w:sz w:val="36"/>
                <w:szCs w:val="36"/>
              </w:rPr>
              <w:t>审核：</w:t>
            </w:r>
          </w:p>
          <w:p>
            <w:pPr>
              <w:tabs>
                <w:tab w:val="left" w:pos="420"/>
                <w:tab w:val="clear" w:pos="360"/>
              </w:tabs>
              <w:rPr>
                <w:b/>
                <w:bCs/>
                <w:color w:val="000000" w:themeColor="text1"/>
                <w:kern w:val="0"/>
                <w:sz w:val="36"/>
                <w:szCs w:val="36"/>
                <w:lang w:val="pt-BR"/>
                <w14:textFill>
                  <w14:solidFill>
                    <w14:schemeClr w14:val="tx1"/>
                  </w14:solidFill>
                </w14:textFill>
              </w:rPr>
            </w:pPr>
          </w:p>
          <w:p>
            <w:pPr>
              <w:tabs>
                <w:tab w:val="left" w:pos="420"/>
                <w:tab w:val="clear" w:pos="360"/>
              </w:tabs>
              <w:jc w:val="center"/>
              <w:rPr>
                <w:b/>
                <w:bCs/>
                <w:color w:val="000000" w:themeColor="text1"/>
                <w:kern w:val="0"/>
                <w:sz w:val="36"/>
                <w:szCs w:val="36"/>
                <w14:textFill>
                  <w14:solidFill>
                    <w14:schemeClr w14:val="tx1"/>
                  </w14:solidFill>
                </w14:textFill>
              </w:rPr>
            </w:pPr>
            <w:r>
              <w:rPr>
                <w:b/>
                <w:bCs/>
                <w:color w:val="000000" w:themeColor="text1"/>
                <w:kern w:val="0"/>
                <w:sz w:val="36"/>
                <w:szCs w:val="36"/>
                <w14:textFill>
                  <w14:solidFill>
                    <w14:schemeClr w14:val="tx1"/>
                  </w14:solidFill>
                </w14:textFill>
              </w:rPr>
              <w:t>总页数</w:t>
            </w:r>
            <w:r>
              <w:rPr>
                <w:b/>
                <w:bCs/>
                <w:color w:val="000000" w:themeColor="text1"/>
                <w:kern w:val="0"/>
                <w:sz w:val="36"/>
                <w:szCs w:val="36"/>
                <w:lang w:val="pt-BR"/>
                <w14:textFill>
                  <w14:solidFill>
                    <w14:schemeClr w14:val="tx1"/>
                  </w14:solidFill>
                </w14:textFill>
              </w:rPr>
              <w:t>：</w:t>
            </w:r>
            <w:r>
              <w:rPr>
                <w:rFonts w:hint="eastAsia"/>
                <w:b/>
                <w:bCs/>
                <w:color w:val="000000" w:themeColor="text1"/>
                <w:kern w:val="0"/>
                <w:sz w:val="36"/>
                <w:szCs w:val="36"/>
                <w14:textFill>
                  <w14:solidFill>
                    <w14:schemeClr w14:val="tx1"/>
                  </w14:solidFill>
                </w14:textFill>
              </w:rPr>
              <w:t>6</w:t>
            </w:r>
          </w:p>
          <w:p>
            <w:pPr>
              <w:tabs>
                <w:tab w:val="left" w:pos="420"/>
                <w:tab w:val="clear" w:pos="360"/>
              </w:tabs>
              <w:ind w:firstLine="480" w:firstLineChars="200"/>
              <w:jc w:val="center"/>
              <w:rPr>
                <w:bCs/>
                <w:color w:val="000000" w:themeColor="text1"/>
                <w:lang w:val="pt-BR"/>
                <w14:textFill>
                  <w14:solidFill>
                    <w14:schemeClr w14:val="tx1"/>
                  </w14:solidFill>
                </w14:textFill>
              </w:rPr>
            </w:pPr>
          </w:p>
        </w:tc>
      </w:tr>
    </w:tbl>
    <w:p>
      <w:pPr>
        <w:ind w:firstLine="723"/>
        <w:jc w:val="center"/>
        <w:rPr>
          <w:rFonts w:eastAsia="仿宋" w:asciiTheme="majorHAnsi" w:hAnsiTheme="majorHAnsi"/>
          <w:b/>
          <w:sz w:val="36"/>
          <w:lang w:val="fr-FR"/>
        </w:rPr>
        <w:sectPr>
          <w:headerReference r:id="rId6" w:type="first"/>
          <w:footerReference r:id="rId9" w:type="first"/>
          <w:headerReference r:id="rId5" w:type="default"/>
          <w:footerReference r:id="rId7" w:type="default"/>
          <w:footerReference r:id="rId8" w:type="even"/>
          <w:pgSz w:w="11906" w:h="16838"/>
          <w:pgMar w:top="1440" w:right="1797" w:bottom="1440" w:left="1797" w:header="851" w:footer="992" w:gutter="0"/>
          <w:pgNumType w:fmt="upperRoman" w:start="1"/>
          <w:cols w:space="425" w:num="1"/>
          <w:titlePg/>
          <w:docGrid w:type="lines" w:linePitch="312" w:charSpace="0"/>
        </w:sectPr>
      </w:pPr>
    </w:p>
    <w:sdt>
      <w:sdtPr>
        <w:rPr>
          <w:rFonts w:ascii="Times New Roman" w:hAnsi="Times New Roman" w:eastAsia="宋体" w:cs="Times New Roman"/>
          <w:b w:val="0"/>
          <w:bCs w:val="0"/>
          <w:color w:val="auto"/>
          <w:kern w:val="2"/>
          <w:sz w:val="24"/>
          <w:szCs w:val="24"/>
          <w:lang w:val="zh-CN"/>
        </w:rPr>
        <w:id w:val="-846635569"/>
        <w:docPartObj>
          <w:docPartGallery w:val="Table of Contents"/>
          <w:docPartUnique/>
        </w:docPartObj>
      </w:sdtPr>
      <w:sdtEndPr>
        <w:rPr>
          <w:rFonts w:ascii="Times New Roman" w:hAnsi="Times New Roman" w:eastAsia="宋体" w:cs="Times New Roman"/>
          <w:b w:val="0"/>
          <w:bCs w:val="0"/>
          <w:color w:val="auto"/>
          <w:kern w:val="2"/>
          <w:sz w:val="24"/>
          <w:szCs w:val="24"/>
          <w:lang w:val="zh-CN"/>
        </w:rPr>
      </w:sdtEndPr>
      <w:sdtContent>
        <w:p>
          <w:pPr>
            <w:pStyle w:val="77"/>
            <w:numPr>
              <w:ilvl w:val="0"/>
              <w:numId w:val="0"/>
            </w:numPr>
            <w:spacing w:before="163" w:after="163" w:line="440" w:lineRule="exact"/>
            <w:jc w:val="center"/>
            <w:rPr>
              <w:color w:val="auto"/>
              <w:sz w:val="32"/>
              <w:szCs w:val="32"/>
            </w:rPr>
          </w:pPr>
          <w:r>
            <w:rPr>
              <w:rFonts w:ascii="Times New Roman" w:hAnsi="黑体" w:eastAsia="黑体" w:cs="Times New Roman"/>
              <w:bCs w:val="0"/>
              <w:color w:val="auto"/>
              <w:kern w:val="2"/>
              <w:sz w:val="32"/>
              <w:szCs w:val="32"/>
              <w:lang w:val="fr-FR"/>
            </w:rPr>
            <w:t>目录</w:t>
          </w:r>
        </w:p>
        <w:p>
          <w:pPr>
            <w:pStyle w:val="40"/>
            <w:rPr>
              <w:rFonts w:hint="eastAsia" w:asciiTheme="minorHAnsi" w:hAnsiTheme="minorHAnsi" w:cstheme="minorBidi"/>
              <w:smallCaps w:val="0"/>
              <w:sz w:val="22"/>
              <w14:ligatures w14:val="standardContextual"/>
            </w:rPr>
          </w:pPr>
          <w:r>
            <w:rPr>
              <w:b/>
              <w:caps/>
            </w:rPr>
            <w:fldChar w:fldCharType="begin"/>
          </w:r>
          <w:r>
            <w:instrText xml:space="preserve"> TOC \o "1-3" \h \z \u </w:instrText>
          </w:r>
          <w:r>
            <w:rPr>
              <w:b/>
              <w:caps/>
            </w:rPr>
            <w:fldChar w:fldCharType="separate"/>
          </w:r>
          <w:r>
            <w:fldChar w:fldCharType="begin"/>
          </w:r>
          <w:r>
            <w:instrText xml:space="preserve"> HYPERLINK \l "_Toc220010495" </w:instrText>
          </w:r>
          <w:r>
            <w:fldChar w:fldCharType="separate"/>
          </w:r>
          <w:r>
            <w:rPr>
              <w:rStyle w:val="52"/>
              <w:rFonts w:hint="eastAsia" w:cs="Segoe UI" w:asciiTheme="majorEastAsia" w:hAnsiTheme="majorEastAsia" w:eastAsiaTheme="majorEastAsia"/>
            </w:rPr>
            <w:t>一、概述</w:t>
          </w:r>
          <w:r>
            <w:rPr>
              <w:rFonts w:hint="eastAsia"/>
            </w:rPr>
            <w:tab/>
          </w:r>
          <w:r>
            <w:rPr>
              <w:rFonts w:hint="eastAsia"/>
            </w:rPr>
            <w:fldChar w:fldCharType="begin"/>
          </w:r>
          <w:r>
            <w:rPr>
              <w:rFonts w:hint="eastAsia"/>
            </w:rPr>
            <w:instrText xml:space="preserve"> </w:instrText>
          </w:r>
          <w:r>
            <w:instrText xml:space="preserve">PAGEREF _Toc220010495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"_Toc220010496" </w:instrText>
          </w:r>
          <w:r>
            <w:fldChar w:fldCharType="separate"/>
          </w:r>
          <w:r>
            <w:rPr>
              <w:rStyle w:val="52"/>
              <w:rFonts w:hint="eastAsia" w:cs="Segoe UI" w:asciiTheme="majorEastAsia" w:hAnsiTheme="majorEastAsia" w:eastAsiaTheme="majorEastAsia"/>
            </w:rPr>
            <w:t>二、办理方针、目标</w:t>
          </w:r>
          <w:r>
            <w:rPr>
              <w:rFonts w:hint="eastAsia"/>
            </w:rPr>
            <w:tab/>
          </w:r>
          <w:r>
            <w:rPr>
              <w:rFonts w:hint="eastAsia"/>
            </w:rPr>
            <w:fldChar w:fldCharType="begin"/>
          </w:r>
          <w:r>
            <w:rPr>
              <w:rFonts w:hint="eastAsia"/>
            </w:rPr>
            <w:instrText xml:space="preserve"> </w:instrText>
          </w:r>
          <w:r>
            <w:instrText xml:space="preserve">PAGEREF _Toc220010496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"_Toc220010497" </w:instrText>
          </w:r>
          <w:r>
            <w:fldChar w:fldCharType="separate"/>
          </w:r>
          <w:r>
            <w:rPr>
              <w:rStyle w:val="52"/>
              <w:rFonts w:hint="eastAsia"/>
            </w:rPr>
            <w:t>1. 办理方针：</w:t>
          </w:r>
          <w:r>
            <w:rPr>
              <w:rFonts w:hint="eastAsia"/>
            </w:rPr>
            <w:tab/>
          </w:r>
          <w:r>
            <w:rPr>
              <w:rFonts w:hint="eastAsia"/>
            </w:rPr>
            <w:fldChar w:fldCharType="begin"/>
          </w:r>
          <w:r>
            <w:rPr>
              <w:rFonts w:hint="eastAsia"/>
            </w:rPr>
            <w:instrText xml:space="preserve"> </w:instrText>
          </w:r>
          <w:r>
            <w:instrText xml:space="preserve">PAGEREF _Toc220010497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"_Toc220010498" </w:instrText>
          </w:r>
          <w:r>
            <w:fldChar w:fldCharType="separate"/>
          </w:r>
          <w:r>
            <w:rPr>
              <w:rStyle w:val="52"/>
              <w:rFonts w:hint="eastAsia"/>
            </w:rPr>
            <w:t>2. 办理依据</w:t>
          </w:r>
          <w:r>
            <w:rPr>
              <w:rFonts w:hint="eastAsia"/>
            </w:rPr>
            <w:tab/>
          </w:r>
          <w:r>
            <w:rPr>
              <w:rFonts w:hint="eastAsia"/>
            </w:rPr>
            <w:fldChar w:fldCharType="begin"/>
          </w:r>
          <w:r>
            <w:rPr>
              <w:rFonts w:hint="eastAsia"/>
            </w:rPr>
            <w:instrText xml:space="preserve"> </w:instrText>
          </w:r>
          <w:r>
            <w:instrText xml:space="preserve">PAGEREF _Toc220010498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"_Toc220010499" </w:instrText>
          </w:r>
          <w:r>
            <w:fldChar w:fldCharType="separate"/>
          </w:r>
          <w:r>
            <w:rPr>
              <w:rStyle w:val="52"/>
              <w:rFonts w:hint="eastAsia"/>
            </w:rPr>
            <w:t>3. 办理目标</w:t>
          </w:r>
          <w:r>
            <w:rPr>
              <w:rFonts w:hint="eastAsia"/>
            </w:rPr>
            <w:tab/>
          </w:r>
          <w:r>
            <w:rPr>
              <w:rFonts w:hint="eastAsia"/>
            </w:rPr>
            <w:fldChar w:fldCharType="begin"/>
          </w:r>
          <w:r>
            <w:rPr>
              <w:rFonts w:hint="eastAsia"/>
            </w:rPr>
            <w:instrText xml:space="preserve"> </w:instrText>
          </w:r>
          <w:r>
            <w:instrText xml:space="preserve">PAGEREF _Toc220010499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"_Toc220010500" </w:instrText>
          </w:r>
          <w:r>
            <w:fldChar w:fldCharType="separate"/>
          </w:r>
          <w:r>
            <w:rPr>
              <w:rStyle w:val="52"/>
              <w:rFonts w:hint="eastAsia" w:cs="Segoe UI" w:asciiTheme="majorEastAsia" w:hAnsiTheme="majorEastAsia" w:eastAsiaTheme="majorEastAsia"/>
            </w:rPr>
            <w:t>三、办理策划与计划</w:t>
          </w:r>
          <w:r>
            <w:rPr>
              <w:rFonts w:hint="eastAsia"/>
            </w:rPr>
            <w:tab/>
          </w:r>
          <w:r>
            <w:rPr>
              <w:rFonts w:hint="eastAsia"/>
            </w:rPr>
            <w:fldChar w:fldCharType="begin"/>
          </w:r>
          <w:r>
            <w:rPr>
              <w:rFonts w:hint="eastAsia"/>
            </w:rPr>
            <w:instrText xml:space="preserve"> </w:instrText>
          </w:r>
          <w:r>
            <w:instrText xml:space="preserve">PAGEREF _Toc220010500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"_Toc220010501" </w:instrText>
          </w:r>
          <w:r>
            <w:fldChar w:fldCharType="separate"/>
          </w:r>
          <w:r>
            <w:rPr>
              <w:rStyle w:val="52"/>
              <w:rFonts w:hint="eastAsia"/>
            </w:rPr>
            <w:t>1. 整体要求：</w:t>
          </w:r>
          <w:r>
            <w:rPr>
              <w:rFonts w:hint="eastAsia"/>
            </w:rPr>
            <w:tab/>
          </w:r>
          <w:r>
            <w:rPr>
              <w:rFonts w:hint="eastAsia"/>
            </w:rPr>
            <w:fldChar w:fldCharType="begin"/>
          </w:r>
          <w:r>
            <w:rPr>
              <w:rFonts w:hint="eastAsia"/>
            </w:rPr>
            <w:instrText xml:space="preserve"> </w:instrText>
          </w:r>
          <w:r>
            <w:instrText xml:space="preserve">PAGEREF _Toc220010501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"_Toc220010502" </w:instrText>
          </w:r>
          <w:r>
            <w:fldChar w:fldCharType="separate"/>
          </w:r>
          <w:r>
            <w:rPr>
              <w:rStyle w:val="52"/>
              <w:rFonts w:hint="eastAsia"/>
            </w:rPr>
            <w:t>2. 计划制定：</w:t>
          </w:r>
          <w:r>
            <w:rPr>
              <w:rFonts w:hint="eastAsia"/>
            </w:rPr>
            <w:tab/>
          </w:r>
          <w:r>
            <w:rPr>
              <w:rFonts w:hint="eastAsia"/>
            </w:rPr>
            <w:fldChar w:fldCharType="begin"/>
          </w:r>
          <w:r>
            <w:rPr>
              <w:rFonts w:hint="eastAsia"/>
            </w:rPr>
            <w:instrText xml:space="preserve"> </w:instrText>
          </w:r>
          <w:r>
            <w:instrText xml:space="preserve">PAGEREF _Toc220010502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"_Toc220010503" </w:instrText>
          </w:r>
          <w:r>
            <w:fldChar w:fldCharType="separate"/>
          </w:r>
          <w:r>
            <w:rPr>
              <w:rStyle w:val="52"/>
              <w:rFonts w:hint="eastAsia" w:cs="Segoe UI" w:asciiTheme="majorEastAsia" w:hAnsiTheme="majorEastAsia" w:eastAsiaTheme="majorEastAsia"/>
            </w:rPr>
            <w:t>四、资源管理</w:t>
          </w:r>
          <w:r>
            <w:rPr>
              <w:rFonts w:hint="eastAsia"/>
            </w:rPr>
            <w:tab/>
          </w:r>
          <w:r>
            <w:rPr>
              <w:rFonts w:hint="eastAsia"/>
            </w:rPr>
            <w:fldChar w:fldCharType="begin"/>
          </w:r>
          <w:r>
            <w:rPr>
              <w:rFonts w:hint="eastAsia"/>
            </w:rPr>
            <w:instrText xml:space="preserve"> </w:instrText>
          </w:r>
          <w:r>
            <w:instrText xml:space="preserve">PAGEREF _Toc220010503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"_Toc220010504" </w:instrText>
          </w:r>
          <w:r>
            <w:fldChar w:fldCharType="separate"/>
          </w:r>
          <w:r>
            <w:rPr>
              <w:rStyle w:val="52"/>
              <w:rFonts w:hint="eastAsia"/>
            </w:rPr>
            <w:t>1. 人员配置：</w:t>
          </w:r>
          <w:r>
            <w:rPr>
              <w:rFonts w:hint="eastAsia"/>
            </w:rPr>
            <w:tab/>
          </w:r>
          <w:r>
            <w:rPr>
              <w:rFonts w:hint="eastAsia"/>
            </w:rPr>
            <w:fldChar w:fldCharType="begin"/>
          </w:r>
          <w:r>
            <w:rPr>
              <w:rFonts w:hint="eastAsia"/>
            </w:rPr>
            <w:instrText xml:space="preserve"> </w:instrText>
          </w:r>
          <w:r>
            <w:instrText xml:space="preserve">PAGEREF _Toc220010504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"_Toc220010505" </w:instrText>
          </w:r>
          <w:r>
            <w:fldChar w:fldCharType="separate"/>
          </w:r>
          <w:r>
            <w:rPr>
              <w:rStyle w:val="52"/>
              <w:rFonts w:hint="eastAsia"/>
            </w:rPr>
            <w:t>2. 培训要求：</w:t>
          </w:r>
          <w:r>
            <w:rPr>
              <w:rFonts w:hint="eastAsia"/>
            </w:rPr>
            <w:tab/>
          </w:r>
          <w:r>
            <w:rPr>
              <w:rFonts w:hint="eastAsia"/>
            </w:rPr>
            <w:fldChar w:fldCharType="begin"/>
          </w:r>
          <w:r>
            <w:rPr>
              <w:rFonts w:hint="eastAsia"/>
            </w:rPr>
            <w:instrText xml:space="preserve"> </w:instrText>
          </w:r>
          <w:r>
            <w:instrText xml:space="preserve">PAGEREF _Toc220010505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"_Toc220010506" </w:instrText>
          </w:r>
          <w:r>
            <w:fldChar w:fldCharType="separate"/>
          </w:r>
          <w:r>
            <w:rPr>
              <w:rStyle w:val="52"/>
              <w:rFonts w:hint="eastAsia" w:cs="Segoe UI" w:asciiTheme="majorEastAsia" w:hAnsiTheme="majorEastAsia" w:eastAsiaTheme="majorEastAsia"/>
            </w:rPr>
            <w:t>五、申请文件要求</w:t>
          </w:r>
          <w:r>
            <w:rPr>
              <w:rFonts w:hint="eastAsia"/>
            </w:rPr>
            <w:tab/>
          </w:r>
          <w:r>
            <w:rPr>
              <w:rFonts w:hint="eastAsia"/>
            </w:rPr>
            <w:fldChar w:fldCharType="begin"/>
          </w:r>
          <w:r>
            <w:rPr>
              <w:rFonts w:hint="eastAsia"/>
            </w:rPr>
            <w:instrText xml:space="preserve"> </w:instrText>
          </w:r>
          <w:r>
            <w:instrText xml:space="preserve">PAGEREF _Toc220010506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"_Toc220010507" </w:instrText>
          </w:r>
          <w:r>
            <w:fldChar w:fldCharType="separate"/>
          </w:r>
          <w:r>
            <w:rPr>
              <w:rStyle w:val="52"/>
              <w:rFonts w:hint="eastAsia"/>
            </w:rPr>
            <w:t>1. 文件内容：</w:t>
          </w:r>
          <w:r>
            <w:rPr>
              <w:rFonts w:hint="eastAsia"/>
            </w:rPr>
            <w:tab/>
          </w:r>
          <w:r>
            <w:rPr>
              <w:rFonts w:hint="eastAsia"/>
            </w:rPr>
            <w:fldChar w:fldCharType="begin"/>
          </w:r>
          <w:r>
            <w:rPr>
              <w:rFonts w:hint="eastAsia"/>
            </w:rPr>
            <w:instrText xml:space="preserve"> </w:instrText>
          </w:r>
          <w:r>
            <w:instrText xml:space="preserve">PAGEREF _Toc220010507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"_Toc220010508" </w:instrText>
          </w:r>
          <w:r>
            <w:fldChar w:fldCharType="separate"/>
          </w:r>
          <w:r>
            <w:rPr>
              <w:rStyle w:val="52"/>
              <w:rFonts w:hint="eastAsia"/>
            </w:rPr>
            <w:t>2. 文件审核：</w:t>
          </w:r>
          <w:r>
            <w:rPr>
              <w:rFonts w:hint="eastAsia"/>
            </w:rPr>
            <w:tab/>
          </w:r>
          <w:r>
            <w:rPr>
              <w:rFonts w:hint="eastAsia"/>
            </w:rPr>
            <w:fldChar w:fldCharType="begin"/>
          </w:r>
          <w:r>
            <w:rPr>
              <w:rFonts w:hint="eastAsia"/>
            </w:rPr>
            <w:instrText xml:space="preserve"> </w:instrText>
          </w:r>
          <w:r>
            <w:instrText xml:space="preserve">PAGEREF _Toc220010508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"_Toc220010509" </w:instrText>
          </w:r>
          <w:r>
            <w:fldChar w:fldCharType="separate"/>
          </w:r>
          <w:r>
            <w:rPr>
              <w:rStyle w:val="52"/>
              <w:rFonts w:hint="eastAsia" w:cs="Segoe UI" w:asciiTheme="majorEastAsia" w:hAnsiTheme="majorEastAsia" w:eastAsiaTheme="majorEastAsia"/>
            </w:rPr>
            <w:t>六、项目的实现和执行</w:t>
          </w:r>
          <w:r>
            <w:rPr>
              <w:rFonts w:hint="eastAsia"/>
            </w:rPr>
            <w:tab/>
          </w:r>
          <w:r>
            <w:rPr>
              <w:rFonts w:hint="eastAsia"/>
            </w:rPr>
            <w:fldChar w:fldCharType="begin"/>
          </w:r>
          <w:r>
            <w:rPr>
              <w:rFonts w:hint="eastAsia"/>
            </w:rPr>
            <w:instrText xml:space="preserve"> </w:instrText>
          </w:r>
          <w:r>
            <w:instrText xml:space="preserve">PAGEREF _Toc220010509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"_Toc220010510" </w:instrText>
          </w:r>
          <w:r>
            <w:fldChar w:fldCharType="separate"/>
          </w:r>
          <w:r>
            <w:rPr>
              <w:rStyle w:val="52"/>
              <w:rFonts w:hint="eastAsia"/>
            </w:rPr>
            <w:t>1. 办理流程执行：</w:t>
          </w:r>
          <w:r>
            <w:rPr>
              <w:rFonts w:hint="eastAsia"/>
            </w:rPr>
            <w:tab/>
          </w:r>
          <w:r>
            <w:rPr>
              <w:rFonts w:hint="eastAsia"/>
            </w:rPr>
            <w:fldChar w:fldCharType="begin"/>
          </w:r>
          <w:r>
            <w:rPr>
              <w:rFonts w:hint="eastAsia"/>
            </w:rPr>
            <w:instrText xml:space="preserve"> </w:instrText>
          </w:r>
          <w:r>
            <w:instrText xml:space="preserve">PAGEREF _Toc220010510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"_Toc220010511" </w:instrText>
          </w:r>
          <w:r>
            <w:fldChar w:fldCharType="separate"/>
          </w:r>
          <w:r>
            <w:rPr>
              <w:rStyle w:val="52"/>
              <w:rFonts w:hint="eastAsia"/>
            </w:rPr>
            <w:t>2. 特殊情况处理：</w:t>
          </w:r>
          <w:r>
            <w:rPr>
              <w:rFonts w:hint="eastAsia"/>
            </w:rPr>
            <w:tab/>
          </w:r>
          <w:r>
            <w:rPr>
              <w:rFonts w:hint="eastAsia"/>
            </w:rPr>
            <w:fldChar w:fldCharType="begin"/>
          </w:r>
          <w:r>
            <w:rPr>
              <w:rFonts w:hint="eastAsia"/>
            </w:rPr>
            <w:instrText xml:space="preserve"> </w:instrText>
          </w:r>
          <w:r>
            <w:instrText xml:space="preserve">PAGEREF _Toc220010511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"_Toc220010512" </w:instrText>
          </w:r>
          <w:r>
            <w:fldChar w:fldCharType="separate"/>
          </w:r>
          <w:r>
            <w:rPr>
              <w:rStyle w:val="52"/>
              <w:rFonts w:hint="eastAsia"/>
            </w:rPr>
            <w:t>3. 信息记录与追踪：</w:t>
          </w:r>
          <w:r>
            <w:rPr>
              <w:rFonts w:hint="eastAsia"/>
            </w:rPr>
            <w:tab/>
          </w:r>
          <w:r>
            <w:rPr>
              <w:rFonts w:hint="eastAsia"/>
            </w:rPr>
            <w:fldChar w:fldCharType="begin"/>
          </w:r>
          <w:r>
            <w:rPr>
              <w:rFonts w:hint="eastAsia"/>
            </w:rPr>
            <w:instrText xml:space="preserve"> </w:instrText>
          </w:r>
          <w:r>
            <w:instrText xml:space="preserve">PAGEREF _Toc220010512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"_Toc220010513" </w:instrText>
          </w:r>
          <w:r>
            <w:fldChar w:fldCharType="separate"/>
          </w:r>
          <w:r>
            <w:rPr>
              <w:rStyle w:val="52"/>
              <w:rFonts w:hint="eastAsia" w:cs="Segoe UI" w:asciiTheme="majorEastAsia" w:hAnsiTheme="majorEastAsia" w:eastAsiaTheme="majorEastAsia"/>
            </w:rPr>
            <w:t>七、计量、分析和改进</w:t>
          </w:r>
          <w:r>
            <w:rPr>
              <w:rFonts w:hint="eastAsia"/>
            </w:rPr>
            <w:tab/>
          </w:r>
          <w:r>
            <w:rPr>
              <w:rFonts w:hint="eastAsia"/>
            </w:rPr>
            <w:fldChar w:fldCharType="begin"/>
          </w:r>
          <w:r>
            <w:rPr>
              <w:rFonts w:hint="eastAsia"/>
            </w:rPr>
            <w:instrText xml:space="preserve"> </w:instrText>
          </w:r>
          <w:r>
            <w:instrText xml:space="preserve">PAGEREF _Toc220010513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"_Toc220010514" </w:instrText>
          </w:r>
          <w:r>
            <w:fldChar w:fldCharType="separate"/>
          </w:r>
          <w:r>
            <w:rPr>
              <w:rStyle w:val="52"/>
              <w:rFonts w:hint="eastAsia"/>
            </w:rPr>
            <w:t>1. 数据统计：</w:t>
          </w:r>
          <w:r>
            <w:rPr>
              <w:rFonts w:hint="eastAsia"/>
            </w:rPr>
            <w:tab/>
          </w:r>
          <w:r>
            <w:rPr>
              <w:rFonts w:hint="eastAsia"/>
            </w:rPr>
            <w:fldChar w:fldCharType="begin"/>
          </w:r>
          <w:r>
            <w:rPr>
              <w:rFonts w:hint="eastAsia"/>
            </w:rPr>
            <w:instrText xml:space="preserve"> </w:instrText>
          </w:r>
          <w:r>
            <w:instrText xml:space="preserve">PAGEREF _Toc220010514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"_Toc220010515" </w:instrText>
          </w:r>
          <w:r>
            <w:fldChar w:fldCharType="separate"/>
          </w:r>
          <w:r>
            <w:rPr>
              <w:rStyle w:val="52"/>
              <w:rFonts w:hint="eastAsia"/>
            </w:rPr>
            <w:t>2. 问题分析：</w:t>
          </w:r>
          <w:r>
            <w:rPr>
              <w:rFonts w:hint="eastAsia"/>
            </w:rPr>
            <w:tab/>
          </w:r>
          <w:r>
            <w:rPr>
              <w:rFonts w:hint="eastAsia"/>
            </w:rPr>
            <w:fldChar w:fldCharType="begin"/>
          </w:r>
          <w:r>
            <w:rPr>
              <w:rFonts w:hint="eastAsia"/>
            </w:rPr>
            <w:instrText xml:space="preserve"> </w:instrText>
          </w:r>
          <w:r>
            <w:instrText xml:space="preserve">PAGEREF _Toc220010515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"_Toc220010516" </w:instrText>
          </w:r>
          <w:r>
            <w:fldChar w:fldCharType="separate"/>
          </w:r>
          <w:r>
            <w:rPr>
              <w:rStyle w:val="52"/>
              <w:rFonts w:hint="eastAsia"/>
            </w:rPr>
            <w:t>3. 持续改进：</w:t>
          </w:r>
          <w:r>
            <w:rPr>
              <w:rFonts w:hint="eastAsia"/>
            </w:rPr>
            <w:tab/>
          </w:r>
          <w:r>
            <w:rPr>
              <w:rFonts w:hint="eastAsia"/>
            </w:rPr>
            <w:fldChar w:fldCharType="begin"/>
          </w:r>
          <w:r>
            <w:rPr>
              <w:rFonts w:hint="eastAsia"/>
            </w:rPr>
            <w:instrText xml:space="preserve"> </w:instrText>
          </w:r>
          <w:r>
            <w:instrText xml:space="preserve">PAGEREF _Toc220010516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"_Toc220010517" </w:instrText>
          </w:r>
          <w:r>
            <w:fldChar w:fldCharType="separate"/>
          </w:r>
          <w:r>
            <w:rPr>
              <w:rStyle w:val="52"/>
              <w:rFonts w:hint="eastAsia" w:ascii="宋体" w:hAnsi="宋体" w:cs="宋体"/>
              <w:shd w:val="clear" w:color="auto" w:fill="FFFFFF"/>
            </w:rPr>
            <w:t>八、文件及资料的交付</w:t>
          </w:r>
          <w:r>
            <w:rPr>
              <w:rFonts w:hint="eastAsia"/>
            </w:rPr>
            <w:tab/>
          </w:r>
          <w:r>
            <w:rPr>
              <w:rFonts w:hint="eastAsia"/>
            </w:rPr>
            <w:fldChar w:fldCharType="begin"/>
          </w:r>
          <w:r>
            <w:rPr>
              <w:rFonts w:hint="eastAsia"/>
            </w:rPr>
            <w:instrText xml:space="preserve"> </w:instrText>
          </w:r>
          <w:r>
            <w:instrText xml:space="preserve">PAGEREF _Toc220010517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"_Toc220010518" </w:instrText>
          </w:r>
          <w:r>
            <w:fldChar w:fldCharType="separate"/>
          </w:r>
          <w:r>
            <w:rPr>
              <w:rStyle w:val="52"/>
              <w:rFonts w:hint="eastAsia"/>
            </w:rPr>
            <w:t>1. 招标方交付：</w:t>
          </w:r>
          <w:r>
            <w:rPr>
              <w:rFonts w:hint="eastAsia"/>
            </w:rPr>
            <w:tab/>
          </w:r>
          <w:r>
            <w:rPr>
              <w:rFonts w:hint="eastAsia"/>
            </w:rPr>
            <w:fldChar w:fldCharType="begin"/>
          </w:r>
          <w:r>
            <w:rPr>
              <w:rFonts w:hint="eastAsia"/>
            </w:rPr>
            <w:instrText xml:space="preserve"> </w:instrText>
          </w:r>
          <w:r>
            <w:instrText xml:space="preserve">PAGEREF _Toc220010518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"_Toc220010519" </w:instrText>
          </w:r>
          <w:r>
            <w:fldChar w:fldCharType="separate"/>
          </w:r>
          <w:r>
            <w:rPr>
              <w:rStyle w:val="52"/>
              <w:rFonts w:hint="eastAsia"/>
            </w:rPr>
            <w:t>2. 投标方交付：</w:t>
          </w:r>
          <w:r>
            <w:rPr>
              <w:rFonts w:hint="eastAsia"/>
            </w:rPr>
            <w:tab/>
          </w:r>
          <w:r>
            <w:rPr>
              <w:rFonts w:hint="eastAsia"/>
            </w:rPr>
            <w:fldChar w:fldCharType="begin"/>
          </w:r>
          <w:r>
            <w:rPr>
              <w:rFonts w:hint="eastAsia"/>
            </w:rPr>
            <w:instrText xml:space="preserve"> </w:instrText>
          </w:r>
          <w:r>
            <w:instrText xml:space="preserve">PAGEREF _Toc220010519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"_Toc220010520" </w:instrText>
          </w:r>
          <w:r>
            <w:fldChar w:fldCharType="separate"/>
          </w:r>
          <w:r>
            <w:rPr>
              <w:rStyle w:val="52"/>
              <w:rFonts w:hint="eastAsia" w:ascii="宋体" w:hAnsi="宋体" w:cs="宋体"/>
              <w:shd w:val="clear" w:color="auto" w:fill="FFFFFF"/>
            </w:rPr>
            <w:t>九、项目办理违规处罚要求</w:t>
          </w:r>
          <w:r>
            <w:rPr>
              <w:rFonts w:hint="eastAsia"/>
            </w:rPr>
            <w:tab/>
          </w:r>
          <w:r>
            <w:rPr>
              <w:rFonts w:hint="eastAsia"/>
            </w:rPr>
            <w:fldChar w:fldCharType="begin"/>
          </w:r>
          <w:r>
            <w:rPr>
              <w:rFonts w:hint="eastAsia"/>
            </w:rPr>
            <w:instrText xml:space="preserve"> </w:instrText>
          </w:r>
          <w:r>
            <w:instrText xml:space="preserve">PAGEREF _Toc220010520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"_Toc220010521" </w:instrText>
          </w:r>
          <w:r>
            <w:fldChar w:fldCharType="separate"/>
          </w:r>
          <w:r>
            <w:rPr>
              <w:rStyle w:val="52"/>
              <w:rFonts w:hint="eastAsia"/>
            </w:rPr>
            <w:t>1. 材料问题处罚：</w:t>
          </w:r>
          <w:r>
            <w:rPr>
              <w:rFonts w:hint="eastAsia"/>
            </w:rPr>
            <w:tab/>
          </w:r>
          <w:r>
            <w:rPr>
              <w:rFonts w:hint="eastAsia"/>
            </w:rPr>
            <w:fldChar w:fldCharType="begin"/>
          </w:r>
          <w:r>
            <w:rPr>
              <w:rFonts w:hint="eastAsia"/>
            </w:rPr>
            <w:instrText xml:space="preserve"> </w:instrText>
          </w:r>
          <w:r>
            <w:instrText xml:space="preserve">PAGEREF _Toc220010521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"_Toc220010522" </w:instrText>
          </w:r>
          <w:r>
            <w:fldChar w:fldCharType="separate"/>
          </w:r>
          <w:r>
            <w:rPr>
              <w:rStyle w:val="52"/>
              <w:rFonts w:hint="eastAsia"/>
            </w:rPr>
            <w:t>2. 办理流程违规处罚：</w:t>
          </w:r>
          <w:r>
            <w:rPr>
              <w:rFonts w:hint="eastAsia"/>
            </w:rPr>
            <w:tab/>
          </w:r>
          <w:r>
            <w:rPr>
              <w:rFonts w:hint="eastAsia"/>
            </w:rPr>
            <w:fldChar w:fldCharType="begin"/>
          </w:r>
          <w:r>
            <w:rPr>
              <w:rFonts w:hint="eastAsia"/>
            </w:rPr>
            <w:instrText xml:space="preserve"> </w:instrText>
          </w:r>
          <w:r>
            <w:instrText xml:space="preserve">PAGEREF _Toc220010522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"_Toc220010523" </w:instrText>
          </w:r>
          <w:r>
            <w:fldChar w:fldCharType="separate"/>
          </w:r>
          <w:r>
            <w:rPr>
              <w:rStyle w:val="52"/>
              <w:rFonts w:hint="eastAsia" w:ascii="宋体" w:hAnsi="宋体" w:cs="宋体"/>
              <w:shd w:val="clear" w:color="auto" w:fill="FFFFFF"/>
            </w:rPr>
            <w:t>十、补充条款</w:t>
          </w:r>
          <w:r>
            <w:rPr>
              <w:rFonts w:hint="eastAsia"/>
            </w:rPr>
            <w:tab/>
          </w:r>
          <w:r>
            <w:rPr>
              <w:rFonts w:hint="eastAsia"/>
            </w:rPr>
            <w:fldChar w:fldCharType="begin"/>
          </w:r>
          <w:r>
            <w:rPr>
              <w:rFonts w:hint="eastAsia"/>
            </w:rPr>
            <w:instrText xml:space="preserve"> </w:instrText>
          </w:r>
          <w:r>
            <w:instrText xml:space="preserve">PAGEREF _Toc220010523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"_Toc220010524" </w:instrText>
          </w:r>
          <w:r>
            <w:fldChar w:fldCharType="separate"/>
          </w:r>
          <w:r>
            <w:rPr>
              <w:rStyle w:val="52"/>
              <w:rFonts w:hint="eastAsia"/>
            </w:rPr>
            <w:t>1. 人员变更与证件续签：</w:t>
          </w:r>
          <w:r>
            <w:rPr>
              <w:rFonts w:hint="eastAsia"/>
            </w:rPr>
            <w:tab/>
          </w:r>
          <w:r>
            <w:rPr>
              <w:rFonts w:hint="eastAsia"/>
            </w:rPr>
            <w:fldChar w:fldCharType="begin"/>
          </w:r>
          <w:r>
            <w:rPr>
              <w:rFonts w:hint="eastAsia"/>
            </w:rPr>
            <w:instrText xml:space="preserve"> </w:instrText>
          </w:r>
          <w:r>
            <w:instrText xml:space="preserve">PAGEREF _Toc220010524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pPr>
            <w:pStyle w:val="40"/>
            <w:rPr>
              <w:rFonts w:hint="eastAsia" w:asciiTheme="minorHAnsi" w:hAnsiTheme="minorHAnsi" w:cstheme="minorBidi"/>
              <w:smallCaps w:val="0"/>
              <w:sz w:val="22"/>
              <w14:ligatures w14:val="standardContextual"/>
            </w:rPr>
          </w:pPr>
          <w:r>
            <w:fldChar w:fldCharType="begin"/>
          </w:r>
          <w:r>
            <w:instrText xml:space="preserve"> HYPERLINK \l "_Toc220010525" </w:instrText>
          </w:r>
          <w:r>
            <w:fldChar w:fldCharType="separate"/>
          </w:r>
          <w:r>
            <w:rPr>
              <w:rStyle w:val="52"/>
              <w:rFonts w:hint="eastAsia"/>
            </w:rPr>
            <w:t>2. 申请机制：</w:t>
          </w:r>
          <w:r>
            <w:rPr>
              <w:rFonts w:hint="eastAsia"/>
            </w:rPr>
            <w:tab/>
          </w:r>
          <w:r>
            <w:rPr>
              <w:rFonts w:hint="eastAsia"/>
            </w:rPr>
            <w:fldChar w:fldCharType="begin"/>
          </w:r>
          <w:r>
            <w:rPr>
              <w:rFonts w:hint="eastAsia"/>
            </w:rPr>
            <w:instrText xml:space="preserve"> </w:instrText>
          </w:r>
          <w:r>
            <w:instrText xml:space="preserve">PAGEREF _Toc220010525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pPr>
            <w:spacing w:line="440" w:lineRule="exact"/>
          </w:pPr>
          <w:r>
            <w:rPr>
              <w:bCs/>
              <w:lang w:val="zh-CN"/>
            </w:rPr>
            <w:fldChar w:fldCharType="end"/>
          </w:r>
        </w:p>
      </w:sdtContent>
    </w:sdt>
    <w:p>
      <w:pPr>
        <w:tabs>
          <w:tab w:val="left" w:pos="5829"/>
          <w:tab w:val="clear" w:pos="360"/>
        </w:tabs>
        <w:sectPr>
          <w:headerReference r:id="rId10" w:type="first"/>
          <w:footerReference r:id="rId12" w:type="first"/>
          <w:footerReference r:id="rId11" w:type="default"/>
          <w:pgSz w:w="11906" w:h="16838"/>
          <w:pgMar w:top="1588" w:right="1418" w:bottom="1021" w:left="1418" w:header="851" w:footer="680" w:gutter="0"/>
          <w:pgNumType w:fmt="upperRoman" w:start="1"/>
          <w:cols w:space="425" w:num="1"/>
          <w:titlePg/>
          <w:docGrid w:type="lines" w:linePitch="326" w:charSpace="0"/>
        </w:sectPr>
      </w:pPr>
      <w:r>
        <w:tab/>
      </w:r>
      <w:r>
        <w:rPr>
          <w:rFonts w:eastAsia="仿宋"/>
          <w:lang w:val="fr-FR"/>
        </w:rPr>
        <w:tab/>
      </w:r>
    </w:p>
    <w:p>
      <w:pPr>
        <w:ind w:firstLine="480" w:firstLineChars="200"/>
        <w:rPr>
          <w:rFonts w:hint="eastAsia" w:asciiTheme="minorEastAsia" w:hAnsiTheme="minorEastAsia"/>
        </w:rPr>
      </w:pPr>
      <w:r>
        <w:rPr>
          <w:rFonts w:hint="eastAsia" w:asciiTheme="minorEastAsia" w:hAnsiTheme="minorEastAsia"/>
        </w:rPr>
        <w:t>本文件</w:t>
      </w:r>
      <w:r>
        <w:rPr>
          <w:rFonts w:asciiTheme="minorEastAsia" w:hAnsiTheme="minorEastAsia"/>
        </w:rPr>
        <w:t>针对伊拉克米桑油田 FQN 脱气站</w:t>
      </w:r>
      <w:r>
        <w:rPr>
          <w:rFonts w:hint="eastAsia" w:asciiTheme="minorEastAsia" w:hAnsiTheme="minorEastAsia"/>
          <w:lang w:val="en-US" w:eastAsia="zh-CN"/>
        </w:rPr>
        <w:t>升级</w:t>
      </w:r>
      <w:bookmarkStart w:id="42" w:name="_GoBack"/>
      <w:bookmarkEnd w:id="42"/>
      <w:r>
        <w:rPr>
          <w:rFonts w:asciiTheme="minorEastAsia" w:hAnsiTheme="minorEastAsia"/>
        </w:rPr>
        <w:t>项目安装及外输泵升级项目土建和安装施工工程</w:t>
      </w:r>
      <w:r>
        <w:rPr>
          <w:rFonts w:hint="eastAsia" w:asciiTheme="minorEastAsia" w:hAnsiTheme="minorEastAsia"/>
        </w:rPr>
        <w:t>（以下简称：本工程），明确发包人（以下简称：招标方）对承包人（以下简称：投标方）办理赴伊拉克邀请函和工作许可的管理要求，以确保办理流程符合法规政策及招标技术文件约定，保障项目顺利推进。</w:t>
      </w:r>
    </w:p>
    <w:p>
      <w:pPr>
        <w:pStyle w:val="4"/>
        <w:shd w:val="clear" w:color="auto" w:fill="FFFFFF"/>
        <w:jc w:val="both"/>
        <w:rPr>
          <w:rFonts w:hint="eastAsia" w:cs="Segoe UI" w:asciiTheme="majorEastAsia" w:hAnsiTheme="majorEastAsia" w:eastAsiaTheme="majorEastAsia"/>
          <w:color w:val="000000"/>
          <w:szCs w:val="24"/>
        </w:rPr>
      </w:pPr>
      <w:bookmarkStart w:id="3" w:name="_Toc220010495"/>
      <w:r>
        <w:rPr>
          <w:rFonts w:hint="eastAsia" w:cs="Segoe UI" w:asciiTheme="majorEastAsia" w:hAnsiTheme="majorEastAsia" w:eastAsiaTheme="majorEastAsia"/>
          <w:color w:val="000000"/>
          <w:szCs w:val="24"/>
        </w:rPr>
        <w:t>一</w:t>
      </w:r>
      <w:bookmarkStart w:id="4" w:name="OLE_LINK14"/>
      <w:bookmarkStart w:id="5" w:name="OLE_LINK15"/>
      <w:r>
        <w:rPr>
          <w:rFonts w:hint="eastAsia" w:cs="Segoe UI" w:asciiTheme="majorEastAsia" w:hAnsiTheme="majorEastAsia" w:eastAsiaTheme="majorEastAsia"/>
          <w:color w:val="000000"/>
          <w:szCs w:val="24"/>
        </w:rPr>
        <w:t>、概述</w:t>
      </w:r>
      <w:bookmarkEnd w:id="3"/>
      <w:bookmarkEnd w:id="4"/>
      <w:bookmarkEnd w:id="5"/>
    </w:p>
    <w:p>
      <w:pPr>
        <w:ind w:firstLine="480" w:firstLineChars="200"/>
        <w:rPr>
          <w:rFonts w:hint="eastAsia" w:asciiTheme="minorEastAsia" w:hAnsiTheme="minorEastAsia"/>
        </w:rPr>
      </w:pPr>
      <w:r>
        <w:rPr>
          <w:rFonts w:hint="eastAsia" w:asciiTheme="minorEastAsia" w:hAnsiTheme="minorEastAsia"/>
        </w:rPr>
        <w:t>本规定旨在规范本工程投标方办理邀请函和工作许可的流程与行为，是</w:t>
      </w:r>
      <w:bookmarkStart w:id="6" w:name="OLE_LINK20"/>
      <w:bookmarkStart w:id="7" w:name="OLE_LINK21"/>
      <w:bookmarkStart w:id="8" w:name="OLE_LINK24"/>
      <w:bookmarkStart w:id="9" w:name="OLE_LINK22"/>
      <w:bookmarkStart w:id="10" w:name="OLE_LINK23"/>
      <w:r>
        <w:rPr>
          <w:rFonts w:hint="eastAsia" w:asciiTheme="minorEastAsia" w:hAnsiTheme="minorEastAsia"/>
        </w:rPr>
        <w:t>招标方</w:t>
      </w:r>
      <w:bookmarkEnd w:id="6"/>
      <w:bookmarkEnd w:id="7"/>
      <w:r>
        <w:rPr>
          <w:rFonts w:hint="eastAsia" w:asciiTheme="minorEastAsia" w:hAnsiTheme="minorEastAsia"/>
        </w:rPr>
        <w:t>对投标方</w:t>
      </w:r>
      <w:bookmarkEnd w:id="8"/>
      <w:bookmarkEnd w:id="9"/>
      <w:bookmarkEnd w:id="10"/>
      <w:r>
        <w:rPr>
          <w:rFonts w:hint="eastAsia" w:asciiTheme="minorEastAsia" w:hAnsiTheme="minorEastAsia"/>
        </w:rPr>
        <w:t>在该项工作上的最低要求，</w:t>
      </w:r>
      <w:r>
        <w:rPr>
          <w:rFonts w:asciiTheme="minorEastAsia" w:hAnsiTheme="minorEastAsia"/>
        </w:rPr>
        <w:t>投标方应严格遵照执行，确保符合土建和安装施工工程的技术协作及人员调配需求。</w:t>
      </w:r>
    </w:p>
    <w:p>
      <w:pPr>
        <w:pStyle w:val="4"/>
        <w:shd w:val="clear" w:color="auto" w:fill="FFFFFF"/>
        <w:jc w:val="both"/>
        <w:rPr>
          <w:rFonts w:hint="eastAsia" w:cs="Segoe UI" w:asciiTheme="majorEastAsia" w:hAnsiTheme="majorEastAsia" w:eastAsiaTheme="majorEastAsia"/>
          <w:color w:val="000000"/>
          <w:szCs w:val="24"/>
        </w:rPr>
      </w:pPr>
      <w:bookmarkStart w:id="11" w:name="_Toc220010496"/>
      <w:r>
        <w:rPr>
          <w:rFonts w:hint="eastAsia" w:cs="Segoe UI" w:asciiTheme="majorEastAsia" w:hAnsiTheme="majorEastAsia" w:eastAsiaTheme="majorEastAsia"/>
          <w:color w:val="000000"/>
          <w:szCs w:val="24"/>
        </w:rPr>
        <w:t>二、办理方针、目标</w:t>
      </w:r>
      <w:bookmarkEnd w:id="11"/>
    </w:p>
    <w:p>
      <w:pPr>
        <w:ind w:firstLine="480" w:firstLineChars="200"/>
        <w:outlineLvl w:val="1"/>
        <w:rPr>
          <w:rFonts w:hint="eastAsia" w:asciiTheme="minorEastAsia" w:hAnsiTheme="minorEastAsia"/>
        </w:rPr>
      </w:pPr>
      <w:bookmarkStart w:id="12" w:name="_Toc220010497"/>
      <w:r>
        <w:rPr>
          <w:rFonts w:hint="eastAsia" w:asciiTheme="minorEastAsia" w:hAnsiTheme="minorEastAsia"/>
        </w:rPr>
        <w:t>1. 办理方针：</w:t>
      </w:r>
      <w:bookmarkEnd w:id="12"/>
    </w:p>
    <w:p>
      <w:pPr>
        <w:ind w:firstLine="480" w:firstLineChars="200"/>
        <w:rPr>
          <w:rFonts w:hint="eastAsia" w:asciiTheme="minorEastAsia" w:hAnsiTheme="minorEastAsia"/>
        </w:rPr>
      </w:pPr>
      <w:r>
        <w:rPr>
          <w:rFonts w:hint="eastAsia" w:asciiTheme="minorEastAsia" w:hAnsiTheme="minorEastAsia"/>
        </w:rPr>
        <w:t>严格遵循伊拉克法律法规、政策及国际惯例，以确保投标方人员合法、及时获取邀请函和工作许可为核心，坚持预防为主、全面审核、协同办理原则，持续提升办理工作的准确性与效率，适配项目土建与安装施工并行推进的节奏。</w:t>
      </w:r>
    </w:p>
    <w:p>
      <w:pPr>
        <w:ind w:firstLine="480" w:firstLineChars="200"/>
        <w:outlineLvl w:val="1"/>
        <w:rPr>
          <w:rFonts w:hint="eastAsia" w:asciiTheme="minorEastAsia" w:hAnsiTheme="minorEastAsia"/>
        </w:rPr>
      </w:pPr>
      <w:bookmarkStart w:id="13" w:name="_Toc220010498"/>
      <w:r>
        <w:rPr>
          <w:rFonts w:hint="eastAsia" w:asciiTheme="minorEastAsia" w:hAnsiTheme="minorEastAsia"/>
        </w:rPr>
        <w:t>2. 办理依据</w:t>
      </w:r>
      <w:bookmarkEnd w:id="13"/>
    </w:p>
    <w:p>
      <w:pPr>
        <w:ind w:firstLine="480" w:firstLineChars="200"/>
        <w:rPr>
          <w:rFonts w:hint="eastAsia" w:asciiTheme="minorEastAsia" w:hAnsiTheme="minorEastAsia"/>
        </w:rPr>
      </w:pPr>
      <w:r>
        <w:rPr>
          <w:rFonts w:hint="eastAsia" w:asciiTheme="minorEastAsia" w:hAnsiTheme="minorEastAsia"/>
        </w:rPr>
        <w:t>- 伊拉克相关法律法规、签证政策及工作许可管理规定。</w:t>
      </w:r>
    </w:p>
    <w:p>
      <w:pPr>
        <w:ind w:firstLine="480" w:firstLineChars="200"/>
        <w:rPr>
          <w:rFonts w:hint="eastAsia" w:asciiTheme="minorEastAsia" w:hAnsiTheme="minorEastAsia"/>
        </w:rPr>
      </w:pPr>
      <w:r>
        <w:rPr>
          <w:rFonts w:hint="eastAsia" w:asciiTheme="minorEastAsia" w:hAnsiTheme="minorEastAsia"/>
        </w:rPr>
        <w:t>- 招标方与业主签订的合同中关于人员入境、土建和安装施工人员资质的相关条款。</w:t>
      </w:r>
    </w:p>
    <w:p>
      <w:pPr>
        <w:ind w:firstLine="480" w:firstLineChars="200"/>
        <w:rPr>
          <w:rFonts w:hint="eastAsia" w:asciiTheme="minorEastAsia" w:hAnsiTheme="minorEastAsia"/>
        </w:rPr>
      </w:pPr>
      <w:r>
        <w:rPr>
          <w:rFonts w:hint="eastAsia" w:asciiTheme="minorEastAsia" w:hAnsiTheme="minorEastAsia"/>
        </w:rPr>
        <w:t>- 招标方制定的与办理邀请函和工作许可相关的内部制度与流程，以及本项目招标技术要求。</w:t>
      </w:r>
    </w:p>
    <w:p>
      <w:pPr>
        <w:ind w:firstLine="480" w:firstLineChars="200"/>
        <w:outlineLvl w:val="1"/>
        <w:rPr>
          <w:rFonts w:hint="eastAsia" w:asciiTheme="minorEastAsia" w:hAnsiTheme="minorEastAsia"/>
        </w:rPr>
      </w:pPr>
      <w:bookmarkStart w:id="14" w:name="_Toc220010499"/>
      <w:r>
        <w:rPr>
          <w:rFonts w:hint="eastAsia" w:asciiTheme="minorEastAsia" w:hAnsiTheme="minorEastAsia"/>
        </w:rPr>
        <w:t>3. 办理目标</w:t>
      </w:r>
      <w:bookmarkEnd w:id="14"/>
    </w:p>
    <w:p>
      <w:pPr>
        <w:ind w:firstLine="480" w:firstLineChars="200"/>
        <w:rPr>
          <w:rFonts w:hint="eastAsia" w:asciiTheme="minorEastAsia" w:hAnsiTheme="minorEastAsia"/>
        </w:rPr>
      </w:pPr>
      <w:r>
        <w:rPr>
          <w:rFonts w:hint="eastAsia" w:asciiTheme="minorEastAsia" w:hAnsiTheme="minorEastAsia"/>
        </w:rPr>
        <w:t>- 确保办理的邀请函和工作许可100%符合伊拉克当地法规和政策要求，避免因手续问题导致人员无法入境或被遣返，影响施工进度。</w:t>
      </w:r>
    </w:p>
    <w:p>
      <w:pPr>
        <w:ind w:firstLine="480" w:firstLineChars="200"/>
        <w:rPr>
          <w:rFonts w:hint="eastAsia" w:asciiTheme="minorEastAsia" w:hAnsiTheme="minorEastAsia"/>
        </w:rPr>
      </w:pPr>
      <w:r>
        <w:rPr>
          <w:rFonts w:hint="eastAsia" w:asciiTheme="minorEastAsia" w:hAnsiTheme="minorEastAsia"/>
        </w:rPr>
        <w:t>- 办理申请资料准确率达到100%，无虚假、错误信息，</w:t>
      </w:r>
      <w:r>
        <w:rPr>
          <w:rFonts w:asciiTheme="minorEastAsia" w:hAnsiTheme="minorEastAsia"/>
        </w:rPr>
        <w:t>尤其确保人员资质材料与招标技术文件要求一致。</w:t>
      </w:r>
    </w:p>
    <w:p>
      <w:pPr>
        <w:ind w:firstLine="480" w:firstLineChars="200"/>
        <w:rPr>
          <w:rFonts w:hint="eastAsia" w:asciiTheme="minorEastAsia" w:hAnsiTheme="minorEastAsia"/>
        </w:rPr>
      </w:pPr>
      <w:r>
        <w:rPr>
          <w:rFonts w:hint="eastAsia" w:asciiTheme="minorEastAsia" w:hAnsiTheme="minorEastAsia"/>
        </w:rPr>
        <w:t>- 办理周期控制在伊拉克相关部门规定的时限内，确保投标方人员按时到岗，满足项目进度需求。</w:t>
      </w:r>
      <w:r>
        <w:rPr>
          <w:rFonts w:asciiTheme="minorEastAsia" w:hAnsiTheme="minorEastAsia"/>
        </w:rPr>
        <w:t>办理周期控制在伊拉克相关部门规定的时限内（常规办理周期为 30-45 个工作日），确保投标方土建、安装人员按时到岗，满足项目土建施工与设备安装的协同进度需求。</w:t>
      </w:r>
    </w:p>
    <w:p>
      <w:pPr>
        <w:ind w:firstLine="480" w:firstLineChars="200"/>
        <w:rPr>
          <w:rFonts w:hint="eastAsia" w:asciiTheme="minorEastAsia" w:hAnsiTheme="minorEastAsia"/>
        </w:rPr>
      </w:pPr>
      <w:r>
        <w:rPr>
          <w:rFonts w:hint="eastAsia" w:asciiTheme="minorEastAsia" w:hAnsiTheme="minorEastAsia"/>
        </w:rPr>
        <w:t>- 投标方对办理流程及结果满意度达到90%以上。</w:t>
      </w:r>
    </w:p>
    <w:p>
      <w:pPr>
        <w:pStyle w:val="4"/>
        <w:shd w:val="clear" w:color="auto" w:fill="FFFFFF"/>
        <w:jc w:val="both"/>
        <w:rPr>
          <w:rFonts w:hint="eastAsia" w:cs="Segoe UI" w:asciiTheme="majorEastAsia" w:hAnsiTheme="majorEastAsia" w:eastAsiaTheme="majorEastAsia"/>
          <w:color w:val="000000"/>
          <w:szCs w:val="24"/>
        </w:rPr>
      </w:pPr>
      <w:bookmarkStart w:id="15" w:name="_Toc220010500"/>
      <w:r>
        <w:rPr>
          <w:rFonts w:hint="eastAsia" w:cs="Segoe UI" w:asciiTheme="majorEastAsia" w:hAnsiTheme="majorEastAsia" w:eastAsiaTheme="majorEastAsia"/>
          <w:color w:val="000000"/>
          <w:szCs w:val="24"/>
        </w:rPr>
        <w:t>三、办理策划与计划</w:t>
      </w:r>
      <w:bookmarkEnd w:id="15"/>
    </w:p>
    <w:p>
      <w:pPr>
        <w:ind w:firstLine="480" w:firstLineChars="200"/>
        <w:outlineLvl w:val="1"/>
        <w:rPr>
          <w:rFonts w:hint="eastAsia" w:asciiTheme="minorEastAsia" w:hAnsiTheme="minorEastAsia"/>
        </w:rPr>
      </w:pPr>
      <w:bookmarkStart w:id="16" w:name="_Toc220010501"/>
      <w:r>
        <w:rPr>
          <w:rFonts w:hint="eastAsia" w:asciiTheme="minorEastAsia" w:hAnsiTheme="minorEastAsia"/>
        </w:rPr>
        <w:t>1. 整体要求：</w:t>
      </w:r>
      <w:bookmarkEnd w:id="16"/>
    </w:p>
    <w:p>
      <w:pPr>
        <w:ind w:firstLine="480" w:firstLineChars="200"/>
        <w:rPr>
          <w:rFonts w:hint="eastAsia" w:asciiTheme="minorEastAsia" w:hAnsiTheme="minorEastAsia"/>
        </w:rPr>
      </w:pPr>
      <w:r>
        <w:rPr>
          <w:rFonts w:asciiTheme="minorEastAsia" w:hAnsiTheme="minorEastAsia"/>
        </w:rPr>
        <w:t>办理工作应确保投标方土建、安装专业人员能够合法、顺利进入伊拉克并开展工作，满足项目土建施工、设备安装及外输泵升级的人力需求，同时符合法规政策、招标方与业主的合同约定及本项目招标技术文件要求。</w:t>
      </w:r>
    </w:p>
    <w:p>
      <w:pPr>
        <w:ind w:firstLine="480" w:firstLineChars="200"/>
        <w:outlineLvl w:val="1"/>
        <w:rPr>
          <w:rFonts w:hint="eastAsia" w:asciiTheme="minorEastAsia" w:hAnsiTheme="minorEastAsia"/>
        </w:rPr>
      </w:pPr>
      <w:bookmarkStart w:id="17" w:name="_Toc220010502"/>
      <w:r>
        <w:rPr>
          <w:rFonts w:hint="eastAsia" w:asciiTheme="minorEastAsia" w:hAnsiTheme="minorEastAsia"/>
        </w:rPr>
        <w:t>2. 计划制定：</w:t>
      </w:r>
      <w:bookmarkEnd w:id="17"/>
    </w:p>
    <w:p>
      <w:pPr>
        <w:ind w:firstLine="480" w:firstLineChars="200"/>
        <w:rPr>
          <w:rFonts w:hint="eastAsia" w:asciiTheme="minorEastAsia" w:hAnsiTheme="minorEastAsia"/>
        </w:rPr>
      </w:pPr>
      <w:r>
        <w:rPr>
          <w:rFonts w:asciiTheme="minorEastAsia" w:hAnsiTheme="minorEastAsia"/>
        </w:rPr>
        <w:t>招标方根据项目土建和安装施工进度计划、招标技术文件要求及伊拉克办理规定，制定详细的办理时间表（明确土建人员、安装人员分批次材料提交截止时间、审核反馈时间、官方申报时间等关键节点），并以书面形式通知投标方。投标方应按照时间表安排准备申请材料和提交申请，若确需调整时间需提前 3 个工作日向招标方提交书面申请，经批准后方可执行。</w:t>
      </w:r>
    </w:p>
    <w:p>
      <w:pPr>
        <w:pStyle w:val="4"/>
        <w:shd w:val="clear" w:color="auto" w:fill="FFFFFF"/>
        <w:jc w:val="both"/>
        <w:rPr>
          <w:rFonts w:hint="eastAsia" w:cs="Segoe UI" w:asciiTheme="majorEastAsia" w:hAnsiTheme="majorEastAsia" w:eastAsiaTheme="majorEastAsia"/>
          <w:color w:val="000000"/>
          <w:szCs w:val="24"/>
        </w:rPr>
      </w:pPr>
      <w:bookmarkStart w:id="18" w:name="_Toc220010503"/>
      <w:r>
        <w:rPr>
          <w:rFonts w:hint="eastAsia" w:cs="Segoe UI" w:asciiTheme="majorEastAsia" w:hAnsiTheme="majorEastAsia" w:eastAsiaTheme="majorEastAsia"/>
          <w:color w:val="000000"/>
          <w:szCs w:val="24"/>
        </w:rPr>
        <w:t>四、资源管理</w:t>
      </w:r>
      <w:bookmarkEnd w:id="18"/>
    </w:p>
    <w:p>
      <w:pPr>
        <w:ind w:firstLine="480" w:firstLineChars="200"/>
        <w:outlineLvl w:val="1"/>
        <w:rPr>
          <w:rFonts w:hint="eastAsia" w:asciiTheme="minorEastAsia" w:hAnsiTheme="minorEastAsia"/>
        </w:rPr>
      </w:pPr>
      <w:bookmarkStart w:id="19" w:name="_Toc220010504"/>
      <w:r>
        <w:rPr>
          <w:rFonts w:hint="eastAsia" w:asciiTheme="minorEastAsia" w:hAnsiTheme="minorEastAsia"/>
        </w:rPr>
        <w:t>1. 人员配置：</w:t>
      </w:r>
      <w:bookmarkEnd w:id="19"/>
    </w:p>
    <w:p>
      <w:pPr>
        <w:ind w:firstLine="480" w:firstLineChars="200"/>
        <w:rPr>
          <w:rFonts w:asciiTheme="minorEastAsia" w:hAnsiTheme="minorEastAsia"/>
        </w:rPr>
      </w:pPr>
      <w:r>
        <w:rPr>
          <w:rFonts w:asciiTheme="minorEastAsia" w:hAnsiTheme="minorEastAsia"/>
        </w:rPr>
        <w:t>投标方需指定至少 1 名熟悉外事工作、具备良好沟通能力且了解土建和安装施工基本流程的专职人员在现场，负责邀请函和工作许可等事宜，全权代表投标方完成所有相关工作并作为该工作的指定专人负责人，专门负责与招标方对接办理事宜。该专职人员具体职责包括：</w:t>
      </w:r>
    </w:p>
    <w:p>
      <w:pPr>
        <w:pStyle w:val="2"/>
        <w:numPr>
          <w:ilvl w:val="0"/>
          <w:numId w:val="4"/>
        </w:numPr>
        <w:ind w:firstLineChars="0"/>
        <w:rPr>
          <w:rFonts w:asciiTheme="minorEastAsia" w:hAnsiTheme="minorEastAsia"/>
          <w:kern w:val="2"/>
          <w:sz w:val="24"/>
        </w:rPr>
      </w:pPr>
      <w:r>
        <w:rPr>
          <w:rFonts w:asciiTheme="minorEastAsia" w:hAnsiTheme="minorEastAsia"/>
          <w:kern w:val="2"/>
          <w:sz w:val="24"/>
        </w:rPr>
        <w:t xml:space="preserve">按要求收集、整理、审核投标方土建、安装人员的申请材料，确保材料真实完整且符合招标技术文件对人员资质的要求。 </w:t>
      </w:r>
    </w:p>
    <w:p>
      <w:pPr>
        <w:pStyle w:val="2"/>
        <w:numPr>
          <w:ilvl w:val="0"/>
          <w:numId w:val="4"/>
        </w:numPr>
        <w:ind w:firstLineChars="0"/>
        <w:rPr>
          <w:rFonts w:asciiTheme="minorEastAsia" w:hAnsiTheme="minorEastAsia"/>
          <w:kern w:val="2"/>
          <w:sz w:val="24"/>
        </w:rPr>
      </w:pPr>
      <w:r>
        <w:rPr>
          <w:rFonts w:asciiTheme="minorEastAsia" w:hAnsiTheme="minorEastAsia"/>
          <w:kern w:val="2"/>
          <w:sz w:val="24"/>
        </w:rPr>
        <w:t xml:space="preserve">及时向招标方提交申请材料及整改材料，响应招标方各项对接要求，同步土建、安装人员调配计划与办理进度。 </w:t>
      </w:r>
    </w:p>
    <w:p>
      <w:pPr>
        <w:pStyle w:val="2"/>
        <w:numPr>
          <w:ilvl w:val="0"/>
          <w:numId w:val="4"/>
        </w:numPr>
        <w:ind w:firstLineChars="0"/>
        <w:rPr>
          <w:rFonts w:asciiTheme="minorEastAsia" w:hAnsiTheme="minorEastAsia"/>
          <w:kern w:val="2"/>
          <w:sz w:val="24"/>
        </w:rPr>
      </w:pPr>
      <w:r>
        <w:rPr>
          <w:rFonts w:asciiTheme="minorEastAsia" w:hAnsiTheme="minorEastAsia"/>
          <w:kern w:val="2"/>
          <w:sz w:val="24"/>
        </w:rPr>
        <w:t xml:space="preserve">跟踪办理进度，及时将相关信息反馈给投标方内部及招标方，确保人员到岗与施工进度匹配。 </w:t>
      </w:r>
    </w:p>
    <w:p>
      <w:pPr>
        <w:pStyle w:val="2"/>
        <w:numPr>
          <w:ilvl w:val="0"/>
          <w:numId w:val="4"/>
        </w:numPr>
        <w:ind w:firstLineChars="0"/>
        <w:rPr>
          <w:rFonts w:asciiTheme="minorEastAsia" w:hAnsiTheme="minorEastAsia"/>
          <w:kern w:val="2"/>
          <w:sz w:val="24"/>
        </w:rPr>
      </w:pPr>
      <w:r>
        <w:rPr>
          <w:rFonts w:asciiTheme="minorEastAsia" w:hAnsiTheme="minorEastAsia"/>
          <w:kern w:val="2"/>
          <w:sz w:val="24"/>
        </w:rPr>
        <w:t xml:space="preserve">有权代表投标方签署与邀请函及工作许可办理相关的常规文件。 </w:t>
      </w:r>
    </w:p>
    <w:p>
      <w:pPr>
        <w:pStyle w:val="2"/>
        <w:numPr>
          <w:ilvl w:val="0"/>
          <w:numId w:val="4"/>
        </w:numPr>
        <w:ind w:firstLineChars="0"/>
        <w:rPr>
          <w:rFonts w:asciiTheme="minorEastAsia" w:hAnsiTheme="minorEastAsia"/>
          <w:kern w:val="2"/>
          <w:sz w:val="24"/>
        </w:rPr>
      </w:pPr>
      <w:r>
        <w:rPr>
          <w:rFonts w:asciiTheme="minorEastAsia" w:hAnsiTheme="minorEastAsia"/>
          <w:kern w:val="2"/>
          <w:sz w:val="24"/>
        </w:rPr>
        <w:t>负责与招标方的日常沟通协调，每周至少 1 次主动同步工作进展，重点反馈土建、安装人员办理的差异化需求。</w:t>
      </w:r>
    </w:p>
    <w:p>
      <w:pPr>
        <w:pStyle w:val="2"/>
        <w:numPr>
          <w:ilvl w:val="0"/>
          <w:numId w:val="4"/>
        </w:numPr>
        <w:ind w:firstLineChars="0"/>
        <w:rPr>
          <w:rFonts w:hint="eastAsia" w:asciiTheme="minorEastAsia" w:hAnsiTheme="minorEastAsia"/>
          <w:kern w:val="2"/>
          <w:sz w:val="24"/>
        </w:rPr>
      </w:pPr>
      <w:r>
        <w:rPr>
          <w:rFonts w:asciiTheme="minorEastAsia" w:hAnsiTheme="minorEastAsia"/>
          <w:kern w:val="2"/>
          <w:sz w:val="24"/>
        </w:rPr>
        <w:t>该人员应在办理工作启动前 3 个工作日内向招标方报备（提交人员姓名、联系方式、岗位职责说明书及相关工作经历证明），如有人员变动需提前 5 个工作日书面通知招标方，并完成工作交接后方可更换。</w:t>
      </w:r>
    </w:p>
    <w:p>
      <w:pPr>
        <w:ind w:firstLine="480" w:firstLineChars="200"/>
        <w:outlineLvl w:val="1"/>
        <w:rPr>
          <w:rFonts w:hint="eastAsia" w:asciiTheme="minorEastAsia" w:hAnsiTheme="minorEastAsia"/>
        </w:rPr>
      </w:pPr>
      <w:bookmarkStart w:id="20" w:name="_Toc220010505"/>
      <w:r>
        <w:rPr>
          <w:rFonts w:hint="eastAsia" w:asciiTheme="minorEastAsia" w:hAnsiTheme="minorEastAsia"/>
        </w:rPr>
        <w:t>2. 培训要求：</w:t>
      </w:r>
      <w:bookmarkEnd w:id="20"/>
    </w:p>
    <w:p>
      <w:pPr>
        <w:ind w:firstLine="480" w:firstLineChars="200"/>
        <w:rPr>
          <w:rFonts w:hint="eastAsia" w:asciiTheme="minorEastAsia" w:hAnsiTheme="minorEastAsia"/>
        </w:rPr>
      </w:pPr>
      <w:r>
        <w:rPr>
          <w:rFonts w:asciiTheme="minorEastAsia" w:hAnsiTheme="minorEastAsia"/>
        </w:rPr>
        <w:t>招标方定期组织投标方办理人员参加办理流程、政策法规、招标技术文件相关要求等方面的培训（培训频率不少于每季度 1 次），重点讲解土建、安装人员资质审核要点、办理流程差异等内容。投标方办理人员应积极参加，不得无故缺席。培训后需参加考核，考核不合格者需重新参加培训，直至考核合格。若连续 2 次考核不合格，投标方需更换办理人员。</w:t>
      </w:r>
    </w:p>
    <w:p>
      <w:pPr>
        <w:pStyle w:val="4"/>
        <w:shd w:val="clear" w:color="auto" w:fill="FFFFFF"/>
        <w:jc w:val="both"/>
        <w:rPr>
          <w:rFonts w:hint="eastAsia" w:cs="Segoe UI" w:asciiTheme="majorEastAsia" w:hAnsiTheme="majorEastAsia" w:eastAsiaTheme="majorEastAsia"/>
          <w:color w:val="000000"/>
          <w:szCs w:val="24"/>
        </w:rPr>
      </w:pPr>
      <w:bookmarkStart w:id="21" w:name="_Toc220010506"/>
      <w:r>
        <w:rPr>
          <w:rFonts w:hint="eastAsia" w:cs="Segoe UI" w:asciiTheme="majorEastAsia" w:hAnsiTheme="majorEastAsia" w:eastAsiaTheme="majorEastAsia"/>
          <w:color w:val="000000"/>
          <w:szCs w:val="24"/>
        </w:rPr>
        <w:t>五、申请文件要求</w:t>
      </w:r>
      <w:bookmarkEnd w:id="21"/>
    </w:p>
    <w:p>
      <w:pPr>
        <w:ind w:firstLine="480" w:firstLineChars="200"/>
        <w:outlineLvl w:val="1"/>
        <w:rPr>
          <w:rFonts w:hint="eastAsia" w:asciiTheme="minorEastAsia" w:hAnsiTheme="minorEastAsia"/>
        </w:rPr>
      </w:pPr>
      <w:bookmarkStart w:id="22" w:name="_Toc220010507"/>
      <w:r>
        <w:rPr>
          <w:rFonts w:hint="eastAsia" w:asciiTheme="minorEastAsia" w:hAnsiTheme="minorEastAsia"/>
        </w:rPr>
        <w:t>1. 文件内容：</w:t>
      </w:r>
      <w:bookmarkEnd w:id="22"/>
    </w:p>
    <w:p>
      <w:pPr>
        <w:ind w:firstLine="480" w:firstLineChars="200"/>
        <w:rPr>
          <w:rFonts w:hint="eastAsia" w:asciiTheme="minorEastAsia" w:hAnsiTheme="minorEastAsia"/>
        </w:rPr>
      </w:pPr>
      <w:r>
        <w:rPr>
          <w:rFonts w:hint="eastAsia" w:asciiTheme="minorEastAsia" w:hAnsiTheme="minorEastAsia"/>
        </w:rPr>
        <w:t>投标方在提交办理申请时，应提供完整的申请文件，至少包括：</w:t>
      </w:r>
      <w:r>
        <w:rPr>
          <w:rFonts w:asciiTheme="minorEastAsia" w:hAnsiTheme="minorEastAsia"/>
        </w:rPr>
        <w:t>投标方在提交办理申请时，应提供完整的申请文件，所有材料需同时提供原件，</w:t>
      </w:r>
      <w:r>
        <w:rPr>
          <w:rFonts w:hint="eastAsia" w:asciiTheme="minorEastAsia" w:hAnsiTheme="minorEastAsia"/>
        </w:rPr>
        <w:t>且</w:t>
      </w:r>
      <w:r>
        <w:rPr>
          <w:rFonts w:asciiTheme="minorEastAsia" w:hAnsiTheme="minorEastAsia"/>
        </w:rPr>
        <w:t>需加盖投标方公章，具体包括：</w:t>
      </w:r>
    </w:p>
    <w:p>
      <w:pPr>
        <w:pStyle w:val="2"/>
        <w:numPr>
          <w:ilvl w:val="0"/>
          <w:numId w:val="4"/>
        </w:numPr>
        <w:ind w:firstLineChars="0"/>
        <w:rPr>
          <w:rFonts w:asciiTheme="minorEastAsia" w:hAnsiTheme="minorEastAsia"/>
          <w:kern w:val="2"/>
          <w:sz w:val="24"/>
        </w:rPr>
      </w:pPr>
      <w:r>
        <w:rPr>
          <w:rFonts w:asciiTheme="minorEastAsia" w:hAnsiTheme="minorEastAsia"/>
          <w:kern w:val="2"/>
          <w:sz w:val="24"/>
        </w:rPr>
        <w:t xml:space="preserve">申请办理的依据，如项目合同、土建和安装施工工作任务安排、招标技术文件相关章节等（合同需提供盖章页及人员相关条款页，招标技术文件需标注人员资质要求对应条款）。 </w:t>
      </w:r>
    </w:p>
    <w:p>
      <w:pPr>
        <w:pStyle w:val="2"/>
        <w:numPr>
          <w:ilvl w:val="0"/>
          <w:numId w:val="4"/>
        </w:numPr>
        <w:ind w:firstLineChars="0"/>
        <w:rPr>
          <w:rFonts w:asciiTheme="minorEastAsia" w:hAnsiTheme="minorEastAsia"/>
          <w:kern w:val="2"/>
          <w:sz w:val="24"/>
        </w:rPr>
      </w:pPr>
      <w:r>
        <w:rPr>
          <w:rFonts w:asciiTheme="minorEastAsia" w:hAnsiTheme="minorEastAsia"/>
          <w:kern w:val="2"/>
          <w:sz w:val="24"/>
        </w:rPr>
        <w:t xml:space="preserve">申请人员的基本信息，包括姓名、性别、出生日期、国籍、护照号码、护照有效期（需距入境伊拉克时间不少于 6 个月）、联系方式等。 </w:t>
      </w:r>
    </w:p>
    <w:p>
      <w:pPr>
        <w:pStyle w:val="2"/>
        <w:numPr>
          <w:ilvl w:val="0"/>
          <w:numId w:val="4"/>
        </w:numPr>
        <w:ind w:firstLineChars="0"/>
        <w:rPr>
          <w:rFonts w:asciiTheme="minorEastAsia" w:hAnsiTheme="minorEastAsia"/>
          <w:kern w:val="2"/>
          <w:sz w:val="24"/>
        </w:rPr>
      </w:pPr>
      <w:r>
        <w:rPr>
          <w:rFonts w:asciiTheme="minorEastAsia" w:hAnsiTheme="minorEastAsia"/>
          <w:kern w:val="2"/>
          <w:sz w:val="24"/>
        </w:rPr>
        <w:t xml:space="preserve">人员的工作履历、学历证明、技能证书（如土建施工员证、设备安装工证等相关专业资质证书，需在有效期内且符合招标技术文件要求）等相关资质材料。 </w:t>
      </w:r>
    </w:p>
    <w:p>
      <w:pPr>
        <w:pStyle w:val="2"/>
        <w:numPr>
          <w:ilvl w:val="0"/>
          <w:numId w:val="4"/>
        </w:numPr>
        <w:ind w:firstLineChars="0"/>
        <w:rPr>
          <w:rFonts w:asciiTheme="minorEastAsia" w:hAnsiTheme="minorEastAsia"/>
          <w:kern w:val="2"/>
          <w:sz w:val="24"/>
        </w:rPr>
      </w:pPr>
      <w:r>
        <w:rPr>
          <w:rFonts w:asciiTheme="minorEastAsia" w:hAnsiTheme="minorEastAsia"/>
          <w:kern w:val="2"/>
          <w:sz w:val="24"/>
        </w:rPr>
        <w:t xml:space="preserve">项目所在单位对申请人员的工作安排、职责说明（需明确工作地点、工作期限、岗位核心职责，区分土建施工、设备安装或外输泵升级相关工作内容）。 </w:t>
      </w:r>
    </w:p>
    <w:p>
      <w:pPr>
        <w:pStyle w:val="2"/>
        <w:numPr>
          <w:ilvl w:val="0"/>
          <w:numId w:val="4"/>
        </w:numPr>
        <w:ind w:firstLineChars="0"/>
        <w:rPr>
          <w:rFonts w:asciiTheme="minorEastAsia" w:hAnsiTheme="minorEastAsia"/>
          <w:kern w:val="2"/>
          <w:sz w:val="24"/>
        </w:rPr>
      </w:pPr>
      <w:r>
        <w:rPr>
          <w:rFonts w:asciiTheme="minorEastAsia" w:hAnsiTheme="minorEastAsia"/>
          <w:kern w:val="2"/>
          <w:sz w:val="24"/>
        </w:rPr>
        <w:t xml:space="preserve">健康证明，需包含伊拉克规定的传染病检测结果（如 HIV、HBsAg、HCV 检查，检测报告需在申请前 3 个月内开具，由正规医疗机构出具）。 </w:t>
      </w:r>
    </w:p>
    <w:p>
      <w:pPr>
        <w:pStyle w:val="2"/>
        <w:numPr>
          <w:ilvl w:val="0"/>
          <w:numId w:val="4"/>
        </w:numPr>
        <w:ind w:firstLineChars="0"/>
        <w:rPr>
          <w:rFonts w:hint="eastAsia" w:asciiTheme="minorEastAsia" w:hAnsiTheme="minorEastAsia"/>
          <w:kern w:val="2"/>
          <w:sz w:val="24"/>
        </w:rPr>
      </w:pPr>
      <w:r>
        <w:rPr>
          <w:rFonts w:asciiTheme="minorEastAsia" w:hAnsiTheme="minorEastAsia"/>
          <w:kern w:val="2"/>
          <w:sz w:val="24"/>
        </w:rPr>
        <w:t>其他根据伊拉克政策要求及本项目招标技术文件需要提供的材料（如无犯罪记录证明、特种设备操作许可证等）。</w:t>
      </w:r>
    </w:p>
    <w:p>
      <w:pPr>
        <w:ind w:firstLine="480" w:firstLineChars="200"/>
        <w:outlineLvl w:val="1"/>
        <w:rPr>
          <w:rFonts w:hint="eastAsia" w:asciiTheme="minorEastAsia" w:hAnsiTheme="minorEastAsia"/>
        </w:rPr>
      </w:pPr>
      <w:bookmarkStart w:id="23" w:name="_Toc220010508"/>
      <w:r>
        <w:rPr>
          <w:rFonts w:hint="eastAsia" w:asciiTheme="minorEastAsia" w:hAnsiTheme="minorEastAsia"/>
        </w:rPr>
        <w:t>2. 文件审核：</w:t>
      </w:r>
      <w:bookmarkEnd w:id="23"/>
    </w:p>
    <w:p>
      <w:pPr>
        <w:ind w:firstLine="480" w:firstLineChars="200"/>
        <w:rPr>
          <w:rFonts w:hint="eastAsia" w:asciiTheme="minorEastAsia" w:hAnsiTheme="minorEastAsia"/>
        </w:rPr>
      </w:pPr>
      <w:r>
        <w:rPr>
          <w:rFonts w:asciiTheme="minorEastAsia" w:hAnsiTheme="minorEastAsia"/>
        </w:rPr>
        <w:t>投标方对提交的申请文件真实性、完整性及与招标技术文件的符合性负责，提交前应进行内部审核，填写《申请文件内部审核表》（需审核人签字、单位盖章，明确标注是否符合招标技术文件要求）。招标方收到申请文件后，在 5 个工作日内完成再次审核，重点核查人员资质是否满足招标技术文件要求，如有问题以书面形式（含电子版）反馈给投标方修改，投标方需在收到反馈后 3 个工作日内完成修改并重新提交。</w:t>
      </w:r>
    </w:p>
    <w:p>
      <w:pPr>
        <w:pStyle w:val="4"/>
        <w:shd w:val="clear" w:color="auto" w:fill="FFFFFF"/>
        <w:jc w:val="both"/>
        <w:rPr>
          <w:rFonts w:hint="eastAsia" w:cs="Segoe UI" w:asciiTheme="majorEastAsia" w:hAnsiTheme="majorEastAsia" w:eastAsiaTheme="majorEastAsia"/>
          <w:color w:val="000000"/>
          <w:szCs w:val="24"/>
        </w:rPr>
      </w:pPr>
      <w:bookmarkStart w:id="24" w:name="_Toc220010509"/>
      <w:r>
        <w:rPr>
          <w:rFonts w:hint="eastAsia" w:cs="Segoe UI" w:asciiTheme="majorEastAsia" w:hAnsiTheme="majorEastAsia" w:eastAsiaTheme="majorEastAsia"/>
          <w:color w:val="000000"/>
          <w:szCs w:val="24"/>
        </w:rPr>
        <w:t>六、项目的实现和执行</w:t>
      </w:r>
      <w:bookmarkEnd w:id="24"/>
    </w:p>
    <w:p>
      <w:pPr>
        <w:ind w:firstLine="480" w:firstLineChars="200"/>
        <w:outlineLvl w:val="1"/>
        <w:rPr>
          <w:rFonts w:hint="eastAsia" w:asciiTheme="minorEastAsia" w:hAnsiTheme="minorEastAsia"/>
        </w:rPr>
      </w:pPr>
      <w:bookmarkStart w:id="25" w:name="_Toc220010510"/>
      <w:r>
        <w:rPr>
          <w:rFonts w:hint="eastAsia" w:asciiTheme="minorEastAsia" w:hAnsiTheme="minorEastAsia"/>
        </w:rPr>
        <w:t>1. 办理流程执行：</w:t>
      </w:r>
      <w:bookmarkEnd w:id="25"/>
    </w:p>
    <w:p>
      <w:pPr>
        <w:ind w:firstLine="480" w:firstLineChars="200"/>
        <w:rPr>
          <w:rFonts w:hint="eastAsia" w:asciiTheme="minorEastAsia" w:hAnsiTheme="minorEastAsia"/>
        </w:rPr>
      </w:pPr>
      <w:r>
        <w:rPr>
          <w:rFonts w:asciiTheme="minorEastAsia" w:hAnsiTheme="minorEastAsia"/>
        </w:rPr>
        <w:t>投标方应严格按照招标方制定的办理流程提交申请材料，配合招标方及伊拉克相关部门的审核工作。在办理过程中，及时响应招标方的要求，补充或修改材料，不得拖延或拒绝配合，确保办理工作与土建、安装施工进度协同。</w:t>
      </w:r>
    </w:p>
    <w:p>
      <w:pPr>
        <w:ind w:firstLine="480" w:firstLineChars="200"/>
        <w:outlineLvl w:val="1"/>
        <w:rPr>
          <w:rFonts w:hint="eastAsia" w:asciiTheme="minorEastAsia" w:hAnsiTheme="minorEastAsia"/>
        </w:rPr>
      </w:pPr>
      <w:bookmarkStart w:id="26" w:name="_Toc220010511"/>
      <w:r>
        <w:rPr>
          <w:rFonts w:hint="eastAsia" w:asciiTheme="minorEastAsia" w:hAnsiTheme="minorEastAsia"/>
        </w:rPr>
        <w:t>2. 特殊情况处理：</w:t>
      </w:r>
      <w:bookmarkEnd w:id="26"/>
    </w:p>
    <w:p>
      <w:pPr>
        <w:ind w:firstLine="480" w:firstLineChars="200"/>
        <w:rPr>
          <w:rFonts w:hint="eastAsia" w:asciiTheme="minorEastAsia" w:hAnsiTheme="minorEastAsia"/>
        </w:rPr>
      </w:pPr>
      <w:r>
        <w:rPr>
          <w:rFonts w:asciiTheme="minorEastAsia" w:hAnsiTheme="minorEastAsia"/>
        </w:rPr>
        <w:t>对于办理过程中的特殊情况，如政策变动、材料缺失、官方审核意见异常或人员资质与招标技术文件要求存在偏差等，招标方应在发现问题后 2 个工作日内通知投标方，双方需在 3 个工作日内共同协商解决方案。因政策变动导致材料调整的，投标方需在新政策要求的时限内完成材料补充；因材料缺失或资质不符导致延误的，由责任方承担相应后果，确保不影响土建施工与设备安装的衔接。</w:t>
      </w:r>
    </w:p>
    <w:p>
      <w:pPr>
        <w:ind w:firstLine="480" w:firstLineChars="200"/>
        <w:outlineLvl w:val="1"/>
        <w:rPr>
          <w:rFonts w:hint="eastAsia" w:asciiTheme="minorEastAsia" w:hAnsiTheme="minorEastAsia"/>
        </w:rPr>
      </w:pPr>
      <w:bookmarkStart w:id="27" w:name="_Toc220010512"/>
      <w:r>
        <w:rPr>
          <w:rFonts w:hint="eastAsia" w:asciiTheme="minorEastAsia" w:hAnsiTheme="minorEastAsia"/>
        </w:rPr>
        <w:t>3. 信息记录与追踪：</w:t>
      </w:r>
      <w:bookmarkEnd w:id="27"/>
    </w:p>
    <w:p>
      <w:pPr>
        <w:ind w:firstLine="480" w:firstLineChars="200"/>
        <w:rPr>
          <w:rFonts w:hint="eastAsia" w:asciiTheme="minorEastAsia" w:hAnsiTheme="minorEastAsia"/>
        </w:rPr>
      </w:pPr>
      <w:r>
        <w:rPr>
          <w:rFonts w:hint="eastAsia" w:asciiTheme="minorEastAsia" w:hAnsiTheme="minorEastAsia"/>
        </w:rPr>
        <w:t>招标方建立办理信息记录和追踪机制，对每份申请的办理进度、审核意见等进行详细记录，投标方可随时查询办理进度。</w:t>
      </w:r>
      <w:r>
        <w:rPr>
          <w:rFonts w:asciiTheme="minorEastAsia" w:hAnsiTheme="minorEastAsia"/>
        </w:rPr>
        <w:t>招标方建立办理信息记录和追踪机制，通过线上系统（或书面台账）对每份申请（按土建人员、安装人员分类）的办理进度、审核意见、反馈时间、修改情况等进行详细记录。投标方可联系招标方指定对接人获取进度更新，招标方应在收到查询请求后 1 个工作日内予以回复，重点说明土建、安装人员办理的差异化进展。</w:t>
      </w:r>
    </w:p>
    <w:p>
      <w:pPr>
        <w:pStyle w:val="4"/>
        <w:shd w:val="clear" w:color="auto" w:fill="FFFFFF"/>
        <w:jc w:val="both"/>
        <w:rPr>
          <w:rFonts w:hint="eastAsia" w:cs="Segoe UI" w:asciiTheme="majorEastAsia" w:hAnsiTheme="majorEastAsia" w:eastAsiaTheme="majorEastAsia"/>
          <w:color w:val="000000"/>
          <w:szCs w:val="24"/>
        </w:rPr>
      </w:pPr>
      <w:bookmarkStart w:id="28" w:name="_Toc220010513"/>
      <w:r>
        <w:rPr>
          <w:rFonts w:hint="eastAsia" w:cs="Segoe UI" w:asciiTheme="majorEastAsia" w:hAnsiTheme="majorEastAsia" w:eastAsiaTheme="majorEastAsia"/>
          <w:color w:val="000000"/>
          <w:szCs w:val="24"/>
        </w:rPr>
        <w:t>七、计量、分析和改进</w:t>
      </w:r>
      <w:bookmarkEnd w:id="28"/>
    </w:p>
    <w:p>
      <w:pPr>
        <w:ind w:firstLine="480" w:firstLineChars="200"/>
        <w:outlineLvl w:val="1"/>
        <w:rPr>
          <w:rFonts w:hint="eastAsia" w:asciiTheme="minorEastAsia" w:hAnsiTheme="minorEastAsia"/>
        </w:rPr>
      </w:pPr>
      <w:bookmarkStart w:id="29" w:name="_Toc220010514"/>
      <w:r>
        <w:rPr>
          <w:rFonts w:hint="eastAsia" w:asciiTheme="minorEastAsia" w:hAnsiTheme="minorEastAsia"/>
        </w:rPr>
        <w:t>1. 数据统计：</w:t>
      </w:r>
      <w:bookmarkEnd w:id="29"/>
    </w:p>
    <w:p>
      <w:pPr>
        <w:ind w:firstLine="480" w:firstLineChars="200"/>
        <w:rPr>
          <w:rFonts w:hint="eastAsia" w:asciiTheme="minorEastAsia" w:hAnsiTheme="minorEastAsia"/>
        </w:rPr>
      </w:pPr>
      <w:r>
        <w:rPr>
          <w:rFonts w:asciiTheme="minorEastAsia" w:hAnsiTheme="minorEastAsia"/>
        </w:rPr>
        <w:t>招标方每月统计办理工作中的各项数据，包括土建人员、安装人员申请材料的审核通过率、办理周期、问题类型及数量（重点统计资质不符相关问题）、处罚情况等，并在次月 5 个工作日内向投标方通报统计结果。</w:t>
      </w:r>
    </w:p>
    <w:p>
      <w:pPr>
        <w:ind w:firstLine="480" w:firstLineChars="200"/>
        <w:outlineLvl w:val="1"/>
        <w:rPr>
          <w:rFonts w:hint="eastAsia" w:asciiTheme="minorEastAsia" w:hAnsiTheme="minorEastAsia"/>
        </w:rPr>
      </w:pPr>
      <w:bookmarkStart w:id="30" w:name="_Toc220010515"/>
      <w:r>
        <w:rPr>
          <w:rFonts w:hint="eastAsia" w:asciiTheme="minorEastAsia" w:hAnsiTheme="minorEastAsia"/>
        </w:rPr>
        <w:t>2. 问题分析：</w:t>
      </w:r>
      <w:bookmarkEnd w:id="30"/>
    </w:p>
    <w:p>
      <w:pPr>
        <w:ind w:firstLine="480" w:firstLineChars="200"/>
        <w:rPr>
          <w:rFonts w:hint="eastAsia" w:asciiTheme="minorEastAsia" w:hAnsiTheme="minorEastAsia"/>
        </w:rPr>
      </w:pPr>
      <w:r>
        <w:rPr>
          <w:rFonts w:asciiTheme="minorEastAsia" w:hAnsiTheme="minorEastAsia"/>
        </w:rPr>
        <w:t>针对办理过程中出现的问题，尤其是与招标技术文件要求不符、土建与安装人员办理不同步等问题，招标方每季度组织投标方召开问题分析会，共同分析问题原因（如对招标技术文件理解偏差、人员资质准备不充分等），明确责任方。</w:t>
      </w:r>
    </w:p>
    <w:p>
      <w:pPr>
        <w:ind w:firstLine="480" w:firstLineChars="200"/>
        <w:outlineLvl w:val="1"/>
        <w:rPr>
          <w:rFonts w:hint="eastAsia" w:asciiTheme="minorEastAsia" w:hAnsiTheme="minorEastAsia"/>
        </w:rPr>
      </w:pPr>
      <w:bookmarkStart w:id="31" w:name="_Toc220010516"/>
      <w:r>
        <w:rPr>
          <w:rFonts w:hint="eastAsia" w:asciiTheme="minorEastAsia" w:hAnsiTheme="minorEastAsia"/>
        </w:rPr>
        <w:t>3. 持续改进：</w:t>
      </w:r>
      <w:bookmarkEnd w:id="31"/>
    </w:p>
    <w:p>
      <w:pPr>
        <w:ind w:firstLine="480" w:firstLineChars="200"/>
        <w:rPr>
          <w:rFonts w:hint="eastAsia" w:asciiTheme="minorEastAsia" w:hAnsiTheme="minorEastAsia"/>
        </w:rPr>
      </w:pPr>
      <w:r>
        <w:rPr>
          <w:rFonts w:asciiTheme="minorEastAsia" w:hAnsiTheme="minorEastAsia"/>
        </w:rPr>
        <w:t>根据分析结果和改进措施，招标方对办理流程和管理要求进行优化更新，并在 10 个工作日内通知投标方执行，重点完善土建、安装人员办理的差异化管理措施。投标方应积极配合落实改进措施，提升自身材料准备和对接效率，确保与招标技术文件要求持续匹配。</w:t>
      </w:r>
    </w:p>
    <w:p>
      <w:pPr>
        <w:pStyle w:val="4"/>
        <w:shd w:val="clear" w:color="auto" w:fill="FFFFFF"/>
        <w:jc w:val="both"/>
        <w:rPr>
          <w:rFonts w:hint="eastAsia" w:ascii="宋体" w:hAnsi="宋体" w:cs="宋体"/>
          <w:color w:val="1F2329"/>
          <w:szCs w:val="24"/>
          <w:shd w:val="clear" w:color="auto" w:fill="FFFFFF"/>
        </w:rPr>
      </w:pPr>
      <w:bookmarkStart w:id="32" w:name="_Toc220010517"/>
      <w:r>
        <w:rPr>
          <w:rFonts w:hint="eastAsia" w:ascii="宋体" w:hAnsi="宋体" w:cs="宋体"/>
          <w:color w:val="1F2329"/>
          <w:szCs w:val="24"/>
          <w:shd w:val="clear" w:color="auto" w:fill="FFFFFF"/>
        </w:rPr>
        <w:t>八、文件及资料的交付</w:t>
      </w:r>
      <w:bookmarkEnd w:id="32"/>
    </w:p>
    <w:p>
      <w:pPr>
        <w:ind w:firstLine="480" w:firstLineChars="200"/>
        <w:outlineLvl w:val="1"/>
        <w:rPr>
          <w:rFonts w:hint="eastAsia" w:asciiTheme="minorEastAsia" w:hAnsiTheme="minorEastAsia"/>
        </w:rPr>
      </w:pPr>
      <w:bookmarkStart w:id="33" w:name="_Toc220010518"/>
      <w:r>
        <w:rPr>
          <w:rFonts w:hint="eastAsia" w:asciiTheme="minorEastAsia" w:hAnsiTheme="minorEastAsia"/>
        </w:rPr>
        <w:t>1. 招标方交付：</w:t>
      </w:r>
      <w:bookmarkEnd w:id="33"/>
    </w:p>
    <w:p>
      <w:pPr>
        <w:ind w:firstLine="480" w:firstLineChars="200"/>
        <w:rPr>
          <w:rFonts w:hint="eastAsia" w:asciiTheme="minorEastAsia" w:hAnsiTheme="minorEastAsia"/>
        </w:rPr>
      </w:pPr>
      <w:r>
        <w:rPr>
          <w:rFonts w:asciiTheme="minorEastAsia" w:hAnsiTheme="minorEastAsia"/>
        </w:rPr>
        <w:t>招标方及时向投标方提供办理所需的政策文件、指导手册、招标技术文件相关章节等资料（包括电子版和纸质版），在办理完成后 3 个工作日内，将邀请函和工作许可（原件及电子版扫描件）按土建人员、安装人员分类交付给投标方，并填写《文件交接记录表》，明确文件名称、份数、对应人员类型、交付时间、签收人等信息，双方签字确认。</w:t>
      </w:r>
    </w:p>
    <w:p>
      <w:pPr>
        <w:ind w:firstLine="480" w:firstLineChars="200"/>
        <w:outlineLvl w:val="1"/>
        <w:rPr>
          <w:rFonts w:hint="eastAsia" w:asciiTheme="minorEastAsia" w:hAnsiTheme="minorEastAsia"/>
        </w:rPr>
      </w:pPr>
      <w:bookmarkStart w:id="34" w:name="_Toc220010519"/>
      <w:r>
        <w:rPr>
          <w:rFonts w:hint="eastAsia" w:asciiTheme="minorEastAsia" w:hAnsiTheme="minorEastAsia"/>
        </w:rPr>
        <w:t>2. 投标方交付：</w:t>
      </w:r>
      <w:bookmarkEnd w:id="34"/>
    </w:p>
    <w:p>
      <w:pPr>
        <w:ind w:firstLine="480" w:firstLineChars="200"/>
        <w:rPr>
          <w:rFonts w:hint="eastAsia" w:asciiTheme="minorEastAsia" w:hAnsiTheme="minorEastAsia"/>
        </w:rPr>
      </w:pPr>
      <w:r>
        <w:rPr>
          <w:rFonts w:asciiTheme="minorEastAsia" w:hAnsiTheme="minorEastAsia"/>
        </w:rPr>
        <w:t>投标方按照要求及时向招标方提交申请材料、整改材料、内部审核表等文件，确保文件的及时性、准确性、完整性及与招标技术文件的符合性。所有交付文件需按土建人员、安装人员分类整理装订，标注项目名称、申请人姓名、岗位类型（土建 / 安装）等信息，便于查阅存档。</w:t>
      </w:r>
    </w:p>
    <w:p>
      <w:pPr>
        <w:pStyle w:val="4"/>
        <w:shd w:val="clear" w:color="auto" w:fill="FFFFFF"/>
        <w:jc w:val="both"/>
        <w:rPr>
          <w:rFonts w:ascii="Segoe UI" w:hAnsi="Segoe UI" w:eastAsia="Times New Roman" w:cs="Segoe UI"/>
          <w:color w:val="1F2329"/>
          <w:szCs w:val="24"/>
          <w:shd w:val="clear" w:color="auto" w:fill="FFFFFF"/>
        </w:rPr>
      </w:pPr>
      <w:bookmarkStart w:id="35" w:name="_Toc220010520"/>
      <w:bookmarkStart w:id="36" w:name="OLE_LINK6"/>
      <w:r>
        <w:rPr>
          <w:rFonts w:hint="eastAsia" w:ascii="宋体" w:hAnsi="宋体" w:cs="宋体"/>
          <w:color w:val="1F2329"/>
          <w:szCs w:val="24"/>
          <w:shd w:val="clear" w:color="auto" w:fill="FFFFFF"/>
        </w:rPr>
        <w:t>九、项目办理违规处罚要求</w:t>
      </w:r>
      <w:bookmarkEnd w:id="35"/>
    </w:p>
    <w:bookmarkEnd w:id="36"/>
    <w:p>
      <w:pPr>
        <w:ind w:firstLine="480" w:firstLineChars="200"/>
        <w:outlineLvl w:val="1"/>
        <w:rPr>
          <w:rFonts w:hint="eastAsia" w:asciiTheme="minorEastAsia" w:hAnsiTheme="minorEastAsia"/>
        </w:rPr>
      </w:pPr>
      <w:bookmarkStart w:id="37" w:name="_Toc220010521"/>
      <w:r>
        <w:rPr>
          <w:rFonts w:hint="eastAsia" w:asciiTheme="minorEastAsia" w:hAnsiTheme="minorEastAsia"/>
        </w:rPr>
        <w:t>1. 材料问题处罚：</w:t>
      </w:r>
      <w:bookmarkEnd w:id="37"/>
    </w:p>
    <w:p>
      <w:pPr>
        <w:ind w:firstLine="480" w:firstLineChars="200"/>
        <w:rPr>
          <w:rFonts w:hint="eastAsia" w:asciiTheme="minorEastAsia" w:hAnsiTheme="minorEastAsia"/>
        </w:rPr>
      </w:pPr>
      <w:r>
        <w:rPr>
          <w:rFonts w:asciiTheme="minorEastAsia" w:hAnsiTheme="minorEastAsia"/>
        </w:rPr>
        <w:t>若投标方提供虚假申请材料，或提供的人员资质材料不符合招标技术文件要求，招标方将取消该人员的办理资格，投标方需向招标方支付违约金（罚金）5000 元，并承担由此造成的一切损失（包括但不限于项目延误损失、招标方信誉损失等）。若申请材料不完整或不符合要求，招标方将要求投标方在规定时间内补充或修改，如未按时完成，每次处以 1000 元罚款；累计 3 次出现材料不完整、不符合要求或与招标技术文件不符的，加倍处罚。</w:t>
      </w:r>
    </w:p>
    <w:p>
      <w:pPr>
        <w:ind w:firstLine="480" w:firstLineChars="200"/>
        <w:outlineLvl w:val="1"/>
        <w:rPr>
          <w:rFonts w:hint="eastAsia" w:asciiTheme="minorEastAsia" w:hAnsiTheme="minorEastAsia"/>
        </w:rPr>
      </w:pPr>
      <w:bookmarkStart w:id="38" w:name="_Toc220010522"/>
      <w:r>
        <w:rPr>
          <w:rFonts w:hint="eastAsia" w:asciiTheme="minorEastAsia" w:hAnsiTheme="minorEastAsia"/>
        </w:rPr>
        <w:t>2. 办理流程违规处罚：</w:t>
      </w:r>
      <w:bookmarkEnd w:id="38"/>
    </w:p>
    <w:p>
      <w:pPr>
        <w:ind w:firstLine="480" w:firstLineChars="200"/>
        <w:rPr>
          <w:rFonts w:hint="eastAsia" w:asciiTheme="minorEastAsia" w:hAnsiTheme="minorEastAsia"/>
        </w:rPr>
      </w:pPr>
      <w:r>
        <w:rPr>
          <w:rFonts w:asciiTheme="minorEastAsia" w:hAnsiTheme="minorEastAsia"/>
        </w:rPr>
        <w:t>投标方违反办理流程，如私自联系伊拉克办理机构、未按要求配合审核、拖延提交材料、擅自更改办理信息或未按招标技术文件要求配备人员等，招标方将给予书面警告，并视情节轻重处以 5000 元以上 10000 元以下罚款。如因违规导致办理失败或延误，或给招标方带来负面影响，或影响土建与安装施工协同进度，投标方需承担由此产生的所有责任（包括但不限于重新办理费用、项目延误损失、招标方被业主追责的损失等）。</w:t>
      </w:r>
    </w:p>
    <w:p>
      <w:pPr>
        <w:pStyle w:val="4"/>
        <w:shd w:val="clear" w:color="auto" w:fill="FFFFFF"/>
        <w:jc w:val="both"/>
        <w:rPr>
          <w:rFonts w:ascii="Segoe UI" w:hAnsi="Segoe UI" w:eastAsia="Times New Roman" w:cs="Segoe UI"/>
          <w:color w:val="1F2329"/>
          <w:szCs w:val="24"/>
          <w:shd w:val="clear" w:color="auto" w:fill="FFFFFF"/>
        </w:rPr>
      </w:pPr>
      <w:bookmarkStart w:id="39" w:name="_Toc220010523"/>
      <w:r>
        <w:rPr>
          <w:rFonts w:hint="eastAsia" w:ascii="宋体" w:hAnsi="宋体" w:cs="宋体"/>
          <w:color w:val="1F2329"/>
          <w:szCs w:val="24"/>
          <w:shd w:val="clear" w:color="auto" w:fill="FFFFFF"/>
        </w:rPr>
        <w:t>十、补充条款</w:t>
      </w:r>
      <w:bookmarkEnd w:id="39"/>
    </w:p>
    <w:p>
      <w:pPr>
        <w:ind w:firstLine="480" w:firstLineChars="200"/>
        <w:outlineLvl w:val="1"/>
        <w:rPr>
          <w:rFonts w:hint="eastAsia" w:asciiTheme="minorEastAsia" w:hAnsiTheme="minorEastAsia"/>
        </w:rPr>
      </w:pPr>
      <w:bookmarkStart w:id="40" w:name="_Toc220010524"/>
      <w:r>
        <w:rPr>
          <w:rFonts w:hint="eastAsia" w:asciiTheme="minorEastAsia" w:hAnsiTheme="minorEastAsia"/>
        </w:rPr>
        <w:t>1. 人员变更与证件续签：</w:t>
      </w:r>
      <w:bookmarkEnd w:id="40"/>
    </w:p>
    <w:p>
      <w:pPr>
        <w:ind w:firstLine="480" w:firstLineChars="200"/>
        <w:rPr>
          <w:rFonts w:asciiTheme="minorEastAsia" w:hAnsiTheme="minorEastAsia"/>
        </w:rPr>
      </w:pPr>
      <w:r>
        <w:rPr>
          <w:rFonts w:asciiTheme="minorEastAsia" w:hAnsiTheme="minorEastAsia"/>
        </w:rPr>
        <w:t xml:space="preserve">投标方如需变更已报备的办理负责人或项目土建、安装人员，需提前 5 个工作日向招标方提交书面变更申请及新人员相关材料（需符合招标技术文件要求），经招标方审核同意后，方可办理变更手续。变更期间，原负责人或原人员需继续履行职责直至交接完成，确保施工工作不受影响。 </w:t>
      </w:r>
    </w:p>
    <w:p>
      <w:pPr>
        <w:ind w:firstLine="480" w:firstLineChars="200"/>
        <w:rPr>
          <w:rFonts w:hint="eastAsia" w:asciiTheme="minorEastAsia" w:hAnsiTheme="minorEastAsia"/>
        </w:rPr>
      </w:pPr>
      <w:r>
        <w:rPr>
          <w:rFonts w:asciiTheme="minorEastAsia" w:hAnsiTheme="minorEastAsia"/>
        </w:rPr>
        <w:t>工作许可到期前 30 个工作日，投标方需向招标方提交续签申请及相关材料（参照初始申请文件要求，确保人员资质仍符合招标技术文件要求），逾期未提交导致工作许可失效的，由投标方承担相应责任（包括人员无法合法工作的处罚</w:t>
      </w:r>
      <w:r>
        <w:rPr>
          <w:rFonts w:hint="eastAsia" w:asciiTheme="minorEastAsia" w:hAnsiTheme="minorEastAsia"/>
        </w:rPr>
        <w:t>及</w:t>
      </w:r>
      <w:r>
        <w:rPr>
          <w:rFonts w:asciiTheme="minorEastAsia" w:hAnsiTheme="minorEastAsia"/>
        </w:rPr>
        <w:t>施工进度延误损失等）。</w:t>
      </w:r>
    </w:p>
    <w:p>
      <w:pPr>
        <w:ind w:firstLine="480" w:firstLineChars="200"/>
        <w:outlineLvl w:val="1"/>
        <w:rPr>
          <w:rFonts w:hint="eastAsia" w:asciiTheme="minorEastAsia" w:hAnsiTheme="minorEastAsia"/>
        </w:rPr>
      </w:pPr>
      <w:bookmarkStart w:id="41" w:name="_Toc220010525"/>
      <w:r>
        <w:rPr>
          <w:rFonts w:hint="eastAsia" w:asciiTheme="minorEastAsia" w:hAnsiTheme="minorEastAsia"/>
        </w:rPr>
        <w:t>2. 申请机制：</w:t>
      </w:r>
      <w:bookmarkEnd w:id="41"/>
    </w:p>
    <w:p>
      <w:pPr>
        <w:ind w:firstLine="480" w:firstLineChars="200"/>
        <w:rPr>
          <w:rFonts w:hint="eastAsia" w:asciiTheme="minorEastAsia" w:hAnsiTheme="minorEastAsia"/>
        </w:rPr>
      </w:pPr>
      <w:r>
        <w:rPr>
          <w:rFonts w:asciiTheme="majorEastAsia" w:hAnsiTheme="majorEastAsia" w:eastAsiaTheme="majorEastAsia"/>
        </w:rPr>
        <w:t>投标方对招标方的审核意见、处罚决定有异议的，可在收到相关通知后 3 个工作日内，向招标方提交书面申诉材料（注明申诉理由、相关证据，涉及人员资质的需补充与招标技术文件相符的证明材料）。招标方收到申诉后 5 个工作日内组织复核，复核结果为最终结论，并书面通知投标方。申诉期间，原审核意见或处罚决定暂不执行，若复核后确认招标方存在误判，将撤销相关决定并书面说明；若确认投标方异议不成立，将维持原决定并要求投标方执行。</w:t>
      </w:r>
    </w:p>
    <w:sectPr>
      <w:footerReference r:id="rId14" w:type="first"/>
      <w:footerReference r:id="rId13" w:type="default"/>
      <w:pgSz w:w="11906" w:h="16838"/>
      <w:pgMar w:top="1191" w:right="1418" w:bottom="1021" w:left="1418" w:header="851" w:footer="680"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Univers">
    <w:altName w:val="Arial"/>
    <w:panose1 w:val="00000000000000000000"/>
    <w:charset w:val="00"/>
    <w:family w:val="swiss"/>
    <w:pitch w:val="default"/>
    <w:sig w:usb0="00000000" w:usb1="00000000" w:usb2="00000000" w:usb3="00000000" w:csb0="0000000F"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420"/>
      <w:jc w:val="center"/>
      <w:rPr>
        <w:sz w:val="21"/>
        <w:szCs w:val="21"/>
      </w:rPr>
    </w:pPr>
  </w:p>
  <w:p>
    <w:pPr>
      <w:tabs>
        <w:tab w:val="clear" w:pos="360"/>
      </w:tabs>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p>
  <w:p>
    <w:pPr>
      <w:pStyle w:val="30"/>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544775"/>
      <w:docPartObj>
        <w:docPartGallery w:val="AutoText"/>
      </w:docPartObj>
    </w:sdtPr>
    <w:sdtContent>
      <w:sdt>
        <w:sdtPr>
          <w:id w:val="1728636285"/>
          <w:docPartObj>
            <w:docPartGallery w:val="AutoText"/>
          </w:docPartObj>
        </w:sdtPr>
        <w:sdtContent>
          <w:p>
            <w:pPr>
              <w:pStyle w:val="30"/>
              <w:ind w:firstLine="360"/>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p>
        </w:sdtContent>
      </w:sdt>
    </w:sdtContent>
  </w:sdt>
  <w:p>
    <w:pPr>
      <w:pStyle w:val="30"/>
      <w:ind w:firstLine="361"/>
      <w:jc w:val="center"/>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4203214"/>
    </w:sdtPr>
    <w:sdtEndPr>
      <w:rPr>
        <w:b/>
        <w:sz w:val="21"/>
        <w:szCs w:val="21"/>
      </w:rPr>
    </w:sdtEndPr>
    <w:sdtContent>
      <w:p>
        <w:pPr>
          <w:pStyle w:val="30"/>
          <w:ind w:firstLine="0" w:firstLineChars="0"/>
          <w:jc w:val="center"/>
          <w:rPr>
            <w:b/>
            <w:sz w:val="21"/>
            <w:szCs w:val="21"/>
          </w:rPr>
        </w:pPr>
        <w:r>
          <w:rPr>
            <w:b/>
            <w:sz w:val="21"/>
            <w:szCs w:val="21"/>
          </w:rPr>
          <w:fldChar w:fldCharType="begin"/>
        </w:r>
        <w:r>
          <w:rPr>
            <w:b/>
            <w:sz w:val="21"/>
            <w:szCs w:val="21"/>
          </w:rPr>
          <w:instrText xml:space="preserve">PAGE   \* MERGEFORMAT</w:instrText>
        </w:r>
        <w:r>
          <w:rPr>
            <w:b/>
            <w:sz w:val="21"/>
            <w:szCs w:val="21"/>
          </w:rPr>
          <w:fldChar w:fldCharType="separate"/>
        </w:r>
        <w:r>
          <w:rPr>
            <w:b/>
            <w:sz w:val="21"/>
            <w:szCs w:val="21"/>
            <w:lang w:val="zh-CN"/>
          </w:rPr>
          <w:t>I</w:t>
        </w:r>
        <w:r>
          <w:rPr>
            <w:b/>
            <w:sz w:val="21"/>
            <w:szCs w:val="21"/>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1682716"/>
      <w:docPartObj>
        <w:docPartGallery w:val="AutoText"/>
      </w:docPartObj>
    </w:sdtPr>
    <w:sdtContent>
      <w:sdt>
        <w:sdtPr>
          <w:id w:val="-674879081"/>
          <w:docPartObj>
            <w:docPartGallery w:val="AutoText"/>
          </w:docPartObj>
        </w:sdtPr>
        <w:sdtContent>
          <w:p>
            <w:pPr>
              <w:pStyle w:val="30"/>
              <w:ind w:firstLine="360"/>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b/>
                <w:bCs/>
                <w:lang w:val="zh-CN"/>
              </w:rPr>
              <w:t>6</w:t>
            </w:r>
          </w:p>
        </w:sdtContent>
      </w:sdt>
    </w:sdtContent>
  </w:sdt>
  <w:p>
    <w:pPr>
      <w:pStyle w:val="30"/>
      <w:ind w:firstLine="361"/>
      <w:jc w:val="center"/>
      <w:rPr>
        <w: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0" w:firstLineChars="0"/>
      <w:jc w:val="center"/>
    </w:pPr>
    <w:r>
      <w:rPr>
        <w:b/>
        <w:sz w:val="21"/>
        <w:szCs w:val="21"/>
      </w:rPr>
      <w:t>1</w:t>
    </w:r>
    <w:r>
      <w:rPr>
        <w:b/>
        <w:sz w:val="21"/>
        <w:szCs w:val="21"/>
        <w:lang w:val="zh-CN"/>
      </w:rPr>
      <w:t xml:space="preserve">/ </w:t>
    </w:r>
    <w:r>
      <w:rPr>
        <w:rFonts w:hint="eastAsia"/>
        <w:b/>
        <w:sz w:val="21"/>
        <w:szCs w:val="21"/>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adjustRightInd w:val="0"/>
      <w:snapToGrid w:val="0"/>
      <w:spacing w:line="240" w:lineRule="auto"/>
      <w:rPr>
        <w:rFonts w:hint="eastAsia"/>
        <w:sz w:val="18"/>
        <w:szCs w:val="18"/>
        <w:lang w:val="en-US" w:eastAsia="zh-CN"/>
      </w:rPr>
    </w:pPr>
    <w:r>
      <w:rPr>
        <w:rFonts w:hint="eastAsia"/>
        <w:sz w:val="18"/>
        <w:szCs w:val="18"/>
      </w:rPr>
      <w:t>伊拉克米桑油田FQN脱气站</w:t>
    </w:r>
    <w:r>
      <w:rPr>
        <w:rFonts w:hint="eastAsia"/>
        <w:sz w:val="18"/>
        <w:szCs w:val="18"/>
        <w:lang w:val="en-US" w:eastAsia="zh-CN"/>
      </w:rPr>
      <w:t>升级</w:t>
    </w:r>
    <w:r>
      <w:rPr>
        <w:rFonts w:hint="eastAsia"/>
        <w:sz w:val="18"/>
        <w:szCs w:val="18"/>
      </w:rPr>
      <w:t>项目安装及外输泵升级项目</w:t>
    </w:r>
    <w:r>
      <w:rPr>
        <w:rFonts w:hint="eastAsia"/>
        <w:sz w:val="18"/>
        <w:szCs w:val="18"/>
        <w:lang w:val="en-US" w:eastAsia="zh-CN"/>
      </w:rPr>
      <w:t>土建和安装施工工程</w:t>
    </w:r>
  </w:p>
  <w:p>
    <w:pPr>
      <w:pBdr>
        <w:bottom w:val="single" w:color="auto" w:sz="4" w:space="1"/>
      </w:pBdr>
      <w:adjustRightInd w:val="0"/>
      <w:snapToGrid w:val="0"/>
      <w:spacing w:line="240" w:lineRule="auto"/>
      <w:rPr>
        <w:sz w:val="18"/>
        <w:szCs w:val="18"/>
      </w:rPr>
    </w:pPr>
    <w:r>
      <w:rPr>
        <w:rFonts w:hint="eastAsia"/>
        <w:sz w:val="18"/>
        <w:szCs w:val="18"/>
      </w:rPr>
      <w:t>邀请函和工作许可代办管理及要求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adjustRightInd w:val="0"/>
      <w:snapToGrid w:val="0"/>
      <w:spacing w:line="240" w:lineRule="auto"/>
      <w:rPr>
        <w:rFonts w:hint="eastAsia"/>
        <w:sz w:val="18"/>
        <w:szCs w:val="18"/>
        <w:lang w:val="en-US" w:eastAsia="zh-CN"/>
      </w:rPr>
    </w:pPr>
    <w:r>
      <w:rPr>
        <w:rFonts w:hint="eastAsia"/>
        <w:sz w:val="18"/>
        <w:szCs w:val="18"/>
      </w:rPr>
      <w:t>伊拉克米桑油田FQN脱气站</w:t>
    </w:r>
    <w:r>
      <w:rPr>
        <w:rFonts w:hint="eastAsia"/>
        <w:sz w:val="18"/>
        <w:szCs w:val="18"/>
        <w:lang w:val="en-US" w:eastAsia="zh-CN"/>
      </w:rPr>
      <w:t>升级</w:t>
    </w:r>
    <w:r>
      <w:rPr>
        <w:rFonts w:hint="eastAsia"/>
        <w:sz w:val="18"/>
        <w:szCs w:val="18"/>
      </w:rPr>
      <w:t>项目安装及外输泵升级项目</w:t>
    </w:r>
    <w:r>
      <w:rPr>
        <w:rFonts w:hint="eastAsia"/>
        <w:sz w:val="18"/>
        <w:szCs w:val="18"/>
        <w:lang w:val="en-US" w:eastAsia="zh-CN"/>
      </w:rPr>
      <w:t>土建和安装施工工程</w:t>
    </w:r>
  </w:p>
  <w:p>
    <w:pPr>
      <w:pBdr>
        <w:bottom w:val="single" w:color="auto" w:sz="4" w:space="1"/>
      </w:pBdr>
      <w:adjustRightInd w:val="0"/>
      <w:snapToGrid w:val="0"/>
      <w:spacing w:line="240" w:lineRule="auto"/>
      <w:rPr>
        <w:sz w:val="18"/>
        <w:szCs w:val="18"/>
      </w:rPr>
    </w:pPr>
    <w:r>
      <w:rPr>
        <w:rFonts w:hint="eastAsia"/>
        <w:sz w:val="18"/>
        <w:szCs w:val="18"/>
      </w:rPr>
      <w:t>邀请函和工作许可代办管理及要求</w:t>
    </w:r>
  </w:p>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9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19297E06"/>
    <w:multiLevelType w:val="multilevel"/>
    <w:tmpl w:val="19297E06"/>
    <w:lvl w:ilvl="0" w:tentative="0">
      <w:start w:val="1"/>
      <w:numFmt w:val="decimal"/>
      <w:pStyle w:val="3"/>
      <w:lvlText w:val="%1."/>
      <w:lvlJc w:val="left"/>
      <w:pPr>
        <w:tabs>
          <w:tab w:val="left" w:pos="425"/>
        </w:tabs>
        <w:ind w:left="425" w:hanging="425"/>
      </w:pPr>
      <w:rPr>
        <w:rFonts w:hint="eastAsia"/>
        <w:sz w:val="28"/>
      </w:rPr>
    </w:lvl>
    <w:lvl w:ilvl="1" w:tentative="0">
      <w:start w:val="1"/>
      <w:numFmt w:val="decimal"/>
      <w:suff w:val="space"/>
      <w:lvlText w:val="%1.%2"/>
      <w:lvlJc w:val="left"/>
      <w:pPr>
        <w:ind w:left="567" w:hanging="567"/>
      </w:pPr>
      <w:rPr>
        <w:rFonts w:hint="eastAsia" w:eastAsia="仿宋_GB2312"/>
        <w:sz w:val="28"/>
      </w:rPr>
    </w:lvl>
    <w:lvl w:ilvl="2" w:tentative="0">
      <w:start w:val="1"/>
      <w:numFmt w:val="decimal"/>
      <w:lvlText w:val="4.%3"/>
      <w:lvlJc w:val="left"/>
      <w:pPr>
        <w:ind w:left="709" w:hanging="709"/>
      </w:pPr>
      <w:rPr>
        <w:rFonts w:hint="eastAsia"/>
      </w:rPr>
    </w:lvl>
    <w:lvl w:ilvl="3" w:tentative="0">
      <w:start w:val="1"/>
      <w:numFmt w:val="decimal"/>
      <w:suff w:val="space"/>
      <w:lvlText w:val="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C5917C3"/>
    <w:multiLevelType w:val="multilevel"/>
    <w:tmpl w:val="2C5917C3"/>
    <w:lvl w:ilvl="0" w:tentative="0">
      <w:start w:val="1"/>
      <w:numFmt w:val="none"/>
      <w:pStyle w:val="95"/>
      <w:suff w:val="nothing"/>
      <w:lvlText w:val="%1——"/>
      <w:lvlJc w:val="left"/>
      <w:pPr>
        <w:ind w:left="833" w:hanging="408"/>
      </w:pPr>
      <w:rPr>
        <w:rFonts w:hint="eastAsia"/>
      </w:rPr>
    </w:lvl>
    <w:lvl w:ilvl="1" w:tentative="0">
      <w:start w:val="1"/>
      <w:numFmt w:val="bullet"/>
      <w:pStyle w:val="96"/>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71035092"/>
    <w:multiLevelType w:val="multilevel"/>
    <w:tmpl w:val="71035092"/>
    <w:lvl w:ilvl="0" w:tentative="0">
      <w:start w:val="1"/>
      <w:numFmt w:val="bullet"/>
      <w:lvlText w:val="-"/>
      <w:lvlJc w:val="left"/>
      <w:pPr>
        <w:ind w:left="960" w:hanging="360"/>
      </w:pPr>
      <w:rPr>
        <w:rFonts w:hint="eastAsia" w:ascii="宋体" w:hAnsi="宋体" w:eastAsia="宋体" w:cs="Times New Roman"/>
        <w:sz w:val="20"/>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E9"/>
    <w:rsid w:val="00000C36"/>
    <w:rsid w:val="00000FB1"/>
    <w:rsid w:val="000025A8"/>
    <w:rsid w:val="00003317"/>
    <w:rsid w:val="000043A8"/>
    <w:rsid w:val="00004439"/>
    <w:rsid w:val="00004522"/>
    <w:rsid w:val="00006199"/>
    <w:rsid w:val="00006D67"/>
    <w:rsid w:val="00011288"/>
    <w:rsid w:val="000138EC"/>
    <w:rsid w:val="000141E4"/>
    <w:rsid w:val="00014399"/>
    <w:rsid w:val="00015993"/>
    <w:rsid w:val="00016186"/>
    <w:rsid w:val="00017A54"/>
    <w:rsid w:val="00017E61"/>
    <w:rsid w:val="00017F29"/>
    <w:rsid w:val="00017FE1"/>
    <w:rsid w:val="000202E4"/>
    <w:rsid w:val="00020FC5"/>
    <w:rsid w:val="000222EB"/>
    <w:rsid w:val="000227F2"/>
    <w:rsid w:val="00023373"/>
    <w:rsid w:val="00026260"/>
    <w:rsid w:val="000262B3"/>
    <w:rsid w:val="000264B4"/>
    <w:rsid w:val="0002680F"/>
    <w:rsid w:val="00026D3F"/>
    <w:rsid w:val="00030B70"/>
    <w:rsid w:val="00031E65"/>
    <w:rsid w:val="0003211E"/>
    <w:rsid w:val="00033858"/>
    <w:rsid w:val="00033FBE"/>
    <w:rsid w:val="00034D82"/>
    <w:rsid w:val="00036758"/>
    <w:rsid w:val="00040769"/>
    <w:rsid w:val="00040C39"/>
    <w:rsid w:val="00041DD7"/>
    <w:rsid w:val="00042973"/>
    <w:rsid w:val="000448AD"/>
    <w:rsid w:val="00046CD4"/>
    <w:rsid w:val="00047764"/>
    <w:rsid w:val="000479BF"/>
    <w:rsid w:val="0005376E"/>
    <w:rsid w:val="00055BD7"/>
    <w:rsid w:val="00057F93"/>
    <w:rsid w:val="00060B76"/>
    <w:rsid w:val="0006183D"/>
    <w:rsid w:val="00061E53"/>
    <w:rsid w:val="000621A3"/>
    <w:rsid w:val="00063F75"/>
    <w:rsid w:val="00064A22"/>
    <w:rsid w:val="00067796"/>
    <w:rsid w:val="00071671"/>
    <w:rsid w:val="00071ED5"/>
    <w:rsid w:val="000728F3"/>
    <w:rsid w:val="0007419E"/>
    <w:rsid w:val="000758C7"/>
    <w:rsid w:val="00075EA7"/>
    <w:rsid w:val="00075EC3"/>
    <w:rsid w:val="0007623F"/>
    <w:rsid w:val="000773D9"/>
    <w:rsid w:val="00077B6A"/>
    <w:rsid w:val="000919A8"/>
    <w:rsid w:val="00095196"/>
    <w:rsid w:val="0009562F"/>
    <w:rsid w:val="000962F6"/>
    <w:rsid w:val="00097BF2"/>
    <w:rsid w:val="000A038A"/>
    <w:rsid w:val="000A0B6E"/>
    <w:rsid w:val="000A124A"/>
    <w:rsid w:val="000A1856"/>
    <w:rsid w:val="000A3898"/>
    <w:rsid w:val="000A581D"/>
    <w:rsid w:val="000A5DEF"/>
    <w:rsid w:val="000A6E99"/>
    <w:rsid w:val="000A79D6"/>
    <w:rsid w:val="000A7DB2"/>
    <w:rsid w:val="000B1CE8"/>
    <w:rsid w:val="000B25C2"/>
    <w:rsid w:val="000B3019"/>
    <w:rsid w:val="000B3FE9"/>
    <w:rsid w:val="000B5803"/>
    <w:rsid w:val="000B5CB9"/>
    <w:rsid w:val="000C02ED"/>
    <w:rsid w:val="000C034E"/>
    <w:rsid w:val="000C07F7"/>
    <w:rsid w:val="000C1C6F"/>
    <w:rsid w:val="000C2887"/>
    <w:rsid w:val="000C597A"/>
    <w:rsid w:val="000C68D0"/>
    <w:rsid w:val="000D0224"/>
    <w:rsid w:val="000D1656"/>
    <w:rsid w:val="000D663D"/>
    <w:rsid w:val="000D70F2"/>
    <w:rsid w:val="000D7AC6"/>
    <w:rsid w:val="000E1617"/>
    <w:rsid w:val="000E204C"/>
    <w:rsid w:val="000E24DA"/>
    <w:rsid w:val="000E2765"/>
    <w:rsid w:val="000E2908"/>
    <w:rsid w:val="000E49BE"/>
    <w:rsid w:val="000E56A0"/>
    <w:rsid w:val="000E66E1"/>
    <w:rsid w:val="000E778D"/>
    <w:rsid w:val="000F1128"/>
    <w:rsid w:val="000F152F"/>
    <w:rsid w:val="000F1CFB"/>
    <w:rsid w:val="000F1D38"/>
    <w:rsid w:val="000F41D6"/>
    <w:rsid w:val="000F62AF"/>
    <w:rsid w:val="00100BD3"/>
    <w:rsid w:val="00100EC9"/>
    <w:rsid w:val="00101BE8"/>
    <w:rsid w:val="00102522"/>
    <w:rsid w:val="00102D8B"/>
    <w:rsid w:val="00103437"/>
    <w:rsid w:val="0010450B"/>
    <w:rsid w:val="00104EA7"/>
    <w:rsid w:val="0010517B"/>
    <w:rsid w:val="00105F6F"/>
    <w:rsid w:val="001060A0"/>
    <w:rsid w:val="001073A9"/>
    <w:rsid w:val="0011009E"/>
    <w:rsid w:val="00110584"/>
    <w:rsid w:val="00110768"/>
    <w:rsid w:val="00110A35"/>
    <w:rsid w:val="00111E09"/>
    <w:rsid w:val="00112E5F"/>
    <w:rsid w:val="001130AA"/>
    <w:rsid w:val="001137F4"/>
    <w:rsid w:val="00114472"/>
    <w:rsid w:val="001149BB"/>
    <w:rsid w:val="0011636B"/>
    <w:rsid w:val="00117B6A"/>
    <w:rsid w:val="001210CD"/>
    <w:rsid w:val="00121144"/>
    <w:rsid w:val="0012354C"/>
    <w:rsid w:val="001244D2"/>
    <w:rsid w:val="00124F5B"/>
    <w:rsid w:val="00125DE1"/>
    <w:rsid w:val="00125E9E"/>
    <w:rsid w:val="00126352"/>
    <w:rsid w:val="0012700B"/>
    <w:rsid w:val="00127253"/>
    <w:rsid w:val="0013108C"/>
    <w:rsid w:val="0013525F"/>
    <w:rsid w:val="00141507"/>
    <w:rsid w:val="00141970"/>
    <w:rsid w:val="00143188"/>
    <w:rsid w:val="001431FF"/>
    <w:rsid w:val="001435AD"/>
    <w:rsid w:val="00143BC6"/>
    <w:rsid w:val="00145761"/>
    <w:rsid w:val="00147ACC"/>
    <w:rsid w:val="00150581"/>
    <w:rsid w:val="00150776"/>
    <w:rsid w:val="00150C77"/>
    <w:rsid w:val="00154D2C"/>
    <w:rsid w:val="00156936"/>
    <w:rsid w:val="00157D5B"/>
    <w:rsid w:val="00162ABC"/>
    <w:rsid w:val="001636C1"/>
    <w:rsid w:val="00164213"/>
    <w:rsid w:val="00164CA1"/>
    <w:rsid w:val="0016554D"/>
    <w:rsid w:val="00166182"/>
    <w:rsid w:val="00166D2F"/>
    <w:rsid w:val="001676A5"/>
    <w:rsid w:val="00167DFA"/>
    <w:rsid w:val="001737C2"/>
    <w:rsid w:val="001748B4"/>
    <w:rsid w:val="0017506C"/>
    <w:rsid w:val="001754B0"/>
    <w:rsid w:val="00175ECD"/>
    <w:rsid w:val="00176792"/>
    <w:rsid w:val="0017700A"/>
    <w:rsid w:val="001779B2"/>
    <w:rsid w:val="0018223E"/>
    <w:rsid w:val="00182BBC"/>
    <w:rsid w:val="00183415"/>
    <w:rsid w:val="00185A90"/>
    <w:rsid w:val="001860B0"/>
    <w:rsid w:val="00186C73"/>
    <w:rsid w:val="001877D4"/>
    <w:rsid w:val="00190029"/>
    <w:rsid w:val="00190FCA"/>
    <w:rsid w:val="00193EB8"/>
    <w:rsid w:val="00194495"/>
    <w:rsid w:val="001964DE"/>
    <w:rsid w:val="00197279"/>
    <w:rsid w:val="00197EB4"/>
    <w:rsid w:val="001A0448"/>
    <w:rsid w:val="001A0C86"/>
    <w:rsid w:val="001A4163"/>
    <w:rsid w:val="001A44AB"/>
    <w:rsid w:val="001A48C5"/>
    <w:rsid w:val="001A4987"/>
    <w:rsid w:val="001A4FF0"/>
    <w:rsid w:val="001A5711"/>
    <w:rsid w:val="001A5F5A"/>
    <w:rsid w:val="001A5FA7"/>
    <w:rsid w:val="001A6D80"/>
    <w:rsid w:val="001B0323"/>
    <w:rsid w:val="001B11C1"/>
    <w:rsid w:val="001B2C7E"/>
    <w:rsid w:val="001B35A9"/>
    <w:rsid w:val="001B3D54"/>
    <w:rsid w:val="001B3EEE"/>
    <w:rsid w:val="001B51B5"/>
    <w:rsid w:val="001B78F3"/>
    <w:rsid w:val="001B7E83"/>
    <w:rsid w:val="001C1152"/>
    <w:rsid w:val="001C17F9"/>
    <w:rsid w:val="001C3583"/>
    <w:rsid w:val="001C402C"/>
    <w:rsid w:val="001C5A25"/>
    <w:rsid w:val="001C5E09"/>
    <w:rsid w:val="001C7C6F"/>
    <w:rsid w:val="001D0800"/>
    <w:rsid w:val="001D2A1F"/>
    <w:rsid w:val="001D3331"/>
    <w:rsid w:val="001D7573"/>
    <w:rsid w:val="001E0D40"/>
    <w:rsid w:val="001E1E0E"/>
    <w:rsid w:val="001E2D01"/>
    <w:rsid w:val="001E5046"/>
    <w:rsid w:val="001E5CD0"/>
    <w:rsid w:val="001E7485"/>
    <w:rsid w:val="001E7BC3"/>
    <w:rsid w:val="001F0311"/>
    <w:rsid w:val="001F0D61"/>
    <w:rsid w:val="001F1285"/>
    <w:rsid w:val="001F4277"/>
    <w:rsid w:val="001F4C51"/>
    <w:rsid w:val="001F5754"/>
    <w:rsid w:val="001F5994"/>
    <w:rsid w:val="001F695A"/>
    <w:rsid w:val="001F6A16"/>
    <w:rsid w:val="001F7D79"/>
    <w:rsid w:val="002013FA"/>
    <w:rsid w:val="0020511B"/>
    <w:rsid w:val="002059B0"/>
    <w:rsid w:val="002060AA"/>
    <w:rsid w:val="00206437"/>
    <w:rsid w:val="0020718B"/>
    <w:rsid w:val="00207A79"/>
    <w:rsid w:val="00207EAF"/>
    <w:rsid w:val="00210B6D"/>
    <w:rsid w:val="002112BD"/>
    <w:rsid w:val="002114F1"/>
    <w:rsid w:val="0021364A"/>
    <w:rsid w:val="00213B74"/>
    <w:rsid w:val="0021416D"/>
    <w:rsid w:val="00214716"/>
    <w:rsid w:val="00217C0D"/>
    <w:rsid w:val="0022305D"/>
    <w:rsid w:val="0022338A"/>
    <w:rsid w:val="00223AD5"/>
    <w:rsid w:val="00224E18"/>
    <w:rsid w:val="00230CCD"/>
    <w:rsid w:val="002340B5"/>
    <w:rsid w:val="00234CDE"/>
    <w:rsid w:val="00235019"/>
    <w:rsid w:val="00235BB9"/>
    <w:rsid w:val="00235D89"/>
    <w:rsid w:val="00236D00"/>
    <w:rsid w:val="0024065E"/>
    <w:rsid w:val="0024161E"/>
    <w:rsid w:val="002420C7"/>
    <w:rsid w:val="00243237"/>
    <w:rsid w:val="00250CC1"/>
    <w:rsid w:val="00251FC6"/>
    <w:rsid w:val="002525D1"/>
    <w:rsid w:val="00252858"/>
    <w:rsid w:val="00252BE0"/>
    <w:rsid w:val="0025393F"/>
    <w:rsid w:val="00253B67"/>
    <w:rsid w:val="00257009"/>
    <w:rsid w:val="00257143"/>
    <w:rsid w:val="00262DD2"/>
    <w:rsid w:val="00272006"/>
    <w:rsid w:val="002725E6"/>
    <w:rsid w:val="00272DC0"/>
    <w:rsid w:val="0027571B"/>
    <w:rsid w:val="00281A92"/>
    <w:rsid w:val="00281DB3"/>
    <w:rsid w:val="002821C2"/>
    <w:rsid w:val="00282ADA"/>
    <w:rsid w:val="002850BE"/>
    <w:rsid w:val="002872C9"/>
    <w:rsid w:val="00291D6E"/>
    <w:rsid w:val="002939C4"/>
    <w:rsid w:val="00295C68"/>
    <w:rsid w:val="002962B1"/>
    <w:rsid w:val="00297BCE"/>
    <w:rsid w:val="00297D86"/>
    <w:rsid w:val="002A206A"/>
    <w:rsid w:val="002A40A8"/>
    <w:rsid w:val="002A424C"/>
    <w:rsid w:val="002A455A"/>
    <w:rsid w:val="002A4627"/>
    <w:rsid w:val="002A4B42"/>
    <w:rsid w:val="002A615F"/>
    <w:rsid w:val="002A6DB5"/>
    <w:rsid w:val="002A756A"/>
    <w:rsid w:val="002B18DA"/>
    <w:rsid w:val="002B199A"/>
    <w:rsid w:val="002B1C28"/>
    <w:rsid w:val="002B4804"/>
    <w:rsid w:val="002C0A41"/>
    <w:rsid w:val="002C0E89"/>
    <w:rsid w:val="002C175D"/>
    <w:rsid w:val="002C2A9B"/>
    <w:rsid w:val="002C31D2"/>
    <w:rsid w:val="002C3E23"/>
    <w:rsid w:val="002C523D"/>
    <w:rsid w:val="002C5671"/>
    <w:rsid w:val="002C607C"/>
    <w:rsid w:val="002C6F1A"/>
    <w:rsid w:val="002C6F47"/>
    <w:rsid w:val="002C7303"/>
    <w:rsid w:val="002D64CE"/>
    <w:rsid w:val="002D781C"/>
    <w:rsid w:val="002E5535"/>
    <w:rsid w:val="002E55D5"/>
    <w:rsid w:val="002E66A5"/>
    <w:rsid w:val="002F0B37"/>
    <w:rsid w:val="002F190F"/>
    <w:rsid w:val="002F1B3C"/>
    <w:rsid w:val="002F4EE3"/>
    <w:rsid w:val="002F6D77"/>
    <w:rsid w:val="002F6FD3"/>
    <w:rsid w:val="00300A37"/>
    <w:rsid w:val="0030121F"/>
    <w:rsid w:val="00307AAB"/>
    <w:rsid w:val="00311158"/>
    <w:rsid w:val="003113D4"/>
    <w:rsid w:val="00311E33"/>
    <w:rsid w:val="003134BC"/>
    <w:rsid w:val="0031447B"/>
    <w:rsid w:val="00315A29"/>
    <w:rsid w:val="00316B27"/>
    <w:rsid w:val="00316B48"/>
    <w:rsid w:val="003179E0"/>
    <w:rsid w:val="00317D1F"/>
    <w:rsid w:val="00321994"/>
    <w:rsid w:val="00321B8B"/>
    <w:rsid w:val="00321ED9"/>
    <w:rsid w:val="00322732"/>
    <w:rsid w:val="00323ADD"/>
    <w:rsid w:val="00333FE3"/>
    <w:rsid w:val="003342D0"/>
    <w:rsid w:val="0033700C"/>
    <w:rsid w:val="00340692"/>
    <w:rsid w:val="00341751"/>
    <w:rsid w:val="00342F06"/>
    <w:rsid w:val="00343342"/>
    <w:rsid w:val="003453E1"/>
    <w:rsid w:val="00347751"/>
    <w:rsid w:val="00347F46"/>
    <w:rsid w:val="00347F5F"/>
    <w:rsid w:val="003516B9"/>
    <w:rsid w:val="003517D4"/>
    <w:rsid w:val="00353A49"/>
    <w:rsid w:val="00354C2F"/>
    <w:rsid w:val="0035515B"/>
    <w:rsid w:val="00355A90"/>
    <w:rsid w:val="00357244"/>
    <w:rsid w:val="0035760B"/>
    <w:rsid w:val="00360A5F"/>
    <w:rsid w:val="00361B11"/>
    <w:rsid w:val="003644ED"/>
    <w:rsid w:val="0036460F"/>
    <w:rsid w:val="00364966"/>
    <w:rsid w:val="00364DEF"/>
    <w:rsid w:val="00364E59"/>
    <w:rsid w:val="00370969"/>
    <w:rsid w:val="003732A0"/>
    <w:rsid w:val="003732D9"/>
    <w:rsid w:val="003737A5"/>
    <w:rsid w:val="003751B4"/>
    <w:rsid w:val="00375F39"/>
    <w:rsid w:val="0037767E"/>
    <w:rsid w:val="003779F7"/>
    <w:rsid w:val="003818EB"/>
    <w:rsid w:val="00385C37"/>
    <w:rsid w:val="00385C9A"/>
    <w:rsid w:val="00385EF5"/>
    <w:rsid w:val="0038716B"/>
    <w:rsid w:val="003871C0"/>
    <w:rsid w:val="0039083D"/>
    <w:rsid w:val="00391B75"/>
    <w:rsid w:val="003948D2"/>
    <w:rsid w:val="003956C8"/>
    <w:rsid w:val="0039598A"/>
    <w:rsid w:val="00396DBD"/>
    <w:rsid w:val="003970FA"/>
    <w:rsid w:val="003978C3"/>
    <w:rsid w:val="003A113A"/>
    <w:rsid w:val="003A2B80"/>
    <w:rsid w:val="003A2C47"/>
    <w:rsid w:val="003A554C"/>
    <w:rsid w:val="003A671B"/>
    <w:rsid w:val="003A6742"/>
    <w:rsid w:val="003A689C"/>
    <w:rsid w:val="003B002D"/>
    <w:rsid w:val="003B0400"/>
    <w:rsid w:val="003B188B"/>
    <w:rsid w:val="003B281F"/>
    <w:rsid w:val="003B28A3"/>
    <w:rsid w:val="003B4303"/>
    <w:rsid w:val="003B4363"/>
    <w:rsid w:val="003B57D6"/>
    <w:rsid w:val="003B664A"/>
    <w:rsid w:val="003B6DC1"/>
    <w:rsid w:val="003B7454"/>
    <w:rsid w:val="003C011E"/>
    <w:rsid w:val="003C0E1B"/>
    <w:rsid w:val="003C193B"/>
    <w:rsid w:val="003C2053"/>
    <w:rsid w:val="003C265A"/>
    <w:rsid w:val="003C60E6"/>
    <w:rsid w:val="003C7328"/>
    <w:rsid w:val="003C78EC"/>
    <w:rsid w:val="003D0181"/>
    <w:rsid w:val="003D0BB4"/>
    <w:rsid w:val="003D2862"/>
    <w:rsid w:val="003D36A9"/>
    <w:rsid w:val="003D665C"/>
    <w:rsid w:val="003D6675"/>
    <w:rsid w:val="003D6A23"/>
    <w:rsid w:val="003D6CB7"/>
    <w:rsid w:val="003D713A"/>
    <w:rsid w:val="003D7A80"/>
    <w:rsid w:val="003E18C0"/>
    <w:rsid w:val="003E36ED"/>
    <w:rsid w:val="003E3CEE"/>
    <w:rsid w:val="003E435F"/>
    <w:rsid w:val="003E57DA"/>
    <w:rsid w:val="003E70D3"/>
    <w:rsid w:val="003F0655"/>
    <w:rsid w:val="003F7B83"/>
    <w:rsid w:val="00400BDA"/>
    <w:rsid w:val="00405682"/>
    <w:rsid w:val="00407414"/>
    <w:rsid w:val="00407B01"/>
    <w:rsid w:val="004107DC"/>
    <w:rsid w:val="00412685"/>
    <w:rsid w:val="0041313C"/>
    <w:rsid w:val="00413B97"/>
    <w:rsid w:val="004149FC"/>
    <w:rsid w:val="0041683F"/>
    <w:rsid w:val="00417E05"/>
    <w:rsid w:val="00417E5D"/>
    <w:rsid w:val="00417F28"/>
    <w:rsid w:val="00421BF2"/>
    <w:rsid w:val="00421E54"/>
    <w:rsid w:val="00423F9E"/>
    <w:rsid w:val="00427D99"/>
    <w:rsid w:val="004306E7"/>
    <w:rsid w:val="00430D92"/>
    <w:rsid w:val="00431628"/>
    <w:rsid w:val="00434117"/>
    <w:rsid w:val="00436ED4"/>
    <w:rsid w:val="00437324"/>
    <w:rsid w:val="004402CA"/>
    <w:rsid w:val="0044116D"/>
    <w:rsid w:val="00441C83"/>
    <w:rsid w:val="00442198"/>
    <w:rsid w:val="00443128"/>
    <w:rsid w:val="0044330B"/>
    <w:rsid w:val="00443BC7"/>
    <w:rsid w:val="00444347"/>
    <w:rsid w:val="0044456D"/>
    <w:rsid w:val="00445910"/>
    <w:rsid w:val="00445E4E"/>
    <w:rsid w:val="0044602F"/>
    <w:rsid w:val="00446257"/>
    <w:rsid w:val="004462DB"/>
    <w:rsid w:val="004470FB"/>
    <w:rsid w:val="004471CD"/>
    <w:rsid w:val="0045037B"/>
    <w:rsid w:val="004532E3"/>
    <w:rsid w:val="0045491E"/>
    <w:rsid w:val="004600B7"/>
    <w:rsid w:val="004607C8"/>
    <w:rsid w:val="0046086E"/>
    <w:rsid w:val="004643FB"/>
    <w:rsid w:val="00465979"/>
    <w:rsid w:val="00467C59"/>
    <w:rsid w:val="00470421"/>
    <w:rsid w:val="00470C58"/>
    <w:rsid w:val="00471D6B"/>
    <w:rsid w:val="0047203D"/>
    <w:rsid w:val="0047240E"/>
    <w:rsid w:val="004735EA"/>
    <w:rsid w:val="004738C9"/>
    <w:rsid w:val="00473B81"/>
    <w:rsid w:val="00474D0B"/>
    <w:rsid w:val="00476911"/>
    <w:rsid w:val="00476BC0"/>
    <w:rsid w:val="004771EF"/>
    <w:rsid w:val="004801BC"/>
    <w:rsid w:val="00480B9D"/>
    <w:rsid w:val="004810FA"/>
    <w:rsid w:val="00482A28"/>
    <w:rsid w:val="00485770"/>
    <w:rsid w:val="00486811"/>
    <w:rsid w:val="004903C8"/>
    <w:rsid w:val="00491272"/>
    <w:rsid w:val="00491AD3"/>
    <w:rsid w:val="00495914"/>
    <w:rsid w:val="004974E1"/>
    <w:rsid w:val="00497F37"/>
    <w:rsid w:val="004A02D6"/>
    <w:rsid w:val="004A051B"/>
    <w:rsid w:val="004A1CB1"/>
    <w:rsid w:val="004A3A29"/>
    <w:rsid w:val="004A3F8F"/>
    <w:rsid w:val="004A4940"/>
    <w:rsid w:val="004A6C43"/>
    <w:rsid w:val="004A73B7"/>
    <w:rsid w:val="004A7CED"/>
    <w:rsid w:val="004B1067"/>
    <w:rsid w:val="004B11B9"/>
    <w:rsid w:val="004B2BF4"/>
    <w:rsid w:val="004B3FA5"/>
    <w:rsid w:val="004B5FDE"/>
    <w:rsid w:val="004B6814"/>
    <w:rsid w:val="004B6923"/>
    <w:rsid w:val="004C0456"/>
    <w:rsid w:val="004C1C8F"/>
    <w:rsid w:val="004C23D2"/>
    <w:rsid w:val="004C4F12"/>
    <w:rsid w:val="004C5017"/>
    <w:rsid w:val="004C5BA5"/>
    <w:rsid w:val="004C5D3B"/>
    <w:rsid w:val="004C6059"/>
    <w:rsid w:val="004D074E"/>
    <w:rsid w:val="004D0BCA"/>
    <w:rsid w:val="004D141B"/>
    <w:rsid w:val="004D3A7F"/>
    <w:rsid w:val="004D4EB8"/>
    <w:rsid w:val="004D608B"/>
    <w:rsid w:val="004E27AE"/>
    <w:rsid w:val="004E3435"/>
    <w:rsid w:val="004E4FE2"/>
    <w:rsid w:val="004E5AE9"/>
    <w:rsid w:val="004E60D2"/>
    <w:rsid w:val="004E6777"/>
    <w:rsid w:val="004F1F09"/>
    <w:rsid w:val="004F48FD"/>
    <w:rsid w:val="004F4987"/>
    <w:rsid w:val="004F4A6A"/>
    <w:rsid w:val="004F5049"/>
    <w:rsid w:val="004F553B"/>
    <w:rsid w:val="004F57BC"/>
    <w:rsid w:val="004F58AD"/>
    <w:rsid w:val="004F5E6C"/>
    <w:rsid w:val="005001D4"/>
    <w:rsid w:val="0050159C"/>
    <w:rsid w:val="005016D5"/>
    <w:rsid w:val="00501E9D"/>
    <w:rsid w:val="00504067"/>
    <w:rsid w:val="00504FAD"/>
    <w:rsid w:val="00505AFA"/>
    <w:rsid w:val="00506385"/>
    <w:rsid w:val="00506694"/>
    <w:rsid w:val="0050671C"/>
    <w:rsid w:val="005069CC"/>
    <w:rsid w:val="00507645"/>
    <w:rsid w:val="00507848"/>
    <w:rsid w:val="005111D5"/>
    <w:rsid w:val="005156C7"/>
    <w:rsid w:val="00521A76"/>
    <w:rsid w:val="00521CF2"/>
    <w:rsid w:val="00522085"/>
    <w:rsid w:val="005231D4"/>
    <w:rsid w:val="00526343"/>
    <w:rsid w:val="00526498"/>
    <w:rsid w:val="005276B6"/>
    <w:rsid w:val="005278C3"/>
    <w:rsid w:val="00527CC5"/>
    <w:rsid w:val="00535473"/>
    <w:rsid w:val="0054078E"/>
    <w:rsid w:val="005415B7"/>
    <w:rsid w:val="00541881"/>
    <w:rsid w:val="00542704"/>
    <w:rsid w:val="00542927"/>
    <w:rsid w:val="00542A8E"/>
    <w:rsid w:val="00543162"/>
    <w:rsid w:val="00543367"/>
    <w:rsid w:val="00543D8E"/>
    <w:rsid w:val="00544C6C"/>
    <w:rsid w:val="00544E07"/>
    <w:rsid w:val="005460CA"/>
    <w:rsid w:val="00546198"/>
    <w:rsid w:val="00546F1E"/>
    <w:rsid w:val="00547412"/>
    <w:rsid w:val="0054790C"/>
    <w:rsid w:val="005521D1"/>
    <w:rsid w:val="0055258D"/>
    <w:rsid w:val="00552D9C"/>
    <w:rsid w:val="005536B1"/>
    <w:rsid w:val="0055410E"/>
    <w:rsid w:val="00554B71"/>
    <w:rsid w:val="005558D8"/>
    <w:rsid w:val="00555A0F"/>
    <w:rsid w:val="00555D5F"/>
    <w:rsid w:val="00556153"/>
    <w:rsid w:val="00557678"/>
    <w:rsid w:val="00557D20"/>
    <w:rsid w:val="00557DD7"/>
    <w:rsid w:val="00557FAC"/>
    <w:rsid w:val="00560624"/>
    <w:rsid w:val="00561F2A"/>
    <w:rsid w:val="005647C5"/>
    <w:rsid w:val="005652C8"/>
    <w:rsid w:val="00565CEB"/>
    <w:rsid w:val="00565D27"/>
    <w:rsid w:val="005714F0"/>
    <w:rsid w:val="005739B9"/>
    <w:rsid w:val="00574064"/>
    <w:rsid w:val="00575494"/>
    <w:rsid w:val="00575CF4"/>
    <w:rsid w:val="005827DA"/>
    <w:rsid w:val="00584805"/>
    <w:rsid w:val="00587F66"/>
    <w:rsid w:val="00591065"/>
    <w:rsid w:val="0059152B"/>
    <w:rsid w:val="00591C72"/>
    <w:rsid w:val="00591F43"/>
    <w:rsid w:val="00593C83"/>
    <w:rsid w:val="00593F3D"/>
    <w:rsid w:val="005A223A"/>
    <w:rsid w:val="005A2525"/>
    <w:rsid w:val="005A280A"/>
    <w:rsid w:val="005A2F97"/>
    <w:rsid w:val="005A43E8"/>
    <w:rsid w:val="005A5EC4"/>
    <w:rsid w:val="005A7446"/>
    <w:rsid w:val="005B040B"/>
    <w:rsid w:val="005B1FEF"/>
    <w:rsid w:val="005B4D9B"/>
    <w:rsid w:val="005B54FA"/>
    <w:rsid w:val="005B64AC"/>
    <w:rsid w:val="005B7F05"/>
    <w:rsid w:val="005C092F"/>
    <w:rsid w:val="005C1A0F"/>
    <w:rsid w:val="005C2714"/>
    <w:rsid w:val="005C4D9E"/>
    <w:rsid w:val="005C5D9C"/>
    <w:rsid w:val="005D06A1"/>
    <w:rsid w:val="005D16FB"/>
    <w:rsid w:val="005D1EFE"/>
    <w:rsid w:val="005D2456"/>
    <w:rsid w:val="005D3C6A"/>
    <w:rsid w:val="005D4BD2"/>
    <w:rsid w:val="005D4E32"/>
    <w:rsid w:val="005D5EB7"/>
    <w:rsid w:val="005D62CC"/>
    <w:rsid w:val="005D746C"/>
    <w:rsid w:val="005E39A0"/>
    <w:rsid w:val="005E54B8"/>
    <w:rsid w:val="005E762D"/>
    <w:rsid w:val="005E77FC"/>
    <w:rsid w:val="005F1847"/>
    <w:rsid w:val="005F1A19"/>
    <w:rsid w:val="005F2FEF"/>
    <w:rsid w:val="005F3BED"/>
    <w:rsid w:val="005F67DE"/>
    <w:rsid w:val="005F6FBE"/>
    <w:rsid w:val="005F730D"/>
    <w:rsid w:val="005F7711"/>
    <w:rsid w:val="00600A60"/>
    <w:rsid w:val="00600B70"/>
    <w:rsid w:val="00610900"/>
    <w:rsid w:val="00611891"/>
    <w:rsid w:val="0062318D"/>
    <w:rsid w:val="00624824"/>
    <w:rsid w:val="00625AC3"/>
    <w:rsid w:val="00625F36"/>
    <w:rsid w:val="00625F47"/>
    <w:rsid w:val="00627DCA"/>
    <w:rsid w:val="006304E4"/>
    <w:rsid w:val="0063258B"/>
    <w:rsid w:val="00632BA8"/>
    <w:rsid w:val="00634132"/>
    <w:rsid w:val="00640698"/>
    <w:rsid w:val="0064112A"/>
    <w:rsid w:val="0064141D"/>
    <w:rsid w:val="0064212E"/>
    <w:rsid w:val="0064332C"/>
    <w:rsid w:val="00643621"/>
    <w:rsid w:val="006444AF"/>
    <w:rsid w:val="00646A14"/>
    <w:rsid w:val="00646A54"/>
    <w:rsid w:val="00650C62"/>
    <w:rsid w:val="0065177B"/>
    <w:rsid w:val="006529E6"/>
    <w:rsid w:val="00654290"/>
    <w:rsid w:val="00656194"/>
    <w:rsid w:val="0065680D"/>
    <w:rsid w:val="00657BCE"/>
    <w:rsid w:val="006605C3"/>
    <w:rsid w:val="006614EA"/>
    <w:rsid w:val="00663966"/>
    <w:rsid w:val="00666136"/>
    <w:rsid w:val="00666501"/>
    <w:rsid w:val="0067198D"/>
    <w:rsid w:val="00672325"/>
    <w:rsid w:val="00672CD9"/>
    <w:rsid w:val="00673D77"/>
    <w:rsid w:val="006747BB"/>
    <w:rsid w:val="00674F2F"/>
    <w:rsid w:val="00675B94"/>
    <w:rsid w:val="00680322"/>
    <w:rsid w:val="006822D1"/>
    <w:rsid w:val="0068432F"/>
    <w:rsid w:val="00684A2F"/>
    <w:rsid w:val="006851F2"/>
    <w:rsid w:val="00686CF4"/>
    <w:rsid w:val="00687031"/>
    <w:rsid w:val="006918D8"/>
    <w:rsid w:val="00691EB9"/>
    <w:rsid w:val="00693CE4"/>
    <w:rsid w:val="006943D1"/>
    <w:rsid w:val="00694421"/>
    <w:rsid w:val="006A0661"/>
    <w:rsid w:val="006A15E2"/>
    <w:rsid w:val="006A25B5"/>
    <w:rsid w:val="006A3AF7"/>
    <w:rsid w:val="006A5234"/>
    <w:rsid w:val="006B2836"/>
    <w:rsid w:val="006B36EB"/>
    <w:rsid w:val="006B3762"/>
    <w:rsid w:val="006B3A12"/>
    <w:rsid w:val="006B41B5"/>
    <w:rsid w:val="006B5786"/>
    <w:rsid w:val="006B6262"/>
    <w:rsid w:val="006B6380"/>
    <w:rsid w:val="006B65B0"/>
    <w:rsid w:val="006C062A"/>
    <w:rsid w:val="006C077B"/>
    <w:rsid w:val="006C17E3"/>
    <w:rsid w:val="006C1FC9"/>
    <w:rsid w:val="006C2DB2"/>
    <w:rsid w:val="006C303D"/>
    <w:rsid w:val="006C365E"/>
    <w:rsid w:val="006C3A33"/>
    <w:rsid w:val="006C3E93"/>
    <w:rsid w:val="006C44CA"/>
    <w:rsid w:val="006C5EFC"/>
    <w:rsid w:val="006C65BB"/>
    <w:rsid w:val="006C68A9"/>
    <w:rsid w:val="006C7A6E"/>
    <w:rsid w:val="006D0E39"/>
    <w:rsid w:val="006D1FC9"/>
    <w:rsid w:val="006D3B2A"/>
    <w:rsid w:val="006D3FE4"/>
    <w:rsid w:val="006D4326"/>
    <w:rsid w:val="006D5F85"/>
    <w:rsid w:val="006D65E3"/>
    <w:rsid w:val="006E2174"/>
    <w:rsid w:val="006E2344"/>
    <w:rsid w:val="006E2CE2"/>
    <w:rsid w:val="006E2E03"/>
    <w:rsid w:val="006E3C72"/>
    <w:rsid w:val="006E63AB"/>
    <w:rsid w:val="006E72F5"/>
    <w:rsid w:val="006F15EC"/>
    <w:rsid w:val="006F1A40"/>
    <w:rsid w:val="006F1F4C"/>
    <w:rsid w:val="006F265C"/>
    <w:rsid w:val="006F2810"/>
    <w:rsid w:val="006F415E"/>
    <w:rsid w:val="006F5468"/>
    <w:rsid w:val="006F5CF4"/>
    <w:rsid w:val="006F649B"/>
    <w:rsid w:val="006F7BEF"/>
    <w:rsid w:val="00700BA1"/>
    <w:rsid w:val="00701696"/>
    <w:rsid w:val="007038CC"/>
    <w:rsid w:val="00704740"/>
    <w:rsid w:val="00705AB0"/>
    <w:rsid w:val="00707D89"/>
    <w:rsid w:val="007103B2"/>
    <w:rsid w:val="00710F2C"/>
    <w:rsid w:val="00711405"/>
    <w:rsid w:val="0071235F"/>
    <w:rsid w:val="007124C5"/>
    <w:rsid w:val="00714EB3"/>
    <w:rsid w:val="007175F3"/>
    <w:rsid w:val="0072033A"/>
    <w:rsid w:val="007229C1"/>
    <w:rsid w:val="0072328B"/>
    <w:rsid w:val="00723C0D"/>
    <w:rsid w:val="007248D9"/>
    <w:rsid w:val="00725001"/>
    <w:rsid w:val="00725468"/>
    <w:rsid w:val="007267C0"/>
    <w:rsid w:val="00726E1B"/>
    <w:rsid w:val="00732117"/>
    <w:rsid w:val="00732819"/>
    <w:rsid w:val="00734C21"/>
    <w:rsid w:val="00737FFC"/>
    <w:rsid w:val="00741E82"/>
    <w:rsid w:val="00742856"/>
    <w:rsid w:val="00743207"/>
    <w:rsid w:val="007441B6"/>
    <w:rsid w:val="0074503C"/>
    <w:rsid w:val="0074544D"/>
    <w:rsid w:val="00747E07"/>
    <w:rsid w:val="0075270E"/>
    <w:rsid w:val="00753F62"/>
    <w:rsid w:val="007550E0"/>
    <w:rsid w:val="00755A1C"/>
    <w:rsid w:val="00756E6A"/>
    <w:rsid w:val="0076028E"/>
    <w:rsid w:val="00762687"/>
    <w:rsid w:val="00762DE6"/>
    <w:rsid w:val="0076460E"/>
    <w:rsid w:val="00764F5D"/>
    <w:rsid w:val="007655E5"/>
    <w:rsid w:val="0076628F"/>
    <w:rsid w:val="007669E0"/>
    <w:rsid w:val="00767BE7"/>
    <w:rsid w:val="00770624"/>
    <w:rsid w:val="00770892"/>
    <w:rsid w:val="00771055"/>
    <w:rsid w:val="00773C23"/>
    <w:rsid w:val="007748CF"/>
    <w:rsid w:val="007749E2"/>
    <w:rsid w:val="007753B2"/>
    <w:rsid w:val="00776346"/>
    <w:rsid w:val="007767C1"/>
    <w:rsid w:val="00782299"/>
    <w:rsid w:val="00783D5B"/>
    <w:rsid w:val="00783F34"/>
    <w:rsid w:val="00784408"/>
    <w:rsid w:val="007848CD"/>
    <w:rsid w:val="007850AA"/>
    <w:rsid w:val="0078603B"/>
    <w:rsid w:val="007866F8"/>
    <w:rsid w:val="00790152"/>
    <w:rsid w:val="00792D0A"/>
    <w:rsid w:val="00792DBD"/>
    <w:rsid w:val="007956CF"/>
    <w:rsid w:val="00795FF1"/>
    <w:rsid w:val="007970F4"/>
    <w:rsid w:val="007A1753"/>
    <w:rsid w:val="007A1D22"/>
    <w:rsid w:val="007A27BF"/>
    <w:rsid w:val="007A4639"/>
    <w:rsid w:val="007A4876"/>
    <w:rsid w:val="007A57F5"/>
    <w:rsid w:val="007A5C3A"/>
    <w:rsid w:val="007A6651"/>
    <w:rsid w:val="007B0529"/>
    <w:rsid w:val="007B2544"/>
    <w:rsid w:val="007B44E9"/>
    <w:rsid w:val="007B4E3D"/>
    <w:rsid w:val="007B5B12"/>
    <w:rsid w:val="007B5E2C"/>
    <w:rsid w:val="007B6BC5"/>
    <w:rsid w:val="007C0784"/>
    <w:rsid w:val="007C0D67"/>
    <w:rsid w:val="007C2E42"/>
    <w:rsid w:val="007C3299"/>
    <w:rsid w:val="007D08B2"/>
    <w:rsid w:val="007D212D"/>
    <w:rsid w:val="007D2826"/>
    <w:rsid w:val="007D3C14"/>
    <w:rsid w:val="007D5F95"/>
    <w:rsid w:val="007D7D20"/>
    <w:rsid w:val="007E38B0"/>
    <w:rsid w:val="007E5A6C"/>
    <w:rsid w:val="007F0391"/>
    <w:rsid w:val="007F06F5"/>
    <w:rsid w:val="007F53CC"/>
    <w:rsid w:val="007F6C79"/>
    <w:rsid w:val="007F7246"/>
    <w:rsid w:val="00800103"/>
    <w:rsid w:val="008019AC"/>
    <w:rsid w:val="00804CD0"/>
    <w:rsid w:val="00806217"/>
    <w:rsid w:val="008078DE"/>
    <w:rsid w:val="0081011D"/>
    <w:rsid w:val="00810A92"/>
    <w:rsid w:val="00811B2A"/>
    <w:rsid w:val="00813AD1"/>
    <w:rsid w:val="00813BF3"/>
    <w:rsid w:val="00814035"/>
    <w:rsid w:val="00815FBE"/>
    <w:rsid w:val="00820292"/>
    <w:rsid w:val="00820435"/>
    <w:rsid w:val="0082153F"/>
    <w:rsid w:val="00822C25"/>
    <w:rsid w:val="0082349A"/>
    <w:rsid w:val="00823ACD"/>
    <w:rsid w:val="00824808"/>
    <w:rsid w:val="0082484A"/>
    <w:rsid w:val="008249BB"/>
    <w:rsid w:val="00825266"/>
    <w:rsid w:val="0082546E"/>
    <w:rsid w:val="008259FF"/>
    <w:rsid w:val="00826179"/>
    <w:rsid w:val="00826E3F"/>
    <w:rsid w:val="0083016A"/>
    <w:rsid w:val="008309DA"/>
    <w:rsid w:val="00831E1C"/>
    <w:rsid w:val="00832F45"/>
    <w:rsid w:val="00834049"/>
    <w:rsid w:val="008347E3"/>
    <w:rsid w:val="0083589E"/>
    <w:rsid w:val="0083738A"/>
    <w:rsid w:val="008373B3"/>
    <w:rsid w:val="00837DF2"/>
    <w:rsid w:val="00841044"/>
    <w:rsid w:val="00842609"/>
    <w:rsid w:val="00842A24"/>
    <w:rsid w:val="00844F21"/>
    <w:rsid w:val="008468D9"/>
    <w:rsid w:val="00850470"/>
    <w:rsid w:val="0085095C"/>
    <w:rsid w:val="00850EE0"/>
    <w:rsid w:val="00850F81"/>
    <w:rsid w:val="008515D8"/>
    <w:rsid w:val="00854874"/>
    <w:rsid w:val="008566A1"/>
    <w:rsid w:val="00857712"/>
    <w:rsid w:val="00861C45"/>
    <w:rsid w:val="008626FE"/>
    <w:rsid w:val="00862D6A"/>
    <w:rsid w:val="008640AF"/>
    <w:rsid w:val="00864699"/>
    <w:rsid w:val="0086486E"/>
    <w:rsid w:val="008653DF"/>
    <w:rsid w:val="00875490"/>
    <w:rsid w:val="008778F8"/>
    <w:rsid w:val="00877AA9"/>
    <w:rsid w:val="00881360"/>
    <w:rsid w:val="00881442"/>
    <w:rsid w:val="008831B1"/>
    <w:rsid w:val="008837CC"/>
    <w:rsid w:val="00883AEF"/>
    <w:rsid w:val="00884F9B"/>
    <w:rsid w:val="00885DA4"/>
    <w:rsid w:val="008864E5"/>
    <w:rsid w:val="00887D4D"/>
    <w:rsid w:val="00890B4F"/>
    <w:rsid w:val="00891AEA"/>
    <w:rsid w:val="008924DE"/>
    <w:rsid w:val="008938B4"/>
    <w:rsid w:val="00896222"/>
    <w:rsid w:val="008A114E"/>
    <w:rsid w:val="008A17B2"/>
    <w:rsid w:val="008A1964"/>
    <w:rsid w:val="008A1B26"/>
    <w:rsid w:val="008A1E25"/>
    <w:rsid w:val="008A34FE"/>
    <w:rsid w:val="008A44F8"/>
    <w:rsid w:val="008A57BC"/>
    <w:rsid w:val="008A5A47"/>
    <w:rsid w:val="008A5DFA"/>
    <w:rsid w:val="008A76C2"/>
    <w:rsid w:val="008A77CE"/>
    <w:rsid w:val="008A7DBA"/>
    <w:rsid w:val="008B25C2"/>
    <w:rsid w:val="008B2EF8"/>
    <w:rsid w:val="008B329C"/>
    <w:rsid w:val="008B5B14"/>
    <w:rsid w:val="008B5BA1"/>
    <w:rsid w:val="008B6A34"/>
    <w:rsid w:val="008B6FEF"/>
    <w:rsid w:val="008C0317"/>
    <w:rsid w:val="008C035A"/>
    <w:rsid w:val="008C325F"/>
    <w:rsid w:val="008C5087"/>
    <w:rsid w:val="008C7C9D"/>
    <w:rsid w:val="008D148F"/>
    <w:rsid w:val="008D185A"/>
    <w:rsid w:val="008D2652"/>
    <w:rsid w:val="008D2B8E"/>
    <w:rsid w:val="008D46C2"/>
    <w:rsid w:val="008D5B08"/>
    <w:rsid w:val="008D7D9F"/>
    <w:rsid w:val="008E4318"/>
    <w:rsid w:val="008E4572"/>
    <w:rsid w:val="008E570C"/>
    <w:rsid w:val="008F028C"/>
    <w:rsid w:val="008F0D8F"/>
    <w:rsid w:val="008F10DB"/>
    <w:rsid w:val="008F1FD9"/>
    <w:rsid w:val="008F35BE"/>
    <w:rsid w:val="008F4827"/>
    <w:rsid w:val="008F55B0"/>
    <w:rsid w:val="008F57DE"/>
    <w:rsid w:val="008F58FE"/>
    <w:rsid w:val="008F6F36"/>
    <w:rsid w:val="0090215B"/>
    <w:rsid w:val="00903E32"/>
    <w:rsid w:val="00904EF4"/>
    <w:rsid w:val="009066B2"/>
    <w:rsid w:val="009067EA"/>
    <w:rsid w:val="0091072D"/>
    <w:rsid w:val="009108F9"/>
    <w:rsid w:val="00913D8E"/>
    <w:rsid w:val="00914FAF"/>
    <w:rsid w:val="0091712D"/>
    <w:rsid w:val="0092207F"/>
    <w:rsid w:val="009220E9"/>
    <w:rsid w:val="009247F4"/>
    <w:rsid w:val="009255CC"/>
    <w:rsid w:val="009266E9"/>
    <w:rsid w:val="00927333"/>
    <w:rsid w:val="009275FF"/>
    <w:rsid w:val="009318FA"/>
    <w:rsid w:val="00931A2F"/>
    <w:rsid w:val="00934111"/>
    <w:rsid w:val="00937407"/>
    <w:rsid w:val="00943905"/>
    <w:rsid w:val="00946A1C"/>
    <w:rsid w:val="00946EB1"/>
    <w:rsid w:val="0095068A"/>
    <w:rsid w:val="0095113D"/>
    <w:rsid w:val="00953441"/>
    <w:rsid w:val="0095578C"/>
    <w:rsid w:val="00956738"/>
    <w:rsid w:val="00961033"/>
    <w:rsid w:val="00961863"/>
    <w:rsid w:val="00961FEA"/>
    <w:rsid w:val="009648B5"/>
    <w:rsid w:val="00964F85"/>
    <w:rsid w:val="009664AA"/>
    <w:rsid w:val="009668DC"/>
    <w:rsid w:val="00970C9C"/>
    <w:rsid w:val="0097130E"/>
    <w:rsid w:val="0097186B"/>
    <w:rsid w:val="00973022"/>
    <w:rsid w:val="009741CE"/>
    <w:rsid w:val="00984795"/>
    <w:rsid w:val="00985D2D"/>
    <w:rsid w:val="00985EAA"/>
    <w:rsid w:val="009865C0"/>
    <w:rsid w:val="00986C73"/>
    <w:rsid w:val="0099405C"/>
    <w:rsid w:val="009958EF"/>
    <w:rsid w:val="00995A66"/>
    <w:rsid w:val="009A1DAB"/>
    <w:rsid w:val="009A44E9"/>
    <w:rsid w:val="009A5669"/>
    <w:rsid w:val="009A5C3C"/>
    <w:rsid w:val="009A6C8E"/>
    <w:rsid w:val="009A70D2"/>
    <w:rsid w:val="009A7BA2"/>
    <w:rsid w:val="009B0530"/>
    <w:rsid w:val="009B1F79"/>
    <w:rsid w:val="009B2557"/>
    <w:rsid w:val="009B2581"/>
    <w:rsid w:val="009B4660"/>
    <w:rsid w:val="009B574C"/>
    <w:rsid w:val="009B752A"/>
    <w:rsid w:val="009C0385"/>
    <w:rsid w:val="009C3361"/>
    <w:rsid w:val="009C70F5"/>
    <w:rsid w:val="009D2C0E"/>
    <w:rsid w:val="009D2C51"/>
    <w:rsid w:val="009E0815"/>
    <w:rsid w:val="009E2B2B"/>
    <w:rsid w:val="009E2C78"/>
    <w:rsid w:val="009E559F"/>
    <w:rsid w:val="009E5D98"/>
    <w:rsid w:val="009E740D"/>
    <w:rsid w:val="009F321A"/>
    <w:rsid w:val="009F3969"/>
    <w:rsid w:val="009F4ED2"/>
    <w:rsid w:val="009F7F15"/>
    <w:rsid w:val="00A0627F"/>
    <w:rsid w:val="00A06A2E"/>
    <w:rsid w:val="00A10DF9"/>
    <w:rsid w:val="00A12221"/>
    <w:rsid w:val="00A12A98"/>
    <w:rsid w:val="00A12EA1"/>
    <w:rsid w:val="00A1509D"/>
    <w:rsid w:val="00A15590"/>
    <w:rsid w:val="00A15A24"/>
    <w:rsid w:val="00A15DDE"/>
    <w:rsid w:val="00A1613B"/>
    <w:rsid w:val="00A20999"/>
    <w:rsid w:val="00A21167"/>
    <w:rsid w:val="00A21849"/>
    <w:rsid w:val="00A219C3"/>
    <w:rsid w:val="00A21F0B"/>
    <w:rsid w:val="00A235B0"/>
    <w:rsid w:val="00A23ADF"/>
    <w:rsid w:val="00A23E42"/>
    <w:rsid w:val="00A253B9"/>
    <w:rsid w:val="00A26233"/>
    <w:rsid w:val="00A26553"/>
    <w:rsid w:val="00A2670F"/>
    <w:rsid w:val="00A26C08"/>
    <w:rsid w:val="00A27250"/>
    <w:rsid w:val="00A31AEE"/>
    <w:rsid w:val="00A344BF"/>
    <w:rsid w:val="00A35481"/>
    <w:rsid w:val="00A36F00"/>
    <w:rsid w:val="00A40694"/>
    <w:rsid w:val="00A41B14"/>
    <w:rsid w:val="00A42296"/>
    <w:rsid w:val="00A423CE"/>
    <w:rsid w:val="00A429C1"/>
    <w:rsid w:val="00A43F8E"/>
    <w:rsid w:val="00A460FB"/>
    <w:rsid w:val="00A46A67"/>
    <w:rsid w:val="00A46EDF"/>
    <w:rsid w:val="00A511DF"/>
    <w:rsid w:val="00A5353C"/>
    <w:rsid w:val="00A5594F"/>
    <w:rsid w:val="00A55B19"/>
    <w:rsid w:val="00A55D2F"/>
    <w:rsid w:val="00A608F6"/>
    <w:rsid w:val="00A609C5"/>
    <w:rsid w:val="00A60EA4"/>
    <w:rsid w:val="00A61514"/>
    <w:rsid w:val="00A61A9A"/>
    <w:rsid w:val="00A629A8"/>
    <w:rsid w:val="00A6401F"/>
    <w:rsid w:val="00A64EAA"/>
    <w:rsid w:val="00A655BD"/>
    <w:rsid w:val="00A659B7"/>
    <w:rsid w:val="00A70220"/>
    <w:rsid w:val="00A70278"/>
    <w:rsid w:val="00A70329"/>
    <w:rsid w:val="00A73A04"/>
    <w:rsid w:val="00A7409A"/>
    <w:rsid w:val="00A74FE4"/>
    <w:rsid w:val="00A76414"/>
    <w:rsid w:val="00A77299"/>
    <w:rsid w:val="00A7737A"/>
    <w:rsid w:val="00A802F4"/>
    <w:rsid w:val="00A81099"/>
    <w:rsid w:val="00A8319E"/>
    <w:rsid w:val="00A83491"/>
    <w:rsid w:val="00A8457D"/>
    <w:rsid w:val="00A848D5"/>
    <w:rsid w:val="00A85112"/>
    <w:rsid w:val="00A857AC"/>
    <w:rsid w:val="00A85890"/>
    <w:rsid w:val="00A87B52"/>
    <w:rsid w:val="00A90408"/>
    <w:rsid w:val="00A92004"/>
    <w:rsid w:val="00A924FB"/>
    <w:rsid w:val="00A958F5"/>
    <w:rsid w:val="00A96BB0"/>
    <w:rsid w:val="00A973B0"/>
    <w:rsid w:val="00A97FA1"/>
    <w:rsid w:val="00AA10B8"/>
    <w:rsid w:val="00AA16B0"/>
    <w:rsid w:val="00AA256F"/>
    <w:rsid w:val="00AA258D"/>
    <w:rsid w:val="00AA6463"/>
    <w:rsid w:val="00AA6F42"/>
    <w:rsid w:val="00AB0C08"/>
    <w:rsid w:val="00AB144A"/>
    <w:rsid w:val="00AB15C1"/>
    <w:rsid w:val="00AB1ADA"/>
    <w:rsid w:val="00AB2EE5"/>
    <w:rsid w:val="00AB469F"/>
    <w:rsid w:val="00AB520D"/>
    <w:rsid w:val="00AB662E"/>
    <w:rsid w:val="00AB6F38"/>
    <w:rsid w:val="00AB7948"/>
    <w:rsid w:val="00AC0EE9"/>
    <w:rsid w:val="00AC3477"/>
    <w:rsid w:val="00AC3577"/>
    <w:rsid w:val="00AC4266"/>
    <w:rsid w:val="00AC5E05"/>
    <w:rsid w:val="00AD4720"/>
    <w:rsid w:val="00AD74ED"/>
    <w:rsid w:val="00AE13FC"/>
    <w:rsid w:val="00AE2148"/>
    <w:rsid w:val="00AE2861"/>
    <w:rsid w:val="00AE4768"/>
    <w:rsid w:val="00AE6F40"/>
    <w:rsid w:val="00AF1D9C"/>
    <w:rsid w:val="00AF30E5"/>
    <w:rsid w:val="00AF39FF"/>
    <w:rsid w:val="00AF3D0E"/>
    <w:rsid w:val="00AF785A"/>
    <w:rsid w:val="00B00CF2"/>
    <w:rsid w:val="00B01B28"/>
    <w:rsid w:val="00B01BAD"/>
    <w:rsid w:val="00B07B6B"/>
    <w:rsid w:val="00B07F38"/>
    <w:rsid w:val="00B07F91"/>
    <w:rsid w:val="00B10323"/>
    <w:rsid w:val="00B10E14"/>
    <w:rsid w:val="00B1226B"/>
    <w:rsid w:val="00B12C4A"/>
    <w:rsid w:val="00B14875"/>
    <w:rsid w:val="00B174FB"/>
    <w:rsid w:val="00B177B3"/>
    <w:rsid w:val="00B215FF"/>
    <w:rsid w:val="00B21D8C"/>
    <w:rsid w:val="00B224D7"/>
    <w:rsid w:val="00B2300E"/>
    <w:rsid w:val="00B247D5"/>
    <w:rsid w:val="00B25764"/>
    <w:rsid w:val="00B25EC2"/>
    <w:rsid w:val="00B26144"/>
    <w:rsid w:val="00B26229"/>
    <w:rsid w:val="00B264AB"/>
    <w:rsid w:val="00B26951"/>
    <w:rsid w:val="00B32FC1"/>
    <w:rsid w:val="00B33470"/>
    <w:rsid w:val="00B351D8"/>
    <w:rsid w:val="00B354D3"/>
    <w:rsid w:val="00B37A12"/>
    <w:rsid w:val="00B37C0F"/>
    <w:rsid w:val="00B40CAA"/>
    <w:rsid w:val="00B41C5D"/>
    <w:rsid w:val="00B4243C"/>
    <w:rsid w:val="00B44163"/>
    <w:rsid w:val="00B4677D"/>
    <w:rsid w:val="00B47F0E"/>
    <w:rsid w:val="00B517E3"/>
    <w:rsid w:val="00B52C11"/>
    <w:rsid w:val="00B53191"/>
    <w:rsid w:val="00B537FA"/>
    <w:rsid w:val="00B54D51"/>
    <w:rsid w:val="00B6094A"/>
    <w:rsid w:val="00B62185"/>
    <w:rsid w:val="00B62F32"/>
    <w:rsid w:val="00B64F13"/>
    <w:rsid w:val="00B66426"/>
    <w:rsid w:val="00B67038"/>
    <w:rsid w:val="00B67D32"/>
    <w:rsid w:val="00B72001"/>
    <w:rsid w:val="00B7407B"/>
    <w:rsid w:val="00B75085"/>
    <w:rsid w:val="00B76808"/>
    <w:rsid w:val="00B77608"/>
    <w:rsid w:val="00B80299"/>
    <w:rsid w:val="00B837AF"/>
    <w:rsid w:val="00B87A1C"/>
    <w:rsid w:val="00B920BA"/>
    <w:rsid w:val="00B930B9"/>
    <w:rsid w:val="00B9370F"/>
    <w:rsid w:val="00B93BBE"/>
    <w:rsid w:val="00B94D26"/>
    <w:rsid w:val="00B9588A"/>
    <w:rsid w:val="00B97C17"/>
    <w:rsid w:val="00BA0E91"/>
    <w:rsid w:val="00BA1CE3"/>
    <w:rsid w:val="00BA2A7E"/>
    <w:rsid w:val="00BA4A2E"/>
    <w:rsid w:val="00BA4ACE"/>
    <w:rsid w:val="00BA5E7F"/>
    <w:rsid w:val="00BA6F03"/>
    <w:rsid w:val="00BA74B7"/>
    <w:rsid w:val="00BA7DF4"/>
    <w:rsid w:val="00BB1111"/>
    <w:rsid w:val="00BB117A"/>
    <w:rsid w:val="00BB1E85"/>
    <w:rsid w:val="00BB50FF"/>
    <w:rsid w:val="00BC0A4F"/>
    <w:rsid w:val="00BC3E85"/>
    <w:rsid w:val="00BC481B"/>
    <w:rsid w:val="00BC4A4E"/>
    <w:rsid w:val="00BC4D65"/>
    <w:rsid w:val="00BC5C7A"/>
    <w:rsid w:val="00BD07A5"/>
    <w:rsid w:val="00BD1F1C"/>
    <w:rsid w:val="00BD2C3A"/>
    <w:rsid w:val="00BD498D"/>
    <w:rsid w:val="00BD4D9E"/>
    <w:rsid w:val="00BD567F"/>
    <w:rsid w:val="00BD5C7F"/>
    <w:rsid w:val="00BD64D6"/>
    <w:rsid w:val="00BD670B"/>
    <w:rsid w:val="00BD736D"/>
    <w:rsid w:val="00BE0802"/>
    <w:rsid w:val="00BE1CB3"/>
    <w:rsid w:val="00BE269F"/>
    <w:rsid w:val="00BE28A1"/>
    <w:rsid w:val="00BE4BD3"/>
    <w:rsid w:val="00BE4E65"/>
    <w:rsid w:val="00BE51C1"/>
    <w:rsid w:val="00BE53A6"/>
    <w:rsid w:val="00BE5592"/>
    <w:rsid w:val="00BE566F"/>
    <w:rsid w:val="00BE5DC6"/>
    <w:rsid w:val="00BE60C1"/>
    <w:rsid w:val="00BE7A6C"/>
    <w:rsid w:val="00BE7FB9"/>
    <w:rsid w:val="00BF0333"/>
    <w:rsid w:val="00BF1685"/>
    <w:rsid w:val="00BF2D27"/>
    <w:rsid w:val="00BF4D87"/>
    <w:rsid w:val="00BF4D8C"/>
    <w:rsid w:val="00BF55F4"/>
    <w:rsid w:val="00BF579C"/>
    <w:rsid w:val="00BF6F04"/>
    <w:rsid w:val="00BF7385"/>
    <w:rsid w:val="00BF7517"/>
    <w:rsid w:val="00BF7807"/>
    <w:rsid w:val="00C00410"/>
    <w:rsid w:val="00C0256B"/>
    <w:rsid w:val="00C04BD5"/>
    <w:rsid w:val="00C066DA"/>
    <w:rsid w:val="00C07C13"/>
    <w:rsid w:val="00C101A2"/>
    <w:rsid w:val="00C1262D"/>
    <w:rsid w:val="00C14160"/>
    <w:rsid w:val="00C2197A"/>
    <w:rsid w:val="00C220C8"/>
    <w:rsid w:val="00C24537"/>
    <w:rsid w:val="00C24D73"/>
    <w:rsid w:val="00C27927"/>
    <w:rsid w:val="00C30B84"/>
    <w:rsid w:val="00C3121D"/>
    <w:rsid w:val="00C32883"/>
    <w:rsid w:val="00C33555"/>
    <w:rsid w:val="00C33754"/>
    <w:rsid w:val="00C338EB"/>
    <w:rsid w:val="00C34354"/>
    <w:rsid w:val="00C3503D"/>
    <w:rsid w:val="00C350ED"/>
    <w:rsid w:val="00C36EDF"/>
    <w:rsid w:val="00C370A2"/>
    <w:rsid w:val="00C37422"/>
    <w:rsid w:val="00C3786D"/>
    <w:rsid w:val="00C37DB6"/>
    <w:rsid w:val="00C37F75"/>
    <w:rsid w:val="00C41670"/>
    <w:rsid w:val="00C41901"/>
    <w:rsid w:val="00C43B21"/>
    <w:rsid w:val="00C43E0E"/>
    <w:rsid w:val="00C4475A"/>
    <w:rsid w:val="00C45ED2"/>
    <w:rsid w:val="00C46885"/>
    <w:rsid w:val="00C47870"/>
    <w:rsid w:val="00C47FEC"/>
    <w:rsid w:val="00C50AA8"/>
    <w:rsid w:val="00C50D84"/>
    <w:rsid w:val="00C5135F"/>
    <w:rsid w:val="00C516CF"/>
    <w:rsid w:val="00C550AC"/>
    <w:rsid w:val="00C558EA"/>
    <w:rsid w:val="00C56812"/>
    <w:rsid w:val="00C611CC"/>
    <w:rsid w:val="00C61313"/>
    <w:rsid w:val="00C61C8B"/>
    <w:rsid w:val="00C61D64"/>
    <w:rsid w:val="00C62938"/>
    <w:rsid w:val="00C62DE1"/>
    <w:rsid w:val="00C64738"/>
    <w:rsid w:val="00C661DD"/>
    <w:rsid w:val="00C6701D"/>
    <w:rsid w:val="00C73773"/>
    <w:rsid w:val="00C7557A"/>
    <w:rsid w:val="00C75ABB"/>
    <w:rsid w:val="00C76E91"/>
    <w:rsid w:val="00C80843"/>
    <w:rsid w:val="00C80A6B"/>
    <w:rsid w:val="00C8327D"/>
    <w:rsid w:val="00C83E25"/>
    <w:rsid w:val="00C85CB3"/>
    <w:rsid w:val="00C86473"/>
    <w:rsid w:val="00C869F0"/>
    <w:rsid w:val="00C91D8E"/>
    <w:rsid w:val="00C9479B"/>
    <w:rsid w:val="00C965A7"/>
    <w:rsid w:val="00C9716F"/>
    <w:rsid w:val="00CA0EE8"/>
    <w:rsid w:val="00CA0F05"/>
    <w:rsid w:val="00CA18E6"/>
    <w:rsid w:val="00CA30A0"/>
    <w:rsid w:val="00CA3445"/>
    <w:rsid w:val="00CA4005"/>
    <w:rsid w:val="00CA517D"/>
    <w:rsid w:val="00CA778C"/>
    <w:rsid w:val="00CB01EA"/>
    <w:rsid w:val="00CB0C9E"/>
    <w:rsid w:val="00CB1598"/>
    <w:rsid w:val="00CB17AA"/>
    <w:rsid w:val="00CB1C0D"/>
    <w:rsid w:val="00CB2C0A"/>
    <w:rsid w:val="00CB33E1"/>
    <w:rsid w:val="00CB547C"/>
    <w:rsid w:val="00CB581B"/>
    <w:rsid w:val="00CC0983"/>
    <w:rsid w:val="00CC1F15"/>
    <w:rsid w:val="00CC544C"/>
    <w:rsid w:val="00CC5F53"/>
    <w:rsid w:val="00CC779E"/>
    <w:rsid w:val="00CC7E16"/>
    <w:rsid w:val="00CC7E71"/>
    <w:rsid w:val="00CD03A9"/>
    <w:rsid w:val="00CD137A"/>
    <w:rsid w:val="00CD2666"/>
    <w:rsid w:val="00CD4A6E"/>
    <w:rsid w:val="00CD7820"/>
    <w:rsid w:val="00CD7DF2"/>
    <w:rsid w:val="00CE1FBA"/>
    <w:rsid w:val="00CF2611"/>
    <w:rsid w:val="00CF326C"/>
    <w:rsid w:val="00CF37D9"/>
    <w:rsid w:val="00CF3D98"/>
    <w:rsid w:val="00CF4E22"/>
    <w:rsid w:val="00CF7846"/>
    <w:rsid w:val="00D0006E"/>
    <w:rsid w:val="00D00C2F"/>
    <w:rsid w:val="00D00FD0"/>
    <w:rsid w:val="00D012EF"/>
    <w:rsid w:val="00D01BBD"/>
    <w:rsid w:val="00D01D35"/>
    <w:rsid w:val="00D02AB2"/>
    <w:rsid w:val="00D02EFD"/>
    <w:rsid w:val="00D0408A"/>
    <w:rsid w:val="00D05109"/>
    <w:rsid w:val="00D05248"/>
    <w:rsid w:val="00D05A6D"/>
    <w:rsid w:val="00D05C3D"/>
    <w:rsid w:val="00D11DF1"/>
    <w:rsid w:val="00D12079"/>
    <w:rsid w:val="00D1212B"/>
    <w:rsid w:val="00D12DEC"/>
    <w:rsid w:val="00D14F0B"/>
    <w:rsid w:val="00D16C29"/>
    <w:rsid w:val="00D17064"/>
    <w:rsid w:val="00D20C12"/>
    <w:rsid w:val="00D20D27"/>
    <w:rsid w:val="00D210BF"/>
    <w:rsid w:val="00D21B58"/>
    <w:rsid w:val="00D2210A"/>
    <w:rsid w:val="00D22B5E"/>
    <w:rsid w:val="00D24387"/>
    <w:rsid w:val="00D254EB"/>
    <w:rsid w:val="00D25FA1"/>
    <w:rsid w:val="00D2643C"/>
    <w:rsid w:val="00D30AF1"/>
    <w:rsid w:val="00D31263"/>
    <w:rsid w:val="00D33368"/>
    <w:rsid w:val="00D343AC"/>
    <w:rsid w:val="00D35649"/>
    <w:rsid w:val="00D359A7"/>
    <w:rsid w:val="00D35C0C"/>
    <w:rsid w:val="00D4117B"/>
    <w:rsid w:val="00D42328"/>
    <w:rsid w:val="00D46421"/>
    <w:rsid w:val="00D5013B"/>
    <w:rsid w:val="00D51B85"/>
    <w:rsid w:val="00D537AF"/>
    <w:rsid w:val="00D54542"/>
    <w:rsid w:val="00D54552"/>
    <w:rsid w:val="00D55507"/>
    <w:rsid w:val="00D55609"/>
    <w:rsid w:val="00D612C1"/>
    <w:rsid w:val="00D616F2"/>
    <w:rsid w:val="00D620EA"/>
    <w:rsid w:val="00D62F9A"/>
    <w:rsid w:val="00D63008"/>
    <w:rsid w:val="00D6736B"/>
    <w:rsid w:val="00D700EB"/>
    <w:rsid w:val="00D70DF6"/>
    <w:rsid w:val="00D72721"/>
    <w:rsid w:val="00D746AE"/>
    <w:rsid w:val="00D74ACC"/>
    <w:rsid w:val="00D75626"/>
    <w:rsid w:val="00D75629"/>
    <w:rsid w:val="00D77C23"/>
    <w:rsid w:val="00D80DD4"/>
    <w:rsid w:val="00D811A6"/>
    <w:rsid w:val="00D84AFB"/>
    <w:rsid w:val="00D8598D"/>
    <w:rsid w:val="00D919FC"/>
    <w:rsid w:val="00D91E2C"/>
    <w:rsid w:val="00D92831"/>
    <w:rsid w:val="00D9302A"/>
    <w:rsid w:val="00D93DD0"/>
    <w:rsid w:val="00D94B34"/>
    <w:rsid w:val="00D957DF"/>
    <w:rsid w:val="00D9774A"/>
    <w:rsid w:val="00DA01CA"/>
    <w:rsid w:val="00DA0DBC"/>
    <w:rsid w:val="00DA1008"/>
    <w:rsid w:val="00DA140C"/>
    <w:rsid w:val="00DA2CF5"/>
    <w:rsid w:val="00DA60F4"/>
    <w:rsid w:val="00DA70B9"/>
    <w:rsid w:val="00DB0FED"/>
    <w:rsid w:val="00DB10C8"/>
    <w:rsid w:val="00DB5C4D"/>
    <w:rsid w:val="00DB70B9"/>
    <w:rsid w:val="00DC31D5"/>
    <w:rsid w:val="00DC332E"/>
    <w:rsid w:val="00DC56E0"/>
    <w:rsid w:val="00DC5781"/>
    <w:rsid w:val="00DC7379"/>
    <w:rsid w:val="00DD2451"/>
    <w:rsid w:val="00DD2C5D"/>
    <w:rsid w:val="00DD39F0"/>
    <w:rsid w:val="00DD4C34"/>
    <w:rsid w:val="00DD5E2B"/>
    <w:rsid w:val="00DD711A"/>
    <w:rsid w:val="00DD7493"/>
    <w:rsid w:val="00DD7718"/>
    <w:rsid w:val="00DD77C9"/>
    <w:rsid w:val="00DE25B7"/>
    <w:rsid w:val="00DE3DDF"/>
    <w:rsid w:val="00DE401C"/>
    <w:rsid w:val="00DF00D2"/>
    <w:rsid w:val="00DF093B"/>
    <w:rsid w:val="00DF0980"/>
    <w:rsid w:val="00DF1C4C"/>
    <w:rsid w:val="00DF3162"/>
    <w:rsid w:val="00DF445B"/>
    <w:rsid w:val="00DF6E18"/>
    <w:rsid w:val="00DF6F0B"/>
    <w:rsid w:val="00DF7303"/>
    <w:rsid w:val="00DF7801"/>
    <w:rsid w:val="00E01209"/>
    <w:rsid w:val="00E013D0"/>
    <w:rsid w:val="00E038D5"/>
    <w:rsid w:val="00E03B41"/>
    <w:rsid w:val="00E04353"/>
    <w:rsid w:val="00E05392"/>
    <w:rsid w:val="00E05BA3"/>
    <w:rsid w:val="00E0686A"/>
    <w:rsid w:val="00E077DE"/>
    <w:rsid w:val="00E07F08"/>
    <w:rsid w:val="00E11E12"/>
    <w:rsid w:val="00E12B8B"/>
    <w:rsid w:val="00E145C2"/>
    <w:rsid w:val="00E15BC2"/>
    <w:rsid w:val="00E16EDF"/>
    <w:rsid w:val="00E212D5"/>
    <w:rsid w:val="00E21E79"/>
    <w:rsid w:val="00E24243"/>
    <w:rsid w:val="00E253CD"/>
    <w:rsid w:val="00E278A8"/>
    <w:rsid w:val="00E315E7"/>
    <w:rsid w:val="00E31A14"/>
    <w:rsid w:val="00E32749"/>
    <w:rsid w:val="00E331C5"/>
    <w:rsid w:val="00E33826"/>
    <w:rsid w:val="00E37C18"/>
    <w:rsid w:val="00E41712"/>
    <w:rsid w:val="00E41BC9"/>
    <w:rsid w:val="00E41F34"/>
    <w:rsid w:val="00E437D3"/>
    <w:rsid w:val="00E440EF"/>
    <w:rsid w:val="00E45A59"/>
    <w:rsid w:val="00E4635B"/>
    <w:rsid w:val="00E46901"/>
    <w:rsid w:val="00E5133F"/>
    <w:rsid w:val="00E52013"/>
    <w:rsid w:val="00E52CA8"/>
    <w:rsid w:val="00E5346C"/>
    <w:rsid w:val="00E556FD"/>
    <w:rsid w:val="00E563F0"/>
    <w:rsid w:val="00E5703B"/>
    <w:rsid w:val="00E57E3C"/>
    <w:rsid w:val="00E6014F"/>
    <w:rsid w:val="00E6077A"/>
    <w:rsid w:val="00E64365"/>
    <w:rsid w:val="00E65234"/>
    <w:rsid w:val="00E722DE"/>
    <w:rsid w:val="00E723EE"/>
    <w:rsid w:val="00E7246B"/>
    <w:rsid w:val="00E730FF"/>
    <w:rsid w:val="00E74C6B"/>
    <w:rsid w:val="00E75C35"/>
    <w:rsid w:val="00E76957"/>
    <w:rsid w:val="00E80BAE"/>
    <w:rsid w:val="00E830D7"/>
    <w:rsid w:val="00E8348F"/>
    <w:rsid w:val="00E86809"/>
    <w:rsid w:val="00E90A14"/>
    <w:rsid w:val="00E92413"/>
    <w:rsid w:val="00E92714"/>
    <w:rsid w:val="00E931DD"/>
    <w:rsid w:val="00E94477"/>
    <w:rsid w:val="00E955DA"/>
    <w:rsid w:val="00E96594"/>
    <w:rsid w:val="00EA67B0"/>
    <w:rsid w:val="00EA73F1"/>
    <w:rsid w:val="00EB17FA"/>
    <w:rsid w:val="00EB50E3"/>
    <w:rsid w:val="00EB7A2F"/>
    <w:rsid w:val="00EC0BA7"/>
    <w:rsid w:val="00EC0FEC"/>
    <w:rsid w:val="00EC1B25"/>
    <w:rsid w:val="00EC2487"/>
    <w:rsid w:val="00EC4352"/>
    <w:rsid w:val="00ED3345"/>
    <w:rsid w:val="00ED46D8"/>
    <w:rsid w:val="00ED4BE0"/>
    <w:rsid w:val="00ED6603"/>
    <w:rsid w:val="00EE0837"/>
    <w:rsid w:val="00EE0CE6"/>
    <w:rsid w:val="00EE0D50"/>
    <w:rsid w:val="00EE17AF"/>
    <w:rsid w:val="00EE2CAA"/>
    <w:rsid w:val="00EE3DD1"/>
    <w:rsid w:val="00EE4480"/>
    <w:rsid w:val="00EE59E1"/>
    <w:rsid w:val="00EE5A76"/>
    <w:rsid w:val="00EE67BD"/>
    <w:rsid w:val="00EF1008"/>
    <w:rsid w:val="00EF2148"/>
    <w:rsid w:val="00EF2B68"/>
    <w:rsid w:val="00EF6859"/>
    <w:rsid w:val="00EF728F"/>
    <w:rsid w:val="00EF74EE"/>
    <w:rsid w:val="00EF7709"/>
    <w:rsid w:val="00EF7C9B"/>
    <w:rsid w:val="00F00C68"/>
    <w:rsid w:val="00F022E5"/>
    <w:rsid w:val="00F0520E"/>
    <w:rsid w:val="00F054C1"/>
    <w:rsid w:val="00F05CC9"/>
    <w:rsid w:val="00F06C73"/>
    <w:rsid w:val="00F118A8"/>
    <w:rsid w:val="00F11A49"/>
    <w:rsid w:val="00F11D43"/>
    <w:rsid w:val="00F12429"/>
    <w:rsid w:val="00F13018"/>
    <w:rsid w:val="00F136C7"/>
    <w:rsid w:val="00F141C4"/>
    <w:rsid w:val="00F232CB"/>
    <w:rsid w:val="00F23440"/>
    <w:rsid w:val="00F30A5D"/>
    <w:rsid w:val="00F32F94"/>
    <w:rsid w:val="00F33805"/>
    <w:rsid w:val="00F34096"/>
    <w:rsid w:val="00F34850"/>
    <w:rsid w:val="00F3534A"/>
    <w:rsid w:val="00F40B23"/>
    <w:rsid w:val="00F41774"/>
    <w:rsid w:val="00F421FA"/>
    <w:rsid w:val="00F43B84"/>
    <w:rsid w:val="00F4458F"/>
    <w:rsid w:val="00F454B2"/>
    <w:rsid w:val="00F454CB"/>
    <w:rsid w:val="00F47723"/>
    <w:rsid w:val="00F508B9"/>
    <w:rsid w:val="00F51042"/>
    <w:rsid w:val="00F510AE"/>
    <w:rsid w:val="00F51AAC"/>
    <w:rsid w:val="00F52B0D"/>
    <w:rsid w:val="00F55246"/>
    <w:rsid w:val="00F56E74"/>
    <w:rsid w:val="00F57740"/>
    <w:rsid w:val="00F5785F"/>
    <w:rsid w:val="00F6502D"/>
    <w:rsid w:val="00F65D1A"/>
    <w:rsid w:val="00F70333"/>
    <w:rsid w:val="00F71646"/>
    <w:rsid w:val="00F71D93"/>
    <w:rsid w:val="00F72730"/>
    <w:rsid w:val="00F73A71"/>
    <w:rsid w:val="00F7432A"/>
    <w:rsid w:val="00F75024"/>
    <w:rsid w:val="00F75EBF"/>
    <w:rsid w:val="00F75FF3"/>
    <w:rsid w:val="00F7768F"/>
    <w:rsid w:val="00F81E32"/>
    <w:rsid w:val="00F8318A"/>
    <w:rsid w:val="00F84784"/>
    <w:rsid w:val="00F84B22"/>
    <w:rsid w:val="00F852A9"/>
    <w:rsid w:val="00F86F26"/>
    <w:rsid w:val="00F8711A"/>
    <w:rsid w:val="00F91617"/>
    <w:rsid w:val="00F94AEB"/>
    <w:rsid w:val="00F94CF0"/>
    <w:rsid w:val="00FA021F"/>
    <w:rsid w:val="00FA062A"/>
    <w:rsid w:val="00FA10BB"/>
    <w:rsid w:val="00FA13CC"/>
    <w:rsid w:val="00FA1723"/>
    <w:rsid w:val="00FA25A1"/>
    <w:rsid w:val="00FA38CF"/>
    <w:rsid w:val="00FA3E19"/>
    <w:rsid w:val="00FA4406"/>
    <w:rsid w:val="00FA5603"/>
    <w:rsid w:val="00FA5F55"/>
    <w:rsid w:val="00FA7B73"/>
    <w:rsid w:val="00FB1B27"/>
    <w:rsid w:val="00FB348D"/>
    <w:rsid w:val="00FB5744"/>
    <w:rsid w:val="00FC3A31"/>
    <w:rsid w:val="00FC4CF5"/>
    <w:rsid w:val="00FC59D0"/>
    <w:rsid w:val="00FC6281"/>
    <w:rsid w:val="00FC6E03"/>
    <w:rsid w:val="00FC72B4"/>
    <w:rsid w:val="00FC78FB"/>
    <w:rsid w:val="00FD01E7"/>
    <w:rsid w:val="00FD182C"/>
    <w:rsid w:val="00FD1F0E"/>
    <w:rsid w:val="00FD23E0"/>
    <w:rsid w:val="00FD2F3E"/>
    <w:rsid w:val="00FD42BF"/>
    <w:rsid w:val="00FD430A"/>
    <w:rsid w:val="00FD4EAE"/>
    <w:rsid w:val="00FD511D"/>
    <w:rsid w:val="00FD6811"/>
    <w:rsid w:val="00FE06C0"/>
    <w:rsid w:val="00FE1E68"/>
    <w:rsid w:val="00FE34E1"/>
    <w:rsid w:val="00FE353E"/>
    <w:rsid w:val="00FE38B0"/>
    <w:rsid w:val="00FE39B4"/>
    <w:rsid w:val="00FF1283"/>
    <w:rsid w:val="00FF1939"/>
    <w:rsid w:val="00FF2DAE"/>
    <w:rsid w:val="00FF6CF4"/>
    <w:rsid w:val="00FF73DA"/>
    <w:rsid w:val="01424A8C"/>
    <w:rsid w:val="017E13CE"/>
    <w:rsid w:val="01B165D5"/>
    <w:rsid w:val="01DF2249"/>
    <w:rsid w:val="01FC609D"/>
    <w:rsid w:val="02AA28EC"/>
    <w:rsid w:val="047E2517"/>
    <w:rsid w:val="04FD7FDE"/>
    <w:rsid w:val="05701F56"/>
    <w:rsid w:val="05806A14"/>
    <w:rsid w:val="05EA22D1"/>
    <w:rsid w:val="06222A80"/>
    <w:rsid w:val="064D0344"/>
    <w:rsid w:val="0694451F"/>
    <w:rsid w:val="086207CB"/>
    <w:rsid w:val="092A2FB6"/>
    <w:rsid w:val="0939565F"/>
    <w:rsid w:val="09CC1922"/>
    <w:rsid w:val="0B0C1E1B"/>
    <w:rsid w:val="0B3A221B"/>
    <w:rsid w:val="0C332F3F"/>
    <w:rsid w:val="0CE31071"/>
    <w:rsid w:val="0DAB7107"/>
    <w:rsid w:val="105B62EE"/>
    <w:rsid w:val="10BB760A"/>
    <w:rsid w:val="127F2C24"/>
    <w:rsid w:val="15523C6E"/>
    <w:rsid w:val="15FE68E2"/>
    <w:rsid w:val="162F0ECE"/>
    <w:rsid w:val="166E42F9"/>
    <w:rsid w:val="16BE0AE1"/>
    <w:rsid w:val="174962A6"/>
    <w:rsid w:val="17CF180D"/>
    <w:rsid w:val="18F8191B"/>
    <w:rsid w:val="19BD46CA"/>
    <w:rsid w:val="1A44355C"/>
    <w:rsid w:val="1A8C2FC8"/>
    <w:rsid w:val="1A923BEB"/>
    <w:rsid w:val="1BC37168"/>
    <w:rsid w:val="1C672F58"/>
    <w:rsid w:val="1CA245D7"/>
    <w:rsid w:val="1D4D3331"/>
    <w:rsid w:val="1D556BDA"/>
    <w:rsid w:val="1E650439"/>
    <w:rsid w:val="1EAE7CF2"/>
    <w:rsid w:val="1EE757F3"/>
    <w:rsid w:val="1FD33887"/>
    <w:rsid w:val="201065B0"/>
    <w:rsid w:val="20142B70"/>
    <w:rsid w:val="20C361E5"/>
    <w:rsid w:val="212902D1"/>
    <w:rsid w:val="220A554B"/>
    <w:rsid w:val="22401966"/>
    <w:rsid w:val="227029D9"/>
    <w:rsid w:val="229E3A9E"/>
    <w:rsid w:val="22CA35DE"/>
    <w:rsid w:val="22DE0B0D"/>
    <w:rsid w:val="23235206"/>
    <w:rsid w:val="24C918C4"/>
    <w:rsid w:val="270E7D04"/>
    <w:rsid w:val="27350CA6"/>
    <w:rsid w:val="276D26FF"/>
    <w:rsid w:val="27D0518B"/>
    <w:rsid w:val="288308F0"/>
    <w:rsid w:val="29193154"/>
    <w:rsid w:val="29A5766E"/>
    <w:rsid w:val="29F26D21"/>
    <w:rsid w:val="2A1500D5"/>
    <w:rsid w:val="2AB62B40"/>
    <w:rsid w:val="2AD5251E"/>
    <w:rsid w:val="2B024425"/>
    <w:rsid w:val="2B88310A"/>
    <w:rsid w:val="2CC812EA"/>
    <w:rsid w:val="2EB716CA"/>
    <w:rsid w:val="2F367149"/>
    <w:rsid w:val="2F4E27BA"/>
    <w:rsid w:val="2FC03173"/>
    <w:rsid w:val="308051F4"/>
    <w:rsid w:val="309B5EF3"/>
    <w:rsid w:val="30A7769C"/>
    <w:rsid w:val="315B107A"/>
    <w:rsid w:val="315D7AE9"/>
    <w:rsid w:val="31806635"/>
    <w:rsid w:val="31970B64"/>
    <w:rsid w:val="327F3AA7"/>
    <w:rsid w:val="328732B2"/>
    <w:rsid w:val="345D30CF"/>
    <w:rsid w:val="34F2784A"/>
    <w:rsid w:val="352304E4"/>
    <w:rsid w:val="36300429"/>
    <w:rsid w:val="372307A4"/>
    <w:rsid w:val="377410FB"/>
    <w:rsid w:val="37FB0360"/>
    <w:rsid w:val="3863377A"/>
    <w:rsid w:val="39D72844"/>
    <w:rsid w:val="3B2F6D45"/>
    <w:rsid w:val="3B9C7128"/>
    <w:rsid w:val="3BE47485"/>
    <w:rsid w:val="3BFC0B81"/>
    <w:rsid w:val="3C1F794C"/>
    <w:rsid w:val="3CDD4F75"/>
    <w:rsid w:val="3D0C21D0"/>
    <w:rsid w:val="3D136598"/>
    <w:rsid w:val="3E620DBE"/>
    <w:rsid w:val="3FA816AE"/>
    <w:rsid w:val="40D255C2"/>
    <w:rsid w:val="40F25B94"/>
    <w:rsid w:val="41C205D7"/>
    <w:rsid w:val="42CD5F06"/>
    <w:rsid w:val="434E3EFC"/>
    <w:rsid w:val="44D95148"/>
    <w:rsid w:val="460435C4"/>
    <w:rsid w:val="462B6A4E"/>
    <w:rsid w:val="4A0622BA"/>
    <w:rsid w:val="4A381DEE"/>
    <w:rsid w:val="4A6D12AC"/>
    <w:rsid w:val="4A7B715E"/>
    <w:rsid w:val="4AA84050"/>
    <w:rsid w:val="4AA94FAD"/>
    <w:rsid w:val="4B333010"/>
    <w:rsid w:val="4BFD2B8F"/>
    <w:rsid w:val="4C151F93"/>
    <w:rsid w:val="4CE32FF4"/>
    <w:rsid w:val="515B1262"/>
    <w:rsid w:val="517E6193"/>
    <w:rsid w:val="51AF2D32"/>
    <w:rsid w:val="51DD3DFA"/>
    <w:rsid w:val="51F95871"/>
    <w:rsid w:val="52DE6D4B"/>
    <w:rsid w:val="53291569"/>
    <w:rsid w:val="53330CBE"/>
    <w:rsid w:val="53F75559"/>
    <w:rsid w:val="54323668"/>
    <w:rsid w:val="54BD03C7"/>
    <w:rsid w:val="54EE6184"/>
    <w:rsid w:val="5558742F"/>
    <w:rsid w:val="55933B91"/>
    <w:rsid w:val="55CF3E76"/>
    <w:rsid w:val="56C1023F"/>
    <w:rsid w:val="56EC085A"/>
    <w:rsid w:val="57530924"/>
    <w:rsid w:val="59AA352E"/>
    <w:rsid w:val="59E243D5"/>
    <w:rsid w:val="5A2E08A7"/>
    <w:rsid w:val="5AD874ED"/>
    <w:rsid w:val="5B046076"/>
    <w:rsid w:val="5C621811"/>
    <w:rsid w:val="5C926C2F"/>
    <w:rsid w:val="5D630B3A"/>
    <w:rsid w:val="6037366A"/>
    <w:rsid w:val="608108FD"/>
    <w:rsid w:val="639E6594"/>
    <w:rsid w:val="64BA3FA6"/>
    <w:rsid w:val="66B40889"/>
    <w:rsid w:val="66E56CA7"/>
    <w:rsid w:val="67227709"/>
    <w:rsid w:val="68686747"/>
    <w:rsid w:val="697050DE"/>
    <w:rsid w:val="6ABD741F"/>
    <w:rsid w:val="6BFB49B3"/>
    <w:rsid w:val="6C050AB5"/>
    <w:rsid w:val="6DA95AEB"/>
    <w:rsid w:val="6FC35536"/>
    <w:rsid w:val="7162540F"/>
    <w:rsid w:val="71EA0F15"/>
    <w:rsid w:val="7231667E"/>
    <w:rsid w:val="728E61B8"/>
    <w:rsid w:val="72C16732"/>
    <w:rsid w:val="75E47AD5"/>
    <w:rsid w:val="762F4262"/>
    <w:rsid w:val="76A66AC6"/>
    <w:rsid w:val="777E462C"/>
    <w:rsid w:val="77A07967"/>
    <w:rsid w:val="782177DC"/>
    <w:rsid w:val="78C92B00"/>
    <w:rsid w:val="7A033BF3"/>
    <w:rsid w:val="7ADA6145"/>
    <w:rsid w:val="7B0E47AB"/>
    <w:rsid w:val="7B596F9C"/>
    <w:rsid w:val="7B624EF8"/>
    <w:rsid w:val="7B98781F"/>
    <w:rsid w:val="7C650DE8"/>
    <w:rsid w:val="7D5B49CB"/>
    <w:rsid w:val="7EBC78D9"/>
    <w:rsid w:val="7F9C0F83"/>
    <w:rsid w:val="7FCC0A7B"/>
    <w:rsid w:val="7FD85C60"/>
    <w:rsid w:val="7FE02E7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0" w:name="footnote reference"/>
    <w:lsdException w:qFormat="1" w:uiPriority="99" w:name="annotation reference"/>
    <w:lsdException w:uiPriority="99" w:name="line number"/>
    <w:lsdException w:qFormat="1" w:uiPriority="0"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60"/>
      </w:tabs>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4"/>
    <w:qFormat/>
    <w:uiPriority w:val="9"/>
    <w:pPr>
      <w:keepNext/>
      <w:keepLines/>
      <w:numPr>
        <w:ilvl w:val="0"/>
        <w:numId w:val="1"/>
      </w:numPr>
      <w:spacing w:beforeLines="50" w:afterLines="50"/>
      <w:outlineLvl w:val="0"/>
    </w:pPr>
    <w:rPr>
      <w:b/>
      <w:bCs/>
      <w:kern w:val="44"/>
      <w:sz w:val="28"/>
      <w:szCs w:val="44"/>
    </w:rPr>
  </w:style>
  <w:style w:type="paragraph" w:styleId="4">
    <w:name w:val="heading 2"/>
    <w:basedOn w:val="1"/>
    <w:next w:val="1"/>
    <w:link w:val="55"/>
    <w:unhideWhenUsed/>
    <w:qFormat/>
    <w:uiPriority w:val="0"/>
    <w:pPr>
      <w:keepNext/>
      <w:keepLines/>
      <w:tabs>
        <w:tab w:val="clear" w:pos="360"/>
      </w:tabs>
      <w:jc w:val="left"/>
      <w:outlineLvl w:val="1"/>
    </w:pPr>
    <w:rPr>
      <w:b/>
      <w:bCs/>
      <w:szCs w:val="32"/>
    </w:rPr>
  </w:style>
  <w:style w:type="paragraph" w:styleId="5">
    <w:name w:val="heading 3"/>
    <w:basedOn w:val="1"/>
    <w:next w:val="1"/>
    <w:link w:val="56"/>
    <w:unhideWhenUsed/>
    <w:qFormat/>
    <w:uiPriority w:val="9"/>
    <w:pPr>
      <w:keepNext/>
      <w:keepLines/>
      <w:tabs>
        <w:tab w:val="left" w:pos="851"/>
        <w:tab w:val="clear" w:pos="360"/>
      </w:tabs>
      <w:jc w:val="left"/>
      <w:outlineLvl w:val="2"/>
    </w:pPr>
    <w:rPr>
      <w:rFonts w:asciiTheme="minorEastAsia" w:hAnsiTheme="minorEastAsia" w:eastAsiaTheme="minorEastAsia"/>
      <w:b/>
      <w:bCs/>
    </w:rPr>
  </w:style>
  <w:style w:type="paragraph" w:styleId="6">
    <w:name w:val="heading 4"/>
    <w:basedOn w:val="1"/>
    <w:next w:val="1"/>
    <w:link w:val="57"/>
    <w:unhideWhenUsed/>
    <w:qFormat/>
    <w:uiPriority w:val="9"/>
    <w:pPr>
      <w:keepNext/>
      <w:keepLines/>
      <w:tabs>
        <w:tab w:val="clear" w:pos="360"/>
      </w:tabs>
      <w:spacing w:before="280" w:after="290" w:line="377" w:lineRule="auto"/>
      <w:outlineLvl w:val="3"/>
    </w:pPr>
    <w:rPr>
      <w:rFonts w:ascii="Cambria" w:hAnsi="Cambria"/>
      <w:b/>
      <w:bCs/>
      <w:sz w:val="28"/>
      <w:szCs w:val="28"/>
    </w:rPr>
  </w:style>
  <w:style w:type="paragraph" w:styleId="7">
    <w:name w:val="heading 5"/>
    <w:basedOn w:val="1"/>
    <w:next w:val="1"/>
    <w:link w:val="58"/>
    <w:unhideWhenUsed/>
    <w:qFormat/>
    <w:uiPriority w:val="9"/>
    <w:pPr>
      <w:keepNext/>
      <w:keepLines/>
      <w:tabs>
        <w:tab w:val="clear" w:pos="360"/>
      </w:tabs>
      <w:spacing w:before="280" w:after="290" w:line="377" w:lineRule="auto"/>
      <w:outlineLvl w:val="4"/>
    </w:pPr>
    <w:rPr>
      <w:b/>
      <w:bCs/>
      <w:sz w:val="28"/>
      <w:szCs w:val="28"/>
    </w:rPr>
  </w:style>
  <w:style w:type="paragraph" w:styleId="8">
    <w:name w:val="heading 6"/>
    <w:basedOn w:val="1"/>
    <w:next w:val="1"/>
    <w:link w:val="59"/>
    <w:unhideWhenUsed/>
    <w:qFormat/>
    <w:uiPriority w:val="0"/>
    <w:pPr>
      <w:keepNext/>
      <w:keepLines/>
      <w:tabs>
        <w:tab w:val="clear" w:pos="360"/>
      </w:tabs>
      <w:spacing w:before="240" w:after="64" w:line="320" w:lineRule="auto"/>
      <w:outlineLvl w:val="5"/>
    </w:pPr>
    <w:rPr>
      <w:rFonts w:ascii="Cambria" w:hAnsi="Cambria"/>
      <w:b/>
      <w:bCs/>
    </w:rPr>
  </w:style>
  <w:style w:type="paragraph" w:styleId="9">
    <w:name w:val="heading 7"/>
    <w:basedOn w:val="1"/>
    <w:next w:val="1"/>
    <w:link w:val="60"/>
    <w:unhideWhenUsed/>
    <w:qFormat/>
    <w:uiPriority w:val="0"/>
    <w:pPr>
      <w:keepNext/>
      <w:keepLines/>
      <w:tabs>
        <w:tab w:val="clear" w:pos="360"/>
      </w:tabs>
      <w:spacing w:before="240" w:after="64" w:line="320" w:lineRule="auto"/>
      <w:outlineLvl w:val="6"/>
    </w:pPr>
    <w:rPr>
      <w:b/>
      <w:bCs/>
    </w:rPr>
  </w:style>
  <w:style w:type="paragraph" w:styleId="10">
    <w:name w:val="heading 8"/>
    <w:basedOn w:val="1"/>
    <w:next w:val="1"/>
    <w:link w:val="61"/>
    <w:unhideWhenUsed/>
    <w:qFormat/>
    <w:uiPriority w:val="0"/>
    <w:pPr>
      <w:keepNext/>
      <w:keepLines/>
      <w:tabs>
        <w:tab w:val="clear" w:pos="360"/>
      </w:tabs>
      <w:spacing w:before="240" w:after="64" w:line="320" w:lineRule="auto"/>
      <w:outlineLvl w:val="7"/>
    </w:pPr>
    <w:rPr>
      <w:rFonts w:ascii="Cambria" w:hAnsi="Cambria"/>
    </w:rPr>
  </w:style>
  <w:style w:type="paragraph" w:styleId="11">
    <w:name w:val="heading 9"/>
    <w:basedOn w:val="1"/>
    <w:next w:val="1"/>
    <w:link w:val="62"/>
    <w:unhideWhenUsed/>
    <w:qFormat/>
    <w:uiPriority w:val="0"/>
    <w:pPr>
      <w:keepNext/>
      <w:keepLines/>
      <w:tabs>
        <w:tab w:val="clear" w:pos="360"/>
      </w:tabs>
      <w:spacing w:before="240" w:after="64" w:line="320" w:lineRule="auto"/>
      <w:outlineLvl w:val="8"/>
    </w:pPr>
    <w:rPr>
      <w:rFonts w:ascii="Cambria" w:hAnsi="Cambria"/>
      <w:sz w:val="21"/>
      <w:szCs w:val="21"/>
    </w:rPr>
  </w:style>
  <w:style w:type="character" w:default="1" w:styleId="48">
    <w:name w:val="Default Paragraph Font"/>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widowControl/>
      <w:spacing w:after="200" w:line="276" w:lineRule="auto"/>
      <w:ind w:firstLine="420" w:firstLineChars="200"/>
      <w:jc w:val="left"/>
    </w:pPr>
    <w:rPr>
      <w:kern w:val="0"/>
      <w:sz w:val="20"/>
    </w:rPr>
  </w:style>
  <w:style w:type="paragraph" w:styleId="12">
    <w:name w:val="List Number 2"/>
    <w:basedOn w:val="1"/>
    <w:qFormat/>
    <w:uiPriority w:val="0"/>
    <w:pPr>
      <w:widowControl/>
      <w:tabs>
        <w:tab w:val="left" w:pos="425"/>
        <w:tab w:val="left" w:pos="780"/>
        <w:tab w:val="clear" w:pos="360"/>
      </w:tabs>
      <w:spacing w:line="240" w:lineRule="auto"/>
      <w:ind w:left="200" w:leftChars="200" w:hanging="200" w:hangingChars="200"/>
      <w:jc w:val="left"/>
    </w:pPr>
    <w:rPr>
      <w:rFonts w:hint="eastAsia" w:ascii="Calibri" w:hAnsi="Calibri" w:cs="黑体"/>
      <w:szCs w:val="22"/>
      <w:lang w:eastAsia="en-US"/>
    </w:rPr>
  </w:style>
  <w:style w:type="paragraph" w:styleId="13">
    <w:name w:val="index 8"/>
    <w:basedOn w:val="1"/>
    <w:next w:val="1"/>
    <w:qFormat/>
    <w:uiPriority w:val="0"/>
    <w:pPr>
      <w:tabs>
        <w:tab w:val="clear" w:pos="360"/>
      </w:tabs>
      <w:spacing w:line="240" w:lineRule="auto"/>
      <w:ind w:left="1680" w:hanging="210"/>
      <w:jc w:val="left"/>
    </w:pPr>
    <w:rPr>
      <w:rFonts w:ascii="Calibri" w:hAnsi="Calibri"/>
      <w:sz w:val="20"/>
      <w:szCs w:val="20"/>
    </w:rPr>
  </w:style>
  <w:style w:type="paragraph" w:styleId="14">
    <w:name w:val="caption"/>
    <w:basedOn w:val="1"/>
    <w:next w:val="1"/>
    <w:qFormat/>
    <w:uiPriority w:val="0"/>
    <w:pPr>
      <w:tabs>
        <w:tab w:val="left" w:pos="1040"/>
        <w:tab w:val="clear" w:pos="360"/>
      </w:tabs>
      <w:adjustRightInd w:val="0"/>
      <w:snapToGrid w:val="0"/>
      <w:spacing w:before="120" w:after="120" w:line="336" w:lineRule="auto"/>
      <w:ind w:firstLine="567"/>
      <w:jc w:val="center"/>
    </w:pPr>
    <w:rPr>
      <w:rFonts w:ascii="Univers" w:hAnsi="Univers"/>
      <w:b/>
      <w:kern w:val="0"/>
      <w:sz w:val="28"/>
      <w:szCs w:val="20"/>
    </w:rPr>
  </w:style>
  <w:style w:type="paragraph" w:styleId="15">
    <w:name w:val="index 5"/>
    <w:basedOn w:val="1"/>
    <w:next w:val="1"/>
    <w:qFormat/>
    <w:uiPriority w:val="0"/>
    <w:pPr>
      <w:tabs>
        <w:tab w:val="clear" w:pos="360"/>
      </w:tabs>
      <w:spacing w:line="240" w:lineRule="auto"/>
      <w:ind w:left="1050" w:hanging="210"/>
      <w:jc w:val="left"/>
    </w:pPr>
    <w:rPr>
      <w:rFonts w:ascii="Calibri" w:hAnsi="Calibri"/>
      <w:sz w:val="20"/>
      <w:szCs w:val="20"/>
    </w:rPr>
  </w:style>
  <w:style w:type="paragraph" w:styleId="16">
    <w:name w:val="Document Map"/>
    <w:basedOn w:val="1"/>
    <w:link w:val="78"/>
    <w:semiHidden/>
    <w:unhideWhenUsed/>
    <w:qFormat/>
    <w:uiPriority w:val="0"/>
    <w:rPr>
      <w:rFonts w:ascii="宋体"/>
      <w:sz w:val="18"/>
      <w:szCs w:val="18"/>
    </w:rPr>
  </w:style>
  <w:style w:type="paragraph" w:styleId="17">
    <w:name w:val="annotation text"/>
    <w:basedOn w:val="1"/>
    <w:link w:val="79"/>
    <w:semiHidden/>
    <w:unhideWhenUsed/>
    <w:qFormat/>
    <w:uiPriority w:val="99"/>
    <w:pPr>
      <w:jc w:val="left"/>
    </w:pPr>
  </w:style>
  <w:style w:type="paragraph" w:styleId="18">
    <w:name w:val="index 6"/>
    <w:basedOn w:val="1"/>
    <w:next w:val="1"/>
    <w:qFormat/>
    <w:uiPriority w:val="0"/>
    <w:pPr>
      <w:tabs>
        <w:tab w:val="clear" w:pos="360"/>
      </w:tabs>
      <w:spacing w:line="240" w:lineRule="auto"/>
      <w:ind w:left="1260" w:hanging="210"/>
      <w:jc w:val="left"/>
    </w:pPr>
    <w:rPr>
      <w:rFonts w:ascii="Calibri" w:hAnsi="Calibri"/>
      <w:sz w:val="20"/>
      <w:szCs w:val="20"/>
    </w:rPr>
  </w:style>
  <w:style w:type="paragraph" w:styleId="19">
    <w:name w:val="Body Text 3"/>
    <w:basedOn w:val="1"/>
    <w:link w:val="195"/>
    <w:unhideWhenUsed/>
    <w:qFormat/>
    <w:uiPriority w:val="99"/>
    <w:pPr>
      <w:spacing w:after="120" w:line="240" w:lineRule="auto"/>
    </w:pPr>
    <w:rPr>
      <w:rFonts w:eastAsia="仿宋_GB2312"/>
      <w:sz w:val="16"/>
      <w:szCs w:val="16"/>
    </w:rPr>
  </w:style>
  <w:style w:type="paragraph" w:styleId="20">
    <w:name w:val="List Bullet 3"/>
    <w:basedOn w:val="1"/>
    <w:qFormat/>
    <w:uiPriority w:val="0"/>
    <w:pPr>
      <w:widowControl/>
      <w:tabs>
        <w:tab w:val="left" w:pos="420"/>
        <w:tab w:val="left" w:pos="1620"/>
        <w:tab w:val="clear" w:pos="360"/>
      </w:tabs>
      <w:spacing w:line="240" w:lineRule="auto"/>
      <w:ind w:left="600" w:leftChars="600" w:hanging="200" w:hangingChars="200"/>
      <w:jc w:val="left"/>
    </w:pPr>
    <w:rPr>
      <w:rFonts w:hint="eastAsia" w:ascii="Calibri" w:hAnsi="Calibri" w:cs="黑体"/>
      <w:szCs w:val="22"/>
      <w:lang w:eastAsia="en-US"/>
    </w:rPr>
  </w:style>
  <w:style w:type="paragraph" w:styleId="21">
    <w:name w:val="List Number 3"/>
    <w:basedOn w:val="1"/>
    <w:qFormat/>
    <w:uiPriority w:val="0"/>
    <w:pPr>
      <w:widowControl/>
      <w:tabs>
        <w:tab w:val="left" w:pos="420"/>
        <w:tab w:val="left" w:pos="1200"/>
        <w:tab w:val="clear" w:pos="360"/>
      </w:tabs>
      <w:spacing w:line="240" w:lineRule="auto"/>
      <w:ind w:left="400" w:leftChars="400" w:hanging="200" w:hangingChars="200"/>
      <w:jc w:val="left"/>
    </w:pPr>
    <w:rPr>
      <w:rFonts w:hint="eastAsia" w:ascii="Calibri" w:hAnsi="Calibri" w:cs="黑体"/>
      <w:szCs w:val="22"/>
      <w:lang w:eastAsia="en-US"/>
    </w:rPr>
  </w:style>
  <w:style w:type="paragraph" w:styleId="22">
    <w:name w:val="List Bullet 2"/>
    <w:basedOn w:val="1"/>
    <w:qFormat/>
    <w:uiPriority w:val="0"/>
    <w:pPr>
      <w:widowControl/>
      <w:tabs>
        <w:tab w:val="left" w:pos="425"/>
        <w:tab w:val="left" w:pos="1200"/>
        <w:tab w:val="clear" w:pos="360"/>
      </w:tabs>
      <w:spacing w:line="240" w:lineRule="auto"/>
      <w:ind w:left="400" w:leftChars="400" w:hanging="200" w:hangingChars="200"/>
      <w:jc w:val="left"/>
    </w:pPr>
    <w:rPr>
      <w:rFonts w:hint="eastAsia" w:ascii="Calibri" w:hAnsi="Calibri" w:cs="黑体"/>
      <w:szCs w:val="22"/>
      <w:lang w:eastAsia="en-US"/>
    </w:rPr>
  </w:style>
  <w:style w:type="paragraph" w:styleId="23">
    <w:name w:val="index 4"/>
    <w:basedOn w:val="1"/>
    <w:next w:val="1"/>
    <w:qFormat/>
    <w:uiPriority w:val="0"/>
    <w:pPr>
      <w:tabs>
        <w:tab w:val="clear" w:pos="360"/>
      </w:tabs>
      <w:spacing w:line="240" w:lineRule="auto"/>
      <w:ind w:left="840" w:hanging="210"/>
      <w:jc w:val="left"/>
    </w:pPr>
    <w:rPr>
      <w:rFonts w:ascii="Calibri" w:hAnsi="Calibri"/>
      <w:sz w:val="20"/>
      <w:szCs w:val="20"/>
    </w:rPr>
  </w:style>
  <w:style w:type="paragraph" w:styleId="24">
    <w:name w:val="toc 3"/>
    <w:basedOn w:val="1"/>
    <w:next w:val="1"/>
    <w:qFormat/>
    <w:uiPriority w:val="39"/>
    <w:pPr>
      <w:tabs>
        <w:tab w:val="left" w:pos="1370"/>
        <w:tab w:val="right" w:leader="dot" w:pos="9072"/>
        <w:tab w:val="clear" w:pos="360"/>
      </w:tabs>
      <w:ind w:left="720" w:leftChars="300"/>
      <w:jc w:val="left"/>
    </w:pPr>
    <w:rPr>
      <w:rFonts w:asciiTheme="minorHAnsi" w:hAnsiTheme="minorHAnsi" w:cstheme="minorHAnsi"/>
      <w:i/>
      <w:iCs/>
      <w:sz w:val="20"/>
      <w:szCs w:val="20"/>
    </w:rPr>
  </w:style>
  <w:style w:type="paragraph" w:styleId="25">
    <w:name w:val="List Bullet 5"/>
    <w:basedOn w:val="1"/>
    <w:qFormat/>
    <w:uiPriority w:val="0"/>
    <w:pPr>
      <w:widowControl/>
      <w:tabs>
        <w:tab w:val="left" w:pos="1022"/>
      </w:tabs>
      <w:spacing w:line="240" w:lineRule="auto"/>
      <w:ind w:left="1022" w:hanging="200" w:hangingChars="200"/>
      <w:jc w:val="left"/>
    </w:pPr>
    <w:rPr>
      <w:rFonts w:hint="eastAsia" w:ascii="Calibri" w:hAnsi="Calibri" w:cs="黑体"/>
      <w:szCs w:val="22"/>
      <w:lang w:eastAsia="en-US"/>
    </w:rPr>
  </w:style>
  <w:style w:type="paragraph" w:styleId="26">
    <w:name w:val="List Number 4"/>
    <w:basedOn w:val="1"/>
    <w:qFormat/>
    <w:uiPriority w:val="0"/>
    <w:pPr>
      <w:widowControl/>
      <w:tabs>
        <w:tab w:val="left" w:pos="840"/>
        <w:tab w:val="left" w:pos="1620"/>
        <w:tab w:val="clear" w:pos="360"/>
      </w:tabs>
      <w:spacing w:line="240" w:lineRule="auto"/>
      <w:ind w:left="600" w:leftChars="600" w:hanging="200" w:hangingChars="200"/>
      <w:jc w:val="left"/>
    </w:pPr>
    <w:rPr>
      <w:rFonts w:hint="eastAsia" w:ascii="Calibri" w:hAnsi="Calibri" w:cs="黑体"/>
      <w:szCs w:val="22"/>
      <w:lang w:eastAsia="en-US"/>
    </w:rPr>
  </w:style>
  <w:style w:type="paragraph" w:styleId="27">
    <w:name w:val="index 3"/>
    <w:basedOn w:val="1"/>
    <w:next w:val="1"/>
    <w:qFormat/>
    <w:uiPriority w:val="0"/>
    <w:pPr>
      <w:tabs>
        <w:tab w:val="clear" w:pos="360"/>
      </w:tabs>
      <w:spacing w:line="240" w:lineRule="auto"/>
      <w:ind w:left="630" w:hanging="210"/>
      <w:jc w:val="left"/>
    </w:pPr>
    <w:rPr>
      <w:rFonts w:ascii="Calibri" w:hAnsi="Calibri"/>
      <w:sz w:val="20"/>
      <w:szCs w:val="20"/>
    </w:rPr>
  </w:style>
  <w:style w:type="paragraph" w:styleId="28">
    <w:name w:val="endnote text"/>
    <w:basedOn w:val="1"/>
    <w:link w:val="171"/>
    <w:semiHidden/>
    <w:qFormat/>
    <w:uiPriority w:val="0"/>
    <w:pPr>
      <w:tabs>
        <w:tab w:val="clear" w:pos="360"/>
      </w:tabs>
      <w:snapToGrid w:val="0"/>
      <w:spacing w:line="240" w:lineRule="auto"/>
      <w:jc w:val="left"/>
    </w:pPr>
    <w:rPr>
      <w:sz w:val="21"/>
    </w:rPr>
  </w:style>
  <w:style w:type="paragraph" w:styleId="29">
    <w:name w:val="Balloon Text"/>
    <w:basedOn w:val="1"/>
    <w:link w:val="75"/>
    <w:unhideWhenUsed/>
    <w:qFormat/>
    <w:uiPriority w:val="0"/>
    <w:rPr>
      <w:sz w:val="18"/>
      <w:szCs w:val="18"/>
    </w:rPr>
  </w:style>
  <w:style w:type="paragraph" w:styleId="30">
    <w:name w:val="footer"/>
    <w:basedOn w:val="1"/>
    <w:link w:val="66"/>
    <w:unhideWhenUsed/>
    <w:qFormat/>
    <w:uiPriority w:val="99"/>
    <w:pPr>
      <w:tabs>
        <w:tab w:val="center" w:pos="4153"/>
        <w:tab w:val="right" w:pos="8306"/>
        <w:tab w:val="clear" w:pos="360"/>
      </w:tabs>
      <w:snapToGrid w:val="0"/>
      <w:ind w:firstLine="560" w:firstLineChars="200"/>
      <w:jc w:val="left"/>
    </w:pPr>
    <w:rPr>
      <w:sz w:val="18"/>
      <w:szCs w:val="18"/>
    </w:rPr>
  </w:style>
  <w:style w:type="paragraph" w:styleId="31">
    <w:name w:val="header"/>
    <w:basedOn w:val="1"/>
    <w:link w:val="65"/>
    <w:unhideWhenUsed/>
    <w:qFormat/>
    <w:uiPriority w:val="0"/>
    <w:pPr>
      <w:pBdr>
        <w:bottom w:val="single" w:color="auto" w:sz="6" w:space="1"/>
      </w:pBdr>
      <w:tabs>
        <w:tab w:val="center" w:pos="4153"/>
        <w:tab w:val="right" w:pos="8306"/>
        <w:tab w:val="clear" w:pos="360"/>
      </w:tabs>
      <w:snapToGrid w:val="0"/>
      <w:jc w:val="center"/>
    </w:pPr>
    <w:rPr>
      <w:sz w:val="18"/>
      <w:szCs w:val="18"/>
    </w:rPr>
  </w:style>
  <w:style w:type="paragraph" w:styleId="32">
    <w:name w:val="toc 1"/>
    <w:basedOn w:val="1"/>
    <w:next w:val="1"/>
    <w:qFormat/>
    <w:uiPriority w:val="39"/>
    <w:pPr>
      <w:tabs>
        <w:tab w:val="left" w:pos="320"/>
        <w:tab w:val="right" w:leader="dot" w:pos="9072"/>
        <w:tab w:val="clear" w:pos="360"/>
      </w:tabs>
      <w:jc w:val="left"/>
    </w:pPr>
    <w:rPr>
      <w:rFonts w:cstheme="minorHAnsi"/>
      <w:b/>
      <w:bCs/>
      <w:caps/>
    </w:rPr>
  </w:style>
  <w:style w:type="paragraph" w:styleId="33">
    <w:name w:val="index heading"/>
    <w:basedOn w:val="1"/>
    <w:next w:val="34"/>
    <w:qFormat/>
    <w:uiPriority w:val="0"/>
    <w:pPr>
      <w:tabs>
        <w:tab w:val="clear" w:pos="360"/>
      </w:tabs>
      <w:spacing w:before="120" w:after="120" w:line="240" w:lineRule="auto"/>
      <w:jc w:val="center"/>
    </w:pPr>
    <w:rPr>
      <w:rFonts w:ascii="Calibri" w:hAnsi="Calibri"/>
      <w:b/>
      <w:bCs/>
      <w:iCs/>
      <w:sz w:val="21"/>
      <w:szCs w:val="20"/>
    </w:rPr>
  </w:style>
  <w:style w:type="paragraph" w:styleId="34">
    <w:name w:val="index 1"/>
    <w:basedOn w:val="1"/>
    <w:next w:val="35"/>
    <w:qFormat/>
    <w:uiPriority w:val="0"/>
    <w:pPr>
      <w:tabs>
        <w:tab w:val="right" w:leader="dot" w:pos="9299"/>
        <w:tab w:val="clear" w:pos="360"/>
      </w:tabs>
      <w:spacing w:line="240" w:lineRule="auto"/>
      <w:jc w:val="left"/>
    </w:pPr>
    <w:rPr>
      <w:rFonts w:ascii="宋体"/>
      <w:sz w:val="21"/>
      <w:szCs w:val="21"/>
    </w:rPr>
  </w:style>
  <w:style w:type="paragraph" w:customStyle="1" w:styleId="35">
    <w:name w:val="段"/>
    <w:link w:val="8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6">
    <w:name w:val="List Number 5"/>
    <w:basedOn w:val="1"/>
    <w:qFormat/>
    <w:uiPriority w:val="0"/>
    <w:pPr>
      <w:widowControl/>
      <w:tabs>
        <w:tab w:val="left" w:pos="1680"/>
        <w:tab w:val="left" w:pos="2040"/>
        <w:tab w:val="clear" w:pos="360"/>
      </w:tabs>
      <w:spacing w:line="240" w:lineRule="auto"/>
      <w:ind w:left="800" w:leftChars="800" w:hanging="200" w:hangingChars="200"/>
      <w:jc w:val="left"/>
    </w:pPr>
    <w:rPr>
      <w:rFonts w:hint="eastAsia" w:ascii="Calibri" w:hAnsi="Calibri" w:cs="黑体"/>
      <w:szCs w:val="22"/>
      <w:lang w:eastAsia="en-US"/>
    </w:rPr>
  </w:style>
  <w:style w:type="paragraph" w:styleId="37">
    <w:name w:val="footnote text"/>
    <w:basedOn w:val="1"/>
    <w:link w:val="153"/>
    <w:qFormat/>
    <w:uiPriority w:val="0"/>
    <w:pPr>
      <w:tabs>
        <w:tab w:val="left" w:pos="0"/>
        <w:tab w:val="clear" w:pos="360"/>
      </w:tabs>
      <w:snapToGrid w:val="0"/>
      <w:spacing w:line="240" w:lineRule="auto"/>
      <w:ind w:left="720" w:hanging="357"/>
      <w:jc w:val="left"/>
    </w:pPr>
    <w:rPr>
      <w:rFonts w:ascii="宋体"/>
      <w:sz w:val="18"/>
      <w:szCs w:val="18"/>
    </w:rPr>
  </w:style>
  <w:style w:type="paragraph" w:styleId="38">
    <w:name w:val="index 7"/>
    <w:basedOn w:val="1"/>
    <w:next w:val="1"/>
    <w:qFormat/>
    <w:uiPriority w:val="0"/>
    <w:pPr>
      <w:tabs>
        <w:tab w:val="clear" w:pos="360"/>
      </w:tabs>
      <w:spacing w:line="240" w:lineRule="auto"/>
      <w:ind w:left="1470" w:hanging="210"/>
      <w:jc w:val="left"/>
    </w:pPr>
    <w:rPr>
      <w:rFonts w:ascii="Calibri" w:hAnsi="Calibri"/>
      <w:sz w:val="20"/>
      <w:szCs w:val="20"/>
    </w:rPr>
  </w:style>
  <w:style w:type="paragraph" w:styleId="39">
    <w:name w:val="index 9"/>
    <w:basedOn w:val="1"/>
    <w:next w:val="1"/>
    <w:qFormat/>
    <w:uiPriority w:val="0"/>
    <w:pPr>
      <w:tabs>
        <w:tab w:val="clear" w:pos="360"/>
      </w:tabs>
      <w:spacing w:line="240" w:lineRule="auto"/>
      <w:ind w:left="1890" w:hanging="210"/>
      <w:jc w:val="left"/>
    </w:pPr>
    <w:rPr>
      <w:rFonts w:ascii="Calibri" w:hAnsi="Calibri"/>
      <w:sz w:val="20"/>
      <w:szCs w:val="20"/>
    </w:rPr>
  </w:style>
  <w:style w:type="paragraph" w:styleId="40">
    <w:name w:val="toc 2"/>
    <w:basedOn w:val="1"/>
    <w:next w:val="1"/>
    <w:qFormat/>
    <w:uiPriority w:val="39"/>
    <w:pPr>
      <w:tabs>
        <w:tab w:val="left" w:pos="665"/>
        <w:tab w:val="right" w:leader="dot" w:pos="9072"/>
        <w:tab w:val="clear" w:pos="360"/>
      </w:tabs>
      <w:ind w:left="240" w:leftChars="100"/>
      <w:jc w:val="left"/>
    </w:pPr>
    <w:rPr>
      <w:rFonts w:asciiTheme="minorEastAsia" w:hAnsiTheme="minorEastAsia" w:eastAsiaTheme="minorEastAsia"/>
      <w:smallCaps/>
    </w:rPr>
  </w:style>
  <w:style w:type="paragraph" w:styleId="41">
    <w:name w:val="Body Text 2"/>
    <w:basedOn w:val="1"/>
    <w:link w:val="193"/>
    <w:unhideWhenUsed/>
    <w:qFormat/>
    <w:uiPriority w:val="99"/>
    <w:pPr>
      <w:spacing w:after="120" w:line="480" w:lineRule="auto"/>
    </w:pPr>
    <w:rPr>
      <w:rFonts w:eastAsia="仿宋_GB2312"/>
    </w:rPr>
  </w:style>
  <w:style w:type="paragraph" w:styleId="42">
    <w:name w:val="Normal (Web)"/>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rPr>
  </w:style>
  <w:style w:type="paragraph" w:styleId="43">
    <w:name w:val="index 2"/>
    <w:basedOn w:val="1"/>
    <w:next w:val="1"/>
    <w:qFormat/>
    <w:uiPriority w:val="0"/>
    <w:pPr>
      <w:tabs>
        <w:tab w:val="clear" w:pos="360"/>
      </w:tabs>
      <w:spacing w:line="240" w:lineRule="auto"/>
      <w:ind w:left="420" w:hanging="210"/>
      <w:jc w:val="left"/>
    </w:pPr>
    <w:rPr>
      <w:rFonts w:ascii="Calibri" w:hAnsi="Calibri"/>
      <w:sz w:val="20"/>
      <w:szCs w:val="20"/>
    </w:rPr>
  </w:style>
  <w:style w:type="paragraph" w:styleId="44">
    <w:name w:val="Title"/>
    <w:basedOn w:val="1"/>
    <w:next w:val="1"/>
    <w:link w:val="186"/>
    <w:qFormat/>
    <w:uiPriority w:val="0"/>
    <w:pPr>
      <w:tabs>
        <w:tab w:val="clear" w:pos="360"/>
      </w:tabs>
      <w:spacing w:before="640" w:after="560" w:line="460" w:lineRule="exact"/>
      <w:jc w:val="center"/>
      <w:outlineLvl w:val="0"/>
    </w:pPr>
    <w:rPr>
      <w:rFonts w:ascii="Cambria" w:hAnsi="Cambria"/>
      <w:b/>
      <w:bCs/>
      <w:sz w:val="32"/>
      <w:szCs w:val="32"/>
    </w:rPr>
  </w:style>
  <w:style w:type="paragraph" w:styleId="45">
    <w:name w:val="annotation subject"/>
    <w:basedOn w:val="17"/>
    <w:next w:val="17"/>
    <w:link w:val="80"/>
    <w:semiHidden/>
    <w:unhideWhenUsed/>
    <w:qFormat/>
    <w:uiPriority w:val="99"/>
    <w:rPr>
      <w:b/>
      <w:bCs/>
    </w:rPr>
  </w:style>
  <w:style w:type="table" w:styleId="47">
    <w:name w:val="Table Grid"/>
    <w:basedOn w:val="4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unhideWhenUsed/>
    <w:qFormat/>
    <w:uiPriority w:val="0"/>
    <w:rPr>
      <w:rFonts w:eastAsiaTheme="minorEastAsia" w:cstheme="minorBidi"/>
      <w:szCs w:val="22"/>
      <w:lang w:eastAsia="zh-CN"/>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8"/>
    <w:semiHidden/>
    <w:unhideWhenUsed/>
    <w:qFormat/>
    <w:uiPriority w:val="99"/>
    <w:rPr>
      <w:sz w:val="21"/>
      <w:szCs w:val="21"/>
    </w:rPr>
  </w:style>
  <w:style w:type="character" w:customStyle="1" w:styleId="54">
    <w:name w:val="标题 1 字符"/>
    <w:basedOn w:val="48"/>
    <w:link w:val="3"/>
    <w:qFormat/>
    <w:uiPriority w:val="9"/>
    <w:rPr>
      <w:rFonts w:ascii="Times New Roman" w:hAnsi="Times New Roman" w:eastAsia="宋体" w:cs="Times New Roman"/>
      <w:b/>
      <w:bCs/>
      <w:kern w:val="44"/>
      <w:sz w:val="28"/>
      <w:szCs w:val="44"/>
    </w:rPr>
  </w:style>
  <w:style w:type="character" w:customStyle="1" w:styleId="55">
    <w:name w:val="标题 2 字符"/>
    <w:basedOn w:val="48"/>
    <w:link w:val="4"/>
    <w:qFormat/>
    <w:uiPriority w:val="0"/>
    <w:rPr>
      <w:rFonts w:ascii="Times New Roman" w:hAnsi="Times New Roman" w:eastAsia="宋体" w:cs="Times New Roman"/>
      <w:b/>
      <w:bCs/>
      <w:sz w:val="24"/>
      <w:szCs w:val="32"/>
    </w:rPr>
  </w:style>
  <w:style w:type="character" w:customStyle="1" w:styleId="56">
    <w:name w:val="标题 3 字符"/>
    <w:basedOn w:val="48"/>
    <w:link w:val="5"/>
    <w:qFormat/>
    <w:uiPriority w:val="9"/>
    <w:rPr>
      <w:rFonts w:cs="Times New Roman" w:asciiTheme="minorEastAsia" w:hAnsiTheme="minorEastAsia"/>
      <w:b/>
      <w:bCs/>
      <w:sz w:val="24"/>
      <w:szCs w:val="24"/>
    </w:rPr>
  </w:style>
  <w:style w:type="character" w:customStyle="1" w:styleId="57">
    <w:name w:val="标题 4 字符"/>
    <w:basedOn w:val="48"/>
    <w:link w:val="6"/>
    <w:qFormat/>
    <w:uiPriority w:val="9"/>
    <w:rPr>
      <w:rFonts w:ascii="Cambria" w:hAnsi="Cambria" w:eastAsia="宋体" w:cs="Times New Roman"/>
      <w:b/>
      <w:bCs/>
      <w:sz w:val="28"/>
      <w:szCs w:val="28"/>
    </w:rPr>
  </w:style>
  <w:style w:type="character" w:customStyle="1" w:styleId="58">
    <w:name w:val="标题 5 字符"/>
    <w:basedOn w:val="48"/>
    <w:link w:val="7"/>
    <w:qFormat/>
    <w:uiPriority w:val="9"/>
    <w:rPr>
      <w:rFonts w:ascii="Times New Roman" w:hAnsi="Times New Roman" w:eastAsia="宋体" w:cs="Times New Roman"/>
      <w:b/>
      <w:bCs/>
      <w:sz w:val="28"/>
      <w:szCs w:val="28"/>
    </w:rPr>
  </w:style>
  <w:style w:type="character" w:customStyle="1" w:styleId="59">
    <w:name w:val="标题 6 字符"/>
    <w:basedOn w:val="48"/>
    <w:link w:val="8"/>
    <w:semiHidden/>
    <w:qFormat/>
    <w:uiPriority w:val="9"/>
    <w:rPr>
      <w:rFonts w:ascii="Cambria" w:hAnsi="Cambria" w:eastAsia="宋体" w:cs="Times New Roman"/>
      <w:b/>
      <w:bCs/>
      <w:sz w:val="24"/>
      <w:szCs w:val="24"/>
    </w:rPr>
  </w:style>
  <w:style w:type="character" w:customStyle="1" w:styleId="60">
    <w:name w:val="标题 7 字符"/>
    <w:basedOn w:val="48"/>
    <w:link w:val="9"/>
    <w:semiHidden/>
    <w:qFormat/>
    <w:uiPriority w:val="9"/>
    <w:rPr>
      <w:rFonts w:ascii="Times New Roman" w:hAnsi="Times New Roman" w:eastAsia="宋体" w:cs="Times New Roman"/>
      <w:b/>
      <w:bCs/>
      <w:sz w:val="24"/>
      <w:szCs w:val="24"/>
    </w:rPr>
  </w:style>
  <w:style w:type="character" w:customStyle="1" w:styleId="61">
    <w:name w:val="标题 8 字符"/>
    <w:basedOn w:val="48"/>
    <w:link w:val="10"/>
    <w:semiHidden/>
    <w:qFormat/>
    <w:uiPriority w:val="9"/>
    <w:rPr>
      <w:rFonts w:ascii="Cambria" w:hAnsi="Cambria" w:eastAsia="宋体" w:cs="Times New Roman"/>
      <w:sz w:val="24"/>
      <w:szCs w:val="24"/>
    </w:rPr>
  </w:style>
  <w:style w:type="character" w:customStyle="1" w:styleId="62">
    <w:name w:val="标题 9 字符"/>
    <w:basedOn w:val="48"/>
    <w:link w:val="11"/>
    <w:semiHidden/>
    <w:qFormat/>
    <w:uiPriority w:val="9"/>
    <w:rPr>
      <w:rFonts w:ascii="Cambria" w:hAnsi="Cambria" w:eastAsia="宋体" w:cs="Times New Roman"/>
      <w:szCs w:val="21"/>
    </w:rPr>
  </w:style>
  <w:style w:type="character" w:customStyle="1" w:styleId="63">
    <w:name w:val="tw4winMark"/>
    <w:qFormat/>
    <w:uiPriority w:val="0"/>
    <w:rPr>
      <w:rFonts w:hint="default" w:ascii="Courier New" w:hAnsi="Courier New" w:cs="Courier New"/>
      <w:vanish/>
      <w:color w:val="800080"/>
      <w:vertAlign w:val="subscript"/>
    </w:rPr>
  </w:style>
  <w:style w:type="paragraph" w:customStyle="1" w:styleId="64">
    <w:name w:val="表标题"/>
    <w:basedOn w:val="1"/>
    <w:next w:val="1"/>
    <w:qFormat/>
    <w:uiPriority w:val="0"/>
    <w:pPr>
      <w:tabs>
        <w:tab w:val="clear" w:pos="360"/>
      </w:tabs>
      <w:jc w:val="center"/>
    </w:pPr>
    <w:rPr>
      <w:lang w:val="fr-FR"/>
    </w:rPr>
  </w:style>
  <w:style w:type="character" w:customStyle="1" w:styleId="65">
    <w:name w:val="页眉 字符"/>
    <w:basedOn w:val="48"/>
    <w:link w:val="31"/>
    <w:qFormat/>
    <w:uiPriority w:val="99"/>
    <w:rPr>
      <w:rFonts w:ascii="Times New Roman" w:hAnsi="Times New Roman" w:eastAsia="仿宋_GB2312" w:cs="Times New Roman"/>
      <w:sz w:val="18"/>
      <w:szCs w:val="18"/>
    </w:rPr>
  </w:style>
  <w:style w:type="character" w:customStyle="1" w:styleId="66">
    <w:name w:val="页脚 字符"/>
    <w:basedOn w:val="48"/>
    <w:link w:val="30"/>
    <w:qFormat/>
    <w:uiPriority w:val="99"/>
    <w:rPr>
      <w:rFonts w:ascii="Times New Roman" w:hAnsi="Times New Roman" w:eastAsia="仿宋_GB2312" w:cs="Times New Roman"/>
      <w:sz w:val="18"/>
      <w:szCs w:val="18"/>
    </w:rPr>
  </w:style>
  <w:style w:type="paragraph" w:customStyle="1" w:styleId="67">
    <w:name w:val="Footer Even"/>
    <w:basedOn w:val="1"/>
    <w:qFormat/>
    <w:uiPriority w:val="0"/>
    <w:pPr>
      <w:widowControl/>
      <w:pBdr>
        <w:top w:val="single" w:color="4F81BD" w:themeColor="accent1" w:sz="4" w:space="1"/>
      </w:pBdr>
      <w:tabs>
        <w:tab w:val="clear" w:pos="360"/>
      </w:tabs>
      <w:spacing w:after="180" w:line="264" w:lineRule="auto"/>
      <w:jc w:val="left"/>
    </w:pPr>
    <w:rPr>
      <w:rFonts w:asciiTheme="minorHAnsi" w:hAnsiTheme="minorHAnsi" w:eastAsiaTheme="minorEastAsia" w:cstheme="minorBidi"/>
      <w:color w:val="1F497D" w:themeColor="text2"/>
      <w:kern w:val="0"/>
      <w:sz w:val="20"/>
      <w:szCs w:val="23"/>
      <w14:textFill>
        <w14:solidFill>
          <w14:schemeClr w14:val="tx2"/>
        </w14:solidFill>
      </w14:textFill>
    </w:rPr>
  </w:style>
  <w:style w:type="paragraph" w:customStyle="1" w:styleId="68">
    <w:name w:val="Header Even"/>
    <w:basedOn w:val="69"/>
    <w:qFormat/>
    <w:uiPriority w:val="0"/>
    <w:pPr>
      <w:widowControl/>
      <w:pBdr>
        <w:bottom w:val="single" w:color="4F81BD" w:themeColor="accent1" w:sz="4" w:space="1"/>
      </w:pBdr>
      <w:tabs>
        <w:tab w:val="left" w:pos="360"/>
      </w:tabs>
      <w:jc w:val="left"/>
    </w:pPr>
    <w:rPr>
      <w:rFonts w:asciiTheme="minorHAnsi" w:hAnsiTheme="minorHAnsi" w:eastAsiaTheme="minorEastAsia" w:cstheme="minorBidi"/>
      <w:b/>
      <w:bCs/>
      <w:color w:val="1F497D" w:themeColor="text2"/>
      <w:kern w:val="0"/>
      <w:sz w:val="20"/>
      <w:szCs w:val="23"/>
      <w14:textFill>
        <w14:solidFill>
          <w14:schemeClr w14:val="tx2"/>
        </w14:solidFill>
      </w14:textFill>
    </w:rPr>
  </w:style>
  <w:style w:type="paragraph" w:styleId="69">
    <w:name w:val="No Spacing"/>
    <w:qFormat/>
    <w:uiPriority w:val="1"/>
    <w:pPr>
      <w:widowControl w:val="0"/>
      <w:tabs>
        <w:tab w:val="left" w:pos="360"/>
      </w:tabs>
      <w:jc w:val="both"/>
    </w:pPr>
    <w:rPr>
      <w:rFonts w:ascii="Times New Roman" w:hAnsi="Times New Roman" w:eastAsia="仿宋_GB2312" w:cs="Times New Roman"/>
      <w:kern w:val="2"/>
      <w:sz w:val="24"/>
      <w:szCs w:val="24"/>
      <w:lang w:val="en-US" w:eastAsia="zh-CN" w:bidi="ar-SA"/>
    </w:rPr>
  </w:style>
  <w:style w:type="paragraph" w:styleId="70">
    <w:name w:val="List Paragraph"/>
    <w:basedOn w:val="1"/>
    <w:link w:val="71"/>
    <w:qFormat/>
    <w:uiPriority w:val="0"/>
    <w:pPr>
      <w:tabs>
        <w:tab w:val="clear" w:pos="360"/>
      </w:tabs>
      <w:ind w:firstLine="420" w:firstLineChars="200"/>
    </w:pPr>
    <w:rPr>
      <w:sz w:val="28"/>
    </w:rPr>
  </w:style>
  <w:style w:type="character" w:customStyle="1" w:styleId="71">
    <w:name w:val="列表段落 字符"/>
    <w:link w:val="70"/>
    <w:qFormat/>
    <w:uiPriority w:val="0"/>
    <w:rPr>
      <w:rFonts w:ascii="Times New Roman" w:hAnsi="Times New Roman" w:eastAsia="宋体" w:cs="Times New Roman"/>
      <w:sz w:val="28"/>
      <w:szCs w:val="24"/>
    </w:rPr>
  </w:style>
  <w:style w:type="paragraph" w:customStyle="1" w:styleId="72">
    <w:name w:val="表格样式"/>
    <w:basedOn w:val="1"/>
    <w:link w:val="73"/>
    <w:qFormat/>
    <w:uiPriority w:val="0"/>
    <w:pPr>
      <w:tabs>
        <w:tab w:val="clear" w:pos="360"/>
      </w:tabs>
      <w:jc w:val="center"/>
    </w:pPr>
    <w:rPr>
      <w:rFonts w:eastAsia="仿宋"/>
      <w:kern w:val="0"/>
    </w:rPr>
  </w:style>
  <w:style w:type="character" w:customStyle="1" w:styleId="73">
    <w:name w:val="表格样式 Char"/>
    <w:link w:val="72"/>
    <w:qFormat/>
    <w:uiPriority w:val="0"/>
    <w:rPr>
      <w:rFonts w:ascii="Times New Roman" w:hAnsi="Times New Roman" w:eastAsia="仿宋" w:cs="Times New Roman"/>
      <w:kern w:val="0"/>
      <w:sz w:val="24"/>
      <w:szCs w:val="24"/>
    </w:rPr>
  </w:style>
  <w:style w:type="paragraph" w:customStyle="1" w:styleId="74">
    <w:name w:val="标题3"/>
    <w:basedOn w:val="1"/>
    <w:qFormat/>
    <w:uiPriority w:val="0"/>
    <w:pPr>
      <w:tabs>
        <w:tab w:val="clear" w:pos="360"/>
      </w:tabs>
      <w:outlineLvl w:val="2"/>
    </w:pPr>
    <w:rPr>
      <w:sz w:val="28"/>
    </w:rPr>
  </w:style>
  <w:style w:type="character" w:customStyle="1" w:styleId="75">
    <w:name w:val="批注框文本 字符"/>
    <w:basedOn w:val="48"/>
    <w:link w:val="29"/>
    <w:qFormat/>
    <w:uiPriority w:val="0"/>
    <w:rPr>
      <w:rFonts w:ascii="Times New Roman" w:hAnsi="Times New Roman" w:eastAsia="仿宋_GB2312" w:cs="Times New Roman"/>
      <w:sz w:val="18"/>
      <w:szCs w:val="18"/>
    </w:rPr>
  </w:style>
  <w:style w:type="paragraph" w:customStyle="1" w:styleId="7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7">
    <w:name w:val="TOC 标题1"/>
    <w:basedOn w:val="3"/>
    <w:next w:val="1"/>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Cs w:val="28"/>
    </w:rPr>
  </w:style>
  <w:style w:type="character" w:customStyle="1" w:styleId="78">
    <w:name w:val="文档结构图 字符"/>
    <w:basedOn w:val="48"/>
    <w:link w:val="16"/>
    <w:semiHidden/>
    <w:qFormat/>
    <w:uiPriority w:val="99"/>
    <w:rPr>
      <w:rFonts w:ascii="宋体" w:hAnsi="Times New Roman" w:eastAsia="宋体" w:cs="Times New Roman"/>
      <w:sz w:val="18"/>
      <w:szCs w:val="18"/>
    </w:rPr>
  </w:style>
  <w:style w:type="character" w:customStyle="1" w:styleId="79">
    <w:name w:val="批注文字 字符"/>
    <w:basedOn w:val="48"/>
    <w:link w:val="17"/>
    <w:semiHidden/>
    <w:qFormat/>
    <w:uiPriority w:val="99"/>
    <w:rPr>
      <w:rFonts w:ascii="Times New Roman" w:hAnsi="Times New Roman" w:eastAsia="仿宋_GB2312" w:cs="Times New Roman"/>
      <w:sz w:val="24"/>
      <w:szCs w:val="24"/>
    </w:rPr>
  </w:style>
  <w:style w:type="character" w:customStyle="1" w:styleId="80">
    <w:name w:val="批注主题 字符"/>
    <w:basedOn w:val="79"/>
    <w:link w:val="45"/>
    <w:semiHidden/>
    <w:qFormat/>
    <w:uiPriority w:val="99"/>
    <w:rPr>
      <w:rFonts w:ascii="Times New Roman" w:hAnsi="Times New Roman" w:eastAsia="仿宋_GB2312" w:cs="Times New Roman"/>
      <w:b/>
      <w:bCs/>
      <w:sz w:val="24"/>
      <w:szCs w:val="24"/>
    </w:rPr>
  </w:style>
  <w:style w:type="paragraph" w:customStyle="1" w:styleId="81">
    <w:name w:val="样式1"/>
    <w:basedOn w:val="31"/>
    <w:link w:val="82"/>
    <w:qFormat/>
    <w:uiPriority w:val="0"/>
    <w:pPr>
      <w:pBdr>
        <w:bottom w:val="none" w:color="auto" w:sz="0" w:space="0"/>
      </w:pBdr>
    </w:pPr>
  </w:style>
  <w:style w:type="character" w:customStyle="1" w:styleId="82">
    <w:name w:val="样式1 Char"/>
    <w:basedOn w:val="65"/>
    <w:link w:val="81"/>
    <w:qFormat/>
    <w:uiPriority w:val="0"/>
    <w:rPr>
      <w:rFonts w:ascii="Times New Roman" w:hAnsi="Times New Roman" w:eastAsia="仿宋_GB2312" w:cs="Times New Roman"/>
      <w:sz w:val="18"/>
      <w:szCs w:val="18"/>
    </w:rPr>
  </w:style>
  <w:style w:type="paragraph" w:customStyle="1" w:styleId="83">
    <w:name w:val="表文字内容"/>
    <w:basedOn w:val="1"/>
    <w:qFormat/>
    <w:uiPriority w:val="0"/>
    <w:pPr>
      <w:tabs>
        <w:tab w:val="clear" w:pos="360"/>
      </w:tabs>
      <w:jc w:val="center"/>
    </w:pPr>
    <w:rPr>
      <w:rFonts w:eastAsia="仿宋" w:asciiTheme="minorHAnsi" w:hAnsiTheme="minorHAnsi"/>
      <w:szCs w:val="20"/>
    </w:rPr>
  </w:style>
  <w:style w:type="paragraph" w:customStyle="1" w:styleId="84">
    <w:name w:val="表头"/>
    <w:basedOn w:val="1"/>
    <w:qFormat/>
    <w:uiPriority w:val="0"/>
    <w:pPr>
      <w:tabs>
        <w:tab w:val="clear" w:pos="360"/>
      </w:tabs>
      <w:jc w:val="center"/>
    </w:pPr>
    <w:rPr>
      <w:rFonts w:eastAsia="仿宋" w:cs="宋体" w:asciiTheme="minorHAnsi" w:hAnsiTheme="minorHAnsi"/>
      <w:b/>
      <w:bCs/>
      <w:szCs w:val="20"/>
    </w:rPr>
  </w:style>
  <w:style w:type="paragraph" w:customStyle="1" w:styleId="85">
    <w:name w:val="Char"/>
    <w:basedOn w:val="1"/>
    <w:qFormat/>
    <w:uiPriority w:val="0"/>
    <w:pPr>
      <w:tabs>
        <w:tab w:val="clear" w:pos="360"/>
      </w:tabs>
      <w:spacing w:line="240" w:lineRule="auto"/>
    </w:pPr>
    <w:rPr>
      <w:sz w:val="21"/>
    </w:rPr>
  </w:style>
  <w:style w:type="paragraph" w:customStyle="1" w:styleId="86">
    <w:name w:val="正文4"/>
    <w:basedOn w:val="1"/>
    <w:qFormat/>
    <w:uiPriority w:val="0"/>
    <w:pPr>
      <w:tabs>
        <w:tab w:val="clear" w:pos="360"/>
      </w:tabs>
      <w:spacing w:line="240" w:lineRule="auto"/>
      <w:ind w:firstLine="630"/>
    </w:pPr>
    <w:rPr>
      <w:sz w:val="28"/>
      <w:szCs w:val="20"/>
    </w:rPr>
  </w:style>
  <w:style w:type="paragraph" w:customStyle="1" w:styleId="87">
    <w:name w:val="reader-word-layer"/>
    <w:basedOn w:val="1"/>
    <w:qFormat/>
    <w:uiPriority w:val="0"/>
    <w:pPr>
      <w:widowControl/>
      <w:tabs>
        <w:tab w:val="clear" w:pos="360"/>
      </w:tabs>
      <w:spacing w:before="100" w:beforeAutospacing="1" w:after="100" w:afterAutospacing="1" w:line="240" w:lineRule="auto"/>
      <w:jc w:val="left"/>
    </w:pPr>
    <w:rPr>
      <w:rFonts w:ascii="宋体" w:hAnsi="宋体" w:cs="宋体"/>
      <w:kern w:val="0"/>
    </w:rPr>
  </w:style>
  <w:style w:type="character" w:customStyle="1" w:styleId="88">
    <w:name w:val="段 Char"/>
    <w:link w:val="35"/>
    <w:qFormat/>
    <w:uiPriority w:val="0"/>
    <w:rPr>
      <w:rFonts w:ascii="宋体" w:hAnsi="Times New Roman" w:eastAsia="宋体" w:cs="Times New Roman"/>
      <w:kern w:val="0"/>
      <w:szCs w:val="20"/>
    </w:rPr>
  </w:style>
  <w:style w:type="paragraph" w:customStyle="1" w:styleId="89">
    <w:name w:val="一级条标题"/>
    <w:next w:val="3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章标题"/>
    <w:next w:val="35"/>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93">
    <w:name w:val="二级条标题"/>
    <w:basedOn w:val="89"/>
    <w:next w:val="35"/>
    <w:qFormat/>
    <w:uiPriority w:val="0"/>
    <w:pPr>
      <w:spacing w:before="50" w:after="50"/>
      <w:outlineLvl w:val="3"/>
    </w:pPr>
  </w:style>
  <w:style w:type="paragraph" w:customStyle="1" w:styleId="9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9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97">
    <w:name w:val="目次、标准名称标题"/>
    <w:basedOn w:val="1"/>
    <w:next w:val="35"/>
    <w:qFormat/>
    <w:uiPriority w:val="0"/>
    <w:pPr>
      <w:keepNext/>
      <w:pageBreakBefore/>
      <w:widowControl/>
      <w:shd w:val="clear" w:color="FFFFFF" w:fill="FFFFFF"/>
      <w:tabs>
        <w:tab w:val="clear" w:pos="360"/>
      </w:tabs>
      <w:spacing w:before="640" w:after="560" w:line="460" w:lineRule="exact"/>
      <w:jc w:val="center"/>
      <w:outlineLvl w:val="0"/>
    </w:pPr>
    <w:rPr>
      <w:rFonts w:ascii="黑体" w:eastAsia="黑体"/>
      <w:kern w:val="0"/>
      <w:sz w:val="32"/>
      <w:szCs w:val="20"/>
    </w:rPr>
  </w:style>
  <w:style w:type="paragraph" w:customStyle="1" w:styleId="98">
    <w:name w:val="三级条标题"/>
    <w:basedOn w:val="93"/>
    <w:next w:val="35"/>
    <w:qFormat/>
    <w:uiPriority w:val="0"/>
    <w:pPr>
      <w:outlineLvl w:val="4"/>
    </w:pPr>
  </w:style>
  <w:style w:type="paragraph" w:customStyle="1" w:styleId="99">
    <w:name w:val="示例"/>
    <w:next w:val="100"/>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10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1">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2">
    <w:name w:val="四级条标题"/>
    <w:basedOn w:val="98"/>
    <w:next w:val="35"/>
    <w:qFormat/>
    <w:uiPriority w:val="0"/>
  </w:style>
  <w:style w:type="paragraph" w:customStyle="1" w:styleId="103">
    <w:name w:val="五级条标题"/>
    <w:basedOn w:val="102"/>
    <w:next w:val="35"/>
    <w:qFormat/>
    <w:uiPriority w:val="0"/>
    <w:pPr>
      <w:outlineLvl w:val="6"/>
    </w:pPr>
  </w:style>
  <w:style w:type="paragraph" w:customStyle="1" w:styleId="104">
    <w:name w:val="注："/>
    <w:next w:val="35"/>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7">
    <w:name w:val="列项◆（三级）"/>
    <w:basedOn w:val="1"/>
    <w:qFormat/>
    <w:uiPriority w:val="0"/>
    <w:pPr>
      <w:tabs>
        <w:tab w:val="left" w:pos="1678"/>
        <w:tab w:val="clear" w:pos="360"/>
      </w:tabs>
      <w:spacing w:line="240" w:lineRule="auto"/>
      <w:ind w:left="1678" w:hanging="414"/>
    </w:pPr>
    <w:rPr>
      <w:rFonts w:ascii="宋体"/>
      <w:sz w:val="21"/>
      <w:szCs w:val="21"/>
    </w:rPr>
  </w:style>
  <w:style w:type="paragraph" w:customStyle="1" w:styleId="108">
    <w:name w:val="编号列项（三级）"/>
    <w:qFormat/>
    <w:uiPriority w:val="0"/>
    <w:rPr>
      <w:rFonts w:ascii="宋体" w:hAnsi="Times New Roman" w:eastAsia="宋体" w:cs="Times New Roman"/>
      <w:sz w:val="21"/>
      <w:lang w:val="en-US" w:eastAsia="zh-CN" w:bidi="ar-SA"/>
    </w:rPr>
  </w:style>
  <w:style w:type="paragraph" w:customStyle="1" w:styleId="109">
    <w:name w:val="示例×："/>
    <w:basedOn w:val="92"/>
    <w:qFormat/>
    <w:uiPriority w:val="0"/>
    <w:pPr>
      <w:spacing w:beforeLines="0" w:afterLines="0"/>
      <w:ind w:firstLine="363"/>
      <w:outlineLvl w:val="9"/>
    </w:pPr>
    <w:rPr>
      <w:rFonts w:ascii="宋体" w:eastAsia="宋体"/>
      <w:sz w:val="18"/>
      <w:szCs w:val="18"/>
    </w:rPr>
  </w:style>
  <w:style w:type="paragraph" w:customStyle="1" w:styleId="110">
    <w:name w:val="二级无"/>
    <w:basedOn w:val="93"/>
    <w:qFormat/>
    <w:uiPriority w:val="0"/>
    <w:pPr>
      <w:spacing w:beforeLines="0" w:afterLines="0"/>
    </w:pPr>
    <w:rPr>
      <w:rFonts w:ascii="宋体" w:eastAsia="宋体"/>
    </w:rPr>
  </w:style>
  <w:style w:type="paragraph" w:customStyle="1" w:styleId="111">
    <w:name w:val="注：（正文）"/>
    <w:basedOn w:val="104"/>
    <w:next w:val="35"/>
    <w:qFormat/>
    <w:uiPriority w:val="0"/>
  </w:style>
  <w:style w:type="paragraph" w:customStyle="1" w:styleId="112">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1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6">
    <w:name w:val="标准书眉_偶数页"/>
    <w:basedOn w:val="91"/>
    <w:next w:val="1"/>
    <w:qFormat/>
    <w:uiPriority w:val="0"/>
    <w:pPr>
      <w:jc w:val="left"/>
    </w:pPr>
  </w:style>
  <w:style w:type="paragraph" w:customStyle="1" w:styleId="117">
    <w:name w:val="标准书眉一"/>
    <w:qFormat/>
    <w:uiPriority w:val="0"/>
    <w:pPr>
      <w:jc w:val="both"/>
    </w:pPr>
    <w:rPr>
      <w:rFonts w:ascii="Times New Roman" w:hAnsi="Times New Roman" w:eastAsia="宋体" w:cs="Times New Roman"/>
      <w:lang w:val="en-US" w:eastAsia="zh-CN" w:bidi="ar-SA"/>
    </w:rPr>
  </w:style>
  <w:style w:type="paragraph" w:customStyle="1" w:styleId="118">
    <w:name w:val="参考文献"/>
    <w:basedOn w:val="1"/>
    <w:next w:val="35"/>
    <w:qFormat/>
    <w:uiPriority w:val="0"/>
    <w:pPr>
      <w:keepNext/>
      <w:pageBreakBefore/>
      <w:widowControl/>
      <w:shd w:val="clear" w:color="FFFFFF" w:fill="FFFFFF"/>
      <w:tabs>
        <w:tab w:val="clear" w:pos="360"/>
      </w:tabs>
      <w:spacing w:before="640" w:after="200" w:line="240" w:lineRule="auto"/>
      <w:jc w:val="center"/>
      <w:outlineLvl w:val="0"/>
    </w:pPr>
    <w:rPr>
      <w:rFonts w:ascii="黑体" w:eastAsia="黑体"/>
      <w:kern w:val="0"/>
      <w:sz w:val="21"/>
      <w:szCs w:val="20"/>
    </w:rPr>
  </w:style>
  <w:style w:type="paragraph" w:customStyle="1" w:styleId="119">
    <w:name w:val="参考文献、索引标题"/>
    <w:basedOn w:val="1"/>
    <w:next w:val="35"/>
    <w:qFormat/>
    <w:uiPriority w:val="0"/>
    <w:pPr>
      <w:keepNext/>
      <w:pageBreakBefore/>
      <w:widowControl/>
      <w:shd w:val="clear" w:color="FFFFFF" w:fill="FFFFFF"/>
      <w:tabs>
        <w:tab w:val="clear" w:pos="360"/>
      </w:tabs>
      <w:spacing w:before="640" w:after="200" w:line="240" w:lineRule="auto"/>
      <w:jc w:val="center"/>
      <w:outlineLvl w:val="0"/>
    </w:pPr>
    <w:rPr>
      <w:rFonts w:ascii="黑体" w:eastAsia="黑体"/>
      <w:kern w:val="0"/>
      <w:sz w:val="21"/>
      <w:szCs w:val="20"/>
    </w:rPr>
  </w:style>
  <w:style w:type="character" w:customStyle="1" w:styleId="120">
    <w:name w:val="发布"/>
    <w:qFormat/>
    <w:uiPriority w:val="0"/>
    <w:rPr>
      <w:rFonts w:ascii="黑体" w:eastAsia="黑体"/>
      <w:spacing w:val="85"/>
      <w:w w:val="100"/>
      <w:position w:val="3"/>
      <w:sz w:val="28"/>
      <w:szCs w:val="28"/>
    </w:rPr>
  </w:style>
  <w:style w:type="paragraph" w:customStyle="1" w:styleId="121">
    <w:name w:val="发布部门"/>
    <w:next w:val="3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2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英文名称"/>
    <w:basedOn w:val="125"/>
    <w:qFormat/>
    <w:uiPriority w:val="0"/>
    <w:pPr>
      <w:framePr w:wrap="around"/>
    </w:pPr>
  </w:style>
  <w:style w:type="paragraph" w:customStyle="1" w:styleId="127">
    <w:name w:val="封面一致性程度标识"/>
    <w:basedOn w:val="126"/>
    <w:qFormat/>
    <w:uiPriority w:val="0"/>
    <w:pPr>
      <w:framePr w:wrap="around"/>
      <w:spacing w:before="440" w:line="400" w:lineRule="exact"/>
    </w:pPr>
    <w:rPr>
      <w:rFonts w:ascii="宋体" w:eastAsia="宋体"/>
      <w:sz w:val="28"/>
      <w:szCs w:val="28"/>
    </w:rPr>
  </w:style>
  <w:style w:type="paragraph" w:customStyle="1" w:styleId="128">
    <w:name w:val="封面标准文稿类别"/>
    <w:basedOn w:val="127"/>
    <w:qFormat/>
    <w:uiPriority w:val="0"/>
    <w:pPr>
      <w:framePr w:wrap="around"/>
      <w:spacing w:after="160" w:line="240" w:lineRule="auto"/>
    </w:pPr>
    <w:rPr>
      <w:sz w:val="24"/>
    </w:rPr>
  </w:style>
  <w:style w:type="paragraph" w:customStyle="1" w:styleId="129">
    <w:name w:val="封面标准文稿编辑信息"/>
    <w:basedOn w:val="128"/>
    <w:qFormat/>
    <w:uiPriority w:val="0"/>
    <w:pPr>
      <w:framePr w:wrap="around"/>
      <w:spacing w:before="180" w:line="180" w:lineRule="exact"/>
    </w:pPr>
    <w:rPr>
      <w:sz w:val="21"/>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标识"/>
    <w:basedOn w:val="1"/>
    <w:next w:val="35"/>
    <w:qFormat/>
    <w:uiPriority w:val="0"/>
    <w:pPr>
      <w:keepNext/>
      <w:widowControl/>
      <w:shd w:val="clear" w:color="FFFFFF" w:fill="FFFFFF"/>
      <w:tabs>
        <w:tab w:val="left" w:pos="6405"/>
      </w:tabs>
      <w:spacing w:before="640" w:after="280" w:line="240" w:lineRule="auto"/>
      <w:jc w:val="center"/>
      <w:outlineLvl w:val="0"/>
    </w:pPr>
    <w:rPr>
      <w:rFonts w:ascii="黑体" w:eastAsia="黑体"/>
      <w:kern w:val="0"/>
      <w:sz w:val="21"/>
      <w:szCs w:val="20"/>
    </w:rPr>
  </w:style>
  <w:style w:type="paragraph" w:customStyle="1" w:styleId="132">
    <w:name w:val="附录标题"/>
    <w:basedOn w:val="35"/>
    <w:next w:val="35"/>
    <w:qFormat/>
    <w:uiPriority w:val="0"/>
    <w:pPr>
      <w:ind w:firstLine="0" w:firstLineChars="0"/>
      <w:jc w:val="center"/>
    </w:pPr>
    <w:rPr>
      <w:rFonts w:ascii="黑体" w:eastAsia="黑体"/>
    </w:rPr>
  </w:style>
  <w:style w:type="paragraph" w:customStyle="1" w:styleId="133">
    <w:name w:val="附录表标号"/>
    <w:basedOn w:val="1"/>
    <w:next w:val="35"/>
    <w:qFormat/>
    <w:uiPriority w:val="0"/>
    <w:pPr>
      <w:tabs>
        <w:tab w:val="clear" w:pos="360"/>
      </w:tabs>
      <w:spacing w:line="14" w:lineRule="exact"/>
      <w:ind w:left="811" w:hanging="448"/>
      <w:jc w:val="center"/>
      <w:outlineLvl w:val="0"/>
    </w:pPr>
    <w:rPr>
      <w:color w:val="FFFFFF"/>
      <w:sz w:val="21"/>
    </w:rPr>
  </w:style>
  <w:style w:type="paragraph" w:customStyle="1" w:styleId="134">
    <w:name w:val="附录表标题"/>
    <w:basedOn w:val="1"/>
    <w:next w:val="35"/>
    <w:qFormat/>
    <w:uiPriority w:val="0"/>
    <w:pPr>
      <w:tabs>
        <w:tab w:val="left" w:pos="180"/>
        <w:tab w:val="clear" w:pos="360"/>
      </w:tabs>
      <w:spacing w:beforeLines="50" w:afterLines="50" w:line="240" w:lineRule="auto"/>
      <w:jc w:val="center"/>
    </w:pPr>
    <w:rPr>
      <w:rFonts w:ascii="黑体" w:eastAsia="黑体"/>
      <w:sz w:val="21"/>
      <w:szCs w:val="21"/>
    </w:rPr>
  </w:style>
  <w:style w:type="paragraph" w:customStyle="1" w:styleId="135">
    <w:name w:val="附录二级条标题"/>
    <w:basedOn w:val="1"/>
    <w:next w:val="35"/>
    <w:qFormat/>
    <w:uiPriority w:val="0"/>
    <w:pPr>
      <w:widowControl/>
      <w:wordWrap w:val="0"/>
      <w:overflowPunct w:val="0"/>
      <w:autoSpaceDE w:val="0"/>
      <w:autoSpaceDN w:val="0"/>
      <w:spacing w:beforeLines="50" w:afterLines="50" w:line="240" w:lineRule="auto"/>
      <w:textAlignment w:val="baseline"/>
      <w:outlineLvl w:val="3"/>
    </w:pPr>
    <w:rPr>
      <w:rFonts w:ascii="黑体" w:eastAsia="黑体"/>
      <w:kern w:val="21"/>
      <w:sz w:val="21"/>
      <w:szCs w:val="20"/>
    </w:rPr>
  </w:style>
  <w:style w:type="paragraph" w:customStyle="1" w:styleId="136">
    <w:name w:val="附录二级无"/>
    <w:basedOn w:val="135"/>
    <w:qFormat/>
    <w:uiPriority w:val="0"/>
    <w:pPr>
      <w:tabs>
        <w:tab w:val="clear" w:pos="360"/>
      </w:tabs>
      <w:spacing w:beforeLines="0" w:afterLines="0"/>
    </w:pPr>
    <w:rPr>
      <w:rFonts w:ascii="宋体" w:eastAsia="宋体"/>
      <w:szCs w:val="21"/>
    </w:rPr>
  </w:style>
  <w:style w:type="paragraph" w:customStyle="1" w:styleId="137">
    <w:name w:val="附录公式"/>
    <w:basedOn w:val="35"/>
    <w:next w:val="35"/>
    <w:link w:val="138"/>
    <w:qFormat/>
    <w:uiPriority w:val="0"/>
  </w:style>
  <w:style w:type="character" w:customStyle="1" w:styleId="138">
    <w:name w:val="附录公式 Char"/>
    <w:basedOn w:val="88"/>
    <w:link w:val="137"/>
    <w:qFormat/>
    <w:uiPriority w:val="0"/>
    <w:rPr>
      <w:rFonts w:ascii="宋体" w:hAnsi="Times New Roman" w:eastAsia="宋体" w:cs="Times New Roman"/>
      <w:kern w:val="0"/>
      <w:szCs w:val="20"/>
    </w:rPr>
  </w:style>
  <w:style w:type="paragraph" w:customStyle="1" w:styleId="139">
    <w:name w:val="附录公式编号制表符"/>
    <w:basedOn w:val="1"/>
    <w:next w:val="35"/>
    <w:qFormat/>
    <w:uiPriority w:val="0"/>
    <w:pPr>
      <w:widowControl/>
      <w:tabs>
        <w:tab w:val="center" w:pos="4201"/>
        <w:tab w:val="right" w:leader="dot" w:pos="9298"/>
        <w:tab w:val="clear" w:pos="360"/>
      </w:tabs>
      <w:autoSpaceDE w:val="0"/>
      <w:autoSpaceDN w:val="0"/>
      <w:spacing w:line="240" w:lineRule="auto"/>
    </w:pPr>
    <w:rPr>
      <w:rFonts w:ascii="宋体"/>
      <w:kern w:val="0"/>
      <w:sz w:val="21"/>
      <w:szCs w:val="20"/>
    </w:rPr>
  </w:style>
  <w:style w:type="paragraph" w:customStyle="1" w:styleId="140">
    <w:name w:val="附录三级条标题"/>
    <w:basedOn w:val="135"/>
    <w:next w:val="35"/>
    <w:qFormat/>
    <w:uiPriority w:val="0"/>
    <w:pPr>
      <w:outlineLvl w:val="4"/>
    </w:pPr>
  </w:style>
  <w:style w:type="paragraph" w:customStyle="1" w:styleId="141">
    <w:name w:val="附录三级无"/>
    <w:basedOn w:val="140"/>
    <w:qFormat/>
    <w:uiPriority w:val="0"/>
    <w:pPr>
      <w:tabs>
        <w:tab w:val="clear" w:pos="360"/>
      </w:tabs>
      <w:spacing w:beforeLines="0" w:afterLines="0"/>
    </w:pPr>
    <w:rPr>
      <w:rFonts w:ascii="宋体" w:eastAsia="宋体"/>
      <w:szCs w:val="21"/>
    </w:rPr>
  </w:style>
  <w:style w:type="paragraph" w:customStyle="1" w:styleId="142">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43">
    <w:name w:val="附录四级条标题"/>
    <w:basedOn w:val="140"/>
    <w:next w:val="35"/>
    <w:qFormat/>
    <w:uiPriority w:val="0"/>
    <w:pPr>
      <w:outlineLvl w:val="5"/>
    </w:pPr>
  </w:style>
  <w:style w:type="paragraph" w:customStyle="1" w:styleId="144">
    <w:name w:val="附录四级无"/>
    <w:basedOn w:val="143"/>
    <w:qFormat/>
    <w:uiPriority w:val="0"/>
    <w:pPr>
      <w:tabs>
        <w:tab w:val="clear" w:pos="360"/>
      </w:tabs>
      <w:spacing w:beforeLines="0" w:afterLines="0"/>
    </w:pPr>
    <w:rPr>
      <w:rFonts w:ascii="宋体" w:eastAsia="宋体"/>
      <w:szCs w:val="21"/>
    </w:rPr>
  </w:style>
  <w:style w:type="paragraph" w:customStyle="1" w:styleId="145">
    <w:name w:val="附录图标号"/>
    <w:basedOn w:val="1"/>
    <w:qFormat/>
    <w:uiPriority w:val="0"/>
    <w:pPr>
      <w:keepNext/>
      <w:pageBreakBefore/>
      <w:widowControl/>
      <w:tabs>
        <w:tab w:val="clear" w:pos="360"/>
      </w:tabs>
      <w:spacing w:line="14" w:lineRule="exact"/>
      <w:ind w:firstLine="363"/>
      <w:jc w:val="center"/>
      <w:outlineLvl w:val="0"/>
    </w:pPr>
    <w:rPr>
      <w:color w:val="FFFFFF"/>
      <w:sz w:val="21"/>
    </w:rPr>
  </w:style>
  <w:style w:type="paragraph" w:customStyle="1" w:styleId="146">
    <w:name w:val="附录图标题"/>
    <w:basedOn w:val="1"/>
    <w:next w:val="35"/>
    <w:qFormat/>
    <w:uiPriority w:val="0"/>
    <w:pPr>
      <w:tabs>
        <w:tab w:val="left" w:pos="363"/>
        <w:tab w:val="clear" w:pos="360"/>
      </w:tabs>
      <w:spacing w:beforeLines="50" w:afterLines="50" w:line="240" w:lineRule="auto"/>
      <w:jc w:val="center"/>
    </w:pPr>
    <w:rPr>
      <w:rFonts w:ascii="黑体" w:eastAsia="黑体"/>
      <w:sz w:val="21"/>
      <w:szCs w:val="21"/>
    </w:rPr>
  </w:style>
  <w:style w:type="paragraph" w:customStyle="1" w:styleId="147">
    <w:name w:val="附录五级条标题"/>
    <w:basedOn w:val="143"/>
    <w:next w:val="35"/>
    <w:qFormat/>
    <w:uiPriority w:val="0"/>
    <w:pPr>
      <w:outlineLvl w:val="6"/>
    </w:pPr>
  </w:style>
  <w:style w:type="paragraph" w:customStyle="1" w:styleId="148">
    <w:name w:val="附录五级无"/>
    <w:basedOn w:val="147"/>
    <w:qFormat/>
    <w:uiPriority w:val="0"/>
    <w:pPr>
      <w:tabs>
        <w:tab w:val="clear" w:pos="360"/>
      </w:tabs>
      <w:spacing w:beforeLines="0" w:afterLines="0"/>
    </w:pPr>
    <w:rPr>
      <w:rFonts w:ascii="宋体" w:eastAsia="宋体"/>
      <w:szCs w:val="21"/>
    </w:rPr>
  </w:style>
  <w:style w:type="paragraph" w:customStyle="1" w:styleId="149">
    <w:name w:val="附录章标题"/>
    <w:next w:val="35"/>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50">
    <w:name w:val="附录一级条标题"/>
    <w:basedOn w:val="149"/>
    <w:next w:val="35"/>
    <w:qFormat/>
    <w:uiPriority w:val="0"/>
    <w:pPr>
      <w:autoSpaceDN w:val="0"/>
      <w:spacing w:beforeLines="50" w:afterLines="50"/>
      <w:outlineLvl w:val="2"/>
    </w:pPr>
  </w:style>
  <w:style w:type="paragraph" w:customStyle="1" w:styleId="151">
    <w:name w:val="附录一级无"/>
    <w:basedOn w:val="150"/>
    <w:qFormat/>
    <w:uiPriority w:val="0"/>
    <w:pPr>
      <w:tabs>
        <w:tab w:val="clear" w:pos="360"/>
      </w:tabs>
      <w:spacing w:beforeLines="0" w:afterLines="0"/>
    </w:pPr>
    <w:rPr>
      <w:rFonts w:ascii="宋体" w:eastAsia="宋体"/>
      <w:szCs w:val="21"/>
    </w:rPr>
  </w:style>
  <w:style w:type="paragraph" w:customStyle="1" w:styleId="152">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character" w:customStyle="1" w:styleId="153">
    <w:name w:val="脚注文本 字符"/>
    <w:basedOn w:val="48"/>
    <w:link w:val="37"/>
    <w:qFormat/>
    <w:uiPriority w:val="0"/>
    <w:rPr>
      <w:rFonts w:ascii="宋体" w:hAnsi="Times New Roman" w:eastAsia="宋体" w:cs="Times New Roman"/>
      <w:sz w:val="18"/>
      <w:szCs w:val="18"/>
    </w:rPr>
  </w:style>
  <w:style w:type="paragraph" w:customStyle="1" w:styleId="154">
    <w:name w:val="列项说明"/>
    <w:basedOn w:val="1"/>
    <w:qFormat/>
    <w:uiPriority w:val="0"/>
    <w:pPr>
      <w:tabs>
        <w:tab w:val="clear" w:pos="360"/>
      </w:tabs>
      <w:adjustRightInd w:val="0"/>
      <w:spacing w:line="320" w:lineRule="exact"/>
      <w:ind w:left="400" w:leftChars="200" w:hanging="200" w:hangingChars="200"/>
      <w:jc w:val="left"/>
      <w:textAlignment w:val="baseline"/>
    </w:pPr>
    <w:rPr>
      <w:rFonts w:ascii="宋体"/>
      <w:kern w:val="0"/>
      <w:sz w:val="21"/>
      <w:szCs w:val="20"/>
    </w:rPr>
  </w:style>
  <w:style w:type="paragraph" w:customStyle="1" w:styleId="15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其他标准标志"/>
    <w:basedOn w:val="113"/>
    <w:qFormat/>
    <w:uiPriority w:val="0"/>
    <w:pPr>
      <w:framePr w:w="6101" w:wrap="around" w:vAnchor="page" w:hAnchor="page" w:x="4673" w:y="942"/>
    </w:pPr>
    <w:rPr>
      <w:w w:val="130"/>
    </w:rPr>
  </w:style>
  <w:style w:type="paragraph" w:customStyle="1" w:styleId="15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9">
    <w:name w:val="其他发布部门"/>
    <w:basedOn w:val="121"/>
    <w:qFormat/>
    <w:uiPriority w:val="0"/>
    <w:pPr>
      <w:framePr w:wrap="around"/>
    </w:pPr>
  </w:style>
  <w:style w:type="paragraph" w:customStyle="1" w:styleId="160">
    <w:name w:val="前言、引言标题"/>
    <w:next w:val="3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1">
    <w:name w:val="三级无"/>
    <w:basedOn w:val="98"/>
    <w:qFormat/>
    <w:uiPriority w:val="0"/>
    <w:pPr>
      <w:spacing w:beforeLines="0" w:afterLines="0"/>
    </w:pPr>
    <w:rPr>
      <w:rFonts w:ascii="宋体" w:eastAsia="宋体"/>
    </w:rPr>
  </w:style>
  <w:style w:type="paragraph" w:customStyle="1" w:styleId="162">
    <w:name w:val="实施日期"/>
    <w:basedOn w:val="122"/>
    <w:qFormat/>
    <w:uiPriority w:val="0"/>
    <w:pPr>
      <w:framePr w:wrap="around" w:vAnchor="page" w:hAnchor="text"/>
      <w:jc w:val="right"/>
    </w:pPr>
  </w:style>
  <w:style w:type="paragraph" w:customStyle="1" w:styleId="163">
    <w:name w:val="示例后文字"/>
    <w:basedOn w:val="35"/>
    <w:next w:val="35"/>
    <w:qFormat/>
    <w:uiPriority w:val="0"/>
    <w:pPr>
      <w:ind w:firstLine="360"/>
    </w:pPr>
    <w:rPr>
      <w:sz w:val="18"/>
    </w:rPr>
  </w:style>
  <w:style w:type="paragraph" w:customStyle="1" w:styleId="164">
    <w:name w:val="首示例"/>
    <w:next w:val="35"/>
    <w:link w:val="165"/>
    <w:qFormat/>
    <w:uiPriority w:val="0"/>
    <w:pPr>
      <w:tabs>
        <w:tab w:val="left" w:pos="360"/>
      </w:tabs>
    </w:pPr>
    <w:rPr>
      <w:rFonts w:ascii="宋体" w:hAnsi="宋体" w:eastAsia="宋体" w:cs="Times New Roman"/>
      <w:kern w:val="2"/>
      <w:sz w:val="18"/>
      <w:szCs w:val="18"/>
      <w:lang w:val="en-US" w:eastAsia="zh-CN" w:bidi="ar-SA"/>
    </w:rPr>
  </w:style>
  <w:style w:type="character" w:customStyle="1" w:styleId="165">
    <w:name w:val="首示例 Char"/>
    <w:link w:val="164"/>
    <w:qFormat/>
    <w:uiPriority w:val="0"/>
    <w:rPr>
      <w:rFonts w:ascii="宋体" w:hAnsi="宋体" w:eastAsia="宋体" w:cs="Times New Roman"/>
      <w:sz w:val="18"/>
      <w:szCs w:val="18"/>
    </w:rPr>
  </w:style>
  <w:style w:type="paragraph" w:customStyle="1" w:styleId="166">
    <w:name w:val="四级无"/>
    <w:basedOn w:val="102"/>
    <w:qFormat/>
    <w:uiPriority w:val="0"/>
    <w:pPr>
      <w:spacing w:beforeLines="0" w:afterLines="0"/>
      <w:outlineLvl w:val="5"/>
    </w:pPr>
    <w:rPr>
      <w:rFonts w:ascii="宋体" w:eastAsia="宋体"/>
    </w:rPr>
  </w:style>
  <w:style w:type="paragraph" w:customStyle="1" w:styleId="167">
    <w:name w:val="条文脚注"/>
    <w:basedOn w:val="37"/>
    <w:qFormat/>
    <w:uiPriority w:val="0"/>
    <w:pPr>
      <w:tabs>
        <w:tab w:val="clear" w:pos="0"/>
      </w:tabs>
      <w:ind w:left="0" w:firstLine="0"/>
      <w:jc w:val="both"/>
    </w:pPr>
  </w:style>
  <w:style w:type="paragraph" w:customStyle="1" w:styleId="168">
    <w:name w:val="图标脚注说明"/>
    <w:basedOn w:val="35"/>
    <w:qFormat/>
    <w:uiPriority w:val="0"/>
    <w:pPr>
      <w:ind w:left="840" w:hanging="420" w:firstLineChars="0"/>
    </w:pPr>
    <w:rPr>
      <w:sz w:val="18"/>
      <w:szCs w:val="18"/>
    </w:rPr>
  </w:style>
  <w:style w:type="paragraph" w:customStyle="1" w:styleId="169">
    <w:name w:val="图表脚注说明"/>
    <w:basedOn w:val="1"/>
    <w:qFormat/>
    <w:uiPriority w:val="0"/>
    <w:pPr>
      <w:tabs>
        <w:tab w:val="clear" w:pos="360"/>
      </w:tabs>
      <w:spacing w:line="240" w:lineRule="auto"/>
      <w:ind w:left="544" w:hanging="181"/>
    </w:pPr>
    <w:rPr>
      <w:rFonts w:ascii="宋体"/>
      <w:sz w:val="18"/>
      <w:szCs w:val="18"/>
    </w:rPr>
  </w:style>
  <w:style w:type="paragraph" w:customStyle="1" w:styleId="170">
    <w:name w:val="图的脚注"/>
    <w:next w:val="3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71">
    <w:name w:val="尾注文本 字符"/>
    <w:basedOn w:val="48"/>
    <w:link w:val="28"/>
    <w:semiHidden/>
    <w:qFormat/>
    <w:uiPriority w:val="0"/>
    <w:rPr>
      <w:rFonts w:ascii="Times New Roman" w:hAnsi="Times New Roman" w:eastAsia="宋体" w:cs="Times New Roman"/>
      <w:szCs w:val="24"/>
    </w:rPr>
  </w:style>
  <w:style w:type="paragraph" w:customStyle="1" w:styleId="17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3">
    <w:name w:val="五级无"/>
    <w:basedOn w:val="103"/>
    <w:qFormat/>
    <w:uiPriority w:val="0"/>
    <w:pPr>
      <w:spacing w:beforeLines="0" w:afterLines="0"/>
    </w:pPr>
    <w:rPr>
      <w:rFonts w:ascii="宋体" w:eastAsia="宋体"/>
    </w:rPr>
  </w:style>
  <w:style w:type="paragraph" w:customStyle="1" w:styleId="174">
    <w:name w:val="一级无"/>
    <w:basedOn w:val="89"/>
    <w:qFormat/>
    <w:uiPriority w:val="0"/>
    <w:pPr>
      <w:spacing w:beforeLines="0" w:afterLines="0"/>
    </w:pPr>
    <w:rPr>
      <w:rFonts w:ascii="宋体" w:eastAsia="宋体"/>
    </w:rPr>
  </w:style>
  <w:style w:type="paragraph" w:customStyle="1" w:styleId="175">
    <w:name w:val="正文表标题"/>
    <w:next w:val="3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76">
    <w:name w:val="正文公式编号制表符"/>
    <w:basedOn w:val="35"/>
    <w:next w:val="35"/>
    <w:qFormat/>
    <w:uiPriority w:val="0"/>
    <w:pPr>
      <w:ind w:firstLine="0" w:firstLineChars="0"/>
    </w:pPr>
  </w:style>
  <w:style w:type="paragraph" w:customStyle="1" w:styleId="177">
    <w:name w:val="正文图标题"/>
    <w:next w:val="35"/>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178">
    <w:name w:val="终结线"/>
    <w:basedOn w:val="1"/>
    <w:qFormat/>
    <w:uiPriority w:val="0"/>
    <w:pPr>
      <w:framePr w:hSpace="181" w:vSpace="181" w:wrap="around" w:vAnchor="text" w:hAnchor="margin" w:xAlign="center" w:y="285"/>
      <w:tabs>
        <w:tab w:val="clear" w:pos="360"/>
      </w:tabs>
      <w:spacing w:line="240" w:lineRule="auto"/>
    </w:pPr>
    <w:rPr>
      <w:sz w:val="21"/>
    </w:rPr>
  </w:style>
  <w:style w:type="paragraph" w:customStyle="1" w:styleId="179">
    <w:name w:val="其他发布日期"/>
    <w:basedOn w:val="122"/>
    <w:qFormat/>
    <w:uiPriority w:val="0"/>
    <w:pPr>
      <w:framePr w:wrap="around" w:vAnchor="page" w:hAnchor="text" w:x="1419"/>
    </w:pPr>
  </w:style>
  <w:style w:type="paragraph" w:customStyle="1" w:styleId="180">
    <w:name w:val="其他实施日期"/>
    <w:basedOn w:val="162"/>
    <w:qFormat/>
    <w:uiPriority w:val="0"/>
    <w:pPr>
      <w:framePr w:wrap="around"/>
    </w:pPr>
  </w:style>
  <w:style w:type="paragraph" w:customStyle="1" w:styleId="181">
    <w:name w:val="封面标准名称2"/>
    <w:basedOn w:val="125"/>
    <w:qFormat/>
    <w:uiPriority w:val="0"/>
    <w:pPr>
      <w:framePr w:wrap="around"/>
    </w:pPr>
  </w:style>
  <w:style w:type="paragraph" w:customStyle="1" w:styleId="182">
    <w:name w:val="封面标准英文名称2"/>
    <w:basedOn w:val="126"/>
    <w:qFormat/>
    <w:uiPriority w:val="0"/>
    <w:pPr>
      <w:framePr w:wrap="around" w:y="4469"/>
      <w:spacing w:before="370" w:line="400" w:lineRule="exact"/>
    </w:pPr>
    <w:rPr>
      <w:rFonts w:ascii="Times New Roman"/>
      <w:sz w:val="28"/>
      <w:szCs w:val="28"/>
    </w:rPr>
  </w:style>
  <w:style w:type="paragraph" w:customStyle="1" w:styleId="183">
    <w:name w:val="封面一致性程度标识2"/>
    <w:basedOn w:val="127"/>
    <w:qFormat/>
    <w:uiPriority w:val="0"/>
    <w:pPr>
      <w:framePr w:wrap="around" w:y="4469"/>
    </w:pPr>
  </w:style>
  <w:style w:type="paragraph" w:customStyle="1" w:styleId="184">
    <w:name w:val="封面标准文稿类别2"/>
    <w:basedOn w:val="128"/>
    <w:qFormat/>
    <w:uiPriority w:val="0"/>
    <w:pPr>
      <w:framePr w:wrap="around" w:y="4469"/>
    </w:pPr>
  </w:style>
  <w:style w:type="paragraph" w:customStyle="1" w:styleId="185">
    <w:name w:val="封面标准文稿编辑信息2"/>
    <w:basedOn w:val="129"/>
    <w:qFormat/>
    <w:uiPriority w:val="0"/>
    <w:pPr>
      <w:framePr w:wrap="around" w:y="4469"/>
    </w:pPr>
  </w:style>
  <w:style w:type="character" w:customStyle="1" w:styleId="186">
    <w:name w:val="标题 字符"/>
    <w:basedOn w:val="48"/>
    <w:link w:val="44"/>
    <w:qFormat/>
    <w:uiPriority w:val="0"/>
    <w:rPr>
      <w:rFonts w:ascii="Cambria" w:hAnsi="Cambria" w:eastAsia="宋体" w:cs="Times New Roman"/>
      <w:b/>
      <w:bCs/>
      <w:sz w:val="32"/>
      <w:szCs w:val="32"/>
    </w:rPr>
  </w:style>
  <w:style w:type="paragraph" w:customStyle="1" w:styleId="187">
    <w:name w:val="二级无标题条"/>
    <w:basedOn w:val="1"/>
    <w:qFormat/>
    <w:uiPriority w:val="0"/>
    <w:pPr>
      <w:tabs>
        <w:tab w:val="left" w:pos="1984"/>
        <w:tab w:val="clear" w:pos="360"/>
      </w:tabs>
      <w:spacing w:line="240" w:lineRule="auto"/>
      <w:ind w:left="1984" w:hanging="708"/>
    </w:pPr>
    <w:rPr>
      <w:rFonts w:hint="eastAsia" w:ascii="Calibri" w:hAnsi="Calibri" w:cs="黑体"/>
      <w:sz w:val="21"/>
      <w:szCs w:val="22"/>
    </w:rPr>
  </w:style>
  <w:style w:type="paragraph" w:customStyle="1" w:styleId="188">
    <w:name w:val="ZB1.0"/>
    <w:basedOn w:val="1"/>
    <w:qFormat/>
    <w:uiPriority w:val="0"/>
    <w:pPr>
      <w:keepNext/>
      <w:keepLines/>
      <w:tabs>
        <w:tab w:val="left" w:pos="0"/>
        <w:tab w:val="left" w:pos="1260"/>
        <w:tab w:val="clear" w:pos="360"/>
      </w:tabs>
      <w:snapToGrid w:val="0"/>
      <w:ind w:left="1260" w:hanging="420"/>
      <w:outlineLvl w:val="0"/>
    </w:pPr>
    <w:rPr>
      <w:rFonts w:hint="eastAsia" w:ascii="Calibri" w:hAnsi="Calibri" w:cs="黑体"/>
      <w:b/>
      <w:kern w:val="44"/>
      <w:szCs w:val="22"/>
    </w:rPr>
  </w:style>
  <w:style w:type="paragraph" w:customStyle="1" w:styleId="189">
    <w:name w:val="Bullet1"/>
    <w:basedOn w:val="1"/>
    <w:qFormat/>
    <w:uiPriority w:val="0"/>
    <w:pPr>
      <w:widowControl/>
      <w:tabs>
        <w:tab w:val="left" w:pos="567"/>
        <w:tab w:val="left" w:pos="840"/>
        <w:tab w:val="clear" w:pos="360"/>
      </w:tabs>
      <w:spacing w:before="140" w:line="280" w:lineRule="atLeast"/>
      <w:ind w:left="840" w:hanging="420"/>
      <w:jc w:val="left"/>
    </w:pPr>
    <w:rPr>
      <w:rFonts w:hint="eastAsia" w:ascii="Arial" w:hAnsi="Arial" w:cs="黑体"/>
      <w:sz w:val="20"/>
      <w:szCs w:val="22"/>
      <w:lang w:val="en-AU" w:eastAsia="en-US"/>
    </w:rPr>
  </w:style>
  <w:style w:type="paragraph" w:customStyle="1" w:styleId="190">
    <w:name w:val="ZB1.1"/>
    <w:basedOn w:val="1"/>
    <w:qFormat/>
    <w:uiPriority w:val="0"/>
    <w:pPr>
      <w:keepNext/>
      <w:keepLines/>
      <w:tabs>
        <w:tab w:val="left" w:pos="0"/>
        <w:tab w:val="left" w:pos="420"/>
        <w:tab w:val="clear" w:pos="360"/>
      </w:tabs>
      <w:snapToGrid w:val="0"/>
      <w:ind w:left="420" w:hanging="420"/>
      <w:outlineLvl w:val="1"/>
    </w:pPr>
    <w:rPr>
      <w:rFonts w:ascii="Arial" w:hAnsi="Calibri"/>
      <w:sz w:val="28"/>
      <w:szCs w:val="22"/>
    </w:rPr>
  </w:style>
  <w:style w:type="paragraph" w:customStyle="1" w:styleId="191">
    <w:name w:val="Bullet"/>
    <w:basedOn w:val="1"/>
    <w:qFormat/>
    <w:uiPriority w:val="0"/>
    <w:pPr>
      <w:tabs>
        <w:tab w:val="left" w:pos="425"/>
        <w:tab w:val="left" w:pos="1440"/>
        <w:tab w:val="clear" w:pos="360"/>
      </w:tabs>
      <w:spacing w:before="60" w:after="60" w:line="240" w:lineRule="auto"/>
      <w:ind w:left="425" w:hanging="425"/>
    </w:pPr>
    <w:rPr>
      <w:rFonts w:hint="eastAsia" w:ascii="Arial" w:hAnsi="Arial" w:cs="黑体"/>
      <w:sz w:val="22"/>
      <w:szCs w:val="22"/>
    </w:rPr>
  </w:style>
  <w:style w:type="paragraph" w:customStyle="1" w:styleId="192">
    <w:name w:val="B Head"/>
    <w:basedOn w:val="189"/>
    <w:next w:val="1"/>
    <w:qFormat/>
    <w:uiPriority w:val="0"/>
    <w:pPr>
      <w:keepNext/>
      <w:tabs>
        <w:tab w:val="left" w:pos="502"/>
        <w:tab w:val="clear" w:pos="567"/>
        <w:tab w:val="clear" w:pos="840"/>
      </w:tabs>
      <w:ind w:left="1305" w:hanging="1305"/>
    </w:pPr>
    <w:rPr>
      <w:b/>
      <w:sz w:val="22"/>
      <w:lang w:val="en-US" w:eastAsia="zh-CN"/>
    </w:rPr>
  </w:style>
  <w:style w:type="character" w:customStyle="1" w:styleId="193">
    <w:name w:val="正文文本 2 字符"/>
    <w:basedOn w:val="48"/>
    <w:link w:val="41"/>
    <w:qFormat/>
    <w:uiPriority w:val="99"/>
    <w:rPr>
      <w:rFonts w:ascii="Times New Roman" w:hAnsi="Times New Roman" w:eastAsia="仿宋_GB2312" w:cs="Times New Roman"/>
      <w:sz w:val="24"/>
      <w:szCs w:val="24"/>
    </w:rPr>
  </w:style>
  <w:style w:type="paragraph" w:customStyle="1" w:styleId="194">
    <w:name w:val="size14"/>
    <w:basedOn w:val="1"/>
    <w:qFormat/>
    <w:uiPriority w:val="0"/>
    <w:pPr>
      <w:widowControl/>
      <w:tabs>
        <w:tab w:val="clear" w:pos="360"/>
      </w:tabs>
      <w:spacing w:before="100" w:beforeAutospacing="1" w:after="100" w:afterAutospacing="1" w:line="240" w:lineRule="auto"/>
      <w:jc w:val="left"/>
    </w:pPr>
    <w:rPr>
      <w:rFonts w:hint="eastAsia" w:ascii="宋体" w:hAnsi="宋体" w:eastAsia="仿宋_GB2312" w:cs="Arial Unicode MS"/>
      <w:color w:val="000000"/>
      <w:kern w:val="0"/>
      <w:szCs w:val="21"/>
    </w:rPr>
  </w:style>
  <w:style w:type="character" w:customStyle="1" w:styleId="195">
    <w:name w:val="正文文本 3 字符"/>
    <w:basedOn w:val="48"/>
    <w:link w:val="19"/>
    <w:qFormat/>
    <w:uiPriority w:val="99"/>
    <w:rPr>
      <w:rFonts w:ascii="Times New Roman" w:hAnsi="Times New Roman" w:eastAsia="仿宋_GB2312" w:cs="Times New Roman"/>
      <w:sz w:val="16"/>
      <w:szCs w:val="16"/>
    </w:rPr>
  </w:style>
  <w:style w:type="character" w:customStyle="1" w:styleId="196">
    <w:name w:val="apple-converted-space"/>
    <w:basedOn w:val="48"/>
    <w:qFormat/>
    <w:uiPriority w:val="0"/>
  </w:style>
  <w:style w:type="paragraph" w:customStyle="1" w:styleId="197">
    <w:name w:val="样式 (西文) Arial (中文) 黑体 小四 段前: 6 磅 段后: 6 磅 行距: 1.5 倍行距3"/>
    <w:basedOn w:val="1"/>
    <w:qFormat/>
    <w:uiPriority w:val="0"/>
    <w:pPr>
      <w:widowControl/>
      <w:tabs>
        <w:tab w:val="left" w:pos="425"/>
        <w:tab w:val="left" w:pos="840"/>
        <w:tab w:val="clear" w:pos="360"/>
      </w:tabs>
      <w:spacing w:before="120" w:after="120"/>
      <w:ind w:left="425" w:hanging="425"/>
      <w:jc w:val="left"/>
    </w:pPr>
    <w:rPr>
      <w:rFonts w:ascii="Arial" w:hAnsi="Arial" w:eastAsia="黑体" w:cs="宋体"/>
      <w:kern w:val="0"/>
      <w:szCs w:val="20"/>
      <w:lang w:eastAsia="en-US" w:bidi="en-US"/>
    </w:rPr>
  </w:style>
  <w:style w:type="paragraph" w:customStyle="1" w:styleId="198">
    <w:name w:val="修订1"/>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CF463-6E9F-499F-955F-763A82AD769B}">
  <ds:schemaRefs/>
</ds:datastoreItem>
</file>

<file path=docProps/app.xml><?xml version="1.0" encoding="utf-8"?>
<Properties xmlns="http://schemas.openxmlformats.org/officeDocument/2006/extended-properties" xmlns:vt="http://schemas.openxmlformats.org/officeDocument/2006/docPropsVTypes">
  <Template>Normal.dotm</Template>
  <Company>V2017/01/23</Company>
  <Pages>9</Pages>
  <Words>1038</Words>
  <Characters>5920</Characters>
  <Lines>49</Lines>
  <Paragraphs>13</Paragraphs>
  <TotalTime>0</TotalTime>
  <ScaleCrop>false</ScaleCrop>
  <LinksUpToDate>false</LinksUpToDate>
  <CharactersWithSpaces>6945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2025-07-03T23:04:00Z</dcterms:created>
  <dc:creator>Zhangbochao</dc:creator>
  <cp:lastModifiedBy>孙志向</cp:lastModifiedBy>
  <cp:lastPrinted>2018-04-09T08:38:00Z</cp:lastPrinted>
  <dcterms:modified xsi:type="dcterms:W3CDTF">2026-01-24T15:06:28Z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840C47D05969421AB18646B2B310268F</vt:lpwstr>
  </property>
</Properties>
</file>