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0"/>
        <w:rPr>
          <w:rFonts w:asciiTheme="minorEastAsia" w:hAnsiTheme="minorEastAsia" w:eastAsiaTheme="minorEastAsia"/>
          <w:b/>
          <w:color w:val="auto"/>
          <w:sz w:val="28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sz w:val="28"/>
          <w:highlight w:val="none"/>
        </w:rPr>
        <w:t xml:space="preserve"> 采购需求</w:t>
      </w:r>
    </w:p>
    <w:p>
      <w:pPr>
        <w:spacing w:line="360" w:lineRule="auto"/>
        <w:jc w:val="center"/>
        <w:rPr>
          <w:rFonts w:hint="eastAsia" w:asciiTheme="minorEastAsia" w:hAnsiTheme="minorEastAsia" w:eastAsiaTheme="minorEastAsia"/>
          <w:b/>
          <w:color w:val="auto"/>
          <w:sz w:val="24"/>
          <w:highlight w:val="none"/>
          <w:lang w:eastAsia="zh-CN"/>
        </w:rPr>
      </w:pPr>
      <w:r>
        <w:rPr>
          <w:rFonts w:hint="eastAsia" w:asciiTheme="minorEastAsia" w:hAnsiTheme="minorEastAsia" w:eastAsiaTheme="minorEastAsia"/>
          <w:b/>
          <w:color w:val="auto"/>
          <w:sz w:val="24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/>
          <w:b/>
          <w:color w:val="auto"/>
          <w:sz w:val="24"/>
          <w:highlight w:val="none"/>
          <w:lang w:val="en-US" w:eastAsia="zh-CN"/>
        </w:rPr>
        <w:t>具体以采购文件为准</w:t>
      </w:r>
      <w:r>
        <w:rPr>
          <w:rFonts w:hint="eastAsia" w:asciiTheme="minorEastAsia" w:hAnsiTheme="minorEastAsia" w:eastAsiaTheme="minorEastAsia"/>
          <w:b/>
          <w:color w:val="auto"/>
          <w:sz w:val="24"/>
          <w:highlight w:val="none"/>
          <w:lang w:eastAsia="zh-CN"/>
        </w:rPr>
        <w:t>）</w:t>
      </w:r>
      <w:bookmarkStart w:id="0" w:name="_GoBack"/>
      <w:bookmarkEnd w:id="0"/>
    </w:p>
    <w:p>
      <w:pPr>
        <w:spacing w:line="360" w:lineRule="auto"/>
        <w:rPr>
          <w:rFonts w:asciiTheme="minorEastAsia" w:hAnsiTheme="minorEastAsia" w:eastAsiaTheme="minorEastAsia"/>
          <w:b/>
          <w:color w:val="auto"/>
          <w:sz w:val="24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sz w:val="24"/>
          <w:highlight w:val="none"/>
        </w:rPr>
        <w:t>前注：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auto"/>
          <w:sz w:val="24"/>
          <w:szCs w:val="18"/>
          <w:highlight w:val="none"/>
        </w:rPr>
      </w:pPr>
      <w:r>
        <w:rPr>
          <w:rFonts w:hint="eastAsia" w:asciiTheme="minorEastAsia" w:hAnsiTheme="minorEastAsia" w:eastAsiaTheme="minorEastAsia"/>
          <w:color w:val="auto"/>
          <w:sz w:val="24"/>
          <w:highlight w:val="none"/>
        </w:rPr>
        <w:t>1.</w:t>
      </w:r>
      <w:r>
        <w:rPr>
          <w:rFonts w:ascii="宋体" w:hAnsi="宋体" w:eastAsia="宋体"/>
          <w:color w:val="auto"/>
          <w:sz w:val="24"/>
          <w:szCs w:val="18"/>
          <w:highlight w:val="none"/>
        </w:rPr>
        <w:t>根据《关于规范政府采购进口产品有关工作的通知》及政府采购管理部门的相关规定，下列采购需求中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标注进口产品的货物均</w:t>
      </w:r>
      <w:r>
        <w:rPr>
          <w:rFonts w:ascii="宋体" w:hAnsi="宋体" w:eastAsia="宋体"/>
          <w:color w:val="auto"/>
          <w:sz w:val="24"/>
          <w:szCs w:val="18"/>
          <w:highlight w:val="none"/>
        </w:rPr>
        <w:t>已履行相关论证手续，经核准采购进口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产品</w:t>
      </w:r>
      <w:r>
        <w:rPr>
          <w:rFonts w:ascii="宋体" w:hAnsi="宋体" w:eastAsia="宋体"/>
          <w:color w:val="auto"/>
          <w:sz w:val="24"/>
          <w:szCs w:val="18"/>
          <w:highlight w:val="none"/>
        </w:rPr>
        <w:t>，但不限制满足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谈判</w:t>
      </w:r>
      <w:r>
        <w:rPr>
          <w:rFonts w:ascii="宋体" w:hAnsi="宋体" w:eastAsia="宋体"/>
          <w:color w:val="auto"/>
          <w:sz w:val="24"/>
          <w:szCs w:val="18"/>
          <w:highlight w:val="none"/>
        </w:rPr>
        <w:t>文件要求的国内产品参与竞争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。未标注进口产品的货物均</w:t>
      </w:r>
      <w:r>
        <w:rPr>
          <w:rFonts w:ascii="宋体" w:hAnsi="宋体" w:eastAsia="宋体"/>
          <w:color w:val="auto"/>
          <w:sz w:val="24"/>
          <w:szCs w:val="18"/>
          <w:highlight w:val="none"/>
        </w:rPr>
        <w:t>为拒绝采购进口产品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。</w:t>
      </w:r>
    </w:p>
    <w:p>
      <w:pPr>
        <w:spacing w:line="360" w:lineRule="auto"/>
        <w:ind w:firstLine="435"/>
        <w:rPr>
          <w:rFonts w:hint="eastAsia" w:ascii="宋体" w:hAnsi="宋体" w:eastAsia="宋体"/>
          <w:color w:val="auto"/>
          <w:sz w:val="24"/>
          <w:szCs w:val="18"/>
          <w:highlight w:val="none"/>
        </w:rPr>
      </w:pP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2.下列采购需求中：</w:t>
      </w:r>
    </w:p>
    <w:p>
      <w:pPr>
        <w:spacing w:line="360" w:lineRule="auto"/>
        <w:ind w:firstLine="435"/>
        <w:rPr>
          <w:rFonts w:hint="eastAsia" w:ascii="宋体" w:hAnsi="宋体" w:eastAsia="宋体"/>
          <w:color w:val="auto"/>
          <w:sz w:val="24"/>
          <w:szCs w:val="18"/>
          <w:highlight w:val="none"/>
        </w:rPr>
      </w:pPr>
      <w:r>
        <w:rPr>
          <w:rFonts w:hint="eastAsia" w:ascii="宋体" w:hAnsi="宋体" w:eastAsia="宋体"/>
          <w:color w:val="auto"/>
          <w:sz w:val="24"/>
          <w:szCs w:val="18"/>
          <w:highlight w:val="none"/>
          <w:lang w:eastAsia="zh-CN"/>
        </w:rPr>
        <w:t>（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  <w:lang w:val="en-US" w:eastAsia="zh-CN"/>
        </w:rPr>
        <w:t>1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  <w:lang w:eastAsia="zh-CN"/>
        </w:rPr>
        <w:t>）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如属于《节能产品政府采购品目清单》中政府强制采购的节能产品，则投标人所投产品须具有市场监管总局公布的《参与实施政府采购节能产品认证机构目录》中的认证机构出具的、处于有效期内的节能产品认证证书。</w:t>
      </w:r>
    </w:p>
    <w:p>
      <w:pPr>
        <w:spacing w:line="360" w:lineRule="auto"/>
        <w:ind w:firstLine="435"/>
        <w:rPr>
          <w:rFonts w:hint="eastAsia" w:ascii="宋体" w:hAnsi="宋体" w:eastAsia="宋体"/>
          <w:color w:val="auto"/>
          <w:sz w:val="24"/>
          <w:szCs w:val="18"/>
          <w:highlight w:val="none"/>
          <w:lang w:eastAsia="zh-CN"/>
        </w:rPr>
      </w:pP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（2）如涉及的商品包装和快递包装，则投标人应当执行《关于印发〈商品包装政府采购需求标准（试行）〉、〈快递包装政府采购需求标准（试行）〉的通知》（财办库〔2020〕123 号）、《安徽省财政厅关于贯彻落实政府绿色采购有关政策的通知》（皖财购〔2023〕853号）的要求，提供符合需求标准的绿色包装、绿色运输，同时，采购人将对包装材料和运输环节作为履约验收条款进行验收。</w:t>
      </w:r>
    </w:p>
    <w:p>
      <w:pPr>
        <w:spacing w:line="360" w:lineRule="auto"/>
        <w:ind w:firstLine="480" w:firstLineChars="200"/>
        <w:rPr>
          <w:rFonts w:ascii="宋体" w:hAnsi="宋体" w:eastAsia="宋体"/>
          <w:color w:val="auto"/>
          <w:sz w:val="24"/>
          <w:szCs w:val="18"/>
          <w:highlight w:val="none"/>
        </w:rPr>
      </w:pP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3.</w:t>
      </w:r>
      <w:r>
        <w:rPr>
          <w:rFonts w:ascii="宋体" w:hAnsi="宋体" w:eastAsia="宋体"/>
          <w:color w:val="auto"/>
          <w:sz w:val="24"/>
          <w:szCs w:val="18"/>
          <w:highlight w:val="none"/>
        </w:rPr>
        <w:t>下列采购需求中：标注▲的产品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（核心产品）</w:t>
      </w:r>
      <w:r>
        <w:rPr>
          <w:rFonts w:ascii="宋体" w:hAnsi="宋体" w:eastAsia="宋体"/>
          <w:color w:val="auto"/>
          <w:sz w:val="24"/>
          <w:szCs w:val="18"/>
          <w:highlight w:val="none"/>
        </w:rPr>
        <w:t>，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供应商</w:t>
      </w:r>
      <w:r>
        <w:rPr>
          <w:rFonts w:ascii="宋体" w:hAnsi="宋体" w:eastAsia="宋体"/>
          <w:color w:val="auto"/>
          <w:sz w:val="24"/>
          <w:szCs w:val="18"/>
          <w:highlight w:val="none"/>
        </w:rPr>
        <w:t>在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响应</w:t>
      </w:r>
      <w:r>
        <w:rPr>
          <w:rFonts w:ascii="宋体" w:hAnsi="宋体" w:eastAsia="宋体"/>
          <w:color w:val="auto"/>
          <w:sz w:val="24"/>
          <w:szCs w:val="18"/>
          <w:highlight w:val="none"/>
        </w:rPr>
        <w:t>文件《主要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成交标的</w:t>
      </w:r>
      <w:r>
        <w:rPr>
          <w:rFonts w:ascii="宋体" w:hAnsi="宋体" w:eastAsia="宋体"/>
          <w:color w:val="auto"/>
          <w:sz w:val="24"/>
          <w:szCs w:val="18"/>
          <w:highlight w:val="none"/>
        </w:rPr>
        <w:t>承诺函》中填写名称、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品牌、</w:t>
      </w:r>
      <w:r>
        <w:rPr>
          <w:rFonts w:ascii="宋体" w:hAnsi="宋体" w:eastAsia="宋体"/>
          <w:color w:val="auto"/>
          <w:sz w:val="24"/>
          <w:szCs w:val="18"/>
          <w:highlight w:val="none"/>
        </w:rPr>
        <w:t>规格、型号、数量、单价等信息</w:t>
      </w:r>
      <w:r>
        <w:rPr>
          <w:rFonts w:hint="eastAsia" w:ascii="宋体" w:hAnsi="宋体" w:eastAsia="宋体"/>
          <w:color w:val="auto"/>
          <w:sz w:val="24"/>
          <w:szCs w:val="18"/>
          <w:highlight w:val="none"/>
        </w:rPr>
        <w:t>。</w:t>
      </w:r>
    </w:p>
    <w:p>
      <w:pPr>
        <w:spacing w:line="360" w:lineRule="auto"/>
        <w:ind w:firstLine="435"/>
        <w:rPr>
          <w:rFonts w:ascii="宋体" w:hAnsi="宋体" w:eastAsia="宋体"/>
          <w:color w:val="auto"/>
          <w:sz w:val="24"/>
          <w:szCs w:val="18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="宋体" w:hAnsi="宋体" w:eastAsia="宋体"/>
          <w:color w:val="auto"/>
          <w:sz w:val="24"/>
          <w:szCs w:val="18"/>
        </w:rPr>
        <w:t>如采购人允许采用分包方式履行合同的，应当明确可以分包履行的相关内容。</w:t>
      </w:r>
    </w:p>
    <w:p>
      <w:pPr>
        <w:spacing w:line="360" w:lineRule="auto"/>
        <w:outlineLvl w:val="1"/>
        <w:rPr>
          <w:rFonts w:ascii="宋体" w:hAnsi="宋体" w:eastAsia="宋体"/>
          <w:b/>
          <w:color w:val="auto"/>
          <w:sz w:val="24"/>
          <w:szCs w:val="18"/>
          <w:highlight w:val="none"/>
        </w:rPr>
      </w:pPr>
      <w:r>
        <w:rPr>
          <w:rFonts w:hint="eastAsia" w:ascii="宋体" w:hAnsi="宋体" w:eastAsia="宋体"/>
          <w:b/>
          <w:color w:val="auto"/>
          <w:sz w:val="24"/>
          <w:szCs w:val="18"/>
          <w:highlight w:val="none"/>
        </w:rPr>
        <w:t>一、采购需求前附表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2032"/>
        <w:gridCol w:w="54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0" w:type="pct"/>
            <w:vAlign w:val="center"/>
          </w:tcPr>
          <w:p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ascii="宋体" w:hAnsi="宋体" w:eastAsia="宋体"/>
                <w:b/>
                <w:color w:val="auto"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2"/>
                <w:highlight w:val="none"/>
              </w:rPr>
              <w:t>序号</w:t>
            </w:r>
          </w:p>
        </w:tc>
        <w:tc>
          <w:tcPr>
            <w:tcW w:w="1192" w:type="pct"/>
            <w:vAlign w:val="center"/>
          </w:tcPr>
          <w:p>
            <w:pPr>
              <w:pStyle w:val="6"/>
              <w:widowControl w:val="0"/>
              <w:spacing w:before="0" w:beforeAutospacing="0" w:after="0" w:afterAutospacing="0" w:line="360" w:lineRule="auto"/>
              <w:rPr>
                <w:rFonts w:ascii="宋体" w:hAnsi="宋体" w:eastAsia="宋体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Cs w:val="0"/>
                <w:color w:val="auto"/>
                <w:sz w:val="24"/>
                <w:highlight w:val="none"/>
              </w:rPr>
              <w:t>条款名称</w:t>
            </w:r>
          </w:p>
        </w:tc>
        <w:tc>
          <w:tcPr>
            <w:tcW w:w="3216" w:type="pct"/>
            <w:vAlign w:val="center"/>
          </w:tcPr>
          <w:p>
            <w:pPr>
              <w:pStyle w:val="6"/>
              <w:widowControl w:val="0"/>
              <w:spacing w:before="0" w:beforeAutospacing="0" w:after="0" w:afterAutospacing="0" w:line="360" w:lineRule="auto"/>
              <w:rPr>
                <w:rFonts w:ascii="宋体" w:hAnsi="宋体" w:eastAsia="宋体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Cs w:val="0"/>
                <w:color w:val="auto"/>
                <w:sz w:val="24"/>
                <w:highlight w:val="none"/>
              </w:rPr>
              <w:t>内容、说明与要求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0" w:type="pct"/>
            <w:vAlign w:val="center"/>
          </w:tcPr>
          <w:p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ascii="宋体" w:hAnsi="宋体" w:eastAsia="宋体"/>
                <w:bCs/>
                <w:color w:val="auto"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  <w:highlight w:val="none"/>
              </w:rPr>
              <w:t>1</w:t>
            </w:r>
          </w:p>
        </w:tc>
        <w:tc>
          <w:tcPr>
            <w:tcW w:w="1192" w:type="pct"/>
            <w:vAlign w:val="center"/>
          </w:tcPr>
          <w:p>
            <w:pPr>
              <w:pStyle w:val="6"/>
              <w:widowControl w:val="0"/>
              <w:spacing w:before="0" w:beforeAutospacing="0" w:after="0" w:afterAutospacing="0" w:line="360" w:lineRule="auto"/>
              <w:rPr>
                <w:rFonts w:ascii="宋体" w:hAnsi="宋体" w:eastAsia="宋体"/>
                <w:b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color w:val="auto"/>
                <w:sz w:val="24"/>
                <w:highlight w:val="none"/>
              </w:rPr>
              <w:t>付款方式</w:t>
            </w:r>
          </w:p>
        </w:tc>
        <w:tc>
          <w:tcPr>
            <w:tcW w:w="5483" w:type="dxa"/>
            <w:vAlign w:val="center"/>
          </w:tcPr>
          <w:p>
            <w:pPr>
              <w:pStyle w:val="6"/>
              <w:widowControl w:val="0"/>
              <w:spacing w:before="0" w:beforeAutospacing="0" w:after="0" w:afterAutospacing="0" w:line="360" w:lineRule="auto"/>
              <w:jc w:val="both"/>
              <w:rPr>
                <w:rFonts w:ascii="宋体" w:hAnsi="宋体" w:eastAsia="宋体"/>
                <w:b w:val="0"/>
                <w:color w:val="auto"/>
                <w:sz w:val="24"/>
                <w:highlight w:val="none"/>
                <w:u w:val="single"/>
              </w:rPr>
            </w:pPr>
            <w:r>
              <w:rPr>
                <w:rFonts w:hint="eastAsia" w:ascii="宋体" w:hAnsi="宋体" w:eastAsia="宋体"/>
                <w:b w:val="0"/>
                <w:sz w:val="24"/>
              </w:rPr>
              <w:t>验收合格后一次性支付全部款项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0" w:type="pct"/>
            <w:vAlign w:val="center"/>
          </w:tcPr>
          <w:p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ascii="宋体" w:hAnsi="宋体" w:eastAsia="宋体"/>
                <w:bCs/>
                <w:color w:val="auto"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  <w:highlight w:val="none"/>
              </w:rPr>
              <w:t>2</w:t>
            </w:r>
          </w:p>
        </w:tc>
        <w:tc>
          <w:tcPr>
            <w:tcW w:w="1192" w:type="pct"/>
            <w:vAlign w:val="center"/>
          </w:tcPr>
          <w:p>
            <w:pPr>
              <w:pStyle w:val="6"/>
              <w:widowControl w:val="0"/>
              <w:spacing w:before="0" w:beforeAutospacing="0" w:after="0" w:afterAutospacing="0" w:line="360" w:lineRule="auto"/>
              <w:rPr>
                <w:rFonts w:ascii="宋体" w:hAnsi="宋体" w:eastAsia="宋体"/>
                <w:b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color w:val="auto"/>
                <w:sz w:val="24"/>
                <w:highlight w:val="none"/>
              </w:rPr>
              <w:t>供货及安装地点</w:t>
            </w:r>
          </w:p>
        </w:tc>
        <w:tc>
          <w:tcPr>
            <w:tcW w:w="5483" w:type="dxa"/>
            <w:vAlign w:val="center"/>
          </w:tcPr>
          <w:p>
            <w:pPr>
              <w:pStyle w:val="6"/>
              <w:widowControl w:val="0"/>
              <w:spacing w:before="0" w:beforeAutospacing="0" w:after="0" w:afterAutospacing="0" w:line="360" w:lineRule="auto"/>
              <w:jc w:val="both"/>
              <w:rPr>
                <w:rFonts w:ascii="宋体" w:hAnsi="宋体" w:eastAsia="宋体"/>
                <w:b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24"/>
                <w:lang w:val="en-US" w:eastAsia="zh-CN"/>
              </w:rPr>
              <w:t>合肥市，</w:t>
            </w:r>
            <w:r>
              <w:rPr>
                <w:rFonts w:hint="eastAsia" w:ascii="宋体" w:hAnsi="宋体" w:eastAsia="宋体"/>
                <w:b w:val="0"/>
                <w:sz w:val="24"/>
              </w:rPr>
              <w:t xml:space="preserve">采购人指定地点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0" w:type="pct"/>
            <w:vAlign w:val="center"/>
          </w:tcPr>
          <w:p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ascii="宋体" w:hAnsi="宋体" w:eastAsia="宋体"/>
                <w:bCs/>
                <w:color w:val="auto"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  <w:highlight w:val="none"/>
              </w:rPr>
              <w:t>3</w:t>
            </w:r>
          </w:p>
        </w:tc>
        <w:tc>
          <w:tcPr>
            <w:tcW w:w="1192" w:type="pct"/>
            <w:vAlign w:val="center"/>
          </w:tcPr>
          <w:p>
            <w:pPr>
              <w:pStyle w:val="6"/>
              <w:widowControl w:val="0"/>
              <w:spacing w:before="0" w:beforeAutospacing="0" w:after="0" w:afterAutospacing="0" w:line="360" w:lineRule="auto"/>
              <w:rPr>
                <w:rFonts w:ascii="宋体" w:hAnsi="宋体" w:eastAsia="宋体"/>
                <w:b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color w:val="auto"/>
                <w:sz w:val="24"/>
                <w:highlight w:val="none"/>
              </w:rPr>
              <w:t>供货及安装期限</w:t>
            </w:r>
          </w:p>
        </w:tc>
        <w:tc>
          <w:tcPr>
            <w:tcW w:w="5483" w:type="dxa"/>
            <w:vAlign w:val="center"/>
          </w:tcPr>
          <w:p>
            <w:pPr>
              <w:pStyle w:val="6"/>
              <w:widowControl w:val="0"/>
              <w:spacing w:before="0" w:beforeAutospacing="0" w:after="0" w:afterAutospacing="0" w:line="360" w:lineRule="auto"/>
              <w:jc w:val="both"/>
              <w:rPr>
                <w:rFonts w:ascii="宋体" w:hAnsi="宋体" w:eastAsia="宋体"/>
                <w:b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24"/>
              </w:rPr>
              <w:t>合同签订后</w:t>
            </w:r>
            <w:r>
              <w:rPr>
                <w:rFonts w:ascii="宋体" w:hAnsi="宋体" w:eastAsia="宋体"/>
                <w:b w:val="0"/>
                <w:sz w:val="24"/>
              </w:rPr>
              <w:t>30</w:t>
            </w:r>
            <w:r>
              <w:rPr>
                <w:rFonts w:hint="eastAsia" w:ascii="宋体" w:hAnsi="宋体" w:eastAsia="宋体"/>
                <w:b w:val="0"/>
                <w:sz w:val="24"/>
              </w:rPr>
              <w:t>个日历</w:t>
            </w:r>
            <w:r>
              <w:rPr>
                <w:rFonts w:hint="eastAsia" w:ascii="宋体" w:hAnsi="宋体" w:eastAsia="宋体"/>
                <w:b w:val="0"/>
                <w:sz w:val="24"/>
                <w:lang w:val="en-US" w:eastAsia="zh-CN"/>
              </w:rPr>
              <w:t>日</w:t>
            </w:r>
            <w:r>
              <w:rPr>
                <w:rFonts w:hint="eastAsia" w:ascii="宋体" w:hAnsi="宋体" w:eastAsia="宋体"/>
                <w:b w:val="0"/>
                <w:sz w:val="24"/>
              </w:rPr>
              <w:t>完成供货及安装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0" w:type="pct"/>
            <w:vAlign w:val="center"/>
          </w:tcPr>
          <w:p>
            <w:pPr>
              <w:pStyle w:val="5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textAlignment w:val="auto"/>
              <w:rPr>
                <w:rFonts w:ascii="宋体" w:hAnsi="宋体" w:eastAsia="宋体"/>
                <w:bCs/>
                <w:color w:val="auto"/>
                <w:kern w:val="2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auto"/>
                <w:kern w:val="2"/>
                <w:highlight w:val="none"/>
              </w:rPr>
              <w:t>4</w:t>
            </w:r>
          </w:p>
        </w:tc>
        <w:tc>
          <w:tcPr>
            <w:tcW w:w="1192" w:type="pct"/>
            <w:vAlign w:val="center"/>
          </w:tcPr>
          <w:p>
            <w:pPr>
              <w:pStyle w:val="6"/>
              <w:widowControl w:val="0"/>
              <w:spacing w:before="0" w:beforeAutospacing="0" w:after="0" w:afterAutospacing="0" w:line="360" w:lineRule="auto"/>
              <w:rPr>
                <w:rFonts w:ascii="宋体" w:hAnsi="宋体" w:eastAsia="宋体"/>
                <w:b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color w:val="auto"/>
                <w:sz w:val="24"/>
                <w:highlight w:val="none"/>
              </w:rPr>
              <w:t>质保期</w:t>
            </w:r>
          </w:p>
        </w:tc>
        <w:tc>
          <w:tcPr>
            <w:tcW w:w="5483" w:type="dxa"/>
            <w:vAlign w:val="center"/>
          </w:tcPr>
          <w:p>
            <w:pPr>
              <w:pStyle w:val="6"/>
              <w:widowControl w:val="0"/>
              <w:spacing w:before="0" w:beforeAutospacing="0" w:after="0" w:afterAutospacing="0" w:line="360" w:lineRule="auto"/>
              <w:jc w:val="both"/>
              <w:rPr>
                <w:rFonts w:ascii="宋体" w:hAnsi="宋体" w:eastAsia="宋体"/>
                <w:b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24"/>
              </w:rPr>
              <w:t>验收合格之日起五年</w:t>
            </w:r>
          </w:p>
        </w:tc>
      </w:tr>
    </w:tbl>
    <w:p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18"/>
          <w:lang w:val="en-US" w:eastAsia="zh-CN"/>
        </w:rPr>
        <w:t>货物需求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18"/>
          <w:lang w:val="en-US" w:eastAsia="zh-CN"/>
        </w:rPr>
        <w:t>注：技术参数及要求须全部满足或优于采购文件要求，否则响应无效。</w:t>
      </w:r>
    </w:p>
    <w:tbl>
      <w:tblPr>
        <w:tblStyle w:val="3"/>
        <w:tblW w:w="57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194"/>
        <w:gridCol w:w="4869"/>
        <w:gridCol w:w="997"/>
        <w:gridCol w:w="1060"/>
        <w:gridCol w:w="1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6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货物名称</w:t>
            </w:r>
          </w:p>
        </w:tc>
        <w:tc>
          <w:tcPr>
            <w:tcW w:w="2462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技术参数及要求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数量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(单位)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所属行业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最高单价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卡普乐积木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1.规格：共2100件/套。单片尺寸约12×2.4×0.8cm。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2.材质优质松木，无漆。   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3.工艺:原木无油漆，磨圆角、光滑无毛刺。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4.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合同签订后供货前提供第三方有权检测机构出具的带有CMA或CNAS标识的检测报告，检测内容如下：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(1)产品分别依据《玩具安全 第1-4部分》[GB 6675.(1、2、3、4)-2014]检测合格的检测报告。(2)甲醛含量符合《木器涂料中有害物质限量》（GB 18581-2020）要求的检测报告。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7套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1570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户外滑索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1.规格：整体长约10m，双人滑索。其中高架子尺寸约2.3×1.5×2.7m，矮架子尺寸约3×1.5×2.2m。以上为标准尺寸，实际安装过程中，结合现场场地的坡度，对高度进行调整，以适应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设计需求。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2.立柱采用优质刺槐材质，主要支撑柱直径11-13cm。刺槐表面保留其树木原有的自然姿态（自然结节、分叉、弯曲等特性），成品纹理清晰、美观大方。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3.平台采用优质刺槐材质，板材成品厚度≥2.5cm。平台材料采用木材中心部分，取材光滑平整、结构中等，具光泽，纹理清晰。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.木制围栏：采用刺槐材质，板材成品厚度≥1.7cm，切割后保留板材自然姿态（结节、弯曲、大小不一特性），表面光滑，纹理清晰。部分装饰固定用围板材料选取木材顶部细小枝干，一分为二，经处理后表面圆润饱满，自然弯曲，美观大方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5.铁件部分：外径28/32/38/48mm，厚度1.5 mm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以上镀锌钢管，表面处理后经专用塑粉喷涂，静电烤漆，达到抗紫外光强度高、色泽艳丽、不易脱落、水中不易生锈。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6.螺丝配件：点对点螺丝紧固采用不锈钢材质，主要不锈钢元素含量符合要求，耐腐蚀，不易老化。大型玩具相关部件之间的连接件采用7字角片。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7.木制配件：采用户外专用木器环保油漆，在处理上包含底漆共三道油漆工艺，两道打磨工艺，处理后成品表面圆润光滑，无尖锐棱角。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8.安装施工包含但不限于整个场地的土地平整，满足相关规范要求的混凝土浇筑预埋，草坪恢复等。具体样式和安装须经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确认。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9.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合同签订后供货前提供第三方有权检测机构出具的带有CMA或CNAS标识的检测报告，检测内容如下：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(1)提供产品所用刺槐原木分别依据《玩具安全 第1-4部分》[GB 6675.(1、2、3、4)-2014]检测合格的检测报告。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(2)提供产品所用刺槐原木依据《室内装饰装修材料 木家具中有害物质限量》（GB 18584-2001）甲醛释放量检测合格的检测报告。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(3) 提供产品所用刺槐原木依据《抗菌防霉木质装饰板》（JC/T 2039-2010）对大肠埃希氏菌和金黄色葡萄球菌的抗细菌率＞99.9%的检测报告。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1组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30000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▲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组合滑梯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整体尺寸约28.1×5.8×4.9m，整体设计符合相关规范要求。造型为两个不规则圆形平台（平台各有一个弧形楼梯），两平台由连廊相通，与连廊平行架设网笼钻洞一组。平台地板距离地面整体高度均不低于2.1m，平台、楼梯、连廊等处安全栏杆扶手高度均不低于1.3m，竖杆间距≤0.09m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材质：平台框架梁整体材质为壁厚≥4mm的热镀锌管，直径≥48mm（其中栏杆扶手竖杆直径≥25mm、网笼钻洞龙骨和字母ABC走桥支撑结构≥32mm），表面采用采用热固性聚酯粉末涂料，涂层厚度不低于80μm，高温烤漆工艺。平台、楼梯、连廊等面层木地板及木屋材质均为厚度≥25mm花梨木，备料后经过烤箱烘干，截去上不能用的毛边涂刷油漆，油漆不少于3遍，具有防晒防腐等功效，不得出现爆裂变形等现象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3.平台：大平台尺寸约7×5.8m（面积≥40㎡），配旋转楼梯（尺寸约2.2×2.9×3.3m）1条，大平台下方吊装字母ABC走桥，上方安装有木屋，其中一侧护栏下方吊装月亮秋千座椅。小平台尺寸约4.84×4m（面积≥19㎡），配旋转楼梯（尺寸约2.4×2.3×3.3m）1条，小平台下方吊装丛林攀爬，楼梯两侧分别安装爬网和塑料滑桶。楼梯台阶高度≤0.1m，踏步台面宽幅≥0.2m。 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4.立柱：总数不少于30根，高约200cm，为平台、连廊、网笼钻洞等支撑柱，立柱为直径≥125mm、壁厚≥4.5mm热镀锌管材质，立柱基础依据承载力等要求设计，尺寸≥1x1 m，埋深≥0.5m。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5.护栏装饰：整体装饰高密度PE板，单块尺寸约1.15×1.15m、厚度≥19mm，整体稳固耐用，美观大方，户外使用不变形、不褪色，阻燃性好，环保无毒。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6.连廊：整体长度约10.5m，由立柱平均分割成三段式，每段地面等距安装3块约80×47cm、厚度≥10mm的可视钢化玻璃。中段4根立柱高度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4.9m，顶部安装户外工程塑料材质异形装饰球。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.木屋：位于大平台之上，整体尺寸约3.2×2.5×2.8m。人字形屋顶、带烟囱造型，预留门洞、窗户各2个，墙体点缀若干造型圆孔，长段一侧紧邻护栏安装（护栏为亚克力材质），具体方案由园方指定。护栏采用透明亚克力板，厚度≥5mm，表面光滑，环保无毒，其中邻苯二甲酸酯符合《玩具安全  第1部分：基本规范》（GB 6675.1-2014）标准要求，可迁移元素中锑、钡、镉、铅、硒、砷、铬、汞八大金属含量符合《玩具安全  第4部分：特定元素的迁移》（GB 6675.4-2014）标准要求。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8.字母ABC走桥:全套包含字母ABC走桥一组，单个字母尺寸≥1.2×1.08×0.26m，户外工程塑料材质，由直径≥32mm、壁厚≥2mm，镀锌管提供支撑。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9.月亮秋千座椅：不少于3个。塑料材质，厚度约35cm，直径不少于120cm。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10.丛林攀爬：在小平台底悬吊攀爬绳，各种悬吊机构（不少于50根），创造丛林攀爬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环境，底下铺设悬浮地垫。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11.爬网：整体尺寸≥1.2×2.2m（具体以两立柱空间大小为准，满铺），爬网绳网主要采用中芯为镀铬钢丝外套胶≥6股的航海船用缆绳，直径≥16mm，网绳编织采用专用绳扣连接，间距均匀，可长期使用不变形。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12.塑料滑桶:1条，6节桶，包含2段透明桶。采用低密度聚乙烯塑料滚塑成型，滚塑壁厚7mm以上，其他部位壁厚5mm以上。表面光滑，膜内贴成型塑胶彩色丝，色彩艳丽，渗入抗紫外线、防静电及防脱色元素，安全环保，耐候性好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13.连接件、扣件：采用高强度铝合金一次性铸造成形，边角圆滑，进行抛砖处理后，表面喷涂户外环保聚酯粉末后高温固化，抗紫外光能力强，色彩鲜艳，不易脱落，耐腐蚀。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14.安装螺丝：均为不锈钢304材质，抗拉强度Rm/MPa≥800，维氏硬度HV0.5≥260，洛氏硬度HRB≥25。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15.悬浮地垫：位于楼梯、爬网、塑料滑桶、丛林攀爬等入口处，总面积≥50㎡，单块规格约34×34×1.55cm，材料环保、纹路美观、弹性更足，提供优异的运动缓冲性及能量返还，确保专业运动保护及动力支持。外观表面无龟裂、起泡，抗滑值（干测）80-110，苯24h释放量为0，甲醛24h释放量≤1mg/m³。 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16.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安装和施工内容包含但不限于两组大型旧玩具拆卸、运输和重新安装，整个场地的土地平整及硬化，满足相关规范要求的混凝土浇筑预埋，草坪恢复等。具体样式和安装经采购人确认。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由于成交供应商理解不够准确，或未经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具体确认导致的返工、更换等一切责任由成交供应商自负。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17.响应文件中提供组合滑梯的设计效果图：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(1)不同角度效果图不少于三张。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(2)至少包含：大平台、小平台、连廊、网笼钻洞、字母ABC走桥、丛林攀爬、爬网、木屋、塑料滑桶、楼梯、护栏、月亮秋千座椅等12种主要部件并标注名称。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(3)同时标注整体尺寸、大小平台尺寸、木屋尺寸、连廊长度、平台高度、围栏高度。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  <w:t>18.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产品使用年限不少于10年，因设计及施工导致的安全隐患，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成交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供应商及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lang w:val="en-US" w:eastAsia="zh-CN"/>
              </w:rPr>
              <w:t>其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相关责任人承担全部责任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  <w:t>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19.合同签订后供货前提供第三方有权检测机构出具的带有CMA或CNAS标识的检测报告，检测内容如下：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(1)产品所用PE板依据《塑料 悬臂梁冲击强度的测定》（GB/T 1843-2008）测试的悬臂梁缺口冲击强度平均值≥27kJ/㎡和依据《塑料 弯曲性能的测定》（GB/T 9341-2008）测试的弯曲强度平均值≥18.5MPa。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(2)产品所用PE板分别依据《玩具安全 第1部分：基本规范》（GB 6675.1-2014）和《玩具安全  第4部分：特定元素的迁移》（GB 6675.4-2014）检测的邻苯二甲酸酯量和特定元素的迁移量合格。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(3)产品所用PE板依据《塑料 燃烧性能的测定 水平法和垂直法》（GB/T 2408-2021）检测的结果为HB等级。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(4)产品所用PE板依据《塑料 塑料防霉剂的防霉效果评估》（GB/T 24128-2018）检测的防霉效果评估等级为0级(试验菌种须包含但不限于黑曲霉、球毛壳霉、绳状青霉、宛氏拟青霉、长枝木霉)。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(5)产品所用亚克力板依据《塑料 塑料防霉剂的防霉效果评估》（GB/T 24128-2018）检测的防霉效果评估等级为0级(试验菌种须包含但不限于黑曲霉、球毛壳霉、绳状青霉、宛氏拟青霉、长枝木霉)。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(6)产品所用亚克力板依据《塑料家具中有害物质限量》（GB 28481-2012）检测合格，检测项目包含但不限于邻苯二甲酸酯、多环芳烃（PAHs）、多溴联苯（PBBs）、多溴二苯醚（PBDEs）。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(7)产品所用亚克力板依据《塑料 悬臂梁冲击强度的测定》（GB/T 1843-2008）测试的悬臂梁无缺口冲击强度平均值≥14kJ/㎡和依据《塑料 弯曲强度和模量性能测试》（GB/T 9341-2008）测试的弯曲强度平均值≥109MPa。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(8)产品所用海缆绳依据《玩具安全 第1-4部分》[GB 6675.(1、2、3、4)-2014]检测合格。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(9)产品所用海缆绳依据《塑料家具中有害物质限量》（GB 28481-2012）检测的多溴联苯（PBBs）、多溴二苯醚（PBEDs）合格。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(10)所投悬浮地垫雨水浸泡≥6000h后，抗滑值（20℃）80-110 BPN，垂直变形≤3.5mm，摩擦色牢度≥3级。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(11)所投悬浮地垫耐人工气候老化≥8000h后，外观不开裂、不粉化，老化前后冲击吸收20%-50%，老化前后垂直变形≤3.0mm。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(12)所投悬浮地垫紫外线老化≥8000h后，摩擦系数平均值≥0.4，可溶性铬(Cr)、可溶性铅(Pb)分别≤50mg/kg，邻苯二甲酸酯类化合物≤1g/kg。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1套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280000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壁挂水杯柜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1.规格约：L70×W165×H83cm。      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2.工艺设计：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(1)大容量收纳设计，配透气防虫纱网，适合班级幼儿使用。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(2)所有螺丝位无毛刺不刮手，边角采用圆边/圆角处理以及安全防撞设计，最大程度的避免儿童磕碰伤害，结构稳固，安全缝隙和孔洞均符合《儿童家具通用技术条件》（GB28007-2011）的要求。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3.材质用料：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(1)基材：主体采用厚度≥15mm、门板采用≥9mm的环保实木多层板，背板采用厚度≥5mm的饰面环保实木纤维板。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(2)油漆：采用环保的水性漆，全封闭涂装工艺，漆面光泽高透，颜色均匀；有害物质限量符合《木器涂料中有害物质限量》（GB 18581-2020）、《环境标志产品技术要求 水性涂料》（HJ 2537-2014）标准要求；耐黄变检测符合《室内装饰装修用水性木器涂料》（GB/T 23999-2009）标准要求，按照《色漆和清漆 人工气候老化和人工辐射曝露 滤过的氙弧辐射》（GB/T 1865-2009）、《色漆和清漆　涂层老化的评级方法》（GB/T 1766-2008）检测标准，经500h以上耐人工气候老化检测结果为粉化0级，涂膜无起泡、无剥落、无裂纹。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(3)五金件：采用环保五金，可迁移元素中锑、钡、镉、铅、硒、砷、铬、汞八大金属含量符合《玩具安全 第4部分：特定元素的迁移》（GB 6675.4-2014）标准要求；防腐抗锈，按照《人造气氛腐蚀试验 盐雾试验》（GB/T 10125-2021）检测标准，经中性盐雾测试无生锈、无气泡、无粉化等腐蚀现象。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(4)塑料配件：采用环保无毒材质，优质不易开裂，邻苯二甲酸酯符合《玩具安全 第1部分：基本规范》（GB 6675.1-2014）标准要求，可迁移元素中锑、钡、镉、铅、硒、砷、铬、汞八大金属含量符合《玩具安全 第4部分：特定元素的迁移》（GB 6675.4-2014）标准要求。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(5)铰链：采用优质门铰，在门即将关闭时会自动减速，不会发出碰撞的声音，关闭平稳，灵活耐用不变形，承载能力佳。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(6)木蜡油：采用环保的水性木蜡油封边，成分天然，分子机构细小，成膜牢固，密封性好，环保无毒，有害物质限量符合《木器涂料中有害物质限量》（GB 18581-2020）标准要求，可迁移元素中锑、钡、镉、铅、硒、砷、铬、汞八大金属含量符合《玩具安全 第4部分：特定元素的迁移》（GB 6675.4-2014）标准要求，产品抗菌率＞99%。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4.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合同签订后供货前提供第三方有权检测机构出具的带有CMA或CNAS标识的检测报告，检测内容如下：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(1)产品所用实木多层板依据《抗菌防霉木质装饰板》（JC/T 2039-2010）检测的抗霉菌性能等级评定为0级（测试菌种须包含但不限于黑曲霉、土曲霉、宛氏拟青霉、绳状青霉、出芽短梗霉、杂色曲霉、桔青霉、黄曲霉、绿色木霉）。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(2)产品所用实木多层板依据《普通胶合板》（GB/T 9846-2015）和《室内装饰装修材料 人造板及其制品中甲醛释放限量》（GB 18580-2017）进行型式试验合格，检测项目包含但不限于胶合强度、含水率、静曲强度、弹性模量、甲醛释放量。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(3)产品所用水性漆依据《纳米无机材料抗菌性能检测方法》（GB/T 21510-2008）检测的大肠埃希氏菌和金黄色葡萄球菌的抑菌率均＞99%。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(4)产品所用环保塑料依据《塑料 实验室光源暴露试验方法 第2部分：氙弧灯》（GB/T 16422.2-2022）循环1（测试时间不少于500h）测试的氙灯老化（变色）变色等级4-5和氙灯老化（开裂）样品无开裂现象。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(5)产品所用环保塑料依据《冲击法脆化温度的测定》（GB/T 5470-2008）方法A测试的脆化温度（试验温度-40°C）无破裂。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(6)产品所用铰链依据《家具五金 杯状暗铰链》（QB/T 2189-2013）检测的功能（操作力）、功能（下沉量）、耐腐蚀均合格。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(7)产品所用木蜡油依据《抗菌涂料》（HG/T 3950-2007）判定合格的检测报告，其中抗细菌性能（金黄色葡萄球菌和大肠埃希氏菌）≥99%、抗细菌耐久性能（金黄色葡萄球菌和大肠埃希氏菌）≥99%、抗霉菌性能和抗霉菌耐久性能为0级。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6个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1000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综合定制柜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1.规格：竖柜约宽113cm×深30cm×高277cm，横柜约宽200cm×深30cm×高80cm。根据现场环境定制，具体样式经采购人确定。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2.材质用料：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(1)基材：采用厚度≥18mm生态多层板，配隔板。质地细密，持久不变形，耐磨抗腐蚀性好；背板采用厚度5mm的饰面环保实木纤维板。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(2)封边条：采用PVC封边条，表面光滑平整，环保无毒，符合《家具用封边条技术要求》（QB/T 463-2013）标准要求。封边细腻硬度高，线条均匀，转角过渡自然，无脱胶，表面光滑平整无胶渍。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(3)五金件：采用环保五金，可迁移元素中锑、钡、镉、铅、硒、砷、铬、汞八大金属含量符合《玩具安全 第4部分：特定元素的迁移》（GB 6675.4-2014）标准要求；防腐抗锈，按照《人造气氛腐蚀试验 盐雾试验》（GB/T 10125-2021）标准要求，经至少100h以上中性盐雾腐蚀测试无生锈、无气泡、无粉化现象。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(4)铰链：采用优质门铰，在门即将关闭时会自动减速，不会发出碰撞的声音，关闭平稳，灵活耐用不变形，承载能力佳，其中过载-垂直静载荷符合《家具五金 杯状暗铰链》（QB/T 2189-2013）标准要求。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1组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8280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滑索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1.规格：约10×1.2/1.5×2.2m，两个木制平台，连接滑索，需根据现场场地进行调整，留出高度差，保证设备使用。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2.立柱采用优质刺槐材质，主要支撑柱直径11-13cm左右。刺槐木料表面保留其树木原有的自然姿态（自然结节、分叉、弯曲等特性），成品纹理清晰、美观大方。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3.平台采用优质刺槐材质，板材成品厚度不小于2.5cm。平台材料采用木材中心部分，取材光滑平整、结构中等，具光泽，纹理清晰。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.木制围栏：常规围栏采用刺槐材质，板材成品厚度≥1.7cm，切割后保留板材自然姿态（结节、弯曲、大小不一特性），表面光滑，纹理清晰。部分装饰固定用围板材料选取木材顶部细小枝干，一分为二，经处理后表面圆润饱满，自然弯曲，美观大方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5.铁件部分：镀锌钢管 外径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28/32/38/48mm，厚度1.5mm以上镀锌钢管，表面处理后经塑粉喷涂，静电烤漆，抗紫外光强度高，色泽艳丽，不易脱落，镀锌材质在水中不易生锈。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6.螺丝配件：点对点螺丝紧固采用不锈钢材质，主要不锈钢元素含量符合要求，耐腐蚀，不易老化。大型玩具相关部件之间的连接件采用7字角片材质。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7.油漆户外游乐设施采用户外专用木器环保油漆。在处理上包含底漆共三道油漆工艺，两道打磨工艺，处理后成品表面圆润光滑，无尖锐棱角。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8.安装施工包含但不限于整个场地的土地平整，满足相关规范要求的混凝土浇筑预埋，草坪恢复等。具体样式和安装经采购人确认。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1组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19800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平衡独木桥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1.产品规格：约L240×W134×H40cm。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材质采用刺槐原木，经处理后的刺槐原木去除表层易霉变腐朽的白色边材，只保留稳定性极佳的深色心材部分，外观颜色均匀统一，防虫抗菌，环保无毒，力学性能优异。要求刺槐原木的甲醛释放量、机械与物理性能、易燃性能、可迁移元素（锑、钡、镉、铅、硒、砷、铬、汞八大金属）含量、木材含水率（8%~12%）、抗菌率≥99%，分别符合《室内装饰装修材料木家具中有害物质限量》（GB 18584-2001）、《玩具安全 第2部分:机械与物理性能》（GB 6675.2-2014）、《玩具安全  第3部分：易燃性能》（GB6675.3-2014）、《玩具安全 第4部分：特定元素的迁移》（GB6675.4-2014）、《抗菌防霉木质装饰板》（JC/T2039-2010）标准要求。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表面喷涂户外木蜡油，天然环保、不含有害物质。优质木蜡油具有良好的耐候性及附着力，耐紫外线，能渗透进入木材内部，与木材有机地结合，形成网状组织既有效地阻止水分进入，有效地控制木材开裂，延长木材使用寿命，木材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具有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天然纹理美感。木蜡油的有害物质限量符合《木器涂料中有害物质限量》（GB 18581-2020）标准要求，可迁移元素（锑、钡、镉、铅、硒、砷、铬、汞八大金属）含量符合《玩具安全 第4部分：特定元素的迁移》（GB 6675.4-2014）标准要求，按照《抗菌涂料（漆膜）抗菌性测定法和抗菌效果》（GB/T 21866-2008）标准检测抑菌率≥99%。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4.五金件选用不锈钢材质，分量足，硬度高，环保安全无毒，耐腐性良好。五金件要求的可迁移元素（锑、钡、镉、铅、硒、砷、铬、汞八大金属）含量符合《玩具安全 第4部分：特定元素的迁移》（GB 6675.4-2014）标准要求；按照《人造气氛腐蚀试验 盐雾试验》（GB/T 10125-2021）标准要求，经至少100h以上中性盐雾腐蚀测试无生锈、无气泡、无粉化现象。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5.产品外表面和内表面等儿童手指可触及的隐蔽处，均不得有锋利的锐角、毛刺，产品外角均倒圆处理，以保证儿童的安全，成品表面涂层耐刮、耐热、耐冲击，结构安全稳固。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6.安装施工包含但不限于整个场地的土地平整，满足相关规范要求的混凝土浇筑预埋，草坪恢复等。具体样式和安装经采购人确认。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1组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3500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悬挂荡桥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1.规格：长度约350cm。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2.荡桥板为黄花梨木材质，单股钢丝绳连接。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3.木料经专业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人员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进行压、刨、铣、冲等处理后，表面进行防腐、防火、防蛀处理，防腐防晒防水防潮，木质坚硬厚重，结实牢固，高档美观，适用幼儿园，可定做款式。                        4.油漆：木质部分油漆及工艺，采用环保户外专用木器漆在处理上包含底漆共三道油漆工艺，两道打磨工艺，处理后成品表面圆润光滑，无尖锐棱角。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5.锦纶绳直径14mm，内含单股钢丝。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6.安装施工包含但不限于整个场地的土地平整，满足相关规范要求的混凝土浇筑预埋，草坪恢复等。具体样式和安装经采购人确认。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1组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2800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树围攀爬架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1.规格：约80×80×200cm。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2.主体黄花梨木材质，四面皆可攀爬，有轮胎攀爬、绳索攀爬、梯子攀爬等。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3.立柱原木料≥8×8cm，木料经专业技师进行压、刨、铣、冲等处理后，表面进行防腐、防火、防蛀处理，防腐防晒防水防潮，木质坚硬厚重，结实牢固，高档美观，适用幼儿园，可定做款式。                        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4.油漆：木质部分油漆及工艺，采用环保户外专用木器漆在处理上包含底漆共三道油漆工艺，两道打磨工艺，处理后成品表面圆润光滑，无尖锐棱角。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5.攀爬轮胎：直径51-53cm，汽车轮胎改造。 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6.锦纶绳直径≥14mm，内含单股钢丝。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7.安装施工包含但不限于整个场地的土地平整，满足相关规范要求的混凝土浇筑预埋，草坪恢复等。具体样式和安装经采购人确认。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2组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4800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平衡吊环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1.规格：长度约310cm。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2.锦纶绳直径≥14mm，内含单股钢丝；悬挂塑料彩色三角吊环10个，方便幼儿悬吊。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3.安装施工包含但不限于整个场地的土地平整，满足相关规范要求的混凝土浇筑预埋，草坪恢复等。具体样式和安装经采购人确认。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1组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1600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爬网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1.规格：绳网约380×200cm。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2.材质：锦纶绳直径≥14mm，内含单股钢丝，专业编绳师傅编织，防止松散。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3.安装施工包含但不限于整个场地的土地平整，满足相关规范要求的混凝土浇筑预埋，草坪恢复等。具体样式和安装经采购人确认。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1组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2800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平衡杠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1.产品尺寸约长285×宽20×高224cm。底部配套一个钢丝走绳，锻炼幼儿平衡能力；上部设置悬垂位移器械，锻炼幼儿上臂能力。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2.立柱采用直径145-150mm菠萝格圆木，横梁采用直径≥120mm菠萝格圆木，表面经多次打磨后并刷涂环保木蜡油处理。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3.攀爬网框架为表面烤漆镀锌金属管，按照《人造气氛腐蚀试验 盐雾试验》（GB/T 10125-2021）标准规范要求，在不低于35℃温度试验箱内试验时间大于2300h后，表面无明显变化、腐蚀等级达到10级。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4.攀爬钢丝绳为锦纶绳内含六股钢丝绳，间距符合国家安全标准，长期使用不变形。力学性能抗拉强度符合《金属材料 拉伸试验 第1部分：室温试验方法》（GB/T 228.1-2021）标准要求。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5.可搭配松树造型，材质为安全塑料LLDPE。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6.安装施工包含但不限于整个场地的土地平整，满足相关规范要求的混凝土浇筑预埋，草坪恢复等。具体样式和安装经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确认。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7.合同签订后供货前提供第三方有权检测机构出具的带有CMA或CNAS标识的检测报告，检测内容如下：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(1)菠萝格实木块依据《木家具通用技术条件》（GB/T3324-2017）标准，检测的木材含水率合格。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(2)实木菠萝格木板依据《人造板及其制品甲醛释放量分级》（GB/T39600-2021）标准，检测的甲醛释放量≤0.025mg/m³。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(3)菠萝格木材依据《家具抗菌性能的评价》（QB/T4371-2012），检测的抗菌性能（大肠杆菌和金黄色葡萄球菌的抑菌率均＞99%）。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1组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5200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多功能组合架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1.产品尺寸约长285×宽20×高224cm，配备基础悬垂设施梯子、绳子等。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2.立柱采用直径145-150mm菠萝格圆木，横梁采用直径≥120mm菠萝格圆木，表面经多次打磨后并刷涂环保木蜡油处理。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3.攀爬网框架为表面烤漆镀锌金属管，按照《人造气氛腐蚀试验 盐雾试验》（GB/T 10125-2021）标准规范要求，在不低于35℃温度试验箱内试验时间大于2300h后，表面无明显变化、腐蚀等级达到10级。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4.网绳为锦纶绳内含六股钢丝绳，间距符合国家安全标准，长期使用不变形。力学性能抗拉强度符合《金属材料 拉伸试验 第1部分：室温试验方法》（GB/T 228.1-2021）标准要求。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5.可搭配松树造型，材质为安全塑料LLDPE。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6.安装施工包含但不限于整个场地的土地平整，满足相关规范要求的混凝土浇筑预埋，草坪恢复等。具体样式和安装经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确认。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7.配套沙水玩具：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(1)双层滑道戏水台1套，塑料材质。包括潜水台×1、配件×13，产品尺寸约99×60×80cm。双层滑道设计，更多游戏乐趣色彩鲜艳，材质安全耐用，适合外玩水游戏。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(2)夏日时光游戏中心1套，塑料材质。沙池桌椅套装×1、可拆卸的遮阳伞×1、其他配件×4，产品尺寸约144×177×175cm。内含沙池桌椅 套装、保护盖、可拆卸的遮阳伞、铲子和小桶，多功能游戏模式让幼儿乐于沟通与互动。圆角设计，无尖锐细小配件，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提供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安全的游戏环境。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(3)四色挖铲4套，塑料材质。挖铲×4/套，挖铲单件约18×11.5×2.5cm。玩法多样趣味多，帮助幼儿自发进行挖掘游戏，提升认知能力与辨别能力。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(4)组合式玩水瀑布1套，塑料材质。玩水瀑布×4，产品尺寸约12.7cm，4个不同喷水形状的玩水台可相互堆叠或是独立使用，满足幼儿自己动手改造瀑布流向的需求倒入沙、水或小塑料颗粒。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(5)螃蟹沙池1套，塑料材质。沙池×1、盖子×1，沙池约119×12×40.6cm。带盖的沙盒。内含沙池、保护盖。两个爪子可成为幼儿的座椅。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8.合同签订后供货前提供第三方有权检测机构出具的带有CMA或CNAS标识的检测报告，检测内容如下：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(1)镀锌管依据《金属材料 拉伸试验 第1部分：室温试验方法》（GB/T 228.1-2021），检测的抗拉强度Rm≥350MPa、塑性延伸强度Rp0.2≥300MPa、断后伸长率A≥20%。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(2)镀锌管依据《人造气氛腐蚀试验 盐雾试验》（GB/T 10125-2021），检测的盐雾试验（不少于2300h）后，样品表面无明显变化、腐蚀等级不低于10级。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(3)攀爬钢丝绳依据《金属材料 拉伸试验 第1部分：室温试验方法》（GB/T 228.1-2021），检测的抗拉强度≥1500MPa的检测报告。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  <w:t>9.合同签订后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  <w:t>供货前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  <w:t>提供双层滑道戏水台、夏日时光游戏中心、四色挖铲 、组合式玩水瀑布、螃蟹沙池的3C认证证书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  <w:t>供采购人核查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  <w:t>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1组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7200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604" w:type="pct"/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原木平衡架</w:t>
            </w:r>
          </w:p>
        </w:tc>
        <w:tc>
          <w:tcPr>
            <w:tcW w:w="2462" w:type="pct"/>
            <w:vAlign w:val="center"/>
          </w:tcPr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1.规格约250×80×220cm。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2.支撑框架为原木黄花梨木材质，立柱直径≥10cm，木料经专业技师进行压、刨、铣、冲等处理后，表面进行防腐、防火、防蛀处理，防腐防晒防水防潮，木质坚硬厚重，结实牢固，高档美观，适用幼儿园。                        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3.油漆：木质部分油漆及工艺，采用环保户外专用木器漆在处理上包含底漆共三道油漆工艺，两道打磨工艺，处理后成品表面圆润光滑，无尖锐棱角。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4.锦纶绳直径≥14mm，内含单股钢丝。</w:t>
            </w:r>
          </w:p>
          <w:p>
            <w:pPr>
              <w:widowControl/>
              <w:snapToGrid w:val="0"/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5.安装施工包含但不限于整个场地的土地平整，满足相关规范要求的混凝土浇筑预埋，草坪恢复等。具体样式和安装经采购人确认。</w:t>
            </w:r>
          </w:p>
        </w:tc>
        <w:tc>
          <w:tcPr>
            <w:tcW w:w="504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1组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工业</w:t>
            </w:r>
          </w:p>
        </w:tc>
        <w:tc>
          <w:tcPr>
            <w:tcW w:w="536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7200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元</w:t>
            </w:r>
          </w:p>
        </w:tc>
      </w:tr>
    </w:tbl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三、安装调试、质保及售后服务要求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本次采购中需进行安装的产品，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合同签订后</w:t>
      </w:r>
      <w:r>
        <w:rPr>
          <w:rFonts w:hint="eastAsia" w:ascii="宋体" w:hAnsi="宋体" w:eastAsia="宋体" w:cs="宋体"/>
          <w:sz w:val="24"/>
          <w:szCs w:val="24"/>
        </w:rPr>
        <w:t>供货安装前成交供应商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应</w:t>
      </w:r>
      <w:r>
        <w:rPr>
          <w:rFonts w:hint="eastAsia" w:ascii="宋体" w:hAnsi="宋体" w:eastAsia="宋体" w:cs="宋体"/>
          <w:sz w:val="24"/>
          <w:szCs w:val="24"/>
        </w:rPr>
        <w:t>进行现场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考察</w:t>
      </w:r>
      <w:r>
        <w:rPr>
          <w:rFonts w:hint="eastAsia" w:ascii="宋体" w:hAnsi="宋体" w:eastAsia="宋体" w:cs="宋体"/>
          <w:sz w:val="24"/>
          <w:szCs w:val="24"/>
        </w:rPr>
        <w:t>和统一设计，并出具现场设计图，经采购人确认后方可安装。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四、报价要求</w:t>
      </w:r>
    </w:p>
    <w:p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本项目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同时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报总价和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各项产品的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单价，报价包含货物购置费、包装费、运输费、人工费、安装调试费、各种税费、资料费、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质保费用、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售后服务费及其他完成项目所有内容所需的全部费用。总价报价不得高于本项目预算，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各项产品的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单价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不得高于对应产品的最高单价，否则响应无效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五、其他要求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1.合同签订后供货前成交供应商需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向采购人</w:t>
      </w:r>
      <w:r>
        <w:rPr>
          <w:rFonts w:hint="eastAsia" w:ascii="宋体" w:hAnsi="宋体" w:eastAsia="宋体" w:cs="宋体"/>
          <w:sz w:val="24"/>
          <w:szCs w:val="24"/>
        </w:rPr>
        <w:t>提供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其</w:t>
      </w:r>
      <w:r>
        <w:rPr>
          <w:rFonts w:hint="eastAsia" w:ascii="宋体" w:hAnsi="宋体" w:eastAsia="宋体" w:cs="宋体"/>
          <w:sz w:val="24"/>
          <w:szCs w:val="24"/>
        </w:rPr>
        <w:t>响应文件中提供或承诺合同签订后供货前提供的相关检测报告、证书等供采购人核实。若成交供应商无法提供或提供的材料与响应文件中响应情况不符，成交供应商承担一切责任，由此造成的一切损失由成交供应商自行承担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2.本项目为幼儿园设备采购，成交供应商须确保在采购文件规定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sz w:val="24"/>
          <w:szCs w:val="24"/>
        </w:rPr>
        <w:t xml:space="preserve">期限内保质保量完成生产、检测、供货、安装等全部工作内容，成交供应商所供的产品如与其响应文件中响应情况不符的，采购人将不予验收，成交供应商承担一切后果与责任。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8A4FA2"/>
    <w:multiLevelType w:val="singleLevel"/>
    <w:tmpl w:val="918A4FA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YzFmYjVlODQzMjVjZGU2YzRmNmM4MjA0ZDJhZTUifQ=="/>
  </w:docVars>
  <w:rsids>
    <w:rsidRoot w:val="68D43AA4"/>
    <w:rsid w:val="68D4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@仿宋_GB2312" w:hAnsi="@仿宋_GB2312" w:eastAsia="@仿宋_GB2312" w:cs="@仿宋_GB2312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D&amp;L"/>
    <w:basedOn w:val="2"/>
    <w:autoRedefine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6">
    <w:name w:val="xl31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b/>
      <w:bCs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2024-08-22T02:50:00Z</dcterms:created>
  <dc:creator>头发很乱</dc:creator>
  <cp:lastModifiedBy>头发很乱</cp:lastModifiedBy>
  <dcterms:modified xsi:type="dcterms:W3CDTF">2024-08-22T02:51:13Z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04AB2DA5FA264366A1AA576B1DB8E3EB_11</vt:lpwstr>
  </property>
</Properties>
</file>