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69F2A">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pacing w:before="120" w:beforeAutospacing="0" w:after="120" w:afterAutospacing="0" w:line="480" w:lineRule="exact"/>
        <w:ind w:right="0" w:rightChars="0"/>
        <w:jc w:val="center"/>
        <w:textAlignment w:val="auto"/>
        <w:rPr>
          <w:rFonts w:hint="eastAsia" w:ascii="Verdana" w:hAnsi="Verdana" w:cs="Verdana"/>
          <w:b w:val="0"/>
          <w:bCs w:val="0"/>
          <w:i w:val="0"/>
          <w:caps w:val="0"/>
          <w:color w:val="auto"/>
          <w:spacing w:val="0"/>
          <w:sz w:val="28"/>
          <w:szCs w:val="28"/>
          <w:u w:val="none"/>
          <w:shd w:val="clear" w:color="auto" w:fill="FFFFFF"/>
          <w:lang w:val="en-US" w:eastAsia="en-US"/>
        </w:rPr>
      </w:pPr>
      <w:bookmarkStart w:id="0" w:name="OLE_LINK3"/>
      <w:r>
        <w:rPr>
          <w:rFonts w:hint="eastAsia"/>
          <w:b w:val="0"/>
          <w:bCs w:val="0"/>
          <w:color w:val="auto"/>
          <w:sz w:val="28"/>
          <w:szCs w:val="28"/>
          <w:u w:val="none"/>
          <w:lang w:val="en-US" w:eastAsia="en-US"/>
        </w:rPr>
        <mc:AlternateContent>
          <mc:Choice Requires="wps">
            <w:drawing>
              <wp:anchor distT="0" distB="0" distL="114300" distR="114300" simplePos="0" relativeHeight="251661312" behindDoc="0" locked="0" layoutInCell="1" allowOverlap="1">
                <wp:simplePos x="0" y="0"/>
                <wp:positionH relativeFrom="page">
                  <wp:posOffset>152400</wp:posOffset>
                </wp:positionH>
                <wp:positionV relativeFrom="page">
                  <wp:posOffset>10844530</wp:posOffset>
                </wp:positionV>
                <wp:extent cx="1270" cy="12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70" cy="1270"/>
                        </a:xfrm>
                        <a:prstGeom prst="rect">
                          <a:avLst/>
                        </a:prstGeom>
                        <a:gradFill rotWithShape="0">
                          <a:gsLst>
                            <a:gs pos="0">
                              <a:srgbClr val="FFFFFF"/>
                            </a:gs>
                            <a:gs pos="100000">
                              <a:srgbClr val="FFFF4C">
                                <a:alpha val="70000"/>
                              </a:srgbClr>
                            </a:gs>
                          </a:gsLst>
                          <a:lin ang="5400000" scaled="1"/>
                          <a:tileRect/>
                        </a:gradFill>
                        <a:ln w="12700" cap="flat" cmpd="sng">
                          <a:solidFill>
                            <a:srgbClr val="000000"/>
                          </a:solidFill>
                          <a:prstDash val="dash"/>
                          <a:miter/>
                          <a:headEnd type="none" w="med" len="med"/>
                          <a:tailEnd type="none" w="med" len="med"/>
                        </a:ln>
                      </wps:spPr>
                      <wps:txbx>
                        <w:txbxContent>
                          <w:p w14:paraId="7AFDEC4B">
                            <w:pPr>
                              <w:spacing w:before="93"/>
                              <w:ind w:left="40" w:right="38" w:hanging="40"/>
                              <w:jc w:val="right"/>
                              <w:rPr>
                                <w:rFonts w:ascii="Helvetica" w:hAnsi="Helvetica" w:eastAsia="Helvetica" w:cs="Helvetica"/>
                                <w:sz w:val="20"/>
                                <w:szCs w:val="20"/>
                              </w:rPr>
                            </w:pPr>
                            <w:r>
                              <w:rPr>
                                <w:rFonts w:ascii="Helvetica"/>
                                <w:sz w:val="20"/>
                              </w:rPr>
                              <w:t>--------------------------------------------</w:t>
                            </w:r>
                          </w:p>
                          <w:p w14:paraId="4CF136E3">
                            <w:pPr>
                              <w:spacing w:line="331" w:lineRule="exact"/>
                              <w:ind w:left="40" w:right="38" w:hanging="40"/>
                              <w:jc w:val="right"/>
                              <w:rPr>
                                <w:rFonts w:ascii="Helvetica" w:hAnsi="Helvetica" w:eastAsia="Helvetica" w:cs="Helvetica"/>
                                <w:sz w:val="16"/>
                                <w:szCs w:val="16"/>
                              </w:rPr>
                            </w:pPr>
                          </w:p>
                        </w:txbxContent>
                      </wps:txbx>
                      <wps:bodyPr lIns="0" tIns="0" rIns="0" bIns="0" upright="1"/>
                    </wps:wsp>
                  </a:graphicData>
                </a:graphic>
              </wp:anchor>
            </w:drawing>
          </mc:Choice>
          <mc:Fallback>
            <w:pict>
              <v:shape id="_x0000_s1026" o:spid="_x0000_s1026" o:spt="202" type="#_x0000_t202" style="position:absolute;left:0pt;margin-left:12pt;margin-top:853.9pt;height:0.1pt;width:0.1pt;mso-position-horizontal-relative:page;mso-position-vertical-relative:page;z-index:251661312;mso-width-relative:page;mso-height-relative:page;" fillcolor="#FFFFFF" filled="t" stroked="t" coordsize="21600,21600" o:gfxdata="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I&#10;H0KR1gAAAAsBAAAPAAAAAAAAAAEAIAAAACIAAABkcnMvZG93bnJldi54bWxQSwECFAAUAAAACACH&#10;TuJA6cb+Rl8CAAAOBQAADgAAAAAAAAABACAAAAAlAQAAZHJzL2Uyb0RvYy54bWxQSwUGAAAAAAYA&#10;BgBZAQAA9gUAAAAA&#10;">
                <v:fill type="gradient" on="t" color2="#FFFF4C" o:opacity2="45875f" focus="100%" focussize="0,0"/>
                <v:stroke weight="1pt" color="#000000" joinstyle="miter" dashstyle="dash"/>
                <v:imagedata o:title=""/>
                <o:lock v:ext="edit" aspectratio="f"/>
                <v:textbox inset="0mm,0mm,0mm,0mm">
                  <w:txbxContent>
                    <w:p w14:paraId="7AFDEC4B">
                      <w:pPr>
                        <w:spacing w:before="93"/>
                        <w:ind w:left="40" w:right="38" w:hanging="40"/>
                        <w:jc w:val="right"/>
                        <w:rPr>
                          <w:rFonts w:ascii="Helvetica" w:hAnsi="Helvetica" w:eastAsia="Helvetica" w:cs="Helvetica"/>
                          <w:sz w:val="20"/>
                          <w:szCs w:val="20"/>
                        </w:rPr>
                      </w:pPr>
                      <w:r>
                        <w:rPr>
                          <w:rFonts w:ascii="Helvetica"/>
                          <w:sz w:val="20"/>
                        </w:rPr>
                        <w:t>--------------------------------------------</w:t>
                      </w:r>
                    </w:p>
                    <w:p w14:paraId="4CF136E3">
                      <w:pPr>
                        <w:spacing w:line="331" w:lineRule="exact"/>
                        <w:ind w:left="40" w:right="38" w:hanging="40"/>
                        <w:jc w:val="right"/>
                        <w:rPr>
                          <w:rFonts w:ascii="Helvetica" w:hAnsi="Helvetica" w:eastAsia="Helvetica" w:cs="Helvetica"/>
                          <w:sz w:val="16"/>
                          <w:szCs w:val="16"/>
                        </w:rPr>
                      </w:pPr>
                    </w:p>
                  </w:txbxContent>
                </v:textbox>
              </v:shape>
            </w:pict>
          </mc:Fallback>
        </mc:AlternateContent>
      </w:r>
      <w:r>
        <w:rPr>
          <w:rFonts w:hint="eastAsia"/>
          <w:b w:val="0"/>
          <w:bCs w:val="0"/>
          <w:color w:val="auto"/>
          <w:sz w:val="28"/>
          <w:szCs w:val="28"/>
          <w:u w:val="none"/>
          <w:lang w:val="en-US" w:eastAsia="zh-CN"/>
        </w:rPr>
        <w:t>横琴·正安国际吉他文化产业示范园区共建项目消防电力安装</w:t>
      </w:r>
    </w:p>
    <w:p w14:paraId="68D8CF7E">
      <w:pPr>
        <w:spacing w:before="4"/>
        <w:jc w:val="center"/>
        <w:rPr>
          <w:rFonts w:hint="eastAsia"/>
          <w:b w:val="0"/>
          <w:bCs w:val="0"/>
          <w:color w:val="auto"/>
          <w:sz w:val="28"/>
          <w:szCs w:val="28"/>
          <w:u w:val="none"/>
          <w:lang w:val="en-US" w:eastAsia="zh-CN"/>
        </w:rPr>
      </w:pPr>
      <w:r>
        <w:rPr>
          <w:rFonts w:hint="eastAsia"/>
          <w:b w:val="0"/>
          <w:bCs w:val="0"/>
          <w:color w:val="auto"/>
          <w:sz w:val="28"/>
          <w:szCs w:val="28"/>
          <w:u w:val="none"/>
          <w:lang w:val="en-US" w:eastAsia="en-US"/>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10692130</wp:posOffset>
                </wp:positionV>
                <wp:extent cx="1270" cy="127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70" cy="1270"/>
                        </a:xfrm>
                        <a:prstGeom prst="rect">
                          <a:avLst/>
                        </a:prstGeom>
                        <a:gradFill rotWithShape="0">
                          <a:gsLst>
                            <a:gs pos="0">
                              <a:srgbClr val="FFFFFF"/>
                            </a:gs>
                            <a:gs pos="100000">
                              <a:srgbClr val="FFFF4C">
                                <a:alpha val="70000"/>
                              </a:srgbClr>
                            </a:gs>
                          </a:gsLst>
                          <a:lin ang="5400000" scaled="1"/>
                          <a:tileRect/>
                        </a:gradFill>
                        <a:ln w="12700" cap="flat" cmpd="sng">
                          <a:solidFill>
                            <a:srgbClr val="000000"/>
                          </a:solidFill>
                          <a:prstDash val="dash"/>
                          <a:miter/>
                          <a:headEnd type="none" w="med" len="med"/>
                          <a:tailEnd type="none" w="med" len="med"/>
                        </a:ln>
                      </wps:spPr>
                      <wps:txbx>
                        <w:txbxContent>
                          <w:p w14:paraId="60EC36E4">
                            <w:pPr>
                              <w:spacing w:before="93"/>
                              <w:ind w:left="40" w:right="38" w:hanging="40"/>
                              <w:jc w:val="right"/>
                              <w:rPr>
                                <w:rFonts w:ascii="Helvetica" w:hAnsi="Helvetica" w:eastAsia="Helvetica" w:cs="Helvetica"/>
                                <w:sz w:val="20"/>
                                <w:szCs w:val="20"/>
                              </w:rPr>
                            </w:pPr>
                            <w:r>
                              <w:rPr>
                                <w:rFonts w:ascii="Helvetica"/>
                                <w:sz w:val="20"/>
                              </w:rPr>
                              <w:t>--------------------------------------------</w:t>
                            </w:r>
                          </w:p>
                          <w:p w14:paraId="6BFB59C4">
                            <w:pPr>
                              <w:spacing w:line="331" w:lineRule="exact"/>
                              <w:ind w:left="40" w:right="38" w:hanging="40"/>
                              <w:jc w:val="right"/>
                              <w:rPr>
                                <w:rFonts w:ascii="Helvetica" w:hAnsi="Helvetica" w:eastAsia="Helvetica" w:cs="Helvetica"/>
                                <w:sz w:val="16"/>
                                <w:szCs w:val="16"/>
                              </w:rPr>
                            </w:pPr>
                          </w:p>
                        </w:txbxContent>
                      </wps:txbx>
                      <wps:bodyPr lIns="0" tIns="0" rIns="0" bIns="0" upright="1"/>
                    </wps:wsp>
                  </a:graphicData>
                </a:graphic>
              </wp:anchor>
            </w:drawing>
          </mc:Choice>
          <mc:Fallback>
            <w:pict>
              <v:shape id="_x0000_s1026" o:spid="_x0000_s1026" o:spt="202" type="#_x0000_t202" style="position:absolute;left:0pt;margin-left:0pt;margin-top:841.9pt;height:0.1pt;width:0.1pt;mso-position-horizontal-relative:page;mso-position-vertical-relative:page;z-index:251660288;mso-width-relative:page;mso-height-relative:page;" fillcolor="#FFFFFF" filled="t" stroked="t" coordsize="21600,21600" o:gfxdata="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Id4&#10;2tIAAAAHAQAADwAAAAAAAAABACAAAAAiAAAAZHJzL2Rvd25yZXYueG1sUEsBAhQAFAAAAAgAh07i&#10;QEW8JHthAgAADgUAAA4AAAAAAAAAAQAgAAAAIQEAAGRycy9lMm9Eb2MueG1sUEsFBgAAAAAGAAYA&#10;WQEAAPQFAAAAAA==&#10;">
                <v:fill type="gradient" on="t" color2="#FFFF4C" o:opacity2="45875f" focus="100%" focussize="0,0"/>
                <v:stroke weight="1pt" color="#000000" joinstyle="miter" dashstyle="dash"/>
                <v:imagedata o:title=""/>
                <o:lock v:ext="edit" aspectratio="f"/>
                <v:textbox inset="0mm,0mm,0mm,0mm">
                  <w:txbxContent>
                    <w:p w14:paraId="60EC36E4">
                      <w:pPr>
                        <w:spacing w:before="93"/>
                        <w:ind w:left="40" w:right="38" w:hanging="40"/>
                        <w:jc w:val="right"/>
                        <w:rPr>
                          <w:rFonts w:ascii="Helvetica" w:hAnsi="Helvetica" w:eastAsia="Helvetica" w:cs="Helvetica"/>
                          <w:sz w:val="20"/>
                          <w:szCs w:val="20"/>
                        </w:rPr>
                      </w:pPr>
                      <w:r>
                        <w:rPr>
                          <w:rFonts w:ascii="Helvetica"/>
                          <w:sz w:val="20"/>
                        </w:rPr>
                        <w:t>--------------------------------------------</w:t>
                      </w:r>
                    </w:p>
                    <w:p w14:paraId="6BFB59C4">
                      <w:pPr>
                        <w:spacing w:line="331" w:lineRule="exact"/>
                        <w:ind w:left="40" w:right="38" w:hanging="40"/>
                        <w:jc w:val="right"/>
                        <w:rPr>
                          <w:rFonts w:ascii="Helvetica" w:hAnsi="Helvetica" w:eastAsia="Helvetica" w:cs="Helvetica"/>
                          <w:sz w:val="16"/>
                          <w:szCs w:val="16"/>
                        </w:rPr>
                      </w:pPr>
                    </w:p>
                  </w:txbxContent>
                </v:textbox>
              </v:shape>
            </w:pict>
          </mc:Fallback>
        </mc:AlternateContent>
      </w:r>
      <w:bookmarkEnd w:id="0"/>
    </w:p>
    <w:p w14:paraId="6247C1C8">
      <w:pPr>
        <w:keepNext w:val="0"/>
        <w:keepLines w:val="0"/>
        <w:pageBreakBefore w:val="0"/>
        <w:widowControl w:val="0"/>
        <w:tabs>
          <w:tab w:val="left" w:pos="4700"/>
        </w:tabs>
        <w:kinsoku/>
        <w:wordWrap/>
        <w:overflowPunct/>
        <w:topLinePunct w:val="0"/>
        <w:autoSpaceDE/>
        <w:autoSpaceDN/>
        <w:bidi w:val="0"/>
        <w:adjustRightInd/>
        <w:snapToGrid/>
        <w:spacing w:line="700" w:lineRule="exact"/>
        <w:jc w:val="center"/>
        <w:textAlignment w:val="auto"/>
        <w:rPr>
          <w:rFonts w:hint="eastAsia" w:ascii="Times New Roman" w:hAnsi="Times New Roman"/>
          <w:b w:val="0"/>
          <w:bCs w:val="0"/>
          <w:color w:val="auto"/>
          <w:sz w:val="28"/>
          <w:szCs w:val="28"/>
          <w:lang w:eastAsia="zh-CN"/>
        </w:rPr>
      </w:pPr>
      <w:r>
        <w:rPr>
          <w:rFonts w:hint="eastAsia" w:ascii="Times New Roman" w:hAnsi="Times New Roman"/>
          <w:b w:val="0"/>
          <w:bCs w:val="0"/>
          <w:color w:val="auto"/>
          <w:sz w:val="28"/>
          <w:szCs w:val="28"/>
          <w:lang w:eastAsia="zh-CN"/>
        </w:rPr>
        <w:t>需求公示</w:t>
      </w:r>
    </w:p>
    <w:p w14:paraId="340C3372">
      <w:pPr>
        <w:pStyle w:val="14"/>
        <w:rPr>
          <w:rFonts w:hint="eastAsia"/>
          <w:b w:val="0"/>
          <w:bCs w:val="0"/>
          <w:color w:val="auto"/>
          <w:sz w:val="28"/>
          <w:szCs w:val="28"/>
          <w:lang w:eastAsia="zh-CN"/>
        </w:rPr>
      </w:pPr>
    </w:p>
    <w:p w14:paraId="1D4B93ED">
      <w:pPr>
        <w:numPr>
          <w:ilvl w:val="0"/>
          <w:numId w:val="1"/>
        </w:numPr>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资格条件</w:t>
      </w:r>
    </w:p>
    <w:p w14:paraId="6D5B3C31">
      <w:pPr>
        <w:pStyle w:val="14"/>
        <w:numPr>
          <w:ilvl w:val="0"/>
          <w:numId w:val="0"/>
        </w:numPr>
        <w:rPr>
          <w:rFonts w:hint="eastAsia"/>
          <w:b w:val="0"/>
          <w:bCs w:val="0"/>
          <w:color w:val="auto"/>
          <w:sz w:val="28"/>
          <w:szCs w:val="28"/>
          <w:lang w:eastAsia="zh-CN"/>
        </w:rPr>
      </w:pPr>
    </w:p>
    <w:p w14:paraId="4A0B483D">
      <w:pPr>
        <w:keepNext w:val="0"/>
        <w:keepLines w:val="0"/>
        <w:pageBreakBefore w:val="0"/>
        <w:widowControl w:val="0"/>
        <w:kinsoku/>
        <w:wordWrap/>
        <w:overflowPunct/>
        <w:topLinePunct w:val="0"/>
        <w:bidi w:val="0"/>
        <w:adjustRightInd/>
        <w:snapToGrid/>
        <w:spacing w:line="360" w:lineRule="auto"/>
        <w:textAlignment w:val="auto"/>
        <w:rPr>
          <w:rFonts w:hint="eastAsia" w:asciiTheme="majorEastAsia" w:hAnsiTheme="majorEastAsia" w:eastAsiaTheme="majorEastAsia" w:cstheme="majorEastAsia"/>
          <w:b w:val="0"/>
          <w:bCs w:val="0"/>
          <w:color w:val="auto"/>
          <w:kern w:val="1"/>
          <w:sz w:val="28"/>
          <w:szCs w:val="28"/>
          <w:lang w:val="zh-CN" w:eastAsia="ar-SA" w:bidi="ar-SA"/>
        </w:rPr>
      </w:pPr>
      <w:r>
        <w:rPr>
          <w:rFonts w:hint="eastAsia" w:asciiTheme="majorEastAsia" w:hAnsiTheme="majorEastAsia" w:eastAsiaTheme="majorEastAsia" w:cstheme="majorEastAsia"/>
          <w:b w:val="0"/>
          <w:bCs w:val="0"/>
          <w:color w:val="auto"/>
          <w:kern w:val="1"/>
          <w:sz w:val="28"/>
          <w:szCs w:val="28"/>
          <w:lang w:val="en-US" w:eastAsia="zh-CN" w:bidi="ar-SA"/>
        </w:rPr>
        <w:t>1、</w:t>
      </w:r>
      <w:r>
        <w:rPr>
          <w:rFonts w:hint="eastAsia" w:asciiTheme="majorEastAsia" w:hAnsiTheme="majorEastAsia" w:eastAsiaTheme="majorEastAsia" w:cstheme="majorEastAsia"/>
          <w:b w:val="0"/>
          <w:bCs w:val="0"/>
          <w:color w:val="auto"/>
          <w:kern w:val="1"/>
          <w:sz w:val="28"/>
          <w:szCs w:val="28"/>
          <w:lang w:val="zh-CN" w:eastAsia="ar-SA" w:bidi="ar-SA"/>
        </w:rPr>
        <w:t>满足《中华人民共和国政府采购法》第二十二条规定；</w:t>
      </w:r>
    </w:p>
    <w:p w14:paraId="205EE0AF">
      <w:pPr>
        <w:keepNext w:val="0"/>
        <w:keepLines w:val="0"/>
        <w:pageBreakBefore w:val="0"/>
        <w:widowControl w:val="0"/>
        <w:kinsoku/>
        <w:wordWrap/>
        <w:overflowPunct/>
        <w:topLinePunct w:val="0"/>
        <w:bidi w:val="0"/>
        <w:adjustRightInd/>
        <w:snapToGrid/>
        <w:spacing w:line="360" w:lineRule="auto"/>
        <w:textAlignment w:val="auto"/>
        <w:rPr>
          <w:rFonts w:hint="eastAsia" w:asciiTheme="majorEastAsia" w:hAnsiTheme="majorEastAsia" w:eastAsiaTheme="majorEastAsia" w:cstheme="majorEastAsia"/>
          <w:b w:val="0"/>
          <w:bCs w:val="0"/>
          <w:color w:val="auto"/>
          <w:kern w:val="1"/>
          <w:sz w:val="28"/>
          <w:szCs w:val="28"/>
          <w:lang w:val="en-US" w:eastAsia="ar-SA" w:bidi="ar-SA"/>
        </w:rPr>
      </w:pPr>
      <w:r>
        <w:rPr>
          <w:rFonts w:hint="eastAsia" w:asciiTheme="majorEastAsia" w:hAnsiTheme="majorEastAsia" w:eastAsiaTheme="majorEastAsia" w:cstheme="majorEastAsia"/>
          <w:b w:val="0"/>
          <w:bCs w:val="0"/>
          <w:color w:val="auto"/>
          <w:kern w:val="1"/>
          <w:sz w:val="28"/>
          <w:szCs w:val="28"/>
          <w:lang w:val="en-US" w:eastAsia="ar-SA" w:bidi="ar-SA"/>
        </w:rPr>
        <w:t>2</w:t>
      </w:r>
      <w:r>
        <w:rPr>
          <w:rFonts w:hint="eastAsia" w:asciiTheme="majorEastAsia" w:hAnsiTheme="majorEastAsia" w:eastAsiaTheme="majorEastAsia" w:cstheme="majorEastAsia"/>
          <w:b w:val="0"/>
          <w:bCs w:val="0"/>
          <w:color w:val="auto"/>
          <w:kern w:val="1"/>
          <w:sz w:val="28"/>
          <w:szCs w:val="28"/>
          <w:lang w:val="en-US" w:eastAsia="zh-CN" w:bidi="ar-SA"/>
        </w:rPr>
        <w:t>、</w:t>
      </w:r>
      <w:r>
        <w:rPr>
          <w:rFonts w:hint="eastAsia" w:asciiTheme="majorEastAsia" w:hAnsiTheme="majorEastAsia" w:eastAsiaTheme="majorEastAsia" w:cstheme="majorEastAsia"/>
          <w:b w:val="0"/>
          <w:bCs w:val="0"/>
          <w:color w:val="auto"/>
          <w:kern w:val="1"/>
          <w:sz w:val="28"/>
          <w:szCs w:val="28"/>
          <w:lang w:val="en-US" w:eastAsia="ar-SA" w:bidi="ar-SA"/>
        </w:rPr>
        <w:t>落实政府采购政策需满足的资格要求：</w:t>
      </w:r>
    </w:p>
    <w:p w14:paraId="4CE5C809">
      <w:pPr>
        <w:overflowPunct w:val="0"/>
        <w:autoSpaceDE w:val="0"/>
        <w:autoSpaceDN w:val="0"/>
        <w:adjustRightInd w:val="0"/>
        <w:snapToGrid w:val="0"/>
        <w:spacing w:line="312"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2.1《《关于进一步加大政府采购支持中小企业力度的通知》财库〔2022〕19号文件，货物服务采购项目给予小微企业的价格</w:t>
      </w: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0%的优惠</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采购工程</w:t>
      </w: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。扣除后参与评审（代理商须同时提供投标人和制造商的小微企业证明文件、否则不予认可），监狱企业视同小微企业（监狱企业应当提供省级以上监狱管理局、戒毒管理局（含新疆生产</w:t>
      </w:r>
      <w:r>
        <w:rPr>
          <w:rFonts w:hint="eastAsia" w:ascii="宋体" w:hAnsi="宋体" w:cs="宋体"/>
          <w:b w:val="0"/>
          <w:bCs w:val="0"/>
          <w:color w:val="auto"/>
          <w:sz w:val="28"/>
          <w:szCs w:val="28"/>
          <w:lang w:eastAsia="zh-CN"/>
        </w:rPr>
        <w:t>交货</w:t>
      </w:r>
      <w:r>
        <w:rPr>
          <w:rFonts w:hint="eastAsia" w:ascii="宋体" w:hAnsi="宋体" w:eastAsia="宋体" w:cs="宋体"/>
          <w:b w:val="0"/>
          <w:bCs w:val="0"/>
          <w:color w:val="auto"/>
          <w:sz w:val="28"/>
          <w:szCs w:val="28"/>
        </w:rPr>
        <w:t>兵团）出具的证明文件）。</w:t>
      </w:r>
    </w:p>
    <w:p w14:paraId="2FE92B46">
      <w:pPr>
        <w:overflowPunct w:val="0"/>
        <w:autoSpaceDE w:val="0"/>
        <w:autoSpaceDN w:val="0"/>
        <w:adjustRightInd w:val="0"/>
        <w:snapToGrid w:val="0"/>
        <w:spacing w:line="312"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2.2 关于节能产品，必须执行国务院、发改委、财政部等部门的相关管理规定,投标人必须提供所投货物的《节能产品认证证书》及《节能产品政府采购清单》的证明材料。</w:t>
      </w:r>
    </w:p>
    <w:p w14:paraId="49A75EDE">
      <w:pPr>
        <w:overflowPunct w:val="0"/>
        <w:autoSpaceDE w:val="0"/>
        <w:autoSpaceDN w:val="0"/>
        <w:adjustRightInd w:val="0"/>
        <w:snapToGrid w:val="0"/>
        <w:spacing w:line="312"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2.3关于环保标志产品，必须执行国务院、发改委、财政部、环保总局等部门的相关管理规定,投标人必须提供所投货物的《环保产品认证证书》及《环保产品政府采购清单》的证明材料。</w:t>
      </w:r>
    </w:p>
    <w:p w14:paraId="515E5A4A">
      <w:pPr>
        <w:overflowPunct w:val="0"/>
        <w:autoSpaceDE w:val="0"/>
        <w:autoSpaceDN w:val="0"/>
        <w:adjustRightInd w:val="0"/>
        <w:snapToGrid w:val="0"/>
        <w:spacing w:line="312"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2.4 关于无线局域网产品，必须执行国家财政部、发改委、信息产业部等部门的规定，投标人必须提供所投货物的《无限局域网认证产品政府采购清单》的证明材料。</w:t>
      </w:r>
    </w:p>
    <w:p w14:paraId="651F5EB8">
      <w:pPr>
        <w:overflowPunct w:val="0"/>
        <w:autoSpaceDE w:val="0"/>
        <w:autoSpaceDN w:val="0"/>
        <w:adjustRightInd w:val="0"/>
        <w:snapToGrid w:val="0"/>
        <w:spacing w:line="312"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2.5 关于计算机办公设备，必须执行国家版权局、信息产业部、财政部等部门规定，投标人所投货物必须是国家信息部、版权局、商务部等部门认可的预装正版操作系统软件的计算机产品。</w:t>
      </w:r>
    </w:p>
    <w:p w14:paraId="2D7D9B31">
      <w:pPr>
        <w:overflowPunct w:val="0"/>
        <w:autoSpaceDE w:val="0"/>
        <w:autoSpaceDN w:val="0"/>
        <w:adjustRightInd w:val="0"/>
        <w:snapToGrid w:val="0"/>
        <w:spacing w:line="312"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2.6 投标货物为国家强制性认证产品的，必须提供国家及相关部门的认证材料和证书。</w:t>
      </w:r>
    </w:p>
    <w:p w14:paraId="4AB6E928">
      <w:pPr>
        <w:overflowPunct w:val="0"/>
        <w:autoSpaceDE w:val="0"/>
        <w:autoSpaceDN w:val="0"/>
        <w:adjustRightInd w:val="0"/>
        <w:snapToGrid w:val="0"/>
        <w:spacing w:line="312"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2.7采购本国产品。</w:t>
      </w:r>
    </w:p>
    <w:p w14:paraId="65BA1184">
      <w:pPr>
        <w:overflowPunct w:val="0"/>
        <w:autoSpaceDE w:val="0"/>
        <w:autoSpaceDN w:val="0"/>
        <w:adjustRightInd w:val="0"/>
        <w:snapToGrid w:val="0"/>
        <w:spacing w:line="312"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2.8采购信息安全产品的，应当采购经国家认证的信息安全产品，投标人提供由中国信息安全认证中心按国家标准颁发的有效认证证书。</w:t>
      </w:r>
    </w:p>
    <w:p w14:paraId="5A213154">
      <w:pPr>
        <w:overflowPunct w:val="0"/>
        <w:autoSpaceDE w:val="0"/>
        <w:autoSpaceDN w:val="0"/>
        <w:adjustRightInd w:val="0"/>
        <w:snapToGrid w:val="0"/>
        <w:spacing w:line="312"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2.8 关于政府采购项目，首购和订购的产品具有首创和自主研发性质，属于自主创新产品的，必须执行《自主创新产品政府收购和订购管理办法》。</w:t>
      </w:r>
    </w:p>
    <w:p w14:paraId="56434108">
      <w:pPr>
        <w:overflowPunct w:val="0"/>
        <w:autoSpaceDE w:val="0"/>
        <w:autoSpaceDN w:val="0"/>
        <w:adjustRightInd w:val="0"/>
        <w:snapToGrid w:val="0"/>
        <w:spacing w:line="312" w:lineRule="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2.9对原产地在少数民族自治区和享受少数民族自治待遇的省份的投标主产品（不含附带产品），享受政策性加分和价格扣除，即采用综合评分法或性价比法进行评审的，在总得分基础上加3分。</w:t>
      </w:r>
    </w:p>
    <w:p w14:paraId="1BBD759E">
      <w:pPr>
        <w:overflowPunct w:val="0"/>
        <w:autoSpaceDE w:val="0"/>
        <w:autoSpaceDN w:val="0"/>
        <w:adjustRightInd w:val="0"/>
        <w:snapToGrid w:val="0"/>
        <w:spacing w:line="312" w:lineRule="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2.10对原产地在少数民族自治区和享受少数民族自治待遇的省份的投标主产品（不含附带产品），享受政策性加分和价格扣除，还需在采购文件(含谈判文件、询价文件）中明确享受少数民族自治待遇的省份为：云南、贵州、青海。</w:t>
      </w:r>
    </w:p>
    <w:p w14:paraId="30F88455">
      <w:pPr>
        <w:overflowPunct w:val="0"/>
        <w:autoSpaceDE w:val="0"/>
        <w:autoSpaceDN w:val="0"/>
        <w:adjustRightInd w:val="0"/>
        <w:snapToGrid w:val="0"/>
        <w:spacing w:line="312" w:lineRule="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2.11 采购预算中面向中小微企业预留的采购项目，开展采购活动时不收取投标保证金。</w:t>
      </w:r>
    </w:p>
    <w:p w14:paraId="110664C2">
      <w:pPr>
        <w:overflowPunct w:val="0"/>
        <w:autoSpaceDE w:val="0"/>
        <w:autoSpaceDN w:val="0"/>
        <w:adjustRightInd w:val="0"/>
        <w:snapToGrid w:val="0"/>
        <w:spacing w:line="312" w:lineRule="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2.12 采购项目中标企业为小微企业（享受小微企业政策的）的，该项目不收取履约保证金。</w:t>
      </w:r>
    </w:p>
    <w:p w14:paraId="089D2835">
      <w:pPr>
        <w:overflowPunct w:val="0"/>
        <w:autoSpaceDE w:val="0"/>
        <w:autoSpaceDN w:val="0"/>
        <w:adjustRightInd w:val="0"/>
        <w:snapToGrid w:val="0"/>
        <w:spacing w:line="312" w:lineRule="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2.13本项目面向中小型企业。</w:t>
      </w:r>
    </w:p>
    <w:p w14:paraId="37D643D5">
      <w:pPr>
        <w:overflowPunct w:val="0"/>
        <w:autoSpaceDE w:val="0"/>
        <w:autoSpaceDN w:val="0"/>
        <w:adjustRightInd w:val="0"/>
        <w:snapToGrid w:val="0"/>
        <w:spacing w:line="312"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备注：中小微型企业需提供声明函，否则不给予优惠评审，提供的声明函必须真实，如有虚假，将依法承担相应责任。</w:t>
      </w:r>
    </w:p>
    <w:p w14:paraId="3AA8FAB5">
      <w:pPr>
        <w:overflowPunct w:val="0"/>
        <w:autoSpaceDE w:val="0"/>
        <w:autoSpaceDN w:val="0"/>
        <w:adjustRightInd w:val="0"/>
        <w:snapToGrid w:val="0"/>
        <w:spacing w:line="312" w:lineRule="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3、本项目的特定资格要求：</w:t>
      </w:r>
      <w:r>
        <w:rPr>
          <w:rFonts w:hint="eastAsia" w:ascii="宋体" w:hAnsi="宋体" w:eastAsia="宋体" w:cs="宋体"/>
          <w:b w:val="0"/>
          <w:bCs w:val="0"/>
          <w:color w:val="auto"/>
          <w:sz w:val="28"/>
          <w:szCs w:val="28"/>
          <w:lang w:val="en-US" w:eastAsia="en-US"/>
        </w:rPr>
        <w:t>电力工程施工总承包</w:t>
      </w:r>
      <w:r>
        <w:rPr>
          <w:rFonts w:hint="eastAsia" w:ascii="宋体" w:hAnsi="宋体" w:eastAsia="宋体" w:cs="宋体"/>
          <w:b w:val="0"/>
          <w:bCs w:val="0"/>
          <w:color w:val="auto"/>
          <w:sz w:val="28"/>
          <w:szCs w:val="28"/>
          <w:lang w:val="en-US" w:eastAsia="zh-CN"/>
        </w:rPr>
        <w:t>三级或</w:t>
      </w:r>
      <w:r>
        <w:rPr>
          <w:rFonts w:hint="eastAsia" w:ascii="宋体" w:hAnsi="宋体" w:eastAsia="宋体" w:cs="宋体"/>
          <w:b w:val="0"/>
          <w:bCs w:val="0"/>
          <w:color w:val="auto"/>
          <w:sz w:val="28"/>
          <w:szCs w:val="28"/>
          <w:lang w:val="en-US" w:eastAsia="en-US"/>
        </w:rPr>
        <w:t>输变电工程专业承包</w:t>
      </w:r>
      <w:r>
        <w:rPr>
          <w:rFonts w:hint="eastAsia" w:ascii="宋体" w:hAnsi="宋体" w:eastAsia="宋体" w:cs="宋体"/>
          <w:b w:val="0"/>
          <w:bCs w:val="0"/>
          <w:color w:val="auto"/>
          <w:sz w:val="28"/>
          <w:szCs w:val="28"/>
          <w:lang w:val="en-US" w:eastAsia="zh-CN"/>
        </w:rPr>
        <w:t>三级及以上</w:t>
      </w:r>
      <w:r>
        <w:rPr>
          <w:rFonts w:hint="eastAsia" w:ascii="宋体" w:hAnsi="宋体" w:eastAsia="宋体" w:cs="宋体"/>
          <w:b w:val="0"/>
          <w:bCs w:val="0"/>
          <w:color w:val="auto"/>
          <w:sz w:val="28"/>
          <w:szCs w:val="28"/>
          <w:lang w:val="en-US" w:eastAsia="en-US"/>
        </w:rPr>
        <w:t>资质</w:t>
      </w:r>
      <w:r>
        <w:rPr>
          <w:rFonts w:hint="eastAsia" w:ascii="宋体" w:hAnsi="宋体" w:eastAsia="宋体" w:cs="宋体"/>
          <w:b w:val="0"/>
          <w:bCs w:val="0"/>
          <w:color w:val="auto"/>
          <w:sz w:val="28"/>
          <w:szCs w:val="28"/>
          <w:lang w:val="en-US" w:eastAsia="zh-CN"/>
        </w:rPr>
        <w:t>，安全生产许可证。</w:t>
      </w:r>
    </w:p>
    <w:p w14:paraId="3F4BA057">
      <w:pPr>
        <w:pStyle w:val="18"/>
        <w:keepNext w:val="0"/>
        <w:keepLines w:val="0"/>
        <w:pageBreakBefore w:val="0"/>
        <w:kinsoku/>
        <w:wordWrap/>
        <w:overflowPunct/>
        <w:topLinePunct w:val="0"/>
        <w:autoSpaceDE w:val="0"/>
        <w:autoSpaceDN w:val="0"/>
        <w:bidi w:val="0"/>
        <w:spacing w:before="196" w:line="240" w:lineRule="auto"/>
        <w:ind w:right="57" w:rightChars="27"/>
        <w:jc w:val="both"/>
        <w:rPr>
          <w:rFonts w:hint="eastAsia" w:ascii="宋体" w:hAnsi="宋体" w:eastAsia="宋体" w:cs="宋体"/>
          <w:b w:val="0"/>
          <w:bCs w:val="0"/>
          <w:color w:val="auto"/>
          <w:sz w:val="24"/>
          <w:u w:val="single"/>
          <w:lang w:val="en-US" w:eastAsia="zh-CN"/>
        </w:rPr>
      </w:pPr>
    </w:p>
    <w:p w14:paraId="277A6122">
      <w:pPr>
        <w:rPr>
          <w:rFonts w:hint="eastAsia" w:ascii="宋体" w:hAnsi="宋体" w:cs="宋体"/>
          <w:b w:val="0"/>
          <w:bCs w:val="0"/>
          <w:i w:val="0"/>
          <w:iCs w:val="0"/>
          <w:color w:val="auto"/>
          <w:sz w:val="28"/>
          <w:szCs w:val="28"/>
          <w:lang w:val="en-US" w:eastAsia="zh-CN"/>
        </w:rPr>
      </w:pPr>
      <w:r>
        <w:rPr>
          <w:rFonts w:hint="eastAsia" w:ascii="宋体" w:hAnsi="宋体" w:cs="宋体"/>
          <w:b w:val="0"/>
          <w:bCs w:val="0"/>
          <w:i w:val="0"/>
          <w:iCs w:val="0"/>
          <w:color w:val="auto"/>
          <w:sz w:val="28"/>
          <w:szCs w:val="28"/>
          <w:lang w:val="en-US" w:eastAsia="zh-CN"/>
        </w:rPr>
        <w:br w:type="page"/>
      </w:r>
    </w:p>
    <w:p w14:paraId="1141E2E6">
      <w:pPr>
        <w:pStyle w:val="5"/>
        <w:jc w:val="center"/>
        <w:rPr>
          <w:rFonts w:hint="eastAsia" w:ascii="宋体" w:hAnsi="宋体" w:cs="宋体"/>
          <w:b w:val="0"/>
          <w:bCs w:val="0"/>
          <w:i w:val="0"/>
          <w:iCs w:val="0"/>
          <w:color w:val="auto"/>
          <w:sz w:val="28"/>
          <w:szCs w:val="28"/>
          <w:lang w:eastAsia="zh-CN"/>
        </w:rPr>
      </w:pPr>
      <w:r>
        <w:rPr>
          <w:rFonts w:hint="eastAsia" w:ascii="宋体" w:hAnsi="宋体" w:cs="宋体"/>
          <w:b w:val="0"/>
          <w:bCs w:val="0"/>
          <w:i w:val="0"/>
          <w:iCs w:val="0"/>
          <w:color w:val="auto"/>
          <w:sz w:val="28"/>
          <w:szCs w:val="28"/>
          <w:lang w:val="en-US" w:eastAsia="zh-CN"/>
        </w:rPr>
        <w:t>二、</w:t>
      </w:r>
      <w:r>
        <w:rPr>
          <w:rFonts w:hint="eastAsia" w:ascii="宋体" w:hAnsi="宋体" w:cs="宋体"/>
          <w:b w:val="0"/>
          <w:bCs w:val="0"/>
          <w:i w:val="0"/>
          <w:iCs w:val="0"/>
          <w:color w:val="auto"/>
          <w:sz w:val="28"/>
          <w:szCs w:val="28"/>
          <w:lang w:eastAsia="zh-CN"/>
        </w:rPr>
        <w:t>技术</w:t>
      </w:r>
      <w:r>
        <w:rPr>
          <w:rFonts w:hint="eastAsia" w:ascii="宋体" w:hAnsi="宋体" w:cs="宋体"/>
          <w:b w:val="0"/>
          <w:bCs w:val="0"/>
          <w:i w:val="0"/>
          <w:iCs w:val="0"/>
          <w:color w:val="auto"/>
          <w:sz w:val="28"/>
          <w:szCs w:val="28"/>
          <w:lang w:val="en-US" w:eastAsia="zh-CN"/>
        </w:rPr>
        <w:t>要求及采购内容</w:t>
      </w:r>
    </w:p>
    <w:p w14:paraId="1F11ECB3">
      <w:pPr>
        <w:pStyle w:val="5"/>
        <w:rPr>
          <w:rFonts w:hint="eastAsia" w:ascii="宋体" w:hAnsi="宋体" w:cs="宋体"/>
          <w:b w:val="0"/>
          <w:bCs w:val="0"/>
          <w:i w:val="0"/>
          <w:iCs w:val="0"/>
          <w:color w:val="auto"/>
          <w:sz w:val="28"/>
          <w:szCs w:val="28"/>
          <w:lang w:val="en-US" w:eastAsia="zh-CN"/>
        </w:rPr>
      </w:pPr>
      <w:r>
        <w:rPr>
          <w:rFonts w:hint="eastAsia" w:ascii="宋体" w:hAnsi="宋体" w:cs="宋体"/>
          <w:b w:val="0"/>
          <w:bCs w:val="0"/>
          <w:i w:val="0"/>
          <w:iCs w:val="0"/>
          <w:color w:val="auto"/>
          <w:sz w:val="28"/>
          <w:szCs w:val="28"/>
          <w:lang w:val="en-US" w:eastAsia="zh-CN"/>
        </w:rPr>
        <w:t xml:space="preserve">     </w:t>
      </w:r>
    </w:p>
    <w:p w14:paraId="3AC1C043">
      <w:pPr>
        <w:pStyle w:val="5"/>
        <w:rPr>
          <w:rFonts w:hint="eastAsia" w:ascii="宋体" w:hAnsi="宋体" w:cs="宋体"/>
          <w:b w:val="0"/>
          <w:bCs w:val="0"/>
          <w:i w:val="0"/>
          <w:iCs w:val="0"/>
          <w:color w:val="auto"/>
          <w:sz w:val="28"/>
          <w:szCs w:val="28"/>
          <w:lang w:val="en-US" w:eastAsia="zh-CN"/>
        </w:rPr>
      </w:pPr>
      <w:r>
        <w:rPr>
          <w:rFonts w:hint="eastAsia" w:ascii="宋体" w:hAnsi="宋体" w:cs="宋体"/>
          <w:b w:val="0"/>
          <w:bCs w:val="0"/>
          <w:i w:val="0"/>
          <w:iCs w:val="0"/>
          <w:color w:val="auto"/>
          <w:sz w:val="28"/>
          <w:szCs w:val="28"/>
          <w:lang w:val="en-US" w:eastAsia="zh-CN"/>
        </w:rPr>
        <w:t>1、采购内容：详见“横琴·正安国际吉他文化产业示范园区共建项目消防电力安装”工程量清单；</w:t>
      </w:r>
      <w:bookmarkStart w:id="1" w:name="_GoBack"/>
      <w:bookmarkEnd w:id="1"/>
    </w:p>
    <w:p w14:paraId="113378CB">
      <w:pPr>
        <w:pStyle w:val="5"/>
        <w:rPr>
          <w:rFonts w:hint="eastAsia" w:ascii="宋体" w:hAnsi="宋体" w:eastAsia="宋体"/>
          <w:b w:val="0"/>
          <w:bCs w:val="0"/>
          <w:color w:val="auto"/>
          <w:sz w:val="28"/>
          <w:szCs w:val="28"/>
          <w:lang w:val="en-US" w:eastAsia="zh-CN"/>
        </w:rPr>
        <w:sectPr>
          <w:pgSz w:w="11900" w:h="16838"/>
          <w:pgMar w:top="1429" w:right="1803" w:bottom="1429" w:left="1803" w:header="0" w:footer="0" w:gutter="0"/>
          <w:pgNumType w:fmt="decimal"/>
          <w:cols w:space="0" w:num="1"/>
          <w:rtlGutter w:val="0"/>
          <w:docGrid w:linePitch="360" w:charSpace="0"/>
        </w:sectPr>
      </w:pPr>
      <w:r>
        <w:rPr>
          <w:rFonts w:hint="eastAsia" w:ascii="宋体" w:hAnsi="宋体"/>
          <w:b w:val="0"/>
          <w:bCs w:val="0"/>
          <w:color w:val="auto"/>
          <w:sz w:val="28"/>
          <w:szCs w:val="28"/>
          <w:lang w:val="en-US" w:eastAsia="zh-CN"/>
        </w:rPr>
        <w:t>2、技术要求：</w:t>
      </w:r>
      <w:r>
        <w:rPr>
          <w:rFonts w:hint="eastAsia" w:ascii="宋体" w:hAnsi="宋体" w:eastAsia="宋体" w:cs="宋体"/>
          <w:b w:val="0"/>
          <w:bCs w:val="0"/>
          <w:i w:val="0"/>
          <w:iCs w:val="0"/>
          <w:color w:val="auto"/>
          <w:sz w:val="28"/>
          <w:szCs w:val="28"/>
          <w:lang w:val="en-US" w:eastAsia="zh-CN"/>
        </w:rPr>
        <w:t>满足国家现行相关质量标准。</w:t>
      </w:r>
    </w:p>
    <w:p w14:paraId="73AAD9E9">
      <w:pPr>
        <w:spacing w:line="200" w:lineRule="exact"/>
        <w:rPr>
          <w:rFonts w:ascii="Times New Roman" w:hAnsi="Times New Roman" w:eastAsia="Times New Roman"/>
          <w:b w:val="0"/>
          <w:bCs w:val="0"/>
          <w:color w:val="auto"/>
          <w:sz w:val="28"/>
          <w:szCs w:val="28"/>
        </w:rPr>
      </w:pPr>
    </w:p>
    <w:p w14:paraId="17C8B24F">
      <w:pPr>
        <w:spacing w:line="0" w:lineRule="atLeast"/>
        <w:rPr>
          <w:rFonts w:ascii="宋体" w:hAnsi="宋体" w:eastAsia="宋体"/>
          <w:b w:val="0"/>
          <w:bCs w:val="0"/>
          <w:color w:val="auto"/>
          <w:sz w:val="28"/>
          <w:szCs w:val="28"/>
        </w:rPr>
        <w:sectPr>
          <w:type w:val="continuous"/>
          <w:pgSz w:w="11900" w:h="16838"/>
          <w:pgMar w:top="1429" w:right="1803" w:bottom="1429" w:left="1803" w:header="0" w:footer="0" w:gutter="0"/>
          <w:pgNumType w:fmt="decimal"/>
          <w:cols w:space="0" w:num="1"/>
          <w:rtlGutter w:val="0"/>
          <w:docGrid w:linePitch="360" w:charSpace="0"/>
        </w:sectPr>
      </w:pPr>
    </w:p>
    <w:p w14:paraId="6D989EBF">
      <w:pPr>
        <w:pStyle w:val="5"/>
        <w:numPr>
          <w:ilvl w:val="0"/>
          <w:numId w:val="2"/>
        </w:numPr>
        <w:jc w:val="center"/>
        <w:rPr>
          <w:rFonts w:hint="eastAsia" w:ascii="宋体" w:hAnsi="宋体" w:cs="宋体"/>
          <w:b w:val="0"/>
          <w:bCs w:val="0"/>
          <w:i w:val="0"/>
          <w:iCs w:val="0"/>
          <w:color w:val="auto"/>
          <w:sz w:val="28"/>
          <w:szCs w:val="28"/>
          <w:lang w:val="en-US" w:eastAsia="zh-CN"/>
        </w:rPr>
      </w:pPr>
      <w:r>
        <w:rPr>
          <w:rFonts w:hint="eastAsia" w:ascii="宋体" w:hAnsi="宋体" w:cs="宋体"/>
          <w:b w:val="0"/>
          <w:bCs w:val="0"/>
          <w:i w:val="0"/>
          <w:iCs w:val="0"/>
          <w:color w:val="auto"/>
          <w:sz w:val="28"/>
          <w:szCs w:val="28"/>
          <w:lang w:eastAsia="zh-CN"/>
        </w:rPr>
        <w:t>商务要求</w:t>
      </w:r>
      <w:r>
        <w:rPr>
          <w:rFonts w:hint="eastAsia" w:ascii="宋体" w:hAnsi="宋体" w:cs="宋体"/>
          <w:b w:val="0"/>
          <w:bCs w:val="0"/>
          <w:i w:val="0"/>
          <w:iCs w:val="0"/>
          <w:color w:val="auto"/>
          <w:sz w:val="28"/>
          <w:szCs w:val="28"/>
          <w:lang w:val="en-US" w:eastAsia="zh-CN"/>
        </w:rPr>
        <w:t>及响应性条款</w:t>
      </w:r>
    </w:p>
    <w:p w14:paraId="7C8E1522">
      <w:pPr>
        <w:spacing w:line="440" w:lineRule="exact"/>
        <w:rPr>
          <w:rFonts w:hint="eastAsia" w:eastAsia="宋体" w:cs="Times New Roman"/>
          <w:b w:val="0"/>
          <w:bCs w:val="0"/>
          <w:color w:val="auto"/>
          <w:sz w:val="28"/>
          <w:szCs w:val="28"/>
          <w:lang w:val="en-US" w:eastAsia="zh-CN"/>
        </w:rPr>
      </w:pPr>
    </w:p>
    <w:p w14:paraId="044DE87F">
      <w:pPr>
        <w:spacing w:line="440" w:lineRule="exact"/>
        <w:rPr>
          <w:rFonts w:hint="eastAsia" w:eastAsia="宋体" w:cs="Times New Roman"/>
          <w:b w:val="0"/>
          <w:bCs w:val="0"/>
          <w:color w:val="auto"/>
          <w:sz w:val="28"/>
          <w:szCs w:val="28"/>
          <w:lang w:val="en-US" w:eastAsia="zh-CN"/>
        </w:rPr>
      </w:pPr>
      <w:r>
        <w:rPr>
          <w:rFonts w:hint="eastAsia" w:eastAsia="宋体" w:cs="Times New Roman"/>
          <w:b w:val="0"/>
          <w:bCs w:val="0"/>
          <w:color w:val="auto"/>
          <w:sz w:val="28"/>
          <w:szCs w:val="28"/>
          <w:lang w:val="en-US" w:eastAsia="zh-CN"/>
        </w:rPr>
        <w:t>1、</w:t>
      </w:r>
      <w:r>
        <w:rPr>
          <w:rFonts w:hint="eastAsia" w:cs="Times New Roman"/>
          <w:b w:val="0"/>
          <w:bCs w:val="0"/>
          <w:color w:val="auto"/>
          <w:sz w:val="28"/>
          <w:szCs w:val="28"/>
          <w:lang w:val="en-US" w:eastAsia="zh-CN"/>
        </w:rPr>
        <w:t>工</w:t>
      </w:r>
      <w:r>
        <w:rPr>
          <w:rFonts w:hint="eastAsia" w:eastAsia="宋体" w:cs="Times New Roman"/>
          <w:b w:val="0"/>
          <w:bCs w:val="0"/>
          <w:color w:val="auto"/>
          <w:sz w:val="28"/>
          <w:szCs w:val="28"/>
          <w:lang w:val="en-US" w:eastAsia="zh-CN"/>
        </w:rPr>
        <w:t>期：60日</w:t>
      </w:r>
      <w:r>
        <w:rPr>
          <w:rFonts w:hint="eastAsia" w:cs="Times New Roman"/>
          <w:b w:val="0"/>
          <w:bCs w:val="0"/>
          <w:color w:val="auto"/>
          <w:sz w:val="28"/>
          <w:szCs w:val="28"/>
          <w:lang w:val="en-US" w:eastAsia="zh-CN"/>
        </w:rPr>
        <w:t>历天</w:t>
      </w:r>
      <w:r>
        <w:rPr>
          <w:rFonts w:hint="eastAsia" w:eastAsia="宋体" w:cs="Times New Roman"/>
          <w:b w:val="0"/>
          <w:bCs w:val="0"/>
          <w:color w:val="auto"/>
          <w:sz w:val="28"/>
          <w:szCs w:val="28"/>
          <w:lang w:val="en-US" w:eastAsia="zh-CN"/>
        </w:rPr>
        <w:t>。</w:t>
      </w:r>
    </w:p>
    <w:p w14:paraId="7CE04AF0">
      <w:pPr>
        <w:spacing w:line="440" w:lineRule="exact"/>
        <w:rPr>
          <w:rFonts w:hint="eastAsia" w:eastAsia="宋体" w:cs="Times New Roman"/>
          <w:b w:val="0"/>
          <w:bCs w:val="0"/>
          <w:color w:val="auto"/>
          <w:sz w:val="28"/>
          <w:szCs w:val="28"/>
          <w:lang w:val="en-US" w:eastAsia="zh-CN"/>
        </w:rPr>
      </w:pPr>
      <w:r>
        <w:rPr>
          <w:rFonts w:hint="eastAsia" w:eastAsia="宋体" w:cs="Times New Roman"/>
          <w:b w:val="0"/>
          <w:bCs w:val="0"/>
          <w:color w:val="auto"/>
          <w:sz w:val="28"/>
          <w:szCs w:val="28"/>
          <w:lang w:val="en-US" w:eastAsia="zh-CN"/>
        </w:rPr>
        <w:t>2、地点：</w:t>
      </w:r>
      <w:r>
        <w:rPr>
          <w:rFonts w:hint="eastAsia" w:cs="Times New Roman"/>
          <w:b w:val="0"/>
          <w:bCs w:val="0"/>
          <w:color w:val="auto"/>
          <w:sz w:val="28"/>
          <w:szCs w:val="28"/>
          <w:lang w:val="en-US" w:eastAsia="zh-CN"/>
        </w:rPr>
        <w:t>贵州正安经济开发区管理委员会</w:t>
      </w:r>
      <w:r>
        <w:rPr>
          <w:rFonts w:hint="eastAsia" w:eastAsia="宋体" w:cs="Times New Roman"/>
          <w:b w:val="0"/>
          <w:bCs w:val="0"/>
          <w:color w:val="auto"/>
          <w:sz w:val="28"/>
          <w:szCs w:val="28"/>
          <w:lang w:val="en-US" w:eastAsia="zh-CN"/>
        </w:rPr>
        <w:t>。</w:t>
      </w:r>
    </w:p>
    <w:p w14:paraId="6581A8C3">
      <w:pPr>
        <w:spacing w:line="440" w:lineRule="exact"/>
        <w:rPr>
          <w:rFonts w:hint="eastAsia" w:eastAsia="宋体" w:cs="Times New Roman"/>
          <w:b w:val="0"/>
          <w:bCs w:val="0"/>
          <w:color w:val="auto"/>
          <w:sz w:val="28"/>
          <w:szCs w:val="28"/>
          <w:lang w:val="en-US" w:eastAsia="zh-CN"/>
        </w:rPr>
      </w:pPr>
      <w:r>
        <w:rPr>
          <w:rFonts w:hint="eastAsia" w:eastAsia="宋体" w:cs="Times New Roman"/>
          <w:b w:val="0"/>
          <w:bCs w:val="0"/>
          <w:color w:val="auto"/>
          <w:sz w:val="28"/>
          <w:szCs w:val="28"/>
          <w:lang w:val="en-US" w:eastAsia="zh-CN"/>
        </w:rPr>
        <w:t>3、内容：详见“</w:t>
      </w:r>
      <w:r>
        <w:rPr>
          <w:rFonts w:hint="eastAsia" w:cs="Times New Roman"/>
          <w:b w:val="0"/>
          <w:bCs w:val="0"/>
          <w:color w:val="auto"/>
          <w:sz w:val="28"/>
          <w:szCs w:val="28"/>
          <w:lang w:val="en-US" w:eastAsia="zh-CN"/>
        </w:rPr>
        <w:t>横琴·正安国际吉他文化产业示范园区共建项目消防电力安装</w:t>
      </w:r>
      <w:r>
        <w:rPr>
          <w:rFonts w:hint="eastAsia" w:eastAsia="宋体" w:cs="Times New Roman"/>
          <w:b w:val="0"/>
          <w:bCs w:val="0"/>
          <w:color w:val="auto"/>
          <w:sz w:val="28"/>
          <w:szCs w:val="28"/>
          <w:lang w:val="en-US" w:eastAsia="zh-CN"/>
        </w:rPr>
        <w:t>”采购清单</w:t>
      </w:r>
    </w:p>
    <w:p w14:paraId="16BF6686">
      <w:pPr>
        <w:spacing w:line="440" w:lineRule="exact"/>
        <w:rPr>
          <w:rFonts w:hint="eastAsia" w:eastAsia="宋体" w:cs="Times New Roman"/>
          <w:b w:val="0"/>
          <w:bCs w:val="0"/>
          <w:color w:val="auto"/>
          <w:sz w:val="28"/>
          <w:szCs w:val="28"/>
          <w:lang w:val="en-US" w:eastAsia="zh-CN"/>
        </w:rPr>
      </w:pPr>
      <w:r>
        <w:rPr>
          <w:rFonts w:hint="eastAsia" w:eastAsia="宋体" w:cs="Times New Roman"/>
          <w:b w:val="0"/>
          <w:bCs w:val="0"/>
          <w:color w:val="auto"/>
          <w:sz w:val="28"/>
          <w:szCs w:val="28"/>
          <w:lang w:val="en-US" w:eastAsia="zh-CN"/>
        </w:rPr>
        <w:t xml:space="preserve">4、质理要求：符合国家现行质量验收标准。 </w:t>
      </w:r>
    </w:p>
    <w:p w14:paraId="3A2D733B">
      <w:pPr>
        <w:spacing w:line="440" w:lineRule="exact"/>
        <w:rPr>
          <w:rFonts w:hint="default" w:eastAsia="宋体" w:cs="Times New Roman"/>
          <w:b w:val="0"/>
          <w:bCs w:val="0"/>
          <w:color w:val="auto"/>
          <w:sz w:val="28"/>
          <w:szCs w:val="28"/>
          <w:lang w:val="en-US" w:eastAsia="zh-CN"/>
        </w:rPr>
      </w:pPr>
      <w:r>
        <w:rPr>
          <w:rFonts w:hint="eastAsia" w:eastAsia="宋体" w:cs="Times New Roman"/>
          <w:b w:val="0"/>
          <w:bCs w:val="0"/>
          <w:color w:val="auto"/>
          <w:sz w:val="28"/>
          <w:szCs w:val="28"/>
          <w:lang w:val="en-US" w:eastAsia="zh-CN"/>
        </w:rPr>
        <w:t>5、拦标价：</w:t>
      </w:r>
      <w:r>
        <w:rPr>
          <w:rFonts w:hint="eastAsia" w:cs="Times New Roman"/>
          <w:b w:val="0"/>
          <w:bCs w:val="0"/>
          <w:color w:val="auto"/>
          <w:sz w:val="28"/>
          <w:szCs w:val="28"/>
          <w:lang w:val="en-US" w:eastAsia="zh-CN"/>
        </w:rPr>
        <w:t>1150000.00元</w:t>
      </w:r>
    </w:p>
    <w:p w14:paraId="3A9526FE">
      <w:pPr>
        <w:spacing w:line="440" w:lineRule="exact"/>
        <w:rPr>
          <w:rFonts w:hint="default" w:eastAsia="宋体" w:cs="Times New Roman"/>
          <w:b w:val="0"/>
          <w:bCs w:val="0"/>
          <w:color w:val="auto"/>
          <w:sz w:val="28"/>
          <w:szCs w:val="28"/>
          <w:lang w:val="en-US" w:eastAsia="zh-CN"/>
        </w:rPr>
      </w:pPr>
      <w:r>
        <w:rPr>
          <w:rFonts w:hint="eastAsia" w:eastAsia="宋体" w:cs="Times New Roman"/>
          <w:b w:val="0"/>
          <w:bCs w:val="0"/>
          <w:color w:val="auto"/>
          <w:sz w:val="28"/>
          <w:szCs w:val="28"/>
          <w:lang w:val="en-US" w:eastAsia="zh-CN"/>
        </w:rPr>
        <w:t>6、付款方式：以合同约定为准</w:t>
      </w:r>
    </w:p>
    <w:p w14:paraId="4810E008">
      <w:pPr>
        <w:spacing w:line="440" w:lineRule="exact"/>
        <w:rPr>
          <w:rFonts w:hint="eastAsia" w:eastAsia="宋体" w:cs="Times New Roman"/>
          <w:b w:val="0"/>
          <w:bCs w:val="0"/>
          <w:color w:val="auto"/>
          <w:sz w:val="28"/>
          <w:szCs w:val="28"/>
          <w:lang w:val="en-US" w:eastAsia="zh-CN"/>
        </w:rPr>
      </w:pPr>
      <w:r>
        <w:rPr>
          <w:rFonts w:hint="eastAsia" w:eastAsia="宋体" w:cs="Times New Roman"/>
          <w:b w:val="0"/>
          <w:bCs w:val="0"/>
          <w:color w:val="auto"/>
          <w:sz w:val="28"/>
          <w:szCs w:val="28"/>
          <w:lang w:val="en-US" w:eastAsia="zh-CN"/>
        </w:rPr>
        <w:t>7、履约保证金：不要求。</w:t>
      </w:r>
    </w:p>
    <w:p w14:paraId="5D89DBA4">
      <w:pPr>
        <w:spacing w:line="440" w:lineRule="exact"/>
        <w:rPr>
          <w:rFonts w:hint="eastAsia" w:eastAsia="宋体" w:cs="Times New Roman"/>
          <w:b w:val="0"/>
          <w:bCs w:val="0"/>
          <w:color w:val="auto"/>
          <w:sz w:val="28"/>
          <w:szCs w:val="28"/>
          <w:lang w:val="en-US" w:eastAsia="zh-CN"/>
        </w:rPr>
      </w:pPr>
      <w:r>
        <w:rPr>
          <w:rFonts w:hint="eastAsia" w:eastAsia="宋体" w:cs="Times New Roman"/>
          <w:b w:val="0"/>
          <w:bCs w:val="0"/>
          <w:color w:val="auto"/>
          <w:sz w:val="28"/>
          <w:szCs w:val="28"/>
          <w:lang w:val="en-US" w:eastAsia="zh-CN"/>
        </w:rPr>
        <w:t>8、投标保证金：投标保证金的形式：投标保证金应是银行支票或电汇或其他符合相关规定的有效方式。投标保证金以现金方式提交的，须从投标人基本账户转出。投标保证金的金额：/元（人民币）</w:t>
      </w:r>
    </w:p>
    <w:p w14:paraId="61A55FF7">
      <w:pPr>
        <w:spacing w:line="440" w:lineRule="exact"/>
        <w:rPr>
          <w:rFonts w:hint="eastAsia" w:eastAsia="宋体" w:cs="Times New Roman"/>
          <w:b w:val="0"/>
          <w:bCs w:val="0"/>
          <w:color w:val="auto"/>
          <w:sz w:val="28"/>
          <w:szCs w:val="28"/>
          <w:lang w:val="en-US" w:eastAsia="zh-CN"/>
        </w:rPr>
      </w:pPr>
      <w:r>
        <w:rPr>
          <w:rFonts w:hint="eastAsia" w:eastAsia="宋体" w:cs="Times New Roman"/>
          <w:b w:val="0"/>
          <w:bCs w:val="0"/>
          <w:color w:val="auto"/>
          <w:sz w:val="28"/>
          <w:szCs w:val="28"/>
          <w:lang w:val="en-US" w:eastAsia="zh-CN"/>
        </w:rPr>
        <w:t>9、投标有效期：60日历天</w:t>
      </w:r>
    </w:p>
    <w:p w14:paraId="19F2738B">
      <w:pPr>
        <w:keepNext w:val="0"/>
        <w:keepLines w:val="0"/>
        <w:pageBreakBefore w:val="0"/>
        <w:widowControl w:val="0"/>
        <w:kinsoku/>
        <w:wordWrap/>
        <w:overflowPunct/>
        <w:topLinePunct w:val="0"/>
        <w:bidi w:val="0"/>
        <w:adjustRightInd/>
        <w:snapToGrid/>
        <w:spacing w:line="360" w:lineRule="auto"/>
        <w:textAlignment w:val="auto"/>
        <w:rPr>
          <w:rFonts w:hint="eastAsia" w:asciiTheme="majorEastAsia" w:hAnsiTheme="majorEastAsia" w:eastAsiaTheme="majorEastAsia" w:cstheme="majorEastAsia"/>
          <w:b w:val="0"/>
          <w:bCs w:val="0"/>
          <w:color w:val="auto"/>
          <w:sz w:val="28"/>
          <w:szCs w:val="28"/>
          <w:lang w:val="en-US" w:eastAsia="zh-CN"/>
        </w:rPr>
      </w:pPr>
    </w:p>
    <w:p w14:paraId="51298656">
      <w:pPr>
        <w:pStyle w:val="5"/>
        <w:rPr>
          <w:rFonts w:hint="eastAsia" w:ascii="宋体" w:hAnsi="宋体" w:cs="宋体"/>
          <w:b w:val="0"/>
          <w:bCs w:val="0"/>
          <w:i w:val="0"/>
          <w:iCs w:val="0"/>
          <w:color w:val="auto"/>
          <w:sz w:val="28"/>
          <w:szCs w:val="28"/>
          <w:lang w:eastAsia="zh-CN"/>
        </w:rPr>
      </w:pPr>
      <w:r>
        <w:rPr>
          <w:rFonts w:hint="eastAsia" w:ascii="宋体" w:hAnsi="宋体" w:cs="宋体"/>
          <w:b w:val="0"/>
          <w:bCs w:val="0"/>
          <w:i w:val="0"/>
          <w:iCs w:val="0"/>
          <w:color w:val="auto"/>
          <w:sz w:val="28"/>
          <w:szCs w:val="28"/>
          <w:lang w:eastAsia="zh-CN"/>
        </w:rPr>
        <w:br w:type="page"/>
      </w:r>
    </w:p>
    <w:p w14:paraId="2F2AFCC8">
      <w:pPr>
        <w:pStyle w:val="5"/>
        <w:jc w:val="center"/>
        <w:rPr>
          <w:rFonts w:hint="eastAsia" w:ascii="宋体" w:hAnsi="宋体" w:cs="宋体"/>
          <w:b w:val="0"/>
          <w:bCs w:val="0"/>
          <w:i w:val="0"/>
          <w:iCs w:val="0"/>
          <w:color w:val="auto"/>
          <w:sz w:val="28"/>
          <w:szCs w:val="28"/>
          <w:lang w:eastAsia="zh-CN"/>
        </w:rPr>
      </w:pPr>
      <w:r>
        <w:rPr>
          <w:rFonts w:hint="eastAsia" w:ascii="宋体" w:hAnsi="宋体" w:cs="宋体"/>
          <w:b w:val="0"/>
          <w:bCs w:val="0"/>
          <w:i w:val="0"/>
          <w:iCs w:val="0"/>
          <w:color w:val="auto"/>
          <w:sz w:val="28"/>
          <w:szCs w:val="28"/>
          <w:lang w:val="en-US" w:eastAsia="zh-CN"/>
        </w:rPr>
        <w:t>五、</w:t>
      </w:r>
      <w:r>
        <w:rPr>
          <w:rFonts w:hint="eastAsia" w:ascii="宋体" w:hAnsi="宋体" w:cs="宋体"/>
          <w:b w:val="0"/>
          <w:bCs w:val="0"/>
          <w:i w:val="0"/>
          <w:iCs w:val="0"/>
          <w:color w:val="auto"/>
          <w:sz w:val="28"/>
          <w:szCs w:val="28"/>
          <w:lang w:eastAsia="zh-CN"/>
        </w:rPr>
        <w:t>评</w:t>
      </w:r>
      <w:r>
        <w:rPr>
          <w:rFonts w:hint="eastAsia" w:ascii="宋体" w:hAnsi="宋体" w:cs="宋体"/>
          <w:b w:val="0"/>
          <w:bCs w:val="0"/>
          <w:i w:val="0"/>
          <w:iCs w:val="0"/>
          <w:color w:val="auto"/>
          <w:sz w:val="28"/>
          <w:szCs w:val="28"/>
          <w:lang w:val="en-US" w:eastAsia="zh-CN"/>
        </w:rPr>
        <w:t>分</w:t>
      </w:r>
      <w:r>
        <w:rPr>
          <w:rFonts w:hint="eastAsia" w:ascii="宋体" w:hAnsi="宋体" w:cs="宋体"/>
          <w:b w:val="0"/>
          <w:bCs w:val="0"/>
          <w:i w:val="0"/>
          <w:iCs w:val="0"/>
          <w:color w:val="auto"/>
          <w:sz w:val="28"/>
          <w:szCs w:val="28"/>
          <w:lang w:eastAsia="zh-CN"/>
        </w:rPr>
        <w:t>办法</w:t>
      </w:r>
    </w:p>
    <w:p w14:paraId="33A8C0C7">
      <w:pPr>
        <w:keepNext w:val="0"/>
        <w:keepLines w:val="0"/>
        <w:pageBreakBefore w:val="0"/>
        <w:widowControl w:val="0"/>
        <w:kinsoku/>
        <w:wordWrap/>
        <w:overflowPunct/>
        <w:topLinePunct w:val="0"/>
        <w:bidi w:val="0"/>
        <w:adjustRightInd/>
        <w:snapToGrid/>
        <w:spacing w:line="360" w:lineRule="auto"/>
        <w:textAlignment w:val="auto"/>
        <w:rPr>
          <w:rFonts w:hint="eastAsia" w:asciiTheme="majorEastAsia" w:hAnsiTheme="majorEastAsia" w:eastAsiaTheme="majorEastAsia" w:cstheme="majorEastAsia"/>
          <w:b w:val="0"/>
          <w:bCs w:val="0"/>
          <w:color w:val="auto"/>
          <w:sz w:val="28"/>
          <w:szCs w:val="28"/>
          <w:lang w:val="en-US" w:eastAsia="zh-CN"/>
        </w:rPr>
      </w:pPr>
      <w:r>
        <w:rPr>
          <w:rFonts w:hint="eastAsia" w:asciiTheme="majorEastAsia" w:hAnsiTheme="majorEastAsia" w:eastAsiaTheme="majorEastAsia" w:cstheme="majorEastAsia"/>
          <w:b w:val="0"/>
          <w:bCs w:val="0"/>
          <w:color w:val="auto"/>
          <w:sz w:val="28"/>
          <w:szCs w:val="28"/>
          <w:lang w:val="en-US" w:eastAsia="zh-CN"/>
        </w:rPr>
        <w:t xml:space="preserve">    </w:t>
      </w:r>
    </w:p>
    <w:p w14:paraId="60EA630A">
      <w:pPr>
        <w:keepNext w:val="0"/>
        <w:keepLines w:val="0"/>
        <w:pageBreakBefore w:val="0"/>
        <w:widowControl w:val="0"/>
        <w:kinsoku/>
        <w:wordWrap/>
        <w:overflowPunct/>
        <w:topLinePunct w:val="0"/>
        <w:bidi w:val="0"/>
        <w:adjustRightInd/>
        <w:snapToGrid/>
        <w:spacing w:line="360" w:lineRule="auto"/>
        <w:ind w:firstLine="560" w:firstLineChars="200"/>
        <w:textAlignment w:val="auto"/>
        <w:rPr>
          <w:rFonts w:hint="eastAsia" w:asciiTheme="majorEastAsia" w:hAnsiTheme="majorEastAsia" w:eastAsiaTheme="majorEastAsia" w:cstheme="majorEastAsia"/>
          <w:b w:val="0"/>
          <w:bCs w:val="0"/>
          <w:color w:val="auto"/>
          <w:sz w:val="28"/>
          <w:szCs w:val="28"/>
        </w:rPr>
      </w:pPr>
      <w:r>
        <w:rPr>
          <w:rFonts w:hint="eastAsia" w:asciiTheme="majorEastAsia" w:hAnsiTheme="majorEastAsia" w:eastAsiaTheme="majorEastAsia" w:cstheme="majorEastAsia"/>
          <w:b w:val="0"/>
          <w:bCs w:val="0"/>
          <w:color w:val="auto"/>
          <w:sz w:val="28"/>
          <w:szCs w:val="28"/>
        </w:rPr>
        <w:t>评标标准及办法根据《中华人民共和国政府采购法》、《政府采购竞争性磋商采购方式管理暂行办法》等有关法律、法规，并结合本项目实际情况制定。</w:t>
      </w:r>
    </w:p>
    <w:p w14:paraId="568151FD">
      <w:pPr>
        <w:keepNext w:val="0"/>
        <w:keepLines w:val="0"/>
        <w:pageBreakBefore w:val="0"/>
        <w:widowControl w:val="0"/>
        <w:kinsoku/>
        <w:wordWrap/>
        <w:overflowPunct/>
        <w:topLinePunct w:val="0"/>
        <w:bidi w:val="0"/>
        <w:adjustRightInd/>
        <w:snapToGrid/>
        <w:spacing w:line="360" w:lineRule="auto"/>
        <w:textAlignment w:val="auto"/>
        <w:rPr>
          <w:rFonts w:hint="eastAsia" w:asciiTheme="majorEastAsia" w:hAnsiTheme="majorEastAsia" w:eastAsiaTheme="majorEastAsia" w:cstheme="majorEastAsia"/>
          <w:b w:val="0"/>
          <w:bCs w:val="0"/>
          <w:color w:val="auto"/>
          <w:sz w:val="28"/>
          <w:szCs w:val="28"/>
        </w:rPr>
      </w:pPr>
      <w:r>
        <w:rPr>
          <w:rFonts w:hint="eastAsia" w:asciiTheme="majorEastAsia" w:hAnsiTheme="majorEastAsia" w:eastAsiaTheme="majorEastAsia" w:cstheme="majorEastAsia"/>
          <w:b w:val="0"/>
          <w:bCs w:val="0"/>
          <w:color w:val="auto"/>
          <w:sz w:val="28"/>
          <w:szCs w:val="28"/>
        </w:rPr>
        <w:t>一、总则</w:t>
      </w:r>
    </w:p>
    <w:p w14:paraId="0BEDCFA7">
      <w:pPr>
        <w:keepNext w:val="0"/>
        <w:keepLines w:val="0"/>
        <w:pageBreakBefore w:val="0"/>
        <w:widowControl w:val="0"/>
        <w:kinsoku/>
        <w:wordWrap/>
        <w:overflowPunct/>
        <w:topLinePunct w:val="0"/>
        <w:bidi w:val="0"/>
        <w:adjustRightInd/>
        <w:snapToGrid/>
        <w:spacing w:line="360" w:lineRule="auto"/>
        <w:textAlignment w:val="auto"/>
        <w:rPr>
          <w:rFonts w:hint="eastAsia" w:asciiTheme="majorEastAsia" w:hAnsiTheme="majorEastAsia" w:eastAsiaTheme="majorEastAsia" w:cstheme="majorEastAsia"/>
          <w:b w:val="0"/>
          <w:bCs w:val="0"/>
          <w:color w:val="auto"/>
          <w:sz w:val="28"/>
          <w:szCs w:val="28"/>
        </w:rPr>
      </w:pPr>
      <w:r>
        <w:rPr>
          <w:rFonts w:hint="eastAsia" w:asciiTheme="majorEastAsia" w:hAnsiTheme="majorEastAsia" w:eastAsiaTheme="majorEastAsia" w:cstheme="majorEastAsia"/>
          <w:b w:val="0"/>
          <w:bCs w:val="0"/>
          <w:color w:val="auto"/>
          <w:sz w:val="28"/>
          <w:szCs w:val="28"/>
        </w:rPr>
        <w:t>1、依法组建磋商小组。</w:t>
      </w:r>
    </w:p>
    <w:p w14:paraId="6CA491AD">
      <w:pPr>
        <w:keepNext w:val="0"/>
        <w:keepLines w:val="0"/>
        <w:pageBreakBefore w:val="0"/>
        <w:widowControl w:val="0"/>
        <w:kinsoku/>
        <w:wordWrap/>
        <w:overflowPunct/>
        <w:topLinePunct w:val="0"/>
        <w:bidi w:val="0"/>
        <w:adjustRightInd/>
        <w:snapToGrid/>
        <w:spacing w:line="360" w:lineRule="auto"/>
        <w:textAlignment w:val="auto"/>
        <w:rPr>
          <w:rFonts w:hint="eastAsia" w:asciiTheme="majorEastAsia" w:hAnsiTheme="majorEastAsia" w:eastAsiaTheme="majorEastAsia" w:cstheme="majorEastAsia"/>
          <w:b w:val="0"/>
          <w:bCs w:val="0"/>
          <w:color w:val="auto"/>
          <w:sz w:val="28"/>
          <w:szCs w:val="28"/>
        </w:rPr>
      </w:pPr>
      <w:r>
        <w:rPr>
          <w:rFonts w:hint="eastAsia" w:asciiTheme="majorEastAsia" w:hAnsiTheme="majorEastAsia" w:eastAsiaTheme="majorEastAsia" w:cstheme="majorEastAsia"/>
          <w:b w:val="0"/>
          <w:bCs w:val="0"/>
          <w:color w:val="auto"/>
          <w:sz w:val="28"/>
          <w:szCs w:val="28"/>
        </w:rPr>
        <w:t>2、遵循《中华人民共和国政府采购法》等相关法律法规有关规定，遵循公平、公正、科学择优的原则。</w:t>
      </w:r>
    </w:p>
    <w:p w14:paraId="330E5ACA">
      <w:pPr>
        <w:keepNext w:val="0"/>
        <w:keepLines w:val="0"/>
        <w:pageBreakBefore w:val="0"/>
        <w:widowControl w:val="0"/>
        <w:kinsoku/>
        <w:wordWrap/>
        <w:overflowPunct/>
        <w:topLinePunct w:val="0"/>
        <w:bidi w:val="0"/>
        <w:adjustRightInd/>
        <w:snapToGrid/>
        <w:spacing w:line="360" w:lineRule="auto"/>
        <w:textAlignment w:val="auto"/>
        <w:rPr>
          <w:rFonts w:hint="eastAsia" w:asciiTheme="majorEastAsia" w:hAnsiTheme="majorEastAsia" w:eastAsiaTheme="majorEastAsia" w:cstheme="majorEastAsia"/>
          <w:b w:val="0"/>
          <w:bCs w:val="0"/>
          <w:color w:val="auto"/>
          <w:sz w:val="28"/>
          <w:szCs w:val="28"/>
        </w:rPr>
      </w:pPr>
      <w:r>
        <w:rPr>
          <w:rFonts w:hint="eastAsia" w:asciiTheme="majorEastAsia" w:hAnsiTheme="majorEastAsia" w:eastAsiaTheme="majorEastAsia" w:cstheme="majorEastAsia"/>
          <w:b w:val="0"/>
          <w:bCs w:val="0"/>
          <w:color w:val="auto"/>
          <w:sz w:val="28"/>
          <w:szCs w:val="28"/>
        </w:rPr>
        <w:t>3、磋商小组首先对各供应商初步评审，初步评审通过的供应商方能进入详细评审。</w:t>
      </w:r>
    </w:p>
    <w:p w14:paraId="42A51C3D">
      <w:pPr>
        <w:keepNext w:val="0"/>
        <w:keepLines w:val="0"/>
        <w:pageBreakBefore w:val="0"/>
        <w:widowControl w:val="0"/>
        <w:kinsoku/>
        <w:wordWrap/>
        <w:overflowPunct/>
        <w:topLinePunct w:val="0"/>
        <w:bidi w:val="0"/>
        <w:adjustRightInd/>
        <w:snapToGrid/>
        <w:spacing w:line="360" w:lineRule="auto"/>
        <w:textAlignment w:val="auto"/>
        <w:rPr>
          <w:rFonts w:hint="eastAsia" w:asciiTheme="majorEastAsia" w:hAnsiTheme="majorEastAsia" w:eastAsiaTheme="majorEastAsia" w:cstheme="majorEastAsia"/>
          <w:b w:val="0"/>
          <w:bCs w:val="0"/>
          <w:color w:val="auto"/>
          <w:sz w:val="28"/>
          <w:szCs w:val="28"/>
        </w:rPr>
      </w:pPr>
      <w:r>
        <w:rPr>
          <w:rFonts w:hint="eastAsia" w:asciiTheme="majorEastAsia" w:hAnsiTheme="majorEastAsia" w:eastAsiaTheme="majorEastAsia" w:cstheme="majorEastAsia"/>
          <w:b w:val="0"/>
          <w:bCs w:val="0"/>
          <w:color w:val="auto"/>
          <w:sz w:val="28"/>
          <w:szCs w:val="28"/>
        </w:rPr>
        <w:t>4、磋商小组对各供应商的履约能力、响应文件商务及技术响应情况等进行评审。</w:t>
      </w:r>
    </w:p>
    <w:p w14:paraId="1AE0F355">
      <w:pPr>
        <w:keepNext w:val="0"/>
        <w:keepLines w:val="0"/>
        <w:pageBreakBefore w:val="0"/>
        <w:widowControl w:val="0"/>
        <w:kinsoku/>
        <w:wordWrap/>
        <w:overflowPunct/>
        <w:topLinePunct w:val="0"/>
        <w:bidi w:val="0"/>
        <w:adjustRightInd/>
        <w:snapToGrid/>
        <w:spacing w:line="360" w:lineRule="auto"/>
        <w:textAlignment w:val="auto"/>
        <w:rPr>
          <w:rFonts w:hint="eastAsia" w:asciiTheme="majorEastAsia" w:hAnsiTheme="majorEastAsia" w:eastAsiaTheme="majorEastAsia" w:cstheme="majorEastAsia"/>
          <w:b w:val="0"/>
          <w:bCs w:val="0"/>
          <w:color w:val="auto"/>
          <w:sz w:val="28"/>
          <w:szCs w:val="28"/>
        </w:rPr>
      </w:pPr>
      <w:r>
        <w:rPr>
          <w:rFonts w:hint="eastAsia" w:asciiTheme="majorEastAsia" w:hAnsiTheme="majorEastAsia" w:eastAsiaTheme="majorEastAsia" w:cstheme="majorEastAsia"/>
          <w:b w:val="0"/>
          <w:bCs w:val="0"/>
          <w:color w:val="auto"/>
          <w:sz w:val="28"/>
          <w:szCs w:val="28"/>
        </w:rPr>
        <w:t>5、评标方法：综合评分法。</w:t>
      </w:r>
    </w:p>
    <w:p w14:paraId="7DE09894">
      <w:pPr>
        <w:keepNext w:val="0"/>
        <w:keepLines w:val="0"/>
        <w:pageBreakBefore w:val="0"/>
        <w:widowControl w:val="0"/>
        <w:kinsoku/>
        <w:wordWrap/>
        <w:overflowPunct/>
        <w:topLinePunct w:val="0"/>
        <w:bidi w:val="0"/>
        <w:adjustRightInd/>
        <w:snapToGrid/>
        <w:spacing w:line="360" w:lineRule="auto"/>
        <w:textAlignment w:val="auto"/>
        <w:rPr>
          <w:rFonts w:hint="eastAsia" w:asciiTheme="majorEastAsia" w:hAnsiTheme="majorEastAsia" w:eastAsiaTheme="majorEastAsia" w:cstheme="majorEastAsia"/>
          <w:b w:val="0"/>
          <w:bCs w:val="0"/>
          <w:color w:val="auto"/>
          <w:sz w:val="28"/>
          <w:szCs w:val="28"/>
        </w:rPr>
      </w:pPr>
      <w:r>
        <w:rPr>
          <w:rFonts w:hint="eastAsia" w:asciiTheme="majorEastAsia" w:hAnsiTheme="majorEastAsia" w:eastAsiaTheme="majorEastAsia" w:cstheme="majorEastAsia"/>
          <w:b w:val="0"/>
          <w:bCs w:val="0"/>
          <w:color w:val="auto"/>
          <w:sz w:val="28"/>
          <w:szCs w:val="28"/>
        </w:rPr>
        <w:t>6、供应商得分统计应遵循下列原则：</w:t>
      </w:r>
    </w:p>
    <w:p w14:paraId="05853CCB">
      <w:pPr>
        <w:keepNext w:val="0"/>
        <w:keepLines w:val="0"/>
        <w:pageBreakBefore w:val="0"/>
        <w:widowControl w:val="0"/>
        <w:kinsoku/>
        <w:wordWrap/>
        <w:overflowPunct/>
        <w:topLinePunct w:val="0"/>
        <w:bidi w:val="0"/>
        <w:adjustRightInd/>
        <w:snapToGrid/>
        <w:spacing w:line="360" w:lineRule="auto"/>
        <w:textAlignment w:val="auto"/>
        <w:rPr>
          <w:rFonts w:hint="eastAsia" w:asciiTheme="majorEastAsia" w:hAnsiTheme="majorEastAsia" w:eastAsiaTheme="majorEastAsia" w:cstheme="majorEastAsia"/>
          <w:b w:val="0"/>
          <w:bCs w:val="0"/>
          <w:color w:val="auto"/>
          <w:sz w:val="28"/>
          <w:szCs w:val="28"/>
        </w:rPr>
      </w:pPr>
      <w:r>
        <w:rPr>
          <w:rFonts w:hint="eastAsia" w:asciiTheme="majorEastAsia" w:hAnsiTheme="majorEastAsia" w:eastAsiaTheme="majorEastAsia" w:cstheme="majorEastAsia"/>
          <w:b w:val="0"/>
          <w:bCs w:val="0"/>
          <w:color w:val="auto"/>
          <w:sz w:val="28"/>
          <w:szCs w:val="28"/>
        </w:rPr>
        <w:t>供应商综合得分为投标报价得分和商务部分及技术部分得分之和。各供应商商务及技术部分得分为评标委员所有成员最终打分的算术平均值，每个供应商的最终得分结果保留小数点后2位。</w:t>
      </w:r>
    </w:p>
    <w:p w14:paraId="44ABFD34">
      <w:pPr>
        <w:keepNext w:val="0"/>
        <w:keepLines w:val="0"/>
        <w:pageBreakBefore w:val="0"/>
        <w:widowControl w:val="0"/>
        <w:kinsoku/>
        <w:wordWrap/>
        <w:overflowPunct/>
        <w:topLinePunct w:val="0"/>
        <w:bidi w:val="0"/>
        <w:adjustRightInd/>
        <w:snapToGrid/>
        <w:spacing w:line="360" w:lineRule="auto"/>
        <w:textAlignment w:val="auto"/>
        <w:rPr>
          <w:rFonts w:hint="eastAsia" w:asciiTheme="majorEastAsia" w:hAnsiTheme="majorEastAsia" w:eastAsiaTheme="majorEastAsia" w:cstheme="majorEastAsia"/>
          <w:b w:val="0"/>
          <w:bCs w:val="0"/>
          <w:color w:val="auto"/>
          <w:sz w:val="28"/>
          <w:szCs w:val="28"/>
        </w:rPr>
      </w:pPr>
      <w:r>
        <w:rPr>
          <w:rFonts w:hint="eastAsia" w:asciiTheme="majorEastAsia" w:hAnsiTheme="majorEastAsia" w:eastAsiaTheme="majorEastAsia" w:cstheme="majorEastAsia"/>
          <w:b w:val="0"/>
          <w:bCs w:val="0"/>
          <w:color w:val="auto"/>
          <w:sz w:val="28"/>
          <w:szCs w:val="28"/>
        </w:rPr>
        <w:t>7、推荐成交候选人原则：</w:t>
      </w:r>
    </w:p>
    <w:p w14:paraId="07576F1B">
      <w:pPr>
        <w:keepNext w:val="0"/>
        <w:keepLines w:val="0"/>
        <w:pageBreakBefore w:val="0"/>
        <w:widowControl w:val="0"/>
        <w:kinsoku/>
        <w:wordWrap/>
        <w:overflowPunct/>
        <w:topLinePunct w:val="0"/>
        <w:bidi w:val="0"/>
        <w:adjustRightInd/>
        <w:snapToGrid/>
        <w:spacing w:line="360" w:lineRule="auto"/>
        <w:textAlignment w:val="auto"/>
        <w:rPr>
          <w:rFonts w:hint="eastAsia" w:asciiTheme="majorEastAsia" w:hAnsiTheme="majorEastAsia" w:eastAsiaTheme="majorEastAsia" w:cstheme="majorEastAsia"/>
          <w:b w:val="0"/>
          <w:bCs w:val="0"/>
          <w:color w:val="auto"/>
          <w:sz w:val="28"/>
          <w:szCs w:val="28"/>
        </w:rPr>
      </w:pPr>
      <w:r>
        <w:rPr>
          <w:rFonts w:hint="eastAsia" w:asciiTheme="majorEastAsia" w:hAnsiTheme="majorEastAsia" w:eastAsiaTheme="majorEastAsia" w:cstheme="majorEastAsia"/>
          <w:b w:val="0"/>
          <w:bCs w:val="0"/>
          <w:color w:val="auto"/>
          <w:sz w:val="28"/>
          <w:szCs w:val="28"/>
        </w:rPr>
        <w:t>磋商小组完成评标后，按供应商综合得分从高到低顺序向采购人推荐1-3名成交候选人，坚持综合得分相同价格优先；综合得分、价格相同，技术优先。</w:t>
      </w:r>
    </w:p>
    <w:p w14:paraId="3F4CC4D7">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 w:val="0"/>
          <w:bCs w:val="0"/>
          <w:color w:val="auto"/>
          <w:sz w:val="28"/>
          <w:szCs w:val="28"/>
          <w:highlight w:val="none"/>
          <w:lang w:val="en-US" w:eastAsia="zh-CN"/>
        </w:rPr>
        <w:sectPr>
          <w:footerReference r:id="rId3" w:type="default"/>
          <w:pgSz w:w="11900" w:h="16838"/>
          <w:pgMar w:top="1429" w:right="1803" w:bottom="1429" w:left="1803" w:header="0" w:footer="0" w:gutter="0"/>
          <w:cols w:space="0" w:num="1"/>
          <w:rtlGutter w:val="0"/>
          <w:docGrid w:linePitch="319" w:charSpace="0"/>
        </w:sectPr>
      </w:pPr>
      <w:r>
        <w:rPr>
          <w:rFonts w:hint="eastAsia" w:asciiTheme="majorEastAsia" w:hAnsiTheme="majorEastAsia" w:eastAsiaTheme="majorEastAsia" w:cstheme="majorEastAsia"/>
          <w:b w:val="0"/>
          <w:bCs w:val="0"/>
          <w:color w:val="auto"/>
          <w:sz w:val="28"/>
          <w:szCs w:val="28"/>
        </w:rPr>
        <w:t>若排名第一的成交候选人放弃成交时，顺延排名第二的成交侯选人为第一成交候选人，依此类推。对未成交的供应商，采购人不作解释。</w:t>
      </w:r>
    </w:p>
    <w:p w14:paraId="18A81D10">
      <w:pPr>
        <w:keepNext w:val="0"/>
        <w:keepLines w:val="0"/>
        <w:pageBreakBefore w:val="0"/>
        <w:widowControl w:val="0"/>
        <w:kinsoku/>
        <w:wordWrap/>
        <w:overflowPunct/>
        <w:topLinePunct w:val="0"/>
        <w:bidi w:val="0"/>
        <w:adjustRightInd/>
        <w:snapToGrid/>
        <w:spacing w:line="360" w:lineRule="auto"/>
        <w:textAlignment w:val="auto"/>
        <w:rPr>
          <w:rFonts w:hint="eastAsia" w:asciiTheme="majorEastAsia" w:hAnsiTheme="majorEastAsia" w:eastAsiaTheme="majorEastAsia" w:cstheme="majorEastAsia"/>
          <w:b w:val="0"/>
          <w:bCs w:val="0"/>
          <w:color w:val="auto"/>
          <w:sz w:val="28"/>
          <w:szCs w:val="28"/>
          <w:lang w:eastAsia="zh-CN"/>
        </w:rPr>
      </w:pPr>
      <w:r>
        <w:rPr>
          <w:rFonts w:hint="eastAsia" w:asciiTheme="majorEastAsia" w:hAnsiTheme="majorEastAsia" w:eastAsiaTheme="majorEastAsia" w:cstheme="majorEastAsia"/>
          <w:b w:val="0"/>
          <w:bCs w:val="0"/>
          <w:color w:val="auto"/>
          <w:sz w:val="28"/>
          <w:szCs w:val="28"/>
          <w:lang w:val="en-US" w:eastAsia="zh-CN"/>
        </w:rPr>
        <w:t>二、</w:t>
      </w:r>
      <w:r>
        <w:rPr>
          <w:rFonts w:hint="eastAsia" w:asciiTheme="majorEastAsia" w:hAnsiTheme="majorEastAsia" w:eastAsiaTheme="majorEastAsia" w:cstheme="majorEastAsia"/>
          <w:b w:val="0"/>
          <w:bCs w:val="0"/>
          <w:color w:val="auto"/>
          <w:sz w:val="28"/>
          <w:szCs w:val="28"/>
          <w:lang w:eastAsia="zh-CN"/>
        </w:rPr>
        <w:t>详细评审评分标准（满分：100分）</w:t>
      </w:r>
    </w:p>
    <w:p w14:paraId="5344346D">
      <w:pPr>
        <w:keepNext w:val="0"/>
        <w:keepLines w:val="0"/>
        <w:pageBreakBefore w:val="0"/>
        <w:widowControl w:val="0"/>
        <w:kinsoku/>
        <w:wordWrap/>
        <w:overflowPunct/>
        <w:topLinePunct w:val="0"/>
        <w:bidi w:val="0"/>
        <w:adjustRightInd/>
        <w:snapToGrid/>
        <w:spacing w:line="360" w:lineRule="auto"/>
        <w:textAlignment w:val="auto"/>
        <w:rPr>
          <w:rFonts w:hint="eastAsia" w:asciiTheme="majorEastAsia" w:hAnsiTheme="majorEastAsia" w:eastAsiaTheme="majorEastAsia" w:cstheme="majorEastAsia"/>
          <w:b w:val="0"/>
          <w:bCs w:val="0"/>
          <w:color w:val="auto"/>
          <w:sz w:val="28"/>
          <w:szCs w:val="28"/>
          <w:lang w:eastAsia="zh-CN"/>
        </w:rPr>
      </w:pPr>
      <w:r>
        <w:rPr>
          <w:rFonts w:hint="eastAsia" w:asciiTheme="majorEastAsia" w:hAnsiTheme="majorEastAsia" w:eastAsiaTheme="majorEastAsia" w:cstheme="majorEastAsia"/>
          <w:b w:val="0"/>
          <w:bCs w:val="0"/>
          <w:color w:val="auto"/>
          <w:sz w:val="28"/>
          <w:szCs w:val="28"/>
          <w:lang w:eastAsia="zh-CN"/>
        </w:rPr>
        <w:t>1、对各个评标因素按大类进行量化评分的方法。总分100分，各类分值为：</w:t>
      </w:r>
    </w:p>
    <w:tbl>
      <w:tblPr>
        <w:tblStyle w:val="12"/>
        <w:tblW w:w="8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8"/>
        <w:gridCol w:w="3942"/>
      </w:tblGrid>
      <w:tr w14:paraId="456E5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jc w:val="center"/>
        </w:trPr>
        <w:tc>
          <w:tcPr>
            <w:tcW w:w="4928" w:type="dxa"/>
            <w:noWrap w:val="0"/>
            <w:vAlign w:val="top"/>
          </w:tcPr>
          <w:p w14:paraId="1140218A">
            <w:pPr>
              <w:keepNext w:val="0"/>
              <w:keepLines w:val="0"/>
              <w:pageBreakBefore w:val="0"/>
              <w:widowControl w:val="0"/>
              <w:kinsoku/>
              <w:wordWrap/>
              <w:overflowPunct/>
              <w:topLinePunct w:val="0"/>
              <w:bidi w:val="0"/>
              <w:adjustRightInd/>
              <w:snapToGrid/>
              <w:spacing w:line="360" w:lineRule="auto"/>
              <w:jc w:val="left"/>
              <w:textAlignment w:val="auto"/>
              <w:rPr>
                <w:rFonts w:hint="eastAsia" w:asciiTheme="majorEastAsia" w:hAnsiTheme="majorEastAsia" w:eastAsiaTheme="majorEastAsia" w:cstheme="majorEastAsia"/>
                <w:b w:val="0"/>
                <w:bCs w:val="0"/>
                <w:color w:val="auto"/>
                <w:sz w:val="28"/>
                <w:szCs w:val="28"/>
                <w:lang w:eastAsia="zh-CN"/>
              </w:rPr>
            </w:pPr>
            <w:r>
              <w:rPr>
                <w:rFonts w:hint="eastAsia" w:asciiTheme="majorEastAsia" w:hAnsiTheme="majorEastAsia" w:eastAsiaTheme="majorEastAsia" w:cstheme="majorEastAsia"/>
                <w:b w:val="0"/>
                <w:bCs w:val="0"/>
                <w:color w:val="auto"/>
                <w:sz w:val="28"/>
                <w:szCs w:val="28"/>
                <w:lang w:eastAsia="zh-CN"/>
              </w:rPr>
              <w:t>（1）报价得分</w:t>
            </w:r>
          </w:p>
        </w:tc>
        <w:tc>
          <w:tcPr>
            <w:tcW w:w="3942" w:type="dxa"/>
            <w:noWrap w:val="0"/>
            <w:vAlign w:val="top"/>
          </w:tcPr>
          <w:p w14:paraId="7D01E16D">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Theme="majorEastAsia" w:hAnsiTheme="majorEastAsia" w:eastAsiaTheme="majorEastAsia" w:cstheme="majorEastAsia"/>
                <w:b w:val="0"/>
                <w:bCs w:val="0"/>
                <w:color w:val="auto"/>
                <w:sz w:val="28"/>
                <w:szCs w:val="28"/>
                <w:lang w:eastAsia="zh-CN"/>
              </w:rPr>
            </w:pPr>
            <w:r>
              <w:rPr>
                <w:rFonts w:hint="eastAsia" w:asciiTheme="majorEastAsia" w:hAnsiTheme="majorEastAsia" w:eastAsiaTheme="majorEastAsia" w:cstheme="majorEastAsia"/>
                <w:b w:val="0"/>
                <w:bCs w:val="0"/>
                <w:color w:val="auto"/>
                <w:sz w:val="28"/>
                <w:szCs w:val="28"/>
                <w:lang w:val="en-US" w:eastAsia="zh-CN"/>
              </w:rPr>
              <w:t>30</w:t>
            </w:r>
            <w:r>
              <w:rPr>
                <w:rFonts w:hint="eastAsia" w:asciiTheme="majorEastAsia" w:hAnsiTheme="majorEastAsia" w:eastAsiaTheme="majorEastAsia" w:cstheme="majorEastAsia"/>
                <w:b w:val="0"/>
                <w:bCs w:val="0"/>
                <w:color w:val="auto"/>
                <w:sz w:val="28"/>
                <w:szCs w:val="28"/>
                <w:lang w:eastAsia="zh-CN"/>
              </w:rPr>
              <w:t>分（满分）</w:t>
            </w:r>
          </w:p>
        </w:tc>
      </w:tr>
      <w:tr w14:paraId="2B7C9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928" w:type="dxa"/>
            <w:noWrap w:val="0"/>
            <w:vAlign w:val="top"/>
          </w:tcPr>
          <w:p w14:paraId="760B179F">
            <w:pPr>
              <w:keepNext w:val="0"/>
              <w:keepLines w:val="0"/>
              <w:pageBreakBefore w:val="0"/>
              <w:widowControl w:val="0"/>
              <w:kinsoku/>
              <w:wordWrap/>
              <w:overflowPunct/>
              <w:topLinePunct w:val="0"/>
              <w:bidi w:val="0"/>
              <w:adjustRightInd/>
              <w:snapToGrid/>
              <w:spacing w:line="360" w:lineRule="auto"/>
              <w:jc w:val="left"/>
              <w:textAlignment w:val="auto"/>
              <w:rPr>
                <w:rFonts w:hint="default" w:asciiTheme="majorEastAsia" w:hAnsiTheme="majorEastAsia" w:eastAsiaTheme="majorEastAsia" w:cstheme="majorEastAsia"/>
                <w:b w:val="0"/>
                <w:bCs w:val="0"/>
                <w:color w:val="auto"/>
                <w:sz w:val="28"/>
                <w:szCs w:val="28"/>
                <w:lang w:val="en-US" w:eastAsia="zh-CN"/>
              </w:rPr>
            </w:pPr>
            <w:r>
              <w:rPr>
                <w:rFonts w:hint="eastAsia" w:asciiTheme="majorEastAsia" w:hAnsiTheme="majorEastAsia" w:eastAsiaTheme="majorEastAsia" w:cstheme="majorEastAsia"/>
                <w:b w:val="0"/>
                <w:bCs w:val="0"/>
                <w:color w:val="auto"/>
                <w:sz w:val="28"/>
                <w:szCs w:val="28"/>
                <w:lang w:eastAsia="zh-CN"/>
              </w:rPr>
              <w:t>（2）</w:t>
            </w:r>
            <w:r>
              <w:rPr>
                <w:rFonts w:hint="eastAsia" w:asciiTheme="majorEastAsia" w:hAnsiTheme="majorEastAsia" w:eastAsiaTheme="majorEastAsia" w:cstheme="majorEastAsia"/>
                <w:b w:val="0"/>
                <w:bCs w:val="0"/>
                <w:color w:val="auto"/>
                <w:sz w:val="28"/>
                <w:szCs w:val="28"/>
              </w:rPr>
              <w:t>技术指标和配置</w:t>
            </w:r>
          </w:p>
        </w:tc>
        <w:tc>
          <w:tcPr>
            <w:tcW w:w="3942" w:type="dxa"/>
            <w:noWrap w:val="0"/>
            <w:vAlign w:val="top"/>
          </w:tcPr>
          <w:p w14:paraId="1031C1DF">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Theme="majorEastAsia" w:hAnsiTheme="majorEastAsia" w:eastAsiaTheme="majorEastAsia" w:cstheme="majorEastAsia"/>
                <w:b w:val="0"/>
                <w:bCs w:val="0"/>
                <w:color w:val="auto"/>
                <w:sz w:val="28"/>
                <w:szCs w:val="28"/>
                <w:lang w:eastAsia="zh-CN"/>
              </w:rPr>
            </w:pPr>
            <w:r>
              <w:rPr>
                <w:rFonts w:hint="eastAsia" w:asciiTheme="majorEastAsia" w:hAnsiTheme="majorEastAsia" w:eastAsiaTheme="majorEastAsia" w:cstheme="majorEastAsia"/>
                <w:b w:val="0"/>
                <w:bCs w:val="0"/>
                <w:color w:val="auto"/>
                <w:sz w:val="28"/>
                <w:szCs w:val="28"/>
                <w:lang w:val="en-US" w:eastAsia="zh-CN"/>
              </w:rPr>
              <w:t>45</w:t>
            </w:r>
            <w:r>
              <w:rPr>
                <w:rFonts w:hint="eastAsia" w:asciiTheme="majorEastAsia" w:hAnsiTheme="majorEastAsia" w:eastAsiaTheme="majorEastAsia" w:cstheme="majorEastAsia"/>
                <w:b w:val="0"/>
                <w:bCs w:val="0"/>
                <w:color w:val="auto"/>
                <w:sz w:val="28"/>
                <w:szCs w:val="28"/>
                <w:lang w:eastAsia="zh-CN"/>
              </w:rPr>
              <w:t>分（满分）</w:t>
            </w:r>
          </w:p>
        </w:tc>
      </w:tr>
      <w:tr w14:paraId="6D74F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28" w:type="dxa"/>
            <w:noWrap w:val="0"/>
            <w:vAlign w:val="top"/>
          </w:tcPr>
          <w:p w14:paraId="7BA20846">
            <w:pPr>
              <w:keepNext w:val="0"/>
              <w:keepLines w:val="0"/>
              <w:pageBreakBefore w:val="0"/>
              <w:widowControl w:val="0"/>
              <w:kinsoku/>
              <w:wordWrap/>
              <w:overflowPunct/>
              <w:topLinePunct w:val="0"/>
              <w:bidi w:val="0"/>
              <w:adjustRightInd/>
              <w:snapToGrid/>
              <w:spacing w:line="360" w:lineRule="auto"/>
              <w:jc w:val="left"/>
              <w:textAlignment w:val="auto"/>
              <w:rPr>
                <w:rFonts w:hint="eastAsia" w:asciiTheme="majorEastAsia" w:hAnsiTheme="majorEastAsia" w:eastAsiaTheme="majorEastAsia" w:cstheme="majorEastAsia"/>
                <w:b w:val="0"/>
                <w:bCs w:val="0"/>
                <w:color w:val="auto"/>
                <w:sz w:val="28"/>
                <w:szCs w:val="28"/>
                <w:lang w:eastAsia="zh-CN"/>
              </w:rPr>
            </w:pPr>
            <w:r>
              <w:rPr>
                <w:rFonts w:hint="eastAsia" w:asciiTheme="majorEastAsia" w:hAnsiTheme="majorEastAsia" w:eastAsiaTheme="majorEastAsia" w:cstheme="majorEastAsia"/>
                <w:b w:val="0"/>
                <w:bCs w:val="0"/>
                <w:color w:val="auto"/>
                <w:sz w:val="28"/>
                <w:szCs w:val="28"/>
                <w:lang w:eastAsia="zh-CN"/>
              </w:rPr>
              <w:t>（3）</w:t>
            </w:r>
            <w:r>
              <w:rPr>
                <w:rFonts w:hint="eastAsia" w:asciiTheme="majorEastAsia" w:hAnsiTheme="majorEastAsia" w:eastAsiaTheme="majorEastAsia" w:cstheme="majorEastAsia"/>
                <w:b w:val="0"/>
                <w:bCs w:val="0"/>
                <w:color w:val="auto"/>
                <w:sz w:val="28"/>
                <w:szCs w:val="28"/>
              </w:rPr>
              <w:t>服务方案</w:t>
            </w:r>
          </w:p>
        </w:tc>
        <w:tc>
          <w:tcPr>
            <w:tcW w:w="3942" w:type="dxa"/>
            <w:noWrap w:val="0"/>
            <w:vAlign w:val="top"/>
          </w:tcPr>
          <w:p w14:paraId="15565D45">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Theme="majorEastAsia" w:hAnsiTheme="majorEastAsia" w:eastAsiaTheme="majorEastAsia" w:cstheme="majorEastAsia"/>
                <w:b w:val="0"/>
                <w:bCs w:val="0"/>
                <w:color w:val="auto"/>
                <w:sz w:val="28"/>
                <w:szCs w:val="28"/>
                <w:lang w:eastAsia="zh-CN"/>
              </w:rPr>
            </w:pPr>
            <w:r>
              <w:rPr>
                <w:rFonts w:hint="eastAsia" w:asciiTheme="majorEastAsia" w:hAnsiTheme="majorEastAsia" w:eastAsiaTheme="majorEastAsia" w:cstheme="majorEastAsia"/>
                <w:b w:val="0"/>
                <w:bCs w:val="0"/>
                <w:color w:val="auto"/>
                <w:sz w:val="28"/>
                <w:szCs w:val="28"/>
                <w:lang w:val="en-US" w:eastAsia="zh-CN"/>
              </w:rPr>
              <w:t>10</w:t>
            </w:r>
            <w:r>
              <w:rPr>
                <w:rFonts w:hint="eastAsia" w:asciiTheme="majorEastAsia" w:hAnsiTheme="majorEastAsia" w:eastAsiaTheme="majorEastAsia" w:cstheme="majorEastAsia"/>
                <w:b w:val="0"/>
                <w:bCs w:val="0"/>
                <w:color w:val="auto"/>
                <w:sz w:val="28"/>
                <w:szCs w:val="28"/>
                <w:lang w:eastAsia="zh-CN"/>
              </w:rPr>
              <w:t>分（满分）</w:t>
            </w:r>
          </w:p>
        </w:tc>
      </w:tr>
      <w:tr w14:paraId="65141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4928" w:type="dxa"/>
            <w:noWrap w:val="0"/>
            <w:vAlign w:val="top"/>
          </w:tcPr>
          <w:p w14:paraId="2F36D1BE">
            <w:pPr>
              <w:keepNext w:val="0"/>
              <w:keepLines w:val="0"/>
              <w:pageBreakBefore w:val="0"/>
              <w:widowControl w:val="0"/>
              <w:kinsoku/>
              <w:wordWrap/>
              <w:overflowPunct/>
              <w:topLinePunct w:val="0"/>
              <w:bidi w:val="0"/>
              <w:adjustRightInd/>
              <w:snapToGrid/>
              <w:spacing w:line="360" w:lineRule="auto"/>
              <w:jc w:val="left"/>
              <w:textAlignment w:val="auto"/>
              <w:rPr>
                <w:rFonts w:hint="eastAsia" w:asciiTheme="majorEastAsia" w:hAnsiTheme="majorEastAsia" w:eastAsiaTheme="majorEastAsia" w:cstheme="majorEastAsia"/>
                <w:b w:val="0"/>
                <w:bCs w:val="0"/>
                <w:color w:val="auto"/>
                <w:sz w:val="28"/>
                <w:szCs w:val="28"/>
                <w:lang w:val="en-US" w:eastAsia="zh-CN"/>
              </w:rPr>
            </w:pP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lang w:val="en-US" w:eastAsia="zh-CN"/>
              </w:rPr>
              <w:t>4</w:t>
            </w:r>
            <w:r>
              <w:rPr>
                <w:rFonts w:hint="eastAsia" w:asciiTheme="majorEastAsia" w:hAnsiTheme="majorEastAsia" w:eastAsiaTheme="majorEastAsia" w:cstheme="majorEastAsia"/>
                <w:b w:val="0"/>
                <w:bCs w:val="0"/>
                <w:color w:val="auto"/>
                <w:sz w:val="28"/>
                <w:szCs w:val="28"/>
                <w:lang w:eastAsia="zh-CN"/>
              </w:rPr>
              <w:t>）</w:t>
            </w:r>
            <w:r>
              <w:rPr>
                <w:rFonts w:hint="eastAsia" w:asciiTheme="majorEastAsia" w:hAnsiTheme="majorEastAsia" w:eastAsiaTheme="majorEastAsia" w:cstheme="majorEastAsia"/>
                <w:b w:val="0"/>
                <w:bCs w:val="0"/>
                <w:color w:val="auto"/>
                <w:sz w:val="28"/>
                <w:szCs w:val="28"/>
                <w:lang w:val="en-US" w:eastAsia="zh-CN"/>
              </w:rPr>
              <w:t>商务服务承诺</w:t>
            </w:r>
          </w:p>
        </w:tc>
        <w:tc>
          <w:tcPr>
            <w:tcW w:w="3942" w:type="dxa"/>
            <w:noWrap w:val="0"/>
            <w:vAlign w:val="top"/>
          </w:tcPr>
          <w:p w14:paraId="50CE1A41">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Theme="majorEastAsia" w:hAnsiTheme="majorEastAsia" w:eastAsiaTheme="majorEastAsia" w:cstheme="majorEastAsia"/>
                <w:b w:val="0"/>
                <w:bCs w:val="0"/>
                <w:color w:val="auto"/>
                <w:sz w:val="28"/>
                <w:szCs w:val="28"/>
                <w:lang w:val="en-US" w:eastAsia="zh-CN"/>
              </w:rPr>
            </w:pPr>
            <w:r>
              <w:rPr>
                <w:rFonts w:hint="eastAsia" w:asciiTheme="majorEastAsia" w:hAnsiTheme="majorEastAsia" w:eastAsiaTheme="majorEastAsia" w:cstheme="majorEastAsia"/>
                <w:b w:val="0"/>
                <w:bCs w:val="0"/>
                <w:color w:val="auto"/>
                <w:sz w:val="28"/>
                <w:szCs w:val="28"/>
                <w:lang w:val="en-US" w:eastAsia="zh-CN"/>
              </w:rPr>
              <w:t>15分</w:t>
            </w:r>
            <w:r>
              <w:rPr>
                <w:rFonts w:hint="eastAsia" w:asciiTheme="majorEastAsia" w:hAnsiTheme="majorEastAsia" w:eastAsiaTheme="majorEastAsia" w:cstheme="majorEastAsia"/>
                <w:b w:val="0"/>
                <w:bCs w:val="0"/>
                <w:color w:val="auto"/>
                <w:sz w:val="28"/>
                <w:szCs w:val="28"/>
                <w:lang w:eastAsia="zh-CN"/>
              </w:rPr>
              <w:t>（满分）</w:t>
            </w:r>
          </w:p>
        </w:tc>
      </w:tr>
      <w:tr w14:paraId="380D6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4928" w:type="dxa"/>
            <w:noWrap w:val="0"/>
            <w:vAlign w:val="top"/>
          </w:tcPr>
          <w:p w14:paraId="1F448436">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Theme="majorEastAsia" w:hAnsiTheme="majorEastAsia" w:eastAsiaTheme="majorEastAsia" w:cstheme="majorEastAsia"/>
                <w:b w:val="0"/>
                <w:bCs w:val="0"/>
                <w:color w:val="auto"/>
                <w:sz w:val="28"/>
                <w:szCs w:val="28"/>
                <w:lang w:eastAsia="zh-CN"/>
              </w:rPr>
            </w:pPr>
            <w:r>
              <w:rPr>
                <w:rFonts w:hint="eastAsia" w:asciiTheme="majorEastAsia" w:hAnsiTheme="majorEastAsia" w:eastAsiaTheme="majorEastAsia" w:cstheme="majorEastAsia"/>
                <w:b w:val="0"/>
                <w:bCs w:val="0"/>
                <w:color w:val="auto"/>
                <w:sz w:val="28"/>
                <w:szCs w:val="28"/>
                <w:lang w:eastAsia="zh-CN"/>
              </w:rPr>
              <w:t>合计：</w:t>
            </w:r>
          </w:p>
        </w:tc>
        <w:tc>
          <w:tcPr>
            <w:tcW w:w="3942" w:type="dxa"/>
            <w:noWrap w:val="0"/>
            <w:vAlign w:val="top"/>
          </w:tcPr>
          <w:p w14:paraId="2426CB47">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Theme="majorEastAsia" w:hAnsiTheme="majorEastAsia" w:eastAsiaTheme="majorEastAsia" w:cstheme="majorEastAsia"/>
                <w:b w:val="0"/>
                <w:bCs w:val="0"/>
                <w:color w:val="auto"/>
                <w:sz w:val="28"/>
                <w:szCs w:val="28"/>
                <w:lang w:eastAsia="zh-CN"/>
              </w:rPr>
            </w:pPr>
            <w:r>
              <w:rPr>
                <w:rFonts w:hint="eastAsia" w:asciiTheme="majorEastAsia" w:hAnsiTheme="majorEastAsia" w:eastAsiaTheme="majorEastAsia" w:cstheme="majorEastAsia"/>
                <w:b w:val="0"/>
                <w:bCs w:val="0"/>
                <w:color w:val="auto"/>
                <w:sz w:val="28"/>
                <w:szCs w:val="28"/>
                <w:lang w:eastAsia="zh-CN"/>
              </w:rPr>
              <w:t>100分（满分）</w:t>
            </w:r>
          </w:p>
        </w:tc>
      </w:tr>
    </w:tbl>
    <w:p w14:paraId="390CE1B5">
      <w:pPr>
        <w:keepNext w:val="0"/>
        <w:keepLines w:val="0"/>
        <w:pageBreakBefore w:val="0"/>
        <w:widowControl w:val="0"/>
        <w:kinsoku/>
        <w:wordWrap/>
        <w:overflowPunct/>
        <w:topLinePunct w:val="0"/>
        <w:bidi w:val="0"/>
        <w:adjustRightInd/>
        <w:snapToGrid/>
        <w:spacing w:line="360" w:lineRule="auto"/>
        <w:textAlignment w:val="auto"/>
        <w:rPr>
          <w:rFonts w:hint="eastAsia" w:asciiTheme="majorEastAsia" w:hAnsiTheme="majorEastAsia" w:eastAsiaTheme="majorEastAsia" w:cstheme="majorEastAsia"/>
          <w:b w:val="0"/>
          <w:bCs w:val="0"/>
          <w:color w:val="auto"/>
          <w:sz w:val="28"/>
          <w:szCs w:val="28"/>
          <w:lang w:eastAsia="zh-CN"/>
        </w:rPr>
      </w:pPr>
    </w:p>
    <w:p w14:paraId="48F95B2A">
      <w:pPr>
        <w:keepNext w:val="0"/>
        <w:keepLines w:val="0"/>
        <w:pageBreakBefore w:val="0"/>
        <w:widowControl w:val="0"/>
        <w:kinsoku/>
        <w:wordWrap/>
        <w:overflowPunct/>
        <w:topLinePunct w:val="0"/>
        <w:bidi w:val="0"/>
        <w:adjustRightInd/>
        <w:snapToGrid/>
        <w:spacing w:line="360" w:lineRule="auto"/>
        <w:textAlignment w:val="auto"/>
        <w:rPr>
          <w:rFonts w:hint="eastAsia" w:asciiTheme="majorEastAsia" w:hAnsiTheme="majorEastAsia" w:eastAsiaTheme="majorEastAsia" w:cstheme="majorEastAsia"/>
          <w:b w:val="0"/>
          <w:bCs w:val="0"/>
          <w:color w:val="auto"/>
          <w:sz w:val="28"/>
          <w:szCs w:val="28"/>
          <w:lang w:eastAsia="zh-CN"/>
        </w:rPr>
      </w:pPr>
    </w:p>
    <w:p w14:paraId="3B527F35">
      <w:pPr>
        <w:keepNext w:val="0"/>
        <w:keepLines w:val="0"/>
        <w:pageBreakBefore w:val="0"/>
        <w:widowControl w:val="0"/>
        <w:kinsoku/>
        <w:wordWrap/>
        <w:overflowPunct/>
        <w:topLinePunct w:val="0"/>
        <w:bidi w:val="0"/>
        <w:adjustRightInd/>
        <w:snapToGrid/>
        <w:spacing w:line="360" w:lineRule="auto"/>
        <w:textAlignment w:val="auto"/>
        <w:rPr>
          <w:rFonts w:hint="eastAsia" w:asciiTheme="majorEastAsia" w:hAnsiTheme="majorEastAsia" w:eastAsiaTheme="majorEastAsia" w:cstheme="majorEastAsia"/>
          <w:b w:val="0"/>
          <w:bCs w:val="0"/>
          <w:color w:val="auto"/>
          <w:sz w:val="28"/>
          <w:szCs w:val="28"/>
          <w:lang w:eastAsia="zh-CN"/>
        </w:rPr>
      </w:pPr>
    </w:p>
    <w:p w14:paraId="326EA445">
      <w:pPr>
        <w:keepNext w:val="0"/>
        <w:keepLines w:val="0"/>
        <w:pageBreakBefore w:val="0"/>
        <w:widowControl w:val="0"/>
        <w:kinsoku/>
        <w:wordWrap/>
        <w:overflowPunct/>
        <w:topLinePunct w:val="0"/>
        <w:bidi w:val="0"/>
        <w:adjustRightInd/>
        <w:snapToGrid/>
        <w:spacing w:line="360" w:lineRule="auto"/>
        <w:textAlignment w:val="auto"/>
        <w:rPr>
          <w:rFonts w:hint="eastAsia" w:asciiTheme="majorEastAsia" w:hAnsiTheme="majorEastAsia" w:eastAsiaTheme="majorEastAsia" w:cstheme="majorEastAsia"/>
          <w:b w:val="0"/>
          <w:bCs w:val="0"/>
          <w:color w:val="auto"/>
          <w:sz w:val="28"/>
          <w:szCs w:val="28"/>
          <w:lang w:val="en-US" w:eastAsia="zh-CN"/>
        </w:rPr>
      </w:pPr>
      <w:r>
        <w:rPr>
          <w:rFonts w:hint="eastAsia" w:asciiTheme="majorEastAsia" w:hAnsiTheme="majorEastAsia" w:eastAsiaTheme="majorEastAsia" w:cstheme="majorEastAsia"/>
          <w:b w:val="0"/>
          <w:bCs w:val="0"/>
          <w:color w:val="auto"/>
          <w:sz w:val="28"/>
          <w:szCs w:val="28"/>
          <w:lang w:val="en-US" w:eastAsia="zh-CN"/>
        </w:rPr>
        <w:br w:type="page"/>
      </w:r>
    </w:p>
    <w:p w14:paraId="5DBCA660">
      <w:pPr>
        <w:overflowPunct w:val="0"/>
        <w:autoSpaceDE w:val="0"/>
        <w:autoSpaceDN w:val="0"/>
        <w:adjustRightInd w:val="0"/>
        <w:snapToGrid w:val="0"/>
        <w:spacing w:line="360" w:lineRule="auto"/>
        <w:ind w:left="-359" w:leftChars="-171" w:firstLine="476" w:firstLineChars="170"/>
        <w:jc w:val="center"/>
        <w:rPr>
          <w:rFonts w:hint="eastAsia" w:ascii="宋体" w:hAnsi="宋体" w:cs="宋体"/>
          <w:b w:val="0"/>
          <w:bCs w:val="0"/>
          <w:color w:val="auto"/>
          <w:sz w:val="28"/>
          <w:szCs w:val="28"/>
        </w:rPr>
      </w:pPr>
      <w:r>
        <w:rPr>
          <w:rFonts w:hint="eastAsia" w:ascii="宋体" w:hAnsi="宋体" w:cs="宋体"/>
          <w:b w:val="0"/>
          <w:bCs w:val="0"/>
          <w:color w:val="auto"/>
          <w:sz w:val="28"/>
          <w:szCs w:val="28"/>
          <w:lang w:val="en-US" w:eastAsia="zh-CN"/>
        </w:rPr>
        <w:t>六、</w:t>
      </w:r>
      <w:r>
        <w:rPr>
          <w:rFonts w:hint="eastAsia" w:ascii="宋体" w:hAnsi="宋体" w:cs="宋体"/>
          <w:b w:val="0"/>
          <w:bCs w:val="0"/>
          <w:color w:val="auto"/>
          <w:sz w:val="28"/>
          <w:szCs w:val="28"/>
        </w:rPr>
        <w:t>废标条</w:t>
      </w:r>
      <w:r>
        <w:rPr>
          <w:rFonts w:hint="eastAsia" w:ascii="宋体" w:hAnsi="宋体" w:cs="宋体"/>
          <w:b w:val="0"/>
          <w:bCs w:val="0"/>
          <w:color w:val="auto"/>
          <w:sz w:val="28"/>
          <w:szCs w:val="28"/>
          <w:lang w:val="en-US" w:eastAsia="zh-CN"/>
        </w:rPr>
        <w:t>款</w:t>
      </w:r>
    </w:p>
    <w:p w14:paraId="668AF8BA">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B1.开标废标条件</w:t>
      </w:r>
    </w:p>
    <w:p w14:paraId="46FE0B82">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投标人或其投标文件有下列情形之一的，其投标作无效标处理：</w:t>
      </w:r>
    </w:p>
    <w:p w14:paraId="53413243">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B1.1投标文件未按本招标文件要求送达的；</w:t>
      </w:r>
    </w:p>
    <w:p w14:paraId="02A37776">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B1.2投标人的法定代表人或委托代理人未按本招标文件规定时间参加开标会议的；</w:t>
      </w:r>
    </w:p>
    <w:p w14:paraId="29E84FB0">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B1.3投标文件的包封套未按招标文件要求密封、标识和签署的（重复标记和签署的除外）；或者包封套破损严重并且足以看见投标文件封面所有内容的；</w:t>
      </w:r>
    </w:p>
    <w:p w14:paraId="40E2C32D">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B1.4投标人参会代表应出示的证件不齐或证件无效的；</w:t>
      </w:r>
    </w:p>
    <w:p w14:paraId="4A05114B">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B1.5投标人的投标总价超过已公布的最高投标限价（招标控制价）及其他相应价格的；</w:t>
      </w:r>
    </w:p>
    <w:p w14:paraId="0BE65150">
      <w:pPr>
        <w:overflowPunct w:val="0"/>
        <w:autoSpaceDE w:val="0"/>
        <w:autoSpaceDN w:val="0"/>
        <w:adjustRightInd w:val="0"/>
        <w:snapToGrid w:val="0"/>
        <w:spacing w:line="360" w:lineRule="auto"/>
        <w:rPr>
          <w:rFonts w:hint="eastAsia" w:ascii="宋体" w:hAnsi="宋体"/>
          <w:b w:val="0"/>
          <w:bCs w:val="0"/>
          <w:color w:val="auto"/>
          <w:sz w:val="28"/>
          <w:szCs w:val="28"/>
        </w:rPr>
      </w:pPr>
      <w:r>
        <w:rPr>
          <w:rFonts w:hint="eastAsia" w:ascii="宋体" w:hAnsi="宋体" w:cs="宋体"/>
          <w:b w:val="0"/>
          <w:bCs w:val="0"/>
          <w:color w:val="auto"/>
          <w:sz w:val="28"/>
          <w:szCs w:val="28"/>
        </w:rPr>
        <w:t>B1.6</w:t>
      </w:r>
      <w:r>
        <w:rPr>
          <w:rFonts w:hint="eastAsia" w:ascii="宋体" w:hAnsi="宋体" w:cs="宋体"/>
          <w:b w:val="0"/>
          <w:bCs w:val="0"/>
          <w:color w:val="auto"/>
          <w:sz w:val="28"/>
          <w:szCs w:val="28"/>
          <w:shd w:val="clear" w:color="auto" w:fill="FFFFFF"/>
        </w:rPr>
        <w:t>投标截止时间当天，</w:t>
      </w:r>
      <w:r>
        <w:rPr>
          <w:rFonts w:hint="eastAsia" w:ascii="宋体" w:hAnsi="宋体"/>
          <w:b w:val="0"/>
          <w:bCs w:val="0"/>
          <w:color w:val="auto"/>
          <w:sz w:val="28"/>
          <w:szCs w:val="28"/>
        </w:rPr>
        <w:t>提供供应商在“信用中国”网站（www.creditchina.gov.cn）和中国政府采购网（www.ccgp.gov.cn）查询（提供网页截图，截图需显示有无黑名单项）。投标供应商须没有不良信用记录，若有则视为无效投标。不良信用记录是指供应商被列入失信被执行人、重大税收违法案件当事人名单、政府采购严重违法失信行为记录名单。</w:t>
      </w:r>
    </w:p>
    <w:p w14:paraId="0AACBFA6">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B2.评标废标条件</w:t>
      </w:r>
    </w:p>
    <w:p w14:paraId="7B7E422A">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投标人或其投标文件有下列情形之一的，其投标作废标处理：</w:t>
      </w:r>
    </w:p>
    <w:p w14:paraId="6713BBF4">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B2.1“投标人须知”项规定的任何一种情形的；</w:t>
      </w:r>
    </w:p>
    <w:p w14:paraId="28338060">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B2.2投标函的投标价格采用手写或作修改的；</w:t>
      </w:r>
    </w:p>
    <w:p w14:paraId="738CE128">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B2.3不按评标委员会要求澄清、说明或补正的；</w:t>
      </w:r>
    </w:p>
    <w:p w14:paraId="1E1B8286">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B2.4在形式评审、资格评审（适用于未进行资格预审的）、响应性评审中，评标委员会认定投标人的投标不符合评标办法前附表中规定的任何一项评审标准的（资格评审中的其他要求，如技术负责人不符合要求的，视为该项不合格；其他如不完全符合要求作细微偏差处理）；</w:t>
      </w:r>
    </w:p>
    <w:p w14:paraId="0BC22659">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B2.5当投标人资格预审申请文件的内容发生重大变化时，其在投标文件中更新的资料，未能通过资格评审的（适用于已进行资格预审的）；</w:t>
      </w:r>
    </w:p>
    <w:p w14:paraId="716A7324">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B2.6投标文件对本招标文件需承诺内容未作出承诺的；</w:t>
      </w:r>
    </w:p>
    <w:p w14:paraId="454A60BB">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B2.7项目管理机构评审中，评标委员会认定投标人的投标未能通过此项评审的；</w:t>
      </w:r>
    </w:p>
    <w:p w14:paraId="50AE5CCE">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B2.8评标委员会认定投标人以低于成本报价竞标的；</w:t>
      </w:r>
    </w:p>
    <w:p w14:paraId="217C2B59">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B2.9评标委员会认定投标文件异常一致或投标报价呈规律性差异的；</w:t>
      </w:r>
    </w:p>
    <w:p w14:paraId="0F397466">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B2.10评标委员会认定投标人串通投标或弄虚作假或有其他违法行为的；</w:t>
      </w:r>
    </w:p>
    <w:p w14:paraId="23351F87">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B2.11招标文件中规定的其它无效标情况；</w:t>
      </w:r>
    </w:p>
    <w:p w14:paraId="2320055B">
      <w:pPr>
        <w:tabs>
          <w:tab w:val="left" w:pos="105"/>
        </w:tabs>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B2.12违反法律法规规章相关规定的。</w:t>
      </w:r>
    </w:p>
    <w:p w14:paraId="7BBC136A">
      <w:pPr>
        <w:overflowPunct w:val="0"/>
        <w:autoSpaceDE w:val="0"/>
        <w:autoSpaceDN w:val="0"/>
        <w:adjustRightInd w:val="0"/>
        <w:snapToGrid w:val="0"/>
        <w:spacing w:line="360" w:lineRule="auto"/>
        <w:ind w:left="-15" w:leftChars="-7" w:firstLine="579" w:firstLineChars="207"/>
        <w:rPr>
          <w:rFonts w:hint="eastAsia" w:ascii="宋体" w:hAnsi="宋体" w:cs="宋体"/>
          <w:b w:val="0"/>
          <w:bCs w:val="0"/>
          <w:color w:val="auto"/>
          <w:sz w:val="28"/>
          <w:szCs w:val="28"/>
        </w:rPr>
      </w:pPr>
      <w:r>
        <w:rPr>
          <w:rFonts w:hint="eastAsia" w:ascii="宋体" w:hAnsi="宋体" w:cs="宋体"/>
          <w:b w:val="0"/>
          <w:bCs w:val="0"/>
          <w:color w:val="auto"/>
          <w:sz w:val="28"/>
          <w:szCs w:val="28"/>
        </w:rPr>
        <w:t>备注：评标委员会判定为废标的投标文件，应附废标情况说明，并在评审结果告知时，向投标人公布。未在此处集中表述的和招标文件中明确的其它无效标情况，评标委员会不得作为界定废标的依据。</w:t>
      </w:r>
    </w:p>
    <w:p w14:paraId="69D3F546">
      <w:pPr>
        <w:pStyle w:val="16"/>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b w:val="0"/>
          <w:bCs w:val="0"/>
          <w:color w:val="auto"/>
          <w:sz w:val="28"/>
          <w:szCs w:val="28"/>
          <w:lang w:eastAsia="zh-CN"/>
        </w:rPr>
      </w:pPr>
    </w:p>
    <w:sectPr>
      <w:pgSz w:w="11900" w:h="16838"/>
      <w:pgMar w:top="1429" w:right="1803" w:bottom="1429" w:left="1803"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E9BBB">
    <w:pPr>
      <w:pStyle w:val="6"/>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5FAE57">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36u45AgAAc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L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UdrKv3&#10;VfcAY2hZ2OoHy2OaKJW3q0OAtEnxKFCnCjoVDxjE1LN+aeKk/3lOUU9/FM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o36u45AgAAcAQAAA4AAAAAAAAAAQAgAAAAHwEAAGRycy9lMm9Eb2Mu&#10;eG1sUEsFBgAAAAAGAAYAWQEAAMoFAAAAAA==&#10;">
              <v:fill on="f" focussize="0,0"/>
              <v:stroke on="f" weight="0.5pt"/>
              <v:imagedata o:title=""/>
              <o:lock v:ext="edit" aspectratio="f"/>
              <v:textbox inset="0mm,0mm,0mm,0mm" style="mso-fit-shape-to-text:t;">
                <w:txbxContent>
                  <w:p w14:paraId="0C5FAE57">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96815F"/>
    <w:multiLevelType w:val="singleLevel"/>
    <w:tmpl w:val="5F96815F"/>
    <w:lvl w:ilvl="0" w:tentative="0">
      <w:start w:val="1"/>
      <w:numFmt w:val="chineseCounting"/>
      <w:suff w:val="nothing"/>
      <w:lvlText w:val="%1、"/>
      <w:lvlJc w:val="left"/>
    </w:lvl>
  </w:abstractNum>
  <w:abstractNum w:abstractNumId="1">
    <w:nsid w:val="5F968390"/>
    <w:multiLevelType w:val="singleLevel"/>
    <w:tmpl w:val="5F968390"/>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MGI5OTc4OTQwZTU3NjIzZDRhZDRlOWJjZjczNWQifQ=="/>
  </w:docVars>
  <w:rsids>
    <w:rsidRoot w:val="00000000"/>
    <w:rsid w:val="000D3D28"/>
    <w:rsid w:val="009E19AD"/>
    <w:rsid w:val="01233032"/>
    <w:rsid w:val="02B12B55"/>
    <w:rsid w:val="02BA140C"/>
    <w:rsid w:val="04241BCF"/>
    <w:rsid w:val="079536C4"/>
    <w:rsid w:val="08DE4563"/>
    <w:rsid w:val="096042AE"/>
    <w:rsid w:val="09666C93"/>
    <w:rsid w:val="0A376299"/>
    <w:rsid w:val="0A677E08"/>
    <w:rsid w:val="0BFF298A"/>
    <w:rsid w:val="0E694761"/>
    <w:rsid w:val="10D64689"/>
    <w:rsid w:val="11917DCA"/>
    <w:rsid w:val="1377702F"/>
    <w:rsid w:val="13AB0C5E"/>
    <w:rsid w:val="14796B6F"/>
    <w:rsid w:val="14BA0FAF"/>
    <w:rsid w:val="150D3CB1"/>
    <w:rsid w:val="16A813E9"/>
    <w:rsid w:val="17624F1F"/>
    <w:rsid w:val="1ABF6093"/>
    <w:rsid w:val="1B7A6D88"/>
    <w:rsid w:val="1D2A357D"/>
    <w:rsid w:val="1D544F8F"/>
    <w:rsid w:val="1D902A76"/>
    <w:rsid w:val="1E283228"/>
    <w:rsid w:val="1E8772CA"/>
    <w:rsid w:val="1F7E68DE"/>
    <w:rsid w:val="1F9E4C63"/>
    <w:rsid w:val="1FAC1307"/>
    <w:rsid w:val="1FBD2C79"/>
    <w:rsid w:val="20480697"/>
    <w:rsid w:val="204A7225"/>
    <w:rsid w:val="23724FAF"/>
    <w:rsid w:val="238B5D27"/>
    <w:rsid w:val="26134073"/>
    <w:rsid w:val="26721E78"/>
    <w:rsid w:val="27E92806"/>
    <w:rsid w:val="27FF4771"/>
    <w:rsid w:val="2A98605F"/>
    <w:rsid w:val="2AC7055E"/>
    <w:rsid w:val="2AF84648"/>
    <w:rsid w:val="2C096BB6"/>
    <w:rsid w:val="2C10405C"/>
    <w:rsid w:val="2D59209C"/>
    <w:rsid w:val="2FEE7E09"/>
    <w:rsid w:val="3070549E"/>
    <w:rsid w:val="308B2DA4"/>
    <w:rsid w:val="30907A34"/>
    <w:rsid w:val="30AA2D6E"/>
    <w:rsid w:val="31EC587A"/>
    <w:rsid w:val="33730AE6"/>
    <w:rsid w:val="34655B55"/>
    <w:rsid w:val="364A7B6C"/>
    <w:rsid w:val="37415DB1"/>
    <w:rsid w:val="37851136"/>
    <w:rsid w:val="381B61F6"/>
    <w:rsid w:val="38B20E18"/>
    <w:rsid w:val="390E36DE"/>
    <w:rsid w:val="39A62963"/>
    <w:rsid w:val="3A580622"/>
    <w:rsid w:val="419D1387"/>
    <w:rsid w:val="41AB62FD"/>
    <w:rsid w:val="45225DFA"/>
    <w:rsid w:val="453C0257"/>
    <w:rsid w:val="48222C06"/>
    <w:rsid w:val="487C4DAB"/>
    <w:rsid w:val="48DA0256"/>
    <w:rsid w:val="48F556A7"/>
    <w:rsid w:val="497E6F1C"/>
    <w:rsid w:val="49A44E19"/>
    <w:rsid w:val="4A2166CA"/>
    <w:rsid w:val="4C122079"/>
    <w:rsid w:val="4D1A37CB"/>
    <w:rsid w:val="4D557CF4"/>
    <w:rsid w:val="4D8E39E3"/>
    <w:rsid w:val="4E111340"/>
    <w:rsid w:val="4EA948A0"/>
    <w:rsid w:val="5364270C"/>
    <w:rsid w:val="53F13B27"/>
    <w:rsid w:val="554C21E5"/>
    <w:rsid w:val="562854B2"/>
    <w:rsid w:val="56F8450C"/>
    <w:rsid w:val="57AD5BE2"/>
    <w:rsid w:val="588D419D"/>
    <w:rsid w:val="58F15732"/>
    <w:rsid w:val="59E7087A"/>
    <w:rsid w:val="5A2A4A02"/>
    <w:rsid w:val="5A6933E7"/>
    <w:rsid w:val="5B165312"/>
    <w:rsid w:val="5C2F570E"/>
    <w:rsid w:val="5C556E1D"/>
    <w:rsid w:val="5D57463A"/>
    <w:rsid w:val="5D985254"/>
    <w:rsid w:val="5EBE4E95"/>
    <w:rsid w:val="5EF7693F"/>
    <w:rsid w:val="5F586592"/>
    <w:rsid w:val="603E67DA"/>
    <w:rsid w:val="60651A13"/>
    <w:rsid w:val="61A50D7B"/>
    <w:rsid w:val="625F2C2D"/>
    <w:rsid w:val="62A03C6A"/>
    <w:rsid w:val="62A423D7"/>
    <w:rsid w:val="62DA1D5D"/>
    <w:rsid w:val="653C22DD"/>
    <w:rsid w:val="657304D5"/>
    <w:rsid w:val="658F6E2F"/>
    <w:rsid w:val="65ED39B9"/>
    <w:rsid w:val="65F12EEF"/>
    <w:rsid w:val="65F357CD"/>
    <w:rsid w:val="66717AFA"/>
    <w:rsid w:val="67794D08"/>
    <w:rsid w:val="67DD0AC3"/>
    <w:rsid w:val="68726A90"/>
    <w:rsid w:val="693276B8"/>
    <w:rsid w:val="694E67AE"/>
    <w:rsid w:val="6A39605F"/>
    <w:rsid w:val="6A46218F"/>
    <w:rsid w:val="6A700E41"/>
    <w:rsid w:val="6C4D3505"/>
    <w:rsid w:val="6C710306"/>
    <w:rsid w:val="6DD309F1"/>
    <w:rsid w:val="6DFA4688"/>
    <w:rsid w:val="6EA67765"/>
    <w:rsid w:val="6F257EDB"/>
    <w:rsid w:val="6F585C7A"/>
    <w:rsid w:val="70F763D8"/>
    <w:rsid w:val="71703D68"/>
    <w:rsid w:val="72B0095E"/>
    <w:rsid w:val="74A077FA"/>
    <w:rsid w:val="74FB0F52"/>
    <w:rsid w:val="766F7074"/>
    <w:rsid w:val="767820BF"/>
    <w:rsid w:val="78BE65AF"/>
    <w:rsid w:val="79D91185"/>
    <w:rsid w:val="79DA230D"/>
    <w:rsid w:val="7A1D5137"/>
    <w:rsid w:val="7A9E490E"/>
    <w:rsid w:val="7B57484F"/>
    <w:rsid w:val="7CA87C25"/>
    <w:rsid w:val="7CF00D46"/>
    <w:rsid w:val="7D741090"/>
    <w:rsid w:val="7D8E7676"/>
    <w:rsid w:val="7DF72602"/>
    <w:rsid w:val="7F9E7405"/>
    <w:rsid w:val="7FA82BA5"/>
    <w:rsid w:val="7FF14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spacing w:before="54"/>
      <w:ind w:left="100"/>
      <w:jc w:val="center"/>
      <w:outlineLvl w:val="1"/>
    </w:pPr>
    <w:rPr>
      <w:rFonts w:ascii="宋体" w:hAnsi="宋体" w:eastAsia="宋体" w:cs="宋体"/>
      <w:b/>
      <w:bCs/>
      <w:sz w:val="32"/>
      <w:szCs w:val="32"/>
      <w:lang w:val="zh-CN" w:eastAsia="zh-CN" w:bidi="zh-CN"/>
    </w:rPr>
  </w:style>
  <w:style w:type="paragraph" w:styleId="4">
    <w:name w:val="heading 6"/>
    <w:basedOn w:val="1"/>
    <w:next w:val="1"/>
    <w:qFormat/>
    <w:uiPriority w:val="1"/>
    <w:pPr>
      <w:ind w:left="1785"/>
      <w:outlineLvl w:val="6"/>
    </w:pPr>
    <w:rPr>
      <w:rFonts w:ascii="宋体" w:hAnsi="宋体" w:eastAsia="宋体" w:cs="宋体"/>
      <w:b/>
      <w:bCs/>
      <w:sz w:val="24"/>
      <w:szCs w:val="24"/>
      <w:lang w:val="zh-CN" w:eastAsia="zh-CN" w:bidi="zh-CN"/>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Char Char"/>
    <w:basedOn w:val="1"/>
    <w:qFormat/>
    <w:uiPriority w:val="0"/>
    <w:pPr>
      <w:spacing w:before="240" w:beforeLines="0" w:after="60" w:afterLines="0"/>
      <w:jc w:val="center"/>
      <w:outlineLvl w:val="0"/>
    </w:pPr>
    <w:rPr>
      <w:rFonts w:ascii="Arial" w:hAnsi="Arial"/>
      <w:b/>
      <w:sz w:val="32"/>
    </w:rPr>
  </w:style>
  <w:style w:type="paragraph" w:styleId="5">
    <w:name w:val="Normal Indent"/>
    <w:basedOn w:val="1"/>
    <w:qFormat/>
    <w:uiPriority w:val="0"/>
    <w:rPr>
      <w:sz w:val="20"/>
    </w:r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oc 1"/>
    <w:basedOn w:val="1"/>
    <w:next w:val="1"/>
    <w:qFormat/>
    <w:uiPriority w:val="0"/>
    <w:pPr>
      <w:spacing w:before="3"/>
      <w:ind w:left="117"/>
    </w:pPr>
    <w:rPr>
      <w:rFonts w:ascii="宋体" w:hAnsi="宋体" w:eastAsia="宋体" w:cs="宋体"/>
      <w:sz w:val="28"/>
      <w:szCs w:val="28"/>
      <w:lang w:val="zh-CN" w:eastAsia="zh-CN" w:bidi="zh-CN"/>
    </w:r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NormalIndent"/>
    <w:basedOn w:val="1"/>
    <w:next w:val="16"/>
    <w:qFormat/>
    <w:uiPriority w:val="0"/>
    <w:pPr>
      <w:jc w:val="left"/>
    </w:pPr>
    <w:rPr>
      <w:kern w:val="1"/>
      <w:szCs w:val="24"/>
      <w:lang w:eastAsia="ar-SA"/>
    </w:rPr>
  </w:style>
  <w:style w:type="paragraph" w:customStyle="1" w:styleId="16">
    <w:name w:val="UserStyle_10"/>
    <w:qFormat/>
    <w:uiPriority w:val="0"/>
    <w:rPr>
      <w:rFonts w:ascii="Arial" w:hAnsi="Arial" w:eastAsia="宋体" w:cs="Times New Roman"/>
      <w:color w:val="000000"/>
      <w:sz w:val="24"/>
      <w:szCs w:val="24"/>
      <w:lang w:val="en-US" w:eastAsia="zh-CN" w:bidi="ar-SA"/>
    </w:rPr>
  </w:style>
  <w:style w:type="paragraph" w:customStyle="1" w:styleId="17">
    <w:name w:val="_Style 4"/>
    <w:basedOn w:val="3"/>
    <w:next w:val="1"/>
    <w:qFormat/>
    <w:uiPriority w:val="39"/>
    <w:pPr>
      <w:keepLines/>
      <w:widowControl/>
      <w:spacing w:before="480" w:line="276" w:lineRule="auto"/>
      <w:jc w:val="left"/>
      <w:outlineLvl w:val="9"/>
    </w:pPr>
    <w:rPr>
      <w:rFonts w:ascii="Cambria" w:hAnsi="Cambria" w:eastAsia="宋体" w:cs="Times New Roman"/>
      <w:color w:val="365F91"/>
      <w:kern w:val="0"/>
      <w:szCs w:val="28"/>
    </w:rPr>
  </w:style>
  <w:style w:type="paragraph" w:customStyle="1" w:styleId="18">
    <w:name w:val="Table Paragraph"/>
    <w:basedOn w:val="1"/>
    <w:qFormat/>
    <w:uiPriority w:val="1"/>
    <w:rPr>
      <w:rFonts w:ascii="宋体" w:hAnsi="宋体" w:eastAsia="宋体" w:cs="宋体"/>
      <w:lang w:val="zh-CN" w:eastAsia="zh-CN" w:bidi="zh-CN"/>
    </w:rPr>
  </w:style>
  <w:style w:type="paragraph" w:customStyle="1" w:styleId="19">
    <w:name w:val="List Paragraph"/>
    <w:basedOn w:val="1"/>
    <w:qFormat/>
    <w:uiPriority w:val="1"/>
    <w:pPr>
      <w:ind w:left="117" w:hanging="242"/>
    </w:pPr>
    <w:rPr>
      <w:rFonts w:ascii="宋体" w:hAnsi="宋体" w:eastAsia="宋体" w:cs="宋体"/>
      <w:lang w:val="zh-CN" w:eastAsia="zh-CN" w:bidi="zh-CN"/>
    </w:rPr>
  </w:style>
  <w:style w:type="character" w:customStyle="1" w:styleId="20">
    <w:name w:val="标题1 Char"/>
    <w:qFormat/>
    <w:uiPriority w:val="0"/>
    <w:rPr>
      <w:rFonts w:ascii="宋体" w:hAnsi="Courier New" w:eastAsia="宋体"/>
      <w:kern w:val="2"/>
      <w:sz w:val="21"/>
      <w:lang w:val="en-US" w:eastAsia="zh-CN" w:bidi="ar-SA"/>
    </w:rPr>
  </w:style>
  <w:style w:type="character" w:customStyle="1" w:styleId="21">
    <w:name w:val="fontstyle01"/>
    <w:basedOn w:val="13"/>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2861</Words>
  <Characters>3045</Characters>
  <Lines>0</Lines>
  <Paragraphs>0</Paragraphs>
  <TotalTime>3</TotalTime>
  <ScaleCrop>false</ScaleCrop>
  <LinksUpToDate>false</LinksUpToDate>
  <CharactersWithSpaces>3105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2020-08-24T06:40:00Z</dcterms:created>
  <dc:creator>Administrator</dc:creator>
  <cp:lastModifiedBy>阿权</cp:lastModifiedBy>
  <dcterms:modified xsi:type="dcterms:W3CDTF">2025-08-21T00:28:10Z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AF6935EF2D3C4AE2BBD44A0F6F2BA98E</vt:lpwstr>
  </property>
  <property fmtid="{D5CDD505-2E9C-101B-9397-08002B2CF9AE}" pid="4" name="KSOTemplateDocerSaveRecord">
    <vt:lpwstr>eyJoZGlkIjoiOTE1MGI5OTc4OTQwZTU3NjIzZDRhZDRlOWJjZjczNWQiLCJ1c2VySWQiOiI0MTAzMzg1NDgifQ==</vt:lpwstr>
  </property>
</Properties>
</file>