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F3EFB4">
      <w:pPr>
        <w:spacing w:line="920" w:lineRule="exact"/>
        <w:jc w:val="center"/>
        <w:rPr>
          <w:rFonts w:ascii="宋体" w:hAnsi="宋体" w:cs="宋体"/>
          <w:b/>
          <w:bCs/>
          <w:color w:val="000000"/>
          <w:sz w:val="48"/>
          <w:szCs w:val="48"/>
          <w:lang w:val="zh-CN"/>
        </w:rPr>
      </w:pPr>
    </w:p>
    <w:p w14:paraId="41AAC57F">
      <w:pPr>
        <w:spacing w:line="360" w:lineRule="auto"/>
        <w:jc w:val="center"/>
        <w:rPr>
          <w:rFonts w:hint="eastAsia" w:ascii="宋体" w:hAnsi="宋体" w:cs="宋体"/>
          <w:b/>
          <w:bCs/>
          <w:color w:val="000000"/>
          <w:sz w:val="48"/>
          <w:szCs w:val="48"/>
          <w:lang w:val="en-US" w:eastAsia="zh-CN"/>
        </w:rPr>
      </w:pPr>
      <w:r>
        <w:rPr>
          <w:rFonts w:hint="eastAsia" w:ascii="宋体" w:hAnsi="宋体" w:cs="宋体"/>
          <w:b/>
          <w:bCs/>
          <w:color w:val="000000"/>
          <w:sz w:val="48"/>
          <w:szCs w:val="48"/>
          <w:lang w:val="en-US" w:eastAsia="zh-CN"/>
        </w:rPr>
        <w:t>中交第二公路工程局有限公司枣庄翼云机场快速路施工总承包项目经理部</w:t>
      </w:r>
    </w:p>
    <w:p w14:paraId="55706AC5">
      <w:pPr>
        <w:spacing w:line="360" w:lineRule="auto"/>
        <w:jc w:val="center"/>
        <w:rPr>
          <w:rFonts w:ascii="宋体" w:hAnsi="宋体" w:cs="宋体"/>
          <w:b/>
          <w:bCs/>
          <w:color w:val="000000"/>
          <w:sz w:val="48"/>
          <w:szCs w:val="48"/>
          <w:lang w:val="zh-CN" w:eastAsia="zh-CN"/>
        </w:rPr>
      </w:pPr>
      <w:r>
        <w:rPr>
          <w:rFonts w:hint="eastAsia" w:ascii="宋体" w:hAnsi="宋体" w:cs="宋体"/>
          <w:b/>
          <w:bCs/>
          <w:color w:val="000000"/>
          <w:sz w:val="48"/>
          <w:szCs w:val="48"/>
          <w:lang w:val="en-US" w:eastAsia="zh-CN"/>
        </w:rPr>
        <w:t>水泥涵管公开询价</w:t>
      </w:r>
      <w:r>
        <w:rPr>
          <w:rFonts w:hint="eastAsia" w:ascii="宋体" w:hAnsi="宋体" w:cs="宋体"/>
          <w:b/>
          <w:bCs/>
          <w:color w:val="000000"/>
          <w:sz w:val="48"/>
          <w:szCs w:val="48"/>
          <w:lang w:val="zh-CN" w:eastAsia="zh-CN"/>
        </w:rPr>
        <w:t>文件</w:t>
      </w:r>
    </w:p>
    <w:p w14:paraId="1E415145">
      <w:pPr>
        <w:pStyle w:val="14"/>
        <w:rPr>
          <w:rFonts w:hAnsi="宋体"/>
          <w:b/>
          <w:bCs/>
        </w:rPr>
      </w:pPr>
    </w:p>
    <w:p w14:paraId="2C1404DE">
      <w:pPr>
        <w:pStyle w:val="14"/>
        <w:ind w:firstLine="2240" w:firstLineChars="700"/>
        <w:rPr>
          <w:rFonts w:hint="eastAsia" w:hAnsi="宋体" w:eastAsia="宋体"/>
          <w:b/>
          <w:bCs/>
          <w:sz w:val="32"/>
          <w:szCs w:val="32"/>
          <w:lang w:eastAsia="zh-CN"/>
        </w:rPr>
      </w:pPr>
      <w:r>
        <w:rPr>
          <w:rFonts w:hint="eastAsia" w:hAnsi="宋体"/>
          <w:b/>
          <w:bCs/>
          <w:sz w:val="32"/>
          <w:szCs w:val="32"/>
          <w:lang w:eastAsia="zh-CN"/>
        </w:rPr>
        <w:t>询价</w:t>
      </w:r>
      <w:r>
        <w:rPr>
          <w:rFonts w:hint="eastAsia" w:hAnsi="宋体"/>
          <w:b/>
          <w:bCs/>
          <w:sz w:val="32"/>
          <w:szCs w:val="32"/>
        </w:rPr>
        <w:t>编号：</w:t>
      </w:r>
    </w:p>
    <w:p w14:paraId="780EBDBE">
      <w:pPr>
        <w:spacing w:line="360" w:lineRule="auto"/>
        <w:rPr>
          <w:rFonts w:ascii="宋体" w:hAnsi="宋体"/>
          <w:lang w:eastAsia="zh-CN"/>
        </w:rPr>
      </w:pPr>
      <w:r>
        <w:rPr>
          <w:rFonts w:hint="eastAsia" w:ascii="宋体" w:hAnsi="宋体" w:cs="宋体"/>
          <w:b/>
          <w:bCs/>
        </w:rPr>
        <w:drawing>
          <wp:anchor distT="0" distB="0" distL="114300" distR="114300" simplePos="0" relativeHeight="251660288" behindDoc="0" locked="0" layoutInCell="1" allowOverlap="1">
            <wp:simplePos x="0" y="0"/>
            <wp:positionH relativeFrom="column">
              <wp:posOffset>1621155</wp:posOffset>
            </wp:positionH>
            <wp:positionV relativeFrom="paragraph">
              <wp:posOffset>217170</wp:posOffset>
            </wp:positionV>
            <wp:extent cx="2550160" cy="2918460"/>
            <wp:effectExtent l="0" t="0" r="10160" b="762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stretch>
                      <a:fillRect/>
                    </a:stretch>
                  </pic:blipFill>
                  <pic:spPr>
                    <a:xfrm>
                      <a:off x="0" y="0"/>
                      <a:ext cx="2550160" cy="2918460"/>
                    </a:xfrm>
                    <a:prstGeom prst="rect">
                      <a:avLst/>
                    </a:prstGeom>
                    <a:noFill/>
                    <a:ln w="9525">
                      <a:noFill/>
                      <a:miter/>
                    </a:ln>
                    <a:effectLst/>
                  </pic:spPr>
                </pic:pic>
              </a:graphicData>
            </a:graphic>
          </wp:anchor>
        </w:drawing>
      </w:r>
    </w:p>
    <w:p w14:paraId="0378B4F0">
      <w:pPr>
        <w:pStyle w:val="2"/>
        <w:rPr>
          <w:rFonts w:ascii="宋体" w:hAnsi="宋体"/>
          <w:lang w:eastAsia="zh-CN"/>
        </w:rPr>
      </w:pPr>
    </w:p>
    <w:p w14:paraId="61D1498A">
      <w:pPr>
        <w:rPr>
          <w:rFonts w:ascii="宋体" w:hAnsi="宋体"/>
          <w:lang w:eastAsia="zh-CN"/>
        </w:rPr>
      </w:pPr>
    </w:p>
    <w:p w14:paraId="73139D40">
      <w:pPr>
        <w:pStyle w:val="2"/>
        <w:rPr>
          <w:rFonts w:ascii="宋体" w:hAnsi="宋体"/>
          <w:lang w:eastAsia="zh-CN"/>
        </w:rPr>
      </w:pPr>
    </w:p>
    <w:p w14:paraId="220DA421">
      <w:pPr>
        <w:rPr>
          <w:rFonts w:ascii="宋体" w:hAnsi="宋体"/>
          <w:lang w:eastAsia="zh-CN"/>
        </w:rPr>
      </w:pPr>
    </w:p>
    <w:p w14:paraId="156B589A">
      <w:pPr>
        <w:pStyle w:val="2"/>
        <w:rPr>
          <w:rFonts w:ascii="宋体" w:hAnsi="宋体"/>
          <w:lang w:eastAsia="zh-CN"/>
        </w:rPr>
      </w:pPr>
    </w:p>
    <w:p w14:paraId="2ABBA80B">
      <w:pPr>
        <w:rPr>
          <w:rFonts w:ascii="宋体" w:hAnsi="宋体"/>
          <w:lang w:eastAsia="zh-CN"/>
        </w:rPr>
      </w:pPr>
    </w:p>
    <w:p w14:paraId="4554E37E">
      <w:pPr>
        <w:pStyle w:val="2"/>
        <w:rPr>
          <w:lang w:eastAsia="zh-CN"/>
        </w:rPr>
      </w:pPr>
    </w:p>
    <w:p w14:paraId="4996393F">
      <w:pPr>
        <w:pStyle w:val="14"/>
      </w:pPr>
    </w:p>
    <w:p w14:paraId="518380B9">
      <w:pPr>
        <w:pStyle w:val="14"/>
      </w:pPr>
    </w:p>
    <w:p w14:paraId="7686A915">
      <w:pPr>
        <w:pStyle w:val="14"/>
      </w:pPr>
    </w:p>
    <w:p w14:paraId="4F17AA07">
      <w:pPr>
        <w:ind w:left="1958" w:leftChars="381" w:right="-20" w:hanging="1120" w:hangingChars="400"/>
        <w:rPr>
          <w:rFonts w:ascii="宋体" w:hAnsi="宋体" w:cs="宋体"/>
          <w:sz w:val="28"/>
          <w:szCs w:val="21"/>
          <w:u w:val="single"/>
          <w:lang w:eastAsia="zh-CN"/>
        </w:rPr>
      </w:pPr>
      <w:r>
        <w:rPr>
          <w:rFonts w:hint="eastAsia" w:ascii="宋体" w:hAnsi="宋体" w:cs="宋体"/>
          <w:sz w:val="28"/>
          <w:szCs w:val="21"/>
          <w:lang w:eastAsia="zh-CN"/>
        </w:rPr>
        <w:t>询价人：</w:t>
      </w:r>
      <w:r>
        <w:rPr>
          <w:rFonts w:hint="eastAsia" w:ascii="宋体" w:hAnsi="宋体" w:cs="宋体"/>
          <w:sz w:val="28"/>
          <w:szCs w:val="21"/>
          <w:u w:val="single"/>
          <w:lang w:eastAsia="zh-CN"/>
        </w:rPr>
        <w:t>中交第二公路工程局有限公司</w:t>
      </w:r>
      <w:r>
        <w:rPr>
          <w:rFonts w:hint="eastAsia" w:ascii="宋体" w:hAnsi="宋体" w:cs="宋体"/>
          <w:sz w:val="28"/>
          <w:szCs w:val="21"/>
          <w:u w:val="single"/>
          <w:lang w:val="en-US" w:eastAsia="zh-CN"/>
        </w:rPr>
        <w:t>枣庄翼云机场快速路</w:t>
      </w:r>
      <w:r>
        <w:rPr>
          <w:rFonts w:hint="eastAsia" w:ascii="宋体" w:hAnsi="宋体" w:cs="宋体"/>
          <w:sz w:val="28"/>
          <w:szCs w:val="21"/>
          <w:u w:val="single"/>
          <w:lang w:eastAsia="zh-CN"/>
        </w:rPr>
        <w:t>施工总承包项目经理部</w:t>
      </w:r>
    </w:p>
    <w:p w14:paraId="5515D766">
      <w:pPr>
        <w:ind w:left="2798" w:leftChars="381" w:right="-20" w:hanging="1960" w:hangingChars="700"/>
        <w:rPr>
          <w:rFonts w:hint="eastAsia" w:ascii="宋体" w:hAnsi="宋体" w:cs="宋体"/>
          <w:sz w:val="28"/>
          <w:szCs w:val="21"/>
          <w:u w:val="single"/>
          <w:lang w:eastAsia="zh-CN"/>
        </w:rPr>
      </w:pPr>
      <w:r>
        <w:rPr>
          <w:rFonts w:hint="eastAsia" w:ascii="宋体" w:hAnsi="宋体" w:cs="宋体"/>
          <w:sz w:val="28"/>
          <w:szCs w:val="21"/>
          <w:lang w:eastAsia="zh-CN"/>
        </w:rPr>
        <w:t>询价组</w:t>
      </w:r>
      <w:r>
        <w:rPr>
          <w:rFonts w:hint="eastAsia" w:ascii="宋体" w:hAnsi="宋体" w:cs="宋体"/>
          <w:spacing w:val="3"/>
          <w:sz w:val="28"/>
          <w:szCs w:val="21"/>
          <w:lang w:eastAsia="zh-CN"/>
        </w:rPr>
        <w:t>织</w:t>
      </w:r>
      <w:r>
        <w:rPr>
          <w:rFonts w:hint="eastAsia" w:ascii="宋体" w:hAnsi="宋体" w:cs="宋体"/>
          <w:sz w:val="28"/>
          <w:szCs w:val="21"/>
          <w:lang w:eastAsia="zh-CN"/>
        </w:rPr>
        <w:t>机构：</w:t>
      </w:r>
      <w:r>
        <w:rPr>
          <w:rFonts w:hint="eastAsia" w:ascii="宋体" w:hAnsi="宋体" w:cs="宋体"/>
          <w:sz w:val="28"/>
          <w:szCs w:val="21"/>
          <w:u w:val="single"/>
          <w:lang w:eastAsia="zh-CN"/>
        </w:rPr>
        <w:t>中交第二公路工程局有限公司</w:t>
      </w:r>
      <w:r>
        <w:rPr>
          <w:rFonts w:hint="eastAsia" w:ascii="宋体" w:hAnsi="宋体" w:cs="宋体"/>
          <w:sz w:val="28"/>
          <w:szCs w:val="21"/>
          <w:u w:val="single"/>
          <w:lang w:val="en-US" w:eastAsia="zh-CN"/>
        </w:rPr>
        <w:t>枣庄翼云机场快速路</w:t>
      </w:r>
      <w:r>
        <w:rPr>
          <w:rFonts w:hint="eastAsia" w:ascii="宋体" w:hAnsi="宋体" w:cs="宋体"/>
          <w:sz w:val="28"/>
          <w:szCs w:val="21"/>
          <w:u w:val="single"/>
          <w:lang w:eastAsia="zh-CN"/>
        </w:rPr>
        <w:t>施工总承包项目经理部</w:t>
      </w:r>
    </w:p>
    <w:p w14:paraId="7D4E1121">
      <w:pPr>
        <w:ind w:left="3071" w:leftChars="1396" w:right="-20" w:firstLine="0" w:firstLineChars="0"/>
        <w:rPr>
          <w:rFonts w:hint="default" w:hAnsi="宋体"/>
          <w:w w:val="99"/>
          <w:position w:val="-3"/>
          <w:sz w:val="32"/>
          <w:lang w:val="en-US"/>
        </w:rPr>
      </w:pPr>
      <w:r>
        <w:rPr>
          <w:rFonts w:hint="eastAsia" w:ascii="宋体" w:hAnsi="宋体" w:cs="宋体"/>
          <w:spacing w:val="3"/>
          <w:w w:val="99"/>
          <w:position w:val="-3"/>
          <w:sz w:val="32"/>
          <w:lang w:eastAsia="zh-CN"/>
        </w:rPr>
        <w:t>二〇二</w:t>
      </w:r>
      <w:r>
        <w:rPr>
          <w:rFonts w:hint="eastAsia" w:ascii="宋体" w:hAnsi="宋体" w:cs="宋体"/>
          <w:spacing w:val="3"/>
          <w:w w:val="99"/>
          <w:position w:val="-3"/>
          <w:sz w:val="32"/>
          <w:lang w:val="en-US" w:eastAsia="zh-CN"/>
        </w:rPr>
        <w:t>五</w:t>
      </w:r>
      <w:r>
        <w:rPr>
          <w:rFonts w:hint="eastAsia" w:ascii="宋体" w:hAnsi="宋体" w:cs="宋体"/>
          <w:spacing w:val="3"/>
          <w:w w:val="99"/>
          <w:position w:val="-3"/>
          <w:sz w:val="32"/>
          <w:lang w:eastAsia="zh-CN"/>
        </w:rPr>
        <w:t>年</w:t>
      </w:r>
      <w:r>
        <w:rPr>
          <w:rFonts w:hint="eastAsia" w:ascii="宋体" w:hAnsi="宋体" w:cs="宋体"/>
          <w:spacing w:val="3"/>
          <w:w w:val="99"/>
          <w:position w:val="-3"/>
          <w:sz w:val="32"/>
          <w:lang w:val="en-US" w:eastAsia="zh-CN"/>
        </w:rPr>
        <w:t>三月</w:t>
      </w:r>
    </w:p>
    <w:p w14:paraId="182C4C75">
      <w:pPr>
        <w:spacing w:line="379" w:lineRule="exact"/>
        <w:ind w:right="3419"/>
        <w:jc w:val="both"/>
        <w:rPr>
          <w:rFonts w:hAnsi="宋体"/>
          <w:w w:val="99"/>
          <w:position w:val="-3"/>
          <w:sz w:val="32"/>
        </w:rPr>
      </w:pPr>
      <w:r>
        <w:rPr>
          <w:rFonts w:hint="eastAsia" w:ascii="宋体" w:hAnsi="宋体" w:cs="宋体"/>
          <w:spacing w:val="3"/>
          <w:w w:val="99"/>
          <w:position w:val="-3"/>
          <w:sz w:val="32"/>
          <w:lang w:eastAsia="zh-CN"/>
        </w:rPr>
        <w:t xml:space="preserve">    </w:t>
      </w:r>
    </w:p>
    <w:p w14:paraId="7E41363E">
      <w:pPr>
        <w:pStyle w:val="15"/>
        <w:numPr>
          <w:ilvl w:val="0"/>
          <w:numId w:val="1"/>
        </w:numPr>
        <w:spacing w:line="440" w:lineRule="exact"/>
        <w:ind w:firstLineChars="0"/>
        <w:jc w:val="center"/>
        <w:outlineLvl w:val="0"/>
        <w:rPr>
          <w:rFonts w:ascii="宋体" w:hAnsi="宋体"/>
          <w:b/>
          <w:sz w:val="32"/>
          <w:lang w:eastAsia="zh-CN"/>
        </w:rPr>
      </w:pPr>
      <w:bookmarkStart w:id="0" w:name="_Toc498360201"/>
      <w:bookmarkStart w:id="1" w:name="_Toc11345"/>
      <w:r>
        <w:rPr>
          <w:rFonts w:hint="eastAsia" w:ascii="宋体" w:hAnsi="宋体"/>
          <w:b/>
          <w:sz w:val="32"/>
          <w:lang w:val="en-US" w:eastAsia="zh-CN"/>
        </w:rPr>
        <w:t>水泥涵管公开</w:t>
      </w:r>
      <w:r>
        <w:rPr>
          <w:rFonts w:hint="eastAsia" w:ascii="宋体" w:hAnsi="宋体"/>
          <w:b/>
          <w:sz w:val="32"/>
          <w:lang w:eastAsia="zh-CN"/>
        </w:rPr>
        <w:t>询价公告</w:t>
      </w:r>
      <w:bookmarkEnd w:id="0"/>
      <w:bookmarkEnd w:id="1"/>
    </w:p>
    <w:p w14:paraId="7FF2416C">
      <w:pPr>
        <w:tabs>
          <w:tab w:val="center" w:pos="4153"/>
        </w:tabs>
        <w:spacing w:line="440" w:lineRule="exact"/>
        <w:jc w:val="center"/>
        <w:rPr>
          <w:rFonts w:hint="eastAsia" w:ascii="宋体" w:hAnsi="宋体" w:cs="宋体"/>
          <w:b/>
          <w:w w:val="95"/>
          <w:sz w:val="24"/>
          <w:lang w:eastAsia="zh-CN"/>
        </w:rPr>
      </w:pPr>
      <w:bookmarkStart w:id="66" w:name="_GoBack"/>
      <w:r>
        <w:rPr>
          <w:rFonts w:hint="eastAsia" w:ascii="宋体" w:hAnsi="宋体" w:cs="宋体"/>
          <w:b/>
          <w:w w:val="95"/>
          <w:sz w:val="24"/>
          <w:lang w:eastAsia="zh-CN"/>
        </w:rPr>
        <w:t>中交第二公路工程局有限公司</w:t>
      </w:r>
      <w:r>
        <w:rPr>
          <w:rFonts w:hint="eastAsia" w:ascii="宋体" w:hAnsi="宋体" w:cs="宋体"/>
          <w:b/>
          <w:w w:val="95"/>
          <w:sz w:val="24"/>
          <w:lang w:val="en-US" w:eastAsia="zh-CN"/>
        </w:rPr>
        <w:t>枣庄翼云机场快速路</w:t>
      </w:r>
      <w:r>
        <w:rPr>
          <w:rFonts w:hint="eastAsia" w:ascii="宋体" w:hAnsi="宋体" w:cs="宋体"/>
          <w:b/>
          <w:w w:val="95"/>
          <w:sz w:val="24"/>
          <w:lang w:eastAsia="zh-CN"/>
        </w:rPr>
        <w:t>施工总承包项目经理部</w:t>
      </w:r>
    </w:p>
    <w:p w14:paraId="7DE1C105">
      <w:pPr>
        <w:tabs>
          <w:tab w:val="center" w:pos="4153"/>
        </w:tabs>
        <w:spacing w:line="440" w:lineRule="exact"/>
        <w:jc w:val="center"/>
        <w:rPr>
          <w:rFonts w:ascii="宋体" w:hAnsi="宋体" w:cs="宋体"/>
          <w:b/>
          <w:w w:val="95"/>
          <w:sz w:val="24"/>
          <w:lang w:eastAsia="zh-CN"/>
        </w:rPr>
      </w:pPr>
      <w:r>
        <w:rPr>
          <w:rFonts w:hint="eastAsia" w:ascii="宋体" w:hAnsi="宋体" w:cs="宋体"/>
          <w:b/>
          <w:w w:val="95"/>
          <w:sz w:val="24"/>
          <w:lang w:val="en-US" w:eastAsia="zh-CN"/>
        </w:rPr>
        <w:t>水泥涵管</w:t>
      </w:r>
      <w:r>
        <w:rPr>
          <w:rFonts w:hint="eastAsia" w:ascii="宋体" w:hAnsi="宋体" w:cs="宋体"/>
          <w:b/>
          <w:w w:val="95"/>
          <w:sz w:val="24"/>
          <w:lang w:eastAsia="zh-CN"/>
        </w:rPr>
        <w:t>询价公告</w:t>
      </w:r>
    </w:p>
    <w:p w14:paraId="586573E1">
      <w:pPr>
        <w:pStyle w:val="16"/>
        <w:spacing w:before="0" w:line="360" w:lineRule="exact"/>
        <w:jc w:val="both"/>
        <w:rPr>
          <w:rFonts w:ascii="宋体" w:hAnsi="宋体"/>
          <w:b/>
          <w:sz w:val="20"/>
          <w:lang w:eastAsia="zh-CN"/>
        </w:rPr>
      </w:pPr>
      <w:bookmarkStart w:id="2" w:name="_Toc32687"/>
      <w:r>
        <w:rPr>
          <w:rFonts w:hint="eastAsia" w:ascii="宋体" w:hAnsi="宋体"/>
          <w:b/>
          <w:sz w:val="20"/>
          <w:lang w:eastAsia="zh-CN"/>
        </w:rPr>
        <w:t>1. 询价条件</w:t>
      </w:r>
      <w:bookmarkEnd w:id="2"/>
    </w:p>
    <w:p w14:paraId="5EC0682D">
      <w:pPr>
        <w:pStyle w:val="17"/>
        <w:ind w:firstLine="400" w:firstLineChars="200"/>
        <w:outlineLvl w:val="9"/>
        <w:rPr>
          <w:rFonts w:ascii="宋体" w:hAnsi="宋体" w:eastAsia="宋体"/>
          <w:sz w:val="20"/>
          <w:lang w:eastAsia="zh-CN"/>
        </w:rPr>
      </w:pPr>
      <w:bookmarkStart w:id="3" w:name="_Toc31355"/>
      <w:bookmarkStart w:id="4" w:name="_Toc25735"/>
      <w:bookmarkStart w:id="5" w:name="_Toc28645"/>
      <w:bookmarkStart w:id="6" w:name="_Toc4058"/>
      <w:bookmarkStart w:id="7" w:name="_Toc14155"/>
      <w:bookmarkStart w:id="8" w:name="_Toc30613"/>
      <w:bookmarkStart w:id="9" w:name="_Toc3734"/>
      <w:bookmarkStart w:id="10" w:name="_Toc22066"/>
      <w:bookmarkStart w:id="11" w:name="_Toc11469"/>
      <w:bookmarkStart w:id="12" w:name="_Toc434329606"/>
      <w:bookmarkStart w:id="13" w:name="_Toc22738"/>
      <w:bookmarkStart w:id="14" w:name="_Toc8147"/>
      <w:r>
        <w:rPr>
          <w:rFonts w:hint="eastAsia" w:ascii="宋体" w:hAnsi="宋体" w:eastAsia="宋体"/>
          <w:sz w:val="20"/>
          <w:lang w:eastAsia="zh-CN"/>
        </w:rPr>
        <w:t>中交二公局萌兴工程有限公司接受委托为中交第二公路工程局有限公司</w:t>
      </w:r>
      <w:r>
        <w:rPr>
          <w:rFonts w:hint="eastAsia" w:ascii="宋体" w:hAnsi="宋体" w:eastAsia="宋体"/>
          <w:sz w:val="20"/>
          <w:lang w:val="en-US" w:eastAsia="zh-CN"/>
        </w:rPr>
        <w:t>枣庄翼云机场快速路</w:t>
      </w:r>
      <w:r>
        <w:rPr>
          <w:rFonts w:hint="eastAsia" w:ascii="宋体" w:hAnsi="宋体" w:eastAsia="宋体"/>
          <w:sz w:val="20"/>
          <w:lang w:eastAsia="zh-CN"/>
        </w:rPr>
        <w:t>项目施工总承包项目经理部组织本次</w:t>
      </w:r>
      <w:r>
        <w:rPr>
          <w:rFonts w:hint="eastAsia" w:ascii="宋体" w:hAnsi="宋体" w:eastAsia="宋体"/>
          <w:sz w:val="20"/>
          <w:lang w:val="en-US" w:eastAsia="zh-CN"/>
        </w:rPr>
        <w:t>水泥涵管</w:t>
      </w:r>
      <w:r>
        <w:rPr>
          <w:rFonts w:hint="eastAsia" w:ascii="宋体" w:hAnsi="宋体" w:eastAsia="宋体"/>
          <w:sz w:val="20"/>
          <w:lang w:eastAsia="zh-CN"/>
        </w:rPr>
        <w:t>价采购工作，已具备相关条件，现</w:t>
      </w:r>
      <w:r>
        <w:rPr>
          <w:rFonts w:hint="eastAsia" w:ascii="宋体" w:hAnsi="宋体" w:eastAsia="宋体"/>
          <w:sz w:val="20"/>
          <w:lang w:val="en-US" w:eastAsia="zh-CN"/>
        </w:rPr>
        <w:t>进行公开</w:t>
      </w:r>
      <w:r>
        <w:rPr>
          <w:rFonts w:hint="eastAsia" w:ascii="宋体" w:hAnsi="宋体" w:eastAsia="宋体"/>
          <w:sz w:val="20"/>
          <w:lang w:eastAsia="zh-CN"/>
        </w:rPr>
        <w:t>询价，本次采用电子化询价方式。</w:t>
      </w:r>
      <w:bookmarkEnd w:id="3"/>
      <w:bookmarkEnd w:id="4"/>
      <w:bookmarkEnd w:id="5"/>
      <w:bookmarkEnd w:id="6"/>
      <w:bookmarkEnd w:id="7"/>
      <w:bookmarkEnd w:id="8"/>
      <w:bookmarkEnd w:id="9"/>
    </w:p>
    <w:bookmarkEnd w:id="10"/>
    <w:bookmarkEnd w:id="11"/>
    <w:p w14:paraId="36028BDD">
      <w:pPr>
        <w:autoSpaceDE w:val="0"/>
        <w:autoSpaceDN w:val="0"/>
        <w:adjustRightInd w:val="0"/>
        <w:spacing w:after="0" w:line="360" w:lineRule="exact"/>
        <w:outlineLvl w:val="1"/>
        <w:rPr>
          <w:rFonts w:ascii="宋体" w:hAnsi="宋体" w:cs="宋体"/>
          <w:b/>
          <w:sz w:val="20"/>
          <w:szCs w:val="20"/>
          <w:lang w:eastAsia="zh-CN"/>
        </w:rPr>
      </w:pPr>
      <w:bookmarkStart w:id="15" w:name="_Toc4931"/>
      <w:r>
        <w:rPr>
          <w:rFonts w:hint="eastAsia" w:ascii="宋体" w:hAnsi="宋体" w:cs="宋体"/>
          <w:b/>
          <w:bCs/>
          <w:sz w:val="20"/>
          <w:szCs w:val="20"/>
          <w:lang w:eastAsia="zh-CN"/>
        </w:rPr>
        <w:t>2.</w:t>
      </w:r>
      <w:bookmarkEnd w:id="12"/>
      <w:bookmarkEnd w:id="13"/>
      <w:bookmarkEnd w:id="14"/>
      <w:r>
        <w:rPr>
          <w:rFonts w:hint="eastAsia" w:ascii="宋体" w:hAnsi="宋体" w:cs="宋体"/>
          <w:b/>
          <w:bCs/>
          <w:sz w:val="20"/>
          <w:szCs w:val="20"/>
          <w:lang w:eastAsia="zh-CN"/>
        </w:rPr>
        <w:t xml:space="preserve"> </w:t>
      </w:r>
      <w:r>
        <w:rPr>
          <w:rFonts w:hint="eastAsia" w:ascii="宋体" w:hAnsi="宋体" w:cs="宋体"/>
          <w:b/>
          <w:sz w:val="20"/>
          <w:szCs w:val="20"/>
          <w:lang w:eastAsia="zh-CN"/>
        </w:rPr>
        <w:t>项目概况与询价范围</w:t>
      </w:r>
      <w:bookmarkEnd w:id="15"/>
    </w:p>
    <w:p w14:paraId="148DE4AD">
      <w:pPr>
        <w:widowControl w:val="0"/>
        <w:adjustRightInd w:val="0"/>
        <w:spacing w:after="0" w:line="360" w:lineRule="exact"/>
        <w:ind w:firstLine="200" w:firstLineChars="100"/>
        <w:jc w:val="both"/>
        <w:textAlignment w:val="center"/>
        <w:rPr>
          <w:rFonts w:ascii="宋体" w:hAnsi="宋体" w:cs="宋体"/>
          <w:b/>
          <w:sz w:val="20"/>
          <w:szCs w:val="20"/>
          <w:lang w:eastAsia="zh-CN"/>
        </w:rPr>
      </w:pPr>
      <w:r>
        <w:rPr>
          <w:rFonts w:hint="eastAsia" w:ascii="宋体" w:hAnsi="宋体" w:cs="宋体"/>
          <w:b/>
          <w:sz w:val="20"/>
          <w:szCs w:val="20"/>
          <w:lang w:eastAsia="zh-CN"/>
        </w:rPr>
        <w:t>2.1 项目概况：</w:t>
      </w:r>
    </w:p>
    <w:p w14:paraId="5522E7BB">
      <w:pPr>
        <w:autoSpaceDE w:val="0"/>
        <w:autoSpaceDN w:val="0"/>
        <w:adjustRightInd w:val="0"/>
        <w:spacing w:after="0" w:line="360" w:lineRule="exact"/>
        <w:ind w:firstLine="400" w:firstLineChars="200"/>
        <w:rPr>
          <w:rFonts w:hint="eastAsia" w:ascii="宋体" w:hAnsi="宋体" w:eastAsia="宋体" w:cs="宋体"/>
          <w:b w:val="0"/>
          <w:bCs w:val="0"/>
          <w:sz w:val="20"/>
          <w:szCs w:val="20"/>
          <w:lang w:val="en-US" w:eastAsia="zh-CN" w:bidi="ar-SA"/>
        </w:rPr>
      </w:pPr>
      <w:r>
        <w:rPr>
          <w:rFonts w:hint="eastAsia" w:ascii="宋体" w:hAnsi="宋体" w:eastAsia="宋体" w:cs="宋体"/>
          <w:b w:val="0"/>
          <w:bCs w:val="0"/>
          <w:sz w:val="20"/>
          <w:szCs w:val="20"/>
          <w:lang w:val="en-US" w:eastAsia="zh-CN" w:bidi="ar-SA"/>
        </w:rPr>
        <w:t>枣庄翼云机场快速路施工总承包项目属于枣庄翼云机场配套设施项目，同时也作为规划建设中的枣庄翼云机场空港产业园交通通道，S83枣庄连接线高速、S238店韩线、S321 枣梁线等高速公路、国省道干线公路与之紧邻，外部交通条件优越</w:t>
      </w:r>
    </w:p>
    <w:p w14:paraId="772741E3">
      <w:pPr>
        <w:autoSpaceDE w:val="0"/>
        <w:autoSpaceDN w:val="0"/>
        <w:adjustRightInd w:val="0"/>
        <w:spacing w:after="0" w:line="360" w:lineRule="exact"/>
        <w:ind w:firstLine="400" w:firstLineChars="200"/>
        <w:rPr>
          <w:rFonts w:hint="eastAsia" w:ascii="宋体" w:hAnsi="宋体" w:eastAsia="宋体" w:cs="宋体"/>
          <w:b w:val="0"/>
          <w:bCs w:val="0"/>
          <w:sz w:val="20"/>
          <w:szCs w:val="20"/>
          <w:lang w:val="en-US" w:eastAsia="zh-CN" w:bidi="ar-SA"/>
        </w:rPr>
      </w:pPr>
      <w:r>
        <w:rPr>
          <w:rFonts w:hint="eastAsia" w:ascii="宋体" w:hAnsi="宋体" w:eastAsia="宋体" w:cs="宋体"/>
          <w:b w:val="0"/>
          <w:bCs w:val="0"/>
          <w:sz w:val="20"/>
          <w:szCs w:val="20"/>
          <w:lang w:val="en-US" w:eastAsia="zh-CN" w:bidi="ar-SA"/>
        </w:rPr>
        <w:t>本项目位于枣庄市山亭区西集镇西南部，路线总体呈东西走向。路线起自S238店韩线翼云村南，经花山南侧、凤凰庄北侧，横穿老古泉村，经地雷山北侧，转东南方向接入 S321枣梁线，同时在老古泉西侧向南连接至枣庄翼云机场停车场。路线全长3km，路基宽 47m</w:t>
      </w:r>
    </w:p>
    <w:p w14:paraId="57C0AF7D">
      <w:pPr>
        <w:autoSpaceDE w:val="0"/>
        <w:autoSpaceDN w:val="0"/>
        <w:adjustRightInd w:val="0"/>
        <w:spacing w:after="0" w:line="360" w:lineRule="exact"/>
        <w:ind w:firstLine="400" w:firstLineChars="200"/>
        <w:rPr>
          <w:rFonts w:ascii="宋体" w:hAnsi="宋体" w:cs="宋体"/>
          <w:sz w:val="20"/>
          <w:szCs w:val="20"/>
          <w:lang w:eastAsia="zh-CN"/>
        </w:rPr>
      </w:pPr>
      <w:r>
        <w:rPr>
          <w:rFonts w:hint="eastAsia" w:ascii="宋体" w:hAnsi="宋体" w:cs="宋体"/>
          <w:b/>
          <w:sz w:val="20"/>
          <w:szCs w:val="20"/>
          <w:lang w:eastAsia="zh-CN"/>
        </w:rPr>
        <w:t>2.2 询价范围：</w:t>
      </w:r>
      <w:r>
        <w:rPr>
          <w:rFonts w:hint="eastAsia" w:ascii="宋体" w:hAnsi="宋体" w:cs="宋体"/>
          <w:sz w:val="20"/>
          <w:szCs w:val="20"/>
          <w:lang w:eastAsia="zh-CN"/>
        </w:rPr>
        <w:t>本次询价采购材料为</w:t>
      </w:r>
      <w:r>
        <w:rPr>
          <w:rFonts w:hint="eastAsia" w:ascii="宋体" w:hAnsi="宋体" w:cs="宋体"/>
          <w:sz w:val="20"/>
          <w:szCs w:val="20"/>
          <w:lang w:val="en-US" w:eastAsia="zh-CN"/>
        </w:rPr>
        <w:t>水泥涵管</w:t>
      </w:r>
      <w:r>
        <w:rPr>
          <w:rFonts w:hint="eastAsia" w:ascii="宋体" w:hAnsi="宋体" w:cs="宋体"/>
          <w:sz w:val="20"/>
          <w:szCs w:val="20"/>
          <w:lang w:eastAsia="zh-CN"/>
        </w:rPr>
        <w:t>，具体标包划分、交货地点、交货期等如下：</w:t>
      </w:r>
    </w:p>
    <w:tbl>
      <w:tblPr>
        <w:tblStyle w:val="12"/>
        <w:tblW w:w="9235" w:type="dxa"/>
        <w:tblInd w:w="0" w:type="dxa"/>
        <w:tblLayout w:type="fixed"/>
        <w:tblCellMar>
          <w:top w:w="0" w:type="dxa"/>
          <w:left w:w="0" w:type="dxa"/>
          <w:bottom w:w="0" w:type="dxa"/>
          <w:right w:w="0" w:type="dxa"/>
        </w:tblCellMar>
      </w:tblPr>
      <w:tblGrid>
        <w:gridCol w:w="474"/>
        <w:gridCol w:w="1122"/>
        <w:gridCol w:w="1353"/>
        <w:gridCol w:w="801"/>
        <w:gridCol w:w="802"/>
        <w:gridCol w:w="1298"/>
        <w:gridCol w:w="1277"/>
        <w:gridCol w:w="1298"/>
        <w:gridCol w:w="810"/>
      </w:tblGrid>
      <w:tr w14:paraId="7BCED141">
        <w:tblPrEx>
          <w:tblCellMar>
            <w:top w:w="0" w:type="dxa"/>
            <w:left w:w="0" w:type="dxa"/>
            <w:bottom w:w="0" w:type="dxa"/>
            <w:right w:w="0" w:type="dxa"/>
          </w:tblCellMar>
        </w:tblPrEx>
        <w:trPr>
          <w:trHeight w:val="620" w:hRule="atLeast"/>
        </w:trPr>
        <w:tc>
          <w:tcPr>
            <w:tcW w:w="474"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20BD7741">
            <w:pPr>
              <w:jc w:val="center"/>
              <w:textAlignment w:val="center"/>
              <w:rPr>
                <w:rFonts w:ascii="宋体" w:hAnsi="宋体" w:cs="宋体"/>
                <w:sz w:val="18"/>
                <w:szCs w:val="18"/>
              </w:rPr>
            </w:pPr>
            <w:r>
              <w:rPr>
                <w:rFonts w:hint="eastAsia" w:ascii="宋体" w:hAnsi="宋体" w:cs="宋体"/>
                <w:sz w:val="18"/>
                <w:szCs w:val="18"/>
                <w:lang w:eastAsia="zh-CN" w:bidi="ar"/>
              </w:rPr>
              <w:t>序号</w:t>
            </w:r>
          </w:p>
        </w:tc>
        <w:tc>
          <w:tcPr>
            <w:tcW w:w="1122"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43B394C5">
            <w:pPr>
              <w:jc w:val="center"/>
              <w:textAlignment w:val="center"/>
              <w:rPr>
                <w:rFonts w:hint="default" w:ascii="宋体" w:hAnsi="宋体" w:cs="宋体"/>
                <w:sz w:val="18"/>
                <w:szCs w:val="18"/>
                <w:lang w:val="en-US"/>
              </w:rPr>
            </w:pPr>
            <w:r>
              <w:rPr>
                <w:rFonts w:hint="eastAsia" w:ascii="宋体" w:hAnsi="宋体" w:cs="宋体"/>
                <w:sz w:val="18"/>
                <w:szCs w:val="18"/>
                <w:lang w:eastAsia="zh-CN" w:bidi="ar"/>
              </w:rPr>
              <w:t>物资品</w:t>
            </w:r>
            <w:r>
              <w:rPr>
                <w:rFonts w:hint="eastAsia" w:ascii="宋体" w:hAnsi="宋体" w:cs="宋体"/>
                <w:sz w:val="18"/>
                <w:szCs w:val="18"/>
                <w:lang w:val="en-US" w:eastAsia="zh-CN" w:bidi="ar"/>
              </w:rPr>
              <w:t>名称</w:t>
            </w:r>
          </w:p>
        </w:tc>
        <w:tc>
          <w:tcPr>
            <w:tcW w:w="1353"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6DD58DAC">
            <w:pPr>
              <w:jc w:val="center"/>
              <w:textAlignment w:val="center"/>
              <w:rPr>
                <w:rFonts w:ascii="宋体" w:hAnsi="宋体" w:cs="宋体"/>
                <w:sz w:val="18"/>
                <w:szCs w:val="18"/>
              </w:rPr>
            </w:pPr>
            <w:r>
              <w:rPr>
                <w:rFonts w:hint="eastAsia" w:ascii="宋体" w:hAnsi="宋体" w:cs="宋体"/>
                <w:sz w:val="18"/>
                <w:szCs w:val="18"/>
                <w:lang w:eastAsia="zh-CN" w:bidi="ar"/>
              </w:rPr>
              <w:t>规格型号</w:t>
            </w:r>
          </w:p>
        </w:tc>
        <w:tc>
          <w:tcPr>
            <w:tcW w:w="801"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6A68902A">
            <w:pPr>
              <w:jc w:val="center"/>
              <w:textAlignment w:val="center"/>
              <w:rPr>
                <w:rFonts w:ascii="宋体" w:hAnsi="宋体" w:cs="宋体"/>
                <w:sz w:val="18"/>
                <w:szCs w:val="18"/>
              </w:rPr>
            </w:pPr>
            <w:r>
              <w:rPr>
                <w:rFonts w:hint="eastAsia" w:ascii="宋体" w:hAnsi="宋体" w:cs="宋体"/>
                <w:sz w:val="18"/>
                <w:szCs w:val="18"/>
                <w:lang w:eastAsia="zh-CN" w:bidi="ar"/>
              </w:rPr>
              <w:t>计量单位</w:t>
            </w:r>
          </w:p>
        </w:tc>
        <w:tc>
          <w:tcPr>
            <w:tcW w:w="802"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14ACC0C4">
            <w:pPr>
              <w:jc w:val="center"/>
              <w:textAlignment w:val="center"/>
              <w:rPr>
                <w:rFonts w:ascii="宋体" w:hAnsi="宋体" w:cs="宋体"/>
                <w:sz w:val="18"/>
                <w:szCs w:val="18"/>
              </w:rPr>
            </w:pPr>
            <w:r>
              <w:rPr>
                <w:rFonts w:hint="eastAsia" w:ascii="宋体" w:hAnsi="宋体" w:cs="宋体"/>
                <w:sz w:val="18"/>
                <w:szCs w:val="18"/>
                <w:lang w:eastAsia="zh-CN" w:bidi="ar"/>
              </w:rPr>
              <w:t>暂定数量</w:t>
            </w:r>
          </w:p>
        </w:tc>
        <w:tc>
          <w:tcPr>
            <w:tcW w:w="1298"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56A4990B">
            <w:pPr>
              <w:jc w:val="center"/>
              <w:textAlignment w:val="center"/>
              <w:rPr>
                <w:rFonts w:ascii="宋体" w:hAnsi="宋体" w:cs="宋体"/>
                <w:sz w:val="18"/>
                <w:szCs w:val="18"/>
              </w:rPr>
            </w:pPr>
            <w:r>
              <w:rPr>
                <w:rFonts w:hint="eastAsia" w:ascii="宋体" w:hAnsi="宋体" w:cs="宋体"/>
                <w:sz w:val="18"/>
                <w:szCs w:val="18"/>
                <w:lang w:eastAsia="zh-CN" w:bidi="ar"/>
              </w:rPr>
              <w:t>交货地点</w:t>
            </w:r>
          </w:p>
        </w:tc>
        <w:tc>
          <w:tcPr>
            <w:tcW w:w="1277"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3A12CBBF">
            <w:pPr>
              <w:jc w:val="center"/>
              <w:textAlignment w:val="center"/>
              <w:rPr>
                <w:rFonts w:ascii="宋体" w:hAnsi="宋体" w:cs="宋体"/>
                <w:sz w:val="18"/>
                <w:szCs w:val="18"/>
              </w:rPr>
            </w:pPr>
            <w:r>
              <w:rPr>
                <w:rFonts w:hint="eastAsia" w:ascii="宋体" w:hAnsi="宋体" w:cs="宋体"/>
                <w:sz w:val="18"/>
                <w:szCs w:val="18"/>
                <w:lang w:eastAsia="zh-CN" w:bidi="ar"/>
              </w:rPr>
              <w:t>计划供货周期</w:t>
            </w:r>
          </w:p>
        </w:tc>
        <w:tc>
          <w:tcPr>
            <w:tcW w:w="1298"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1F8E8D79">
            <w:pPr>
              <w:jc w:val="center"/>
              <w:textAlignment w:val="center"/>
              <w:rPr>
                <w:rFonts w:ascii="宋体" w:hAnsi="宋体" w:cs="宋体"/>
                <w:sz w:val="18"/>
                <w:szCs w:val="18"/>
              </w:rPr>
            </w:pPr>
            <w:r>
              <w:rPr>
                <w:rFonts w:hint="eastAsia" w:ascii="宋体" w:hAnsi="宋体" w:cs="宋体"/>
                <w:sz w:val="18"/>
                <w:szCs w:val="18"/>
                <w:lang w:eastAsia="zh-CN" w:bidi="ar"/>
              </w:rPr>
              <w:t>联系人及方式</w:t>
            </w:r>
          </w:p>
        </w:tc>
        <w:tc>
          <w:tcPr>
            <w:tcW w:w="810"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578D51E6">
            <w:pPr>
              <w:jc w:val="center"/>
              <w:textAlignment w:val="center"/>
              <w:rPr>
                <w:rFonts w:ascii="宋体" w:hAnsi="宋体" w:cs="宋体"/>
                <w:sz w:val="18"/>
                <w:szCs w:val="18"/>
              </w:rPr>
            </w:pPr>
            <w:r>
              <w:rPr>
                <w:rFonts w:hint="eastAsia" w:ascii="宋体" w:hAnsi="宋体" w:cs="宋体"/>
                <w:sz w:val="18"/>
                <w:szCs w:val="18"/>
                <w:lang w:eastAsia="zh-CN" w:bidi="ar"/>
              </w:rPr>
              <w:t>交货状态</w:t>
            </w:r>
          </w:p>
        </w:tc>
      </w:tr>
      <w:tr w14:paraId="1F886C47">
        <w:tblPrEx>
          <w:tblCellMar>
            <w:top w:w="0" w:type="dxa"/>
            <w:left w:w="0" w:type="dxa"/>
            <w:bottom w:w="0" w:type="dxa"/>
            <w:right w:w="0" w:type="dxa"/>
          </w:tblCellMar>
        </w:tblPrEx>
        <w:trPr>
          <w:trHeight w:val="561" w:hRule="atLeast"/>
        </w:trPr>
        <w:tc>
          <w:tcPr>
            <w:tcW w:w="47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62AF175">
            <w:pPr>
              <w:jc w:val="center"/>
              <w:textAlignment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1</w:t>
            </w:r>
          </w:p>
        </w:tc>
        <w:tc>
          <w:tcPr>
            <w:tcW w:w="112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02985E9">
            <w:pPr>
              <w:keepNext w:val="0"/>
              <w:keepLines w:val="0"/>
              <w:widowControl/>
              <w:suppressLineNumbers w:val="0"/>
              <w:jc w:val="center"/>
              <w:textAlignment w:val="center"/>
              <w:rPr>
                <w:rFonts w:hint="eastAsia" w:ascii="仿宋" w:hAnsi="仿宋" w:eastAsia="仿宋" w:cs="仿宋"/>
                <w:sz w:val="18"/>
                <w:szCs w:val="18"/>
                <w:lang w:val="en-US" w:eastAsia="zh-CN"/>
              </w:rPr>
            </w:pPr>
            <w:r>
              <w:rPr>
                <w:rFonts w:hint="eastAsia" w:ascii="宋体" w:hAnsi="宋体" w:eastAsia="宋体" w:cs="宋体"/>
                <w:i w:val="0"/>
                <w:color w:val="000000"/>
                <w:kern w:val="0"/>
                <w:sz w:val="20"/>
                <w:szCs w:val="20"/>
                <w:highlight w:val="none"/>
                <w:u w:val="none"/>
                <w:lang w:val="en-US" w:eastAsia="zh-CN" w:bidi="ar"/>
              </w:rPr>
              <w:t>水泥涵管</w:t>
            </w:r>
          </w:p>
        </w:tc>
        <w:tc>
          <w:tcPr>
            <w:tcW w:w="135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959E1B0">
            <w:pPr>
              <w:keepNext w:val="0"/>
              <w:keepLines w:val="0"/>
              <w:widowControl/>
              <w:suppressLineNumbers w:val="0"/>
              <w:jc w:val="center"/>
              <w:textAlignment w:val="center"/>
              <w:rPr>
                <w:rFonts w:hint="eastAsia" w:ascii="仿宋" w:hAnsi="仿宋" w:eastAsia="仿宋" w:cs="仿宋"/>
                <w:sz w:val="18"/>
                <w:szCs w:val="18"/>
                <w:lang w:val="en-US" w:eastAsia="zh-CN"/>
              </w:rPr>
            </w:pPr>
            <w:r>
              <w:rPr>
                <w:rFonts w:hint="eastAsia" w:ascii="宋体" w:hAnsi="宋体" w:eastAsia="宋体" w:cs="宋体"/>
                <w:i w:val="0"/>
                <w:color w:val="000000"/>
                <w:kern w:val="0"/>
                <w:sz w:val="20"/>
                <w:szCs w:val="20"/>
                <w:highlight w:val="none"/>
                <w:u w:val="none"/>
                <w:lang w:val="en-US" w:eastAsia="zh-CN" w:bidi="ar"/>
              </w:rPr>
              <w:t>DN800</w:t>
            </w:r>
          </w:p>
        </w:tc>
        <w:tc>
          <w:tcPr>
            <w:tcW w:w="80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30DDA37">
            <w:pPr>
              <w:keepNext w:val="0"/>
              <w:keepLines w:val="0"/>
              <w:widowControl/>
              <w:suppressLineNumbers w:val="0"/>
              <w:jc w:val="center"/>
              <w:textAlignment w:val="center"/>
              <w:rPr>
                <w:rFonts w:hint="eastAsia" w:ascii="仿宋" w:hAnsi="仿宋" w:eastAsia="仿宋" w:cs="仿宋"/>
                <w:sz w:val="18"/>
                <w:szCs w:val="18"/>
                <w:lang w:val="en-US" w:eastAsia="zh-CN"/>
              </w:rPr>
            </w:pPr>
            <w:r>
              <w:rPr>
                <w:rFonts w:hint="eastAsia" w:ascii="仿宋" w:hAnsi="仿宋" w:eastAsia="仿宋" w:cs="仿宋"/>
                <w:i w:val="0"/>
                <w:iCs w:val="0"/>
                <w:color w:val="000000"/>
                <w:kern w:val="0"/>
                <w:sz w:val="18"/>
                <w:szCs w:val="18"/>
                <w:u w:val="none"/>
                <w:lang w:val="en-US" w:eastAsia="zh-CN" w:bidi="ar"/>
              </w:rPr>
              <w:t>米</w:t>
            </w:r>
          </w:p>
        </w:tc>
        <w:tc>
          <w:tcPr>
            <w:tcW w:w="80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1AB077C">
            <w:pPr>
              <w:keepNext w:val="0"/>
              <w:keepLines w:val="0"/>
              <w:widowControl/>
              <w:suppressLineNumbers w:val="0"/>
              <w:jc w:val="center"/>
              <w:textAlignment w:val="center"/>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30</w:t>
            </w:r>
          </w:p>
        </w:tc>
        <w:tc>
          <w:tcPr>
            <w:tcW w:w="1298" w:type="dxa"/>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7F896F19">
            <w:pPr>
              <w:jc w:val="center"/>
              <w:textAlignment w:val="center"/>
              <w:rPr>
                <w:rFonts w:hint="default" w:ascii="仿宋" w:hAnsi="仿宋" w:eastAsia="仿宋" w:cs="仿宋"/>
                <w:sz w:val="18"/>
                <w:szCs w:val="18"/>
                <w:lang w:val="en-US" w:eastAsia="zh-CN" w:bidi="ar-SA"/>
              </w:rPr>
            </w:pPr>
            <w:r>
              <w:rPr>
                <w:rFonts w:hint="eastAsia" w:ascii="仿宋" w:hAnsi="仿宋" w:eastAsia="仿宋" w:cs="仿宋"/>
                <w:b/>
                <w:w w:val="95"/>
                <w:sz w:val="18"/>
                <w:szCs w:val="18"/>
                <w:lang w:val="en-US" w:eastAsia="zh-CN"/>
              </w:rPr>
              <w:t>枣庄翼云机场快速路</w:t>
            </w:r>
            <w:r>
              <w:rPr>
                <w:rFonts w:hint="eastAsia" w:ascii="仿宋" w:hAnsi="仿宋" w:eastAsia="仿宋" w:cs="仿宋"/>
                <w:b/>
                <w:w w:val="95"/>
                <w:sz w:val="18"/>
                <w:szCs w:val="18"/>
                <w:lang w:eastAsia="zh-CN"/>
              </w:rPr>
              <w:t>施工总承包项目</w:t>
            </w:r>
            <w:r>
              <w:rPr>
                <w:rFonts w:hint="eastAsia" w:ascii="仿宋" w:hAnsi="仿宋" w:eastAsia="仿宋" w:cs="仿宋"/>
                <w:b/>
                <w:w w:val="95"/>
                <w:sz w:val="18"/>
                <w:szCs w:val="18"/>
                <w:lang w:val="en-US" w:eastAsia="zh-CN"/>
              </w:rPr>
              <w:t>工地</w:t>
            </w:r>
          </w:p>
        </w:tc>
        <w:tc>
          <w:tcPr>
            <w:tcW w:w="1277" w:type="dxa"/>
            <w:vMerge w:val="restart"/>
            <w:tcBorders>
              <w:top w:val="single" w:color="auto" w:sz="4" w:space="0"/>
              <w:left w:val="single" w:color="auto" w:sz="4" w:space="0"/>
              <w:right w:val="single" w:color="auto" w:sz="4" w:space="0"/>
            </w:tcBorders>
            <w:tcMar>
              <w:top w:w="15" w:type="dxa"/>
              <w:left w:w="15" w:type="dxa"/>
              <w:right w:w="15" w:type="dxa"/>
            </w:tcMar>
            <w:vAlign w:val="center"/>
          </w:tcPr>
          <w:p w14:paraId="15DF06BE">
            <w:pPr>
              <w:jc w:val="center"/>
              <w:textAlignment w:val="center"/>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2025年3月-2025年5月</w:t>
            </w:r>
          </w:p>
        </w:tc>
        <w:tc>
          <w:tcPr>
            <w:tcW w:w="1298" w:type="dxa"/>
            <w:vMerge w:val="restart"/>
            <w:tcBorders>
              <w:top w:val="single" w:color="auto" w:sz="4" w:space="0"/>
              <w:left w:val="single" w:color="auto" w:sz="4" w:space="0"/>
              <w:right w:val="single" w:color="auto" w:sz="4" w:space="0"/>
            </w:tcBorders>
            <w:tcMar>
              <w:top w:w="15" w:type="dxa"/>
              <w:left w:w="15" w:type="dxa"/>
              <w:right w:w="15" w:type="dxa"/>
            </w:tcMar>
            <w:vAlign w:val="center"/>
          </w:tcPr>
          <w:p w14:paraId="40C1D728">
            <w:pPr>
              <w:pStyle w:val="2"/>
              <w:jc w:val="center"/>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张谦一17862981835</w:t>
            </w:r>
          </w:p>
        </w:tc>
        <w:tc>
          <w:tcPr>
            <w:tcW w:w="8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E6DEDAD">
            <w:pPr>
              <w:jc w:val="center"/>
              <w:textAlignment w:val="center"/>
              <w:rPr>
                <w:rFonts w:hint="eastAsia" w:ascii="仿宋" w:hAnsi="仿宋" w:eastAsia="仿宋" w:cs="仿宋"/>
                <w:sz w:val="18"/>
                <w:szCs w:val="18"/>
              </w:rPr>
            </w:pPr>
          </w:p>
        </w:tc>
      </w:tr>
      <w:tr w14:paraId="68B3D682">
        <w:tblPrEx>
          <w:tblCellMar>
            <w:top w:w="0" w:type="dxa"/>
            <w:left w:w="0" w:type="dxa"/>
            <w:bottom w:w="0" w:type="dxa"/>
            <w:right w:w="0" w:type="dxa"/>
          </w:tblCellMar>
        </w:tblPrEx>
        <w:trPr>
          <w:trHeight w:val="561" w:hRule="atLeast"/>
        </w:trPr>
        <w:tc>
          <w:tcPr>
            <w:tcW w:w="47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F6CF8E9">
            <w:pPr>
              <w:jc w:val="center"/>
              <w:textAlignment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2</w:t>
            </w:r>
          </w:p>
        </w:tc>
        <w:tc>
          <w:tcPr>
            <w:tcW w:w="112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9D80042">
            <w:pPr>
              <w:keepNext w:val="0"/>
              <w:keepLines w:val="0"/>
              <w:widowControl/>
              <w:suppressLineNumbers w:val="0"/>
              <w:jc w:val="center"/>
              <w:textAlignment w:val="center"/>
              <w:rPr>
                <w:rFonts w:hint="eastAsia" w:ascii="仿宋" w:hAnsi="仿宋" w:eastAsia="仿宋" w:cs="仿宋"/>
                <w:sz w:val="18"/>
                <w:szCs w:val="18"/>
                <w:lang w:val="en-US" w:eastAsia="zh-CN"/>
              </w:rPr>
            </w:pPr>
            <w:r>
              <w:rPr>
                <w:rFonts w:hint="eastAsia" w:ascii="宋体" w:hAnsi="宋体" w:eastAsia="宋体" w:cs="宋体"/>
                <w:i w:val="0"/>
                <w:color w:val="000000"/>
                <w:kern w:val="0"/>
                <w:sz w:val="20"/>
                <w:szCs w:val="20"/>
                <w:highlight w:val="none"/>
                <w:u w:val="none"/>
                <w:lang w:val="en-US" w:eastAsia="zh-CN" w:bidi="ar"/>
              </w:rPr>
              <w:t>水泥涵管</w:t>
            </w:r>
          </w:p>
        </w:tc>
        <w:tc>
          <w:tcPr>
            <w:tcW w:w="135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7BB11C6">
            <w:pPr>
              <w:keepNext w:val="0"/>
              <w:keepLines w:val="0"/>
              <w:widowControl/>
              <w:suppressLineNumbers w:val="0"/>
              <w:jc w:val="center"/>
              <w:textAlignment w:val="center"/>
              <w:rPr>
                <w:rFonts w:hint="eastAsia" w:ascii="仿宋" w:hAnsi="仿宋" w:eastAsia="仿宋" w:cs="仿宋"/>
                <w:sz w:val="18"/>
                <w:szCs w:val="18"/>
                <w:lang w:val="en-US" w:eastAsia="zh-CN"/>
              </w:rPr>
            </w:pPr>
            <w:r>
              <w:rPr>
                <w:rFonts w:hint="eastAsia" w:ascii="宋体" w:hAnsi="宋体" w:eastAsia="宋体" w:cs="宋体"/>
                <w:i w:val="0"/>
                <w:color w:val="000000"/>
                <w:kern w:val="0"/>
                <w:sz w:val="20"/>
                <w:szCs w:val="20"/>
                <w:highlight w:val="none"/>
                <w:u w:val="none"/>
                <w:lang w:val="en-US" w:eastAsia="zh-CN" w:bidi="ar"/>
              </w:rPr>
              <w:t>DN600</w:t>
            </w:r>
          </w:p>
        </w:tc>
        <w:tc>
          <w:tcPr>
            <w:tcW w:w="80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383F85E">
            <w:pPr>
              <w:keepNext w:val="0"/>
              <w:keepLines w:val="0"/>
              <w:widowControl/>
              <w:suppressLineNumbers w:val="0"/>
              <w:jc w:val="center"/>
              <w:textAlignment w:val="center"/>
              <w:rPr>
                <w:rFonts w:hint="eastAsia" w:ascii="仿宋" w:hAnsi="仿宋" w:eastAsia="仿宋" w:cs="仿宋"/>
                <w:sz w:val="18"/>
                <w:szCs w:val="18"/>
                <w:lang w:val="en-US" w:eastAsia="zh-CN"/>
              </w:rPr>
            </w:pPr>
            <w:r>
              <w:rPr>
                <w:rFonts w:hint="eastAsia" w:ascii="仿宋" w:hAnsi="仿宋" w:eastAsia="仿宋" w:cs="仿宋"/>
                <w:i w:val="0"/>
                <w:iCs w:val="0"/>
                <w:color w:val="000000"/>
                <w:kern w:val="0"/>
                <w:sz w:val="18"/>
                <w:szCs w:val="18"/>
                <w:u w:val="none"/>
                <w:lang w:val="en-US" w:eastAsia="zh-CN" w:bidi="ar"/>
              </w:rPr>
              <w:t>米</w:t>
            </w:r>
          </w:p>
        </w:tc>
        <w:tc>
          <w:tcPr>
            <w:tcW w:w="80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C6444E2">
            <w:pPr>
              <w:keepNext w:val="0"/>
              <w:keepLines w:val="0"/>
              <w:widowControl/>
              <w:suppressLineNumbers w:val="0"/>
              <w:jc w:val="center"/>
              <w:textAlignment w:val="center"/>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2000</w:t>
            </w:r>
          </w:p>
        </w:tc>
        <w:tc>
          <w:tcPr>
            <w:tcW w:w="1298"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6CD9B137">
            <w:pPr>
              <w:jc w:val="center"/>
              <w:textAlignment w:val="center"/>
              <w:rPr>
                <w:rFonts w:hint="eastAsia" w:ascii="仿宋" w:hAnsi="仿宋" w:eastAsia="仿宋" w:cs="仿宋"/>
                <w:sz w:val="18"/>
                <w:szCs w:val="18"/>
                <w:lang w:val="en-US" w:eastAsia="zh-CN"/>
              </w:rPr>
            </w:pPr>
          </w:p>
        </w:tc>
        <w:tc>
          <w:tcPr>
            <w:tcW w:w="1277" w:type="dxa"/>
            <w:vMerge w:val="continue"/>
            <w:tcBorders>
              <w:left w:val="single" w:color="auto" w:sz="4" w:space="0"/>
              <w:right w:val="single" w:color="auto" w:sz="4" w:space="0"/>
            </w:tcBorders>
            <w:tcMar>
              <w:top w:w="15" w:type="dxa"/>
              <w:left w:w="15" w:type="dxa"/>
              <w:right w:w="15" w:type="dxa"/>
            </w:tcMar>
            <w:vAlign w:val="center"/>
          </w:tcPr>
          <w:p w14:paraId="543B23AA">
            <w:pPr>
              <w:jc w:val="center"/>
              <w:textAlignment w:val="center"/>
              <w:rPr>
                <w:rFonts w:hint="eastAsia" w:ascii="仿宋" w:hAnsi="仿宋" w:eastAsia="仿宋" w:cs="仿宋"/>
                <w:sz w:val="18"/>
                <w:szCs w:val="18"/>
                <w:lang w:val="en-US" w:eastAsia="zh-CN"/>
              </w:rPr>
            </w:pPr>
          </w:p>
        </w:tc>
        <w:tc>
          <w:tcPr>
            <w:tcW w:w="1298" w:type="dxa"/>
            <w:vMerge w:val="continue"/>
            <w:tcBorders>
              <w:left w:val="single" w:color="auto" w:sz="4" w:space="0"/>
              <w:right w:val="single" w:color="auto" w:sz="4" w:space="0"/>
            </w:tcBorders>
            <w:tcMar>
              <w:top w:w="15" w:type="dxa"/>
              <w:left w:w="15" w:type="dxa"/>
              <w:right w:w="15" w:type="dxa"/>
            </w:tcMar>
            <w:vAlign w:val="center"/>
          </w:tcPr>
          <w:p w14:paraId="1720A72D">
            <w:pPr>
              <w:pStyle w:val="2"/>
              <w:jc w:val="center"/>
              <w:rPr>
                <w:rFonts w:hint="eastAsia" w:ascii="仿宋" w:hAnsi="仿宋" w:eastAsia="仿宋" w:cs="仿宋"/>
                <w:sz w:val="18"/>
                <w:szCs w:val="18"/>
                <w:lang w:val="en-US" w:eastAsia="zh-CN"/>
              </w:rPr>
            </w:pPr>
          </w:p>
        </w:tc>
        <w:tc>
          <w:tcPr>
            <w:tcW w:w="8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C6EEE76">
            <w:pPr>
              <w:jc w:val="center"/>
              <w:textAlignment w:val="center"/>
              <w:rPr>
                <w:rFonts w:hint="eastAsia" w:ascii="仿宋" w:hAnsi="仿宋" w:eastAsia="仿宋" w:cs="仿宋"/>
                <w:sz w:val="18"/>
                <w:szCs w:val="18"/>
              </w:rPr>
            </w:pPr>
          </w:p>
        </w:tc>
      </w:tr>
      <w:tr w14:paraId="72FC60E0">
        <w:tblPrEx>
          <w:tblCellMar>
            <w:top w:w="0" w:type="dxa"/>
            <w:left w:w="0" w:type="dxa"/>
            <w:bottom w:w="0" w:type="dxa"/>
            <w:right w:w="0" w:type="dxa"/>
          </w:tblCellMar>
        </w:tblPrEx>
        <w:trPr>
          <w:trHeight w:val="561" w:hRule="atLeast"/>
        </w:trPr>
        <w:tc>
          <w:tcPr>
            <w:tcW w:w="47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CE4D879">
            <w:pPr>
              <w:jc w:val="center"/>
              <w:textAlignment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3</w:t>
            </w:r>
          </w:p>
        </w:tc>
        <w:tc>
          <w:tcPr>
            <w:tcW w:w="112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CF71B7A">
            <w:pPr>
              <w:keepNext w:val="0"/>
              <w:keepLines w:val="0"/>
              <w:widowControl/>
              <w:suppressLineNumbers w:val="0"/>
              <w:jc w:val="center"/>
              <w:textAlignment w:val="center"/>
              <w:rPr>
                <w:rFonts w:hint="eastAsia" w:ascii="仿宋" w:hAnsi="仿宋" w:eastAsia="仿宋" w:cs="仿宋"/>
                <w:sz w:val="18"/>
                <w:szCs w:val="18"/>
                <w:lang w:val="en-US" w:eastAsia="zh-CN"/>
              </w:rPr>
            </w:pPr>
            <w:r>
              <w:rPr>
                <w:rFonts w:hint="eastAsia" w:ascii="宋体" w:hAnsi="宋体" w:eastAsia="宋体" w:cs="宋体"/>
                <w:i w:val="0"/>
                <w:color w:val="000000"/>
                <w:kern w:val="0"/>
                <w:sz w:val="20"/>
                <w:szCs w:val="20"/>
                <w:highlight w:val="none"/>
                <w:u w:val="none"/>
                <w:lang w:val="en-US" w:eastAsia="zh-CN" w:bidi="ar"/>
              </w:rPr>
              <w:t>水泥涵管</w:t>
            </w:r>
          </w:p>
        </w:tc>
        <w:tc>
          <w:tcPr>
            <w:tcW w:w="135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6038906">
            <w:pPr>
              <w:keepNext w:val="0"/>
              <w:keepLines w:val="0"/>
              <w:widowControl/>
              <w:suppressLineNumbers w:val="0"/>
              <w:jc w:val="center"/>
              <w:textAlignment w:val="center"/>
              <w:rPr>
                <w:rFonts w:hint="eastAsia" w:ascii="仿宋" w:hAnsi="仿宋" w:eastAsia="仿宋" w:cs="仿宋"/>
                <w:sz w:val="18"/>
                <w:szCs w:val="18"/>
                <w:lang w:val="en-US" w:eastAsia="zh-CN"/>
              </w:rPr>
            </w:pPr>
            <w:r>
              <w:rPr>
                <w:rFonts w:hint="eastAsia" w:ascii="宋体" w:hAnsi="宋体" w:eastAsia="宋体" w:cs="宋体"/>
                <w:i w:val="0"/>
                <w:color w:val="000000"/>
                <w:kern w:val="0"/>
                <w:sz w:val="20"/>
                <w:szCs w:val="20"/>
                <w:highlight w:val="none"/>
                <w:u w:val="none"/>
                <w:lang w:val="en-US" w:eastAsia="zh-CN" w:bidi="ar"/>
              </w:rPr>
              <w:t>DN300</w:t>
            </w:r>
          </w:p>
        </w:tc>
        <w:tc>
          <w:tcPr>
            <w:tcW w:w="80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4E74BCC">
            <w:pPr>
              <w:keepNext w:val="0"/>
              <w:keepLines w:val="0"/>
              <w:widowControl/>
              <w:suppressLineNumbers w:val="0"/>
              <w:jc w:val="center"/>
              <w:textAlignment w:val="center"/>
              <w:rPr>
                <w:rFonts w:hint="eastAsia" w:ascii="仿宋" w:hAnsi="仿宋" w:eastAsia="仿宋" w:cs="仿宋"/>
                <w:sz w:val="18"/>
                <w:szCs w:val="18"/>
                <w:lang w:val="en-US" w:eastAsia="zh-CN"/>
              </w:rPr>
            </w:pPr>
            <w:r>
              <w:rPr>
                <w:rFonts w:hint="eastAsia" w:ascii="仿宋" w:hAnsi="仿宋" w:eastAsia="仿宋" w:cs="仿宋"/>
                <w:i w:val="0"/>
                <w:iCs w:val="0"/>
                <w:color w:val="000000"/>
                <w:kern w:val="0"/>
                <w:sz w:val="18"/>
                <w:szCs w:val="18"/>
                <w:u w:val="none"/>
                <w:lang w:val="en-US" w:eastAsia="zh-CN" w:bidi="ar"/>
              </w:rPr>
              <w:t>米</w:t>
            </w:r>
          </w:p>
        </w:tc>
        <w:tc>
          <w:tcPr>
            <w:tcW w:w="80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F6A71D7">
            <w:pPr>
              <w:keepNext w:val="0"/>
              <w:keepLines w:val="0"/>
              <w:widowControl/>
              <w:suppressLineNumbers w:val="0"/>
              <w:jc w:val="center"/>
              <w:textAlignment w:val="center"/>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1200</w:t>
            </w:r>
          </w:p>
        </w:tc>
        <w:tc>
          <w:tcPr>
            <w:tcW w:w="1298"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00A67FE9">
            <w:pPr>
              <w:jc w:val="center"/>
              <w:textAlignment w:val="center"/>
              <w:rPr>
                <w:rFonts w:hint="eastAsia" w:ascii="仿宋" w:hAnsi="仿宋" w:eastAsia="仿宋" w:cs="仿宋"/>
                <w:sz w:val="18"/>
                <w:szCs w:val="18"/>
                <w:lang w:val="en-US" w:eastAsia="zh-CN"/>
              </w:rPr>
            </w:pPr>
          </w:p>
        </w:tc>
        <w:tc>
          <w:tcPr>
            <w:tcW w:w="1277" w:type="dxa"/>
            <w:vMerge w:val="continue"/>
            <w:tcBorders>
              <w:left w:val="single" w:color="auto" w:sz="4" w:space="0"/>
              <w:right w:val="single" w:color="auto" w:sz="4" w:space="0"/>
            </w:tcBorders>
            <w:tcMar>
              <w:top w:w="15" w:type="dxa"/>
              <w:left w:w="15" w:type="dxa"/>
              <w:right w:w="15" w:type="dxa"/>
            </w:tcMar>
            <w:vAlign w:val="center"/>
          </w:tcPr>
          <w:p w14:paraId="2352EB3A">
            <w:pPr>
              <w:jc w:val="center"/>
              <w:textAlignment w:val="center"/>
              <w:rPr>
                <w:rFonts w:hint="eastAsia" w:ascii="仿宋" w:hAnsi="仿宋" w:eastAsia="仿宋" w:cs="仿宋"/>
                <w:sz w:val="18"/>
                <w:szCs w:val="18"/>
                <w:lang w:val="en-US" w:eastAsia="zh-CN"/>
              </w:rPr>
            </w:pPr>
          </w:p>
        </w:tc>
        <w:tc>
          <w:tcPr>
            <w:tcW w:w="1298" w:type="dxa"/>
            <w:vMerge w:val="continue"/>
            <w:tcBorders>
              <w:left w:val="single" w:color="auto" w:sz="4" w:space="0"/>
              <w:right w:val="single" w:color="auto" w:sz="4" w:space="0"/>
            </w:tcBorders>
            <w:tcMar>
              <w:top w:w="15" w:type="dxa"/>
              <w:left w:w="15" w:type="dxa"/>
              <w:right w:w="15" w:type="dxa"/>
            </w:tcMar>
            <w:vAlign w:val="center"/>
          </w:tcPr>
          <w:p w14:paraId="0002C6B1">
            <w:pPr>
              <w:pStyle w:val="2"/>
              <w:jc w:val="center"/>
              <w:rPr>
                <w:rFonts w:hint="eastAsia" w:ascii="仿宋" w:hAnsi="仿宋" w:eastAsia="仿宋" w:cs="仿宋"/>
                <w:sz w:val="18"/>
                <w:szCs w:val="18"/>
                <w:lang w:val="en-US" w:eastAsia="zh-CN"/>
              </w:rPr>
            </w:pPr>
          </w:p>
        </w:tc>
        <w:tc>
          <w:tcPr>
            <w:tcW w:w="8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B5973CF">
            <w:pPr>
              <w:jc w:val="center"/>
              <w:textAlignment w:val="center"/>
              <w:rPr>
                <w:rFonts w:hint="eastAsia" w:ascii="仿宋" w:hAnsi="仿宋" w:eastAsia="仿宋" w:cs="仿宋"/>
                <w:sz w:val="18"/>
                <w:szCs w:val="18"/>
              </w:rPr>
            </w:pPr>
          </w:p>
        </w:tc>
      </w:tr>
    </w:tbl>
    <w:p w14:paraId="412C6D8E">
      <w:pPr>
        <w:spacing w:after="0" w:line="360" w:lineRule="exact"/>
        <w:rPr>
          <w:rFonts w:ascii="宋体" w:hAnsi="宋体" w:cs="宋体"/>
          <w:sz w:val="20"/>
          <w:szCs w:val="20"/>
          <w:lang w:eastAsia="zh-CN"/>
        </w:rPr>
      </w:pPr>
      <w:r>
        <w:rPr>
          <w:rFonts w:hint="eastAsia" w:ascii="宋体" w:hAnsi="宋体" w:cs="宋体"/>
          <w:sz w:val="20"/>
          <w:szCs w:val="20"/>
          <w:lang w:eastAsia="zh-CN"/>
        </w:rPr>
        <w:t>注：以上数量为暂定数量，具体数量以实际送货并经询价人确认数量为准。</w:t>
      </w:r>
    </w:p>
    <w:p w14:paraId="7B5AD8AB">
      <w:pPr>
        <w:tabs>
          <w:tab w:val="left" w:pos="400"/>
        </w:tabs>
        <w:spacing w:after="0" w:line="360" w:lineRule="exact"/>
        <w:jc w:val="both"/>
        <w:outlineLvl w:val="1"/>
        <w:rPr>
          <w:rFonts w:ascii="宋体" w:hAnsi="宋体" w:cs="宋体"/>
          <w:b/>
          <w:sz w:val="20"/>
          <w:szCs w:val="20"/>
          <w:lang w:eastAsia="zh-CN"/>
        </w:rPr>
      </w:pPr>
      <w:bookmarkStart w:id="16" w:name="_Toc14839"/>
      <w:bookmarkStart w:id="17" w:name="_Hlk100935532"/>
      <w:r>
        <w:rPr>
          <w:rFonts w:hint="eastAsia" w:ascii="宋体" w:hAnsi="宋体" w:cs="宋体"/>
          <w:b/>
          <w:bCs/>
          <w:sz w:val="20"/>
          <w:szCs w:val="20"/>
          <w:lang w:eastAsia="zh-CN"/>
        </w:rPr>
        <w:t>3.</w:t>
      </w:r>
      <w:r>
        <w:rPr>
          <w:rFonts w:hint="eastAsia" w:ascii="宋体" w:hAnsi="宋体" w:cs="宋体"/>
          <w:b/>
          <w:sz w:val="20"/>
          <w:szCs w:val="20"/>
          <w:lang w:eastAsia="zh-CN"/>
        </w:rPr>
        <w:t>询价文件的获取</w:t>
      </w:r>
      <w:bookmarkEnd w:id="16"/>
    </w:p>
    <w:p w14:paraId="19F09835">
      <w:pPr>
        <w:spacing w:after="0" w:line="400" w:lineRule="exact"/>
        <w:ind w:firstLine="400" w:firstLineChars="200"/>
        <w:rPr>
          <w:rFonts w:ascii="宋体" w:hAnsi="宋体" w:cs="宋体"/>
          <w:sz w:val="20"/>
          <w:szCs w:val="20"/>
          <w:lang w:eastAsia="zh-CN"/>
        </w:rPr>
      </w:pPr>
      <w:r>
        <w:rPr>
          <w:rFonts w:hint="eastAsia" w:ascii="宋体" w:hAnsi="宋体" w:cs="宋体"/>
          <w:sz w:val="20"/>
          <w:szCs w:val="20"/>
          <w:lang w:eastAsia="zh-CN"/>
        </w:rPr>
        <w:t>参加报价者，请于202</w:t>
      </w:r>
      <w:r>
        <w:rPr>
          <w:rFonts w:hint="eastAsia" w:ascii="宋体" w:hAnsi="宋体" w:cs="宋体"/>
          <w:sz w:val="20"/>
          <w:szCs w:val="20"/>
          <w:lang w:val="en-US" w:eastAsia="zh-CN"/>
        </w:rPr>
        <w:t>5</w:t>
      </w:r>
      <w:r>
        <w:rPr>
          <w:rFonts w:hint="eastAsia" w:ascii="宋体" w:hAnsi="宋体" w:cs="宋体"/>
          <w:sz w:val="20"/>
          <w:szCs w:val="20"/>
          <w:lang w:eastAsia="zh-CN"/>
        </w:rPr>
        <w:t>年</w:t>
      </w:r>
      <w:r>
        <w:rPr>
          <w:rFonts w:hint="eastAsia" w:ascii="宋体" w:hAnsi="宋体" w:cs="宋体"/>
          <w:sz w:val="20"/>
          <w:szCs w:val="20"/>
          <w:lang w:val="en-US" w:eastAsia="zh-CN"/>
        </w:rPr>
        <w:t>3</w:t>
      </w:r>
      <w:r>
        <w:rPr>
          <w:rFonts w:hint="eastAsia" w:ascii="宋体" w:hAnsi="宋体" w:cs="宋体"/>
          <w:sz w:val="20"/>
          <w:szCs w:val="20"/>
          <w:lang w:eastAsia="zh-CN"/>
        </w:rPr>
        <w:t>月</w:t>
      </w:r>
      <w:r>
        <w:rPr>
          <w:rFonts w:hint="eastAsia" w:ascii="宋体" w:hAnsi="宋体" w:cs="宋体"/>
          <w:sz w:val="20"/>
          <w:szCs w:val="20"/>
          <w:lang w:val="en-US" w:eastAsia="zh-CN"/>
        </w:rPr>
        <w:t>31</w:t>
      </w:r>
      <w:r>
        <w:rPr>
          <w:rFonts w:hint="eastAsia" w:ascii="宋体" w:hAnsi="宋体" w:cs="宋体"/>
          <w:sz w:val="20"/>
          <w:szCs w:val="20"/>
          <w:lang w:eastAsia="zh-CN"/>
        </w:rPr>
        <w:t>日</w:t>
      </w:r>
      <w:r>
        <w:rPr>
          <w:rFonts w:hint="eastAsia" w:ascii="宋体" w:hAnsi="宋体" w:cs="宋体"/>
          <w:sz w:val="20"/>
          <w:szCs w:val="20"/>
          <w:lang w:val="en-US" w:eastAsia="zh-CN"/>
        </w:rPr>
        <w:t>10</w:t>
      </w:r>
      <w:r>
        <w:rPr>
          <w:rFonts w:hint="eastAsia" w:ascii="宋体" w:hAnsi="宋体" w:cs="宋体"/>
          <w:sz w:val="20"/>
          <w:szCs w:val="20"/>
          <w:lang w:eastAsia="zh-CN"/>
        </w:rPr>
        <w:t>时至202</w:t>
      </w:r>
      <w:r>
        <w:rPr>
          <w:rFonts w:hint="eastAsia" w:ascii="宋体" w:hAnsi="宋体" w:cs="宋体"/>
          <w:sz w:val="20"/>
          <w:szCs w:val="20"/>
          <w:lang w:val="en-US" w:eastAsia="zh-CN"/>
        </w:rPr>
        <w:t>5</w:t>
      </w:r>
      <w:r>
        <w:rPr>
          <w:rFonts w:hint="eastAsia" w:ascii="宋体" w:hAnsi="宋体" w:cs="宋体"/>
          <w:sz w:val="20"/>
          <w:szCs w:val="20"/>
          <w:lang w:eastAsia="zh-CN"/>
        </w:rPr>
        <w:t>年</w:t>
      </w:r>
      <w:r>
        <w:rPr>
          <w:rFonts w:hint="eastAsia" w:ascii="宋体" w:hAnsi="宋体" w:cs="宋体"/>
          <w:sz w:val="20"/>
          <w:szCs w:val="20"/>
          <w:lang w:val="en-US" w:eastAsia="zh-CN"/>
        </w:rPr>
        <w:t>4</w:t>
      </w:r>
      <w:r>
        <w:rPr>
          <w:rFonts w:hint="eastAsia" w:ascii="宋体" w:hAnsi="宋体" w:cs="宋体"/>
          <w:sz w:val="20"/>
          <w:szCs w:val="20"/>
          <w:lang w:eastAsia="zh-CN"/>
        </w:rPr>
        <w:t>月</w:t>
      </w:r>
      <w:r>
        <w:rPr>
          <w:rFonts w:hint="eastAsia" w:ascii="宋体" w:hAnsi="宋体" w:cs="宋体"/>
          <w:sz w:val="20"/>
          <w:szCs w:val="20"/>
          <w:lang w:val="en-US" w:eastAsia="zh-CN"/>
        </w:rPr>
        <w:t>3</w:t>
      </w:r>
      <w:r>
        <w:rPr>
          <w:rFonts w:hint="eastAsia" w:ascii="宋体" w:hAnsi="宋体" w:cs="宋体"/>
          <w:sz w:val="20"/>
          <w:szCs w:val="20"/>
          <w:lang w:eastAsia="zh-CN"/>
        </w:rPr>
        <w:t>日</w:t>
      </w:r>
      <w:r>
        <w:rPr>
          <w:rFonts w:hint="eastAsia" w:ascii="宋体" w:hAnsi="宋体" w:cs="宋体"/>
          <w:sz w:val="20"/>
          <w:szCs w:val="20"/>
          <w:lang w:val="en-US" w:eastAsia="zh-CN"/>
        </w:rPr>
        <w:t>11</w:t>
      </w:r>
      <w:r>
        <w:rPr>
          <w:rFonts w:hint="eastAsia" w:ascii="宋体" w:hAnsi="宋体" w:cs="宋体"/>
          <w:sz w:val="20"/>
          <w:szCs w:val="20"/>
          <w:lang w:eastAsia="zh-CN"/>
        </w:rPr>
        <w:t>时，(北京时间，下同)，登录中交集团供应链管理信息系统（网址：http://empm.ccccltd.cn）下载电子询价文件。</w:t>
      </w:r>
    </w:p>
    <w:p w14:paraId="4263EB1B">
      <w:pPr>
        <w:spacing w:after="0" w:line="360" w:lineRule="exact"/>
        <w:outlineLvl w:val="1"/>
        <w:rPr>
          <w:rFonts w:ascii="宋体" w:hAnsi="宋体" w:cs="宋体"/>
          <w:b/>
          <w:sz w:val="20"/>
          <w:szCs w:val="20"/>
          <w:lang w:eastAsia="zh-CN"/>
        </w:rPr>
      </w:pPr>
      <w:bookmarkStart w:id="18" w:name="_Toc15188"/>
      <w:r>
        <w:rPr>
          <w:rFonts w:hint="eastAsia" w:ascii="宋体" w:hAnsi="宋体" w:cs="宋体"/>
          <w:b/>
          <w:sz w:val="20"/>
          <w:szCs w:val="20"/>
          <w:lang w:eastAsia="zh-CN"/>
        </w:rPr>
        <w:t>4.报价文件的递交</w:t>
      </w:r>
      <w:bookmarkEnd w:id="18"/>
    </w:p>
    <w:p w14:paraId="6CA88559">
      <w:pPr>
        <w:spacing w:after="0"/>
        <w:ind w:firstLine="400" w:firstLineChars="200"/>
        <w:rPr>
          <w:rFonts w:ascii="宋体" w:hAnsi="宋体" w:cs="宋体"/>
          <w:sz w:val="20"/>
          <w:szCs w:val="20"/>
          <w:lang w:eastAsia="zh-CN"/>
        </w:rPr>
      </w:pPr>
      <w:r>
        <w:rPr>
          <w:rFonts w:hint="eastAsia" w:ascii="宋体" w:hAnsi="宋体" w:cs="宋体"/>
          <w:sz w:val="20"/>
          <w:szCs w:val="20"/>
          <w:lang w:eastAsia="zh-CN"/>
        </w:rPr>
        <w:t>4.1报价文件递交的时间为：网上投标时间为：202</w:t>
      </w:r>
      <w:r>
        <w:rPr>
          <w:rFonts w:hint="eastAsia" w:ascii="宋体" w:hAnsi="宋体" w:cs="宋体"/>
          <w:sz w:val="20"/>
          <w:szCs w:val="20"/>
          <w:lang w:val="en-US" w:eastAsia="zh-CN"/>
        </w:rPr>
        <w:t>5</w:t>
      </w:r>
      <w:r>
        <w:rPr>
          <w:rFonts w:hint="eastAsia" w:ascii="宋体" w:hAnsi="宋体" w:cs="宋体"/>
          <w:sz w:val="20"/>
          <w:szCs w:val="20"/>
          <w:lang w:eastAsia="zh-CN"/>
        </w:rPr>
        <w:t>年</w:t>
      </w:r>
      <w:r>
        <w:rPr>
          <w:rFonts w:hint="eastAsia" w:ascii="宋体" w:hAnsi="宋体" w:cs="宋体"/>
          <w:sz w:val="20"/>
          <w:szCs w:val="20"/>
          <w:lang w:val="en-US" w:eastAsia="zh-CN"/>
        </w:rPr>
        <w:t>4</w:t>
      </w:r>
      <w:r>
        <w:rPr>
          <w:rFonts w:hint="eastAsia" w:ascii="宋体" w:hAnsi="宋体" w:cs="宋体"/>
          <w:sz w:val="20"/>
          <w:szCs w:val="20"/>
          <w:lang w:eastAsia="zh-CN"/>
        </w:rPr>
        <w:t>月</w:t>
      </w:r>
      <w:r>
        <w:rPr>
          <w:rFonts w:hint="eastAsia" w:ascii="宋体" w:hAnsi="宋体" w:cs="宋体"/>
          <w:sz w:val="20"/>
          <w:szCs w:val="20"/>
          <w:lang w:val="en-US" w:eastAsia="zh-CN"/>
        </w:rPr>
        <w:t>3</w:t>
      </w:r>
      <w:r>
        <w:rPr>
          <w:rFonts w:hint="eastAsia" w:ascii="宋体" w:hAnsi="宋体" w:cs="宋体"/>
          <w:sz w:val="20"/>
          <w:szCs w:val="20"/>
          <w:lang w:eastAsia="zh-CN"/>
        </w:rPr>
        <w:t>日</w:t>
      </w:r>
      <w:r>
        <w:rPr>
          <w:rFonts w:hint="eastAsia" w:ascii="宋体" w:hAnsi="宋体" w:cs="宋体"/>
          <w:sz w:val="20"/>
          <w:szCs w:val="20"/>
          <w:lang w:val="en-US" w:eastAsia="zh-CN"/>
        </w:rPr>
        <w:t>12</w:t>
      </w:r>
      <w:r>
        <w:rPr>
          <w:rFonts w:hint="eastAsia" w:ascii="宋体" w:hAnsi="宋体" w:cs="宋体"/>
          <w:sz w:val="20"/>
          <w:szCs w:val="20"/>
          <w:lang w:eastAsia="zh-CN"/>
        </w:rPr>
        <w:t>时00分至</w:t>
      </w:r>
      <w:r>
        <w:rPr>
          <w:rFonts w:hint="eastAsia" w:ascii="宋体" w:hAnsi="宋体" w:cs="宋体"/>
          <w:sz w:val="20"/>
          <w:szCs w:val="20"/>
          <w:lang w:val="en-US" w:eastAsia="zh-CN"/>
        </w:rPr>
        <w:t>2025月4</w:t>
      </w:r>
      <w:r>
        <w:rPr>
          <w:rFonts w:hint="eastAsia" w:ascii="宋体" w:hAnsi="宋体" w:cs="宋体"/>
          <w:sz w:val="20"/>
          <w:szCs w:val="20"/>
          <w:lang w:eastAsia="zh-CN"/>
        </w:rPr>
        <w:t>日</w:t>
      </w:r>
      <w:r>
        <w:rPr>
          <w:rFonts w:hint="eastAsia" w:ascii="宋体" w:hAnsi="宋体" w:cs="宋体"/>
          <w:sz w:val="20"/>
          <w:szCs w:val="20"/>
          <w:lang w:val="en-US" w:eastAsia="zh-CN"/>
        </w:rPr>
        <w:t>4日14</w:t>
      </w:r>
      <w:r>
        <w:rPr>
          <w:rFonts w:hint="eastAsia" w:ascii="宋体" w:hAnsi="宋体" w:cs="宋体"/>
          <w:sz w:val="20"/>
          <w:szCs w:val="20"/>
          <w:lang w:eastAsia="zh-CN"/>
        </w:rPr>
        <w:t>时00分；本次询价采取通过在中交集团供应链管理信息系统进行线上网上投标，不组织线下询价，不用现场递交纸质标书。</w:t>
      </w:r>
    </w:p>
    <w:p w14:paraId="46C4F454">
      <w:pPr>
        <w:autoSpaceDE w:val="0"/>
        <w:autoSpaceDN w:val="0"/>
        <w:adjustRightInd w:val="0"/>
        <w:spacing w:after="0" w:line="400" w:lineRule="exact"/>
        <w:ind w:firstLine="400" w:firstLineChars="200"/>
        <w:rPr>
          <w:rFonts w:ascii="宋体" w:hAnsi="宋体" w:cs="宋体"/>
          <w:sz w:val="20"/>
          <w:szCs w:val="20"/>
          <w:lang w:eastAsia="zh-CN"/>
        </w:rPr>
      </w:pPr>
      <w:r>
        <w:rPr>
          <w:rFonts w:hint="eastAsia" w:ascii="宋体" w:hAnsi="宋体" w:cs="宋体"/>
          <w:sz w:val="20"/>
          <w:szCs w:val="20"/>
          <w:lang w:eastAsia="zh-CN"/>
        </w:rPr>
        <w:t>4.2逾期上传的电子版投标文件，电子询价交易平台将予以拒收。</w:t>
      </w:r>
    </w:p>
    <w:p w14:paraId="640476CE">
      <w:pPr>
        <w:tabs>
          <w:tab w:val="left" w:pos="400"/>
        </w:tabs>
        <w:spacing w:after="0" w:line="360" w:lineRule="exact"/>
        <w:jc w:val="both"/>
        <w:outlineLvl w:val="1"/>
        <w:rPr>
          <w:rFonts w:ascii="宋体" w:hAnsi="宋体" w:cs="宋体"/>
          <w:b/>
          <w:sz w:val="20"/>
          <w:szCs w:val="20"/>
          <w:lang w:eastAsia="zh-CN"/>
        </w:rPr>
      </w:pPr>
      <w:bookmarkStart w:id="19" w:name="_Toc6590"/>
      <w:r>
        <w:rPr>
          <w:rFonts w:hint="eastAsia" w:ascii="宋体" w:hAnsi="宋体" w:cs="宋体"/>
          <w:b/>
          <w:sz w:val="20"/>
          <w:szCs w:val="20"/>
          <w:lang w:eastAsia="zh-CN"/>
        </w:rPr>
        <w:t>5. 发布询价公告的媒介</w:t>
      </w:r>
      <w:bookmarkEnd w:id="19"/>
    </w:p>
    <w:p w14:paraId="14249343">
      <w:pPr>
        <w:spacing w:after="0" w:line="360" w:lineRule="exact"/>
        <w:ind w:firstLine="300" w:firstLineChars="150"/>
        <w:rPr>
          <w:rFonts w:ascii="宋体" w:hAnsi="宋体" w:cs="宋体"/>
          <w:sz w:val="20"/>
          <w:szCs w:val="20"/>
        </w:rPr>
      </w:pPr>
      <w:r>
        <w:rPr>
          <w:rFonts w:hint="eastAsia" w:ascii="宋体" w:hAnsi="宋体" w:cs="宋体"/>
          <w:sz w:val="20"/>
          <w:szCs w:val="20"/>
        </w:rPr>
        <w:t>本次</w:t>
      </w:r>
      <w:r>
        <w:rPr>
          <w:rFonts w:hint="eastAsia" w:ascii="宋体" w:hAnsi="宋体" w:cs="宋体"/>
          <w:sz w:val="20"/>
          <w:szCs w:val="20"/>
          <w:lang w:eastAsia="zh-CN"/>
        </w:rPr>
        <w:t>询价</w:t>
      </w:r>
      <w:r>
        <w:rPr>
          <w:rFonts w:hint="eastAsia" w:ascii="宋体" w:hAnsi="宋体" w:cs="宋体"/>
          <w:sz w:val="20"/>
          <w:szCs w:val="20"/>
        </w:rPr>
        <w:t>公告在</w:t>
      </w:r>
      <w:r>
        <w:rPr>
          <w:rFonts w:hint="eastAsia" w:ascii="宋体" w:hAnsi="宋体" w:cs="宋体"/>
          <w:sz w:val="20"/>
          <w:szCs w:val="20"/>
          <w:lang w:eastAsia="zh-CN"/>
        </w:rPr>
        <w:t>中交集团供应链管理信息系统</w:t>
      </w:r>
      <w:r>
        <w:rPr>
          <w:rFonts w:hint="eastAsia" w:ascii="宋体" w:hAnsi="宋体" w:cs="宋体"/>
          <w:sz w:val="20"/>
          <w:szCs w:val="20"/>
        </w:rPr>
        <w:t>（网址：</w:t>
      </w:r>
      <w:r>
        <w:fldChar w:fldCharType="begin"/>
      </w:r>
      <w:r>
        <w:instrText xml:space="preserve"> HYPERLINK "http://empm.ccccltd.cn）供应商门户（http:/114.255.239.58/PMS/" </w:instrText>
      </w:r>
      <w:r>
        <w:fldChar w:fldCharType="separate"/>
      </w:r>
      <w:r>
        <w:rPr>
          <w:rFonts w:hint="eastAsia" w:ascii="宋体" w:hAnsi="宋体" w:cs="宋体"/>
          <w:sz w:val="20"/>
          <w:szCs w:val="20"/>
        </w:rPr>
        <w:t>http://empm.ccccltd.cn）供应商门户（http://114.255.239.58/PMS/</w:t>
      </w:r>
      <w:r>
        <w:rPr>
          <w:rFonts w:hint="eastAsia" w:ascii="宋体" w:hAnsi="宋体" w:cs="宋体"/>
          <w:sz w:val="20"/>
          <w:szCs w:val="20"/>
        </w:rPr>
        <w:fldChar w:fldCharType="end"/>
      </w:r>
      <w:r>
        <w:rPr>
          <w:rFonts w:hint="eastAsia" w:ascii="宋体" w:hAnsi="宋体" w:cs="宋体"/>
          <w:sz w:val="20"/>
          <w:szCs w:val="20"/>
        </w:rPr>
        <w:t>）上发布。</w:t>
      </w:r>
    </w:p>
    <w:p w14:paraId="5B2EC92A">
      <w:pPr>
        <w:pStyle w:val="16"/>
        <w:spacing w:before="0" w:line="360" w:lineRule="exact"/>
        <w:rPr>
          <w:rFonts w:ascii="宋体" w:hAnsi="宋体"/>
          <w:b/>
          <w:sz w:val="20"/>
          <w:lang w:eastAsia="zh-CN"/>
        </w:rPr>
      </w:pPr>
      <w:bookmarkStart w:id="20" w:name="_Toc25410"/>
      <w:bookmarkStart w:id="21" w:name="_Toc15388"/>
      <w:bookmarkStart w:id="22" w:name="_Toc437329903"/>
      <w:bookmarkStart w:id="23" w:name="_Toc26468"/>
      <w:r>
        <w:rPr>
          <w:rFonts w:hint="eastAsia" w:ascii="宋体" w:hAnsi="宋体"/>
          <w:b/>
          <w:sz w:val="20"/>
          <w:lang w:eastAsia="zh-CN"/>
        </w:rPr>
        <w:t>6. 开标</w:t>
      </w:r>
      <w:bookmarkEnd w:id="20"/>
      <w:bookmarkEnd w:id="21"/>
      <w:bookmarkEnd w:id="22"/>
      <w:bookmarkEnd w:id="23"/>
    </w:p>
    <w:p w14:paraId="64CDDC6B">
      <w:pPr>
        <w:spacing w:after="0" w:line="360" w:lineRule="exact"/>
        <w:rPr>
          <w:rFonts w:ascii="宋体" w:hAnsi="宋体" w:cs="宋体"/>
          <w:sz w:val="20"/>
          <w:szCs w:val="20"/>
          <w:lang w:eastAsia="zh-CN"/>
        </w:rPr>
      </w:pPr>
      <w:r>
        <w:rPr>
          <w:rFonts w:hint="eastAsia" w:ascii="宋体" w:hAnsi="宋体" w:cs="宋体"/>
          <w:sz w:val="20"/>
          <w:szCs w:val="20"/>
          <w:lang w:eastAsia="zh-CN"/>
        </w:rPr>
        <w:t xml:space="preserve">  6.1开标时间：</w:t>
      </w:r>
      <w:r>
        <w:rPr>
          <w:rFonts w:hint="eastAsia" w:ascii="宋体" w:hAnsi="宋体" w:cs="宋体"/>
          <w:b/>
          <w:sz w:val="20"/>
          <w:szCs w:val="20"/>
          <w:lang w:eastAsia="zh-CN"/>
        </w:rPr>
        <w:t>202</w:t>
      </w:r>
      <w:r>
        <w:rPr>
          <w:rFonts w:hint="eastAsia" w:ascii="宋体" w:hAnsi="宋体" w:cs="宋体"/>
          <w:b/>
          <w:sz w:val="20"/>
          <w:szCs w:val="20"/>
          <w:lang w:val="en-US" w:eastAsia="zh-CN"/>
        </w:rPr>
        <w:t>5</w:t>
      </w:r>
      <w:r>
        <w:rPr>
          <w:rFonts w:hint="eastAsia" w:ascii="宋体" w:hAnsi="宋体" w:cs="宋体"/>
          <w:b/>
          <w:sz w:val="20"/>
          <w:szCs w:val="20"/>
          <w:lang w:eastAsia="zh-CN"/>
        </w:rPr>
        <w:t>年</w:t>
      </w:r>
      <w:r>
        <w:rPr>
          <w:rFonts w:hint="eastAsia" w:ascii="宋体" w:hAnsi="宋体" w:cs="宋体"/>
          <w:b/>
          <w:sz w:val="20"/>
          <w:szCs w:val="20"/>
          <w:lang w:val="en-US" w:eastAsia="zh-CN"/>
        </w:rPr>
        <w:t>4</w:t>
      </w:r>
      <w:r>
        <w:rPr>
          <w:rFonts w:hint="eastAsia" w:ascii="宋体" w:hAnsi="宋体" w:cs="宋体"/>
          <w:b/>
          <w:sz w:val="20"/>
          <w:szCs w:val="20"/>
          <w:lang w:eastAsia="zh-CN"/>
        </w:rPr>
        <w:t>月</w:t>
      </w:r>
      <w:r>
        <w:rPr>
          <w:rFonts w:hint="eastAsia" w:ascii="宋体" w:hAnsi="宋体" w:cs="宋体"/>
          <w:b/>
          <w:sz w:val="20"/>
          <w:szCs w:val="20"/>
          <w:lang w:val="en-US" w:eastAsia="zh-CN"/>
        </w:rPr>
        <w:t>4</w:t>
      </w:r>
      <w:r>
        <w:rPr>
          <w:rFonts w:hint="eastAsia" w:ascii="宋体" w:hAnsi="宋体" w:cs="宋体"/>
          <w:b/>
          <w:sz w:val="20"/>
          <w:szCs w:val="20"/>
          <w:lang w:eastAsia="zh-CN"/>
        </w:rPr>
        <w:t>日</w:t>
      </w:r>
      <w:r>
        <w:rPr>
          <w:rFonts w:hint="eastAsia" w:ascii="宋体" w:hAnsi="宋体" w:cs="宋体"/>
          <w:b/>
          <w:sz w:val="20"/>
          <w:szCs w:val="20"/>
          <w:lang w:val="en-US" w:eastAsia="zh-CN"/>
        </w:rPr>
        <w:t>14</w:t>
      </w:r>
      <w:r>
        <w:rPr>
          <w:rFonts w:hint="eastAsia" w:ascii="宋体" w:hAnsi="宋体" w:cs="宋体"/>
          <w:b/>
          <w:sz w:val="20"/>
          <w:szCs w:val="20"/>
          <w:lang w:eastAsia="zh-CN"/>
        </w:rPr>
        <w:t>时00分。</w:t>
      </w:r>
    </w:p>
    <w:p w14:paraId="0CA4FBA8">
      <w:pPr>
        <w:spacing w:after="0" w:line="360" w:lineRule="exact"/>
        <w:rPr>
          <w:rFonts w:ascii="宋体" w:hAnsi="宋体" w:cs="宋体"/>
          <w:sz w:val="20"/>
          <w:szCs w:val="20"/>
          <w:lang w:eastAsia="zh-CN"/>
        </w:rPr>
      </w:pPr>
      <w:r>
        <w:rPr>
          <w:rFonts w:hint="eastAsia" w:ascii="宋体" w:hAnsi="宋体" w:cs="宋体"/>
          <w:sz w:val="20"/>
          <w:szCs w:val="20"/>
          <w:lang w:eastAsia="zh-CN"/>
        </w:rPr>
        <w:t xml:space="preserve">  6.2开标地点：</w:t>
      </w:r>
      <w:r>
        <w:rPr>
          <w:rFonts w:hint="eastAsia" w:ascii="宋体" w:hAnsi="宋体" w:cs="宋体"/>
          <w:bCs/>
          <w:sz w:val="20"/>
          <w:szCs w:val="20"/>
          <w:lang w:eastAsia="zh-CN"/>
        </w:rPr>
        <w:t>本次询价在</w:t>
      </w:r>
      <w:r>
        <w:rPr>
          <w:rFonts w:hint="eastAsia" w:ascii="宋体" w:hAnsi="宋体" w:cs="宋体"/>
          <w:sz w:val="20"/>
          <w:szCs w:val="20"/>
          <w:lang w:eastAsia="zh-CN"/>
        </w:rPr>
        <w:t>中交集团供应链管理信息系统</w:t>
      </w:r>
      <w:r>
        <w:rPr>
          <w:rFonts w:hint="eastAsia" w:ascii="宋体" w:hAnsi="宋体" w:cs="宋体"/>
          <w:bCs/>
          <w:sz w:val="20"/>
          <w:szCs w:val="20"/>
          <w:lang w:eastAsia="zh-CN"/>
        </w:rPr>
        <w:t>线上开标，不举办现场开标会议。</w:t>
      </w:r>
    </w:p>
    <w:p w14:paraId="1CA0EABD">
      <w:pPr>
        <w:spacing w:after="0" w:line="360" w:lineRule="exact"/>
        <w:outlineLvl w:val="1"/>
        <w:rPr>
          <w:rFonts w:ascii="宋体" w:hAnsi="宋体" w:cs="宋体"/>
          <w:b/>
          <w:sz w:val="20"/>
          <w:szCs w:val="20"/>
          <w:lang w:eastAsia="zh-CN"/>
        </w:rPr>
      </w:pPr>
      <w:bookmarkStart w:id="24" w:name="_Toc28703"/>
      <w:r>
        <w:rPr>
          <w:rFonts w:hint="eastAsia" w:ascii="宋体" w:hAnsi="宋体" w:cs="宋体"/>
          <w:b/>
          <w:sz w:val="20"/>
          <w:szCs w:val="20"/>
          <w:lang w:eastAsia="zh-CN"/>
        </w:rPr>
        <w:t>7.联系方式</w:t>
      </w:r>
      <w:bookmarkEnd w:id="24"/>
    </w:p>
    <w:p w14:paraId="52D1CD50">
      <w:pPr>
        <w:pStyle w:val="2"/>
        <w:rPr>
          <w:sz w:val="20"/>
          <w:szCs w:val="20"/>
          <w:lang w:eastAsia="zh-CN"/>
        </w:rPr>
      </w:pPr>
    </w:p>
    <w:p w14:paraId="5AF28412">
      <w:pPr>
        <w:spacing w:line="240" w:lineRule="auto"/>
        <w:ind w:left="113"/>
        <w:rPr>
          <w:rFonts w:hint="default" w:ascii="宋体" w:hAnsi="宋体" w:cs="宋体"/>
          <w:color w:val="000000"/>
          <w:position w:val="-3"/>
          <w:sz w:val="20"/>
          <w:szCs w:val="20"/>
          <w:lang w:val="en-US" w:eastAsia="zh-CN"/>
        </w:rPr>
      </w:pPr>
      <w:r>
        <w:rPr>
          <w:rFonts w:hint="eastAsia" w:ascii="宋体" w:hAnsi="宋体" w:cs="宋体"/>
          <w:color w:val="000000"/>
          <w:position w:val="-3"/>
          <w:sz w:val="20"/>
          <w:szCs w:val="20"/>
          <w:lang w:eastAsia="zh-CN"/>
        </w:rPr>
        <w:t>询价人：</w:t>
      </w:r>
      <w:r>
        <w:rPr>
          <w:rFonts w:hint="eastAsia" w:ascii="宋体" w:hAnsi="宋体" w:cs="宋体"/>
          <w:color w:val="000000"/>
          <w:position w:val="-3"/>
          <w:sz w:val="20"/>
          <w:szCs w:val="20"/>
          <w:lang w:val="en-US" w:eastAsia="zh-CN"/>
        </w:rPr>
        <w:t>中交第二公路工程局有限公司枣庄翼云机场快速路施工总承包项目经理部</w:t>
      </w:r>
    </w:p>
    <w:p w14:paraId="6985AA83">
      <w:pPr>
        <w:spacing w:line="240" w:lineRule="auto"/>
        <w:ind w:left="113"/>
        <w:rPr>
          <w:rFonts w:hint="default" w:ascii="宋体" w:hAnsi="宋体" w:cs="宋体"/>
          <w:color w:val="000000"/>
          <w:position w:val="-3"/>
          <w:sz w:val="20"/>
          <w:szCs w:val="20"/>
          <w:lang w:val="en-US" w:eastAsia="zh-CN"/>
        </w:rPr>
      </w:pPr>
      <w:r>
        <w:rPr>
          <w:rFonts w:hint="eastAsia" w:ascii="宋体" w:hAnsi="宋体" w:cs="宋体"/>
          <w:color w:val="000000"/>
          <w:position w:val="-3"/>
          <w:sz w:val="20"/>
          <w:szCs w:val="20"/>
          <w:lang w:eastAsia="zh-CN"/>
        </w:rPr>
        <w:t>地址：山东省</w:t>
      </w:r>
      <w:r>
        <w:rPr>
          <w:rFonts w:hint="eastAsia" w:ascii="宋体" w:hAnsi="宋体" w:cs="宋体"/>
          <w:color w:val="000000"/>
          <w:position w:val="-3"/>
          <w:sz w:val="20"/>
          <w:szCs w:val="20"/>
          <w:lang w:val="en-US" w:eastAsia="zh-CN"/>
        </w:rPr>
        <w:t>枣庄市山亭区</w:t>
      </w:r>
    </w:p>
    <w:p w14:paraId="1EA993CF">
      <w:pPr>
        <w:spacing w:line="240" w:lineRule="auto"/>
        <w:ind w:left="113"/>
        <w:rPr>
          <w:rFonts w:ascii="宋体" w:hAnsi="宋体" w:cs="宋体"/>
          <w:color w:val="000000"/>
          <w:position w:val="-3"/>
          <w:sz w:val="20"/>
          <w:szCs w:val="20"/>
          <w:lang w:eastAsia="zh-CN"/>
        </w:rPr>
      </w:pPr>
      <w:r>
        <w:rPr>
          <w:rFonts w:hint="eastAsia" w:ascii="宋体" w:hAnsi="宋体" w:cs="宋体"/>
          <w:color w:val="000000"/>
          <w:position w:val="-3"/>
          <w:sz w:val="20"/>
          <w:szCs w:val="20"/>
          <w:lang w:eastAsia="zh-CN"/>
        </w:rPr>
        <w:t>联系人：</w:t>
      </w:r>
      <w:r>
        <w:rPr>
          <w:rFonts w:hint="eastAsia" w:ascii="宋体" w:hAnsi="宋体" w:cs="宋体"/>
          <w:color w:val="000000"/>
          <w:position w:val="-3"/>
          <w:sz w:val="20"/>
          <w:szCs w:val="20"/>
          <w:lang w:val="en-US" w:eastAsia="zh-CN"/>
        </w:rPr>
        <w:t>张谦一</w:t>
      </w:r>
      <w:r>
        <w:rPr>
          <w:rFonts w:hint="eastAsia" w:ascii="宋体" w:hAnsi="宋体" w:cs="宋体"/>
          <w:color w:val="000000"/>
          <w:position w:val="-3"/>
          <w:sz w:val="20"/>
          <w:szCs w:val="20"/>
          <w:lang w:eastAsia="zh-CN"/>
        </w:rPr>
        <w:t>（操作指导、技术答疑）</w:t>
      </w:r>
    </w:p>
    <w:p w14:paraId="5868E276">
      <w:pPr>
        <w:spacing w:line="240" w:lineRule="auto"/>
        <w:ind w:left="113"/>
        <w:rPr>
          <w:rFonts w:hint="default" w:ascii="宋体" w:hAnsi="宋体" w:cs="宋体"/>
          <w:color w:val="000000"/>
          <w:position w:val="-3"/>
          <w:sz w:val="20"/>
          <w:szCs w:val="20"/>
          <w:lang w:val="en-US" w:eastAsia="zh-CN"/>
        </w:rPr>
      </w:pPr>
      <w:r>
        <w:rPr>
          <w:rFonts w:hint="eastAsia" w:ascii="宋体" w:hAnsi="宋体" w:cs="宋体"/>
          <w:color w:val="000000"/>
          <w:position w:val="-3"/>
          <w:sz w:val="20"/>
          <w:szCs w:val="20"/>
          <w:lang w:eastAsia="zh-CN"/>
        </w:rPr>
        <w:t>电话：</w:t>
      </w:r>
      <w:r>
        <w:rPr>
          <w:rFonts w:hint="eastAsia" w:ascii="宋体" w:hAnsi="宋体" w:cs="宋体"/>
          <w:color w:val="000000"/>
          <w:position w:val="-3"/>
          <w:sz w:val="20"/>
          <w:szCs w:val="20"/>
          <w:lang w:val="en-US" w:eastAsia="zh-CN"/>
        </w:rPr>
        <w:t>17862981835</w:t>
      </w:r>
      <w:bookmarkEnd w:id="17"/>
    </w:p>
    <w:bookmarkEnd w:id="66"/>
    <w:p w14:paraId="0B617D12">
      <w:pPr>
        <w:pStyle w:val="14"/>
      </w:pPr>
    </w:p>
    <w:p w14:paraId="3BA2B6F9">
      <w:pPr>
        <w:pStyle w:val="14"/>
      </w:pPr>
    </w:p>
    <w:p w14:paraId="6EBCCBF9">
      <w:pPr>
        <w:pStyle w:val="14"/>
      </w:pPr>
    </w:p>
    <w:p w14:paraId="143B7466">
      <w:pPr>
        <w:pStyle w:val="14"/>
      </w:pPr>
    </w:p>
    <w:p w14:paraId="658119D1">
      <w:pPr>
        <w:pStyle w:val="14"/>
      </w:pPr>
    </w:p>
    <w:p w14:paraId="54E48597">
      <w:pPr>
        <w:pStyle w:val="14"/>
      </w:pPr>
    </w:p>
    <w:p w14:paraId="455ACF24">
      <w:pPr>
        <w:pStyle w:val="14"/>
      </w:pPr>
    </w:p>
    <w:p w14:paraId="232656CC">
      <w:pPr>
        <w:pStyle w:val="14"/>
      </w:pPr>
    </w:p>
    <w:p w14:paraId="05947D36">
      <w:pPr>
        <w:pStyle w:val="14"/>
      </w:pPr>
    </w:p>
    <w:p w14:paraId="49C95B76">
      <w:pPr>
        <w:pStyle w:val="14"/>
      </w:pPr>
    </w:p>
    <w:p w14:paraId="40BBCCA5">
      <w:pPr>
        <w:pStyle w:val="14"/>
      </w:pPr>
    </w:p>
    <w:p w14:paraId="224E5884">
      <w:pPr>
        <w:pStyle w:val="14"/>
      </w:pPr>
    </w:p>
    <w:p w14:paraId="38B1C954">
      <w:pPr>
        <w:pStyle w:val="14"/>
      </w:pPr>
    </w:p>
    <w:p w14:paraId="41596CB8">
      <w:pPr>
        <w:pStyle w:val="14"/>
      </w:pPr>
    </w:p>
    <w:p w14:paraId="0A23F865">
      <w:pPr>
        <w:pStyle w:val="14"/>
      </w:pPr>
    </w:p>
    <w:p w14:paraId="3D403E8E">
      <w:pPr>
        <w:pStyle w:val="14"/>
      </w:pPr>
    </w:p>
    <w:p w14:paraId="35A3E3A5">
      <w:pPr>
        <w:pStyle w:val="14"/>
        <w:rPr>
          <w:rFonts w:hAnsi="宋体"/>
          <w:position w:val="-3"/>
          <w:sz w:val="20"/>
          <w:szCs w:val="20"/>
        </w:rPr>
      </w:pPr>
    </w:p>
    <w:p w14:paraId="5FD45248">
      <w:pPr>
        <w:pStyle w:val="14"/>
        <w:rPr>
          <w:rFonts w:hAnsi="宋体"/>
          <w:position w:val="-3"/>
          <w:sz w:val="20"/>
          <w:szCs w:val="20"/>
        </w:rPr>
      </w:pPr>
    </w:p>
    <w:p w14:paraId="44112F13">
      <w:pPr>
        <w:spacing w:line="400" w:lineRule="exact"/>
        <w:ind w:firstLine="640" w:firstLineChars="200"/>
        <w:jc w:val="center"/>
        <w:outlineLvl w:val="0"/>
        <w:rPr>
          <w:rFonts w:ascii="宋体" w:hAnsi="宋体"/>
          <w:b/>
          <w:bCs/>
          <w:sz w:val="32"/>
          <w:lang w:eastAsia="zh-CN"/>
        </w:rPr>
      </w:pPr>
      <w:bookmarkStart w:id="25" w:name="_Toc179632627"/>
      <w:bookmarkStart w:id="26" w:name="_Toc26827"/>
      <w:bookmarkStart w:id="27" w:name="_Toc498360345"/>
      <w:bookmarkStart w:id="28" w:name="_Toc416274644"/>
      <w:bookmarkStart w:id="29" w:name="_Toc238797615"/>
      <w:bookmarkStart w:id="30" w:name="_Toc420317848"/>
      <w:bookmarkStart w:id="31" w:name="_Toc436825009"/>
      <w:bookmarkStart w:id="32" w:name="_Toc238552260"/>
      <w:bookmarkStart w:id="33" w:name="_Toc20227"/>
      <w:r>
        <w:rPr>
          <w:rFonts w:hint="eastAsia" w:ascii="宋体" w:hAnsi="宋体"/>
          <w:b/>
          <w:bCs/>
          <w:sz w:val="32"/>
          <w:lang w:eastAsia="zh-CN"/>
        </w:rPr>
        <w:t>第二章采购合同条款及格式</w:t>
      </w:r>
      <w:bookmarkEnd w:id="25"/>
      <w:bookmarkEnd w:id="26"/>
      <w:bookmarkEnd w:id="27"/>
      <w:bookmarkEnd w:id="28"/>
      <w:bookmarkEnd w:id="29"/>
      <w:bookmarkEnd w:id="30"/>
      <w:bookmarkEnd w:id="31"/>
      <w:bookmarkEnd w:id="32"/>
      <w:bookmarkEnd w:id="33"/>
    </w:p>
    <w:p w14:paraId="3B0FF006">
      <w:pPr>
        <w:pStyle w:val="10"/>
        <w:spacing w:before="0" w:beforeAutospacing="0" w:after="0" w:afterAutospacing="0" w:line="5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甲方：</w:t>
      </w:r>
      <w:r>
        <w:rPr>
          <w:rFonts w:hint="eastAsia" w:ascii="宋体" w:hAnsi="宋体" w:eastAsia="宋体" w:cs="宋体"/>
          <w:sz w:val="21"/>
          <w:szCs w:val="21"/>
          <w:u w:val="single"/>
        </w:rPr>
        <w:t xml:space="preserve">                             </w:t>
      </w:r>
      <w:r>
        <w:rPr>
          <w:rFonts w:hint="eastAsia" w:ascii="宋体" w:hAnsi="宋体" w:eastAsia="宋体" w:cs="宋体"/>
          <w:sz w:val="21"/>
          <w:szCs w:val="21"/>
        </w:rPr>
        <w:t>(需方)</w:t>
      </w:r>
    </w:p>
    <w:p w14:paraId="6BB8AEA6">
      <w:pPr>
        <w:pStyle w:val="10"/>
        <w:spacing w:before="0" w:beforeAutospacing="0" w:after="0" w:afterAutospacing="0" w:line="5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乙方：</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(供方) </w:t>
      </w:r>
    </w:p>
    <w:p w14:paraId="65F868B8">
      <w:pPr>
        <w:pStyle w:val="10"/>
        <w:spacing w:before="0" w:beforeAutospacing="0" w:after="0" w:afterAutospacing="0" w:line="480" w:lineRule="exact"/>
        <w:ind w:firstLine="420" w:firstLineChars="200"/>
        <w:jc w:val="both"/>
        <w:rPr>
          <w:rFonts w:hint="eastAsia" w:ascii="宋体" w:hAnsi="宋体" w:eastAsia="宋体" w:cs="宋体"/>
          <w:sz w:val="21"/>
          <w:szCs w:val="21"/>
        </w:rPr>
      </w:pPr>
      <w:r>
        <w:rPr>
          <w:rFonts w:hint="eastAsia" w:ascii="宋体" w:hAnsi="宋体" w:eastAsia="宋体" w:cs="宋体"/>
          <w:sz w:val="21"/>
          <w:szCs w:val="21"/>
        </w:rPr>
        <w:t>依照《中华人民共和国民法典》及相关法律法规，遵循合作共赢、平等、自愿、公平和诚信的原则，经双方协商，达成以下合同条款以兹共同遵守。</w:t>
      </w:r>
    </w:p>
    <w:p w14:paraId="21BFC92B">
      <w:pPr>
        <w:pStyle w:val="10"/>
        <w:spacing w:before="0" w:beforeAutospacing="0" w:after="0" w:afterAutospacing="0" w:line="500" w:lineRule="exact"/>
        <w:ind w:firstLine="420" w:firstLineChars="200"/>
        <w:jc w:val="both"/>
        <w:rPr>
          <w:rFonts w:hint="eastAsia" w:ascii="宋体" w:hAnsi="宋体" w:eastAsia="宋体" w:cs="宋体"/>
          <w:b/>
          <w:bCs/>
          <w:sz w:val="21"/>
          <w:szCs w:val="21"/>
        </w:rPr>
      </w:pPr>
      <w:r>
        <w:rPr>
          <w:rFonts w:hint="eastAsia" w:ascii="宋体" w:hAnsi="宋体" w:eastAsia="宋体" w:cs="宋体"/>
          <w:b/>
          <w:bCs/>
          <w:sz w:val="21"/>
          <w:szCs w:val="21"/>
        </w:rPr>
        <w:t>第一条  合同文件构成及解释顺序</w:t>
      </w:r>
    </w:p>
    <w:p w14:paraId="0926A7B7">
      <w:pPr>
        <w:spacing w:line="50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（一）本合同补充协议；</w:t>
      </w:r>
    </w:p>
    <w:p w14:paraId="38DA95A4">
      <w:pPr>
        <w:spacing w:line="500" w:lineRule="exact"/>
        <w:ind w:firstLine="420" w:firstLineChars="200"/>
        <w:rPr>
          <w:rFonts w:hint="eastAsia" w:ascii="宋体" w:hAnsi="宋体" w:eastAsia="宋体" w:cs="宋体"/>
          <w:color w:val="000000"/>
          <w:sz w:val="21"/>
          <w:szCs w:val="21"/>
        </w:rPr>
      </w:pPr>
      <w:r>
        <w:rPr>
          <w:rFonts w:hint="eastAsia" w:ascii="宋体" w:hAnsi="宋体" w:eastAsia="宋体" w:cs="宋体"/>
          <w:bCs/>
          <w:sz w:val="21"/>
          <w:szCs w:val="21"/>
        </w:rPr>
        <w:t>（二）</w:t>
      </w:r>
      <w:r>
        <w:rPr>
          <w:rFonts w:hint="eastAsia" w:ascii="宋体" w:hAnsi="宋体" w:eastAsia="宋体" w:cs="宋体"/>
          <w:color w:val="000000"/>
          <w:sz w:val="21"/>
          <w:szCs w:val="21"/>
        </w:rPr>
        <w:t>本合同及其附件；</w:t>
      </w:r>
    </w:p>
    <w:p w14:paraId="2167195E">
      <w:pPr>
        <w:spacing w:line="500" w:lineRule="exact"/>
        <w:ind w:firstLine="420" w:firstLineChars="200"/>
        <w:rPr>
          <w:rFonts w:hint="eastAsia" w:ascii="宋体" w:hAnsi="宋体" w:eastAsia="宋体" w:cs="宋体"/>
          <w:color w:val="000000"/>
          <w:sz w:val="21"/>
          <w:szCs w:val="21"/>
        </w:rPr>
      </w:pPr>
      <w:r>
        <w:rPr>
          <w:rFonts w:hint="eastAsia" w:ascii="宋体" w:hAnsi="宋体" w:eastAsia="宋体" w:cs="宋体"/>
          <w:bCs/>
          <w:sz w:val="21"/>
          <w:szCs w:val="21"/>
        </w:rPr>
        <w:t>（三）</w:t>
      </w:r>
      <w:r>
        <w:rPr>
          <w:rFonts w:hint="eastAsia" w:ascii="宋体" w:hAnsi="宋体" w:eastAsia="宋体" w:cs="宋体"/>
          <w:color w:val="000000"/>
          <w:sz w:val="21"/>
          <w:szCs w:val="21"/>
        </w:rPr>
        <w:t>合同履行中的会议纪要；</w:t>
      </w:r>
    </w:p>
    <w:p w14:paraId="211AF064">
      <w:pPr>
        <w:spacing w:line="500" w:lineRule="exact"/>
        <w:ind w:firstLine="420" w:firstLineChars="200"/>
        <w:rPr>
          <w:rFonts w:hint="eastAsia" w:ascii="宋体" w:hAnsi="宋体" w:eastAsia="宋体" w:cs="宋体"/>
          <w:bCs w:val="0"/>
          <w:color w:val="000000"/>
          <w:sz w:val="21"/>
          <w:szCs w:val="21"/>
        </w:rPr>
      </w:pPr>
      <w:r>
        <w:rPr>
          <w:rFonts w:hint="eastAsia" w:ascii="宋体" w:hAnsi="宋体" w:eastAsia="宋体" w:cs="宋体"/>
          <w:bCs w:val="0"/>
          <w:color w:val="000000"/>
          <w:sz w:val="21"/>
          <w:szCs w:val="21"/>
        </w:rPr>
        <w:t>（四）供应商投标报价文件及招标文件；</w:t>
      </w:r>
    </w:p>
    <w:p w14:paraId="5A486E95">
      <w:pPr>
        <w:spacing w:line="500" w:lineRule="exact"/>
        <w:ind w:firstLine="420" w:firstLineChars="200"/>
        <w:rPr>
          <w:rFonts w:hint="eastAsia" w:ascii="宋体" w:hAnsi="宋体" w:eastAsia="宋体" w:cs="宋体"/>
          <w:bCs w:val="0"/>
          <w:color w:val="000000"/>
          <w:sz w:val="21"/>
          <w:szCs w:val="21"/>
        </w:rPr>
      </w:pPr>
      <w:r>
        <w:rPr>
          <w:rFonts w:hint="eastAsia" w:ascii="宋体" w:hAnsi="宋体" w:eastAsia="宋体" w:cs="宋体"/>
          <w:color w:val="000000"/>
          <w:sz w:val="21"/>
          <w:szCs w:val="21"/>
        </w:rPr>
        <w:t>（五）双方约定的质量标准。</w:t>
      </w:r>
    </w:p>
    <w:p w14:paraId="55FDF542">
      <w:pPr>
        <w:spacing w:line="50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以上文件相互补充或解释，若存在冲突，以次序在前者优先适用。</w:t>
      </w:r>
    </w:p>
    <w:p w14:paraId="3D6B3B56">
      <w:pPr>
        <w:pStyle w:val="10"/>
        <w:spacing w:before="0" w:beforeAutospacing="0" w:after="0" w:afterAutospacing="0" w:line="500" w:lineRule="exact"/>
        <w:ind w:firstLine="420" w:firstLineChars="200"/>
        <w:jc w:val="both"/>
        <w:rPr>
          <w:rFonts w:hint="eastAsia" w:ascii="宋体" w:hAnsi="宋体" w:eastAsia="宋体" w:cs="宋体"/>
          <w:b/>
          <w:bCs/>
          <w:sz w:val="21"/>
          <w:szCs w:val="21"/>
        </w:rPr>
      </w:pPr>
      <w:r>
        <w:rPr>
          <w:rFonts w:hint="eastAsia" w:ascii="宋体" w:hAnsi="宋体" w:eastAsia="宋体" w:cs="宋体"/>
          <w:b/>
          <w:bCs/>
          <w:sz w:val="21"/>
          <w:szCs w:val="21"/>
        </w:rPr>
        <w:t>第二条  材料及合同价款</w:t>
      </w:r>
    </w:p>
    <w:p w14:paraId="6C2FA897">
      <w:pPr>
        <w:spacing w:line="500" w:lineRule="exact"/>
        <w:ind w:firstLine="420"/>
        <w:rPr>
          <w:rFonts w:hint="eastAsia" w:ascii="宋体" w:hAnsi="宋体" w:eastAsia="宋体" w:cs="宋体"/>
          <w:sz w:val="21"/>
          <w:szCs w:val="21"/>
        </w:rPr>
      </w:pPr>
      <w:r>
        <w:rPr>
          <w:rFonts w:hint="eastAsia" w:ascii="宋体" w:hAnsi="宋体" w:eastAsia="宋体" w:cs="宋体"/>
          <w:bCs/>
          <w:sz w:val="21"/>
          <w:szCs w:val="21"/>
        </w:rPr>
        <w:t>（一）</w:t>
      </w:r>
      <w:r>
        <w:rPr>
          <w:rFonts w:hint="eastAsia" w:ascii="宋体" w:hAnsi="宋体" w:eastAsia="宋体" w:cs="宋体"/>
          <w:sz w:val="21"/>
          <w:szCs w:val="21"/>
        </w:rPr>
        <w:t>材料基本情况:</w:t>
      </w:r>
    </w:p>
    <w:tbl>
      <w:tblPr>
        <w:tblStyle w:val="12"/>
        <w:tblW w:w="0" w:type="auto"/>
        <w:jc w:val="center"/>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05" w:type="dxa"/>
          <w:left w:w="105" w:type="dxa"/>
          <w:bottom w:w="105" w:type="dxa"/>
          <w:right w:w="105" w:type="dxa"/>
        </w:tblCellMar>
      </w:tblPr>
      <w:tblGrid>
        <w:gridCol w:w="834"/>
        <w:gridCol w:w="1224"/>
        <w:gridCol w:w="1128"/>
        <w:gridCol w:w="853"/>
        <w:gridCol w:w="1282"/>
        <w:gridCol w:w="1280"/>
        <w:gridCol w:w="1278"/>
        <w:gridCol w:w="876"/>
      </w:tblGrid>
      <w:tr w14:paraId="238181B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05" w:type="dxa"/>
            <w:left w:w="105" w:type="dxa"/>
            <w:bottom w:w="105" w:type="dxa"/>
            <w:right w:w="105" w:type="dxa"/>
          </w:tblCellMar>
        </w:tblPrEx>
        <w:trPr>
          <w:trHeight w:val="696" w:hRule="atLeast"/>
          <w:tblCellSpacing w:w="0" w:type="dxa"/>
          <w:jc w:val="center"/>
        </w:trPr>
        <w:tc>
          <w:tcPr>
            <w:tcW w:w="834" w:type="dxa"/>
            <w:tcBorders>
              <w:top w:val="single" w:color="auto" w:sz="4" w:space="0"/>
              <w:left w:val="single" w:color="auto" w:sz="4" w:space="0"/>
              <w:bottom w:val="single" w:color="auto" w:sz="4" w:space="0"/>
              <w:right w:val="single" w:color="auto" w:sz="4" w:space="0"/>
            </w:tcBorders>
            <w:noWrap w:val="0"/>
            <w:vAlign w:val="center"/>
          </w:tcPr>
          <w:p w14:paraId="4BF741E2">
            <w:pPr>
              <w:pStyle w:val="10"/>
              <w:spacing w:before="0" w:beforeAutospacing="0" w:after="0" w:afterAutospacing="0" w:line="240" w:lineRule="auto"/>
              <w:jc w:val="center"/>
              <w:rPr>
                <w:rFonts w:hint="eastAsia" w:ascii="仿宋" w:hAnsi="仿宋" w:eastAsia="仿宋" w:cs="Times New Roman"/>
                <w:sz w:val="21"/>
                <w:szCs w:val="21"/>
              </w:rPr>
            </w:pPr>
            <w:r>
              <w:rPr>
                <w:rFonts w:hint="eastAsia" w:ascii="仿宋" w:hAnsi="仿宋" w:eastAsia="仿宋" w:cs="Times New Roman"/>
                <w:sz w:val="21"/>
                <w:szCs w:val="21"/>
              </w:rPr>
              <w:t>序号</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4B66FD94">
            <w:pPr>
              <w:pStyle w:val="10"/>
              <w:spacing w:before="0" w:beforeAutospacing="0" w:after="0" w:afterAutospacing="0" w:line="240" w:lineRule="auto"/>
              <w:jc w:val="center"/>
              <w:rPr>
                <w:rFonts w:hint="eastAsia" w:ascii="仿宋" w:hAnsi="仿宋" w:eastAsia="仿宋" w:cs="Times New Roman"/>
                <w:sz w:val="21"/>
                <w:szCs w:val="21"/>
              </w:rPr>
            </w:pPr>
            <w:r>
              <w:rPr>
                <w:rFonts w:hint="eastAsia" w:ascii="仿宋" w:hAnsi="仿宋" w:eastAsia="仿宋" w:cs="Times New Roman"/>
                <w:sz w:val="21"/>
                <w:szCs w:val="21"/>
              </w:rPr>
              <w:t>材料</w:t>
            </w:r>
          </w:p>
          <w:p w14:paraId="11103F28">
            <w:pPr>
              <w:pStyle w:val="10"/>
              <w:spacing w:before="0" w:beforeAutospacing="0" w:after="0" w:afterAutospacing="0" w:line="240" w:lineRule="auto"/>
              <w:jc w:val="center"/>
              <w:rPr>
                <w:rFonts w:hint="eastAsia" w:ascii="仿宋" w:hAnsi="仿宋" w:eastAsia="仿宋" w:cs="Times New Roman"/>
                <w:sz w:val="21"/>
                <w:szCs w:val="21"/>
              </w:rPr>
            </w:pPr>
            <w:r>
              <w:rPr>
                <w:rFonts w:hint="eastAsia" w:ascii="仿宋" w:hAnsi="仿宋" w:eastAsia="仿宋" w:cs="Times New Roman"/>
                <w:sz w:val="21"/>
                <w:szCs w:val="21"/>
              </w:rPr>
              <w:t>名称</w:t>
            </w:r>
          </w:p>
        </w:tc>
        <w:tc>
          <w:tcPr>
            <w:tcW w:w="1128" w:type="dxa"/>
            <w:tcBorders>
              <w:top w:val="single" w:color="auto" w:sz="4" w:space="0"/>
              <w:left w:val="single" w:color="auto" w:sz="4" w:space="0"/>
              <w:bottom w:val="single" w:color="auto" w:sz="4" w:space="0"/>
              <w:right w:val="single" w:color="auto" w:sz="4" w:space="0"/>
            </w:tcBorders>
            <w:noWrap w:val="0"/>
            <w:vAlign w:val="center"/>
          </w:tcPr>
          <w:p w14:paraId="719DBD60">
            <w:pPr>
              <w:pStyle w:val="10"/>
              <w:spacing w:before="0" w:beforeAutospacing="0" w:after="0" w:afterAutospacing="0" w:line="240" w:lineRule="auto"/>
              <w:jc w:val="center"/>
              <w:rPr>
                <w:rFonts w:hint="eastAsia" w:ascii="仿宋" w:hAnsi="仿宋" w:eastAsia="仿宋" w:cs="Times New Roman"/>
                <w:sz w:val="21"/>
                <w:szCs w:val="21"/>
              </w:rPr>
            </w:pPr>
            <w:r>
              <w:rPr>
                <w:rFonts w:hint="eastAsia" w:ascii="仿宋" w:hAnsi="仿宋" w:eastAsia="仿宋" w:cs="Times New Roman"/>
                <w:sz w:val="21"/>
                <w:szCs w:val="21"/>
              </w:rPr>
              <w:t>型号</w:t>
            </w:r>
          </w:p>
          <w:p w14:paraId="6B17E6DC">
            <w:pPr>
              <w:pStyle w:val="10"/>
              <w:spacing w:before="0" w:beforeAutospacing="0" w:after="0" w:afterAutospacing="0" w:line="240" w:lineRule="auto"/>
              <w:jc w:val="center"/>
              <w:rPr>
                <w:rFonts w:hint="eastAsia" w:ascii="仿宋" w:hAnsi="仿宋" w:eastAsia="仿宋" w:cs="Times New Roman"/>
                <w:sz w:val="21"/>
                <w:szCs w:val="21"/>
              </w:rPr>
            </w:pPr>
            <w:r>
              <w:rPr>
                <w:rFonts w:hint="eastAsia" w:ascii="仿宋" w:hAnsi="仿宋" w:eastAsia="仿宋" w:cs="Times New Roman"/>
                <w:sz w:val="21"/>
                <w:szCs w:val="21"/>
              </w:rPr>
              <w:t>规格</w:t>
            </w:r>
          </w:p>
        </w:tc>
        <w:tc>
          <w:tcPr>
            <w:tcW w:w="853" w:type="dxa"/>
            <w:tcBorders>
              <w:top w:val="single" w:color="auto" w:sz="4" w:space="0"/>
              <w:left w:val="single" w:color="auto" w:sz="4" w:space="0"/>
              <w:bottom w:val="single" w:color="auto" w:sz="4" w:space="0"/>
              <w:right w:val="single" w:color="auto" w:sz="4" w:space="0"/>
            </w:tcBorders>
            <w:noWrap w:val="0"/>
            <w:vAlign w:val="center"/>
          </w:tcPr>
          <w:p w14:paraId="1DC1E095">
            <w:pPr>
              <w:pStyle w:val="10"/>
              <w:spacing w:before="0" w:beforeAutospacing="0" w:after="0" w:afterAutospacing="0" w:line="240" w:lineRule="auto"/>
              <w:jc w:val="center"/>
              <w:rPr>
                <w:rFonts w:hint="eastAsia" w:ascii="仿宋" w:hAnsi="仿宋" w:eastAsia="仿宋" w:cs="Times New Roman"/>
                <w:sz w:val="21"/>
                <w:szCs w:val="21"/>
              </w:rPr>
            </w:pPr>
            <w:r>
              <w:rPr>
                <w:rFonts w:hint="eastAsia" w:ascii="仿宋" w:hAnsi="仿宋" w:eastAsia="仿宋" w:cs="Times New Roman"/>
                <w:sz w:val="21"/>
                <w:szCs w:val="21"/>
              </w:rPr>
              <w:t>单位</w:t>
            </w:r>
          </w:p>
        </w:tc>
        <w:tc>
          <w:tcPr>
            <w:tcW w:w="1282" w:type="dxa"/>
            <w:tcBorders>
              <w:top w:val="single" w:color="auto" w:sz="4" w:space="0"/>
              <w:left w:val="single" w:color="auto" w:sz="4" w:space="0"/>
              <w:bottom w:val="single" w:color="auto" w:sz="4" w:space="0"/>
              <w:right w:val="single" w:color="auto" w:sz="4" w:space="0"/>
            </w:tcBorders>
            <w:noWrap w:val="0"/>
            <w:vAlign w:val="center"/>
          </w:tcPr>
          <w:p w14:paraId="721E9C9F">
            <w:pPr>
              <w:pStyle w:val="10"/>
              <w:spacing w:before="0" w:beforeAutospacing="0" w:after="0" w:afterAutospacing="0" w:line="240" w:lineRule="auto"/>
              <w:jc w:val="center"/>
              <w:rPr>
                <w:rFonts w:hint="eastAsia" w:ascii="仿宋" w:hAnsi="仿宋" w:eastAsia="仿宋" w:cs="Times New Roman"/>
                <w:sz w:val="21"/>
                <w:szCs w:val="21"/>
              </w:rPr>
            </w:pPr>
            <w:r>
              <w:rPr>
                <w:rFonts w:hint="eastAsia" w:ascii="仿宋" w:hAnsi="仿宋" w:eastAsia="仿宋" w:cs="Times New Roman"/>
                <w:sz w:val="21"/>
                <w:szCs w:val="21"/>
              </w:rPr>
              <w:t>暂定数量</w:t>
            </w:r>
          </w:p>
        </w:tc>
        <w:tc>
          <w:tcPr>
            <w:tcW w:w="1280" w:type="dxa"/>
            <w:tcBorders>
              <w:top w:val="single" w:color="auto" w:sz="4" w:space="0"/>
              <w:left w:val="single" w:color="auto" w:sz="4" w:space="0"/>
              <w:bottom w:val="single" w:color="auto" w:sz="4" w:space="0"/>
              <w:right w:val="single" w:color="auto" w:sz="4" w:space="0"/>
            </w:tcBorders>
            <w:noWrap w:val="0"/>
            <w:vAlign w:val="center"/>
          </w:tcPr>
          <w:p w14:paraId="402943DB">
            <w:pPr>
              <w:pStyle w:val="10"/>
              <w:spacing w:before="0" w:beforeAutospacing="0" w:after="0" w:afterAutospacing="0" w:line="240" w:lineRule="auto"/>
              <w:jc w:val="center"/>
              <w:rPr>
                <w:rFonts w:hint="eastAsia" w:ascii="仿宋" w:hAnsi="仿宋" w:eastAsia="仿宋" w:cs="Times New Roman"/>
                <w:sz w:val="21"/>
                <w:szCs w:val="21"/>
              </w:rPr>
            </w:pPr>
            <w:r>
              <w:rPr>
                <w:rFonts w:hint="eastAsia" w:ascii="仿宋" w:hAnsi="仿宋" w:eastAsia="仿宋" w:cs="Times New Roman"/>
                <w:sz w:val="21"/>
                <w:szCs w:val="21"/>
                <w:lang w:val="en-US" w:eastAsia="zh-CN"/>
              </w:rPr>
              <w:t>综合</w:t>
            </w:r>
            <w:r>
              <w:rPr>
                <w:rFonts w:hint="eastAsia" w:ascii="仿宋" w:hAnsi="仿宋" w:eastAsia="仿宋" w:cs="Times New Roman"/>
                <w:sz w:val="21"/>
                <w:szCs w:val="21"/>
              </w:rPr>
              <w:t>单价(元)</w:t>
            </w:r>
          </w:p>
        </w:tc>
        <w:tc>
          <w:tcPr>
            <w:tcW w:w="1278" w:type="dxa"/>
            <w:tcBorders>
              <w:top w:val="single" w:color="auto" w:sz="4" w:space="0"/>
              <w:left w:val="single" w:color="auto" w:sz="4" w:space="0"/>
              <w:bottom w:val="single" w:color="auto" w:sz="4" w:space="0"/>
              <w:right w:val="single" w:color="auto" w:sz="4" w:space="0"/>
            </w:tcBorders>
            <w:noWrap w:val="0"/>
            <w:vAlign w:val="center"/>
          </w:tcPr>
          <w:p w14:paraId="0CA3FA83">
            <w:pPr>
              <w:pStyle w:val="10"/>
              <w:spacing w:before="0" w:beforeAutospacing="0" w:after="0" w:afterAutospacing="0" w:line="240" w:lineRule="auto"/>
              <w:jc w:val="center"/>
              <w:rPr>
                <w:rFonts w:hint="eastAsia" w:ascii="仿宋" w:hAnsi="仿宋" w:eastAsia="仿宋" w:cs="Times New Roman"/>
                <w:sz w:val="21"/>
                <w:szCs w:val="21"/>
              </w:rPr>
            </w:pPr>
            <w:r>
              <w:rPr>
                <w:rFonts w:hint="eastAsia" w:ascii="仿宋" w:hAnsi="仿宋" w:eastAsia="仿宋"/>
                <w:kern w:val="0"/>
                <w:sz w:val="21"/>
                <w:szCs w:val="21"/>
                <w:lang w:val="en-US" w:eastAsia="zh-CN"/>
              </w:rPr>
              <w:t>综合</w:t>
            </w:r>
            <w:r>
              <w:rPr>
                <w:rFonts w:hint="eastAsia" w:ascii="仿宋" w:hAnsi="仿宋" w:eastAsia="仿宋" w:cs="Times New Roman"/>
                <w:sz w:val="21"/>
                <w:szCs w:val="21"/>
              </w:rPr>
              <w:t>合价（元）</w:t>
            </w:r>
          </w:p>
        </w:tc>
        <w:tc>
          <w:tcPr>
            <w:tcW w:w="876" w:type="dxa"/>
            <w:tcBorders>
              <w:top w:val="single" w:color="auto" w:sz="4" w:space="0"/>
              <w:left w:val="single" w:color="auto" w:sz="4" w:space="0"/>
              <w:bottom w:val="single" w:color="auto" w:sz="4" w:space="0"/>
              <w:right w:val="single" w:color="auto" w:sz="4" w:space="0"/>
            </w:tcBorders>
            <w:noWrap w:val="0"/>
            <w:vAlign w:val="center"/>
          </w:tcPr>
          <w:p w14:paraId="1037D9E0">
            <w:pPr>
              <w:pStyle w:val="10"/>
              <w:spacing w:before="0" w:beforeAutospacing="0" w:after="0" w:afterAutospacing="0" w:line="240" w:lineRule="auto"/>
              <w:jc w:val="center"/>
              <w:rPr>
                <w:rFonts w:hint="eastAsia" w:ascii="仿宋" w:hAnsi="仿宋" w:eastAsia="仿宋" w:cs="Times New Roman"/>
                <w:sz w:val="21"/>
                <w:szCs w:val="21"/>
              </w:rPr>
            </w:pPr>
            <w:r>
              <w:rPr>
                <w:rFonts w:hint="eastAsia" w:ascii="仿宋" w:hAnsi="仿宋" w:eastAsia="仿宋" w:cs="Times New Roman"/>
                <w:sz w:val="21"/>
                <w:szCs w:val="21"/>
              </w:rPr>
              <w:t>备注</w:t>
            </w:r>
          </w:p>
        </w:tc>
      </w:tr>
      <w:tr w14:paraId="576F7BE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05" w:type="dxa"/>
            <w:left w:w="105" w:type="dxa"/>
            <w:bottom w:w="105" w:type="dxa"/>
            <w:right w:w="105" w:type="dxa"/>
          </w:tblCellMar>
        </w:tblPrEx>
        <w:trPr>
          <w:trHeight w:val="284" w:hRule="atLeast"/>
          <w:tblCellSpacing w:w="0" w:type="dxa"/>
          <w:jc w:val="center"/>
        </w:trPr>
        <w:tc>
          <w:tcPr>
            <w:tcW w:w="834" w:type="dxa"/>
            <w:tcBorders>
              <w:top w:val="single" w:color="auto" w:sz="4" w:space="0"/>
              <w:left w:val="single" w:color="auto" w:sz="4" w:space="0"/>
              <w:bottom w:val="single" w:color="auto" w:sz="4" w:space="0"/>
              <w:right w:val="single" w:color="auto" w:sz="4" w:space="0"/>
            </w:tcBorders>
            <w:noWrap w:val="0"/>
            <w:vAlign w:val="top"/>
          </w:tcPr>
          <w:p w14:paraId="30B29B88">
            <w:pPr>
              <w:spacing w:line="240" w:lineRule="auto"/>
              <w:jc w:val="center"/>
              <w:rPr>
                <w:rFonts w:hint="eastAsia" w:ascii="仿宋" w:hAnsi="仿宋" w:eastAsia="仿宋"/>
                <w:sz w:val="21"/>
                <w:szCs w:val="21"/>
              </w:rPr>
            </w:pPr>
            <w:r>
              <w:rPr>
                <w:rFonts w:hint="eastAsia" w:ascii="仿宋" w:hAnsi="仿宋" w:eastAsia="仿宋"/>
                <w:sz w:val="21"/>
                <w:szCs w:val="21"/>
              </w:rPr>
              <w:t>1</w:t>
            </w:r>
          </w:p>
        </w:tc>
        <w:tc>
          <w:tcPr>
            <w:tcW w:w="1224" w:type="dxa"/>
            <w:tcBorders>
              <w:top w:val="single" w:color="auto" w:sz="4" w:space="0"/>
              <w:left w:val="single" w:color="auto" w:sz="4" w:space="0"/>
              <w:bottom w:val="single" w:color="auto" w:sz="4" w:space="0"/>
              <w:right w:val="single" w:color="auto" w:sz="4" w:space="0"/>
            </w:tcBorders>
            <w:noWrap w:val="0"/>
            <w:vAlign w:val="top"/>
          </w:tcPr>
          <w:p w14:paraId="36FD4C19">
            <w:pPr>
              <w:spacing w:line="240" w:lineRule="auto"/>
              <w:rPr>
                <w:rFonts w:hint="eastAsia" w:ascii="仿宋" w:hAnsi="仿宋" w:eastAsia="仿宋"/>
                <w:sz w:val="21"/>
                <w:szCs w:val="21"/>
              </w:rPr>
            </w:pPr>
          </w:p>
        </w:tc>
        <w:tc>
          <w:tcPr>
            <w:tcW w:w="1128" w:type="dxa"/>
            <w:tcBorders>
              <w:top w:val="single" w:color="auto" w:sz="4" w:space="0"/>
              <w:left w:val="single" w:color="auto" w:sz="4" w:space="0"/>
              <w:bottom w:val="single" w:color="auto" w:sz="4" w:space="0"/>
              <w:right w:val="single" w:color="auto" w:sz="4" w:space="0"/>
            </w:tcBorders>
            <w:noWrap w:val="0"/>
            <w:vAlign w:val="top"/>
          </w:tcPr>
          <w:p w14:paraId="582D4CF5">
            <w:pPr>
              <w:spacing w:line="240" w:lineRule="auto"/>
              <w:rPr>
                <w:rFonts w:hint="eastAsia" w:ascii="仿宋" w:hAnsi="仿宋" w:eastAsia="仿宋"/>
                <w:sz w:val="21"/>
                <w:szCs w:val="21"/>
              </w:rPr>
            </w:pPr>
          </w:p>
        </w:tc>
        <w:tc>
          <w:tcPr>
            <w:tcW w:w="853" w:type="dxa"/>
            <w:tcBorders>
              <w:top w:val="single" w:color="auto" w:sz="4" w:space="0"/>
              <w:left w:val="single" w:color="auto" w:sz="4" w:space="0"/>
              <w:bottom w:val="single" w:color="auto" w:sz="4" w:space="0"/>
              <w:right w:val="single" w:color="auto" w:sz="4" w:space="0"/>
            </w:tcBorders>
            <w:noWrap w:val="0"/>
            <w:vAlign w:val="top"/>
          </w:tcPr>
          <w:p w14:paraId="2A7771FE">
            <w:pPr>
              <w:spacing w:line="240" w:lineRule="auto"/>
              <w:rPr>
                <w:rFonts w:hint="eastAsia" w:ascii="仿宋" w:hAnsi="仿宋" w:eastAsia="仿宋"/>
                <w:sz w:val="21"/>
                <w:szCs w:val="21"/>
              </w:rPr>
            </w:pPr>
          </w:p>
        </w:tc>
        <w:tc>
          <w:tcPr>
            <w:tcW w:w="1282" w:type="dxa"/>
            <w:tcBorders>
              <w:top w:val="single" w:color="auto" w:sz="4" w:space="0"/>
              <w:left w:val="single" w:color="auto" w:sz="4" w:space="0"/>
              <w:bottom w:val="single" w:color="auto" w:sz="4" w:space="0"/>
              <w:right w:val="single" w:color="auto" w:sz="4" w:space="0"/>
            </w:tcBorders>
            <w:noWrap w:val="0"/>
            <w:vAlign w:val="top"/>
          </w:tcPr>
          <w:p w14:paraId="0DB1C713">
            <w:pPr>
              <w:spacing w:line="240" w:lineRule="auto"/>
              <w:rPr>
                <w:rFonts w:hint="eastAsia" w:ascii="仿宋" w:hAnsi="仿宋" w:eastAsia="仿宋"/>
                <w:sz w:val="21"/>
                <w:szCs w:val="21"/>
              </w:rPr>
            </w:pPr>
          </w:p>
        </w:tc>
        <w:tc>
          <w:tcPr>
            <w:tcW w:w="1280" w:type="dxa"/>
            <w:tcBorders>
              <w:top w:val="single" w:color="auto" w:sz="4" w:space="0"/>
              <w:left w:val="single" w:color="auto" w:sz="4" w:space="0"/>
              <w:bottom w:val="single" w:color="auto" w:sz="4" w:space="0"/>
              <w:right w:val="single" w:color="auto" w:sz="4" w:space="0"/>
            </w:tcBorders>
            <w:noWrap w:val="0"/>
            <w:vAlign w:val="top"/>
          </w:tcPr>
          <w:p w14:paraId="2E22510A">
            <w:pPr>
              <w:spacing w:line="240" w:lineRule="auto"/>
              <w:rPr>
                <w:rFonts w:hint="eastAsia" w:ascii="仿宋" w:hAnsi="仿宋" w:eastAsia="仿宋"/>
                <w:sz w:val="21"/>
                <w:szCs w:val="21"/>
              </w:rPr>
            </w:pPr>
          </w:p>
        </w:tc>
        <w:tc>
          <w:tcPr>
            <w:tcW w:w="1278" w:type="dxa"/>
            <w:tcBorders>
              <w:top w:val="single" w:color="auto" w:sz="4" w:space="0"/>
              <w:left w:val="single" w:color="auto" w:sz="4" w:space="0"/>
              <w:bottom w:val="single" w:color="auto" w:sz="4" w:space="0"/>
              <w:right w:val="single" w:color="auto" w:sz="4" w:space="0"/>
            </w:tcBorders>
            <w:noWrap w:val="0"/>
            <w:vAlign w:val="top"/>
          </w:tcPr>
          <w:p w14:paraId="6E640B85">
            <w:pPr>
              <w:spacing w:line="240" w:lineRule="auto"/>
              <w:rPr>
                <w:rFonts w:hint="eastAsia" w:ascii="仿宋" w:hAnsi="仿宋" w:eastAsia="仿宋"/>
                <w:sz w:val="21"/>
                <w:szCs w:val="21"/>
              </w:rPr>
            </w:pPr>
          </w:p>
        </w:tc>
        <w:tc>
          <w:tcPr>
            <w:tcW w:w="876" w:type="dxa"/>
            <w:tcBorders>
              <w:top w:val="single" w:color="auto" w:sz="4" w:space="0"/>
              <w:left w:val="single" w:color="auto" w:sz="4" w:space="0"/>
              <w:bottom w:val="single" w:color="auto" w:sz="4" w:space="0"/>
              <w:right w:val="single" w:color="auto" w:sz="4" w:space="0"/>
            </w:tcBorders>
            <w:noWrap w:val="0"/>
            <w:vAlign w:val="top"/>
          </w:tcPr>
          <w:p w14:paraId="4EDCFCF7">
            <w:pPr>
              <w:spacing w:line="240" w:lineRule="auto"/>
              <w:rPr>
                <w:rFonts w:hint="eastAsia" w:ascii="仿宋" w:hAnsi="仿宋" w:eastAsia="仿宋"/>
                <w:sz w:val="21"/>
                <w:szCs w:val="21"/>
              </w:rPr>
            </w:pPr>
          </w:p>
        </w:tc>
      </w:tr>
      <w:tr w14:paraId="5351023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05" w:type="dxa"/>
            <w:left w:w="105" w:type="dxa"/>
            <w:bottom w:w="105" w:type="dxa"/>
            <w:right w:w="105" w:type="dxa"/>
          </w:tblCellMar>
        </w:tblPrEx>
        <w:trPr>
          <w:trHeight w:val="284" w:hRule="atLeast"/>
          <w:tblCellSpacing w:w="0" w:type="dxa"/>
          <w:jc w:val="center"/>
        </w:trPr>
        <w:tc>
          <w:tcPr>
            <w:tcW w:w="834" w:type="dxa"/>
            <w:tcBorders>
              <w:top w:val="single" w:color="auto" w:sz="4" w:space="0"/>
              <w:left w:val="single" w:color="auto" w:sz="4" w:space="0"/>
              <w:bottom w:val="single" w:color="auto" w:sz="4" w:space="0"/>
              <w:right w:val="single" w:color="auto" w:sz="4" w:space="0"/>
            </w:tcBorders>
            <w:noWrap w:val="0"/>
            <w:vAlign w:val="top"/>
          </w:tcPr>
          <w:p w14:paraId="7D3E9186">
            <w:pPr>
              <w:spacing w:line="240" w:lineRule="auto"/>
              <w:jc w:val="center"/>
              <w:rPr>
                <w:rFonts w:hint="eastAsia" w:ascii="仿宋" w:hAnsi="仿宋" w:eastAsia="仿宋"/>
                <w:sz w:val="21"/>
                <w:szCs w:val="21"/>
              </w:rPr>
            </w:pPr>
            <w:r>
              <w:rPr>
                <w:rFonts w:hint="eastAsia" w:ascii="仿宋" w:hAnsi="仿宋" w:eastAsia="仿宋"/>
                <w:sz w:val="21"/>
                <w:szCs w:val="21"/>
              </w:rPr>
              <w:t>2</w:t>
            </w:r>
          </w:p>
        </w:tc>
        <w:tc>
          <w:tcPr>
            <w:tcW w:w="1224" w:type="dxa"/>
            <w:tcBorders>
              <w:top w:val="single" w:color="auto" w:sz="4" w:space="0"/>
              <w:left w:val="single" w:color="auto" w:sz="4" w:space="0"/>
              <w:bottom w:val="single" w:color="auto" w:sz="4" w:space="0"/>
              <w:right w:val="single" w:color="auto" w:sz="4" w:space="0"/>
            </w:tcBorders>
            <w:noWrap w:val="0"/>
            <w:vAlign w:val="top"/>
          </w:tcPr>
          <w:p w14:paraId="7EA2C283">
            <w:pPr>
              <w:spacing w:line="240" w:lineRule="auto"/>
              <w:rPr>
                <w:rFonts w:hint="eastAsia" w:ascii="仿宋" w:hAnsi="仿宋" w:eastAsia="仿宋"/>
                <w:sz w:val="21"/>
                <w:szCs w:val="21"/>
              </w:rPr>
            </w:pPr>
          </w:p>
        </w:tc>
        <w:tc>
          <w:tcPr>
            <w:tcW w:w="1128" w:type="dxa"/>
            <w:tcBorders>
              <w:top w:val="single" w:color="auto" w:sz="4" w:space="0"/>
              <w:left w:val="single" w:color="auto" w:sz="4" w:space="0"/>
              <w:bottom w:val="single" w:color="auto" w:sz="4" w:space="0"/>
              <w:right w:val="single" w:color="auto" w:sz="4" w:space="0"/>
            </w:tcBorders>
            <w:noWrap w:val="0"/>
            <w:vAlign w:val="top"/>
          </w:tcPr>
          <w:p w14:paraId="4FB05DA5">
            <w:pPr>
              <w:spacing w:line="240" w:lineRule="auto"/>
              <w:rPr>
                <w:rFonts w:hint="eastAsia" w:ascii="仿宋" w:hAnsi="仿宋" w:eastAsia="仿宋"/>
                <w:sz w:val="21"/>
                <w:szCs w:val="21"/>
              </w:rPr>
            </w:pPr>
          </w:p>
        </w:tc>
        <w:tc>
          <w:tcPr>
            <w:tcW w:w="853" w:type="dxa"/>
            <w:tcBorders>
              <w:top w:val="single" w:color="auto" w:sz="4" w:space="0"/>
              <w:left w:val="single" w:color="auto" w:sz="4" w:space="0"/>
              <w:bottom w:val="single" w:color="auto" w:sz="4" w:space="0"/>
              <w:right w:val="single" w:color="auto" w:sz="4" w:space="0"/>
            </w:tcBorders>
            <w:noWrap w:val="0"/>
            <w:vAlign w:val="top"/>
          </w:tcPr>
          <w:p w14:paraId="60BDD804">
            <w:pPr>
              <w:spacing w:line="240" w:lineRule="auto"/>
              <w:rPr>
                <w:rFonts w:hint="eastAsia" w:ascii="仿宋" w:hAnsi="仿宋" w:eastAsia="仿宋"/>
                <w:sz w:val="21"/>
                <w:szCs w:val="21"/>
              </w:rPr>
            </w:pPr>
          </w:p>
        </w:tc>
        <w:tc>
          <w:tcPr>
            <w:tcW w:w="1282" w:type="dxa"/>
            <w:tcBorders>
              <w:top w:val="single" w:color="auto" w:sz="4" w:space="0"/>
              <w:left w:val="single" w:color="auto" w:sz="4" w:space="0"/>
              <w:bottom w:val="single" w:color="auto" w:sz="4" w:space="0"/>
              <w:right w:val="single" w:color="auto" w:sz="4" w:space="0"/>
            </w:tcBorders>
            <w:noWrap w:val="0"/>
            <w:vAlign w:val="top"/>
          </w:tcPr>
          <w:p w14:paraId="1B92CE7B">
            <w:pPr>
              <w:spacing w:line="240" w:lineRule="auto"/>
              <w:rPr>
                <w:rFonts w:hint="eastAsia" w:ascii="仿宋" w:hAnsi="仿宋" w:eastAsia="仿宋"/>
                <w:sz w:val="21"/>
                <w:szCs w:val="21"/>
              </w:rPr>
            </w:pPr>
          </w:p>
        </w:tc>
        <w:tc>
          <w:tcPr>
            <w:tcW w:w="1280" w:type="dxa"/>
            <w:tcBorders>
              <w:top w:val="single" w:color="auto" w:sz="4" w:space="0"/>
              <w:left w:val="single" w:color="auto" w:sz="4" w:space="0"/>
              <w:bottom w:val="single" w:color="auto" w:sz="4" w:space="0"/>
              <w:right w:val="single" w:color="auto" w:sz="4" w:space="0"/>
            </w:tcBorders>
            <w:noWrap w:val="0"/>
            <w:vAlign w:val="top"/>
          </w:tcPr>
          <w:p w14:paraId="54F3267B">
            <w:pPr>
              <w:spacing w:line="240" w:lineRule="auto"/>
              <w:rPr>
                <w:rFonts w:hint="eastAsia" w:ascii="仿宋" w:hAnsi="仿宋" w:eastAsia="仿宋"/>
                <w:sz w:val="21"/>
                <w:szCs w:val="21"/>
              </w:rPr>
            </w:pPr>
          </w:p>
        </w:tc>
        <w:tc>
          <w:tcPr>
            <w:tcW w:w="1278" w:type="dxa"/>
            <w:tcBorders>
              <w:top w:val="single" w:color="auto" w:sz="4" w:space="0"/>
              <w:left w:val="single" w:color="auto" w:sz="4" w:space="0"/>
              <w:bottom w:val="single" w:color="auto" w:sz="4" w:space="0"/>
              <w:right w:val="single" w:color="auto" w:sz="4" w:space="0"/>
            </w:tcBorders>
            <w:noWrap w:val="0"/>
            <w:vAlign w:val="top"/>
          </w:tcPr>
          <w:p w14:paraId="6459C90C">
            <w:pPr>
              <w:spacing w:line="240" w:lineRule="auto"/>
              <w:rPr>
                <w:rFonts w:hint="eastAsia" w:ascii="仿宋" w:hAnsi="仿宋" w:eastAsia="仿宋"/>
                <w:sz w:val="21"/>
                <w:szCs w:val="21"/>
              </w:rPr>
            </w:pPr>
          </w:p>
        </w:tc>
        <w:tc>
          <w:tcPr>
            <w:tcW w:w="876" w:type="dxa"/>
            <w:tcBorders>
              <w:top w:val="single" w:color="auto" w:sz="4" w:space="0"/>
              <w:left w:val="single" w:color="auto" w:sz="4" w:space="0"/>
              <w:bottom w:val="single" w:color="auto" w:sz="4" w:space="0"/>
              <w:right w:val="single" w:color="auto" w:sz="4" w:space="0"/>
            </w:tcBorders>
            <w:noWrap w:val="0"/>
            <w:vAlign w:val="top"/>
          </w:tcPr>
          <w:p w14:paraId="2AA94214">
            <w:pPr>
              <w:spacing w:line="240" w:lineRule="auto"/>
              <w:rPr>
                <w:rFonts w:hint="eastAsia" w:ascii="仿宋" w:hAnsi="仿宋" w:eastAsia="仿宋"/>
                <w:sz w:val="21"/>
                <w:szCs w:val="21"/>
              </w:rPr>
            </w:pPr>
          </w:p>
        </w:tc>
      </w:tr>
      <w:tr w14:paraId="1301168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05" w:type="dxa"/>
            <w:left w:w="105" w:type="dxa"/>
            <w:bottom w:w="105" w:type="dxa"/>
            <w:right w:w="105" w:type="dxa"/>
          </w:tblCellMar>
        </w:tblPrEx>
        <w:trPr>
          <w:trHeight w:val="284" w:hRule="atLeast"/>
          <w:tblCellSpacing w:w="0" w:type="dxa"/>
          <w:jc w:val="center"/>
        </w:trPr>
        <w:tc>
          <w:tcPr>
            <w:tcW w:w="834" w:type="dxa"/>
            <w:tcBorders>
              <w:top w:val="single" w:color="auto" w:sz="4" w:space="0"/>
              <w:left w:val="single" w:color="auto" w:sz="4" w:space="0"/>
              <w:bottom w:val="single" w:color="auto" w:sz="4" w:space="0"/>
              <w:right w:val="single" w:color="auto" w:sz="4" w:space="0"/>
            </w:tcBorders>
            <w:noWrap w:val="0"/>
            <w:vAlign w:val="top"/>
          </w:tcPr>
          <w:p w14:paraId="29A010FA">
            <w:pPr>
              <w:spacing w:line="240" w:lineRule="auto"/>
              <w:jc w:val="center"/>
              <w:rPr>
                <w:rFonts w:hint="eastAsia" w:ascii="仿宋" w:hAnsi="仿宋" w:eastAsia="仿宋"/>
                <w:sz w:val="21"/>
                <w:szCs w:val="21"/>
              </w:rPr>
            </w:pPr>
            <w:r>
              <w:rPr>
                <w:rFonts w:hint="eastAsia" w:ascii="仿宋" w:hAnsi="仿宋" w:eastAsia="仿宋"/>
                <w:sz w:val="21"/>
                <w:szCs w:val="21"/>
              </w:rPr>
              <w:t>…</w:t>
            </w:r>
          </w:p>
        </w:tc>
        <w:tc>
          <w:tcPr>
            <w:tcW w:w="1224" w:type="dxa"/>
            <w:tcBorders>
              <w:top w:val="single" w:color="auto" w:sz="4" w:space="0"/>
              <w:left w:val="single" w:color="auto" w:sz="4" w:space="0"/>
              <w:bottom w:val="single" w:color="auto" w:sz="4" w:space="0"/>
              <w:right w:val="single" w:color="auto" w:sz="4" w:space="0"/>
            </w:tcBorders>
            <w:noWrap w:val="0"/>
            <w:vAlign w:val="top"/>
          </w:tcPr>
          <w:p w14:paraId="0AEA24F5">
            <w:pPr>
              <w:spacing w:line="240" w:lineRule="auto"/>
              <w:rPr>
                <w:rFonts w:hint="eastAsia" w:ascii="仿宋" w:hAnsi="仿宋" w:eastAsia="仿宋"/>
                <w:sz w:val="21"/>
                <w:szCs w:val="21"/>
              </w:rPr>
            </w:pPr>
          </w:p>
        </w:tc>
        <w:tc>
          <w:tcPr>
            <w:tcW w:w="1128" w:type="dxa"/>
            <w:tcBorders>
              <w:top w:val="single" w:color="auto" w:sz="4" w:space="0"/>
              <w:left w:val="single" w:color="auto" w:sz="4" w:space="0"/>
              <w:bottom w:val="single" w:color="auto" w:sz="4" w:space="0"/>
              <w:right w:val="single" w:color="auto" w:sz="4" w:space="0"/>
            </w:tcBorders>
            <w:noWrap w:val="0"/>
            <w:vAlign w:val="top"/>
          </w:tcPr>
          <w:p w14:paraId="3DE4C7C6">
            <w:pPr>
              <w:spacing w:line="240" w:lineRule="auto"/>
              <w:rPr>
                <w:rFonts w:hint="eastAsia" w:ascii="仿宋" w:hAnsi="仿宋" w:eastAsia="仿宋"/>
                <w:sz w:val="21"/>
                <w:szCs w:val="21"/>
              </w:rPr>
            </w:pPr>
          </w:p>
        </w:tc>
        <w:tc>
          <w:tcPr>
            <w:tcW w:w="853" w:type="dxa"/>
            <w:tcBorders>
              <w:top w:val="single" w:color="auto" w:sz="4" w:space="0"/>
              <w:left w:val="single" w:color="auto" w:sz="4" w:space="0"/>
              <w:bottom w:val="single" w:color="auto" w:sz="4" w:space="0"/>
              <w:right w:val="single" w:color="auto" w:sz="4" w:space="0"/>
            </w:tcBorders>
            <w:noWrap w:val="0"/>
            <w:vAlign w:val="top"/>
          </w:tcPr>
          <w:p w14:paraId="4D7A051C">
            <w:pPr>
              <w:spacing w:line="240" w:lineRule="auto"/>
              <w:rPr>
                <w:rFonts w:hint="eastAsia" w:ascii="仿宋" w:hAnsi="仿宋" w:eastAsia="仿宋"/>
                <w:sz w:val="21"/>
                <w:szCs w:val="21"/>
              </w:rPr>
            </w:pPr>
          </w:p>
        </w:tc>
        <w:tc>
          <w:tcPr>
            <w:tcW w:w="1282" w:type="dxa"/>
            <w:tcBorders>
              <w:top w:val="single" w:color="auto" w:sz="4" w:space="0"/>
              <w:left w:val="single" w:color="auto" w:sz="4" w:space="0"/>
              <w:bottom w:val="single" w:color="auto" w:sz="4" w:space="0"/>
              <w:right w:val="single" w:color="auto" w:sz="4" w:space="0"/>
            </w:tcBorders>
            <w:noWrap w:val="0"/>
            <w:vAlign w:val="top"/>
          </w:tcPr>
          <w:p w14:paraId="7C2C8664">
            <w:pPr>
              <w:spacing w:line="240" w:lineRule="auto"/>
              <w:rPr>
                <w:rFonts w:hint="eastAsia" w:ascii="仿宋" w:hAnsi="仿宋" w:eastAsia="仿宋"/>
                <w:sz w:val="21"/>
                <w:szCs w:val="21"/>
              </w:rPr>
            </w:pPr>
          </w:p>
        </w:tc>
        <w:tc>
          <w:tcPr>
            <w:tcW w:w="1280" w:type="dxa"/>
            <w:tcBorders>
              <w:top w:val="single" w:color="auto" w:sz="4" w:space="0"/>
              <w:left w:val="single" w:color="auto" w:sz="4" w:space="0"/>
              <w:bottom w:val="single" w:color="auto" w:sz="4" w:space="0"/>
              <w:right w:val="single" w:color="auto" w:sz="4" w:space="0"/>
            </w:tcBorders>
            <w:noWrap w:val="0"/>
            <w:vAlign w:val="top"/>
          </w:tcPr>
          <w:p w14:paraId="66B8073A">
            <w:pPr>
              <w:spacing w:line="240" w:lineRule="auto"/>
              <w:rPr>
                <w:rFonts w:hint="eastAsia" w:ascii="仿宋" w:hAnsi="仿宋" w:eastAsia="仿宋"/>
                <w:sz w:val="21"/>
                <w:szCs w:val="21"/>
              </w:rPr>
            </w:pPr>
          </w:p>
        </w:tc>
        <w:tc>
          <w:tcPr>
            <w:tcW w:w="1278" w:type="dxa"/>
            <w:tcBorders>
              <w:top w:val="single" w:color="auto" w:sz="4" w:space="0"/>
              <w:left w:val="single" w:color="auto" w:sz="4" w:space="0"/>
              <w:bottom w:val="single" w:color="auto" w:sz="4" w:space="0"/>
              <w:right w:val="single" w:color="auto" w:sz="4" w:space="0"/>
            </w:tcBorders>
            <w:noWrap w:val="0"/>
            <w:vAlign w:val="top"/>
          </w:tcPr>
          <w:p w14:paraId="38EA66D3">
            <w:pPr>
              <w:spacing w:line="240" w:lineRule="auto"/>
              <w:rPr>
                <w:rFonts w:hint="eastAsia" w:ascii="仿宋" w:hAnsi="仿宋" w:eastAsia="仿宋"/>
                <w:sz w:val="21"/>
                <w:szCs w:val="21"/>
              </w:rPr>
            </w:pPr>
          </w:p>
        </w:tc>
        <w:tc>
          <w:tcPr>
            <w:tcW w:w="876" w:type="dxa"/>
            <w:tcBorders>
              <w:top w:val="single" w:color="auto" w:sz="4" w:space="0"/>
              <w:left w:val="single" w:color="auto" w:sz="4" w:space="0"/>
              <w:bottom w:val="single" w:color="auto" w:sz="4" w:space="0"/>
              <w:right w:val="single" w:color="auto" w:sz="4" w:space="0"/>
            </w:tcBorders>
            <w:noWrap w:val="0"/>
            <w:vAlign w:val="top"/>
          </w:tcPr>
          <w:p w14:paraId="768430B8">
            <w:pPr>
              <w:spacing w:line="240" w:lineRule="auto"/>
              <w:rPr>
                <w:rFonts w:hint="eastAsia" w:ascii="仿宋" w:hAnsi="仿宋" w:eastAsia="仿宋"/>
                <w:sz w:val="21"/>
                <w:szCs w:val="21"/>
              </w:rPr>
            </w:pPr>
          </w:p>
        </w:tc>
      </w:tr>
      <w:tr w14:paraId="74AEF1E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05" w:type="dxa"/>
            <w:left w:w="105" w:type="dxa"/>
            <w:bottom w:w="105" w:type="dxa"/>
            <w:right w:w="105" w:type="dxa"/>
          </w:tblCellMar>
        </w:tblPrEx>
        <w:trPr>
          <w:trHeight w:val="284" w:hRule="atLeast"/>
          <w:tblCellSpacing w:w="0" w:type="dxa"/>
          <w:jc w:val="center"/>
        </w:trPr>
        <w:tc>
          <w:tcPr>
            <w:tcW w:w="6601" w:type="dxa"/>
            <w:gridSpan w:val="6"/>
            <w:tcBorders>
              <w:top w:val="single" w:color="auto" w:sz="4" w:space="0"/>
              <w:left w:val="single" w:color="auto" w:sz="4" w:space="0"/>
              <w:bottom w:val="single" w:color="auto" w:sz="4" w:space="0"/>
              <w:right w:val="single" w:color="auto" w:sz="4" w:space="0"/>
            </w:tcBorders>
            <w:noWrap w:val="0"/>
            <w:vAlign w:val="center"/>
          </w:tcPr>
          <w:p w14:paraId="0AFED6B7">
            <w:pPr>
              <w:spacing w:line="240" w:lineRule="auto"/>
              <w:jc w:val="center"/>
              <w:rPr>
                <w:rFonts w:hint="eastAsia" w:ascii="仿宋" w:hAnsi="仿宋" w:eastAsia="仿宋"/>
                <w:kern w:val="0"/>
                <w:sz w:val="21"/>
                <w:szCs w:val="21"/>
              </w:rPr>
            </w:pPr>
            <w:r>
              <w:rPr>
                <w:rFonts w:hint="eastAsia" w:ascii="仿宋" w:hAnsi="仿宋" w:eastAsia="仿宋"/>
                <w:kern w:val="0"/>
                <w:sz w:val="21"/>
                <w:szCs w:val="21"/>
              </w:rPr>
              <w:t>暂定价税合价(即本合同价款)（元）</w:t>
            </w:r>
          </w:p>
        </w:tc>
        <w:tc>
          <w:tcPr>
            <w:tcW w:w="1278" w:type="dxa"/>
            <w:tcBorders>
              <w:top w:val="single" w:color="auto" w:sz="4" w:space="0"/>
              <w:left w:val="single" w:color="auto" w:sz="4" w:space="0"/>
              <w:bottom w:val="single" w:color="auto" w:sz="4" w:space="0"/>
              <w:right w:val="single" w:color="auto" w:sz="4" w:space="0"/>
            </w:tcBorders>
            <w:noWrap w:val="0"/>
            <w:vAlign w:val="top"/>
          </w:tcPr>
          <w:p w14:paraId="5C12BE67">
            <w:pPr>
              <w:spacing w:line="240" w:lineRule="auto"/>
              <w:rPr>
                <w:rFonts w:hint="eastAsia" w:ascii="仿宋" w:hAnsi="仿宋" w:eastAsia="仿宋"/>
                <w:sz w:val="21"/>
                <w:szCs w:val="21"/>
              </w:rPr>
            </w:pPr>
          </w:p>
        </w:tc>
        <w:tc>
          <w:tcPr>
            <w:tcW w:w="876" w:type="dxa"/>
            <w:tcBorders>
              <w:top w:val="single" w:color="auto" w:sz="4" w:space="0"/>
              <w:left w:val="single" w:color="auto" w:sz="4" w:space="0"/>
              <w:bottom w:val="single" w:color="auto" w:sz="4" w:space="0"/>
              <w:right w:val="single" w:color="auto" w:sz="4" w:space="0"/>
            </w:tcBorders>
            <w:noWrap w:val="0"/>
            <w:vAlign w:val="top"/>
          </w:tcPr>
          <w:p w14:paraId="63FFD0E8">
            <w:pPr>
              <w:spacing w:line="240" w:lineRule="auto"/>
              <w:rPr>
                <w:rFonts w:hint="eastAsia" w:ascii="仿宋" w:hAnsi="仿宋" w:eastAsia="仿宋"/>
                <w:sz w:val="21"/>
                <w:szCs w:val="21"/>
              </w:rPr>
            </w:pPr>
          </w:p>
        </w:tc>
      </w:tr>
      <w:tr w14:paraId="70B513B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05" w:type="dxa"/>
            <w:left w:w="105" w:type="dxa"/>
            <w:bottom w:w="105" w:type="dxa"/>
            <w:right w:w="105" w:type="dxa"/>
          </w:tblCellMar>
        </w:tblPrEx>
        <w:trPr>
          <w:trHeight w:val="284" w:hRule="atLeast"/>
          <w:tblCellSpacing w:w="0" w:type="dxa"/>
          <w:jc w:val="center"/>
        </w:trPr>
        <w:tc>
          <w:tcPr>
            <w:tcW w:w="6601" w:type="dxa"/>
            <w:gridSpan w:val="6"/>
            <w:tcBorders>
              <w:top w:val="single" w:color="auto" w:sz="4" w:space="0"/>
              <w:left w:val="single" w:color="auto" w:sz="4" w:space="0"/>
              <w:bottom w:val="single" w:color="auto" w:sz="4" w:space="0"/>
              <w:right w:val="single" w:color="auto" w:sz="4" w:space="0"/>
            </w:tcBorders>
            <w:noWrap w:val="0"/>
            <w:vAlign w:val="center"/>
          </w:tcPr>
          <w:p w14:paraId="58824C10">
            <w:pPr>
              <w:spacing w:line="240" w:lineRule="auto"/>
              <w:jc w:val="center"/>
              <w:rPr>
                <w:rFonts w:hint="default" w:ascii="仿宋" w:hAnsi="仿宋" w:eastAsia="仿宋"/>
                <w:kern w:val="0"/>
                <w:sz w:val="21"/>
                <w:szCs w:val="21"/>
                <w:lang w:val="en-US" w:eastAsia="zh-CN"/>
              </w:rPr>
            </w:pPr>
            <w:r>
              <w:rPr>
                <w:rFonts w:hint="eastAsia" w:ascii="仿宋" w:hAnsi="仿宋" w:eastAsia="仿宋"/>
                <w:kern w:val="0"/>
                <w:sz w:val="21"/>
                <w:szCs w:val="21"/>
                <w:lang w:val="en-US" w:eastAsia="zh-CN"/>
              </w:rPr>
              <w:t>其中：暂定不含税合价（元）</w:t>
            </w:r>
          </w:p>
        </w:tc>
        <w:tc>
          <w:tcPr>
            <w:tcW w:w="1278" w:type="dxa"/>
            <w:tcBorders>
              <w:top w:val="single" w:color="auto" w:sz="4" w:space="0"/>
              <w:left w:val="single" w:color="auto" w:sz="4" w:space="0"/>
              <w:bottom w:val="single" w:color="auto" w:sz="4" w:space="0"/>
              <w:right w:val="single" w:color="auto" w:sz="4" w:space="0"/>
            </w:tcBorders>
            <w:noWrap w:val="0"/>
            <w:vAlign w:val="top"/>
          </w:tcPr>
          <w:p w14:paraId="3E7ABA45">
            <w:pPr>
              <w:spacing w:line="240" w:lineRule="auto"/>
              <w:rPr>
                <w:rFonts w:hint="eastAsia" w:ascii="仿宋" w:hAnsi="仿宋" w:eastAsia="仿宋"/>
                <w:sz w:val="21"/>
                <w:szCs w:val="21"/>
              </w:rPr>
            </w:pPr>
          </w:p>
        </w:tc>
        <w:tc>
          <w:tcPr>
            <w:tcW w:w="876" w:type="dxa"/>
            <w:tcBorders>
              <w:top w:val="single" w:color="auto" w:sz="4" w:space="0"/>
              <w:left w:val="single" w:color="auto" w:sz="4" w:space="0"/>
              <w:bottom w:val="single" w:color="auto" w:sz="4" w:space="0"/>
              <w:right w:val="single" w:color="auto" w:sz="4" w:space="0"/>
            </w:tcBorders>
            <w:noWrap w:val="0"/>
            <w:vAlign w:val="top"/>
          </w:tcPr>
          <w:p w14:paraId="792F6309">
            <w:pPr>
              <w:spacing w:line="240" w:lineRule="auto"/>
              <w:rPr>
                <w:rFonts w:hint="eastAsia" w:ascii="仿宋" w:hAnsi="仿宋" w:eastAsia="仿宋"/>
                <w:sz w:val="21"/>
                <w:szCs w:val="21"/>
              </w:rPr>
            </w:pPr>
          </w:p>
        </w:tc>
      </w:tr>
      <w:tr w14:paraId="34A3475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05" w:type="dxa"/>
            <w:left w:w="105" w:type="dxa"/>
            <w:bottom w:w="105" w:type="dxa"/>
            <w:right w:w="105" w:type="dxa"/>
          </w:tblCellMar>
        </w:tblPrEx>
        <w:trPr>
          <w:trHeight w:val="284" w:hRule="atLeast"/>
          <w:tblCellSpacing w:w="0" w:type="dxa"/>
          <w:jc w:val="center"/>
        </w:trPr>
        <w:tc>
          <w:tcPr>
            <w:tcW w:w="6601" w:type="dxa"/>
            <w:gridSpan w:val="6"/>
            <w:tcBorders>
              <w:top w:val="single" w:color="auto" w:sz="4" w:space="0"/>
              <w:left w:val="single" w:color="auto" w:sz="4" w:space="0"/>
              <w:bottom w:val="single" w:color="auto" w:sz="4" w:space="0"/>
              <w:right w:val="single" w:color="auto" w:sz="4" w:space="0"/>
            </w:tcBorders>
            <w:noWrap w:val="0"/>
            <w:vAlign w:val="center"/>
          </w:tcPr>
          <w:p w14:paraId="2BA6A2B1">
            <w:pPr>
              <w:spacing w:line="240" w:lineRule="auto"/>
              <w:jc w:val="center"/>
              <w:rPr>
                <w:rFonts w:hint="eastAsia" w:ascii="仿宋" w:hAnsi="仿宋" w:eastAsia="仿宋"/>
                <w:kern w:val="0"/>
                <w:sz w:val="21"/>
                <w:szCs w:val="21"/>
              </w:rPr>
            </w:pPr>
            <w:r>
              <w:rPr>
                <w:rFonts w:hint="eastAsia" w:ascii="仿宋" w:hAnsi="仿宋" w:eastAsia="仿宋"/>
                <w:kern w:val="0"/>
                <w:sz w:val="21"/>
                <w:szCs w:val="21"/>
                <w:lang w:val="en-US" w:eastAsia="zh-CN"/>
              </w:rPr>
              <w:t>其中：增值税</w:t>
            </w:r>
            <w:r>
              <w:rPr>
                <w:rFonts w:hint="eastAsia" w:ascii="仿宋" w:hAnsi="仿宋" w:eastAsia="仿宋"/>
                <w:kern w:val="0"/>
                <w:sz w:val="21"/>
                <w:szCs w:val="21"/>
              </w:rPr>
              <w:t>（元）</w:t>
            </w:r>
          </w:p>
        </w:tc>
        <w:tc>
          <w:tcPr>
            <w:tcW w:w="1278" w:type="dxa"/>
            <w:tcBorders>
              <w:top w:val="single" w:color="auto" w:sz="4" w:space="0"/>
              <w:left w:val="single" w:color="auto" w:sz="4" w:space="0"/>
              <w:bottom w:val="single" w:color="auto" w:sz="4" w:space="0"/>
              <w:right w:val="single" w:color="auto" w:sz="4" w:space="0"/>
            </w:tcBorders>
            <w:noWrap w:val="0"/>
            <w:vAlign w:val="top"/>
          </w:tcPr>
          <w:p w14:paraId="67BFD7F8">
            <w:pPr>
              <w:spacing w:line="240" w:lineRule="auto"/>
              <w:rPr>
                <w:rFonts w:hint="eastAsia" w:ascii="仿宋" w:hAnsi="仿宋" w:eastAsia="仿宋"/>
                <w:sz w:val="21"/>
                <w:szCs w:val="21"/>
              </w:rPr>
            </w:pPr>
          </w:p>
        </w:tc>
        <w:tc>
          <w:tcPr>
            <w:tcW w:w="876" w:type="dxa"/>
            <w:tcBorders>
              <w:top w:val="single" w:color="auto" w:sz="4" w:space="0"/>
              <w:left w:val="single" w:color="auto" w:sz="4" w:space="0"/>
              <w:bottom w:val="single" w:color="auto" w:sz="4" w:space="0"/>
              <w:right w:val="single" w:color="auto" w:sz="4" w:space="0"/>
            </w:tcBorders>
            <w:noWrap w:val="0"/>
            <w:vAlign w:val="top"/>
          </w:tcPr>
          <w:p w14:paraId="3C528037">
            <w:pPr>
              <w:spacing w:line="240" w:lineRule="auto"/>
              <w:rPr>
                <w:rFonts w:hint="eastAsia" w:ascii="仿宋" w:hAnsi="仿宋" w:eastAsia="仿宋"/>
                <w:sz w:val="21"/>
                <w:szCs w:val="21"/>
              </w:rPr>
            </w:pPr>
          </w:p>
        </w:tc>
      </w:tr>
    </w:tbl>
    <w:p w14:paraId="712039DE">
      <w:pPr>
        <w:spacing w:line="240" w:lineRule="auto"/>
        <w:ind w:firstLine="420" w:firstLineChars="200"/>
        <w:rPr>
          <w:rFonts w:hint="eastAsia" w:ascii="仿宋" w:hAnsi="仿宋" w:eastAsia="仿宋"/>
          <w:sz w:val="21"/>
          <w:szCs w:val="21"/>
        </w:rPr>
      </w:pPr>
      <w:r>
        <w:rPr>
          <w:rFonts w:hint="eastAsia" w:ascii="仿宋" w:hAnsi="仿宋" w:eastAsia="仿宋"/>
          <w:sz w:val="21"/>
          <w:szCs w:val="21"/>
        </w:rPr>
        <w:t>（二）本合同采用</w:t>
      </w:r>
      <w:r>
        <w:rPr>
          <w:rFonts w:hint="eastAsia" w:ascii="仿宋" w:hAnsi="仿宋" w:eastAsia="仿宋"/>
          <w:sz w:val="21"/>
          <w:szCs w:val="21"/>
          <w:lang w:val="en-US" w:eastAsia="zh-CN"/>
        </w:rPr>
        <w:t>含税综合计价</w:t>
      </w:r>
      <w:r>
        <w:rPr>
          <w:rFonts w:hint="eastAsia" w:ascii="仿宋" w:hAnsi="仿宋" w:eastAsia="仿宋"/>
          <w:sz w:val="21"/>
          <w:szCs w:val="21"/>
        </w:rPr>
        <w:t>的原则约定价款。（注：</w:t>
      </w:r>
      <w:r>
        <w:rPr>
          <w:rFonts w:hint="eastAsia" w:ascii="仿宋" w:hAnsi="仿宋" w:eastAsia="仿宋"/>
          <w:color w:val="000000"/>
          <w:sz w:val="21"/>
          <w:szCs w:val="21"/>
        </w:rPr>
        <w:t>当国家发布政策调整增值税税率时，不含税合价保持不变，增值税税率按调整后税率执行，价税合价随之调整。</w:t>
      </w:r>
      <w:r>
        <w:rPr>
          <w:rFonts w:hint="eastAsia" w:ascii="仿宋" w:hAnsi="仿宋" w:eastAsia="仿宋"/>
          <w:sz w:val="21"/>
          <w:szCs w:val="21"/>
        </w:rPr>
        <w:t>）</w:t>
      </w:r>
    </w:p>
    <w:p w14:paraId="1488C4CC">
      <w:pPr>
        <w:pStyle w:val="10"/>
        <w:spacing w:before="0" w:beforeAutospacing="0" w:after="0" w:afterAutospacing="0" w:line="240" w:lineRule="auto"/>
        <w:ind w:firstLine="420" w:firstLineChars="200"/>
        <w:jc w:val="both"/>
        <w:rPr>
          <w:rFonts w:hint="default" w:ascii="仿宋" w:hAnsi="仿宋" w:eastAsia="仿宋" w:cs="Times New Roman"/>
          <w:color w:val="FF0000"/>
          <w:sz w:val="21"/>
          <w:szCs w:val="21"/>
          <w:lang w:val="en-US" w:eastAsia="zh-CN"/>
        </w:rPr>
      </w:pPr>
      <w:r>
        <w:rPr>
          <w:rFonts w:hint="eastAsia" w:ascii="仿宋" w:hAnsi="仿宋" w:eastAsia="仿宋" w:cs="Times New Roman"/>
          <w:kern w:val="2"/>
          <w:sz w:val="21"/>
          <w:szCs w:val="21"/>
        </w:rPr>
        <w:t>（三）</w:t>
      </w:r>
      <w:r>
        <w:rPr>
          <w:rFonts w:hint="eastAsia" w:ascii="仿宋" w:hAnsi="仿宋" w:eastAsia="仿宋"/>
          <w:sz w:val="21"/>
          <w:szCs w:val="21"/>
        </w:rPr>
        <w:t>暂定</w:t>
      </w:r>
      <w:r>
        <w:rPr>
          <w:rFonts w:hint="eastAsia" w:ascii="仿宋" w:hAnsi="仿宋" w:eastAsia="仿宋" w:cs="Times New Roman"/>
          <w:kern w:val="2"/>
          <w:sz w:val="21"/>
          <w:szCs w:val="21"/>
        </w:rPr>
        <w:t>合同价款</w:t>
      </w:r>
      <w:r>
        <w:rPr>
          <w:rFonts w:hint="eastAsia" w:ascii="仿宋" w:hAnsi="仿宋" w:eastAsia="仿宋"/>
          <w:sz w:val="21"/>
          <w:szCs w:val="21"/>
        </w:rPr>
        <w:t>=</w:t>
      </w:r>
      <w:r>
        <w:rPr>
          <w:rFonts w:hint="eastAsia" w:ascii="仿宋" w:hAnsi="仿宋" w:eastAsia="仿宋"/>
          <w:sz w:val="21"/>
          <w:szCs w:val="21"/>
          <w:lang w:val="en-US" w:eastAsia="zh-CN"/>
        </w:rPr>
        <w:t>综合单价</w:t>
      </w:r>
      <w:r>
        <w:rPr>
          <w:rFonts w:ascii="仿宋" w:hAnsi="仿宋" w:eastAsia="仿宋" w:cs="Times New Roman"/>
          <w:sz w:val="21"/>
          <w:szCs w:val="21"/>
        </w:rPr>
        <w:t>×</w:t>
      </w:r>
      <w:r>
        <w:rPr>
          <w:rFonts w:hint="eastAsia" w:ascii="仿宋" w:hAnsi="仿宋" w:eastAsia="仿宋" w:cs="Times New Roman"/>
          <w:sz w:val="21"/>
          <w:szCs w:val="21"/>
          <w:lang w:val="en-US" w:eastAsia="zh-CN"/>
        </w:rPr>
        <w:t>合同暂定数量</w:t>
      </w:r>
    </w:p>
    <w:p w14:paraId="0043E7DE">
      <w:pPr>
        <w:spacing w:line="240" w:lineRule="auto"/>
        <w:ind w:firstLine="420" w:firstLineChars="200"/>
        <w:rPr>
          <w:rFonts w:hint="eastAsia" w:ascii="仿宋" w:hAnsi="仿宋" w:eastAsia="仿宋"/>
          <w:sz w:val="21"/>
          <w:szCs w:val="21"/>
        </w:rPr>
      </w:pPr>
      <w:r>
        <w:rPr>
          <w:rFonts w:hint="eastAsia" w:ascii="仿宋" w:hAnsi="仿宋" w:eastAsia="仿宋"/>
          <w:sz w:val="21"/>
          <w:szCs w:val="21"/>
        </w:rPr>
        <w:t>（注：K</w:t>
      </w:r>
      <w:r>
        <w:rPr>
          <w:rFonts w:hint="eastAsia" w:ascii="仿宋" w:hAnsi="仿宋" w:eastAsia="仿宋"/>
          <w:sz w:val="21"/>
          <w:szCs w:val="21"/>
          <w:vertAlign w:val="subscript"/>
        </w:rPr>
        <w:t>i</w:t>
      </w:r>
      <w:r>
        <w:rPr>
          <w:rFonts w:hint="eastAsia" w:ascii="仿宋" w:hAnsi="仿宋" w:eastAsia="仿宋"/>
          <w:sz w:val="21"/>
          <w:szCs w:val="21"/>
        </w:rPr>
        <w:t>Q</w:t>
      </w:r>
      <w:r>
        <w:rPr>
          <w:rFonts w:hint="eastAsia" w:ascii="仿宋" w:hAnsi="仿宋" w:eastAsia="仿宋"/>
          <w:sz w:val="21"/>
          <w:szCs w:val="21"/>
          <w:vertAlign w:val="subscript"/>
        </w:rPr>
        <w:t>i</w:t>
      </w:r>
      <w:r>
        <w:rPr>
          <w:rFonts w:hint="eastAsia" w:ascii="仿宋" w:hAnsi="仿宋" w:eastAsia="仿宋"/>
          <w:sz w:val="21"/>
          <w:szCs w:val="21"/>
        </w:rPr>
        <w:t>=K</w:t>
      </w:r>
      <w:r>
        <w:rPr>
          <w:rFonts w:hint="eastAsia" w:ascii="仿宋" w:hAnsi="仿宋" w:eastAsia="仿宋"/>
          <w:sz w:val="21"/>
          <w:szCs w:val="21"/>
          <w:vertAlign w:val="subscript"/>
        </w:rPr>
        <w:t>1</w:t>
      </w:r>
      <w:r>
        <w:rPr>
          <w:rFonts w:hint="eastAsia" w:ascii="仿宋" w:hAnsi="仿宋" w:eastAsia="仿宋"/>
          <w:sz w:val="21"/>
          <w:szCs w:val="21"/>
        </w:rPr>
        <w:t>Q</w:t>
      </w:r>
      <w:r>
        <w:rPr>
          <w:rFonts w:hint="eastAsia" w:ascii="仿宋" w:hAnsi="仿宋" w:eastAsia="仿宋"/>
          <w:sz w:val="21"/>
          <w:szCs w:val="21"/>
          <w:vertAlign w:val="subscript"/>
        </w:rPr>
        <w:t>1</w:t>
      </w:r>
      <w:r>
        <w:rPr>
          <w:rFonts w:hint="eastAsia" w:ascii="仿宋" w:hAnsi="仿宋" w:eastAsia="仿宋"/>
          <w:sz w:val="21"/>
          <w:szCs w:val="21"/>
        </w:rPr>
        <w:t>+K</w:t>
      </w:r>
      <w:r>
        <w:rPr>
          <w:rFonts w:hint="eastAsia" w:ascii="仿宋" w:hAnsi="仿宋" w:eastAsia="仿宋"/>
          <w:sz w:val="21"/>
          <w:szCs w:val="21"/>
          <w:vertAlign w:val="subscript"/>
        </w:rPr>
        <w:t>2</w:t>
      </w:r>
      <w:r>
        <w:rPr>
          <w:rFonts w:hint="eastAsia" w:ascii="仿宋" w:hAnsi="仿宋" w:eastAsia="仿宋"/>
          <w:sz w:val="21"/>
          <w:szCs w:val="21"/>
        </w:rPr>
        <w:t>Q</w:t>
      </w:r>
      <w:r>
        <w:rPr>
          <w:rFonts w:hint="eastAsia" w:ascii="仿宋" w:hAnsi="仿宋" w:eastAsia="仿宋"/>
          <w:sz w:val="21"/>
          <w:szCs w:val="21"/>
          <w:vertAlign w:val="subscript"/>
        </w:rPr>
        <w:t>2</w:t>
      </w:r>
      <w:r>
        <w:rPr>
          <w:rFonts w:hint="eastAsia" w:ascii="仿宋" w:hAnsi="仿宋" w:eastAsia="仿宋"/>
          <w:sz w:val="21"/>
          <w:szCs w:val="21"/>
        </w:rPr>
        <w:t>+……K</w:t>
      </w:r>
      <w:r>
        <w:rPr>
          <w:rFonts w:hint="eastAsia" w:ascii="仿宋" w:hAnsi="仿宋" w:eastAsia="仿宋"/>
          <w:sz w:val="21"/>
          <w:szCs w:val="21"/>
          <w:vertAlign w:val="subscript"/>
        </w:rPr>
        <w:t>n</w:t>
      </w:r>
      <w:r>
        <w:rPr>
          <w:rFonts w:hint="eastAsia" w:ascii="仿宋" w:hAnsi="仿宋" w:eastAsia="仿宋"/>
          <w:sz w:val="21"/>
          <w:szCs w:val="21"/>
        </w:rPr>
        <w:t>Q</w:t>
      </w:r>
      <w:r>
        <w:rPr>
          <w:rFonts w:hint="eastAsia" w:ascii="仿宋" w:hAnsi="仿宋" w:eastAsia="仿宋"/>
          <w:sz w:val="21"/>
          <w:szCs w:val="21"/>
          <w:vertAlign w:val="subscript"/>
        </w:rPr>
        <w:t>n</w:t>
      </w:r>
      <w:r>
        <w:rPr>
          <w:rFonts w:hint="eastAsia" w:ascii="仿宋" w:hAnsi="仿宋" w:eastAsia="仿宋"/>
          <w:sz w:val="21"/>
          <w:szCs w:val="21"/>
        </w:rPr>
        <w:t>）</w:t>
      </w:r>
    </w:p>
    <w:p w14:paraId="207E19DD">
      <w:pPr>
        <w:spacing w:line="240" w:lineRule="auto"/>
        <w:ind w:firstLine="420" w:firstLineChars="200"/>
        <w:rPr>
          <w:rFonts w:hint="eastAsia" w:ascii="仿宋" w:hAnsi="仿宋" w:eastAsia="仿宋"/>
          <w:sz w:val="21"/>
          <w:szCs w:val="21"/>
        </w:rPr>
      </w:pPr>
      <w:r>
        <w:rPr>
          <w:rFonts w:hint="eastAsia" w:ascii="仿宋" w:hAnsi="仿宋" w:eastAsia="仿宋"/>
          <w:sz w:val="21"/>
          <w:szCs w:val="21"/>
        </w:rPr>
        <w:t>其中：</w:t>
      </w:r>
    </w:p>
    <w:p w14:paraId="30AFF3DE">
      <w:pPr>
        <w:spacing w:line="240" w:lineRule="auto"/>
        <w:ind w:firstLine="420" w:firstLineChars="200"/>
        <w:rPr>
          <w:rFonts w:hint="eastAsia" w:ascii="仿宋" w:hAnsi="仿宋" w:eastAsia="仿宋"/>
          <w:sz w:val="21"/>
          <w:szCs w:val="21"/>
        </w:rPr>
      </w:pPr>
      <w:r>
        <w:rPr>
          <w:rFonts w:hint="eastAsia" w:ascii="仿宋" w:hAnsi="仿宋" w:eastAsia="仿宋"/>
          <w:sz w:val="21"/>
          <w:szCs w:val="21"/>
        </w:rPr>
        <w:t>K为材料清单中单项含税单价；</w:t>
      </w:r>
    </w:p>
    <w:p w14:paraId="6109E75D">
      <w:pPr>
        <w:spacing w:line="240" w:lineRule="auto"/>
        <w:ind w:firstLine="420" w:firstLineChars="200"/>
        <w:rPr>
          <w:rFonts w:hint="eastAsia" w:ascii="仿宋" w:hAnsi="仿宋" w:eastAsia="仿宋"/>
          <w:sz w:val="21"/>
          <w:szCs w:val="21"/>
        </w:rPr>
      </w:pPr>
      <w:r>
        <w:rPr>
          <w:rFonts w:hint="eastAsia" w:ascii="仿宋" w:hAnsi="仿宋" w:eastAsia="仿宋"/>
          <w:sz w:val="21"/>
          <w:szCs w:val="21"/>
        </w:rPr>
        <w:t>Q为材料清单中单项暂定数量；</w:t>
      </w:r>
    </w:p>
    <w:p w14:paraId="25C4FDA3">
      <w:pPr>
        <w:spacing w:line="240" w:lineRule="auto"/>
        <w:ind w:firstLine="420" w:firstLineChars="200"/>
        <w:rPr>
          <w:rFonts w:hint="eastAsia" w:ascii="仿宋" w:hAnsi="仿宋" w:eastAsia="仿宋"/>
          <w:sz w:val="21"/>
          <w:szCs w:val="21"/>
        </w:rPr>
      </w:pPr>
      <w:r>
        <w:rPr>
          <w:rFonts w:hint="eastAsia" w:ascii="仿宋" w:hAnsi="仿宋" w:eastAsia="仿宋"/>
          <w:sz w:val="21"/>
          <w:szCs w:val="21"/>
        </w:rPr>
        <w:t>i为材料清单中细目序号；</w:t>
      </w:r>
    </w:p>
    <w:p w14:paraId="413555B7">
      <w:pPr>
        <w:spacing w:line="240" w:lineRule="auto"/>
        <w:ind w:firstLine="420" w:firstLineChars="200"/>
        <w:rPr>
          <w:rFonts w:hint="eastAsia" w:ascii="仿宋" w:hAnsi="仿宋" w:eastAsia="仿宋"/>
          <w:sz w:val="21"/>
          <w:szCs w:val="21"/>
        </w:rPr>
      </w:pPr>
      <w:r>
        <w:rPr>
          <w:rFonts w:hint="eastAsia" w:ascii="仿宋" w:hAnsi="仿宋" w:eastAsia="仿宋"/>
          <w:sz w:val="21"/>
          <w:szCs w:val="21"/>
        </w:rPr>
        <w:t>n为材料清单中细目序号数量；</w:t>
      </w:r>
    </w:p>
    <w:p w14:paraId="7121A760">
      <w:pPr>
        <w:spacing w:line="50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1.合同价款为暂定价款，实际价款以双方结算确认的价款为准。</w:t>
      </w:r>
    </w:p>
    <w:p w14:paraId="34642B17">
      <w:pPr>
        <w:spacing w:line="500" w:lineRule="exact"/>
        <w:ind w:firstLine="420" w:firstLineChars="200"/>
        <w:rPr>
          <w:rFonts w:hint="eastAsia" w:ascii="宋体" w:hAnsi="宋体" w:eastAsia="宋体" w:cs="宋体"/>
          <w:b w:val="0"/>
          <w:color w:val="000000"/>
          <w:sz w:val="21"/>
          <w:szCs w:val="21"/>
        </w:rPr>
      </w:pPr>
      <w:r>
        <w:rPr>
          <w:rFonts w:hint="eastAsia" w:ascii="宋体" w:hAnsi="宋体" w:eastAsia="宋体" w:cs="宋体"/>
          <w:color w:val="000000"/>
          <w:sz w:val="21"/>
          <w:szCs w:val="21"/>
        </w:rPr>
        <w:t>2.</w:t>
      </w:r>
      <w:r>
        <w:rPr>
          <w:rFonts w:hint="eastAsia" w:ascii="宋体" w:hAnsi="宋体" w:cs="宋体"/>
          <w:color w:val="000000"/>
          <w:sz w:val="21"/>
          <w:szCs w:val="21"/>
          <w:lang w:val="en-US" w:eastAsia="zh-CN"/>
        </w:rPr>
        <w:t>综合</w:t>
      </w:r>
      <w:r>
        <w:rPr>
          <w:rFonts w:hint="eastAsia" w:ascii="宋体" w:hAnsi="宋体" w:eastAsia="宋体" w:cs="宋体"/>
          <w:color w:val="000000"/>
          <w:sz w:val="21"/>
          <w:szCs w:val="21"/>
        </w:rPr>
        <w:t>单价：包含材料的出厂价格、运输费、</w:t>
      </w:r>
      <w:r>
        <w:rPr>
          <w:rFonts w:hint="eastAsia" w:ascii="宋体" w:hAnsi="宋体" w:cs="宋体"/>
          <w:color w:val="000000"/>
          <w:sz w:val="21"/>
          <w:szCs w:val="21"/>
          <w:lang w:val="en-US" w:eastAsia="zh-CN"/>
        </w:rPr>
        <w:t>验收、售后及保修工作、</w:t>
      </w:r>
      <w:r>
        <w:rPr>
          <w:rFonts w:hint="eastAsia" w:ascii="宋体" w:hAnsi="宋体" w:eastAsia="宋体" w:cs="宋体"/>
          <w:color w:val="000000"/>
          <w:sz w:val="21"/>
          <w:szCs w:val="21"/>
        </w:rPr>
        <w:t>场外运输损耗、试验检测费、保险费、仓储费、保管费、供应过程的安全费、利润</w:t>
      </w:r>
      <w:r>
        <w:rPr>
          <w:rFonts w:hint="eastAsia" w:ascii="宋体" w:hAnsi="宋体" w:eastAsia="宋体" w:cs="宋体"/>
          <w:color w:val="000000"/>
          <w:sz w:val="21"/>
          <w:szCs w:val="21"/>
          <w:lang w:val="en-US" w:eastAsia="zh-CN"/>
        </w:rPr>
        <w:t>和税金</w:t>
      </w:r>
      <w:r>
        <w:rPr>
          <w:rFonts w:hint="eastAsia" w:ascii="宋体" w:hAnsi="宋体" w:eastAsia="宋体" w:cs="宋体"/>
          <w:color w:val="000000"/>
          <w:sz w:val="21"/>
          <w:szCs w:val="21"/>
        </w:rPr>
        <w:t>等所有费用。</w:t>
      </w:r>
    </w:p>
    <w:p w14:paraId="3001498A">
      <w:pPr>
        <w:spacing w:line="500" w:lineRule="exact"/>
        <w:ind w:firstLine="420" w:firstLineChars="200"/>
        <w:rPr>
          <w:rFonts w:hint="eastAsia" w:ascii="宋体" w:hAnsi="宋体" w:cs="宋体"/>
          <w:color w:val="000000"/>
          <w:sz w:val="21"/>
          <w:szCs w:val="21"/>
        </w:rPr>
      </w:pPr>
      <w:r>
        <w:rPr>
          <w:rFonts w:hint="eastAsia" w:ascii="宋体" w:hAnsi="宋体" w:eastAsia="宋体" w:cs="宋体"/>
          <w:color w:val="000000"/>
          <w:sz w:val="21"/>
          <w:szCs w:val="21"/>
        </w:rPr>
        <w:t>3.合同数量为暂定数量，实际结算以甲方书面认可且质量验收合格的数量为准。</w:t>
      </w:r>
    </w:p>
    <w:p w14:paraId="27692E45">
      <w:pPr>
        <w:spacing w:line="500" w:lineRule="exact"/>
        <w:ind w:firstLine="420" w:firstLineChars="200"/>
        <w:rPr>
          <w:rFonts w:hint="default" w:ascii="宋体" w:hAnsi="宋体" w:cs="宋体"/>
          <w:color w:val="000000"/>
          <w:sz w:val="21"/>
          <w:szCs w:val="21"/>
          <w:lang w:val="en-US" w:eastAsia="zh-CN"/>
        </w:rPr>
      </w:pPr>
      <w:r>
        <w:rPr>
          <w:rFonts w:hint="eastAsia" w:ascii="宋体" w:hAnsi="宋体" w:eastAsia="宋体" w:cs="宋体"/>
          <w:color w:val="000000"/>
          <w:sz w:val="21"/>
          <w:szCs w:val="21"/>
        </w:rPr>
        <w:t>4.上述单价为</w:t>
      </w:r>
      <w:r>
        <w:rPr>
          <w:rFonts w:hint="eastAsia" w:ascii="宋体" w:hAnsi="宋体" w:eastAsia="宋体" w:cs="宋体"/>
          <w:color w:val="000000"/>
          <w:sz w:val="21"/>
          <w:szCs w:val="21"/>
          <w:u w:val="single"/>
        </w:rPr>
        <w:t xml:space="preserve">  </w:t>
      </w:r>
      <w:r>
        <w:rPr>
          <w:rFonts w:hint="eastAsia" w:ascii="宋体" w:hAnsi="宋体" w:cs="宋体"/>
          <w:color w:val="FF0000"/>
          <w:sz w:val="21"/>
          <w:szCs w:val="21"/>
          <w:u w:val="single"/>
          <w:lang w:val="en-US" w:eastAsia="zh-CN"/>
        </w:rPr>
        <w:t>固定</w:t>
      </w:r>
      <w:r>
        <w:rPr>
          <w:rFonts w:hint="eastAsia" w:ascii="宋体" w:hAnsi="宋体" w:eastAsia="宋体" w:cs="宋体"/>
          <w:color w:val="FF0000"/>
          <w:sz w:val="21"/>
          <w:szCs w:val="21"/>
          <w:u w:val="single"/>
        </w:rPr>
        <w:t xml:space="preserve"> </w:t>
      </w:r>
      <w:r>
        <w:rPr>
          <w:rFonts w:hint="eastAsia" w:ascii="宋体" w:hAnsi="宋体" w:eastAsia="宋体" w:cs="宋体"/>
          <w:color w:val="000000"/>
          <w:sz w:val="21"/>
          <w:szCs w:val="21"/>
        </w:rPr>
        <w:t>单价</w:t>
      </w:r>
      <w:r>
        <w:rPr>
          <w:rFonts w:hint="eastAsia" w:ascii="宋体" w:hAnsi="宋体" w:cs="宋体"/>
          <w:color w:val="000000"/>
          <w:sz w:val="21"/>
          <w:szCs w:val="21"/>
          <w:lang w:eastAsia="zh-CN"/>
        </w:rPr>
        <w:t>，</w:t>
      </w:r>
      <w:r>
        <w:rPr>
          <w:rFonts w:hint="eastAsia" w:ascii="宋体" w:hAnsi="宋体" w:cs="宋体"/>
          <w:color w:val="000000"/>
          <w:sz w:val="21"/>
          <w:szCs w:val="21"/>
          <w:lang w:val="en-US" w:eastAsia="zh-CN"/>
        </w:rPr>
        <w:t>合同履行期间单价不予调整。</w:t>
      </w:r>
    </w:p>
    <w:p w14:paraId="60AD1B8D">
      <w:pPr>
        <w:pStyle w:val="10"/>
        <w:spacing w:before="0" w:beforeAutospacing="0" w:after="0" w:afterAutospacing="0" w:line="500" w:lineRule="exact"/>
        <w:ind w:firstLine="420" w:firstLineChars="200"/>
        <w:jc w:val="both"/>
        <w:rPr>
          <w:rFonts w:hint="eastAsia" w:ascii="宋体" w:hAnsi="宋体" w:eastAsia="宋体" w:cs="宋体"/>
          <w:b/>
          <w:sz w:val="21"/>
          <w:szCs w:val="21"/>
        </w:rPr>
      </w:pPr>
      <w:r>
        <w:rPr>
          <w:rFonts w:hint="eastAsia" w:ascii="宋体" w:hAnsi="宋体" w:eastAsia="宋体" w:cs="宋体"/>
          <w:b/>
          <w:sz w:val="21"/>
          <w:szCs w:val="21"/>
        </w:rPr>
        <w:t>第三条  履约担保</w:t>
      </w:r>
    </w:p>
    <w:p w14:paraId="297FFDA2">
      <w:pPr>
        <w:spacing w:line="600" w:lineRule="exact"/>
        <w:ind w:firstLine="560"/>
        <w:rPr>
          <w:rFonts w:hint="eastAsia" w:ascii="宋体" w:hAnsi="宋体" w:eastAsia="宋体" w:cs="宋体"/>
          <w:sz w:val="21"/>
          <w:szCs w:val="21"/>
        </w:rPr>
      </w:pPr>
      <w:bookmarkStart w:id="34" w:name="_Toc231982974"/>
      <w:bookmarkStart w:id="35" w:name="_Toc231873687"/>
      <w:r>
        <w:rPr>
          <w:rFonts w:hint="eastAsia" w:ascii="宋体" w:hAnsi="宋体" w:eastAsia="宋体" w:cs="宋体"/>
          <w:sz w:val="21"/>
          <w:szCs w:val="21"/>
        </w:rPr>
        <w:t>（一）履约担保金</w:t>
      </w:r>
    </w:p>
    <w:p w14:paraId="4D698EA4">
      <w:pPr>
        <w:pStyle w:val="10"/>
        <w:spacing w:after="0" w:line="510" w:lineRule="exact"/>
        <w:ind w:firstLine="420"/>
        <w:jc w:val="both"/>
        <w:rPr>
          <w:rFonts w:hint="default" w:ascii="宋体" w:hAnsi="宋体" w:eastAsia="宋体" w:cs="宋体"/>
          <w:color w:val="000000"/>
          <w:kern w:val="0"/>
          <w:sz w:val="21"/>
          <w:szCs w:val="21"/>
          <w:lang w:val="en-US"/>
        </w:rPr>
      </w:pPr>
      <w:r>
        <w:rPr>
          <w:rFonts w:hint="eastAsia" w:ascii="宋体" w:hAnsi="宋体" w:eastAsia="宋体" w:cs="宋体"/>
          <w:color w:val="000000"/>
          <w:kern w:val="0"/>
          <w:sz w:val="21"/>
          <w:szCs w:val="21"/>
        </w:rPr>
        <w:t>1.</w:t>
      </w:r>
      <w:r>
        <w:rPr>
          <w:rFonts w:hint="eastAsia" w:ascii="宋体" w:hAnsi="宋体" w:cs="宋体"/>
          <w:color w:val="000000"/>
          <w:kern w:val="0"/>
          <w:sz w:val="21"/>
          <w:szCs w:val="21"/>
          <w:lang w:val="en-US" w:eastAsia="zh-CN"/>
        </w:rPr>
        <w:t>由甲方在每期结算款中扣除5%作为履约保证金。</w:t>
      </w:r>
    </w:p>
    <w:p w14:paraId="3AEEC280">
      <w:pPr>
        <w:pStyle w:val="10"/>
        <w:spacing w:after="0" w:line="510" w:lineRule="exact"/>
        <w:ind w:firstLine="420"/>
        <w:jc w:val="both"/>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履约过程中乙方因承担违约责任应向甲方支付违约金时，甲方有权在履约保证金中直接扣除相应数额并不予返还。乙方按照本合同约定完成全部材料的交付义务且质量合格，双方在办理末次结算后60日内无息返还乙方剩余的履约保证金。</w:t>
      </w:r>
    </w:p>
    <w:p w14:paraId="0B6C13D6">
      <w:pPr>
        <w:pStyle w:val="10"/>
        <w:spacing w:after="0" w:line="510" w:lineRule="exact"/>
        <w:ind w:firstLine="420"/>
        <w:jc w:val="both"/>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3.发生下列情况之一时，履约保证金不予返还：</w:t>
      </w:r>
    </w:p>
    <w:p w14:paraId="56FB8974">
      <w:pPr>
        <w:pStyle w:val="10"/>
        <w:spacing w:after="0" w:line="510" w:lineRule="exact"/>
        <w:ind w:firstLine="420"/>
        <w:jc w:val="both"/>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①乙方不履行实质性的投标承诺（如有）；</w:t>
      </w:r>
    </w:p>
    <w:p w14:paraId="1B11CE0E">
      <w:pPr>
        <w:pStyle w:val="10"/>
        <w:spacing w:after="0" w:line="510" w:lineRule="exact"/>
        <w:ind w:firstLine="420"/>
        <w:jc w:val="both"/>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②乙方未经甲方书面同意擅自停止供应材料；</w:t>
      </w:r>
    </w:p>
    <w:p w14:paraId="337E881A">
      <w:pPr>
        <w:pStyle w:val="10"/>
        <w:spacing w:after="0" w:line="510" w:lineRule="exact"/>
        <w:ind w:firstLine="420"/>
        <w:jc w:val="both"/>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③乙方违约导致甲方本合同目的不能实现。</w:t>
      </w:r>
    </w:p>
    <w:p w14:paraId="27E2CCF5">
      <w:pPr>
        <w:pStyle w:val="10"/>
        <w:spacing w:after="0" w:line="510" w:lineRule="exact"/>
        <w:ind w:firstLine="420"/>
        <w:jc w:val="both"/>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4.因乙方违约被扣除履约保证金的，乙方应在10日内补足履约保证金，未补足的甲方有权在当期材料结算款中扣缴补足，不足部分在下期结算中扣缴补足，直至补齐履约保证金。</w:t>
      </w:r>
    </w:p>
    <w:bookmarkEnd w:id="34"/>
    <w:bookmarkEnd w:id="35"/>
    <w:p w14:paraId="282FFB0A">
      <w:pPr>
        <w:pStyle w:val="10"/>
        <w:spacing w:before="0" w:beforeAutospacing="0" w:after="0" w:afterAutospacing="0" w:line="510" w:lineRule="exact"/>
        <w:ind w:firstLine="420" w:firstLineChars="200"/>
        <w:jc w:val="both"/>
        <w:rPr>
          <w:rFonts w:hint="eastAsia" w:ascii="宋体" w:hAnsi="宋体" w:eastAsia="宋体" w:cs="宋体"/>
          <w:b/>
          <w:kern w:val="2"/>
          <w:sz w:val="21"/>
          <w:szCs w:val="21"/>
        </w:rPr>
      </w:pPr>
      <w:r>
        <w:rPr>
          <w:rFonts w:hint="eastAsia" w:ascii="宋体" w:hAnsi="宋体" w:eastAsia="宋体" w:cs="宋体"/>
          <w:b/>
          <w:kern w:val="2"/>
          <w:sz w:val="21"/>
          <w:szCs w:val="21"/>
        </w:rPr>
        <w:t>第四条  质量标准</w:t>
      </w:r>
    </w:p>
    <w:p w14:paraId="197E69FD">
      <w:pPr>
        <w:pStyle w:val="10"/>
        <w:spacing w:before="0" w:beforeAutospacing="0" w:after="0" w:afterAutospacing="0" w:line="510" w:lineRule="exact"/>
        <w:ind w:firstLine="420" w:firstLineChars="200"/>
        <w:jc w:val="both"/>
        <w:rPr>
          <w:rFonts w:hint="eastAsia" w:ascii="宋体" w:hAnsi="宋体" w:eastAsia="宋体" w:cs="宋体"/>
          <w:sz w:val="21"/>
          <w:szCs w:val="21"/>
        </w:rPr>
      </w:pPr>
      <w:r>
        <w:rPr>
          <w:rFonts w:hint="eastAsia" w:ascii="宋体" w:hAnsi="宋体" w:eastAsia="宋体" w:cs="宋体"/>
          <w:bCs/>
          <w:sz w:val="21"/>
          <w:szCs w:val="21"/>
        </w:rPr>
        <w:t>（一）</w:t>
      </w:r>
      <w:r>
        <w:rPr>
          <w:rFonts w:hint="eastAsia" w:ascii="宋体" w:hAnsi="宋体" w:eastAsia="宋体" w:cs="宋体"/>
          <w:sz w:val="21"/>
          <w:szCs w:val="21"/>
        </w:rPr>
        <w:t>质量标准：按照</w:t>
      </w:r>
      <w:r>
        <w:rPr>
          <w:rFonts w:hint="eastAsia" w:ascii="宋体" w:hAnsi="宋体" w:eastAsia="宋体" w:cs="宋体"/>
          <w:sz w:val="21"/>
          <w:szCs w:val="21"/>
          <w:u w:val="single"/>
        </w:rPr>
        <w:t xml:space="preserve"> </w:t>
      </w:r>
      <w:r>
        <w:rPr>
          <w:rFonts w:hint="eastAsia" w:ascii="宋体" w:hAnsi="宋体" w:cs="宋体"/>
          <w:sz w:val="21"/>
          <w:szCs w:val="21"/>
          <w:u w:val="single"/>
          <w:lang w:val="en-US" w:eastAsia="zh-CN"/>
        </w:rPr>
        <w:t>国家有关的水泥涵管</w:t>
      </w:r>
      <w:r>
        <w:rPr>
          <w:rFonts w:hint="eastAsia" w:ascii="宋体" w:hAnsi="宋体" w:eastAsia="宋体" w:cs="宋体"/>
          <w:sz w:val="21"/>
          <w:szCs w:val="21"/>
        </w:rPr>
        <w:t>标准执行。若双方未明确质量标准，则乙方供应的材料应以国家标准、行业标准、地方标准、业主要求中的较高标准执行。</w:t>
      </w:r>
    </w:p>
    <w:p w14:paraId="1BA29A3E">
      <w:pPr>
        <w:pStyle w:val="10"/>
        <w:spacing w:before="0" w:beforeAutospacing="0" w:after="0" w:afterAutospacing="0" w:line="510" w:lineRule="exact"/>
        <w:ind w:firstLine="420" w:firstLineChars="200"/>
        <w:jc w:val="both"/>
        <w:rPr>
          <w:rFonts w:hint="eastAsia" w:ascii="宋体" w:hAnsi="宋体" w:eastAsia="宋体" w:cs="宋体"/>
          <w:color w:val="000000"/>
          <w:sz w:val="21"/>
          <w:szCs w:val="21"/>
        </w:rPr>
      </w:pPr>
      <w:r>
        <w:rPr>
          <w:rFonts w:hint="eastAsia" w:ascii="宋体" w:hAnsi="宋体" w:eastAsia="宋体" w:cs="宋体"/>
          <w:color w:val="000000"/>
          <w:sz w:val="21"/>
          <w:szCs w:val="21"/>
        </w:rPr>
        <w:t>（二）甲方要求乙方提供材料样品时，乙方应免费提供，且材料样品不得低于足够两份试验检测的数量。乙方代表对材料样品签字确认后，材料样品由甲方保管，材料样品的质量检验结果作为甲乙双方检验每批次材料是否符合质量标准的依据之一。</w:t>
      </w:r>
    </w:p>
    <w:p w14:paraId="4E5A3F64">
      <w:pPr>
        <w:pStyle w:val="10"/>
        <w:spacing w:before="0" w:beforeAutospacing="0" w:after="0" w:afterAutospacing="0" w:line="520" w:lineRule="exact"/>
        <w:ind w:firstLine="420" w:firstLineChars="200"/>
        <w:jc w:val="both"/>
        <w:rPr>
          <w:rFonts w:hint="eastAsia" w:ascii="宋体" w:hAnsi="宋体" w:eastAsia="宋体" w:cs="宋体"/>
          <w:sz w:val="21"/>
          <w:szCs w:val="21"/>
        </w:rPr>
      </w:pPr>
      <w:r>
        <w:rPr>
          <w:rFonts w:hint="eastAsia" w:ascii="宋体" w:hAnsi="宋体" w:eastAsia="宋体" w:cs="宋体"/>
          <w:bCs/>
          <w:sz w:val="21"/>
          <w:szCs w:val="21"/>
        </w:rPr>
        <w:t>（三）</w:t>
      </w:r>
      <w:r>
        <w:rPr>
          <w:rFonts w:hint="eastAsia" w:ascii="宋体" w:hAnsi="宋体" w:eastAsia="宋体" w:cs="宋体"/>
          <w:sz w:val="21"/>
          <w:szCs w:val="21"/>
        </w:rPr>
        <w:t>双方对材料检验结果是否满足质量标准存在争议时，由双方共同取样送至甲方或业主认可的试验检测机构鉴定。若检测结果符合质量标准，检测费用由甲方承担；若检测结果不符合质量标准，检测费用由乙方承担。</w:t>
      </w:r>
    </w:p>
    <w:p w14:paraId="7EB70F6E">
      <w:pPr>
        <w:pStyle w:val="10"/>
        <w:spacing w:before="0" w:beforeAutospacing="0" w:after="0" w:afterAutospacing="0" w:line="520" w:lineRule="exact"/>
        <w:ind w:firstLine="420" w:firstLineChars="200"/>
        <w:jc w:val="both"/>
        <w:rPr>
          <w:rFonts w:hint="eastAsia" w:ascii="宋体" w:hAnsi="宋体" w:eastAsia="宋体" w:cs="宋体"/>
          <w:sz w:val="21"/>
          <w:szCs w:val="21"/>
        </w:rPr>
      </w:pPr>
    </w:p>
    <w:p w14:paraId="258F896A">
      <w:pPr>
        <w:pStyle w:val="10"/>
        <w:spacing w:before="0" w:beforeAutospacing="0" w:after="0" w:afterAutospacing="0" w:line="500" w:lineRule="exact"/>
        <w:ind w:firstLine="420" w:firstLineChars="200"/>
        <w:jc w:val="both"/>
        <w:outlineLvl w:val="0"/>
        <w:rPr>
          <w:rFonts w:hint="eastAsia" w:ascii="宋体" w:hAnsi="宋体" w:eastAsia="宋体" w:cs="宋体"/>
          <w:b/>
          <w:color w:val="000000"/>
          <w:sz w:val="21"/>
          <w:szCs w:val="21"/>
        </w:rPr>
      </w:pPr>
      <w:r>
        <w:rPr>
          <w:rFonts w:hint="eastAsia" w:ascii="宋体" w:hAnsi="宋体" w:eastAsia="宋体" w:cs="宋体"/>
          <w:b/>
          <w:color w:val="000000"/>
          <w:sz w:val="21"/>
          <w:szCs w:val="21"/>
        </w:rPr>
        <w:t>第五条  运输、卸货</w:t>
      </w:r>
    </w:p>
    <w:p w14:paraId="78AAEA8B">
      <w:pPr>
        <w:pStyle w:val="10"/>
        <w:spacing w:before="0" w:beforeAutospacing="0" w:after="0" w:afterAutospacing="0" w:line="520" w:lineRule="exact"/>
        <w:ind w:firstLine="420" w:firstLineChars="200"/>
        <w:jc w:val="both"/>
        <w:outlineLvl w:val="0"/>
        <w:rPr>
          <w:rFonts w:hint="eastAsia" w:ascii="宋体" w:hAnsi="宋体" w:eastAsia="宋体" w:cs="宋体"/>
          <w:b/>
          <w:color w:val="000000"/>
          <w:sz w:val="21"/>
          <w:szCs w:val="21"/>
          <w:u w:val="single"/>
        </w:rPr>
      </w:pPr>
      <w:r>
        <w:rPr>
          <w:rFonts w:hint="eastAsia" w:ascii="宋体" w:hAnsi="宋体" w:eastAsia="宋体" w:cs="宋体"/>
          <w:color w:val="000000"/>
          <w:sz w:val="21"/>
          <w:szCs w:val="21"/>
        </w:rPr>
        <w:t>（一）由乙方组织运输工具将材料运至甲方指定地点交货。</w:t>
      </w:r>
    </w:p>
    <w:p w14:paraId="29910891">
      <w:pPr>
        <w:pStyle w:val="10"/>
        <w:spacing w:before="0" w:beforeAutospacing="0" w:after="0" w:afterAutospacing="0" w:line="520" w:lineRule="exact"/>
        <w:ind w:firstLine="420" w:firstLineChars="200"/>
        <w:jc w:val="both"/>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（二）乙方进入甲方施工现场区域，应服从甲方人员的指挥和调度，按照甲方现场人员指定区域规范停车、卸货。 </w:t>
      </w:r>
    </w:p>
    <w:p w14:paraId="0662FB99">
      <w:pPr>
        <w:pStyle w:val="10"/>
        <w:spacing w:before="0" w:beforeAutospacing="0" w:after="0" w:afterAutospacing="0" w:line="520" w:lineRule="exact"/>
        <w:ind w:firstLine="420" w:firstLineChars="200"/>
        <w:jc w:val="both"/>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（三）乙方运输工具在材料运输及进出现场的过程中造成第三方的财产损失和人员伤亡由乙方负责处理并承担全部责任。 </w:t>
      </w:r>
    </w:p>
    <w:p w14:paraId="314DD3A4">
      <w:pPr>
        <w:pStyle w:val="10"/>
        <w:spacing w:before="0" w:beforeAutospacing="0" w:after="0" w:afterAutospacing="0" w:line="520" w:lineRule="exact"/>
        <w:ind w:firstLine="420" w:firstLineChars="200"/>
        <w:jc w:val="both"/>
        <w:rPr>
          <w:rFonts w:hint="eastAsia" w:ascii="宋体" w:hAnsi="宋体" w:eastAsia="宋体" w:cs="宋体"/>
          <w:color w:val="000000"/>
          <w:sz w:val="21"/>
          <w:szCs w:val="21"/>
        </w:rPr>
      </w:pPr>
      <w:r>
        <w:rPr>
          <w:rFonts w:hint="eastAsia" w:ascii="宋体" w:hAnsi="宋体" w:eastAsia="宋体" w:cs="宋体"/>
          <w:color w:val="000000"/>
          <w:sz w:val="21"/>
          <w:szCs w:val="21"/>
        </w:rPr>
        <w:t>（四）乙方应对运输、装卸采取有效安全防护措施，对运输、装卸过程中发生的交通安全等事故承担责任。</w:t>
      </w:r>
    </w:p>
    <w:p w14:paraId="25847BBC">
      <w:pPr>
        <w:pStyle w:val="10"/>
        <w:tabs>
          <w:tab w:val="center" w:pos="4533"/>
        </w:tabs>
        <w:spacing w:before="0" w:beforeAutospacing="0" w:after="0" w:afterAutospacing="0" w:line="500" w:lineRule="exact"/>
        <w:ind w:firstLine="420" w:firstLineChars="200"/>
        <w:jc w:val="both"/>
        <w:outlineLvl w:val="0"/>
        <w:rPr>
          <w:rFonts w:hint="eastAsia" w:ascii="宋体" w:hAnsi="宋体" w:eastAsia="宋体" w:cs="宋体"/>
          <w:b/>
          <w:bCs/>
          <w:sz w:val="21"/>
          <w:szCs w:val="21"/>
        </w:rPr>
      </w:pPr>
      <w:r>
        <w:rPr>
          <w:rFonts w:hint="eastAsia" w:ascii="宋体" w:hAnsi="宋体" w:eastAsia="宋体" w:cs="宋体"/>
          <w:b/>
          <w:bCs/>
          <w:sz w:val="21"/>
          <w:szCs w:val="21"/>
        </w:rPr>
        <w:t>第六条  验收、交付</w:t>
      </w:r>
    </w:p>
    <w:p w14:paraId="042ACB62">
      <w:pPr>
        <w:pStyle w:val="10"/>
        <w:spacing w:before="0" w:beforeAutospacing="0" w:after="0" w:afterAutospacing="0" w:line="520" w:lineRule="exact"/>
        <w:ind w:firstLine="420" w:firstLineChars="200"/>
        <w:jc w:val="both"/>
        <w:rPr>
          <w:rFonts w:hint="eastAsia" w:ascii="宋体" w:hAnsi="宋体" w:eastAsia="宋体" w:cs="宋体"/>
          <w:sz w:val="21"/>
          <w:szCs w:val="21"/>
        </w:rPr>
      </w:pPr>
      <w:r>
        <w:rPr>
          <w:rFonts w:hint="eastAsia" w:ascii="宋体" w:hAnsi="宋体" w:eastAsia="宋体" w:cs="宋体"/>
          <w:sz w:val="21"/>
          <w:szCs w:val="21"/>
        </w:rPr>
        <w:t>（一）验收</w:t>
      </w:r>
    </w:p>
    <w:p w14:paraId="2F79785D">
      <w:pPr>
        <w:pStyle w:val="10"/>
        <w:spacing w:after="0" w:line="510" w:lineRule="exact"/>
        <w:ind w:firstLine="420"/>
        <w:jc w:val="both"/>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1.乙方在材料运抵甲方指定地点前</w:t>
      </w:r>
      <w:r>
        <w:rPr>
          <w:rFonts w:hint="eastAsia" w:ascii="宋体" w:hAnsi="宋体" w:eastAsia="宋体" w:cs="宋体"/>
          <w:color w:val="000000"/>
          <w:kern w:val="0"/>
          <w:sz w:val="21"/>
          <w:szCs w:val="21"/>
          <w:u w:val="none"/>
        </w:rPr>
        <w:t xml:space="preserve">  2 </w:t>
      </w:r>
      <w:r>
        <w:rPr>
          <w:rFonts w:hint="eastAsia" w:ascii="宋体" w:hAnsi="宋体" w:eastAsia="宋体" w:cs="宋体"/>
          <w:color w:val="000000"/>
          <w:kern w:val="0"/>
          <w:sz w:val="21"/>
          <w:szCs w:val="21"/>
        </w:rPr>
        <w:t>小时通知甲方验收。</w:t>
      </w:r>
    </w:p>
    <w:p w14:paraId="5BDE3429">
      <w:pPr>
        <w:pStyle w:val="10"/>
        <w:spacing w:after="0" w:line="510" w:lineRule="exact"/>
        <w:ind w:firstLine="420"/>
        <w:jc w:val="both"/>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2.材料数量以甲方现场</w:t>
      </w:r>
      <w:r>
        <w:rPr>
          <w:rFonts w:hint="eastAsia" w:ascii="宋体" w:hAnsi="宋体" w:cs="宋体"/>
          <w:color w:val="000000"/>
          <w:kern w:val="0"/>
          <w:sz w:val="21"/>
          <w:szCs w:val="21"/>
          <w:lang w:val="en-US" w:eastAsia="zh-CN"/>
        </w:rPr>
        <w:t>验收</w:t>
      </w:r>
      <w:r>
        <w:rPr>
          <w:rFonts w:hint="eastAsia" w:ascii="宋体" w:hAnsi="宋体" w:eastAsia="宋体" w:cs="宋体"/>
          <w:color w:val="000000"/>
          <w:kern w:val="0"/>
          <w:sz w:val="21"/>
          <w:szCs w:val="21"/>
        </w:rPr>
        <w:t>且质量合格的数量为准。</w:t>
      </w:r>
    </w:p>
    <w:p w14:paraId="5114928E">
      <w:pPr>
        <w:pStyle w:val="10"/>
        <w:spacing w:after="0" w:line="510" w:lineRule="exact"/>
        <w:ind w:firstLine="420"/>
        <w:jc w:val="both"/>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乙方应按约定的质量标准对出厂材料自检，甲方有权拒绝接收乙方无检验报告、合格证书等附件的材料。甲方拒绝接收后，乙方应尽快补全相关资料或向甲方重新供应附件齐备的材料，由此产生的费用增加由乙方承担；造成甲方工期延误及其他损失的，乙方应向甲方赔偿。</w:t>
      </w:r>
    </w:p>
    <w:p w14:paraId="38A4C4F1">
      <w:pPr>
        <w:pStyle w:val="10"/>
        <w:spacing w:after="0" w:line="510" w:lineRule="exact"/>
        <w:ind w:firstLine="420"/>
        <w:jc w:val="both"/>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甲方对到场材料抽样检验，如检验结果不符合约定质量标准，由乙方自费运出施工现场，同时由乙方重新供应符合质量标准的合格材料，由此增加的费用由乙方承担；造成甲方工期延误及其他损失的，乙方应向甲方赔偿。</w:t>
      </w:r>
    </w:p>
    <w:p w14:paraId="73C43B9D">
      <w:pPr>
        <w:pStyle w:val="10"/>
        <w:spacing w:after="0" w:line="510" w:lineRule="exact"/>
        <w:ind w:firstLine="420"/>
        <w:jc w:val="both"/>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本合同约定的验收仅为材料到场后的数量、包装、抽样检测的验收，抽检结果并不代表该批次材料全部是符合质量标准的，因此不免除乙方应承担的质量责任，甲方在使用过程中发现材料存在不符合约定标准的质量缺陷，乙方仍应承担责任。</w:t>
      </w:r>
    </w:p>
    <w:p w14:paraId="36E9C895">
      <w:pPr>
        <w:pStyle w:val="10"/>
        <w:spacing w:after="0" w:line="510" w:lineRule="exact"/>
        <w:ind w:firstLine="420"/>
        <w:jc w:val="both"/>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6.材料使用过程中，因材料不合格造成的工程质量缺陷，由乙方承担修复费用，并赔偿由此给甲方造成的损失。</w:t>
      </w:r>
    </w:p>
    <w:p w14:paraId="33E41539">
      <w:pPr>
        <w:spacing w:line="500" w:lineRule="exact"/>
        <w:ind w:firstLine="420" w:firstLineChars="200"/>
        <w:rPr>
          <w:rFonts w:hint="eastAsia" w:ascii="宋体" w:hAnsi="宋体" w:eastAsia="宋体" w:cs="宋体"/>
          <w:bCs/>
          <w:sz w:val="21"/>
          <w:szCs w:val="21"/>
        </w:rPr>
      </w:pPr>
      <w:r>
        <w:rPr>
          <w:rFonts w:hint="eastAsia" w:ascii="宋体" w:hAnsi="宋体" w:eastAsia="宋体" w:cs="宋体"/>
          <w:bCs/>
          <w:sz w:val="21"/>
          <w:szCs w:val="21"/>
        </w:rPr>
        <w:t>（二）交付</w:t>
      </w:r>
    </w:p>
    <w:p w14:paraId="2DD05F72">
      <w:pPr>
        <w:spacing w:line="500" w:lineRule="exact"/>
        <w:ind w:firstLine="420" w:firstLineChars="200"/>
        <w:rPr>
          <w:rFonts w:hint="eastAsia" w:ascii="宋体" w:hAnsi="宋体" w:eastAsia="宋体" w:cs="宋体"/>
          <w:sz w:val="21"/>
          <w:szCs w:val="21"/>
        </w:rPr>
      </w:pPr>
      <w:r>
        <w:rPr>
          <w:rFonts w:hint="eastAsia" w:ascii="宋体" w:hAnsi="宋体" w:eastAsia="宋体" w:cs="宋体"/>
          <w:bCs/>
          <w:sz w:val="21"/>
          <w:szCs w:val="21"/>
        </w:rPr>
        <w:t>1</w:t>
      </w:r>
      <w:r>
        <w:rPr>
          <w:rFonts w:hint="eastAsia" w:ascii="宋体" w:hAnsi="宋体" w:eastAsia="宋体" w:cs="宋体"/>
          <w:sz w:val="21"/>
          <w:szCs w:val="21"/>
        </w:rPr>
        <w:t>.交付地点</w:t>
      </w:r>
      <w:r>
        <w:rPr>
          <w:rFonts w:hint="eastAsia" w:ascii="宋体" w:hAnsi="宋体" w:eastAsia="宋体" w:cs="宋体"/>
          <w:bCs/>
          <w:sz w:val="21"/>
          <w:szCs w:val="21"/>
        </w:rPr>
        <w:t>：由乙方承担运输的，交付地点为甲方指定的工程沿线场站、施工现场和其他合理周边区域。</w:t>
      </w:r>
      <w:r>
        <w:rPr>
          <w:rFonts w:hint="eastAsia" w:ascii="宋体" w:hAnsi="宋体" w:eastAsia="宋体" w:cs="宋体"/>
          <w:sz w:val="21"/>
          <w:szCs w:val="21"/>
        </w:rPr>
        <w:t xml:space="preserve"> </w:t>
      </w:r>
    </w:p>
    <w:p w14:paraId="7C88913A">
      <w:pPr>
        <w:pStyle w:val="10"/>
        <w:spacing w:before="0" w:beforeAutospacing="0" w:after="0" w:afterAutospacing="0" w:line="500" w:lineRule="exact"/>
        <w:ind w:firstLine="420" w:firstLineChars="200"/>
        <w:jc w:val="both"/>
        <w:rPr>
          <w:rFonts w:hint="eastAsia" w:ascii="宋体" w:hAnsi="宋体" w:eastAsia="宋体" w:cs="宋体"/>
          <w:sz w:val="21"/>
          <w:szCs w:val="21"/>
        </w:rPr>
      </w:pPr>
      <w:r>
        <w:rPr>
          <w:rFonts w:hint="eastAsia" w:ascii="宋体" w:hAnsi="宋体" w:eastAsia="宋体" w:cs="宋体"/>
          <w:sz w:val="21"/>
          <w:szCs w:val="21"/>
        </w:rPr>
        <w:t>2.供货期间：暂定为本合同签订之日起至</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日，最终供货期间以甲方通知的截止时间为准。</w:t>
      </w:r>
    </w:p>
    <w:p w14:paraId="4460B057">
      <w:pPr>
        <w:pStyle w:val="10"/>
        <w:spacing w:before="0" w:beforeAutospacing="0" w:after="0" w:afterAutospacing="0" w:line="500" w:lineRule="exact"/>
        <w:ind w:firstLine="420" w:firstLineChars="200"/>
        <w:jc w:val="both"/>
        <w:rPr>
          <w:rFonts w:hint="eastAsia" w:ascii="宋体" w:hAnsi="宋体" w:eastAsia="宋体" w:cs="宋体"/>
          <w:sz w:val="21"/>
          <w:szCs w:val="21"/>
        </w:rPr>
      </w:pPr>
      <w:r>
        <w:rPr>
          <w:rFonts w:hint="eastAsia" w:ascii="宋体" w:hAnsi="宋体" w:eastAsia="宋体" w:cs="宋体"/>
          <w:sz w:val="21"/>
          <w:szCs w:val="21"/>
        </w:rPr>
        <w:t>3.甲方每月30日前向乙方通知下月的材料月度数量需求计划和交付时间，乙方应按该计划要求将材料运送至甲方指定地点。</w:t>
      </w:r>
    </w:p>
    <w:p w14:paraId="0605CD16">
      <w:pPr>
        <w:pStyle w:val="10"/>
        <w:spacing w:before="0" w:beforeAutospacing="0" w:after="0" w:afterAutospacing="0" w:line="500" w:lineRule="exact"/>
        <w:ind w:firstLine="420" w:firstLineChars="200"/>
        <w:jc w:val="both"/>
        <w:rPr>
          <w:rFonts w:hint="eastAsia" w:ascii="宋体" w:hAnsi="宋体" w:eastAsia="宋体" w:cs="宋体"/>
          <w:sz w:val="21"/>
          <w:szCs w:val="21"/>
        </w:rPr>
      </w:pPr>
      <w:r>
        <w:rPr>
          <w:rFonts w:hint="eastAsia" w:ascii="宋体" w:hAnsi="宋体" w:eastAsia="宋体" w:cs="宋体"/>
          <w:sz w:val="21"/>
          <w:szCs w:val="21"/>
        </w:rPr>
        <w:t>4.甲方向乙方发出材料月度数量需求计划和交付时间后，如有变更，应在变更计划要求的供货时间前</w:t>
      </w:r>
      <w:r>
        <w:rPr>
          <w:rFonts w:hint="eastAsia" w:ascii="宋体" w:hAnsi="宋体" w:eastAsia="宋体" w:cs="宋体"/>
          <w:sz w:val="21"/>
          <w:szCs w:val="21"/>
          <w:u w:val="single"/>
        </w:rPr>
        <w:t xml:space="preserve">    </w:t>
      </w:r>
      <w:r>
        <w:rPr>
          <w:rFonts w:hint="eastAsia" w:ascii="宋体" w:hAnsi="宋体" w:eastAsia="宋体" w:cs="宋体"/>
          <w:sz w:val="21"/>
          <w:szCs w:val="21"/>
        </w:rPr>
        <w:t>天通知乙方，乙方应及时按甲方要求调整供货数量和时间。</w:t>
      </w:r>
    </w:p>
    <w:p w14:paraId="64A716C4">
      <w:pPr>
        <w:pStyle w:val="10"/>
        <w:spacing w:before="0" w:beforeAutospacing="0" w:after="0" w:afterAutospacing="0" w:line="500" w:lineRule="exact"/>
        <w:ind w:firstLine="420" w:firstLineChars="200"/>
        <w:jc w:val="both"/>
        <w:rPr>
          <w:rFonts w:hint="eastAsia" w:ascii="宋体" w:hAnsi="宋体" w:eastAsia="宋体" w:cs="宋体"/>
          <w:sz w:val="21"/>
          <w:szCs w:val="21"/>
        </w:rPr>
      </w:pPr>
      <w:r>
        <w:rPr>
          <w:rFonts w:hint="eastAsia" w:ascii="宋体" w:hAnsi="宋体" w:eastAsia="宋体" w:cs="宋体"/>
          <w:sz w:val="21"/>
          <w:szCs w:val="21"/>
        </w:rPr>
        <w:t>5.甲方因施工需要变更指定交付地点时，乙方不得提出任何附加条件，并依据甲方通知要求供货。甲方出具变更通知应在指定交付日期</w:t>
      </w:r>
      <w:r>
        <w:rPr>
          <w:rFonts w:hint="eastAsia" w:ascii="宋体" w:hAnsi="宋体" w:eastAsia="宋体" w:cs="宋体"/>
          <w:sz w:val="21"/>
          <w:szCs w:val="21"/>
          <w:u w:val="single"/>
        </w:rPr>
        <w:t xml:space="preserve">    </w:t>
      </w:r>
      <w:r>
        <w:rPr>
          <w:rFonts w:hint="eastAsia" w:ascii="宋体" w:hAnsi="宋体" w:eastAsia="宋体" w:cs="宋体"/>
          <w:sz w:val="21"/>
          <w:szCs w:val="21"/>
        </w:rPr>
        <w:t>天前通知乙方。</w:t>
      </w:r>
    </w:p>
    <w:p w14:paraId="4C28B89C">
      <w:pPr>
        <w:pStyle w:val="10"/>
        <w:spacing w:before="0" w:beforeAutospacing="0" w:after="0" w:afterAutospacing="0" w:line="500" w:lineRule="exact"/>
        <w:ind w:firstLine="420" w:firstLineChars="200"/>
        <w:jc w:val="both"/>
        <w:rPr>
          <w:rFonts w:hint="eastAsia" w:ascii="宋体" w:hAnsi="宋体" w:eastAsia="宋体" w:cs="宋体"/>
          <w:sz w:val="21"/>
          <w:szCs w:val="21"/>
        </w:rPr>
      </w:pPr>
      <w:r>
        <w:rPr>
          <w:rFonts w:hint="eastAsia" w:ascii="宋体" w:hAnsi="宋体" w:eastAsia="宋体" w:cs="宋体"/>
          <w:sz w:val="21"/>
          <w:szCs w:val="21"/>
        </w:rPr>
        <w:t>6.</w:t>
      </w:r>
      <w:r>
        <w:rPr>
          <w:rFonts w:hint="eastAsia" w:ascii="宋体" w:hAnsi="宋体" w:eastAsia="宋体" w:cs="宋体"/>
          <w:bCs/>
          <w:sz w:val="21"/>
          <w:szCs w:val="21"/>
        </w:rPr>
        <w:t>如</w:t>
      </w:r>
      <w:r>
        <w:rPr>
          <w:rFonts w:hint="eastAsia" w:ascii="宋体" w:hAnsi="宋体" w:eastAsia="宋体" w:cs="宋体"/>
          <w:sz w:val="21"/>
          <w:szCs w:val="21"/>
        </w:rPr>
        <w:t>乙方不能按甲方提供的材料月度需求计划数量和交付时间向甲方供应，乙方应在要求交付时间前</w:t>
      </w:r>
      <w:r>
        <w:rPr>
          <w:rFonts w:hint="eastAsia" w:ascii="宋体" w:hAnsi="宋体" w:eastAsia="宋体" w:cs="宋体"/>
          <w:sz w:val="21"/>
          <w:szCs w:val="21"/>
          <w:u w:val="single"/>
        </w:rPr>
        <w:t xml:space="preserve">    </w:t>
      </w:r>
      <w:r>
        <w:rPr>
          <w:rFonts w:hint="eastAsia" w:ascii="宋体" w:hAnsi="宋体" w:eastAsia="宋体" w:cs="宋体"/>
          <w:sz w:val="21"/>
          <w:szCs w:val="21"/>
        </w:rPr>
        <w:t>天通知甲方，并按本合同第十条约定承担违约责任。</w:t>
      </w:r>
    </w:p>
    <w:p w14:paraId="487DE4C3">
      <w:pPr>
        <w:pStyle w:val="10"/>
        <w:spacing w:before="0" w:beforeAutospacing="0" w:after="0" w:afterAutospacing="0" w:line="500" w:lineRule="exact"/>
        <w:ind w:firstLine="420" w:firstLineChars="200"/>
        <w:jc w:val="both"/>
        <w:rPr>
          <w:rFonts w:hint="eastAsia" w:ascii="宋体" w:hAnsi="宋体" w:eastAsia="宋体" w:cs="宋体"/>
          <w:sz w:val="21"/>
          <w:szCs w:val="21"/>
        </w:rPr>
      </w:pPr>
      <w:r>
        <w:rPr>
          <w:rFonts w:hint="eastAsia" w:ascii="宋体" w:hAnsi="宋体" w:eastAsia="宋体" w:cs="宋体"/>
          <w:sz w:val="21"/>
          <w:szCs w:val="21"/>
        </w:rPr>
        <w:t>7.乙方按照甲方指定的地点进行卸货，甲方签署验收交接文件视为完成对材料的交付。</w:t>
      </w:r>
    </w:p>
    <w:p w14:paraId="07BDD610">
      <w:pPr>
        <w:pStyle w:val="10"/>
        <w:spacing w:before="0" w:beforeAutospacing="0" w:after="0" w:afterAutospacing="0" w:line="520" w:lineRule="exact"/>
        <w:ind w:firstLine="420" w:firstLineChars="200"/>
        <w:jc w:val="both"/>
        <w:rPr>
          <w:rFonts w:hint="eastAsia" w:ascii="宋体" w:hAnsi="宋体" w:eastAsia="宋体" w:cs="宋体"/>
          <w:sz w:val="21"/>
          <w:szCs w:val="21"/>
        </w:rPr>
      </w:pPr>
      <w:r>
        <w:rPr>
          <w:rFonts w:hint="eastAsia" w:ascii="宋体" w:hAnsi="宋体" w:eastAsia="宋体" w:cs="宋体"/>
          <w:sz w:val="21"/>
          <w:szCs w:val="21"/>
        </w:rPr>
        <w:t>8.材料（包括附随单据等）在交付甲方前所产生风险，包括但不限于材料毁损、灭失等损失均由乙方承担。若由此造成甲方承担赔偿责任或其他损失的，甲方有权向乙方追偿。</w:t>
      </w:r>
    </w:p>
    <w:p w14:paraId="6FD1FF33">
      <w:pPr>
        <w:pStyle w:val="10"/>
        <w:spacing w:before="0" w:beforeAutospacing="0" w:after="0" w:afterAutospacing="0" w:line="500" w:lineRule="exact"/>
        <w:ind w:firstLine="420" w:firstLineChars="200"/>
        <w:jc w:val="both"/>
        <w:rPr>
          <w:rFonts w:hint="eastAsia" w:ascii="宋体" w:hAnsi="宋体" w:eastAsia="宋体" w:cs="宋体"/>
          <w:b/>
          <w:bCs/>
          <w:sz w:val="21"/>
          <w:szCs w:val="21"/>
        </w:rPr>
      </w:pPr>
      <w:r>
        <w:rPr>
          <w:rFonts w:hint="eastAsia" w:ascii="宋体" w:hAnsi="宋体" w:eastAsia="宋体" w:cs="宋体"/>
          <w:b/>
          <w:bCs/>
          <w:sz w:val="21"/>
          <w:szCs w:val="21"/>
        </w:rPr>
        <w:t>第七条  材料包装</w:t>
      </w:r>
    </w:p>
    <w:p w14:paraId="4A427950">
      <w:pPr>
        <w:pStyle w:val="10"/>
        <w:spacing w:before="0" w:beforeAutospacing="0" w:after="0" w:afterAutospacing="0" w:line="500" w:lineRule="exact"/>
        <w:ind w:firstLine="420" w:firstLineChars="200"/>
        <w:jc w:val="both"/>
        <w:rPr>
          <w:rFonts w:hint="eastAsia" w:ascii="宋体" w:hAnsi="宋体" w:eastAsia="宋体" w:cs="宋体"/>
          <w:sz w:val="21"/>
          <w:szCs w:val="21"/>
        </w:rPr>
      </w:pPr>
      <w:r>
        <w:rPr>
          <w:rFonts w:hint="eastAsia" w:ascii="宋体" w:hAnsi="宋体" w:eastAsia="宋体" w:cs="宋体"/>
          <w:sz w:val="21"/>
          <w:szCs w:val="21"/>
        </w:rPr>
        <w:t>（一）乙方材料的包装标准应符合国家、行业、部门的要求及材料本身的特性。材料的包装物，由乙方负责提供，并按甲方要求回收、处置。包装物费用不向甲方另外收取，乙方如对包装物有特殊回收要求应在合同中明确。</w:t>
      </w:r>
    </w:p>
    <w:p w14:paraId="6BAE1D0A">
      <w:pPr>
        <w:pStyle w:val="10"/>
        <w:spacing w:before="0" w:beforeAutospacing="0" w:after="0" w:afterAutospacing="0" w:line="500" w:lineRule="exact"/>
        <w:ind w:firstLine="420" w:firstLineChars="200"/>
        <w:jc w:val="both"/>
        <w:rPr>
          <w:rFonts w:hint="eastAsia" w:ascii="宋体" w:hAnsi="宋体" w:eastAsia="宋体" w:cs="宋体"/>
          <w:sz w:val="21"/>
          <w:szCs w:val="21"/>
        </w:rPr>
      </w:pPr>
      <w:r>
        <w:rPr>
          <w:rFonts w:hint="eastAsia" w:ascii="宋体" w:hAnsi="宋体" w:eastAsia="宋体" w:cs="宋体"/>
          <w:sz w:val="21"/>
          <w:szCs w:val="21"/>
        </w:rPr>
        <w:t>（二）包装应满足运输、装卸、防潮、防雨、防震、防锈等需要，确保物资安全无损运抵合同约定交付地点。</w:t>
      </w:r>
    </w:p>
    <w:p w14:paraId="2A79E32A">
      <w:pPr>
        <w:pStyle w:val="10"/>
        <w:spacing w:before="0" w:beforeAutospacing="0" w:after="0" w:afterAutospacing="0" w:line="520" w:lineRule="exact"/>
        <w:ind w:firstLine="420" w:firstLineChars="200"/>
        <w:jc w:val="both"/>
        <w:outlineLvl w:val="0"/>
        <w:rPr>
          <w:rFonts w:hint="eastAsia" w:ascii="宋体" w:hAnsi="宋体" w:eastAsia="宋体" w:cs="宋体"/>
          <w:b/>
          <w:bCs/>
          <w:sz w:val="21"/>
          <w:szCs w:val="21"/>
        </w:rPr>
      </w:pPr>
      <w:r>
        <w:rPr>
          <w:rFonts w:hint="eastAsia" w:ascii="宋体" w:hAnsi="宋体" w:eastAsia="宋体" w:cs="宋体"/>
          <w:b/>
          <w:bCs/>
          <w:sz w:val="21"/>
          <w:szCs w:val="21"/>
        </w:rPr>
        <w:t>第八条  结算、付款、发票</w:t>
      </w:r>
    </w:p>
    <w:p w14:paraId="1B632BDA">
      <w:pPr>
        <w:pStyle w:val="10"/>
        <w:spacing w:before="0" w:beforeAutospacing="0" w:after="0" w:afterAutospacing="0" w:line="520" w:lineRule="exact"/>
        <w:ind w:firstLine="420" w:firstLineChars="200"/>
        <w:jc w:val="both"/>
        <w:rPr>
          <w:rFonts w:hint="eastAsia" w:ascii="宋体" w:hAnsi="宋体" w:eastAsia="宋体" w:cs="宋体"/>
          <w:sz w:val="21"/>
          <w:szCs w:val="21"/>
        </w:rPr>
      </w:pPr>
      <w:r>
        <w:rPr>
          <w:rFonts w:hint="eastAsia" w:ascii="宋体" w:hAnsi="宋体" w:eastAsia="宋体" w:cs="宋体"/>
          <w:sz w:val="21"/>
          <w:szCs w:val="21"/>
        </w:rPr>
        <w:t>（一）结算</w:t>
      </w:r>
    </w:p>
    <w:p w14:paraId="08FE8A3A">
      <w:pPr>
        <w:pStyle w:val="10"/>
        <w:spacing w:before="0" w:beforeAutospacing="0" w:after="0" w:afterAutospacing="0" w:line="520" w:lineRule="exact"/>
        <w:ind w:firstLine="420" w:firstLineChars="200"/>
        <w:jc w:val="both"/>
        <w:rPr>
          <w:rFonts w:hint="eastAsia" w:ascii="宋体" w:hAnsi="宋体" w:eastAsia="宋体" w:cs="宋体"/>
          <w:sz w:val="21"/>
          <w:szCs w:val="21"/>
        </w:rPr>
      </w:pPr>
      <w:r>
        <w:rPr>
          <w:rFonts w:hint="eastAsia" w:ascii="宋体" w:hAnsi="宋体" w:eastAsia="宋体" w:cs="宋体"/>
          <w:sz w:val="21"/>
          <w:szCs w:val="21"/>
        </w:rPr>
        <w:t>1.乙方办理结算人员必须经书面授权委托，乙方结算人员的授权委托书原件、身份证复印件等资料在甲方财务部、物资部留存备查。</w:t>
      </w:r>
    </w:p>
    <w:p w14:paraId="5E39195E">
      <w:pPr>
        <w:pStyle w:val="10"/>
        <w:spacing w:before="0" w:beforeAutospacing="0" w:after="0" w:afterAutospacing="0" w:line="520" w:lineRule="exact"/>
        <w:ind w:firstLine="420" w:firstLineChars="200"/>
        <w:jc w:val="both"/>
        <w:rPr>
          <w:rFonts w:hint="eastAsia" w:ascii="宋体" w:hAnsi="宋体" w:eastAsia="宋体" w:cs="宋体"/>
          <w:bCs/>
          <w:sz w:val="21"/>
          <w:szCs w:val="21"/>
        </w:rPr>
      </w:pPr>
      <w:r>
        <w:rPr>
          <w:rFonts w:hint="eastAsia" w:ascii="宋体" w:hAnsi="宋体" w:eastAsia="宋体" w:cs="宋体"/>
          <w:sz w:val="21"/>
          <w:szCs w:val="21"/>
        </w:rPr>
        <w:t>2.甲乙双方每月</w:t>
      </w:r>
      <w:r>
        <w:rPr>
          <w:rFonts w:hint="eastAsia" w:ascii="宋体" w:hAnsi="宋体" w:eastAsia="宋体" w:cs="宋体"/>
          <w:sz w:val="21"/>
          <w:szCs w:val="21"/>
          <w:u w:val="single"/>
        </w:rPr>
        <w:t xml:space="preserve">   </w:t>
      </w:r>
      <w:r>
        <w:rPr>
          <w:rFonts w:hint="eastAsia" w:ascii="宋体" w:hAnsi="宋体" w:eastAsia="宋体" w:cs="宋体"/>
          <w:sz w:val="21"/>
          <w:szCs w:val="21"/>
        </w:rPr>
        <w:t>日核对供货数量</w:t>
      </w:r>
      <w:r>
        <w:rPr>
          <w:rFonts w:hint="eastAsia" w:ascii="宋体" w:hAnsi="宋体" w:cs="宋体"/>
          <w:sz w:val="21"/>
          <w:szCs w:val="21"/>
          <w:lang w:eastAsia="zh-CN"/>
        </w:rPr>
        <w:t>（</w:t>
      </w:r>
      <w:r>
        <w:rPr>
          <w:rFonts w:hint="eastAsia" w:ascii="宋体" w:hAnsi="宋体" w:cs="宋体"/>
          <w:sz w:val="21"/>
          <w:szCs w:val="21"/>
          <w:lang w:val="en-US" w:eastAsia="zh-CN"/>
        </w:rPr>
        <w:t>以甲乙双方确认安装门窗的洞口尺寸为准</w:t>
      </w:r>
      <w:r>
        <w:rPr>
          <w:rFonts w:hint="eastAsia" w:ascii="宋体" w:hAnsi="宋体" w:cs="宋体"/>
          <w:sz w:val="21"/>
          <w:szCs w:val="21"/>
          <w:lang w:eastAsia="zh-CN"/>
        </w:rPr>
        <w:t>）</w:t>
      </w:r>
      <w:r>
        <w:rPr>
          <w:rFonts w:hint="eastAsia" w:ascii="宋体" w:hAnsi="宋体" w:eastAsia="宋体" w:cs="宋体"/>
          <w:sz w:val="21"/>
          <w:szCs w:val="21"/>
        </w:rPr>
        <w:t>办理结算手续，并由乙方向甲方提供增值税</w:t>
      </w:r>
      <w:r>
        <w:rPr>
          <w:rFonts w:hint="eastAsia" w:ascii="宋体" w:hAnsi="宋体" w:eastAsia="宋体" w:cs="宋体"/>
          <w:color w:val="FF0000"/>
          <w:sz w:val="21"/>
          <w:szCs w:val="21"/>
          <w:u w:val="single"/>
        </w:rPr>
        <w:t>专用</w:t>
      </w:r>
      <w:r>
        <w:rPr>
          <w:rFonts w:hint="eastAsia" w:ascii="宋体" w:hAnsi="宋体" w:eastAsia="宋体" w:cs="宋体"/>
          <w:sz w:val="21"/>
          <w:szCs w:val="21"/>
        </w:rPr>
        <w:t>发票，结算不免除乙</w:t>
      </w:r>
      <w:r>
        <w:rPr>
          <w:rFonts w:hint="eastAsia" w:ascii="宋体" w:hAnsi="宋体" w:eastAsia="宋体" w:cs="宋体"/>
          <w:bCs/>
          <w:sz w:val="21"/>
          <w:szCs w:val="21"/>
        </w:rPr>
        <w:t>方应承担的违约责任和损害赔偿责任。</w:t>
      </w:r>
    </w:p>
    <w:p w14:paraId="1CAD8A47">
      <w:pPr>
        <w:pStyle w:val="10"/>
        <w:spacing w:before="0" w:beforeAutospacing="0" w:after="0" w:afterAutospacing="0" w:line="500" w:lineRule="exact"/>
        <w:ind w:firstLine="420" w:firstLineChars="200"/>
        <w:jc w:val="both"/>
        <w:rPr>
          <w:rFonts w:hint="default" w:ascii="宋体" w:hAnsi="宋体" w:eastAsia="宋体" w:cs="宋体"/>
          <w:bCs/>
          <w:sz w:val="21"/>
          <w:szCs w:val="21"/>
          <w:lang w:val="en-US" w:eastAsia="zh-CN"/>
        </w:rPr>
      </w:pPr>
      <w:r>
        <w:rPr>
          <w:rFonts w:hint="eastAsia" w:ascii="宋体" w:hAnsi="宋体" w:eastAsia="宋体" w:cs="宋体"/>
          <w:sz w:val="21"/>
          <w:szCs w:val="21"/>
        </w:rPr>
        <w:t>3.</w:t>
      </w:r>
      <w:r>
        <w:rPr>
          <w:rFonts w:hint="eastAsia" w:ascii="宋体" w:hAnsi="宋体" w:eastAsia="宋体" w:cs="宋体"/>
          <w:bCs/>
          <w:sz w:val="21"/>
          <w:szCs w:val="21"/>
          <w:lang w:val="en-US" w:eastAsia="zh-CN"/>
        </w:rPr>
        <w:t>质量保证金:</w:t>
      </w:r>
      <w:r>
        <w:rPr>
          <w:rFonts w:hint="eastAsia" w:ascii="宋体" w:hAnsi="宋体" w:cs="宋体"/>
          <w:bCs/>
          <w:sz w:val="21"/>
          <w:szCs w:val="21"/>
          <w:lang w:val="en-US" w:eastAsia="zh-CN"/>
        </w:rPr>
        <w:t>无</w:t>
      </w:r>
    </w:p>
    <w:p w14:paraId="0AB21082">
      <w:pPr>
        <w:pStyle w:val="10"/>
        <w:spacing w:before="0" w:beforeAutospacing="0" w:after="0" w:afterAutospacing="0" w:line="500" w:lineRule="exact"/>
        <w:ind w:firstLine="420" w:firstLineChars="200"/>
        <w:jc w:val="both"/>
        <w:rPr>
          <w:rFonts w:hint="eastAsia" w:ascii="宋体" w:hAnsi="宋体" w:eastAsia="宋体" w:cs="宋体"/>
          <w:sz w:val="21"/>
          <w:szCs w:val="21"/>
        </w:rPr>
      </w:pPr>
      <w:r>
        <w:rPr>
          <w:rFonts w:hint="eastAsia" w:ascii="宋体" w:hAnsi="宋体" w:eastAsia="宋体" w:cs="宋体"/>
          <w:bCs/>
          <w:sz w:val="21"/>
          <w:szCs w:val="21"/>
        </w:rPr>
        <w:t>4.</w:t>
      </w:r>
      <w:r>
        <w:rPr>
          <w:rFonts w:hint="eastAsia" w:ascii="宋体" w:hAnsi="宋体" w:eastAsia="宋体" w:cs="宋体"/>
          <w:sz w:val="21"/>
          <w:szCs w:val="21"/>
        </w:rPr>
        <w:t>本合同无预付款。</w:t>
      </w:r>
    </w:p>
    <w:p w14:paraId="4DF47B81">
      <w:pPr>
        <w:pStyle w:val="10"/>
        <w:spacing w:before="0" w:beforeAutospacing="0" w:after="0" w:afterAutospacing="0" w:line="500" w:lineRule="exact"/>
        <w:ind w:firstLine="420" w:firstLineChars="200"/>
        <w:jc w:val="both"/>
        <w:rPr>
          <w:rFonts w:hint="eastAsia" w:ascii="宋体" w:hAnsi="宋体" w:eastAsia="宋体" w:cs="宋体"/>
          <w:sz w:val="21"/>
          <w:szCs w:val="21"/>
        </w:rPr>
      </w:pPr>
      <w:r>
        <w:rPr>
          <w:rFonts w:hint="eastAsia" w:ascii="宋体" w:hAnsi="宋体" w:eastAsia="宋体" w:cs="宋体"/>
          <w:sz w:val="21"/>
          <w:szCs w:val="21"/>
        </w:rPr>
        <w:t>（二）付款</w:t>
      </w:r>
    </w:p>
    <w:p w14:paraId="49C6C09C">
      <w:pPr>
        <w:spacing w:line="500" w:lineRule="exact"/>
        <w:ind w:firstLine="420" w:firstLineChars="200"/>
        <w:rPr>
          <w:rFonts w:hint="eastAsia" w:ascii="宋体" w:hAnsi="宋体" w:eastAsia="宋体" w:cs="宋体"/>
          <w:bCs/>
          <w:kern w:val="0"/>
          <w:sz w:val="21"/>
          <w:szCs w:val="21"/>
        </w:rPr>
      </w:pPr>
      <w:r>
        <w:rPr>
          <w:rFonts w:hint="eastAsia" w:ascii="宋体" w:hAnsi="宋体" w:eastAsia="宋体" w:cs="宋体"/>
          <w:bCs/>
          <w:kern w:val="0"/>
          <w:sz w:val="21"/>
          <w:szCs w:val="21"/>
        </w:rPr>
        <w:t>1.付款方式：</w:t>
      </w:r>
    </w:p>
    <w:p w14:paraId="6F7524BF">
      <w:pPr>
        <w:spacing w:line="500" w:lineRule="exact"/>
        <w:ind w:firstLine="420" w:firstLineChars="200"/>
        <w:rPr>
          <w:rFonts w:hint="eastAsia" w:ascii="宋体" w:hAnsi="宋体" w:eastAsia="宋体" w:cs="宋体"/>
          <w:bCs/>
          <w:color w:val="FF0000"/>
          <w:kern w:val="0"/>
          <w:sz w:val="21"/>
          <w:szCs w:val="21"/>
        </w:rPr>
      </w:pPr>
      <w:r>
        <w:rPr>
          <w:rFonts w:hint="eastAsia" w:ascii="宋体" w:hAnsi="宋体" w:eastAsia="宋体" w:cs="宋体"/>
          <w:bCs/>
          <w:kern w:val="0"/>
          <w:sz w:val="21"/>
          <w:szCs w:val="21"/>
        </w:rPr>
        <w:t>①银行转账、银行或商业承兑汇票、供应链金融渠道等</w:t>
      </w:r>
      <w:r>
        <w:rPr>
          <w:rFonts w:hint="eastAsia" w:ascii="宋体" w:hAnsi="宋体" w:cs="宋体"/>
          <w:bCs/>
          <w:sz w:val="21"/>
          <w:szCs w:val="21"/>
          <w:lang w:val="en-US" w:eastAsia="zh-CN"/>
        </w:rPr>
        <w:t>，</w:t>
      </w:r>
      <w:r>
        <w:rPr>
          <w:rFonts w:hint="eastAsia" w:ascii="宋体" w:hAnsi="宋体" w:cs="宋体"/>
          <w:bCs/>
          <w:color w:val="FF0000"/>
          <w:sz w:val="21"/>
          <w:szCs w:val="21"/>
          <w:lang w:val="en-US" w:eastAsia="zh-CN"/>
        </w:rPr>
        <w:t>现金和供应链金融票据原则上按照1:1支付。</w:t>
      </w:r>
    </w:p>
    <w:p w14:paraId="0CDF3003">
      <w:pPr>
        <w:numPr>
          <w:ilvl w:val="0"/>
          <w:numId w:val="2"/>
        </w:numPr>
        <w:spacing w:line="500" w:lineRule="exact"/>
        <w:ind w:firstLine="420" w:firstLineChars="200"/>
        <w:rPr>
          <w:rFonts w:hint="eastAsia" w:ascii="宋体" w:hAnsi="宋体" w:eastAsia="宋体" w:cs="宋体"/>
          <w:bCs/>
          <w:sz w:val="21"/>
          <w:szCs w:val="21"/>
        </w:rPr>
      </w:pPr>
      <w:r>
        <w:rPr>
          <w:rFonts w:hint="eastAsia" w:ascii="宋体" w:hAnsi="宋体" w:eastAsia="宋体" w:cs="宋体"/>
          <w:bCs/>
          <w:sz w:val="21"/>
          <w:szCs w:val="21"/>
        </w:rPr>
        <w:t>支付起点及支付比例</w:t>
      </w:r>
    </w:p>
    <w:p w14:paraId="79194AD3">
      <w:pPr>
        <w:pStyle w:val="2"/>
        <w:numPr>
          <w:ilvl w:val="0"/>
          <w:numId w:val="0"/>
        </w:numPr>
        <w:rPr>
          <w:rFonts w:hint="eastAsia" w:eastAsia="宋体"/>
          <w:lang w:val="en-US" w:eastAsia="zh-CN"/>
        </w:rPr>
      </w:pPr>
      <w:r>
        <w:rPr>
          <w:rFonts w:hint="eastAsia"/>
          <w:lang w:val="en-US" w:eastAsia="zh-CN"/>
        </w:rPr>
        <w:t xml:space="preserve">    </w:t>
      </w:r>
      <w:r>
        <w:rPr>
          <w:rFonts w:hint="eastAsia" w:ascii="宋体" w:hAnsi="宋体" w:eastAsia="宋体" w:cs="宋体"/>
          <w:bCs/>
          <w:kern w:val="0"/>
          <w:sz w:val="21"/>
          <w:szCs w:val="21"/>
          <w:lang w:val="en-US" w:eastAsia="en-US" w:bidi="ar-SA"/>
        </w:rPr>
        <w:t>甲方自结算款项达到</w:t>
      </w:r>
      <w:r>
        <w:rPr>
          <w:rFonts w:hint="eastAsia" w:ascii="宋体" w:hAnsi="宋体" w:eastAsia="宋体" w:cs="宋体"/>
          <w:bCs/>
          <w:kern w:val="0"/>
          <w:sz w:val="21"/>
          <w:szCs w:val="21"/>
          <w:u w:val="single"/>
          <w:lang w:val="en-US" w:eastAsia="en-US" w:bidi="ar-SA"/>
        </w:rPr>
        <w:t xml:space="preserve"> </w:t>
      </w:r>
      <w:r>
        <w:rPr>
          <w:rFonts w:hint="eastAsia" w:ascii="宋体" w:hAnsi="宋体" w:eastAsia="宋体" w:cs="宋体"/>
          <w:bCs/>
          <w:kern w:val="0"/>
          <w:sz w:val="21"/>
          <w:szCs w:val="21"/>
          <w:u w:val="single"/>
          <w:lang w:val="en-US" w:eastAsia="zh-CN" w:bidi="ar-SA"/>
        </w:rPr>
        <w:t xml:space="preserve">    </w:t>
      </w:r>
      <w:r>
        <w:rPr>
          <w:rFonts w:hint="eastAsia" w:ascii="宋体" w:hAnsi="宋体" w:eastAsia="宋体" w:cs="宋体"/>
          <w:bCs/>
          <w:kern w:val="0"/>
          <w:sz w:val="21"/>
          <w:szCs w:val="21"/>
          <w:lang w:val="en-US" w:eastAsia="zh-CN" w:bidi="ar-SA"/>
        </w:rPr>
        <w:t>垫资金额</w:t>
      </w:r>
      <w:r>
        <w:rPr>
          <w:rFonts w:hint="eastAsia" w:ascii="宋体" w:hAnsi="宋体" w:eastAsia="宋体" w:cs="宋体"/>
          <w:bCs/>
          <w:kern w:val="0"/>
          <w:sz w:val="21"/>
          <w:szCs w:val="21"/>
          <w:lang w:val="en-US" w:eastAsia="en-US" w:bidi="ar-SA"/>
        </w:rPr>
        <w:t>时开始向乙方支付</w:t>
      </w:r>
      <w:r>
        <w:rPr>
          <w:rFonts w:hint="eastAsia" w:ascii="宋体" w:hAnsi="宋体" w:eastAsia="宋体" w:cs="宋体"/>
          <w:bCs/>
          <w:kern w:val="0"/>
          <w:sz w:val="21"/>
          <w:szCs w:val="21"/>
          <w:lang w:val="en-US" w:eastAsia="zh-CN" w:bidi="ar-SA"/>
        </w:rPr>
        <w:t>。</w:t>
      </w:r>
    </w:p>
    <w:p w14:paraId="076B97F0">
      <w:pPr>
        <w:pStyle w:val="22"/>
        <w:spacing w:before="78" w:line="230" w:lineRule="auto"/>
        <w:ind w:right="108" w:firstLine="420" w:firstLineChars="200"/>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lang w:val="en-US" w:eastAsia="zh-CN" w:bidi="ar-SA"/>
        </w:rPr>
        <w:t>中期支付:当收到乙方中期结算价款增值税发票后60日内，甲方按业主同期工程计量款相同支付比例(实际支付与批复计量比值)向乙方支付中期结算款项。</w:t>
      </w:r>
    </w:p>
    <w:p w14:paraId="5C1317CA">
      <w:pPr>
        <w:spacing w:line="500" w:lineRule="exact"/>
        <w:ind w:firstLine="420" w:firstLineChars="200"/>
        <w:rPr>
          <w:rFonts w:hint="eastAsia" w:ascii="宋体" w:hAnsi="宋体" w:eastAsia="宋体" w:cs="宋体"/>
          <w:color w:val="FF0000"/>
          <w:sz w:val="21"/>
          <w:szCs w:val="21"/>
        </w:rPr>
      </w:pPr>
    </w:p>
    <w:p w14:paraId="201D2912">
      <w:pPr>
        <w:spacing w:line="500" w:lineRule="exact"/>
        <w:ind w:firstLine="420" w:firstLineChars="200"/>
        <w:rPr>
          <w:rFonts w:hint="eastAsia" w:ascii="宋体" w:hAnsi="宋体" w:eastAsia="宋体" w:cs="宋体"/>
          <w:color w:val="000000"/>
          <w:sz w:val="21"/>
          <w:szCs w:val="21"/>
        </w:rPr>
      </w:pPr>
      <w:r>
        <w:rPr>
          <w:rFonts w:hint="eastAsia" w:ascii="宋体" w:hAnsi="宋体" w:eastAsia="宋体" w:cs="宋体"/>
          <w:sz w:val="21"/>
          <w:szCs w:val="21"/>
        </w:rPr>
        <w:t>3.</w:t>
      </w:r>
      <w:r>
        <w:rPr>
          <w:rFonts w:hint="eastAsia" w:ascii="宋体" w:hAnsi="宋体" w:eastAsia="宋体" w:cs="宋体"/>
          <w:color w:val="000000"/>
          <w:sz w:val="21"/>
          <w:szCs w:val="21"/>
        </w:rPr>
        <w:t>甲方按照载明的乙方收款信息向乙方支付款项。除非甲方同意，甲方不接受乙方单方委托向第三方付款的申请，乙方仍执意要求委托甲方向第三方付款的，甲方有权中止向乙方支付全额款项，且不承担逾期付款的违约责任。</w:t>
      </w:r>
    </w:p>
    <w:p w14:paraId="460EC59B">
      <w:pPr>
        <w:pStyle w:val="10"/>
        <w:spacing w:before="0" w:beforeAutospacing="0" w:after="0" w:afterAutospacing="0" w:line="520" w:lineRule="exact"/>
        <w:ind w:firstLine="420" w:firstLineChars="200"/>
        <w:jc w:val="both"/>
        <w:outlineLvl w:val="0"/>
        <w:rPr>
          <w:rFonts w:hint="eastAsia" w:ascii="宋体" w:hAnsi="宋体" w:eastAsia="宋体" w:cs="宋体"/>
          <w:sz w:val="21"/>
          <w:szCs w:val="21"/>
        </w:rPr>
      </w:pPr>
      <w:r>
        <w:rPr>
          <w:rFonts w:hint="eastAsia" w:ascii="宋体" w:hAnsi="宋体" w:eastAsia="宋体" w:cs="宋体"/>
          <w:sz w:val="21"/>
          <w:szCs w:val="21"/>
        </w:rPr>
        <w:t>（三）发票</w:t>
      </w:r>
    </w:p>
    <w:p w14:paraId="5F6EB22F">
      <w:pPr>
        <w:spacing w:line="520" w:lineRule="exact"/>
        <w:ind w:firstLine="403" w:firstLineChars="192"/>
        <w:rPr>
          <w:rFonts w:hint="eastAsia" w:ascii="宋体" w:hAnsi="宋体" w:eastAsia="宋体" w:cs="宋体"/>
          <w:kern w:val="0"/>
          <w:sz w:val="21"/>
          <w:szCs w:val="21"/>
        </w:rPr>
      </w:pPr>
      <w:r>
        <w:rPr>
          <w:rFonts w:hint="eastAsia" w:ascii="宋体" w:hAnsi="宋体" w:eastAsia="宋体" w:cs="宋体"/>
          <w:kern w:val="0"/>
          <w:sz w:val="21"/>
          <w:szCs w:val="21"/>
        </w:rPr>
        <w:t>1.当月对账结束后5日内，乙方应提供合规的增值税</w:t>
      </w:r>
      <w:r>
        <w:rPr>
          <w:rFonts w:hint="eastAsia" w:ascii="宋体" w:hAnsi="宋体" w:eastAsia="宋体" w:cs="宋体"/>
          <w:color w:val="FF0000"/>
          <w:kern w:val="0"/>
          <w:sz w:val="21"/>
          <w:szCs w:val="21"/>
          <w:u w:val="single"/>
        </w:rPr>
        <w:t>专用</w:t>
      </w:r>
      <w:r>
        <w:rPr>
          <w:rFonts w:hint="eastAsia" w:ascii="宋体" w:hAnsi="宋体" w:eastAsia="宋体" w:cs="宋体"/>
          <w:kern w:val="0"/>
          <w:sz w:val="21"/>
          <w:szCs w:val="21"/>
        </w:rPr>
        <w:t>发票（包括税务机关代开），按实际情况准确填写发票内容，方可办理结算手续。</w:t>
      </w:r>
    </w:p>
    <w:p w14:paraId="7DA26179">
      <w:pPr>
        <w:spacing w:line="520" w:lineRule="exact"/>
        <w:ind w:firstLine="403" w:firstLineChars="192"/>
        <w:rPr>
          <w:rFonts w:hint="eastAsia" w:ascii="宋体" w:hAnsi="宋体" w:eastAsia="宋体" w:cs="宋体"/>
          <w:kern w:val="0"/>
          <w:sz w:val="21"/>
          <w:szCs w:val="21"/>
        </w:rPr>
      </w:pPr>
      <w:r>
        <w:rPr>
          <w:rFonts w:hint="eastAsia" w:ascii="宋体" w:hAnsi="宋体" w:eastAsia="宋体" w:cs="宋体"/>
          <w:sz w:val="21"/>
          <w:szCs w:val="21"/>
        </w:rPr>
        <w:t>2.</w:t>
      </w:r>
      <w:r>
        <w:rPr>
          <w:rFonts w:hint="eastAsia" w:ascii="宋体" w:hAnsi="宋体" w:eastAsia="宋体" w:cs="宋体"/>
          <w:kern w:val="0"/>
          <w:sz w:val="21"/>
          <w:szCs w:val="21"/>
        </w:rPr>
        <w:t>乙方提供的增值税发票不符合法律法规要求或不能通过税务认证的，甲方有权拒收或退回，乙方应及时更换。如上述情况导致甲方支付滞后的，乙方不得向甲方主张违约、利息等事宜。</w:t>
      </w:r>
    </w:p>
    <w:p w14:paraId="2C8F5107">
      <w:pPr>
        <w:spacing w:line="520" w:lineRule="exact"/>
        <w:ind w:firstLine="403" w:firstLineChars="192"/>
        <w:rPr>
          <w:rFonts w:hint="eastAsia" w:ascii="宋体" w:hAnsi="宋体" w:eastAsia="宋体" w:cs="宋体"/>
          <w:kern w:val="0"/>
          <w:sz w:val="21"/>
          <w:szCs w:val="21"/>
        </w:rPr>
      </w:pPr>
      <w:r>
        <w:rPr>
          <w:rFonts w:hint="eastAsia" w:ascii="宋体" w:hAnsi="宋体" w:eastAsia="宋体" w:cs="宋体"/>
          <w:sz w:val="21"/>
          <w:szCs w:val="21"/>
        </w:rPr>
        <w:t>3.乙方保证向甲方提供的发票不存在违反相关法律法规的情形（包括但不限于虚开、套开等），否则因此产生的经济及法律责任（包括行政责任、民事责任、刑事责任）由乙方承担。</w:t>
      </w:r>
    </w:p>
    <w:p w14:paraId="74CB73BE">
      <w:pPr>
        <w:spacing w:line="520" w:lineRule="exact"/>
        <w:ind w:firstLine="403" w:firstLineChars="192"/>
        <w:rPr>
          <w:rFonts w:hint="eastAsia" w:ascii="宋体" w:hAnsi="宋体" w:eastAsia="宋体" w:cs="宋体"/>
          <w:kern w:val="0"/>
          <w:sz w:val="21"/>
          <w:szCs w:val="21"/>
        </w:rPr>
      </w:pPr>
      <w:r>
        <w:rPr>
          <w:rFonts w:hint="eastAsia" w:ascii="宋体" w:hAnsi="宋体" w:eastAsia="宋体" w:cs="宋体"/>
          <w:kern w:val="0"/>
          <w:sz w:val="21"/>
          <w:szCs w:val="21"/>
        </w:rPr>
        <w:t>4.</w:t>
      </w:r>
      <w:r>
        <w:rPr>
          <w:rFonts w:hint="eastAsia" w:ascii="宋体" w:hAnsi="宋体" w:eastAsia="宋体" w:cs="宋体"/>
          <w:color w:val="000000"/>
          <w:kern w:val="0"/>
          <w:sz w:val="21"/>
          <w:szCs w:val="21"/>
        </w:rPr>
        <w:t>本合同履行中或终止后，如发生乙方或乙方债权人通过诉讼、仲裁等争议解决机制向甲方主张权利并获裁判机关支持的，甲方在付款前乙方应先提供相应金额的发票。</w:t>
      </w:r>
    </w:p>
    <w:p w14:paraId="3E1EA076">
      <w:pPr>
        <w:spacing w:line="520" w:lineRule="exact"/>
        <w:ind w:firstLine="403" w:firstLineChars="192"/>
        <w:rPr>
          <w:rFonts w:hint="eastAsia" w:ascii="宋体" w:hAnsi="宋体" w:eastAsia="宋体" w:cs="宋体"/>
          <w:bCs/>
          <w:sz w:val="21"/>
          <w:szCs w:val="21"/>
        </w:rPr>
      </w:pPr>
      <w:r>
        <w:rPr>
          <w:rFonts w:hint="eastAsia" w:ascii="宋体" w:hAnsi="宋体" w:eastAsia="宋体" w:cs="宋体"/>
          <w:sz w:val="21"/>
          <w:szCs w:val="21"/>
        </w:rPr>
        <w:t>5.</w:t>
      </w:r>
      <w:r>
        <w:rPr>
          <w:rFonts w:hint="eastAsia" w:ascii="宋体" w:hAnsi="宋体" w:eastAsia="宋体" w:cs="宋体"/>
          <w:bCs/>
          <w:sz w:val="21"/>
          <w:szCs w:val="21"/>
        </w:rPr>
        <w:t>城市建设维护税、教育费附加、地方教育附加、水利建设基金等</w:t>
      </w:r>
      <w:r>
        <w:rPr>
          <w:rFonts w:hint="eastAsia" w:ascii="宋体" w:hAnsi="宋体" w:eastAsia="宋体" w:cs="宋体"/>
          <w:sz w:val="21"/>
          <w:szCs w:val="21"/>
        </w:rPr>
        <w:t>其他税费</w:t>
      </w:r>
      <w:r>
        <w:rPr>
          <w:rFonts w:hint="eastAsia" w:ascii="宋体" w:hAnsi="宋体" w:eastAsia="宋体" w:cs="宋体"/>
          <w:bCs/>
          <w:sz w:val="21"/>
          <w:szCs w:val="21"/>
        </w:rPr>
        <w:t xml:space="preserve">已包含在单价中，由乙方自行承担。 </w:t>
      </w:r>
    </w:p>
    <w:p w14:paraId="31AB76F1">
      <w:pPr>
        <w:spacing w:line="520" w:lineRule="exact"/>
        <w:ind w:firstLine="403" w:firstLineChars="192"/>
        <w:rPr>
          <w:rFonts w:hint="eastAsia" w:ascii="宋体" w:hAnsi="宋体" w:eastAsia="宋体" w:cs="宋体"/>
          <w:kern w:val="0"/>
          <w:sz w:val="21"/>
          <w:szCs w:val="21"/>
        </w:rPr>
      </w:pPr>
      <w:r>
        <w:rPr>
          <w:rFonts w:hint="eastAsia" w:ascii="宋体" w:hAnsi="宋体" w:eastAsia="宋体" w:cs="宋体"/>
          <w:kern w:val="0"/>
          <w:sz w:val="21"/>
          <w:szCs w:val="21"/>
        </w:rPr>
        <w:t>6.甲方税务开票信息如下：</w:t>
      </w:r>
    </w:p>
    <w:tbl>
      <w:tblPr>
        <w:tblStyle w:val="1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4"/>
        <w:gridCol w:w="5811"/>
      </w:tblGrid>
      <w:tr w14:paraId="14373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694" w:type="dxa"/>
            <w:noWrap w:val="0"/>
            <w:vAlign w:val="top"/>
          </w:tcPr>
          <w:p w14:paraId="0C9F2A19">
            <w:pPr>
              <w:keepNext w:val="0"/>
              <w:keepLines w:val="0"/>
              <w:widowControl/>
              <w:suppressLineNumbers w:val="0"/>
              <w:spacing w:before="0" w:beforeAutospacing="0" w:afterAutospacing="0" w:line="560" w:lineRule="exact"/>
              <w:ind w:left="0" w:right="0"/>
              <w:rPr>
                <w:rFonts w:hint="eastAsia" w:ascii="宋体" w:hAnsi="宋体" w:eastAsia="宋体" w:cs="宋体"/>
                <w:kern w:val="0"/>
                <w:sz w:val="21"/>
                <w:szCs w:val="21"/>
              </w:rPr>
            </w:pPr>
            <w:r>
              <w:rPr>
                <w:rFonts w:hint="eastAsia" w:ascii="宋体" w:hAnsi="宋体" w:eastAsia="宋体" w:cs="宋体"/>
                <w:kern w:val="0"/>
                <w:sz w:val="21"/>
                <w:szCs w:val="21"/>
              </w:rPr>
              <w:t>单位名称</w:t>
            </w:r>
          </w:p>
        </w:tc>
        <w:tc>
          <w:tcPr>
            <w:tcW w:w="5811" w:type="dxa"/>
            <w:noWrap w:val="0"/>
            <w:vAlign w:val="top"/>
          </w:tcPr>
          <w:p w14:paraId="6DCE3B1F">
            <w:pPr>
              <w:keepNext w:val="0"/>
              <w:keepLines w:val="0"/>
              <w:widowControl/>
              <w:suppressLineNumbers w:val="0"/>
              <w:spacing w:before="0" w:beforeAutospacing="0" w:afterAutospacing="0" w:line="560" w:lineRule="exact"/>
              <w:ind w:left="0" w:right="0"/>
              <w:rPr>
                <w:rFonts w:hint="eastAsia" w:ascii="宋体" w:hAnsi="宋体" w:eastAsia="宋体" w:cs="宋体"/>
                <w:kern w:val="0"/>
                <w:sz w:val="21"/>
                <w:szCs w:val="21"/>
              </w:rPr>
            </w:pPr>
          </w:p>
        </w:tc>
      </w:tr>
      <w:tr w14:paraId="63499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noWrap w:val="0"/>
            <w:vAlign w:val="top"/>
          </w:tcPr>
          <w:p w14:paraId="68FB0C85">
            <w:pPr>
              <w:keepNext w:val="0"/>
              <w:keepLines w:val="0"/>
              <w:widowControl/>
              <w:suppressLineNumbers w:val="0"/>
              <w:spacing w:before="0" w:beforeAutospacing="0" w:afterAutospacing="0" w:line="560" w:lineRule="exact"/>
              <w:ind w:left="0" w:right="0"/>
              <w:rPr>
                <w:rFonts w:hint="eastAsia" w:ascii="宋体" w:hAnsi="宋体" w:eastAsia="宋体" w:cs="宋体"/>
                <w:kern w:val="0"/>
                <w:sz w:val="21"/>
                <w:szCs w:val="21"/>
              </w:rPr>
            </w:pPr>
            <w:r>
              <w:rPr>
                <w:rFonts w:hint="eastAsia" w:ascii="宋体" w:hAnsi="宋体" w:eastAsia="宋体" w:cs="宋体"/>
                <w:kern w:val="0"/>
                <w:sz w:val="21"/>
                <w:szCs w:val="21"/>
              </w:rPr>
              <w:t>社会统一信用代码</w:t>
            </w:r>
          </w:p>
        </w:tc>
        <w:tc>
          <w:tcPr>
            <w:tcW w:w="5811" w:type="dxa"/>
            <w:noWrap w:val="0"/>
            <w:vAlign w:val="top"/>
          </w:tcPr>
          <w:p w14:paraId="1D102A65">
            <w:pPr>
              <w:keepNext w:val="0"/>
              <w:keepLines w:val="0"/>
              <w:widowControl/>
              <w:suppressLineNumbers w:val="0"/>
              <w:spacing w:before="0" w:beforeAutospacing="0" w:afterAutospacing="0" w:line="560" w:lineRule="exact"/>
              <w:ind w:left="0" w:right="0"/>
              <w:rPr>
                <w:rFonts w:hint="eastAsia" w:ascii="宋体" w:hAnsi="宋体" w:eastAsia="宋体" w:cs="宋体"/>
                <w:kern w:val="0"/>
                <w:sz w:val="21"/>
                <w:szCs w:val="21"/>
              </w:rPr>
            </w:pPr>
          </w:p>
        </w:tc>
      </w:tr>
      <w:tr w14:paraId="2C87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noWrap w:val="0"/>
            <w:vAlign w:val="top"/>
          </w:tcPr>
          <w:p w14:paraId="07375231">
            <w:pPr>
              <w:keepNext w:val="0"/>
              <w:keepLines w:val="0"/>
              <w:widowControl/>
              <w:suppressLineNumbers w:val="0"/>
              <w:spacing w:before="0" w:beforeAutospacing="0" w:afterAutospacing="0" w:line="560" w:lineRule="exact"/>
              <w:ind w:left="0" w:right="0"/>
              <w:rPr>
                <w:rFonts w:hint="eastAsia" w:ascii="宋体" w:hAnsi="宋体" w:eastAsia="宋体" w:cs="宋体"/>
                <w:kern w:val="0"/>
                <w:sz w:val="21"/>
                <w:szCs w:val="21"/>
              </w:rPr>
            </w:pPr>
            <w:r>
              <w:rPr>
                <w:rFonts w:hint="eastAsia" w:ascii="宋体" w:hAnsi="宋体" w:eastAsia="宋体" w:cs="宋体"/>
                <w:kern w:val="0"/>
                <w:sz w:val="21"/>
                <w:szCs w:val="21"/>
              </w:rPr>
              <w:t>开户银行</w:t>
            </w:r>
          </w:p>
        </w:tc>
        <w:tc>
          <w:tcPr>
            <w:tcW w:w="5811" w:type="dxa"/>
            <w:noWrap w:val="0"/>
            <w:vAlign w:val="top"/>
          </w:tcPr>
          <w:p w14:paraId="2157D281">
            <w:pPr>
              <w:keepNext w:val="0"/>
              <w:keepLines w:val="0"/>
              <w:widowControl/>
              <w:suppressLineNumbers w:val="0"/>
              <w:spacing w:before="0" w:beforeAutospacing="0" w:afterAutospacing="0" w:line="560" w:lineRule="exact"/>
              <w:ind w:left="0" w:right="0"/>
              <w:rPr>
                <w:rFonts w:hint="eastAsia" w:ascii="宋体" w:hAnsi="宋体" w:eastAsia="宋体" w:cs="宋体"/>
                <w:kern w:val="0"/>
                <w:sz w:val="21"/>
                <w:szCs w:val="21"/>
              </w:rPr>
            </w:pPr>
          </w:p>
        </w:tc>
      </w:tr>
      <w:tr w14:paraId="35688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noWrap w:val="0"/>
            <w:vAlign w:val="top"/>
          </w:tcPr>
          <w:p w14:paraId="19D7290A">
            <w:pPr>
              <w:keepNext w:val="0"/>
              <w:keepLines w:val="0"/>
              <w:widowControl/>
              <w:suppressLineNumbers w:val="0"/>
              <w:spacing w:before="0" w:beforeAutospacing="0" w:afterAutospacing="0" w:line="560" w:lineRule="exact"/>
              <w:ind w:left="0" w:right="0"/>
              <w:rPr>
                <w:rFonts w:hint="eastAsia" w:ascii="宋体" w:hAnsi="宋体" w:eastAsia="宋体" w:cs="宋体"/>
                <w:kern w:val="0"/>
                <w:sz w:val="21"/>
                <w:szCs w:val="21"/>
              </w:rPr>
            </w:pPr>
            <w:r>
              <w:rPr>
                <w:rFonts w:hint="eastAsia" w:ascii="宋体" w:hAnsi="宋体" w:eastAsia="宋体" w:cs="宋体"/>
                <w:kern w:val="0"/>
                <w:sz w:val="21"/>
                <w:szCs w:val="21"/>
              </w:rPr>
              <w:t>账    号</w:t>
            </w:r>
          </w:p>
        </w:tc>
        <w:tc>
          <w:tcPr>
            <w:tcW w:w="5811" w:type="dxa"/>
            <w:noWrap w:val="0"/>
            <w:vAlign w:val="top"/>
          </w:tcPr>
          <w:p w14:paraId="5B57E5F5">
            <w:pPr>
              <w:keepNext w:val="0"/>
              <w:keepLines w:val="0"/>
              <w:widowControl/>
              <w:suppressLineNumbers w:val="0"/>
              <w:spacing w:before="0" w:beforeAutospacing="0" w:afterAutospacing="0" w:line="560" w:lineRule="exact"/>
              <w:ind w:left="0" w:right="0"/>
              <w:rPr>
                <w:rFonts w:hint="eastAsia" w:ascii="宋体" w:hAnsi="宋体" w:eastAsia="宋体" w:cs="宋体"/>
                <w:kern w:val="0"/>
                <w:sz w:val="21"/>
                <w:szCs w:val="21"/>
              </w:rPr>
            </w:pPr>
          </w:p>
        </w:tc>
      </w:tr>
      <w:tr w14:paraId="6460A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noWrap w:val="0"/>
            <w:vAlign w:val="top"/>
          </w:tcPr>
          <w:p w14:paraId="34CFDD71">
            <w:pPr>
              <w:keepNext w:val="0"/>
              <w:keepLines w:val="0"/>
              <w:widowControl/>
              <w:suppressLineNumbers w:val="0"/>
              <w:spacing w:before="0" w:beforeAutospacing="0" w:afterAutospacing="0" w:line="560" w:lineRule="exact"/>
              <w:ind w:left="0" w:right="0"/>
              <w:rPr>
                <w:rFonts w:hint="eastAsia" w:ascii="宋体" w:hAnsi="宋体" w:eastAsia="宋体" w:cs="宋体"/>
                <w:kern w:val="0"/>
                <w:sz w:val="21"/>
                <w:szCs w:val="21"/>
              </w:rPr>
            </w:pPr>
            <w:r>
              <w:rPr>
                <w:rFonts w:hint="eastAsia" w:ascii="宋体" w:hAnsi="宋体" w:eastAsia="宋体" w:cs="宋体"/>
                <w:kern w:val="0"/>
                <w:sz w:val="21"/>
                <w:szCs w:val="21"/>
              </w:rPr>
              <w:t>地    址</w:t>
            </w:r>
          </w:p>
        </w:tc>
        <w:tc>
          <w:tcPr>
            <w:tcW w:w="5811" w:type="dxa"/>
            <w:noWrap w:val="0"/>
            <w:vAlign w:val="top"/>
          </w:tcPr>
          <w:p w14:paraId="703AD7C3">
            <w:pPr>
              <w:keepNext w:val="0"/>
              <w:keepLines w:val="0"/>
              <w:widowControl/>
              <w:suppressLineNumbers w:val="0"/>
              <w:spacing w:before="0" w:beforeAutospacing="0" w:afterAutospacing="0" w:line="560" w:lineRule="exact"/>
              <w:ind w:left="0" w:right="0"/>
              <w:rPr>
                <w:rFonts w:hint="eastAsia" w:ascii="宋体" w:hAnsi="宋体" w:eastAsia="宋体" w:cs="宋体"/>
                <w:kern w:val="0"/>
                <w:sz w:val="21"/>
                <w:szCs w:val="21"/>
              </w:rPr>
            </w:pPr>
          </w:p>
        </w:tc>
      </w:tr>
      <w:tr w14:paraId="3BEA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noWrap w:val="0"/>
            <w:vAlign w:val="top"/>
          </w:tcPr>
          <w:p w14:paraId="0924CFC5">
            <w:pPr>
              <w:keepNext w:val="0"/>
              <w:keepLines w:val="0"/>
              <w:widowControl/>
              <w:suppressLineNumbers w:val="0"/>
              <w:spacing w:before="0" w:beforeAutospacing="0" w:afterAutospacing="0" w:line="560" w:lineRule="exact"/>
              <w:ind w:left="0" w:right="0"/>
              <w:rPr>
                <w:rFonts w:hint="eastAsia" w:ascii="宋体" w:hAnsi="宋体" w:eastAsia="宋体" w:cs="宋体"/>
                <w:kern w:val="0"/>
                <w:sz w:val="21"/>
                <w:szCs w:val="21"/>
              </w:rPr>
            </w:pPr>
            <w:r>
              <w:rPr>
                <w:rFonts w:hint="eastAsia" w:ascii="宋体" w:hAnsi="宋体" w:eastAsia="宋体" w:cs="宋体"/>
                <w:kern w:val="0"/>
                <w:sz w:val="21"/>
                <w:szCs w:val="21"/>
              </w:rPr>
              <w:t>电    话</w:t>
            </w:r>
          </w:p>
        </w:tc>
        <w:tc>
          <w:tcPr>
            <w:tcW w:w="5811" w:type="dxa"/>
            <w:noWrap w:val="0"/>
            <w:vAlign w:val="top"/>
          </w:tcPr>
          <w:p w14:paraId="1A0AF41C">
            <w:pPr>
              <w:keepNext w:val="0"/>
              <w:keepLines w:val="0"/>
              <w:widowControl/>
              <w:suppressLineNumbers w:val="0"/>
              <w:spacing w:before="0" w:beforeAutospacing="0" w:afterAutospacing="0" w:line="560" w:lineRule="exact"/>
              <w:ind w:left="0" w:right="0"/>
              <w:rPr>
                <w:rFonts w:hint="eastAsia" w:ascii="宋体" w:hAnsi="宋体" w:eastAsia="宋体" w:cs="宋体"/>
                <w:kern w:val="0"/>
                <w:sz w:val="21"/>
                <w:szCs w:val="21"/>
              </w:rPr>
            </w:pPr>
          </w:p>
        </w:tc>
      </w:tr>
    </w:tbl>
    <w:p w14:paraId="50C908AC">
      <w:pPr>
        <w:spacing w:line="560" w:lineRule="exact"/>
        <w:ind w:firstLine="403" w:firstLineChars="192"/>
        <w:rPr>
          <w:rFonts w:hint="eastAsia" w:ascii="宋体" w:hAnsi="宋体" w:eastAsia="宋体" w:cs="宋体"/>
          <w:kern w:val="0"/>
          <w:sz w:val="21"/>
          <w:szCs w:val="21"/>
        </w:rPr>
      </w:pPr>
      <w:r>
        <w:rPr>
          <w:rFonts w:hint="eastAsia" w:ascii="宋体" w:hAnsi="宋体" w:eastAsia="宋体" w:cs="宋体"/>
          <w:kern w:val="0"/>
          <w:sz w:val="21"/>
          <w:szCs w:val="21"/>
        </w:rPr>
        <w:t>乙方税务开票信息如下：</w:t>
      </w:r>
    </w:p>
    <w:tbl>
      <w:tblPr>
        <w:tblStyle w:val="1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4"/>
        <w:gridCol w:w="5811"/>
      </w:tblGrid>
      <w:tr w14:paraId="4AEA2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noWrap w:val="0"/>
            <w:vAlign w:val="top"/>
          </w:tcPr>
          <w:p w14:paraId="03C32091">
            <w:pPr>
              <w:keepNext w:val="0"/>
              <w:keepLines w:val="0"/>
              <w:widowControl/>
              <w:suppressLineNumbers w:val="0"/>
              <w:spacing w:before="0" w:beforeAutospacing="0" w:afterAutospacing="0" w:line="560" w:lineRule="exact"/>
              <w:ind w:left="0" w:right="0"/>
              <w:rPr>
                <w:rFonts w:hint="eastAsia" w:ascii="宋体" w:hAnsi="宋体" w:eastAsia="宋体" w:cs="宋体"/>
                <w:kern w:val="0"/>
                <w:sz w:val="21"/>
                <w:szCs w:val="21"/>
              </w:rPr>
            </w:pPr>
            <w:r>
              <w:rPr>
                <w:rFonts w:hint="eastAsia" w:ascii="宋体" w:hAnsi="宋体" w:eastAsia="宋体" w:cs="宋体"/>
                <w:kern w:val="0"/>
                <w:sz w:val="21"/>
                <w:szCs w:val="21"/>
              </w:rPr>
              <w:t>单位名称</w:t>
            </w:r>
          </w:p>
        </w:tc>
        <w:tc>
          <w:tcPr>
            <w:tcW w:w="5811" w:type="dxa"/>
            <w:noWrap w:val="0"/>
            <w:vAlign w:val="top"/>
          </w:tcPr>
          <w:p w14:paraId="466CA73D">
            <w:pPr>
              <w:keepNext w:val="0"/>
              <w:keepLines w:val="0"/>
              <w:widowControl/>
              <w:suppressLineNumbers w:val="0"/>
              <w:spacing w:before="0" w:beforeAutospacing="0" w:afterAutospacing="0" w:line="560" w:lineRule="exact"/>
              <w:ind w:left="0" w:right="0"/>
              <w:rPr>
                <w:rFonts w:hint="eastAsia" w:ascii="宋体" w:hAnsi="宋体" w:eastAsia="宋体" w:cs="宋体"/>
                <w:kern w:val="0"/>
                <w:sz w:val="21"/>
                <w:szCs w:val="21"/>
              </w:rPr>
            </w:pPr>
          </w:p>
        </w:tc>
      </w:tr>
      <w:tr w14:paraId="071C5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noWrap w:val="0"/>
            <w:vAlign w:val="top"/>
          </w:tcPr>
          <w:p w14:paraId="06296EE9">
            <w:pPr>
              <w:keepNext w:val="0"/>
              <w:keepLines w:val="0"/>
              <w:widowControl/>
              <w:suppressLineNumbers w:val="0"/>
              <w:spacing w:before="0" w:beforeAutospacing="0" w:afterAutospacing="0" w:line="560" w:lineRule="exact"/>
              <w:ind w:left="0" w:right="0"/>
              <w:rPr>
                <w:rFonts w:hint="eastAsia" w:ascii="宋体" w:hAnsi="宋体" w:eastAsia="宋体" w:cs="宋体"/>
                <w:kern w:val="0"/>
                <w:sz w:val="21"/>
                <w:szCs w:val="21"/>
              </w:rPr>
            </w:pPr>
            <w:r>
              <w:rPr>
                <w:rFonts w:hint="eastAsia" w:ascii="宋体" w:hAnsi="宋体" w:eastAsia="宋体" w:cs="宋体"/>
                <w:kern w:val="0"/>
                <w:sz w:val="21"/>
                <w:szCs w:val="21"/>
              </w:rPr>
              <w:t>社会统一信用代码</w:t>
            </w:r>
          </w:p>
        </w:tc>
        <w:tc>
          <w:tcPr>
            <w:tcW w:w="5811" w:type="dxa"/>
            <w:noWrap w:val="0"/>
            <w:vAlign w:val="top"/>
          </w:tcPr>
          <w:p w14:paraId="12207241">
            <w:pPr>
              <w:keepNext w:val="0"/>
              <w:keepLines w:val="0"/>
              <w:widowControl/>
              <w:suppressLineNumbers w:val="0"/>
              <w:spacing w:before="0" w:beforeAutospacing="0" w:afterAutospacing="0" w:line="560" w:lineRule="exact"/>
              <w:ind w:left="0" w:right="0"/>
              <w:rPr>
                <w:rFonts w:hint="eastAsia" w:ascii="宋体" w:hAnsi="宋体" w:eastAsia="宋体" w:cs="宋体"/>
                <w:kern w:val="0"/>
                <w:sz w:val="21"/>
                <w:szCs w:val="21"/>
              </w:rPr>
            </w:pPr>
          </w:p>
        </w:tc>
      </w:tr>
      <w:tr w14:paraId="0D2B3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noWrap w:val="0"/>
            <w:vAlign w:val="top"/>
          </w:tcPr>
          <w:p w14:paraId="3C995D65">
            <w:pPr>
              <w:keepNext w:val="0"/>
              <w:keepLines w:val="0"/>
              <w:widowControl/>
              <w:suppressLineNumbers w:val="0"/>
              <w:spacing w:before="0" w:beforeAutospacing="0" w:afterAutospacing="0" w:line="560" w:lineRule="exact"/>
              <w:ind w:left="0" w:right="0"/>
              <w:rPr>
                <w:rFonts w:hint="eastAsia" w:ascii="宋体" w:hAnsi="宋体" w:eastAsia="宋体" w:cs="宋体"/>
                <w:kern w:val="0"/>
                <w:sz w:val="21"/>
                <w:szCs w:val="21"/>
              </w:rPr>
            </w:pPr>
            <w:r>
              <w:rPr>
                <w:rFonts w:hint="eastAsia" w:ascii="宋体" w:hAnsi="宋体" w:eastAsia="宋体" w:cs="宋体"/>
                <w:kern w:val="0"/>
                <w:sz w:val="21"/>
                <w:szCs w:val="21"/>
              </w:rPr>
              <w:t>开户银行</w:t>
            </w:r>
          </w:p>
        </w:tc>
        <w:tc>
          <w:tcPr>
            <w:tcW w:w="5811" w:type="dxa"/>
            <w:noWrap w:val="0"/>
            <w:vAlign w:val="top"/>
          </w:tcPr>
          <w:p w14:paraId="57139B24">
            <w:pPr>
              <w:keepNext w:val="0"/>
              <w:keepLines w:val="0"/>
              <w:widowControl/>
              <w:suppressLineNumbers w:val="0"/>
              <w:spacing w:before="0" w:beforeAutospacing="0" w:afterAutospacing="0" w:line="560" w:lineRule="exact"/>
              <w:ind w:left="0" w:right="0"/>
              <w:rPr>
                <w:rFonts w:hint="eastAsia" w:ascii="宋体" w:hAnsi="宋体" w:eastAsia="宋体" w:cs="宋体"/>
                <w:kern w:val="0"/>
                <w:sz w:val="21"/>
                <w:szCs w:val="21"/>
              </w:rPr>
            </w:pPr>
          </w:p>
        </w:tc>
      </w:tr>
      <w:tr w14:paraId="0CAD7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noWrap w:val="0"/>
            <w:vAlign w:val="top"/>
          </w:tcPr>
          <w:p w14:paraId="4B868071">
            <w:pPr>
              <w:keepNext w:val="0"/>
              <w:keepLines w:val="0"/>
              <w:widowControl/>
              <w:suppressLineNumbers w:val="0"/>
              <w:spacing w:before="0" w:beforeAutospacing="0" w:afterAutospacing="0" w:line="560" w:lineRule="exact"/>
              <w:ind w:left="0" w:right="0"/>
              <w:rPr>
                <w:rFonts w:hint="eastAsia" w:ascii="宋体" w:hAnsi="宋体" w:eastAsia="宋体" w:cs="宋体"/>
                <w:kern w:val="0"/>
                <w:sz w:val="21"/>
                <w:szCs w:val="21"/>
              </w:rPr>
            </w:pPr>
            <w:r>
              <w:rPr>
                <w:rFonts w:hint="eastAsia" w:ascii="宋体" w:hAnsi="宋体" w:eastAsia="宋体" w:cs="宋体"/>
                <w:kern w:val="0"/>
                <w:sz w:val="21"/>
                <w:szCs w:val="21"/>
              </w:rPr>
              <w:t>账    号</w:t>
            </w:r>
          </w:p>
        </w:tc>
        <w:tc>
          <w:tcPr>
            <w:tcW w:w="5811" w:type="dxa"/>
            <w:noWrap w:val="0"/>
            <w:vAlign w:val="top"/>
          </w:tcPr>
          <w:p w14:paraId="2796DA0A">
            <w:pPr>
              <w:keepNext w:val="0"/>
              <w:keepLines w:val="0"/>
              <w:widowControl/>
              <w:suppressLineNumbers w:val="0"/>
              <w:spacing w:before="0" w:beforeAutospacing="0" w:afterAutospacing="0" w:line="560" w:lineRule="exact"/>
              <w:ind w:left="0" w:right="0"/>
              <w:rPr>
                <w:rFonts w:hint="eastAsia" w:ascii="宋体" w:hAnsi="宋体" w:eastAsia="宋体" w:cs="宋体"/>
                <w:kern w:val="0"/>
                <w:sz w:val="21"/>
                <w:szCs w:val="21"/>
              </w:rPr>
            </w:pPr>
          </w:p>
        </w:tc>
      </w:tr>
      <w:tr w14:paraId="1106B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noWrap w:val="0"/>
            <w:vAlign w:val="top"/>
          </w:tcPr>
          <w:p w14:paraId="10453589">
            <w:pPr>
              <w:keepNext w:val="0"/>
              <w:keepLines w:val="0"/>
              <w:widowControl/>
              <w:suppressLineNumbers w:val="0"/>
              <w:spacing w:before="0" w:beforeAutospacing="0" w:afterAutospacing="0" w:line="560" w:lineRule="exact"/>
              <w:ind w:left="0" w:right="0"/>
              <w:rPr>
                <w:rFonts w:hint="eastAsia" w:ascii="宋体" w:hAnsi="宋体" w:eastAsia="宋体" w:cs="宋体"/>
                <w:kern w:val="0"/>
                <w:sz w:val="21"/>
                <w:szCs w:val="21"/>
              </w:rPr>
            </w:pPr>
            <w:r>
              <w:rPr>
                <w:rFonts w:hint="eastAsia" w:ascii="宋体" w:hAnsi="宋体" w:eastAsia="宋体" w:cs="宋体"/>
                <w:kern w:val="0"/>
                <w:sz w:val="21"/>
                <w:szCs w:val="21"/>
              </w:rPr>
              <w:t>地    址</w:t>
            </w:r>
          </w:p>
        </w:tc>
        <w:tc>
          <w:tcPr>
            <w:tcW w:w="5811" w:type="dxa"/>
            <w:noWrap w:val="0"/>
            <w:vAlign w:val="top"/>
          </w:tcPr>
          <w:p w14:paraId="45C0E60D">
            <w:pPr>
              <w:keepNext w:val="0"/>
              <w:keepLines w:val="0"/>
              <w:widowControl/>
              <w:suppressLineNumbers w:val="0"/>
              <w:spacing w:before="0" w:beforeAutospacing="0" w:afterAutospacing="0" w:line="560" w:lineRule="exact"/>
              <w:ind w:left="0" w:right="0"/>
              <w:rPr>
                <w:rFonts w:hint="eastAsia" w:ascii="宋体" w:hAnsi="宋体" w:eastAsia="宋体" w:cs="宋体"/>
                <w:kern w:val="0"/>
                <w:sz w:val="21"/>
                <w:szCs w:val="21"/>
              </w:rPr>
            </w:pPr>
          </w:p>
        </w:tc>
      </w:tr>
      <w:tr w14:paraId="1AFB4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noWrap w:val="0"/>
            <w:vAlign w:val="top"/>
          </w:tcPr>
          <w:p w14:paraId="38F9C189">
            <w:pPr>
              <w:keepNext w:val="0"/>
              <w:keepLines w:val="0"/>
              <w:widowControl/>
              <w:suppressLineNumbers w:val="0"/>
              <w:spacing w:before="0" w:beforeAutospacing="0" w:afterAutospacing="0" w:line="560" w:lineRule="exact"/>
              <w:ind w:left="0" w:right="0"/>
              <w:rPr>
                <w:rFonts w:hint="eastAsia" w:ascii="宋体" w:hAnsi="宋体" w:eastAsia="宋体" w:cs="宋体"/>
                <w:kern w:val="0"/>
                <w:sz w:val="21"/>
                <w:szCs w:val="21"/>
              </w:rPr>
            </w:pPr>
            <w:r>
              <w:rPr>
                <w:rFonts w:hint="eastAsia" w:ascii="宋体" w:hAnsi="宋体" w:eastAsia="宋体" w:cs="宋体"/>
                <w:kern w:val="0"/>
                <w:sz w:val="21"/>
                <w:szCs w:val="21"/>
              </w:rPr>
              <w:t>电    话</w:t>
            </w:r>
          </w:p>
        </w:tc>
        <w:tc>
          <w:tcPr>
            <w:tcW w:w="5811" w:type="dxa"/>
            <w:noWrap w:val="0"/>
            <w:vAlign w:val="top"/>
          </w:tcPr>
          <w:p w14:paraId="71696DE9">
            <w:pPr>
              <w:keepNext w:val="0"/>
              <w:keepLines w:val="0"/>
              <w:widowControl/>
              <w:suppressLineNumbers w:val="0"/>
              <w:spacing w:before="0" w:beforeAutospacing="0" w:afterAutospacing="0" w:line="560" w:lineRule="exact"/>
              <w:ind w:left="0" w:right="0"/>
              <w:rPr>
                <w:rFonts w:hint="eastAsia" w:ascii="宋体" w:hAnsi="宋体" w:eastAsia="宋体" w:cs="宋体"/>
                <w:kern w:val="0"/>
                <w:sz w:val="21"/>
                <w:szCs w:val="21"/>
              </w:rPr>
            </w:pPr>
          </w:p>
        </w:tc>
      </w:tr>
    </w:tbl>
    <w:p w14:paraId="7CB002B1">
      <w:pPr>
        <w:pStyle w:val="10"/>
        <w:spacing w:before="0" w:beforeAutospacing="0" w:after="0" w:afterAutospacing="0" w:line="520" w:lineRule="exact"/>
        <w:ind w:firstLine="420" w:firstLineChars="200"/>
        <w:jc w:val="both"/>
        <w:outlineLvl w:val="0"/>
        <w:rPr>
          <w:rFonts w:hint="eastAsia" w:ascii="宋体" w:hAnsi="宋体" w:eastAsia="宋体" w:cs="宋体"/>
          <w:b/>
          <w:bCs/>
          <w:sz w:val="21"/>
          <w:szCs w:val="21"/>
        </w:rPr>
      </w:pPr>
      <w:r>
        <w:rPr>
          <w:rFonts w:hint="eastAsia" w:ascii="宋体" w:hAnsi="宋体" w:eastAsia="宋体" w:cs="宋体"/>
          <w:b/>
          <w:bCs/>
          <w:sz w:val="21"/>
          <w:szCs w:val="21"/>
        </w:rPr>
        <w:t>第九条  双方权利义务及责任</w:t>
      </w:r>
    </w:p>
    <w:p w14:paraId="71076677">
      <w:pPr>
        <w:pStyle w:val="10"/>
        <w:spacing w:before="0" w:beforeAutospacing="0" w:after="0" w:afterAutospacing="0" w:line="520" w:lineRule="exact"/>
        <w:ind w:firstLine="420" w:firstLineChars="200"/>
        <w:jc w:val="both"/>
        <w:outlineLvl w:val="0"/>
        <w:rPr>
          <w:rFonts w:hint="eastAsia" w:ascii="宋体" w:hAnsi="宋体" w:eastAsia="宋体" w:cs="宋体"/>
          <w:sz w:val="21"/>
          <w:szCs w:val="21"/>
        </w:rPr>
      </w:pPr>
      <w:r>
        <w:rPr>
          <w:rFonts w:hint="eastAsia" w:ascii="宋体" w:hAnsi="宋体" w:eastAsia="宋体" w:cs="宋体"/>
          <w:sz w:val="21"/>
          <w:szCs w:val="21"/>
        </w:rPr>
        <w:t>（一）甲方权利和义务：</w:t>
      </w:r>
    </w:p>
    <w:p w14:paraId="075ECFDE">
      <w:pPr>
        <w:pStyle w:val="10"/>
        <w:spacing w:before="0" w:beforeAutospacing="0" w:after="0" w:afterAutospacing="0" w:line="520" w:lineRule="exact"/>
        <w:ind w:firstLine="420" w:firstLineChars="200"/>
        <w:jc w:val="both"/>
        <w:rPr>
          <w:rFonts w:hint="eastAsia" w:ascii="宋体" w:hAnsi="宋体" w:eastAsia="宋体" w:cs="宋体"/>
          <w:sz w:val="21"/>
          <w:szCs w:val="21"/>
        </w:rPr>
      </w:pPr>
      <w:r>
        <w:rPr>
          <w:rFonts w:hint="eastAsia" w:ascii="宋体" w:hAnsi="宋体" w:eastAsia="宋体" w:cs="宋体"/>
          <w:sz w:val="21"/>
          <w:szCs w:val="21"/>
        </w:rPr>
        <w:t>1.每月及时同乙方核对供货数量、办理结算。</w:t>
      </w:r>
    </w:p>
    <w:p w14:paraId="483BE776">
      <w:pPr>
        <w:spacing w:line="520" w:lineRule="exact"/>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2.按照约定支付价款。</w:t>
      </w:r>
    </w:p>
    <w:p w14:paraId="133F98BF">
      <w:pPr>
        <w:spacing w:line="520" w:lineRule="exact"/>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3.甲方有权根据工程进度调整材料采购需求，乙方应配合甲方完成相关工作，若甲方承接工程项目缓建、停建，甲方可通知乙方终止本合同并按乙方已交付合格的材料据实结算，除此之外甲方不承担任何违约及赔偿责任。</w:t>
      </w:r>
    </w:p>
    <w:p w14:paraId="686B14C6">
      <w:pPr>
        <w:pStyle w:val="10"/>
        <w:spacing w:before="0" w:beforeAutospacing="0" w:after="0" w:afterAutospacing="0" w:line="520" w:lineRule="exact"/>
        <w:ind w:firstLine="420" w:firstLineChars="200"/>
        <w:jc w:val="both"/>
        <w:rPr>
          <w:rFonts w:hint="eastAsia" w:ascii="宋体" w:hAnsi="宋体" w:eastAsia="宋体" w:cs="宋体"/>
          <w:sz w:val="21"/>
          <w:szCs w:val="21"/>
        </w:rPr>
      </w:pPr>
      <w:r>
        <w:rPr>
          <w:rFonts w:hint="eastAsia" w:ascii="宋体" w:hAnsi="宋体" w:eastAsia="宋体" w:cs="宋体"/>
          <w:sz w:val="21"/>
          <w:szCs w:val="21"/>
        </w:rPr>
        <w:t>（二）乙方权利和义务：</w:t>
      </w:r>
    </w:p>
    <w:p w14:paraId="2B45E999">
      <w:pPr>
        <w:pStyle w:val="10"/>
        <w:spacing w:before="0" w:beforeAutospacing="0" w:after="0" w:afterAutospacing="0" w:line="520" w:lineRule="exact"/>
        <w:ind w:firstLine="420" w:firstLineChars="200"/>
        <w:jc w:val="both"/>
        <w:rPr>
          <w:rFonts w:hint="eastAsia" w:ascii="宋体" w:hAnsi="宋体" w:eastAsia="宋体" w:cs="宋体"/>
          <w:sz w:val="21"/>
          <w:szCs w:val="21"/>
        </w:rPr>
      </w:pPr>
      <w:r>
        <w:rPr>
          <w:rFonts w:hint="eastAsia" w:ascii="宋体" w:hAnsi="宋体" w:eastAsia="宋体" w:cs="宋体"/>
          <w:sz w:val="21"/>
          <w:szCs w:val="21"/>
        </w:rPr>
        <w:t>1.按照本合同约定的质量标准和甲方发出的需求计划供应材料。</w:t>
      </w:r>
    </w:p>
    <w:p w14:paraId="7BC1A9C9">
      <w:pPr>
        <w:pStyle w:val="10"/>
        <w:spacing w:before="0" w:beforeAutospacing="0" w:after="0" w:afterAutospacing="0" w:line="520" w:lineRule="exact"/>
        <w:ind w:firstLine="420" w:firstLineChars="200"/>
        <w:jc w:val="both"/>
        <w:rPr>
          <w:rFonts w:hint="eastAsia" w:ascii="宋体" w:hAnsi="宋体" w:eastAsia="宋体" w:cs="宋体"/>
          <w:sz w:val="21"/>
          <w:szCs w:val="21"/>
        </w:rPr>
      </w:pPr>
      <w:r>
        <w:rPr>
          <w:rFonts w:hint="eastAsia" w:ascii="宋体" w:hAnsi="宋体" w:eastAsia="宋体" w:cs="宋体"/>
          <w:sz w:val="21"/>
          <w:szCs w:val="21"/>
        </w:rPr>
        <w:t>2.服从业主、监理、甲方的抽检，材料的检验结果不符合约定质量标准的，乙方应自费运出工地并赔偿因此给甲方造成的损失。</w:t>
      </w:r>
    </w:p>
    <w:p w14:paraId="7537F586">
      <w:pPr>
        <w:pStyle w:val="10"/>
        <w:spacing w:before="0" w:beforeAutospacing="0" w:after="0" w:afterAutospacing="0" w:line="520" w:lineRule="exact"/>
        <w:ind w:firstLine="420" w:firstLineChars="200"/>
        <w:jc w:val="both"/>
        <w:rPr>
          <w:rFonts w:hint="eastAsia" w:ascii="宋体" w:hAnsi="宋体" w:eastAsia="宋体" w:cs="宋体"/>
          <w:sz w:val="21"/>
          <w:szCs w:val="21"/>
        </w:rPr>
      </w:pPr>
      <w:r>
        <w:rPr>
          <w:rFonts w:hint="eastAsia" w:ascii="宋体" w:hAnsi="宋体" w:eastAsia="宋体" w:cs="宋体"/>
          <w:sz w:val="21"/>
          <w:szCs w:val="21"/>
        </w:rPr>
        <w:t>3.乙方应承担自己雇佣的员工和运输车辆的安全责任，为相关人员和运输设备购买保险。</w:t>
      </w:r>
    </w:p>
    <w:p w14:paraId="28047E70">
      <w:pPr>
        <w:pStyle w:val="10"/>
        <w:spacing w:before="0" w:beforeAutospacing="0" w:after="0" w:afterAutospacing="0" w:line="480" w:lineRule="exact"/>
        <w:ind w:firstLine="420" w:firstLineChars="200"/>
        <w:jc w:val="both"/>
        <w:outlineLvl w:val="0"/>
        <w:rPr>
          <w:rFonts w:hint="eastAsia" w:ascii="宋体" w:hAnsi="宋体" w:eastAsia="宋体" w:cs="宋体"/>
          <w:b/>
          <w:sz w:val="21"/>
          <w:szCs w:val="21"/>
        </w:rPr>
      </w:pPr>
      <w:r>
        <w:rPr>
          <w:rFonts w:hint="eastAsia" w:ascii="宋体" w:hAnsi="宋体" w:eastAsia="宋体" w:cs="宋体"/>
          <w:b/>
          <w:sz w:val="21"/>
          <w:szCs w:val="21"/>
        </w:rPr>
        <w:t>第十条  违约责任</w:t>
      </w:r>
    </w:p>
    <w:p w14:paraId="49592BC0">
      <w:pPr>
        <w:pStyle w:val="10"/>
        <w:spacing w:before="0" w:beforeAutospacing="0" w:after="0" w:afterAutospacing="0" w:line="480" w:lineRule="exact"/>
        <w:ind w:firstLine="420" w:firstLineChars="200"/>
        <w:jc w:val="both"/>
        <w:outlineLvl w:val="0"/>
        <w:rPr>
          <w:rFonts w:hint="eastAsia" w:ascii="宋体" w:hAnsi="宋体" w:eastAsia="宋体" w:cs="宋体"/>
          <w:sz w:val="21"/>
          <w:szCs w:val="21"/>
        </w:rPr>
      </w:pPr>
      <w:r>
        <w:rPr>
          <w:rFonts w:hint="eastAsia" w:ascii="宋体" w:hAnsi="宋体" w:eastAsia="宋体" w:cs="宋体"/>
          <w:sz w:val="21"/>
          <w:szCs w:val="21"/>
        </w:rPr>
        <w:t>（一）甲方违约责任</w:t>
      </w:r>
    </w:p>
    <w:p w14:paraId="1F3AB290">
      <w:pPr>
        <w:pStyle w:val="10"/>
        <w:spacing w:before="0" w:beforeAutospacing="0" w:after="0" w:afterAutospacing="0" w:line="480" w:lineRule="exact"/>
        <w:ind w:firstLine="420" w:firstLineChars="200"/>
        <w:jc w:val="both"/>
        <w:outlineLvl w:val="0"/>
        <w:rPr>
          <w:rFonts w:hint="eastAsia" w:ascii="宋体" w:hAnsi="宋体" w:eastAsia="宋体" w:cs="宋体"/>
          <w:color w:val="FF0000"/>
          <w:sz w:val="21"/>
          <w:szCs w:val="21"/>
        </w:rPr>
      </w:pPr>
      <w:r>
        <w:rPr>
          <w:rFonts w:hint="eastAsia" w:ascii="宋体" w:hAnsi="宋体" w:eastAsia="宋体" w:cs="宋体"/>
          <w:color w:val="000000"/>
          <w:sz w:val="21"/>
          <w:szCs w:val="21"/>
        </w:rPr>
        <w:t>1.甲方违反本合同第八条第（二）款第2项约定逾期付款的，应自逾期日起算按逾期金额每日0.1‰向乙方支付违约金。</w:t>
      </w:r>
    </w:p>
    <w:p w14:paraId="3B7775E0">
      <w:pPr>
        <w:pStyle w:val="10"/>
        <w:spacing w:before="0" w:beforeAutospacing="0" w:after="0" w:afterAutospacing="0" w:line="520" w:lineRule="exact"/>
        <w:ind w:firstLine="420" w:firstLineChars="200"/>
        <w:rPr>
          <w:rFonts w:hint="eastAsia" w:ascii="宋体" w:hAnsi="宋体" w:eastAsia="宋体" w:cs="宋体"/>
          <w:bCs/>
          <w:sz w:val="21"/>
          <w:szCs w:val="21"/>
        </w:rPr>
      </w:pPr>
      <w:r>
        <w:rPr>
          <w:rFonts w:hint="eastAsia" w:ascii="宋体" w:hAnsi="宋体" w:eastAsia="宋体" w:cs="宋体"/>
          <w:bCs/>
          <w:sz w:val="21"/>
          <w:szCs w:val="21"/>
        </w:rPr>
        <w:t>2</w:t>
      </w:r>
      <w:r>
        <w:rPr>
          <w:rFonts w:hint="eastAsia" w:ascii="宋体" w:hAnsi="宋体" w:eastAsia="宋体" w:cs="宋体"/>
          <w:sz w:val="21"/>
          <w:szCs w:val="21"/>
        </w:rPr>
        <w:t>.</w:t>
      </w:r>
      <w:r>
        <w:rPr>
          <w:rFonts w:hint="eastAsia" w:ascii="宋体" w:hAnsi="宋体" w:eastAsia="宋体" w:cs="宋体"/>
          <w:bCs/>
          <w:sz w:val="21"/>
          <w:szCs w:val="21"/>
        </w:rPr>
        <w:t>如因本工程建设单位不履行、不完全履行或迟延履行合同义务导致甲方不履行、不完全履行或迟延履行本合同约定义务的，不视为甲方违约。</w:t>
      </w:r>
    </w:p>
    <w:p w14:paraId="57E6085E">
      <w:pPr>
        <w:pStyle w:val="10"/>
        <w:spacing w:before="0" w:beforeAutospacing="0" w:after="0" w:afterAutospacing="0" w:line="480" w:lineRule="exact"/>
        <w:ind w:firstLine="420" w:firstLineChars="200"/>
        <w:jc w:val="both"/>
        <w:outlineLvl w:val="0"/>
        <w:rPr>
          <w:rFonts w:hint="eastAsia" w:ascii="宋体" w:hAnsi="宋体" w:eastAsia="宋体" w:cs="宋体"/>
          <w:sz w:val="21"/>
          <w:szCs w:val="21"/>
        </w:rPr>
      </w:pPr>
      <w:r>
        <w:rPr>
          <w:rFonts w:hint="eastAsia" w:ascii="宋体" w:hAnsi="宋体" w:eastAsia="宋体" w:cs="宋体"/>
          <w:sz w:val="21"/>
          <w:szCs w:val="21"/>
        </w:rPr>
        <w:t>（二）乙方违约责任</w:t>
      </w:r>
    </w:p>
    <w:p w14:paraId="402CDAFE">
      <w:pPr>
        <w:pStyle w:val="10"/>
        <w:spacing w:before="0" w:beforeAutospacing="0" w:after="0" w:afterAutospacing="0" w:line="480" w:lineRule="exact"/>
        <w:ind w:firstLine="420" w:firstLineChars="200"/>
        <w:jc w:val="both"/>
        <w:outlineLvl w:val="0"/>
        <w:rPr>
          <w:rFonts w:hint="eastAsia" w:ascii="宋体" w:hAnsi="宋体" w:eastAsia="宋体" w:cs="宋体"/>
          <w:bCs/>
          <w:sz w:val="21"/>
          <w:szCs w:val="21"/>
        </w:rPr>
      </w:pPr>
      <w:r>
        <w:rPr>
          <w:rFonts w:hint="eastAsia" w:ascii="宋体" w:hAnsi="宋体" w:eastAsia="宋体" w:cs="宋体"/>
          <w:bCs/>
          <w:sz w:val="21"/>
          <w:szCs w:val="21"/>
        </w:rPr>
        <w:t>1.</w:t>
      </w:r>
      <w:r>
        <w:rPr>
          <w:rFonts w:hint="eastAsia" w:ascii="宋体" w:hAnsi="宋体" w:eastAsia="宋体" w:cs="宋体"/>
          <w:sz w:val="21"/>
          <w:szCs w:val="21"/>
        </w:rPr>
        <w:t>乙方拒绝履行合同义务擅自停止向甲方供应材料的，应支付甲方</w:t>
      </w:r>
      <w:r>
        <w:rPr>
          <w:rFonts w:hint="eastAsia" w:ascii="宋体" w:hAnsi="宋体" w:eastAsia="宋体" w:cs="宋体"/>
          <w:sz w:val="21"/>
          <w:szCs w:val="21"/>
          <w:u w:val="single"/>
        </w:rPr>
        <w:t xml:space="preserve">    </w:t>
      </w:r>
      <w:r>
        <w:rPr>
          <w:rFonts w:hint="eastAsia" w:ascii="宋体" w:hAnsi="宋体" w:eastAsia="宋体" w:cs="宋体"/>
          <w:sz w:val="21"/>
          <w:szCs w:val="21"/>
        </w:rPr>
        <w:t>元的违约金，并赔偿因此给甲方造成的工期延误损失。</w:t>
      </w:r>
    </w:p>
    <w:p w14:paraId="11DBAB33">
      <w:pPr>
        <w:pStyle w:val="10"/>
        <w:spacing w:before="0" w:beforeAutospacing="0" w:after="0" w:afterAutospacing="0" w:line="480" w:lineRule="exact"/>
        <w:ind w:firstLine="420" w:firstLineChars="200"/>
        <w:jc w:val="both"/>
        <w:rPr>
          <w:rFonts w:hint="eastAsia" w:ascii="宋体" w:hAnsi="宋体" w:eastAsia="宋体" w:cs="宋体"/>
          <w:sz w:val="21"/>
          <w:szCs w:val="21"/>
        </w:rPr>
      </w:pPr>
      <w:r>
        <w:rPr>
          <w:rFonts w:hint="eastAsia" w:ascii="宋体" w:hAnsi="宋体" w:eastAsia="宋体" w:cs="宋体"/>
          <w:bCs/>
          <w:sz w:val="21"/>
          <w:szCs w:val="21"/>
        </w:rPr>
        <w:t>2</w:t>
      </w:r>
      <w:r>
        <w:rPr>
          <w:rFonts w:hint="eastAsia" w:ascii="宋体" w:hAnsi="宋体" w:eastAsia="宋体" w:cs="宋体"/>
          <w:sz w:val="21"/>
          <w:szCs w:val="21"/>
        </w:rPr>
        <w:t>.乙方未按本合同约定提供出厂证明或质量合格证的，甲方有权拒绝收货，乙方应无条件承担退货等费用，并向甲方支付未提供单证材料款</w:t>
      </w:r>
      <w:r>
        <w:rPr>
          <w:rFonts w:hint="eastAsia" w:ascii="宋体" w:hAnsi="宋体" w:eastAsia="宋体" w:cs="宋体"/>
          <w:sz w:val="21"/>
          <w:szCs w:val="21"/>
          <w:u w:val="single"/>
        </w:rPr>
        <w:t xml:space="preserve">   </w:t>
      </w:r>
      <w:r>
        <w:rPr>
          <w:rFonts w:hint="eastAsia" w:ascii="宋体" w:hAnsi="宋体" w:eastAsia="宋体" w:cs="宋体"/>
          <w:sz w:val="21"/>
          <w:szCs w:val="21"/>
        </w:rPr>
        <w:t>%的违约金。</w:t>
      </w:r>
    </w:p>
    <w:p w14:paraId="4CB52404">
      <w:pPr>
        <w:pStyle w:val="10"/>
        <w:spacing w:before="0" w:beforeAutospacing="0" w:after="0" w:afterAutospacing="0" w:line="480" w:lineRule="exact"/>
        <w:ind w:firstLine="420" w:firstLineChars="200"/>
        <w:jc w:val="both"/>
        <w:rPr>
          <w:rFonts w:hint="eastAsia" w:ascii="宋体" w:hAnsi="宋体" w:eastAsia="宋体" w:cs="宋体"/>
          <w:bCs/>
          <w:sz w:val="21"/>
          <w:szCs w:val="21"/>
        </w:rPr>
      </w:pPr>
      <w:r>
        <w:rPr>
          <w:rFonts w:hint="eastAsia" w:ascii="宋体" w:hAnsi="宋体" w:eastAsia="宋体" w:cs="宋体"/>
          <w:bCs/>
          <w:sz w:val="21"/>
          <w:szCs w:val="21"/>
        </w:rPr>
        <w:t>3</w:t>
      </w:r>
      <w:r>
        <w:rPr>
          <w:rFonts w:hint="eastAsia" w:ascii="宋体" w:hAnsi="宋体" w:eastAsia="宋体" w:cs="宋体"/>
          <w:sz w:val="21"/>
          <w:szCs w:val="21"/>
        </w:rPr>
        <w:t>.乙方未按本合同第六条第（二）款第3项约定逾期交货的，每逾期一日，按照逾期交货金额的</w:t>
      </w:r>
      <w:r>
        <w:rPr>
          <w:rFonts w:hint="eastAsia" w:ascii="宋体" w:hAnsi="宋体" w:eastAsia="宋体" w:cs="宋体"/>
          <w:sz w:val="21"/>
          <w:szCs w:val="21"/>
          <w:u w:val="single"/>
        </w:rPr>
        <w:t xml:space="preserve">     </w:t>
      </w:r>
      <w:r>
        <w:rPr>
          <w:rFonts w:hint="eastAsia" w:ascii="宋体" w:hAnsi="宋体" w:eastAsia="宋体" w:cs="宋体"/>
          <w:sz w:val="21"/>
          <w:szCs w:val="21"/>
        </w:rPr>
        <w:t>%向甲方支付逾期交货违约金；如逾期超过</w:t>
      </w:r>
      <w:r>
        <w:rPr>
          <w:rFonts w:hint="eastAsia" w:ascii="宋体" w:hAnsi="宋体" w:eastAsia="宋体" w:cs="宋体"/>
          <w:sz w:val="21"/>
          <w:szCs w:val="21"/>
          <w:u w:val="single"/>
        </w:rPr>
        <w:t xml:space="preserve">     </w:t>
      </w:r>
      <w:r>
        <w:rPr>
          <w:rFonts w:hint="eastAsia" w:ascii="宋体" w:hAnsi="宋体" w:eastAsia="宋体" w:cs="宋体"/>
          <w:sz w:val="21"/>
          <w:szCs w:val="21"/>
        </w:rPr>
        <w:t>日，甲方有权解除合同，乙方应赔偿由此给甲方造成的损失。</w:t>
      </w:r>
    </w:p>
    <w:p w14:paraId="214BAD29">
      <w:pPr>
        <w:pStyle w:val="10"/>
        <w:spacing w:before="0" w:beforeAutospacing="0" w:after="0" w:afterAutospacing="0" w:line="480" w:lineRule="exact"/>
        <w:ind w:firstLine="420" w:firstLineChars="200"/>
        <w:jc w:val="both"/>
        <w:rPr>
          <w:rFonts w:hint="eastAsia" w:ascii="宋体" w:hAnsi="宋体" w:eastAsia="宋体" w:cs="宋体"/>
          <w:sz w:val="21"/>
          <w:szCs w:val="21"/>
        </w:rPr>
      </w:pPr>
      <w:r>
        <w:rPr>
          <w:rFonts w:hint="eastAsia" w:ascii="宋体" w:hAnsi="宋体" w:eastAsia="宋体" w:cs="宋体"/>
          <w:sz w:val="21"/>
          <w:szCs w:val="21"/>
        </w:rPr>
        <w:t>4.乙方交付材料的品种、型号、规格、质量标准等不符合合同约定，或与样品主要特征不符的，需向甲方支付本批次交付材料金额</w:t>
      </w:r>
      <w:r>
        <w:rPr>
          <w:rFonts w:hint="eastAsia" w:ascii="宋体" w:hAnsi="宋体" w:eastAsia="宋体" w:cs="宋体"/>
          <w:sz w:val="21"/>
          <w:szCs w:val="21"/>
          <w:u w:val="single"/>
        </w:rPr>
        <w:t xml:space="preserve">     </w:t>
      </w:r>
      <w:r>
        <w:rPr>
          <w:rFonts w:hint="eastAsia" w:ascii="宋体" w:hAnsi="宋体" w:eastAsia="宋体" w:cs="宋体"/>
          <w:sz w:val="21"/>
          <w:szCs w:val="21"/>
        </w:rPr>
        <w:t>%作为违约金。</w:t>
      </w:r>
    </w:p>
    <w:p w14:paraId="187F21E7">
      <w:pPr>
        <w:pStyle w:val="10"/>
        <w:spacing w:before="0" w:beforeAutospacing="0" w:after="0" w:afterAutospacing="0"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5.乙方超过甲方发出材料需求计划数量运输至甲方指定地点的，甲方有权拒绝接收超出部分，退场费用由乙方自行承担。</w:t>
      </w:r>
    </w:p>
    <w:p w14:paraId="6D5F9A49">
      <w:pPr>
        <w:pStyle w:val="10"/>
        <w:spacing w:before="0" w:beforeAutospacing="0" w:after="0" w:afterAutospacing="0" w:line="5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6.乙方应采取材料运输、装卸等过程中的环境保护措施，因乙方违反环境保护相关规定导致甲方被行政部门、建设单位处罚的，处罚金额由乙方向甲方全额赔偿。</w:t>
      </w:r>
    </w:p>
    <w:p w14:paraId="1AC96153">
      <w:pPr>
        <w:pStyle w:val="10"/>
        <w:spacing w:before="0" w:beforeAutospacing="0" w:after="0" w:afterAutospacing="0" w:line="5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7.</w:t>
      </w:r>
      <w:r>
        <w:rPr>
          <w:rFonts w:hint="eastAsia" w:ascii="宋体" w:hAnsi="宋体" w:eastAsia="宋体" w:cs="宋体"/>
          <w:color w:val="000000"/>
          <w:sz w:val="21"/>
          <w:szCs w:val="21"/>
        </w:rPr>
        <w:t>乙方违反保密义务的，每份资料向甲方支付违约金</w:t>
      </w:r>
      <w:r>
        <w:rPr>
          <w:rFonts w:hint="eastAsia" w:ascii="宋体" w:hAnsi="宋体" w:eastAsia="宋体" w:cs="宋体"/>
          <w:color w:val="FF0000"/>
          <w:sz w:val="21"/>
          <w:szCs w:val="21"/>
          <w:u w:val="single"/>
        </w:rPr>
        <w:t>1</w:t>
      </w:r>
      <w:r>
        <w:rPr>
          <w:rFonts w:hint="eastAsia" w:ascii="宋体" w:hAnsi="宋体" w:eastAsia="宋体" w:cs="宋体"/>
          <w:color w:val="000000"/>
          <w:sz w:val="21"/>
          <w:szCs w:val="21"/>
        </w:rPr>
        <w:t>万元。</w:t>
      </w:r>
    </w:p>
    <w:p w14:paraId="5F2CC182">
      <w:pPr>
        <w:pStyle w:val="10"/>
        <w:spacing w:before="0" w:beforeAutospacing="0" w:after="0" w:afterAutospacing="0" w:line="520" w:lineRule="exact"/>
        <w:ind w:firstLine="420" w:firstLineChars="200"/>
        <w:jc w:val="both"/>
        <w:rPr>
          <w:rFonts w:hint="eastAsia" w:ascii="宋体" w:hAnsi="宋体" w:eastAsia="宋体" w:cs="宋体"/>
          <w:sz w:val="21"/>
          <w:szCs w:val="21"/>
          <w:lang w:val="zh-CN"/>
        </w:rPr>
      </w:pPr>
      <w:r>
        <w:rPr>
          <w:rFonts w:hint="eastAsia" w:ascii="宋体" w:hAnsi="宋体" w:eastAsia="宋体" w:cs="宋体"/>
          <w:sz w:val="21"/>
          <w:szCs w:val="21"/>
        </w:rPr>
        <w:t>8.乙方与第三方发生的经济纠纷与甲方无关，且乙方保证供应材料无权属方面瑕疵，由此给甲方造成损失由乙方承担赔偿责任。</w:t>
      </w:r>
    </w:p>
    <w:p w14:paraId="12B8D947">
      <w:pPr>
        <w:spacing w:line="520" w:lineRule="exact"/>
        <w:ind w:firstLine="426" w:firstLineChars="203"/>
        <w:rPr>
          <w:rFonts w:hint="eastAsia" w:ascii="宋体" w:hAnsi="宋体" w:eastAsia="宋体" w:cs="宋体"/>
          <w:color w:val="000000"/>
          <w:sz w:val="21"/>
          <w:szCs w:val="21"/>
        </w:rPr>
      </w:pPr>
      <w:bookmarkStart w:id="36" w:name="_Toc231982978"/>
      <w:bookmarkStart w:id="37" w:name="_Toc231873691"/>
      <w:r>
        <w:rPr>
          <w:rFonts w:hint="eastAsia" w:ascii="宋体" w:hAnsi="宋体" w:eastAsia="宋体" w:cs="宋体"/>
          <w:sz w:val="21"/>
          <w:szCs w:val="21"/>
        </w:rPr>
        <w:t>9.</w:t>
      </w:r>
      <w:bookmarkEnd w:id="36"/>
      <w:bookmarkEnd w:id="37"/>
      <w:r>
        <w:rPr>
          <w:rFonts w:hint="eastAsia" w:ascii="宋体" w:hAnsi="宋体" w:eastAsia="宋体" w:cs="宋体"/>
          <w:color w:val="000000"/>
          <w:sz w:val="21"/>
          <w:szCs w:val="21"/>
        </w:rPr>
        <w:t>因本条第1-8款约定应向甲方承担违约责任、赔偿甲方损失、或因乙方未向第三方履行义务导致甲方承担责任或垫付款项的，甲方有权在乙方应付款、履约保证金、质量保证金中扣除，不足部分由乙方继续向甲方清偿。</w:t>
      </w:r>
    </w:p>
    <w:p w14:paraId="3983BB29">
      <w:pPr>
        <w:pStyle w:val="10"/>
        <w:spacing w:before="0" w:beforeAutospacing="0" w:after="0" w:afterAutospacing="0" w:line="520" w:lineRule="exact"/>
        <w:ind w:firstLine="420" w:firstLineChars="200"/>
        <w:rPr>
          <w:rFonts w:hint="eastAsia" w:ascii="宋体" w:hAnsi="宋体" w:eastAsia="宋体" w:cs="宋体"/>
          <w:bCs/>
          <w:sz w:val="21"/>
          <w:szCs w:val="21"/>
        </w:rPr>
      </w:pPr>
      <w:r>
        <w:rPr>
          <w:rFonts w:hint="eastAsia" w:ascii="宋体" w:hAnsi="宋体" w:eastAsia="宋体" w:cs="宋体"/>
          <w:b/>
          <w:bCs/>
          <w:sz w:val="21"/>
          <w:szCs w:val="21"/>
        </w:rPr>
        <w:t>第十一条  保密</w:t>
      </w:r>
    </w:p>
    <w:p w14:paraId="15CDBC09">
      <w:pPr>
        <w:pStyle w:val="10"/>
        <w:spacing w:before="0" w:beforeAutospacing="0" w:after="0" w:afterAutospacing="0" w:line="520" w:lineRule="exact"/>
        <w:ind w:firstLine="420" w:firstLineChars="200"/>
        <w:jc w:val="both"/>
        <w:rPr>
          <w:rFonts w:hint="eastAsia" w:ascii="宋体" w:hAnsi="宋体" w:eastAsia="宋体" w:cs="宋体"/>
          <w:bCs/>
          <w:sz w:val="21"/>
          <w:szCs w:val="21"/>
        </w:rPr>
      </w:pPr>
      <w:r>
        <w:rPr>
          <w:rFonts w:hint="eastAsia" w:ascii="宋体" w:hAnsi="宋体" w:eastAsia="宋体" w:cs="宋体"/>
          <w:bCs/>
          <w:sz w:val="21"/>
          <w:szCs w:val="21"/>
        </w:rPr>
        <w:t>双方保证对从另一方取得且无法自公开渠道获得的商业机密（技术信息、经营信息及其他商业机密）予以保密。未经该商业秘密提供方同意，另一方不得向任何第三方泄露该商业秘密的全部或部分内容，但法律、法规另有规定或双方另有约定的除外。</w:t>
      </w:r>
    </w:p>
    <w:p w14:paraId="6AAFDBCB">
      <w:pPr>
        <w:pStyle w:val="10"/>
        <w:spacing w:before="0" w:beforeAutospacing="0" w:after="0" w:afterAutospacing="0" w:line="520" w:lineRule="exact"/>
        <w:ind w:firstLine="420" w:firstLineChars="200"/>
        <w:rPr>
          <w:rFonts w:hint="eastAsia" w:ascii="宋体" w:hAnsi="宋体" w:eastAsia="宋体" w:cs="宋体"/>
          <w:b/>
          <w:sz w:val="21"/>
          <w:szCs w:val="21"/>
        </w:rPr>
      </w:pPr>
      <w:r>
        <w:rPr>
          <w:rFonts w:hint="eastAsia" w:ascii="宋体" w:hAnsi="宋体" w:eastAsia="宋体" w:cs="宋体"/>
          <w:b/>
          <w:sz w:val="21"/>
          <w:szCs w:val="21"/>
        </w:rPr>
        <w:t>第十二条  知识产权</w:t>
      </w:r>
    </w:p>
    <w:p w14:paraId="49B0D2AA">
      <w:pPr>
        <w:pStyle w:val="10"/>
        <w:spacing w:before="0" w:beforeAutospacing="0" w:after="0" w:afterAutospacing="0" w:line="520" w:lineRule="exact"/>
        <w:ind w:firstLine="420" w:firstLineChars="200"/>
        <w:jc w:val="both"/>
        <w:outlineLvl w:val="0"/>
        <w:rPr>
          <w:rFonts w:hint="eastAsia" w:ascii="宋体" w:hAnsi="宋体" w:eastAsia="宋体" w:cs="宋体"/>
          <w:sz w:val="21"/>
          <w:szCs w:val="21"/>
        </w:rPr>
      </w:pPr>
      <w:r>
        <w:rPr>
          <w:rFonts w:hint="eastAsia" w:ascii="宋体" w:hAnsi="宋体" w:eastAsia="宋体" w:cs="宋体"/>
          <w:bCs/>
          <w:sz w:val="21"/>
          <w:szCs w:val="21"/>
        </w:rPr>
        <w:t>乙方保证所交付材料不得侵犯第三方的知识产权,若发生侵害第三方权利的情况，乙方应负责与第三方交涉, 并承担由此产生的全部费用和法律责任。因该侵权行为给甲方造成损失的，乙方应承担赔偿责任。</w:t>
      </w:r>
    </w:p>
    <w:p w14:paraId="067901CF">
      <w:pPr>
        <w:pStyle w:val="10"/>
        <w:spacing w:before="0" w:beforeAutospacing="0" w:after="0" w:afterAutospacing="0" w:line="520" w:lineRule="exact"/>
        <w:ind w:firstLine="420" w:firstLineChars="200"/>
        <w:outlineLvl w:val="0"/>
        <w:rPr>
          <w:rFonts w:hint="eastAsia" w:ascii="宋体" w:hAnsi="宋体" w:eastAsia="宋体" w:cs="宋体"/>
          <w:b/>
          <w:sz w:val="21"/>
          <w:szCs w:val="21"/>
        </w:rPr>
      </w:pPr>
      <w:r>
        <w:rPr>
          <w:rFonts w:hint="eastAsia" w:ascii="宋体" w:hAnsi="宋体" w:eastAsia="宋体" w:cs="宋体"/>
          <w:b/>
          <w:sz w:val="21"/>
          <w:szCs w:val="21"/>
        </w:rPr>
        <w:t>第十三条  合同终止</w:t>
      </w:r>
    </w:p>
    <w:p w14:paraId="31254A0E">
      <w:pPr>
        <w:pStyle w:val="10"/>
        <w:spacing w:before="0" w:beforeAutospacing="0" w:after="0" w:afterAutospacing="0" w:line="520" w:lineRule="exact"/>
        <w:ind w:firstLine="420" w:firstLineChars="200"/>
        <w:outlineLvl w:val="0"/>
        <w:rPr>
          <w:rFonts w:hint="eastAsia" w:ascii="宋体" w:hAnsi="宋体" w:eastAsia="宋体" w:cs="宋体"/>
          <w:bCs/>
          <w:sz w:val="21"/>
          <w:szCs w:val="21"/>
        </w:rPr>
      </w:pPr>
      <w:r>
        <w:rPr>
          <w:rFonts w:hint="eastAsia" w:ascii="宋体" w:hAnsi="宋体" w:eastAsia="宋体" w:cs="宋体"/>
          <w:bCs/>
          <w:sz w:val="21"/>
          <w:szCs w:val="21"/>
        </w:rPr>
        <w:t>乙方在履行合同中出现下列任一行为，甲方可据此向乙方发出书面终止通知书，提出终止全部合同的继续履行：</w:t>
      </w:r>
    </w:p>
    <w:p w14:paraId="7ACAEF6D">
      <w:pPr>
        <w:shd w:val="clear" w:color="auto" w:fill="FFFFFF"/>
        <w:spacing w:line="520" w:lineRule="exact"/>
        <w:ind w:firstLine="480"/>
        <w:rPr>
          <w:rFonts w:hint="eastAsia" w:ascii="宋体" w:hAnsi="宋体" w:eastAsia="宋体" w:cs="宋体"/>
          <w:bCs/>
          <w:kern w:val="0"/>
          <w:sz w:val="21"/>
          <w:szCs w:val="21"/>
        </w:rPr>
      </w:pPr>
      <w:r>
        <w:rPr>
          <w:rFonts w:hint="eastAsia" w:ascii="宋体" w:hAnsi="宋体" w:eastAsia="宋体" w:cs="宋体"/>
          <w:bCs/>
          <w:kern w:val="0"/>
          <w:sz w:val="21"/>
          <w:szCs w:val="21"/>
        </w:rPr>
        <w:t>（一）</w:t>
      </w:r>
      <w:r>
        <w:rPr>
          <w:rFonts w:hint="eastAsia" w:ascii="宋体" w:hAnsi="宋体" w:eastAsia="宋体" w:cs="宋体"/>
          <w:bCs/>
          <w:sz w:val="21"/>
          <w:szCs w:val="21"/>
        </w:rPr>
        <w:t>供应的物资为出现严重质量问题或伪造产品。</w:t>
      </w:r>
    </w:p>
    <w:p w14:paraId="5A5A29EF">
      <w:pPr>
        <w:shd w:val="clear" w:color="auto" w:fill="FFFFFF"/>
        <w:spacing w:line="520" w:lineRule="exact"/>
        <w:ind w:firstLine="480"/>
        <w:rPr>
          <w:rFonts w:hint="eastAsia" w:ascii="宋体" w:hAnsi="宋体" w:eastAsia="宋体" w:cs="宋体"/>
          <w:bCs/>
          <w:kern w:val="0"/>
          <w:sz w:val="21"/>
          <w:szCs w:val="21"/>
        </w:rPr>
      </w:pPr>
      <w:r>
        <w:rPr>
          <w:rFonts w:hint="eastAsia" w:ascii="宋体" w:hAnsi="宋体" w:eastAsia="宋体" w:cs="宋体"/>
          <w:bCs/>
          <w:kern w:val="0"/>
          <w:sz w:val="21"/>
          <w:szCs w:val="21"/>
        </w:rPr>
        <w:t>（二）</w:t>
      </w:r>
      <w:r>
        <w:rPr>
          <w:rFonts w:hint="eastAsia" w:ascii="宋体" w:hAnsi="宋体" w:eastAsia="宋体" w:cs="宋体"/>
          <w:bCs/>
          <w:sz w:val="21"/>
          <w:szCs w:val="21"/>
        </w:rPr>
        <w:t>以各种理由拒绝接受和完成甲方的物资需求计划。</w:t>
      </w:r>
    </w:p>
    <w:p w14:paraId="77D49EE8">
      <w:pPr>
        <w:shd w:val="clear" w:color="auto" w:fill="FFFFFF"/>
        <w:spacing w:line="520" w:lineRule="exact"/>
        <w:ind w:firstLine="480"/>
        <w:rPr>
          <w:rFonts w:hint="eastAsia" w:ascii="宋体" w:hAnsi="宋体" w:eastAsia="宋体" w:cs="宋体"/>
          <w:bCs/>
          <w:kern w:val="0"/>
          <w:sz w:val="21"/>
          <w:szCs w:val="21"/>
        </w:rPr>
      </w:pPr>
      <w:r>
        <w:rPr>
          <w:rFonts w:hint="eastAsia" w:ascii="宋体" w:hAnsi="宋体" w:eastAsia="宋体" w:cs="宋体"/>
          <w:bCs/>
          <w:kern w:val="0"/>
          <w:sz w:val="21"/>
          <w:szCs w:val="21"/>
        </w:rPr>
        <w:t>（三）</w:t>
      </w:r>
      <w:r>
        <w:rPr>
          <w:rFonts w:hint="eastAsia" w:ascii="宋体" w:hAnsi="宋体" w:eastAsia="宋体" w:cs="宋体"/>
          <w:bCs/>
          <w:sz w:val="21"/>
          <w:szCs w:val="21"/>
        </w:rPr>
        <w:t>乙方不能保证供应导致甲方施工生产停滞。</w:t>
      </w:r>
    </w:p>
    <w:p w14:paraId="566E0031">
      <w:pPr>
        <w:pStyle w:val="10"/>
        <w:spacing w:before="0" w:beforeAutospacing="0" w:after="0" w:afterAutospacing="0" w:line="520" w:lineRule="exact"/>
        <w:ind w:firstLine="420" w:firstLineChars="200"/>
        <w:outlineLvl w:val="0"/>
        <w:rPr>
          <w:rFonts w:hint="eastAsia" w:ascii="宋体" w:hAnsi="宋体" w:eastAsia="宋体" w:cs="宋体"/>
          <w:b/>
          <w:bCs/>
          <w:sz w:val="21"/>
          <w:szCs w:val="21"/>
        </w:rPr>
      </w:pPr>
      <w:r>
        <w:rPr>
          <w:rFonts w:hint="eastAsia" w:ascii="宋体" w:hAnsi="宋体" w:eastAsia="宋体" w:cs="宋体"/>
          <w:b/>
          <w:bCs/>
          <w:sz w:val="21"/>
          <w:szCs w:val="21"/>
        </w:rPr>
        <w:t>第十四条  通知与送达</w:t>
      </w:r>
    </w:p>
    <w:p w14:paraId="6E48A759">
      <w:pPr>
        <w:pStyle w:val="10"/>
        <w:spacing w:before="0" w:beforeAutospacing="0" w:after="0" w:afterAutospacing="0" w:line="500" w:lineRule="exact"/>
        <w:ind w:firstLine="420" w:firstLineChars="200"/>
        <w:outlineLvl w:val="0"/>
        <w:rPr>
          <w:rFonts w:hint="eastAsia" w:ascii="宋体" w:hAnsi="宋体" w:eastAsia="宋体" w:cs="宋体"/>
          <w:sz w:val="21"/>
          <w:szCs w:val="21"/>
        </w:rPr>
      </w:pPr>
      <w:r>
        <w:rPr>
          <w:rFonts w:hint="eastAsia" w:ascii="宋体" w:hAnsi="宋体" w:eastAsia="宋体" w:cs="宋体"/>
          <w:sz w:val="21"/>
          <w:szCs w:val="21"/>
        </w:rPr>
        <w:t>（一）双方的联系信息及送达地址如下：</w:t>
      </w:r>
    </w:p>
    <w:tbl>
      <w:tblPr>
        <w:tblStyle w:val="12"/>
        <w:tblW w:w="0" w:type="auto"/>
        <w:jc w:val="center"/>
        <w:shd w:val="clear" w:color="auto" w:fill="FFFFFF"/>
        <w:tblLayout w:type="fixed"/>
        <w:tblCellMar>
          <w:top w:w="0" w:type="dxa"/>
          <w:left w:w="0" w:type="dxa"/>
          <w:bottom w:w="0" w:type="dxa"/>
          <w:right w:w="0" w:type="dxa"/>
        </w:tblCellMar>
      </w:tblPr>
      <w:tblGrid>
        <w:gridCol w:w="2573"/>
        <w:gridCol w:w="2850"/>
        <w:gridCol w:w="2655"/>
      </w:tblGrid>
      <w:tr w14:paraId="66A7BFC3">
        <w:tblPrEx>
          <w:shd w:val="clear" w:color="auto" w:fill="FFFFFF"/>
          <w:tblCellMar>
            <w:top w:w="0" w:type="dxa"/>
            <w:left w:w="0" w:type="dxa"/>
            <w:bottom w:w="0" w:type="dxa"/>
            <w:right w:w="0" w:type="dxa"/>
          </w:tblCellMar>
        </w:tblPrEx>
        <w:trPr>
          <w:trHeight w:val="567" w:hRule="atLeast"/>
          <w:jc w:val="center"/>
        </w:trPr>
        <w:tc>
          <w:tcPr>
            <w:tcW w:w="2573" w:type="dxa"/>
            <w:tcBorders>
              <w:top w:val="single" w:color="auto" w:sz="6" w:space="0"/>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40688AAA">
            <w:pPr>
              <w:pStyle w:val="10"/>
              <w:keepNext w:val="0"/>
              <w:keepLines w:val="0"/>
              <w:widowControl/>
              <w:suppressLineNumbers w:val="0"/>
              <w:spacing w:before="0" w:beforeAutospacing="0" w:after="0" w:afterAutospacing="0" w:line="480" w:lineRule="exact"/>
              <w:ind w:left="0" w:right="0"/>
              <w:outlineLvl w:val="0"/>
              <w:rPr>
                <w:rFonts w:hint="eastAsia" w:ascii="宋体" w:hAnsi="宋体" w:eastAsia="宋体" w:cs="宋体"/>
                <w:sz w:val="21"/>
                <w:szCs w:val="21"/>
              </w:rPr>
            </w:pPr>
            <w:r>
              <w:rPr>
                <w:rFonts w:hint="eastAsia" w:ascii="宋体" w:hAnsi="宋体" w:eastAsia="宋体" w:cs="宋体"/>
                <w:sz w:val="21"/>
                <w:szCs w:val="21"/>
              </w:rPr>
              <w:t>联系人信息</w:t>
            </w:r>
          </w:p>
        </w:tc>
        <w:tc>
          <w:tcPr>
            <w:tcW w:w="2850" w:type="dxa"/>
            <w:tcBorders>
              <w:top w:val="single" w:color="auto" w:sz="6" w:space="0"/>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01B2233E">
            <w:pPr>
              <w:pStyle w:val="10"/>
              <w:keepNext w:val="0"/>
              <w:keepLines w:val="0"/>
              <w:widowControl/>
              <w:suppressLineNumbers w:val="0"/>
              <w:spacing w:before="0" w:beforeAutospacing="0" w:after="0" w:afterAutospacing="0" w:line="480" w:lineRule="exact"/>
              <w:ind w:left="0" w:right="0"/>
              <w:jc w:val="center"/>
              <w:outlineLvl w:val="0"/>
              <w:rPr>
                <w:rFonts w:hint="eastAsia" w:ascii="宋体" w:hAnsi="宋体" w:eastAsia="宋体" w:cs="宋体"/>
                <w:sz w:val="21"/>
                <w:szCs w:val="21"/>
              </w:rPr>
            </w:pPr>
            <w:r>
              <w:rPr>
                <w:rFonts w:hint="eastAsia" w:ascii="宋体" w:hAnsi="宋体" w:eastAsia="宋体" w:cs="宋体"/>
                <w:sz w:val="21"/>
                <w:szCs w:val="21"/>
              </w:rPr>
              <w:t>甲 方</w:t>
            </w:r>
          </w:p>
        </w:tc>
        <w:tc>
          <w:tcPr>
            <w:tcW w:w="2655" w:type="dxa"/>
            <w:tcBorders>
              <w:top w:val="single" w:color="auto" w:sz="6" w:space="0"/>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2A990A52">
            <w:pPr>
              <w:pStyle w:val="10"/>
              <w:keepNext w:val="0"/>
              <w:keepLines w:val="0"/>
              <w:widowControl/>
              <w:suppressLineNumbers w:val="0"/>
              <w:spacing w:before="0" w:beforeAutospacing="0" w:after="0" w:afterAutospacing="0" w:line="480" w:lineRule="exact"/>
              <w:ind w:left="0" w:right="0"/>
              <w:jc w:val="center"/>
              <w:outlineLvl w:val="0"/>
              <w:rPr>
                <w:rFonts w:hint="eastAsia" w:ascii="宋体" w:hAnsi="宋体" w:eastAsia="宋体" w:cs="宋体"/>
                <w:sz w:val="21"/>
                <w:szCs w:val="21"/>
              </w:rPr>
            </w:pPr>
            <w:r>
              <w:rPr>
                <w:rFonts w:hint="eastAsia" w:ascii="宋体" w:hAnsi="宋体" w:eastAsia="宋体" w:cs="宋体"/>
                <w:sz w:val="21"/>
                <w:szCs w:val="21"/>
              </w:rPr>
              <w:t>乙 方</w:t>
            </w:r>
          </w:p>
        </w:tc>
      </w:tr>
      <w:tr w14:paraId="51E93A66">
        <w:tblPrEx>
          <w:tblCellMar>
            <w:top w:w="0" w:type="dxa"/>
            <w:left w:w="0" w:type="dxa"/>
            <w:bottom w:w="0" w:type="dxa"/>
            <w:right w:w="0" w:type="dxa"/>
          </w:tblCellMar>
        </w:tblPrEx>
        <w:trPr>
          <w:trHeight w:val="567" w:hRule="atLeast"/>
          <w:jc w:val="center"/>
        </w:trPr>
        <w:tc>
          <w:tcPr>
            <w:tcW w:w="2573" w:type="dxa"/>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79A2B2B1">
            <w:pPr>
              <w:pStyle w:val="10"/>
              <w:keepNext w:val="0"/>
              <w:keepLines w:val="0"/>
              <w:widowControl/>
              <w:suppressLineNumbers w:val="0"/>
              <w:spacing w:before="0" w:beforeAutospacing="0" w:after="0" w:afterAutospacing="0" w:line="480" w:lineRule="exact"/>
              <w:ind w:left="0" w:right="0"/>
              <w:outlineLvl w:val="0"/>
              <w:rPr>
                <w:rFonts w:hint="eastAsia" w:ascii="宋体" w:hAnsi="宋体" w:eastAsia="宋体" w:cs="宋体"/>
                <w:sz w:val="21"/>
                <w:szCs w:val="21"/>
              </w:rPr>
            </w:pPr>
            <w:r>
              <w:rPr>
                <w:rFonts w:hint="eastAsia" w:ascii="宋体" w:hAnsi="宋体" w:eastAsia="宋体" w:cs="宋体"/>
                <w:sz w:val="21"/>
                <w:szCs w:val="21"/>
              </w:rPr>
              <w:t>联系人姓名</w:t>
            </w:r>
          </w:p>
        </w:tc>
        <w:tc>
          <w:tcPr>
            <w:tcW w:w="2850"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384F4818">
            <w:pPr>
              <w:pStyle w:val="10"/>
              <w:keepNext w:val="0"/>
              <w:keepLines w:val="0"/>
              <w:widowControl/>
              <w:suppressLineNumbers w:val="0"/>
              <w:spacing w:before="0" w:beforeAutospacing="0" w:after="0" w:afterAutospacing="0" w:line="480" w:lineRule="exact"/>
              <w:ind w:left="0" w:right="0" w:firstLine="420" w:firstLineChars="200"/>
              <w:outlineLvl w:val="0"/>
              <w:rPr>
                <w:rFonts w:hint="eastAsia" w:ascii="宋体" w:hAnsi="宋体" w:eastAsia="宋体" w:cs="宋体"/>
                <w:sz w:val="21"/>
                <w:szCs w:val="21"/>
              </w:rPr>
            </w:pPr>
          </w:p>
        </w:tc>
        <w:tc>
          <w:tcPr>
            <w:tcW w:w="265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479A4E1C">
            <w:pPr>
              <w:pStyle w:val="10"/>
              <w:keepNext w:val="0"/>
              <w:keepLines w:val="0"/>
              <w:widowControl/>
              <w:suppressLineNumbers w:val="0"/>
              <w:spacing w:before="0" w:beforeAutospacing="0" w:after="0" w:afterAutospacing="0" w:line="480" w:lineRule="exact"/>
              <w:ind w:left="0" w:right="0" w:firstLine="420" w:firstLineChars="200"/>
              <w:outlineLvl w:val="0"/>
              <w:rPr>
                <w:rFonts w:hint="eastAsia" w:ascii="宋体" w:hAnsi="宋体" w:eastAsia="宋体" w:cs="宋体"/>
                <w:sz w:val="21"/>
                <w:szCs w:val="21"/>
              </w:rPr>
            </w:pPr>
          </w:p>
        </w:tc>
      </w:tr>
      <w:tr w14:paraId="4084518B">
        <w:tblPrEx>
          <w:shd w:val="clear" w:color="auto" w:fill="FFFFFF"/>
          <w:tblCellMar>
            <w:top w:w="0" w:type="dxa"/>
            <w:left w:w="0" w:type="dxa"/>
            <w:bottom w:w="0" w:type="dxa"/>
            <w:right w:w="0" w:type="dxa"/>
          </w:tblCellMar>
        </w:tblPrEx>
        <w:trPr>
          <w:trHeight w:val="567" w:hRule="atLeast"/>
          <w:jc w:val="center"/>
        </w:trPr>
        <w:tc>
          <w:tcPr>
            <w:tcW w:w="2573" w:type="dxa"/>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4A6D67CA">
            <w:pPr>
              <w:pStyle w:val="10"/>
              <w:keepNext w:val="0"/>
              <w:keepLines w:val="0"/>
              <w:widowControl/>
              <w:suppressLineNumbers w:val="0"/>
              <w:spacing w:before="0" w:beforeAutospacing="0" w:after="0" w:afterAutospacing="0" w:line="480" w:lineRule="exact"/>
              <w:ind w:left="0" w:right="0"/>
              <w:outlineLvl w:val="0"/>
              <w:rPr>
                <w:rFonts w:hint="eastAsia" w:ascii="宋体" w:hAnsi="宋体" w:eastAsia="宋体" w:cs="宋体"/>
                <w:sz w:val="21"/>
                <w:szCs w:val="21"/>
              </w:rPr>
            </w:pPr>
            <w:r>
              <w:rPr>
                <w:rFonts w:hint="eastAsia" w:ascii="宋体" w:hAnsi="宋体" w:eastAsia="宋体" w:cs="宋体"/>
                <w:sz w:val="21"/>
                <w:szCs w:val="21"/>
              </w:rPr>
              <w:t>身份证号</w:t>
            </w:r>
          </w:p>
        </w:tc>
        <w:tc>
          <w:tcPr>
            <w:tcW w:w="2850"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3D5442EA">
            <w:pPr>
              <w:pStyle w:val="10"/>
              <w:keepNext w:val="0"/>
              <w:keepLines w:val="0"/>
              <w:widowControl/>
              <w:suppressLineNumbers w:val="0"/>
              <w:spacing w:before="0" w:beforeAutospacing="0" w:after="0" w:afterAutospacing="0" w:line="480" w:lineRule="exact"/>
              <w:ind w:left="0" w:right="0" w:firstLine="420" w:firstLineChars="200"/>
              <w:outlineLvl w:val="0"/>
              <w:rPr>
                <w:rFonts w:hint="eastAsia" w:ascii="宋体" w:hAnsi="宋体" w:eastAsia="宋体" w:cs="宋体"/>
                <w:sz w:val="21"/>
                <w:szCs w:val="21"/>
              </w:rPr>
            </w:pPr>
          </w:p>
        </w:tc>
        <w:tc>
          <w:tcPr>
            <w:tcW w:w="265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723E0296">
            <w:pPr>
              <w:pStyle w:val="10"/>
              <w:keepNext w:val="0"/>
              <w:keepLines w:val="0"/>
              <w:widowControl/>
              <w:suppressLineNumbers w:val="0"/>
              <w:spacing w:before="0" w:beforeAutospacing="0" w:after="0" w:afterAutospacing="0" w:line="480" w:lineRule="exact"/>
              <w:ind w:left="0" w:right="0" w:firstLine="420" w:firstLineChars="200"/>
              <w:outlineLvl w:val="0"/>
              <w:rPr>
                <w:rFonts w:hint="eastAsia" w:ascii="宋体" w:hAnsi="宋体" w:eastAsia="宋体" w:cs="宋体"/>
                <w:sz w:val="21"/>
                <w:szCs w:val="21"/>
              </w:rPr>
            </w:pPr>
          </w:p>
        </w:tc>
      </w:tr>
      <w:tr w14:paraId="4777EA9C">
        <w:tblPrEx>
          <w:shd w:val="clear" w:color="auto" w:fill="FFFFFF"/>
          <w:tblCellMar>
            <w:top w:w="0" w:type="dxa"/>
            <w:left w:w="0" w:type="dxa"/>
            <w:bottom w:w="0" w:type="dxa"/>
            <w:right w:w="0" w:type="dxa"/>
          </w:tblCellMar>
        </w:tblPrEx>
        <w:trPr>
          <w:trHeight w:val="567" w:hRule="atLeast"/>
          <w:jc w:val="center"/>
        </w:trPr>
        <w:tc>
          <w:tcPr>
            <w:tcW w:w="2573" w:type="dxa"/>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24825347">
            <w:pPr>
              <w:pStyle w:val="10"/>
              <w:keepNext w:val="0"/>
              <w:keepLines w:val="0"/>
              <w:widowControl/>
              <w:suppressLineNumbers w:val="0"/>
              <w:spacing w:before="0" w:beforeAutospacing="0" w:after="0" w:afterAutospacing="0" w:line="480" w:lineRule="exact"/>
              <w:ind w:left="0" w:right="0"/>
              <w:outlineLvl w:val="0"/>
              <w:rPr>
                <w:rFonts w:hint="eastAsia" w:ascii="宋体" w:hAnsi="宋体" w:eastAsia="宋体" w:cs="宋体"/>
                <w:sz w:val="21"/>
                <w:szCs w:val="21"/>
              </w:rPr>
            </w:pPr>
            <w:r>
              <w:rPr>
                <w:rFonts w:hint="eastAsia" w:ascii="宋体" w:hAnsi="宋体" w:eastAsia="宋体" w:cs="宋体"/>
                <w:sz w:val="21"/>
                <w:szCs w:val="21"/>
              </w:rPr>
              <w:t>联系电话</w:t>
            </w:r>
          </w:p>
        </w:tc>
        <w:tc>
          <w:tcPr>
            <w:tcW w:w="2850"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31C06E26">
            <w:pPr>
              <w:pStyle w:val="10"/>
              <w:keepNext w:val="0"/>
              <w:keepLines w:val="0"/>
              <w:widowControl/>
              <w:suppressLineNumbers w:val="0"/>
              <w:spacing w:before="0" w:beforeAutospacing="0" w:after="0" w:afterAutospacing="0" w:line="480" w:lineRule="exact"/>
              <w:ind w:left="0" w:right="0" w:firstLine="420" w:firstLineChars="200"/>
              <w:outlineLvl w:val="0"/>
              <w:rPr>
                <w:rFonts w:hint="eastAsia" w:ascii="宋体" w:hAnsi="宋体" w:eastAsia="宋体" w:cs="宋体"/>
                <w:sz w:val="21"/>
                <w:szCs w:val="21"/>
              </w:rPr>
            </w:pPr>
          </w:p>
        </w:tc>
        <w:tc>
          <w:tcPr>
            <w:tcW w:w="265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58CB6EF2">
            <w:pPr>
              <w:pStyle w:val="10"/>
              <w:keepNext w:val="0"/>
              <w:keepLines w:val="0"/>
              <w:widowControl/>
              <w:suppressLineNumbers w:val="0"/>
              <w:spacing w:before="0" w:beforeAutospacing="0" w:after="0" w:afterAutospacing="0" w:line="480" w:lineRule="exact"/>
              <w:ind w:left="0" w:right="0" w:firstLine="420" w:firstLineChars="200"/>
              <w:outlineLvl w:val="0"/>
              <w:rPr>
                <w:rFonts w:hint="eastAsia" w:ascii="宋体" w:hAnsi="宋体" w:eastAsia="宋体" w:cs="宋体"/>
                <w:sz w:val="21"/>
                <w:szCs w:val="21"/>
              </w:rPr>
            </w:pPr>
          </w:p>
        </w:tc>
      </w:tr>
      <w:tr w14:paraId="28B243F2">
        <w:tblPrEx>
          <w:tblCellMar>
            <w:top w:w="0" w:type="dxa"/>
            <w:left w:w="0" w:type="dxa"/>
            <w:bottom w:w="0" w:type="dxa"/>
            <w:right w:w="0" w:type="dxa"/>
          </w:tblCellMar>
        </w:tblPrEx>
        <w:trPr>
          <w:trHeight w:val="567" w:hRule="atLeast"/>
          <w:jc w:val="center"/>
        </w:trPr>
        <w:tc>
          <w:tcPr>
            <w:tcW w:w="2573" w:type="dxa"/>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4BF1A35E">
            <w:pPr>
              <w:pStyle w:val="10"/>
              <w:keepNext w:val="0"/>
              <w:keepLines w:val="0"/>
              <w:widowControl/>
              <w:suppressLineNumbers w:val="0"/>
              <w:spacing w:before="0" w:beforeAutospacing="0" w:after="0" w:afterAutospacing="0" w:line="480" w:lineRule="exact"/>
              <w:ind w:left="0" w:right="0"/>
              <w:outlineLvl w:val="0"/>
              <w:rPr>
                <w:rFonts w:hint="eastAsia" w:ascii="宋体" w:hAnsi="宋体" w:eastAsia="宋体" w:cs="宋体"/>
                <w:sz w:val="21"/>
                <w:szCs w:val="21"/>
              </w:rPr>
            </w:pPr>
            <w:r>
              <w:rPr>
                <w:rFonts w:hint="eastAsia" w:ascii="宋体" w:hAnsi="宋体" w:eastAsia="宋体" w:cs="宋体"/>
                <w:sz w:val="21"/>
                <w:szCs w:val="21"/>
              </w:rPr>
              <w:t>送达地址</w:t>
            </w:r>
          </w:p>
        </w:tc>
        <w:tc>
          <w:tcPr>
            <w:tcW w:w="2850"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2D638403">
            <w:pPr>
              <w:pStyle w:val="10"/>
              <w:keepNext w:val="0"/>
              <w:keepLines w:val="0"/>
              <w:widowControl/>
              <w:suppressLineNumbers w:val="0"/>
              <w:spacing w:before="0" w:beforeAutospacing="0" w:after="0" w:afterAutospacing="0" w:line="480" w:lineRule="exact"/>
              <w:ind w:left="0" w:right="0" w:firstLine="420" w:firstLineChars="200"/>
              <w:outlineLvl w:val="0"/>
              <w:rPr>
                <w:rFonts w:hint="eastAsia" w:ascii="宋体" w:hAnsi="宋体" w:eastAsia="宋体" w:cs="宋体"/>
                <w:sz w:val="21"/>
                <w:szCs w:val="21"/>
              </w:rPr>
            </w:pPr>
          </w:p>
        </w:tc>
        <w:tc>
          <w:tcPr>
            <w:tcW w:w="265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2F84B7FB">
            <w:pPr>
              <w:pStyle w:val="10"/>
              <w:keepNext w:val="0"/>
              <w:keepLines w:val="0"/>
              <w:widowControl/>
              <w:suppressLineNumbers w:val="0"/>
              <w:spacing w:before="0" w:beforeAutospacing="0" w:after="0" w:afterAutospacing="0" w:line="480" w:lineRule="exact"/>
              <w:ind w:left="0" w:right="0" w:firstLine="420" w:firstLineChars="200"/>
              <w:outlineLvl w:val="0"/>
              <w:rPr>
                <w:rFonts w:hint="eastAsia" w:ascii="宋体" w:hAnsi="宋体" w:eastAsia="宋体" w:cs="宋体"/>
                <w:sz w:val="21"/>
                <w:szCs w:val="21"/>
              </w:rPr>
            </w:pPr>
          </w:p>
        </w:tc>
      </w:tr>
      <w:tr w14:paraId="331A9C17">
        <w:tblPrEx>
          <w:tblCellMar>
            <w:top w:w="0" w:type="dxa"/>
            <w:left w:w="0" w:type="dxa"/>
            <w:bottom w:w="0" w:type="dxa"/>
            <w:right w:w="0" w:type="dxa"/>
          </w:tblCellMar>
        </w:tblPrEx>
        <w:trPr>
          <w:trHeight w:val="567" w:hRule="atLeast"/>
          <w:jc w:val="center"/>
        </w:trPr>
        <w:tc>
          <w:tcPr>
            <w:tcW w:w="2573" w:type="dxa"/>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3682D231">
            <w:pPr>
              <w:pStyle w:val="10"/>
              <w:keepNext w:val="0"/>
              <w:keepLines w:val="0"/>
              <w:widowControl/>
              <w:suppressLineNumbers w:val="0"/>
              <w:spacing w:before="0" w:beforeAutospacing="0" w:after="0" w:afterAutospacing="0" w:line="480" w:lineRule="exact"/>
              <w:ind w:left="0" w:right="0"/>
              <w:outlineLvl w:val="0"/>
              <w:rPr>
                <w:rFonts w:hint="eastAsia" w:ascii="宋体" w:hAnsi="宋体" w:eastAsia="宋体" w:cs="宋体"/>
                <w:sz w:val="21"/>
                <w:szCs w:val="21"/>
              </w:rPr>
            </w:pPr>
            <w:r>
              <w:rPr>
                <w:rFonts w:hint="eastAsia" w:ascii="宋体" w:hAnsi="宋体" w:eastAsia="宋体" w:cs="宋体"/>
                <w:sz w:val="21"/>
                <w:szCs w:val="21"/>
              </w:rPr>
              <w:t>电子邮箱</w:t>
            </w:r>
          </w:p>
        </w:tc>
        <w:tc>
          <w:tcPr>
            <w:tcW w:w="2850"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380DC66E">
            <w:pPr>
              <w:pStyle w:val="10"/>
              <w:keepNext w:val="0"/>
              <w:keepLines w:val="0"/>
              <w:widowControl/>
              <w:suppressLineNumbers w:val="0"/>
              <w:spacing w:before="0" w:beforeAutospacing="0" w:after="0" w:afterAutospacing="0" w:line="480" w:lineRule="exact"/>
              <w:ind w:left="0" w:right="0" w:firstLine="420" w:firstLineChars="200"/>
              <w:outlineLvl w:val="0"/>
              <w:rPr>
                <w:rFonts w:hint="eastAsia" w:ascii="宋体" w:hAnsi="宋体" w:eastAsia="宋体" w:cs="宋体"/>
                <w:sz w:val="21"/>
                <w:szCs w:val="21"/>
              </w:rPr>
            </w:pPr>
          </w:p>
        </w:tc>
        <w:tc>
          <w:tcPr>
            <w:tcW w:w="265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5C53C071">
            <w:pPr>
              <w:pStyle w:val="10"/>
              <w:keepNext w:val="0"/>
              <w:keepLines w:val="0"/>
              <w:widowControl/>
              <w:suppressLineNumbers w:val="0"/>
              <w:spacing w:before="0" w:beforeAutospacing="0" w:after="0" w:afterAutospacing="0" w:line="480" w:lineRule="exact"/>
              <w:ind w:left="0" w:right="0" w:firstLine="420" w:firstLineChars="200"/>
              <w:outlineLvl w:val="0"/>
              <w:rPr>
                <w:rFonts w:hint="eastAsia" w:ascii="宋体" w:hAnsi="宋体" w:eastAsia="宋体" w:cs="宋体"/>
                <w:sz w:val="21"/>
                <w:szCs w:val="21"/>
              </w:rPr>
            </w:pPr>
          </w:p>
        </w:tc>
      </w:tr>
    </w:tbl>
    <w:p w14:paraId="3A93D108">
      <w:pPr>
        <w:pStyle w:val="10"/>
        <w:spacing w:before="0" w:beforeAutospacing="0" w:after="0" w:afterAutospacing="0" w:line="500" w:lineRule="exact"/>
        <w:ind w:firstLine="420" w:firstLineChars="200"/>
        <w:jc w:val="both"/>
        <w:outlineLvl w:val="0"/>
        <w:rPr>
          <w:rFonts w:hint="eastAsia" w:ascii="宋体" w:hAnsi="宋体" w:eastAsia="宋体" w:cs="宋体"/>
          <w:sz w:val="21"/>
          <w:szCs w:val="21"/>
        </w:rPr>
      </w:pPr>
      <w:r>
        <w:rPr>
          <w:rFonts w:hint="eastAsia" w:ascii="宋体" w:hAnsi="宋体" w:eastAsia="宋体" w:cs="宋体"/>
          <w:sz w:val="21"/>
          <w:szCs w:val="21"/>
        </w:rPr>
        <w:t>（二）关于送达的特别约定</w:t>
      </w:r>
    </w:p>
    <w:p w14:paraId="249C2C01">
      <w:pPr>
        <w:spacing w:line="500" w:lineRule="exact"/>
        <w:ind w:firstLine="420" w:firstLineChars="200"/>
        <w:jc w:val="left"/>
        <w:rPr>
          <w:rFonts w:hint="eastAsia" w:ascii="宋体" w:hAnsi="宋体" w:eastAsia="宋体" w:cs="宋体"/>
          <w:bCs/>
          <w:color w:val="000000"/>
          <w:sz w:val="21"/>
          <w:szCs w:val="21"/>
        </w:rPr>
      </w:pPr>
      <w:r>
        <w:rPr>
          <w:rFonts w:hint="eastAsia" w:ascii="宋体" w:hAnsi="宋体" w:eastAsia="宋体" w:cs="宋体"/>
          <w:color w:val="000000"/>
          <w:sz w:val="21"/>
          <w:szCs w:val="21"/>
        </w:rPr>
        <w:t>1.</w:t>
      </w:r>
      <w:r>
        <w:rPr>
          <w:rFonts w:hint="eastAsia" w:ascii="宋体" w:hAnsi="宋体" w:eastAsia="宋体" w:cs="宋体"/>
          <w:bCs/>
          <w:color w:val="000000"/>
          <w:sz w:val="21"/>
          <w:szCs w:val="21"/>
        </w:rPr>
        <w:t>双方预留的电话、地址、邮箱均是各类通知、协议、往来文件的有效送达方式。</w:t>
      </w:r>
    </w:p>
    <w:p w14:paraId="51BF9342">
      <w:pPr>
        <w:spacing w:line="500" w:lineRule="exact"/>
        <w:ind w:firstLine="420" w:firstLineChars="200"/>
        <w:jc w:val="left"/>
        <w:rPr>
          <w:rFonts w:hint="eastAsia" w:ascii="宋体" w:hAnsi="宋体" w:eastAsia="宋体" w:cs="宋体"/>
          <w:bCs/>
          <w:color w:val="000000"/>
          <w:sz w:val="21"/>
          <w:szCs w:val="21"/>
        </w:rPr>
      </w:pPr>
      <w:r>
        <w:rPr>
          <w:rFonts w:hint="eastAsia" w:ascii="宋体" w:hAnsi="宋体" w:eastAsia="宋体" w:cs="宋体"/>
          <w:bCs/>
          <w:color w:val="000000"/>
          <w:sz w:val="21"/>
          <w:szCs w:val="21"/>
        </w:rPr>
        <w:t>2.涉及诉讼或仲裁案件时甲方唯一的送达地址为甲方法人住所地。</w:t>
      </w:r>
    </w:p>
    <w:p w14:paraId="5EE88326">
      <w:pPr>
        <w:spacing w:line="500" w:lineRule="exact"/>
        <w:ind w:firstLine="420" w:firstLineChars="200"/>
        <w:jc w:val="left"/>
        <w:rPr>
          <w:rFonts w:hint="eastAsia" w:ascii="宋体" w:hAnsi="宋体" w:eastAsia="宋体" w:cs="宋体"/>
          <w:bCs/>
          <w:color w:val="000000"/>
          <w:sz w:val="21"/>
          <w:szCs w:val="21"/>
        </w:rPr>
      </w:pPr>
      <w:r>
        <w:rPr>
          <w:rFonts w:hint="eastAsia" w:ascii="宋体" w:hAnsi="宋体" w:eastAsia="宋体" w:cs="宋体"/>
          <w:color w:val="000000"/>
          <w:sz w:val="21"/>
          <w:szCs w:val="21"/>
        </w:rPr>
        <w:t>3.</w:t>
      </w:r>
      <w:r>
        <w:rPr>
          <w:rFonts w:hint="eastAsia" w:ascii="宋体" w:hAnsi="宋体" w:eastAsia="宋体" w:cs="宋体"/>
          <w:bCs/>
          <w:color w:val="000000"/>
          <w:sz w:val="21"/>
          <w:szCs w:val="21"/>
        </w:rPr>
        <w:t>甲方预留送达地址为项目经理部地址的，完工后地址自动变更为甲方法人住所地。</w:t>
      </w:r>
    </w:p>
    <w:p w14:paraId="6335A0AD">
      <w:pPr>
        <w:spacing w:line="500" w:lineRule="exact"/>
        <w:ind w:firstLine="420" w:firstLineChars="200"/>
        <w:jc w:val="left"/>
        <w:rPr>
          <w:rFonts w:hint="eastAsia" w:ascii="宋体" w:hAnsi="宋体" w:eastAsia="宋体" w:cs="宋体"/>
          <w:bCs/>
          <w:color w:val="000000"/>
          <w:sz w:val="21"/>
          <w:szCs w:val="21"/>
        </w:rPr>
      </w:pPr>
      <w:r>
        <w:rPr>
          <w:rFonts w:hint="eastAsia" w:ascii="宋体" w:hAnsi="宋体" w:eastAsia="宋体" w:cs="宋体"/>
          <w:color w:val="000000"/>
          <w:sz w:val="21"/>
          <w:szCs w:val="21"/>
        </w:rPr>
        <w:t>4.</w:t>
      </w:r>
      <w:r>
        <w:rPr>
          <w:rFonts w:hint="eastAsia" w:ascii="宋体" w:hAnsi="宋体" w:eastAsia="宋体" w:cs="宋体"/>
          <w:bCs/>
          <w:color w:val="000000"/>
          <w:sz w:val="21"/>
          <w:szCs w:val="21"/>
        </w:rPr>
        <w:t>因一方提供的送达地址不准确、送达地址变更后未及时告知对方导致无法邮寄送达的，可通过电子邮箱送达，效力视同邮寄送达。</w:t>
      </w:r>
    </w:p>
    <w:p w14:paraId="360E9B4D">
      <w:pPr>
        <w:spacing w:line="500" w:lineRule="exact"/>
        <w:ind w:firstLine="420" w:firstLineChars="200"/>
        <w:jc w:val="left"/>
        <w:rPr>
          <w:rFonts w:hint="eastAsia" w:ascii="宋体" w:hAnsi="宋体" w:eastAsia="宋体" w:cs="宋体"/>
          <w:bCs/>
          <w:color w:val="000000"/>
          <w:sz w:val="21"/>
          <w:szCs w:val="21"/>
        </w:rPr>
      </w:pPr>
      <w:r>
        <w:rPr>
          <w:rFonts w:hint="eastAsia" w:ascii="宋体" w:hAnsi="宋体" w:eastAsia="宋体" w:cs="宋体"/>
          <w:bCs/>
          <w:color w:val="000000"/>
          <w:sz w:val="21"/>
          <w:szCs w:val="21"/>
        </w:rPr>
        <w:t>5.双方一致同意可采取履约过程中双方日常沟通的即时通讯软件作为送达工具，产生同书面送达相同效果。采用即时通讯软件送达的，甲乙双方的发出和接收人均应是具有代理权限的人员，发出之日即为送达之日。</w:t>
      </w:r>
    </w:p>
    <w:p w14:paraId="590254F0">
      <w:pPr>
        <w:spacing w:line="500" w:lineRule="exact"/>
        <w:ind w:firstLine="420" w:firstLineChars="200"/>
        <w:jc w:val="left"/>
        <w:rPr>
          <w:rFonts w:hint="eastAsia" w:ascii="宋体" w:hAnsi="宋体" w:eastAsia="宋体" w:cs="宋体"/>
          <w:bCs/>
          <w:color w:val="000000"/>
          <w:sz w:val="21"/>
          <w:szCs w:val="21"/>
        </w:rPr>
      </w:pPr>
      <w:r>
        <w:rPr>
          <w:rFonts w:hint="eastAsia" w:ascii="宋体" w:hAnsi="宋体" w:eastAsia="宋体" w:cs="宋体"/>
          <w:bCs/>
          <w:color w:val="000000"/>
          <w:sz w:val="21"/>
          <w:szCs w:val="21"/>
        </w:rPr>
        <w:t>6.送达条款为效力独立条款，其他条款的效力不影响本条款的效力，双方均须依合同约定承担有效送达的法律后果。任何一方变更其联系方式或地址应在变更前及时通知另一方，否则变更前的联系方式视为有效送达地址。</w:t>
      </w:r>
    </w:p>
    <w:p w14:paraId="152F7BD9">
      <w:pPr>
        <w:pStyle w:val="10"/>
        <w:spacing w:before="0" w:beforeAutospacing="0" w:after="0" w:afterAutospacing="0" w:line="520" w:lineRule="exact"/>
        <w:ind w:firstLine="420" w:firstLineChars="200"/>
        <w:jc w:val="both"/>
        <w:outlineLvl w:val="0"/>
        <w:rPr>
          <w:rFonts w:hint="eastAsia" w:ascii="宋体" w:hAnsi="宋体" w:eastAsia="宋体" w:cs="宋体"/>
          <w:b/>
          <w:sz w:val="21"/>
          <w:szCs w:val="21"/>
        </w:rPr>
      </w:pPr>
      <w:r>
        <w:rPr>
          <w:rFonts w:hint="eastAsia" w:ascii="宋体" w:hAnsi="宋体" w:eastAsia="宋体" w:cs="宋体"/>
          <w:b/>
          <w:sz w:val="21"/>
          <w:szCs w:val="21"/>
        </w:rPr>
        <w:t>第十五条  争议解决</w:t>
      </w:r>
    </w:p>
    <w:p w14:paraId="524C8073">
      <w:pPr>
        <w:pStyle w:val="10"/>
        <w:spacing w:before="0" w:beforeAutospacing="0" w:after="0" w:afterAutospacing="0" w:line="520" w:lineRule="exact"/>
        <w:ind w:firstLine="420" w:firstLineChars="200"/>
        <w:jc w:val="both"/>
        <w:outlineLvl w:val="0"/>
        <w:rPr>
          <w:rFonts w:hint="eastAsia" w:ascii="宋体" w:hAnsi="宋体" w:eastAsia="宋体" w:cs="宋体"/>
          <w:bCs/>
          <w:sz w:val="21"/>
          <w:szCs w:val="21"/>
        </w:rPr>
      </w:pPr>
      <w:r>
        <w:rPr>
          <w:rFonts w:hint="eastAsia" w:ascii="宋体" w:hAnsi="宋体" w:eastAsia="宋体" w:cs="宋体"/>
          <w:bCs/>
          <w:sz w:val="21"/>
          <w:szCs w:val="21"/>
        </w:rPr>
        <w:t>双方在履行本合同时如发生争议，双方友好协商解决，协商不成的向</w:t>
      </w:r>
      <w:r>
        <w:rPr>
          <w:rFonts w:hint="eastAsia" w:ascii="宋体" w:hAnsi="宋体" w:cs="宋体"/>
          <w:bCs/>
          <w:sz w:val="21"/>
          <w:szCs w:val="21"/>
          <w:lang w:val="en-US" w:eastAsia="zh-CN"/>
        </w:rPr>
        <w:t>西安仲裁委员会</w:t>
      </w:r>
      <w:r>
        <w:rPr>
          <w:rFonts w:hint="eastAsia" w:ascii="宋体" w:hAnsi="宋体" w:eastAsia="宋体" w:cs="宋体"/>
          <w:bCs/>
          <w:sz w:val="21"/>
          <w:szCs w:val="21"/>
        </w:rPr>
        <w:t>提起</w:t>
      </w:r>
      <w:r>
        <w:rPr>
          <w:rFonts w:hint="eastAsia" w:ascii="宋体" w:hAnsi="宋体" w:cs="宋体"/>
          <w:bCs/>
          <w:sz w:val="21"/>
          <w:szCs w:val="21"/>
          <w:lang w:val="en-US" w:eastAsia="zh-CN"/>
        </w:rPr>
        <w:t>仲裁</w:t>
      </w:r>
      <w:r>
        <w:rPr>
          <w:rFonts w:hint="eastAsia" w:ascii="宋体" w:hAnsi="宋体" w:eastAsia="宋体" w:cs="宋体"/>
          <w:bCs/>
          <w:sz w:val="21"/>
          <w:szCs w:val="21"/>
        </w:rPr>
        <w:t>。</w:t>
      </w:r>
    </w:p>
    <w:p w14:paraId="45129A1B">
      <w:pPr>
        <w:spacing w:line="520" w:lineRule="exact"/>
        <w:ind w:firstLine="420" w:firstLineChars="200"/>
        <w:rPr>
          <w:rFonts w:hint="eastAsia" w:ascii="宋体" w:hAnsi="宋体" w:eastAsia="宋体" w:cs="宋体"/>
          <w:b/>
          <w:bCs/>
          <w:kern w:val="0"/>
          <w:sz w:val="21"/>
          <w:szCs w:val="21"/>
        </w:rPr>
      </w:pPr>
      <w:r>
        <w:rPr>
          <w:rFonts w:hint="eastAsia" w:ascii="宋体" w:hAnsi="宋体" w:eastAsia="宋体" w:cs="宋体"/>
          <w:b/>
          <w:bCs/>
          <w:kern w:val="0"/>
          <w:sz w:val="21"/>
          <w:szCs w:val="21"/>
        </w:rPr>
        <w:t xml:space="preserve">第十六条  不可抗力 </w:t>
      </w:r>
    </w:p>
    <w:p w14:paraId="4F60BE22">
      <w:pPr>
        <w:spacing w:line="480" w:lineRule="exact"/>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（一）甲方或乙方遇到不可抗力事件使履行义务受阻时，应立即通知另外一方并告知详细情况，双方协商延迟履行或终止合同。</w:t>
      </w:r>
    </w:p>
    <w:p w14:paraId="6B9085B3">
      <w:pPr>
        <w:spacing w:line="480" w:lineRule="exact"/>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二）不可抗力事件发生后，甲乙双方承担各自人员和财产损失，不向对方主张任何索赔。甲乙双方均应采取措施避免损失扩大，任何一方没有采取有效措施导致对方损失扩大的，应对扩大的损失向对方承担赔偿责任。</w:t>
      </w:r>
    </w:p>
    <w:p w14:paraId="48EBA327">
      <w:pPr>
        <w:spacing w:line="480" w:lineRule="exact"/>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（三）本合同所指不可抗力是指不能预见、不能避免并不能克服的客观情况，包括：</w:t>
      </w:r>
    </w:p>
    <w:p w14:paraId="4A5417D2">
      <w:pPr>
        <w:spacing w:line="480" w:lineRule="exact"/>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1.战争、暴乱、罢工、瘟疫等社会异常事件；</w:t>
      </w:r>
    </w:p>
    <w:p w14:paraId="5CA82268">
      <w:pPr>
        <w:spacing w:line="480" w:lineRule="exact"/>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2.地震、火灾、冰雹、台风等异常天气自然灾害；</w:t>
      </w:r>
    </w:p>
    <w:p w14:paraId="69F4FBA0">
      <w:pPr>
        <w:spacing w:line="480" w:lineRule="exact"/>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3.法律、法规、政府政策的变动，政府征收、征用等强制措施，政府叫停工程等行政行为；</w:t>
      </w:r>
    </w:p>
    <w:p w14:paraId="4E3E1DDE">
      <w:pPr>
        <w:spacing w:line="480" w:lineRule="exact"/>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4.电力、燃气、自来水、电信公司等供应故障导致的意外事件；</w:t>
      </w:r>
    </w:p>
    <w:p w14:paraId="6F41B18B">
      <w:pPr>
        <w:spacing w:line="480" w:lineRule="exact"/>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5.工程所在地政府发布的停工令等影响本合同正常履行的事件。</w:t>
      </w:r>
    </w:p>
    <w:p w14:paraId="1F7EC3C8">
      <w:pPr>
        <w:pStyle w:val="10"/>
        <w:spacing w:before="0" w:beforeAutospacing="0" w:after="0" w:afterAutospacing="0" w:line="520" w:lineRule="exact"/>
        <w:ind w:firstLine="420" w:firstLineChars="200"/>
        <w:outlineLvl w:val="0"/>
        <w:rPr>
          <w:rFonts w:hint="eastAsia" w:ascii="宋体" w:hAnsi="宋体" w:eastAsia="宋体" w:cs="宋体"/>
          <w:b/>
          <w:sz w:val="21"/>
          <w:szCs w:val="21"/>
        </w:rPr>
      </w:pPr>
      <w:r>
        <w:rPr>
          <w:rFonts w:hint="eastAsia" w:ascii="宋体" w:hAnsi="宋体" w:eastAsia="宋体" w:cs="宋体"/>
          <w:b/>
          <w:sz w:val="21"/>
          <w:szCs w:val="21"/>
        </w:rPr>
        <w:t>第十七条  其他事宜</w:t>
      </w:r>
    </w:p>
    <w:p w14:paraId="766E9CD3">
      <w:pPr>
        <w:tabs>
          <w:tab w:val="left" w:pos="1488"/>
        </w:tabs>
        <w:spacing w:line="5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（一）如本合同的某条款或某条款的部分内容无效，并不影响本合同及本合同其他条款或该条款其他内容的有效性。</w:t>
      </w:r>
    </w:p>
    <w:p w14:paraId="3B8D4F05">
      <w:pPr>
        <w:pStyle w:val="10"/>
        <w:spacing w:before="0" w:beforeAutospacing="0" w:after="0" w:afterAutospacing="0" w:line="520" w:lineRule="exact"/>
        <w:ind w:firstLine="420" w:firstLineChars="200"/>
        <w:outlineLvl w:val="0"/>
        <w:rPr>
          <w:rFonts w:hint="eastAsia" w:ascii="宋体" w:hAnsi="宋体" w:eastAsia="宋体" w:cs="宋体"/>
          <w:sz w:val="21"/>
          <w:szCs w:val="21"/>
        </w:rPr>
      </w:pPr>
      <w:r>
        <w:rPr>
          <w:rFonts w:hint="eastAsia" w:ascii="宋体" w:hAnsi="宋体" w:eastAsia="宋体" w:cs="宋体"/>
          <w:sz w:val="21"/>
          <w:szCs w:val="21"/>
        </w:rPr>
        <w:t>（二）未经甲方书面同意，乙方不得将本合同项下任何权利义务或者单独的权利（包括从权利）转让给任何第三方。乙方转让金钱债权、甲方向第三方支付后，乙方需向甲方承担转让金额的5%作为违约金。</w:t>
      </w:r>
    </w:p>
    <w:p w14:paraId="2798BC92">
      <w:pPr>
        <w:spacing w:line="5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（三）甲方承接工程质保期和缺陷责任期以甲方与业主签订的合同约定期限为准。</w:t>
      </w:r>
    </w:p>
    <w:p w14:paraId="43FB1DB2">
      <w:pPr>
        <w:spacing w:line="5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（四）</w:t>
      </w:r>
      <w:r>
        <w:rPr>
          <w:rFonts w:hint="eastAsia" w:ascii="宋体" w:hAnsi="宋体" w:eastAsia="宋体" w:cs="宋体"/>
          <w:b/>
          <w:bCs/>
          <w:kern w:val="0"/>
          <w:sz w:val="21"/>
          <w:szCs w:val="21"/>
        </w:rPr>
        <w:t>作为长期向建设行业提供材料的供应商，乙方充分了解并做出如下承诺：</w:t>
      </w:r>
      <w:r>
        <w:rPr>
          <w:rFonts w:hint="eastAsia" w:ascii="宋体" w:hAnsi="宋体" w:eastAsia="宋体" w:cs="宋体"/>
          <w:bCs/>
          <w:kern w:val="0"/>
          <w:sz w:val="21"/>
          <w:szCs w:val="21"/>
        </w:rPr>
        <w:t>甲方工程项目资金来源于业主，因此存在业主原因付款延迟或不足额支付的风险，业主由于各种原因未能向甲方支付相应工程款，从而导致甲方延迟向乙方支付相应租赁款项时，乙方不向甲方主张逾期付款违约金，也不在合同履行中或履行完毕后单独就逾期付款要求甲方承担违约责任。</w:t>
      </w:r>
    </w:p>
    <w:p w14:paraId="5E3FDA1C">
      <w:pPr>
        <w:spacing w:line="500" w:lineRule="exact"/>
        <w:ind w:firstLine="420" w:firstLineChars="200"/>
        <w:rPr>
          <w:rFonts w:hint="eastAsia" w:ascii="宋体" w:hAnsi="宋体" w:eastAsia="宋体" w:cs="宋体"/>
          <w:sz w:val="21"/>
          <w:szCs w:val="21"/>
        </w:rPr>
      </w:pPr>
      <w:r>
        <w:rPr>
          <w:rFonts w:hint="eastAsia" w:ascii="宋体" w:hAnsi="宋体" w:eastAsia="宋体" w:cs="宋体"/>
          <w:bCs/>
          <w:sz w:val="21"/>
          <w:szCs w:val="21"/>
        </w:rPr>
        <w:t>（五）</w:t>
      </w:r>
      <w:r>
        <w:rPr>
          <w:rFonts w:hint="eastAsia" w:ascii="宋体" w:hAnsi="宋体" w:eastAsia="宋体" w:cs="宋体"/>
          <w:sz w:val="21"/>
          <w:szCs w:val="21"/>
        </w:rPr>
        <w:t>本合同一式</w:t>
      </w:r>
      <w:r>
        <w:rPr>
          <w:rFonts w:hint="eastAsia" w:ascii="宋体" w:hAnsi="宋体" w:eastAsia="宋体" w:cs="宋体"/>
          <w:sz w:val="21"/>
          <w:szCs w:val="21"/>
          <w:u w:val="single"/>
        </w:rPr>
        <w:t xml:space="preserve">   </w:t>
      </w:r>
      <w:r>
        <w:rPr>
          <w:rFonts w:hint="eastAsia" w:ascii="宋体" w:hAnsi="宋体" w:eastAsia="宋体" w:cs="宋体"/>
          <w:sz w:val="21"/>
          <w:szCs w:val="21"/>
        </w:rPr>
        <w:t>份，双方各持</w:t>
      </w:r>
      <w:r>
        <w:rPr>
          <w:rFonts w:hint="eastAsia" w:ascii="宋体" w:hAnsi="宋体" w:eastAsia="宋体" w:cs="宋体"/>
          <w:sz w:val="21"/>
          <w:szCs w:val="21"/>
          <w:u w:val="single"/>
        </w:rPr>
        <w:t xml:space="preserve">   </w:t>
      </w:r>
      <w:r>
        <w:rPr>
          <w:rFonts w:hint="eastAsia" w:ascii="宋体" w:hAnsi="宋体" w:eastAsia="宋体" w:cs="宋体"/>
          <w:sz w:val="21"/>
          <w:szCs w:val="21"/>
        </w:rPr>
        <w:t>份，经双方签字盖章后生效，在办理末次结算并支付完毕自行终止。</w:t>
      </w:r>
      <w:r>
        <w:rPr>
          <w:rFonts w:hint="eastAsia" w:ascii="宋体" w:hAnsi="宋体" w:eastAsia="宋体" w:cs="宋体"/>
          <w:b/>
          <w:sz w:val="21"/>
          <w:szCs w:val="21"/>
          <w:u w:val="single"/>
        </w:rPr>
        <w:t xml:space="preserve">                                                  </w:t>
      </w:r>
    </w:p>
    <w:p w14:paraId="791331F5">
      <w:pPr>
        <w:pStyle w:val="6"/>
        <w:spacing w:line="520" w:lineRule="exact"/>
        <w:ind w:left="104" w:firstLine="315" w:firstLineChars="150"/>
        <w:rPr>
          <w:rFonts w:hint="eastAsia" w:ascii="宋体" w:hAnsi="宋体" w:eastAsia="宋体" w:cs="宋体"/>
          <w:b/>
          <w:sz w:val="21"/>
          <w:szCs w:val="21"/>
        </w:rPr>
      </w:pPr>
      <w:r>
        <w:rPr>
          <w:rFonts w:hint="eastAsia" w:ascii="宋体" w:hAnsi="宋体" w:eastAsia="宋体" w:cs="宋体"/>
          <w:b/>
          <w:sz w:val="21"/>
          <w:szCs w:val="21"/>
        </w:rPr>
        <w:t>第十八条  补充约定</w:t>
      </w:r>
    </w:p>
    <w:p w14:paraId="4BC8607F">
      <w:pPr>
        <w:pStyle w:val="6"/>
        <w:ind w:left="104" w:hanging="77" w:hangingChars="37"/>
        <w:rPr>
          <w:rFonts w:hint="eastAsia" w:ascii="宋体" w:hAnsi="宋体" w:eastAsia="宋体" w:cs="宋体"/>
          <w:sz w:val="21"/>
          <w:szCs w:val="21"/>
        </w:rPr>
      </w:pPr>
      <w:r>
        <w:rPr>
          <w:rFonts w:hint="eastAsia" w:ascii="宋体" w:hAnsi="宋体" w:eastAsia="宋体" w:cs="宋体"/>
          <w:b/>
          <w:sz w:val="21"/>
          <w:szCs w:val="21"/>
          <w:u w:val="single"/>
        </w:rPr>
        <w:t xml:space="preserve">                                                                                                                </w:t>
      </w:r>
    </w:p>
    <w:p w14:paraId="47BF7055">
      <w:pPr>
        <w:pStyle w:val="10"/>
        <w:spacing w:before="0" w:beforeAutospacing="0" w:after="0" w:afterAutospacing="0" w:line="520" w:lineRule="exact"/>
        <w:ind w:firstLine="420" w:firstLineChars="200"/>
        <w:outlineLvl w:val="0"/>
        <w:rPr>
          <w:rFonts w:hint="eastAsia" w:ascii="宋体" w:hAnsi="宋体" w:eastAsia="宋体" w:cs="宋体"/>
          <w:b/>
          <w:sz w:val="21"/>
          <w:szCs w:val="21"/>
        </w:rPr>
      </w:pPr>
    </w:p>
    <w:p w14:paraId="72C70E12">
      <w:pPr>
        <w:pStyle w:val="10"/>
        <w:spacing w:before="0" w:beforeAutospacing="0" w:after="0" w:afterAutospacing="0" w:line="520" w:lineRule="exact"/>
        <w:ind w:firstLine="420" w:firstLineChars="200"/>
        <w:outlineLvl w:val="0"/>
        <w:rPr>
          <w:rFonts w:hint="eastAsia" w:ascii="宋体" w:hAnsi="宋体" w:eastAsia="宋体" w:cs="宋体"/>
          <w:b/>
          <w:sz w:val="21"/>
          <w:szCs w:val="21"/>
        </w:rPr>
      </w:pPr>
      <w:r>
        <w:rPr>
          <w:rFonts w:hint="eastAsia" w:ascii="宋体" w:hAnsi="宋体" w:eastAsia="宋体" w:cs="宋体"/>
          <w:b/>
          <w:sz w:val="21"/>
          <w:szCs w:val="21"/>
        </w:rPr>
        <w:t>合同附件</w:t>
      </w:r>
    </w:p>
    <w:p w14:paraId="4B2A86FE">
      <w:pPr>
        <w:spacing w:line="520" w:lineRule="exact"/>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附件1：乙方营业执照、法人身份证复印件（应盖乙方公章）</w:t>
      </w:r>
    </w:p>
    <w:p w14:paraId="24FB4B47">
      <w:pPr>
        <w:spacing w:line="520" w:lineRule="exact"/>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附件2：代理人授权委托书原件、代理人身份证复印件</w:t>
      </w:r>
    </w:p>
    <w:p w14:paraId="3125D4EC">
      <w:pPr>
        <w:spacing w:line="520" w:lineRule="exact"/>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附件3：乙方中标通知书</w:t>
      </w:r>
    </w:p>
    <w:p w14:paraId="27D5163A">
      <w:pPr>
        <w:spacing w:line="520" w:lineRule="exact"/>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附件4：乙方提供的履约保证金支付凭证</w:t>
      </w:r>
    </w:p>
    <w:p w14:paraId="39880C66">
      <w:pPr>
        <w:pStyle w:val="10"/>
        <w:spacing w:before="0" w:beforeAutospacing="0" w:after="0" w:afterAutospacing="0" w:line="5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附件5：其他需双方共同确认的资料</w:t>
      </w:r>
    </w:p>
    <w:p w14:paraId="3B7B1130">
      <w:pPr>
        <w:pStyle w:val="10"/>
        <w:spacing w:before="0" w:beforeAutospacing="0" w:after="0" w:afterAutospacing="0" w:line="520" w:lineRule="exact"/>
        <w:ind w:firstLine="420" w:firstLineChars="200"/>
        <w:rPr>
          <w:rFonts w:hint="eastAsia" w:ascii="宋体" w:hAnsi="宋体" w:eastAsia="宋体" w:cs="宋体"/>
          <w:sz w:val="21"/>
          <w:szCs w:val="21"/>
        </w:rPr>
      </w:pPr>
    </w:p>
    <w:p w14:paraId="596DF900">
      <w:pPr>
        <w:pStyle w:val="10"/>
        <w:spacing w:before="0" w:beforeAutospacing="0" w:after="0" w:afterAutospacing="0" w:line="520" w:lineRule="exact"/>
        <w:ind w:firstLine="420" w:firstLineChars="200"/>
        <w:rPr>
          <w:rFonts w:hint="eastAsia" w:ascii="宋体" w:hAnsi="宋体" w:eastAsia="宋体" w:cs="宋体"/>
          <w:sz w:val="21"/>
          <w:szCs w:val="21"/>
        </w:rPr>
      </w:pPr>
    </w:p>
    <w:p w14:paraId="2D655B68">
      <w:pPr>
        <w:pStyle w:val="18"/>
        <w:spacing w:line="520" w:lineRule="exact"/>
        <w:jc w:val="left"/>
        <w:rPr>
          <w:rFonts w:hint="eastAsia" w:ascii="宋体" w:hAnsi="宋体" w:eastAsia="宋体" w:cs="宋体"/>
          <w:sz w:val="21"/>
          <w:szCs w:val="21"/>
        </w:rPr>
      </w:pPr>
      <w:r>
        <w:rPr>
          <w:rFonts w:hint="eastAsia" w:ascii="宋体" w:hAnsi="宋体" w:eastAsia="宋体" w:cs="宋体"/>
          <w:sz w:val="21"/>
          <w:szCs w:val="21"/>
        </w:rPr>
        <w:t>甲方（名称并加盖公章）：           乙方（名称并加盖公章）：</w:t>
      </w:r>
    </w:p>
    <w:p w14:paraId="7CE7ACF0">
      <w:pPr>
        <w:pStyle w:val="18"/>
        <w:spacing w:line="520" w:lineRule="exact"/>
        <w:jc w:val="left"/>
        <w:rPr>
          <w:rFonts w:hint="eastAsia" w:ascii="宋体" w:hAnsi="宋体" w:eastAsia="宋体" w:cs="宋体"/>
          <w:sz w:val="21"/>
          <w:szCs w:val="21"/>
        </w:rPr>
      </w:pPr>
      <w:r>
        <w:rPr>
          <w:rFonts w:hint="eastAsia" w:ascii="宋体" w:hAnsi="宋体" w:eastAsia="宋体" w:cs="宋体"/>
          <w:sz w:val="21"/>
          <w:szCs w:val="21"/>
        </w:rPr>
        <w:t>法定代表人或                      法定代表人或</w:t>
      </w:r>
    </w:p>
    <w:p w14:paraId="03465B0F">
      <w:pPr>
        <w:pStyle w:val="18"/>
        <w:spacing w:line="520" w:lineRule="exact"/>
        <w:jc w:val="left"/>
        <w:rPr>
          <w:rFonts w:hint="eastAsia" w:ascii="宋体" w:hAnsi="宋体" w:eastAsia="宋体" w:cs="宋体"/>
          <w:sz w:val="21"/>
          <w:szCs w:val="21"/>
        </w:rPr>
      </w:pPr>
      <w:r>
        <w:rPr>
          <w:rFonts w:hint="eastAsia" w:ascii="宋体" w:hAnsi="宋体" w:eastAsia="宋体" w:cs="宋体"/>
          <w:sz w:val="21"/>
          <w:szCs w:val="21"/>
        </w:rPr>
        <w:t>委托代理人（签字）：               委托代理人（签字）：</w:t>
      </w:r>
    </w:p>
    <w:p w14:paraId="4E4E740E">
      <w:pPr>
        <w:spacing w:line="520" w:lineRule="exact"/>
        <w:ind w:firstLine="840" w:firstLineChars="400"/>
        <w:jc w:val="left"/>
        <w:rPr>
          <w:rFonts w:hint="eastAsia" w:ascii="宋体" w:hAnsi="宋体" w:eastAsia="宋体" w:cs="宋体"/>
          <w:sz w:val="21"/>
          <w:szCs w:val="21"/>
        </w:rPr>
      </w:pPr>
      <w:r>
        <w:rPr>
          <w:rFonts w:hint="eastAsia" w:ascii="宋体" w:hAnsi="宋体" w:eastAsia="宋体" w:cs="宋体"/>
          <w:sz w:val="21"/>
          <w:szCs w:val="21"/>
        </w:rPr>
        <w:t>年  月  日                      年  月  日</w:t>
      </w:r>
    </w:p>
    <w:p w14:paraId="42200190">
      <w:pPr>
        <w:pStyle w:val="5"/>
        <w:rPr>
          <w:rFonts w:hint="eastAsia" w:ascii="宋体" w:hAnsi="宋体" w:eastAsia="宋体" w:cs="宋体"/>
          <w:sz w:val="21"/>
          <w:szCs w:val="21"/>
        </w:rPr>
      </w:pPr>
      <w:r>
        <w:rPr>
          <w:rFonts w:hint="eastAsia" w:ascii="宋体" w:hAnsi="宋体" w:eastAsia="宋体" w:cs="宋体"/>
          <w:b/>
          <w:w w:val="80"/>
          <w:sz w:val="21"/>
          <w:szCs w:val="21"/>
        </w:rPr>
        <w:br w:type="page"/>
      </w:r>
    </w:p>
    <w:p w14:paraId="33BAB676">
      <w:pPr>
        <w:spacing w:line="360" w:lineRule="auto"/>
        <w:jc w:val="center"/>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廉政合同</w:t>
      </w:r>
    </w:p>
    <w:p w14:paraId="30B18323">
      <w:pPr>
        <w:pStyle w:val="10"/>
        <w:spacing w:before="0" w:beforeAutospacing="0" w:after="0" w:afterAutospacing="0" w:line="600" w:lineRule="exact"/>
        <w:rPr>
          <w:rFonts w:hint="eastAsia" w:ascii="宋体" w:hAnsi="宋体" w:eastAsia="宋体" w:cs="宋体"/>
          <w:sz w:val="21"/>
          <w:szCs w:val="21"/>
          <w:highlight w:val="none"/>
          <w:lang w:eastAsia="zh-CN"/>
        </w:rPr>
      </w:pPr>
    </w:p>
    <w:p w14:paraId="20B1734D">
      <w:pPr>
        <w:snapToGrid w:val="0"/>
        <w:spacing w:line="360" w:lineRule="auto"/>
        <w:ind w:right="-51"/>
        <w:rPr>
          <w:rFonts w:hint="eastAsia" w:ascii="宋体" w:hAnsi="宋体" w:eastAsia="宋体" w:cs="宋体"/>
          <w:bCs/>
          <w:sz w:val="21"/>
          <w:szCs w:val="21"/>
          <w:highlight w:val="none"/>
          <w:lang w:eastAsia="zh-CN"/>
        </w:rPr>
      </w:pPr>
      <w:r>
        <w:rPr>
          <w:rFonts w:hint="eastAsia" w:ascii="宋体" w:hAnsi="宋体" w:eastAsia="宋体" w:cs="宋体"/>
          <w:bCs/>
          <w:sz w:val="21"/>
          <w:szCs w:val="21"/>
          <w:highlight w:val="none"/>
          <w:lang w:eastAsia="zh-CN"/>
        </w:rPr>
        <w:t>甲方：</w:t>
      </w:r>
      <w:r>
        <w:rPr>
          <w:rFonts w:hint="eastAsia" w:ascii="宋体" w:hAnsi="宋体" w:eastAsia="宋体" w:cs="宋体"/>
          <w:bCs/>
          <w:sz w:val="21"/>
          <w:szCs w:val="21"/>
          <w:highlight w:val="none"/>
          <w:u w:val="single"/>
          <w:lang w:eastAsia="zh-CN"/>
        </w:rPr>
        <w:t xml:space="preserve">                             </w:t>
      </w:r>
      <w:r>
        <w:rPr>
          <w:rFonts w:hint="eastAsia" w:ascii="宋体" w:hAnsi="宋体" w:eastAsia="宋体" w:cs="宋体"/>
          <w:bCs/>
          <w:sz w:val="21"/>
          <w:szCs w:val="21"/>
          <w:highlight w:val="none"/>
          <w:lang w:eastAsia="zh-CN"/>
        </w:rPr>
        <w:t>(需方)</w:t>
      </w:r>
    </w:p>
    <w:p w14:paraId="6DD8053F">
      <w:pPr>
        <w:snapToGrid w:val="0"/>
        <w:spacing w:line="360" w:lineRule="auto"/>
        <w:ind w:right="-51"/>
        <w:rPr>
          <w:rFonts w:hint="eastAsia" w:ascii="宋体" w:hAnsi="宋体" w:eastAsia="宋体" w:cs="宋体"/>
          <w:bCs/>
          <w:sz w:val="21"/>
          <w:szCs w:val="21"/>
          <w:highlight w:val="none"/>
          <w:lang w:eastAsia="zh-CN"/>
        </w:rPr>
      </w:pPr>
      <w:r>
        <w:rPr>
          <w:rFonts w:hint="eastAsia" w:ascii="宋体" w:hAnsi="宋体" w:eastAsia="宋体" w:cs="宋体"/>
          <w:bCs/>
          <w:sz w:val="21"/>
          <w:szCs w:val="21"/>
          <w:highlight w:val="none"/>
          <w:lang w:eastAsia="zh-CN"/>
        </w:rPr>
        <w:t>乙方：</w:t>
      </w:r>
      <w:r>
        <w:rPr>
          <w:rFonts w:hint="eastAsia" w:ascii="宋体" w:hAnsi="宋体" w:eastAsia="宋体" w:cs="宋体"/>
          <w:bCs/>
          <w:sz w:val="21"/>
          <w:szCs w:val="21"/>
          <w:highlight w:val="none"/>
          <w:u w:val="single"/>
          <w:lang w:eastAsia="zh-CN"/>
        </w:rPr>
        <w:t xml:space="preserve">                             </w:t>
      </w:r>
      <w:r>
        <w:rPr>
          <w:rFonts w:hint="eastAsia" w:ascii="宋体" w:hAnsi="宋体" w:eastAsia="宋体" w:cs="宋体"/>
          <w:bCs/>
          <w:sz w:val="21"/>
          <w:szCs w:val="21"/>
          <w:highlight w:val="none"/>
          <w:lang w:eastAsia="zh-CN"/>
        </w:rPr>
        <w:t xml:space="preserve">(供方) </w:t>
      </w:r>
    </w:p>
    <w:p w14:paraId="502CEAFD">
      <w:pPr>
        <w:snapToGrid w:val="0"/>
        <w:spacing w:line="360" w:lineRule="auto"/>
        <w:ind w:right="-51"/>
        <w:rPr>
          <w:rFonts w:hint="eastAsia" w:ascii="宋体" w:hAnsi="宋体" w:eastAsia="宋体" w:cs="宋体"/>
          <w:bCs/>
          <w:sz w:val="21"/>
          <w:szCs w:val="21"/>
          <w:highlight w:val="none"/>
          <w:lang w:eastAsia="zh-CN"/>
        </w:rPr>
      </w:pPr>
    </w:p>
    <w:p w14:paraId="31961058">
      <w:pPr>
        <w:snapToGrid w:val="0"/>
        <w:spacing w:line="360" w:lineRule="auto"/>
        <w:ind w:right="-51" w:firstLine="420" w:firstLineChars="200"/>
        <w:rPr>
          <w:rFonts w:hint="eastAsia" w:ascii="宋体" w:hAnsi="宋体" w:eastAsia="宋体" w:cs="宋体"/>
          <w:bCs/>
          <w:sz w:val="21"/>
          <w:szCs w:val="21"/>
          <w:highlight w:val="none"/>
          <w:lang w:eastAsia="zh-CN"/>
        </w:rPr>
      </w:pPr>
      <w:r>
        <w:rPr>
          <w:rFonts w:hint="eastAsia" w:ascii="宋体" w:hAnsi="宋体" w:eastAsia="宋体" w:cs="宋体"/>
          <w:bCs/>
          <w:sz w:val="21"/>
          <w:szCs w:val="21"/>
          <w:highlight w:val="none"/>
          <w:lang w:eastAsia="zh-CN"/>
        </w:rPr>
        <w:t>根据交通部《关于在交通基础设施建设中加强廉政建设的若干意见》和有关工程建设、廉政建设以及局、公司有关廉政建设的规定，为做好工程建设中的党风廉政建设，保证工程建设高效优质，保证项目资金的安全和有效使用以及投资效益，双方在签订采购合同的同时签订本协议。</w:t>
      </w:r>
    </w:p>
    <w:p w14:paraId="7BA68327">
      <w:pPr>
        <w:pStyle w:val="5"/>
        <w:ind w:left="0" w:leftChars="0" w:firstLine="560"/>
        <w:rPr>
          <w:rFonts w:hint="eastAsia" w:ascii="宋体" w:hAnsi="宋体" w:eastAsia="宋体" w:cs="宋体"/>
          <w:sz w:val="21"/>
          <w:szCs w:val="21"/>
          <w:highlight w:val="none"/>
          <w:lang w:eastAsia="zh-CN"/>
        </w:rPr>
      </w:pPr>
      <w:bookmarkStart w:id="38" w:name="_Toc24958"/>
      <w:r>
        <w:rPr>
          <w:rFonts w:hint="eastAsia" w:ascii="宋体" w:hAnsi="宋体" w:eastAsia="宋体" w:cs="宋体"/>
          <w:sz w:val="21"/>
          <w:szCs w:val="21"/>
          <w:highlight w:val="none"/>
          <w:lang w:eastAsia="zh-CN"/>
        </w:rPr>
        <w:t>第一条.甲乙双方的权利和义务</w:t>
      </w:r>
      <w:bookmarkEnd w:id="38"/>
    </w:p>
    <w:p w14:paraId="454CF350">
      <w:pPr>
        <w:snapToGrid w:val="0"/>
        <w:spacing w:line="360" w:lineRule="auto"/>
        <w:ind w:right="-51" w:firstLine="420" w:firstLineChars="200"/>
        <w:rPr>
          <w:rFonts w:hint="eastAsia" w:ascii="宋体" w:hAnsi="宋体" w:eastAsia="宋体" w:cs="宋体"/>
          <w:bCs/>
          <w:sz w:val="21"/>
          <w:szCs w:val="21"/>
          <w:highlight w:val="none"/>
          <w:lang w:eastAsia="zh-CN"/>
        </w:rPr>
      </w:pPr>
      <w:r>
        <w:rPr>
          <w:rFonts w:hint="eastAsia" w:ascii="宋体" w:hAnsi="宋体" w:eastAsia="宋体" w:cs="宋体"/>
          <w:bCs/>
          <w:sz w:val="21"/>
          <w:szCs w:val="21"/>
          <w:highlight w:val="none"/>
          <w:lang w:eastAsia="zh-CN"/>
        </w:rPr>
        <w:t>(1) 严格遵守党的政策规定和国家有关法律法规及交通部的有关规定。严格执行招标人的各项规章制度，认同招标人的企业文化。</w:t>
      </w:r>
    </w:p>
    <w:p w14:paraId="20DE391B">
      <w:pPr>
        <w:snapToGrid w:val="0"/>
        <w:spacing w:line="360" w:lineRule="auto"/>
        <w:ind w:right="-51" w:firstLine="420" w:firstLineChars="200"/>
        <w:rPr>
          <w:rFonts w:hint="eastAsia" w:ascii="宋体" w:hAnsi="宋体" w:eastAsia="宋体" w:cs="宋体"/>
          <w:bCs/>
          <w:sz w:val="21"/>
          <w:szCs w:val="21"/>
          <w:highlight w:val="none"/>
          <w:lang w:eastAsia="zh-CN"/>
        </w:rPr>
      </w:pPr>
      <w:r>
        <w:rPr>
          <w:rFonts w:hint="eastAsia" w:ascii="宋体" w:hAnsi="宋体" w:eastAsia="宋体" w:cs="宋体"/>
          <w:bCs/>
          <w:sz w:val="21"/>
          <w:szCs w:val="21"/>
          <w:highlight w:val="none"/>
          <w:lang w:eastAsia="zh-CN"/>
        </w:rPr>
        <w:t>(2) 严格执行合同编号为</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bCs/>
          <w:sz w:val="21"/>
          <w:szCs w:val="21"/>
          <w:highlight w:val="none"/>
          <w:lang w:eastAsia="zh-CN"/>
        </w:rPr>
        <w:t>的</w:t>
      </w:r>
      <w:r>
        <w:rPr>
          <w:rFonts w:hint="eastAsia" w:ascii="宋体" w:hAnsi="宋体" w:cs="宋体"/>
          <w:bCs/>
          <w:sz w:val="21"/>
          <w:szCs w:val="21"/>
          <w:highlight w:val="none"/>
          <w:lang w:val="en-US" w:eastAsia="zh-CN"/>
        </w:rPr>
        <w:t>水泥涵管</w:t>
      </w:r>
      <w:r>
        <w:rPr>
          <w:rFonts w:hint="eastAsia" w:ascii="宋体" w:hAnsi="宋体" w:eastAsia="宋体" w:cs="宋体"/>
          <w:bCs/>
          <w:sz w:val="21"/>
          <w:szCs w:val="21"/>
          <w:highlight w:val="none"/>
          <w:lang w:eastAsia="zh-CN"/>
        </w:rPr>
        <w:t>采购合同。</w:t>
      </w:r>
    </w:p>
    <w:p w14:paraId="787E1452">
      <w:pPr>
        <w:snapToGrid w:val="0"/>
        <w:spacing w:line="360" w:lineRule="auto"/>
        <w:ind w:right="-51" w:firstLine="420" w:firstLineChars="200"/>
        <w:rPr>
          <w:rFonts w:hint="eastAsia" w:ascii="宋体" w:hAnsi="宋体" w:eastAsia="宋体" w:cs="宋体"/>
          <w:bCs/>
          <w:sz w:val="21"/>
          <w:szCs w:val="21"/>
          <w:highlight w:val="none"/>
          <w:lang w:eastAsia="zh-CN"/>
        </w:rPr>
      </w:pPr>
      <w:r>
        <w:rPr>
          <w:rFonts w:hint="eastAsia" w:ascii="宋体" w:hAnsi="宋体" w:eastAsia="宋体" w:cs="宋体"/>
          <w:bCs/>
          <w:sz w:val="21"/>
          <w:szCs w:val="21"/>
          <w:highlight w:val="none"/>
          <w:lang w:eastAsia="zh-CN"/>
        </w:rPr>
        <w:t>(3) 双方的业务活动坚持公开、公正、诚信、透明的原则(法律认定的商业秘密和合同文件另有规定除外)，不得损害国家和集体利益，不得违反工程建设管理规章制度。</w:t>
      </w:r>
    </w:p>
    <w:p w14:paraId="4BBC270F">
      <w:pPr>
        <w:snapToGrid w:val="0"/>
        <w:spacing w:line="360" w:lineRule="auto"/>
        <w:ind w:right="-51" w:firstLine="420" w:firstLineChars="200"/>
        <w:rPr>
          <w:rFonts w:hint="eastAsia" w:ascii="宋体" w:hAnsi="宋体" w:eastAsia="宋体" w:cs="宋体"/>
          <w:bCs/>
          <w:sz w:val="21"/>
          <w:szCs w:val="21"/>
          <w:highlight w:val="none"/>
          <w:lang w:eastAsia="zh-CN"/>
        </w:rPr>
      </w:pPr>
      <w:r>
        <w:rPr>
          <w:rFonts w:hint="eastAsia" w:ascii="宋体" w:hAnsi="宋体" w:eastAsia="宋体" w:cs="宋体"/>
          <w:bCs/>
          <w:sz w:val="21"/>
          <w:szCs w:val="21"/>
          <w:highlight w:val="none"/>
          <w:lang w:eastAsia="zh-CN"/>
        </w:rPr>
        <w:t>(4) 建立健全廉政制度，开展廉政教育，设立廉政告示牌；公布举报电话，监督并认真查处违法违纪行为。</w:t>
      </w:r>
    </w:p>
    <w:p w14:paraId="70D251C3">
      <w:pPr>
        <w:snapToGrid w:val="0"/>
        <w:spacing w:line="360" w:lineRule="auto"/>
        <w:ind w:right="-51" w:firstLine="420" w:firstLineChars="200"/>
        <w:rPr>
          <w:rFonts w:hint="eastAsia" w:ascii="宋体" w:hAnsi="宋体" w:eastAsia="宋体" w:cs="宋体"/>
          <w:bCs/>
          <w:sz w:val="21"/>
          <w:szCs w:val="21"/>
          <w:highlight w:val="none"/>
          <w:lang w:eastAsia="zh-CN"/>
        </w:rPr>
      </w:pPr>
      <w:r>
        <w:rPr>
          <w:rFonts w:hint="eastAsia" w:ascii="宋体" w:hAnsi="宋体" w:eastAsia="宋体" w:cs="宋体"/>
          <w:bCs/>
          <w:sz w:val="21"/>
          <w:szCs w:val="21"/>
          <w:highlight w:val="none"/>
          <w:lang w:eastAsia="zh-CN"/>
        </w:rPr>
        <w:t>(5) 发现对方在业务活动中有违反廉政规定的行为，有及时提醒对方纠正的权利和义务。</w:t>
      </w:r>
    </w:p>
    <w:p w14:paraId="7ABCFE51">
      <w:pPr>
        <w:snapToGrid w:val="0"/>
        <w:spacing w:line="360" w:lineRule="auto"/>
        <w:ind w:right="-51" w:firstLine="420" w:firstLineChars="200"/>
        <w:rPr>
          <w:rFonts w:hint="eastAsia" w:ascii="宋体" w:hAnsi="宋体" w:eastAsia="宋体" w:cs="宋体"/>
          <w:bCs/>
          <w:sz w:val="21"/>
          <w:szCs w:val="21"/>
          <w:highlight w:val="none"/>
          <w:lang w:eastAsia="zh-CN"/>
        </w:rPr>
      </w:pPr>
      <w:r>
        <w:rPr>
          <w:rFonts w:hint="eastAsia" w:ascii="宋体" w:hAnsi="宋体" w:eastAsia="宋体" w:cs="宋体"/>
          <w:bCs/>
          <w:sz w:val="21"/>
          <w:szCs w:val="21"/>
          <w:highlight w:val="none"/>
          <w:lang w:eastAsia="zh-CN"/>
        </w:rPr>
        <w:t>(6) 发现对方严重违反本合同义务条款的行为，有向其上级有关部门举报、建议给予处理并要求告知处理结果的权利。</w:t>
      </w:r>
    </w:p>
    <w:p w14:paraId="2F2D3339">
      <w:pPr>
        <w:pStyle w:val="5"/>
        <w:ind w:left="0" w:leftChars="0" w:firstLine="560"/>
        <w:rPr>
          <w:rFonts w:hint="eastAsia" w:ascii="宋体" w:hAnsi="宋体" w:eastAsia="宋体" w:cs="宋体"/>
          <w:sz w:val="21"/>
          <w:szCs w:val="21"/>
          <w:highlight w:val="none"/>
          <w:lang w:eastAsia="zh-CN"/>
        </w:rPr>
      </w:pPr>
      <w:bookmarkStart w:id="39" w:name="_Toc19203"/>
      <w:r>
        <w:rPr>
          <w:rFonts w:hint="eastAsia" w:ascii="宋体" w:hAnsi="宋体" w:eastAsia="宋体" w:cs="宋体"/>
          <w:sz w:val="21"/>
          <w:szCs w:val="21"/>
          <w:highlight w:val="none"/>
          <w:lang w:eastAsia="zh-CN"/>
        </w:rPr>
        <w:t>第二条.甲方的义务</w:t>
      </w:r>
      <w:bookmarkEnd w:id="39"/>
    </w:p>
    <w:p w14:paraId="413A222B">
      <w:pPr>
        <w:snapToGrid w:val="0"/>
        <w:spacing w:line="360" w:lineRule="auto"/>
        <w:ind w:right="-51" w:firstLine="420" w:firstLineChars="200"/>
        <w:rPr>
          <w:rFonts w:hint="eastAsia" w:ascii="宋体" w:hAnsi="宋体" w:eastAsia="宋体" w:cs="宋体"/>
          <w:bCs/>
          <w:sz w:val="21"/>
          <w:szCs w:val="21"/>
          <w:highlight w:val="none"/>
          <w:lang w:eastAsia="zh-CN"/>
        </w:rPr>
      </w:pPr>
      <w:r>
        <w:rPr>
          <w:rFonts w:hint="eastAsia" w:ascii="宋体" w:hAnsi="宋体" w:eastAsia="宋体" w:cs="宋体"/>
          <w:bCs/>
          <w:sz w:val="21"/>
          <w:szCs w:val="21"/>
          <w:highlight w:val="none"/>
          <w:lang w:eastAsia="zh-CN"/>
        </w:rPr>
        <w:t>(1) 甲方及其工作人员不得索要或接受乙方的礼金、有价证券和贵重物品，不得在乙方报销任何应由甲方或甲方工作人员个人支付的费用等。</w:t>
      </w:r>
    </w:p>
    <w:p w14:paraId="453D18B3">
      <w:pPr>
        <w:snapToGrid w:val="0"/>
        <w:spacing w:line="360" w:lineRule="auto"/>
        <w:ind w:right="-51" w:firstLine="420" w:firstLineChars="200"/>
        <w:rPr>
          <w:rFonts w:hint="eastAsia" w:ascii="宋体" w:hAnsi="宋体" w:eastAsia="宋体" w:cs="宋体"/>
          <w:bCs/>
          <w:sz w:val="21"/>
          <w:szCs w:val="21"/>
          <w:highlight w:val="none"/>
          <w:lang w:eastAsia="zh-CN"/>
        </w:rPr>
      </w:pPr>
      <w:r>
        <w:rPr>
          <w:rFonts w:hint="eastAsia" w:ascii="宋体" w:hAnsi="宋体" w:eastAsia="宋体" w:cs="宋体"/>
          <w:bCs/>
          <w:sz w:val="21"/>
          <w:szCs w:val="21"/>
          <w:highlight w:val="none"/>
          <w:lang w:eastAsia="zh-CN"/>
        </w:rPr>
        <w:t>(2) 甲方工作人员不得参加乙方安排的超标准宴请和娱乐活动；不得接受乙方提供的通讯工具、交通工具和高档办公用品等。</w:t>
      </w:r>
    </w:p>
    <w:p w14:paraId="7CA2C7BD">
      <w:pPr>
        <w:snapToGrid w:val="0"/>
        <w:spacing w:line="360" w:lineRule="auto"/>
        <w:ind w:right="-51" w:firstLine="420" w:firstLineChars="200"/>
        <w:rPr>
          <w:rFonts w:hint="eastAsia" w:ascii="宋体" w:hAnsi="宋体" w:eastAsia="宋体" w:cs="宋体"/>
          <w:bCs/>
          <w:sz w:val="21"/>
          <w:szCs w:val="21"/>
          <w:highlight w:val="none"/>
          <w:lang w:eastAsia="zh-CN"/>
        </w:rPr>
      </w:pPr>
      <w:r>
        <w:rPr>
          <w:rFonts w:hint="eastAsia" w:ascii="宋体" w:hAnsi="宋体" w:eastAsia="宋体" w:cs="宋体"/>
          <w:bCs/>
          <w:sz w:val="21"/>
          <w:szCs w:val="21"/>
          <w:highlight w:val="none"/>
          <w:lang w:eastAsia="zh-CN"/>
        </w:rPr>
        <w:t>(3) 甲方及其工作人员不得要求或者接受乙方为其住房装修、婚丧嫁娶活动、配偶子女的工作安排以及出国出境、旅游等提供方便等。</w:t>
      </w:r>
    </w:p>
    <w:p w14:paraId="3AE7D313">
      <w:pPr>
        <w:snapToGrid w:val="0"/>
        <w:spacing w:line="360" w:lineRule="auto"/>
        <w:ind w:right="-51" w:firstLine="420" w:firstLineChars="200"/>
        <w:rPr>
          <w:rFonts w:hint="eastAsia" w:ascii="宋体" w:hAnsi="宋体" w:eastAsia="宋体" w:cs="宋体"/>
          <w:bCs/>
          <w:sz w:val="21"/>
          <w:szCs w:val="21"/>
          <w:highlight w:val="none"/>
          <w:lang w:eastAsia="zh-CN"/>
        </w:rPr>
      </w:pPr>
      <w:r>
        <w:rPr>
          <w:rFonts w:hint="eastAsia" w:ascii="宋体" w:hAnsi="宋体" w:eastAsia="宋体" w:cs="宋体"/>
          <w:bCs/>
          <w:sz w:val="21"/>
          <w:szCs w:val="21"/>
          <w:highlight w:val="none"/>
          <w:lang w:eastAsia="zh-CN"/>
        </w:rPr>
        <w:t>(4) 甲方工作人员及其配偶、子女不得从事与甲方工程有关的材料设备供应、工程分包、劳务等经济活动等。</w:t>
      </w:r>
    </w:p>
    <w:p w14:paraId="18FCEA82">
      <w:pPr>
        <w:snapToGrid w:val="0"/>
        <w:spacing w:line="360" w:lineRule="auto"/>
        <w:ind w:right="-51" w:firstLine="420" w:firstLineChars="200"/>
        <w:rPr>
          <w:rFonts w:hint="eastAsia" w:ascii="宋体" w:hAnsi="宋体" w:eastAsia="宋体" w:cs="宋体"/>
          <w:bCs/>
          <w:sz w:val="21"/>
          <w:szCs w:val="21"/>
          <w:highlight w:val="none"/>
          <w:lang w:eastAsia="zh-CN"/>
        </w:rPr>
      </w:pPr>
      <w:r>
        <w:rPr>
          <w:rFonts w:hint="eastAsia" w:ascii="宋体" w:hAnsi="宋体" w:eastAsia="宋体" w:cs="宋体"/>
          <w:bCs/>
          <w:sz w:val="21"/>
          <w:szCs w:val="21"/>
          <w:highlight w:val="none"/>
          <w:lang w:eastAsia="zh-CN"/>
        </w:rPr>
        <w:t>(5) 甲方的工作人员不得私自向乙方推荐劳务单位或推销材料，不得要求乙方购买未经甲方同意批准的材料和设备。</w:t>
      </w:r>
    </w:p>
    <w:p w14:paraId="4439337A">
      <w:pPr>
        <w:snapToGrid w:val="0"/>
        <w:spacing w:line="360" w:lineRule="auto"/>
        <w:ind w:right="-51" w:firstLine="420" w:firstLineChars="200"/>
        <w:rPr>
          <w:rFonts w:hint="eastAsia" w:ascii="宋体" w:hAnsi="宋体" w:eastAsia="宋体" w:cs="宋体"/>
          <w:bCs/>
          <w:sz w:val="21"/>
          <w:szCs w:val="21"/>
          <w:highlight w:val="none"/>
          <w:lang w:eastAsia="zh-CN"/>
        </w:rPr>
      </w:pPr>
      <w:r>
        <w:rPr>
          <w:rFonts w:hint="eastAsia" w:ascii="宋体" w:hAnsi="宋体" w:eastAsia="宋体" w:cs="宋体"/>
          <w:bCs/>
          <w:sz w:val="21"/>
          <w:szCs w:val="21"/>
          <w:highlight w:val="none"/>
          <w:lang w:eastAsia="zh-CN"/>
        </w:rPr>
        <w:t>(6) 甲方工作人员要秉公办事，不准营私舞弊，不准利用职权从事各种个人有偿中介活动和安排个人施工队伍。</w:t>
      </w:r>
    </w:p>
    <w:p w14:paraId="70BBA8CE">
      <w:pPr>
        <w:pStyle w:val="5"/>
        <w:ind w:left="0" w:leftChars="0" w:firstLine="560"/>
        <w:rPr>
          <w:rFonts w:hint="eastAsia" w:ascii="宋体" w:hAnsi="宋体" w:eastAsia="宋体" w:cs="宋体"/>
          <w:sz w:val="21"/>
          <w:szCs w:val="21"/>
          <w:highlight w:val="none"/>
          <w:lang w:eastAsia="zh-CN"/>
        </w:rPr>
      </w:pPr>
      <w:bookmarkStart w:id="40" w:name="_Toc32395"/>
      <w:r>
        <w:rPr>
          <w:rFonts w:hint="eastAsia" w:ascii="宋体" w:hAnsi="宋体" w:eastAsia="宋体" w:cs="宋体"/>
          <w:sz w:val="21"/>
          <w:szCs w:val="21"/>
          <w:highlight w:val="none"/>
          <w:lang w:eastAsia="zh-CN"/>
        </w:rPr>
        <w:t>第三条.乙方义务</w:t>
      </w:r>
      <w:bookmarkEnd w:id="40"/>
    </w:p>
    <w:p w14:paraId="7604224E">
      <w:pPr>
        <w:snapToGrid w:val="0"/>
        <w:spacing w:line="360" w:lineRule="auto"/>
        <w:ind w:right="-51" w:firstLine="420" w:firstLineChars="200"/>
        <w:rPr>
          <w:rFonts w:hint="eastAsia" w:ascii="宋体" w:hAnsi="宋体" w:eastAsia="宋体" w:cs="宋体"/>
          <w:bCs/>
          <w:sz w:val="21"/>
          <w:szCs w:val="21"/>
          <w:highlight w:val="none"/>
          <w:lang w:eastAsia="zh-CN"/>
        </w:rPr>
      </w:pPr>
      <w:r>
        <w:rPr>
          <w:rFonts w:hint="eastAsia" w:ascii="宋体" w:hAnsi="宋体" w:eastAsia="宋体" w:cs="宋体"/>
          <w:bCs/>
          <w:sz w:val="21"/>
          <w:szCs w:val="21"/>
          <w:highlight w:val="none"/>
          <w:lang w:eastAsia="zh-CN"/>
        </w:rPr>
        <w:t>(1) 乙方不得以任何理由向甲方及其工作人员行贿或馈赠礼金、有价证券、贵重礼品。</w:t>
      </w:r>
    </w:p>
    <w:p w14:paraId="5B6DF3F7">
      <w:pPr>
        <w:snapToGrid w:val="0"/>
        <w:spacing w:line="360" w:lineRule="auto"/>
        <w:ind w:right="-51" w:firstLine="420" w:firstLineChars="200"/>
        <w:rPr>
          <w:rFonts w:hint="eastAsia" w:ascii="宋体" w:hAnsi="宋体" w:eastAsia="宋体" w:cs="宋体"/>
          <w:bCs/>
          <w:sz w:val="21"/>
          <w:szCs w:val="21"/>
          <w:highlight w:val="none"/>
          <w:lang w:eastAsia="zh-CN"/>
        </w:rPr>
      </w:pPr>
      <w:r>
        <w:rPr>
          <w:rFonts w:hint="eastAsia" w:ascii="宋体" w:hAnsi="宋体" w:eastAsia="宋体" w:cs="宋体"/>
          <w:bCs/>
          <w:sz w:val="21"/>
          <w:szCs w:val="21"/>
          <w:highlight w:val="none"/>
          <w:lang w:eastAsia="zh-CN"/>
        </w:rPr>
        <w:t>(2) 乙方不得以任何名义为甲方及其工作人员报销应由甲方单位或个人支付的任何费用。</w:t>
      </w:r>
    </w:p>
    <w:p w14:paraId="12632CB2">
      <w:pPr>
        <w:snapToGrid w:val="0"/>
        <w:spacing w:line="360" w:lineRule="auto"/>
        <w:ind w:right="-51" w:firstLine="420" w:firstLineChars="200"/>
        <w:rPr>
          <w:rFonts w:hint="eastAsia" w:ascii="宋体" w:hAnsi="宋体" w:eastAsia="宋体" w:cs="宋体"/>
          <w:bCs/>
          <w:sz w:val="21"/>
          <w:szCs w:val="21"/>
          <w:highlight w:val="none"/>
          <w:lang w:eastAsia="zh-CN"/>
        </w:rPr>
      </w:pPr>
      <w:r>
        <w:rPr>
          <w:rFonts w:hint="eastAsia" w:ascii="宋体" w:hAnsi="宋体" w:eastAsia="宋体" w:cs="宋体"/>
          <w:bCs/>
          <w:sz w:val="21"/>
          <w:szCs w:val="21"/>
          <w:highlight w:val="none"/>
          <w:lang w:eastAsia="zh-CN"/>
        </w:rPr>
        <w:t>(3) 乙方不得以任何理由安排甲方工作人员参加超标准宴请及娱乐活动。</w:t>
      </w:r>
    </w:p>
    <w:p w14:paraId="31DE819C">
      <w:pPr>
        <w:snapToGrid w:val="0"/>
        <w:spacing w:line="360" w:lineRule="auto"/>
        <w:ind w:right="-51" w:firstLine="420" w:firstLineChars="200"/>
        <w:rPr>
          <w:rFonts w:hint="eastAsia" w:ascii="宋体" w:hAnsi="宋体" w:eastAsia="宋体" w:cs="宋体"/>
          <w:bCs/>
          <w:sz w:val="21"/>
          <w:szCs w:val="21"/>
          <w:highlight w:val="none"/>
          <w:lang w:eastAsia="zh-CN"/>
        </w:rPr>
      </w:pPr>
      <w:r>
        <w:rPr>
          <w:rFonts w:hint="eastAsia" w:ascii="宋体" w:hAnsi="宋体" w:eastAsia="宋体" w:cs="宋体"/>
          <w:bCs/>
          <w:sz w:val="21"/>
          <w:szCs w:val="21"/>
          <w:highlight w:val="none"/>
          <w:lang w:eastAsia="zh-CN"/>
        </w:rPr>
        <w:t>(4) 乙方不得为甲方单位和个人购置或提供通讯工具、交通工具和高档办公用品等。</w:t>
      </w:r>
    </w:p>
    <w:p w14:paraId="1494402A">
      <w:pPr>
        <w:pStyle w:val="5"/>
        <w:ind w:left="0" w:leftChars="0" w:firstLine="560"/>
        <w:rPr>
          <w:rFonts w:hint="eastAsia" w:ascii="宋体" w:hAnsi="宋体" w:eastAsia="宋体" w:cs="宋体"/>
          <w:sz w:val="21"/>
          <w:szCs w:val="21"/>
          <w:highlight w:val="none"/>
          <w:lang w:eastAsia="zh-CN"/>
        </w:rPr>
      </w:pPr>
      <w:bookmarkStart w:id="41" w:name="_Toc16865"/>
      <w:r>
        <w:rPr>
          <w:rFonts w:hint="eastAsia" w:ascii="宋体" w:hAnsi="宋体" w:eastAsia="宋体" w:cs="宋体"/>
          <w:sz w:val="21"/>
          <w:szCs w:val="21"/>
          <w:highlight w:val="none"/>
          <w:lang w:eastAsia="zh-CN"/>
        </w:rPr>
        <w:t>第四条.违约责任</w:t>
      </w:r>
      <w:bookmarkEnd w:id="41"/>
    </w:p>
    <w:p w14:paraId="147A8D17">
      <w:pPr>
        <w:snapToGrid w:val="0"/>
        <w:spacing w:line="360" w:lineRule="auto"/>
        <w:ind w:right="-51" w:firstLine="420" w:firstLineChars="200"/>
        <w:rPr>
          <w:rFonts w:hint="eastAsia" w:ascii="宋体" w:hAnsi="宋体" w:eastAsia="宋体" w:cs="宋体"/>
          <w:bCs/>
          <w:sz w:val="21"/>
          <w:szCs w:val="21"/>
          <w:highlight w:val="none"/>
          <w:lang w:eastAsia="zh-CN"/>
        </w:rPr>
      </w:pPr>
      <w:r>
        <w:rPr>
          <w:rFonts w:hint="eastAsia" w:ascii="宋体" w:hAnsi="宋体" w:eastAsia="宋体" w:cs="宋体"/>
          <w:bCs/>
          <w:sz w:val="21"/>
          <w:szCs w:val="21"/>
          <w:highlight w:val="none"/>
          <w:lang w:eastAsia="zh-CN"/>
        </w:rPr>
        <w:t>(1) 甲方及其工作人员违反本合同第一、二条，按管理权限，依据有关规定给予党纪、政纪或组织处理；涉嫌犯罪的，移交司法机关追究刑事责任；给乙方单位造成经济损失的，应予以赔偿。</w:t>
      </w:r>
    </w:p>
    <w:p w14:paraId="68BC40F5">
      <w:pPr>
        <w:snapToGrid w:val="0"/>
        <w:spacing w:line="360" w:lineRule="auto"/>
        <w:ind w:right="-51" w:firstLine="420" w:firstLineChars="200"/>
        <w:rPr>
          <w:rFonts w:hint="eastAsia" w:ascii="宋体" w:hAnsi="宋体" w:eastAsia="宋体" w:cs="宋体"/>
          <w:bCs/>
          <w:sz w:val="21"/>
          <w:szCs w:val="21"/>
          <w:highlight w:val="none"/>
          <w:lang w:eastAsia="zh-CN"/>
        </w:rPr>
      </w:pPr>
      <w:r>
        <w:rPr>
          <w:rFonts w:hint="eastAsia" w:ascii="宋体" w:hAnsi="宋体" w:eastAsia="宋体" w:cs="宋体"/>
          <w:bCs/>
          <w:sz w:val="21"/>
          <w:szCs w:val="21"/>
          <w:highlight w:val="none"/>
          <w:lang w:eastAsia="zh-CN"/>
        </w:rPr>
        <w:t>(2) 乙方及其工作人员违反本合同第一、三条，按管理权限，依据有关规定给予党纪、政纪或组织处理；给甲方单位造成经济损失的，应予以赔偿；并在甲方内部市场主管部门进行资信登记时，扣减1～3分；情节严重的，甲方内部市场主管部门给予乙方一至三年内不得进人内部市场投标的处罚。</w:t>
      </w:r>
    </w:p>
    <w:p w14:paraId="52C421A3">
      <w:pPr>
        <w:pStyle w:val="5"/>
        <w:ind w:left="0" w:leftChars="0" w:firstLine="560"/>
        <w:rPr>
          <w:rFonts w:hint="eastAsia" w:ascii="宋体" w:hAnsi="宋体" w:eastAsia="宋体" w:cs="宋体"/>
          <w:sz w:val="21"/>
          <w:szCs w:val="21"/>
          <w:highlight w:val="none"/>
          <w:lang w:eastAsia="zh-CN"/>
        </w:rPr>
      </w:pPr>
      <w:bookmarkStart w:id="42" w:name="_Toc4994"/>
      <w:r>
        <w:rPr>
          <w:rFonts w:hint="eastAsia" w:ascii="宋体" w:hAnsi="宋体" w:eastAsia="宋体" w:cs="宋体"/>
          <w:sz w:val="21"/>
          <w:szCs w:val="21"/>
          <w:highlight w:val="none"/>
          <w:lang w:eastAsia="zh-CN"/>
        </w:rPr>
        <w:t>第五条.双方约定</w:t>
      </w:r>
      <w:bookmarkEnd w:id="42"/>
    </w:p>
    <w:p w14:paraId="2164190A">
      <w:pPr>
        <w:snapToGrid w:val="0"/>
        <w:spacing w:line="360" w:lineRule="auto"/>
        <w:ind w:right="-51" w:firstLine="420" w:firstLineChars="200"/>
        <w:rPr>
          <w:rFonts w:hint="eastAsia" w:ascii="宋体" w:hAnsi="宋体" w:eastAsia="宋体" w:cs="宋体"/>
          <w:bCs/>
          <w:sz w:val="21"/>
          <w:szCs w:val="21"/>
          <w:highlight w:val="none"/>
          <w:lang w:eastAsia="zh-CN"/>
        </w:rPr>
      </w:pPr>
      <w:r>
        <w:rPr>
          <w:rFonts w:hint="eastAsia" w:ascii="宋体" w:hAnsi="宋体" w:eastAsia="宋体" w:cs="宋体"/>
          <w:bCs/>
          <w:sz w:val="21"/>
          <w:szCs w:val="21"/>
          <w:highlight w:val="none"/>
          <w:lang w:eastAsia="zh-CN"/>
        </w:rPr>
        <w:t>本合同由双方或双方上级单位的纪察审计部门负责监督执行。由甲方或甲方上级单位的纪察审计部门约请乙方或乙方上级单位纪检监察机关对本合同执行情况进行检查，提出在本合同规定范围内的裁定意见。</w:t>
      </w:r>
    </w:p>
    <w:p w14:paraId="07488628">
      <w:pPr>
        <w:pStyle w:val="5"/>
        <w:ind w:left="0" w:leftChars="0" w:firstLine="560"/>
        <w:rPr>
          <w:rFonts w:hint="eastAsia" w:ascii="宋体" w:hAnsi="宋体" w:eastAsia="宋体" w:cs="宋体"/>
          <w:sz w:val="21"/>
          <w:szCs w:val="21"/>
          <w:highlight w:val="none"/>
          <w:lang w:eastAsia="zh-CN"/>
        </w:rPr>
      </w:pPr>
      <w:bookmarkStart w:id="43" w:name="_Toc27490"/>
      <w:r>
        <w:rPr>
          <w:rFonts w:hint="eastAsia" w:ascii="宋体" w:hAnsi="宋体" w:eastAsia="宋体" w:cs="宋体"/>
          <w:sz w:val="21"/>
          <w:szCs w:val="21"/>
          <w:highlight w:val="none"/>
          <w:lang w:eastAsia="zh-CN"/>
        </w:rPr>
        <w:t>第六条.本合同有效期</w:t>
      </w:r>
      <w:bookmarkEnd w:id="43"/>
    </w:p>
    <w:p w14:paraId="62882DD8">
      <w:pPr>
        <w:snapToGrid w:val="0"/>
        <w:spacing w:line="360" w:lineRule="auto"/>
        <w:ind w:right="-51" w:firstLine="420" w:firstLineChars="200"/>
        <w:rPr>
          <w:rFonts w:hint="eastAsia" w:ascii="宋体" w:hAnsi="宋体" w:eastAsia="宋体" w:cs="宋体"/>
          <w:bCs/>
          <w:sz w:val="21"/>
          <w:szCs w:val="21"/>
          <w:highlight w:val="none"/>
          <w:lang w:eastAsia="zh-CN"/>
        </w:rPr>
      </w:pPr>
      <w:r>
        <w:rPr>
          <w:rFonts w:hint="eastAsia" w:ascii="宋体" w:hAnsi="宋体" w:eastAsia="宋体" w:cs="宋体"/>
          <w:bCs/>
          <w:sz w:val="21"/>
          <w:szCs w:val="21"/>
          <w:highlight w:val="none"/>
          <w:lang w:eastAsia="zh-CN"/>
        </w:rPr>
        <w:t>为甲乙双方签署之日起至本项目工程竣工验收后止。</w:t>
      </w:r>
    </w:p>
    <w:p w14:paraId="1A538C29">
      <w:pPr>
        <w:snapToGrid w:val="0"/>
        <w:spacing w:line="360" w:lineRule="auto"/>
        <w:ind w:right="-51" w:firstLine="420" w:firstLineChars="200"/>
        <w:rPr>
          <w:rFonts w:hint="eastAsia" w:ascii="宋体" w:hAnsi="宋体" w:eastAsia="宋体" w:cs="宋体"/>
          <w:bCs/>
          <w:sz w:val="21"/>
          <w:szCs w:val="21"/>
          <w:highlight w:val="none"/>
          <w:lang w:eastAsia="zh-CN"/>
        </w:rPr>
      </w:pPr>
      <w:r>
        <w:rPr>
          <w:rFonts w:hint="eastAsia" w:ascii="宋体" w:hAnsi="宋体" w:eastAsia="宋体" w:cs="宋体"/>
          <w:bCs/>
          <w:sz w:val="21"/>
          <w:szCs w:val="21"/>
          <w:highlight w:val="none"/>
          <w:lang w:eastAsia="zh-CN"/>
        </w:rPr>
        <w:t>第七条.本合同作为</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合同</w:t>
      </w:r>
      <w:r>
        <w:rPr>
          <w:rFonts w:hint="eastAsia" w:ascii="宋体" w:hAnsi="宋体" w:eastAsia="宋体" w:cs="宋体"/>
          <w:bCs/>
          <w:sz w:val="21"/>
          <w:szCs w:val="21"/>
          <w:highlight w:val="none"/>
          <w:lang w:eastAsia="zh-CN"/>
        </w:rPr>
        <w:t>的附件，与合同具有同等的法律效力，经合同双方签署立即生效。</w:t>
      </w:r>
    </w:p>
    <w:p w14:paraId="5AD6018A">
      <w:pPr>
        <w:snapToGrid w:val="0"/>
        <w:spacing w:line="360" w:lineRule="auto"/>
        <w:ind w:right="-51" w:firstLine="420" w:firstLineChars="200"/>
        <w:rPr>
          <w:rFonts w:hint="eastAsia" w:ascii="宋体" w:hAnsi="宋体" w:eastAsia="宋体" w:cs="宋体"/>
          <w:bCs/>
          <w:sz w:val="21"/>
          <w:szCs w:val="21"/>
          <w:highlight w:val="none"/>
          <w:lang w:eastAsia="zh-CN"/>
        </w:rPr>
      </w:pPr>
      <w:r>
        <w:rPr>
          <w:rFonts w:hint="eastAsia" w:ascii="宋体" w:hAnsi="宋体" w:eastAsia="宋体" w:cs="宋体"/>
          <w:bCs/>
          <w:sz w:val="21"/>
          <w:szCs w:val="21"/>
          <w:highlight w:val="none"/>
          <w:lang w:eastAsia="zh-CN"/>
        </w:rPr>
        <w:t>第八条.</w:t>
      </w:r>
      <w:r>
        <w:rPr>
          <w:rFonts w:hint="eastAsia" w:ascii="宋体" w:hAnsi="宋体" w:eastAsia="宋体" w:cs="宋体"/>
          <w:sz w:val="21"/>
          <w:szCs w:val="21"/>
          <w:highlight w:val="none"/>
          <w:lang w:eastAsia="zh-CN"/>
        </w:rPr>
        <w:t>本合同一式</w:t>
      </w:r>
      <w:r>
        <w:rPr>
          <w:rFonts w:hint="eastAsia" w:ascii="宋体" w:hAnsi="宋体" w:eastAsia="宋体" w:cs="宋体"/>
          <w:color w:val="000000"/>
          <w:sz w:val="21"/>
          <w:szCs w:val="21"/>
          <w:highlight w:val="none"/>
          <w:u w:val="single"/>
          <w:lang w:eastAsia="zh-CN"/>
        </w:rPr>
        <w:t xml:space="preserve">   </w:t>
      </w:r>
      <w:r>
        <w:rPr>
          <w:rFonts w:hint="eastAsia" w:ascii="宋体" w:hAnsi="宋体" w:eastAsia="宋体" w:cs="宋体"/>
          <w:color w:val="000000"/>
          <w:sz w:val="21"/>
          <w:szCs w:val="21"/>
          <w:highlight w:val="none"/>
          <w:lang w:eastAsia="zh-CN"/>
        </w:rPr>
        <w:t>份，甲方执</w:t>
      </w:r>
      <w:r>
        <w:rPr>
          <w:rFonts w:hint="eastAsia" w:ascii="宋体" w:hAnsi="宋体" w:eastAsia="宋体" w:cs="宋体"/>
          <w:color w:val="000000"/>
          <w:sz w:val="21"/>
          <w:szCs w:val="21"/>
          <w:highlight w:val="none"/>
          <w:u w:val="single"/>
          <w:lang w:eastAsia="zh-CN"/>
        </w:rPr>
        <w:t xml:space="preserve">   </w:t>
      </w:r>
      <w:r>
        <w:rPr>
          <w:rFonts w:hint="eastAsia" w:ascii="宋体" w:hAnsi="宋体" w:eastAsia="宋体" w:cs="宋体"/>
          <w:color w:val="000000"/>
          <w:sz w:val="21"/>
          <w:szCs w:val="21"/>
          <w:highlight w:val="none"/>
          <w:lang w:eastAsia="zh-CN"/>
        </w:rPr>
        <w:t>份，乙方执</w:t>
      </w:r>
      <w:r>
        <w:rPr>
          <w:rFonts w:hint="eastAsia" w:ascii="宋体" w:hAnsi="宋体" w:eastAsia="宋体" w:cs="宋体"/>
          <w:color w:val="000000"/>
          <w:sz w:val="21"/>
          <w:szCs w:val="21"/>
          <w:highlight w:val="none"/>
          <w:u w:val="single"/>
          <w:lang w:eastAsia="zh-CN"/>
        </w:rPr>
        <w:t xml:space="preserve">   </w:t>
      </w:r>
      <w:r>
        <w:rPr>
          <w:rFonts w:hint="eastAsia" w:ascii="宋体" w:hAnsi="宋体" w:eastAsia="宋体" w:cs="宋体"/>
          <w:color w:val="000000"/>
          <w:sz w:val="21"/>
          <w:szCs w:val="21"/>
          <w:highlight w:val="none"/>
          <w:lang w:eastAsia="zh-CN"/>
        </w:rPr>
        <w:t>份</w:t>
      </w:r>
    </w:p>
    <w:p w14:paraId="38DFE96B">
      <w:pPr>
        <w:snapToGrid w:val="0"/>
        <w:spacing w:line="360" w:lineRule="auto"/>
        <w:ind w:right="-51"/>
        <w:rPr>
          <w:rFonts w:hint="eastAsia" w:ascii="宋体" w:hAnsi="宋体" w:eastAsia="宋体" w:cs="宋体"/>
          <w:bCs/>
          <w:sz w:val="21"/>
          <w:szCs w:val="21"/>
          <w:highlight w:val="none"/>
          <w:lang w:eastAsia="zh-CN"/>
        </w:rPr>
      </w:pPr>
    </w:p>
    <w:p w14:paraId="24459C53">
      <w:pPr>
        <w:snapToGrid w:val="0"/>
        <w:spacing w:line="360" w:lineRule="auto"/>
        <w:ind w:right="-51"/>
        <w:rPr>
          <w:rFonts w:hint="eastAsia" w:ascii="宋体" w:hAnsi="宋体" w:eastAsia="宋体" w:cs="宋体"/>
          <w:bCs/>
          <w:sz w:val="21"/>
          <w:szCs w:val="21"/>
          <w:highlight w:val="none"/>
          <w:lang w:eastAsia="zh-CN"/>
        </w:rPr>
      </w:pPr>
    </w:p>
    <w:p w14:paraId="1C007844">
      <w:pPr>
        <w:snapToGrid w:val="0"/>
        <w:spacing w:line="360" w:lineRule="auto"/>
        <w:ind w:right="-51"/>
        <w:rPr>
          <w:rFonts w:hint="eastAsia" w:ascii="宋体" w:hAnsi="宋体" w:eastAsia="宋体" w:cs="宋体"/>
          <w:bCs/>
          <w:sz w:val="21"/>
          <w:szCs w:val="21"/>
          <w:highlight w:val="none"/>
          <w:lang w:eastAsia="zh-CN"/>
        </w:rPr>
      </w:pPr>
    </w:p>
    <w:p w14:paraId="723051E4">
      <w:pPr>
        <w:snapToGrid w:val="0"/>
        <w:spacing w:line="360" w:lineRule="auto"/>
        <w:ind w:right="-51"/>
        <w:rPr>
          <w:rFonts w:hint="eastAsia" w:ascii="宋体" w:hAnsi="宋体" w:eastAsia="宋体" w:cs="宋体"/>
          <w:bCs/>
          <w:sz w:val="21"/>
          <w:szCs w:val="21"/>
          <w:highlight w:val="none"/>
          <w:lang w:eastAsia="zh-CN"/>
        </w:rPr>
      </w:pPr>
      <w:r>
        <w:rPr>
          <w:rFonts w:hint="eastAsia" w:ascii="宋体" w:hAnsi="宋体" w:eastAsia="宋体" w:cs="宋体"/>
          <w:bCs/>
          <w:sz w:val="21"/>
          <w:szCs w:val="21"/>
          <w:highlight w:val="none"/>
          <w:lang w:eastAsia="zh-CN"/>
        </w:rPr>
        <w:t>甲方：（盖章）                   乙方（盖章）：</w:t>
      </w:r>
    </w:p>
    <w:p w14:paraId="531F69CC">
      <w:pPr>
        <w:snapToGrid w:val="0"/>
        <w:spacing w:line="360" w:lineRule="auto"/>
        <w:ind w:right="-51"/>
        <w:rPr>
          <w:rFonts w:hint="eastAsia" w:ascii="宋体" w:hAnsi="宋体" w:eastAsia="宋体" w:cs="宋体"/>
          <w:bCs/>
          <w:sz w:val="21"/>
          <w:szCs w:val="21"/>
          <w:highlight w:val="none"/>
          <w:lang w:eastAsia="zh-CN"/>
        </w:rPr>
      </w:pPr>
      <w:r>
        <w:rPr>
          <w:rFonts w:hint="eastAsia" w:ascii="宋体" w:hAnsi="宋体" w:eastAsia="宋体" w:cs="宋体"/>
          <w:bCs/>
          <w:sz w:val="21"/>
          <w:szCs w:val="21"/>
          <w:highlight w:val="none"/>
          <w:lang w:eastAsia="zh-CN"/>
        </w:rPr>
        <w:t>法定代表人或                    法定代表人或</w:t>
      </w:r>
    </w:p>
    <w:p w14:paraId="05DFC130">
      <w:pPr>
        <w:snapToGrid w:val="0"/>
        <w:spacing w:line="360" w:lineRule="auto"/>
        <w:ind w:right="-51"/>
        <w:rPr>
          <w:rFonts w:hint="eastAsia" w:ascii="宋体" w:hAnsi="宋体" w:eastAsia="宋体" w:cs="宋体"/>
          <w:bCs/>
          <w:sz w:val="21"/>
          <w:szCs w:val="21"/>
          <w:highlight w:val="none"/>
          <w:lang w:eastAsia="zh-CN"/>
        </w:rPr>
      </w:pPr>
      <w:r>
        <w:rPr>
          <w:rFonts w:hint="eastAsia" w:ascii="宋体" w:hAnsi="宋体" w:eastAsia="宋体" w:cs="宋体"/>
          <w:bCs/>
          <w:sz w:val="21"/>
          <w:szCs w:val="21"/>
          <w:highlight w:val="none"/>
          <w:lang w:eastAsia="zh-CN"/>
        </w:rPr>
        <w:t>其授权的代理人(签字)：          其授权的代理人(签字)：</w:t>
      </w:r>
    </w:p>
    <w:p w14:paraId="706AEF91">
      <w:pPr>
        <w:snapToGrid w:val="0"/>
        <w:spacing w:line="360" w:lineRule="auto"/>
        <w:ind w:right="-51"/>
        <w:rPr>
          <w:rFonts w:hint="eastAsia" w:ascii="宋体" w:hAnsi="宋体" w:eastAsia="宋体" w:cs="宋体"/>
          <w:bCs/>
          <w:sz w:val="21"/>
          <w:szCs w:val="21"/>
          <w:highlight w:val="none"/>
          <w:lang w:eastAsia="zh-CN"/>
        </w:rPr>
      </w:pPr>
      <w:r>
        <w:rPr>
          <w:rFonts w:hint="eastAsia" w:ascii="宋体" w:hAnsi="宋体" w:eastAsia="宋体" w:cs="宋体"/>
          <w:bCs/>
          <w:sz w:val="21"/>
          <w:szCs w:val="21"/>
          <w:highlight w:val="none"/>
          <w:lang w:eastAsia="zh-CN"/>
        </w:rPr>
        <w:t>地址：                          地址：</w:t>
      </w:r>
    </w:p>
    <w:p w14:paraId="772F003C">
      <w:pPr>
        <w:snapToGrid w:val="0"/>
        <w:spacing w:line="360" w:lineRule="auto"/>
        <w:ind w:right="-51"/>
        <w:rPr>
          <w:rFonts w:hint="eastAsia" w:ascii="宋体" w:hAnsi="宋体" w:eastAsia="宋体" w:cs="宋体"/>
          <w:bCs/>
          <w:sz w:val="21"/>
          <w:szCs w:val="21"/>
          <w:highlight w:val="none"/>
          <w:lang w:eastAsia="zh-CN"/>
        </w:rPr>
      </w:pPr>
      <w:r>
        <w:rPr>
          <w:rFonts w:hint="eastAsia" w:ascii="宋体" w:hAnsi="宋体" w:eastAsia="宋体" w:cs="宋体"/>
          <w:bCs/>
          <w:sz w:val="21"/>
          <w:szCs w:val="21"/>
          <w:highlight w:val="none"/>
          <w:lang w:eastAsia="zh-CN"/>
        </w:rPr>
        <w:t>电话：                          电话：</w:t>
      </w:r>
    </w:p>
    <w:p w14:paraId="1D6E4272">
      <w:pPr>
        <w:snapToGrid w:val="0"/>
        <w:spacing w:line="360" w:lineRule="auto"/>
        <w:ind w:right="-51"/>
        <w:rPr>
          <w:rFonts w:hint="eastAsia" w:ascii="宋体" w:hAnsi="宋体" w:eastAsia="宋体" w:cs="宋体"/>
          <w:bCs/>
          <w:sz w:val="21"/>
          <w:szCs w:val="21"/>
          <w:highlight w:val="none"/>
          <w:lang w:eastAsia="zh-CN"/>
        </w:rPr>
      </w:pPr>
      <w:r>
        <w:rPr>
          <w:rFonts w:hint="eastAsia" w:ascii="宋体" w:hAnsi="宋体" w:eastAsia="宋体" w:cs="宋体"/>
          <w:bCs/>
          <w:sz w:val="21"/>
          <w:szCs w:val="21"/>
          <w:highlight w:val="none"/>
          <w:lang w:eastAsia="zh-CN"/>
        </w:rPr>
        <w:t>日期：                          日期：</w:t>
      </w:r>
    </w:p>
    <w:p w14:paraId="793E0CAD">
      <w:pPr>
        <w:snapToGrid w:val="0"/>
        <w:spacing w:line="360" w:lineRule="auto"/>
        <w:ind w:right="-51"/>
        <w:rPr>
          <w:rFonts w:hint="eastAsia" w:ascii="宋体" w:hAnsi="宋体" w:eastAsia="宋体" w:cs="宋体"/>
          <w:bCs/>
          <w:sz w:val="21"/>
          <w:szCs w:val="21"/>
          <w:highlight w:val="none"/>
          <w:lang w:eastAsia="zh-CN"/>
        </w:rPr>
      </w:pPr>
    </w:p>
    <w:p w14:paraId="55A663B4">
      <w:pPr>
        <w:pStyle w:val="4"/>
        <w:ind w:left="0" w:leftChars="0"/>
        <w:rPr>
          <w:rFonts w:hint="eastAsia" w:ascii="宋体" w:hAnsi="宋体" w:eastAsia="宋体" w:cs="宋体"/>
          <w:sz w:val="21"/>
          <w:szCs w:val="21"/>
          <w:highlight w:val="none"/>
          <w:lang w:eastAsia="zh-CN"/>
        </w:rPr>
      </w:pPr>
      <w:bookmarkStart w:id="44" w:name="_Toc436825020"/>
      <w:bookmarkStart w:id="45" w:name="_Toc393437182"/>
      <w:bookmarkStart w:id="46" w:name="_Toc393695296"/>
      <w:bookmarkStart w:id="47" w:name="_Toc393790348"/>
      <w:bookmarkStart w:id="48" w:name="_Toc393200859"/>
      <w:bookmarkStart w:id="49" w:name="_Toc420317859"/>
      <w:bookmarkStart w:id="50" w:name="_Toc416274656"/>
      <w:bookmarkStart w:id="51" w:name="_Toc415668482"/>
    </w:p>
    <w:p w14:paraId="11635476">
      <w:pPr>
        <w:rPr>
          <w:rFonts w:hint="eastAsia" w:ascii="宋体" w:hAnsi="宋体" w:eastAsia="宋体" w:cs="宋体"/>
          <w:sz w:val="21"/>
          <w:szCs w:val="21"/>
          <w:highlight w:val="none"/>
          <w:lang w:eastAsia="zh-CN"/>
        </w:rPr>
      </w:pPr>
    </w:p>
    <w:p w14:paraId="235A1D40">
      <w:pPr>
        <w:pStyle w:val="11"/>
        <w:rPr>
          <w:rFonts w:hint="eastAsia" w:ascii="宋体" w:hAnsi="宋体" w:eastAsia="宋体" w:cs="宋体"/>
          <w:sz w:val="21"/>
          <w:szCs w:val="21"/>
          <w:highlight w:val="none"/>
          <w:lang w:eastAsia="zh-CN"/>
        </w:rPr>
      </w:pPr>
    </w:p>
    <w:p w14:paraId="60A3A555">
      <w:pPr>
        <w:pStyle w:val="11"/>
        <w:rPr>
          <w:rFonts w:hint="eastAsia" w:ascii="宋体" w:hAnsi="宋体" w:eastAsia="宋体" w:cs="宋体"/>
          <w:sz w:val="21"/>
          <w:szCs w:val="21"/>
          <w:highlight w:val="none"/>
          <w:lang w:eastAsia="zh-CN"/>
        </w:rPr>
      </w:pPr>
    </w:p>
    <w:p w14:paraId="4FE6C88A">
      <w:pPr>
        <w:pStyle w:val="11"/>
        <w:rPr>
          <w:rFonts w:hint="eastAsia" w:ascii="宋体" w:hAnsi="宋体" w:eastAsia="宋体" w:cs="宋体"/>
          <w:sz w:val="21"/>
          <w:szCs w:val="21"/>
          <w:highlight w:val="none"/>
          <w:lang w:eastAsia="zh-CN"/>
        </w:rPr>
      </w:pPr>
    </w:p>
    <w:p w14:paraId="0E116042">
      <w:pPr>
        <w:pStyle w:val="11"/>
        <w:rPr>
          <w:rFonts w:hint="eastAsia" w:ascii="宋体" w:hAnsi="宋体" w:eastAsia="宋体" w:cs="宋体"/>
          <w:sz w:val="21"/>
          <w:szCs w:val="21"/>
          <w:highlight w:val="none"/>
          <w:lang w:eastAsia="zh-CN"/>
        </w:rPr>
      </w:pPr>
    </w:p>
    <w:p w14:paraId="40DA553B">
      <w:pPr>
        <w:pStyle w:val="11"/>
        <w:rPr>
          <w:rFonts w:hint="eastAsia" w:ascii="宋体" w:hAnsi="宋体" w:eastAsia="宋体" w:cs="宋体"/>
          <w:sz w:val="21"/>
          <w:szCs w:val="21"/>
          <w:highlight w:val="none"/>
          <w:lang w:eastAsia="zh-CN"/>
        </w:rPr>
      </w:pPr>
    </w:p>
    <w:p w14:paraId="104BA60B">
      <w:pPr>
        <w:pStyle w:val="11"/>
        <w:rPr>
          <w:rFonts w:hint="eastAsia" w:ascii="宋体" w:hAnsi="宋体" w:eastAsia="宋体" w:cs="宋体"/>
          <w:sz w:val="21"/>
          <w:szCs w:val="21"/>
          <w:highlight w:val="none"/>
          <w:lang w:eastAsia="zh-CN"/>
        </w:rPr>
      </w:pPr>
    </w:p>
    <w:p w14:paraId="40AEF0F2">
      <w:pPr>
        <w:pStyle w:val="11"/>
        <w:rPr>
          <w:rFonts w:hint="eastAsia" w:ascii="宋体" w:hAnsi="宋体" w:eastAsia="宋体" w:cs="宋体"/>
          <w:sz w:val="21"/>
          <w:szCs w:val="21"/>
          <w:highlight w:val="none"/>
          <w:lang w:eastAsia="zh-CN"/>
        </w:rPr>
      </w:pPr>
    </w:p>
    <w:p w14:paraId="01F827BC">
      <w:pPr>
        <w:pStyle w:val="11"/>
        <w:rPr>
          <w:rFonts w:hint="eastAsia" w:ascii="宋体" w:hAnsi="宋体" w:eastAsia="宋体" w:cs="宋体"/>
          <w:sz w:val="21"/>
          <w:szCs w:val="21"/>
          <w:highlight w:val="none"/>
          <w:lang w:eastAsia="zh-CN"/>
        </w:rPr>
      </w:pPr>
    </w:p>
    <w:p w14:paraId="4065CCC6">
      <w:pPr>
        <w:pStyle w:val="11"/>
        <w:rPr>
          <w:rFonts w:hint="eastAsia" w:ascii="宋体" w:hAnsi="宋体" w:eastAsia="宋体" w:cs="宋体"/>
          <w:sz w:val="21"/>
          <w:szCs w:val="21"/>
          <w:highlight w:val="none"/>
          <w:lang w:eastAsia="zh-CN"/>
        </w:rPr>
      </w:pPr>
    </w:p>
    <w:p w14:paraId="05EC553E">
      <w:pPr>
        <w:pStyle w:val="11"/>
        <w:rPr>
          <w:rFonts w:hint="eastAsia" w:ascii="宋体" w:hAnsi="宋体" w:eastAsia="宋体" w:cs="宋体"/>
          <w:sz w:val="21"/>
          <w:szCs w:val="21"/>
          <w:highlight w:val="none"/>
          <w:lang w:eastAsia="zh-CN"/>
        </w:rPr>
      </w:pPr>
    </w:p>
    <w:p w14:paraId="235B5F58">
      <w:pPr>
        <w:pStyle w:val="11"/>
        <w:rPr>
          <w:rFonts w:hint="eastAsia" w:ascii="宋体" w:hAnsi="宋体" w:eastAsia="宋体" w:cs="宋体"/>
          <w:sz w:val="21"/>
          <w:szCs w:val="21"/>
          <w:highlight w:val="none"/>
          <w:lang w:eastAsia="zh-CN"/>
        </w:rPr>
      </w:pPr>
    </w:p>
    <w:p w14:paraId="65E08B89">
      <w:pPr>
        <w:pStyle w:val="11"/>
        <w:rPr>
          <w:rFonts w:hint="eastAsia" w:ascii="宋体" w:hAnsi="宋体" w:eastAsia="宋体" w:cs="宋体"/>
          <w:sz w:val="21"/>
          <w:szCs w:val="21"/>
          <w:highlight w:val="none"/>
          <w:lang w:eastAsia="zh-CN"/>
        </w:rPr>
      </w:pPr>
    </w:p>
    <w:p w14:paraId="27FB50AF">
      <w:pPr>
        <w:pStyle w:val="11"/>
        <w:rPr>
          <w:rFonts w:hint="eastAsia" w:ascii="宋体" w:hAnsi="宋体" w:eastAsia="宋体" w:cs="宋体"/>
          <w:sz w:val="21"/>
          <w:szCs w:val="21"/>
          <w:highlight w:val="none"/>
          <w:lang w:eastAsia="zh-CN"/>
        </w:rPr>
      </w:pPr>
    </w:p>
    <w:p w14:paraId="42B09DFB">
      <w:pPr>
        <w:pStyle w:val="11"/>
        <w:rPr>
          <w:rFonts w:hint="eastAsia" w:ascii="宋体" w:hAnsi="宋体" w:eastAsia="宋体" w:cs="宋体"/>
          <w:sz w:val="21"/>
          <w:szCs w:val="21"/>
          <w:highlight w:val="none"/>
          <w:lang w:eastAsia="zh-CN"/>
        </w:rPr>
      </w:pPr>
    </w:p>
    <w:p w14:paraId="528B755F">
      <w:pPr>
        <w:pStyle w:val="11"/>
        <w:rPr>
          <w:rFonts w:hint="eastAsia" w:ascii="宋体" w:hAnsi="宋体" w:eastAsia="宋体" w:cs="宋体"/>
          <w:sz w:val="21"/>
          <w:szCs w:val="21"/>
          <w:highlight w:val="none"/>
          <w:lang w:eastAsia="zh-CN"/>
        </w:rPr>
      </w:pPr>
    </w:p>
    <w:p w14:paraId="516374EC">
      <w:pPr>
        <w:pStyle w:val="11"/>
        <w:rPr>
          <w:rFonts w:hint="eastAsia" w:ascii="宋体" w:hAnsi="宋体" w:eastAsia="宋体" w:cs="宋体"/>
          <w:sz w:val="21"/>
          <w:szCs w:val="21"/>
          <w:highlight w:val="none"/>
          <w:lang w:eastAsia="zh-CN"/>
        </w:rPr>
      </w:pPr>
    </w:p>
    <w:p w14:paraId="1817DB2D">
      <w:pPr>
        <w:pStyle w:val="11"/>
        <w:rPr>
          <w:rFonts w:hint="eastAsia" w:ascii="宋体" w:hAnsi="宋体" w:eastAsia="宋体" w:cs="宋体"/>
          <w:sz w:val="21"/>
          <w:szCs w:val="21"/>
          <w:highlight w:val="none"/>
          <w:lang w:eastAsia="zh-CN"/>
        </w:rPr>
      </w:pPr>
    </w:p>
    <w:p w14:paraId="6209EF0F">
      <w:pPr>
        <w:pStyle w:val="11"/>
        <w:rPr>
          <w:rFonts w:hint="eastAsia" w:ascii="宋体" w:hAnsi="宋体" w:eastAsia="宋体" w:cs="宋体"/>
          <w:sz w:val="21"/>
          <w:szCs w:val="21"/>
          <w:highlight w:val="none"/>
          <w:lang w:eastAsia="zh-CN"/>
        </w:rPr>
      </w:pPr>
    </w:p>
    <w:p w14:paraId="598EA52C">
      <w:pPr>
        <w:pStyle w:val="11"/>
        <w:rPr>
          <w:rFonts w:hint="eastAsia" w:ascii="宋体" w:hAnsi="宋体" w:eastAsia="宋体" w:cs="宋体"/>
          <w:sz w:val="21"/>
          <w:szCs w:val="21"/>
          <w:highlight w:val="none"/>
          <w:lang w:eastAsia="zh-CN"/>
        </w:rPr>
      </w:pPr>
    </w:p>
    <w:p w14:paraId="2B9ACE75">
      <w:pPr>
        <w:pStyle w:val="11"/>
        <w:rPr>
          <w:rFonts w:hint="eastAsia" w:ascii="宋体" w:hAnsi="宋体" w:eastAsia="宋体" w:cs="宋体"/>
          <w:sz w:val="21"/>
          <w:szCs w:val="21"/>
          <w:highlight w:val="none"/>
          <w:lang w:eastAsia="zh-CN"/>
        </w:rPr>
      </w:pPr>
    </w:p>
    <w:p w14:paraId="06782E06">
      <w:pPr>
        <w:pStyle w:val="11"/>
        <w:rPr>
          <w:rFonts w:hint="eastAsia" w:ascii="宋体" w:hAnsi="宋体" w:eastAsia="宋体" w:cs="宋体"/>
          <w:sz w:val="21"/>
          <w:szCs w:val="21"/>
          <w:highlight w:val="none"/>
          <w:lang w:eastAsia="zh-CN"/>
        </w:rPr>
      </w:pPr>
    </w:p>
    <w:p w14:paraId="39BD38BC">
      <w:pPr>
        <w:pStyle w:val="11"/>
        <w:ind w:left="0" w:leftChars="0" w:firstLine="0" w:firstLineChars="0"/>
        <w:rPr>
          <w:rFonts w:hint="eastAsia" w:ascii="宋体" w:hAnsi="宋体" w:eastAsia="宋体" w:cs="宋体"/>
          <w:sz w:val="21"/>
          <w:szCs w:val="21"/>
          <w:highlight w:val="none"/>
          <w:lang w:eastAsia="zh-CN"/>
        </w:rPr>
      </w:pPr>
    </w:p>
    <w:p w14:paraId="6FF00636">
      <w:pPr>
        <w:pStyle w:val="4"/>
        <w:ind w:left="0" w:leftChars="0"/>
        <w:jc w:val="center"/>
        <w:rPr>
          <w:rFonts w:hint="eastAsia" w:ascii="宋体" w:hAnsi="宋体" w:eastAsia="宋体" w:cs="宋体"/>
          <w:sz w:val="21"/>
          <w:szCs w:val="21"/>
          <w:highlight w:val="none"/>
          <w:lang w:eastAsia="zh-CN"/>
        </w:rPr>
      </w:pPr>
      <w:bookmarkStart w:id="52" w:name="_Toc24167"/>
      <w:r>
        <w:rPr>
          <w:rFonts w:hint="eastAsia" w:ascii="宋体" w:hAnsi="宋体" w:eastAsia="宋体" w:cs="宋体"/>
          <w:sz w:val="21"/>
          <w:szCs w:val="21"/>
          <w:highlight w:val="none"/>
          <w:lang w:eastAsia="zh-CN"/>
        </w:rPr>
        <w:t>安全环保生产合同</w:t>
      </w:r>
      <w:bookmarkEnd w:id="44"/>
      <w:bookmarkEnd w:id="45"/>
      <w:bookmarkEnd w:id="46"/>
      <w:bookmarkEnd w:id="47"/>
      <w:bookmarkEnd w:id="48"/>
      <w:bookmarkEnd w:id="49"/>
      <w:bookmarkEnd w:id="50"/>
      <w:bookmarkEnd w:id="51"/>
      <w:bookmarkEnd w:id="52"/>
    </w:p>
    <w:p w14:paraId="04306D6B">
      <w:pPr>
        <w:rPr>
          <w:rFonts w:hint="eastAsia" w:ascii="宋体" w:hAnsi="宋体" w:eastAsia="宋体" w:cs="宋体"/>
          <w:sz w:val="21"/>
          <w:szCs w:val="21"/>
          <w:highlight w:val="none"/>
          <w:lang w:eastAsia="zh-CN"/>
        </w:rPr>
      </w:pPr>
    </w:p>
    <w:p w14:paraId="33C8A30C">
      <w:pPr>
        <w:pStyle w:val="10"/>
        <w:spacing w:before="0" w:beforeAutospacing="0" w:after="0" w:afterAutospacing="0" w:line="480" w:lineRule="auto"/>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甲方：</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(需方)</w:t>
      </w:r>
    </w:p>
    <w:p w14:paraId="04842FDD">
      <w:pPr>
        <w:pStyle w:val="10"/>
        <w:spacing w:before="0" w:beforeAutospacing="0" w:after="0" w:afterAutospacing="0" w:line="6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乙方：</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(供方)</w:t>
      </w:r>
    </w:p>
    <w:p w14:paraId="56046525">
      <w:pPr>
        <w:spacing w:line="360" w:lineRule="auto"/>
        <w:ind w:right="-4" w:rightChars="-2"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为在编号：</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合同的实施过程中创建安全、高效、环保的施工环境，切实搞好本项目的安全环保生产管理工作，甲乙双方特此签订安全环保生产管理合同。</w:t>
      </w:r>
    </w:p>
    <w:p w14:paraId="0E003EA5">
      <w:pPr>
        <w:pStyle w:val="5"/>
        <w:ind w:left="0" w:leftChars="0" w:firstLine="560"/>
        <w:rPr>
          <w:rFonts w:hint="eastAsia" w:ascii="宋体" w:hAnsi="宋体" w:eastAsia="宋体" w:cs="宋体"/>
          <w:sz w:val="21"/>
          <w:szCs w:val="21"/>
          <w:highlight w:val="none"/>
          <w:lang w:eastAsia="zh-CN"/>
        </w:rPr>
      </w:pPr>
      <w:bookmarkStart w:id="53" w:name="_Toc12953"/>
      <w:r>
        <w:rPr>
          <w:rFonts w:hint="eastAsia" w:ascii="宋体" w:hAnsi="宋体" w:eastAsia="宋体" w:cs="宋体"/>
          <w:sz w:val="21"/>
          <w:szCs w:val="21"/>
          <w:highlight w:val="none"/>
          <w:lang w:eastAsia="zh-CN"/>
        </w:rPr>
        <w:t>第一条、甲方职责</w:t>
      </w:r>
      <w:bookmarkEnd w:id="53"/>
    </w:p>
    <w:p w14:paraId="08B4C688">
      <w:pPr>
        <w:spacing w:line="360" w:lineRule="auto"/>
        <w:ind w:right="-4" w:rightChars="-2"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1、严格遵守国家有关安全生产、环境保护的法律法规，贯彻执行有关安全生产、环境保护的要求。</w:t>
      </w:r>
    </w:p>
    <w:p w14:paraId="1A71864B">
      <w:pPr>
        <w:spacing w:line="360" w:lineRule="auto"/>
        <w:ind w:right="-4" w:rightChars="-2"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2、严格遵守国务院《突发公共卫生事件应急条例》及当地政府的有关规定。</w:t>
      </w:r>
    </w:p>
    <w:p w14:paraId="26C1B53E">
      <w:pPr>
        <w:spacing w:line="360" w:lineRule="auto"/>
        <w:ind w:right="-4" w:rightChars="-2"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3、按照“安全第一、预防为主”和坚持“管生产必须管安全”的原则进行安全生产管理，做到生产与安全工作同时计划、布置、检查、总结和评比。</w:t>
      </w:r>
    </w:p>
    <w:p w14:paraId="7BB01AE0">
      <w:pPr>
        <w:spacing w:line="360" w:lineRule="auto"/>
        <w:ind w:right="-4" w:rightChars="-2"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4、定期召开安全生产调度会，及时传达中央、地方政府和业主有关安全生产、环境保护的要求。</w:t>
      </w:r>
    </w:p>
    <w:p w14:paraId="7312CAE8">
      <w:pPr>
        <w:spacing w:line="360" w:lineRule="auto"/>
        <w:ind w:right="-4" w:rightChars="-2"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5、进行安全生产、环保施工交底工作。</w:t>
      </w:r>
    </w:p>
    <w:p w14:paraId="158BFADB">
      <w:pPr>
        <w:spacing w:line="360" w:lineRule="auto"/>
        <w:ind w:right="-4" w:rightChars="-2"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6、组织对乙方施工现场安全生产、环保工作的检查，监督乙方及时处理发现的各种安全隐患以及违反环境保护的行为。</w:t>
      </w:r>
    </w:p>
    <w:p w14:paraId="40CDF8FF">
      <w:pPr>
        <w:pStyle w:val="5"/>
        <w:ind w:left="0" w:leftChars="0" w:firstLine="560"/>
        <w:rPr>
          <w:rFonts w:hint="eastAsia" w:ascii="宋体" w:hAnsi="宋体" w:eastAsia="宋体" w:cs="宋体"/>
          <w:sz w:val="21"/>
          <w:szCs w:val="21"/>
          <w:highlight w:val="none"/>
          <w:lang w:eastAsia="zh-CN"/>
        </w:rPr>
      </w:pPr>
      <w:bookmarkStart w:id="54" w:name="_Toc5811"/>
      <w:r>
        <w:rPr>
          <w:rFonts w:hint="eastAsia" w:ascii="宋体" w:hAnsi="宋体" w:eastAsia="宋体" w:cs="宋体"/>
          <w:sz w:val="21"/>
          <w:szCs w:val="21"/>
          <w:highlight w:val="none"/>
          <w:lang w:eastAsia="zh-CN"/>
        </w:rPr>
        <w:t>第二条、乙方职责</w:t>
      </w:r>
      <w:bookmarkEnd w:id="54"/>
    </w:p>
    <w:p w14:paraId="0D00CF65">
      <w:pPr>
        <w:spacing w:line="360" w:lineRule="auto"/>
        <w:ind w:right="-4" w:rightChars="-2"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严格遵守国家有关安全生产的法律法规、交通部颁发的《公路工程施工安全技术规程》和《公路筑养路机械操作规程》及地方政府公路工程安全生产、文明施工管理等有关安全生产的规定，认真执行双方合同中有关安全生产的要求。</w:t>
      </w:r>
    </w:p>
    <w:p w14:paraId="300A885E">
      <w:pPr>
        <w:spacing w:line="360" w:lineRule="auto"/>
        <w:ind w:right="-4" w:rightChars="-2"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2、严格遵守国务院《突发公共卫生事件应急条例》、地方政府颁布的有关突发公共卫生事件应急实施办法的有关规定。</w:t>
      </w:r>
    </w:p>
    <w:p w14:paraId="352829DB">
      <w:pPr>
        <w:spacing w:line="360" w:lineRule="auto"/>
        <w:ind w:right="-4" w:rightChars="-2"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按照“安全第一、预防为主”和坚持“管生产必须管安全”的原则，加强安全生产宣传教育，增强全员安全生产意识，建立健全各项安全生产的管理机构和安全生产管理制度，配备专职及兼职安全管理人员，有组织有领导的开展安全生产活动。</w:t>
      </w:r>
    </w:p>
    <w:p w14:paraId="79DE2847">
      <w:pPr>
        <w:spacing w:line="360" w:lineRule="auto"/>
        <w:ind w:right="-4" w:rightChars="-2"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4、建立健全安全生产责任制。从乙方负责人到生产工人，人人有责。乙方负责人是安全生产的第一负责人。现场设置安全员1名，负责所有员工的安全和治安保卫工作及预防事故的发生。</w:t>
      </w:r>
    </w:p>
    <w:p w14:paraId="5B52D90B">
      <w:pPr>
        <w:spacing w:line="360" w:lineRule="auto"/>
        <w:ind w:right="-4" w:rightChars="-2"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5、拌合设备在生产过程中和罐车运输途中要严格要求操作人员按照操作规程执行，预防和规避用电、高空作业、道路行驶等工作环节中的各项安全隐患。</w:t>
      </w:r>
    </w:p>
    <w:p w14:paraId="5408D7EE">
      <w:pPr>
        <w:spacing w:line="360" w:lineRule="auto"/>
        <w:ind w:right="-4" w:rightChars="-2"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6、乙方必须具有劳动安全管理部门颁发的安全生产证书，参加施工的人员，必须接受安全技术教育，熟知和遵守本工种的各项安全技术操作规程，定期进行安全技术考核，合格者方准上岗操作。</w:t>
      </w:r>
    </w:p>
    <w:p w14:paraId="06E65C65">
      <w:pPr>
        <w:spacing w:line="360" w:lineRule="auto"/>
        <w:ind w:right="-4" w:rightChars="-2"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7、职工宿舍要注重文明环境，杜绝脏、乱、差，同时也要注重安全用电、用火，应配备有足够的消防设施，所有施工人员都应熟悉消防设施的性能和使用方法。</w:t>
      </w:r>
    </w:p>
    <w:p w14:paraId="526E244E">
      <w:pPr>
        <w:spacing w:line="360" w:lineRule="auto"/>
        <w:ind w:right="-4" w:rightChars="-2"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8、在现场所有施工人员，都应统一着装整齐，佩戴安全帽，工作期间不允许穿拖鞋、大裤头上班，严禁工作人员酒后作业。</w:t>
      </w:r>
    </w:p>
    <w:p w14:paraId="5B179B48">
      <w:pPr>
        <w:spacing w:line="360" w:lineRule="auto"/>
        <w:ind w:right="-4" w:rightChars="-2"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9、操作人员上岗，必须按规定穿戴防护用品。施工负责人和安全检查员应随时检查劳动防护用品的穿戴情况，不按规定穿戴防护用品的将给予处罚。</w:t>
      </w:r>
    </w:p>
    <w:p w14:paraId="4DDED6D1">
      <w:pPr>
        <w:spacing w:line="360" w:lineRule="auto"/>
        <w:ind w:right="-4" w:rightChars="-2"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10、所有施工机具设备和高空作业的设备应定期检查，并有安全员的签字记录，保证其经常处于完好状态；不合格的机具、设备和劳动保护用品严禁使用。</w:t>
      </w:r>
    </w:p>
    <w:p w14:paraId="21EFAA09">
      <w:pPr>
        <w:spacing w:line="360" w:lineRule="auto"/>
        <w:ind w:right="-4" w:rightChars="-2"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11、施工中制定相应的安全技术措施，施工现场必须具有相关的安全标志牌。</w:t>
      </w:r>
    </w:p>
    <w:p w14:paraId="0018EA3C">
      <w:pPr>
        <w:spacing w:line="360" w:lineRule="auto"/>
        <w:ind w:right="-4" w:rightChars="-2"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12、严格遵守国家有关环境保护的法律法规、工程所在地政府及业主对环保施工的要求，履行环境保护义务。</w:t>
      </w:r>
    </w:p>
    <w:p w14:paraId="1EC79973">
      <w:pPr>
        <w:spacing w:line="360" w:lineRule="auto"/>
        <w:ind w:right="-4" w:rightChars="-2"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13、加强对噪声、粉尘、废气、废水和废油的控制，努力降低噪声，控制粉尘和废气浓度，做好废水和废油的治理和排放。</w:t>
      </w:r>
    </w:p>
    <w:p w14:paraId="30C3B2FD">
      <w:pPr>
        <w:spacing w:line="360" w:lineRule="auto"/>
        <w:ind w:right="-4" w:rightChars="-2"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14、合理安排机械操作人员的工作时间，采用轮流操作、使用防护耳塞等措施减少或减低噪声对操作人员的影响。</w:t>
      </w:r>
    </w:p>
    <w:p w14:paraId="577FC092">
      <w:pPr>
        <w:spacing w:line="360" w:lineRule="auto"/>
        <w:ind w:right="-4" w:rightChars="-2"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15、有序地堆放和处理设备施工生产过程中的废弃物，严禁随意排放，避免对环境造成破坏。</w:t>
      </w:r>
    </w:p>
    <w:p w14:paraId="261BC5D3">
      <w:pPr>
        <w:spacing w:line="360" w:lineRule="auto"/>
        <w:ind w:right="-4" w:rightChars="-2"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16、施工期间，应随时保持现场清洁，施工设备应整齐停放在甲方指定的停放区域内，做到文明施工。</w:t>
      </w:r>
    </w:p>
    <w:p w14:paraId="16F98721">
      <w:pPr>
        <w:pStyle w:val="5"/>
        <w:ind w:left="0" w:leftChars="0" w:firstLine="560"/>
        <w:rPr>
          <w:rFonts w:hint="eastAsia" w:ascii="宋体" w:hAnsi="宋体" w:eastAsia="宋体" w:cs="宋体"/>
          <w:sz w:val="21"/>
          <w:szCs w:val="21"/>
          <w:highlight w:val="none"/>
          <w:lang w:eastAsia="zh-CN"/>
        </w:rPr>
      </w:pPr>
      <w:bookmarkStart w:id="55" w:name="_Toc20225"/>
      <w:r>
        <w:rPr>
          <w:rFonts w:hint="eastAsia" w:ascii="宋体" w:hAnsi="宋体" w:eastAsia="宋体" w:cs="宋体"/>
          <w:sz w:val="21"/>
          <w:szCs w:val="21"/>
          <w:highlight w:val="none"/>
          <w:lang w:eastAsia="zh-CN"/>
        </w:rPr>
        <w:t>第三条、违约责任</w:t>
      </w:r>
      <w:bookmarkEnd w:id="55"/>
    </w:p>
    <w:p w14:paraId="022093AC">
      <w:pPr>
        <w:spacing w:line="360" w:lineRule="auto"/>
        <w:ind w:right="-4" w:rightChars="-2"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如因乙方违约造成安全事故、环境破坏、人身伤害和财产损失等，按照甲方的相关规定承担一切责任。违反国家法律法规时，依法承担相应的法律责任。</w:t>
      </w:r>
    </w:p>
    <w:p w14:paraId="52BB8834">
      <w:pPr>
        <w:spacing w:line="360" w:lineRule="auto"/>
        <w:ind w:right="-4" w:rightChars="-2"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本合同一式</w:t>
      </w:r>
      <w:r>
        <w:rPr>
          <w:rFonts w:hint="eastAsia" w:ascii="宋体" w:hAnsi="宋体" w:eastAsia="宋体" w:cs="宋体"/>
          <w:color w:val="000000"/>
          <w:sz w:val="21"/>
          <w:szCs w:val="21"/>
          <w:highlight w:val="none"/>
          <w:u w:val="single"/>
          <w:lang w:eastAsia="zh-CN"/>
        </w:rPr>
        <w:t xml:space="preserve">  </w:t>
      </w:r>
      <w:r>
        <w:rPr>
          <w:rFonts w:hint="eastAsia" w:ascii="宋体" w:hAnsi="宋体" w:eastAsia="宋体" w:cs="宋体"/>
          <w:color w:val="000000"/>
          <w:sz w:val="21"/>
          <w:szCs w:val="21"/>
          <w:highlight w:val="none"/>
          <w:lang w:eastAsia="zh-CN"/>
        </w:rPr>
        <w:t>份，甲方执</w:t>
      </w:r>
      <w:r>
        <w:rPr>
          <w:rFonts w:hint="eastAsia" w:ascii="宋体" w:hAnsi="宋体" w:eastAsia="宋体" w:cs="宋体"/>
          <w:color w:val="000000"/>
          <w:sz w:val="21"/>
          <w:szCs w:val="21"/>
          <w:highlight w:val="none"/>
          <w:u w:val="single"/>
          <w:lang w:eastAsia="zh-CN"/>
        </w:rPr>
        <w:t xml:space="preserve">  </w:t>
      </w:r>
      <w:r>
        <w:rPr>
          <w:rFonts w:hint="eastAsia" w:ascii="宋体" w:hAnsi="宋体" w:eastAsia="宋体" w:cs="宋体"/>
          <w:color w:val="000000"/>
          <w:sz w:val="21"/>
          <w:szCs w:val="21"/>
          <w:highlight w:val="none"/>
          <w:lang w:eastAsia="zh-CN"/>
        </w:rPr>
        <w:t>份，乙方执</w:t>
      </w:r>
      <w:r>
        <w:rPr>
          <w:rFonts w:hint="eastAsia" w:ascii="宋体" w:hAnsi="宋体" w:eastAsia="宋体" w:cs="宋体"/>
          <w:color w:val="000000"/>
          <w:sz w:val="21"/>
          <w:szCs w:val="21"/>
          <w:highlight w:val="none"/>
          <w:u w:val="single"/>
          <w:lang w:eastAsia="zh-CN"/>
        </w:rPr>
        <w:t xml:space="preserve">  </w:t>
      </w:r>
      <w:r>
        <w:rPr>
          <w:rFonts w:hint="eastAsia" w:ascii="宋体" w:hAnsi="宋体" w:eastAsia="宋体" w:cs="宋体"/>
          <w:color w:val="000000"/>
          <w:sz w:val="21"/>
          <w:szCs w:val="21"/>
          <w:highlight w:val="none"/>
          <w:lang w:eastAsia="zh-CN"/>
        </w:rPr>
        <w:t>份</w:t>
      </w:r>
      <w:r>
        <w:rPr>
          <w:rFonts w:hint="eastAsia" w:ascii="宋体" w:hAnsi="宋体" w:eastAsia="宋体" w:cs="宋体"/>
          <w:sz w:val="21"/>
          <w:szCs w:val="21"/>
          <w:highlight w:val="none"/>
          <w:lang w:eastAsia="zh-CN"/>
        </w:rPr>
        <w:t>。由双方法定代表人或其授权的代理人签署与加盖公章后生效，双方间合同履行完毕后失效。</w:t>
      </w:r>
    </w:p>
    <w:p w14:paraId="332375C6">
      <w:pPr>
        <w:spacing w:line="360" w:lineRule="auto"/>
        <w:ind w:right="-4" w:rightChars="-2"/>
        <w:rPr>
          <w:rFonts w:hint="eastAsia" w:ascii="宋体" w:hAnsi="宋体" w:eastAsia="宋体" w:cs="宋体"/>
          <w:sz w:val="21"/>
          <w:szCs w:val="21"/>
          <w:highlight w:val="none"/>
          <w:lang w:eastAsia="zh-CN"/>
        </w:rPr>
      </w:pPr>
    </w:p>
    <w:p w14:paraId="657E14A2">
      <w:pPr>
        <w:spacing w:line="360" w:lineRule="auto"/>
        <w:ind w:right="-4" w:rightChars="-2"/>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甲方（盖章）：                  乙方（盖章）：</w:t>
      </w:r>
    </w:p>
    <w:p w14:paraId="28A939D2">
      <w:pPr>
        <w:spacing w:line="360" w:lineRule="auto"/>
        <w:ind w:right="-4" w:rightChars="-2"/>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法定代表人或                   法定代表人或</w:t>
      </w:r>
    </w:p>
    <w:p w14:paraId="213A9C47">
      <w:pPr>
        <w:spacing w:line="360" w:lineRule="auto"/>
        <w:ind w:right="-4" w:rightChars="-2"/>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其授权的代理人（签字）：        其授权的代理人（签字）：</w:t>
      </w:r>
    </w:p>
    <w:p w14:paraId="1C58F38E">
      <w:pPr>
        <w:spacing w:line="360" w:lineRule="auto"/>
        <w:ind w:right="-4" w:rightChars="-2"/>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日期：                         日期：</w:t>
      </w:r>
    </w:p>
    <w:p w14:paraId="69F7843A">
      <w:pPr>
        <w:pStyle w:val="3"/>
        <w:spacing w:before="120" w:after="120" w:line="240" w:lineRule="auto"/>
        <w:rPr>
          <w:rFonts w:hint="eastAsia" w:ascii="宋体" w:hAnsi="宋体" w:eastAsia="宋体" w:cs="宋体"/>
          <w:sz w:val="21"/>
          <w:szCs w:val="21"/>
          <w:highlight w:val="none"/>
          <w:lang w:eastAsia="zh-CN"/>
        </w:rPr>
        <w:sectPr>
          <w:headerReference r:id="rId5" w:type="default"/>
          <w:footnotePr>
            <w:numRestart w:val="eachSect"/>
          </w:footnotePr>
          <w:pgSz w:w="11906" w:h="16838"/>
          <w:pgMar w:top="1134" w:right="1191" w:bottom="1134" w:left="1474" w:header="851" w:footer="1418" w:gutter="0"/>
          <w:pgBorders>
            <w:top w:val="none" w:sz="0" w:space="0"/>
            <w:left w:val="none" w:sz="0" w:space="0"/>
            <w:bottom w:val="none" w:sz="0" w:space="0"/>
            <w:right w:val="none" w:sz="0" w:space="0"/>
          </w:pgBorders>
          <w:pgNumType w:fmt="decimal"/>
          <w:cols w:space="720" w:num="1"/>
          <w:docGrid w:type="linesAndChars" w:linePitch="312" w:charSpace="0"/>
        </w:sectPr>
      </w:pPr>
    </w:p>
    <w:p w14:paraId="52E64A1E">
      <w:pPr>
        <w:autoSpaceDE w:val="0"/>
        <w:autoSpaceDN w:val="0"/>
        <w:adjustRightInd w:val="0"/>
        <w:spacing w:after="0"/>
        <w:jc w:val="center"/>
        <w:outlineLvl w:val="0"/>
        <w:rPr>
          <w:rFonts w:ascii="宋体" w:hAnsi="宋体" w:cs="F2,Bold"/>
          <w:b/>
          <w:bCs/>
          <w:sz w:val="32"/>
          <w:szCs w:val="32"/>
          <w:lang w:eastAsia="zh-CN"/>
        </w:rPr>
      </w:pPr>
      <w:bookmarkStart w:id="56" w:name="_Toc18971"/>
      <w:bookmarkStart w:id="57" w:name="_Toc436825027"/>
      <w:bookmarkStart w:id="58" w:name="_Toc238797658"/>
      <w:bookmarkStart w:id="59" w:name="_Toc498360348"/>
      <w:bookmarkStart w:id="60" w:name="_Toc238552296"/>
      <w:bookmarkStart w:id="61" w:name="_Toc2205"/>
      <w:bookmarkStart w:id="62" w:name="_Toc27780"/>
      <w:bookmarkStart w:id="63" w:name="_Toc401401111"/>
      <w:r>
        <w:rPr>
          <w:rFonts w:hint="eastAsia" w:ascii="宋体" w:hAnsi="宋体" w:cs="F2,Bold"/>
          <w:b/>
          <w:bCs/>
          <w:sz w:val="32"/>
          <w:szCs w:val="32"/>
          <w:lang w:eastAsia="zh-CN"/>
        </w:rPr>
        <w:t>第</w:t>
      </w:r>
      <w:r>
        <w:rPr>
          <w:rFonts w:hint="eastAsia" w:ascii="宋体" w:hAnsi="宋体" w:cs="F2,Bold"/>
          <w:b/>
          <w:bCs/>
          <w:sz w:val="32"/>
          <w:szCs w:val="32"/>
          <w:lang w:val="en-US" w:eastAsia="zh-CN"/>
        </w:rPr>
        <w:t>三</w:t>
      </w:r>
      <w:r>
        <w:rPr>
          <w:rFonts w:hint="eastAsia" w:ascii="宋体" w:hAnsi="宋体" w:cs="F2,Bold"/>
          <w:b/>
          <w:bCs/>
          <w:sz w:val="32"/>
          <w:szCs w:val="32"/>
          <w:lang w:eastAsia="zh-CN"/>
        </w:rPr>
        <w:t>章  技术规格书</w:t>
      </w:r>
      <w:bookmarkEnd w:id="56"/>
      <w:bookmarkEnd w:id="57"/>
      <w:bookmarkEnd w:id="58"/>
      <w:bookmarkEnd w:id="59"/>
      <w:bookmarkEnd w:id="60"/>
      <w:bookmarkEnd w:id="61"/>
      <w:bookmarkEnd w:id="62"/>
      <w:bookmarkEnd w:id="63"/>
    </w:p>
    <w:p w14:paraId="0A378ABE">
      <w:pPr>
        <w:pStyle w:val="10"/>
        <w:keepNext w:val="0"/>
        <w:keepLines w:val="0"/>
        <w:widowControl/>
        <w:numPr>
          <w:ilvl w:val="0"/>
          <w:numId w:val="0"/>
        </w:numPr>
        <w:suppressLineNumbers w:val="0"/>
        <w:spacing w:before="0" w:beforeAutospacing="0" w:after="0" w:afterAutospacing="0" w:line="276" w:lineRule="auto"/>
        <w:ind w:right="0" w:rightChars="0"/>
        <w:rPr>
          <w:rFonts w:hint="eastAsia" w:ascii="宋体" w:hAnsi="宋体" w:cs="宋体"/>
          <w:sz w:val="22"/>
          <w:szCs w:val="22"/>
          <w:lang w:val="en-US" w:eastAsia="zh-CN"/>
        </w:rPr>
      </w:pPr>
      <w:bookmarkStart w:id="64" w:name="_Toc15032"/>
      <w:bookmarkStart w:id="65" w:name="_Toc23656"/>
    </w:p>
    <w:p w14:paraId="1AC0973D">
      <w:pPr>
        <w:pStyle w:val="10"/>
        <w:keepNext w:val="0"/>
        <w:keepLines w:val="0"/>
        <w:widowControl/>
        <w:numPr>
          <w:ilvl w:val="0"/>
          <w:numId w:val="0"/>
        </w:numPr>
        <w:suppressLineNumbers w:val="0"/>
        <w:spacing w:before="0" w:beforeAutospacing="0" w:after="0" w:afterAutospacing="0" w:line="276" w:lineRule="auto"/>
        <w:ind w:right="0" w:rightChars="0"/>
        <w:rPr>
          <w:rFonts w:hint="eastAsia" w:ascii="宋体" w:hAnsi="宋体" w:cs="宋体"/>
          <w:sz w:val="22"/>
          <w:szCs w:val="22"/>
          <w:lang w:val="en-US" w:eastAsia="zh-CN"/>
        </w:rPr>
      </w:pPr>
    </w:p>
    <w:p w14:paraId="5053F129">
      <w:pPr>
        <w:pStyle w:val="10"/>
        <w:keepNext w:val="0"/>
        <w:keepLines w:val="0"/>
        <w:pageBreakBefore w:val="0"/>
        <w:kinsoku/>
        <w:wordWrap/>
        <w:overflowPunct/>
        <w:topLinePunct w:val="0"/>
        <w:autoSpaceDE/>
        <w:autoSpaceDN/>
        <w:bidi w:val="0"/>
        <w:adjustRightInd/>
        <w:snapToGrid/>
        <w:spacing w:before="0" w:beforeAutospacing="0" w:after="0" w:afterAutospacing="0" w:line="480" w:lineRule="exact"/>
        <w:jc w:val="both"/>
        <w:textAlignment w:val="auto"/>
        <w:rPr>
          <w:rFonts w:hint="eastAsia" w:ascii="仿宋" w:hAnsi="仿宋" w:eastAsia="仿宋" w:cs="仿宋"/>
          <w:b/>
          <w:kern w:val="2"/>
          <w:sz w:val="24"/>
          <w:szCs w:val="24"/>
        </w:rPr>
      </w:pPr>
      <w:r>
        <w:rPr>
          <w:rFonts w:hint="eastAsia" w:ascii="宋体" w:hAnsi="宋体" w:cs="宋体"/>
          <w:sz w:val="22"/>
          <w:szCs w:val="22"/>
          <w:lang w:val="en-US" w:eastAsia="zh-CN"/>
        </w:rPr>
        <w:t>技术要规范：</w:t>
      </w:r>
    </w:p>
    <w:p w14:paraId="2086741C">
      <w:pPr>
        <w:pStyle w:val="10"/>
        <w:keepNext w:val="0"/>
        <w:keepLines w:val="0"/>
        <w:pageBreakBefore w:val="0"/>
        <w:kinsoku/>
        <w:wordWrap/>
        <w:overflowPunct/>
        <w:topLinePunct w:val="0"/>
        <w:autoSpaceDE/>
        <w:autoSpaceDN/>
        <w:bidi w:val="0"/>
        <w:adjustRightInd/>
        <w:snapToGrid/>
        <w:spacing w:before="0" w:beforeAutospacing="0" w:after="0" w:afterAutospacing="0" w:line="480" w:lineRule="exact"/>
        <w:ind w:firstLine="480" w:firstLineChars="200"/>
        <w:jc w:val="both"/>
        <w:textAlignment w:val="auto"/>
        <w:rPr>
          <w:rFonts w:hint="eastAsia" w:ascii="仿宋" w:hAnsi="仿宋" w:eastAsia="仿宋" w:cs="仿宋"/>
          <w:sz w:val="24"/>
          <w:szCs w:val="24"/>
          <w:lang w:eastAsia="zh-CN"/>
        </w:rPr>
      </w:pPr>
      <w:r>
        <w:rPr>
          <w:rFonts w:hint="eastAsia" w:ascii="仿宋" w:hAnsi="仿宋" w:eastAsia="仿宋" w:cs="仿宋"/>
          <w:bCs/>
          <w:sz w:val="24"/>
          <w:szCs w:val="24"/>
        </w:rPr>
        <w:t>（一）</w:t>
      </w:r>
      <w:r>
        <w:rPr>
          <w:rFonts w:hint="eastAsia" w:ascii="仿宋" w:hAnsi="仿宋" w:eastAsia="仿宋" w:cs="仿宋"/>
          <w:sz w:val="24"/>
          <w:szCs w:val="24"/>
        </w:rPr>
        <w:t>质量标准：</w:t>
      </w:r>
      <w:r>
        <w:rPr>
          <w:rFonts w:hint="eastAsia" w:ascii="仿宋" w:hAnsi="仿宋" w:eastAsia="仿宋" w:cs="仿宋"/>
          <w:sz w:val="24"/>
          <w:szCs w:val="24"/>
          <w:lang w:val="en-US" w:eastAsia="zh-CN"/>
        </w:rPr>
        <w:t>承插</w:t>
      </w:r>
      <w:r>
        <w:rPr>
          <w:rFonts w:hint="eastAsia" w:ascii="仿宋" w:hAnsi="仿宋" w:eastAsia="仿宋" w:cs="仿宋"/>
          <w:sz w:val="24"/>
          <w:szCs w:val="24"/>
        </w:rPr>
        <w:t>Ⅱ</w:t>
      </w:r>
      <w:r>
        <w:rPr>
          <w:rFonts w:hint="eastAsia" w:ascii="仿宋" w:hAnsi="仿宋" w:eastAsia="仿宋" w:cs="仿宋"/>
          <w:sz w:val="24"/>
          <w:szCs w:val="24"/>
          <w:lang w:val="en-US" w:eastAsia="zh-CN"/>
        </w:rPr>
        <w:t>级钢筋混凝土管，符合《混凝土和钢筋混凝土排水管》GB/T11836-2023标准</w:t>
      </w:r>
      <w:r>
        <w:rPr>
          <w:rFonts w:hint="eastAsia" w:ascii="仿宋" w:hAnsi="仿宋" w:eastAsia="仿宋" w:cs="仿宋"/>
          <w:sz w:val="24"/>
          <w:szCs w:val="24"/>
          <w:lang w:eastAsia="zh-CN"/>
        </w:rPr>
        <w:t>。</w:t>
      </w:r>
    </w:p>
    <w:p w14:paraId="2EE69D50">
      <w:pPr>
        <w:pStyle w:val="10"/>
        <w:keepNext w:val="0"/>
        <w:keepLines w:val="0"/>
        <w:pageBreakBefore w:val="0"/>
        <w:kinsoku/>
        <w:wordWrap/>
        <w:overflowPunct/>
        <w:topLinePunct w:val="0"/>
        <w:autoSpaceDE/>
        <w:autoSpaceDN/>
        <w:bidi w:val="0"/>
        <w:adjustRightInd/>
        <w:snapToGrid/>
        <w:spacing w:before="0" w:beforeAutospacing="0" w:after="0" w:afterAutospacing="0" w:line="480" w:lineRule="exact"/>
        <w:ind w:firstLine="480" w:firstLineChars="200"/>
        <w:jc w:val="both"/>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二）材料的主要技术指标必须在甲方或业主同意的权威试验机构进行试验，材料到场后二次抽检验收合格试验费用由甲方承担。如检测不合格，所有过程中发生的费用均由乙方承担（如试验检测费，人工费等）。</w:t>
      </w:r>
    </w:p>
    <w:p w14:paraId="166EF0DD">
      <w:pPr>
        <w:pStyle w:val="10"/>
        <w:keepNext w:val="0"/>
        <w:keepLines w:val="0"/>
        <w:pageBreakBefore w:val="0"/>
        <w:kinsoku/>
        <w:wordWrap/>
        <w:overflowPunct/>
        <w:topLinePunct w:val="0"/>
        <w:autoSpaceDE/>
        <w:autoSpaceDN/>
        <w:bidi w:val="0"/>
        <w:adjustRightInd/>
        <w:snapToGrid/>
        <w:spacing w:before="0" w:beforeAutospacing="0" w:after="0" w:afterAutospacing="0" w:line="48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bCs/>
          <w:sz w:val="24"/>
          <w:szCs w:val="24"/>
        </w:rPr>
        <w:t xml:space="preserve">（三）在 </w:t>
      </w:r>
      <w:r>
        <w:rPr>
          <w:rFonts w:hint="eastAsia" w:ascii="仿宋" w:hAnsi="仿宋" w:eastAsia="仿宋" w:cs="仿宋"/>
          <w:bCs/>
          <w:sz w:val="24"/>
          <w:szCs w:val="24"/>
          <w:u w:val="single"/>
          <w:lang w:val="en-US" w:eastAsia="zh-CN"/>
        </w:rPr>
        <w:t>水泥水管</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材料的出厂、运输、现场交验等各环节中，乙方应确保其质量符合技术标准的要求。</w:t>
      </w:r>
    </w:p>
    <w:p w14:paraId="635BBEFC">
      <w:pPr>
        <w:pStyle w:val="10"/>
        <w:keepNext w:val="0"/>
        <w:keepLines w:val="0"/>
        <w:widowControl/>
        <w:numPr>
          <w:ilvl w:val="0"/>
          <w:numId w:val="0"/>
        </w:numPr>
        <w:suppressLineNumbers w:val="0"/>
        <w:spacing w:before="0" w:beforeAutospacing="0" w:after="0" w:afterAutospacing="0" w:line="276" w:lineRule="auto"/>
        <w:ind w:right="0" w:rightChars="0" w:firstLine="480" w:firstLineChars="200"/>
        <w:rPr>
          <w:rFonts w:hint="default" w:ascii="宋体" w:hAnsi="宋体" w:cs="宋体"/>
          <w:sz w:val="22"/>
          <w:szCs w:val="22"/>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四</w:t>
      </w:r>
      <w:r>
        <w:rPr>
          <w:rFonts w:hint="eastAsia" w:ascii="仿宋" w:hAnsi="仿宋" w:eastAsia="仿宋" w:cs="仿宋"/>
          <w:sz w:val="24"/>
          <w:szCs w:val="24"/>
          <w:lang w:eastAsia="zh-CN"/>
        </w:rPr>
        <w:t>）甲方有权拒绝接收乙方无检验报告、合格证书或证书不全的产品，拒绝接收实际产品与检验报告、证书不符的产品，由此产生的所有费用及责任均由乙方承担；造成甲方的工期延误或其他经济损失，乙方应付责任赔偿。</w:t>
      </w:r>
    </w:p>
    <w:p w14:paraId="2834356F">
      <w:pPr>
        <w:pStyle w:val="10"/>
        <w:keepNext w:val="0"/>
        <w:keepLines w:val="0"/>
        <w:widowControl/>
        <w:numPr>
          <w:ilvl w:val="0"/>
          <w:numId w:val="0"/>
        </w:numPr>
        <w:suppressLineNumbers w:val="0"/>
        <w:spacing w:before="0" w:beforeAutospacing="0" w:after="0" w:afterAutospacing="0"/>
        <w:ind w:leftChars="0" w:right="0" w:rightChars="0"/>
        <w:rPr>
          <w:rFonts w:hint="default" w:ascii="宋体" w:hAnsi="宋体" w:cs="宋体"/>
          <w:sz w:val="22"/>
          <w:szCs w:val="22"/>
          <w:lang w:val="en-US" w:eastAsia="zh-CN"/>
        </w:rPr>
      </w:pPr>
    </w:p>
    <w:p w14:paraId="3C17CF55">
      <w:pPr>
        <w:pStyle w:val="10"/>
        <w:keepNext w:val="0"/>
        <w:keepLines w:val="0"/>
        <w:widowControl/>
        <w:suppressLineNumbers w:val="0"/>
        <w:spacing w:before="0" w:beforeAutospacing="0" w:after="0" w:afterAutospacing="0"/>
        <w:ind w:left="0" w:right="0" w:firstLine="0"/>
        <w:rPr>
          <w:rFonts w:ascii="宋体" w:hAnsi="宋体" w:eastAsia="宋体" w:cs="宋体"/>
          <w:sz w:val="22"/>
          <w:szCs w:val="22"/>
        </w:rPr>
      </w:pPr>
    </w:p>
    <w:p w14:paraId="4D74F512">
      <w:pPr>
        <w:pStyle w:val="10"/>
        <w:keepNext w:val="0"/>
        <w:keepLines w:val="0"/>
        <w:widowControl/>
        <w:suppressLineNumbers w:val="0"/>
        <w:spacing w:before="0" w:beforeAutospacing="0" w:after="0" w:afterAutospacing="0"/>
        <w:ind w:left="0" w:right="0" w:firstLine="0"/>
        <w:rPr>
          <w:rFonts w:ascii="宋体" w:hAnsi="宋体" w:eastAsia="宋体" w:cs="宋体"/>
          <w:sz w:val="22"/>
          <w:szCs w:val="22"/>
        </w:rPr>
      </w:pPr>
    </w:p>
    <w:p w14:paraId="1641D33E">
      <w:pPr>
        <w:pStyle w:val="10"/>
        <w:keepNext w:val="0"/>
        <w:keepLines w:val="0"/>
        <w:widowControl/>
        <w:suppressLineNumbers w:val="0"/>
        <w:spacing w:before="0" w:beforeAutospacing="0" w:after="0" w:afterAutospacing="0"/>
        <w:ind w:left="0" w:right="0" w:firstLine="0"/>
        <w:rPr>
          <w:rFonts w:ascii="宋体" w:hAnsi="宋体" w:eastAsia="宋体" w:cs="宋体"/>
          <w:sz w:val="22"/>
          <w:szCs w:val="22"/>
        </w:rPr>
      </w:pPr>
    </w:p>
    <w:p w14:paraId="12B73278">
      <w:pPr>
        <w:pStyle w:val="10"/>
        <w:keepNext w:val="0"/>
        <w:keepLines w:val="0"/>
        <w:widowControl/>
        <w:suppressLineNumbers w:val="0"/>
        <w:spacing w:before="0" w:beforeAutospacing="0" w:after="0" w:afterAutospacing="0"/>
        <w:ind w:left="0" w:right="0" w:firstLine="0"/>
        <w:rPr>
          <w:rFonts w:ascii="宋体" w:hAnsi="宋体" w:eastAsia="宋体" w:cs="宋体"/>
          <w:sz w:val="22"/>
          <w:szCs w:val="22"/>
        </w:rPr>
      </w:pPr>
    </w:p>
    <w:p w14:paraId="297C304F">
      <w:pPr>
        <w:pStyle w:val="10"/>
        <w:keepNext w:val="0"/>
        <w:keepLines w:val="0"/>
        <w:widowControl/>
        <w:suppressLineNumbers w:val="0"/>
        <w:spacing w:before="0" w:beforeAutospacing="0" w:after="0" w:afterAutospacing="0"/>
        <w:ind w:left="0" w:right="0" w:firstLine="0"/>
        <w:rPr>
          <w:rFonts w:ascii="宋体" w:hAnsi="宋体" w:eastAsia="宋体" w:cs="宋体"/>
          <w:sz w:val="22"/>
          <w:szCs w:val="22"/>
        </w:rPr>
      </w:pPr>
    </w:p>
    <w:p w14:paraId="3088E1A8">
      <w:pPr>
        <w:pStyle w:val="10"/>
        <w:keepNext w:val="0"/>
        <w:keepLines w:val="0"/>
        <w:widowControl/>
        <w:suppressLineNumbers w:val="0"/>
        <w:spacing w:before="0" w:beforeAutospacing="0" w:after="0" w:afterAutospacing="0"/>
        <w:ind w:left="0" w:right="0" w:firstLine="0"/>
        <w:rPr>
          <w:rFonts w:ascii="宋体" w:hAnsi="宋体" w:eastAsia="宋体" w:cs="宋体"/>
          <w:sz w:val="22"/>
          <w:szCs w:val="22"/>
        </w:rPr>
      </w:pPr>
    </w:p>
    <w:p w14:paraId="27F7D2F3">
      <w:pPr>
        <w:pStyle w:val="10"/>
        <w:keepNext w:val="0"/>
        <w:keepLines w:val="0"/>
        <w:widowControl/>
        <w:suppressLineNumbers w:val="0"/>
        <w:spacing w:before="0" w:beforeAutospacing="0" w:after="0" w:afterAutospacing="0"/>
        <w:ind w:left="0" w:right="0" w:firstLine="0"/>
        <w:rPr>
          <w:rFonts w:ascii="宋体" w:hAnsi="宋体" w:eastAsia="宋体" w:cs="宋体"/>
          <w:sz w:val="22"/>
          <w:szCs w:val="22"/>
        </w:rPr>
      </w:pPr>
    </w:p>
    <w:p w14:paraId="4DB9EB49">
      <w:pPr>
        <w:pStyle w:val="10"/>
        <w:keepNext w:val="0"/>
        <w:keepLines w:val="0"/>
        <w:widowControl/>
        <w:suppressLineNumbers w:val="0"/>
        <w:spacing w:before="0" w:beforeAutospacing="0" w:after="0" w:afterAutospacing="0"/>
        <w:ind w:left="0" w:right="0" w:firstLine="0"/>
        <w:rPr>
          <w:rFonts w:ascii="宋体" w:hAnsi="宋体" w:eastAsia="宋体" w:cs="宋体"/>
          <w:sz w:val="22"/>
          <w:szCs w:val="22"/>
        </w:rPr>
      </w:pPr>
    </w:p>
    <w:p w14:paraId="13805220">
      <w:pPr>
        <w:pStyle w:val="10"/>
        <w:keepNext w:val="0"/>
        <w:keepLines w:val="0"/>
        <w:widowControl/>
        <w:suppressLineNumbers w:val="0"/>
        <w:spacing w:before="0" w:beforeAutospacing="0" w:after="0" w:afterAutospacing="0"/>
        <w:ind w:left="0" w:right="0" w:firstLine="0"/>
        <w:rPr>
          <w:rFonts w:ascii="宋体" w:hAnsi="宋体" w:eastAsia="宋体" w:cs="宋体"/>
          <w:sz w:val="22"/>
          <w:szCs w:val="22"/>
        </w:rPr>
      </w:pPr>
    </w:p>
    <w:p w14:paraId="584E29F6">
      <w:pPr>
        <w:pStyle w:val="10"/>
        <w:keepNext w:val="0"/>
        <w:keepLines w:val="0"/>
        <w:widowControl/>
        <w:suppressLineNumbers w:val="0"/>
        <w:spacing w:before="0" w:beforeAutospacing="0" w:after="0" w:afterAutospacing="0"/>
        <w:ind w:left="0" w:right="0" w:firstLine="0"/>
        <w:rPr>
          <w:rFonts w:ascii="宋体" w:hAnsi="宋体" w:eastAsia="宋体" w:cs="宋体"/>
          <w:sz w:val="22"/>
          <w:szCs w:val="22"/>
        </w:rPr>
      </w:pPr>
    </w:p>
    <w:p w14:paraId="0AC0BBC6">
      <w:pPr>
        <w:pStyle w:val="10"/>
        <w:keepNext w:val="0"/>
        <w:keepLines w:val="0"/>
        <w:widowControl/>
        <w:suppressLineNumbers w:val="0"/>
        <w:spacing w:before="0" w:beforeAutospacing="0" w:after="0" w:afterAutospacing="0"/>
        <w:ind w:left="0" w:right="0" w:firstLine="0"/>
        <w:rPr>
          <w:rFonts w:ascii="宋体" w:hAnsi="宋体" w:eastAsia="宋体" w:cs="宋体"/>
          <w:sz w:val="22"/>
          <w:szCs w:val="22"/>
        </w:rPr>
      </w:pPr>
    </w:p>
    <w:p w14:paraId="5407A654">
      <w:pPr>
        <w:spacing w:line="360" w:lineRule="auto"/>
        <w:ind w:right="101" w:rightChars="46"/>
        <w:rPr>
          <w:rFonts w:hint="eastAsia"/>
        </w:rPr>
      </w:pPr>
    </w:p>
    <w:p w14:paraId="134A6033">
      <w:pPr>
        <w:spacing w:after="0" w:line="0" w:lineRule="atLeast"/>
        <w:jc w:val="center"/>
        <w:outlineLvl w:val="1"/>
        <w:rPr>
          <w:rFonts w:ascii="宋体" w:hAnsi="宋体"/>
          <w:b/>
          <w:sz w:val="18"/>
          <w:szCs w:val="18"/>
          <w:lang w:eastAsia="zh-CN"/>
        </w:rPr>
      </w:pPr>
      <w:r>
        <w:rPr>
          <w:rFonts w:hint="eastAsia" w:ascii="宋体" w:hAnsi="宋体"/>
          <w:b/>
          <w:sz w:val="18"/>
          <w:szCs w:val="18"/>
          <w:lang w:val="en-US" w:eastAsia="zh-CN"/>
        </w:rPr>
        <w:t>四</w:t>
      </w:r>
      <w:r>
        <w:rPr>
          <w:rFonts w:ascii="宋体" w:hAnsi="宋体"/>
          <w:b/>
          <w:sz w:val="18"/>
          <w:szCs w:val="18"/>
          <w:lang w:eastAsia="zh-CN"/>
        </w:rPr>
        <w:t>、报价表</w:t>
      </w:r>
      <w:bookmarkEnd w:id="64"/>
      <w:bookmarkEnd w:id="65"/>
    </w:p>
    <w:p w14:paraId="5D835FBB">
      <w:pPr>
        <w:spacing w:after="0" w:line="400" w:lineRule="exact"/>
        <w:rPr>
          <w:rFonts w:hint="default" w:ascii="宋体" w:hAnsi="宋体" w:cs="宋体"/>
          <w:sz w:val="20"/>
          <w:szCs w:val="20"/>
          <w:lang w:val="en-US" w:eastAsia="zh-CN"/>
        </w:rPr>
      </w:pPr>
      <w:r>
        <w:rPr>
          <w:rFonts w:hint="eastAsia" w:ascii="宋体" w:hAnsi="宋体" w:cs="宋体"/>
          <w:sz w:val="20"/>
          <w:szCs w:val="20"/>
          <w:lang w:eastAsia="zh-CN"/>
        </w:rPr>
        <w:t xml:space="preserve">                   </w:t>
      </w:r>
      <w:r>
        <w:rPr>
          <w:rFonts w:hint="eastAsia" w:ascii="宋体" w:hAnsi="宋体" w:cs="宋体"/>
          <w:sz w:val="20"/>
          <w:szCs w:val="20"/>
          <w:lang w:val="en-US" w:eastAsia="zh-CN"/>
        </w:rPr>
        <w:t xml:space="preserve">                                                                                           </w:t>
      </w:r>
      <w:r>
        <w:rPr>
          <w:rFonts w:hint="eastAsia" w:ascii="宋体" w:hAnsi="宋体" w:cs="宋体"/>
          <w:sz w:val="20"/>
          <w:szCs w:val="20"/>
          <w:lang w:eastAsia="zh-CN"/>
        </w:rPr>
        <w:t xml:space="preserve">     计价单位：元</w:t>
      </w:r>
    </w:p>
    <w:tbl>
      <w:tblPr>
        <w:tblStyle w:val="12"/>
        <w:tblW w:w="1525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358"/>
        <w:gridCol w:w="2133"/>
        <w:gridCol w:w="1950"/>
        <w:gridCol w:w="2317"/>
        <w:gridCol w:w="2610"/>
        <w:gridCol w:w="1944"/>
        <w:gridCol w:w="1944"/>
      </w:tblGrid>
      <w:tr w14:paraId="4E3E9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4" w:hRule="atLeast"/>
        </w:trPr>
        <w:tc>
          <w:tcPr>
            <w:tcW w:w="2358" w:type="dxa"/>
            <w:tcBorders>
              <w:top w:val="single" w:color="000000" w:sz="4" w:space="0"/>
              <w:left w:val="single" w:color="000000" w:sz="4" w:space="0"/>
              <w:bottom w:val="single" w:color="000000" w:sz="4" w:space="0"/>
              <w:right w:val="single" w:color="000000" w:sz="4" w:space="0"/>
            </w:tcBorders>
            <w:noWrap w:val="0"/>
            <w:vAlign w:val="center"/>
          </w:tcPr>
          <w:p w14:paraId="1E30D568">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材料名称</w:t>
            </w:r>
          </w:p>
        </w:tc>
        <w:tc>
          <w:tcPr>
            <w:tcW w:w="2133" w:type="dxa"/>
            <w:tcBorders>
              <w:top w:val="single" w:color="000000" w:sz="4" w:space="0"/>
              <w:left w:val="single" w:color="000000" w:sz="4" w:space="0"/>
              <w:bottom w:val="single" w:color="000000" w:sz="4" w:space="0"/>
              <w:right w:val="single" w:color="000000" w:sz="4" w:space="0"/>
            </w:tcBorders>
            <w:noWrap w:val="0"/>
            <w:vAlign w:val="center"/>
          </w:tcPr>
          <w:p w14:paraId="0D948EA5">
            <w:pPr>
              <w:keepNext w:val="0"/>
              <w:keepLines w:val="0"/>
              <w:widowControl/>
              <w:suppressLineNumbers w:val="0"/>
              <w:jc w:val="center"/>
              <w:textAlignment w:val="center"/>
              <w:rPr>
                <w:rFonts w:hint="default" w:ascii="宋体" w:hAnsi="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规格型号</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4E677877">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数量（m）</w:t>
            </w:r>
          </w:p>
        </w:tc>
        <w:tc>
          <w:tcPr>
            <w:tcW w:w="2317" w:type="dxa"/>
            <w:tcBorders>
              <w:top w:val="single" w:color="000000" w:sz="4" w:space="0"/>
              <w:left w:val="single" w:color="000000" w:sz="4" w:space="0"/>
              <w:bottom w:val="single" w:color="000000" w:sz="4" w:space="0"/>
              <w:right w:val="single" w:color="000000" w:sz="4" w:space="0"/>
            </w:tcBorders>
            <w:noWrap w:val="0"/>
            <w:vAlign w:val="center"/>
          </w:tcPr>
          <w:p w14:paraId="577488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含税综合单价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（元/</w:t>
            </w:r>
            <w:r>
              <w:rPr>
                <w:rFonts w:hint="eastAsia" w:ascii="宋体" w:hAnsi="宋体" w:cs="宋体"/>
                <w:i w:val="0"/>
                <w:iCs w:val="0"/>
                <w:color w:val="000000"/>
                <w:kern w:val="0"/>
                <w:sz w:val="20"/>
                <w:szCs w:val="20"/>
                <w:u w:val="none"/>
                <w:lang w:val="en-US" w:eastAsia="zh-CN" w:bidi="ar"/>
              </w:rPr>
              <w:t>米</w:t>
            </w:r>
            <w:r>
              <w:rPr>
                <w:rFonts w:hint="eastAsia" w:ascii="宋体" w:hAnsi="宋体" w:eastAsia="宋体" w:cs="宋体"/>
                <w:i w:val="0"/>
                <w:iCs w:val="0"/>
                <w:color w:val="000000"/>
                <w:kern w:val="0"/>
                <w:sz w:val="20"/>
                <w:szCs w:val="20"/>
                <w:u w:val="none"/>
                <w:lang w:val="en-US" w:eastAsia="zh-CN" w:bidi="ar"/>
              </w:rPr>
              <w:t>）</w:t>
            </w:r>
          </w:p>
        </w:tc>
        <w:tc>
          <w:tcPr>
            <w:tcW w:w="2610" w:type="dxa"/>
            <w:tcBorders>
              <w:top w:val="single" w:color="000000" w:sz="4" w:space="0"/>
              <w:left w:val="single" w:color="000000" w:sz="4" w:space="0"/>
              <w:bottom w:val="single" w:color="000000" w:sz="4" w:space="0"/>
              <w:right w:val="single" w:color="000000" w:sz="4" w:space="0"/>
            </w:tcBorders>
            <w:noWrap w:val="0"/>
            <w:vAlign w:val="center"/>
          </w:tcPr>
          <w:p w14:paraId="449213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含税总价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（元）</w:t>
            </w:r>
          </w:p>
        </w:tc>
        <w:tc>
          <w:tcPr>
            <w:tcW w:w="1944" w:type="dxa"/>
            <w:tcBorders>
              <w:top w:val="single" w:color="000000" w:sz="4" w:space="0"/>
              <w:left w:val="single" w:color="000000" w:sz="4" w:space="0"/>
              <w:bottom w:val="single" w:color="000000" w:sz="4" w:space="0"/>
              <w:right w:val="single" w:color="000000" w:sz="4" w:space="0"/>
            </w:tcBorders>
            <w:noWrap w:val="0"/>
            <w:vAlign w:val="center"/>
          </w:tcPr>
          <w:p w14:paraId="7FBF83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税率</w:t>
            </w:r>
          </w:p>
        </w:tc>
        <w:tc>
          <w:tcPr>
            <w:tcW w:w="1944" w:type="dxa"/>
            <w:tcBorders>
              <w:top w:val="single" w:color="000000" w:sz="4" w:space="0"/>
              <w:left w:val="single" w:color="000000" w:sz="4" w:space="0"/>
              <w:bottom w:val="single" w:color="000000" w:sz="4" w:space="0"/>
              <w:right w:val="single" w:color="000000" w:sz="4" w:space="0"/>
            </w:tcBorders>
            <w:noWrap w:val="0"/>
            <w:vAlign w:val="center"/>
          </w:tcPr>
          <w:p w14:paraId="370C17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p>
        </w:tc>
      </w:tr>
      <w:tr w14:paraId="215D0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8" w:hRule="atLeast"/>
        </w:trPr>
        <w:tc>
          <w:tcPr>
            <w:tcW w:w="2358" w:type="dxa"/>
            <w:tcBorders>
              <w:top w:val="single" w:color="000000" w:sz="4" w:space="0"/>
              <w:left w:val="single" w:color="000000" w:sz="4" w:space="0"/>
              <w:bottom w:val="single" w:color="000000" w:sz="4" w:space="0"/>
              <w:right w:val="single" w:color="000000" w:sz="4" w:space="0"/>
            </w:tcBorders>
            <w:noWrap/>
            <w:vAlign w:val="center"/>
          </w:tcPr>
          <w:p w14:paraId="66B9165F">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水泥涵管</w:t>
            </w:r>
          </w:p>
        </w:tc>
        <w:tc>
          <w:tcPr>
            <w:tcW w:w="213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28F800">
            <w:pPr>
              <w:keepNext w:val="0"/>
              <w:keepLines w:val="0"/>
              <w:widowControl/>
              <w:suppressLineNumbers w:val="0"/>
              <w:jc w:val="center"/>
              <w:textAlignment w:val="center"/>
              <w:rPr>
                <w:rFonts w:hint="default" w:ascii="宋体" w:hAnsi="宋体" w:eastAsia="宋体" w:cs="宋体"/>
                <w:sz w:val="18"/>
                <w:szCs w:val="18"/>
                <w:lang w:val="en-US" w:eastAsia="zh-CN" w:bidi="ar-SA"/>
              </w:rPr>
            </w:pPr>
            <w:r>
              <w:rPr>
                <w:rFonts w:hint="eastAsia" w:ascii="宋体" w:hAnsi="宋体" w:eastAsia="宋体" w:cs="宋体"/>
                <w:i w:val="0"/>
                <w:color w:val="000000"/>
                <w:kern w:val="0"/>
                <w:sz w:val="20"/>
                <w:szCs w:val="20"/>
                <w:highlight w:val="none"/>
                <w:u w:val="none"/>
                <w:lang w:val="en-US" w:eastAsia="zh-CN" w:bidi="ar"/>
              </w:rPr>
              <w:t>DN800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E24FA7">
            <w:pPr>
              <w:keepNext w:val="0"/>
              <w:keepLines w:val="0"/>
              <w:widowControl/>
              <w:suppressLineNumbers w:val="0"/>
              <w:jc w:val="center"/>
              <w:textAlignment w:val="center"/>
              <w:rPr>
                <w:rFonts w:hint="default" w:ascii="宋体" w:hAnsi="宋体" w:eastAsia="宋体" w:cs="宋体"/>
                <w:sz w:val="18"/>
                <w:szCs w:val="18"/>
                <w:lang w:val="en-US" w:eastAsia="zh-CN" w:bidi="ar-SA"/>
              </w:rPr>
            </w:pPr>
            <w:r>
              <w:rPr>
                <w:rFonts w:hint="eastAsia" w:ascii="仿宋" w:hAnsi="仿宋" w:eastAsia="仿宋" w:cs="仿宋"/>
                <w:sz w:val="18"/>
                <w:szCs w:val="18"/>
                <w:lang w:val="en-US" w:eastAsia="zh-CN"/>
              </w:rPr>
              <w:t>30</w:t>
            </w:r>
          </w:p>
        </w:tc>
        <w:tc>
          <w:tcPr>
            <w:tcW w:w="2317" w:type="dxa"/>
            <w:tcBorders>
              <w:top w:val="single" w:color="000000" w:sz="4" w:space="0"/>
              <w:left w:val="single" w:color="000000" w:sz="4" w:space="0"/>
              <w:bottom w:val="single" w:color="000000" w:sz="4" w:space="0"/>
              <w:right w:val="single" w:color="000000" w:sz="4" w:space="0"/>
            </w:tcBorders>
            <w:noWrap w:val="0"/>
            <w:vAlign w:val="center"/>
          </w:tcPr>
          <w:p w14:paraId="74DA9A3C">
            <w:pPr>
              <w:jc w:val="center"/>
              <w:rPr>
                <w:rFonts w:hint="default" w:ascii="Arial" w:hAnsi="Arial" w:cs="Arial"/>
                <w:i w:val="0"/>
                <w:iCs w:val="0"/>
                <w:color w:val="000000"/>
                <w:sz w:val="20"/>
                <w:szCs w:val="20"/>
                <w:u w:val="none"/>
              </w:rPr>
            </w:pPr>
          </w:p>
        </w:tc>
        <w:tc>
          <w:tcPr>
            <w:tcW w:w="2610" w:type="dxa"/>
            <w:tcBorders>
              <w:top w:val="single" w:color="000000" w:sz="4" w:space="0"/>
              <w:left w:val="single" w:color="000000" w:sz="4" w:space="0"/>
              <w:bottom w:val="single" w:color="000000" w:sz="4" w:space="0"/>
              <w:right w:val="single" w:color="000000" w:sz="4" w:space="0"/>
            </w:tcBorders>
            <w:noWrap w:val="0"/>
            <w:vAlign w:val="center"/>
          </w:tcPr>
          <w:p w14:paraId="682A54F7">
            <w:pPr>
              <w:jc w:val="center"/>
              <w:rPr>
                <w:rFonts w:hint="default" w:ascii="Arial" w:hAnsi="Arial" w:cs="Arial"/>
                <w:i w:val="0"/>
                <w:iCs w:val="0"/>
                <w:color w:val="000000"/>
                <w:sz w:val="20"/>
                <w:szCs w:val="20"/>
                <w:u w:val="none"/>
              </w:rPr>
            </w:pPr>
          </w:p>
        </w:tc>
        <w:tc>
          <w:tcPr>
            <w:tcW w:w="1944" w:type="dxa"/>
            <w:tcBorders>
              <w:top w:val="single" w:color="000000" w:sz="4" w:space="0"/>
              <w:left w:val="single" w:color="000000" w:sz="4" w:space="0"/>
              <w:bottom w:val="single" w:color="000000" w:sz="4" w:space="0"/>
              <w:right w:val="single" w:color="000000" w:sz="4" w:space="0"/>
            </w:tcBorders>
            <w:noWrap w:val="0"/>
            <w:vAlign w:val="center"/>
          </w:tcPr>
          <w:p w14:paraId="2B172314">
            <w:pPr>
              <w:jc w:val="center"/>
              <w:rPr>
                <w:rFonts w:hint="default" w:ascii="Arial" w:hAnsi="Arial" w:cs="Arial"/>
                <w:i w:val="0"/>
                <w:iCs w:val="0"/>
                <w:color w:val="000000"/>
                <w:sz w:val="20"/>
                <w:szCs w:val="20"/>
                <w:u w:val="none"/>
              </w:rPr>
            </w:pPr>
          </w:p>
        </w:tc>
        <w:tc>
          <w:tcPr>
            <w:tcW w:w="1944" w:type="dxa"/>
            <w:tcBorders>
              <w:top w:val="single" w:color="000000" w:sz="4" w:space="0"/>
              <w:left w:val="single" w:color="000000" w:sz="4" w:space="0"/>
              <w:bottom w:val="single" w:color="000000" w:sz="4" w:space="0"/>
              <w:right w:val="single" w:color="000000" w:sz="4" w:space="0"/>
            </w:tcBorders>
            <w:noWrap/>
            <w:vAlign w:val="center"/>
          </w:tcPr>
          <w:p w14:paraId="6AAAC4D5">
            <w:pPr>
              <w:jc w:val="center"/>
              <w:rPr>
                <w:rFonts w:hint="default" w:ascii="Arial" w:hAnsi="Arial" w:cs="Arial"/>
                <w:i w:val="0"/>
                <w:iCs w:val="0"/>
                <w:color w:val="000000"/>
                <w:sz w:val="20"/>
                <w:szCs w:val="20"/>
                <w:u w:val="none"/>
              </w:rPr>
            </w:pPr>
          </w:p>
        </w:tc>
      </w:tr>
      <w:tr w14:paraId="0A0C1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8" w:hRule="atLeast"/>
        </w:trPr>
        <w:tc>
          <w:tcPr>
            <w:tcW w:w="2358" w:type="dxa"/>
            <w:tcBorders>
              <w:top w:val="single" w:color="000000" w:sz="4" w:space="0"/>
              <w:left w:val="single" w:color="000000" w:sz="4" w:space="0"/>
              <w:bottom w:val="single" w:color="000000" w:sz="4" w:space="0"/>
              <w:right w:val="single" w:color="000000" w:sz="4" w:space="0"/>
            </w:tcBorders>
            <w:noWrap/>
            <w:vAlign w:val="center"/>
          </w:tcPr>
          <w:p w14:paraId="2CA7C92C">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水泥涵管</w:t>
            </w:r>
          </w:p>
        </w:tc>
        <w:tc>
          <w:tcPr>
            <w:tcW w:w="213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472B30">
            <w:pPr>
              <w:keepNext w:val="0"/>
              <w:keepLines w:val="0"/>
              <w:widowControl/>
              <w:suppressLineNumbers w:val="0"/>
              <w:jc w:val="center"/>
              <w:textAlignment w:val="center"/>
              <w:rPr>
                <w:rFonts w:hint="default" w:ascii="宋体" w:hAnsi="宋体" w:eastAsia="宋体" w:cs="宋体"/>
                <w:sz w:val="18"/>
                <w:szCs w:val="18"/>
                <w:lang w:val="en-US" w:eastAsia="zh-CN" w:bidi="ar-SA"/>
              </w:rPr>
            </w:pPr>
            <w:r>
              <w:rPr>
                <w:rFonts w:hint="eastAsia" w:ascii="宋体" w:hAnsi="宋体" w:eastAsia="宋体" w:cs="宋体"/>
                <w:i w:val="0"/>
                <w:color w:val="000000"/>
                <w:kern w:val="0"/>
                <w:sz w:val="20"/>
                <w:szCs w:val="20"/>
                <w:highlight w:val="none"/>
                <w:u w:val="none"/>
                <w:lang w:val="en-US" w:eastAsia="zh-CN" w:bidi="ar"/>
              </w:rPr>
              <w:t>DN600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67886E">
            <w:pPr>
              <w:keepNext w:val="0"/>
              <w:keepLines w:val="0"/>
              <w:widowControl/>
              <w:suppressLineNumbers w:val="0"/>
              <w:jc w:val="center"/>
              <w:textAlignment w:val="center"/>
              <w:rPr>
                <w:rFonts w:hint="default" w:ascii="宋体" w:hAnsi="宋体" w:eastAsia="宋体" w:cs="宋体"/>
                <w:sz w:val="18"/>
                <w:szCs w:val="18"/>
                <w:lang w:val="en-US" w:eastAsia="zh-CN" w:bidi="ar-SA"/>
              </w:rPr>
            </w:pPr>
            <w:r>
              <w:rPr>
                <w:rFonts w:hint="eastAsia" w:ascii="仿宋" w:hAnsi="仿宋" w:eastAsia="仿宋" w:cs="仿宋"/>
                <w:sz w:val="18"/>
                <w:szCs w:val="18"/>
                <w:lang w:val="en-US" w:eastAsia="zh-CN"/>
              </w:rPr>
              <w:t>2000</w:t>
            </w:r>
          </w:p>
        </w:tc>
        <w:tc>
          <w:tcPr>
            <w:tcW w:w="2317" w:type="dxa"/>
            <w:tcBorders>
              <w:top w:val="single" w:color="000000" w:sz="4" w:space="0"/>
              <w:left w:val="single" w:color="000000" w:sz="4" w:space="0"/>
              <w:bottom w:val="single" w:color="000000" w:sz="4" w:space="0"/>
              <w:right w:val="single" w:color="000000" w:sz="4" w:space="0"/>
            </w:tcBorders>
            <w:noWrap w:val="0"/>
            <w:vAlign w:val="center"/>
          </w:tcPr>
          <w:p w14:paraId="7C63992F">
            <w:pPr>
              <w:jc w:val="center"/>
              <w:rPr>
                <w:rFonts w:hint="default" w:ascii="Arial" w:hAnsi="Arial" w:cs="Arial"/>
                <w:i w:val="0"/>
                <w:iCs w:val="0"/>
                <w:color w:val="000000"/>
                <w:sz w:val="20"/>
                <w:szCs w:val="20"/>
                <w:u w:val="none"/>
              </w:rPr>
            </w:pPr>
          </w:p>
        </w:tc>
        <w:tc>
          <w:tcPr>
            <w:tcW w:w="2610" w:type="dxa"/>
            <w:tcBorders>
              <w:top w:val="single" w:color="000000" w:sz="4" w:space="0"/>
              <w:left w:val="single" w:color="000000" w:sz="4" w:space="0"/>
              <w:bottom w:val="single" w:color="000000" w:sz="4" w:space="0"/>
              <w:right w:val="single" w:color="000000" w:sz="4" w:space="0"/>
            </w:tcBorders>
            <w:noWrap w:val="0"/>
            <w:vAlign w:val="center"/>
          </w:tcPr>
          <w:p w14:paraId="70C1F924">
            <w:pPr>
              <w:jc w:val="center"/>
              <w:rPr>
                <w:rFonts w:hint="default" w:ascii="Arial" w:hAnsi="Arial" w:cs="Arial"/>
                <w:i w:val="0"/>
                <w:iCs w:val="0"/>
                <w:color w:val="000000"/>
                <w:sz w:val="20"/>
                <w:szCs w:val="20"/>
                <w:u w:val="none"/>
              </w:rPr>
            </w:pPr>
          </w:p>
        </w:tc>
        <w:tc>
          <w:tcPr>
            <w:tcW w:w="1944" w:type="dxa"/>
            <w:tcBorders>
              <w:top w:val="single" w:color="000000" w:sz="4" w:space="0"/>
              <w:left w:val="single" w:color="000000" w:sz="4" w:space="0"/>
              <w:bottom w:val="single" w:color="000000" w:sz="4" w:space="0"/>
              <w:right w:val="single" w:color="000000" w:sz="4" w:space="0"/>
            </w:tcBorders>
            <w:noWrap w:val="0"/>
            <w:vAlign w:val="center"/>
          </w:tcPr>
          <w:p w14:paraId="66926DC0">
            <w:pPr>
              <w:jc w:val="center"/>
              <w:rPr>
                <w:rFonts w:hint="default" w:ascii="Arial" w:hAnsi="Arial" w:cs="Arial"/>
                <w:i w:val="0"/>
                <w:iCs w:val="0"/>
                <w:color w:val="000000"/>
                <w:sz w:val="20"/>
                <w:szCs w:val="20"/>
                <w:u w:val="none"/>
              </w:rPr>
            </w:pPr>
          </w:p>
        </w:tc>
        <w:tc>
          <w:tcPr>
            <w:tcW w:w="1944" w:type="dxa"/>
            <w:tcBorders>
              <w:top w:val="single" w:color="000000" w:sz="4" w:space="0"/>
              <w:left w:val="single" w:color="000000" w:sz="4" w:space="0"/>
              <w:bottom w:val="single" w:color="000000" w:sz="4" w:space="0"/>
              <w:right w:val="single" w:color="000000" w:sz="4" w:space="0"/>
            </w:tcBorders>
            <w:noWrap/>
            <w:vAlign w:val="center"/>
          </w:tcPr>
          <w:p w14:paraId="2C767137">
            <w:pPr>
              <w:jc w:val="center"/>
              <w:rPr>
                <w:rFonts w:hint="default" w:ascii="Arial" w:hAnsi="Arial" w:cs="Arial"/>
                <w:i w:val="0"/>
                <w:iCs w:val="0"/>
                <w:color w:val="000000"/>
                <w:sz w:val="20"/>
                <w:szCs w:val="20"/>
                <w:u w:val="none"/>
              </w:rPr>
            </w:pPr>
          </w:p>
        </w:tc>
      </w:tr>
      <w:tr w14:paraId="160E4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8" w:hRule="atLeast"/>
        </w:trPr>
        <w:tc>
          <w:tcPr>
            <w:tcW w:w="2358" w:type="dxa"/>
            <w:tcBorders>
              <w:top w:val="single" w:color="000000" w:sz="4" w:space="0"/>
              <w:left w:val="single" w:color="000000" w:sz="4" w:space="0"/>
              <w:bottom w:val="single" w:color="000000" w:sz="4" w:space="0"/>
              <w:right w:val="single" w:color="000000" w:sz="4" w:space="0"/>
            </w:tcBorders>
            <w:noWrap/>
            <w:vAlign w:val="center"/>
          </w:tcPr>
          <w:p w14:paraId="1F85AFC7">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水泥涵管</w:t>
            </w:r>
          </w:p>
        </w:tc>
        <w:tc>
          <w:tcPr>
            <w:tcW w:w="213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A95BBC">
            <w:pPr>
              <w:keepNext w:val="0"/>
              <w:keepLines w:val="0"/>
              <w:widowControl/>
              <w:suppressLineNumbers w:val="0"/>
              <w:jc w:val="center"/>
              <w:textAlignment w:val="center"/>
              <w:rPr>
                <w:rFonts w:hint="default" w:ascii="宋体" w:hAnsi="宋体" w:eastAsia="宋体" w:cs="宋体"/>
                <w:sz w:val="18"/>
                <w:szCs w:val="18"/>
                <w:lang w:val="en-US" w:eastAsia="zh-CN" w:bidi="ar-SA"/>
              </w:rPr>
            </w:pPr>
            <w:r>
              <w:rPr>
                <w:rFonts w:hint="eastAsia" w:ascii="宋体" w:hAnsi="宋体" w:eastAsia="宋体" w:cs="宋体"/>
                <w:i w:val="0"/>
                <w:color w:val="000000"/>
                <w:kern w:val="0"/>
                <w:sz w:val="20"/>
                <w:szCs w:val="20"/>
                <w:highlight w:val="none"/>
                <w:u w:val="none"/>
                <w:lang w:val="en-US" w:eastAsia="zh-CN" w:bidi="ar"/>
              </w:rPr>
              <w:t>DN300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8EB92E">
            <w:pPr>
              <w:keepNext w:val="0"/>
              <w:keepLines w:val="0"/>
              <w:widowControl/>
              <w:suppressLineNumbers w:val="0"/>
              <w:jc w:val="center"/>
              <w:textAlignment w:val="center"/>
              <w:rPr>
                <w:rFonts w:hint="default" w:ascii="宋体" w:hAnsi="宋体" w:eastAsia="宋体" w:cs="宋体"/>
                <w:sz w:val="18"/>
                <w:szCs w:val="18"/>
                <w:lang w:val="en-US" w:eastAsia="zh-CN" w:bidi="ar-SA"/>
              </w:rPr>
            </w:pPr>
            <w:r>
              <w:rPr>
                <w:rFonts w:hint="eastAsia" w:ascii="仿宋" w:hAnsi="仿宋" w:eastAsia="仿宋" w:cs="仿宋"/>
                <w:sz w:val="18"/>
                <w:szCs w:val="18"/>
                <w:lang w:val="en-US" w:eastAsia="zh-CN"/>
              </w:rPr>
              <w:t>1200</w:t>
            </w:r>
          </w:p>
        </w:tc>
        <w:tc>
          <w:tcPr>
            <w:tcW w:w="2317" w:type="dxa"/>
            <w:tcBorders>
              <w:top w:val="single" w:color="000000" w:sz="4" w:space="0"/>
              <w:left w:val="single" w:color="000000" w:sz="4" w:space="0"/>
              <w:bottom w:val="single" w:color="000000" w:sz="4" w:space="0"/>
              <w:right w:val="single" w:color="000000" w:sz="4" w:space="0"/>
            </w:tcBorders>
            <w:noWrap w:val="0"/>
            <w:vAlign w:val="center"/>
          </w:tcPr>
          <w:p w14:paraId="6F2779BE">
            <w:pPr>
              <w:jc w:val="center"/>
              <w:rPr>
                <w:rFonts w:hint="default" w:ascii="Arial" w:hAnsi="Arial" w:cs="Arial"/>
                <w:i w:val="0"/>
                <w:iCs w:val="0"/>
                <w:color w:val="000000"/>
                <w:sz w:val="20"/>
                <w:szCs w:val="20"/>
                <w:u w:val="none"/>
              </w:rPr>
            </w:pPr>
          </w:p>
        </w:tc>
        <w:tc>
          <w:tcPr>
            <w:tcW w:w="2610" w:type="dxa"/>
            <w:tcBorders>
              <w:top w:val="single" w:color="000000" w:sz="4" w:space="0"/>
              <w:left w:val="single" w:color="000000" w:sz="4" w:space="0"/>
              <w:bottom w:val="single" w:color="000000" w:sz="4" w:space="0"/>
              <w:right w:val="single" w:color="000000" w:sz="4" w:space="0"/>
            </w:tcBorders>
            <w:noWrap w:val="0"/>
            <w:vAlign w:val="center"/>
          </w:tcPr>
          <w:p w14:paraId="0196A017">
            <w:pPr>
              <w:jc w:val="center"/>
              <w:rPr>
                <w:rFonts w:hint="default" w:ascii="Arial" w:hAnsi="Arial" w:cs="Arial"/>
                <w:i w:val="0"/>
                <w:iCs w:val="0"/>
                <w:color w:val="000000"/>
                <w:sz w:val="20"/>
                <w:szCs w:val="20"/>
                <w:u w:val="none"/>
              </w:rPr>
            </w:pPr>
          </w:p>
        </w:tc>
        <w:tc>
          <w:tcPr>
            <w:tcW w:w="1944" w:type="dxa"/>
            <w:tcBorders>
              <w:top w:val="single" w:color="000000" w:sz="4" w:space="0"/>
              <w:left w:val="single" w:color="000000" w:sz="4" w:space="0"/>
              <w:bottom w:val="single" w:color="000000" w:sz="4" w:space="0"/>
              <w:right w:val="single" w:color="000000" w:sz="4" w:space="0"/>
            </w:tcBorders>
            <w:noWrap w:val="0"/>
            <w:vAlign w:val="center"/>
          </w:tcPr>
          <w:p w14:paraId="77E615BF">
            <w:pPr>
              <w:jc w:val="center"/>
              <w:rPr>
                <w:rFonts w:hint="default" w:ascii="Arial" w:hAnsi="Arial" w:cs="Arial"/>
                <w:i w:val="0"/>
                <w:iCs w:val="0"/>
                <w:color w:val="000000"/>
                <w:sz w:val="20"/>
                <w:szCs w:val="20"/>
                <w:u w:val="none"/>
              </w:rPr>
            </w:pPr>
          </w:p>
        </w:tc>
        <w:tc>
          <w:tcPr>
            <w:tcW w:w="1944" w:type="dxa"/>
            <w:tcBorders>
              <w:top w:val="single" w:color="000000" w:sz="4" w:space="0"/>
              <w:left w:val="single" w:color="000000" w:sz="4" w:space="0"/>
              <w:bottom w:val="single" w:color="000000" w:sz="4" w:space="0"/>
              <w:right w:val="single" w:color="000000" w:sz="4" w:space="0"/>
            </w:tcBorders>
            <w:noWrap/>
            <w:vAlign w:val="center"/>
          </w:tcPr>
          <w:p w14:paraId="6CFF960E">
            <w:pPr>
              <w:jc w:val="center"/>
              <w:rPr>
                <w:rFonts w:hint="default" w:ascii="Arial" w:hAnsi="Arial" w:cs="Arial"/>
                <w:i w:val="0"/>
                <w:iCs w:val="0"/>
                <w:color w:val="000000"/>
                <w:sz w:val="20"/>
                <w:szCs w:val="20"/>
                <w:u w:val="none"/>
              </w:rPr>
            </w:pPr>
          </w:p>
        </w:tc>
      </w:tr>
    </w:tbl>
    <w:p w14:paraId="5ADACB82">
      <w:pPr>
        <w:spacing w:after="0" w:line="400" w:lineRule="exact"/>
        <w:rPr>
          <w:rFonts w:ascii="宋体" w:hAnsi="宋体" w:cs="宋体"/>
          <w:sz w:val="20"/>
          <w:szCs w:val="20"/>
          <w:lang w:eastAsia="zh-CN"/>
        </w:rPr>
      </w:pPr>
      <w:r>
        <w:rPr>
          <w:rFonts w:hint="eastAsia" w:ascii="宋体" w:hAnsi="宋体" w:cs="宋体"/>
          <w:sz w:val="20"/>
          <w:szCs w:val="20"/>
          <w:lang w:eastAsia="zh-CN"/>
        </w:rPr>
        <w:t xml:space="preserve">                                                                                         </w:t>
      </w:r>
    </w:p>
    <w:p w14:paraId="69EC3371">
      <w:pPr>
        <w:spacing w:line="500" w:lineRule="exact"/>
        <w:ind w:firstLine="420" w:firstLineChars="200"/>
        <w:rPr>
          <w:rFonts w:hint="eastAsia" w:ascii="宋体" w:hAnsi="宋体" w:cs="宋体"/>
          <w:color w:val="000000"/>
          <w:sz w:val="21"/>
          <w:szCs w:val="21"/>
          <w:lang w:val="en-US" w:eastAsia="zh-CN"/>
        </w:rPr>
      </w:pPr>
      <w:r>
        <w:rPr>
          <w:rFonts w:hint="eastAsia" w:ascii="宋体" w:hAnsi="宋体" w:cs="宋体"/>
          <w:color w:val="000000"/>
          <w:sz w:val="21"/>
          <w:szCs w:val="21"/>
          <w:lang w:val="en-US" w:eastAsia="zh-CN"/>
        </w:rPr>
        <w:t>1.综合</w:t>
      </w:r>
      <w:r>
        <w:rPr>
          <w:rFonts w:hint="eastAsia" w:ascii="宋体" w:hAnsi="宋体" w:eastAsia="宋体" w:cs="宋体"/>
          <w:color w:val="000000"/>
          <w:sz w:val="21"/>
          <w:szCs w:val="21"/>
        </w:rPr>
        <w:t>单价：</w:t>
      </w:r>
      <w:r>
        <w:rPr>
          <w:rFonts w:hint="eastAsia" w:ascii="宋体" w:hAnsi="宋体" w:cs="宋体"/>
          <w:color w:val="000000"/>
          <w:sz w:val="21"/>
          <w:szCs w:val="21"/>
          <w:lang w:val="en-US" w:eastAsia="zh-CN"/>
        </w:rPr>
        <w:t>包含材料的出厂价格、运输费、场外运输损耗（运输途中损坏的由乙方负责更换）、试验检测费、保险费、仓储费、保管费、供应过程的安全费、利润和税金等所有费用。</w:t>
      </w:r>
    </w:p>
    <w:p w14:paraId="50EB86E8">
      <w:pPr>
        <w:pStyle w:val="14"/>
        <w:rPr>
          <w:rFonts w:hint="default" w:ascii="宋体" w:hAnsi="宋体" w:cs="宋体"/>
          <w:sz w:val="20"/>
          <w:szCs w:val="20"/>
          <w:lang w:val="en-US" w:eastAsia="zh-CN"/>
        </w:rPr>
      </w:pPr>
      <w:r>
        <w:rPr>
          <w:rFonts w:hint="eastAsia" w:hAnsi="宋体" w:cs="宋体"/>
          <w:sz w:val="20"/>
          <w:szCs w:val="20"/>
          <w:lang w:val="en-US" w:eastAsia="zh-CN"/>
        </w:rPr>
        <w:t xml:space="preserve">    2.我方承诺</w:t>
      </w:r>
      <w:r>
        <w:rPr>
          <w:rFonts w:hint="eastAsia" w:hAnsi="宋体" w:cs="宋体"/>
          <w:sz w:val="20"/>
          <w:szCs w:val="20"/>
          <w:u w:val="single"/>
          <w:lang w:val="en-US" w:eastAsia="zh-CN"/>
        </w:rPr>
        <w:t xml:space="preserve">    （垫资比例）    </w:t>
      </w:r>
      <w:r>
        <w:rPr>
          <w:rFonts w:hint="eastAsia" w:hAnsi="宋体" w:cs="宋体"/>
          <w:sz w:val="20"/>
          <w:szCs w:val="20"/>
          <w:lang w:val="en-US" w:eastAsia="zh-CN"/>
        </w:rPr>
        <w:t>垫资</w:t>
      </w:r>
      <w:r>
        <w:rPr>
          <w:rFonts w:hint="eastAsia" w:hAnsi="宋体" w:cs="宋体"/>
          <w:sz w:val="20"/>
          <w:szCs w:val="20"/>
          <w:u w:val="single"/>
          <w:lang w:val="en-US" w:eastAsia="zh-CN"/>
        </w:rPr>
        <w:t xml:space="preserve">      </w:t>
      </w:r>
      <w:r>
        <w:rPr>
          <w:rFonts w:hint="eastAsia" w:hAnsi="宋体" w:cs="宋体"/>
          <w:sz w:val="20"/>
          <w:szCs w:val="20"/>
          <w:lang w:val="en-US" w:eastAsia="zh-CN"/>
        </w:rPr>
        <w:t>个月。</w:t>
      </w:r>
    </w:p>
    <w:p w14:paraId="52A5FF99">
      <w:pPr>
        <w:pStyle w:val="14"/>
        <w:rPr>
          <w:rFonts w:hint="eastAsia" w:ascii="宋体" w:hAnsi="宋体" w:cs="宋体"/>
          <w:sz w:val="20"/>
          <w:szCs w:val="20"/>
          <w:lang w:eastAsia="zh-CN"/>
        </w:rPr>
      </w:pPr>
    </w:p>
    <w:p w14:paraId="6767E63E">
      <w:pPr>
        <w:spacing w:line="400" w:lineRule="exact"/>
        <w:ind w:firstLine="8200" w:firstLineChars="4100"/>
        <w:rPr>
          <w:rFonts w:ascii="宋体" w:hAnsi="宋体" w:cs="宋体"/>
          <w:sz w:val="20"/>
          <w:szCs w:val="20"/>
          <w:lang w:eastAsia="zh-CN"/>
        </w:rPr>
      </w:pPr>
      <w:r>
        <w:rPr>
          <w:rFonts w:hint="eastAsia" w:ascii="宋体" w:hAnsi="宋体" w:cs="宋体"/>
          <w:color w:val="000000"/>
          <w:sz w:val="20"/>
          <w:szCs w:val="20"/>
          <w:lang w:eastAsia="zh-CN"/>
        </w:rPr>
        <w:t>报价人：</w:t>
      </w:r>
      <w:r>
        <w:rPr>
          <w:rFonts w:hint="eastAsia" w:ascii="宋体" w:hAnsi="宋体" w:cs="宋体"/>
          <w:color w:val="000000"/>
          <w:sz w:val="20"/>
          <w:szCs w:val="20"/>
          <w:u w:val="single"/>
          <w:lang w:eastAsia="zh-CN"/>
        </w:rPr>
        <w:t xml:space="preserve">                   （全称）</w:t>
      </w:r>
      <w:r>
        <w:rPr>
          <w:rFonts w:hint="eastAsia" w:ascii="宋体" w:hAnsi="宋体" w:cs="宋体"/>
          <w:color w:val="000000"/>
          <w:sz w:val="20"/>
          <w:szCs w:val="20"/>
          <w:lang w:eastAsia="zh-CN"/>
        </w:rPr>
        <w:t xml:space="preserve">（盖章） </w:t>
      </w:r>
    </w:p>
    <w:p w14:paraId="0264C43C">
      <w:pPr>
        <w:spacing w:line="400" w:lineRule="exact"/>
        <w:ind w:firstLine="8200" w:firstLineChars="4100"/>
        <w:rPr>
          <w:rFonts w:ascii="宋体" w:hAnsi="宋体" w:cs="宋体"/>
          <w:color w:val="000000"/>
          <w:sz w:val="20"/>
          <w:szCs w:val="20"/>
          <w:lang w:eastAsia="zh-CN"/>
        </w:rPr>
      </w:pPr>
      <w:r>
        <w:rPr>
          <w:rFonts w:hint="eastAsia" w:ascii="宋体" w:hAnsi="宋体" w:cs="宋体"/>
          <w:color w:val="000000"/>
          <w:sz w:val="20"/>
          <w:szCs w:val="20"/>
          <w:lang w:eastAsia="zh-CN"/>
        </w:rPr>
        <w:t>法定代表人</w:t>
      </w:r>
    </w:p>
    <w:p w14:paraId="2020F354">
      <w:pPr>
        <w:spacing w:line="400" w:lineRule="exact"/>
        <w:ind w:firstLine="8100" w:firstLineChars="4050"/>
        <w:rPr>
          <w:rFonts w:ascii="宋体" w:hAnsi="宋体" w:cs="宋体"/>
          <w:color w:val="000000"/>
          <w:sz w:val="20"/>
          <w:szCs w:val="20"/>
          <w:lang w:eastAsia="zh-CN"/>
        </w:rPr>
      </w:pPr>
      <w:r>
        <w:rPr>
          <w:rFonts w:hint="eastAsia" w:ascii="宋体" w:hAnsi="宋体" w:cs="宋体"/>
          <w:color w:val="000000"/>
          <w:sz w:val="20"/>
          <w:szCs w:val="20"/>
          <w:lang w:eastAsia="zh-CN"/>
        </w:rPr>
        <w:t>（或授权代理人）（签字）：</w:t>
      </w:r>
      <w:r>
        <w:rPr>
          <w:rFonts w:hint="eastAsia" w:ascii="宋体" w:hAnsi="宋体" w:cs="宋体"/>
          <w:color w:val="000000"/>
          <w:sz w:val="20"/>
          <w:szCs w:val="20"/>
          <w:u w:val="single"/>
          <w:lang w:eastAsia="zh-CN"/>
        </w:rPr>
        <w:t xml:space="preserve">             </w:t>
      </w:r>
    </w:p>
    <w:p w14:paraId="229CE825">
      <w:pPr>
        <w:spacing w:line="400" w:lineRule="exact"/>
        <w:ind w:firstLine="9100" w:firstLineChars="4550"/>
        <w:rPr>
          <w:lang w:eastAsia="zh-CN"/>
        </w:rPr>
      </w:pPr>
      <w:r>
        <w:rPr>
          <w:rFonts w:hint="eastAsia" w:ascii="宋体" w:hAnsi="宋体" w:cs="宋体"/>
          <w:color w:val="000000"/>
          <w:sz w:val="20"/>
          <w:szCs w:val="20"/>
          <w:lang w:eastAsia="zh-CN"/>
        </w:rPr>
        <w:t>日期：</w:t>
      </w:r>
      <w:r>
        <w:rPr>
          <w:rFonts w:hint="eastAsia" w:ascii="宋体" w:hAnsi="宋体" w:cs="宋体"/>
          <w:color w:val="000000"/>
          <w:sz w:val="20"/>
          <w:szCs w:val="20"/>
          <w:u w:val="single"/>
          <w:lang w:eastAsia="zh-CN"/>
        </w:rPr>
        <w:t xml:space="preserve">      </w:t>
      </w:r>
      <w:r>
        <w:rPr>
          <w:rFonts w:hint="eastAsia" w:ascii="宋体" w:hAnsi="宋体" w:cs="宋体"/>
          <w:color w:val="000000"/>
          <w:sz w:val="20"/>
          <w:szCs w:val="20"/>
          <w:lang w:eastAsia="zh-CN"/>
        </w:rPr>
        <w:t>年</w:t>
      </w:r>
      <w:r>
        <w:rPr>
          <w:rFonts w:hint="eastAsia" w:ascii="宋体" w:hAnsi="宋体" w:cs="宋体"/>
          <w:color w:val="000000"/>
          <w:sz w:val="20"/>
          <w:szCs w:val="20"/>
          <w:u w:val="single"/>
          <w:lang w:eastAsia="zh-CN"/>
        </w:rPr>
        <w:t xml:space="preserve">     </w:t>
      </w:r>
      <w:r>
        <w:rPr>
          <w:rFonts w:hint="eastAsia" w:ascii="宋体" w:hAnsi="宋体" w:cs="宋体"/>
          <w:color w:val="000000"/>
          <w:sz w:val="20"/>
          <w:szCs w:val="20"/>
          <w:lang w:eastAsia="zh-CN"/>
        </w:rPr>
        <w:t>月</w:t>
      </w:r>
      <w:r>
        <w:rPr>
          <w:rFonts w:hint="eastAsia" w:ascii="宋体" w:hAnsi="宋体" w:cs="宋体"/>
          <w:color w:val="000000"/>
          <w:sz w:val="20"/>
          <w:szCs w:val="20"/>
          <w:u w:val="single"/>
          <w:lang w:eastAsia="zh-CN"/>
        </w:rPr>
        <w:t xml:space="preserve">      </w:t>
      </w:r>
    </w:p>
    <w:sectPr>
      <w:footerReference r:id="rId6" w:type="default"/>
      <w:pgSz w:w="16838" w:h="11906" w:orient="landscape"/>
      <w:pgMar w:top="567" w:right="851" w:bottom="567" w:left="85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Bookman Old Style">
    <w:panose1 w:val="02050604050505020204"/>
    <w:charset w:val="00"/>
    <w:family w:val="roman"/>
    <w:pitch w:val="default"/>
    <w:sig w:usb0="00000287" w:usb1="00000000" w:usb2="00000000" w:usb3="00000000" w:csb0="2000009F" w:csb1="DFD70000"/>
  </w:font>
  <w:font w:name="仿宋">
    <w:panose1 w:val="02010609060101010101"/>
    <w:charset w:val="86"/>
    <w:family w:val="modern"/>
    <w:pitch w:val="default"/>
    <w:sig w:usb0="800002BF" w:usb1="38CF7CFA" w:usb2="00000016" w:usb3="00000000" w:csb0="00040001" w:csb1="00000000"/>
  </w:font>
  <w:font w:name="F2,Bold">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9BD2B">
    <w:pPr>
      <w:pStyle w:val="8"/>
      <w:jc w:val="center"/>
      <w:rPr>
        <w:lang w:eastAsia="zh-CN"/>
      </w:rPr>
    </w:pPr>
    <w:r>
      <mc:AlternateContent>
        <mc:Choice Requires="wps">
          <w:drawing>
            <wp:anchor distT="0" distB="0" distL="114300" distR="114300" simplePos="0" relativeHeight="251661312" behindDoc="0" locked="0" layoutInCell="1" allowOverlap="1">
              <wp:simplePos x="0" y="0"/>
              <wp:positionH relativeFrom="page">
                <wp:posOffset>3619500</wp:posOffset>
              </wp:positionH>
              <wp:positionV relativeFrom="paragraph">
                <wp:posOffset>369570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4EFA941">
                          <w:pPr>
                            <w:snapToGrid w:val="0"/>
                            <w:rPr>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42</w:t>
                          </w:r>
                          <w:r>
                            <w:rPr>
                              <w:rFonts w:hint="eastAsia"/>
                              <w:sz w:val="18"/>
                              <w:lang w:eastAsia="zh-CN"/>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left:285pt;margin-top:29.1pt;height:144pt;width:144pt;mso-position-horizontal-relative:page;mso-wrap-style:none;z-index:251661312;mso-width-relative:page;mso-height-relative:page;" filled="f" stroked="f" coordsize="21600,21600" o:gfxdata="UEsDBAoAAAAAAIdO4kAAAAAAAAAAAAAAAAAEAAAAZHJzL1BLAwQUAAAACACHTuJAneDRaNcAAAAK&#10;AQAADwAAAGRycy9kb3ducmV2LnhtbE2PzU7DMBCE70i8g7VI3KjdQFsrxOmhEhduFITEzY23cYR/&#10;IttNk7dnOcFtd2c0+02zn71jE6Y8xKBgvRLAMHTRDKFX8PH+8iCB5aKD0S4GVLBghn17e9Po2sRr&#10;eMPpWHpGISHXWoEtZaw5z51Fr/MqjhhIO8fkdaE19dwkfaVw73glxJZ7PQT6YPWIB4vd9/HiFezm&#10;z4hjxgN+nacu2WGR7nVR6v5uLZ6BFZzLnxl+8QkdWmI6xUswmTkFm52gLoUGWQEjg9xIOpwUPD5t&#10;K+Btw/9XaH8AUEsDBBQAAAAIAIdO4kBaXEZZwAEAAI0DAAAOAAAAZHJzL2Uyb0RvYy54bWytU82O&#10;0zAQviPxDpbv1NkcUBU1XYGqRUgIkBYewHXsxpL/5HGb9AXgDThx4c5z9TkYO0l3WS574OKMZ8bf&#10;zPfNZHM7WkNOMoL2rqU3q4oS6YTvtDu09OuXu1drSiBx13HjnWzpWQK93b58sRlCI2vfe9PJSBDE&#10;QTOElvYphYYxEL20HFY+SIdB5aPlCa/xwLrIB0S3htVV9ZoNPnYheiEB0LubgnRGjM8B9EppIXde&#10;HK10aUKN0vCElKDXAei2dKuUFOmTUiATMS1FpqmcWATtfT7ZdsObQ+Sh12JugT+nhSecLNcOi16h&#10;djxxcoz6HyirRfTgVVoJb9lEpCiCLG6qJ9rc9zzIwgWlhnAVHf4frPh4+hyJ7lpaU+K4xYFffny/&#10;/Px9+fWN1FmeIUCDWfcB89L41o+4NIsf0JlZjyra/EU+BOMo7vkqrhwTEfnRul6vKwwJjC0XxGcP&#10;z0OE9E56S7LR0ojTK6Ly0wdIU+qSkqs5f6eNKRM07i8HYmYPy71PPWYrjftxJrT33Rn5DDj4ljrc&#10;c0rMe4e65h1ZjLgY+9nINSC8OSYsXPrJqBPUXAynVBjNG5XX4PG9ZD38Rd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neDRaNcAAAAKAQAADwAAAAAAAAABACAAAAAiAAAAZHJzL2Rvd25yZXYueG1s&#10;UEsBAhQAFAAAAAgAh07iQFpcRlnAAQAAjQMAAA4AAAAAAAAAAQAgAAAAJgEAAGRycy9lMm9Eb2Mu&#10;eG1sUEsFBgAAAAAGAAYAWQEAAFgFAAAAAA==&#10;">
              <v:fill on="f" focussize="0,0"/>
              <v:stroke on="f"/>
              <v:imagedata o:title=""/>
              <o:lock v:ext="edit" aspectratio="f"/>
              <v:textbox inset="0mm,0mm,0mm,0mm" style="mso-fit-shape-to-text:t;">
                <w:txbxContent>
                  <w:p w14:paraId="24EFA941">
                    <w:pPr>
                      <w:snapToGrid w:val="0"/>
                      <w:rPr>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42</w:t>
                    </w:r>
                    <w:r>
                      <w:rPr>
                        <w:rFonts w:hint="eastAsia"/>
                        <w:sz w:val="18"/>
                        <w:lang w:eastAsia="zh-CN"/>
                      </w:rP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page">
                <wp:posOffset>3619500</wp:posOffset>
              </wp:positionH>
              <wp:positionV relativeFrom="paragraph">
                <wp:posOffset>369570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731F0827">
                          <w:pPr>
                            <w:pStyle w:val="8"/>
                            <w:jc w:val="center"/>
                          </w:pPr>
                        </w:p>
                      </w:txbxContent>
                    </wps:txbx>
                    <wps:bodyPr wrap="none" lIns="0" tIns="0" rIns="0" bIns="0" upright="1">
                      <a:spAutoFit/>
                    </wps:bodyPr>
                  </wps:wsp>
                </a:graphicData>
              </a:graphic>
            </wp:anchor>
          </w:drawing>
        </mc:Choice>
        <mc:Fallback>
          <w:pict>
            <v:shape id="_x0000_s1026" o:spid="_x0000_s1026" o:spt="202" type="#_x0000_t202" style="position:absolute;left:0pt;margin-left:285pt;margin-top:29.1pt;height:144pt;width:144pt;mso-position-horizontal-relative:page;mso-wrap-style:none;z-index:251659264;mso-width-relative:page;mso-height-relative:page;" filled="f" stroked="f" coordsize="21600,21600" o:gfxdata="UEsDBAoAAAAAAIdO4kAAAAAAAAAAAAAAAAAEAAAAZHJzL1BLAwQUAAAACACHTuJAneDRaNcAAAAK&#10;AQAADwAAAGRycy9kb3ducmV2LnhtbE2PzU7DMBCE70i8g7VI3KjdQFsrxOmhEhduFITEzY23cYR/&#10;IttNk7dnOcFtd2c0+02zn71jE6Y8xKBgvRLAMHTRDKFX8PH+8iCB5aKD0S4GVLBghn17e9Po2sRr&#10;eMPpWHpGISHXWoEtZaw5z51Fr/MqjhhIO8fkdaE19dwkfaVw73glxJZ7PQT6YPWIB4vd9/HiFezm&#10;z4hjxgN+nacu2WGR7nVR6v5uLZ6BFZzLnxl+8QkdWmI6xUswmTkFm52gLoUGWQEjg9xIOpwUPD5t&#10;K+Btw/9XaH8AUEsDBBQAAAAIAIdO4kCythk51gEAALADAAAOAAAAZHJzL2Uyb0RvYy54bWytU82O&#10;0zAQviPxDpbvNGmlRSVqugJVi5AQIC37AK7jNJb8pxm3SV8A3oATF+48V5+DsZN00XLZAxdn/vzN&#10;fJ8nm9vBGnZSgNq7mi8XJWfKSd9od6j5w9e7V2vOMArXCOOdqvlZIb/dvnyx6UOlVr7zplHACMRh&#10;1YeadzGGqihQdsoKXPigHCVbD1ZEcuFQNCB6QremWJXl66L30ATwUiFSdDcm+YQIzwH0baul2nl5&#10;tMrFERWUEZEoYacD8m2etm2VjJ/bFlVkpubENOaTmpC9T2ex3YjqACJ0Wk4jiOeM8ISTFdpR0yvU&#10;TkTBjqD/gbJagkffxoX0thiJZEWIxbJ8os19J4LKXEhqDFfR8f/Byk+nL8B0Q5vAmROWHvzy4/vl&#10;5+/Lr29smeTpA1ZUdR+oLg7v/JBKpzhSMLEeWrDpS3wY5Unc81VcNUQm06X1ar0uKSUpNzuEUzxe&#10;D4DxvfKWJaPmQK+XRRWnjxjH0rkkdXP+ThtDcVEZx/qav7lZ3eQL1wyBG5cKVN6FCSZRGkdPVhz2&#10;w8Rn75sz0expH2ruaP05Mx8cyZ1WZzZgNvazcQygDx1NvMzdMbw9Rpotj5w6jLBENTn0kJn0tHRp&#10;U/72c9Xjj7b9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J3g0WjXAAAACgEAAA8AAAAAAAAAAQAg&#10;AAAAIgAAAGRycy9kb3ducmV2LnhtbFBLAQIUABQAAAAIAIdO4kCythk51gEAALADAAAOAAAAAAAA&#10;AAEAIAAAACYBAABkcnMvZTJvRG9jLnhtbFBLBQYAAAAABgAGAFkBAABuBQAAAAA=&#10;">
              <v:fill on="f" focussize="0,0"/>
              <v:stroke on="f"/>
              <v:imagedata o:title=""/>
              <o:lock v:ext="edit" aspectratio="f"/>
              <v:textbox inset="0mm,0mm,0mm,0mm" style="mso-fit-shape-to-text:t;">
                <w:txbxContent>
                  <w:p w14:paraId="731F0827">
                    <w:pPr>
                      <w:pStyle w:val="8"/>
                      <w:jc w:val="cente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4A92B">
    <w:pPr>
      <w:pStyle w:val="9"/>
      <w:pBdr>
        <w:bottom w:val="none" w:color="auto" w:sz="0" w:space="0"/>
      </w:pBdr>
    </w:pPr>
    <w:r>
      <w:rPr>
        <w:rFonts w:hint="eastAsia" w:ascii="宋体" w:hAnsi="宋体" w:eastAsia="宋体"/>
        <w:color w:val="DDDDDD"/>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3B1294"/>
    <w:multiLevelType w:val="multilevel"/>
    <w:tmpl w:val="1D3B1294"/>
    <w:lvl w:ilvl="0" w:tentative="0">
      <w:start w:val="1"/>
      <w:numFmt w:val="japaneseCounting"/>
      <w:lvlText w:val="第%1章"/>
      <w:lvlJc w:val="left"/>
      <w:pPr>
        <w:ind w:left="1155" w:hanging="1155"/>
      </w:pPr>
      <w:rPr>
        <w:rFonts w:hint="default"/>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4FBDB45"/>
    <w:multiLevelType w:val="singleLevel"/>
    <w:tmpl w:val="74FBDB45"/>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footnotePr>
    <w:numRestart w:val="eachSect"/>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2NjI4NGM5NDJiZjNhYjM5ZjA3ZDhlMWE5YjU3YTcifQ=="/>
  </w:docVars>
  <w:rsids>
    <w:rsidRoot w:val="149D513A"/>
    <w:rsid w:val="000C5E61"/>
    <w:rsid w:val="000D25A2"/>
    <w:rsid w:val="001313FA"/>
    <w:rsid w:val="001B5C76"/>
    <w:rsid w:val="002171DE"/>
    <w:rsid w:val="003C5787"/>
    <w:rsid w:val="003E278E"/>
    <w:rsid w:val="00410CEA"/>
    <w:rsid w:val="005E69F4"/>
    <w:rsid w:val="006E2B36"/>
    <w:rsid w:val="007D644B"/>
    <w:rsid w:val="00950501"/>
    <w:rsid w:val="00991682"/>
    <w:rsid w:val="00B52D59"/>
    <w:rsid w:val="00C41612"/>
    <w:rsid w:val="00C92C96"/>
    <w:rsid w:val="00DF79C4"/>
    <w:rsid w:val="00E24D13"/>
    <w:rsid w:val="00E539BE"/>
    <w:rsid w:val="00F84DF7"/>
    <w:rsid w:val="00FC52A8"/>
    <w:rsid w:val="05425993"/>
    <w:rsid w:val="06E64761"/>
    <w:rsid w:val="07A4338A"/>
    <w:rsid w:val="10665C63"/>
    <w:rsid w:val="10AB4F16"/>
    <w:rsid w:val="11EC3DBF"/>
    <w:rsid w:val="135950FD"/>
    <w:rsid w:val="13810729"/>
    <w:rsid w:val="138841B3"/>
    <w:rsid w:val="149D513A"/>
    <w:rsid w:val="169E106D"/>
    <w:rsid w:val="17434891"/>
    <w:rsid w:val="1B205F4A"/>
    <w:rsid w:val="1BBF11E5"/>
    <w:rsid w:val="1C2F3541"/>
    <w:rsid w:val="1DFB4FF9"/>
    <w:rsid w:val="1F103780"/>
    <w:rsid w:val="205652C0"/>
    <w:rsid w:val="22DA2D6C"/>
    <w:rsid w:val="243E67D0"/>
    <w:rsid w:val="32E4458C"/>
    <w:rsid w:val="36C21D3E"/>
    <w:rsid w:val="375810A4"/>
    <w:rsid w:val="38E2038E"/>
    <w:rsid w:val="4414632F"/>
    <w:rsid w:val="44237B02"/>
    <w:rsid w:val="4CF62834"/>
    <w:rsid w:val="4DF93825"/>
    <w:rsid w:val="4F7E2300"/>
    <w:rsid w:val="51DC690E"/>
    <w:rsid w:val="52EC6E19"/>
    <w:rsid w:val="5474356A"/>
    <w:rsid w:val="579E79C6"/>
    <w:rsid w:val="5E21706F"/>
    <w:rsid w:val="5F60132B"/>
    <w:rsid w:val="610A6A4C"/>
    <w:rsid w:val="63EF029C"/>
    <w:rsid w:val="65393B82"/>
    <w:rsid w:val="65A73073"/>
    <w:rsid w:val="665C3E5E"/>
    <w:rsid w:val="672C100B"/>
    <w:rsid w:val="67E479A7"/>
    <w:rsid w:val="6ACB15B2"/>
    <w:rsid w:val="6C6571D7"/>
    <w:rsid w:val="6C712D86"/>
    <w:rsid w:val="74357340"/>
    <w:rsid w:val="79706F41"/>
    <w:rsid w:val="7BD86B59"/>
    <w:rsid w:val="7D4668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200" w:line="276" w:lineRule="auto"/>
    </w:pPr>
    <w:rPr>
      <w:rFonts w:ascii="Times New Roman" w:hAnsi="Times New Roman" w:eastAsia="宋体" w:cs="Times New Roman"/>
      <w:sz w:val="22"/>
      <w:szCs w:val="22"/>
      <w:lang w:val="en-US" w:eastAsia="en-US" w:bidi="ar-SA"/>
    </w:rPr>
  </w:style>
  <w:style w:type="paragraph" w:styleId="3">
    <w:name w:val="heading 1"/>
    <w:basedOn w:val="1"/>
    <w:next w:val="1"/>
    <w:qFormat/>
    <w:uiPriority w:val="0"/>
    <w:pPr>
      <w:spacing w:before="480" w:after="0"/>
      <w:contextualSpacing/>
      <w:outlineLvl w:val="0"/>
    </w:pPr>
    <w:rPr>
      <w:rFonts w:ascii="Cambria" w:hAnsi="Cambria"/>
      <w:b/>
      <w:bCs/>
      <w:sz w:val="28"/>
      <w:szCs w:val="28"/>
    </w:rPr>
  </w:style>
  <w:style w:type="paragraph" w:styleId="4">
    <w:name w:val="heading 2"/>
    <w:basedOn w:val="1"/>
    <w:next w:val="1"/>
    <w:qFormat/>
    <w:uiPriority w:val="0"/>
    <w:pPr>
      <w:spacing w:before="200" w:after="0"/>
      <w:outlineLvl w:val="1"/>
    </w:pPr>
    <w:rPr>
      <w:rFonts w:ascii="Cambria" w:hAnsi="Cambria"/>
      <w:b/>
      <w:bCs/>
      <w:sz w:val="26"/>
      <w:szCs w:val="26"/>
    </w:rPr>
  </w:style>
  <w:style w:type="paragraph" w:styleId="5">
    <w:name w:val="heading 3"/>
    <w:basedOn w:val="1"/>
    <w:next w:val="1"/>
    <w:qFormat/>
    <w:uiPriority w:val="99"/>
    <w:pPr>
      <w:spacing w:before="200" w:after="0" w:line="271" w:lineRule="auto"/>
      <w:outlineLvl w:val="2"/>
    </w:pPr>
    <w:rPr>
      <w:rFonts w:ascii="Cambria" w:hAnsi="Cambria"/>
      <w:b/>
      <w:bCs/>
    </w:rPr>
  </w:style>
  <w:style w:type="character" w:default="1" w:styleId="13">
    <w:name w:val="Default Paragraph Font"/>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6">
    <w:name w:val="Body Text Indent"/>
    <w:basedOn w:val="1"/>
    <w:qFormat/>
    <w:uiPriority w:val="0"/>
    <w:pPr>
      <w:spacing w:after="120"/>
      <w:ind w:left="420" w:leftChars="200"/>
    </w:pPr>
    <w:rPr>
      <w:sz w:val="20"/>
      <w:szCs w:val="24"/>
    </w:rPr>
  </w:style>
  <w:style w:type="paragraph" w:styleId="7">
    <w:name w:val="Plain Text"/>
    <w:basedOn w:val="1"/>
    <w:link w:val="19"/>
    <w:qFormat/>
    <w:uiPriority w:val="0"/>
    <w:pPr>
      <w:ind w:firstLine="200" w:firstLineChars="200"/>
    </w:pPr>
    <w:rPr>
      <w:rFonts w:ascii="宋体" w:hAnsi="Courier New" w:eastAsia="Times New Roman"/>
      <w:sz w:val="20"/>
      <w:szCs w:val="21"/>
    </w:rPr>
  </w:style>
  <w:style w:type="paragraph" w:styleId="8">
    <w:name w:val="footer"/>
    <w:basedOn w:val="1"/>
    <w:qFormat/>
    <w:uiPriority w:val="0"/>
    <w:pPr>
      <w:tabs>
        <w:tab w:val="center" w:pos="4153"/>
        <w:tab w:val="right" w:pos="8306"/>
      </w:tabs>
      <w:snapToGrid w:val="0"/>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100" w:beforeAutospacing="1" w:after="100" w:afterAutospacing="1"/>
    </w:pPr>
    <w:rPr>
      <w:rFonts w:ascii="Arial Unicode MS" w:hAnsi="Arial Unicode MS"/>
      <w:sz w:val="24"/>
    </w:rPr>
  </w:style>
  <w:style w:type="paragraph" w:styleId="11">
    <w:name w:val="Body Text First Indent"/>
    <w:basedOn w:val="2"/>
    <w:unhideWhenUsed/>
    <w:qFormat/>
    <w:uiPriority w:val="0"/>
    <w:pPr>
      <w:widowControl w:val="0"/>
      <w:spacing w:line="240" w:lineRule="auto"/>
      <w:ind w:firstLine="420" w:firstLineChars="100"/>
      <w:jc w:val="both"/>
    </w:pPr>
    <w:rPr>
      <w:rFonts w:ascii="Bookman Old Style" w:hAnsi="Bookman Old Style" w:eastAsia="Bookman Old Style" w:cs="Bookman Old Style"/>
      <w:color w:val="000000"/>
      <w:kern w:val="2"/>
      <w:sz w:val="24"/>
      <w:szCs w:val="28"/>
      <w:lang w:eastAsia="zh-CN"/>
    </w:rPr>
  </w:style>
  <w:style w:type="paragraph" w:customStyle="1" w:styleId="14">
    <w:name w:val="Default"/>
    <w:qFormat/>
    <w:uiPriority w:val="99"/>
    <w:pPr>
      <w:widowControl w:val="0"/>
      <w:autoSpaceDE w:val="0"/>
      <w:autoSpaceDN w:val="0"/>
      <w:adjustRightInd w:val="0"/>
      <w:spacing w:after="200" w:line="276" w:lineRule="auto"/>
    </w:pPr>
    <w:rPr>
      <w:rFonts w:ascii="宋体" w:hAnsi="Times New Roman" w:eastAsia="宋体" w:cs="宋体"/>
      <w:color w:val="000000"/>
      <w:sz w:val="24"/>
      <w:szCs w:val="24"/>
      <w:lang w:val="en-US" w:eastAsia="zh-CN" w:bidi="ar-SA"/>
    </w:rPr>
  </w:style>
  <w:style w:type="paragraph" w:customStyle="1" w:styleId="15">
    <w:name w:val="列出段落1"/>
    <w:basedOn w:val="1"/>
    <w:unhideWhenUsed/>
    <w:qFormat/>
    <w:uiPriority w:val="99"/>
    <w:pPr>
      <w:ind w:firstLine="420" w:firstLineChars="200"/>
    </w:pPr>
  </w:style>
  <w:style w:type="paragraph" w:customStyle="1" w:styleId="16">
    <w:name w:val="样式 标题 2 + Times New Roman 四号 非加粗 段前: 5 磅 段后: 0 磅 行距: 固定值 20..."/>
    <w:basedOn w:val="4"/>
    <w:next w:val="7"/>
    <w:qFormat/>
    <w:uiPriority w:val="0"/>
    <w:pPr>
      <w:spacing w:before="100" w:line="400" w:lineRule="exact"/>
    </w:pPr>
    <w:rPr>
      <w:rFonts w:ascii="Times New Roman" w:hAnsi="Times New Roman" w:cs="宋体"/>
      <w:b w:val="0"/>
      <w:bCs w:val="0"/>
      <w:sz w:val="28"/>
      <w:szCs w:val="20"/>
    </w:rPr>
  </w:style>
  <w:style w:type="paragraph" w:customStyle="1" w:styleId="17">
    <w:name w:val="样式 标题 3 + (中文) 黑体 小四 非加粗 段前: 7.8 磅 段后: 0 磅 行距: 固定值 20 磅"/>
    <w:basedOn w:val="5"/>
    <w:qFormat/>
    <w:uiPriority w:val="0"/>
    <w:pPr>
      <w:spacing w:before="0" w:line="400" w:lineRule="exact"/>
    </w:pPr>
    <w:rPr>
      <w:rFonts w:eastAsia="黑体" w:cs="宋体"/>
      <w:b w:val="0"/>
      <w:bCs w:val="0"/>
      <w:sz w:val="24"/>
      <w:szCs w:val="20"/>
    </w:rPr>
  </w:style>
  <w:style w:type="paragraph" w:customStyle="1" w:styleId="18">
    <w:name w:val="正文1"/>
    <w:basedOn w:val="7"/>
    <w:qFormat/>
    <w:uiPriority w:val="0"/>
    <w:pPr>
      <w:widowControl w:val="0"/>
      <w:spacing w:after="0" w:line="300" w:lineRule="auto"/>
      <w:ind w:firstLine="0" w:firstLineChars="0"/>
      <w:jc w:val="both"/>
    </w:pPr>
    <w:rPr>
      <w:rFonts w:ascii="Calibri" w:hAnsi="宋体" w:eastAsia="宋体" w:cs="宋体"/>
      <w:bCs/>
      <w:kern w:val="2"/>
      <w:sz w:val="24"/>
      <w:szCs w:val="24"/>
      <w:lang w:eastAsia="zh-CN"/>
    </w:rPr>
  </w:style>
  <w:style w:type="character" w:customStyle="1" w:styleId="19">
    <w:name w:val="纯文本 字符"/>
    <w:basedOn w:val="13"/>
    <w:link w:val="7"/>
    <w:qFormat/>
    <w:uiPriority w:val="0"/>
    <w:rPr>
      <w:rFonts w:ascii="宋体" w:hAnsi="Courier New" w:eastAsia="Times New Roman" w:cs="Times New Roman"/>
      <w:szCs w:val="21"/>
      <w:lang w:eastAsia="en-US"/>
    </w:rPr>
  </w:style>
  <w:style w:type="character" w:customStyle="1" w:styleId="20">
    <w:name w:val="font01"/>
    <w:basedOn w:val="13"/>
    <w:qFormat/>
    <w:uiPriority w:val="0"/>
    <w:rPr>
      <w:rFonts w:hint="eastAsia" w:ascii="宋体" w:hAnsi="宋体" w:eastAsia="宋体" w:cs="宋体"/>
      <w:color w:val="000000"/>
      <w:sz w:val="21"/>
      <w:szCs w:val="21"/>
      <w:u w:val="none"/>
    </w:rPr>
  </w:style>
  <w:style w:type="paragraph" w:styleId="21">
    <w:name w:val="List Paragraph"/>
    <w:basedOn w:val="1"/>
    <w:qFormat/>
    <w:uiPriority w:val="34"/>
    <w:pPr>
      <w:ind w:firstLine="420" w:firstLineChars="200"/>
    </w:pPr>
  </w:style>
  <w:style w:type="paragraph" w:customStyle="1" w:styleId="22">
    <w:name w:val="Table Text"/>
    <w:basedOn w:val="1"/>
    <w:semiHidden/>
    <w:qFormat/>
    <w:uiPriority w:val="0"/>
    <w:rPr>
      <w:rFonts w:ascii="仿宋" w:hAnsi="仿宋" w:eastAsia="仿宋" w:cs="仿宋"/>
      <w:sz w:val="24"/>
      <w:szCs w:val="24"/>
      <w:lang w:val="en-US" w:eastAsia="en-US" w:bidi="ar-SA"/>
    </w:rPr>
  </w:style>
  <w:style w:type="table" w:customStyle="1" w:styleId="2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emf"/><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10520</Words>
  <Characters>10866</Characters>
  <Lines>88</Lines>
  <Paragraphs>25</Paragraphs>
  <TotalTime>18</TotalTime>
  <ScaleCrop>false</ScaleCrop>
  <LinksUpToDate>false</LinksUpToDate>
  <CharactersWithSpaces>11974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2021-10-19T04:49:00Z</dcterms:created>
  <dc:creator>朝阳的夏季</dc:creator>
  <cp:lastModifiedBy>郭硕</cp:lastModifiedBy>
  <dcterms:modified xsi:type="dcterms:W3CDTF">2025-03-31T02:21:09Z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41D82128C6E24BC882B383BC41D2E6CE</vt:lpwstr>
  </property>
  <property fmtid="{D5CDD505-2E9C-101B-9397-08002B2CF9AE}" pid="4" name="KSOTemplateDocerSaveRecord">
    <vt:lpwstr>eyJoZGlkIjoiNTU0ZmIwYTQ3NzlmZGUxZmU3Zjk0M2IyZTNmM2IxNjAiLCJ1c2VySWQiOiIxNDU1NTcxNDE4In0=</vt:lpwstr>
  </property>
</Properties>
</file>