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D0B09">
      <w:pPr>
        <w:outlineLvl w:val="1"/>
        <w:rPr>
          <w:rFonts w:ascii="宋体" w:hAnsi="宋体"/>
          <w:sz w:val="28"/>
          <w:szCs w:val="28"/>
        </w:rPr>
      </w:pPr>
      <w:bookmarkStart w:id="0" w:name="_Toc28954"/>
      <w:bookmarkStart w:id="1" w:name="_Toc19210"/>
      <w:bookmarkStart w:id="2" w:name="_Toc27894"/>
      <w:bookmarkStart w:id="3" w:name="_Toc28095"/>
      <w:bookmarkStart w:id="4" w:name="_Toc31355"/>
      <w:bookmarkStart w:id="5" w:name="_Toc29329"/>
      <w:bookmarkStart w:id="6" w:name="_Toc410207416"/>
      <w:bookmarkStart w:id="7" w:name="_Toc445215517"/>
      <w:r>
        <w:rPr>
          <w:rFonts w:hint="eastAsia" w:ascii="宋体" w:hAnsi="宋体"/>
          <w:sz w:val="28"/>
          <w:szCs w:val="28"/>
        </w:rPr>
        <w:t>附件一</w:t>
      </w:r>
      <w:bookmarkEnd w:id="0"/>
      <w:bookmarkEnd w:id="1"/>
      <w:bookmarkEnd w:id="2"/>
      <w:bookmarkEnd w:id="3"/>
      <w:bookmarkEnd w:id="4"/>
      <w:bookmarkEnd w:id="5"/>
    </w:p>
    <w:p w14:paraId="219AAD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新宋体"/>
          <w:b/>
          <w:bCs/>
          <w:kern w:val="0"/>
          <w:sz w:val="36"/>
          <w:szCs w:val="36"/>
        </w:rPr>
      </w:pPr>
      <w:bookmarkStart w:id="8" w:name="_Toc488396745"/>
      <w:bookmarkStart w:id="9" w:name="_Toc488217407"/>
      <w:r>
        <w:rPr>
          <w:rFonts w:hint="eastAsia" w:ascii="宋体" w:hAnsi="宋体" w:eastAsia="宋体" w:cs="新宋体"/>
          <w:b/>
          <w:bCs/>
          <w:kern w:val="0"/>
          <w:sz w:val="36"/>
          <w:szCs w:val="36"/>
        </w:rPr>
        <w:t>物资招标项目概况</w:t>
      </w:r>
      <w:bookmarkEnd w:id="8"/>
      <w:bookmarkEnd w:id="9"/>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01"/>
        <w:gridCol w:w="8309"/>
        <w:gridCol w:w="2268"/>
        <w:gridCol w:w="1416"/>
      </w:tblGrid>
      <w:tr w14:paraId="13E1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850" w:type="dxa"/>
            <w:tcBorders>
              <w:bottom w:val="single" w:color="auto" w:sz="4" w:space="0"/>
            </w:tcBorders>
            <w:noWrap w:val="0"/>
            <w:vAlign w:val="center"/>
          </w:tcPr>
          <w:p w14:paraId="3505EBE2">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序号</w:t>
            </w:r>
          </w:p>
        </w:tc>
        <w:tc>
          <w:tcPr>
            <w:tcW w:w="1501" w:type="dxa"/>
            <w:tcBorders>
              <w:bottom w:val="single" w:color="auto" w:sz="4" w:space="0"/>
            </w:tcBorders>
            <w:noWrap w:val="0"/>
            <w:vAlign w:val="center"/>
          </w:tcPr>
          <w:p w14:paraId="06D28FCC">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项目全称</w:t>
            </w:r>
          </w:p>
        </w:tc>
        <w:tc>
          <w:tcPr>
            <w:tcW w:w="8309" w:type="dxa"/>
            <w:tcBorders>
              <w:bottom w:val="single" w:color="auto" w:sz="4" w:space="0"/>
            </w:tcBorders>
            <w:noWrap w:val="0"/>
            <w:vAlign w:val="center"/>
          </w:tcPr>
          <w:p w14:paraId="632A6D1D">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项目概况（详细）</w:t>
            </w:r>
          </w:p>
        </w:tc>
        <w:tc>
          <w:tcPr>
            <w:tcW w:w="2268" w:type="dxa"/>
            <w:tcBorders>
              <w:bottom w:val="single" w:color="auto" w:sz="4" w:space="0"/>
            </w:tcBorders>
            <w:noWrap w:val="0"/>
            <w:vAlign w:val="center"/>
          </w:tcPr>
          <w:p w14:paraId="1F22C9A5">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项目通讯地址、物资部长、联系方式</w:t>
            </w:r>
          </w:p>
        </w:tc>
        <w:tc>
          <w:tcPr>
            <w:tcW w:w="1416" w:type="dxa"/>
            <w:tcBorders>
              <w:bottom w:val="single" w:color="auto" w:sz="4" w:space="0"/>
            </w:tcBorders>
            <w:noWrap w:val="0"/>
            <w:vAlign w:val="center"/>
          </w:tcPr>
          <w:p w14:paraId="18EA5553">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所属单位</w:t>
            </w:r>
          </w:p>
        </w:tc>
      </w:tr>
      <w:tr w14:paraId="2ED0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96" w:hRule="atLeast"/>
          <w:jc w:val="center"/>
        </w:trPr>
        <w:tc>
          <w:tcPr>
            <w:tcW w:w="85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E227F1C">
            <w:pPr>
              <w:widowControl/>
              <w:jc w:val="center"/>
              <w:textAlignment w:val="center"/>
              <w:rPr>
                <w:rFonts w:ascii="宋体" w:hAnsi="宋体"/>
                <w:sz w:val="18"/>
                <w:szCs w:val="18"/>
              </w:rPr>
            </w:pPr>
            <w:r>
              <w:rPr>
                <w:rFonts w:hint="eastAsia" w:ascii="宋体" w:hAnsi="宋体" w:cs="宋体"/>
                <w:color w:val="000000"/>
                <w:kern w:val="0"/>
                <w:sz w:val="18"/>
                <w:szCs w:val="18"/>
                <w:lang w:bidi="ar"/>
              </w:rPr>
              <w:t>1</w:t>
            </w:r>
          </w:p>
        </w:tc>
        <w:tc>
          <w:tcPr>
            <w:tcW w:w="15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92A3781">
            <w:pPr>
              <w:kinsoku w:val="0"/>
              <w:overflowPunct w:val="0"/>
              <w:autoSpaceDE w:val="0"/>
              <w:autoSpaceDN w:val="0"/>
              <w:adjustRightInd w:val="0"/>
              <w:snapToGrid w:val="0"/>
              <w:spacing w:line="240" w:lineRule="atLeast"/>
              <w:jc w:val="center"/>
              <w:rPr>
                <w:rFonts w:hint="eastAsia" w:ascii="仿宋_GB2312" w:hAnsi="Times New Roman" w:eastAsia="宋体" w:cs="Times New Roman"/>
                <w:sz w:val="18"/>
                <w:szCs w:val="18"/>
              </w:rPr>
            </w:pPr>
            <w:r>
              <w:rPr>
                <w:rFonts w:hint="eastAsia" w:ascii="仿宋_GB2312" w:hAnsi="Times New Roman" w:eastAsia="宋体" w:cs="Times New Roman"/>
                <w:sz w:val="18"/>
                <w:szCs w:val="18"/>
              </w:rPr>
              <w:t xml:space="preserve">中铁二局集团有限公司雄商高铁衡水枢纽站前一标项目经理部    </w:t>
            </w:r>
          </w:p>
        </w:tc>
        <w:tc>
          <w:tcPr>
            <w:tcW w:w="83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E001C24">
            <w:pPr>
              <w:kinsoku w:val="0"/>
              <w:overflowPunct w:val="0"/>
              <w:autoSpaceDE w:val="0"/>
              <w:autoSpaceDN w:val="0"/>
              <w:adjustRightInd w:val="0"/>
              <w:snapToGrid w:val="0"/>
              <w:spacing w:line="240" w:lineRule="atLeast"/>
              <w:jc w:val="center"/>
              <w:rPr>
                <w:rFonts w:hint="eastAsia" w:ascii="仿宋_GB2312" w:hAnsi="Times New Roman" w:eastAsia="宋体" w:cs="Times New Roman"/>
                <w:sz w:val="18"/>
                <w:szCs w:val="18"/>
              </w:rPr>
            </w:pPr>
            <w:r>
              <w:rPr>
                <w:rFonts w:hint="eastAsia" w:ascii="仿宋_GB2312" w:hAnsi="Times New Roman" w:eastAsia="宋体" w:cs="Times New Roman"/>
                <w:sz w:val="18"/>
                <w:szCs w:val="18"/>
              </w:rPr>
              <w:t>新建雄商高铁衡水枢纽工程XSHSSN-ZQ1标起讫里程DK258+057～DK272+404段（衡水南站出站端），标段全长14.347km。包含衡水北东联络线及西南联络线、衡水北及杜家村线路所改造等相关工程。</w:t>
            </w:r>
          </w:p>
          <w:p w14:paraId="70B202AD">
            <w:pPr>
              <w:kinsoku w:val="0"/>
              <w:overflowPunct w:val="0"/>
              <w:autoSpaceDE w:val="0"/>
              <w:autoSpaceDN w:val="0"/>
              <w:adjustRightInd w:val="0"/>
              <w:snapToGrid w:val="0"/>
              <w:spacing w:line="240" w:lineRule="atLeast"/>
              <w:jc w:val="center"/>
              <w:rPr>
                <w:rFonts w:hint="eastAsia" w:ascii="仿宋_GB2312" w:hAnsi="Times New Roman" w:eastAsia="宋体" w:cs="Times New Roman"/>
                <w:sz w:val="18"/>
                <w:szCs w:val="18"/>
              </w:rPr>
            </w:pPr>
            <w:r>
              <w:rPr>
                <w:rFonts w:hint="eastAsia" w:ascii="仿宋_GB2312" w:hAnsi="Times New Roman" w:eastAsia="宋体" w:cs="Times New Roman"/>
                <w:sz w:val="18"/>
                <w:szCs w:val="18"/>
              </w:rPr>
              <w:t>本标段主要施工内容为路基、桥涵、轨道及站场工程。</w:t>
            </w:r>
          </w:p>
          <w:p w14:paraId="609C90A6">
            <w:pPr>
              <w:kinsoku w:val="0"/>
              <w:overflowPunct w:val="0"/>
              <w:autoSpaceDE w:val="0"/>
              <w:autoSpaceDN w:val="0"/>
              <w:adjustRightInd w:val="0"/>
              <w:snapToGrid w:val="0"/>
              <w:spacing w:line="240" w:lineRule="atLeast"/>
              <w:jc w:val="center"/>
              <w:rPr>
                <w:rFonts w:hint="eastAsia" w:ascii="仿宋_GB2312" w:hAnsi="Times New Roman" w:eastAsia="宋体" w:cs="Times New Roman"/>
                <w:sz w:val="18"/>
                <w:szCs w:val="18"/>
              </w:rPr>
            </w:pPr>
            <w:r>
              <w:rPr>
                <w:rFonts w:hint="eastAsia" w:ascii="仿宋_GB2312" w:hAnsi="Times New Roman" w:eastAsia="宋体" w:cs="Times New Roman"/>
                <w:sz w:val="18"/>
                <w:szCs w:val="18"/>
              </w:rPr>
              <w:t>主要工程包括：路基4.566km，其中区间路基1.614km，站场路基2.942km。桥梁5座/27.4km，一般特大桥（双线）12305.62延长米/1座，一般特大桥（单线）15094.18延长米/4座，设置连续梁12联（其中转体施工3联），钢管拱桥1座，道岔梁（7-32.7双变四道岔梁、7-32.7双变三道岔梁、3-32.7双变三道岔梁、3-32.7m变宽连续梁）15843.25圬工方，支架现浇预应力混凝土简支梁61孔（双线49孔、单线12孔），框架桥4座，框架箱涵4座。</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129AFAB">
            <w:pPr>
              <w:kinsoku w:val="0"/>
              <w:overflowPunct w:val="0"/>
              <w:autoSpaceDE w:val="0"/>
              <w:autoSpaceDN w:val="0"/>
              <w:adjustRightInd w:val="0"/>
              <w:snapToGrid w:val="0"/>
              <w:spacing w:line="240" w:lineRule="atLeast"/>
              <w:jc w:val="center"/>
              <w:rPr>
                <w:rFonts w:hint="eastAsia" w:ascii="仿宋_GB2312" w:hAnsi="Times New Roman" w:eastAsia="宋体" w:cs="Times New Roman"/>
                <w:sz w:val="18"/>
                <w:szCs w:val="18"/>
              </w:rPr>
            </w:pPr>
            <w:r>
              <w:rPr>
                <w:rFonts w:hint="eastAsia" w:ascii="仿宋_GB2312" w:hAnsi="Times New Roman" w:eastAsia="宋体" w:cs="Times New Roman"/>
                <w:sz w:val="18"/>
                <w:szCs w:val="18"/>
              </w:rPr>
              <w:t>河北省衡水市桃城区西外环与永兴西路交叉口东北角 中铁二局雄商高铁衡水枢纽项目经理部 徐朝辉 18728030166</w:t>
            </w:r>
          </w:p>
          <w:p w14:paraId="259406CD">
            <w:pPr>
              <w:kinsoku w:val="0"/>
              <w:overflowPunct w:val="0"/>
              <w:autoSpaceDE w:val="0"/>
              <w:autoSpaceDN w:val="0"/>
              <w:adjustRightInd w:val="0"/>
              <w:snapToGrid w:val="0"/>
              <w:spacing w:line="240" w:lineRule="atLeast"/>
              <w:jc w:val="center"/>
              <w:rPr>
                <w:rFonts w:hint="eastAsia" w:ascii="仿宋_GB2312" w:hAnsi="Times New Roman" w:eastAsia="宋体" w:cs="Times New Roman"/>
                <w:sz w:val="18"/>
                <w:szCs w:val="18"/>
              </w:rPr>
            </w:pPr>
          </w:p>
        </w:tc>
        <w:tc>
          <w:tcPr>
            <w:tcW w:w="141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B333EEE">
            <w:pPr>
              <w:kinsoku w:val="0"/>
              <w:overflowPunct w:val="0"/>
              <w:autoSpaceDE w:val="0"/>
              <w:autoSpaceDN w:val="0"/>
              <w:adjustRightInd w:val="0"/>
              <w:snapToGrid w:val="0"/>
              <w:spacing w:line="240" w:lineRule="atLeast"/>
              <w:jc w:val="center"/>
              <w:rPr>
                <w:rFonts w:ascii="宋体" w:hAnsi="宋体" w:cs="宋体"/>
                <w:color w:val="000000"/>
                <w:kern w:val="0"/>
                <w:szCs w:val="21"/>
                <w:lang w:bidi="ar"/>
              </w:rPr>
            </w:pPr>
            <w:r>
              <w:rPr>
                <w:rFonts w:hint="eastAsia" w:ascii="仿宋_GB2312"/>
                <w:sz w:val="18"/>
                <w:szCs w:val="18"/>
              </w:rPr>
              <w:t>中铁二局集团有限公司</w:t>
            </w:r>
          </w:p>
        </w:tc>
      </w:tr>
    </w:tbl>
    <w:p w14:paraId="5D748531">
      <w:pPr>
        <w:outlineLvl w:val="1"/>
        <w:rPr>
          <w:rFonts w:hint="eastAsia" w:ascii="宋体" w:hAnsi="宋体"/>
          <w:sz w:val="28"/>
          <w:szCs w:val="28"/>
        </w:rPr>
      </w:pPr>
      <w:r>
        <w:rPr>
          <w:b/>
          <w:szCs w:val="28"/>
        </w:rPr>
        <w:br w:type="page"/>
      </w:r>
      <w:bookmarkStart w:id="10" w:name="_Toc3326"/>
      <w:bookmarkStart w:id="11" w:name="_Toc24981"/>
      <w:bookmarkStart w:id="12" w:name="_Toc5991"/>
      <w:bookmarkStart w:id="13" w:name="_Toc3756"/>
      <w:bookmarkStart w:id="14" w:name="_Toc18930"/>
      <w:bookmarkStart w:id="15" w:name="_Toc9747"/>
      <w:r>
        <w:rPr>
          <w:rFonts w:hint="eastAsia" w:ascii="宋体" w:hAnsi="宋体"/>
          <w:sz w:val="28"/>
          <w:szCs w:val="28"/>
        </w:rPr>
        <w:t>附件</w:t>
      </w:r>
      <w:bookmarkEnd w:id="6"/>
      <w:bookmarkEnd w:id="7"/>
      <w:r>
        <w:rPr>
          <w:rFonts w:hint="eastAsia" w:ascii="宋体" w:hAnsi="宋体"/>
          <w:sz w:val="28"/>
          <w:szCs w:val="28"/>
        </w:rPr>
        <w:t>二</w:t>
      </w:r>
      <w:bookmarkEnd w:id="10"/>
      <w:bookmarkEnd w:id="11"/>
      <w:bookmarkEnd w:id="12"/>
      <w:bookmarkEnd w:id="13"/>
      <w:bookmarkEnd w:id="14"/>
      <w:bookmarkEnd w:id="15"/>
    </w:p>
    <w:p w14:paraId="3EFA4F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新宋体"/>
          <w:b/>
          <w:bCs/>
          <w:kern w:val="0"/>
          <w:sz w:val="36"/>
          <w:szCs w:val="36"/>
        </w:rPr>
      </w:pPr>
      <w:r>
        <w:rPr>
          <w:rFonts w:hint="eastAsia" w:ascii="宋体" w:hAnsi="宋体" w:eastAsia="宋体" w:cs="新宋体"/>
          <w:b/>
          <w:bCs/>
          <w:kern w:val="0"/>
          <w:sz w:val="36"/>
          <w:szCs w:val="36"/>
        </w:rPr>
        <w:t>物资品种、包件划分、投标保证金</w:t>
      </w:r>
      <w:r>
        <w:rPr>
          <w:rFonts w:hint="eastAsia" w:ascii="宋体" w:hAnsi="宋体" w:cs="新宋体"/>
          <w:b/>
          <w:bCs/>
          <w:kern w:val="0"/>
          <w:sz w:val="36"/>
          <w:szCs w:val="36"/>
          <w:lang w:eastAsia="zh-CN"/>
        </w:rPr>
        <w:t>、</w:t>
      </w:r>
      <w:r>
        <w:rPr>
          <w:rFonts w:hint="eastAsia" w:ascii="宋体" w:hAnsi="宋体" w:cs="新宋体"/>
          <w:b/>
          <w:bCs/>
          <w:kern w:val="0"/>
          <w:sz w:val="36"/>
          <w:szCs w:val="36"/>
          <w:lang w:val="en-US" w:eastAsia="zh-CN"/>
        </w:rPr>
        <w:t>履约保证金、限价</w:t>
      </w:r>
      <w:r>
        <w:rPr>
          <w:rFonts w:hint="eastAsia" w:ascii="宋体" w:hAnsi="宋体" w:eastAsia="宋体" w:cs="新宋体"/>
          <w:b/>
          <w:bCs/>
          <w:kern w:val="0"/>
          <w:sz w:val="36"/>
          <w:szCs w:val="36"/>
        </w:rPr>
        <w:t>、投标人资格要求</w:t>
      </w:r>
    </w:p>
    <w:tbl>
      <w:tblPr>
        <w:tblStyle w:val="7"/>
        <w:tblW w:w="1463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909"/>
        <w:gridCol w:w="1338"/>
        <w:gridCol w:w="1193"/>
        <w:gridCol w:w="1560"/>
        <w:gridCol w:w="2551"/>
        <w:gridCol w:w="1276"/>
        <w:gridCol w:w="1417"/>
        <w:gridCol w:w="1073"/>
        <w:gridCol w:w="1640"/>
      </w:tblGrid>
      <w:tr w14:paraId="4D8D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673" w:type="dxa"/>
            <w:noWrap w:val="0"/>
            <w:vAlign w:val="center"/>
          </w:tcPr>
          <w:p w14:paraId="7A6D43BE">
            <w:pPr>
              <w:widowControl/>
              <w:jc w:val="center"/>
              <w:textAlignment w:val="center"/>
              <w:rPr>
                <w:rFonts w:hint="eastAsia" w:ascii="宋体" w:hAnsi="宋体" w:cs="仿宋_GB2312"/>
                <w:b/>
                <w:bCs/>
                <w:color w:val="000000"/>
                <w:sz w:val="20"/>
                <w:szCs w:val="20"/>
              </w:rPr>
            </w:pPr>
            <w:r>
              <w:rPr>
                <w:rFonts w:hint="eastAsia" w:ascii="宋体" w:hAnsi="宋体" w:cs="仿宋_GB2312"/>
                <w:b/>
                <w:bCs/>
                <w:color w:val="000000"/>
                <w:kern w:val="0"/>
                <w:sz w:val="20"/>
                <w:szCs w:val="20"/>
                <w:lang w:bidi="ar"/>
              </w:rPr>
              <w:t>序号</w:t>
            </w:r>
          </w:p>
        </w:tc>
        <w:tc>
          <w:tcPr>
            <w:tcW w:w="1909" w:type="dxa"/>
            <w:noWrap w:val="0"/>
            <w:vAlign w:val="center"/>
          </w:tcPr>
          <w:p w14:paraId="789DCAF4">
            <w:pPr>
              <w:widowControl/>
              <w:jc w:val="center"/>
              <w:textAlignment w:val="center"/>
              <w:rPr>
                <w:rFonts w:hint="eastAsia" w:ascii="宋体" w:hAnsi="宋体" w:cs="仿宋_GB2312"/>
                <w:b/>
                <w:bCs/>
                <w:color w:val="000000"/>
                <w:sz w:val="20"/>
                <w:szCs w:val="20"/>
              </w:rPr>
            </w:pPr>
            <w:r>
              <w:rPr>
                <w:rFonts w:hint="eastAsia" w:ascii="宋体" w:hAnsi="宋体" w:cs="仿宋_GB2312"/>
                <w:b/>
                <w:bCs/>
                <w:color w:val="000000"/>
                <w:kern w:val="0"/>
                <w:sz w:val="20"/>
                <w:szCs w:val="20"/>
                <w:lang w:bidi="ar"/>
              </w:rPr>
              <w:t>物资名称</w:t>
            </w:r>
          </w:p>
        </w:tc>
        <w:tc>
          <w:tcPr>
            <w:tcW w:w="1338" w:type="dxa"/>
            <w:noWrap w:val="0"/>
            <w:vAlign w:val="center"/>
          </w:tcPr>
          <w:p w14:paraId="1B925103">
            <w:pPr>
              <w:widowControl/>
              <w:jc w:val="center"/>
              <w:textAlignment w:val="center"/>
              <w:rPr>
                <w:rFonts w:hint="eastAsia" w:ascii="宋体" w:hAnsi="宋体" w:cs="仿宋_GB2312"/>
                <w:b/>
                <w:bCs/>
                <w:color w:val="000000"/>
                <w:sz w:val="20"/>
                <w:szCs w:val="20"/>
              </w:rPr>
            </w:pPr>
            <w:r>
              <w:rPr>
                <w:rFonts w:hint="eastAsia" w:ascii="宋体" w:hAnsi="宋体" w:cs="仿宋_GB2312"/>
                <w:b/>
                <w:bCs/>
                <w:color w:val="000000"/>
                <w:kern w:val="0"/>
                <w:sz w:val="20"/>
                <w:szCs w:val="20"/>
                <w:lang w:bidi="ar"/>
              </w:rPr>
              <w:t>包件号</w:t>
            </w:r>
          </w:p>
        </w:tc>
        <w:tc>
          <w:tcPr>
            <w:tcW w:w="1193" w:type="dxa"/>
            <w:noWrap w:val="0"/>
            <w:vAlign w:val="center"/>
          </w:tcPr>
          <w:p w14:paraId="669D3EF3">
            <w:pPr>
              <w:widowControl/>
              <w:jc w:val="center"/>
              <w:textAlignment w:val="center"/>
              <w:rPr>
                <w:rFonts w:hint="eastAsia" w:ascii="宋体" w:hAnsi="宋体" w:cs="仿宋_GB2312"/>
                <w:b/>
                <w:bCs/>
                <w:color w:val="000000"/>
                <w:sz w:val="20"/>
                <w:szCs w:val="20"/>
              </w:rPr>
            </w:pPr>
            <w:r>
              <w:rPr>
                <w:rFonts w:hint="eastAsia" w:ascii="宋体" w:hAnsi="宋体" w:cs="仿宋_GB2312"/>
                <w:b/>
                <w:bCs/>
                <w:color w:val="000000"/>
                <w:kern w:val="0"/>
                <w:sz w:val="20"/>
                <w:szCs w:val="20"/>
                <w:lang w:bidi="ar"/>
              </w:rPr>
              <w:t>单位</w:t>
            </w:r>
          </w:p>
        </w:tc>
        <w:tc>
          <w:tcPr>
            <w:tcW w:w="1560" w:type="dxa"/>
            <w:noWrap w:val="0"/>
            <w:vAlign w:val="center"/>
          </w:tcPr>
          <w:p w14:paraId="7A623DE4">
            <w:pPr>
              <w:widowControl/>
              <w:jc w:val="center"/>
              <w:textAlignment w:val="center"/>
              <w:rPr>
                <w:rFonts w:hint="eastAsia" w:ascii="宋体" w:hAnsi="宋体" w:cs="仿宋_GB2312"/>
                <w:b/>
                <w:bCs/>
                <w:color w:val="000000"/>
                <w:sz w:val="20"/>
                <w:szCs w:val="20"/>
              </w:rPr>
            </w:pPr>
            <w:r>
              <w:rPr>
                <w:rFonts w:hint="eastAsia" w:ascii="宋体" w:hAnsi="宋体" w:cs="仿宋_GB2312"/>
                <w:b/>
                <w:bCs/>
                <w:color w:val="000000"/>
                <w:kern w:val="0"/>
                <w:sz w:val="20"/>
                <w:szCs w:val="20"/>
                <w:lang w:bidi="ar"/>
              </w:rPr>
              <w:t>包件数量</w:t>
            </w:r>
          </w:p>
        </w:tc>
        <w:tc>
          <w:tcPr>
            <w:tcW w:w="2551" w:type="dxa"/>
            <w:vMerge w:val="restart"/>
            <w:noWrap w:val="0"/>
            <w:vAlign w:val="center"/>
          </w:tcPr>
          <w:p w14:paraId="0C83EF0E">
            <w:pPr>
              <w:widowControl/>
              <w:jc w:val="center"/>
              <w:textAlignment w:val="center"/>
              <w:rPr>
                <w:rFonts w:hint="eastAsia" w:ascii="宋体" w:hAnsi="宋体" w:cs="仿宋_GB2312"/>
                <w:b/>
                <w:bCs/>
                <w:color w:val="000000"/>
                <w:sz w:val="20"/>
                <w:szCs w:val="20"/>
              </w:rPr>
            </w:pPr>
            <w:r>
              <w:rPr>
                <w:rFonts w:hint="eastAsia" w:ascii="宋体" w:hAnsi="宋体" w:cs="仿宋_GB2312"/>
                <w:b/>
                <w:bCs/>
                <w:color w:val="000000"/>
                <w:kern w:val="0"/>
                <w:sz w:val="20"/>
                <w:szCs w:val="20"/>
                <w:lang w:bidi="ar"/>
              </w:rPr>
              <w:t>项目名称</w:t>
            </w:r>
          </w:p>
        </w:tc>
        <w:tc>
          <w:tcPr>
            <w:tcW w:w="1276" w:type="dxa"/>
            <w:noWrap w:val="0"/>
            <w:vAlign w:val="center"/>
          </w:tcPr>
          <w:p w14:paraId="79178E1A">
            <w:pPr>
              <w:widowControl/>
              <w:jc w:val="center"/>
              <w:textAlignment w:val="center"/>
              <w:rPr>
                <w:rFonts w:hint="eastAsia" w:ascii="宋体" w:hAnsi="宋体" w:cs="仿宋_GB2312"/>
                <w:b/>
                <w:bCs/>
                <w:color w:val="000000"/>
                <w:sz w:val="20"/>
                <w:szCs w:val="20"/>
              </w:rPr>
            </w:pPr>
            <w:r>
              <w:rPr>
                <w:rFonts w:hint="eastAsia" w:ascii="宋体" w:hAnsi="宋体" w:cs="仿宋_GB2312"/>
                <w:b/>
                <w:bCs/>
                <w:color w:val="000000"/>
                <w:kern w:val="0"/>
                <w:sz w:val="20"/>
                <w:szCs w:val="20"/>
                <w:lang w:bidi="ar"/>
              </w:rPr>
              <w:t>包件售价（元）</w:t>
            </w:r>
          </w:p>
        </w:tc>
        <w:tc>
          <w:tcPr>
            <w:tcW w:w="1417" w:type="dxa"/>
            <w:noWrap w:val="0"/>
            <w:vAlign w:val="center"/>
          </w:tcPr>
          <w:p w14:paraId="0D23D3E7">
            <w:pPr>
              <w:widowControl/>
              <w:jc w:val="center"/>
              <w:textAlignment w:val="center"/>
              <w:rPr>
                <w:rFonts w:hint="eastAsia" w:ascii="宋体" w:hAnsi="宋体" w:cs="仿宋_GB2312"/>
                <w:b/>
                <w:bCs/>
                <w:color w:val="000000"/>
                <w:sz w:val="20"/>
                <w:szCs w:val="20"/>
              </w:rPr>
            </w:pPr>
            <w:r>
              <w:rPr>
                <w:rFonts w:hint="eastAsia" w:ascii="宋体" w:hAnsi="宋体" w:cs="仿宋_GB2312"/>
                <w:b/>
                <w:bCs/>
                <w:color w:val="000000"/>
                <w:kern w:val="0"/>
                <w:sz w:val="20"/>
                <w:szCs w:val="20"/>
                <w:lang w:bidi="ar"/>
              </w:rPr>
              <w:t>投标保证金（万元）</w:t>
            </w:r>
          </w:p>
        </w:tc>
        <w:tc>
          <w:tcPr>
            <w:tcW w:w="1073" w:type="dxa"/>
            <w:noWrap w:val="0"/>
            <w:vAlign w:val="center"/>
          </w:tcPr>
          <w:p w14:paraId="65EE73E1">
            <w:pPr>
              <w:widowControl/>
              <w:jc w:val="center"/>
              <w:textAlignment w:val="center"/>
              <w:rPr>
                <w:rFonts w:hint="eastAsia" w:ascii="宋体" w:hAnsi="宋体" w:cs="仿宋_GB2312"/>
                <w:b/>
                <w:bCs/>
                <w:color w:val="000000"/>
                <w:sz w:val="20"/>
                <w:szCs w:val="20"/>
              </w:rPr>
            </w:pPr>
            <w:r>
              <w:rPr>
                <w:rFonts w:hint="eastAsia" w:ascii="宋体" w:hAnsi="宋体" w:cs="仿宋_GB2312"/>
                <w:b/>
                <w:bCs/>
                <w:color w:val="000000"/>
                <w:kern w:val="0"/>
                <w:sz w:val="20"/>
                <w:szCs w:val="20"/>
                <w:lang w:bidi="ar"/>
              </w:rPr>
              <w:t>履约保证金（万元）</w:t>
            </w:r>
          </w:p>
        </w:tc>
        <w:tc>
          <w:tcPr>
            <w:tcW w:w="1640" w:type="dxa"/>
            <w:noWrap w:val="0"/>
            <w:vAlign w:val="center"/>
          </w:tcPr>
          <w:p w14:paraId="5F47B0DA">
            <w:pPr>
              <w:widowControl/>
              <w:jc w:val="center"/>
              <w:textAlignment w:val="center"/>
              <w:rPr>
                <w:rFonts w:hint="eastAsia" w:ascii="宋体" w:hAnsi="宋体" w:cs="仿宋_GB2312"/>
                <w:b/>
                <w:bCs/>
                <w:color w:val="000000"/>
                <w:sz w:val="20"/>
                <w:szCs w:val="20"/>
              </w:rPr>
            </w:pPr>
            <w:r>
              <w:rPr>
                <w:rFonts w:hint="eastAsia" w:ascii="宋体" w:hAnsi="宋体" w:cs="仿宋_GB2312"/>
                <w:b/>
                <w:bCs/>
                <w:color w:val="000000"/>
                <w:kern w:val="0"/>
                <w:sz w:val="20"/>
                <w:szCs w:val="20"/>
                <w:lang w:bidi="ar"/>
              </w:rPr>
              <w:t>不含税最高限价（元）</w:t>
            </w:r>
          </w:p>
        </w:tc>
      </w:tr>
      <w:tr w14:paraId="6446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73" w:type="dxa"/>
            <w:noWrap w:val="0"/>
            <w:vAlign w:val="center"/>
          </w:tcPr>
          <w:p w14:paraId="00261651">
            <w:pPr>
              <w:widowControl/>
              <w:jc w:val="center"/>
              <w:textAlignment w:val="center"/>
              <w:rPr>
                <w:rFonts w:hint="eastAsia" w:ascii="宋体" w:hAnsi="宋体" w:cs="仿宋_GB2312"/>
                <w:b/>
                <w:bCs/>
                <w:color w:val="000000"/>
                <w:kern w:val="0"/>
                <w:sz w:val="20"/>
                <w:szCs w:val="20"/>
                <w:lang w:bidi="ar"/>
              </w:rPr>
            </w:pPr>
            <w:r>
              <w:rPr>
                <w:rFonts w:hint="eastAsia" w:ascii="宋体" w:hAnsi="宋体" w:cs="仿宋_GB2312"/>
                <w:b/>
                <w:bCs/>
                <w:color w:val="000000"/>
                <w:kern w:val="0"/>
                <w:sz w:val="20"/>
                <w:szCs w:val="20"/>
                <w:lang w:bidi="ar"/>
              </w:rPr>
              <w:t>1</w:t>
            </w:r>
          </w:p>
        </w:tc>
        <w:tc>
          <w:tcPr>
            <w:tcW w:w="1909" w:type="dxa"/>
            <w:noWrap/>
            <w:vAlign w:val="center"/>
          </w:tcPr>
          <w:p w14:paraId="32CE860E">
            <w:pPr>
              <w:widowControl/>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冷轧带肋焊接网</w:t>
            </w:r>
          </w:p>
        </w:tc>
        <w:tc>
          <w:tcPr>
            <w:tcW w:w="1338" w:type="dxa"/>
            <w:noWrap w:val="0"/>
            <w:vAlign w:val="center"/>
          </w:tcPr>
          <w:p w14:paraId="2CD21645">
            <w:pPr>
              <w:widowControl/>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GJWP-01</w:t>
            </w:r>
          </w:p>
        </w:tc>
        <w:tc>
          <w:tcPr>
            <w:tcW w:w="1193" w:type="dxa"/>
            <w:noWrap w:val="0"/>
            <w:vAlign w:val="center"/>
          </w:tcPr>
          <w:p w14:paraId="47E35421">
            <w:pPr>
              <w:widowControl/>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吨</w:t>
            </w:r>
          </w:p>
        </w:tc>
        <w:tc>
          <w:tcPr>
            <w:tcW w:w="1560" w:type="dxa"/>
            <w:noWrap w:val="0"/>
            <w:vAlign w:val="center"/>
          </w:tcPr>
          <w:p w14:paraId="6FEF51D6">
            <w:pPr>
              <w:widowControl/>
              <w:jc w:val="center"/>
              <w:textAlignment w:val="center"/>
              <w:rPr>
                <w:rFonts w:hint="default" w:ascii="宋体" w:hAnsi="宋体" w:eastAsia="宋体" w:cs="方正仿宋_GB2312"/>
                <w:color w:val="000000"/>
                <w:sz w:val="20"/>
                <w:szCs w:val="20"/>
                <w:lang w:val="en-US" w:eastAsia="zh-CN"/>
              </w:rPr>
            </w:pPr>
            <w:r>
              <w:rPr>
                <w:rFonts w:hint="eastAsia" w:ascii="宋体" w:hAnsi="宋体" w:eastAsia="宋体" w:cs="宋体"/>
                <w:color w:val="000000"/>
                <w:sz w:val="20"/>
                <w:szCs w:val="20"/>
                <w:lang w:val="en-US" w:eastAsia="zh-CN"/>
              </w:rPr>
              <w:t>1030.00</w:t>
            </w:r>
          </w:p>
        </w:tc>
        <w:tc>
          <w:tcPr>
            <w:tcW w:w="2551" w:type="dxa"/>
            <w:vMerge w:val="restart"/>
            <w:noWrap w:val="0"/>
            <w:vAlign w:val="center"/>
          </w:tcPr>
          <w:p w14:paraId="7081798B">
            <w:pPr>
              <w:widowControl/>
              <w:jc w:val="center"/>
              <w:textAlignment w:val="center"/>
              <w:rPr>
                <w:rFonts w:hint="eastAsia" w:ascii="宋体" w:hAnsi="宋体" w:cs="仿宋_GB2312"/>
                <w:color w:val="000000"/>
                <w:sz w:val="20"/>
                <w:szCs w:val="20"/>
              </w:rPr>
            </w:pPr>
            <w:r>
              <w:rPr>
                <w:rFonts w:hint="eastAsia" w:ascii="宋体" w:hAnsi="宋体" w:eastAsia="宋体" w:cs="宋体"/>
                <w:color w:val="000000"/>
                <w:kern w:val="0"/>
                <w:sz w:val="18"/>
                <w:szCs w:val="18"/>
                <w:lang w:bidi="ar"/>
              </w:rPr>
              <w:t>中铁二局集团有限公司雄商高铁衡水枢纽站前一标项目经理部</w:t>
            </w:r>
          </w:p>
        </w:tc>
        <w:tc>
          <w:tcPr>
            <w:tcW w:w="1276" w:type="dxa"/>
            <w:noWrap w:val="0"/>
            <w:vAlign w:val="center"/>
          </w:tcPr>
          <w:p w14:paraId="66646BAF">
            <w:pPr>
              <w:widowControl/>
              <w:jc w:val="center"/>
              <w:textAlignment w:val="center"/>
              <w:rPr>
                <w:rFonts w:hint="eastAsia" w:ascii="宋体" w:hAnsi="宋体" w:cs="宋体"/>
                <w:kern w:val="0"/>
                <w:sz w:val="20"/>
                <w:szCs w:val="20"/>
              </w:rPr>
            </w:pPr>
            <w:r>
              <w:rPr>
                <w:rFonts w:hint="eastAsia" w:ascii="宋体" w:hAnsi="宋体" w:cs="宋体"/>
                <w:kern w:val="0"/>
                <w:sz w:val="20"/>
                <w:szCs w:val="20"/>
              </w:rPr>
              <w:t>/</w:t>
            </w:r>
          </w:p>
        </w:tc>
        <w:tc>
          <w:tcPr>
            <w:tcW w:w="1417" w:type="dxa"/>
            <w:noWrap w:val="0"/>
            <w:vAlign w:val="center"/>
          </w:tcPr>
          <w:p w14:paraId="1AE44B11">
            <w:pPr>
              <w:keepNext w:val="0"/>
              <w:keepLines w:val="0"/>
              <w:widowControl/>
              <w:suppressLineNumbers w:val="0"/>
              <w:jc w:val="center"/>
              <w:textAlignment w:val="center"/>
              <w:rPr>
                <w:rFonts w:hint="default" w:ascii="宋体" w:hAnsi="宋体" w:cs="宋体"/>
                <w:kern w:val="0"/>
                <w:sz w:val="20"/>
                <w:szCs w:val="20"/>
                <w:lang w:val="en-US"/>
              </w:rPr>
            </w:pPr>
            <w:r>
              <w:rPr>
                <w:rFonts w:hint="eastAsia" w:ascii="宋体" w:hAnsi="宋体" w:eastAsia="宋体" w:cs="宋体"/>
                <w:i w:val="0"/>
                <w:iCs w:val="0"/>
                <w:color w:val="000000"/>
                <w:kern w:val="0"/>
                <w:sz w:val="20"/>
                <w:szCs w:val="20"/>
                <w:u w:val="none"/>
                <w:lang w:val="en-US" w:eastAsia="zh-CN" w:bidi="ar"/>
              </w:rPr>
              <w:t>5</w:t>
            </w:r>
          </w:p>
        </w:tc>
        <w:tc>
          <w:tcPr>
            <w:tcW w:w="1073" w:type="dxa"/>
            <w:noWrap w:val="0"/>
            <w:vAlign w:val="center"/>
          </w:tcPr>
          <w:p w14:paraId="2F08D971">
            <w:pPr>
              <w:keepNext w:val="0"/>
              <w:keepLines w:val="0"/>
              <w:widowControl/>
              <w:suppressLineNumbers w:val="0"/>
              <w:jc w:val="center"/>
              <w:textAlignment w:val="center"/>
              <w:rPr>
                <w:rFonts w:hint="default" w:ascii="宋体" w:hAnsi="宋体" w:eastAsia="宋体" w:cs="宋体"/>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10</w:t>
            </w:r>
          </w:p>
        </w:tc>
        <w:tc>
          <w:tcPr>
            <w:tcW w:w="1640" w:type="dxa"/>
            <w:noWrap w:val="0"/>
            <w:vAlign w:val="center"/>
          </w:tcPr>
          <w:p w14:paraId="5C94A9AB">
            <w:pPr>
              <w:widowControl/>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4120000.00</w:t>
            </w:r>
          </w:p>
        </w:tc>
      </w:tr>
      <w:tr w14:paraId="405E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73" w:type="dxa"/>
            <w:noWrap w:val="0"/>
            <w:vAlign w:val="center"/>
          </w:tcPr>
          <w:p w14:paraId="49A1E1E8">
            <w:pPr>
              <w:widowControl/>
              <w:jc w:val="center"/>
              <w:textAlignment w:val="center"/>
              <w:rPr>
                <w:rFonts w:hint="eastAsia" w:ascii="宋体" w:hAnsi="宋体" w:eastAsia="宋体" w:cs="仿宋_GB2312"/>
                <w:b/>
                <w:bCs/>
                <w:color w:val="000000"/>
                <w:kern w:val="0"/>
                <w:sz w:val="20"/>
                <w:szCs w:val="20"/>
                <w:lang w:val="en-US" w:eastAsia="zh-CN" w:bidi="ar"/>
              </w:rPr>
            </w:pPr>
            <w:r>
              <w:rPr>
                <w:rFonts w:hint="eastAsia" w:ascii="宋体" w:hAnsi="宋体" w:cs="仿宋_GB2312"/>
                <w:b/>
                <w:bCs/>
                <w:color w:val="000000"/>
                <w:kern w:val="0"/>
                <w:sz w:val="20"/>
                <w:szCs w:val="20"/>
                <w:lang w:val="en-US" w:eastAsia="zh-CN" w:bidi="ar"/>
              </w:rPr>
              <w:t>2</w:t>
            </w:r>
          </w:p>
        </w:tc>
        <w:tc>
          <w:tcPr>
            <w:tcW w:w="1909" w:type="dxa"/>
            <w:noWrap/>
            <w:vAlign w:val="center"/>
          </w:tcPr>
          <w:p w14:paraId="40CF21A9">
            <w:pPr>
              <w:widowControl/>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碎石</w:t>
            </w:r>
          </w:p>
        </w:tc>
        <w:tc>
          <w:tcPr>
            <w:tcW w:w="1338" w:type="dxa"/>
            <w:noWrap w:val="0"/>
            <w:vAlign w:val="center"/>
          </w:tcPr>
          <w:p w14:paraId="6A834394">
            <w:pPr>
              <w:widowControl/>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SS-01</w:t>
            </w:r>
          </w:p>
        </w:tc>
        <w:tc>
          <w:tcPr>
            <w:tcW w:w="1193" w:type="dxa"/>
            <w:noWrap w:val="0"/>
            <w:vAlign w:val="center"/>
          </w:tcPr>
          <w:p w14:paraId="7D1C8F77">
            <w:pPr>
              <w:widowControl/>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吨</w:t>
            </w:r>
          </w:p>
        </w:tc>
        <w:tc>
          <w:tcPr>
            <w:tcW w:w="1560" w:type="dxa"/>
            <w:noWrap w:val="0"/>
            <w:vAlign w:val="center"/>
          </w:tcPr>
          <w:p w14:paraId="0F846CAC">
            <w:pPr>
              <w:widowControl/>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30000.00</w:t>
            </w:r>
          </w:p>
        </w:tc>
        <w:tc>
          <w:tcPr>
            <w:tcW w:w="2551" w:type="dxa"/>
            <w:vMerge w:val="continue"/>
            <w:noWrap w:val="0"/>
            <w:vAlign w:val="center"/>
          </w:tcPr>
          <w:p w14:paraId="69110E48">
            <w:pPr>
              <w:widowControl/>
              <w:jc w:val="center"/>
              <w:textAlignment w:val="center"/>
              <w:rPr>
                <w:rFonts w:hint="eastAsia" w:ascii="宋体" w:hAnsi="宋体" w:eastAsia="宋体" w:cs="宋体"/>
                <w:color w:val="000000"/>
                <w:kern w:val="0"/>
                <w:sz w:val="18"/>
                <w:szCs w:val="18"/>
                <w:lang w:bidi="ar"/>
              </w:rPr>
            </w:pPr>
          </w:p>
        </w:tc>
        <w:tc>
          <w:tcPr>
            <w:tcW w:w="1276" w:type="dxa"/>
            <w:noWrap w:val="0"/>
            <w:vAlign w:val="center"/>
          </w:tcPr>
          <w:p w14:paraId="6C007C37">
            <w:pPr>
              <w:widowControl/>
              <w:jc w:val="center"/>
              <w:textAlignment w:val="center"/>
              <w:rPr>
                <w:rFonts w:hint="eastAsia" w:ascii="宋体" w:hAnsi="宋体" w:cs="宋体"/>
                <w:kern w:val="0"/>
                <w:sz w:val="20"/>
                <w:szCs w:val="20"/>
              </w:rPr>
            </w:pPr>
            <w:r>
              <w:rPr>
                <w:rFonts w:hint="eastAsia" w:ascii="宋体" w:hAnsi="宋体" w:cs="宋体"/>
                <w:kern w:val="0"/>
                <w:sz w:val="20"/>
                <w:szCs w:val="20"/>
              </w:rPr>
              <w:t>/</w:t>
            </w:r>
          </w:p>
        </w:tc>
        <w:tc>
          <w:tcPr>
            <w:tcW w:w="1417" w:type="dxa"/>
            <w:noWrap w:val="0"/>
            <w:vAlign w:val="center"/>
          </w:tcPr>
          <w:p w14:paraId="581769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073" w:type="dxa"/>
            <w:noWrap w:val="0"/>
            <w:vAlign w:val="center"/>
          </w:tcPr>
          <w:p w14:paraId="7CFF5F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40" w:type="dxa"/>
            <w:noWrap w:val="0"/>
            <w:vAlign w:val="center"/>
          </w:tcPr>
          <w:p w14:paraId="7D80121C">
            <w:pPr>
              <w:widowControl/>
              <w:jc w:val="center"/>
              <w:textAlignment w:val="center"/>
              <w:rPr>
                <w:rFonts w:hint="default" w:ascii="宋体" w:hAnsi="宋体" w:cs="宋体"/>
                <w:kern w:val="0"/>
                <w:sz w:val="20"/>
                <w:szCs w:val="20"/>
                <w:lang w:val="en-US" w:eastAsia="zh-CN"/>
              </w:rPr>
            </w:pPr>
            <w:r>
              <w:rPr>
                <w:rFonts w:hint="eastAsia" w:ascii="宋体" w:hAnsi="宋体" w:cs="宋体"/>
                <w:kern w:val="0"/>
                <w:sz w:val="20"/>
                <w:szCs w:val="20"/>
                <w:lang w:val="en-US" w:eastAsia="zh-CN"/>
              </w:rPr>
              <w:t>4050000.00</w:t>
            </w:r>
          </w:p>
        </w:tc>
      </w:tr>
      <w:tr w14:paraId="7EBE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30" w:type="dxa"/>
            <w:gridSpan w:val="10"/>
            <w:noWrap w:val="0"/>
            <w:vAlign w:val="center"/>
          </w:tcPr>
          <w:p w14:paraId="6CE928BE">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bCs/>
                <w:color w:val="000000"/>
                <w:kern w:val="0"/>
                <w:sz w:val="20"/>
                <w:szCs w:val="20"/>
                <w:lang w:bidi="ar"/>
              </w:rPr>
              <w:t>1、营业范围要求</w:t>
            </w:r>
            <w:r>
              <w:rPr>
                <w:rFonts w:hint="eastAsia" w:ascii="宋体" w:hAnsi="宋体" w:cs="仿宋_GB2312"/>
                <w:b w:val="0"/>
                <w:bCs w:val="0"/>
                <w:color w:val="000000"/>
                <w:kern w:val="0"/>
                <w:sz w:val="20"/>
                <w:szCs w:val="20"/>
                <w:lang w:bidi="ar"/>
              </w:rPr>
              <w:t>：营业范围中华人民共和国境内依法注册，具有独立法人资格、具有招标物资生产和供应经验的生产厂家或代理商，并且具有合法、有效的营业执照、税务登记证书、组织机构代码证书。</w:t>
            </w:r>
          </w:p>
          <w:p w14:paraId="50CEB4B7">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bCs/>
                <w:color w:val="000000"/>
                <w:kern w:val="0"/>
                <w:sz w:val="20"/>
                <w:szCs w:val="20"/>
                <w:lang w:bidi="ar"/>
              </w:rPr>
              <w:t>2、质量保证能力要求</w:t>
            </w:r>
            <w:r>
              <w:rPr>
                <w:rFonts w:hint="eastAsia" w:ascii="宋体" w:hAnsi="宋体" w:cs="仿宋_GB2312"/>
                <w:b w:val="0"/>
                <w:bCs w:val="0"/>
                <w:color w:val="000000"/>
                <w:kern w:val="0"/>
                <w:sz w:val="20"/>
                <w:szCs w:val="20"/>
                <w:lang w:bidi="ar"/>
              </w:rPr>
              <w:t>：产品符合国家现行标准及招标文件技术规格书标准, 生产工艺、生产设备必须符合技术规格加工要求。投标人需提供取得资质认定的专业检测机构出具的至少一份2022年至今的投标物资质量检验报告，如投标人为经销商需提供与生产商合作证明。</w:t>
            </w:r>
          </w:p>
          <w:p w14:paraId="5802BF1A">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bCs/>
                <w:color w:val="000000"/>
                <w:kern w:val="0"/>
                <w:sz w:val="20"/>
                <w:szCs w:val="20"/>
                <w:lang w:bidi="ar"/>
              </w:rPr>
              <w:t>3、生产能力</w:t>
            </w:r>
            <w:r>
              <w:rPr>
                <w:rFonts w:hint="eastAsia" w:ascii="宋体" w:hAnsi="宋体" w:cs="仿宋_GB2312"/>
                <w:b w:val="0"/>
                <w:bCs w:val="0"/>
                <w:color w:val="000000"/>
                <w:kern w:val="0"/>
                <w:sz w:val="20"/>
                <w:szCs w:val="20"/>
                <w:lang w:bidi="ar"/>
              </w:rPr>
              <w:t>；满足现场需求，质量达标。</w:t>
            </w:r>
          </w:p>
          <w:p w14:paraId="69EE0DED">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bCs/>
                <w:color w:val="000000"/>
                <w:kern w:val="0"/>
                <w:sz w:val="20"/>
                <w:szCs w:val="20"/>
                <w:lang w:bidi="ar"/>
              </w:rPr>
              <w:t>4、财务能力要求</w:t>
            </w:r>
            <w:r>
              <w:rPr>
                <w:rFonts w:hint="eastAsia" w:ascii="宋体" w:hAnsi="宋体" w:cs="仿宋_GB2312"/>
                <w:b w:val="0"/>
                <w:bCs w:val="0"/>
                <w:color w:val="000000"/>
                <w:kern w:val="0"/>
                <w:sz w:val="20"/>
                <w:szCs w:val="20"/>
                <w:lang w:bidi="ar"/>
              </w:rPr>
              <w:t>：具有良好的资金财务状况.</w:t>
            </w:r>
          </w:p>
          <w:p w14:paraId="44AC556F">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bCs/>
                <w:color w:val="000000"/>
                <w:kern w:val="0"/>
                <w:sz w:val="20"/>
                <w:szCs w:val="20"/>
                <w:lang w:bidi="ar"/>
              </w:rPr>
              <w:t>5、发票要求</w:t>
            </w:r>
            <w:r>
              <w:rPr>
                <w:rFonts w:hint="eastAsia" w:ascii="宋体" w:hAnsi="宋体" w:cs="仿宋_GB2312"/>
                <w:b w:val="0"/>
                <w:bCs w:val="0"/>
                <w:color w:val="000000"/>
                <w:kern w:val="0"/>
                <w:sz w:val="20"/>
                <w:szCs w:val="20"/>
                <w:lang w:bidi="ar"/>
              </w:rPr>
              <w:t>：须开具增值税专用发票。</w:t>
            </w:r>
          </w:p>
          <w:p w14:paraId="378D090A">
            <w:pPr>
              <w:widowControl/>
              <w:textAlignment w:val="center"/>
              <w:rPr>
                <w:rFonts w:hint="eastAsia" w:ascii="宋体" w:hAnsi="宋体" w:cs="仿宋_GB2312"/>
                <w:b/>
                <w:bCs/>
                <w:color w:val="000000"/>
                <w:kern w:val="0"/>
                <w:sz w:val="20"/>
                <w:szCs w:val="20"/>
                <w:lang w:bidi="ar"/>
              </w:rPr>
            </w:pPr>
            <w:r>
              <w:rPr>
                <w:rFonts w:hint="eastAsia" w:ascii="宋体" w:hAnsi="宋体" w:cs="仿宋_GB2312"/>
                <w:b/>
                <w:bCs/>
                <w:color w:val="000000"/>
                <w:kern w:val="0"/>
                <w:sz w:val="20"/>
                <w:szCs w:val="20"/>
                <w:lang w:bidi="ar"/>
              </w:rPr>
              <w:t>6、履约信用要求</w:t>
            </w:r>
          </w:p>
          <w:p w14:paraId="7405E321">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val="0"/>
                <w:bCs w:val="0"/>
                <w:color w:val="000000"/>
                <w:kern w:val="0"/>
                <w:sz w:val="20"/>
                <w:szCs w:val="20"/>
                <w:lang w:bidi="ar"/>
              </w:rPr>
              <w:t>投标人应具有良好的社会信誉，不接受存在以下任何一种情况的公司投标：</w:t>
            </w:r>
          </w:p>
          <w:p w14:paraId="12EC80F3">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val="0"/>
                <w:bCs w:val="0"/>
                <w:color w:val="000000"/>
                <w:kern w:val="0"/>
                <w:sz w:val="20"/>
                <w:szCs w:val="20"/>
                <w:lang w:bidi="ar"/>
              </w:rPr>
              <w:t>（1）在“国家企业信用信息公示系统”（https://www.gsxt.gov.cn/index.html）被列入严重违法失信名单和经营异常名单。</w:t>
            </w:r>
          </w:p>
          <w:p w14:paraId="749B8974">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val="0"/>
                <w:bCs w:val="0"/>
                <w:color w:val="000000"/>
                <w:kern w:val="0"/>
                <w:sz w:val="20"/>
                <w:szCs w:val="20"/>
                <w:lang w:bidi="ar"/>
              </w:rPr>
              <w:t>（2）在“中国执行信息公开网”(http://zxgk.court.gov.cn）被列入失信被执行人。</w:t>
            </w:r>
          </w:p>
          <w:p w14:paraId="5B5EC7EC">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val="0"/>
                <w:bCs w:val="0"/>
                <w:color w:val="000000"/>
                <w:kern w:val="0"/>
                <w:sz w:val="20"/>
                <w:szCs w:val="20"/>
                <w:lang w:bidi="ar"/>
              </w:rPr>
              <w:t>（3）在纳税信用登记信息系统（https://12366.chinatax.gov.cn/）被列入纳税信用等级为 C、D 级的企业。</w:t>
            </w:r>
          </w:p>
          <w:p w14:paraId="3E0F0C4E">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val="0"/>
                <w:bCs w:val="0"/>
                <w:color w:val="000000"/>
                <w:kern w:val="0"/>
                <w:sz w:val="20"/>
                <w:szCs w:val="20"/>
                <w:lang w:bidi="ar"/>
              </w:rPr>
              <w:t>（4）在信用中国(https://www.creditchina.gov.cn/?navPage=0）被列入严重失信和经营异常被执行人。</w:t>
            </w:r>
          </w:p>
          <w:p w14:paraId="37EE1ADF">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val="0"/>
                <w:bCs w:val="0"/>
                <w:color w:val="000000"/>
                <w:kern w:val="0"/>
                <w:sz w:val="20"/>
                <w:szCs w:val="20"/>
                <w:lang w:bidi="ar"/>
              </w:rPr>
              <w:t>（5）在中国中铁股份有限公司和中铁二局集团有限公司限制交易名单及处罚期内。</w:t>
            </w:r>
          </w:p>
          <w:p w14:paraId="0181DCF4">
            <w:pPr>
              <w:widowControl/>
              <w:textAlignment w:val="center"/>
              <w:rPr>
                <w:rFonts w:hint="eastAsia" w:ascii="宋体" w:hAnsi="宋体" w:cs="仿宋_GB2312"/>
                <w:b w:val="0"/>
                <w:bCs w:val="0"/>
                <w:color w:val="000000"/>
                <w:kern w:val="0"/>
                <w:sz w:val="20"/>
                <w:szCs w:val="20"/>
                <w:lang w:bidi="ar"/>
              </w:rPr>
            </w:pPr>
            <w:r>
              <w:rPr>
                <w:rFonts w:hint="eastAsia" w:ascii="宋体" w:hAnsi="宋体" w:cs="仿宋_GB2312"/>
                <w:b/>
                <w:bCs/>
                <w:color w:val="000000"/>
                <w:kern w:val="0"/>
                <w:sz w:val="20"/>
                <w:szCs w:val="20"/>
                <w:lang w:bidi="ar"/>
              </w:rPr>
              <w:t>7.供货业绩要求</w:t>
            </w:r>
            <w:r>
              <w:rPr>
                <w:rFonts w:hint="eastAsia" w:ascii="宋体" w:hAnsi="宋体" w:cs="仿宋_GB2312"/>
                <w:b w:val="0"/>
                <w:bCs w:val="0"/>
                <w:color w:val="000000"/>
                <w:kern w:val="0"/>
                <w:sz w:val="20"/>
                <w:szCs w:val="20"/>
                <w:lang w:bidi="ar"/>
              </w:rPr>
              <w:t xml:space="preserve">：无不良产品质量记录；最近两年内没有因骗取合同等严重违法行为而引起的诉讼和仲裁，无不良产品质量记录；（1年内新成立公司可不提供）                                      </w:t>
            </w:r>
            <w:r>
              <w:rPr>
                <w:rFonts w:hint="eastAsia" w:ascii="宋体" w:hAnsi="宋体" w:cs="仿宋_GB2312"/>
                <w:b/>
                <w:bCs/>
                <w:color w:val="000000"/>
                <w:kern w:val="0"/>
                <w:sz w:val="20"/>
                <w:szCs w:val="20"/>
                <w:lang w:bidi="ar"/>
              </w:rPr>
              <w:t>8、其他要求</w:t>
            </w:r>
            <w:r>
              <w:rPr>
                <w:rFonts w:hint="eastAsia" w:ascii="宋体" w:hAnsi="宋体" w:cs="仿宋_GB2312"/>
                <w:b w:val="0"/>
                <w:bCs w:val="0"/>
                <w:color w:val="000000"/>
                <w:kern w:val="0"/>
                <w:sz w:val="20"/>
                <w:szCs w:val="20"/>
                <w:lang w:bidi="ar"/>
              </w:rPr>
              <w:t>：①本次招标设有最高限价，且在招标文件中已发布，投标人报价不得超过该限价，否则将被列为重大偏差，投标被否决。②不接受联合体投标，不接受个体工商户投标。</w:t>
            </w:r>
          </w:p>
          <w:p w14:paraId="5D06E14A">
            <w:pPr>
              <w:widowControl/>
              <w:textAlignment w:val="center"/>
              <w:rPr>
                <w:rFonts w:hint="eastAsia" w:ascii="宋体" w:hAnsi="宋体" w:cs="仿宋_GB2312"/>
                <w:b w:val="0"/>
                <w:bCs w:val="0"/>
                <w:color w:val="000000"/>
                <w:kern w:val="0"/>
                <w:sz w:val="20"/>
                <w:szCs w:val="20"/>
                <w:lang w:bidi="ar"/>
              </w:rPr>
            </w:pPr>
            <w:r>
              <w:rPr>
                <w:rFonts w:hint="eastAsia" w:ascii="宋体" w:hAnsi="宋体" w:eastAsia="宋体" w:cs="宋体"/>
                <w:color w:val="000000"/>
                <w:sz w:val="20"/>
                <w:szCs w:val="20"/>
                <w:lang w:val="en-US" w:eastAsia="zh-CN"/>
              </w:rPr>
              <w:t>GJWP-01包件，</w:t>
            </w:r>
            <w:r>
              <w:rPr>
                <w:rFonts w:hint="eastAsia" w:ascii="宋体" w:hAnsi="宋体" w:cs="仿宋_GB2312"/>
                <w:b w:val="0"/>
                <w:bCs w:val="0"/>
                <w:color w:val="000000"/>
                <w:kern w:val="0"/>
                <w:sz w:val="20"/>
                <w:szCs w:val="20"/>
                <w:lang w:bidi="ar"/>
              </w:rPr>
              <w:t>投标人需提供一份2022年至今的钢筋网片业绩合同一份（业绩需附中标通知书及合同协议书)</w:t>
            </w:r>
            <w:r>
              <w:rPr>
                <w:rFonts w:hint="eastAsia" w:ascii="宋体" w:hAnsi="宋体" w:cs="仿宋_GB2312"/>
                <w:b w:val="0"/>
                <w:bCs w:val="0"/>
                <w:color w:val="000000"/>
                <w:kern w:val="0"/>
                <w:sz w:val="20"/>
                <w:szCs w:val="20"/>
                <w:lang w:eastAsia="zh-CN" w:bidi="ar"/>
              </w:rPr>
              <w:t>，</w:t>
            </w:r>
            <w:r>
              <w:rPr>
                <w:rFonts w:hint="eastAsia" w:ascii="宋体" w:hAnsi="宋体" w:cs="仿宋_GB2312"/>
                <w:b w:val="0"/>
                <w:bCs w:val="0"/>
                <w:color w:val="000000"/>
                <w:kern w:val="0"/>
                <w:sz w:val="20"/>
                <w:szCs w:val="20"/>
                <w:lang w:val="en-US" w:eastAsia="zh-CN" w:bidi="ar"/>
              </w:rPr>
              <w:t>检测报告提供一份钢筋网片类检查报告即可</w:t>
            </w:r>
            <w:r>
              <w:rPr>
                <w:rFonts w:hint="eastAsia" w:ascii="宋体" w:hAnsi="宋体" w:cs="仿宋_GB2312"/>
                <w:b w:val="0"/>
                <w:bCs w:val="0"/>
                <w:color w:val="000000"/>
                <w:kern w:val="0"/>
                <w:sz w:val="20"/>
                <w:szCs w:val="20"/>
                <w:lang w:bidi="ar"/>
              </w:rPr>
              <w:t>。</w:t>
            </w:r>
          </w:p>
          <w:p w14:paraId="20D14030">
            <w:pPr>
              <w:widowControl/>
              <w:textAlignment w:val="center"/>
              <w:rPr>
                <w:rFonts w:hint="default" w:ascii="宋体" w:hAnsi="宋体" w:cs="仿宋_GB2312"/>
                <w:b w:val="0"/>
                <w:bCs w:val="0"/>
                <w:color w:val="000000"/>
                <w:kern w:val="0"/>
                <w:sz w:val="20"/>
                <w:szCs w:val="20"/>
                <w:lang w:val="en-US" w:eastAsia="zh-CN" w:bidi="ar"/>
              </w:rPr>
            </w:pPr>
            <w:r>
              <w:rPr>
                <w:rFonts w:hint="default" w:ascii="宋体" w:hAnsi="宋体" w:cs="仿宋_GB2312"/>
                <w:b w:val="0"/>
                <w:bCs w:val="0"/>
                <w:color w:val="000000"/>
                <w:kern w:val="0"/>
                <w:sz w:val="20"/>
                <w:szCs w:val="20"/>
                <w:lang w:val="en-US" w:eastAsia="zh-CN" w:bidi="ar"/>
              </w:rPr>
              <w:t>SS-01包件，投标人需提供一份2022年至今的地材类业绩合同一份（业绩需附中标通知书及合同协议书)，检测报告提供一份地材类检测报告即可。</w:t>
            </w:r>
          </w:p>
        </w:tc>
      </w:tr>
    </w:tbl>
    <w:p w14:paraId="2AE4487C">
      <w:pPr>
        <w:tabs>
          <w:tab w:val="left" w:pos="2245"/>
        </w:tabs>
        <w:jc w:val="left"/>
        <w:rPr>
          <w:rFonts w:hint="eastAsia"/>
        </w:rPr>
        <w:sectPr>
          <w:pgSz w:w="16838" w:h="11906" w:orient="landscape"/>
          <w:pgMar w:top="1474" w:right="1134" w:bottom="993" w:left="1134" w:header="680" w:footer="1191" w:gutter="0"/>
          <w:cols w:space="720" w:num="1"/>
          <w:docGrid w:linePitch="312" w:charSpace="0"/>
        </w:sectPr>
      </w:pPr>
    </w:p>
    <w:p w14:paraId="3C6928C8">
      <w:pPr>
        <w:outlineLvl w:val="1"/>
        <w:rPr>
          <w:rFonts w:ascii="宋体" w:hAnsi="宋体"/>
          <w:sz w:val="28"/>
          <w:szCs w:val="28"/>
        </w:rPr>
      </w:pPr>
      <w:bookmarkStart w:id="16" w:name="_Toc24210"/>
      <w:bookmarkStart w:id="17" w:name="_Toc31133"/>
      <w:bookmarkStart w:id="18" w:name="_Toc31915"/>
      <w:r>
        <w:rPr>
          <w:rFonts w:hint="eastAsia" w:ascii="宋体" w:hAnsi="宋体"/>
          <w:sz w:val="28"/>
          <w:szCs w:val="28"/>
        </w:rPr>
        <w:t>附件三</w:t>
      </w:r>
      <w:bookmarkEnd w:id="16"/>
      <w:bookmarkEnd w:id="17"/>
      <w:bookmarkEnd w:id="18"/>
    </w:p>
    <w:p w14:paraId="32D366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新宋体"/>
          <w:b/>
          <w:bCs/>
          <w:kern w:val="0"/>
          <w:sz w:val="36"/>
          <w:szCs w:val="36"/>
        </w:rPr>
      </w:pPr>
      <w:r>
        <w:rPr>
          <w:rFonts w:hint="eastAsia" w:ascii="宋体" w:hAnsi="宋体" w:eastAsia="宋体" w:cs="新宋体"/>
          <w:b/>
          <w:bCs/>
          <w:kern w:val="0"/>
          <w:sz w:val="36"/>
          <w:szCs w:val="36"/>
        </w:rPr>
        <w:t>投标申请表</w:t>
      </w:r>
    </w:p>
    <w:tbl>
      <w:tblPr>
        <w:tblStyle w:val="7"/>
        <w:tblW w:w="0" w:type="auto"/>
        <w:tblInd w:w="16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82"/>
        <w:gridCol w:w="2431"/>
        <w:gridCol w:w="1747"/>
        <w:gridCol w:w="2399"/>
      </w:tblGrid>
      <w:tr w14:paraId="01A35F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tcBorders>
              <w:top w:val="single" w:color="auto" w:sz="8" w:space="0"/>
            </w:tcBorders>
            <w:noWrap w:val="0"/>
            <w:vAlign w:val="center"/>
          </w:tcPr>
          <w:p w14:paraId="55991FF0">
            <w:pPr>
              <w:widowControl/>
              <w:spacing w:line="440" w:lineRule="exact"/>
              <w:jc w:val="center"/>
              <w:rPr>
                <w:rFonts w:ascii="宋体" w:hAnsi="宋体" w:cs="宋体"/>
                <w:kern w:val="0"/>
                <w:sz w:val="24"/>
                <w:szCs w:val="21"/>
              </w:rPr>
            </w:pPr>
            <w:r>
              <w:rPr>
                <w:rFonts w:hint="eastAsia" w:ascii="宋体" w:hAnsi="宋体" w:cs="宋体"/>
                <w:kern w:val="0"/>
                <w:sz w:val="24"/>
                <w:szCs w:val="21"/>
              </w:rPr>
              <w:t>投标项目</w:t>
            </w:r>
          </w:p>
        </w:tc>
        <w:tc>
          <w:tcPr>
            <w:tcW w:w="6577" w:type="dxa"/>
            <w:gridSpan w:val="3"/>
            <w:tcBorders>
              <w:top w:val="single" w:color="auto" w:sz="8" w:space="0"/>
            </w:tcBorders>
            <w:noWrap w:val="0"/>
            <w:vAlign w:val="center"/>
          </w:tcPr>
          <w:p w14:paraId="26C98AA4">
            <w:pPr>
              <w:widowControl/>
              <w:spacing w:line="440" w:lineRule="exact"/>
              <w:jc w:val="center"/>
              <w:rPr>
                <w:rFonts w:hint="eastAsia" w:ascii="宋体" w:hAnsi="宋体" w:cs="宋体"/>
                <w:kern w:val="0"/>
                <w:sz w:val="24"/>
                <w:szCs w:val="21"/>
              </w:rPr>
            </w:pPr>
            <w:r>
              <w:rPr>
                <w:rFonts w:hint="eastAsia" w:ascii="宋体" w:hAnsi="宋体" w:cs="宋体"/>
                <w:kern w:val="0"/>
                <w:sz w:val="24"/>
                <w:szCs w:val="21"/>
              </w:rPr>
              <w:t>可直接复制招标文件标题</w:t>
            </w:r>
          </w:p>
        </w:tc>
      </w:tr>
      <w:tr w14:paraId="5CB4DC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tcBorders>
              <w:top w:val="single" w:color="auto" w:sz="8" w:space="0"/>
            </w:tcBorders>
            <w:noWrap w:val="0"/>
            <w:vAlign w:val="center"/>
          </w:tcPr>
          <w:p w14:paraId="44B8BB0B">
            <w:pPr>
              <w:widowControl/>
              <w:spacing w:line="440" w:lineRule="exact"/>
              <w:jc w:val="center"/>
              <w:rPr>
                <w:rFonts w:ascii="宋体" w:hAnsi="宋体" w:cs="宋体"/>
                <w:kern w:val="0"/>
                <w:sz w:val="24"/>
                <w:szCs w:val="21"/>
              </w:rPr>
            </w:pPr>
            <w:r>
              <w:rPr>
                <w:rFonts w:hint="eastAsia" w:ascii="宋体" w:hAnsi="宋体" w:cs="宋体"/>
                <w:kern w:val="0"/>
                <w:sz w:val="24"/>
                <w:szCs w:val="21"/>
              </w:rPr>
              <w:t>投标人名称</w:t>
            </w:r>
          </w:p>
        </w:tc>
        <w:tc>
          <w:tcPr>
            <w:tcW w:w="6577" w:type="dxa"/>
            <w:gridSpan w:val="3"/>
            <w:tcBorders>
              <w:top w:val="single" w:color="auto" w:sz="8" w:space="0"/>
            </w:tcBorders>
            <w:noWrap w:val="0"/>
            <w:vAlign w:val="center"/>
          </w:tcPr>
          <w:p w14:paraId="10CF6C91">
            <w:pPr>
              <w:widowControl/>
              <w:spacing w:line="440" w:lineRule="exact"/>
              <w:jc w:val="center"/>
              <w:rPr>
                <w:rFonts w:ascii="宋体" w:hAnsi="宋体" w:cs="宋体"/>
                <w:kern w:val="0"/>
                <w:sz w:val="24"/>
                <w:szCs w:val="21"/>
              </w:rPr>
            </w:pPr>
          </w:p>
        </w:tc>
      </w:tr>
      <w:tr w14:paraId="5C237E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noWrap w:val="0"/>
            <w:vAlign w:val="center"/>
          </w:tcPr>
          <w:p w14:paraId="327AEF6E">
            <w:pPr>
              <w:widowControl/>
              <w:spacing w:line="440" w:lineRule="exact"/>
              <w:jc w:val="center"/>
              <w:rPr>
                <w:rFonts w:ascii="宋体" w:hAnsi="宋体" w:cs="宋体"/>
                <w:kern w:val="0"/>
                <w:sz w:val="24"/>
                <w:szCs w:val="21"/>
              </w:rPr>
            </w:pPr>
            <w:r>
              <w:rPr>
                <w:rFonts w:hint="eastAsia" w:ascii="宋体" w:hAnsi="宋体" w:cs="宋体"/>
                <w:kern w:val="0"/>
                <w:sz w:val="24"/>
                <w:szCs w:val="21"/>
              </w:rPr>
              <w:t>投标人联系地址</w:t>
            </w:r>
          </w:p>
        </w:tc>
        <w:tc>
          <w:tcPr>
            <w:tcW w:w="6577" w:type="dxa"/>
            <w:gridSpan w:val="3"/>
            <w:noWrap w:val="0"/>
            <w:vAlign w:val="center"/>
          </w:tcPr>
          <w:p w14:paraId="10E7DCAD">
            <w:pPr>
              <w:widowControl/>
              <w:spacing w:line="440" w:lineRule="exact"/>
              <w:jc w:val="center"/>
              <w:rPr>
                <w:rFonts w:ascii="宋体" w:hAnsi="宋体" w:cs="宋体"/>
                <w:kern w:val="0"/>
                <w:sz w:val="24"/>
                <w:szCs w:val="21"/>
              </w:rPr>
            </w:pPr>
          </w:p>
        </w:tc>
      </w:tr>
      <w:tr w14:paraId="36C958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14:paraId="248B4512">
            <w:pPr>
              <w:widowControl/>
              <w:spacing w:line="440" w:lineRule="exact"/>
              <w:jc w:val="center"/>
              <w:rPr>
                <w:rFonts w:ascii="宋体" w:hAnsi="宋体" w:cs="宋体"/>
                <w:kern w:val="0"/>
                <w:sz w:val="24"/>
                <w:szCs w:val="21"/>
              </w:rPr>
            </w:pPr>
            <w:r>
              <w:rPr>
                <w:rFonts w:hint="eastAsia" w:ascii="宋体" w:hAnsi="宋体" w:cs="宋体"/>
                <w:kern w:val="0"/>
                <w:sz w:val="24"/>
                <w:szCs w:val="21"/>
              </w:rPr>
              <w:t>法定代表人</w:t>
            </w:r>
          </w:p>
        </w:tc>
        <w:tc>
          <w:tcPr>
            <w:tcW w:w="2431" w:type="dxa"/>
            <w:noWrap w:val="0"/>
            <w:vAlign w:val="center"/>
          </w:tcPr>
          <w:p w14:paraId="31F57B96">
            <w:pPr>
              <w:widowControl/>
              <w:spacing w:line="440" w:lineRule="exact"/>
              <w:jc w:val="center"/>
              <w:rPr>
                <w:rFonts w:ascii="宋体" w:hAnsi="宋体" w:cs="宋体"/>
                <w:kern w:val="0"/>
                <w:sz w:val="24"/>
                <w:szCs w:val="21"/>
              </w:rPr>
            </w:pPr>
          </w:p>
        </w:tc>
        <w:tc>
          <w:tcPr>
            <w:tcW w:w="1747" w:type="dxa"/>
            <w:noWrap w:val="0"/>
            <w:vAlign w:val="center"/>
          </w:tcPr>
          <w:p w14:paraId="675C4F52">
            <w:pPr>
              <w:widowControl/>
              <w:spacing w:line="440" w:lineRule="exact"/>
              <w:jc w:val="center"/>
              <w:rPr>
                <w:rFonts w:ascii="宋体" w:hAnsi="宋体" w:cs="宋体"/>
                <w:kern w:val="0"/>
                <w:sz w:val="24"/>
                <w:szCs w:val="21"/>
              </w:rPr>
            </w:pPr>
            <w:r>
              <w:rPr>
                <w:rFonts w:hint="eastAsia" w:ascii="宋体" w:hAnsi="宋体" w:cs="宋体"/>
                <w:kern w:val="0"/>
                <w:sz w:val="24"/>
                <w:szCs w:val="21"/>
              </w:rPr>
              <w:t>法人委托人</w:t>
            </w:r>
          </w:p>
        </w:tc>
        <w:tc>
          <w:tcPr>
            <w:tcW w:w="2399" w:type="dxa"/>
            <w:noWrap w:val="0"/>
            <w:vAlign w:val="center"/>
          </w:tcPr>
          <w:p w14:paraId="6B2500F4">
            <w:pPr>
              <w:widowControl/>
              <w:spacing w:line="440" w:lineRule="exact"/>
              <w:jc w:val="center"/>
              <w:rPr>
                <w:rFonts w:ascii="宋体" w:hAnsi="宋体" w:cs="宋体"/>
                <w:kern w:val="0"/>
                <w:sz w:val="24"/>
                <w:szCs w:val="21"/>
              </w:rPr>
            </w:pPr>
          </w:p>
        </w:tc>
      </w:tr>
      <w:tr w14:paraId="521021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14:paraId="015150D3">
            <w:pPr>
              <w:widowControl/>
              <w:spacing w:line="440" w:lineRule="exact"/>
              <w:jc w:val="center"/>
              <w:rPr>
                <w:rFonts w:ascii="宋体" w:hAnsi="宋体" w:cs="宋体"/>
                <w:kern w:val="0"/>
                <w:sz w:val="24"/>
                <w:szCs w:val="21"/>
              </w:rPr>
            </w:pPr>
            <w:r>
              <w:rPr>
                <w:rFonts w:hint="eastAsia" w:ascii="宋体" w:hAnsi="宋体" w:cs="宋体"/>
                <w:kern w:val="0"/>
                <w:sz w:val="24"/>
                <w:szCs w:val="21"/>
              </w:rPr>
              <w:t>投标联系人</w:t>
            </w:r>
          </w:p>
        </w:tc>
        <w:tc>
          <w:tcPr>
            <w:tcW w:w="2431" w:type="dxa"/>
            <w:noWrap w:val="0"/>
            <w:vAlign w:val="center"/>
          </w:tcPr>
          <w:p w14:paraId="186E639C">
            <w:pPr>
              <w:widowControl/>
              <w:spacing w:line="440" w:lineRule="exact"/>
              <w:jc w:val="center"/>
              <w:rPr>
                <w:rFonts w:ascii="宋体" w:hAnsi="宋体" w:cs="宋体"/>
                <w:kern w:val="0"/>
                <w:sz w:val="24"/>
                <w:szCs w:val="21"/>
              </w:rPr>
            </w:pPr>
          </w:p>
        </w:tc>
        <w:tc>
          <w:tcPr>
            <w:tcW w:w="1747" w:type="dxa"/>
            <w:noWrap w:val="0"/>
            <w:vAlign w:val="center"/>
          </w:tcPr>
          <w:p w14:paraId="5AB6E5A5">
            <w:pPr>
              <w:widowControl/>
              <w:spacing w:line="440" w:lineRule="exact"/>
              <w:jc w:val="center"/>
              <w:rPr>
                <w:rFonts w:ascii="宋体" w:hAnsi="宋体" w:cs="宋体"/>
                <w:kern w:val="0"/>
                <w:sz w:val="24"/>
                <w:szCs w:val="21"/>
              </w:rPr>
            </w:pPr>
            <w:r>
              <w:rPr>
                <w:rFonts w:hint="eastAsia" w:ascii="宋体" w:hAnsi="宋体" w:cs="宋体"/>
                <w:kern w:val="0"/>
                <w:sz w:val="24"/>
                <w:szCs w:val="21"/>
              </w:rPr>
              <w:t>联系电话</w:t>
            </w:r>
          </w:p>
        </w:tc>
        <w:tc>
          <w:tcPr>
            <w:tcW w:w="2399" w:type="dxa"/>
            <w:noWrap w:val="0"/>
            <w:vAlign w:val="center"/>
          </w:tcPr>
          <w:p w14:paraId="2634CF3B">
            <w:pPr>
              <w:widowControl/>
              <w:spacing w:line="440" w:lineRule="exact"/>
              <w:jc w:val="center"/>
              <w:rPr>
                <w:rFonts w:ascii="宋体" w:hAnsi="宋体" w:cs="宋体"/>
                <w:kern w:val="0"/>
                <w:sz w:val="24"/>
                <w:szCs w:val="21"/>
              </w:rPr>
            </w:pPr>
          </w:p>
        </w:tc>
      </w:tr>
      <w:tr w14:paraId="428652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14:paraId="51A80F05">
            <w:pPr>
              <w:widowControl/>
              <w:spacing w:line="440" w:lineRule="exact"/>
              <w:jc w:val="center"/>
              <w:rPr>
                <w:rFonts w:ascii="宋体" w:hAnsi="宋体" w:cs="宋体"/>
                <w:kern w:val="0"/>
                <w:sz w:val="24"/>
                <w:szCs w:val="21"/>
              </w:rPr>
            </w:pPr>
            <w:r>
              <w:rPr>
                <w:rFonts w:hint="eastAsia" w:ascii="宋体" w:hAnsi="宋体" w:cs="宋体"/>
                <w:kern w:val="0"/>
                <w:sz w:val="24"/>
                <w:szCs w:val="21"/>
              </w:rPr>
              <w:t>电子邮箱（必填）</w:t>
            </w:r>
          </w:p>
        </w:tc>
        <w:tc>
          <w:tcPr>
            <w:tcW w:w="6577" w:type="dxa"/>
            <w:gridSpan w:val="3"/>
            <w:noWrap w:val="0"/>
            <w:vAlign w:val="center"/>
          </w:tcPr>
          <w:p w14:paraId="2AC17A39">
            <w:pPr>
              <w:widowControl/>
              <w:spacing w:line="440" w:lineRule="exact"/>
              <w:jc w:val="center"/>
              <w:rPr>
                <w:rFonts w:ascii="宋体" w:hAnsi="宋体" w:cs="宋体"/>
                <w:kern w:val="0"/>
                <w:sz w:val="24"/>
                <w:szCs w:val="21"/>
              </w:rPr>
            </w:pPr>
          </w:p>
        </w:tc>
      </w:tr>
      <w:tr w14:paraId="6593D6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004" w:hRule="atLeast"/>
        </w:trPr>
        <w:tc>
          <w:tcPr>
            <w:tcW w:w="8859" w:type="dxa"/>
            <w:gridSpan w:val="4"/>
            <w:tcBorders>
              <w:bottom w:val="single" w:color="auto" w:sz="8" w:space="0"/>
            </w:tcBorders>
            <w:noWrap w:val="0"/>
            <w:vAlign w:val="center"/>
          </w:tcPr>
          <w:p w14:paraId="08277A57">
            <w:pPr>
              <w:widowControl/>
              <w:spacing w:line="440" w:lineRule="exact"/>
              <w:jc w:val="left"/>
              <w:rPr>
                <w:rFonts w:ascii="宋体" w:hAnsi="宋体" w:cs="宋体"/>
                <w:kern w:val="0"/>
                <w:sz w:val="24"/>
                <w:szCs w:val="21"/>
              </w:rPr>
            </w:pPr>
            <w:r>
              <w:rPr>
                <w:rFonts w:ascii="宋体" w:hAnsi="宋体" w:cs="宋体"/>
                <w:kern w:val="0"/>
                <w:sz w:val="24"/>
                <w:szCs w:val="21"/>
              </w:rPr>
              <w:t>1.</w:t>
            </w:r>
            <w:r>
              <w:rPr>
                <w:rFonts w:hint="eastAsia" w:ascii="宋体" w:hAnsi="宋体" w:cs="宋体"/>
                <w:kern w:val="0"/>
                <w:sz w:val="24"/>
                <w:szCs w:val="21"/>
              </w:rPr>
              <w:t>获取招标文件方式：电子版</w:t>
            </w:r>
            <w:r>
              <w:rPr>
                <w:rFonts w:ascii="宋体" w:hAnsi="宋体" w:cs="宋体"/>
                <w:kern w:val="0"/>
                <w:sz w:val="24"/>
                <w:szCs w:val="21"/>
              </w:rPr>
              <w:t xml:space="preserve"> </w:t>
            </w:r>
          </w:p>
          <w:p w14:paraId="74801101">
            <w:pPr>
              <w:widowControl/>
              <w:spacing w:line="440" w:lineRule="exact"/>
              <w:jc w:val="left"/>
              <w:rPr>
                <w:rFonts w:ascii="宋体" w:hAnsi="宋体" w:cs="宋体"/>
                <w:kern w:val="0"/>
                <w:sz w:val="24"/>
                <w:szCs w:val="21"/>
              </w:rPr>
            </w:pPr>
          </w:p>
          <w:p w14:paraId="58C9274C">
            <w:pPr>
              <w:pStyle w:val="12"/>
              <w:ind w:firstLine="0" w:firstLineChars="0"/>
              <w:rPr>
                <w:rFonts w:hint="eastAsia"/>
              </w:rPr>
            </w:pPr>
          </w:p>
          <w:p w14:paraId="532F560D">
            <w:pPr>
              <w:pStyle w:val="12"/>
              <w:ind w:firstLine="0" w:firstLineChars="0"/>
              <w:rPr>
                <w:rFonts w:hint="eastAsia"/>
              </w:rPr>
            </w:pPr>
          </w:p>
          <w:p w14:paraId="54644BAF">
            <w:pPr>
              <w:pStyle w:val="12"/>
              <w:ind w:firstLine="0" w:firstLineChars="0"/>
              <w:rPr>
                <w:rFonts w:hint="eastAsia"/>
              </w:rPr>
            </w:pPr>
          </w:p>
          <w:p w14:paraId="74D97B6B">
            <w:pPr>
              <w:widowControl/>
              <w:spacing w:line="440" w:lineRule="exact"/>
              <w:jc w:val="left"/>
              <w:rPr>
                <w:rFonts w:ascii="宋体" w:hAnsi="宋体" w:cs="宋体"/>
                <w:kern w:val="0"/>
                <w:sz w:val="24"/>
                <w:szCs w:val="21"/>
              </w:rPr>
            </w:pPr>
            <w:r>
              <w:rPr>
                <w:rFonts w:ascii="宋体" w:hAnsi="宋体" w:cs="宋体"/>
                <w:kern w:val="0"/>
                <w:sz w:val="24"/>
                <w:szCs w:val="21"/>
              </w:rPr>
              <w:t>2.</w:t>
            </w:r>
            <w:r>
              <w:rPr>
                <w:rFonts w:hint="eastAsia" w:ascii="宋体" w:hAnsi="宋体" w:cs="宋体"/>
                <w:kern w:val="0"/>
                <w:sz w:val="24"/>
                <w:szCs w:val="21"/>
              </w:rPr>
              <w:t xml:space="preserve">申请投标招标编号：ZTEJ-2025XX </w:t>
            </w:r>
            <w:r>
              <w:rPr>
                <w:rFonts w:ascii="宋体" w:hAnsi="宋体" w:cs="宋体"/>
                <w:kern w:val="0"/>
                <w:sz w:val="24"/>
                <w:szCs w:val="21"/>
              </w:rPr>
              <w:t xml:space="preserve">           </w:t>
            </w:r>
            <w:r>
              <w:rPr>
                <w:rFonts w:hint="eastAsia" w:ascii="宋体" w:hAnsi="宋体" w:cs="宋体"/>
                <w:kern w:val="0"/>
                <w:sz w:val="24"/>
                <w:szCs w:val="21"/>
              </w:rPr>
              <w:t>包件：X</w:t>
            </w:r>
            <w:r>
              <w:rPr>
                <w:rFonts w:ascii="宋体" w:hAnsi="宋体" w:cs="宋体"/>
                <w:kern w:val="0"/>
                <w:sz w:val="24"/>
                <w:szCs w:val="21"/>
              </w:rPr>
              <w:t>X-01</w:t>
            </w:r>
          </w:p>
          <w:p w14:paraId="39C8F679">
            <w:pPr>
              <w:widowControl/>
              <w:spacing w:line="440" w:lineRule="exact"/>
              <w:jc w:val="left"/>
              <w:rPr>
                <w:rFonts w:ascii="宋体" w:hAnsi="宋体" w:cs="宋体"/>
                <w:kern w:val="0"/>
                <w:sz w:val="24"/>
                <w:szCs w:val="21"/>
              </w:rPr>
            </w:pPr>
          </w:p>
          <w:p w14:paraId="3ED7D93A">
            <w:pPr>
              <w:widowControl/>
              <w:spacing w:line="440" w:lineRule="exact"/>
              <w:jc w:val="left"/>
              <w:rPr>
                <w:rFonts w:ascii="宋体" w:hAnsi="宋体" w:cs="宋体"/>
                <w:kern w:val="0"/>
                <w:sz w:val="24"/>
                <w:szCs w:val="21"/>
              </w:rPr>
            </w:pPr>
          </w:p>
          <w:p w14:paraId="737409CA">
            <w:pPr>
              <w:widowControl/>
              <w:spacing w:line="440" w:lineRule="exact"/>
              <w:jc w:val="left"/>
              <w:rPr>
                <w:rFonts w:ascii="宋体" w:hAnsi="宋体" w:cs="宋体"/>
                <w:kern w:val="0"/>
                <w:sz w:val="24"/>
                <w:szCs w:val="21"/>
              </w:rPr>
            </w:pPr>
          </w:p>
          <w:p w14:paraId="79376BCC">
            <w:pPr>
              <w:pStyle w:val="12"/>
              <w:ind w:firstLine="0" w:firstLineChars="0"/>
              <w:rPr>
                <w:rFonts w:hint="eastAsia"/>
              </w:rPr>
            </w:pPr>
          </w:p>
          <w:p w14:paraId="7A92301F">
            <w:pPr>
              <w:widowControl/>
              <w:spacing w:line="440" w:lineRule="exact"/>
              <w:jc w:val="left"/>
              <w:rPr>
                <w:rFonts w:ascii="宋体" w:hAnsi="宋体" w:cs="宋体"/>
                <w:kern w:val="0"/>
                <w:sz w:val="24"/>
                <w:szCs w:val="21"/>
              </w:rPr>
            </w:pPr>
            <w:r>
              <w:rPr>
                <w:rFonts w:ascii="宋体" w:hAnsi="宋体" w:cs="宋体"/>
                <w:kern w:val="0"/>
                <w:sz w:val="24"/>
                <w:szCs w:val="21"/>
              </w:rPr>
              <w:t>3.</w:t>
            </w:r>
            <w:r>
              <w:rPr>
                <w:rFonts w:hint="eastAsia" w:ascii="宋体" w:hAnsi="宋体" w:cs="宋体"/>
                <w:kern w:val="0"/>
                <w:sz w:val="24"/>
                <w:szCs w:val="21"/>
              </w:rPr>
              <w:t>其它说明：</w:t>
            </w:r>
          </w:p>
          <w:p w14:paraId="297CAA74">
            <w:pPr>
              <w:widowControl/>
              <w:spacing w:line="440" w:lineRule="exact"/>
              <w:jc w:val="left"/>
              <w:rPr>
                <w:rFonts w:ascii="宋体" w:hAnsi="宋体" w:cs="宋体"/>
                <w:kern w:val="0"/>
                <w:sz w:val="24"/>
                <w:szCs w:val="21"/>
              </w:rPr>
            </w:pPr>
          </w:p>
          <w:p w14:paraId="6095C5F4">
            <w:pPr>
              <w:widowControl/>
              <w:spacing w:line="440" w:lineRule="exact"/>
              <w:jc w:val="left"/>
              <w:rPr>
                <w:rFonts w:ascii="宋体" w:hAnsi="宋体" w:cs="宋体"/>
                <w:kern w:val="0"/>
                <w:sz w:val="24"/>
                <w:szCs w:val="21"/>
              </w:rPr>
            </w:pPr>
          </w:p>
          <w:p w14:paraId="6B915DB9">
            <w:pPr>
              <w:widowControl/>
              <w:spacing w:line="440" w:lineRule="exact"/>
              <w:jc w:val="left"/>
              <w:rPr>
                <w:rFonts w:ascii="宋体" w:hAnsi="宋体" w:cs="宋体"/>
                <w:kern w:val="0"/>
                <w:sz w:val="24"/>
                <w:szCs w:val="21"/>
              </w:rPr>
            </w:pPr>
          </w:p>
          <w:p w14:paraId="68F53716">
            <w:pPr>
              <w:widowControl/>
              <w:spacing w:line="440" w:lineRule="exact"/>
              <w:jc w:val="left"/>
              <w:rPr>
                <w:rFonts w:ascii="宋体" w:hAnsi="宋体" w:cs="宋体"/>
                <w:kern w:val="0"/>
                <w:sz w:val="24"/>
                <w:szCs w:val="21"/>
              </w:rPr>
            </w:pPr>
          </w:p>
          <w:p w14:paraId="046FE8C2">
            <w:pPr>
              <w:widowControl/>
              <w:spacing w:line="440" w:lineRule="exact"/>
              <w:ind w:right="480" w:firstLine="5280" w:firstLineChars="2200"/>
              <w:jc w:val="left"/>
              <w:rPr>
                <w:rFonts w:ascii="宋体" w:hAnsi="宋体" w:cs="宋体"/>
                <w:kern w:val="0"/>
                <w:sz w:val="24"/>
                <w:szCs w:val="21"/>
              </w:rPr>
            </w:pPr>
            <w:r>
              <w:rPr>
                <w:rFonts w:hint="eastAsia" w:ascii="宋体" w:hAnsi="宋体" w:cs="宋体"/>
                <w:kern w:val="0"/>
                <w:sz w:val="24"/>
                <w:szCs w:val="21"/>
              </w:rPr>
              <w:t>投标人（公章）</w:t>
            </w:r>
          </w:p>
          <w:p w14:paraId="6024CBCC">
            <w:pPr>
              <w:widowControl/>
              <w:spacing w:line="440" w:lineRule="exact"/>
              <w:jc w:val="left"/>
              <w:rPr>
                <w:rFonts w:ascii="宋体" w:hAnsi="宋体" w:cs="宋体"/>
                <w:kern w:val="0"/>
                <w:sz w:val="24"/>
                <w:szCs w:val="21"/>
              </w:rPr>
            </w:pPr>
            <w:r>
              <w:rPr>
                <w:rFonts w:ascii="宋体" w:hAnsi="宋体" w:cs="宋体"/>
                <w:kern w:val="0"/>
                <w:sz w:val="24"/>
                <w:szCs w:val="21"/>
              </w:rPr>
              <w:t xml:space="preserve">                                            </w:t>
            </w:r>
          </w:p>
          <w:p w14:paraId="6D3D17B3">
            <w:pPr>
              <w:widowControl/>
              <w:spacing w:line="440" w:lineRule="exact"/>
              <w:ind w:firstLine="5160" w:firstLineChars="2150"/>
              <w:jc w:val="left"/>
              <w:rPr>
                <w:rFonts w:ascii="宋体" w:hAnsi="宋体" w:cs="宋体"/>
                <w:kern w:val="0"/>
                <w:sz w:val="24"/>
                <w:szCs w:val="21"/>
              </w:rPr>
            </w:pPr>
            <w:r>
              <w:rPr>
                <w:rFonts w:ascii="宋体" w:hAnsi="宋体" w:cs="宋体"/>
                <w:kern w:val="0"/>
                <w:sz w:val="24"/>
                <w:szCs w:val="21"/>
              </w:rPr>
              <w:t xml:space="preserve"> </w:t>
            </w:r>
            <w:r>
              <w:rPr>
                <w:rFonts w:hint="eastAsia" w:ascii="宋体" w:hAnsi="宋体" w:cs="宋体"/>
                <w:kern w:val="0"/>
                <w:sz w:val="24"/>
                <w:szCs w:val="21"/>
              </w:rPr>
              <w:t>年</w:t>
            </w:r>
            <w:r>
              <w:rPr>
                <w:rFonts w:ascii="宋体" w:hAnsi="宋体" w:cs="宋体"/>
                <w:kern w:val="0"/>
                <w:sz w:val="24"/>
                <w:szCs w:val="21"/>
              </w:rPr>
              <w:t xml:space="preserve">    </w:t>
            </w:r>
            <w:r>
              <w:rPr>
                <w:rFonts w:hint="eastAsia" w:ascii="宋体" w:hAnsi="宋体" w:cs="宋体"/>
                <w:kern w:val="0"/>
                <w:sz w:val="24"/>
                <w:szCs w:val="21"/>
              </w:rPr>
              <w:t>月</w:t>
            </w:r>
            <w:r>
              <w:rPr>
                <w:rFonts w:ascii="宋体" w:hAnsi="宋体" w:cs="宋体"/>
                <w:kern w:val="0"/>
                <w:sz w:val="24"/>
                <w:szCs w:val="21"/>
              </w:rPr>
              <w:t xml:space="preserve">    </w:t>
            </w:r>
            <w:r>
              <w:rPr>
                <w:rFonts w:hint="eastAsia" w:ascii="宋体" w:hAnsi="宋体" w:cs="宋体"/>
                <w:kern w:val="0"/>
                <w:sz w:val="24"/>
                <w:szCs w:val="21"/>
              </w:rPr>
              <w:t>日</w:t>
            </w:r>
          </w:p>
          <w:p w14:paraId="092A3FEE">
            <w:pPr>
              <w:widowControl/>
              <w:spacing w:line="440" w:lineRule="exact"/>
              <w:ind w:firstLine="5160" w:firstLineChars="2150"/>
              <w:jc w:val="left"/>
              <w:rPr>
                <w:rFonts w:ascii="宋体" w:hAnsi="宋体" w:cs="宋体"/>
                <w:kern w:val="0"/>
                <w:sz w:val="24"/>
                <w:szCs w:val="21"/>
              </w:rPr>
            </w:pPr>
          </w:p>
        </w:tc>
      </w:tr>
    </w:tbl>
    <w:p w14:paraId="7C9341B5">
      <w:pPr>
        <w:spacing w:line="400" w:lineRule="exact"/>
        <w:jc w:val="center"/>
        <w:rPr>
          <w:rFonts w:ascii="宋体" w:hAnsi="宋体"/>
          <w:bCs/>
          <w:sz w:val="28"/>
          <w:szCs w:val="28"/>
        </w:rPr>
      </w:pPr>
    </w:p>
    <w:p w14:paraId="26D389CD">
      <w:pPr>
        <w:outlineLvl w:val="1"/>
        <w:rPr>
          <w:rFonts w:hint="eastAsia" w:ascii="宋体" w:hAnsi="宋体"/>
          <w:sz w:val="28"/>
          <w:szCs w:val="28"/>
        </w:rPr>
      </w:pPr>
      <w:bookmarkStart w:id="19" w:name="_Toc129374161"/>
      <w:bookmarkStart w:id="20" w:name="_Toc8560"/>
      <w:bookmarkStart w:id="21" w:name="_Toc24014"/>
      <w:bookmarkStart w:id="22" w:name="_Toc6464"/>
      <w:bookmarkStart w:id="23" w:name="_Toc129350252"/>
      <w:r>
        <w:rPr>
          <w:rFonts w:hint="eastAsia" w:ascii="宋体" w:hAnsi="宋体"/>
          <w:sz w:val="28"/>
          <w:szCs w:val="28"/>
        </w:rPr>
        <w:t>附件四</w:t>
      </w:r>
      <w:bookmarkEnd w:id="19"/>
      <w:bookmarkEnd w:id="20"/>
      <w:bookmarkEnd w:id="21"/>
      <w:bookmarkEnd w:id="22"/>
      <w:bookmarkEnd w:id="23"/>
    </w:p>
    <w:p w14:paraId="7AE04324">
      <w:pPr>
        <w:bidi w:val="0"/>
        <w:jc w:val="center"/>
        <w:rPr>
          <w:b/>
          <w:bCs/>
          <w:sz w:val="36"/>
          <w:szCs w:val="44"/>
        </w:rPr>
      </w:pPr>
      <w:r>
        <w:rPr>
          <w:rFonts w:hint="eastAsia"/>
          <w:b/>
          <w:bCs/>
          <w:sz w:val="36"/>
          <w:szCs w:val="44"/>
        </w:rPr>
        <w:t>客商申请所需信息</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933"/>
        <w:gridCol w:w="5285"/>
      </w:tblGrid>
      <w:tr w14:paraId="4E85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66" w:type="dxa"/>
            <w:tcBorders>
              <w:top w:val="single" w:color="auto" w:sz="4" w:space="0"/>
            </w:tcBorders>
            <w:noWrap/>
            <w:vAlign w:val="center"/>
          </w:tcPr>
          <w:p w14:paraId="4B3BFA8A">
            <w:pPr>
              <w:widowControl/>
              <w:jc w:val="center"/>
              <w:rPr>
                <w:rFonts w:ascii="宋体" w:hAnsi="宋体" w:cs="宋体"/>
                <w:color w:val="000000"/>
                <w:kern w:val="0"/>
                <w:sz w:val="24"/>
              </w:rPr>
            </w:pPr>
            <w:r>
              <w:rPr>
                <w:rFonts w:hint="eastAsia" w:ascii="宋体" w:hAnsi="宋体" w:cs="宋体"/>
                <w:color w:val="000000"/>
                <w:kern w:val="0"/>
                <w:sz w:val="24"/>
              </w:rPr>
              <w:t>序号</w:t>
            </w:r>
          </w:p>
        </w:tc>
        <w:tc>
          <w:tcPr>
            <w:tcW w:w="2933" w:type="dxa"/>
            <w:tcBorders>
              <w:top w:val="single" w:color="auto" w:sz="4" w:space="0"/>
            </w:tcBorders>
            <w:noWrap/>
            <w:vAlign w:val="center"/>
          </w:tcPr>
          <w:p w14:paraId="73EF98E5">
            <w:pPr>
              <w:widowControl/>
              <w:jc w:val="center"/>
              <w:rPr>
                <w:rFonts w:ascii="宋体" w:hAnsi="宋体" w:cs="宋体"/>
                <w:color w:val="000000"/>
                <w:kern w:val="0"/>
                <w:sz w:val="24"/>
              </w:rPr>
            </w:pPr>
            <w:r>
              <w:rPr>
                <w:rFonts w:hint="eastAsia" w:ascii="宋体" w:hAnsi="宋体" w:cs="宋体"/>
                <w:color w:val="000000"/>
                <w:kern w:val="0"/>
                <w:sz w:val="24"/>
              </w:rPr>
              <w:t>单位名称</w:t>
            </w:r>
          </w:p>
        </w:tc>
        <w:tc>
          <w:tcPr>
            <w:tcW w:w="5285" w:type="dxa"/>
            <w:tcBorders>
              <w:top w:val="single" w:color="auto" w:sz="4" w:space="0"/>
            </w:tcBorders>
            <w:noWrap/>
            <w:vAlign w:val="center"/>
          </w:tcPr>
          <w:p w14:paraId="0D1BD51B">
            <w:pPr>
              <w:widowControl/>
              <w:jc w:val="center"/>
              <w:rPr>
                <w:rFonts w:ascii="宋体" w:hAnsi="宋体" w:cs="宋体"/>
                <w:color w:val="000000"/>
                <w:kern w:val="0"/>
                <w:sz w:val="24"/>
              </w:rPr>
            </w:pPr>
          </w:p>
        </w:tc>
      </w:tr>
      <w:tr w14:paraId="22F7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766" w:type="dxa"/>
            <w:noWrap/>
            <w:vAlign w:val="center"/>
          </w:tcPr>
          <w:p w14:paraId="546A8578">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933" w:type="dxa"/>
            <w:noWrap/>
            <w:vAlign w:val="center"/>
          </w:tcPr>
          <w:p w14:paraId="0DC8F78F">
            <w:pPr>
              <w:widowControl/>
              <w:jc w:val="center"/>
              <w:rPr>
                <w:rFonts w:ascii="宋体" w:hAnsi="宋体" w:cs="宋体"/>
                <w:color w:val="000000"/>
                <w:kern w:val="0"/>
                <w:sz w:val="24"/>
              </w:rPr>
            </w:pPr>
            <w:r>
              <w:rPr>
                <w:rFonts w:hint="eastAsia" w:ascii="宋体" w:hAnsi="宋体" w:cs="宋体"/>
                <w:color w:val="000000"/>
                <w:kern w:val="0"/>
                <w:sz w:val="24"/>
              </w:rPr>
              <w:t>客商性质</w:t>
            </w:r>
          </w:p>
        </w:tc>
        <w:tc>
          <w:tcPr>
            <w:tcW w:w="5285" w:type="dxa"/>
            <w:noWrap/>
            <w:vAlign w:val="center"/>
          </w:tcPr>
          <w:p w14:paraId="7D78DAA8">
            <w:pPr>
              <w:widowControl/>
              <w:jc w:val="center"/>
              <w:rPr>
                <w:rFonts w:ascii="宋体" w:hAnsi="宋体" w:cs="宋体"/>
                <w:color w:val="000000"/>
                <w:kern w:val="0"/>
                <w:sz w:val="24"/>
              </w:rPr>
            </w:pPr>
            <w:r>
              <w:rPr>
                <w:rFonts w:hint="eastAsia" w:ascii="宋体" w:hAnsi="宋体" w:cs="宋体"/>
                <w:color w:val="000000"/>
                <w:kern w:val="0"/>
                <w:sz w:val="24"/>
              </w:rPr>
              <w:t>国企/民企/</w:t>
            </w:r>
          </w:p>
        </w:tc>
      </w:tr>
      <w:tr w14:paraId="72FC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5C4471E1">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933" w:type="dxa"/>
            <w:noWrap/>
            <w:vAlign w:val="center"/>
          </w:tcPr>
          <w:p w14:paraId="29F9E0BB">
            <w:pPr>
              <w:widowControl/>
              <w:jc w:val="center"/>
              <w:rPr>
                <w:rFonts w:ascii="宋体" w:hAnsi="宋体" w:cs="宋体"/>
                <w:color w:val="000000"/>
                <w:kern w:val="0"/>
                <w:sz w:val="24"/>
              </w:rPr>
            </w:pPr>
            <w:r>
              <w:rPr>
                <w:rFonts w:hint="eastAsia" w:ascii="宋体" w:hAnsi="宋体" w:cs="宋体"/>
                <w:color w:val="000000"/>
                <w:kern w:val="0"/>
                <w:sz w:val="24"/>
              </w:rPr>
              <w:t>统一社会信用代码</w:t>
            </w:r>
          </w:p>
        </w:tc>
        <w:tc>
          <w:tcPr>
            <w:tcW w:w="5285" w:type="dxa"/>
            <w:noWrap/>
            <w:vAlign w:val="center"/>
          </w:tcPr>
          <w:p w14:paraId="436A16A5">
            <w:pPr>
              <w:widowControl/>
              <w:jc w:val="center"/>
              <w:rPr>
                <w:rFonts w:ascii="宋体" w:hAnsi="宋体" w:cs="宋体"/>
                <w:color w:val="000000"/>
                <w:kern w:val="0"/>
                <w:sz w:val="24"/>
              </w:rPr>
            </w:pPr>
          </w:p>
        </w:tc>
      </w:tr>
      <w:tr w14:paraId="68E0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7B0E76A5">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2933" w:type="dxa"/>
            <w:noWrap/>
            <w:vAlign w:val="center"/>
          </w:tcPr>
          <w:p w14:paraId="7967BBA8">
            <w:pPr>
              <w:widowControl/>
              <w:jc w:val="center"/>
              <w:rPr>
                <w:rFonts w:ascii="宋体" w:hAnsi="宋体" w:cs="宋体"/>
                <w:color w:val="000000"/>
                <w:kern w:val="0"/>
                <w:sz w:val="24"/>
              </w:rPr>
            </w:pPr>
            <w:r>
              <w:rPr>
                <w:rFonts w:hint="eastAsia" w:ascii="宋体" w:hAnsi="宋体" w:cs="宋体"/>
                <w:color w:val="000000"/>
                <w:kern w:val="0"/>
                <w:sz w:val="24"/>
              </w:rPr>
              <w:t>所在地</w:t>
            </w:r>
          </w:p>
        </w:tc>
        <w:tc>
          <w:tcPr>
            <w:tcW w:w="5285" w:type="dxa"/>
            <w:noWrap/>
            <w:vAlign w:val="center"/>
          </w:tcPr>
          <w:p w14:paraId="71BE6D16">
            <w:pPr>
              <w:widowControl/>
              <w:jc w:val="center"/>
              <w:rPr>
                <w:rFonts w:ascii="宋体" w:hAnsi="宋体" w:cs="宋体"/>
                <w:color w:val="000000"/>
                <w:kern w:val="0"/>
                <w:sz w:val="24"/>
              </w:rPr>
            </w:pPr>
            <w:r>
              <w:rPr>
                <w:rFonts w:hint="eastAsia" w:ascii="宋体" w:hAnsi="宋体" w:eastAsia="宋体" w:cs="宋体"/>
                <w:color w:val="000000"/>
                <w:kern w:val="0"/>
                <w:sz w:val="24"/>
              </w:rPr>
              <w:t>XX省/</w:t>
            </w:r>
            <w:r>
              <w:rPr>
                <w:rFonts w:hint="eastAsia" w:ascii="宋体" w:hAnsi="宋体" w:eastAsia="宋体" w:cs="宋体"/>
                <w:color w:val="000000"/>
                <w:kern w:val="0"/>
                <w:sz w:val="24"/>
                <w:lang w:val="en-US" w:eastAsia="zh-CN"/>
              </w:rPr>
              <w:t>XX市、XX</w:t>
            </w:r>
            <w:r>
              <w:rPr>
                <w:rFonts w:hint="eastAsia" w:ascii="宋体" w:hAnsi="宋体" w:eastAsia="宋体" w:cs="宋体"/>
                <w:color w:val="000000"/>
                <w:kern w:val="0"/>
                <w:sz w:val="24"/>
              </w:rPr>
              <w:t>自治区</w:t>
            </w:r>
          </w:p>
        </w:tc>
      </w:tr>
      <w:tr w14:paraId="035A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6904819A">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933" w:type="dxa"/>
            <w:noWrap/>
            <w:vAlign w:val="center"/>
          </w:tcPr>
          <w:p w14:paraId="0F41385A">
            <w:pPr>
              <w:widowControl/>
              <w:jc w:val="center"/>
              <w:rPr>
                <w:rFonts w:ascii="宋体" w:hAnsi="宋体" w:cs="宋体"/>
                <w:color w:val="000000"/>
                <w:kern w:val="0"/>
                <w:sz w:val="24"/>
              </w:rPr>
            </w:pPr>
            <w:r>
              <w:rPr>
                <w:rFonts w:hint="eastAsia" w:ascii="宋体" w:hAnsi="宋体" w:cs="宋体"/>
                <w:color w:val="000000"/>
                <w:kern w:val="0"/>
                <w:sz w:val="24"/>
              </w:rPr>
              <w:t>法人姓名</w:t>
            </w:r>
          </w:p>
        </w:tc>
        <w:tc>
          <w:tcPr>
            <w:tcW w:w="5285" w:type="dxa"/>
            <w:noWrap/>
            <w:vAlign w:val="center"/>
          </w:tcPr>
          <w:p w14:paraId="4CB77A77">
            <w:pPr>
              <w:widowControl/>
              <w:jc w:val="center"/>
              <w:rPr>
                <w:rFonts w:ascii="宋体" w:hAnsi="宋体" w:cs="宋体"/>
                <w:color w:val="000000"/>
                <w:kern w:val="0"/>
                <w:sz w:val="24"/>
              </w:rPr>
            </w:pPr>
          </w:p>
        </w:tc>
      </w:tr>
      <w:tr w14:paraId="5886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14:paraId="1DCDE523">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2933" w:type="dxa"/>
            <w:noWrap/>
            <w:vAlign w:val="center"/>
          </w:tcPr>
          <w:p w14:paraId="690D69E6">
            <w:pPr>
              <w:widowControl/>
              <w:jc w:val="center"/>
              <w:rPr>
                <w:rFonts w:ascii="宋体" w:hAnsi="宋体" w:cs="宋体"/>
                <w:color w:val="000000"/>
                <w:kern w:val="0"/>
                <w:sz w:val="24"/>
              </w:rPr>
            </w:pPr>
            <w:r>
              <w:rPr>
                <w:rFonts w:hint="eastAsia" w:ascii="宋体" w:hAnsi="宋体" w:cs="宋体"/>
                <w:color w:val="000000"/>
                <w:kern w:val="0"/>
                <w:sz w:val="24"/>
              </w:rPr>
              <w:t>法人身份证号</w:t>
            </w:r>
          </w:p>
        </w:tc>
        <w:tc>
          <w:tcPr>
            <w:tcW w:w="5285" w:type="dxa"/>
            <w:noWrap/>
            <w:vAlign w:val="center"/>
          </w:tcPr>
          <w:p w14:paraId="703F67B0">
            <w:pPr>
              <w:widowControl/>
              <w:jc w:val="center"/>
              <w:rPr>
                <w:rFonts w:ascii="宋体" w:hAnsi="宋体" w:cs="宋体"/>
                <w:color w:val="000000"/>
                <w:kern w:val="0"/>
                <w:sz w:val="24"/>
              </w:rPr>
            </w:pPr>
          </w:p>
        </w:tc>
      </w:tr>
      <w:tr w14:paraId="69D9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766" w:type="dxa"/>
            <w:noWrap/>
            <w:vAlign w:val="center"/>
          </w:tcPr>
          <w:p w14:paraId="2FA75237">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2933" w:type="dxa"/>
            <w:noWrap/>
            <w:vAlign w:val="center"/>
          </w:tcPr>
          <w:p w14:paraId="0EDF0983">
            <w:pPr>
              <w:widowControl/>
              <w:jc w:val="center"/>
              <w:rPr>
                <w:rFonts w:ascii="宋体" w:hAnsi="宋体" w:cs="宋体"/>
                <w:color w:val="000000"/>
                <w:kern w:val="0"/>
                <w:sz w:val="24"/>
              </w:rPr>
            </w:pPr>
            <w:r>
              <w:rPr>
                <w:rFonts w:hint="eastAsia" w:ascii="宋体" w:hAnsi="宋体" w:cs="宋体"/>
                <w:color w:val="000000"/>
                <w:kern w:val="0"/>
                <w:sz w:val="24"/>
              </w:rPr>
              <w:t>纳税人类型</w:t>
            </w:r>
          </w:p>
        </w:tc>
        <w:tc>
          <w:tcPr>
            <w:tcW w:w="5285" w:type="dxa"/>
            <w:noWrap/>
            <w:vAlign w:val="center"/>
          </w:tcPr>
          <w:p w14:paraId="3DE1B8AA">
            <w:pPr>
              <w:widowControl/>
              <w:jc w:val="center"/>
              <w:rPr>
                <w:rFonts w:ascii="宋体" w:hAnsi="宋体" w:cs="宋体"/>
                <w:color w:val="000000"/>
                <w:kern w:val="0"/>
                <w:sz w:val="24"/>
              </w:rPr>
            </w:pPr>
            <w:r>
              <w:rPr>
                <w:rFonts w:hint="eastAsia" w:ascii="宋体" w:hAnsi="宋体" w:cs="宋体"/>
                <w:color w:val="000000"/>
                <w:kern w:val="0"/>
                <w:sz w:val="24"/>
              </w:rPr>
              <w:t>增值税一般纳税人/小规模纳税人</w:t>
            </w:r>
          </w:p>
        </w:tc>
      </w:tr>
      <w:tr w14:paraId="610C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66" w:type="dxa"/>
            <w:noWrap/>
            <w:vAlign w:val="center"/>
          </w:tcPr>
          <w:p w14:paraId="29F65126">
            <w:pPr>
              <w:widowControl/>
              <w:jc w:val="center"/>
              <w:rPr>
                <w:rFonts w:ascii="宋体" w:hAnsi="宋体" w:cs="宋体"/>
                <w:color w:val="000000"/>
                <w:kern w:val="0"/>
                <w:sz w:val="24"/>
              </w:rPr>
            </w:pPr>
            <w:r>
              <w:rPr>
                <w:rFonts w:hint="eastAsia" w:ascii="宋体" w:hAnsi="宋体" w:cs="宋体"/>
                <w:color w:val="000000"/>
                <w:kern w:val="0"/>
                <w:sz w:val="24"/>
              </w:rPr>
              <w:t>7</w:t>
            </w:r>
          </w:p>
        </w:tc>
        <w:tc>
          <w:tcPr>
            <w:tcW w:w="2933" w:type="dxa"/>
            <w:noWrap w:val="0"/>
            <w:vAlign w:val="center"/>
          </w:tcPr>
          <w:p w14:paraId="1E2F8FDB">
            <w:pPr>
              <w:widowControl/>
              <w:jc w:val="center"/>
              <w:rPr>
                <w:rFonts w:ascii="宋体" w:hAnsi="宋体" w:cs="宋体"/>
                <w:color w:val="000000"/>
                <w:kern w:val="0"/>
                <w:sz w:val="24"/>
              </w:rPr>
            </w:pPr>
            <w:r>
              <w:rPr>
                <w:rFonts w:hint="eastAsia" w:ascii="宋体" w:hAnsi="宋体" w:cs="宋体"/>
                <w:color w:val="000000"/>
                <w:kern w:val="0"/>
                <w:sz w:val="24"/>
              </w:rPr>
              <w:t>投标人付款账号</w:t>
            </w:r>
          </w:p>
        </w:tc>
        <w:tc>
          <w:tcPr>
            <w:tcW w:w="5285" w:type="dxa"/>
            <w:noWrap w:val="0"/>
            <w:vAlign w:val="center"/>
          </w:tcPr>
          <w:p w14:paraId="61A30536">
            <w:pPr>
              <w:widowControl/>
              <w:jc w:val="left"/>
              <w:rPr>
                <w:rFonts w:ascii="宋体" w:hAnsi="宋体" w:cs="宋体"/>
                <w:color w:val="FF0000"/>
                <w:kern w:val="0"/>
                <w:sz w:val="24"/>
              </w:rPr>
            </w:pPr>
          </w:p>
        </w:tc>
      </w:tr>
      <w:tr w14:paraId="5BBF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66" w:type="dxa"/>
            <w:noWrap/>
            <w:vAlign w:val="center"/>
          </w:tcPr>
          <w:p w14:paraId="6A1075A4">
            <w:pPr>
              <w:widowControl/>
              <w:jc w:val="center"/>
              <w:rPr>
                <w:rFonts w:hint="eastAsia" w:ascii="宋体" w:hAnsi="宋体" w:cs="宋体"/>
                <w:color w:val="000000"/>
                <w:kern w:val="0"/>
                <w:sz w:val="24"/>
              </w:rPr>
            </w:pPr>
            <w:r>
              <w:rPr>
                <w:rFonts w:hint="eastAsia" w:ascii="宋体" w:hAnsi="宋体" w:cs="宋体"/>
                <w:color w:val="000000"/>
                <w:kern w:val="0"/>
                <w:sz w:val="24"/>
              </w:rPr>
              <w:t>8</w:t>
            </w:r>
          </w:p>
        </w:tc>
        <w:tc>
          <w:tcPr>
            <w:tcW w:w="2933" w:type="dxa"/>
            <w:noWrap w:val="0"/>
            <w:vAlign w:val="center"/>
          </w:tcPr>
          <w:p w14:paraId="191FA2F2">
            <w:pPr>
              <w:widowControl/>
              <w:jc w:val="center"/>
              <w:rPr>
                <w:rFonts w:ascii="宋体" w:hAnsi="宋体" w:cs="宋体"/>
                <w:color w:val="000000"/>
                <w:kern w:val="0"/>
                <w:sz w:val="24"/>
              </w:rPr>
            </w:pPr>
            <w:r>
              <w:rPr>
                <w:rFonts w:hint="eastAsia" w:ascii="宋体" w:hAnsi="宋体" w:cs="宋体"/>
                <w:color w:val="000000"/>
                <w:kern w:val="0"/>
                <w:sz w:val="24"/>
              </w:rPr>
              <w:t>投标人付款开户行</w:t>
            </w:r>
            <w:r>
              <w:rPr>
                <w:rFonts w:hint="eastAsia" w:ascii="宋体" w:hAnsi="宋体" w:cs="宋体"/>
                <w:color w:val="000000"/>
                <w:kern w:val="0"/>
                <w:sz w:val="24"/>
                <w:lang w:eastAsia="zh-CN"/>
              </w:rPr>
              <w:t>、</w:t>
            </w:r>
            <w:r>
              <w:rPr>
                <w:rFonts w:hint="eastAsia" w:ascii="宋体" w:hAnsi="宋体" w:cs="宋体"/>
                <w:color w:val="000000"/>
                <w:kern w:val="0"/>
                <w:sz w:val="24"/>
              </w:rPr>
              <w:t>银行联行号</w:t>
            </w:r>
          </w:p>
        </w:tc>
        <w:tc>
          <w:tcPr>
            <w:tcW w:w="5285" w:type="dxa"/>
            <w:noWrap w:val="0"/>
            <w:vAlign w:val="center"/>
          </w:tcPr>
          <w:p w14:paraId="1D9FCB67">
            <w:pPr>
              <w:widowControl/>
              <w:jc w:val="left"/>
              <w:rPr>
                <w:rFonts w:ascii="宋体" w:hAnsi="宋体" w:cs="宋体"/>
                <w:color w:val="FF0000"/>
                <w:kern w:val="0"/>
                <w:sz w:val="24"/>
              </w:rPr>
            </w:pPr>
          </w:p>
        </w:tc>
      </w:tr>
    </w:tbl>
    <w:p w14:paraId="3E9C0068">
      <w:pPr>
        <w:spacing w:line="400" w:lineRule="exact"/>
        <w:jc w:val="center"/>
        <w:rPr>
          <w:rFonts w:ascii="宋体" w:hAnsi="宋体"/>
          <w:bCs/>
          <w:sz w:val="28"/>
          <w:szCs w:val="28"/>
        </w:rPr>
      </w:pPr>
    </w:p>
    <w:p w14:paraId="22E38729">
      <w:pPr>
        <w:spacing w:line="400" w:lineRule="exact"/>
        <w:jc w:val="center"/>
        <w:rPr>
          <w:rFonts w:ascii="宋体" w:hAnsi="宋体"/>
          <w:bCs/>
          <w:sz w:val="28"/>
          <w:szCs w:val="28"/>
        </w:rPr>
      </w:pPr>
    </w:p>
    <w:p w14:paraId="4B0666FE">
      <w:pPr>
        <w:spacing w:line="400" w:lineRule="exact"/>
        <w:jc w:val="center"/>
        <w:rPr>
          <w:rFonts w:ascii="宋体" w:hAnsi="宋体"/>
          <w:bCs/>
          <w:sz w:val="28"/>
          <w:szCs w:val="28"/>
        </w:rPr>
        <w:sectPr>
          <w:footerReference r:id="rId3" w:type="default"/>
          <w:footerReference r:id="rId4" w:type="even"/>
          <w:pgSz w:w="11906" w:h="16838"/>
          <w:pgMar w:top="1134" w:right="1191" w:bottom="1134" w:left="1474" w:header="340" w:footer="1361" w:gutter="0"/>
          <w:cols w:space="720" w:num="1"/>
          <w:docGrid w:type="linesAndChars" w:linePitch="312" w:charSpace="0"/>
        </w:sectPr>
      </w:pPr>
    </w:p>
    <w:p w14:paraId="49C9E01A">
      <w:pPr>
        <w:outlineLvl w:val="1"/>
        <w:rPr>
          <w:rFonts w:ascii="宋体" w:hAnsi="宋体"/>
          <w:sz w:val="28"/>
          <w:szCs w:val="28"/>
        </w:rPr>
      </w:pPr>
      <w:bookmarkStart w:id="24" w:name="_Toc23392"/>
      <w:bookmarkStart w:id="25" w:name="_Toc15756"/>
      <w:bookmarkStart w:id="26" w:name="_Toc17020"/>
      <w:r>
        <w:rPr>
          <w:rFonts w:hint="eastAsia" w:ascii="宋体" w:hAnsi="宋体"/>
          <w:sz w:val="28"/>
          <w:szCs w:val="28"/>
        </w:rPr>
        <w:t>附件五</w:t>
      </w:r>
      <w:bookmarkEnd w:id="24"/>
      <w:bookmarkEnd w:id="25"/>
      <w:bookmarkEnd w:id="26"/>
    </w:p>
    <w:p w14:paraId="7C814354">
      <w:pPr>
        <w:bidi w:val="0"/>
        <w:jc w:val="center"/>
        <w:rPr>
          <w:rFonts w:hint="eastAsia"/>
          <w:sz w:val="36"/>
          <w:szCs w:val="44"/>
        </w:rPr>
      </w:pPr>
      <w:r>
        <w:rPr>
          <w:rFonts w:hint="eastAsia"/>
          <w:sz w:val="36"/>
          <w:szCs w:val="44"/>
        </w:rPr>
        <w:t>需求明细表</w:t>
      </w:r>
    </w:p>
    <w:p w14:paraId="34FA8486">
      <w:pPr>
        <w:spacing w:line="360" w:lineRule="auto"/>
        <w:jc w:val="center"/>
        <w:rPr>
          <w:rFonts w:hint="default" w:eastAsia="宋体"/>
          <w:b/>
          <w:sz w:val="30"/>
          <w:szCs w:val="30"/>
          <w:lang w:val="en-US" w:eastAsia="zh-CN"/>
        </w:rPr>
      </w:pPr>
      <w:r>
        <w:rPr>
          <w:rFonts w:hint="eastAsia"/>
          <w:b/>
          <w:sz w:val="36"/>
          <w:szCs w:val="36"/>
        </w:rPr>
        <w:t>需求明细</w:t>
      </w:r>
      <w:r>
        <w:rPr>
          <w:rFonts w:hint="eastAsia" w:ascii="Times New Roman" w:hAnsi="Times New Roman" w:eastAsia="宋体" w:cs="Times New Roman"/>
          <w:b/>
          <w:sz w:val="36"/>
          <w:szCs w:val="36"/>
        </w:rPr>
        <w:t>表（</w:t>
      </w:r>
      <w:r>
        <w:rPr>
          <w:rFonts w:hint="eastAsia" w:ascii="Times New Roman" w:hAnsi="Times New Roman" w:eastAsia="宋体" w:cs="Times New Roman"/>
          <w:b/>
          <w:sz w:val="36"/>
          <w:szCs w:val="36"/>
          <w:lang w:val="en-US" w:eastAsia="zh-CN"/>
        </w:rPr>
        <w:t>一</w:t>
      </w:r>
      <w:r>
        <w:rPr>
          <w:rFonts w:hint="eastAsia" w:ascii="Times New Roman" w:hAnsi="Times New Roman" w:eastAsia="宋体" w:cs="Times New Roman"/>
          <w:b/>
          <w:sz w:val="36"/>
          <w:szCs w:val="36"/>
        </w:rPr>
        <w:t>）</w:t>
      </w:r>
    </w:p>
    <w:p w14:paraId="357883C8">
      <w:pPr>
        <w:jc w:val="center"/>
        <w:rPr>
          <w:rFonts w:hint="eastAsia" w:ascii="宋体" w:hAnsi="宋体" w:eastAsia="宋体"/>
          <w:b/>
          <w:sz w:val="18"/>
          <w:szCs w:val="18"/>
          <w:lang w:eastAsia="zh-CN"/>
        </w:rPr>
      </w:pPr>
      <w:r>
        <w:rPr>
          <w:rFonts w:hint="eastAsia"/>
          <w:sz w:val="18"/>
          <w:szCs w:val="18"/>
        </w:rPr>
        <w:t>招标人名称：中铁二局集团有限公司</w:t>
      </w:r>
      <w:r>
        <w:rPr>
          <w:sz w:val="18"/>
          <w:szCs w:val="18"/>
        </w:rPr>
        <w:t xml:space="preserve">                               </w:t>
      </w:r>
      <w:r>
        <w:rPr>
          <w:rFonts w:hint="eastAsia"/>
          <w:sz w:val="18"/>
          <w:szCs w:val="18"/>
        </w:rPr>
        <w:t>招标编号</w:t>
      </w:r>
      <w:r>
        <w:rPr>
          <w:sz w:val="18"/>
          <w:szCs w:val="18"/>
        </w:rPr>
        <w:t>:</w:t>
      </w:r>
      <w:r>
        <w:rPr>
          <w:rFonts w:hint="eastAsia"/>
          <w:sz w:val="18"/>
          <w:szCs w:val="18"/>
          <w:lang w:val="en-US" w:eastAsia="zh-CN"/>
        </w:rPr>
        <w:t xml:space="preserve"> ZTEJ-2025655</w:t>
      </w:r>
      <w:r>
        <w:rPr>
          <w:sz w:val="18"/>
          <w:szCs w:val="18"/>
        </w:rPr>
        <w:t xml:space="preserve">                                      </w:t>
      </w:r>
      <w:r>
        <w:rPr>
          <w:rFonts w:hint="eastAsia"/>
          <w:sz w:val="18"/>
          <w:szCs w:val="18"/>
        </w:rPr>
        <w:t>包件：</w:t>
      </w:r>
      <w:r>
        <w:rPr>
          <w:rFonts w:hint="eastAsia"/>
          <w:sz w:val="18"/>
          <w:szCs w:val="18"/>
          <w:lang w:val="en-US" w:eastAsia="zh-CN"/>
        </w:rPr>
        <w:t>GJWP-01</w:t>
      </w:r>
    </w:p>
    <w:tbl>
      <w:tblPr>
        <w:tblStyle w:val="7"/>
        <w:tblW w:w="4854" w:type="pct"/>
        <w:tblInd w:w="0" w:type="dxa"/>
        <w:tblLayout w:type="autofit"/>
        <w:tblCellMar>
          <w:top w:w="0" w:type="dxa"/>
          <w:left w:w="108" w:type="dxa"/>
          <w:bottom w:w="0" w:type="dxa"/>
          <w:right w:w="108" w:type="dxa"/>
        </w:tblCellMar>
      </w:tblPr>
      <w:tblGrid>
        <w:gridCol w:w="1371"/>
        <w:gridCol w:w="1399"/>
        <w:gridCol w:w="1974"/>
        <w:gridCol w:w="1586"/>
        <w:gridCol w:w="914"/>
        <w:gridCol w:w="1451"/>
        <w:gridCol w:w="1675"/>
        <w:gridCol w:w="1532"/>
        <w:gridCol w:w="1744"/>
        <w:gridCol w:w="708"/>
      </w:tblGrid>
      <w:tr w14:paraId="0E51E51A">
        <w:tblPrEx>
          <w:tblCellMar>
            <w:top w:w="0" w:type="dxa"/>
            <w:left w:w="108" w:type="dxa"/>
            <w:bottom w:w="0" w:type="dxa"/>
            <w:right w:w="108" w:type="dxa"/>
          </w:tblCellMar>
        </w:tblPrEx>
        <w:trPr>
          <w:trHeight w:val="637" w:hRule="atLeast"/>
        </w:trPr>
        <w:tc>
          <w:tcPr>
            <w:tcW w:w="477" w:type="pct"/>
            <w:tcBorders>
              <w:top w:val="single" w:color="000000" w:sz="4" w:space="0"/>
              <w:left w:val="single" w:color="000000" w:sz="4" w:space="0"/>
              <w:bottom w:val="single" w:color="000000" w:sz="4" w:space="0"/>
              <w:right w:val="single" w:color="000000" w:sz="4" w:space="0"/>
            </w:tcBorders>
            <w:noWrap w:val="0"/>
            <w:vAlign w:val="center"/>
          </w:tcPr>
          <w:p w14:paraId="540F84F9">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工程项目</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14:paraId="55F44DB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标的名称</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1ACE822F">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规格型号</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3FC6A33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采购数量</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14:paraId="70B1D045">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计量单位</w:t>
            </w:r>
          </w:p>
        </w:tc>
        <w:tc>
          <w:tcPr>
            <w:tcW w:w="505" w:type="pct"/>
            <w:tcBorders>
              <w:top w:val="single" w:color="000000" w:sz="4" w:space="0"/>
              <w:left w:val="single" w:color="000000" w:sz="4" w:space="0"/>
              <w:bottom w:val="single" w:color="000000" w:sz="4" w:space="0"/>
              <w:right w:val="single" w:color="000000" w:sz="4" w:space="0"/>
            </w:tcBorders>
            <w:noWrap w:val="0"/>
            <w:vAlign w:val="center"/>
          </w:tcPr>
          <w:p w14:paraId="59149AA5">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定货要求</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36DA14ED">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质量标准技术要求</w:t>
            </w: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5EAA00D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详细地址</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6E0C1596">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交货期</w:t>
            </w:r>
          </w:p>
        </w:tc>
        <w:tc>
          <w:tcPr>
            <w:tcW w:w="246" w:type="pct"/>
            <w:tcBorders>
              <w:top w:val="single" w:color="000000" w:sz="4" w:space="0"/>
              <w:left w:val="single" w:color="000000" w:sz="4" w:space="0"/>
              <w:bottom w:val="single" w:color="000000" w:sz="4" w:space="0"/>
              <w:right w:val="single" w:color="000000" w:sz="4" w:space="0"/>
            </w:tcBorders>
            <w:noWrap w:val="0"/>
            <w:vAlign w:val="center"/>
          </w:tcPr>
          <w:p w14:paraId="1C09FA2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备注</w:t>
            </w:r>
          </w:p>
        </w:tc>
      </w:tr>
      <w:tr w14:paraId="3B24EFAA">
        <w:tblPrEx>
          <w:tblCellMar>
            <w:top w:w="0" w:type="dxa"/>
            <w:left w:w="108" w:type="dxa"/>
            <w:bottom w:w="0" w:type="dxa"/>
            <w:right w:w="108" w:type="dxa"/>
          </w:tblCellMar>
        </w:tblPrEx>
        <w:trPr>
          <w:trHeight w:val="958" w:hRule="atLeast"/>
        </w:trPr>
        <w:tc>
          <w:tcPr>
            <w:tcW w:w="477" w:type="pct"/>
            <w:vMerge w:val="restart"/>
            <w:tcBorders>
              <w:top w:val="single" w:color="000000" w:sz="4" w:space="0"/>
              <w:left w:val="single" w:color="000000" w:sz="4" w:space="0"/>
              <w:right w:val="single" w:color="000000" w:sz="4" w:space="0"/>
            </w:tcBorders>
            <w:shd w:val="clear" w:color="auto" w:fill="FFFFFF"/>
            <w:noWrap w:val="0"/>
            <w:vAlign w:val="center"/>
          </w:tcPr>
          <w:p w14:paraId="6FD84E8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中铁二局集团有限公司雄商高铁衡水枢纽站前一标项目</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14:paraId="6F810F5C">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冷轧带肋焊接网</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435F4ACC">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AR9，2*3.9m（10*10cm）</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06CB98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130.00</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14:paraId="2D7BB4B2">
            <w:pPr>
              <w:widowControl/>
              <w:jc w:val="center"/>
              <w:textAlignment w:val="center"/>
              <w:rPr>
                <w:rFonts w:hint="eastAsia" w:ascii="宋体" w:hAnsi="宋体" w:cs="宋体"/>
                <w:color w:val="000000"/>
                <w:kern w:val="0"/>
                <w:sz w:val="18"/>
                <w:szCs w:val="18"/>
                <w:lang w:bidi="ar"/>
              </w:rPr>
            </w:pPr>
            <w:r>
              <w:rPr>
                <w:rFonts w:hint="eastAsia" w:ascii="宋体" w:hAnsi="宋体" w:eastAsia="宋体" w:cs="宋体"/>
                <w:color w:val="000000"/>
                <w:kern w:val="0"/>
                <w:sz w:val="18"/>
                <w:szCs w:val="18"/>
                <w:lang w:bidi="ar"/>
              </w:rPr>
              <w:t>吨</w:t>
            </w:r>
          </w:p>
        </w:tc>
        <w:tc>
          <w:tcPr>
            <w:tcW w:w="505" w:type="pct"/>
            <w:vMerge w:val="restart"/>
            <w:tcBorders>
              <w:top w:val="single" w:color="000000" w:sz="4" w:space="0"/>
              <w:left w:val="single" w:color="000000" w:sz="4" w:space="0"/>
              <w:right w:val="single" w:color="000000" w:sz="4" w:space="0"/>
            </w:tcBorders>
            <w:noWrap w:val="0"/>
            <w:vAlign w:val="center"/>
          </w:tcPr>
          <w:p w14:paraId="08230C7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符合各项质量、技术指标</w:t>
            </w:r>
          </w:p>
        </w:tc>
        <w:tc>
          <w:tcPr>
            <w:tcW w:w="583" w:type="pct"/>
            <w:vMerge w:val="restart"/>
            <w:tcBorders>
              <w:top w:val="single" w:color="000000" w:sz="4" w:space="0"/>
              <w:left w:val="single" w:color="000000" w:sz="4" w:space="0"/>
              <w:right w:val="single" w:color="000000" w:sz="4" w:space="0"/>
            </w:tcBorders>
            <w:noWrap w:val="0"/>
            <w:vAlign w:val="center"/>
          </w:tcPr>
          <w:p w14:paraId="73E2EB9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详见技术规范</w:t>
            </w:r>
          </w:p>
        </w:tc>
        <w:tc>
          <w:tcPr>
            <w:tcW w:w="533" w:type="pct"/>
            <w:vMerge w:val="restart"/>
            <w:tcBorders>
              <w:top w:val="single" w:color="000000" w:sz="4" w:space="0"/>
              <w:left w:val="single" w:color="000000" w:sz="4" w:space="0"/>
              <w:right w:val="single" w:color="000000" w:sz="4" w:space="0"/>
            </w:tcBorders>
            <w:noWrap w:val="0"/>
            <w:vAlign w:val="center"/>
          </w:tcPr>
          <w:p w14:paraId="158F5E2A">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河北省衡水市桃城区西外环与永兴西路交叉口东北角 中铁二局雄商高铁衡水枢纽项目</w:t>
            </w:r>
            <w:r>
              <w:rPr>
                <w:rFonts w:hint="eastAsia" w:ascii="宋体" w:hAnsi="宋体" w:cs="宋体"/>
                <w:color w:val="000000"/>
                <w:kern w:val="0"/>
                <w:sz w:val="18"/>
                <w:szCs w:val="18"/>
                <w:lang w:val="en-US" w:eastAsia="zh-CN" w:bidi="ar"/>
              </w:rPr>
              <w:t>施工现场</w:t>
            </w:r>
          </w:p>
        </w:tc>
        <w:tc>
          <w:tcPr>
            <w:tcW w:w="607" w:type="pct"/>
            <w:vMerge w:val="restart"/>
            <w:tcBorders>
              <w:top w:val="single" w:color="000000" w:sz="4" w:space="0"/>
              <w:left w:val="single" w:color="000000" w:sz="4" w:space="0"/>
              <w:right w:val="single" w:color="000000" w:sz="4" w:space="0"/>
            </w:tcBorders>
            <w:noWrap w:val="0"/>
            <w:vAlign w:val="center"/>
          </w:tcPr>
          <w:p w14:paraId="025AEC4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根据现场施工安排</w:t>
            </w:r>
          </w:p>
        </w:tc>
        <w:tc>
          <w:tcPr>
            <w:tcW w:w="246" w:type="pct"/>
            <w:tcBorders>
              <w:top w:val="single" w:color="000000" w:sz="4" w:space="0"/>
              <w:left w:val="single" w:color="000000" w:sz="4" w:space="0"/>
              <w:right w:val="single" w:color="000000" w:sz="4" w:space="0"/>
            </w:tcBorders>
            <w:noWrap w:val="0"/>
            <w:vAlign w:val="center"/>
          </w:tcPr>
          <w:p w14:paraId="3DC073DC">
            <w:pPr>
              <w:widowControl/>
              <w:jc w:val="center"/>
              <w:textAlignment w:val="center"/>
              <w:rPr>
                <w:rFonts w:hint="eastAsia" w:ascii="宋体" w:hAnsi="宋体" w:cs="宋体"/>
                <w:color w:val="000000"/>
                <w:kern w:val="0"/>
                <w:sz w:val="18"/>
                <w:szCs w:val="18"/>
                <w:lang w:bidi="ar"/>
              </w:rPr>
            </w:pPr>
          </w:p>
        </w:tc>
      </w:tr>
      <w:tr w14:paraId="2915B0E5">
        <w:tblPrEx>
          <w:tblCellMar>
            <w:top w:w="0" w:type="dxa"/>
            <w:left w:w="108" w:type="dxa"/>
            <w:bottom w:w="0" w:type="dxa"/>
            <w:right w:w="108" w:type="dxa"/>
          </w:tblCellMar>
        </w:tblPrEx>
        <w:trPr>
          <w:trHeight w:val="958" w:hRule="atLeast"/>
        </w:trPr>
        <w:tc>
          <w:tcPr>
            <w:tcW w:w="477" w:type="pct"/>
            <w:vMerge w:val="continue"/>
            <w:tcBorders>
              <w:left w:val="single" w:color="000000" w:sz="4" w:space="0"/>
              <w:right w:val="single" w:color="000000" w:sz="4" w:space="0"/>
            </w:tcBorders>
            <w:shd w:val="clear" w:color="auto" w:fill="FFFFFF"/>
            <w:noWrap w:val="0"/>
            <w:vAlign w:val="center"/>
          </w:tcPr>
          <w:p w14:paraId="4C844999">
            <w:pPr>
              <w:widowControl/>
              <w:jc w:val="center"/>
              <w:textAlignment w:val="center"/>
              <w:rPr>
                <w:rFonts w:hint="eastAsia" w:ascii="宋体" w:hAnsi="宋体" w:cs="宋体"/>
                <w:color w:val="000000"/>
                <w:kern w:val="0"/>
                <w:sz w:val="18"/>
                <w:szCs w:val="18"/>
                <w:lang w:bidi="ar"/>
              </w:rPr>
            </w:pPr>
          </w:p>
        </w:tc>
        <w:tc>
          <w:tcPr>
            <w:tcW w:w="487" w:type="pct"/>
            <w:tcBorders>
              <w:top w:val="single" w:color="000000" w:sz="4" w:space="0"/>
              <w:left w:val="single" w:color="000000" w:sz="4" w:space="0"/>
              <w:bottom w:val="single" w:color="000000" w:sz="4" w:space="0"/>
              <w:right w:val="single" w:color="000000" w:sz="4" w:space="0"/>
            </w:tcBorders>
            <w:noWrap w:val="0"/>
            <w:vAlign w:val="center"/>
          </w:tcPr>
          <w:p w14:paraId="0F015B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冷轧带肋焊接网</w:t>
            </w:r>
          </w:p>
        </w:tc>
        <w:tc>
          <w:tcPr>
            <w:tcW w:w="687" w:type="pct"/>
            <w:tcBorders>
              <w:top w:val="single" w:color="000000" w:sz="4" w:space="0"/>
              <w:left w:val="single" w:color="000000" w:sz="4" w:space="0"/>
              <w:bottom w:val="single" w:color="000000" w:sz="4" w:space="0"/>
              <w:right w:val="single" w:color="000000" w:sz="4" w:space="0"/>
            </w:tcBorders>
            <w:noWrap w:val="0"/>
            <w:vAlign w:val="center"/>
          </w:tcPr>
          <w:p w14:paraId="488240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AR9，4.4*3.9m（10*10cm）</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550790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900.00</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14:paraId="2112D739">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吨</w:t>
            </w:r>
          </w:p>
        </w:tc>
        <w:tc>
          <w:tcPr>
            <w:tcW w:w="505" w:type="pct"/>
            <w:vMerge w:val="continue"/>
            <w:tcBorders>
              <w:left w:val="single" w:color="000000" w:sz="4" w:space="0"/>
              <w:right w:val="single" w:color="000000" w:sz="4" w:space="0"/>
            </w:tcBorders>
            <w:noWrap w:val="0"/>
            <w:vAlign w:val="center"/>
          </w:tcPr>
          <w:p w14:paraId="1BA092DD">
            <w:pPr>
              <w:widowControl/>
              <w:jc w:val="center"/>
              <w:textAlignment w:val="center"/>
              <w:rPr>
                <w:rFonts w:hint="eastAsia" w:ascii="宋体" w:hAnsi="宋体" w:cs="宋体"/>
                <w:color w:val="000000"/>
                <w:kern w:val="0"/>
                <w:sz w:val="18"/>
                <w:szCs w:val="18"/>
                <w:lang w:bidi="ar"/>
              </w:rPr>
            </w:pPr>
          </w:p>
        </w:tc>
        <w:tc>
          <w:tcPr>
            <w:tcW w:w="583" w:type="pct"/>
            <w:vMerge w:val="continue"/>
            <w:tcBorders>
              <w:left w:val="single" w:color="000000" w:sz="4" w:space="0"/>
              <w:right w:val="single" w:color="000000" w:sz="4" w:space="0"/>
            </w:tcBorders>
            <w:noWrap w:val="0"/>
            <w:vAlign w:val="center"/>
          </w:tcPr>
          <w:p w14:paraId="3DF9513E">
            <w:pPr>
              <w:widowControl/>
              <w:jc w:val="center"/>
              <w:textAlignment w:val="center"/>
              <w:rPr>
                <w:rFonts w:hint="eastAsia" w:ascii="宋体" w:hAnsi="宋体" w:cs="宋体"/>
                <w:color w:val="000000"/>
                <w:kern w:val="0"/>
                <w:sz w:val="18"/>
                <w:szCs w:val="18"/>
                <w:lang w:bidi="ar"/>
              </w:rPr>
            </w:pPr>
          </w:p>
        </w:tc>
        <w:tc>
          <w:tcPr>
            <w:tcW w:w="533" w:type="pct"/>
            <w:vMerge w:val="continue"/>
            <w:tcBorders>
              <w:left w:val="single" w:color="000000" w:sz="4" w:space="0"/>
              <w:right w:val="single" w:color="000000" w:sz="4" w:space="0"/>
            </w:tcBorders>
            <w:noWrap w:val="0"/>
            <w:vAlign w:val="center"/>
          </w:tcPr>
          <w:p w14:paraId="54F67F12">
            <w:pPr>
              <w:widowControl/>
              <w:jc w:val="center"/>
              <w:textAlignment w:val="center"/>
              <w:rPr>
                <w:rFonts w:hint="eastAsia" w:ascii="宋体" w:hAnsi="宋体" w:cs="宋体"/>
                <w:color w:val="000000"/>
                <w:kern w:val="0"/>
                <w:sz w:val="18"/>
                <w:szCs w:val="18"/>
                <w:lang w:bidi="ar"/>
              </w:rPr>
            </w:pPr>
          </w:p>
        </w:tc>
        <w:tc>
          <w:tcPr>
            <w:tcW w:w="607" w:type="pct"/>
            <w:vMerge w:val="continue"/>
            <w:tcBorders>
              <w:left w:val="single" w:color="000000" w:sz="4" w:space="0"/>
              <w:right w:val="single" w:color="000000" w:sz="4" w:space="0"/>
            </w:tcBorders>
            <w:noWrap w:val="0"/>
            <w:vAlign w:val="center"/>
          </w:tcPr>
          <w:p w14:paraId="7BA62C0B">
            <w:pPr>
              <w:widowControl/>
              <w:jc w:val="center"/>
              <w:textAlignment w:val="center"/>
              <w:rPr>
                <w:rFonts w:hint="eastAsia" w:ascii="宋体" w:hAnsi="宋体" w:cs="宋体"/>
                <w:color w:val="000000"/>
                <w:kern w:val="0"/>
                <w:sz w:val="18"/>
                <w:szCs w:val="18"/>
                <w:lang w:bidi="ar"/>
              </w:rPr>
            </w:pPr>
          </w:p>
        </w:tc>
        <w:tc>
          <w:tcPr>
            <w:tcW w:w="246" w:type="pct"/>
            <w:tcBorders>
              <w:top w:val="single" w:color="000000" w:sz="4" w:space="0"/>
              <w:left w:val="single" w:color="000000" w:sz="4" w:space="0"/>
              <w:right w:val="single" w:color="000000" w:sz="4" w:space="0"/>
            </w:tcBorders>
            <w:noWrap w:val="0"/>
            <w:vAlign w:val="center"/>
          </w:tcPr>
          <w:p w14:paraId="7A2847E8">
            <w:pPr>
              <w:widowControl/>
              <w:jc w:val="center"/>
              <w:textAlignment w:val="center"/>
              <w:rPr>
                <w:rFonts w:hint="eastAsia" w:ascii="宋体" w:hAnsi="宋体" w:cs="宋体"/>
                <w:color w:val="000000"/>
                <w:kern w:val="0"/>
                <w:sz w:val="18"/>
                <w:szCs w:val="18"/>
                <w:lang w:bidi="ar"/>
              </w:rPr>
            </w:pPr>
          </w:p>
        </w:tc>
      </w:tr>
      <w:tr w14:paraId="3956BD56">
        <w:tblPrEx>
          <w:tblCellMar>
            <w:top w:w="0" w:type="dxa"/>
            <w:left w:w="108" w:type="dxa"/>
            <w:bottom w:w="0" w:type="dxa"/>
            <w:right w:w="108" w:type="dxa"/>
          </w:tblCellMar>
        </w:tblPrEx>
        <w:trPr>
          <w:trHeight w:val="305"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DDB5BF">
            <w:pPr>
              <w:widowControl/>
              <w:jc w:val="center"/>
              <w:textAlignment w:val="center"/>
              <w:rPr>
                <w:rFonts w:ascii="仿宋_GB2312" w:hAnsi="宋体" w:eastAsia="仿宋_GB2312" w:cs="仿宋_GB2312"/>
                <w:color w:val="000000"/>
                <w:sz w:val="18"/>
                <w:szCs w:val="18"/>
              </w:rPr>
            </w:pPr>
            <w:r>
              <w:rPr>
                <w:rFonts w:ascii="仿宋_GB2312" w:hAnsi="宋体" w:eastAsia="仿宋_GB2312" w:cs="仿宋_GB2312"/>
                <w:color w:val="000000"/>
                <w:kern w:val="0"/>
                <w:sz w:val="18"/>
                <w:szCs w:val="18"/>
                <w:lang w:bidi="ar"/>
              </w:rPr>
              <w:t>小计</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B95F3E">
            <w:pPr>
              <w:jc w:val="center"/>
              <w:rPr>
                <w:rFonts w:ascii="仿宋_GB2312" w:hAnsi="宋体" w:eastAsia="仿宋_GB2312" w:cs="仿宋_GB2312"/>
                <w:color w:val="000000"/>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41F0CA">
            <w:pPr>
              <w:jc w:val="center"/>
              <w:rPr>
                <w:rFonts w:ascii="仿宋_GB2312" w:hAnsi="宋体" w:eastAsia="仿宋_GB2312" w:cs="仿宋_GB2312"/>
                <w:color w:val="000000"/>
                <w:sz w:val="18"/>
                <w:szCs w:val="18"/>
              </w:rPr>
            </w:pP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AC219A">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 xml:space="preserve">1030.00 </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38E00">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吨</w:t>
            </w:r>
          </w:p>
        </w:tc>
        <w:tc>
          <w:tcPr>
            <w:tcW w:w="5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DD6DE6">
            <w:pPr>
              <w:jc w:val="center"/>
              <w:rPr>
                <w:rFonts w:ascii="仿宋_GB2312" w:hAnsi="宋体" w:eastAsia="仿宋_GB2312" w:cs="仿宋_GB2312"/>
                <w:color w:val="000000"/>
                <w:sz w:val="18"/>
                <w:szCs w:val="18"/>
              </w:rPr>
            </w:pP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9E948D">
            <w:pPr>
              <w:jc w:val="center"/>
              <w:rPr>
                <w:rFonts w:ascii="仿宋_GB2312" w:hAnsi="宋体" w:eastAsia="仿宋_GB2312" w:cs="仿宋_GB2312"/>
                <w:color w:val="000000"/>
                <w:sz w:val="18"/>
                <w:szCs w:val="18"/>
              </w:rPr>
            </w:pPr>
          </w:p>
        </w:tc>
        <w:tc>
          <w:tcPr>
            <w:tcW w:w="53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D588C7">
            <w:pPr>
              <w:jc w:val="center"/>
              <w:rPr>
                <w:rFonts w:ascii="仿宋_GB2312" w:hAnsi="宋体" w:eastAsia="仿宋_GB2312" w:cs="仿宋_GB2312"/>
                <w:color w:val="000000"/>
                <w:sz w:val="18"/>
                <w:szCs w:val="18"/>
              </w:rPr>
            </w:pP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A54AD5">
            <w:pPr>
              <w:jc w:val="center"/>
              <w:rPr>
                <w:rFonts w:ascii="仿宋_GB2312" w:hAnsi="宋体" w:eastAsia="仿宋_GB2312" w:cs="仿宋_GB2312"/>
                <w:color w:val="000000"/>
                <w:sz w:val="18"/>
                <w:szCs w:val="18"/>
              </w:rPr>
            </w:pPr>
          </w:p>
        </w:tc>
        <w:tc>
          <w:tcPr>
            <w:tcW w:w="246" w:type="pct"/>
            <w:tcBorders>
              <w:top w:val="single" w:color="000000" w:sz="4" w:space="0"/>
              <w:left w:val="single" w:color="000000" w:sz="4" w:space="0"/>
              <w:bottom w:val="single" w:color="000000" w:sz="4" w:space="0"/>
              <w:right w:val="single" w:color="000000" w:sz="4" w:space="0"/>
            </w:tcBorders>
            <w:noWrap w:val="0"/>
            <w:vAlign w:val="center"/>
          </w:tcPr>
          <w:p w14:paraId="26FF3B9F">
            <w:pPr>
              <w:jc w:val="center"/>
              <w:rPr>
                <w:rFonts w:ascii="仿宋_GB2312" w:hAnsi="宋体" w:eastAsia="仿宋_GB2312" w:cs="仿宋_GB2312"/>
                <w:color w:val="000000"/>
                <w:sz w:val="18"/>
                <w:szCs w:val="18"/>
              </w:rPr>
            </w:pPr>
          </w:p>
        </w:tc>
      </w:tr>
    </w:tbl>
    <w:p w14:paraId="29021252">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 xml:space="preserve">注： </w:t>
      </w:r>
    </w:p>
    <w:p w14:paraId="05D10616">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1、表中为采购规格数量，最终规格数量以实际数量为准，买方可根据现场情况对实际发生数量进行增加或减少。</w:t>
      </w:r>
    </w:p>
    <w:p w14:paraId="44666280">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2、交货时间及地点具体以使用单位的通知为准。</w:t>
      </w:r>
    </w:p>
    <w:p w14:paraId="436929AD">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3、具体规格型号与电商平台不一致的，以标书文件为准。</w:t>
      </w:r>
    </w:p>
    <w:p w14:paraId="006E02B0">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4、本包件结算、支付方式：合同“买方”在结算当月扣除该批物资价值5%的质量保证金，在结算后第四个月20日前支付该批物资75%的价款，剩余的20%在第五个月20日前支付,质保金在质保期满后支付。（“买方有权采用银行转账、信用证或供应链金融（包括但不限于商业承兑汇票、银行承兑汇票、建行E信通、航信、中铁E信）等形式付款。”）</w:t>
      </w:r>
    </w:p>
    <w:p w14:paraId="3DF5EC3D">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5、发票要求：一票制增值税专用发票。如遇国家税率政策调整，合同结算单价应按照不含税价格不变，税率按最新税率计算的方法调整，双方应及时签订税率变更补充协议。</w:t>
      </w:r>
    </w:p>
    <w:p w14:paraId="101D6067">
      <w:pPr>
        <w:spacing w:line="380" w:lineRule="exact"/>
        <w:rPr>
          <w:rFonts w:hint="eastAsia" w:ascii="宋体" w:hAnsi="宋体" w:cs="仿宋_GB2312"/>
          <w:bCs/>
          <w:sz w:val="20"/>
          <w:szCs w:val="20"/>
        </w:rPr>
      </w:pPr>
    </w:p>
    <w:p w14:paraId="29099EA2">
      <w:pPr>
        <w:spacing w:line="380" w:lineRule="exact"/>
        <w:rPr>
          <w:rFonts w:hint="eastAsia" w:ascii="宋体" w:hAnsi="宋体" w:cs="仿宋_GB2312"/>
          <w:bCs/>
          <w:sz w:val="20"/>
          <w:szCs w:val="20"/>
        </w:rPr>
      </w:pPr>
    </w:p>
    <w:p w14:paraId="3AAAEF88">
      <w:pPr>
        <w:pStyle w:val="4"/>
        <w:jc w:val="left"/>
        <w:rPr>
          <w:rFonts w:hint="eastAsia" w:ascii="宋体" w:hAnsi="宋体" w:cs="宋体"/>
          <w:sz w:val="21"/>
          <w:szCs w:val="28"/>
        </w:rPr>
      </w:pPr>
    </w:p>
    <w:p w14:paraId="1DCD37D9">
      <w:pPr>
        <w:pStyle w:val="4"/>
        <w:jc w:val="left"/>
        <w:rPr>
          <w:rFonts w:hint="eastAsia" w:ascii="宋体" w:hAnsi="宋体" w:cs="宋体"/>
          <w:sz w:val="21"/>
          <w:szCs w:val="28"/>
        </w:rPr>
      </w:pPr>
    </w:p>
    <w:p w14:paraId="0EE76841">
      <w:pPr>
        <w:pStyle w:val="4"/>
        <w:jc w:val="left"/>
        <w:rPr>
          <w:rFonts w:hint="eastAsia" w:ascii="宋体" w:hAnsi="宋体" w:cs="宋体"/>
          <w:sz w:val="21"/>
          <w:szCs w:val="28"/>
        </w:rPr>
      </w:pPr>
    </w:p>
    <w:p w14:paraId="4FD06999">
      <w:pPr>
        <w:spacing w:line="360" w:lineRule="auto"/>
        <w:jc w:val="center"/>
        <w:rPr>
          <w:rFonts w:hint="default" w:eastAsia="宋体"/>
          <w:b/>
          <w:sz w:val="30"/>
          <w:szCs w:val="30"/>
          <w:lang w:val="en-US" w:eastAsia="zh-CN"/>
        </w:rPr>
      </w:pPr>
      <w:r>
        <w:rPr>
          <w:rFonts w:hint="eastAsia"/>
          <w:b/>
          <w:sz w:val="36"/>
          <w:szCs w:val="36"/>
        </w:rPr>
        <w:t>需求明细</w:t>
      </w:r>
      <w:r>
        <w:rPr>
          <w:rFonts w:hint="eastAsia" w:ascii="Times New Roman" w:hAnsi="Times New Roman" w:eastAsia="宋体" w:cs="Times New Roman"/>
          <w:b/>
          <w:sz w:val="36"/>
          <w:szCs w:val="36"/>
        </w:rPr>
        <w:t>表（</w:t>
      </w:r>
      <w:r>
        <w:rPr>
          <w:rFonts w:hint="eastAsia" w:ascii="Times New Roman" w:hAnsi="Times New Roman" w:eastAsia="宋体" w:cs="Times New Roman"/>
          <w:b/>
          <w:sz w:val="36"/>
          <w:szCs w:val="36"/>
          <w:lang w:val="en-US" w:eastAsia="zh-CN"/>
        </w:rPr>
        <w:t>二</w:t>
      </w:r>
      <w:r>
        <w:rPr>
          <w:rFonts w:hint="eastAsia" w:ascii="Times New Roman" w:hAnsi="Times New Roman" w:eastAsia="宋体" w:cs="Times New Roman"/>
          <w:b/>
          <w:sz w:val="36"/>
          <w:szCs w:val="36"/>
        </w:rPr>
        <w:t>）</w:t>
      </w:r>
    </w:p>
    <w:p w14:paraId="21D171CF">
      <w:pPr>
        <w:jc w:val="center"/>
        <w:rPr>
          <w:rFonts w:hint="eastAsia" w:ascii="宋体" w:hAnsi="宋体" w:eastAsia="宋体"/>
          <w:b/>
          <w:sz w:val="18"/>
          <w:szCs w:val="18"/>
          <w:lang w:eastAsia="zh-CN"/>
        </w:rPr>
      </w:pPr>
      <w:r>
        <w:rPr>
          <w:rFonts w:hint="eastAsia"/>
          <w:sz w:val="18"/>
          <w:szCs w:val="18"/>
        </w:rPr>
        <w:t>招标人名称：中铁二局集团有限公司</w:t>
      </w:r>
      <w:r>
        <w:rPr>
          <w:sz w:val="18"/>
          <w:szCs w:val="18"/>
        </w:rPr>
        <w:t xml:space="preserve">                               </w:t>
      </w:r>
      <w:r>
        <w:rPr>
          <w:rFonts w:hint="eastAsia"/>
          <w:sz w:val="18"/>
          <w:szCs w:val="18"/>
        </w:rPr>
        <w:t>招标编号</w:t>
      </w:r>
      <w:r>
        <w:rPr>
          <w:sz w:val="18"/>
          <w:szCs w:val="18"/>
        </w:rPr>
        <w:t>:</w:t>
      </w:r>
      <w:r>
        <w:rPr>
          <w:rFonts w:hint="eastAsia"/>
          <w:sz w:val="18"/>
          <w:szCs w:val="18"/>
          <w:lang w:val="en-US" w:eastAsia="zh-CN"/>
        </w:rPr>
        <w:t xml:space="preserve"> ZTEJ-2025655 </w:t>
      </w:r>
      <w:r>
        <w:rPr>
          <w:sz w:val="18"/>
          <w:szCs w:val="18"/>
        </w:rPr>
        <w:t xml:space="preserve">                                       </w:t>
      </w:r>
      <w:r>
        <w:rPr>
          <w:rFonts w:hint="eastAsia"/>
          <w:sz w:val="18"/>
          <w:szCs w:val="18"/>
        </w:rPr>
        <w:t>包件：</w:t>
      </w:r>
      <w:r>
        <w:rPr>
          <w:rFonts w:hint="eastAsia"/>
          <w:sz w:val="18"/>
          <w:szCs w:val="18"/>
          <w:lang w:val="en-US" w:eastAsia="zh-CN"/>
        </w:rPr>
        <w:t>SS</w:t>
      </w:r>
      <w:r>
        <w:rPr>
          <w:rFonts w:hint="eastAsia"/>
          <w:sz w:val="18"/>
          <w:szCs w:val="18"/>
        </w:rPr>
        <w:t>-0</w:t>
      </w:r>
      <w:r>
        <w:rPr>
          <w:rFonts w:hint="eastAsia"/>
          <w:sz w:val="18"/>
          <w:szCs w:val="18"/>
          <w:lang w:val="en-US" w:eastAsia="zh-CN"/>
        </w:rPr>
        <w:t>1</w:t>
      </w:r>
    </w:p>
    <w:tbl>
      <w:tblPr>
        <w:tblStyle w:val="7"/>
        <w:tblW w:w="4947" w:type="pct"/>
        <w:tblInd w:w="0" w:type="dxa"/>
        <w:tblLayout w:type="autofit"/>
        <w:tblCellMar>
          <w:top w:w="0" w:type="dxa"/>
          <w:left w:w="108" w:type="dxa"/>
          <w:bottom w:w="0" w:type="dxa"/>
          <w:right w:w="108" w:type="dxa"/>
        </w:tblCellMar>
      </w:tblPr>
      <w:tblGrid>
        <w:gridCol w:w="1396"/>
        <w:gridCol w:w="1427"/>
        <w:gridCol w:w="2010"/>
        <w:gridCol w:w="1617"/>
        <w:gridCol w:w="932"/>
        <w:gridCol w:w="1479"/>
        <w:gridCol w:w="1708"/>
        <w:gridCol w:w="1561"/>
        <w:gridCol w:w="1778"/>
        <w:gridCol w:w="721"/>
      </w:tblGrid>
      <w:tr w14:paraId="1DF3E7EF">
        <w:tblPrEx>
          <w:tblCellMar>
            <w:top w:w="0" w:type="dxa"/>
            <w:left w:w="108" w:type="dxa"/>
            <w:bottom w:w="0" w:type="dxa"/>
            <w:right w:w="108" w:type="dxa"/>
          </w:tblCellMar>
        </w:tblPrEx>
        <w:trPr>
          <w:trHeight w:val="929" w:hRule="atLeast"/>
        </w:trPr>
        <w:tc>
          <w:tcPr>
            <w:tcW w:w="477" w:type="pct"/>
            <w:tcBorders>
              <w:top w:val="single" w:color="000000" w:sz="4" w:space="0"/>
              <w:left w:val="single" w:color="000000" w:sz="4" w:space="0"/>
              <w:bottom w:val="single" w:color="000000" w:sz="4" w:space="0"/>
              <w:right w:val="single" w:color="000000" w:sz="4" w:space="0"/>
            </w:tcBorders>
            <w:noWrap w:val="0"/>
            <w:vAlign w:val="center"/>
          </w:tcPr>
          <w:p w14:paraId="0542D8D9">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lang w:bidi="ar"/>
              </w:rPr>
              <w:t>工程项目</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14:paraId="07F116A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标的名称</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5F497F56">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规格型号</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205FAD8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采购数量</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14:paraId="39B5FAC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计量单位</w:t>
            </w:r>
          </w:p>
        </w:tc>
        <w:tc>
          <w:tcPr>
            <w:tcW w:w="505" w:type="pct"/>
            <w:tcBorders>
              <w:top w:val="single" w:color="000000" w:sz="4" w:space="0"/>
              <w:left w:val="single" w:color="000000" w:sz="4" w:space="0"/>
              <w:bottom w:val="single" w:color="000000" w:sz="4" w:space="0"/>
              <w:right w:val="single" w:color="000000" w:sz="4" w:space="0"/>
            </w:tcBorders>
            <w:noWrap w:val="0"/>
            <w:vAlign w:val="center"/>
          </w:tcPr>
          <w:p w14:paraId="53A6FE0B">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定货要求</w:t>
            </w:r>
          </w:p>
        </w:tc>
        <w:tc>
          <w:tcPr>
            <w:tcW w:w="583" w:type="pct"/>
            <w:tcBorders>
              <w:top w:val="single" w:color="000000" w:sz="4" w:space="0"/>
              <w:left w:val="single" w:color="000000" w:sz="4" w:space="0"/>
              <w:bottom w:val="single" w:color="000000" w:sz="4" w:space="0"/>
              <w:right w:val="single" w:color="000000" w:sz="4" w:space="0"/>
            </w:tcBorders>
            <w:noWrap w:val="0"/>
            <w:vAlign w:val="center"/>
          </w:tcPr>
          <w:p w14:paraId="16225A6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质量标准技术要求</w:t>
            </w:r>
          </w:p>
        </w:tc>
        <w:tc>
          <w:tcPr>
            <w:tcW w:w="533" w:type="pct"/>
            <w:tcBorders>
              <w:top w:val="single" w:color="000000" w:sz="4" w:space="0"/>
              <w:left w:val="single" w:color="000000" w:sz="4" w:space="0"/>
              <w:bottom w:val="single" w:color="000000" w:sz="4" w:space="0"/>
              <w:right w:val="single" w:color="000000" w:sz="4" w:space="0"/>
            </w:tcBorders>
            <w:noWrap w:val="0"/>
            <w:vAlign w:val="center"/>
          </w:tcPr>
          <w:p w14:paraId="4CBCE10A">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详细地址</w:t>
            </w:r>
          </w:p>
        </w:tc>
        <w:tc>
          <w:tcPr>
            <w:tcW w:w="607" w:type="pct"/>
            <w:tcBorders>
              <w:top w:val="single" w:color="000000" w:sz="4" w:space="0"/>
              <w:left w:val="single" w:color="000000" w:sz="4" w:space="0"/>
              <w:bottom w:val="single" w:color="000000" w:sz="4" w:space="0"/>
              <w:right w:val="single" w:color="000000" w:sz="4" w:space="0"/>
            </w:tcBorders>
            <w:noWrap w:val="0"/>
            <w:vAlign w:val="center"/>
          </w:tcPr>
          <w:p w14:paraId="33DCDE8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交货期</w:t>
            </w:r>
          </w:p>
        </w:tc>
        <w:tc>
          <w:tcPr>
            <w:tcW w:w="246" w:type="pct"/>
            <w:tcBorders>
              <w:top w:val="single" w:color="000000" w:sz="4" w:space="0"/>
              <w:left w:val="single" w:color="000000" w:sz="4" w:space="0"/>
              <w:bottom w:val="single" w:color="000000" w:sz="4" w:space="0"/>
              <w:right w:val="single" w:color="000000" w:sz="4" w:space="0"/>
            </w:tcBorders>
            <w:noWrap w:val="0"/>
            <w:vAlign w:val="center"/>
          </w:tcPr>
          <w:p w14:paraId="7B152B7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备注</w:t>
            </w:r>
          </w:p>
        </w:tc>
      </w:tr>
      <w:tr w14:paraId="2E2B562D">
        <w:tblPrEx>
          <w:tblCellMar>
            <w:top w:w="0" w:type="dxa"/>
            <w:left w:w="108" w:type="dxa"/>
            <w:bottom w:w="0" w:type="dxa"/>
            <w:right w:w="108" w:type="dxa"/>
          </w:tblCellMar>
        </w:tblPrEx>
        <w:trPr>
          <w:trHeight w:val="1404" w:hRule="atLeast"/>
        </w:trPr>
        <w:tc>
          <w:tcPr>
            <w:tcW w:w="477" w:type="pct"/>
            <w:tcBorders>
              <w:top w:val="single" w:color="000000" w:sz="4" w:space="0"/>
              <w:left w:val="single" w:color="000000" w:sz="4" w:space="0"/>
              <w:right w:val="single" w:color="000000" w:sz="4" w:space="0"/>
            </w:tcBorders>
            <w:shd w:val="clear" w:color="auto" w:fill="FFFFFF"/>
            <w:noWrap w:val="0"/>
            <w:vAlign w:val="center"/>
          </w:tcPr>
          <w:p w14:paraId="7747CA1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中铁二局集团有限公司雄商高铁衡水枢纽站前一标项目</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14:paraId="7C27072E">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碎石</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0D5120FA">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20"/>
                <w:szCs w:val="20"/>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noWrap w:val="0"/>
            <w:vAlign w:val="center"/>
          </w:tcPr>
          <w:p w14:paraId="0C15F73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30000.00 </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14:paraId="38C2BFF9">
            <w:pPr>
              <w:widowControl/>
              <w:jc w:val="center"/>
              <w:textAlignment w:val="center"/>
              <w:rPr>
                <w:rFonts w:hint="eastAsia" w:ascii="宋体" w:hAnsi="宋体" w:cs="宋体"/>
                <w:color w:val="000000"/>
                <w:kern w:val="0"/>
                <w:sz w:val="18"/>
                <w:szCs w:val="18"/>
                <w:lang w:bidi="ar"/>
              </w:rPr>
            </w:pPr>
            <w:r>
              <w:rPr>
                <w:rFonts w:hint="eastAsia" w:ascii="宋体" w:hAnsi="宋体" w:eastAsia="宋体" w:cs="宋体"/>
                <w:color w:val="000000"/>
                <w:kern w:val="0"/>
                <w:sz w:val="18"/>
                <w:szCs w:val="18"/>
                <w:lang w:bidi="ar"/>
              </w:rPr>
              <w:t>吨</w:t>
            </w:r>
          </w:p>
        </w:tc>
        <w:tc>
          <w:tcPr>
            <w:tcW w:w="505" w:type="pct"/>
            <w:tcBorders>
              <w:top w:val="single" w:color="000000" w:sz="4" w:space="0"/>
              <w:left w:val="single" w:color="000000" w:sz="4" w:space="0"/>
              <w:right w:val="single" w:color="000000" w:sz="4" w:space="0"/>
            </w:tcBorders>
            <w:noWrap w:val="0"/>
            <w:vAlign w:val="center"/>
          </w:tcPr>
          <w:p w14:paraId="762E4DB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符合各项质量、技术指标</w:t>
            </w:r>
          </w:p>
        </w:tc>
        <w:tc>
          <w:tcPr>
            <w:tcW w:w="583" w:type="pct"/>
            <w:tcBorders>
              <w:top w:val="single" w:color="000000" w:sz="4" w:space="0"/>
              <w:left w:val="single" w:color="000000" w:sz="4" w:space="0"/>
              <w:right w:val="single" w:color="000000" w:sz="4" w:space="0"/>
            </w:tcBorders>
            <w:noWrap w:val="0"/>
            <w:vAlign w:val="center"/>
          </w:tcPr>
          <w:p w14:paraId="0D9BFA5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详见技术规范</w:t>
            </w:r>
          </w:p>
        </w:tc>
        <w:tc>
          <w:tcPr>
            <w:tcW w:w="533" w:type="pct"/>
            <w:tcBorders>
              <w:top w:val="single" w:color="000000" w:sz="4" w:space="0"/>
              <w:left w:val="single" w:color="000000" w:sz="4" w:space="0"/>
              <w:right w:val="single" w:color="000000" w:sz="4" w:space="0"/>
            </w:tcBorders>
            <w:noWrap w:val="0"/>
            <w:vAlign w:val="center"/>
          </w:tcPr>
          <w:p w14:paraId="63F22DC5">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bidi="ar"/>
              </w:rPr>
              <w:t>河北省衡水市桃城区西外环与永兴西路交叉口东北角 中铁二局雄商高铁衡水枢纽项目</w:t>
            </w:r>
            <w:r>
              <w:rPr>
                <w:rFonts w:hint="eastAsia" w:ascii="宋体" w:hAnsi="宋体" w:cs="宋体"/>
                <w:color w:val="000000"/>
                <w:kern w:val="0"/>
                <w:sz w:val="18"/>
                <w:szCs w:val="18"/>
                <w:lang w:val="en-US" w:eastAsia="zh-CN" w:bidi="ar"/>
              </w:rPr>
              <w:t>施工现场</w:t>
            </w:r>
          </w:p>
        </w:tc>
        <w:tc>
          <w:tcPr>
            <w:tcW w:w="607" w:type="pct"/>
            <w:tcBorders>
              <w:top w:val="single" w:color="000000" w:sz="4" w:space="0"/>
              <w:left w:val="single" w:color="000000" w:sz="4" w:space="0"/>
              <w:right w:val="single" w:color="000000" w:sz="4" w:space="0"/>
            </w:tcBorders>
            <w:noWrap w:val="0"/>
            <w:vAlign w:val="center"/>
          </w:tcPr>
          <w:p w14:paraId="008BC95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根据现场施工安排</w:t>
            </w:r>
          </w:p>
        </w:tc>
        <w:tc>
          <w:tcPr>
            <w:tcW w:w="246" w:type="pct"/>
            <w:tcBorders>
              <w:top w:val="single" w:color="000000" w:sz="4" w:space="0"/>
              <w:left w:val="single" w:color="000000" w:sz="4" w:space="0"/>
              <w:right w:val="single" w:color="000000" w:sz="4" w:space="0"/>
            </w:tcBorders>
            <w:noWrap w:val="0"/>
            <w:vAlign w:val="center"/>
          </w:tcPr>
          <w:p w14:paraId="3F1C07A9">
            <w:pPr>
              <w:widowControl/>
              <w:jc w:val="center"/>
              <w:textAlignment w:val="center"/>
              <w:rPr>
                <w:rFonts w:hint="eastAsia" w:ascii="宋体" w:hAnsi="宋体" w:cs="宋体"/>
                <w:color w:val="000000"/>
                <w:kern w:val="0"/>
                <w:sz w:val="18"/>
                <w:szCs w:val="18"/>
                <w:lang w:bidi="ar"/>
              </w:rPr>
            </w:pPr>
          </w:p>
        </w:tc>
      </w:tr>
      <w:tr w14:paraId="395C0CE5">
        <w:tblPrEx>
          <w:tblCellMar>
            <w:top w:w="0" w:type="dxa"/>
            <w:left w:w="108" w:type="dxa"/>
            <w:bottom w:w="0" w:type="dxa"/>
            <w:right w:w="108" w:type="dxa"/>
          </w:tblCellMar>
        </w:tblPrEx>
        <w:trPr>
          <w:trHeight w:val="430" w:hRule="atLeast"/>
        </w:trPr>
        <w:tc>
          <w:tcPr>
            <w:tcW w:w="47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21B704">
            <w:pPr>
              <w:widowControl/>
              <w:jc w:val="center"/>
              <w:textAlignment w:val="center"/>
              <w:rPr>
                <w:rFonts w:ascii="仿宋_GB2312" w:hAnsi="宋体" w:eastAsia="仿宋_GB2312" w:cs="仿宋_GB2312"/>
                <w:color w:val="000000"/>
                <w:sz w:val="18"/>
                <w:szCs w:val="18"/>
              </w:rPr>
            </w:pPr>
            <w:r>
              <w:rPr>
                <w:rFonts w:ascii="仿宋_GB2312" w:hAnsi="宋体" w:eastAsia="仿宋_GB2312" w:cs="仿宋_GB2312"/>
                <w:color w:val="000000"/>
                <w:kern w:val="0"/>
                <w:sz w:val="18"/>
                <w:szCs w:val="18"/>
                <w:lang w:bidi="ar"/>
              </w:rPr>
              <w:t>小计</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B8B655">
            <w:pPr>
              <w:jc w:val="center"/>
              <w:rPr>
                <w:rFonts w:ascii="仿宋_GB2312" w:hAnsi="宋体" w:eastAsia="仿宋_GB2312" w:cs="仿宋_GB2312"/>
                <w:color w:val="000000"/>
                <w:sz w:val="18"/>
                <w:szCs w:val="18"/>
              </w:rPr>
            </w:pPr>
          </w:p>
        </w:tc>
        <w:tc>
          <w:tcPr>
            <w:tcW w:w="68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EB577A">
            <w:pPr>
              <w:jc w:val="center"/>
              <w:rPr>
                <w:rFonts w:ascii="仿宋_GB2312" w:hAnsi="宋体" w:eastAsia="仿宋_GB2312" w:cs="仿宋_GB2312"/>
                <w:color w:val="000000"/>
                <w:sz w:val="18"/>
                <w:szCs w:val="18"/>
              </w:rPr>
            </w:pP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6329BE">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 xml:space="preserve">30000.00 </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8DF66">
            <w:pPr>
              <w:widowControl/>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吨</w:t>
            </w:r>
          </w:p>
        </w:tc>
        <w:tc>
          <w:tcPr>
            <w:tcW w:w="50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B96556">
            <w:pPr>
              <w:jc w:val="center"/>
              <w:rPr>
                <w:rFonts w:ascii="仿宋_GB2312" w:hAnsi="宋体" w:eastAsia="仿宋_GB2312" w:cs="仿宋_GB2312"/>
                <w:color w:val="000000"/>
                <w:sz w:val="18"/>
                <w:szCs w:val="18"/>
              </w:rPr>
            </w:pPr>
          </w:p>
        </w:tc>
        <w:tc>
          <w:tcPr>
            <w:tcW w:w="5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AD2764">
            <w:pPr>
              <w:jc w:val="center"/>
              <w:rPr>
                <w:rFonts w:ascii="仿宋_GB2312" w:hAnsi="宋体" w:eastAsia="仿宋_GB2312" w:cs="仿宋_GB2312"/>
                <w:color w:val="000000"/>
                <w:sz w:val="18"/>
                <w:szCs w:val="18"/>
              </w:rPr>
            </w:pPr>
          </w:p>
        </w:tc>
        <w:tc>
          <w:tcPr>
            <w:tcW w:w="53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70EC77">
            <w:pPr>
              <w:jc w:val="center"/>
              <w:rPr>
                <w:rFonts w:ascii="仿宋_GB2312" w:hAnsi="宋体" w:eastAsia="仿宋_GB2312" w:cs="仿宋_GB2312"/>
                <w:color w:val="000000"/>
                <w:sz w:val="18"/>
                <w:szCs w:val="18"/>
              </w:rPr>
            </w:pPr>
          </w:p>
        </w:tc>
        <w:tc>
          <w:tcPr>
            <w:tcW w:w="60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1F61F2">
            <w:pPr>
              <w:jc w:val="center"/>
              <w:rPr>
                <w:rFonts w:ascii="仿宋_GB2312" w:hAnsi="宋体" w:eastAsia="仿宋_GB2312" w:cs="仿宋_GB2312"/>
                <w:color w:val="000000"/>
                <w:sz w:val="18"/>
                <w:szCs w:val="18"/>
              </w:rPr>
            </w:pPr>
          </w:p>
        </w:tc>
        <w:tc>
          <w:tcPr>
            <w:tcW w:w="246" w:type="pct"/>
            <w:tcBorders>
              <w:top w:val="single" w:color="000000" w:sz="4" w:space="0"/>
              <w:left w:val="single" w:color="000000" w:sz="4" w:space="0"/>
              <w:bottom w:val="single" w:color="000000" w:sz="4" w:space="0"/>
              <w:right w:val="single" w:color="000000" w:sz="4" w:space="0"/>
            </w:tcBorders>
            <w:noWrap w:val="0"/>
            <w:vAlign w:val="center"/>
          </w:tcPr>
          <w:p w14:paraId="116F3436">
            <w:pPr>
              <w:jc w:val="center"/>
              <w:rPr>
                <w:rFonts w:ascii="仿宋_GB2312" w:hAnsi="宋体" w:eastAsia="仿宋_GB2312" w:cs="仿宋_GB2312"/>
                <w:color w:val="000000"/>
                <w:sz w:val="18"/>
                <w:szCs w:val="18"/>
              </w:rPr>
            </w:pPr>
          </w:p>
        </w:tc>
      </w:tr>
    </w:tbl>
    <w:p w14:paraId="7B6B1133">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 xml:space="preserve">注： </w:t>
      </w:r>
    </w:p>
    <w:p w14:paraId="6B474187">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1、表中为采购规格数量，最终规格数量以实际数量为准，买方可根据现场情况对实际发生数量进行增加或减少。</w:t>
      </w:r>
    </w:p>
    <w:p w14:paraId="39D75E40">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2、交货时间及地点具体以使用单位的通知为准。</w:t>
      </w:r>
    </w:p>
    <w:p w14:paraId="2CEC8425">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3、具体规格型号与电商平台不一致的，以标书文件为准。</w:t>
      </w:r>
    </w:p>
    <w:p w14:paraId="5ABE7DD1">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4、本包件结算、支付方式：合同“买方”在结算当月扣除该批物资价值5%的质量保证金，在结算后第四个月20日前支付该批物资75%的价款，剩余的20%在第五个月20日前支付,质保金在质保期满后支付。（“买方有权采用银行转账、信用证或供应链金融（包括但不限于商业承兑汇票、银行承兑汇票、建行E信通、航信、中铁E信）等形式付款。”）</w:t>
      </w:r>
    </w:p>
    <w:p w14:paraId="3B94B5E0">
      <w:pPr>
        <w:adjustRightInd w:val="0"/>
        <w:snapToGrid w:val="0"/>
        <w:spacing w:line="276" w:lineRule="auto"/>
        <w:ind w:firstLine="377" w:firstLineChars="236"/>
        <w:rPr>
          <w:rFonts w:hint="eastAsia" w:ascii="宋体" w:hAnsi="宋体" w:eastAsia="宋体" w:cs="Times New Roman"/>
          <w:sz w:val="16"/>
          <w:szCs w:val="16"/>
        </w:rPr>
      </w:pPr>
      <w:r>
        <w:rPr>
          <w:rFonts w:hint="eastAsia" w:ascii="宋体" w:hAnsi="宋体" w:eastAsia="宋体" w:cs="Times New Roman"/>
          <w:sz w:val="16"/>
          <w:szCs w:val="16"/>
        </w:rPr>
        <w:t>5、发票要求：一票制增值税专用发票。如遇国家税率政策调整，合同结算单价应按照不含税价格不变，税率按最新税率计算的方法调整，双方应及时签订税率变更补充协议。</w:t>
      </w:r>
    </w:p>
    <w:p w14:paraId="5BD62424">
      <w:pPr>
        <w:spacing w:line="380" w:lineRule="exact"/>
        <w:rPr>
          <w:rFonts w:hint="eastAsia" w:ascii="宋体" w:hAnsi="宋体" w:cs="仿宋_GB2312"/>
          <w:bCs/>
          <w:sz w:val="20"/>
          <w:szCs w:val="20"/>
        </w:rPr>
      </w:pPr>
    </w:p>
    <w:p w14:paraId="6B8B4FCB">
      <w:pPr>
        <w:pStyle w:val="12"/>
        <w:ind w:firstLine="480"/>
      </w:pPr>
    </w:p>
    <w:p w14:paraId="1B6BCBBF">
      <w:pPr>
        <w:pStyle w:val="12"/>
        <w:ind w:firstLine="480"/>
        <w:rPr>
          <w:rFonts w:hint="eastAsia"/>
        </w:rPr>
        <w:sectPr>
          <w:pgSz w:w="16838" w:h="11906" w:orient="landscape"/>
          <w:pgMar w:top="1474" w:right="1134" w:bottom="1191" w:left="1134" w:header="340" w:footer="1361" w:gutter="0"/>
          <w:cols w:space="720" w:num="1"/>
          <w:docGrid w:type="linesAndChars" w:linePitch="312" w:charSpace="0"/>
        </w:sectPr>
      </w:pPr>
    </w:p>
    <w:p w14:paraId="6C2D8F7C">
      <w:pPr>
        <w:outlineLvl w:val="1"/>
        <w:rPr>
          <w:rFonts w:ascii="宋体" w:hAnsi="宋体"/>
          <w:sz w:val="28"/>
          <w:szCs w:val="28"/>
        </w:rPr>
      </w:pPr>
      <w:bookmarkStart w:id="27" w:name="_Toc6486"/>
      <w:r>
        <w:rPr>
          <w:rFonts w:hint="eastAsia" w:ascii="宋体" w:hAnsi="宋体"/>
          <w:sz w:val="28"/>
          <w:szCs w:val="28"/>
        </w:rPr>
        <w:t>附件六</w:t>
      </w:r>
      <w:bookmarkEnd w:id="27"/>
    </w:p>
    <w:p w14:paraId="7CBA7E8C">
      <w:pPr>
        <w:bidi w:val="0"/>
        <w:jc w:val="center"/>
        <w:rPr>
          <w:rFonts w:hint="default"/>
          <w:sz w:val="36"/>
          <w:szCs w:val="44"/>
          <w:lang w:val="en-US" w:eastAsia="zh-CN"/>
        </w:rPr>
      </w:pPr>
      <w:r>
        <w:rPr>
          <w:rFonts w:hint="eastAsia"/>
          <w:sz w:val="36"/>
          <w:szCs w:val="44"/>
          <w:lang w:val="en-US" w:eastAsia="zh-CN"/>
        </w:rPr>
        <w:t>结算方式</w:t>
      </w:r>
    </w:p>
    <w:p w14:paraId="133571F9">
      <w:pPr>
        <w:spacing w:line="360" w:lineRule="auto"/>
        <w:ind w:firstLine="422" w:firstLineChars="200"/>
        <w:rPr>
          <w:rFonts w:hint="eastAsia" w:ascii="宋体" w:hAnsi="宋体" w:cs="宋体"/>
          <w:color w:val="000000"/>
          <w:sz w:val="21"/>
          <w:szCs w:val="21"/>
        </w:rPr>
      </w:pPr>
      <w:bookmarkStart w:id="28" w:name="_Toc26222"/>
      <w:bookmarkStart w:id="29" w:name="_Toc774"/>
      <w:bookmarkStart w:id="30" w:name="_Toc7318"/>
      <w:bookmarkStart w:id="31" w:name="_Toc6047"/>
      <w:bookmarkStart w:id="32" w:name="_Toc4860"/>
      <w:bookmarkStart w:id="33" w:name="_Toc6873"/>
      <w:bookmarkStart w:id="34" w:name="_Toc465236863"/>
      <w:r>
        <w:rPr>
          <w:rFonts w:hint="eastAsia" w:ascii="宋体" w:hAnsi="宋体" w:eastAsia="宋体" w:cs="宋体"/>
          <w:b/>
          <w:bCs/>
          <w:color w:val="000000"/>
          <w:sz w:val="21"/>
          <w:szCs w:val="21"/>
          <w:lang w:val="en-US" w:eastAsia="zh-CN"/>
        </w:rPr>
        <w:t>一、冷轧带肋焊接网包件采用固定价结算方式；</w:t>
      </w:r>
    </w:p>
    <w:p w14:paraId="574B9D02">
      <w:pPr>
        <w:pStyle w:val="13"/>
        <w:tabs>
          <w:tab w:val="left" w:pos="709"/>
        </w:tabs>
        <w:spacing w:line="360" w:lineRule="auto"/>
        <w:ind w:firstLine="480"/>
        <w:rPr>
          <w:rFonts w:hint="eastAsia" w:ascii="宋体" w:hAnsi="宋体" w:cs="宋体"/>
          <w:color w:val="000000"/>
          <w:sz w:val="21"/>
          <w:szCs w:val="21"/>
        </w:rPr>
      </w:pPr>
      <w:r>
        <w:rPr>
          <w:rFonts w:hint="eastAsia" w:ascii="宋体" w:hAnsi="宋体" w:cs="宋体"/>
          <w:color w:val="000000"/>
          <w:sz w:val="21"/>
          <w:szCs w:val="21"/>
        </w:rPr>
        <w:t>1.价格结算机制：本次</w:t>
      </w:r>
      <w:r>
        <w:rPr>
          <w:rFonts w:hint="eastAsia" w:ascii="宋体" w:hAnsi="宋体" w:cs="宋体"/>
          <w:color w:val="000000"/>
          <w:sz w:val="21"/>
          <w:szCs w:val="21"/>
          <w:lang w:val="en-US" w:eastAsia="zh-CN"/>
        </w:rPr>
        <w:t>冷轧带肋焊接网</w:t>
      </w:r>
      <w:r>
        <w:rPr>
          <w:rFonts w:hint="eastAsia" w:ascii="宋体" w:hAnsi="宋体" w:cs="宋体"/>
          <w:color w:val="000000"/>
          <w:sz w:val="21"/>
          <w:szCs w:val="21"/>
        </w:rPr>
        <w:t>结算价格实行浮动价结算。</w:t>
      </w:r>
    </w:p>
    <w:p w14:paraId="4C2DBD4E">
      <w:pPr>
        <w:pStyle w:val="13"/>
        <w:tabs>
          <w:tab w:val="left" w:pos="709"/>
        </w:tabs>
        <w:spacing w:line="360" w:lineRule="auto"/>
        <w:ind w:firstLine="480"/>
        <w:rPr>
          <w:rFonts w:hint="eastAsia" w:ascii="宋体" w:hAnsi="宋体" w:cs="宋体"/>
          <w:color w:val="000000"/>
          <w:sz w:val="21"/>
          <w:szCs w:val="21"/>
        </w:rPr>
      </w:pPr>
      <w:r>
        <w:rPr>
          <w:rFonts w:hint="eastAsia" w:ascii="宋体" w:hAnsi="宋体" w:cs="宋体"/>
          <w:color w:val="000000"/>
          <w:sz w:val="21"/>
          <w:szCs w:val="21"/>
        </w:rPr>
        <w:t>结算单价=网价+综合费</w:t>
      </w:r>
    </w:p>
    <w:p w14:paraId="0C2D8EAF">
      <w:pPr>
        <w:pStyle w:val="13"/>
        <w:tabs>
          <w:tab w:val="left" w:pos="709"/>
        </w:tabs>
        <w:spacing w:line="360" w:lineRule="auto"/>
        <w:ind w:firstLine="480"/>
        <w:rPr>
          <w:rFonts w:hint="eastAsia" w:ascii="宋体" w:hAnsi="宋体" w:cs="宋体"/>
          <w:color w:val="000000"/>
          <w:sz w:val="21"/>
          <w:szCs w:val="21"/>
        </w:rPr>
      </w:pPr>
      <w:r>
        <w:rPr>
          <w:rFonts w:hint="eastAsia" w:ascii="宋体" w:hAnsi="宋体" w:cs="宋体"/>
          <w:color w:val="000000"/>
          <w:sz w:val="21"/>
          <w:szCs w:val="21"/>
        </w:rPr>
        <w:t>结算单价：包含但不限于材料费、加工费、试验费、包装费、搬运、储存、装卸车费、服务费及售后服务费等费用。</w:t>
      </w:r>
    </w:p>
    <w:p w14:paraId="27AFE751">
      <w:pPr>
        <w:pStyle w:val="13"/>
        <w:tabs>
          <w:tab w:val="left" w:pos="709"/>
        </w:tabs>
        <w:spacing w:line="360" w:lineRule="auto"/>
        <w:ind w:firstLine="480"/>
        <w:rPr>
          <w:rFonts w:hint="eastAsia" w:ascii="宋体" w:hAnsi="宋体" w:cs="宋体"/>
          <w:color w:val="000000"/>
          <w:sz w:val="21"/>
          <w:szCs w:val="21"/>
        </w:rPr>
      </w:pPr>
      <w:r>
        <w:rPr>
          <w:rFonts w:hint="eastAsia" w:ascii="宋体" w:hAnsi="宋体" w:cs="宋体"/>
          <w:color w:val="000000"/>
          <w:sz w:val="21"/>
          <w:szCs w:val="21"/>
        </w:rPr>
        <w:t>网价为出厂虚拟单价:</w:t>
      </w:r>
    </w:p>
    <w:p w14:paraId="30486B1F">
      <w:pPr>
        <w:pStyle w:val="13"/>
        <w:tabs>
          <w:tab w:val="left" w:pos="709"/>
        </w:tabs>
        <w:spacing w:line="360" w:lineRule="auto"/>
        <w:ind w:firstLine="482"/>
        <w:rPr>
          <w:rFonts w:hint="eastAsia" w:ascii="宋体" w:hAnsi="宋体" w:cs="宋体"/>
          <w:b/>
          <w:bCs/>
          <w:color w:val="000000"/>
          <w:sz w:val="21"/>
          <w:szCs w:val="21"/>
        </w:rPr>
      </w:pPr>
      <w:r>
        <w:rPr>
          <w:rFonts w:hint="eastAsia" w:ascii="宋体" w:hAnsi="宋体" w:cs="宋体"/>
          <w:b/>
          <w:bCs/>
          <w:color w:val="000000"/>
          <w:sz w:val="21"/>
          <w:szCs w:val="21"/>
        </w:rPr>
        <w:t>此次招标各种规格型号的</w:t>
      </w:r>
      <w:r>
        <w:rPr>
          <w:rFonts w:hint="eastAsia" w:ascii="宋体" w:hAnsi="宋体" w:cs="宋体"/>
          <w:b/>
          <w:bCs/>
          <w:color w:val="000000"/>
          <w:sz w:val="21"/>
          <w:szCs w:val="21"/>
          <w:lang w:val="en-US" w:eastAsia="zh-CN"/>
        </w:rPr>
        <w:t>冷轧带肋焊接网</w:t>
      </w:r>
      <w:r>
        <w:rPr>
          <w:rFonts w:hint="eastAsia" w:ascii="宋体" w:hAnsi="宋体" w:cs="宋体"/>
          <w:b/>
          <w:bCs/>
          <w:color w:val="000000"/>
          <w:sz w:val="21"/>
          <w:szCs w:val="21"/>
        </w:rPr>
        <w:t>出厂虚拟单价为</w:t>
      </w:r>
      <w:r>
        <w:rPr>
          <w:rFonts w:hint="eastAsia" w:ascii="宋体" w:hAnsi="宋体" w:cs="宋体"/>
          <w:b/>
          <w:bCs/>
          <w:color w:val="000000"/>
          <w:sz w:val="21"/>
          <w:szCs w:val="21"/>
          <w:lang w:val="en-US" w:eastAsia="zh-CN"/>
        </w:rPr>
        <w:t>38</w:t>
      </w:r>
      <w:r>
        <w:rPr>
          <w:rFonts w:hint="eastAsia" w:ascii="宋体" w:hAnsi="宋体" w:cs="宋体"/>
          <w:b/>
          <w:bCs/>
          <w:color w:val="000000"/>
          <w:sz w:val="21"/>
          <w:szCs w:val="21"/>
        </w:rPr>
        <w:t>00元/吨；</w:t>
      </w:r>
    </w:p>
    <w:p w14:paraId="45070190">
      <w:pPr>
        <w:pStyle w:val="13"/>
        <w:tabs>
          <w:tab w:val="left" w:pos="709"/>
        </w:tabs>
        <w:spacing w:line="360" w:lineRule="auto"/>
        <w:ind w:firstLine="482"/>
        <w:rPr>
          <w:rFonts w:hint="eastAsia" w:ascii="宋体" w:hAnsi="宋体" w:cs="宋体"/>
          <w:b/>
          <w:bCs/>
          <w:color w:val="000000"/>
          <w:sz w:val="21"/>
          <w:szCs w:val="21"/>
        </w:rPr>
      </w:pPr>
      <w:r>
        <w:rPr>
          <w:rFonts w:hint="eastAsia" w:ascii="宋体" w:hAnsi="宋体" w:cs="宋体"/>
          <w:b/>
          <w:bCs/>
          <w:color w:val="000000"/>
          <w:sz w:val="21"/>
          <w:szCs w:val="21"/>
        </w:rPr>
        <w:t>此单价仅用于本次招标开标时核算总价的依据，不作为将来中标后合同结算依据，不按此规定报价的投标文件将作废标处理。</w:t>
      </w:r>
    </w:p>
    <w:p w14:paraId="7884D7F4">
      <w:pPr>
        <w:pStyle w:val="13"/>
        <w:tabs>
          <w:tab w:val="left" w:pos="709"/>
        </w:tabs>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综合费为投标人根据网价核定除网价外的运杂费、投标人让利等其他费用的综合费（含税）；综合费可以为正值、可以为0、也可以为负值，综合费值在合同履约过程中不作调整。（同一包件中型钢同一物资类型的综合费用单价须一致，否则将导致投标文件被否决。）</w:t>
      </w:r>
    </w:p>
    <w:p w14:paraId="463CDFD0">
      <w:pPr>
        <w:pStyle w:val="13"/>
        <w:tabs>
          <w:tab w:val="left" w:pos="709"/>
        </w:tabs>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钢材以“我的钢铁网”（www.mysteel.com）“</w:t>
      </w:r>
      <w:r>
        <w:rPr>
          <w:rFonts w:hint="eastAsia" w:ascii="宋体" w:hAnsi="宋体" w:eastAsia="宋体" w:cs="宋体"/>
          <w:color w:val="000000"/>
          <w:sz w:val="21"/>
          <w:szCs w:val="21"/>
          <w:lang w:val="en-US" w:eastAsia="zh-CN"/>
        </w:rPr>
        <w:t>邯郸</w:t>
      </w:r>
      <w:r>
        <w:rPr>
          <w:rFonts w:hint="eastAsia" w:ascii="宋体" w:hAnsi="宋体" w:eastAsia="宋体" w:cs="宋体"/>
          <w:color w:val="000000"/>
          <w:sz w:val="21"/>
          <w:szCs w:val="21"/>
        </w:rPr>
        <w:t>市场建筑钢材价格行情”到货当日首次公布的同规格型号价格的算术平均值（不采用备注栏及表格下方列出的价格和加价建议）来确定招标物资相同规格对应的出厂单价。</w:t>
      </w:r>
    </w:p>
    <w:p w14:paraId="7AA59171">
      <w:pPr>
        <w:pStyle w:val="13"/>
        <w:tabs>
          <w:tab w:val="left" w:pos="709"/>
        </w:tabs>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若“我的钢铁网”在规定时间遇节假日未公布市场价格，则向前顺延至首个报价日；未公布规格参照最接近较小规格价格，无最接近较小规格参照最接近较大规格价格。</w:t>
      </w:r>
    </w:p>
    <w:p w14:paraId="1A8CBEA8">
      <w:pPr>
        <w:pStyle w:val="13"/>
        <w:tabs>
          <w:tab w:val="left" w:pos="709"/>
        </w:tabs>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货款支付方式：银行转帐</w:t>
      </w:r>
    </w:p>
    <w:p w14:paraId="3BB84DED">
      <w:pPr>
        <w:pStyle w:val="13"/>
        <w:tabs>
          <w:tab w:val="left" w:pos="709"/>
        </w:tabs>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冷轧带肋焊接网包件付款模式：</w:t>
      </w:r>
      <w:r>
        <w:rPr>
          <w:rFonts w:hint="eastAsia" w:ascii="宋体" w:hAnsi="宋体" w:eastAsia="宋体" w:cs="宋体"/>
          <w:color w:val="000000"/>
          <w:sz w:val="21"/>
          <w:szCs w:val="21"/>
        </w:rPr>
        <w:t>合同“买方”在结算当月扣除该批物资价值5%的质量保证金，在结算后第四个月20日前支付该批物资75%的价款，剩余的20%在第五个月20日前支付,质保金在质保期满后支付。（“买方有权采用银行转账、信用证或供应链金融（包括但不限于商业承兑汇票、银行承兑汇票、建行E信通、航信、中铁E信）等形式付款。”）</w:t>
      </w:r>
    </w:p>
    <w:p w14:paraId="15E861EF">
      <w:pPr>
        <w:pStyle w:val="13"/>
        <w:tabs>
          <w:tab w:val="left" w:pos="709"/>
        </w:tabs>
        <w:spacing w:line="360" w:lineRule="auto"/>
        <w:ind w:firstLine="480"/>
        <w:rPr>
          <w:rFonts w:hint="eastAsia" w:ascii="宋体" w:hAnsi="宋体" w:eastAsia="宋体" w:cs="宋体"/>
          <w:color w:val="000000"/>
          <w:sz w:val="21"/>
          <w:szCs w:val="21"/>
        </w:rPr>
      </w:pPr>
      <w:r>
        <w:rPr>
          <w:rFonts w:hint="eastAsia" w:ascii="宋体" w:hAnsi="宋体" w:eastAsia="宋体" w:cs="宋体"/>
          <w:color w:val="000000"/>
          <w:sz w:val="21"/>
          <w:szCs w:val="21"/>
        </w:rPr>
        <w:t>运费计算方式：一票制结算，乙方开具税率为13%的增值税专用发票。</w:t>
      </w:r>
    </w:p>
    <w:p w14:paraId="2DC3ABDB">
      <w:pPr>
        <w:pStyle w:val="13"/>
        <w:tabs>
          <w:tab w:val="left" w:pos="709"/>
        </w:tabs>
        <w:spacing w:line="360" w:lineRule="auto"/>
        <w:ind w:firstLine="48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备注：上述结算方式中结算单价、网价及综合费均为含税价。</w:t>
      </w:r>
      <w:r>
        <w:rPr>
          <w:rFonts w:hint="eastAsia" w:ascii="宋体" w:hAnsi="宋体" w:eastAsia="宋体" w:cs="宋体"/>
          <w:color w:val="000000"/>
          <w:sz w:val="21"/>
          <w:szCs w:val="21"/>
          <w:lang w:val="en-US" w:eastAsia="zh-CN"/>
        </w:rPr>
        <w:tab/>
      </w:r>
    </w:p>
    <w:p w14:paraId="4697776A">
      <w:pPr>
        <w:spacing w:line="360" w:lineRule="auto"/>
        <w:ind w:firstLine="422" w:firstLineChars="200"/>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二、碎石包件采用固定价结算方式；</w:t>
      </w:r>
    </w:p>
    <w:p w14:paraId="4F13515D">
      <w:pPr>
        <w:pStyle w:val="13"/>
        <w:tabs>
          <w:tab w:val="left" w:pos="709"/>
        </w:tabs>
        <w:spacing w:line="360" w:lineRule="auto"/>
        <w:ind w:firstLine="480"/>
        <w:rPr>
          <w:rFonts w:ascii="宋体" w:hAnsi="宋体" w:cs="宋体"/>
          <w:color w:val="000000"/>
          <w:sz w:val="21"/>
          <w:szCs w:val="21"/>
        </w:rPr>
      </w:pPr>
      <w:r>
        <w:rPr>
          <w:rFonts w:hint="eastAsia" w:ascii="宋体" w:hAnsi="宋体" w:cs="宋体"/>
          <w:color w:val="000000"/>
          <w:sz w:val="21"/>
          <w:szCs w:val="21"/>
        </w:rPr>
        <w:t>（1）结算方式：采取固定单价结算。</w:t>
      </w:r>
    </w:p>
    <w:p w14:paraId="1F10FC86">
      <w:pPr>
        <w:pStyle w:val="13"/>
        <w:tabs>
          <w:tab w:val="left" w:pos="709"/>
        </w:tabs>
        <w:spacing w:line="360" w:lineRule="auto"/>
        <w:ind w:firstLine="480"/>
        <w:rPr>
          <w:rFonts w:ascii="宋体" w:hAnsi="宋体" w:cs="宋体"/>
          <w:color w:val="000000"/>
          <w:sz w:val="21"/>
          <w:szCs w:val="21"/>
        </w:rPr>
      </w:pPr>
      <w:r>
        <w:rPr>
          <w:rFonts w:hint="eastAsia" w:ascii="宋体" w:hAnsi="宋体" w:cs="宋体"/>
          <w:color w:val="000000"/>
          <w:sz w:val="21"/>
          <w:szCs w:val="21"/>
        </w:rPr>
        <w:t>（2）到工地单价指物资运至招标人指定工地的价格</w:t>
      </w:r>
    </w:p>
    <w:p w14:paraId="78CE51FD">
      <w:pPr>
        <w:pStyle w:val="13"/>
        <w:tabs>
          <w:tab w:val="left" w:pos="709"/>
        </w:tabs>
        <w:spacing w:line="360" w:lineRule="auto"/>
        <w:ind w:firstLine="480"/>
        <w:rPr>
          <w:rFonts w:ascii="宋体" w:hAnsi="宋体" w:cs="宋体"/>
          <w:color w:val="000000"/>
          <w:sz w:val="21"/>
          <w:szCs w:val="21"/>
        </w:rPr>
      </w:pPr>
      <w:r>
        <w:rPr>
          <w:rFonts w:hint="eastAsia" w:ascii="宋体" w:hAnsi="宋体" w:cs="宋体"/>
          <w:color w:val="000000"/>
          <w:sz w:val="21"/>
          <w:szCs w:val="21"/>
        </w:rPr>
        <w:t>到工地单价＝出厂（库）单价＋运杂费单价。</w:t>
      </w:r>
    </w:p>
    <w:p w14:paraId="6ED4DCCF">
      <w:pPr>
        <w:pStyle w:val="13"/>
        <w:tabs>
          <w:tab w:val="left" w:pos="709"/>
        </w:tabs>
        <w:spacing w:line="360" w:lineRule="auto"/>
        <w:ind w:firstLine="480"/>
        <w:rPr>
          <w:rFonts w:ascii="宋体" w:hAnsi="宋体" w:cs="宋体"/>
          <w:color w:val="000000"/>
          <w:sz w:val="21"/>
          <w:szCs w:val="21"/>
        </w:rPr>
      </w:pPr>
      <w:r>
        <w:rPr>
          <w:rFonts w:hint="eastAsia" w:ascii="宋体" w:hAnsi="宋体" w:cs="宋体"/>
          <w:color w:val="000000"/>
          <w:sz w:val="21"/>
          <w:szCs w:val="21"/>
        </w:rPr>
        <w:t>出厂（库）单价：出厂（库）单价指在物资的生产所在地装车发运前的价格，包含但不限于材料费、加工费、试验费、包装费、搬运、储存、装车费、服务费及售后服务费等以及所有相关税项费用。</w:t>
      </w:r>
    </w:p>
    <w:p w14:paraId="76857EF0">
      <w:pPr>
        <w:pStyle w:val="13"/>
        <w:tabs>
          <w:tab w:val="left" w:pos="709"/>
        </w:tabs>
        <w:spacing w:line="360" w:lineRule="auto"/>
        <w:ind w:firstLine="480"/>
        <w:rPr>
          <w:rFonts w:hint="eastAsia" w:ascii="宋体" w:hAnsi="宋体" w:cs="宋体"/>
          <w:color w:val="000000"/>
          <w:sz w:val="21"/>
          <w:szCs w:val="21"/>
        </w:rPr>
      </w:pPr>
      <w:r>
        <w:rPr>
          <w:rFonts w:hint="eastAsia" w:ascii="宋体" w:hAnsi="宋体" w:cs="宋体"/>
          <w:color w:val="000000"/>
          <w:sz w:val="21"/>
          <w:szCs w:val="21"/>
        </w:rPr>
        <w:t>运杂费：运杂费指投标人将物资由生产所在地完好无损地运至招标人指定交货地点（按招标文件规定的交货方式交货）所发生的一切费用（如运输费、装车费、管理费、利润、税金、供货风险等）。</w:t>
      </w:r>
    </w:p>
    <w:p w14:paraId="5000957D">
      <w:pPr>
        <w:keepNext w:val="0"/>
        <w:keepLines w:val="0"/>
        <w:pageBreakBefore w:val="0"/>
        <w:kinsoku/>
        <w:wordWrap/>
        <w:overflowPunct/>
        <w:topLinePunct w:val="0"/>
        <w:autoSpaceDE/>
        <w:autoSpaceDN/>
        <w:bidi w:val="0"/>
        <w:adjustRightInd/>
        <w:snapToGrid/>
        <w:spacing w:line="390" w:lineRule="exact"/>
        <w:ind w:firstLine="480"/>
        <w:jc w:val="left"/>
        <w:textAlignment w:val="auto"/>
        <w:rPr>
          <w:rFonts w:hint="eastAsia" w:ascii="宋体" w:hAnsi="宋体" w:cs="宋体"/>
          <w:color w:val="000000"/>
          <w:sz w:val="21"/>
          <w:szCs w:val="21"/>
        </w:rPr>
      </w:pPr>
      <w:r>
        <w:rPr>
          <w:rFonts w:hint="eastAsia" w:ascii="宋体" w:hAnsi="宋体"/>
          <w:b/>
          <w:bCs/>
          <w:sz w:val="24"/>
        </w:rPr>
        <w:t>特别约定:自然含水率约定碎石为1%，每批次材料经甲方试验室测定，超出自然含水率时，应按批次扣减超出含水率部分。</w:t>
      </w:r>
    </w:p>
    <w:p w14:paraId="442748C8">
      <w:pPr>
        <w:pStyle w:val="13"/>
        <w:tabs>
          <w:tab w:val="left" w:pos="709"/>
        </w:tabs>
        <w:spacing w:line="360" w:lineRule="auto"/>
        <w:ind w:firstLine="480"/>
        <w:rPr>
          <w:rFonts w:hint="eastAsia" w:ascii="宋体" w:hAnsi="宋体" w:cs="宋体"/>
          <w:color w:val="000000"/>
          <w:sz w:val="21"/>
          <w:szCs w:val="21"/>
        </w:rPr>
      </w:pPr>
      <w:r>
        <w:rPr>
          <w:rFonts w:hint="eastAsia" w:ascii="宋体" w:hAnsi="宋体" w:cs="宋体"/>
          <w:color w:val="000000"/>
          <w:sz w:val="21"/>
          <w:szCs w:val="21"/>
        </w:rPr>
        <w:t>货款支付方式：银行转帐</w:t>
      </w:r>
    </w:p>
    <w:p w14:paraId="61E9DAF1">
      <w:pPr>
        <w:pStyle w:val="13"/>
        <w:tabs>
          <w:tab w:val="left" w:pos="709"/>
        </w:tabs>
        <w:spacing w:line="360" w:lineRule="auto"/>
        <w:ind w:firstLine="480"/>
        <w:rPr>
          <w:rFonts w:hint="eastAsia" w:ascii="宋体" w:hAnsi="宋体" w:eastAsia="宋体" w:cs="宋体"/>
          <w:color w:val="000000"/>
          <w:sz w:val="21"/>
          <w:szCs w:val="21"/>
        </w:rPr>
      </w:pPr>
      <w:r>
        <w:rPr>
          <w:rFonts w:hint="eastAsia" w:ascii="宋体" w:hAnsi="宋体" w:cs="宋体"/>
          <w:color w:val="000000"/>
          <w:sz w:val="21"/>
          <w:szCs w:val="21"/>
          <w:lang w:val="en-US" w:eastAsia="zh-CN"/>
        </w:rPr>
        <w:t>级配碎石包件付款模式：</w:t>
      </w:r>
      <w:r>
        <w:rPr>
          <w:rFonts w:hint="eastAsia" w:ascii="宋体" w:hAnsi="宋体" w:cs="宋体"/>
          <w:color w:val="000000"/>
          <w:sz w:val="21"/>
          <w:szCs w:val="21"/>
        </w:rPr>
        <w:t>合同“买方”在结算当月扣除该批物资价值5%的质量保证金，在结算后第四个月20日前支付该批物资75%的价款，剩余的20%在第五个月20日前支付,质保金在质保期满后支付。（“买方有权采用银行转账、信用证或供应链金融（包括但不限于商业</w:t>
      </w:r>
      <w:r>
        <w:rPr>
          <w:rFonts w:hint="eastAsia" w:ascii="宋体" w:hAnsi="宋体" w:eastAsia="宋体" w:cs="宋体"/>
          <w:color w:val="000000"/>
          <w:sz w:val="21"/>
          <w:szCs w:val="21"/>
        </w:rPr>
        <w:t>承兑汇票、银行承兑汇票、建行E信通、航信、中铁E信）等形式付款。”）</w:t>
      </w:r>
    </w:p>
    <w:p w14:paraId="7EA93B9B">
      <w:pPr>
        <w:pStyle w:val="13"/>
        <w:tabs>
          <w:tab w:val="left" w:pos="709"/>
        </w:tabs>
        <w:spacing w:line="360" w:lineRule="auto"/>
        <w:ind w:firstLine="480"/>
        <w:rPr>
          <w:rFonts w:hint="eastAsia" w:ascii="宋体" w:hAnsi="宋体" w:cs="宋体"/>
          <w:color w:val="000000"/>
          <w:sz w:val="21"/>
          <w:szCs w:val="21"/>
        </w:rPr>
      </w:pPr>
      <w:r>
        <w:rPr>
          <w:rFonts w:hint="eastAsia" w:ascii="宋体" w:hAnsi="宋体" w:cs="宋体"/>
          <w:color w:val="000000"/>
          <w:sz w:val="21"/>
          <w:szCs w:val="21"/>
        </w:rPr>
        <w:t>运费计算方式：一票制结算，乙方开具税率为13%的增值税专用发票。</w:t>
      </w:r>
    </w:p>
    <w:p w14:paraId="5E75FF26">
      <w:pPr>
        <w:pStyle w:val="13"/>
        <w:tabs>
          <w:tab w:val="left" w:pos="709"/>
        </w:tabs>
        <w:spacing w:line="360" w:lineRule="auto"/>
        <w:ind w:firstLine="480"/>
        <w:rPr>
          <w:rFonts w:ascii="仿宋_GB2312" w:hAnsi="仿宋_GB2312" w:eastAsia="仿宋_GB2312" w:cs="仿宋_GB2312"/>
          <w:b/>
          <w:sz w:val="28"/>
          <w:szCs w:val="28"/>
        </w:rPr>
      </w:pPr>
      <w:r>
        <w:rPr>
          <w:rFonts w:hint="eastAsia" w:ascii="宋体" w:hAnsi="宋体" w:cs="宋体"/>
          <w:color w:val="000000"/>
          <w:sz w:val="21"/>
          <w:szCs w:val="21"/>
        </w:rPr>
        <w:t>备注：上述结算方式中结算单价、网价及综合费均为含税价。</w:t>
      </w:r>
      <w:r>
        <w:rPr>
          <w:rFonts w:hint="eastAsia" w:ascii="宋体" w:hAnsi="宋体" w:eastAsia="宋体" w:cs="宋体"/>
          <w:color w:val="000000"/>
          <w:sz w:val="21"/>
          <w:szCs w:val="21"/>
          <w:lang w:val="en-US" w:eastAsia="zh-CN"/>
        </w:rPr>
        <w:tab/>
      </w:r>
    </w:p>
    <w:p w14:paraId="614163B0">
      <w:pPr>
        <w:spacing w:line="360" w:lineRule="auto"/>
        <w:rPr>
          <w:rFonts w:hint="eastAsia" w:ascii="宋体" w:hAnsi="宋体" w:cs="Arial"/>
          <w:color w:val="000000"/>
          <w:szCs w:val="21"/>
        </w:rPr>
      </w:pPr>
    </w:p>
    <w:p w14:paraId="2121F86F">
      <w:pPr>
        <w:pStyle w:val="2"/>
        <w:rPr>
          <w:rFonts w:hint="eastAsia" w:ascii="宋体" w:hAnsi="宋体" w:cs="Arial"/>
          <w:color w:val="000000"/>
          <w:szCs w:val="21"/>
        </w:rPr>
      </w:pPr>
    </w:p>
    <w:p w14:paraId="147BBA8F">
      <w:pPr>
        <w:rPr>
          <w:rFonts w:hint="eastAsia" w:ascii="宋体" w:hAnsi="宋体" w:cs="Arial"/>
          <w:color w:val="000000"/>
          <w:szCs w:val="21"/>
        </w:rPr>
      </w:pPr>
    </w:p>
    <w:p w14:paraId="65D43DEE">
      <w:pPr>
        <w:pStyle w:val="2"/>
        <w:rPr>
          <w:rFonts w:hint="eastAsia" w:ascii="宋体" w:hAnsi="宋体" w:cs="Arial"/>
          <w:color w:val="000000"/>
          <w:szCs w:val="21"/>
        </w:rPr>
      </w:pPr>
    </w:p>
    <w:p w14:paraId="06C665F8">
      <w:pPr>
        <w:rPr>
          <w:rFonts w:hint="eastAsia" w:ascii="宋体" w:hAnsi="宋体" w:cs="Arial"/>
          <w:color w:val="000000"/>
          <w:szCs w:val="21"/>
        </w:rPr>
      </w:pPr>
    </w:p>
    <w:p w14:paraId="72E3E5F5">
      <w:pPr>
        <w:pStyle w:val="2"/>
        <w:rPr>
          <w:rFonts w:hint="eastAsia" w:ascii="宋体" w:hAnsi="宋体" w:cs="Arial"/>
          <w:color w:val="000000"/>
          <w:szCs w:val="21"/>
        </w:rPr>
      </w:pPr>
    </w:p>
    <w:p w14:paraId="4E2067D1">
      <w:pPr>
        <w:rPr>
          <w:rFonts w:hint="eastAsia" w:ascii="宋体" w:hAnsi="宋体" w:cs="Arial"/>
          <w:color w:val="000000"/>
          <w:szCs w:val="21"/>
        </w:rPr>
      </w:pPr>
    </w:p>
    <w:p w14:paraId="0B3D4F02">
      <w:pPr>
        <w:pStyle w:val="2"/>
        <w:rPr>
          <w:rFonts w:hint="eastAsia" w:ascii="宋体" w:hAnsi="宋体" w:cs="Arial"/>
          <w:color w:val="000000"/>
          <w:szCs w:val="21"/>
        </w:rPr>
      </w:pPr>
    </w:p>
    <w:p w14:paraId="2A100031">
      <w:pPr>
        <w:rPr>
          <w:rFonts w:hint="eastAsia" w:ascii="宋体" w:hAnsi="宋体" w:cs="Arial"/>
          <w:color w:val="000000"/>
          <w:szCs w:val="21"/>
        </w:rPr>
      </w:pPr>
    </w:p>
    <w:p w14:paraId="2B067367">
      <w:pPr>
        <w:pStyle w:val="2"/>
        <w:rPr>
          <w:rFonts w:hint="eastAsia" w:ascii="宋体" w:hAnsi="宋体" w:cs="Arial"/>
          <w:color w:val="000000"/>
          <w:szCs w:val="21"/>
        </w:rPr>
      </w:pPr>
    </w:p>
    <w:p w14:paraId="62A6EC15">
      <w:pPr>
        <w:rPr>
          <w:rFonts w:hint="eastAsia" w:ascii="宋体" w:hAnsi="宋体" w:cs="Arial"/>
          <w:color w:val="000000"/>
          <w:szCs w:val="21"/>
        </w:rPr>
      </w:pPr>
    </w:p>
    <w:p w14:paraId="3F4647B6">
      <w:pPr>
        <w:pStyle w:val="2"/>
        <w:rPr>
          <w:rFonts w:hint="eastAsia" w:ascii="宋体" w:hAnsi="宋体" w:cs="Arial"/>
          <w:color w:val="000000"/>
          <w:szCs w:val="21"/>
        </w:rPr>
      </w:pPr>
    </w:p>
    <w:p w14:paraId="7DF98685">
      <w:pPr>
        <w:rPr>
          <w:rFonts w:hint="eastAsia" w:ascii="宋体" w:hAnsi="宋体" w:cs="Arial"/>
          <w:color w:val="000000"/>
          <w:szCs w:val="21"/>
        </w:rPr>
      </w:pPr>
    </w:p>
    <w:p w14:paraId="31E80536">
      <w:pPr>
        <w:outlineLvl w:val="1"/>
        <w:rPr>
          <w:rFonts w:hint="eastAsia" w:ascii="宋体" w:hAnsi="宋体"/>
          <w:sz w:val="28"/>
          <w:szCs w:val="28"/>
        </w:rPr>
      </w:pPr>
    </w:p>
    <w:p w14:paraId="28A2BC22">
      <w:pPr>
        <w:outlineLvl w:val="1"/>
        <w:rPr>
          <w:rFonts w:hint="eastAsia" w:ascii="宋体" w:hAnsi="宋体"/>
          <w:sz w:val="28"/>
          <w:szCs w:val="28"/>
        </w:rPr>
      </w:pPr>
    </w:p>
    <w:p w14:paraId="003B23B7">
      <w:pPr>
        <w:outlineLvl w:val="1"/>
        <w:rPr>
          <w:rFonts w:ascii="宋体" w:hAnsi="宋体"/>
          <w:sz w:val="28"/>
          <w:szCs w:val="28"/>
        </w:rPr>
      </w:pPr>
      <w:r>
        <w:rPr>
          <w:rFonts w:hint="eastAsia" w:ascii="宋体" w:hAnsi="宋体"/>
          <w:sz w:val="28"/>
          <w:szCs w:val="28"/>
        </w:rPr>
        <w:t>附件</w:t>
      </w:r>
      <w:bookmarkEnd w:id="28"/>
      <w:bookmarkEnd w:id="29"/>
      <w:bookmarkEnd w:id="30"/>
      <w:bookmarkEnd w:id="31"/>
      <w:bookmarkEnd w:id="32"/>
      <w:bookmarkStart w:id="35" w:name="_Toc434398107"/>
      <w:bookmarkStart w:id="36" w:name="_Toc453423265"/>
      <w:bookmarkStart w:id="37" w:name="_Toc387225471"/>
      <w:bookmarkStart w:id="38" w:name="_Toc435111035"/>
      <w:r>
        <w:rPr>
          <w:rFonts w:hint="eastAsia" w:ascii="宋体" w:hAnsi="宋体"/>
          <w:sz w:val="28"/>
          <w:szCs w:val="28"/>
        </w:rPr>
        <w:t>七</w:t>
      </w:r>
      <w:bookmarkEnd w:id="33"/>
    </w:p>
    <w:p w14:paraId="23DE0BDA">
      <w:pPr>
        <w:bidi w:val="0"/>
        <w:jc w:val="center"/>
        <w:rPr>
          <w:rFonts w:hint="eastAsia"/>
          <w:sz w:val="36"/>
          <w:szCs w:val="44"/>
          <w:lang w:val="en-US" w:eastAsia="zh-CN"/>
        </w:rPr>
      </w:pPr>
      <w:bookmarkStart w:id="39" w:name="_Toc132116571"/>
      <w:bookmarkStart w:id="40" w:name="_Toc132117171"/>
      <w:r>
        <w:rPr>
          <w:rFonts w:hint="eastAsia"/>
          <w:sz w:val="36"/>
          <w:szCs w:val="44"/>
          <w:lang w:val="en-US" w:eastAsia="zh-CN"/>
        </w:rPr>
        <w:t>物资技术规格书</w:t>
      </w:r>
      <w:bookmarkEnd w:id="39"/>
      <w:bookmarkEnd w:id="40"/>
    </w:p>
    <w:bookmarkEnd w:id="34"/>
    <w:bookmarkEnd w:id="35"/>
    <w:bookmarkEnd w:id="36"/>
    <w:bookmarkEnd w:id="37"/>
    <w:bookmarkEnd w:id="38"/>
    <w:p w14:paraId="23E871BE">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val="en-US" w:eastAsia="zh-CN"/>
        </w:rPr>
        <w:t>冷轧带肋焊接网</w:t>
      </w:r>
      <w:r>
        <w:rPr>
          <w:rFonts w:hint="eastAsia" w:ascii="宋体" w:hAnsi="宋体" w:eastAsia="宋体" w:cs="宋体"/>
          <w:sz w:val="24"/>
          <w:szCs w:val="24"/>
        </w:rPr>
        <w:t>要求</w:t>
      </w:r>
    </w:p>
    <w:p w14:paraId="0D875A5E">
      <w:pPr>
        <w:tabs>
          <w:tab w:val="left" w:pos="2996"/>
        </w:tabs>
        <w:snapToGrid w:val="0"/>
        <w:spacing w:line="440" w:lineRule="exact"/>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防裂钢筋网片采用ΦR9mm的冷轧带肋焊接网,钢筋焊接网应符合《钢筋混凝土用钢筋焊接网》(GB/T1499.3-2002)及《钢筋焊接网混凝土结构技术规程(JGJ114-2014)规定</w:t>
      </w:r>
      <w:r>
        <w:rPr>
          <w:rFonts w:hint="eastAsia" w:ascii="宋体" w:hAnsi="宋体" w:eastAsia="宋体" w:cs="宋体"/>
          <w:sz w:val="24"/>
          <w:szCs w:val="24"/>
          <w:lang w:eastAsia="zh-CN"/>
        </w:rPr>
        <w:t>。</w:t>
      </w:r>
    </w:p>
    <w:p w14:paraId="72818F09">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（二）投标人应提供的技术资料</w:t>
      </w:r>
    </w:p>
    <w:p w14:paraId="3E2734DA">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生产和检验招标物资所执行的技术标准号。</w:t>
      </w:r>
    </w:p>
    <w:p w14:paraId="1A2D041B">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投标物资的质量符合招标文件规定的技术标准及其引用标准的检测对比证明：质量检测证明文件满足招标公告投标人资格质量保证能力中相关要求。</w:t>
      </w:r>
    </w:p>
    <w:p w14:paraId="26FE3FC2">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生产和检验招标物资的主要设备状况详细描述表（包括设备名称和品种型号、机械状况、年产能力、剩余产能等）。</w:t>
      </w:r>
    </w:p>
    <w:p w14:paraId="017EC5D9">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（三）合同交货计划</w:t>
      </w:r>
    </w:p>
    <w:p w14:paraId="06FB6211">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合同交货期参考《物资需求一览表》，详细交货计划和具体供货时间由买方签约时提供。</w:t>
      </w:r>
    </w:p>
    <w:p w14:paraId="51021C96">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（四）投标物资详细的运输和供应方案</w:t>
      </w:r>
    </w:p>
    <w:p w14:paraId="7A117F60">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投标人交付的物资应分别按照合同要求交至指定的到货地点。</w:t>
      </w:r>
    </w:p>
    <w:p w14:paraId="5E474140">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投标人应充分考虑和了解施工地点的地理位置和运输条件，采用合适有效的运输和货物交付方式，制定保证工程所需物资按时、按量、保质供应的具体措施。</w:t>
      </w:r>
    </w:p>
    <w:p w14:paraId="7ADE8E0B">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（五）卸货及卸货费由</w:t>
      </w:r>
      <w:r>
        <w:rPr>
          <w:rFonts w:hint="eastAsia" w:ascii="宋体" w:hAnsi="宋体" w:eastAsia="宋体" w:cs="宋体"/>
          <w:sz w:val="24"/>
          <w:szCs w:val="24"/>
          <w:lang w:val="en-US" w:eastAsia="zh-CN"/>
        </w:rPr>
        <w:t>甲</w:t>
      </w:r>
      <w:r>
        <w:rPr>
          <w:rFonts w:hint="eastAsia" w:ascii="宋体" w:hAnsi="宋体" w:eastAsia="宋体" w:cs="宋体"/>
          <w:sz w:val="24"/>
          <w:szCs w:val="24"/>
        </w:rPr>
        <w:t>方承担</w:t>
      </w:r>
    </w:p>
    <w:p w14:paraId="58ABC020">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六</w:t>
      </w:r>
      <w:r>
        <w:rPr>
          <w:rFonts w:hint="eastAsia" w:ascii="宋体" w:hAnsi="宋体" w:eastAsia="宋体" w:cs="宋体"/>
          <w:sz w:val="24"/>
          <w:szCs w:val="24"/>
        </w:rPr>
        <w:t>）验收要求</w:t>
      </w:r>
    </w:p>
    <w:p w14:paraId="7FC583E0">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卖方应随同每批物资发运附一份发货物资清单、出厂质量检验合格证书及有关部门的质检合格证明等必要文件。</w:t>
      </w:r>
    </w:p>
    <w:p w14:paraId="79E68D0D">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物资运抵交货地点后，卖方及买方或买方指定的单位应按卖方提供的发货物资清单对到货数量、外 观、规格型号、合格证、质量证明书等进行核对查验。验收依据按照技术规格书约定方式进行，并由买方收货人抽样复测，质量验收以质量证明书为依据，但质量证明书的出具并不表明产品符合质量要求，也不免除卖方交付货物不符合约定和法定质量要求应承担的任何责任。</w:t>
      </w:r>
    </w:p>
    <w:p w14:paraId="442B0456">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买方抽样复测以买方监理部门认可的试验室检测结果为准，卖方对检验结果有异议的，以买卖双方认可或共同选择的省级及以上质量检测部门检测结果为准。如果任何被检测或测试的物资不能满足技术规格的要求，买方可以拒绝接受该物资。卖方应更换被拒绝的物资，并承担该部分检验费用以及因此造成延迟交货给买方造成的损失及承担延迟交货的违约责任。</w:t>
      </w:r>
    </w:p>
    <w:p w14:paraId="48AE19CD">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高线、盘螺数量验收以施工现场实际过磅为准，</w:t>
      </w:r>
      <w:r>
        <w:rPr>
          <w:rFonts w:hint="eastAsia" w:ascii="宋体" w:hAnsi="宋体" w:eastAsia="宋体" w:cs="宋体"/>
          <w:sz w:val="24"/>
          <w:szCs w:val="24"/>
          <w:lang w:val="en-US" w:eastAsia="zh-CN"/>
        </w:rPr>
        <w:t>带肋钢筋、直条圆钢以理计为准，</w:t>
      </w:r>
      <w:r>
        <w:rPr>
          <w:rFonts w:hint="eastAsia" w:ascii="宋体" w:hAnsi="宋体" w:eastAsia="宋体" w:cs="宋体"/>
          <w:sz w:val="24"/>
          <w:szCs w:val="24"/>
        </w:rPr>
        <w:t>若</w:t>
      </w:r>
      <w:r>
        <w:rPr>
          <w:rFonts w:hint="eastAsia" w:ascii="宋体" w:hAnsi="宋体" w:eastAsia="宋体" w:cs="宋体"/>
          <w:sz w:val="24"/>
          <w:szCs w:val="24"/>
          <w:lang w:val="en-US" w:eastAsia="zh-CN"/>
        </w:rPr>
        <w:t>买</w:t>
      </w:r>
      <w:r>
        <w:rPr>
          <w:rFonts w:hint="eastAsia" w:ascii="宋体" w:hAnsi="宋体" w:eastAsia="宋体" w:cs="宋体"/>
          <w:sz w:val="24"/>
          <w:szCs w:val="24"/>
        </w:rPr>
        <w:t>卖</w:t>
      </w:r>
      <w:r>
        <w:rPr>
          <w:rFonts w:hint="eastAsia" w:ascii="宋体" w:hAnsi="宋体" w:eastAsia="宋体" w:cs="宋体"/>
          <w:sz w:val="24"/>
          <w:szCs w:val="24"/>
          <w:lang w:val="en-US" w:eastAsia="zh-CN"/>
        </w:rPr>
        <w:t>双</w:t>
      </w:r>
      <w:r>
        <w:rPr>
          <w:rFonts w:hint="eastAsia" w:ascii="宋体" w:hAnsi="宋体" w:eastAsia="宋体" w:cs="宋体"/>
          <w:sz w:val="24"/>
          <w:szCs w:val="24"/>
        </w:rPr>
        <w:t>方对数量有异议时，由买卖双方共同选择第三方进行复磅（复磅应选择地方政府技术监督部门检验合格且距离施工现场较近的电子地磅进行），复磅数量与施工现场实际过磅数量之差若不超过±3‰范围，以施工现场实际过磅为准，复磅发生的费用由提出异议方负责；若超出±3‰范围，则以复磅数量为准，复磅发生的费用由卖方负责。</w:t>
      </w:r>
    </w:p>
    <w:p w14:paraId="4E35A360">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七</w:t>
      </w:r>
      <w:r>
        <w:rPr>
          <w:rFonts w:hint="eastAsia" w:ascii="宋体" w:hAnsi="宋体" w:eastAsia="宋体" w:cs="宋体"/>
          <w:sz w:val="24"/>
          <w:szCs w:val="24"/>
        </w:rPr>
        <w:t>）质量保证期</w:t>
      </w:r>
    </w:p>
    <w:p w14:paraId="34BDBD15">
      <w:pPr>
        <w:tabs>
          <w:tab w:val="left" w:pos="2996"/>
        </w:tabs>
        <w:snapToGrid w:val="0"/>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自物资交货验收合格之日起6个月。</w:t>
      </w:r>
    </w:p>
    <w:p w14:paraId="340B4A17">
      <w:pPr>
        <w:tabs>
          <w:tab w:val="left" w:pos="4888"/>
        </w:tabs>
        <w:wordWrap w:val="0"/>
        <w:spacing w:line="400" w:lineRule="exact"/>
        <w:ind w:right="560" w:firstLine="420" w:firstLineChars="200"/>
        <w:rPr>
          <w:rFonts w:hint="eastAsia" w:ascii="宋体" w:hAnsi="宋体" w:cs="宋体"/>
          <w:sz w:val="21"/>
          <w:szCs w:val="21"/>
        </w:rPr>
      </w:pPr>
    </w:p>
    <w:p w14:paraId="5FA0D125">
      <w:pPr>
        <w:pStyle w:val="3"/>
        <w:rPr>
          <w:rFonts w:hint="eastAsia"/>
        </w:rPr>
      </w:pPr>
    </w:p>
    <w:p w14:paraId="5D2E2F9D">
      <w:pPr>
        <w:pStyle w:val="14"/>
        <w:keepNext w:val="0"/>
        <w:keepLines w:val="0"/>
        <w:pageBreakBefore w:val="0"/>
        <w:kinsoku/>
        <w:wordWrap/>
        <w:overflowPunct/>
        <w:topLinePunct w:val="0"/>
        <w:bidi w:val="0"/>
        <w:adjustRightInd/>
        <w:snapToGrid/>
        <w:spacing w:line="360" w:lineRule="auto"/>
        <w:textAlignment w:val="auto"/>
        <w:rPr>
          <w:rFonts w:hint="eastAsia" w:ascii="宋体" w:hAnsi="宋体"/>
          <w:b/>
          <w:sz w:val="28"/>
        </w:rPr>
      </w:pPr>
    </w:p>
    <w:p w14:paraId="3BBE19C3">
      <w:pPr>
        <w:pStyle w:val="14"/>
        <w:keepNext w:val="0"/>
        <w:keepLines w:val="0"/>
        <w:pageBreakBefore w:val="0"/>
        <w:kinsoku/>
        <w:wordWrap/>
        <w:overflowPunct/>
        <w:topLinePunct w:val="0"/>
        <w:bidi w:val="0"/>
        <w:adjustRightInd/>
        <w:snapToGrid/>
        <w:spacing w:line="360" w:lineRule="auto"/>
        <w:jc w:val="both"/>
        <w:textAlignment w:val="auto"/>
        <w:rPr>
          <w:rFonts w:hint="eastAsia" w:ascii="宋体" w:hAnsi="宋体"/>
          <w:b/>
          <w:sz w:val="28"/>
        </w:rPr>
      </w:pPr>
    </w:p>
    <w:p w14:paraId="304D415A">
      <w:pPr>
        <w:pStyle w:val="14"/>
        <w:keepNext w:val="0"/>
        <w:keepLines w:val="0"/>
        <w:pageBreakBefore w:val="0"/>
        <w:kinsoku/>
        <w:wordWrap/>
        <w:overflowPunct/>
        <w:topLinePunct w:val="0"/>
        <w:bidi w:val="0"/>
        <w:adjustRightInd/>
        <w:snapToGrid/>
        <w:spacing w:line="360" w:lineRule="auto"/>
        <w:ind w:firstLine="420" w:firstLineChars="0"/>
        <w:textAlignment w:val="auto"/>
        <w:rPr>
          <w:rFonts w:hint="eastAsia" w:ascii="宋体" w:hAnsi="宋体"/>
          <w:b/>
          <w:sz w:val="28"/>
        </w:rPr>
      </w:pPr>
    </w:p>
    <w:p w14:paraId="5910E034">
      <w:pPr>
        <w:keepNext w:val="0"/>
        <w:keepLines w:val="0"/>
        <w:pageBreakBefore w:val="0"/>
        <w:kinsoku/>
        <w:wordWrap/>
        <w:overflowPunct/>
        <w:topLinePunct w:val="0"/>
        <w:autoSpaceDE/>
        <w:autoSpaceDN/>
        <w:bidi w:val="0"/>
        <w:adjustRightInd/>
        <w:spacing w:line="360" w:lineRule="auto"/>
        <w:textAlignment w:val="auto"/>
        <w:rPr>
          <w:color w:val="000000"/>
        </w:rPr>
      </w:pPr>
    </w:p>
    <w:p w14:paraId="6DF1A667">
      <w:pPr>
        <w:spacing w:line="390" w:lineRule="exact"/>
        <w:jc w:val="center"/>
        <w:rPr>
          <w:rFonts w:hint="eastAsia" w:ascii="宋体" w:hAnsi="宋体" w:cs="宋体"/>
          <w:b/>
          <w:sz w:val="32"/>
          <w:szCs w:val="32"/>
        </w:rPr>
      </w:pPr>
    </w:p>
    <w:p w14:paraId="77BD4E4C">
      <w:pPr>
        <w:pStyle w:val="4"/>
        <w:rPr>
          <w:rFonts w:hint="eastAsia" w:ascii="宋体" w:hAnsi="宋体"/>
          <w:b/>
          <w:sz w:val="28"/>
        </w:rPr>
      </w:pPr>
      <w:r>
        <w:rPr>
          <w:rFonts w:hint="eastAsia" w:ascii="仿宋_GB2312" w:hAnsi="仿宋_GB2312" w:eastAsia="仿宋_GB2312" w:cs="仿宋_GB2312"/>
          <w:b/>
          <w:sz w:val="28"/>
          <w:szCs w:val="28"/>
        </w:rPr>
        <w:t>附件五</w:t>
      </w:r>
    </w:p>
    <w:p w14:paraId="251A6AEE">
      <w:pPr>
        <w:pStyle w:val="14"/>
        <w:keepNext w:val="0"/>
        <w:keepLines w:val="0"/>
        <w:pageBreakBefore w:val="0"/>
        <w:kinsoku/>
        <w:wordWrap/>
        <w:overflowPunct/>
        <w:topLinePunct w:val="0"/>
        <w:bidi w:val="0"/>
        <w:adjustRightInd/>
        <w:snapToGrid/>
        <w:spacing w:line="360" w:lineRule="auto"/>
        <w:textAlignment w:val="auto"/>
        <w:rPr>
          <w:rFonts w:hint="eastAsia"/>
          <w:b w:val="0"/>
          <w:sz w:val="28"/>
          <w:szCs w:val="28"/>
        </w:rPr>
      </w:pPr>
      <w:r>
        <w:rPr>
          <w:rFonts w:hint="eastAsia" w:ascii="宋体" w:hAnsi="宋体"/>
          <w:b/>
          <w:sz w:val="28"/>
        </w:rPr>
        <w:t>技术规格</w:t>
      </w:r>
      <w:r>
        <w:rPr>
          <w:rFonts w:hint="eastAsia" w:ascii="宋体" w:hAnsi="宋体" w:cs="Times New Roman"/>
          <w:b/>
          <w:sz w:val="28"/>
        </w:rPr>
        <w:t>书（</w:t>
      </w:r>
      <w:r>
        <w:rPr>
          <w:rFonts w:hint="eastAsia" w:hAnsi="宋体" w:cs="Times New Roman"/>
          <w:b/>
          <w:sz w:val="28"/>
          <w:lang w:val="en-US" w:eastAsia="zh-CN"/>
        </w:rPr>
        <w:t>SS</w:t>
      </w:r>
      <w:r>
        <w:rPr>
          <w:rFonts w:hint="eastAsia" w:ascii="宋体" w:hAnsi="宋体" w:cs="Times New Roman"/>
          <w:b/>
          <w:sz w:val="28"/>
        </w:rPr>
        <w:t>-1）</w:t>
      </w:r>
    </w:p>
    <w:p w14:paraId="2C4ECF92">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（一）、碎石要求</w:t>
      </w:r>
    </w:p>
    <w:p w14:paraId="0DC42F14">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1 碎石原材料可由开山块石、天然卵石或砂砾石在填料制备场经破碎、筛分而成,也可按要求使用不同规格的碎石。</w:t>
      </w:r>
    </w:p>
    <w:p w14:paraId="08A64BED">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2 粒径大于1.7mm颗粒的洛杉矶磨耗率不应大于30%,硫酸钠溶液浸泡损失率不应大于6%。</w:t>
      </w:r>
    </w:p>
    <w:p w14:paraId="255EADEB">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3 粒径小于0.5mm的细颗粒的液限不应大于25%,塑性指数应小于6。</w:t>
      </w:r>
    </w:p>
    <w:p w14:paraId="648BB806">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基床表层级配碎石的种类、质量应符合设计要求。</w:t>
      </w:r>
    </w:p>
    <w:p w14:paraId="0A1DEAED">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I型级配碎石和Ⅱ型级配碎石的配制应符合设计及下列规定:</w:t>
      </w:r>
    </w:p>
    <w:p w14:paraId="7992522C">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1 I型级配碎石和Ⅱ型级配碎石的粒径级配应符合表4.4.4 的规定。</w:t>
      </w:r>
    </w:p>
    <w:p w14:paraId="7B3DCAFF">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2 级配碎石级配曲线应满足不均匀系数Cu不小于15,曲率系数Cu为1～3的要求。级配曲线应接近圆滑,某种尺寸的颗粒不应过多或过少。</w:t>
      </w:r>
    </w:p>
    <w:p w14:paraId="006AD4B7">
      <w:pPr>
        <w:keepNext w:val="0"/>
        <w:keepLines w:val="0"/>
        <w:pageBreakBefore w:val="0"/>
        <w:widowControl w:val="0"/>
        <w:tabs>
          <w:tab w:val="left" w:pos="2996"/>
        </w:tabs>
        <w:kinsoku/>
        <w:wordWrap/>
        <w:overflowPunct/>
        <w:topLinePunct w:val="0"/>
        <w:autoSpaceDE/>
        <w:autoSpaceDN/>
        <w:bidi w:val="0"/>
        <w:adjustRightInd/>
        <w:snapToGrid w:val="0"/>
        <w:spacing w:line="240" w:lineRule="auto"/>
        <w:jc w:val="left"/>
        <w:textAlignment w:val="auto"/>
        <w:rPr>
          <w:rFonts w:hint="eastAsia" w:ascii="宋体" w:hAnsi="宋体" w:cs="宋体"/>
          <w:sz w:val="24"/>
          <w:szCs w:val="24"/>
        </w:rPr>
      </w:pPr>
      <w:r>
        <w:rPr>
          <w:rFonts w:hint="eastAsia" w:ascii="宋体" w:hAnsi="宋体" w:cs="宋体"/>
          <w:sz w:val="24"/>
          <w:szCs w:val="24"/>
        </w:rPr>
        <w:drawing>
          <wp:inline distT="0" distB="0" distL="114300" distR="114300">
            <wp:extent cx="5864225" cy="1759585"/>
            <wp:effectExtent l="0" t="0" r="3175" b="57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5864225" cy="1759585"/>
                    </a:xfrm>
                    <a:prstGeom prst="rect">
                      <a:avLst/>
                    </a:prstGeom>
                    <a:noFill/>
                    <a:ln>
                      <a:noFill/>
                    </a:ln>
                  </pic:spPr>
                </pic:pic>
              </a:graphicData>
            </a:graphic>
          </wp:inline>
        </w:drawing>
      </w:r>
    </w:p>
    <w:p w14:paraId="17BDF0A0">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3 I型级配碎石0.02mm以下粒径质量百分率不应大于3%。Ⅱ型级配碎石细粒含量不得大于3%,压实后的细粒含量不得大于5%。</w:t>
      </w:r>
    </w:p>
    <w:p w14:paraId="551FBAE5">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4 颗粒中细长及扁平颗粒含量不应超过20%,压碎指标应小于16。</w:t>
      </w:r>
    </w:p>
    <w:p w14:paraId="4D4C408D">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5黏土团及有机物含量不应超过2%:</w:t>
      </w:r>
    </w:p>
    <w:p w14:paraId="52061422">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基床表层以下过渡段级配碎石应符合设计及下列规定:</w:t>
      </w:r>
    </w:p>
    <w:p w14:paraId="562B50FA">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1碎石颗粒中针状和片状碎石含量不应超过 20%。</w:t>
      </w:r>
    </w:p>
    <w:p w14:paraId="5CA97FA5">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2质软、易破碎的碎石含量不应超过 10%。</w:t>
      </w:r>
    </w:p>
    <w:p w14:paraId="17092D4C">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3黏土团及有机物含量不应超过2%。</w:t>
      </w:r>
    </w:p>
    <w:p w14:paraId="7C082613">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4级配碎石的级配范围应符合表 4.4.5的要求。</w:t>
      </w:r>
    </w:p>
    <w:p w14:paraId="2E29B143">
      <w:pPr>
        <w:tabs>
          <w:tab w:val="left" w:pos="2996"/>
        </w:tabs>
        <w:snapToGrid w:val="0"/>
        <w:spacing w:line="440" w:lineRule="exact"/>
        <w:ind w:firstLine="480" w:firstLineChars="200"/>
        <w:jc w:val="left"/>
        <w:rPr>
          <w:rFonts w:hint="eastAsia" w:ascii="宋体" w:hAnsi="宋体" w:cs="宋体"/>
          <w:sz w:val="24"/>
          <w:szCs w:val="24"/>
        </w:rPr>
      </w:pPr>
    </w:p>
    <w:p w14:paraId="25E7039E">
      <w:pPr>
        <w:keepNext w:val="0"/>
        <w:keepLines w:val="0"/>
        <w:pageBreakBefore w:val="0"/>
        <w:widowControl w:val="0"/>
        <w:tabs>
          <w:tab w:val="left" w:pos="2996"/>
        </w:tabs>
        <w:kinsoku/>
        <w:wordWrap/>
        <w:overflowPunct/>
        <w:topLinePunct w:val="0"/>
        <w:autoSpaceDE/>
        <w:autoSpaceDN/>
        <w:bidi w:val="0"/>
        <w:adjustRightInd/>
        <w:snapToGrid w:val="0"/>
        <w:spacing w:line="240" w:lineRule="auto"/>
        <w:jc w:val="left"/>
        <w:textAlignment w:val="auto"/>
        <w:rPr>
          <w:rFonts w:hint="eastAsia" w:ascii="宋体" w:hAnsi="宋体" w:cs="宋体"/>
          <w:sz w:val="24"/>
          <w:szCs w:val="24"/>
        </w:rPr>
      </w:pPr>
      <w:r>
        <w:rPr>
          <w:rFonts w:hint="eastAsia" w:ascii="宋体" w:hAnsi="宋体" w:cs="宋体"/>
          <w:sz w:val="24"/>
          <w:szCs w:val="24"/>
        </w:rPr>
        <w:drawing>
          <wp:inline distT="0" distB="0" distL="114300" distR="114300">
            <wp:extent cx="5864225" cy="1910715"/>
            <wp:effectExtent l="0" t="0" r="3175" b="698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2"/>
                    <a:stretch>
                      <a:fillRect/>
                    </a:stretch>
                  </pic:blipFill>
                  <pic:spPr>
                    <a:xfrm>
                      <a:off x="0" y="0"/>
                      <a:ext cx="5864225" cy="1910715"/>
                    </a:xfrm>
                    <a:prstGeom prst="rect">
                      <a:avLst/>
                    </a:prstGeom>
                    <a:noFill/>
                    <a:ln>
                      <a:noFill/>
                    </a:ln>
                  </pic:spPr>
                </pic:pic>
              </a:graphicData>
            </a:graphic>
          </wp:inline>
        </w:drawing>
      </w:r>
    </w:p>
    <w:p w14:paraId="14BF0801">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二</w:t>
      </w:r>
      <w:r>
        <w:rPr>
          <w:rFonts w:hint="eastAsia" w:ascii="宋体" w:hAnsi="宋体" w:cs="宋体"/>
          <w:sz w:val="24"/>
          <w:szCs w:val="24"/>
        </w:rPr>
        <w:t>)采用下列计量方式：</w:t>
      </w:r>
    </w:p>
    <w:p w14:paraId="2AAD33E0">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采用过磅计量方式，在甲方指定地点过磅。</w:t>
      </w:r>
    </w:p>
    <w:p w14:paraId="6C17F9A6">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三</w:t>
      </w:r>
      <w:r>
        <w:rPr>
          <w:rFonts w:hint="eastAsia" w:ascii="宋体" w:hAnsi="宋体" w:cs="宋体"/>
          <w:sz w:val="24"/>
          <w:szCs w:val="24"/>
        </w:rPr>
        <w:t>）卸货及卸货费由乙方承担</w:t>
      </w:r>
    </w:p>
    <w:p w14:paraId="2647EBE2">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（四）验收方式：每批次级碎石全部或部分抽样验收方式。</w:t>
      </w:r>
    </w:p>
    <w:p w14:paraId="5B53B624">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（五）验收要求</w:t>
      </w:r>
    </w:p>
    <w:p w14:paraId="6B02E8E3">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物资运抵交货地点后，卖方及买方或买方指定的单位应按卖方提供的发货物资清单对到货数量、外 观、规格型号、合格证、质量证明书等进行核对查验。验收依据按照技术规格书约定方式进行，并由买方 收货人抽样复测，质量验收以质量证明书为依据，但质量证明书的出具并不表明产品符合质量要求，也不免除卖方交付货物不符合约定和法定质量要求应承担的任何责任。</w:t>
      </w:r>
    </w:p>
    <w:p w14:paraId="561F0A2E">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买方抽样复测以买方监理部门认可的试验室检测结果为准，卖方对检验结果有异议的，以买卖双方认可或共同选择的省级及以上质量检测部门检测结果为准。如果任何被检测或测试的物资不能满足技术规格的要求，买方可以拒绝接受该物资。卖方应更换被拒绝的物资，并承担该部分检验费用以及因此造成延迟交货给买方造成的损失及承担延迟交货的违约责任。</w:t>
      </w:r>
    </w:p>
    <w:p w14:paraId="33BEBEB2">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级配碎石数量验收以施工现场实际过磅为准，若卖方对数量有异议时，由买卖双方共同选择第三方进行复磅（复磅应选择地方政府技术监督部门检验合格且距离施工现场较近的电子地磅进行），复磅数量与施工现场实际过磅数量之差若不超过±3‰范围，以施工现场实际过磅为准，复磅发生的费用由提出异议方负责；若超出±3‰范围，则以复磅数量为准，复磅发生的费用由卖方负责。</w:t>
      </w:r>
    </w:p>
    <w:p w14:paraId="431DD3C1">
      <w:pPr>
        <w:tabs>
          <w:tab w:val="left" w:pos="2996"/>
        </w:tabs>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（六）质量保证期</w:t>
      </w:r>
    </w:p>
    <w:p w14:paraId="362BE1D5">
      <w:pPr>
        <w:adjustRightInd w:val="0"/>
        <w:spacing w:line="440" w:lineRule="exact"/>
        <w:jc w:val="center"/>
        <w:textAlignment w:val="baseline"/>
        <w:rPr>
          <w:rFonts w:hint="eastAsia" w:ascii="宋体" w:hAnsi="宋体"/>
        </w:rPr>
      </w:pPr>
      <w:r>
        <w:rPr>
          <w:rFonts w:hint="eastAsia" w:ascii="宋体" w:hAnsi="宋体" w:cs="宋体"/>
          <w:sz w:val="24"/>
          <w:szCs w:val="24"/>
        </w:rPr>
        <w:t>自物资交货验收合格之日起6个月</w:t>
      </w:r>
      <w:r>
        <w:rPr>
          <w:rFonts w:hint="eastAsia" w:ascii="宋体" w:hAnsi="宋体" w:cs="宋体"/>
          <w:sz w:val="21"/>
          <w:szCs w:val="21"/>
        </w:rPr>
        <w:t>。</w:t>
      </w:r>
    </w:p>
    <w:p w14:paraId="0CA7A404">
      <w:pPr>
        <w:pStyle w:val="15"/>
        <w:rPr>
          <w:rFonts w:hint="eastAsia"/>
        </w:rPr>
      </w:pPr>
    </w:p>
    <w:p w14:paraId="5A688882">
      <w:pPr>
        <w:pStyle w:val="15"/>
        <w:rPr>
          <w:rFonts w:hint="eastAsia"/>
        </w:rPr>
      </w:pPr>
    </w:p>
    <w:p w14:paraId="44EC450B">
      <w:pPr>
        <w:pStyle w:val="15"/>
        <w:rPr>
          <w:rFonts w:hint="eastAsia"/>
        </w:rPr>
      </w:pPr>
    </w:p>
    <w:p w14:paraId="6282D8A3">
      <w:pPr>
        <w:pStyle w:val="15"/>
        <w:rPr>
          <w:rFonts w:hint="eastAsia"/>
        </w:rPr>
      </w:pPr>
    </w:p>
    <w:p w14:paraId="51221DCC">
      <w:pPr>
        <w:pStyle w:val="15"/>
        <w:rPr>
          <w:rFonts w:hint="eastAsia"/>
        </w:rPr>
      </w:pPr>
    </w:p>
    <w:p w14:paraId="29B7619F">
      <w:pPr>
        <w:pStyle w:val="15"/>
        <w:rPr>
          <w:rFonts w:hint="eastAsia"/>
        </w:rPr>
      </w:pPr>
    </w:p>
    <w:p w14:paraId="7E9D8BAA">
      <w:pPr>
        <w:pStyle w:val="15"/>
        <w:rPr>
          <w:rFonts w:hint="eastAsia"/>
        </w:rPr>
      </w:pPr>
    </w:p>
    <w:p w14:paraId="7AF588DF">
      <w:pPr>
        <w:pStyle w:val="15"/>
        <w:rPr>
          <w:rFonts w:hint="eastAsia"/>
        </w:rPr>
      </w:pPr>
    </w:p>
    <w:p w14:paraId="6683A338">
      <w:pPr>
        <w:pStyle w:val="15"/>
        <w:rPr>
          <w:rFonts w:hint="eastAsia"/>
        </w:rPr>
      </w:pPr>
    </w:p>
    <w:p w14:paraId="18F953BB">
      <w:pPr>
        <w:pStyle w:val="15"/>
        <w:rPr>
          <w:rFonts w:hint="eastAsia"/>
        </w:rPr>
      </w:pPr>
    </w:p>
    <w:p w14:paraId="5D3714B4">
      <w:pPr>
        <w:pStyle w:val="15"/>
        <w:rPr>
          <w:rFonts w:hint="eastAsia"/>
        </w:rPr>
      </w:pPr>
    </w:p>
    <w:p w14:paraId="3121265E">
      <w:pPr>
        <w:pStyle w:val="15"/>
        <w:rPr>
          <w:rFonts w:hint="eastAsia"/>
        </w:rPr>
      </w:pPr>
    </w:p>
    <w:p w14:paraId="6A965D58">
      <w:pPr>
        <w:pStyle w:val="15"/>
        <w:rPr>
          <w:rFonts w:hint="eastAsia"/>
        </w:rPr>
      </w:pPr>
    </w:p>
    <w:p w14:paraId="37062870">
      <w:pPr>
        <w:pStyle w:val="15"/>
        <w:rPr>
          <w:rFonts w:hint="eastAsia"/>
        </w:rPr>
      </w:pPr>
    </w:p>
    <w:p w14:paraId="3B71874C">
      <w:pPr>
        <w:pStyle w:val="15"/>
        <w:rPr>
          <w:rFonts w:hint="eastAsia"/>
        </w:rPr>
      </w:pPr>
    </w:p>
    <w:p w14:paraId="334425FC">
      <w:pPr>
        <w:pStyle w:val="15"/>
        <w:rPr>
          <w:rFonts w:hint="eastAsia"/>
        </w:rPr>
      </w:pPr>
    </w:p>
    <w:p w14:paraId="4E46E6F4">
      <w:pPr>
        <w:pStyle w:val="15"/>
        <w:rPr>
          <w:rFonts w:hint="eastAsia"/>
        </w:rPr>
      </w:pPr>
    </w:p>
    <w:p w14:paraId="46AB9B4F">
      <w:pPr>
        <w:pStyle w:val="15"/>
        <w:rPr>
          <w:rFonts w:hint="eastAsia"/>
        </w:rPr>
      </w:pPr>
    </w:p>
    <w:p w14:paraId="11DE2FF9">
      <w:pPr>
        <w:pStyle w:val="15"/>
      </w:pPr>
    </w:p>
    <w:p w14:paraId="71F5B057">
      <w:pPr>
        <w:pStyle w:val="15"/>
      </w:pPr>
    </w:p>
    <w:p w14:paraId="311C62F3">
      <w:pPr>
        <w:pStyle w:val="15"/>
      </w:pPr>
    </w:p>
    <w:p w14:paraId="6CFF3072">
      <w:pPr>
        <w:pStyle w:val="15"/>
      </w:pPr>
    </w:p>
    <w:p w14:paraId="3290A41D">
      <w:pPr>
        <w:pStyle w:val="15"/>
      </w:pPr>
    </w:p>
    <w:p w14:paraId="7B22C443">
      <w:pPr>
        <w:pStyle w:val="15"/>
      </w:pPr>
    </w:p>
    <w:p w14:paraId="03564A42">
      <w:pPr>
        <w:pStyle w:val="15"/>
      </w:pPr>
    </w:p>
    <w:p w14:paraId="07C364EC">
      <w:pPr>
        <w:pStyle w:val="15"/>
      </w:pPr>
    </w:p>
    <w:p w14:paraId="4925821D">
      <w:pPr>
        <w:pStyle w:val="15"/>
      </w:pPr>
    </w:p>
    <w:p w14:paraId="42F65CB4">
      <w:pPr>
        <w:pStyle w:val="15"/>
      </w:pPr>
    </w:p>
    <w:p w14:paraId="7A0E3B1D">
      <w:pPr>
        <w:pStyle w:val="15"/>
      </w:pPr>
    </w:p>
    <w:p w14:paraId="54C6586A">
      <w:pPr>
        <w:outlineLvl w:val="1"/>
        <w:rPr>
          <w:rFonts w:ascii="宋体" w:hAnsi="宋体"/>
          <w:sz w:val="28"/>
          <w:szCs w:val="28"/>
        </w:rPr>
      </w:pPr>
      <w:bookmarkStart w:id="41" w:name="_Toc19161"/>
      <w:r>
        <w:rPr>
          <w:rFonts w:hint="eastAsia" w:ascii="宋体" w:hAnsi="宋体"/>
          <w:sz w:val="28"/>
          <w:szCs w:val="28"/>
        </w:rPr>
        <w:t>附件八</w:t>
      </w:r>
      <w:bookmarkEnd w:id="41"/>
    </w:p>
    <w:p w14:paraId="69EF929E">
      <w:pPr>
        <w:bidi w:val="0"/>
        <w:jc w:val="center"/>
        <w:rPr>
          <w:rFonts w:hint="default"/>
          <w:sz w:val="36"/>
          <w:szCs w:val="44"/>
          <w:lang w:val="en-US" w:eastAsia="zh-CN"/>
        </w:rPr>
      </w:pPr>
      <w:r>
        <w:rPr>
          <w:rFonts w:hint="eastAsia"/>
          <w:sz w:val="36"/>
          <w:szCs w:val="44"/>
          <w:lang w:val="en-US" w:eastAsia="zh-CN"/>
        </w:rPr>
        <w:t>物资合同模版</w:t>
      </w:r>
    </w:p>
    <w:p w14:paraId="29947BA6">
      <w:pPr>
        <w:pStyle w:val="2"/>
        <w:spacing w:before="120" w:after="120"/>
        <w:jc w:val="center"/>
        <w:rPr>
          <w:rFonts w:ascii="宋体" w:hAnsi="宋体"/>
          <w:bCs w:val="0"/>
          <w:sz w:val="32"/>
        </w:rPr>
      </w:pPr>
      <w:bookmarkStart w:id="42" w:name="_Hlk184651441"/>
      <w:r>
        <w:rPr>
          <w:rFonts w:hint="eastAsia" w:ascii="宋体" w:hAnsi="宋体"/>
          <w:bCs w:val="0"/>
          <w:sz w:val="32"/>
        </w:rPr>
        <w:t>冷轧带肋焊接网买卖合同</w:t>
      </w:r>
    </w:p>
    <w:p w14:paraId="19A8619A">
      <w:pPr>
        <w:spacing w:line="460" w:lineRule="atLeast"/>
        <w:ind w:firstLine="0" w:firstLineChars="0"/>
        <w:jc w:val="right"/>
        <w:rPr>
          <w:rFonts w:ascii="黑体" w:eastAsia="黑体"/>
          <w:color w:val="000000"/>
          <w:sz w:val="28"/>
          <w:szCs w:val="28"/>
        </w:rPr>
      </w:pPr>
      <w:r>
        <w:rPr>
          <w:rFonts w:hint="eastAsia"/>
          <w:sz w:val="22"/>
        </w:rPr>
        <w:t>合同编号：二局衡水枢纽物资其他</w:t>
      </w:r>
      <w:r>
        <w:rPr>
          <w:rFonts w:hint="eastAsia"/>
          <w:sz w:val="22"/>
          <w:lang w:val="en-US" w:eastAsia="zh-CN"/>
        </w:rPr>
        <w:t xml:space="preserve">  </w:t>
      </w:r>
      <w:r>
        <w:rPr>
          <w:rFonts w:hint="eastAsia"/>
          <w:sz w:val="22"/>
        </w:rPr>
        <w:t>号</w:t>
      </w:r>
    </w:p>
    <w:p w14:paraId="11409A25">
      <w:pPr>
        <w:spacing w:line="460" w:lineRule="atLeast"/>
        <w:rPr>
          <w:color w:val="000000"/>
          <w:sz w:val="28"/>
          <w:szCs w:val="28"/>
        </w:rPr>
      </w:pPr>
    </w:p>
    <w:p w14:paraId="79328BFF">
      <w:pPr>
        <w:keepNext w:val="0"/>
        <w:keepLines w:val="0"/>
        <w:pageBreakBefore w:val="0"/>
        <w:widowControl/>
        <w:kinsoku/>
        <w:wordWrap/>
        <w:overflowPunct/>
        <w:topLinePunct w:val="0"/>
        <w:autoSpaceDE/>
        <w:autoSpaceDN/>
        <w:bidi w:val="0"/>
        <w:adjustRightInd/>
        <w:snapToGrid/>
        <w:spacing w:line="390" w:lineRule="exact"/>
        <w:ind w:firstLine="482"/>
        <w:textAlignment w:val="auto"/>
        <w:rPr>
          <w:rFonts w:ascii="宋体" w:hAnsi="宋体" w:cs="宋体"/>
          <w:bCs/>
          <w:kern w:val="0"/>
          <w:sz w:val="24"/>
        </w:rPr>
      </w:pPr>
      <w:r>
        <w:rPr>
          <w:rFonts w:hint="eastAsia" w:ascii="宋体" w:hAnsi="宋体" w:cs="宋体"/>
          <w:b/>
          <w:bCs/>
          <w:kern w:val="0"/>
          <w:sz w:val="24"/>
        </w:rPr>
        <w:t>买方</w:t>
      </w:r>
      <w:r>
        <w:rPr>
          <w:rFonts w:hint="eastAsia" w:ascii="宋体" w:hAnsi="宋体" w:cs="宋体"/>
          <w:bCs/>
          <w:kern w:val="0"/>
          <w:sz w:val="24"/>
        </w:rPr>
        <w:t>：</w:t>
      </w:r>
      <w:r>
        <w:rPr>
          <w:rFonts w:hint="eastAsia" w:ascii="宋体" w:hAnsi="宋体"/>
          <w:sz w:val="24"/>
        </w:rPr>
        <w:t>中铁二局集团有限公司</w:t>
      </w:r>
      <w:r>
        <w:rPr>
          <w:rFonts w:hint="eastAsia" w:ascii="宋体" w:hAnsi="宋体" w:cs="宋体"/>
          <w:bCs/>
          <w:kern w:val="0"/>
          <w:sz w:val="24"/>
        </w:rPr>
        <w:t>（以下简称甲方）</w:t>
      </w:r>
    </w:p>
    <w:p w14:paraId="1BBF2C51">
      <w:pPr>
        <w:keepNext w:val="0"/>
        <w:keepLines w:val="0"/>
        <w:pageBreakBefore w:val="0"/>
        <w:widowControl/>
        <w:kinsoku/>
        <w:wordWrap/>
        <w:overflowPunct/>
        <w:topLinePunct w:val="0"/>
        <w:autoSpaceDE/>
        <w:autoSpaceDN/>
        <w:bidi w:val="0"/>
        <w:adjustRightInd/>
        <w:snapToGrid/>
        <w:spacing w:line="390" w:lineRule="exact"/>
        <w:ind w:firstLine="482"/>
        <w:textAlignment w:val="auto"/>
        <w:rPr>
          <w:rFonts w:hint="eastAsia" w:ascii="宋体" w:hAnsi="宋体"/>
          <w:sz w:val="24"/>
        </w:rPr>
      </w:pPr>
      <w:r>
        <w:rPr>
          <w:rFonts w:hint="eastAsia" w:ascii="宋体" w:hAnsi="宋体" w:cs="宋体"/>
          <w:b/>
          <w:bCs/>
          <w:kern w:val="0"/>
          <w:sz w:val="24"/>
        </w:rPr>
        <w:t>卖方：</w:t>
      </w:r>
      <w:r>
        <w:rPr>
          <w:rFonts w:hint="eastAsia" w:ascii="宋体" w:hAnsi="宋体"/>
          <w:sz w:val="24"/>
        </w:rPr>
        <w:t>（以下简称乙方）</w:t>
      </w:r>
    </w:p>
    <w:p w14:paraId="76497ED7">
      <w:pPr>
        <w:spacing w:line="390" w:lineRule="exact"/>
        <w:ind w:firstLine="480" w:firstLineChars="200"/>
        <w:rPr>
          <w:rFonts w:ascii="宋体" w:hAnsi="宋体"/>
          <w:color w:val="000000"/>
          <w:sz w:val="24"/>
          <w:szCs w:val="24"/>
        </w:rPr>
      </w:pPr>
      <w:r>
        <w:rPr>
          <w:rFonts w:hint="eastAsia" w:ascii="宋体" w:hAnsi="宋体"/>
          <w:color w:val="000000"/>
          <w:sz w:val="24"/>
          <w:szCs w:val="24"/>
        </w:rPr>
        <w:t>根据《中华人民共和国民法典》及相关法律法规的规定，在平等、自愿、公平和诚实信用的基础上，甲乙双方经充分协商，特订立本合同。</w:t>
      </w:r>
    </w:p>
    <w:p w14:paraId="36E437D2">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第一条　名称、品种、规格和质量：</w:t>
      </w:r>
      <w:r>
        <w:rPr>
          <w:rFonts w:ascii="宋体" w:hAnsi="宋体"/>
          <w:b/>
          <w:bCs/>
          <w:kern w:val="44"/>
          <w:sz w:val="24"/>
          <w:szCs w:val="24"/>
        </w:rPr>
        <w:t xml:space="preserve"> </w:t>
      </w:r>
    </w:p>
    <w:tbl>
      <w:tblPr>
        <w:tblStyle w:val="7"/>
        <w:tblW w:w="9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060"/>
        <w:gridCol w:w="1015"/>
        <w:gridCol w:w="523"/>
        <w:gridCol w:w="1120"/>
        <w:gridCol w:w="1176"/>
        <w:gridCol w:w="1358"/>
        <w:gridCol w:w="953"/>
        <w:gridCol w:w="1369"/>
        <w:gridCol w:w="631"/>
      </w:tblGrid>
      <w:tr w14:paraId="2D07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6" w:hRule="atLeast"/>
          <w:jc w:val="center"/>
        </w:trPr>
        <w:tc>
          <w:tcPr>
            <w:tcW w:w="586" w:type="dxa"/>
            <w:noWrap w:val="0"/>
            <w:vAlign w:val="center"/>
          </w:tcPr>
          <w:p w14:paraId="47B566F9">
            <w:pPr>
              <w:spacing w:line="390" w:lineRule="exact"/>
              <w:jc w:val="center"/>
              <w:rPr>
                <w:rFonts w:ascii="宋体" w:hAnsi="宋体"/>
                <w:bCs/>
                <w:sz w:val="24"/>
                <w:szCs w:val="24"/>
              </w:rPr>
            </w:pPr>
            <w:r>
              <w:rPr>
                <w:rFonts w:hint="eastAsia" w:ascii="宋体" w:hAnsi="宋体"/>
                <w:bCs/>
                <w:sz w:val="24"/>
                <w:szCs w:val="24"/>
              </w:rPr>
              <w:t>序号</w:t>
            </w:r>
          </w:p>
        </w:tc>
        <w:tc>
          <w:tcPr>
            <w:tcW w:w="1060" w:type="dxa"/>
            <w:noWrap w:val="0"/>
            <w:vAlign w:val="center"/>
          </w:tcPr>
          <w:p w14:paraId="2122BA77">
            <w:pPr>
              <w:spacing w:line="390" w:lineRule="exact"/>
              <w:jc w:val="center"/>
              <w:rPr>
                <w:rFonts w:ascii="宋体" w:hAnsi="宋体"/>
                <w:bCs/>
                <w:sz w:val="24"/>
                <w:szCs w:val="24"/>
              </w:rPr>
            </w:pPr>
            <w:r>
              <w:rPr>
                <w:rFonts w:hint="eastAsia" w:ascii="宋体" w:hAnsi="宋体"/>
                <w:bCs/>
                <w:sz w:val="24"/>
                <w:szCs w:val="24"/>
              </w:rPr>
              <w:t>物资</w:t>
            </w:r>
            <w:r>
              <w:rPr>
                <w:rFonts w:ascii="宋体" w:hAnsi="宋体"/>
                <w:bCs/>
                <w:sz w:val="24"/>
                <w:szCs w:val="24"/>
              </w:rPr>
              <w:t>名称</w:t>
            </w:r>
          </w:p>
        </w:tc>
        <w:tc>
          <w:tcPr>
            <w:tcW w:w="1015" w:type="dxa"/>
            <w:noWrap w:val="0"/>
            <w:vAlign w:val="center"/>
          </w:tcPr>
          <w:p w14:paraId="43558A5B">
            <w:pPr>
              <w:spacing w:line="390" w:lineRule="exact"/>
              <w:jc w:val="center"/>
              <w:rPr>
                <w:rFonts w:ascii="宋体" w:hAnsi="宋体"/>
                <w:bCs/>
                <w:sz w:val="24"/>
                <w:szCs w:val="24"/>
              </w:rPr>
            </w:pPr>
            <w:r>
              <w:rPr>
                <w:rFonts w:ascii="宋体" w:hAnsi="宋体"/>
                <w:bCs/>
                <w:sz w:val="24"/>
                <w:szCs w:val="24"/>
              </w:rPr>
              <w:t>规格</w:t>
            </w:r>
          </w:p>
          <w:p w14:paraId="41309824">
            <w:pPr>
              <w:spacing w:line="390" w:lineRule="exact"/>
              <w:jc w:val="center"/>
              <w:rPr>
                <w:rFonts w:ascii="宋体" w:hAnsi="宋体"/>
                <w:bCs/>
                <w:sz w:val="24"/>
                <w:szCs w:val="24"/>
              </w:rPr>
            </w:pPr>
            <w:r>
              <w:rPr>
                <w:rFonts w:hint="eastAsia" w:ascii="宋体" w:hAnsi="宋体"/>
                <w:bCs/>
                <w:sz w:val="24"/>
                <w:szCs w:val="24"/>
              </w:rPr>
              <w:t>型号</w:t>
            </w:r>
          </w:p>
        </w:tc>
        <w:tc>
          <w:tcPr>
            <w:tcW w:w="523" w:type="dxa"/>
            <w:noWrap w:val="0"/>
            <w:vAlign w:val="center"/>
          </w:tcPr>
          <w:p w14:paraId="7D8C97D5">
            <w:pPr>
              <w:spacing w:line="390" w:lineRule="exact"/>
              <w:jc w:val="center"/>
              <w:rPr>
                <w:rFonts w:ascii="宋体" w:hAnsi="宋体"/>
                <w:bCs/>
                <w:sz w:val="24"/>
                <w:szCs w:val="24"/>
              </w:rPr>
            </w:pPr>
            <w:r>
              <w:rPr>
                <w:rFonts w:ascii="宋体" w:hAnsi="宋体"/>
                <w:bCs/>
                <w:sz w:val="24"/>
                <w:szCs w:val="24"/>
              </w:rPr>
              <w:t>单位</w:t>
            </w:r>
          </w:p>
        </w:tc>
        <w:tc>
          <w:tcPr>
            <w:tcW w:w="1120" w:type="dxa"/>
            <w:noWrap w:val="0"/>
            <w:vAlign w:val="center"/>
          </w:tcPr>
          <w:p w14:paraId="4CA7FDB6">
            <w:pPr>
              <w:spacing w:line="390" w:lineRule="exact"/>
              <w:jc w:val="center"/>
              <w:rPr>
                <w:rFonts w:ascii="宋体" w:hAnsi="宋体"/>
                <w:bCs/>
                <w:sz w:val="24"/>
                <w:szCs w:val="24"/>
              </w:rPr>
            </w:pPr>
            <w:r>
              <w:rPr>
                <w:rFonts w:ascii="宋体" w:hAnsi="宋体"/>
                <w:bCs/>
                <w:sz w:val="24"/>
                <w:szCs w:val="24"/>
              </w:rPr>
              <w:t>数量</w:t>
            </w:r>
          </w:p>
        </w:tc>
        <w:tc>
          <w:tcPr>
            <w:tcW w:w="1176" w:type="dxa"/>
            <w:noWrap w:val="0"/>
            <w:vAlign w:val="center"/>
          </w:tcPr>
          <w:p w14:paraId="745E06F5">
            <w:pPr>
              <w:spacing w:line="390" w:lineRule="exact"/>
              <w:jc w:val="center"/>
              <w:rPr>
                <w:rFonts w:ascii="宋体" w:hAnsi="宋体"/>
                <w:bCs/>
                <w:sz w:val="24"/>
                <w:szCs w:val="24"/>
              </w:rPr>
            </w:pPr>
            <w:r>
              <w:rPr>
                <w:rFonts w:hint="eastAsia" w:ascii="宋体" w:hAnsi="宋体"/>
                <w:bCs/>
                <w:sz w:val="24"/>
                <w:szCs w:val="24"/>
                <w:lang w:val="en-US" w:eastAsia="zh-CN"/>
              </w:rPr>
              <w:t>含税</w:t>
            </w:r>
            <w:r>
              <w:rPr>
                <w:rFonts w:hint="eastAsia" w:ascii="宋体" w:hAnsi="宋体"/>
                <w:bCs/>
                <w:sz w:val="24"/>
                <w:szCs w:val="24"/>
              </w:rPr>
              <w:t>出厂单价</w:t>
            </w:r>
          </w:p>
        </w:tc>
        <w:tc>
          <w:tcPr>
            <w:tcW w:w="1358" w:type="dxa"/>
            <w:noWrap w:val="0"/>
            <w:vAlign w:val="center"/>
          </w:tcPr>
          <w:p w14:paraId="63C0E0EA">
            <w:pPr>
              <w:spacing w:line="390" w:lineRule="exact"/>
              <w:jc w:val="center"/>
              <w:rPr>
                <w:rFonts w:hint="eastAsia" w:ascii="宋体" w:hAnsi="宋体"/>
                <w:bCs/>
                <w:sz w:val="24"/>
                <w:szCs w:val="24"/>
                <w:lang w:val="en-US" w:eastAsia="zh-CN"/>
              </w:rPr>
            </w:pPr>
            <w:r>
              <w:rPr>
                <w:rFonts w:hint="eastAsia" w:ascii="宋体" w:hAnsi="宋体"/>
                <w:bCs/>
                <w:sz w:val="24"/>
                <w:szCs w:val="24"/>
                <w:lang w:val="en-US" w:eastAsia="zh-CN"/>
              </w:rPr>
              <w:t>X（运杂费等综合</w:t>
            </w:r>
          </w:p>
          <w:p w14:paraId="4C7C8D26">
            <w:pPr>
              <w:spacing w:line="390" w:lineRule="exact"/>
              <w:jc w:val="center"/>
              <w:rPr>
                <w:rFonts w:ascii="宋体" w:hAnsi="宋体"/>
                <w:bCs/>
                <w:sz w:val="24"/>
                <w:szCs w:val="24"/>
              </w:rPr>
            </w:pPr>
            <w:r>
              <w:rPr>
                <w:rFonts w:hint="eastAsia" w:ascii="宋体" w:hAnsi="宋体"/>
                <w:bCs/>
                <w:sz w:val="24"/>
                <w:szCs w:val="24"/>
                <w:lang w:val="en-US" w:eastAsia="zh-CN"/>
              </w:rPr>
              <w:t>含税费用价格）</w:t>
            </w:r>
          </w:p>
        </w:tc>
        <w:tc>
          <w:tcPr>
            <w:tcW w:w="953" w:type="dxa"/>
            <w:noWrap w:val="0"/>
            <w:vAlign w:val="center"/>
          </w:tcPr>
          <w:p w14:paraId="5CE66ED7">
            <w:pPr>
              <w:spacing w:line="390" w:lineRule="exact"/>
              <w:jc w:val="center"/>
              <w:rPr>
                <w:rFonts w:ascii="宋体" w:hAnsi="宋体"/>
                <w:bCs/>
                <w:sz w:val="24"/>
                <w:szCs w:val="24"/>
              </w:rPr>
            </w:pPr>
            <w:r>
              <w:rPr>
                <w:rFonts w:hint="eastAsia" w:ascii="宋体" w:hAnsi="宋体"/>
                <w:bCs/>
                <w:sz w:val="24"/>
                <w:szCs w:val="24"/>
              </w:rPr>
              <w:t>含增值税单价（元）</w:t>
            </w:r>
          </w:p>
        </w:tc>
        <w:tc>
          <w:tcPr>
            <w:tcW w:w="1369" w:type="dxa"/>
            <w:noWrap w:val="0"/>
            <w:vAlign w:val="center"/>
          </w:tcPr>
          <w:p w14:paraId="582DA69B">
            <w:pPr>
              <w:spacing w:line="390" w:lineRule="exact"/>
              <w:jc w:val="center"/>
              <w:rPr>
                <w:rFonts w:ascii="宋体" w:hAnsi="宋体"/>
                <w:bCs/>
                <w:sz w:val="24"/>
                <w:szCs w:val="24"/>
              </w:rPr>
            </w:pPr>
            <w:r>
              <w:rPr>
                <w:rFonts w:hint="eastAsia" w:ascii="宋体" w:hAnsi="宋体"/>
                <w:bCs/>
                <w:sz w:val="24"/>
                <w:szCs w:val="24"/>
              </w:rPr>
              <w:t>含增值税</w:t>
            </w:r>
            <w:r>
              <w:rPr>
                <w:rFonts w:ascii="宋体" w:hAnsi="宋体"/>
                <w:bCs/>
                <w:sz w:val="24"/>
                <w:szCs w:val="24"/>
              </w:rPr>
              <w:t>总价</w:t>
            </w:r>
            <w:r>
              <w:rPr>
                <w:rFonts w:hint="eastAsia" w:ascii="宋体" w:hAnsi="宋体"/>
                <w:bCs/>
                <w:sz w:val="24"/>
                <w:szCs w:val="24"/>
              </w:rPr>
              <w:t>（元）</w:t>
            </w:r>
          </w:p>
        </w:tc>
        <w:tc>
          <w:tcPr>
            <w:tcW w:w="631" w:type="dxa"/>
            <w:noWrap w:val="0"/>
            <w:vAlign w:val="center"/>
          </w:tcPr>
          <w:p w14:paraId="68A8D3F9">
            <w:pPr>
              <w:spacing w:line="390" w:lineRule="exact"/>
              <w:jc w:val="center"/>
              <w:rPr>
                <w:rFonts w:ascii="宋体" w:hAnsi="宋体"/>
                <w:bCs/>
                <w:sz w:val="24"/>
                <w:szCs w:val="24"/>
              </w:rPr>
            </w:pPr>
            <w:r>
              <w:rPr>
                <w:rFonts w:hint="eastAsia" w:ascii="宋体" w:hAnsi="宋体"/>
                <w:bCs/>
                <w:sz w:val="24"/>
                <w:szCs w:val="24"/>
              </w:rPr>
              <w:t>备注</w:t>
            </w:r>
          </w:p>
        </w:tc>
      </w:tr>
      <w:tr w14:paraId="6424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586" w:type="dxa"/>
            <w:noWrap w:val="0"/>
            <w:vAlign w:val="center"/>
          </w:tcPr>
          <w:p w14:paraId="4F0562DF">
            <w:pPr>
              <w:spacing w:line="390" w:lineRule="exact"/>
              <w:jc w:val="center"/>
              <w:rPr>
                <w:rFonts w:hint="eastAsia" w:ascii="宋体" w:hAnsi="宋体" w:eastAsia="宋体" w:cs="Times New Roman"/>
                <w:sz w:val="20"/>
                <w:szCs w:val="20"/>
              </w:rPr>
            </w:pPr>
          </w:p>
        </w:tc>
        <w:tc>
          <w:tcPr>
            <w:tcW w:w="1060" w:type="dxa"/>
            <w:noWrap w:val="0"/>
            <w:vAlign w:val="center"/>
          </w:tcPr>
          <w:p w14:paraId="109A78E4">
            <w:pPr>
              <w:keepNext w:val="0"/>
              <w:keepLines w:val="0"/>
              <w:widowControl/>
              <w:suppressLineNumbers w:val="0"/>
              <w:jc w:val="center"/>
              <w:textAlignment w:val="center"/>
              <w:rPr>
                <w:rFonts w:hint="eastAsia" w:ascii="宋体" w:hAnsi="宋体" w:eastAsia="宋体" w:cs="Times New Roman"/>
                <w:sz w:val="20"/>
                <w:szCs w:val="20"/>
              </w:rPr>
            </w:pPr>
          </w:p>
        </w:tc>
        <w:tc>
          <w:tcPr>
            <w:tcW w:w="1015" w:type="dxa"/>
            <w:noWrap w:val="0"/>
            <w:vAlign w:val="center"/>
          </w:tcPr>
          <w:p w14:paraId="068EF3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3" w:type="dxa"/>
            <w:noWrap w:val="0"/>
            <w:vAlign w:val="center"/>
          </w:tcPr>
          <w:p w14:paraId="21C3CA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120" w:type="dxa"/>
            <w:noWrap w:val="0"/>
            <w:vAlign w:val="center"/>
          </w:tcPr>
          <w:p w14:paraId="7E9406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176" w:type="dxa"/>
            <w:noWrap w:val="0"/>
            <w:vAlign w:val="center"/>
          </w:tcPr>
          <w:p w14:paraId="6FB1130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358" w:type="dxa"/>
            <w:noWrap w:val="0"/>
            <w:vAlign w:val="center"/>
          </w:tcPr>
          <w:p w14:paraId="668118A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953" w:type="dxa"/>
            <w:noWrap w:val="0"/>
            <w:vAlign w:val="center"/>
          </w:tcPr>
          <w:p w14:paraId="45E736B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369" w:type="dxa"/>
            <w:noWrap w:val="0"/>
            <w:vAlign w:val="center"/>
          </w:tcPr>
          <w:p w14:paraId="4EB48DF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631" w:type="dxa"/>
            <w:noWrap w:val="0"/>
            <w:vAlign w:val="center"/>
          </w:tcPr>
          <w:p w14:paraId="072129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CAB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586" w:type="dxa"/>
            <w:noWrap w:val="0"/>
            <w:vAlign w:val="center"/>
          </w:tcPr>
          <w:p w14:paraId="535FC976">
            <w:pPr>
              <w:spacing w:line="390" w:lineRule="exact"/>
              <w:jc w:val="center"/>
              <w:rPr>
                <w:rFonts w:hint="default" w:ascii="宋体" w:hAnsi="宋体" w:eastAsia="宋体" w:cs="Times New Roman"/>
                <w:sz w:val="20"/>
                <w:szCs w:val="20"/>
                <w:lang w:val="en-US" w:eastAsia="zh-CN"/>
              </w:rPr>
            </w:pPr>
          </w:p>
        </w:tc>
        <w:tc>
          <w:tcPr>
            <w:tcW w:w="1060" w:type="dxa"/>
            <w:noWrap w:val="0"/>
            <w:vAlign w:val="center"/>
          </w:tcPr>
          <w:p w14:paraId="03A5D2B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15" w:type="dxa"/>
            <w:noWrap w:val="0"/>
            <w:vAlign w:val="center"/>
          </w:tcPr>
          <w:p w14:paraId="518FD9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23" w:type="dxa"/>
            <w:noWrap w:val="0"/>
            <w:vAlign w:val="center"/>
          </w:tcPr>
          <w:p w14:paraId="381B120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120" w:type="dxa"/>
            <w:noWrap w:val="0"/>
            <w:vAlign w:val="center"/>
          </w:tcPr>
          <w:p w14:paraId="739433E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176" w:type="dxa"/>
            <w:noWrap w:val="0"/>
            <w:vAlign w:val="center"/>
          </w:tcPr>
          <w:p w14:paraId="4FCD75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58" w:type="dxa"/>
            <w:noWrap w:val="0"/>
            <w:vAlign w:val="center"/>
          </w:tcPr>
          <w:p w14:paraId="71F10D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53" w:type="dxa"/>
            <w:noWrap w:val="0"/>
            <w:vAlign w:val="center"/>
          </w:tcPr>
          <w:p w14:paraId="35160D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69" w:type="dxa"/>
            <w:noWrap w:val="0"/>
            <w:vAlign w:val="center"/>
          </w:tcPr>
          <w:p w14:paraId="5FE6F11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31" w:type="dxa"/>
            <w:noWrap w:val="0"/>
            <w:vAlign w:val="center"/>
          </w:tcPr>
          <w:p w14:paraId="74C503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0F6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646" w:type="dxa"/>
            <w:gridSpan w:val="2"/>
            <w:noWrap w:val="0"/>
            <w:vAlign w:val="center"/>
          </w:tcPr>
          <w:p w14:paraId="2651B7D1">
            <w:pPr>
              <w:spacing w:line="390" w:lineRule="exact"/>
              <w:ind w:left="0" w:leftChars="0" w:firstLine="0" w:firstLineChars="0"/>
              <w:jc w:val="center"/>
              <w:rPr>
                <w:rFonts w:ascii="宋体" w:hAnsi="宋体"/>
                <w:sz w:val="24"/>
                <w:szCs w:val="24"/>
              </w:rPr>
            </w:pPr>
            <w:r>
              <w:rPr>
                <w:rFonts w:hint="eastAsia" w:ascii="宋体" w:hAnsi="宋体"/>
                <w:bCs/>
                <w:sz w:val="24"/>
                <w:szCs w:val="24"/>
              </w:rPr>
              <w:t>小计</w:t>
            </w:r>
          </w:p>
        </w:tc>
        <w:tc>
          <w:tcPr>
            <w:tcW w:w="1015" w:type="dxa"/>
            <w:noWrap w:val="0"/>
            <w:vAlign w:val="center"/>
          </w:tcPr>
          <w:p w14:paraId="292EC7A4">
            <w:pPr>
              <w:spacing w:line="390" w:lineRule="exact"/>
              <w:jc w:val="center"/>
              <w:rPr>
                <w:rFonts w:ascii="宋体" w:hAnsi="宋体"/>
                <w:sz w:val="24"/>
                <w:szCs w:val="24"/>
              </w:rPr>
            </w:pPr>
          </w:p>
        </w:tc>
        <w:tc>
          <w:tcPr>
            <w:tcW w:w="523" w:type="dxa"/>
            <w:noWrap w:val="0"/>
            <w:vAlign w:val="center"/>
          </w:tcPr>
          <w:p w14:paraId="39F799BC">
            <w:pPr>
              <w:spacing w:line="390" w:lineRule="exact"/>
              <w:jc w:val="center"/>
              <w:rPr>
                <w:rFonts w:ascii="宋体" w:hAnsi="宋体"/>
                <w:sz w:val="24"/>
                <w:szCs w:val="24"/>
              </w:rPr>
            </w:pPr>
          </w:p>
        </w:tc>
        <w:tc>
          <w:tcPr>
            <w:tcW w:w="1120" w:type="dxa"/>
            <w:noWrap w:val="0"/>
            <w:vAlign w:val="center"/>
          </w:tcPr>
          <w:p w14:paraId="0611E65C">
            <w:pPr>
              <w:spacing w:line="390" w:lineRule="exact"/>
              <w:jc w:val="center"/>
              <w:rPr>
                <w:rFonts w:ascii="宋体" w:hAnsi="宋体"/>
                <w:sz w:val="24"/>
                <w:szCs w:val="24"/>
              </w:rPr>
            </w:pPr>
          </w:p>
        </w:tc>
        <w:tc>
          <w:tcPr>
            <w:tcW w:w="1176" w:type="dxa"/>
            <w:noWrap w:val="0"/>
            <w:vAlign w:val="center"/>
          </w:tcPr>
          <w:p w14:paraId="4843DCB9">
            <w:pPr>
              <w:spacing w:line="390" w:lineRule="exact"/>
              <w:jc w:val="center"/>
              <w:rPr>
                <w:rFonts w:ascii="宋体" w:hAnsi="宋体"/>
                <w:sz w:val="24"/>
                <w:szCs w:val="24"/>
              </w:rPr>
            </w:pPr>
          </w:p>
        </w:tc>
        <w:tc>
          <w:tcPr>
            <w:tcW w:w="1358" w:type="dxa"/>
            <w:noWrap w:val="0"/>
            <w:vAlign w:val="center"/>
          </w:tcPr>
          <w:p w14:paraId="141BDAC5">
            <w:pPr>
              <w:spacing w:line="390" w:lineRule="exact"/>
              <w:jc w:val="center"/>
              <w:rPr>
                <w:rFonts w:ascii="宋体" w:hAnsi="宋体"/>
                <w:sz w:val="24"/>
                <w:szCs w:val="24"/>
              </w:rPr>
            </w:pPr>
          </w:p>
        </w:tc>
        <w:tc>
          <w:tcPr>
            <w:tcW w:w="953" w:type="dxa"/>
            <w:noWrap w:val="0"/>
            <w:vAlign w:val="center"/>
          </w:tcPr>
          <w:p w14:paraId="61305F9F">
            <w:pPr>
              <w:spacing w:line="390" w:lineRule="exact"/>
              <w:ind w:left="0" w:leftChars="0" w:firstLine="0" w:firstLineChars="0"/>
              <w:jc w:val="center"/>
              <w:rPr>
                <w:rFonts w:ascii="宋体" w:hAnsi="宋体"/>
                <w:b/>
                <w:bCs/>
                <w:sz w:val="24"/>
                <w:szCs w:val="24"/>
              </w:rPr>
            </w:pPr>
          </w:p>
        </w:tc>
        <w:tc>
          <w:tcPr>
            <w:tcW w:w="1369" w:type="dxa"/>
            <w:noWrap w:val="0"/>
            <w:vAlign w:val="center"/>
          </w:tcPr>
          <w:p w14:paraId="45ADC517">
            <w:pPr>
              <w:keepNext w:val="0"/>
              <w:keepLines w:val="0"/>
              <w:widowControl/>
              <w:suppressLineNumbers w:val="0"/>
              <w:jc w:val="right"/>
              <w:textAlignment w:val="center"/>
              <w:rPr>
                <w:rFonts w:ascii="宋体" w:hAnsi="宋体"/>
                <w:b/>
                <w:bCs/>
                <w:sz w:val="24"/>
                <w:szCs w:val="24"/>
              </w:rPr>
            </w:pPr>
            <w:r>
              <w:rPr>
                <w:rFonts w:hint="eastAsia" w:ascii="宋体" w:hAnsi="宋体" w:eastAsia="宋体" w:cs="宋体"/>
                <w:i w:val="0"/>
                <w:iCs w:val="0"/>
                <w:color w:val="000000"/>
                <w:kern w:val="0"/>
                <w:sz w:val="22"/>
                <w:szCs w:val="22"/>
                <w:u w:val="none"/>
                <w:lang w:val="en-US" w:eastAsia="zh-CN" w:bidi="ar"/>
              </w:rPr>
              <w:t xml:space="preserve"> </w:t>
            </w:r>
          </w:p>
        </w:tc>
        <w:tc>
          <w:tcPr>
            <w:tcW w:w="631" w:type="dxa"/>
            <w:noWrap w:val="0"/>
            <w:vAlign w:val="center"/>
          </w:tcPr>
          <w:p w14:paraId="1ACD0D0E">
            <w:pPr>
              <w:spacing w:line="390" w:lineRule="exact"/>
              <w:jc w:val="center"/>
              <w:rPr>
                <w:rFonts w:ascii="宋体" w:hAnsi="宋体"/>
                <w:sz w:val="24"/>
                <w:szCs w:val="24"/>
              </w:rPr>
            </w:pPr>
          </w:p>
        </w:tc>
      </w:tr>
      <w:tr w14:paraId="29CF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9791" w:type="dxa"/>
            <w:gridSpan w:val="10"/>
            <w:noWrap w:val="0"/>
            <w:vAlign w:val="center"/>
          </w:tcPr>
          <w:p w14:paraId="1B8AB59A">
            <w:pPr>
              <w:spacing w:line="390" w:lineRule="exact"/>
              <w:ind w:left="0" w:leftChars="0" w:firstLine="0" w:firstLineChars="0"/>
              <w:rPr>
                <w:rFonts w:ascii="宋体" w:hAnsi="宋体"/>
                <w:sz w:val="24"/>
                <w:szCs w:val="24"/>
              </w:rPr>
            </w:pPr>
            <w:r>
              <w:rPr>
                <w:rFonts w:hint="eastAsia" w:ascii="宋体" w:hAnsi="宋体" w:cs="Times New Roman"/>
                <w:sz w:val="24"/>
                <w:szCs w:val="24"/>
                <w:u w:val="none"/>
              </w:rPr>
              <w:t>增值税税率为 %，增值税额：元。</w:t>
            </w:r>
          </w:p>
        </w:tc>
      </w:tr>
      <w:tr w14:paraId="6210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9791" w:type="dxa"/>
            <w:gridSpan w:val="10"/>
            <w:noWrap w:val="0"/>
            <w:vAlign w:val="center"/>
          </w:tcPr>
          <w:p w14:paraId="5AD4C88D">
            <w:pPr>
              <w:spacing w:line="390" w:lineRule="exact"/>
              <w:ind w:left="0" w:leftChars="0" w:firstLine="0" w:firstLineChars="0"/>
              <w:rPr>
                <w:rFonts w:ascii="宋体" w:hAnsi="宋体"/>
                <w:sz w:val="24"/>
                <w:szCs w:val="24"/>
              </w:rPr>
            </w:pPr>
            <w:r>
              <w:rPr>
                <w:rFonts w:hint="eastAsia" w:ascii="宋体" w:hAnsi="宋体" w:cs="Times New Roman"/>
                <w:sz w:val="24"/>
                <w:szCs w:val="24"/>
                <w:u w:val="none"/>
              </w:rPr>
              <w:t>含增值税总价（大写）：（小写</w:t>
            </w:r>
            <w:r>
              <w:rPr>
                <w:rFonts w:hint="eastAsia" w:ascii="宋体" w:hAnsi="宋体" w:eastAsia="宋体" w:cs="Times New Roman"/>
                <w:sz w:val="24"/>
                <w:szCs w:val="24"/>
                <w:u w:val="none"/>
              </w:rPr>
              <w:t>）：元</w:t>
            </w:r>
            <w:r>
              <w:rPr>
                <w:rFonts w:hint="eastAsia" w:ascii="宋体" w:hAnsi="宋体" w:cs="Times New Roman"/>
                <w:sz w:val="24"/>
                <w:szCs w:val="24"/>
                <w:u w:val="none"/>
              </w:rPr>
              <w:t>。</w:t>
            </w:r>
          </w:p>
        </w:tc>
      </w:tr>
    </w:tbl>
    <w:p w14:paraId="3ED6C31F">
      <w:pPr>
        <w:keepNext/>
        <w:keepLines/>
        <w:spacing w:line="390" w:lineRule="exact"/>
        <w:outlineLvl w:val="0"/>
        <w:rPr>
          <w:rFonts w:ascii="宋体" w:hAnsi="宋体"/>
          <w:b/>
          <w:bCs/>
          <w:kern w:val="44"/>
          <w:sz w:val="24"/>
          <w:szCs w:val="24"/>
        </w:rPr>
      </w:pPr>
    </w:p>
    <w:p w14:paraId="140A07B5">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第二条　数量和计量单位、计量方法：</w:t>
      </w:r>
    </w:p>
    <w:p w14:paraId="6B89C9B1">
      <w:pPr>
        <w:spacing w:line="390" w:lineRule="exact"/>
        <w:ind w:firstLine="480" w:firstLineChars="200"/>
        <w:rPr>
          <w:rFonts w:ascii="宋体" w:hAnsi="宋体"/>
          <w:sz w:val="24"/>
          <w:szCs w:val="24"/>
        </w:rPr>
      </w:pPr>
      <w:r>
        <w:rPr>
          <w:rFonts w:hint="eastAsia" w:ascii="宋体" w:hAnsi="宋体"/>
          <w:color w:val="000000"/>
          <w:sz w:val="24"/>
          <w:szCs w:val="24"/>
        </w:rPr>
        <w:t>2.1该数量为暂定数量，甲方可根据实际需要进行数量增减。甲方减少数量的，不属于违约；甲方增加数量的，乙方应按合同其他条款执行。</w:t>
      </w:r>
    </w:p>
    <w:p w14:paraId="57E9E0BB">
      <w:pPr>
        <w:spacing w:line="390" w:lineRule="exact"/>
        <w:ind w:firstLine="480" w:firstLineChars="200"/>
        <w:rPr>
          <w:rFonts w:ascii="宋体" w:hAnsi="宋体"/>
          <w:color w:val="000000"/>
          <w:sz w:val="24"/>
          <w:szCs w:val="24"/>
        </w:rPr>
      </w:pPr>
      <w:r>
        <w:rPr>
          <w:rFonts w:hint="eastAsia" w:ascii="宋体" w:hAnsi="宋体"/>
          <w:color w:val="000000"/>
          <w:sz w:val="24"/>
          <w:szCs w:val="24"/>
        </w:rPr>
        <w:t>2.2计量单位和方法：</w:t>
      </w:r>
      <w:r>
        <w:rPr>
          <w:rFonts w:hint="eastAsia" w:ascii="宋体" w:hAnsi="宋体"/>
          <w:color w:val="000000"/>
          <w:sz w:val="24"/>
          <w:szCs w:val="24"/>
          <w:lang w:val="en-US" w:eastAsia="zh-CN"/>
        </w:rPr>
        <w:t>见</w:t>
      </w:r>
      <w:r>
        <w:rPr>
          <w:rFonts w:hint="eastAsia" w:ascii="宋体" w:hAnsi="宋体"/>
          <w:sz w:val="24"/>
        </w:rPr>
        <w:t>附件</w:t>
      </w:r>
      <w:bookmarkStart w:id="43" w:name="_Hlk489915557"/>
      <w:r>
        <w:rPr>
          <w:rFonts w:ascii="宋体" w:hAnsi="宋体"/>
          <w:sz w:val="24"/>
        </w:rPr>
        <w:t>3</w:t>
      </w:r>
      <w:r>
        <w:rPr>
          <w:rFonts w:hint="eastAsia" w:ascii="宋体" w:hAnsi="宋体"/>
          <w:sz w:val="24"/>
        </w:rPr>
        <w:t>《技术规格书》</w:t>
      </w:r>
      <w:bookmarkEnd w:id="43"/>
      <w:r>
        <w:rPr>
          <w:rFonts w:hint="eastAsia" w:ascii="宋体" w:hAnsi="宋体"/>
          <w:color w:val="000000"/>
          <w:sz w:val="24"/>
          <w:szCs w:val="24"/>
        </w:rPr>
        <w:t>。</w:t>
      </w:r>
    </w:p>
    <w:p w14:paraId="0C4E6CEE">
      <w:pPr>
        <w:spacing w:line="390" w:lineRule="exact"/>
        <w:ind w:firstLine="480" w:firstLineChars="200"/>
        <w:rPr>
          <w:rFonts w:ascii="宋体" w:hAnsi="宋体"/>
          <w:color w:val="000000"/>
          <w:sz w:val="24"/>
          <w:szCs w:val="24"/>
        </w:rPr>
      </w:pPr>
      <w:r>
        <w:rPr>
          <w:rFonts w:hint="eastAsia" w:ascii="宋体" w:hAnsi="宋体"/>
          <w:color w:val="000000"/>
          <w:sz w:val="24"/>
          <w:szCs w:val="24"/>
        </w:rPr>
        <w:t>2.3交货数量的正负尾差、合理磅差和在途自然增（减）量规定及计算方法：</w:t>
      </w:r>
      <w:r>
        <w:rPr>
          <w:rFonts w:hint="eastAsia" w:ascii="宋体" w:hAnsi="宋体"/>
          <w:color w:val="000000"/>
          <w:sz w:val="24"/>
          <w:szCs w:val="24"/>
          <w:lang w:val="en-US" w:eastAsia="zh-CN"/>
        </w:rPr>
        <w:t>见</w:t>
      </w:r>
      <w:r>
        <w:rPr>
          <w:rFonts w:hint="eastAsia" w:ascii="宋体" w:hAnsi="宋体"/>
          <w:sz w:val="24"/>
        </w:rPr>
        <w:t>附件</w:t>
      </w:r>
      <w:r>
        <w:rPr>
          <w:rFonts w:ascii="宋体" w:hAnsi="宋体"/>
          <w:sz w:val="24"/>
        </w:rPr>
        <w:t>3</w:t>
      </w:r>
      <w:r>
        <w:rPr>
          <w:rFonts w:hint="eastAsia" w:ascii="宋体" w:hAnsi="宋体"/>
          <w:sz w:val="24"/>
        </w:rPr>
        <w:t>《技术规格书》</w:t>
      </w:r>
      <w:r>
        <w:rPr>
          <w:rFonts w:hint="eastAsia" w:ascii="宋体" w:hAnsi="宋体"/>
          <w:color w:val="000000"/>
          <w:sz w:val="24"/>
          <w:szCs w:val="24"/>
        </w:rPr>
        <w:t>。</w:t>
      </w:r>
    </w:p>
    <w:p w14:paraId="23ED0D96">
      <w:pPr>
        <w:spacing w:line="390" w:lineRule="exact"/>
        <w:ind w:firstLine="480" w:firstLineChars="200"/>
        <w:rPr>
          <w:rFonts w:ascii="宋体" w:hAnsi="宋体"/>
          <w:color w:val="000000"/>
          <w:sz w:val="24"/>
          <w:szCs w:val="24"/>
        </w:rPr>
      </w:pPr>
      <w:r>
        <w:rPr>
          <w:rFonts w:hint="eastAsia" w:ascii="宋体" w:hAnsi="宋体"/>
          <w:color w:val="000000"/>
          <w:sz w:val="24"/>
          <w:szCs w:val="24"/>
        </w:rPr>
        <w:t>2.4包装材料由乙方提供，包装费用由乙方承担。</w:t>
      </w:r>
    </w:p>
    <w:p w14:paraId="6D7C8B04">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第三条　合同供货期限</w:t>
      </w:r>
    </w:p>
    <w:p w14:paraId="7866F01F">
      <w:pPr>
        <w:spacing w:line="390" w:lineRule="exact"/>
        <w:ind w:firstLine="480" w:firstLineChars="200"/>
        <w:rPr>
          <w:rFonts w:ascii="宋体" w:hAnsi="宋体"/>
          <w:color w:val="000000"/>
          <w:sz w:val="24"/>
          <w:szCs w:val="24"/>
        </w:rPr>
      </w:pPr>
      <w:r>
        <w:rPr>
          <w:rFonts w:hint="eastAsia" w:ascii="宋体" w:hAnsi="宋体"/>
          <w:sz w:val="24"/>
        </w:rPr>
        <w:t>本合同履行期限自</w:t>
      </w:r>
      <w:r>
        <w:rPr>
          <w:rFonts w:hint="eastAsia" w:ascii="宋体" w:hAnsi="宋体"/>
          <w:sz w:val="24"/>
          <w:lang w:val="en-US" w:eastAsia="zh-CN"/>
        </w:rPr>
        <w:t>供货之日起</w:t>
      </w:r>
      <w:r>
        <w:rPr>
          <w:rFonts w:hint="eastAsia" w:ascii="宋体" w:hAnsi="宋体"/>
          <w:sz w:val="24"/>
        </w:rPr>
        <w:t>至 202</w:t>
      </w:r>
      <w:r>
        <w:rPr>
          <w:rFonts w:hint="eastAsia" w:ascii="宋体" w:hAnsi="宋体"/>
          <w:sz w:val="24"/>
          <w:lang w:val="en-US" w:eastAsia="zh-CN"/>
        </w:rPr>
        <w:t>6</w:t>
      </w:r>
      <w:r>
        <w:rPr>
          <w:rFonts w:hint="eastAsia" w:ascii="宋体" w:hAnsi="宋体"/>
          <w:sz w:val="24"/>
        </w:rPr>
        <w:t>年</w:t>
      </w:r>
      <w:r>
        <w:rPr>
          <w:rFonts w:hint="eastAsia" w:ascii="宋体" w:hAnsi="宋体"/>
          <w:sz w:val="24"/>
          <w:lang w:val="en-US" w:eastAsia="zh-CN"/>
        </w:rPr>
        <w:t>12</w:t>
      </w:r>
      <w:r>
        <w:rPr>
          <w:rFonts w:hint="eastAsia" w:ascii="宋体" w:hAnsi="宋体"/>
          <w:sz w:val="24"/>
        </w:rPr>
        <w:t>月30日；该期限为暂定期限，甲方有权根据施工需要单方调整合同履行期限，但应提前</w:t>
      </w:r>
      <w:r>
        <w:rPr>
          <w:rFonts w:ascii="宋体" w:hAnsi="宋体"/>
          <w:sz w:val="24"/>
        </w:rPr>
        <w:t>30</w:t>
      </w:r>
      <w:r>
        <w:rPr>
          <w:rFonts w:hint="eastAsia" w:ascii="宋体" w:hAnsi="宋体"/>
          <w:sz w:val="24"/>
        </w:rPr>
        <w:t>日通知乙方</w:t>
      </w:r>
      <w:r>
        <w:rPr>
          <w:rFonts w:hint="eastAsia" w:ascii="宋体" w:hAnsi="宋体"/>
          <w:color w:val="000000"/>
          <w:sz w:val="24"/>
          <w:szCs w:val="24"/>
        </w:rPr>
        <w:t>。</w:t>
      </w:r>
    </w:p>
    <w:p w14:paraId="5B966BF2">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第四条  运输方式和交货地点：</w:t>
      </w:r>
    </w:p>
    <w:p w14:paraId="306EF588">
      <w:pPr>
        <w:spacing w:line="390" w:lineRule="exact"/>
        <w:ind w:firstLine="480" w:firstLineChars="200"/>
        <w:rPr>
          <w:rFonts w:ascii="宋体" w:hAnsi="宋体"/>
          <w:color w:val="000000"/>
          <w:sz w:val="24"/>
          <w:szCs w:val="24"/>
          <w:u w:val="none"/>
        </w:rPr>
      </w:pPr>
      <w:r>
        <w:rPr>
          <w:rFonts w:hint="eastAsia" w:ascii="宋体" w:hAnsi="宋体"/>
          <w:color w:val="000000"/>
          <w:sz w:val="24"/>
          <w:szCs w:val="24"/>
        </w:rPr>
        <w:t>4.1交货时间：</w:t>
      </w:r>
      <w:r>
        <w:rPr>
          <w:rFonts w:hint="eastAsia" w:ascii="宋体" w:hAnsi="宋体"/>
          <w:color w:val="000000"/>
          <w:sz w:val="24"/>
          <w:szCs w:val="24"/>
          <w:u w:val="none"/>
        </w:rPr>
        <w:t>每批次交货时间以甲方通知为准。</w:t>
      </w:r>
    </w:p>
    <w:p w14:paraId="7FDA89AF">
      <w:pPr>
        <w:spacing w:line="390" w:lineRule="exact"/>
        <w:ind w:firstLine="480" w:firstLineChars="200"/>
        <w:rPr>
          <w:rFonts w:ascii="宋体" w:hAnsi="宋体"/>
          <w:color w:val="4F81BD"/>
          <w:sz w:val="24"/>
          <w:szCs w:val="24"/>
          <w:u w:val="none"/>
        </w:rPr>
      </w:pPr>
      <w:r>
        <w:rPr>
          <w:rFonts w:hint="eastAsia" w:ascii="宋体" w:hAnsi="宋体"/>
          <w:color w:val="000000"/>
          <w:sz w:val="24"/>
          <w:szCs w:val="24"/>
        </w:rPr>
        <w:t>4.2交货地点：</w:t>
      </w:r>
      <w:r>
        <w:rPr>
          <w:rFonts w:hint="eastAsia" w:ascii="宋体" w:hAnsi="宋体"/>
          <w:color w:val="000000"/>
          <w:sz w:val="24"/>
          <w:szCs w:val="24"/>
          <w:u w:val="none"/>
        </w:rPr>
        <w:t>由乙方负责运输至甲方指定地点交货。运输费用由乙方承担。</w:t>
      </w:r>
      <w:r>
        <w:rPr>
          <w:rFonts w:hint="eastAsia" w:ascii="宋体" w:hAnsi="宋体"/>
          <w:sz w:val="24"/>
          <w:szCs w:val="24"/>
          <w:u w:val="none"/>
        </w:rPr>
        <w:t>货物验收合格交付前，货物的灭失、毁损风险由乙方承担。</w:t>
      </w:r>
    </w:p>
    <w:p w14:paraId="3DF409DE">
      <w:pPr>
        <w:spacing w:line="390" w:lineRule="exact"/>
        <w:ind w:firstLine="480" w:firstLineChars="200"/>
        <w:rPr>
          <w:rFonts w:ascii="宋体" w:hAnsi="宋体"/>
          <w:color w:val="000000"/>
          <w:sz w:val="24"/>
          <w:szCs w:val="24"/>
        </w:rPr>
      </w:pPr>
      <w:r>
        <w:rPr>
          <w:rFonts w:hint="eastAsia" w:ascii="宋体" w:hAnsi="宋体"/>
          <w:color w:val="000000"/>
          <w:sz w:val="24"/>
          <w:szCs w:val="24"/>
        </w:rPr>
        <w:t>4.3运输方式：</w:t>
      </w:r>
      <w:r>
        <w:rPr>
          <w:rFonts w:hint="eastAsia" w:ascii="宋体" w:hAnsi="宋体"/>
          <w:sz w:val="24"/>
        </w:rPr>
        <w:t>见附件1《</w:t>
      </w:r>
      <w:r>
        <w:rPr>
          <w:rFonts w:hint="eastAsia" w:ascii="宋体" w:hAnsi="宋体" w:cs="宋体"/>
          <w:bCs/>
          <w:kern w:val="0"/>
          <w:sz w:val="24"/>
        </w:rPr>
        <w:t>订货明细表</w:t>
      </w:r>
      <w:r>
        <w:rPr>
          <w:rFonts w:hint="eastAsia" w:ascii="宋体" w:hAnsi="宋体"/>
          <w:sz w:val="24"/>
        </w:rPr>
        <w:t>》</w:t>
      </w:r>
      <w:r>
        <w:rPr>
          <w:rFonts w:hint="eastAsia" w:ascii="宋体" w:hAnsi="宋体"/>
          <w:color w:val="000000"/>
          <w:sz w:val="24"/>
          <w:szCs w:val="24"/>
        </w:rPr>
        <w:t>。</w:t>
      </w:r>
      <w:r>
        <w:rPr>
          <w:rFonts w:hint="eastAsia" w:ascii="宋体" w:hAnsi="宋体"/>
          <w:sz w:val="24"/>
        </w:rPr>
        <w:t>卸货及卸货费用</w:t>
      </w:r>
      <w:r>
        <w:rPr>
          <w:rFonts w:hint="eastAsia" w:ascii="宋体" w:hAnsi="宋体"/>
          <w:sz w:val="24"/>
          <w:lang w:eastAsia="zh-CN"/>
        </w:rPr>
        <w:t>：</w:t>
      </w:r>
      <w:r>
        <w:rPr>
          <w:rFonts w:hint="eastAsia" w:ascii="宋体" w:hAnsi="宋体"/>
          <w:sz w:val="24"/>
        </w:rPr>
        <w:t>详见附件</w:t>
      </w:r>
      <w:r>
        <w:rPr>
          <w:rFonts w:ascii="宋体" w:hAnsi="宋体"/>
          <w:sz w:val="24"/>
        </w:rPr>
        <w:t>3</w:t>
      </w:r>
      <w:r>
        <w:rPr>
          <w:rFonts w:hint="eastAsia" w:ascii="宋体" w:hAnsi="宋体"/>
          <w:sz w:val="24"/>
        </w:rPr>
        <w:t>《技术规格书》</w:t>
      </w:r>
      <w:r>
        <w:rPr>
          <w:rFonts w:hint="eastAsia" w:ascii="宋体" w:hAnsi="宋体"/>
          <w:color w:val="000000"/>
          <w:sz w:val="24"/>
          <w:szCs w:val="24"/>
        </w:rPr>
        <w:t>。</w:t>
      </w:r>
    </w:p>
    <w:p w14:paraId="51BDFBD9">
      <w:pPr>
        <w:spacing w:line="390" w:lineRule="exact"/>
        <w:ind w:firstLine="480" w:firstLineChars="200"/>
        <w:rPr>
          <w:rFonts w:ascii="宋体" w:hAnsi="宋体"/>
          <w:color w:val="000000"/>
          <w:sz w:val="24"/>
          <w:szCs w:val="24"/>
        </w:rPr>
      </w:pPr>
      <w:r>
        <w:rPr>
          <w:rFonts w:hint="eastAsia" w:ascii="宋体" w:hAnsi="宋体"/>
          <w:color w:val="000000"/>
          <w:sz w:val="24"/>
          <w:szCs w:val="24"/>
        </w:rPr>
        <w:t>4.4保 险：</w:t>
      </w:r>
      <w:r>
        <w:rPr>
          <w:rFonts w:hint="eastAsia" w:ascii="宋体" w:hAnsi="宋体"/>
          <w:sz w:val="24"/>
        </w:rPr>
        <w:t>乙方承担</w:t>
      </w:r>
      <w:r>
        <w:rPr>
          <w:rFonts w:hint="eastAsia" w:ascii="宋体" w:hAnsi="宋体"/>
          <w:color w:val="000000"/>
          <w:sz w:val="24"/>
          <w:szCs w:val="24"/>
        </w:rPr>
        <w:t>。</w:t>
      </w:r>
    </w:p>
    <w:p w14:paraId="148ECD7E">
      <w:pPr>
        <w:spacing w:line="390" w:lineRule="exact"/>
        <w:ind w:firstLine="480" w:firstLineChars="200"/>
        <w:rPr>
          <w:rFonts w:ascii="宋体" w:hAnsi="宋体"/>
          <w:color w:val="000000"/>
          <w:sz w:val="24"/>
          <w:szCs w:val="24"/>
        </w:rPr>
      </w:pPr>
      <w:r>
        <w:rPr>
          <w:rFonts w:hint="eastAsia" w:ascii="宋体" w:hAnsi="宋体"/>
          <w:color w:val="000000"/>
          <w:sz w:val="24"/>
          <w:szCs w:val="24"/>
        </w:rPr>
        <w:t>4.5</w:t>
      </w:r>
      <w:r>
        <w:rPr>
          <w:rFonts w:hint="eastAsia" w:ascii="宋体" w:hAnsi="宋体"/>
          <w:sz w:val="24"/>
        </w:rPr>
        <w:t>与买卖相关的单证的转移：交货时乙方将与货物相关的所有单证送交甲方，包括但不限于：有效材质证明书、出厂合格证、出厂检验报告等</w:t>
      </w:r>
      <w:r>
        <w:rPr>
          <w:rFonts w:hint="eastAsia" w:ascii="宋体" w:hAnsi="宋体"/>
          <w:color w:val="000000"/>
          <w:sz w:val="24"/>
          <w:szCs w:val="24"/>
        </w:rPr>
        <w:t>。</w:t>
      </w:r>
    </w:p>
    <w:p w14:paraId="170C40EF">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第五条　验收：</w:t>
      </w:r>
    </w:p>
    <w:p w14:paraId="6C3F160E">
      <w:pPr>
        <w:spacing w:line="390" w:lineRule="exact"/>
        <w:ind w:firstLine="480" w:firstLineChars="200"/>
        <w:rPr>
          <w:rFonts w:ascii="宋体" w:hAnsi="宋体" w:eastAsia="宋体" w:cs="Times New Roman"/>
          <w:sz w:val="24"/>
        </w:rPr>
      </w:pPr>
      <w:r>
        <w:rPr>
          <w:rFonts w:hint="eastAsia" w:ascii="宋体" w:hAnsi="宋体"/>
          <w:color w:val="000000"/>
          <w:sz w:val="24"/>
          <w:szCs w:val="24"/>
        </w:rPr>
        <w:t>5.1验收时间：货物运输至甲方指定地点后，双方</w:t>
      </w:r>
      <w:r>
        <w:rPr>
          <w:rFonts w:hint="eastAsia" w:ascii="宋体" w:hAnsi="宋体"/>
          <w:color w:val="000000"/>
          <w:sz w:val="24"/>
          <w:szCs w:val="24"/>
          <w:u w:val="none"/>
        </w:rPr>
        <w:t>在24小</w:t>
      </w:r>
      <w:r>
        <w:rPr>
          <w:rFonts w:hint="eastAsia" w:ascii="宋体" w:hAnsi="宋体"/>
          <w:color w:val="000000"/>
          <w:sz w:val="24"/>
          <w:szCs w:val="24"/>
        </w:rPr>
        <w:t>时内对品种、型号、规格、数量进行初步验收；如品种、型号、规格、数量不符合规定和合同约定的，甲方在验收完毕</w:t>
      </w:r>
      <w:r>
        <w:rPr>
          <w:rFonts w:hint="eastAsia" w:ascii="宋体" w:hAnsi="宋体"/>
          <w:color w:val="000000"/>
          <w:sz w:val="24"/>
          <w:szCs w:val="24"/>
          <w:u w:val="none"/>
        </w:rPr>
        <w:t>后的2日内向乙方提出异议和处理意见。对货物质量的异议不受时间限制，随时发现可以随时提出异议。乙方在收到甲方异议后，应在2日内负责处理；如果乙方逾期不予处理或收到异议通知后置之不理的，视为同意甲方提出的异议</w:t>
      </w:r>
      <w:r>
        <w:rPr>
          <w:rFonts w:hint="eastAsia" w:ascii="宋体" w:hAnsi="宋体"/>
          <w:color w:val="000000"/>
          <w:sz w:val="24"/>
          <w:szCs w:val="24"/>
        </w:rPr>
        <w:t>和处理意见，</w:t>
      </w:r>
      <w:r>
        <w:rPr>
          <w:rFonts w:hint="eastAsia" w:ascii="宋体" w:hAnsi="宋体" w:eastAsia="宋体" w:cs="Times New Roman"/>
          <w:sz w:val="24"/>
        </w:rPr>
        <w:t>甲方有权将收到的货物自行处理，因此发生的费用和损失由乙方承担。</w:t>
      </w:r>
    </w:p>
    <w:p w14:paraId="429E2BA4">
      <w:pPr>
        <w:spacing w:line="390" w:lineRule="exact"/>
        <w:ind w:firstLine="480" w:firstLineChars="200"/>
        <w:rPr>
          <w:rFonts w:ascii="宋体" w:hAnsi="宋体" w:eastAsia="宋体" w:cs="Times New Roman"/>
          <w:sz w:val="24"/>
        </w:rPr>
      </w:pPr>
      <w:r>
        <w:rPr>
          <w:rFonts w:hint="eastAsia" w:ascii="宋体" w:hAnsi="宋体" w:eastAsia="宋体" w:cs="Times New Roman"/>
          <w:sz w:val="24"/>
        </w:rPr>
        <w:t>5.2验收方式：见附件</w:t>
      </w:r>
      <w:r>
        <w:rPr>
          <w:rFonts w:ascii="宋体" w:hAnsi="宋体" w:eastAsia="宋体" w:cs="Times New Roman"/>
          <w:sz w:val="24"/>
        </w:rPr>
        <w:t>3</w:t>
      </w:r>
      <w:r>
        <w:rPr>
          <w:rFonts w:hint="eastAsia" w:ascii="宋体" w:hAnsi="宋体" w:eastAsia="宋体" w:cs="Times New Roman"/>
          <w:sz w:val="24"/>
        </w:rPr>
        <w:t>《技术规格书》。</w:t>
      </w:r>
    </w:p>
    <w:p w14:paraId="1581BB4A">
      <w:pPr>
        <w:spacing w:line="390" w:lineRule="exact"/>
        <w:ind w:firstLine="480" w:firstLineChars="200"/>
        <w:rPr>
          <w:rFonts w:ascii="宋体" w:hAnsi="宋体" w:eastAsia="宋体" w:cs="Times New Roman"/>
          <w:sz w:val="24"/>
        </w:rPr>
      </w:pPr>
      <w:r>
        <w:rPr>
          <w:rFonts w:hint="eastAsia" w:ascii="宋体" w:hAnsi="宋体" w:eastAsia="宋体" w:cs="Times New Roman"/>
          <w:sz w:val="24"/>
        </w:rPr>
        <w:t>5.3验收如发生争议，由</w:t>
      </w:r>
      <w:r>
        <w:rPr>
          <w:rFonts w:hint="eastAsia" w:ascii="宋体" w:hAnsi="宋体" w:eastAsia="宋体" w:cs="Times New Roman"/>
          <w:sz w:val="24"/>
          <w:lang w:val="en-US" w:eastAsia="zh-CN"/>
        </w:rPr>
        <w:t>买卖双方认可或共同选择的省级及以上质量检测部门检测结果为准</w:t>
      </w:r>
      <w:r>
        <w:rPr>
          <w:rFonts w:hint="eastAsia" w:ascii="宋体" w:hAnsi="宋体" w:eastAsia="宋体" w:cs="Times New Roman"/>
          <w:sz w:val="24"/>
        </w:rPr>
        <w:t>。</w:t>
      </w:r>
    </w:p>
    <w:p w14:paraId="748EB423">
      <w:pPr>
        <w:spacing w:line="390" w:lineRule="exact"/>
        <w:ind w:firstLine="480" w:firstLineChars="200"/>
        <w:rPr>
          <w:rFonts w:ascii="宋体" w:hAnsi="宋体"/>
          <w:sz w:val="24"/>
          <w:szCs w:val="24"/>
        </w:rPr>
      </w:pPr>
      <w:r>
        <w:rPr>
          <w:rFonts w:hint="eastAsia" w:ascii="宋体" w:hAnsi="宋体"/>
          <w:sz w:val="24"/>
          <w:szCs w:val="24"/>
        </w:rPr>
        <w:t>检测费用约定：乙方声明在合同生效后，首次委外检测费用由乙方承担，若双方对后续检测结果有异议，再次委外检测结果不合格，检测费用由乙方承担，检测结果合格，检测费用由甲方承担。</w:t>
      </w:r>
    </w:p>
    <w:p w14:paraId="0E5B85E8">
      <w:pPr>
        <w:spacing w:line="390" w:lineRule="exact"/>
        <w:ind w:firstLine="480" w:firstLineChars="200"/>
        <w:rPr>
          <w:rFonts w:ascii="宋体" w:hAnsi="宋体"/>
          <w:sz w:val="24"/>
          <w:szCs w:val="24"/>
        </w:rPr>
      </w:pPr>
      <w:r>
        <w:rPr>
          <w:rFonts w:hint="eastAsia" w:ascii="宋体" w:hAnsi="宋体"/>
          <w:color w:val="000000"/>
          <w:sz w:val="24"/>
          <w:szCs w:val="24"/>
        </w:rPr>
        <w:t>5.4</w:t>
      </w:r>
      <w:r>
        <w:rPr>
          <w:rFonts w:hint="eastAsia" w:ascii="宋体" w:hAnsi="宋体"/>
          <w:sz w:val="24"/>
          <w:szCs w:val="24"/>
        </w:rPr>
        <w:t>甲方指定负责货物的验收、签认；乙方指</w:t>
      </w:r>
      <w:r>
        <w:rPr>
          <w:rFonts w:hint="eastAsia" w:ascii="宋体" w:hAnsi="宋体" w:eastAsia="宋体" w:cs="Times New Roman"/>
          <w:sz w:val="24"/>
          <w:szCs w:val="24"/>
        </w:rPr>
        <w:t>定（身份证号：</w:t>
      </w:r>
      <w:r>
        <w:rPr>
          <w:rFonts w:hint="eastAsia" w:ascii="宋体" w:hAnsi="宋体"/>
          <w:sz w:val="24"/>
          <w:szCs w:val="24"/>
        </w:rPr>
        <w:t>）负责货物的交验、签认。甲方指定的上述人员是甲方唯一的收货代表，其在乙方送货清单上签字，作为乙方货物已到现场的证明，指定人员以外其他人员的验收、签认，对另一方不发生效力。一方指定人员发生变化时，应当及时告知对方，并自书面通知到达对方时产生效力。送货清单（或相应票据）中事先印刷的相关备注文字（双方验收人员签署的备注内容除外）内容不构成合同文件的组成部分。</w:t>
      </w:r>
    </w:p>
    <w:p w14:paraId="51DBED90">
      <w:pPr>
        <w:spacing w:line="390" w:lineRule="exact"/>
        <w:ind w:firstLine="480" w:firstLineChars="200"/>
        <w:rPr>
          <w:rFonts w:ascii="宋体" w:hAnsi="宋体"/>
          <w:sz w:val="24"/>
          <w:szCs w:val="24"/>
        </w:rPr>
      </w:pPr>
      <w:r>
        <w:rPr>
          <w:rFonts w:hint="eastAsia" w:ascii="宋体" w:hAnsi="宋体"/>
          <w:sz w:val="24"/>
          <w:szCs w:val="24"/>
        </w:rPr>
        <w:t xml:space="preserve">甲方对货物的验收，并不视为免除乙方对产品质量和技术应负的责任。 </w:t>
      </w:r>
    </w:p>
    <w:p w14:paraId="30033941">
      <w:pPr>
        <w:spacing w:line="390" w:lineRule="exact"/>
        <w:ind w:firstLine="480" w:firstLineChars="200"/>
        <w:rPr>
          <w:rFonts w:ascii="宋体" w:hAnsi="宋体"/>
          <w:color w:val="000000"/>
          <w:sz w:val="24"/>
          <w:szCs w:val="24"/>
        </w:rPr>
      </w:pPr>
      <w:r>
        <w:rPr>
          <w:rFonts w:hint="eastAsia" w:ascii="宋体" w:hAnsi="宋体"/>
          <w:color w:val="000000"/>
          <w:sz w:val="24"/>
          <w:szCs w:val="24"/>
        </w:rPr>
        <w:t>5.5本合同约定货物的质保期为</w:t>
      </w:r>
      <w:r>
        <w:rPr>
          <w:rFonts w:hint="eastAsia" w:ascii="宋体" w:hAnsi="宋体"/>
          <w:color w:val="000000"/>
          <w:sz w:val="24"/>
          <w:szCs w:val="24"/>
          <w:u w:val="none"/>
          <w:lang w:val="en-US" w:eastAsia="zh-CN"/>
        </w:rPr>
        <w:t>6</w:t>
      </w:r>
      <w:r>
        <w:rPr>
          <w:rFonts w:hint="eastAsia" w:ascii="宋体" w:hAnsi="宋体"/>
          <w:color w:val="000000"/>
          <w:sz w:val="24"/>
          <w:szCs w:val="24"/>
        </w:rPr>
        <w:t>个月，自最后一批次供货验收合格之日起计算。如果乙方对货物有另外承诺的质保期且与本合同约定不一致的，双方同意以期限较长的为准。</w:t>
      </w:r>
    </w:p>
    <w:p w14:paraId="6F26E9D6">
      <w:pPr>
        <w:spacing w:line="390" w:lineRule="exact"/>
        <w:ind w:firstLine="480" w:firstLineChars="200"/>
        <w:rPr>
          <w:rFonts w:ascii="宋体" w:hAnsi="宋体"/>
          <w:sz w:val="24"/>
          <w:szCs w:val="24"/>
        </w:rPr>
      </w:pPr>
      <w:r>
        <w:rPr>
          <w:rFonts w:hint="eastAsia" w:ascii="宋体" w:hAnsi="宋体"/>
          <w:sz w:val="24"/>
          <w:szCs w:val="24"/>
        </w:rPr>
        <w:t>甲方如发现产品的品种、型号、规格和数量等不符合规定和合同约定的，应自收到产品后</w:t>
      </w:r>
      <w:r>
        <w:rPr>
          <w:rFonts w:hint="eastAsia" w:ascii="宋体" w:hAnsi="宋体"/>
          <w:sz w:val="24"/>
          <w:szCs w:val="24"/>
          <w:lang w:val="en-US" w:eastAsia="zh-CN"/>
        </w:rPr>
        <w:t>2</w:t>
      </w:r>
      <w:r>
        <w:rPr>
          <w:rFonts w:hint="eastAsia" w:ascii="宋体" w:hAnsi="宋体"/>
          <w:sz w:val="24"/>
          <w:szCs w:val="24"/>
        </w:rPr>
        <w:t>日内向乙方提出异议和处理意见，乙方在接到甲方异议后，应在</w:t>
      </w:r>
      <w:r>
        <w:rPr>
          <w:rFonts w:hint="eastAsia" w:ascii="宋体" w:hAnsi="宋体"/>
          <w:sz w:val="24"/>
          <w:szCs w:val="24"/>
          <w:lang w:val="en-US" w:eastAsia="zh-CN"/>
        </w:rPr>
        <w:t>2</w:t>
      </w:r>
      <w:r>
        <w:rPr>
          <w:rFonts w:hint="eastAsia" w:ascii="宋体" w:hAnsi="宋体"/>
          <w:sz w:val="24"/>
          <w:szCs w:val="24"/>
        </w:rPr>
        <w:t>日内按照甲方要求负责处理,否则即视为违约，且甲方有权自行处理收到的产品或重新进行采购，造成的损失由乙方自行承担。甲方对产品质量的异议不受该时间的限制，随时发现可随时提出异议和处理意见。</w:t>
      </w:r>
    </w:p>
    <w:p w14:paraId="7BE808D6">
      <w:pPr>
        <w:spacing w:line="390" w:lineRule="exact"/>
        <w:ind w:firstLine="480" w:firstLineChars="200"/>
        <w:rPr>
          <w:rFonts w:ascii="宋体" w:hAnsi="宋体"/>
          <w:color w:val="000000"/>
          <w:sz w:val="24"/>
          <w:szCs w:val="24"/>
        </w:rPr>
      </w:pPr>
      <w:r>
        <w:rPr>
          <w:rFonts w:hint="eastAsia" w:ascii="宋体" w:hAnsi="宋体"/>
          <w:color w:val="000000"/>
          <w:sz w:val="24"/>
          <w:szCs w:val="24"/>
        </w:rPr>
        <w:t>在质保期内，因货物使用过程中出现任何问题影响到甲方正常使用的，乙方须在收到甲方通知后</w:t>
      </w:r>
      <w:r>
        <w:rPr>
          <w:rFonts w:hint="eastAsia" w:ascii="宋体" w:hAnsi="宋体"/>
          <w:color w:val="000000"/>
          <w:sz w:val="24"/>
          <w:szCs w:val="24"/>
          <w:lang w:val="en-US" w:eastAsia="zh-CN"/>
        </w:rPr>
        <w:t>2</w:t>
      </w:r>
      <w:r>
        <w:rPr>
          <w:rFonts w:hint="eastAsia" w:ascii="宋体" w:hAnsi="宋体"/>
          <w:color w:val="000000"/>
          <w:sz w:val="24"/>
          <w:szCs w:val="24"/>
        </w:rPr>
        <w:t>日内进行维修或更换，因此产生的费用由乙方承担。质保期满后，乙方接到甲方通知后</w:t>
      </w:r>
      <w:r>
        <w:rPr>
          <w:rFonts w:hint="eastAsia" w:ascii="宋体" w:hAnsi="宋体"/>
          <w:color w:val="000000"/>
          <w:sz w:val="24"/>
          <w:szCs w:val="24"/>
          <w:lang w:val="en-US" w:eastAsia="zh-CN"/>
        </w:rPr>
        <w:t>7</w:t>
      </w:r>
      <w:r>
        <w:rPr>
          <w:rFonts w:hint="eastAsia" w:ascii="宋体" w:hAnsi="宋体"/>
          <w:color w:val="000000"/>
          <w:sz w:val="24"/>
          <w:szCs w:val="24"/>
        </w:rPr>
        <w:t>日内进行维修等服务，乙方可对甲方合理收费。</w:t>
      </w:r>
    </w:p>
    <w:p w14:paraId="39EC94E3">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第六条　价格与货款支付：</w:t>
      </w:r>
    </w:p>
    <w:p w14:paraId="105A6640">
      <w:pPr>
        <w:spacing w:line="390" w:lineRule="exact"/>
        <w:ind w:firstLine="480" w:firstLineChars="200"/>
        <w:rPr>
          <w:rFonts w:ascii="宋体" w:hAnsi="宋体"/>
          <w:color w:val="4F81BD"/>
          <w:sz w:val="24"/>
          <w:szCs w:val="24"/>
        </w:rPr>
      </w:pPr>
      <w:r>
        <w:rPr>
          <w:rFonts w:hint="eastAsia" w:ascii="宋体" w:hAnsi="宋体"/>
          <w:color w:val="000000"/>
          <w:sz w:val="24"/>
          <w:szCs w:val="24"/>
        </w:rPr>
        <w:t>6.1</w:t>
      </w:r>
      <w:r>
        <w:rPr>
          <w:rFonts w:hint="eastAsia" w:ascii="宋体" w:hAnsi="宋体"/>
          <w:sz w:val="24"/>
        </w:rPr>
        <w:t>本合同暂定总价（含增值税）元（大写：人民币</w:t>
      </w:r>
      <w:r>
        <w:rPr>
          <w:rFonts w:hint="eastAsia" w:ascii="宋体" w:hAnsi="宋体"/>
          <w:sz w:val="24"/>
          <w:lang w:eastAsia="zh-CN"/>
        </w:rPr>
        <w:t>）</w:t>
      </w:r>
      <w:r>
        <w:rPr>
          <w:rFonts w:hint="eastAsia" w:ascii="宋体" w:hAnsi="宋体"/>
          <w:sz w:val="24"/>
        </w:rPr>
        <w:t>。其中，不含税价款为元（大写：人民币），增值税税率为，增值税元（大写：人民币</w:t>
      </w:r>
      <w:r>
        <w:rPr>
          <w:rFonts w:hint="eastAsia" w:ascii="宋体" w:hAnsi="宋体"/>
          <w:sz w:val="24"/>
          <w:lang w:eastAsia="zh-CN"/>
        </w:rPr>
        <w:t>）。</w:t>
      </w:r>
      <w:r>
        <w:rPr>
          <w:rFonts w:hint="eastAsia" w:ascii="宋体" w:hAnsi="宋体"/>
          <w:sz w:val="24"/>
          <w:szCs w:val="24"/>
        </w:rPr>
        <w:t>若因国家税务政策变化导致税率调整，不含增值税价格不变，具体税金以变更后的税率计算。</w:t>
      </w:r>
    </w:p>
    <w:p w14:paraId="4519D4C1">
      <w:pPr>
        <w:spacing w:line="390" w:lineRule="exact"/>
        <w:ind w:firstLine="480" w:firstLineChars="200"/>
        <w:rPr>
          <w:rFonts w:ascii="宋体" w:hAnsi="宋体"/>
          <w:color w:val="000000"/>
          <w:sz w:val="24"/>
          <w:szCs w:val="24"/>
        </w:rPr>
      </w:pPr>
      <w:r>
        <w:rPr>
          <w:rFonts w:hint="eastAsia" w:ascii="宋体" w:hAnsi="宋体"/>
          <w:color w:val="000000"/>
          <w:sz w:val="24"/>
          <w:szCs w:val="24"/>
        </w:rPr>
        <w:t>本合同价格为乙方将货物运送至甲方指定地点的综合价格，包含</w:t>
      </w:r>
      <w:r>
        <w:rPr>
          <w:rFonts w:hint="eastAsia" w:ascii="宋体" w:hAnsi="宋体" w:eastAsia="宋体" w:cs="Times New Roman"/>
          <w:color w:val="000000"/>
          <w:sz w:val="24"/>
          <w:szCs w:val="24"/>
          <w:u w:val="none"/>
        </w:rPr>
        <w:t>乙方成本、运输、装卸、检测、售后服务等为履行本合同义务所需的一切费用及承担的风险，且合同价款已充分考虑支付条件、支付期限、支付方式等因素。</w:t>
      </w:r>
    </w:p>
    <w:p w14:paraId="191E5C93">
      <w:pPr>
        <w:spacing w:line="390" w:lineRule="exact"/>
        <w:ind w:firstLine="480" w:firstLineChars="200"/>
        <w:rPr>
          <w:rFonts w:ascii="宋体" w:hAnsi="宋体" w:cs="宋体"/>
          <w:bCs/>
          <w:color w:val="000000"/>
          <w:kern w:val="0"/>
          <w:sz w:val="24"/>
          <w:szCs w:val="24"/>
        </w:rPr>
      </w:pPr>
      <w:r>
        <w:rPr>
          <w:rFonts w:hint="eastAsia" w:ascii="宋体" w:hAnsi="宋体"/>
          <w:color w:val="000000"/>
          <w:sz w:val="24"/>
          <w:szCs w:val="24"/>
        </w:rPr>
        <w:t>6.2上月</w:t>
      </w:r>
      <w:r>
        <w:rPr>
          <w:rFonts w:hint="eastAsia" w:ascii="宋体" w:hAnsi="宋体"/>
          <w:color w:val="000000"/>
          <w:sz w:val="24"/>
          <w:szCs w:val="24"/>
          <w:lang w:val="en-US" w:eastAsia="zh-CN"/>
        </w:rPr>
        <w:t>21</w:t>
      </w:r>
      <w:r>
        <w:rPr>
          <w:rFonts w:hint="eastAsia" w:ascii="宋体" w:hAnsi="宋体" w:cs="宋体"/>
          <w:bCs/>
          <w:color w:val="000000"/>
          <w:kern w:val="0"/>
          <w:sz w:val="24"/>
          <w:szCs w:val="24"/>
        </w:rPr>
        <w:t>日至本月的</w:t>
      </w:r>
      <w:r>
        <w:rPr>
          <w:rFonts w:hint="eastAsia" w:ascii="宋体" w:hAnsi="宋体" w:cs="宋体"/>
          <w:bCs/>
          <w:color w:val="000000"/>
          <w:kern w:val="0"/>
          <w:sz w:val="24"/>
          <w:szCs w:val="24"/>
          <w:lang w:val="en-US" w:eastAsia="zh-CN"/>
        </w:rPr>
        <w:t>20</w:t>
      </w:r>
      <w:r>
        <w:rPr>
          <w:rFonts w:hint="eastAsia" w:ascii="宋体" w:hAnsi="宋体" w:cs="宋体"/>
          <w:bCs/>
          <w:color w:val="000000"/>
          <w:kern w:val="0"/>
          <w:sz w:val="24"/>
          <w:szCs w:val="24"/>
        </w:rPr>
        <w:t>日为一个结算周期，当月</w:t>
      </w:r>
      <w:r>
        <w:rPr>
          <w:rFonts w:hint="eastAsia" w:ascii="宋体" w:hAnsi="宋体" w:cs="宋体"/>
          <w:bCs/>
          <w:color w:val="000000"/>
          <w:kern w:val="0"/>
          <w:sz w:val="24"/>
          <w:szCs w:val="24"/>
          <w:lang w:val="en-US" w:eastAsia="zh-CN"/>
        </w:rPr>
        <w:t>20</w:t>
      </w:r>
      <w:r>
        <w:rPr>
          <w:rFonts w:hint="eastAsia" w:ascii="宋体" w:hAnsi="宋体" w:cs="宋体"/>
          <w:bCs/>
          <w:color w:val="000000"/>
          <w:kern w:val="0"/>
          <w:sz w:val="24"/>
          <w:szCs w:val="24"/>
        </w:rPr>
        <w:t>日为本月的结算截止日期。结算时根据甲方检验合格及双方共同签认的凭证计算当月实际收货数量，除此之外任何证明、收条、欠条、信函等文件，都不得作为结算、支付依据。</w:t>
      </w:r>
    </w:p>
    <w:p w14:paraId="3E40D946">
      <w:pPr>
        <w:spacing w:line="390" w:lineRule="exact"/>
        <w:ind w:firstLine="480" w:firstLineChars="200"/>
        <w:rPr>
          <w:rFonts w:ascii="宋体" w:hAnsi="宋体"/>
          <w:sz w:val="24"/>
          <w:szCs w:val="24"/>
        </w:rPr>
      </w:pPr>
      <w:r>
        <w:rPr>
          <w:rFonts w:hint="eastAsia" w:ascii="宋体" w:hAnsi="宋体" w:cs="宋体"/>
          <w:bCs/>
          <w:color w:val="000000"/>
          <w:kern w:val="0"/>
          <w:sz w:val="24"/>
          <w:szCs w:val="24"/>
        </w:rPr>
        <w:t>6.3</w:t>
      </w:r>
      <w:r>
        <w:rPr>
          <w:rFonts w:hint="eastAsia" w:ascii="宋体" w:hAnsi="宋体"/>
          <w:sz w:val="24"/>
          <w:szCs w:val="24"/>
        </w:rPr>
        <w:t>双</w:t>
      </w:r>
      <w:r>
        <w:rPr>
          <w:rFonts w:hint="eastAsia" w:ascii="宋体" w:hAnsi="宋体"/>
          <w:color w:val="000000"/>
          <w:sz w:val="24"/>
          <w:szCs w:val="24"/>
        </w:rPr>
        <w:t>方特别约定：遵循“先开票、后付款”的原则，甲方支付前，乙方应按双方确认的当期结算金</w:t>
      </w:r>
      <w:r>
        <w:rPr>
          <w:rFonts w:hint="eastAsia" w:ascii="宋体" w:hAnsi="宋体"/>
          <w:sz w:val="24"/>
          <w:szCs w:val="24"/>
        </w:rPr>
        <w:t>额向甲方提供增值税专用发票，并于发票开具后</w:t>
      </w:r>
      <w:r>
        <w:rPr>
          <w:rFonts w:hint="eastAsia" w:ascii="宋体" w:hAnsi="宋体"/>
          <w:sz w:val="24"/>
          <w:szCs w:val="24"/>
          <w:lang w:val="en-US" w:eastAsia="zh-CN"/>
        </w:rPr>
        <w:t>10</w:t>
      </w:r>
      <w:r>
        <w:rPr>
          <w:rFonts w:hint="eastAsia" w:ascii="宋体" w:hAnsi="宋体"/>
          <w:sz w:val="24"/>
          <w:szCs w:val="24"/>
        </w:rPr>
        <w:t>日内提交给甲方。甲方收到乙方发票后，按合同约定向乙方付款。</w:t>
      </w:r>
    </w:p>
    <w:p w14:paraId="2C9CC813">
      <w:pPr>
        <w:pStyle w:val="13"/>
        <w:tabs>
          <w:tab w:val="left" w:pos="709"/>
        </w:tabs>
        <w:spacing w:line="360" w:lineRule="auto"/>
        <w:ind w:firstLine="48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1.价格结算机制：本次冷轧带肋焊接网结算价格实行浮动价结算。</w:t>
      </w:r>
    </w:p>
    <w:p w14:paraId="04029A11">
      <w:pPr>
        <w:pStyle w:val="13"/>
        <w:tabs>
          <w:tab w:val="left" w:pos="709"/>
        </w:tabs>
        <w:spacing w:line="360" w:lineRule="auto"/>
        <w:ind w:firstLine="48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结算单价=网价+综合费</w:t>
      </w:r>
    </w:p>
    <w:p w14:paraId="72F11886">
      <w:pPr>
        <w:pStyle w:val="13"/>
        <w:tabs>
          <w:tab w:val="left" w:pos="709"/>
        </w:tabs>
        <w:spacing w:line="360" w:lineRule="auto"/>
        <w:ind w:firstLine="48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结算单价：包含但不限于材料费、加工费、试验费、包装费、搬运、储存、装卸车费、服务费及售后服务费等费用。</w:t>
      </w:r>
    </w:p>
    <w:p w14:paraId="4C01212F">
      <w:pPr>
        <w:pStyle w:val="13"/>
        <w:tabs>
          <w:tab w:val="left" w:pos="709"/>
        </w:tabs>
        <w:spacing w:line="360" w:lineRule="auto"/>
        <w:ind w:firstLine="48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网价为出厂虚拟单价:</w:t>
      </w:r>
    </w:p>
    <w:p w14:paraId="44342840">
      <w:pPr>
        <w:pStyle w:val="13"/>
        <w:tabs>
          <w:tab w:val="left" w:pos="709"/>
        </w:tabs>
        <w:spacing w:line="360" w:lineRule="auto"/>
        <w:ind w:firstLine="482"/>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此次招标各种规格型号的冷轧带肋焊接网出厂虚拟单价为3800元/吨；</w:t>
      </w:r>
    </w:p>
    <w:p w14:paraId="5005E393">
      <w:pPr>
        <w:pStyle w:val="13"/>
        <w:tabs>
          <w:tab w:val="left" w:pos="709"/>
        </w:tabs>
        <w:spacing w:line="360" w:lineRule="auto"/>
        <w:ind w:firstLine="482"/>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此单价仅用于本次招标开标时核算总价的依据，不作为将来中标后合同结算依据，不按此规定报价的投标文件将作废标处理。</w:t>
      </w:r>
    </w:p>
    <w:p w14:paraId="4178405C">
      <w:pPr>
        <w:pStyle w:val="13"/>
        <w:tabs>
          <w:tab w:val="left" w:pos="709"/>
        </w:tabs>
        <w:spacing w:line="360" w:lineRule="auto"/>
        <w:ind w:firstLine="48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综合费为投标人根据网价核定除网价外的运杂费、投标人让利等其他费用的综合费（含税）；综合费可以为正值、可以为0、也可以为负值，综合费值在合同履约过程中不作调整。（同一包件中型钢同一物资类型的综合费用单价须一致，否则将导致投标文件被否决。）</w:t>
      </w:r>
    </w:p>
    <w:p w14:paraId="06A8F7C5">
      <w:pPr>
        <w:pStyle w:val="13"/>
        <w:tabs>
          <w:tab w:val="left" w:pos="709"/>
        </w:tabs>
        <w:spacing w:line="360" w:lineRule="auto"/>
        <w:ind w:firstLine="48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钢材以“我的钢铁网”（www.mysteel.com）“邯郸市场建筑钢材价格行情”到货当日首次公布的同规格型号价格的算术平均值（不采用备注栏及表格下方列出的价格和加价建议）来确定招标物资相同规格对应的出厂单价。</w:t>
      </w:r>
    </w:p>
    <w:p w14:paraId="6349BC6D">
      <w:pPr>
        <w:pStyle w:val="13"/>
        <w:tabs>
          <w:tab w:val="left" w:pos="709"/>
        </w:tabs>
        <w:spacing w:line="360" w:lineRule="auto"/>
        <w:ind w:firstLine="48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若“我的钢铁网”在规定时间遇节假日未公布市场价格，则向前顺延至首个报价日；未公布规格参照最接近较小规格价格，无最接近较小规格参照最接近较大规格价格。</w:t>
      </w:r>
    </w:p>
    <w:p w14:paraId="3D254E0E">
      <w:pPr>
        <w:pStyle w:val="13"/>
        <w:tabs>
          <w:tab w:val="left" w:pos="709"/>
        </w:tabs>
        <w:spacing w:line="360" w:lineRule="auto"/>
        <w:ind w:firstLine="48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货款支付方式：银行转帐</w:t>
      </w:r>
    </w:p>
    <w:p w14:paraId="77E236F4">
      <w:pPr>
        <w:pStyle w:val="13"/>
        <w:tabs>
          <w:tab w:val="left" w:pos="709"/>
        </w:tabs>
        <w:spacing w:line="360" w:lineRule="auto"/>
        <w:ind w:firstLine="48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冷轧带肋焊接网包件付款模式：合同“买方”在结算当月扣除该批物资价值5%的质量保证金，在结算后第四个月20日前支付该批物资75%的价款，剩余的20%在第五个月20日前支付,质保金在质保期满后支付。（“买方有权采用银行转账、信用证或供应链金融（包括但不限于商业承兑汇票、银行承兑汇票、建行E信通、航信、中铁E信）等形式付款。”）</w:t>
      </w:r>
    </w:p>
    <w:p w14:paraId="14654BB0">
      <w:pPr>
        <w:pStyle w:val="13"/>
        <w:tabs>
          <w:tab w:val="left" w:pos="709"/>
        </w:tabs>
        <w:spacing w:line="360" w:lineRule="auto"/>
        <w:ind w:firstLine="48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运费计算方式：一票制结算，乙方开具税率为13%的增值税专用发票。</w:t>
      </w:r>
    </w:p>
    <w:p w14:paraId="7480EFAD">
      <w:pPr>
        <w:spacing w:line="390" w:lineRule="exact"/>
        <w:ind w:firstLine="480" w:firstLineChars="200"/>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备注：上述结算方式中结算单价、网价及综合费均为含税价。</w:t>
      </w:r>
    </w:p>
    <w:p w14:paraId="04FB0C32">
      <w:pPr>
        <w:spacing w:line="39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6.5货款支付方式：甲乙双方协商一致同意采用银行转账、</w:t>
      </w:r>
      <w:bookmarkStart w:id="44" w:name="OLE_LINK2"/>
      <w:bookmarkStart w:id="45" w:name="OLE_LINK1"/>
      <w:r>
        <w:rPr>
          <w:rFonts w:hint="eastAsia" w:ascii="宋体" w:hAnsi="宋体" w:eastAsia="宋体" w:cs="Times New Roman"/>
          <w:color w:val="000000"/>
          <w:sz w:val="24"/>
          <w:szCs w:val="24"/>
        </w:rPr>
        <w:t>银行承兑汇票、应收账款电子凭证等</w:t>
      </w:r>
      <w:bookmarkEnd w:id="44"/>
      <w:r>
        <w:rPr>
          <w:rFonts w:hint="eastAsia" w:ascii="宋体" w:hAnsi="宋体" w:eastAsia="宋体" w:cs="Times New Roman"/>
          <w:color w:val="000000"/>
          <w:sz w:val="24"/>
          <w:szCs w:val="24"/>
        </w:rPr>
        <w:t>方式支付</w:t>
      </w:r>
      <w:bookmarkEnd w:id="45"/>
      <w:r>
        <w:rPr>
          <w:rFonts w:hint="eastAsia" w:ascii="宋体" w:hAnsi="宋体" w:eastAsia="宋体" w:cs="Times New Roman"/>
          <w:color w:val="000000"/>
          <w:sz w:val="24"/>
          <w:szCs w:val="24"/>
        </w:rPr>
        <w:t>本合同款项。</w:t>
      </w:r>
    </w:p>
    <w:p w14:paraId="6A02D1DE">
      <w:pPr>
        <w:spacing w:line="390" w:lineRule="exact"/>
        <w:ind w:firstLine="480" w:firstLineChars="200"/>
        <w:rPr>
          <w:rFonts w:hint="eastAsia" w:ascii="宋体" w:hAnsi="宋体" w:eastAsia="宋体" w:cs="Times New Roman"/>
          <w:color w:val="000000"/>
          <w:sz w:val="24"/>
          <w:szCs w:val="24"/>
        </w:rPr>
      </w:pPr>
      <w:bookmarkStart w:id="46" w:name="OLE_LINK4"/>
      <w:r>
        <w:rPr>
          <w:rFonts w:hint="eastAsia" w:ascii="宋体" w:hAnsi="宋体" w:eastAsia="宋体" w:cs="Times New Roman"/>
          <w:color w:val="000000"/>
          <w:sz w:val="24"/>
          <w:szCs w:val="24"/>
        </w:rPr>
        <w:t>甲方</w:t>
      </w:r>
      <w:bookmarkStart w:id="47" w:name="OLE_LINK7"/>
      <w:r>
        <w:rPr>
          <w:rFonts w:hint="eastAsia" w:ascii="宋体" w:hAnsi="宋体" w:eastAsia="宋体" w:cs="Times New Roman"/>
          <w:color w:val="000000"/>
          <w:sz w:val="24"/>
          <w:szCs w:val="24"/>
        </w:rPr>
        <w:t>使用</w:t>
      </w:r>
      <w:bookmarkEnd w:id="46"/>
      <w:r>
        <w:rPr>
          <w:rFonts w:hint="eastAsia" w:ascii="宋体" w:hAnsi="宋体" w:eastAsia="宋体" w:cs="Times New Roman"/>
          <w:color w:val="000000"/>
          <w:sz w:val="24"/>
          <w:szCs w:val="24"/>
        </w:rPr>
        <w:t>银行承兑汇票支付本合同款项，甲方不承担贴现费用</w:t>
      </w:r>
      <w:bookmarkEnd w:id="47"/>
      <w:r>
        <w:rPr>
          <w:rFonts w:hint="eastAsia" w:ascii="宋体" w:hAnsi="宋体" w:eastAsia="宋体" w:cs="Times New Roman"/>
          <w:color w:val="000000"/>
          <w:sz w:val="24"/>
          <w:szCs w:val="24"/>
        </w:rPr>
        <w:t>；甲方使用应收账款电子凭证</w:t>
      </w:r>
      <w:bookmarkStart w:id="48" w:name="OLE_LINK3"/>
      <w:r>
        <w:rPr>
          <w:rFonts w:hint="eastAsia" w:ascii="宋体" w:hAnsi="宋体" w:eastAsia="宋体" w:cs="Times New Roman"/>
          <w:color w:val="000000"/>
          <w:sz w:val="24"/>
          <w:szCs w:val="24"/>
        </w:rPr>
        <w:t>支付本合同款项</w:t>
      </w:r>
      <w:bookmarkEnd w:id="48"/>
      <w:r>
        <w:rPr>
          <w:rFonts w:hint="eastAsia" w:ascii="宋体" w:hAnsi="宋体" w:eastAsia="宋体" w:cs="Times New Roman"/>
          <w:color w:val="000000"/>
          <w:sz w:val="24"/>
          <w:szCs w:val="24"/>
        </w:rPr>
        <w:t>，实际贴息费用不包含在采购单价中，由乙方以“</w:t>
      </w:r>
      <w:bookmarkStart w:id="49" w:name="OLE_LINK10"/>
      <w:r>
        <w:rPr>
          <w:rFonts w:hint="eastAsia" w:ascii="宋体" w:hAnsi="宋体" w:eastAsia="宋体" w:cs="Times New Roman"/>
          <w:color w:val="000000"/>
          <w:sz w:val="24"/>
          <w:szCs w:val="24"/>
        </w:rPr>
        <w:t>价外费</w:t>
      </w:r>
      <w:bookmarkEnd w:id="49"/>
      <w:r>
        <w:rPr>
          <w:rFonts w:hint="eastAsia" w:ascii="宋体" w:hAnsi="宋体" w:eastAsia="宋体" w:cs="Times New Roman"/>
          <w:color w:val="000000"/>
          <w:sz w:val="24"/>
          <w:szCs w:val="24"/>
        </w:rPr>
        <w:t>”的形式对实际接收应收账款电子凭证贴现费用开具发票，由甲方承担。</w:t>
      </w:r>
    </w:p>
    <w:p w14:paraId="0B7FA801">
      <w:pPr>
        <w:spacing w:line="39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乙方指定联系人（身份证号</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 xml:space="preserve">），联系方式。  </w:t>
      </w:r>
    </w:p>
    <w:p w14:paraId="0C66F1EB">
      <w:pPr>
        <w:spacing w:line="39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6.6 如甲方出现资金困难，乙方同意给予</w:t>
      </w:r>
      <w:r>
        <w:rPr>
          <w:rFonts w:hint="eastAsia" w:ascii="宋体" w:hAnsi="宋体" w:eastAsia="宋体" w:cs="Times New Roman"/>
          <w:color w:val="000000"/>
          <w:sz w:val="24"/>
          <w:szCs w:val="24"/>
          <w:lang w:val="en-US" w:eastAsia="zh-CN"/>
        </w:rPr>
        <w:t>2</w:t>
      </w:r>
      <w:r>
        <w:rPr>
          <w:rFonts w:hint="eastAsia" w:ascii="宋体" w:hAnsi="宋体" w:eastAsia="宋体" w:cs="Times New Roman"/>
          <w:color w:val="000000"/>
          <w:sz w:val="24"/>
          <w:szCs w:val="24"/>
        </w:rPr>
        <w:t>个月的付款宽限期，在此宽期间内不视为甲方违约且不计息，乙方不得以此为由中断本项目的货物供应。</w:t>
      </w:r>
    </w:p>
    <w:p w14:paraId="4A884E74">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第七条  双方权利义务</w:t>
      </w:r>
    </w:p>
    <w:p w14:paraId="230D173B">
      <w:pPr>
        <w:tabs>
          <w:tab w:val="left" w:pos="360"/>
        </w:tabs>
        <w:spacing w:line="390" w:lineRule="exact"/>
        <w:ind w:firstLine="482" w:firstLineChars="200"/>
        <w:rPr>
          <w:rFonts w:ascii="宋体" w:hAnsi="宋体"/>
          <w:b/>
          <w:bCs/>
          <w:color w:val="000000"/>
          <w:sz w:val="24"/>
          <w:szCs w:val="24"/>
        </w:rPr>
      </w:pPr>
      <w:r>
        <w:rPr>
          <w:rFonts w:hint="eastAsia" w:ascii="宋体" w:hAnsi="宋体"/>
          <w:b/>
          <w:bCs/>
          <w:color w:val="000000"/>
          <w:sz w:val="24"/>
          <w:szCs w:val="24"/>
        </w:rPr>
        <w:t>7.1 甲方的权利义务</w:t>
      </w:r>
    </w:p>
    <w:p w14:paraId="5C3E3398">
      <w:pPr>
        <w:spacing w:line="390" w:lineRule="exact"/>
        <w:ind w:firstLine="480" w:firstLineChars="200"/>
        <w:rPr>
          <w:rFonts w:ascii="宋体" w:hAnsi="宋体"/>
          <w:bCs/>
          <w:color w:val="000000"/>
          <w:sz w:val="24"/>
          <w:szCs w:val="24"/>
        </w:rPr>
      </w:pPr>
      <w:r>
        <w:rPr>
          <w:rFonts w:hint="eastAsia" w:ascii="宋体" w:hAnsi="宋体"/>
          <w:bCs/>
          <w:color w:val="000000"/>
          <w:sz w:val="24"/>
          <w:szCs w:val="24"/>
        </w:rPr>
        <w:t>7.1.1甲方负责提供供货计划和准确的交货地点。</w:t>
      </w:r>
    </w:p>
    <w:p w14:paraId="22D855E3">
      <w:pPr>
        <w:spacing w:line="390" w:lineRule="exact"/>
        <w:ind w:firstLine="480" w:firstLineChars="200"/>
        <w:rPr>
          <w:rFonts w:ascii="宋体" w:hAnsi="宋体"/>
          <w:bCs/>
          <w:color w:val="000000"/>
          <w:sz w:val="24"/>
          <w:szCs w:val="24"/>
        </w:rPr>
      </w:pPr>
      <w:r>
        <w:rPr>
          <w:rFonts w:hint="eastAsia" w:ascii="宋体" w:hAnsi="宋体"/>
          <w:bCs/>
          <w:color w:val="000000"/>
          <w:sz w:val="24"/>
          <w:szCs w:val="24"/>
        </w:rPr>
        <w:t>7.1.2按合同约定支付合同价款。</w:t>
      </w:r>
    </w:p>
    <w:p w14:paraId="77C15F11">
      <w:pPr>
        <w:spacing w:line="390" w:lineRule="exact"/>
        <w:ind w:firstLine="480" w:firstLineChars="200"/>
        <w:rPr>
          <w:rFonts w:ascii="宋体" w:hAnsi="宋体"/>
          <w:bCs/>
          <w:color w:val="000000"/>
          <w:sz w:val="24"/>
          <w:szCs w:val="24"/>
        </w:rPr>
      </w:pPr>
      <w:r>
        <w:rPr>
          <w:rFonts w:hint="eastAsia" w:ascii="宋体" w:hAnsi="宋体"/>
          <w:bCs/>
          <w:color w:val="000000"/>
          <w:sz w:val="24"/>
          <w:szCs w:val="24"/>
        </w:rPr>
        <w:t>7.1.3甲方不得无故拒绝接收供货计划范围内的货物。</w:t>
      </w:r>
    </w:p>
    <w:p w14:paraId="3C4FF4C0">
      <w:pPr>
        <w:spacing w:line="390" w:lineRule="exact"/>
        <w:ind w:firstLine="480" w:firstLineChars="200"/>
        <w:rPr>
          <w:rFonts w:ascii="宋体" w:hAnsi="宋体"/>
          <w:bCs/>
          <w:color w:val="000000"/>
          <w:sz w:val="24"/>
          <w:szCs w:val="24"/>
        </w:rPr>
      </w:pPr>
      <w:r>
        <w:rPr>
          <w:rFonts w:hint="eastAsia" w:ascii="宋体" w:hAnsi="宋体"/>
          <w:bCs/>
          <w:color w:val="000000"/>
          <w:sz w:val="24"/>
          <w:szCs w:val="24"/>
        </w:rPr>
        <w:t>7.1.4按合同约定对货物进行检验和验收。</w:t>
      </w:r>
    </w:p>
    <w:p w14:paraId="01C46AAF">
      <w:pPr>
        <w:spacing w:line="390" w:lineRule="exact"/>
        <w:ind w:firstLine="480" w:firstLineChars="200"/>
        <w:rPr>
          <w:rFonts w:ascii="宋体" w:hAnsi="宋体"/>
          <w:bCs/>
          <w:color w:val="000000"/>
          <w:sz w:val="24"/>
          <w:szCs w:val="24"/>
        </w:rPr>
      </w:pPr>
      <w:r>
        <w:rPr>
          <w:rFonts w:hint="eastAsia" w:ascii="宋体" w:hAnsi="宋体"/>
          <w:bCs/>
          <w:color w:val="000000"/>
          <w:sz w:val="24"/>
          <w:szCs w:val="24"/>
        </w:rPr>
        <w:t>7.1.5接受乙方提供的培训和保修服务。</w:t>
      </w:r>
    </w:p>
    <w:p w14:paraId="6BCE474D">
      <w:pPr>
        <w:spacing w:line="390" w:lineRule="exact"/>
        <w:ind w:firstLine="482" w:firstLineChars="200"/>
        <w:rPr>
          <w:rFonts w:ascii="宋体" w:hAnsi="宋体"/>
          <w:b/>
          <w:bCs/>
          <w:color w:val="000000"/>
          <w:sz w:val="24"/>
          <w:szCs w:val="24"/>
        </w:rPr>
      </w:pPr>
      <w:r>
        <w:rPr>
          <w:rFonts w:hint="eastAsia" w:ascii="宋体" w:hAnsi="宋体"/>
          <w:b/>
          <w:bCs/>
          <w:color w:val="000000"/>
          <w:sz w:val="24"/>
          <w:szCs w:val="24"/>
        </w:rPr>
        <w:t>7.2乙方的权利义务</w:t>
      </w:r>
    </w:p>
    <w:p w14:paraId="258969E9">
      <w:pPr>
        <w:spacing w:line="390" w:lineRule="exact"/>
        <w:ind w:firstLine="480" w:firstLineChars="200"/>
        <w:rPr>
          <w:rFonts w:ascii="宋体" w:hAnsi="宋体"/>
          <w:color w:val="000000"/>
          <w:sz w:val="24"/>
          <w:szCs w:val="24"/>
        </w:rPr>
      </w:pPr>
      <w:r>
        <w:rPr>
          <w:rFonts w:hint="eastAsia" w:ascii="宋体" w:hAnsi="宋体"/>
          <w:color w:val="000000"/>
          <w:sz w:val="24"/>
          <w:szCs w:val="24"/>
        </w:rPr>
        <w:t>7.2.1按合同约定的技术标准和质量要求供应货物；同时乙方应考虑甲方的施工特点，精心组织、配备足够的运输能力和必要的储存场地以保证甲方需要。</w:t>
      </w:r>
    </w:p>
    <w:p w14:paraId="75851A13">
      <w:pPr>
        <w:spacing w:line="390" w:lineRule="exact"/>
        <w:ind w:firstLine="480" w:firstLineChars="200"/>
        <w:rPr>
          <w:rFonts w:ascii="宋体" w:hAnsi="宋体"/>
          <w:color w:val="000000"/>
          <w:sz w:val="24"/>
          <w:szCs w:val="24"/>
        </w:rPr>
      </w:pPr>
      <w:r>
        <w:rPr>
          <w:rFonts w:hint="eastAsia" w:ascii="宋体" w:hAnsi="宋体"/>
          <w:color w:val="000000"/>
          <w:sz w:val="24"/>
          <w:szCs w:val="24"/>
        </w:rPr>
        <w:t>7.2.2及时向甲方提供货物合格证书及甲方要求的其他相关资料。</w:t>
      </w:r>
    </w:p>
    <w:p w14:paraId="35357B5C">
      <w:pPr>
        <w:spacing w:line="390" w:lineRule="exact"/>
        <w:ind w:firstLine="480" w:firstLineChars="200"/>
        <w:rPr>
          <w:rFonts w:ascii="宋体" w:hAnsi="宋体" w:cs="宋体"/>
          <w:color w:val="000000"/>
          <w:kern w:val="0"/>
          <w:sz w:val="24"/>
          <w:szCs w:val="24"/>
        </w:rPr>
      </w:pPr>
      <w:r>
        <w:rPr>
          <w:rFonts w:hint="eastAsia" w:ascii="宋体" w:hAnsi="宋体"/>
          <w:color w:val="000000"/>
          <w:sz w:val="24"/>
          <w:szCs w:val="24"/>
        </w:rPr>
        <w:t>7.2.3</w:t>
      </w:r>
      <w:r>
        <w:rPr>
          <w:rFonts w:hint="eastAsia" w:ascii="宋体" w:hAnsi="宋体" w:cs="宋体"/>
          <w:color w:val="000000"/>
          <w:kern w:val="0"/>
          <w:sz w:val="24"/>
          <w:szCs w:val="24"/>
        </w:rPr>
        <w:t>乙方与第三方发生的任何经济往来和债务纠纷均与甲方无关，乙方保证货物无权属上的瑕疵、无知识产权争议，如给甲方造成的任何损失均由乙方承担。</w:t>
      </w:r>
    </w:p>
    <w:p w14:paraId="2BC14660">
      <w:pPr>
        <w:spacing w:line="390" w:lineRule="exact"/>
        <w:ind w:firstLine="480" w:firstLineChars="200"/>
        <w:rPr>
          <w:rFonts w:ascii="宋体" w:hAnsi="宋体"/>
          <w:sz w:val="24"/>
          <w:szCs w:val="24"/>
          <w:highlight w:val="yellow"/>
        </w:rPr>
      </w:pPr>
      <w:r>
        <w:rPr>
          <w:rFonts w:hint="eastAsia" w:ascii="宋体" w:hAnsi="宋体"/>
          <w:sz w:val="24"/>
          <w:szCs w:val="24"/>
        </w:rPr>
        <w:t>7.2.</w:t>
      </w:r>
      <w:r>
        <w:rPr>
          <w:rFonts w:hint="eastAsia" w:ascii="宋体" w:hAnsi="宋体"/>
          <w:sz w:val="24"/>
          <w:szCs w:val="24"/>
          <w:lang w:val="en-US" w:eastAsia="zh-CN"/>
        </w:rPr>
        <w:t>4</w:t>
      </w:r>
      <w:r>
        <w:rPr>
          <w:rFonts w:hint="eastAsia" w:ascii="宋体" w:hAnsi="宋体" w:cs="宋体"/>
          <w:bCs/>
          <w:kern w:val="0"/>
          <w:sz w:val="24"/>
          <w:szCs w:val="24"/>
        </w:rPr>
        <w:t xml:space="preserve"> 乙方积极协助甲方在税法规定期限内办理有关的进项税额的认证申办手续。乙方开具的增值税专用发票在送达甲方后如发生丢失、灭失，乙方应按照税法规定和甲方的要求及时向甲方提供该发票的存根联复印件，以及乙方所在地主管税务机关开具的《丢失增值税发票（专用发票/普通发票）已报税证明单》，如因乙方拒绝履行配合义务，造成甲方经济损失的，应由乙方承担。</w:t>
      </w:r>
    </w:p>
    <w:p w14:paraId="2620026A">
      <w:pPr>
        <w:spacing w:line="390" w:lineRule="exact"/>
        <w:ind w:firstLine="480" w:firstLineChars="200"/>
        <w:rPr>
          <w:rFonts w:ascii="宋体" w:hAnsi="宋体" w:cs="宋体"/>
          <w:bCs/>
          <w:kern w:val="0"/>
          <w:sz w:val="24"/>
          <w:szCs w:val="24"/>
        </w:rPr>
      </w:pPr>
      <w:r>
        <w:rPr>
          <w:rFonts w:hint="eastAsia" w:ascii="宋体" w:hAnsi="宋体" w:cs="宋体"/>
          <w:bCs/>
          <w:kern w:val="0"/>
          <w:sz w:val="24"/>
          <w:szCs w:val="24"/>
        </w:rPr>
        <w:t>7.2.</w:t>
      </w:r>
      <w:r>
        <w:rPr>
          <w:rFonts w:hint="eastAsia" w:ascii="宋体" w:hAnsi="宋体" w:cs="宋体"/>
          <w:bCs/>
          <w:kern w:val="0"/>
          <w:sz w:val="24"/>
          <w:szCs w:val="24"/>
          <w:lang w:val="en-US" w:eastAsia="zh-CN"/>
        </w:rPr>
        <w:t>5</w:t>
      </w:r>
      <w:r>
        <w:rPr>
          <w:rFonts w:hint="eastAsia" w:ascii="宋体" w:hAnsi="宋体" w:cs="宋体"/>
          <w:bCs/>
          <w:kern w:val="0"/>
          <w:sz w:val="24"/>
          <w:szCs w:val="24"/>
        </w:rPr>
        <w:t>在涉及到货物质量问题的退货行为时,如果退货行为涉及到开具红字增值税专用发票的行为,乙方应当履行相关协助义务。</w:t>
      </w:r>
    </w:p>
    <w:p w14:paraId="25DC5C5A">
      <w:pPr>
        <w:spacing w:line="390" w:lineRule="exact"/>
        <w:ind w:firstLine="480" w:firstLineChars="200"/>
        <w:rPr>
          <w:rFonts w:ascii="宋体" w:hAnsi="宋体"/>
          <w:color w:val="000000"/>
          <w:sz w:val="24"/>
          <w:szCs w:val="24"/>
        </w:rPr>
      </w:pPr>
      <w:r>
        <w:rPr>
          <w:rFonts w:hint="eastAsia" w:ascii="宋体" w:hAnsi="宋体"/>
          <w:sz w:val="24"/>
          <w:szCs w:val="24"/>
        </w:rPr>
        <w:t>7.2.</w:t>
      </w:r>
      <w:r>
        <w:rPr>
          <w:rFonts w:hint="eastAsia" w:ascii="宋体" w:hAnsi="宋体"/>
          <w:sz w:val="24"/>
          <w:szCs w:val="24"/>
          <w:lang w:val="en-US" w:eastAsia="zh-CN"/>
        </w:rPr>
        <w:t>6</w:t>
      </w:r>
      <w:r>
        <w:rPr>
          <w:rFonts w:hint="eastAsia" w:ascii="宋体" w:hAnsi="宋体"/>
          <w:sz w:val="24"/>
          <w:szCs w:val="24"/>
        </w:rPr>
        <w:t>在本合同发生变更涉及增值税专用发票记载项目发生变化时，如果甲方取得增值税专用发票尚未认证抵扣,乙方应于专用发票认证期限内办理红字增值税专用发票开具申请，并重新开具增值税专用发票。如果原增值税专用发票已经抵扣，乙方就合同增加的金额补开增值税专用发票，就减少的金额甲方负责办理红字增值税专用发票开具申请，乙方开具红字增值税专用发票。</w:t>
      </w:r>
    </w:p>
    <w:p w14:paraId="4BD378B8">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第八条　甲方违约责任：</w:t>
      </w:r>
    </w:p>
    <w:p w14:paraId="49D051F8">
      <w:pPr>
        <w:spacing w:line="390" w:lineRule="exact"/>
        <w:ind w:firstLine="480" w:firstLineChars="200"/>
        <w:rPr>
          <w:rFonts w:ascii="宋体" w:hAnsi="宋体"/>
          <w:color w:val="000000"/>
          <w:sz w:val="24"/>
          <w:szCs w:val="24"/>
        </w:rPr>
      </w:pPr>
      <w:r>
        <w:rPr>
          <w:rFonts w:hint="eastAsia" w:ascii="宋体" w:hAnsi="宋体"/>
          <w:color w:val="000000"/>
          <w:sz w:val="24"/>
          <w:szCs w:val="24"/>
        </w:rPr>
        <w:t>8.</w:t>
      </w:r>
      <w:r>
        <w:rPr>
          <w:rFonts w:hint="eastAsia" w:ascii="宋体" w:hAnsi="宋体"/>
          <w:color w:val="000000"/>
          <w:sz w:val="24"/>
          <w:szCs w:val="24"/>
          <w:lang w:val="en-US" w:eastAsia="zh-CN"/>
        </w:rPr>
        <w:t>1</w:t>
      </w:r>
      <w:r>
        <w:rPr>
          <w:rFonts w:hint="eastAsia" w:ascii="宋体" w:hAnsi="宋体"/>
          <w:color w:val="000000"/>
          <w:sz w:val="24"/>
          <w:szCs w:val="24"/>
        </w:rPr>
        <w:t>甲方无故拒绝接受货物的，应承担因此给乙方造成的损失。</w:t>
      </w:r>
    </w:p>
    <w:p w14:paraId="18655F77">
      <w:pPr>
        <w:spacing w:line="390" w:lineRule="exact"/>
        <w:ind w:firstLine="480" w:firstLineChars="200"/>
        <w:rPr>
          <w:rFonts w:ascii="宋体" w:hAnsi="宋体"/>
          <w:b/>
          <w:bCs/>
          <w:color w:val="000000"/>
          <w:sz w:val="24"/>
          <w:szCs w:val="24"/>
        </w:rPr>
      </w:pPr>
      <w:r>
        <w:rPr>
          <w:rFonts w:hint="eastAsia" w:ascii="宋体" w:hAnsi="宋体"/>
          <w:color w:val="000000"/>
          <w:sz w:val="24"/>
          <w:szCs w:val="24"/>
        </w:rPr>
        <w:t>8.</w:t>
      </w:r>
      <w:r>
        <w:rPr>
          <w:rFonts w:hint="eastAsia" w:ascii="宋体" w:hAnsi="宋体"/>
          <w:color w:val="000000"/>
          <w:sz w:val="24"/>
          <w:szCs w:val="24"/>
          <w:lang w:val="en-US" w:eastAsia="zh-CN"/>
        </w:rPr>
        <w:t>2</w:t>
      </w:r>
      <w:r>
        <w:rPr>
          <w:rFonts w:hint="eastAsia" w:ascii="宋体" w:hAnsi="宋体" w:eastAsia="宋体" w:cs="Times New Roman"/>
          <w:sz w:val="24"/>
          <w:szCs w:val="24"/>
        </w:rPr>
        <w:t>甲方在宽限期后，仍逾期支付货款的（乙方未履行向甲方开具增值税专用发票等合同约定的义务除外），甲方对逾期付款部分从宽限期满的次日起向乙方支付资金占用费。资金占用费按合同订立时一年期贷款市场报价利率计算，计算的基数以甲方最后一笔付款时剩余欠款金额为准，不包括前期逾期但现已支付部分的货款，资金占用费最高不得超过本合同项下双方结算价款（不含增值税）的1%。资金占用费由乙方以“价外费”的形式开具发票。除此之外，甲方不再承担其他任何违约责任。</w:t>
      </w:r>
    </w:p>
    <w:p w14:paraId="784F8216">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第九条　乙方的违约责任：</w:t>
      </w:r>
    </w:p>
    <w:p w14:paraId="7185F3CE">
      <w:pPr>
        <w:spacing w:line="390" w:lineRule="exact"/>
        <w:ind w:firstLine="480" w:firstLineChars="200"/>
        <w:rPr>
          <w:rFonts w:ascii="宋体" w:hAnsi="宋体"/>
          <w:color w:val="000000"/>
          <w:sz w:val="24"/>
          <w:szCs w:val="24"/>
        </w:rPr>
      </w:pPr>
      <w:r>
        <w:rPr>
          <w:rFonts w:hint="eastAsia" w:ascii="宋体" w:hAnsi="宋体"/>
          <w:color w:val="000000"/>
          <w:sz w:val="24"/>
          <w:szCs w:val="24"/>
        </w:rPr>
        <w:t>9.</w:t>
      </w:r>
      <w:r>
        <w:rPr>
          <w:rFonts w:hint="eastAsia" w:ascii="宋体" w:hAnsi="宋体"/>
          <w:color w:val="000000"/>
          <w:sz w:val="24"/>
          <w:szCs w:val="24"/>
          <w:lang w:val="en-US" w:eastAsia="zh-CN"/>
        </w:rPr>
        <w:t>1</w:t>
      </w:r>
      <w:r>
        <w:rPr>
          <w:rFonts w:hint="eastAsia" w:ascii="宋体" w:hAnsi="宋体"/>
          <w:color w:val="000000"/>
          <w:sz w:val="24"/>
          <w:szCs w:val="24"/>
        </w:rPr>
        <w:t>乙方所交货物种类、型号、规格、花色、包装不符合同规定的，如甲方同意使用，应按质论价；甲方不同意使用的，应根据具体情况，由乙方负责包换或包修，并承担修理、调换或退货而支付的实际费用。因此给甲方造成的一切损失均由乙方承担。</w:t>
      </w:r>
    </w:p>
    <w:p w14:paraId="647FC72E">
      <w:pPr>
        <w:spacing w:line="390" w:lineRule="exact"/>
        <w:ind w:firstLine="480" w:firstLineChars="200"/>
        <w:rPr>
          <w:rFonts w:ascii="宋体" w:hAnsi="宋体"/>
          <w:color w:val="000000"/>
          <w:sz w:val="24"/>
          <w:szCs w:val="24"/>
        </w:rPr>
      </w:pPr>
      <w:r>
        <w:rPr>
          <w:rFonts w:hint="eastAsia" w:ascii="宋体" w:hAnsi="宋体"/>
          <w:color w:val="000000"/>
          <w:sz w:val="24"/>
          <w:szCs w:val="24"/>
        </w:rPr>
        <w:t>9.</w:t>
      </w:r>
      <w:r>
        <w:rPr>
          <w:rFonts w:hint="eastAsia" w:ascii="宋体" w:hAnsi="宋体"/>
          <w:color w:val="000000"/>
          <w:sz w:val="24"/>
          <w:szCs w:val="24"/>
          <w:lang w:val="en-US" w:eastAsia="zh-CN"/>
        </w:rPr>
        <w:t>2</w:t>
      </w:r>
      <w:r>
        <w:rPr>
          <w:rFonts w:hint="eastAsia" w:ascii="宋体" w:hAnsi="宋体"/>
          <w:sz w:val="24"/>
        </w:rPr>
        <w:t>乙方逾期交货的，每逾期一日，应按照逾期交货金额的</w:t>
      </w:r>
      <w:r>
        <w:rPr>
          <w:rFonts w:ascii="宋体" w:hAnsi="宋体"/>
          <w:sz w:val="24"/>
        </w:rPr>
        <w:t>3</w:t>
      </w:r>
      <w:r>
        <w:rPr>
          <w:rFonts w:hint="eastAsia" w:ascii="宋体" w:hAnsi="宋体"/>
          <w:sz w:val="24"/>
        </w:rPr>
        <w:t>%向甲方支付违约金，并赔偿甲方因此所遭受的损失；同时，甲方有权向第三人采购同种类货物，因此增加的费用由乙方承担。如逾期超过</w:t>
      </w:r>
      <w:r>
        <w:rPr>
          <w:rFonts w:ascii="宋体" w:hAnsi="宋体"/>
          <w:sz w:val="24"/>
        </w:rPr>
        <w:t>15</w:t>
      </w:r>
      <w:r>
        <w:rPr>
          <w:rFonts w:hint="eastAsia" w:ascii="宋体" w:hAnsi="宋体"/>
          <w:sz w:val="24"/>
        </w:rPr>
        <w:t>日，甲方有权终止合同并可就遭受的损失向乙方索赔</w:t>
      </w:r>
      <w:r>
        <w:rPr>
          <w:rFonts w:hint="eastAsia" w:ascii="宋体" w:hAnsi="宋体"/>
          <w:color w:val="000000"/>
          <w:sz w:val="24"/>
          <w:szCs w:val="24"/>
        </w:rPr>
        <w:t>。</w:t>
      </w:r>
    </w:p>
    <w:p w14:paraId="179C08B6">
      <w:pPr>
        <w:spacing w:line="390" w:lineRule="exact"/>
        <w:ind w:firstLine="480" w:firstLineChars="200"/>
        <w:rPr>
          <w:rFonts w:ascii="宋体" w:hAnsi="宋体"/>
          <w:color w:val="000000"/>
          <w:sz w:val="24"/>
          <w:szCs w:val="24"/>
        </w:rPr>
      </w:pPr>
      <w:r>
        <w:rPr>
          <w:rFonts w:hint="eastAsia" w:ascii="宋体" w:hAnsi="宋体"/>
          <w:color w:val="000000"/>
          <w:sz w:val="24"/>
          <w:szCs w:val="24"/>
        </w:rPr>
        <w:t>9.</w:t>
      </w:r>
      <w:r>
        <w:rPr>
          <w:rFonts w:hint="eastAsia" w:ascii="宋体" w:hAnsi="宋体"/>
          <w:color w:val="000000"/>
          <w:sz w:val="24"/>
          <w:szCs w:val="24"/>
          <w:lang w:val="en-US" w:eastAsia="zh-CN"/>
        </w:rPr>
        <w:t>3</w:t>
      </w:r>
      <w:r>
        <w:rPr>
          <w:rFonts w:hint="eastAsia" w:ascii="宋体" w:hAnsi="宋体"/>
          <w:color w:val="000000"/>
          <w:sz w:val="24"/>
          <w:szCs w:val="24"/>
        </w:rPr>
        <w:t>乙方提前交付货物的，甲方无需提前付款，如因乙方提前交付货物导致甲方增加费用的，该增加的费用由乙方承担。</w:t>
      </w:r>
    </w:p>
    <w:p w14:paraId="0F3785A1">
      <w:pPr>
        <w:spacing w:line="390" w:lineRule="exact"/>
        <w:ind w:firstLine="480" w:firstLineChars="200"/>
        <w:rPr>
          <w:rFonts w:ascii="宋体" w:hAnsi="宋体"/>
          <w:sz w:val="24"/>
          <w:szCs w:val="24"/>
        </w:rPr>
      </w:pPr>
      <w:r>
        <w:rPr>
          <w:rFonts w:hint="eastAsia" w:ascii="宋体" w:hAnsi="宋体" w:cs="宋体"/>
          <w:bCs/>
          <w:kern w:val="0"/>
          <w:sz w:val="24"/>
          <w:szCs w:val="24"/>
        </w:rPr>
        <w:t>9.</w:t>
      </w:r>
      <w:r>
        <w:rPr>
          <w:rFonts w:hint="eastAsia" w:ascii="宋体" w:hAnsi="宋体" w:cs="宋体"/>
          <w:bCs/>
          <w:kern w:val="0"/>
          <w:sz w:val="24"/>
          <w:szCs w:val="24"/>
          <w:lang w:val="en-US" w:eastAsia="zh-CN"/>
        </w:rPr>
        <w:t>4</w:t>
      </w:r>
      <w:r>
        <w:rPr>
          <w:rFonts w:hint="eastAsia" w:ascii="宋体" w:hAnsi="宋体" w:cs="宋体"/>
          <w:bCs/>
          <w:kern w:val="0"/>
          <w:sz w:val="24"/>
          <w:szCs w:val="24"/>
        </w:rPr>
        <w:t xml:space="preserve"> 乙方不得擅自停止供货，否则甲方有权重新选择其他供应商，同时乙方承担本合同第一条中含增值税总价</w:t>
      </w:r>
      <w:r>
        <w:rPr>
          <w:rFonts w:hint="eastAsia" w:ascii="宋体" w:hAnsi="宋体" w:cs="宋体"/>
          <w:bCs/>
          <w:kern w:val="0"/>
          <w:sz w:val="24"/>
          <w:szCs w:val="24"/>
          <w:lang w:val="en-US" w:eastAsia="zh-CN"/>
        </w:rPr>
        <w:t>3</w:t>
      </w:r>
      <w:r>
        <w:rPr>
          <w:rFonts w:hint="eastAsia" w:ascii="宋体" w:hAnsi="宋体" w:cs="宋体"/>
          <w:bCs/>
          <w:kern w:val="0"/>
          <w:sz w:val="24"/>
          <w:szCs w:val="24"/>
        </w:rPr>
        <w:t>%的违约金并赔偿断货给甲方造成的一切损失。</w:t>
      </w:r>
    </w:p>
    <w:p w14:paraId="0297D5B0">
      <w:pPr>
        <w:spacing w:line="390" w:lineRule="exact"/>
        <w:ind w:firstLine="480" w:firstLineChars="200"/>
        <w:rPr>
          <w:rFonts w:ascii="宋体" w:hAnsi="宋体"/>
          <w:color w:val="000000"/>
          <w:sz w:val="24"/>
          <w:szCs w:val="24"/>
        </w:rPr>
      </w:pPr>
      <w:r>
        <w:rPr>
          <w:rFonts w:hint="eastAsia" w:ascii="宋体" w:hAnsi="宋体" w:cs="宋体"/>
          <w:bCs/>
          <w:color w:val="000000"/>
          <w:kern w:val="0"/>
          <w:sz w:val="24"/>
          <w:szCs w:val="24"/>
        </w:rPr>
        <w:t>9.</w:t>
      </w:r>
      <w:r>
        <w:rPr>
          <w:rFonts w:hint="eastAsia" w:ascii="宋体" w:hAnsi="宋体" w:cs="宋体"/>
          <w:bCs/>
          <w:color w:val="000000"/>
          <w:kern w:val="0"/>
          <w:sz w:val="24"/>
          <w:szCs w:val="24"/>
          <w:lang w:val="en-US" w:eastAsia="zh-CN"/>
        </w:rPr>
        <w:t>5</w:t>
      </w:r>
      <w:r>
        <w:rPr>
          <w:rFonts w:hint="eastAsia" w:ascii="宋体" w:hAnsi="宋体" w:cs="宋体"/>
          <w:bCs/>
          <w:color w:val="000000"/>
          <w:kern w:val="0"/>
          <w:sz w:val="24"/>
          <w:szCs w:val="24"/>
        </w:rPr>
        <w:t>乙方不能随车提供货物合格证书或其他</w:t>
      </w:r>
      <w:r>
        <w:rPr>
          <w:rFonts w:hint="eastAsia" w:ascii="宋体" w:hAnsi="宋体" w:cs="宋体"/>
          <w:bCs/>
          <w:kern w:val="0"/>
          <w:sz w:val="24"/>
          <w:szCs w:val="24"/>
        </w:rPr>
        <w:t>约定</w:t>
      </w:r>
      <w:r>
        <w:rPr>
          <w:rFonts w:hint="eastAsia" w:ascii="宋体" w:hAnsi="宋体" w:cs="宋体"/>
          <w:bCs/>
          <w:color w:val="000000"/>
          <w:kern w:val="0"/>
          <w:sz w:val="24"/>
          <w:szCs w:val="24"/>
        </w:rPr>
        <w:t>单证的，甲方有权拒绝收货，因此产生的费用和损失由乙方负责。</w:t>
      </w:r>
    </w:p>
    <w:p w14:paraId="556398F7">
      <w:pPr>
        <w:spacing w:line="390" w:lineRule="exact"/>
        <w:ind w:firstLine="480" w:firstLineChars="200"/>
        <w:rPr>
          <w:rFonts w:ascii="宋体" w:hAnsi="宋体"/>
          <w:color w:val="000000"/>
          <w:sz w:val="24"/>
          <w:szCs w:val="24"/>
        </w:rPr>
      </w:pPr>
      <w:r>
        <w:rPr>
          <w:rFonts w:hint="eastAsia" w:ascii="宋体" w:hAnsi="宋体"/>
          <w:color w:val="000000"/>
          <w:sz w:val="24"/>
          <w:szCs w:val="24"/>
        </w:rPr>
        <w:t>9.</w:t>
      </w:r>
      <w:r>
        <w:rPr>
          <w:rFonts w:hint="eastAsia" w:ascii="宋体" w:hAnsi="宋体"/>
          <w:color w:val="000000"/>
          <w:sz w:val="24"/>
          <w:szCs w:val="24"/>
          <w:lang w:val="en-US" w:eastAsia="zh-CN"/>
        </w:rPr>
        <w:t>6</w:t>
      </w:r>
      <w:r>
        <w:rPr>
          <w:rFonts w:hint="eastAsia" w:ascii="宋体" w:hAnsi="宋体"/>
          <w:color w:val="000000"/>
          <w:sz w:val="24"/>
          <w:szCs w:val="24"/>
        </w:rPr>
        <w:t>在质保期内，乙方未按甲方要求进行维修或更换的，乙方应向甲方支付</w:t>
      </w:r>
      <w:r>
        <w:rPr>
          <w:rFonts w:hint="eastAsia" w:ascii="宋体" w:hAnsi="宋体"/>
          <w:color w:val="000000"/>
          <w:sz w:val="24"/>
          <w:szCs w:val="24"/>
          <w:u w:val="single"/>
        </w:rPr>
        <w:t xml:space="preserve">     </w:t>
      </w:r>
      <w:r>
        <w:rPr>
          <w:rFonts w:hint="eastAsia" w:ascii="宋体" w:hAnsi="宋体"/>
          <w:color w:val="000000"/>
          <w:sz w:val="24"/>
          <w:szCs w:val="24"/>
        </w:rPr>
        <w:t>违约金</w:t>
      </w:r>
      <w:r>
        <w:rPr>
          <w:rFonts w:hint="eastAsia" w:ascii="宋体" w:hAnsi="宋体"/>
          <w:color w:val="000000"/>
          <w:sz w:val="24"/>
          <w:szCs w:val="24"/>
          <w:lang w:val="en-US" w:eastAsia="zh-CN"/>
        </w:rPr>
        <w:t>5000</w:t>
      </w:r>
      <w:r>
        <w:rPr>
          <w:rFonts w:hint="eastAsia" w:ascii="宋体" w:hAnsi="宋体"/>
          <w:color w:val="000000"/>
          <w:sz w:val="24"/>
          <w:szCs w:val="24"/>
        </w:rPr>
        <w:t>元/次，甲方有权交由第三方进行维修，由此产生的费用和损失亦由乙方承担。因货物质量原因造成甲方损失的，乙方还应承担赔偿责任。</w:t>
      </w:r>
    </w:p>
    <w:p w14:paraId="033809D6">
      <w:pPr>
        <w:spacing w:line="390" w:lineRule="exact"/>
        <w:ind w:firstLine="480" w:firstLineChars="200"/>
        <w:rPr>
          <w:rFonts w:ascii="宋体" w:hAnsi="宋体"/>
          <w:sz w:val="24"/>
          <w:szCs w:val="24"/>
        </w:rPr>
      </w:pPr>
      <w:r>
        <w:rPr>
          <w:rFonts w:hint="eastAsia" w:ascii="宋体" w:hAnsi="宋体"/>
          <w:sz w:val="24"/>
          <w:szCs w:val="24"/>
        </w:rPr>
        <w:t>9.</w:t>
      </w:r>
      <w:r>
        <w:rPr>
          <w:rFonts w:hint="eastAsia" w:ascii="宋体" w:hAnsi="宋体"/>
          <w:sz w:val="24"/>
          <w:szCs w:val="24"/>
          <w:lang w:val="en-US" w:eastAsia="zh-CN"/>
        </w:rPr>
        <w:t>7</w:t>
      </w:r>
      <w:r>
        <w:rPr>
          <w:rFonts w:ascii="宋体" w:hAnsi="宋体"/>
          <w:sz w:val="24"/>
          <w:szCs w:val="24"/>
        </w:rPr>
        <w:t>乙方未能按甲方要求提供增值税专用发票（含税务机关代开），甲方有权拒付相应</w:t>
      </w:r>
      <w:r>
        <w:rPr>
          <w:rFonts w:hint="eastAsia" w:ascii="宋体" w:hAnsi="宋体"/>
          <w:sz w:val="24"/>
          <w:szCs w:val="24"/>
        </w:rPr>
        <w:t>货款</w:t>
      </w:r>
      <w:r>
        <w:rPr>
          <w:rFonts w:ascii="宋体" w:hAnsi="宋体"/>
          <w:sz w:val="24"/>
          <w:szCs w:val="24"/>
        </w:rPr>
        <w:t>。</w:t>
      </w:r>
    </w:p>
    <w:p w14:paraId="4F4542C3">
      <w:pPr>
        <w:spacing w:line="390" w:lineRule="exact"/>
        <w:ind w:firstLine="480" w:firstLineChars="200"/>
        <w:rPr>
          <w:rFonts w:ascii="宋体" w:hAnsi="宋体"/>
          <w:sz w:val="24"/>
          <w:szCs w:val="24"/>
        </w:rPr>
      </w:pPr>
      <w:r>
        <w:rPr>
          <w:rFonts w:hint="eastAsia" w:ascii="宋体" w:hAnsi="宋体"/>
          <w:sz w:val="24"/>
          <w:szCs w:val="24"/>
        </w:rPr>
        <w:t>9.</w:t>
      </w:r>
      <w:r>
        <w:rPr>
          <w:rFonts w:hint="eastAsia" w:ascii="宋体" w:hAnsi="宋体"/>
          <w:sz w:val="24"/>
          <w:szCs w:val="24"/>
          <w:lang w:val="en-US" w:eastAsia="zh-CN"/>
        </w:rPr>
        <w:t>8</w:t>
      </w:r>
      <w:r>
        <w:rPr>
          <w:rFonts w:hint="eastAsia" w:ascii="宋体" w:hAnsi="宋体"/>
          <w:sz w:val="24"/>
          <w:szCs w:val="24"/>
        </w:rPr>
        <w:t xml:space="preserve"> </w:t>
      </w:r>
      <w:r>
        <w:rPr>
          <w:rFonts w:ascii="宋体" w:hAnsi="宋体"/>
          <w:sz w:val="24"/>
          <w:szCs w:val="24"/>
        </w:rPr>
        <w:t>若因逾期送达造成甲方无法抵扣发票相应税款的，乙方还应赔偿甲方由此遭受的损失，金额相当于逾期送达发票可抵扣金额，并加收按逾期送达发票金额</w:t>
      </w:r>
      <w:r>
        <w:rPr>
          <w:rFonts w:hint="eastAsia" w:ascii="宋体" w:hAnsi="宋体"/>
          <w:sz w:val="24"/>
          <w:szCs w:val="24"/>
          <w:lang w:val="en-US" w:eastAsia="zh-CN"/>
        </w:rPr>
        <w:t>3</w:t>
      </w:r>
      <w:r>
        <w:rPr>
          <w:rFonts w:ascii="宋体" w:hAnsi="宋体"/>
          <w:sz w:val="24"/>
          <w:szCs w:val="24"/>
        </w:rPr>
        <w:t>%的违约金。</w:t>
      </w:r>
    </w:p>
    <w:p w14:paraId="447FEE81">
      <w:pPr>
        <w:spacing w:line="390" w:lineRule="exact"/>
        <w:ind w:firstLine="480" w:firstLineChars="200"/>
        <w:rPr>
          <w:rFonts w:ascii="宋体" w:hAnsi="宋体"/>
          <w:sz w:val="24"/>
          <w:szCs w:val="24"/>
        </w:rPr>
      </w:pPr>
      <w:r>
        <w:rPr>
          <w:rFonts w:hint="eastAsia" w:ascii="宋体" w:hAnsi="宋体"/>
          <w:sz w:val="24"/>
          <w:szCs w:val="24"/>
        </w:rPr>
        <w:t>9.</w:t>
      </w:r>
      <w:r>
        <w:rPr>
          <w:rFonts w:hint="eastAsia" w:ascii="宋体" w:hAnsi="宋体"/>
          <w:sz w:val="24"/>
          <w:szCs w:val="24"/>
          <w:lang w:val="en-US" w:eastAsia="zh-CN"/>
        </w:rPr>
        <w:t>9</w:t>
      </w:r>
      <w:r>
        <w:rPr>
          <w:rFonts w:ascii="宋体" w:hAnsi="宋体"/>
          <w:sz w:val="24"/>
          <w:szCs w:val="24"/>
        </w:rPr>
        <w:t>乙方应提供真实、有效、合格的发票，如发现乙方提供虚假发票或虚开增值税专用发票的情况，乙方须按发票金额的</w:t>
      </w:r>
      <w:r>
        <w:rPr>
          <w:rFonts w:hint="eastAsia" w:ascii="宋体" w:hAnsi="宋体"/>
          <w:sz w:val="24"/>
          <w:szCs w:val="24"/>
          <w:lang w:val="en-US" w:eastAsia="zh-CN"/>
        </w:rPr>
        <w:t>3</w:t>
      </w:r>
      <w:r>
        <w:rPr>
          <w:rFonts w:ascii="宋体" w:hAnsi="宋体"/>
          <w:sz w:val="24"/>
          <w:szCs w:val="24"/>
        </w:rPr>
        <w:t>%向甲方支付违约金，并承担对甲方造成的全部损失。由于乙方原因造成甲方无法抵扣相应税款，发现问题后退回，乙方应无条件更换为有效发票，拒绝或逾期不更换发票的，造成甲方损失及相关风险，由乙方予以承担。发生上述情况时，甲方有权选择解除合同。</w:t>
      </w:r>
    </w:p>
    <w:p w14:paraId="08568B51">
      <w:pPr>
        <w:spacing w:line="390" w:lineRule="exact"/>
        <w:ind w:firstLine="480" w:firstLineChars="200"/>
        <w:rPr>
          <w:rFonts w:ascii="宋体" w:hAnsi="宋体"/>
          <w:sz w:val="24"/>
          <w:szCs w:val="24"/>
        </w:rPr>
      </w:pPr>
      <w:r>
        <w:rPr>
          <w:rFonts w:hint="eastAsia" w:ascii="宋体" w:hAnsi="宋体"/>
          <w:sz w:val="24"/>
          <w:szCs w:val="24"/>
        </w:rPr>
        <w:t>9.1</w:t>
      </w:r>
      <w:r>
        <w:rPr>
          <w:rFonts w:hint="eastAsia" w:ascii="宋体" w:hAnsi="宋体"/>
          <w:sz w:val="24"/>
          <w:szCs w:val="24"/>
          <w:lang w:val="en-US" w:eastAsia="zh-CN"/>
        </w:rPr>
        <w:t>0</w:t>
      </w:r>
      <w:r>
        <w:rPr>
          <w:rFonts w:ascii="宋体" w:hAnsi="宋体"/>
          <w:sz w:val="24"/>
          <w:szCs w:val="24"/>
        </w:rPr>
        <w:t>乙方有义务配合甲方接受税务机关、审计部门</w:t>
      </w:r>
      <w:r>
        <w:rPr>
          <w:rFonts w:hint="eastAsia" w:ascii="宋体" w:hAnsi="宋体"/>
          <w:sz w:val="24"/>
          <w:szCs w:val="24"/>
        </w:rPr>
        <w:t>、</w:t>
      </w:r>
      <w:r>
        <w:rPr>
          <w:rFonts w:ascii="宋体" w:hAnsi="宋体"/>
          <w:sz w:val="24"/>
          <w:szCs w:val="24"/>
        </w:rPr>
        <w:t>纪检部门的检查工作，如果乙方拒不配合，由乙方支付</w:t>
      </w:r>
      <w:r>
        <w:rPr>
          <w:rFonts w:hint="eastAsia" w:ascii="宋体" w:hAnsi="宋体"/>
          <w:sz w:val="24"/>
          <w:szCs w:val="24"/>
          <w:lang w:val="en-US" w:eastAsia="zh-CN"/>
        </w:rPr>
        <w:t>5000</w:t>
      </w:r>
      <w:r>
        <w:rPr>
          <w:rFonts w:ascii="宋体" w:hAnsi="宋体"/>
          <w:sz w:val="24"/>
          <w:szCs w:val="24"/>
        </w:rPr>
        <w:t>元的违约金，并承担对甲方造成的损失。</w:t>
      </w:r>
    </w:p>
    <w:p w14:paraId="07A142A5">
      <w:pPr>
        <w:spacing w:line="390" w:lineRule="exact"/>
        <w:ind w:firstLine="480" w:firstLineChars="200"/>
        <w:rPr>
          <w:rFonts w:ascii="宋体" w:hAnsi="宋体"/>
          <w:sz w:val="24"/>
          <w:szCs w:val="24"/>
        </w:rPr>
      </w:pPr>
      <w:r>
        <w:rPr>
          <w:rFonts w:ascii="宋体" w:hAnsi="宋体"/>
          <w:sz w:val="24"/>
          <w:szCs w:val="24"/>
        </w:rPr>
        <w:t>9.1</w:t>
      </w:r>
      <w:r>
        <w:rPr>
          <w:rFonts w:hint="eastAsia" w:ascii="宋体" w:hAnsi="宋体"/>
          <w:sz w:val="24"/>
          <w:szCs w:val="24"/>
          <w:lang w:val="en-US" w:eastAsia="zh-CN"/>
        </w:rPr>
        <w:t>1</w:t>
      </w:r>
      <w:r>
        <w:rPr>
          <w:rFonts w:hint="eastAsia" w:ascii="宋体" w:hAnsi="宋体"/>
          <w:sz w:val="24"/>
          <w:szCs w:val="24"/>
        </w:rPr>
        <w:t>乙方保证提供的产品、服务不侵犯任何第三方知识产权和其他任何权利。任何第三方提出侵权指控时，乙方负责与第三方交涉并承担一切可能发生的经济上、法律上的责任，由此给甲方带来损失的，乙方无条件予以赔偿。</w:t>
      </w:r>
    </w:p>
    <w:p w14:paraId="40FBA7D8">
      <w:pPr>
        <w:spacing w:line="390" w:lineRule="exact"/>
        <w:ind w:firstLine="480" w:firstLineChars="200"/>
        <w:rPr>
          <w:rFonts w:ascii="宋体" w:hAnsi="宋体"/>
          <w:sz w:val="24"/>
          <w:szCs w:val="24"/>
        </w:rPr>
      </w:pPr>
      <w:r>
        <w:rPr>
          <w:rFonts w:ascii="宋体" w:hAnsi="宋体"/>
          <w:sz w:val="24"/>
          <w:szCs w:val="24"/>
        </w:rPr>
        <w:t>9.1</w:t>
      </w:r>
      <w:r>
        <w:rPr>
          <w:rFonts w:hint="eastAsia" w:ascii="宋体" w:hAnsi="宋体"/>
          <w:sz w:val="24"/>
          <w:szCs w:val="24"/>
          <w:lang w:val="en-US" w:eastAsia="zh-CN"/>
        </w:rPr>
        <w:t>2</w:t>
      </w:r>
      <w:r>
        <w:rPr>
          <w:rFonts w:hint="eastAsia" w:ascii="宋体" w:hAnsi="宋体"/>
          <w:sz w:val="24"/>
          <w:szCs w:val="24"/>
        </w:rPr>
        <w:t>如乙方被中国铁路总公司、建设单位或中国中铁股份有限公司及其关联企业、列入“限制交易供应商名单”“不合格供应商名单”或“供应商黑名单”等限制交易名单，甲方可以单方解除合同，解除合同的一切后果由乙方承担。</w:t>
      </w:r>
    </w:p>
    <w:p w14:paraId="2B2F6597">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第十条　不可抗力：</w:t>
      </w:r>
    </w:p>
    <w:p w14:paraId="59C8D972">
      <w:pPr>
        <w:spacing w:line="390" w:lineRule="exact"/>
        <w:ind w:firstLine="480" w:firstLineChars="200"/>
        <w:rPr>
          <w:rFonts w:ascii="宋体" w:hAnsi="宋体"/>
          <w:color w:val="000000"/>
          <w:sz w:val="24"/>
          <w:szCs w:val="24"/>
        </w:rPr>
      </w:pPr>
      <w:r>
        <w:rPr>
          <w:rFonts w:hint="eastAsia" w:ascii="宋体" w:hAnsi="宋体"/>
          <w:color w:val="000000"/>
          <w:sz w:val="24"/>
          <w:szCs w:val="24"/>
        </w:rPr>
        <w:t>任何一方由于不可抗力原因不能履行合同时，应在不可抗力事件发生后</w:t>
      </w:r>
      <w:r>
        <w:rPr>
          <w:rFonts w:hint="eastAsia" w:ascii="宋体" w:hAnsi="宋体"/>
          <w:color w:val="000000"/>
          <w:sz w:val="24"/>
          <w:szCs w:val="24"/>
          <w:lang w:val="en-US" w:eastAsia="zh-CN"/>
        </w:rPr>
        <w:t>48</w:t>
      </w:r>
      <w:r>
        <w:rPr>
          <w:rFonts w:hint="eastAsia" w:ascii="宋体" w:hAnsi="宋体"/>
          <w:color w:val="000000"/>
          <w:sz w:val="24"/>
          <w:szCs w:val="24"/>
        </w:rPr>
        <w:t>小时内通知对方，并在不可抗力事件结束后</w:t>
      </w:r>
      <w:r>
        <w:rPr>
          <w:rFonts w:hint="eastAsia" w:ascii="宋体" w:hAnsi="宋体"/>
          <w:color w:val="000000"/>
          <w:sz w:val="24"/>
          <w:szCs w:val="24"/>
          <w:lang w:val="en-US" w:eastAsia="zh-CN"/>
        </w:rPr>
        <w:t>30</w:t>
      </w:r>
      <w:r>
        <w:rPr>
          <w:rFonts w:hint="eastAsia" w:ascii="宋体" w:hAnsi="宋体"/>
          <w:color w:val="000000"/>
          <w:sz w:val="24"/>
          <w:szCs w:val="24"/>
        </w:rPr>
        <w:t>日内将有权机构出具的不可抗力证明提交对方后，允许延期履行、部分履行或者不履行合同，并根据情况可部分或全部免于承担违约责任。</w:t>
      </w:r>
    </w:p>
    <w:p w14:paraId="6961DB1C">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 xml:space="preserve">第十一条　争议解决： </w:t>
      </w:r>
    </w:p>
    <w:p w14:paraId="084710D5">
      <w:pPr>
        <w:pStyle w:val="5"/>
        <w:spacing w:line="390" w:lineRule="exact"/>
        <w:ind w:firstLine="480" w:firstLineChars="200"/>
        <w:rPr>
          <w:rFonts w:hAnsi="宋体"/>
          <w:color w:val="000000"/>
          <w:sz w:val="24"/>
          <w:szCs w:val="24"/>
        </w:rPr>
      </w:pPr>
      <w:r>
        <w:rPr>
          <w:rFonts w:hint="eastAsia" w:hAnsi="宋体" w:cs="宋体"/>
          <w:color w:val="000000"/>
          <w:sz w:val="24"/>
          <w:szCs w:val="24"/>
        </w:rPr>
        <w:t>11.1</w:t>
      </w:r>
      <w:r>
        <w:rPr>
          <w:rFonts w:hint="eastAsia" w:hAnsi="宋体"/>
          <w:color w:val="000000"/>
          <w:sz w:val="24"/>
          <w:szCs w:val="24"/>
        </w:rPr>
        <w:t>若发生乙方需向甲方主张权益或反映问题时，承诺先行向甲方内部投诉平台进行情况反映，投诉事项从甲方收到投诉次日起5个月的处理时限。在此期间，乙方承诺不得向国家或地方相关部门和各级信访部门进行投诉，也不得提起诉讼。否则，乙方自愿接受按照5万元/次承担违约责任。</w:t>
      </w:r>
    </w:p>
    <w:p w14:paraId="54DB60FD">
      <w:pPr>
        <w:pStyle w:val="5"/>
        <w:spacing w:line="39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11.2本协议在履行过程中发生的争议，由双方当事人协商解决，协商不成，</w:t>
      </w:r>
      <w:r>
        <w:rPr>
          <w:rFonts w:hint="eastAsia" w:ascii="宋体" w:hAnsi="宋体" w:eastAsia="宋体" w:cs="Times New Roman"/>
          <w:color w:val="000000"/>
          <w:sz w:val="24"/>
          <w:szCs w:val="24"/>
          <w:lang w:val="en-US" w:eastAsia="zh-CN"/>
        </w:rPr>
        <w:t>提请成都仲裁</w:t>
      </w:r>
      <w:r>
        <w:rPr>
          <w:rFonts w:hint="eastAsia" w:hAnsi="宋体" w:cs="Times New Roman"/>
          <w:color w:val="000000"/>
          <w:sz w:val="24"/>
          <w:szCs w:val="24"/>
          <w:lang w:val="en-US" w:eastAsia="zh-CN"/>
        </w:rPr>
        <w:t>委员会</w:t>
      </w:r>
      <w:r>
        <w:rPr>
          <w:rFonts w:hint="eastAsia" w:ascii="宋体" w:hAnsi="宋体" w:eastAsia="宋体" w:cs="Times New Roman"/>
          <w:color w:val="000000"/>
          <w:sz w:val="24"/>
          <w:szCs w:val="24"/>
          <w:lang w:val="en-US" w:eastAsia="zh-CN"/>
        </w:rPr>
        <w:t>进行裁决</w:t>
      </w:r>
      <w:r>
        <w:rPr>
          <w:rFonts w:hint="eastAsia" w:ascii="宋体" w:hAnsi="宋体" w:eastAsia="宋体" w:cs="Times New Roman"/>
          <w:color w:val="000000"/>
          <w:sz w:val="24"/>
          <w:szCs w:val="24"/>
        </w:rPr>
        <w:t>。</w:t>
      </w:r>
    </w:p>
    <w:p w14:paraId="119B07B3">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 xml:space="preserve">第十二条　廉政条款： </w:t>
      </w:r>
    </w:p>
    <w:p w14:paraId="7D222F86">
      <w:pPr>
        <w:tabs>
          <w:tab w:val="left" w:pos="360"/>
        </w:tabs>
        <w:spacing w:line="390" w:lineRule="exact"/>
        <w:ind w:firstLine="480" w:firstLineChars="200"/>
        <w:rPr>
          <w:rFonts w:ascii="宋体" w:hAnsi="宋体" w:cs="宋体"/>
          <w:kern w:val="0"/>
          <w:sz w:val="24"/>
          <w:szCs w:val="24"/>
        </w:rPr>
      </w:pPr>
      <w:r>
        <w:rPr>
          <w:rFonts w:ascii="宋体" w:hAnsi="宋体" w:cs="宋体"/>
          <w:kern w:val="0"/>
          <w:sz w:val="24"/>
          <w:szCs w:val="24"/>
        </w:rPr>
        <w:t>乙方承诺：乙方及</w:t>
      </w:r>
      <w:r>
        <w:rPr>
          <w:rFonts w:hint="eastAsia" w:ascii="宋体" w:hAnsi="宋体" w:cs="宋体"/>
          <w:kern w:val="0"/>
          <w:sz w:val="24"/>
          <w:szCs w:val="24"/>
        </w:rPr>
        <w:t>其</w:t>
      </w:r>
      <w:r>
        <w:rPr>
          <w:rFonts w:ascii="宋体" w:hAnsi="宋体" w:cs="宋体"/>
          <w:kern w:val="0"/>
          <w:sz w:val="24"/>
          <w:szCs w:val="24"/>
        </w:rPr>
        <w:t>工作人员不向甲方工作人员赠送礼金、礼品、有价证券、购物卡</w:t>
      </w:r>
      <w:r>
        <w:rPr>
          <w:rFonts w:hint="eastAsia" w:ascii="宋体" w:hAnsi="宋体" w:cs="宋体"/>
          <w:kern w:val="0"/>
          <w:sz w:val="24"/>
          <w:szCs w:val="24"/>
        </w:rPr>
        <w:t>及其他有</w:t>
      </w:r>
      <w:r>
        <w:rPr>
          <w:rFonts w:ascii="宋体" w:hAnsi="宋体" w:cs="宋体"/>
          <w:kern w:val="0"/>
          <w:sz w:val="24"/>
          <w:szCs w:val="24"/>
        </w:rPr>
        <w:t>价物品等，不邀请甲方工作人员吃喝游玩</w:t>
      </w:r>
      <w:r>
        <w:rPr>
          <w:rFonts w:hint="eastAsia" w:ascii="宋体" w:hAnsi="宋体" w:cs="宋体"/>
          <w:kern w:val="0"/>
          <w:sz w:val="24"/>
          <w:szCs w:val="24"/>
        </w:rPr>
        <w:t>及其他</w:t>
      </w:r>
      <w:r>
        <w:rPr>
          <w:rFonts w:ascii="宋体" w:hAnsi="宋体" w:cs="宋体"/>
          <w:kern w:val="0"/>
          <w:sz w:val="24"/>
          <w:szCs w:val="24"/>
        </w:rPr>
        <w:t>娱乐性消费；不向甲方工作人员提供任何工作以外的便利和好处；在合同履行过程中不弄虚作假。若乙方违背上述承诺且经甲方法人单位或其上级纪委监察机关查实认定，或国家司法机关立案查处，视为乙方违约，乙方承担暂定合同总价的</w:t>
      </w:r>
      <w:r>
        <w:rPr>
          <w:rFonts w:hint="eastAsia" w:ascii="宋体" w:hAnsi="宋体" w:cs="宋体"/>
          <w:kern w:val="0"/>
          <w:sz w:val="24"/>
          <w:szCs w:val="24"/>
          <w:lang w:val="en-US" w:eastAsia="zh-CN"/>
        </w:rPr>
        <w:t>2</w:t>
      </w:r>
      <w:r>
        <w:rPr>
          <w:rFonts w:ascii="宋体" w:hAnsi="宋体" w:cs="宋体"/>
          <w:kern w:val="0"/>
          <w:sz w:val="24"/>
          <w:szCs w:val="24"/>
        </w:rPr>
        <w:t>%的违约金，违约金及乙方因违背承诺行为所取得的不当利益一并在结算中扣除。</w:t>
      </w:r>
    </w:p>
    <w:p w14:paraId="2D54BF39">
      <w:pPr>
        <w:tabs>
          <w:tab w:val="left" w:pos="360"/>
        </w:tabs>
        <w:spacing w:line="390" w:lineRule="exact"/>
        <w:ind w:firstLine="480" w:firstLineChars="200"/>
        <w:rPr>
          <w:rFonts w:ascii="宋体" w:hAnsi="宋体" w:cs="宋体"/>
          <w:kern w:val="0"/>
          <w:sz w:val="24"/>
          <w:szCs w:val="24"/>
        </w:rPr>
      </w:pPr>
      <w:r>
        <w:rPr>
          <w:rFonts w:hint="eastAsia" w:ascii="宋体" w:hAnsi="宋体" w:cs="宋体"/>
          <w:kern w:val="0"/>
          <w:sz w:val="24"/>
          <w:szCs w:val="24"/>
        </w:rPr>
        <w:t>甲方工作人员向乙方索贿的，乙方及其工作人员应向甲方法人单位或其上级纪检监察部门、国家司法机关检举。</w:t>
      </w:r>
    </w:p>
    <w:p w14:paraId="78BA460E">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第十三条　其他事项：</w:t>
      </w:r>
    </w:p>
    <w:p w14:paraId="45FB34F9">
      <w:pPr>
        <w:tabs>
          <w:tab w:val="left" w:pos="360"/>
        </w:tabs>
        <w:spacing w:line="390" w:lineRule="exact"/>
        <w:ind w:firstLine="480" w:firstLineChars="200"/>
        <w:rPr>
          <w:rFonts w:ascii="宋体" w:hAnsi="宋体"/>
          <w:color w:val="0070C0"/>
          <w:sz w:val="24"/>
          <w:szCs w:val="24"/>
        </w:rPr>
      </w:pPr>
      <w:r>
        <w:rPr>
          <w:rFonts w:ascii="宋体" w:hAnsi="宋体"/>
          <w:sz w:val="24"/>
          <w:szCs w:val="24"/>
        </w:rPr>
        <w:t>13.1</w:t>
      </w:r>
      <w:r>
        <w:rPr>
          <w:rFonts w:hint="eastAsia" w:ascii="宋体" w:hAnsi="宋体"/>
          <w:sz w:val="24"/>
          <w:szCs w:val="24"/>
        </w:rPr>
        <w:t>本合同中所</w:t>
      </w:r>
      <w:r>
        <w:rPr>
          <w:rFonts w:ascii="宋体" w:hAnsi="宋体"/>
          <w:sz w:val="24"/>
          <w:szCs w:val="24"/>
        </w:rPr>
        <w:t>涉及</w:t>
      </w:r>
      <w:r>
        <w:rPr>
          <w:rFonts w:hint="eastAsia" w:ascii="宋体" w:hAnsi="宋体"/>
          <w:sz w:val="24"/>
          <w:szCs w:val="24"/>
        </w:rPr>
        <w:t>的债权，</w:t>
      </w:r>
      <w:r>
        <w:rPr>
          <w:rFonts w:ascii="宋体" w:hAnsi="宋体"/>
          <w:sz w:val="24"/>
          <w:szCs w:val="24"/>
        </w:rPr>
        <w:t>乙方</w:t>
      </w:r>
      <w:r>
        <w:rPr>
          <w:rFonts w:hint="eastAsia" w:ascii="宋体" w:hAnsi="宋体"/>
          <w:sz w:val="24"/>
          <w:szCs w:val="24"/>
        </w:rPr>
        <w:t>不得转让，也不得用于任何形式的担保。若乙方擅自转让或用于担保的，则该行为无效，乙方应赔偿甲方因此受到的全部损失。</w:t>
      </w:r>
    </w:p>
    <w:p w14:paraId="3E796B58">
      <w:pPr>
        <w:tabs>
          <w:tab w:val="left" w:pos="360"/>
        </w:tabs>
        <w:spacing w:line="390" w:lineRule="exact"/>
        <w:ind w:firstLine="480" w:firstLineChars="200"/>
        <w:rPr>
          <w:rFonts w:ascii="宋体" w:hAnsi="宋体"/>
          <w:sz w:val="24"/>
          <w:szCs w:val="24"/>
          <w:highlight w:val="none"/>
        </w:rPr>
      </w:pPr>
      <w:r>
        <w:rPr>
          <w:rFonts w:ascii="宋体" w:hAnsi="宋体"/>
          <w:sz w:val="24"/>
          <w:szCs w:val="24"/>
          <w:highlight w:val="none"/>
        </w:rPr>
        <w:t>13.2</w:t>
      </w:r>
      <w:r>
        <w:rPr>
          <w:rFonts w:hint="eastAsia" w:ascii="宋体" w:hAnsi="宋体"/>
          <w:sz w:val="24"/>
          <w:szCs w:val="24"/>
          <w:highlight w:val="none"/>
        </w:rPr>
        <w:t>乙</w:t>
      </w:r>
      <w:r>
        <w:rPr>
          <w:rFonts w:hint="eastAsia" w:ascii="宋体" w:hAnsi="宋体"/>
          <w:bCs/>
          <w:sz w:val="24"/>
          <w:szCs w:val="24"/>
          <w:highlight w:val="none"/>
        </w:rPr>
        <w:t>方作为有经验的供应方，知悉建设工程施工具有复杂性、关联性，乙方从事合同内容的最终结算与审计认定事实密切相关，乙方认可发包人、甲方、相关部门等对本工程的审计或鉴定结论对乙方在事实认定上具有约束力。若审计或鉴定结论对标的物数量、价款、质量等的认定与甲乙双方认定结果有差异的，乙方同意据实调整合同价款，并在乙方拨付款、保证金等款项中扣除或由乙方补足</w:t>
      </w:r>
      <w:r>
        <w:rPr>
          <w:rFonts w:hint="eastAsia" w:ascii="宋体" w:hAnsi="宋体"/>
          <w:sz w:val="24"/>
          <w:szCs w:val="24"/>
          <w:highlight w:val="none"/>
        </w:rPr>
        <w:t>。</w:t>
      </w:r>
    </w:p>
    <w:p w14:paraId="4D810DA4">
      <w:pPr>
        <w:tabs>
          <w:tab w:val="left" w:pos="360"/>
        </w:tabs>
        <w:spacing w:line="390" w:lineRule="exact"/>
        <w:ind w:firstLine="480" w:firstLineChars="200"/>
        <w:rPr>
          <w:rFonts w:ascii="宋体" w:hAnsi="宋体"/>
          <w:sz w:val="24"/>
          <w:szCs w:val="24"/>
        </w:rPr>
      </w:pPr>
      <w:r>
        <w:rPr>
          <w:rFonts w:hint="eastAsia" w:ascii="宋体" w:hAnsi="宋体"/>
          <w:sz w:val="24"/>
          <w:szCs w:val="24"/>
        </w:rPr>
        <w:t>13.3乙方在甲方场所发生工伤事故时，乙方必须第一时间妥善处置事故，及时通知项目部并配合项目部做好安置、取证等相关工作。乙方未及时通知导致损失扩大，乙方承担事故发生的全部损失，不得以任何理由干扰甲方正常工作。</w:t>
      </w:r>
    </w:p>
    <w:p w14:paraId="1BE7FC99">
      <w:pPr>
        <w:tabs>
          <w:tab w:val="left" w:pos="360"/>
        </w:tabs>
        <w:spacing w:line="390" w:lineRule="exact"/>
        <w:ind w:firstLine="480" w:firstLineChars="200"/>
        <w:rPr>
          <w:rFonts w:ascii="宋体" w:hAnsi="宋体"/>
          <w:sz w:val="24"/>
          <w:szCs w:val="24"/>
        </w:rPr>
      </w:pPr>
      <w:r>
        <w:rPr>
          <w:rFonts w:hint="eastAsia" w:ascii="宋体" w:hAnsi="宋体"/>
          <w:sz w:val="24"/>
          <w:szCs w:val="24"/>
        </w:rPr>
        <w:t>13.</w:t>
      </w:r>
      <w:bookmarkStart w:id="50" w:name="_Hlk142310143"/>
      <w:r>
        <w:rPr>
          <w:rFonts w:hint="eastAsia" w:ascii="宋体" w:hAnsi="宋体"/>
          <w:sz w:val="24"/>
          <w:szCs w:val="24"/>
        </w:rPr>
        <w:t>4乙方与乙方使用的作业人员发生劳动争议、侵权、伤亡等纠纷，未妥善处置，导致甲方被诉（含仲裁、信访、行政处罚等）的，除直接导致甲方损失的费用全额由乙方承担外，每发生一人次，乙方还应向甲方支付</w:t>
      </w:r>
      <w:r>
        <w:rPr>
          <w:rFonts w:hint="eastAsia" w:ascii="宋体" w:hAnsi="宋体"/>
          <w:sz w:val="24"/>
          <w:szCs w:val="24"/>
          <w:lang w:val="en-US" w:eastAsia="zh-CN"/>
        </w:rPr>
        <w:t>20000</w:t>
      </w:r>
      <w:r>
        <w:rPr>
          <w:rFonts w:hint="eastAsia" w:ascii="宋体" w:hAnsi="宋体"/>
          <w:sz w:val="24"/>
          <w:szCs w:val="24"/>
        </w:rPr>
        <w:t>元/人次违约金，并承担由此给甲方造成的处理被诉案件的全部费用。</w:t>
      </w:r>
      <w:bookmarkEnd w:id="50"/>
    </w:p>
    <w:p w14:paraId="0A2C4346">
      <w:pPr>
        <w:tabs>
          <w:tab w:val="left" w:pos="360"/>
        </w:tabs>
        <w:spacing w:line="390" w:lineRule="exact"/>
        <w:ind w:firstLine="480" w:firstLineChars="200"/>
        <w:rPr>
          <w:rFonts w:ascii="宋体" w:hAnsi="宋体" w:cs="宋体"/>
          <w:kern w:val="0"/>
          <w:sz w:val="24"/>
          <w:szCs w:val="24"/>
        </w:rPr>
      </w:pPr>
      <w:r>
        <w:rPr>
          <w:rFonts w:hint="eastAsia" w:ascii="宋体" w:hAnsi="宋体"/>
          <w:sz w:val="24"/>
          <w:szCs w:val="24"/>
        </w:rPr>
        <w:t>1</w:t>
      </w:r>
      <w:r>
        <w:rPr>
          <w:rFonts w:ascii="宋体" w:hAnsi="宋体"/>
          <w:sz w:val="24"/>
          <w:szCs w:val="24"/>
        </w:rPr>
        <w:t>3</w:t>
      </w:r>
      <w:r>
        <w:rPr>
          <w:rFonts w:hint="eastAsia" w:ascii="宋体" w:hAnsi="宋体"/>
          <w:sz w:val="24"/>
          <w:szCs w:val="24"/>
        </w:rPr>
        <w:t>.3双方确定所预留的以下地址为往来函件的送达地址，法院（仲裁、公证等机构）法律文书应当送达双方法人所在地，</w:t>
      </w:r>
      <w:r>
        <w:rPr>
          <w:rFonts w:hint="eastAsia" w:ascii="宋体" w:hAnsi="宋体" w:cs="宋体"/>
          <w:kern w:val="0"/>
          <w:sz w:val="24"/>
          <w:szCs w:val="24"/>
        </w:rPr>
        <w:t>任一方变更送达地址必须在变更之日起</w:t>
      </w:r>
      <w:r>
        <w:rPr>
          <w:rFonts w:ascii="宋体" w:hAnsi="宋体" w:cs="宋体"/>
          <w:kern w:val="0"/>
          <w:sz w:val="24"/>
          <w:szCs w:val="24"/>
        </w:rPr>
        <w:t xml:space="preserve"> 7日内书面通知对方，否则不发生送达地址变更的法律效力，对方按原地址送达仍然为有效送达。</w:t>
      </w:r>
    </w:p>
    <w:p w14:paraId="6497AB25">
      <w:pPr>
        <w:keepNext w:val="0"/>
        <w:keepLines w:val="0"/>
        <w:pageBreakBefore w:val="0"/>
        <w:kinsoku/>
        <w:wordWrap/>
        <w:overflowPunct/>
        <w:topLinePunct w:val="0"/>
        <w:autoSpaceDE/>
        <w:autoSpaceDN/>
        <w:bidi w:val="0"/>
        <w:adjustRightInd/>
        <w:snapToGrid/>
        <w:spacing w:line="390" w:lineRule="exact"/>
        <w:ind w:firstLine="480"/>
        <w:textAlignment w:val="auto"/>
        <w:rPr>
          <w:rFonts w:ascii="宋体" w:hAnsi="宋体"/>
          <w:sz w:val="24"/>
        </w:rPr>
      </w:pPr>
      <w:r>
        <w:rPr>
          <w:rFonts w:hint="eastAsia" w:ascii="宋体" w:hAnsi="宋体"/>
          <w:sz w:val="24"/>
        </w:rPr>
        <w:t>甲方送达地址：河北省衡水市中铁二局雄商高铁衡水枢纽站前一标项目经理部。</w:t>
      </w:r>
    </w:p>
    <w:p w14:paraId="5C8B61A3">
      <w:pPr>
        <w:tabs>
          <w:tab w:val="left" w:pos="360"/>
        </w:tabs>
        <w:spacing w:line="390" w:lineRule="exact"/>
        <w:ind w:firstLine="480" w:firstLineChars="200"/>
        <w:rPr>
          <w:rFonts w:ascii="宋体" w:hAnsi="宋体"/>
          <w:sz w:val="24"/>
          <w:szCs w:val="24"/>
        </w:rPr>
      </w:pPr>
      <w:r>
        <w:rPr>
          <w:rFonts w:hint="eastAsia" w:ascii="宋体" w:hAnsi="宋体"/>
          <w:sz w:val="24"/>
        </w:rPr>
        <w:t>乙方送达地址：</w:t>
      </w:r>
      <w:r>
        <w:rPr>
          <w:rFonts w:hint="eastAsia" w:ascii="宋体" w:hAnsi="宋体"/>
          <w:sz w:val="24"/>
          <w:lang w:val="en-US" w:eastAsia="zh-CN"/>
        </w:rPr>
        <w:t>。</w:t>
      </w:r>
    </w:p>
    <w:p w14:paraId="4BDC4AEF">
      <w:pPr>
        <w:keepNext w:val="0"/>
        <w:keepLines w:val="0"/>
        <w:pageBreakBefore w:val="0"/>
        <w:kinsoku/>
        <w:wordWrap/>
        <w:overflowPunct/>
        <w:topLinePunct w:val="0"/>
        <w:autoSpaceDE/>
        <w:autoSpaceDN/>
        <w:bidi w:val="0"/>
        <w:adjustRightInd/>
        <w:snapToGrid/>
        <w:spacing w:line="390" w:lineRule="exact"/>
        <w:ind w:firstLine="480"/>
        <w:textAlignment w:val="auto"/>
        <w:rPr>
          <w:rFonts w:hint="eastAsia" w:ascii="宋体" w:hAnsi="宋体" w:eastAsia="宋体" w:cs="Times New Roman"/>
          <w:sz w:val="24"/>
        </w:rPr>
      </w:pPr>
      <w:r>
        <w:rPr>
          <w:rFonts w:hint="eastAsia" w:ascii="宋体" w:hAnsi="宋体" w:eastAsia="宋体" w:cs="Times New Roman"/>
          <w:sz w:val="24"/>
        </w:rPr>
        <w:t>13.4合同如有未尽事宜，由双方协商解决，签订补充协议。</w:t>
      </w:r>
    </w:p>
    <w:p w14:paraId="46D8D6E3">
      <w:pPr>
        <w:keepNext w:val="0"/>
        <w:keepLines w:val="0"/>
        <w:pageBreakBefore w:val="0"/>
        <w:kinsoku/>
        <w:wordWrap/>
        <w:overflowPunct/>
        <w:topLinePunct w:val="0"/>
        <w:autoSpaceDE/>
        <w:autoSpaceDN/>
        <w:bidi w:val="0"/>
        <w:adjustRightInd/>
        <w:snapToGrid/>
        <w:spacing w:line="390" w:lineRule="exact"/>
        <w:ind w:firstLine="480"/>
        <w:textAlignment w:val="auto"/>
        <w:rPr>
          <w:rFonts w:hint="eastAsia" w:ascii="宋体" w:hAnsi="宋体" w:eastAsia="宋体" w:cs="Times New Roman"/>
          <w:sz w:val="24"/>
        </w:rPr>
      </w:pPr>
      <w:r>
        <w:rPr>
          <w:rFonts w:hint="eastAsia" w:ascii="宋体" w:hAnsi="宋体" w:eastAsia="宋体" w:cs="Times New Roman"/>
          <w:sz w:val="24"/>
        </w:rPr>
        <w:t>13.5合同自双方签章之日起生效。本合同一式</w:t>
      </w:r>
      <w:r>
        <w:rPr>
          <w:rFonts w:hint="eastAsia" w:ascii="宋体" w:hAnsi="宋体" w:eastAsia="宋体" w:cs="Times New Roman"/>
          <w:sz w:val="24"/>
          <w:lang w:val="en-US" w:eastAsia="zh-CN"/>
        </w:rPr>
        <w:t>陆</w:t>
      </w:r>
      <w:r>
        <w:rPr>
          <w:rFonts w:hint="eastAsia" w:ascii="宋体" w:hAnsi="宋体" w:eastAsia="宋体" w:cs="Times New Roman"/>
          <w:sz w:val="24"/>
        </w:rPr>
        <w:t>份，卖方</w:t>
      </w:r>
      <w:r>
        <w:rPr>
          <w:rFonts w:hint="eastAsia" w:ascii="宋体" w:hAnsi="宋体" w:eastAsia="宋体" w:cs="Times New Roman"/>
          <w:sz w:val="24"/>
          <w:lang w:val="en-US" w:eastAsia="zh-CN"/>
        </w:rPr>
        <w:t>壹</w:t>
      </w:r>
      <w:r>
        <w:rPr>
          <w:rFonts w:hint="eastAsia" w:ascii="宋体" w:hAnsi="宋体" w:eastAsia="宋体" w:cs="Times New Roman"/>
          <w:sz w:val="24"/>
        </w:rPr>
        <w:t>份买方</w:t>
      </w:r>
      <w:r>
        <w:rPr>
          <w:rFonts w:hint="eastAsia" w:ascii="宋体" w:hAnsi="宋体" w:eastAsia="宋体" w:cs="Times New Roman"/>
          <w:sz w:val="24"/>
          <w:lang w:val="en-US" w:eastAsia="zh-CN"/>
        </w:rPr>
        <w:t>伍</w:t>
      </w:r>
      <w:r>
        <w:rPr>
          <w:rFonts w:hint="eastAsia" w:ascii="宋体" w:hAnsi="宋体" w:eastAsia="宋体" w:cs="Times New Roman"/>
          <w:sz w:val="24"/>
        </w:rPr>
        <w:t>份。</w:t>
      </w:r>
    </w:p>
    <w:p w14:paraId="46D6DD02">
      <w:pPr>
        <w:pStyle w:val="5"/>
        <w:shd w:val="clear" w:color="auto" w:fill="auto"/>
        <w:spacing w:line="390" w:lineRule="exact"/>
        <w:ind w:firstLine="482" w:firstLineChars="20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（重点提示：在合同最后新增要有一个手写部分内容：乙方基于与甲方充分谈判、协商一致而签订本合同，已认真审阅本合同条款，尤其是对本合同加粗、标识等涉及结算、支付等关键内容予以充分理解并接受）</w:t>
      </w:r>
    </w:p>
    <w:p w14:paraId="4DFE4E4D">
      <w:pPr>
        <w:keepNext w:val="0"/>
        <w:keepLines w:val="0"/>
        <w:pageBreakBefore w:val="0"/>
        <w:kinsoku/>
        <w:wordWrap/>
        <w:overflowPunct/>
        <w:topLinePunct w:val="0"/>
        <w:autoSpaceDE/>
        <w:autoSpaceDN/>
        <w:bidi w:val="0"/>
        <w:adjustRightInd/>
        <w:snapToGrid/>
        <w:spacing w:line="390" w:lineRule="exact"/>
        <w:ind w:firstLine="482" w:firstLineChars="200"/>
        <w:textAlignment w:val="auto"/>
        <w:rPr>
          <w:rFonts w:hint="eastAsia" w:ascii="宋体" w:hAnsi="宋体" w:eastAsia="宋体" w:cs="Times New Roman"/>
          <w:b/>
          <w:bCs/>
          <w:sz w:val="24"/>
          <w:lang w:val="en-US" w:eastAsia="zh-CN"/>
        </w:rPr>
      </w:pPr>
    </w:p>
    <w:p w14:paraId="74A05354">
      <w:pPr>
        <w:keepNext w:val="0"/>
        <w:keepLines w:val="0"/>
        <w:pageBreakBefore w:val="0"/>
        <w:kinsoku/>
        <w:wordWrap/>
        <w:overflowPunct/>
        <w:topLinePunct w:val="0"/>
        <w:autoSpaceDE/>
        <w:autoSpaceDN/>
        <w:bidi w:val="0"/>
        <w:adjustRightInd/>
        <w:snapToGrid/>
        <w:spacing w:line="390" w:lineRule="exact"/>
        <w:ind w:firstLine="480"/>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 xml:space="preserve">                                  </w:t>
      </w:r>
    </w:p>
    <w:p w14:paraId="2597E367">
      <w:pPr>
        <w:keepNext w:val="0"/>
        <w:keepLines w:val="0"/>
        <w:pageBreakBefore w:val="0"/>
        <w:kinsoku/>
        <w:wordWrap/>
        <w:overflowPunct/>
        <w:topLinePunct w:val="0"/>
        <w:autoSpaceDE/>
        <w:autoSpaceDN/>
        <w:bidi w:val="0"/>
        <w:adjustRightInd/>
        <w:snapToGrid/>
        <w:spacing w:line="390" w:lineRule="exact"/>
        <w:ind w:firstLine="480"/>
        <w:jc w:val="right"/>
        <w:textAlignment w:val="auto"/>
        <w:rPr>
          <w:rFonts w:hint="eastAsia" w:ascii="宋体" w:hAnsi="宋体" w:eastAsia="宋体" w:cs="Times New Roman"/>
          <w:b/>
          <w:bCs/>
          <w:sz w:val="24"/>
          <w:lang w:val="en-US" w:eastAsia="zh-CN"/>
        </w:rPr>
      </w:pPr>
    </w:p>
    <w:p w14:paraId="58E96265">
      <w:pPr>
        <w:keepNext w:val="0"/>
        <w:keepLines w:val="0"/>
        <w:pageBreakBefore w:val="0"/>
        <w:kinsoku/>
        <w:wordWrap/>
        <w:overflowPunct/>
        <w:topLinePunct w:val="0"/>
        <w:autoSpaceDE/>
        <w:autoSpaceDN/>
        <w:bidi w:val="0"/>
        <w:adjustRightInd/>
        <w:snapToGrid/>
        <w:spacing w:line="390" w:lineRule="exact"/>
        <w:jc w:val="both"/>
        <w:textAlignment w:val="auto"/>
        <w:rPr>
          <w:rFonts w:hint="default" w:ascii="宋体" w:hAnsi="宋体" w:eastAsia="宋体" w:cs="Times New Roman"/>
          <w:b/>
          <w:bCs/>
          <w:sz w:val="24"/>
          <w:lang w:val="en-US" w:eastAsia="zh-CN"/>
        </w:rPr>
      </w:pPr>
    </w:p>
    <w:p w14:paraId="098B912A">
      <w:pPr>
        <w:keepNext w:val="0"/>
        <w:keepLines w:val="0"/>
        <w:pageBreakBefore w:val="0"/>
        <w:kinsoku/>
        <w:wordWrap/>
        <w:overflowPunct/>
        <w:topLinePunct w:val="0"/>
        <w:autoSpaceDE/>
        <w:autoSpaceDN/>
        <w:bidi w:val="0"/>
        <w:adjustRightInd/>
        <w:snapToGrid/>
        <w:spacing w:line="390" w:lineRule="exact"/>
        <w:ind w:firstLine="480"/>
        <w:jc w:val="right"/>
        <w:textAlignment w:val="auto"/>
        <w:rPr>
          <w:rFonts w:hint="eastAsia" w:ascii="宋体" w:hAnsi="宋体" w:eastAsia="宋体" w:cs="Times New Roman"/>
          <w:b/>
          <w:bCs/>
          <w:sz w:val="24"/>
          <w:lang w:val="en-US" w:eastAsia="zh-CN"/>
        </w:rPr>
      </w:pPr>
    </w:p>
    <w:p w14:paraId="3AFB07C8">
      <w:pPr>
        <w:keepNext w:val="0"/>
        <w:keepLines w:val="0"/>
        <w:pageBreakBefore w:val="0"/>
        <w:kinsoku/>
        <w:wordWrap/>
        <w:overflowPunct/>
        <w:topLinePunct w:val="0"/>
        <w:autoSpaceDE/>
        <w:autoSpaceDN/>
        <w:bidi w:val="0"/>
        <w:adjustRightInd/>
        <w:snapToGrid/>
        <w:spacing w:line="390" w:lineRule="exact"/>
        <w:ind w:firstLine="480"/>
        <w:jc w:val="right"/>
        <w:textAlignment w:val="auto"/>
        <w:rPr>
          <w:rFonts w:hint="eastAsia" w:ascii="宋体" w:hAnsi="宋体" w:eastAsia="宋体" w:cs="Times New Roman"/>
          <w:b/>
          <w:bCs/>
          <w:sz w:val="24"/>
          <w:lang w:val="en-US" w:eastAsia="zh-CN"/>
        </w:rPr>
      </w:pPr>
      <w:r>
        <w:rPr>
          <w:rFonts w:hint="eastAsia" w:ascii="宋体" w:hAnsi="宋体" w:eastAsia="宋体" w:cs="Times New Roman"/>
          <w:b/>
          <w:bCs/>
          <w:sz w:val="24"/>
          <w:lang w:val="en-US" w:eastAsia="zh-CN"/>
        </w:rPr>
        <w:t xml:space="preserve">  （乙方合同签署人签字：           ）</w:t>
      </w:r>
    </w:p>
    <w:p w14:paraId="6C9038E7">
      <w:pPr>
        <w:rPr>
          <w:rFonts w:hint="eastAsia" w:ascii="宋体" w:hAnsi="宋体"/>
          <w:color w:val="FF0000"/>
          <w:sz w:val="24"/>
          <w:szCs w:val="24"/>
        </w:rPr>
        <w:sectPr>
          <w:footerReference r:id="rId5" w:type="default"/>
          <w:pgSz w:w="11906" w:h="16838"/>
          <w:pgMar w:top="2154" w:right="1474" w:bottom="2041" w:left="1587" w:header="851" w:footer="992" w:gutter="0"/>
          <w:pgNumType w:fmt="decimal" w:start="1"/>
          <w:cols w:space="720" w:num="1"/>
          <w:docGrid w:type="lines" w:linePitch="312" w:charSpace="0"/>
        </w:sectPr>
      </w:pPr>
    </w:p>
    <w:p w14:paraId="71DFBC07">
      <w:pPr>
        <w:keepNext w:val="0"/>
        <w:keepLines w:val="0"/>
        <w:pageBreakBefore w:val="0"/>
        <w:kinsoku/>
        <w:wordWrap/>
        <w:overflowPunct/>
        <w:topLinePunct w:val="0"/>
        <w:autoSpaceDE/>
        <w:autoSpaceDN/>
        <w:bidi w:val="0"/>
        <w:adjustRightInd/>
        <w:snapToGrid/>
        <w:spacing w:line="390" w:lineRule="exact"/>
        <w:textAlignment w:val="auto"/>
        <w:rPr>
          <w:rFonts w:hint="eastAsia" w:ascii="宋体" w:hAnsi="宋体" w:eastAsia="宋体" w:cs="Times New Roman"/>
          <w:sz w:val="24"/>
        </w:rPr>
      </w:pPr>
    </w:p>
    <w:p w14:paraId="4E5FD54A">
      <w:pPr>
        <w:keepNext w:val="0"/>
        <w:keepLines w:val="0"/>
        <w:pageBreakBefore w:val="0"/>
        <w:kinsoku/>
        <w:wordWrap/>
        <w:overflowPunct/>
        <w:topLinePunct w:val="0"/>
        <w:autoSpaceDE/>
        <w:autoSpaceDN/>
        <w:bidi w:val="0"/>
        <w:adjustRightInd/>
        <w:snapToGrid/>
        <w:spacing w:line="390" w:lineRule="exact"/>
        <w:ind w:firstLine="480"/>
        <w:textAlignment w:val="auto"/>
        <w:rPr>
          <w:rFonts w:hint="eastAsia" w:ascii="宋体" w:hAnsi="宋体" w:eastAsia="宋体" w:cs="Times New Roman"/>
          <w:sz w:val="24"/>
        </w:rPr>
      </w:pPr>
      <w:r>
        <w:rPr>
          <w:rFonts w:hint="eastAsia" w:ascii="宋体" w:hAnsi="宋体" w:eastAsia="宋体" w:cs="Times New Roman"/>
          <w:sz w:val="24"/>
        </w:rPr>
        <w:t>（以下无合同正文）</w:t>
      </w:r>
    </w:p>
    <w:tbl>
      <w:tblPr>
        <w:tblStyle w:val="7"/>
        <w:tblW w:w="8814" w:type="dxa"/>
        <w:tblInd w:w="0" w:type="dxa"/>
        <w:tblLayout w:type="fixed"/>
        <w:tblCellMar>
          <w:top w:w="0" w:type="dxa"/>
          <w:left w:w="108" w:type="dxa"/>
          <w:bottom w:w="0" w:type="dxa"/>
          <w:right w:w="108" w:type="dxa"/>
        </w:tblCellMar>
      </w:tblPr>
      <w:tblGrid>
        <w:gridCol w:w="4407"/>
        <w:gridCol w:w="4407"/>
      </w:tblGrid>
      <w:tr w14:paraId="60389B65">
        <w:tblPrEx>
          <w:tblCellMar>
            <w:top w:w="0" w:type="dxa"/>
            <w:left w:w="108" w:type="dxa"/>
            <w:bottom w:w="0" w:type="dxa"/>
            <w:right w:w="108" w:type="dxa"/>
          </w:tblCellMar>
        </w:tblPrEx>
        <w:trPr>
          <w:trHeight w:val="639" w:hRule="atLeast"/>
        </w:trPr>
        <w:tc>
          <w:tcPr>
            <w:tcW w:w="4407" w:type="dxa"/>
            <w:noWrap w:val="0"/>
            <w:vAlign w:val="top"/>
          </w:tcPr>
          <w:p w14:paraId="23F9742B">
            <w:pPr>
              <w:spacing w:line="390" w:lineRule="exact"/>
              <w:rPr>
                <w:rFonts w:ascii="宋体" w:hAnsi="宋体"/>
                <w:sz w:val="24"/>
                <w:szCs w:val="24"/>
              </w:rPr>
            </w:pPr>
            <w:r>
              <w:rPr>
                <w:rFonts w:hint="eastAsia" w:ascii="宋体" w:hAnsi="宋体"/>
                <w:sz w:val="24"/>
                <w:szCs w:val="24"/>
              </w:rPr>
              <w:t>买方：（盖章）</w:t>
            </w:r>
            <w:r>
              <w:rPr>
                <w:rFonts w:hint="eastAsia" w:ascii="宋体" w:hAnsi="宋体"/>
                <w:sz w:val="24"/>
              </w:rPr>
              <w:t>中铁二局集团有限公司</w:t>
            </w:r>
          </w:p>
        </w:tc>
        <w:tc>
          <w:tcPr>
            <w:tcW w:w="4407" w:type="dxa"/>
            <w:noWrap w:val="0"/>
            <w:vAlign w:val="top"/>
          </w:tcPr>
          <w:p w14:paraId="4B3EEAAE">
            <w:pPr>
              <w:spacing w:line="390" w:lineRule="exact"/>
              <w:rPr>
                <w:rFonts w:hint="default" w:ascii="宋体" w:hAnsi="宋体" w:eastAsia="宋体"/>
                <w:sz w:val="24"/>
                <w:szCs w:val="24"/>
                <w:lang w:val="en-US" w:eastAsia="zh-CN"/>
              </w:rPr>
            </w:pPr>
            <w:r>
              <w:rPr>
                <w:rFonts w:hint="eastAsia" w:ascii="宋体" w:hAnsi="宋体"/>
                <w:sz w:val="24"/>
                <w:szCs w:val="24"/>
              </w:rPr>
              <w:t>卖方：（盖章）</w:t>
            </w:r>
          </w:p>
        </w:tc>
      </w:tr>
      <w:tr w14:paraId="74C7CD33">
        <w:tblPrEx>
          <w:tblCellMar>
            <w:top w:w="0" w:type="dxa"/>
            <w:left w:w="108" w:type="dxa"/>
            <w:bottom w:w="0" w:type="dxa"/>
            <w:right w:w="108" w:type="dxa"/>
          </w:tblCellMar>
        </w:tblPrEx>
        <w:trPr>
          <w:trHeight w:val="639" w:hRule="atLeast"/>
        </w:trPr>
        <w:tc>
          <w:tcPr>
            <w:tcW w:w="4407" w:type="dxa"/>
            <w:noWrap w:val="0"/>
            <w:vAlign w:val="top"/>
          </w:tcPr>
          <w:p w14:paraId="13BC4FD4">
            <w:pPr>
              <w:spacing w:line="390" w:lineRule="exact"/>
              <w:rPr>
                <w:rFonts w:ascii="宋体" w:hAnsi="宋体"/>
                <w:sz w:val="24"/>
                <w:szCs w:val="24"/>
              </w:rPr>
            </w:pPr>
            <w:r>
              <w:rPr>
                <w:rFonts w:hint="eastAsia" w:ascii="宋体" w:hAnsi="宋体"/>
                <w:sz w:val="24"/>
                <w:szCs w:val="24"/>
              </w:rPr>
              <w:t>住所地址：</w:t>
            </w:r>
            <w:r>
              <w:rPr>
                <w:rFonts w:hint="eastAsia" w:ascii="宋体" w:hAnsi="宋体"/>
                <w:sz w:val="24"/>
              </w:rPr>
              <w:t>中铁二局集团有限公司</w:t>
            </w:r>
          </w:p>
        </w:tc>
        <w:tc>
          <w:tcPr>
            <w:tcW w:w="4407" w:type="dxa"/>
            <w:noWrap w:val="0"/>
            <w:vAlign w:val="top"/>
          </w:tcPr>
          <w:p w14:paraId="1A305C0D">
            <w:pPr>
              <w:spacing w:line="390" w:lineRule="exact"/>
              <w:rPr>
                <w:rFonts w:hint="default" w:ascii="宋体" w:hAnsi="宋体" w:eastAsia="宋体"/>
                <w:sz w:val="24"/>
                <w:szCs w:val="24"/>
                <w:lang w:val="en-US" w:eastAsia="zh-CN"/>
              </w:rPr>
            </w:pPr>
            <w:r>
              <w:rPr>
                <w:rFonts w:hint="eastAsia" w:ascii="宋体" w:hAnsi="宋体"/>
                <w:sz w:val="24"/>
                <w:szCs w:val="24"/>
              </w:rPr>
              <w:t>住所地址：</w:t>
            </w:r>
          </w:p>
        </w:tc>
      </w:tr>
      <w:tr w14:paraId="14CC666F">
        <w:tblPrEx>
          <w:tblCellMar>
            <w:top w:w="0" w:type="dxa"/>
            <w:left w:w="108" w:type="dxa"/>
            <w:bottom w:w="0" w:type="dxa"/>
            <w:right w:w="108" w:type="dxa"/>
          </w:tblCellMar>
        </w:tblPrEx>
        <w:trPr>
          <w:trHeight w:val="639" w:hRule="atLeast"/>
        </w:trPr>
        <w:tc>
          <w:tcPr>
            <w:tcW w:w="4407" w:type="dxa"/>
            <w:noWrap w:val="0"/>
            <w:vAlign w:val="top"/>
          </w:tcPr>
          <w:p w14:paraId="4197684E">
            <w:pPr>
              <w:spacing w:line="390" w:lineRule="exact"/>
              <w:rPr>
                <w:rFonts w:ascii="宋体" w:hAnsi="宋体"/>
                <w:sz w:val="24"/>
                <w:szCs w:val="24"/>
              </w:rPr>
            </w:pPr>
            <w:r>
              <w:rPr>
                <w:rFonts w:hint="eastAsia" w:ascii="宋体" w:hAnsi="宋体"/>
                <w:sz w:val="24"/>
                <w:szCs w:val="24"/>
              </w:rPr>
              <w:t>法定代表人：</w:t>
            </w:r>
          </w:p>
        </w:tc>
        <w:tc>
          <w:tcPr>
            <w:tcW w:w="4407" w:type="dxa"/>
            <w:noWrap w:val="0"/>
            <w:vAlign w:val="top"/>
          </w:tcPr>
          <w:p w14:paraId="1DDA3F8E">
            <w:pPr>
              <w:spacing w:line="390" w:lineRule="exact"/>
              <w:rPr>
                <w:rFonts w:ascii="宋体" w:hAnsi="宋体"/>
                <w:sz w:val="24"/>
                <w:szCs w:val="24"/>
              </w:rPr>
            </w:pPr>
            <w:r>
              <w:rPr>
                <w:rFonts w:hint="eastAsia" w:ascii="宋体" w:hAnsi="宋体"/>
                <w:sz w:val="24"/>
                <w:szCs w:val="24"/>
              </w:rPr>
              <w:t>法定代表人：</w:t>
            </w:r>
          </w:p>
        </w:tc>
      </w:tr>
      <w:tr w14:paraId="5BD9E486">
        <w:tblPrEx>
          <w:tblCellMar>
            <w:top w:w="0" w:type="dxa"/>
            <w:left w:w="108" w:type="dxa"/>
            <w:bottom w:w="0" w:type="dxa"/>
            <w:right w:w="108" w:type="dxa"/>
          </w:tblCellMar>
        </w:tblPrEx>
        <w:trPr>
          <w:trHeight w:val="639" w:hRule="atLeast"/>
        </w:trPr>
        <w:tc>
          <w:tcPr>
            <w:tcW w:w="4407" w:type="dxa"/>
            <w:noWrap w:val="0"/>
            <w:vAlign w:val="top"/>
          </w:tcPr>
          <w:p w14:paraId="62A26EC6">
            <w:pPr>
              <w:spacing w:line="390" w:lineRule="exact"/>
              <w:rPr>
                <w:rFonts w:ascii="宋体" w:hAnsi="宋体"/>
                <w:sz w:val="24"/>
                <w:szCs w:val="24"/>
              </w:rPr>
            </w:pPr>
            <w:r>
              <w:rPr>
                <w:rFonts w:hint="eastAsia" w:ascii="宋体" w:hAnsi="宋体"/>
                <w:sz w:val="24"/>
                <w:szCs w:val="24"/>
              </w:rPr>
              <w:t>委托代理人：</w:t>
            </w:r>
          </w:p>
        </w:tc>
        <w:tc>
          <w:tcPr>
            <w:tcW w:w="4407" w:type="dxa"/>
            <w:noWrap w:val="0"/>
            <w:vAlign w:val="top"/>
          </w:tcPr>
          <w:p w14:paraId="2ABB3745">
            <w:pPr>
              <w:spacing w:line="390" w:lineRule="exact"/>
              <w:rPr>
                <w:rFonts w:ascii="宋体" w:hAnsi="宋体"/>
                <w:sz w:val="24"/>
                <w:szCs w:val="24"/>
              </w:rPr>
            </w:pPr>
            <w:r>
              <w:rPr>
                <w:rFonts w:hint="eastAsia" w:ascii="宋体" w:hAnsi="宋体"/>
                <w:sz w:val="24"/>
                <w:szCs w:val="24"/>
              </w:rPr>
              <w:t>委托代理人：</w:t>
            </w:r>
          </w:p>
        </w:tc>
      </w:tr>
      <w:tr w14:paraId="41C3821A">
        <w:tblPrEx>
          <w:tblCellMar>
            <w:top w:w="0" w:type="dxa"/>
            <w:left w:w="108" w:type="dxa"/>
            <w:bottom w:w="0" w:type="dxa"/>
            <w:right w:w="108" w:type="dxa"/>
          </w:tblCellMar>
        </w:tblPrEx>
        <w:trPr>
          <w:trHeight w:val="639" w:hRule="atLeast"/>
        </w:trPr>
        <w:tc>
          <w:tcPr>
            <w:tcW w:w="4407" w:type="dxa"/>
            <w:noWrap w:val="0"/>
            <w:vAlign w:val="top"/>
          </w:tcPr>
          <w:p w14:paraId="76555DBD">
            <w:pPr>
              <w:spacing w:line="390" w:lineRule="exact"/>
              <w:rPr>
                <w:rFonts w:ascii="宋体" w:hAnsi="宋体"/>
                <w:sz w:val="24"/>
                <w:szCs w:val="24"/>
              </w:rPr>
            </w:pPr>
            <w:r>
              <w:rPr>
                <w:rFonts w:hint="eastAsia" w:ascii="宋体" w:hAnsi="宋体"/>
                <w:sz w:val="24"/>
                <w:szCs w:val="24"/>
              </w:rPr>
              <w:t>电话：</w:t>
            </w:r>
            <w:r>
              <w:rPr>
                <w:rFonts w:ascii="宋体" w:hAnsi="宋体"/>
                <w:sz w:val="24"/>
              </w:rPr>
              <w:t>028-86442260</w:t>
            </w:r>
          </w:p>
        </w:tc>
        <w:tc>
          <w:tcPr>
            <w:tcW w:w="4407" w:type="dxa"/>
            <w:noWrap w:val="0"/>
            <w:vAlign w:val="top"/>
          </w:tcPr>
          <w:p w14:paraId="7AEF0474">
            <w:pPr>
              <w:spacing w:line="390" w:lineRule="exact"/>
              <w:rPr>
                <w:rFonts w:ascii="宋体" w:hAnsi="宋体"/>
                <w:sz w:val="24"/>
                <w:szCs w:val="24"/>
              </w:rPr>
            </w:pPr>
            <w:r>
              <w:rPr>
                <w:rFonts w:hint="eastAsia" w:ascii="宋体" w:hAnsi="宋体"/>
                <w:sz w:val="24"/>
                <w:szCs w:val="24"/>
              </w:rPr>
              <w:t>电话：</w:t>
            </w:r>
          </w:p>
        </w:tc>
      </w:tr>
      <w:tr w14:paraId="0ADC3C66">
        <w:tblPrEx>
          <w:tblCellMar>
            <w:top w:w="0" w:type="dxa"/>
            <w:left w:w="108" w:type="dxa"/>
            <w:bottom w:w="0" w:type="dxa"/>
            <w:right w:w="108" w:type="dxa"/>
          </w:tblCellMar>
        </w:tblPrEx>
        <w:trPr>
          <w:trHeight w:val="639" w:hRule="atLeast"/>
        </w:trPr>
        <w:tc>
          <w:tcPr>
            <w:tcW w:w="4407" w:type="dxa"/>
            <w:noWrap w:val="0"/>
            <w:vAlign w:val="top"/>
          </w:tcPr>
          <w:p w14:paraId="620F9246">
            <w:pPr>
              <w:spacing w:line="390" w:lineRule="exact"/>
              <w:rPr>
                <w:rFonts w:ascii="宋体" w:hAnsi="宋体"/>
                <w:sz w:val="24"/>
                <w:szCs w:val="24"/>
              </w:rPr>
            </w:pPr>
            <w:r>
              <w:rPr>
                <w:rFonts w:hint="eastAsia" w:ascii="宋体" w:hAnsi="宋体"/>
                <w:sz w:val="24"/>
                <w:szCs w:val="24"/>
              </w:rPr>
              <w:t>纳税人识别号：</w:t>
            </w:r>
            <w:r>
              <w:rPr>
                <w:rFonts w:hint="eastAsia" w:ascii="宋体" w:hAnsi="宋体"/>
                <w:sz w:val="24"/>
              </w:rPr>
              <w:t>91510100MA61RKR7X3</w:t>
            </w:r>
          </w:p>
        </w:tc>
        <w:tc>
          <w:tcPr>
            <w:tcW w:w="4407" w:type="dxa"/>
            <w:noWrap w:val="0"/>
            <w:vAlign w:val="top"/>
          </w:tcPr>
          <w:p w14:paraId="22BA827A">
            <w:pPr>
              <w:spacing w:line="390" w:lineRule="exact"/>
              <w:rPr>
                <w:rFonts w:hint="default" w:ascii="宋体" w:hAnsi="宋体" w:eastAsia="宋体"/>
                <w:sz w:val="24"/>
                <w:szCs w:val="24"/>
                <w:lang w:val="en-US" w:eastAsia="zh-CN"/>
              </w:rPr>
            </w:pPr>
            <w:r>
              <w:rPr>
                <w:rFonts w:hint="eastAsia" w:ascii="宋体" w:hAnsi="宋体"/>
                <w:sz w:val="24"/>
                <w:szCs w:val="24"/>
              </w:rPr>
              <w:t>纳税人识别号：</w:t>
            </w:r>
          </w:p>
        </w:tc>
      </w:tr>
      <w:tr w14:paraId="6A01F506">
        <w:tblPrEx>
          <w:tblCellMar>
            <w:top w:w="0" w:type="dxa"/>
            <w:left w:w="108" w:type="dxa"/>
            <w:bottom w:w="0" w:type="dxa"/>
            <w:right w:w="108" w:type="dxa"/>
          </w:tblCellMar>
        </w:tblPrEx>
        <w:trPr>
          <w:trHeight w:val="639" w:hRule="atLeast"/>
        </w:trPr>
        <w:tc>
          <w:tcPr>
            <w:tcW w:w="4407" w:type="dxa"/>
            <w:noWrap w:val="0"/>
            <w:vAlign w:val="top"/>
          </w:tcPr>
          <w:p w14:paraId="3FB6C8AE">
            <w:pPr>
              <w:spacing w:line="390" w:lineRule="exact"/>
              <w:rPr>
                <w:rFonts w:ascii="宋体" w:hAnsi="宋体"/>
                <w:sz w:val="24"/>
                <w:szCs w:val="24"/>
              </w:rPr>
            </w:pPr>
            <w:r>
              <w:rPr>
                <w:rFonts w:hint="eastAsia" w:ascii="宋体" w:hAnsi="宋体"/>
                <w:sz w:val="24"/>
                <w:szCs w:val="24"/>
              </w:rPr>
              <w:t>开户银行：</w:t>
            </w:r>
            <w:r>
              <w:rPr>
                <w:rFonts w:hint="eastAsia" w:ascii="宋体" w:hAnsi="宋体" w:eastAsia="宋体" w:cs="Times New Roman"/>
                <w:sz w:val="24"/>
              </w:rPr>
              <w:t>中国建设银行股份有限公司成都铁道支行</w:t>
            </w:r>
          </w:p>
        </w:tc>
        <w:tc>
          <w:tcPr>
            <w:tcW w:w="4407" w:type="dxa"/>
            <w:noWrap w:val="0"/>
            <w:vAlign w:val="top"/>
          </w:tcPr>
          <w:p w14:paraId="347F93DB">
            <w:pPr>
              <w:spacing w:line="390" w:lineRule="exact"/>
              <w:rPr>
                <w:rFonts w:hint="default" w:ascii="宋体" w:hAnsi="宋体" w:eastAsia="宋体"/>
                <w:sz w:val="24"/>
                <w:szCs w:val="24"/>
                <w:lang w:val="en-US" w:eastAsia="zh-CN"/>
              </w:rPr>
            </w:pPr>
            <w:r>
              <w:rPr>
                <w:rFonts w:hint="eastAsia" w:ascii="宋体" w:hAnsi="宋体"/>
                <w:sz w:val="24"/>
                <w:szCs w:val="24"/>
              </w:rPr>
              <w:t>开户银行：</w:t>
            </w:r>
          </w:p>
        </w:tc>
      </w:tr>
      <w:tr w14:paraId="6995F076">
        <w:tblPrEx>
          <w:tblCellMar>
            <w:top w:w="0" w:type="dxa"/>
            <w:left w:w="108" w:type="dxa"/>
            <w:bottom w:w="0" w:type="dxa"/>
            <w:right w:w="108" w:type="dxa"/>
          </w:tblCellMar>
        </w:tblPrEx>
        <w:trPr>
          <w:trHeight w:val="639" w:hRule="atLeast"/>
        </w:trPr>
        <w:tc>
          <w:tcPr>
            <w:tcW w:w="4407" w:type="dxa"/>
            <w:noWrap w:val="0"/>
            <w:vAlign w:val="top"/>
          </w:tcPr>
          <w:p w14:paraId="2C582F19">
            <w:pPr>
              <w:spacing w:line="390" w:lineRule="exact"/>
              <w:rPr>
                <w:rFonts w:ascii="宋体" w:hAnsi="宋体"/>
                <w:sz w:val="24"/>
                <w:szCs w:val="24"/>
              </w:rPr>
            </w:pPr>
            <w:r>
              <w:rPr>
                <w:rFonts w:hint="eastAsia" w:ascii="宋体" w:hAnsi="宋体"/>
                <w:sz w:val="24"/>
                <w:szCs w:val="24"/>
              </w:rPr>
              <w:t>账号：</w:t>
            </w:r>
            <w:r>
              <w:rPr>
                <w:rFonts w:hint="eastAsia" w:ascii="宋体" w:hAnsi="宋体" w:eastAsia="宋体" w:cs="Times New Roman"/>
                <w:sz w:val="24"/>
              </w:rPr>
              <w:t>51050188083609123456</w:t>
            </w:r>
          </w:p>
          <w:p w14:paraId="6E0D230B">
            <w:pPr>
              <w:spacing w:line="390" w:lineRule="exact"/>
              <w:rPr>
                <w:rFonts w:ascii="宋体" w:hAnsi="宋体"/>
                <w:sz w:val="24"/>
                <w:szCs w:val="24"/>
              </w:rPr>
            </w:pPr>
          </w:p>
          <w:p w14:paraId="49BE42CF">
            <w:pPr>
              <w:spacing w:line="390" w:lineRule="exact"/>
              <w:rPr>
                <w:rFonts w:ascii="宋体" w:hAnsi="宋体"/>
                <w:sz w:val="24"/>
                <w:szCs w:val="24"/>
              </w:rPr>
            </w:pPr>
            <w:r>
              <w:rPr>
                <w:rFonts w:ascii="宋体" w:hAnsi="宋体"/>
                <w:sz w:val="24"/>
                <w:szCs w:val="24"/>
              </w:rPr>
              <w:t>签订日期</w:t>
            </w:r>
            <w:r>
              <w:rPr>
                <w:rFonts w:hint="eastAsia" w:ascii="宋体" w:hAnsi="宋体"/>
                <w:sz w:val="24"/>
                <w:szCs w:val="24"/>
              </w:rPr>
              <w:t>：</w:t>
            </w:r>
          </w:p>
        </w:tc>
        <w:tc>
          <w:tcPr>
            <w:tcW w:w="4407" w:type="dxa"/>
            <w:noWrap w:val="0"/>
            <w:vAlign w:val="top"/>
          </w:tcPr>
          <w:p w14:paraId="7E6EC269">
            <w:pPr>
              <w:spacing w:line="390" w:lineRule="exact"/>
              <w:rPr>
                <w:rFonts w:hint="eastAsia" w:ascii="宋体" w:hAnsi="宋体"/>
                <w:sz w:val="24"/>
                <w:lang w:val="en-US" w:eastAsia="zh-CN"/>
              </w:rPr>
            </w:pPr>
            <w:r>
              <w:rPr>
                <w:rFonts w:hint="eastAsia" w:ascii="宋体" w:hAnsi="宋体"/>
                <w:sz w:val="24"/>
                <w:szCs w:val="24"/>
              </w:rPr>
              <w:t>账号：</w:t>
            </w:r>
          </w:p>
          <w:p w14:paraId="4CE1D6E9">
            <w:pPr>
              <w:spacing w:line="390" w:lineRule="exact"/>
              <w:rPr>
                <w:rFonts w:hint="eastAsia" w:ascii="宋体" w:hAnsi="宋体"/>
                <w:sz w:val="24"/>
                <w:lang w:val="en-US" w:eastAsia="zh-CN"/>
              </w:rPr>
            </w:pPr>
          </w:p>
          <w:p w14:paraId="2191A92F">
            <w:pPr>
              <w:spacing w:line="390" w:lineRule="exact"/>
              <w:rPr>
                <w:rFonts w:ascii="宋体" w:hAnsi="宋体"/>
                <w:sz w:val="24"/>
                <w:szCs w:val="24"/>
              </w:rPr>
            </w:pPr>
            <w:r>
              <w:rPr>
                <w:rFonts w:ascii="宋体" w:hAnsi="宋体"/>
                <w:sz w:val="24"/>
                <w:szCs w:val="24"/>
              </w:rPr>
              <w:t>签订日期</w:t>
            </w:r>
            <w:r>
              <w:rPr>
                <w:rFonts w:hint="eastAsia" w:ascii="宋体" w:hAnsi="宋体"/>
                <w:sz w:val="24"/>
                <w:szCs w:val="24"/>
              </w:rPr>
              <w:t>：</w:t>
            </w:r>
          </w:p>
        </w:tc>
      </w:tr>
    </w:tbl>
    <w:p w14:paraId="2E827DC5">
      <w:pPr>
        <w:keepNext w:val="0"/>
        <w:keepLines w:val="0"/>
        <w:pageBreakBefore w:val="0"/>
        <w:kinsoku/>
        <w:wordWrap/>
        <w:overflowPunct/>
        <w:topLinePunct w:val="0"/>
        <w:autoSpaceDE/>
        <w:autoSpaceDN/>
        <w:bidi w:val="0"/>
        <w:adjustRightInd/>
        <w:snapToGrid/>
        <w:spacing w:line="390" w:lineRule="exact"/>
        <w:textAlignment w:val="auto"/>
        <w:rPr>
          <w:rFonts w:hint="eastAsia" w:ascii="宋体" w:hAnsi="宋体"/>
          <w:color w:val="FF0000"/>
          <w:sz w:val="24"/>
          <w:szCs w:val="24"/>
        </w:rPr>
        <w:sectPr>
          <w:footerReference r:id="rId6" w:type="default"/>
          <w:pgSz w:w="11906" w:h="16838"/>
          <w:pgMar w:top="2154" w:right="1474" w:bottom="2041" w:left="1587" w:header="851" w:footer="992" w:gutter="0"/>
          <w:pgNumType w:fmt="decimal"/>
          <w:cols w:space="720" w:num="1"/>
          <w:docGrid w:type="lines" w:linePitch="312" w:charSpace="0"/>
        </w:sectPr>
      </w:pPr>
    </w:p>
    <w:p w14:paraId="2CDAA6B5">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ascii="宋体" w:hAnsi="宋体"/>
          <w:sz w:val="24"/>
        </w:rPr>
      </w:pPr>
      <w:r>
        <w:rPr>
          <w:rFonts w:hint="eastAsia" w:ascii="宋体" w:hAnsi="宋体"/>
          <w:sz w:val="24"/>
        </w:rPr>
        <w:t>附件1:</w:t>
      </w:r>
    </w:p>
    <w:p w14:paraId="5E00A2D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318" w:leftChars="-270" w:hanging="885" w:hangingChars="315"/>
        <w:jc w:val="center"/>
        <w:textAlignment w:val="auto"/>
        <w:rPr>
          <w:rFonts w:hint="eastAsia" w:ascii="宋体" w:hAnsi="宋体" w:cs="宋体"/>
          <w:b/>
          <w:kern w:val="0"/>
          <w:sz w:val="28"/>
          <w:szCs w:val="28"/>
        </w:rPr>
      </w:pPr>
      <w:r>
        <w:rPr>
          <w:rFonts w:hint="eastAsia" w:ascii="宋体" w:hAnsi="宋体" w:cs="宋体"/>
          <w:b/>
          <w:kern w:val="0"/>
          <w:sz w:val="28"/>
          <w:szCs w:val="28"/>
        </w:rPr>
        <w:t>订货明细表</w:t>
      </w:r>
    </w:p>
    <w:p w14:paraId="3714B9CC">
      <w:pPr>
        <w:jc w:val="both"/>
        <w:rPr>
          <w:rFonts w:hint="default" w:ascii="仿宋" w:hAnsi="仿宋" w:eastAsia="仿宋" w:cs="仿宋"/>
          <w:sz w:val="20"/>
          <w:szCs w:val="20"/>
          <w:lang w:val="en-US" w:eastAsia="zh-CN"/>
        </w:rPr>
      </w:pPr>
      <w:r>
        <w:rPr>
          <w:rFonts w:hint="eastAsia" w:ascii="仿宋" w:hAnsi="仿宋" w:eastAsia="仿宋" w:cs="仿宋"/>
          <w:sz w:val="20"/>
          <w:szCs w:val="20"/>
        </w:rPr>
        <w:t>投标人名称：</w:t>
      </w:r>
      <w:r>
        <w:rPr>
          <w:rFonts w:hint="eastAsia" w:ascii="仿宋" w:hAnsi="仿宋" w:eastAsia="仿宋" w:cs="仿宋"/>
          <w:sz w:val="20"/>
          <w:szCs w:val="20"/>
          <w:lang w:val="en-US" w:eastAsia="zh-CN"/>
        </w:rPr>
        <w:t xml:space="preserve">                         </w:t>
      </w:r>
      <w:r>
        <w:rPr>
          <w:rFonts w:hint="eastAsia" w:ascii="仿宋" w:hAnsi="仿宋" w:cs="仿宋"/>
          <w:sz w:val="20"/>
          <w:szCs w:val="20"/>
          <w:lang w:val="en-US" w:eastAsia="zh-CN"/>
        </w:rPr>
        <w:t xml:space="preserve">  </w:t>
      </w:r>
      <w:r>
        <w:rPr>
          <w:rFonts w:hint="eastAsia" w:ascii="仿宋" w:hAnsi="仿宋" w:eastAsia="仿宋" w:cs="仿宋"/>
          <w:bCs/>
          <w:kern w:val="0"/>
          <w:sz w:val="20"/>
          <w:szCs w:val="20"/>
        </w:rPr>
        <w:t xml:space="preserve">     </w:t>
      </w:r>
      <w:r>
        <w:rPr>
          <w:rFonts w:hint="eastAsia" w:ascii="仿宋" w:hAnsi="仿宋" w:eastAsia="仿宋" w:cs="仿宋"/>
          <w:sz w:val="20"/>
          <w:szCs w:val="20"/>
        </w:rPr>
        <w:t xml:space="preserve">    </w:t>
      </w:r>
      <w:r>
        <w:rPr>
          <w:rFonts w:hint="eastAsia" w:ascii="仿宋" w:hAnsi="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采购</w:t>
      </w:r>
      <w:r>
        <w:rPr>
          <w:rFonts w:hint="eastAsia" w:ascii="仿宋" w:hAnsi="仿宋" w:eastAsia="仿宋" w:cs="仿宋"/>
          <w:sz w:val="20"/>
          <w:szCs w:val="20"/>
        </w:rPr>
        <w:t>编号</w:t>
      </w:r>
      <w:r>
        <w:rPr>
          <w:rFonts w:hint="eastAsia" w:ascii="仿宋" w:hAnsi="仿宋" w:eastAsia="仿宋" w:cs="仿宋"/>
          <w:kern w:val="0"/>
          <w:sz w:val="20"/>
          <w:szCs w:val="20"/>
          <w:lang w:val="en-US" w:eastAsia="zh-CN"/>
        </w:rPr>
        <w:t>：</w:t>
      </w:r>
      <w:r>
        <w:rPr>
          <w:rFonts w:hint="eastAsia" w:ascii="仿宋" w:hAnsi="仿宋" w:eastAsia="仿宋" w:cs="仿宋"/>
          <w:sz w:val="20"/>
          <w:szCs w:val="20"/>
          <w:lang w:val="en-US" w:eastAsia="zh-CN"/>
        </w:rPr>
        <w:t xml:space="preserve"> </w:t>
      </w:r>
      <w:r>
        <w:rPr>
          <w:rFonts w:hint="eastAsia" w:ascii="仿宋" w:hAnsi="仿宋" w:eastAsia="仿宋" w:cs="仿宋"/>
          <w:kern w:val="0"/>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kern w:val="0"/>
          <w:sz w:val="20"/>
          <w:szCs w:val="20"/>
        </w:rPr>
        <w:t xml:space="preserve">  包件号：</w:t>
      </w:r>
    </w:p>
    <w:tbl>
      <w:tblPr>
        <w:tblStyle w:val="7"/>
        <w:tblW w:w="5144" w:type="pct"/>
        <w:jc w:val="center"/>
        <w:tblLayout w:type="fixed"/>
        <w:tblCellMar>
          <w:top w:w="0" w:type="dxa"/>
          <w:left w:w="108" w:type="dxa"/>
          <w:bottom w:w="0" w:type="dxa"/>
          <w:right w:w="108" w:type="dxa"/>
        </w:tblCellMar>
      </w:tblPr>
      <w:tblGrid>
        <w:gridCol w:w="1315"/>
        <w:gridCol w:w="1488"/>
        <w:gridCol w:w="1425"/>
        <w:gridCol w:w="1413"/>
        <w:gridCol w:w="1308"/>
        <w:gridCol w:w="678"/>
        <w:gridCol w:w="1259"/>
        <w:gridCol w:w="1398"/>
        <w:gridCol w:w="1666"/>
        <w:gridCol w:w="1281"/>
        <w:gridCol w:w="1467"/>
        <w:gridCol w:w="514"/>
      </w:tblGrid>
      <w:tr w14:paraId="366C5186">
        <w:tblPrEx>
          <w:tblCellMar>
            <w:top w:w="0" w:type="dxa"/>
            <w:left w:w="108" w:type="dxa"/>
            <w:bottom w:w="0" w:type="dxa"/>
            <w:right w:w="108" w:type="dxa"/>
          </w:tblCellMar>
        </w:tblPrEx>
        <w:trPr>
          <w:trHeight w:val="951"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1B434A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采购编号</w:t>
            </w:r>
          </w:p>
        </w:tc>
        <w:tc>
          <w:tcPr>
            <w:tcW w:w="489" w:type="pct"/>
            <w:tcBorders>
              <w:top w:val="single" w:color="auto" w:sz="4" w:space="0"/>
              <w:left w:val="nil"/>
              <w:bottom w:val="single" w:color="auto" w:sz="4" w:space="0"/>
              <w:right w:val="single" w:color="auto" w:sz="4" w:space="0"/>
            </w:tcBorders>
            <w:noWrap w:val="0"/>
            <w:vAlign w:val="center"/>
          </w:tcPr>
          <w:p w14:paraId="0733C7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项目简称</w:t>
            </w:r>
          </w:p>
        </w:tc>
        <w:tc>
          <w:tcPr>
            <w:tcW w:w="468" w:type="pct"/>
            <w:tcBorders>
              <w:top w:val="single" w:color="auto" w:sz="4" w:space="0"/>
              <w:left w:val="nil"/>
              <w:bottom w:val="single" w:color="auto" w:sz="4" w:space="0"/>
              <w:right w:val="single" w:color="auto" w:sz="4" w:space="0"/>
            </w:tcBorders>
            <w:noWrap w:val="0"/>
            <w:vAlign w:val="center"/>
          </w:tcPr>
          <w:p w14:paraId="501C3A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物资名称</w:t>
            </w:r>
          </w:p>
        </w:tc>
        <w:tc>
          <w:tcPr>
            <w:tcW w:w="464" w:type="pct"/>
            <w:tcBorders>
              <w:top w:val="single" w:color="auto" w:sz="4" w:space="0"/>
              <w:left w:val="nil"/>
              <w:bottom w:val="single" w:color="auto" w:sz="4" w:space="0"/>
              <w:right w:val="single" w:color="auto" w:sz="4" w:space="0"/>
            </w:tcBorders>
            <w:noWrap w:val="0"/>
            <w:vAlign w:val="center"/>
          </w:tcPr>
          <w:p w14:paraId="27E459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规格型号</w:t>
            </w:r>
          </w:p>
        </w:tc>
        <w:tc>
          <w:tcPr>
            <w:tcW w:w="429" w:type="pct"/>
            <w:tcBorders>
              <w:top w:val="single" w:color="auto" w:sz="4" w:space="0"/>
              <w:left w:val="nil"/>
              <w:bottom w:val="single" w:color="auto" w:sz="4" w:space="0"/>
              <w:right w:val="single" w:color="auto" w:sz="4" w:space="0"/>
            </w:tcBorders>
            <w:noWrap w:val="0"/>
            <w:vAlign w:val="center"/>
          </w:tcPr>
          <w:p w14:paraId="082495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标准或图号</w:t>
            </w:r>
          </w:p>
        </w:tc>
        <w:tc>
          <w:tcPr>
            <w:tcW w:w="222" w:type="pct"/>
            <w:tcBorders>
              <w:top w:val="single" w:color="auto" w:sz="4" w:space="0"/>
              <w:left w:val="nil"/>
              <w:bottom w:val="single" w:color="auto" w:sz="4" w:space="0"/>
              <w:right w:val="single" w:color="auto" w:sz="4" w:space="0"/>
            </w:tcBorders>
            <w:noWrap w:val="0"/>
            <w:vAlign w:val="center"/>
          </w:tcPr>
          <w:p w14:paraId="2FF9A1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计量单位</w:t>
            </w:r>
          </w:p>
        </w:tc>
        <w:tc>
          <w:tcPr>
            <w:tcW w:w="413" w:type="pct"/>
            <w:tcBorders>
              <w:top w:val="single" w:color="auto" w:sz="4" w:space="0"/>
              <w:left w:val="nil"/>
              <w:bottom w:val="single" w:color="auto" w:sz="4" w:space="0"/>
              <w:right w:val="single" w:color="auto" w:sz="4" w:space="0"/>
            </w:tcBorders>
            <w:noWrap w:val="0"/>
            <w:vAlign w:val="center"/>
          </w:tcPr>
          <w:p w14:paraId="121857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需求数量</w:t>
            </w:r>
          </w:p>
        </w:tc>
        <w:tc>
          <w:tcPr>
            <w:tcW w:w="459" w:type="pct"/>
            <w:tcBorders>
              <w:top w:val="single" w:color="auto" w:sz="4" w:space="0"/>
              <w:left w:val="nil"/>
              <w:bottom w:val="single" w:color="auto" w:sz="4" w:space="0"/>
              <w:right w:val="single" w:color="auto" w:sz="4" w:space="0"/>
            </w:tcBorders>
            <w:noWrap w:val="0"/>
            <w:vAlign w:val="center"/>
          </w:tcPr>
          <w:p w14:paraId="7D219B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cs="仿宋"/>
                <w:color w:val="000000"/>
                <w:kern w:val="0"/>
                <w:sz w:val="20"/>
                <w:szCs w:val="20"/>
                <w:lang w:val="en-US" w:eastAsia="zh-CN"/>
              </w:rPr>
              <w:t>含税</w:t>
            </w:r>
            <w:r>
              <w:rPr>
                <w:rFonts w:hint="eastAsia" w:ascii="仿宋" w:hAnsi="仿宋" w:eastAsia="仿宋" w:cs="仿宋"/>
                <w:color w:val="000000"/>
                <w:kern w:val="0"/>
                <w:sz w:val="20"/>
                <w:szCs w:val="20"/>
              </w:rPr>
              <w:t>出厂单价(元/</w:t>
            </w:r>
            <w:r>
              <w:rPr>
                <w:rFonts w:hint="eastAsia" w:ascii="仿宋" w:hAnsi="仿宋" w:eastAsia="仿宋" w:cs="仿宋"/>
                <w:color w:val="000000"/>
                <w:kern w:val="0"/>
                <w:sz w:val="20"/>
                <w:szCs w:val="20"/>
                <w:lang w:val="en-US" w:eastAsia="zh-CN"/>
              </w:rPr>
              <w:t>吨</w:t>
            </w:r>
            <w:r>
              <w:rPr>
                <w:rFonts w:hint="eastAsia" w:ascii="仿宋" w:hAnsi="仿宋" w:eastAsia="仿宋" w:cs="仿宋"/>
                <w:color w:val="000000"/>
                <w:kern w:val="0"/>
                <w:sz w:val="20"/>
                <w:szCs w:val="20"/>
              </w:rPr>
              <w:t>)</w:t>
            </w:r>
          </w:p>
        </w:tc>
        <w:tc>
          <w:tcPr>
            <w:tcW w:w="547" w:type="pct"/>
            <w:tcBorders>
              <w:top w:val="single" w:color="auto" w:sz="4" w:space="0"/>
              <w:left w:val="nil"/>
              <w:bottom w:val="single" w:color="auto" w:sz="4" w:space="0"/>
              <w:right w:val="single" w:color="auto" w:sz="4" w:space="0"/>
            </w:tcBorders>
            <w:noWrap w:val="0"/>
            <w:vAlign w:val="center"/>
          </w:tcPr>
          <w:p w14:paraId="30C058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cs="仿宋"/>
                <w:color w:val="000000"/>
                <w:kern w:val="0"/>
                <w:sz w:val="20"/>
                <w:szCs w:val="20"/>
                <w:lang w:val="en-US" w:eastAsia="zh-CN"/>
              </w:rPr>
            </w:pPr>
            <w:r>
              <w:rPr>
                <w:rFonts w:hint="eastAsia" w:ascii="仿宋" w:hAnsi="仿宋" w:cs="仿宋"/>
                <w:color w:val="000000"/>
                <w:kern w:val="0"/>
                <w:sz w:val="20"/>
                <w:szCs w:val="20"/>
                <w:lang w:val="en-US" w:eastAsia="zh-CN"/>
              </w:rPr>
              <w:t>X（运杂费等综合</w:t>
            </w:r>
          </w:p>
          <w:p w14:paraId="0ABD17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cs="仿宋"/>
                <w:color w:val="000000"/>
                <w:kern w:val="0"/>
                <w:sz w:val="20"/>
                <w:szCs w:val="20"/>
                <w:lang w:val="en-US" w:eastAsia="zh-CN"/>
              </w:rPr>
            </w:pPr>
            <w:r>
              <w:rPr>
                <w:rFonts w:hint="eastAsia" w:ascii="仿宋" w:hAnsi="仿宋" w:cs="仿宋"/>
                <w:color w:val="000000"/>
                <w:kern w:val="0"/>
                <w:sz w:val="20"/>
                <w:szCs w:val="20"/>
                <w:lang w:val="en-US" w:eastAsia="zh-CN"/>
              </w:rPr>
              <w:t>含税费用价格）（元/</w:t>
            </w:r>
            <w:r>
              <w:rPr>
                <w:rFonts w:hint="eastAsia" w:ascii="仿宋" w:hAnsi="仿宋" w:eastAsia="仿宋" w:cs="仿宋"/>
                <w:color w:val="000000"/>
                <w:kern w:val="0"/>
                <w:sz w:val="20"/>
                <w:szCs w:val="20"/>
                <w:lang w:val="en-US" w:eastAsia="zh-CN"/>
              </w:rPr>
              <w:t>吨</w:t>
            </w:r>
            <w:r>
              <w:rPr>
                <w:rFonts w:hint="eastAsia" w:ascii="仿宋" w:hAnsi="仿宋" w:cs="仿宋"/>
                <w:color w:val="000000"/>
                <w:kern w:val="0"/>
                <w:sz w:val="20"/>
                <w:szCs w:val="20"/>
                <w:lang w:val="en-US" w:eastAsia="zh-CN"/>
              </w:rPr>
              <w:t>）</w:t>
            </w:r>
          </w:p>
        </w:tc>
        <w:tc>
          <w:tcPr>
            <w:tcW w:w="421" w:type="pct"/>
            <w:tcBorders>
              <w:top w:val="single" w:color="auto" w:sz="4" w:space="0"/>
              <w:left w:val="nil"/>
              <w:bottom w:val="single" w:color="auto" w:sz="4" w:space="0"/>
              <w:right w:val="single" w:color="auto" w:sz="4" w:space="0"/>
            </w:tcBorders>
            <w:noWrap w:val="0"/>
            <w:vAlign w:val="center"/>
          </w:tcPr>
          <w:p w14:paraId="5E8DCB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cs="仿宋"/>
                <w:color w:val="000000"/>
                <w:kern w:val="0"/>
                <w:sz w:val="20"/>
                <w:szCs w:val="20"/>
                <w:lang w:val="en-US" w:eastAsia="zh-CN"/>
              </w:rPr>
            </w:pPr>
            <w:r>
              <w:rPr>
                <w:rFonts w:hint="eastAsia" w:ascii="仿宋" w:hAnsi="仿宋" w:cs="仿宋"/>
                <w:color w:val="000000"/>
                <w:kern w:val="0"/>
                <w:sz w:val="20"/>
                <w:szCs w:val="20"/>
                <w:lang w:val="en-US" w:eastAsia="zh-CN"/>
              </w:rPr>
              <w:t>到站单价（元/</w:t>
            </w:r>
            <w:r>
              <w:rPr>
                <w:rFonts w:hint="eastAsia" w:ascii="仿宋" w:hAnsi="仿宋" w:eastAsia="仿宋" w:cs="仿宋"/>
                <w:color w:val="000000"/>
                <w:kern w:val="0"/>
                <w:sz w:val="20"/>
                <w:szCs w:val="20"/>
                <w:lang w:val="en-US" w:eastAsia="zh-CN"/>
              </w:rPr>
              <w:t>吨</w:t>
            </w:r>
            <w:r>
              <w:rPr>
                <w:rFonts w:hint="eastAsia" w:ascii="仿宋" w:hAnsi="仿宋" w:cs="仿宋"/>
                <w:color w:val="000000"/>
                <w:kern w:val="0"/>
                <w:sz w:val="20"/>
                <w:szCs w:val="20"/>
                <w:lang w:val="en-US" w:eastAsia="zh-CN"/>
              </w:rPr>
              <w:t>）（含税）</w:t>
            </w:r>
          </w:p>
        </w:tc>
        <w:tc>
          <w:tcPr>
            <w:tcW w:w="482" w:type="pct"/>
            <w:tcBorders>
              <w:top w:val="single" w:color="auto" w:sz="4" w:space="0"/>
              <w:left w:val="nil"/>
              <w:bottom w:val="single" w:color="auto" w:sz="4" w:space="0"/>
              <w:right w:val="single" w:color="auto" w:sz="4" w:space="0"/>
            </w:tcBorders>
            <w:noWrap w:val="0"/>
            <w:vAlign w:val="center"/>
          </w:tcPr>
          <w:p w14:paraId="061D22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cs="仿宋"/>
                <w:color w:val="000000"/>
                <w:kern w:val="0"/>
                <w:sz w:val="20"/>
                <w:szCs w:val="20"/>
                <w:lang w:val="en-US" w:eastAsia="zh-CN"/>
              </w:rPr>
              <w:t>含税</w:t>
            </w:r>
            <w:r>
              <w:rPr>
                <w:rFonts w:hint="eastAsia" w:ascii="仿宋" w:hAnsi="仿宋" w:eastAsia="仿宋" w:cs="仿宋"/>
                <w:color w:val="000000"/>
                <w:kern w:val="0"/>
                <w:sz w:val="20"/>
                <w:szCs w:val="20"/>
              </w:rPr>
              <w:t>到站合价（元）</w:t>
            </w:r>
          </w:p>
        </w:tc>
        <w:tc>
          <w:tcPr>
            <w:tcW w:w="168" w:type="pct"/>
            <w:tcBorders>
              <w:top w:val="single" w:color="auto" w:sz="4" w:space="0"/>
              <w:left w:val="nil"/>
              <w:bottom w:val="single" w:color="auto" w:sz="4" w:space="0"/>
              <w:right w:val="single" w:color="auto" w:sz="4" w:space="0"/>
            </w:tcBorders>
            <w:noWrap w:val="0"/>
            <w:vAlign w:val="center"/>
          </w:tcPr>
          <w:p w14:paraId="01558F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仿宋_GB2312" w:hAnsi="等线" w:eastAsia="仿宋_GB2312" w:cs="宋体"/>
                <w:color w:val="000000"/>
                <w:kern w:val="0"/>
                <w:sz w:val="20"/>
                <w:szCs w:val="20"/>
              </w:rPr>
            </w:pPr>
            <w:r>
              <w:rPr>
                <w:rFonts w:hint="eastAsia" w:ascii="仿宋" w:hAnsi="仿宋" w:eastAsia="仿宋" w:cs="仿宋"/>
                <w:color w:val="000000"/>
                <w:kern w:val="0"/>
                <w:sz w:val="20"/>
                <w:szCs w:val="20"/>
              </w:rPr>
              <w:t>备注</w:t>
            </w:r>
          </w:p>
        </w:tc>
      </w:tr>
      <w:tr w14:paraId="673DD9F5">
        <w:tblPrEx>
          <w:tblCellMar>
            <w:top w:w="0" w:type="dxa"/>
            <w:left w:w="108" w:type="dxa"/>
            <w:bottom w:w="0" w:type="dxa"/>
            <w:right w:w="108" w:type="dxa"/>
          </w:tblCellMar>
        </w:tblPrEx>
        <w:trPr>
          <w:trHeight w:val="559" w:hRule="atLeast"/>
          <w:jc w:val="center"/>
        </w:trPr>
        <w:tc>
          <w:tcPr>
            <w:tcW w:w="432" w:type="pct"/>
            <w:vMerge w:val="restart"/>
            <w:tcBorders>
              <w:top w:val="nil"/>
              <w:left w:val="single" w:color="auto" w:sz="4" w:space="0"/>
              <w:right w:val="single" w:color="auto" w:sz="4" w:space="0"/>
            </w:tcBorders>
            <w:shd w:val="clear" w:color="000000" w:fill="FFFFFF"/>
            <w:noWrap w:val="0"/>
            <w:vAlign w:val="center"/>
          </w:tcPr>
          <w:p w14:paraId="1203F6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sz w:val="20"/>
                <w:szCs w:val="20"/>
                <w:lang w:val="en-US" w:eastAsia="zh-CN"/>
              </w:rPr>
            </w:pPr>
          </w:p>
        </w:tc>
        <w:tc>
          <w:tcPr>
            <w:tcW w:w="489" w:type="pct"/>
            <w:vMerge w:val="restart"/>
            <w:tcBorders>
              <w:top w:val="nil"/>
              <w:left w:val="single" w:color="auto" w:sz="4" w:space="0"/>
              <w:right w:val="single" w:color="auto" w:sz="4" w:space="0"/>
            </w:tcBorders>
            <w:noWrap w:val="0"/>
            <w:vAlign w:val="center"/>
          </w:tcPr>
          <w:p w14:paraId="53BDB6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rPr>
            </w:pPr>
          </w:p>
        </w:tc>
        <w:tc>
          <w:tcPr>
            <w:tcW w:w="1425" w:type="dxa"/>
            <w:tcBorders>
              <w:top w:val="nil"/>
              <w:left w:val="nil"/>
              <w:bottom w:val="single" w:color="auto" w:sz="4" w:space="0"/>
              <w:right w:val="single" w:color="auto" w:sz="4" w:space="0"/>
            </w:tcBorders>
            <w:noWrap w:val="0"/>
            <w:vAlign w:val="center"/>
          </w:tcPr>
          <w:p w14:paraId="267DEF1F">
            <w:pPr>
              <w:keepNext w:val="0"/>
              <w:keepLines w:val="0"/>
              <w:widowControl/>
              <w:suppressLineNumbers w:val="0"/>
              <w:jc w:val="center"/>
              <w:textAlignment w:val="center"/>
              <w:rPr>
                <w:rFonts w:hint="eastAsia" w:ascii="仿宋" w:hAnsi="仿宋" w:eastAsia="仿宋" w:cs="仿宋"/>
                <w:sz w:val="20"/>
                <w:szCs w:val="20"/>
                <w:lang w:val="en-US" w:eastAsia="zh-CN"/>
              </w:rPr>
            </w:pPr>
          </w:p>
        </w:tc>
        <w:tc>
          <w:tcPr>
            <w:tcW w:w="1413" w:type="dxa"/>
            <w:tcBorders>
              <w:top w:val="nil"/>
              <w:left w:val="nil"/>
              <w:bottom w:val="single" w:color="auto" w:sz="4" w:space="0"/>
              <w:right w:val="single" w:color="auto" w:sz="4" w:space="0"/>
            </w:tcBorders>
            <w:noWrap w:val="0"/>
            <w:vAlign w:val="center"/>
          </w:tcPr>
          <w:p w14:paraId="262491B0">
            <w:pPr>
              <w:keepNext w:val="0"/>
              <w:keepLines w:val="0"/>
              <w:widowControl/>
              <w:suppressLineNumbers w:val="0"/>
              <w:jc w:val="center"/>
              <w:textAlignment w:val="center"/>
              <w:rPr>
                <w:rFonts w:hint="default" w:ascii="仿宋" w:hAnsi="仿宋" w:eastAsia="仿宋" w:cs="仿宋"/>
                <w:sz w:val="20"/>
                <w:szCs w:val="20"/>
                <w:lang w:val="en-US" w:eastAsia="zh-CN"/>
              </w:rPr>
            </w:pPr>
          </w:p>
        </w:tc>
        <w:tc>
          <w:tcPr>
            <w:tcW w:w="429" w:type="pct"/>
            <w:vMerge w:val="restart"/>
            <w:tcBorders>
              <w:top w:val="nil"/>
              <w:left w:val="nil"/>
              <w:right w:val="single" w:color="auto" w:sz="4" w:space="0"/>
            </w:tcBorders>
            <w:noWrap w:val="0"/>
            <w:vAlign w:val="center"/>
          </w:tcPr>
          <w:p w14:paraId="1F9A17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678" w:type="dxa"/>
            <w:tcBorders>
              <w:top w:val="nil"/>
              <w:left w:val="nil"/>
              <w:bottom w:val="single" w:color="auto" w:sz="4" w:space="0"/>
              <w:right w:val="single" w:color="auto" w:sz="4" w:space="0"/>
            </w:tcBorders>
            <w:noWrap w:val="0"/>
            <w:vAlign w:val="center"/>
          </w:tcPr>
          <w:p w14:paraId="6D0E9ED0">
            <w:pPr>
              <w:keepNext w:val="0"/>
              <w:keepLines w:val="0"/>
              <w:widowControl/>
              <w:suppressLineNumbers w:val="0"/>
              <w:jc w:val="center"/>
              <w:textAlignment w:val="center"/>
              <w:rPr>
                <w:rFonts w:hint="default" w:ascii="仿宋" w:hAnsi="仿宋" w:eastAsia="仿宋" w:cs="仿宋"/>
                <w:sz w:val="20"/>
                <w:szCs w:val="20"/>
                <w:lang w:val="en-US" w:eastAsia="zh-CN"/>
              </w:rPr>
            </w:pPr>
          </w:p>
        </w:tc>
        <w:tc>
          <w:tcPr>
            <w:tcW w:w="1259" w:type="dxa"/>
            <w:tcBorders>
              <w:top w:val="nil"/>
              <w:left w:val="nil"/>
              <w:bottom w:val="single" w:color="auto" w:sz="4" w:space="0"/>
              <w:right w:val="single" w:color="auto" w:sz="4" w:space="0"/>
            </w:tcBorders>
            <w:noWrap w:val="0"/>
            <w:vAlign w:val="center"/>
          </w:tcPr>
          <w:p w14:paraId="3792AEC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98" w:type="dxa"/>
            <w:tcBorders>
              <w:top w:val="nil"/>
              <w:left w:val="nil"/>
              <w:bottom w:val="single" w:color="auto" w:sz="4" w:space="0"/>
              <w:right w:val="single" w:color="auto" w:sz="4" w:space="0"/>
            </w:tcBorders>
            <w:noWrap w:val="0"/>
            <w:vAlign w:val="center"/>
          </w:tcPr>
          <w:p w14:paraId="0E5F927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66" w:type="dxa"/>
            <w:tcBorders>
              <w:top w:val="nil"/>
              <w:left w:val="nil"/>
              <w:bottom w:val="single" w:color="auto" w:sz="4" w:space="0"/>
              <w:right w:val="single" w:color="auto" w:sz="4" w:space="0"/>
            </w:tcBorders>
            <w:noWrap w:val="0"/>
            <w:vAlign w:val="center"/>
          </w:tcPr>
          <w:p w14:paraId="3772479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281" w:type="dxa"/>
            <w:tcBorders>
              <w:top w:val="nil"/>
              <w:left w:val="nil"/>
              <w:bottom w:val="single" w:color="auto" w:sz="4" w:space="0"/>
              <w:right w:val="single" w:color="auto" w:sz="4" w:space="0"/>
            </w:tcBorders>
            <w:noWrap w:val="0"/>
            <w:vAlign w:val="center"/>
          </w:tcPr>
          <w:p w14:paraId="6F08C73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467" w:type="dxa"/>
            <w:tcBorders>
              <w:top w:val="nil"/>
              <w:left w:val="nil"/>
              <w:bottom w:val="single" w:color="auto" w:sz="4" w:space="0"/>
              <w:right w:val="single" w:color="auto" w:sz="4" w:space="0"/>
            </w:tcBorders>
            <w:noWrap w:val="0"/>
            <w:vAlign w:val="center"/>
          </w:tcPr>
          <w:p w14:paraId="07DFA99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8" w:type="pct"/>
            <w:tcBorders>
              <w:top w:val="nil"/>
              <w:left w:val="nil"/>
              <w:bottom w:val="single" w:color="auto" w:sz="4" w:space="0"/>
              <w:right w:val="single" w:color="auto" w:sz="4" w:space="0"/>
            </w:tcBorders>
            <w:noWrap w:val="0"/>
            <w:vAlign w:val="center"/>
          </w:tcPr>
          <w:p w14:paraId="1BF71C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r>
      <w:tr w14:paraId="33874502">
        <w:tblPrEx>
          <w:tblCellMar>
            <w:top w:w="0" w:type="dxa"/>
            <w:left w:w="108" w:type="dxa"/>
            <w:bottom w:w="0" w:type="dxa"/>
            <w:right w:w="108" w:type="dxa"/>
          </w:tblCellMar>
        </w:tblPrEx>
        <w:trPr>
          <w:trHeight w:val="559" w:hRule="atLeast"/>
          <w:jc w:val="center"/>
        </w:trPr>
        <w:tc>
          <w:tcPr>
            <w:tcW w:w="432" w:type="pct"/>
            <w:vMerge w:val="continue"/>
            <w:tcBorders>
              <w:left w:val="single" w:color="auto" w:sz="4" w:space="0"/>
              <w:right w:val="single" w:color="auto" w:sz="4" w:space="0"/>
            </w:tcBorders>
            <w:shd w:val="clear" w:color="000000" w:fill="FFFFFF"/>
            <w:noWrap w:val="0"/>
            <w:vAlign w:val="center"/>
          </w:tcPr>
          <w:p w14:paraId="318478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489" w:type="pct"/>
            <w:vMerge w:val="continue"/>
            <w:tcBorders>
              <w:left w:val="single" w:color="auto" w:sz="4" w:space="0"/>
              <w:right w:val="single" w:color="auto" w:sz="4" w:space="0"/>
            </w:tcBorders>
            <w:noWrap w:val="0"/>
            <w:vAlign w:val="center"/>
          </w:tcPr>
          <w:p w14:paraId="3C1AAC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rPr>
            </w:pPr>
          </w:p>
        </w:tc>
        <w:tc>
          <w:tcPr>
            <w:tcW w:w="1425" w:type="dxa"/>
            <w:tcBorders>
              <w:top w:val="nil"/>
              <w:left w:val="nil"/>
              <w:bottom w:val="single" w:color="auto" w:sz="4" w:space="0"/>
              <w:right w:val="single" w:color="auto" w:sz="4" w:space="0"/>
            </w:tcBorders>
            <w:noWrap w:val="0"/>
            <w:vAlign w:val="center"/>
          </w:tcPr>
          <w:p w14:paraId="0AA47B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13" w:type="dxa"/>
            <w:tcBorders>
              <w:top w:val="nil"/>
              <w:left w:val="nil"/>
              <w:bottom w:val="single" w:color="auto" w:sz="4" w:space="0"/>
              <w:right w:val="single" w:color="auto" w:sz="4" w:space="0"/>
            </w:tcBorders>
            <w:noWrap w:val="0"/>
            <w:vAlign w:val="center"/>
          </w:tcPr>
          <w:p w14:paraId="1501E5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29" w:type="pct"/>
            <w:vMerge w:val="continue"/>
            <w:tcBorders>
              <w:left w:val="nil"/>
              <w:right w:val="single" w:color="auto" w:sz="4" w:space="0"/>
            </w:tcBorders>
            <w:noWrap w:val="0"/>
            <w:vAlign w:val="center"/>
          </w:tcPr>
          <w:p w14:paraId="5D903F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678" w:type="dxa"/>
            <w:tcBorders>
              <w:top w:val="nil"/>
              <w:left w:val="nil"/>
              <w:bottom w:val="single" w:color="auto" w:sz="4" w:space="0"/>
              <w:right w:val="single" w:color="auto" w:sz="4" w:space="0"/>
            </w:tcBorders>
            <w:noWrap w:val="0"/>
            <w:vAlign w:val="center"/>
          </w:tcPr>
          <w:p w14:paraId="639E5F48">
            <w:pPr>
              <w:keepNext w:val="0"/>
              <w:keepLines w:val="0"/>
              <w:widowControl/>
              <w:suppressLineNumbers w:val="0"/>
              <w:jc w:val="center"/>
              <w:textAlignment w:val="center"/>
              <w:rPr>
                <w:rFonts w:hint="eastAsia" w:ascii="仿宋" w:hAnsi="仿宋" w:eastAsia="仿宋" w:cs="仿宋"/>
                <w:sz w:val="20"/>
                <w:szCs w:val="20"/>
                <w:lang w:val="en-US" w:eastAsia="zh-CN"/>
              </w:rPr>
            </w:pPr>
          </w:p>
        </w:tc>
        <w:tc>
          <w:tcPr>
            <w:tcW w:w="1259" w:type="dxa"/>
            <w:tcBorders>
              <w:top w:val="nil"/>
              <w:left w:val="nil"/>
              <w:bottom w:val="single" w:color="auto" w:sz="4" w:space="0"/>
              <w:right w:val="single" w:color="auto" w:sz="4" w:space="0"/>
            </w:tcBorders>
            <w:noWrap w:val="0"/>
            <w:vAlign w:val="center"/>
          </w:tcPr>
          <w:p w14:paraId="593C59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98" w:type="dxa"/>
            <w:tcBorders>
              <w:top w:val="nil"/>
              <w:left w:val="nil"/>
              <w:bottom w:val="single" w:color="auto" w:sz="4" w:space="0"/>
              <w:right w:val="single" w:color="auto" w:sz="4" w:space="0"/>
            </w:tcBorders>
            <w:noWrap w:val="0"/>
            <w:vAlign w:val="center"/>
          </w:tcPr>
          <w:p w14:paraId="3373C0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66" w:type="dxa"/>
            <w:tcBorders>
              <w:top w:val="nil"/>
              <w:left w:val="nil"/>
              <w:bottom w:val="single" w:color="auto" w:sz="4" w:space="0"/>
              <w:right w:val="single" w:color="auto" w:sz="4" w:space="0"/>
            </w:tcBorders>
            <w:noWrap w:val="0"/>
            <w:vAlign w:val="center"/>
          </w:tcPr>
          <w:p w14:paraId="496519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81" w:type="dxa"/>
            <w:tcBorders>
              <w:top w:val="nil"/>
              <w:left w:val="nil"/>
              <w:bottom w:val="single" w:color="auto" w:sz="4" w:space="0"/>
              <w:right w:val="single" w:color="auto" w:sz="4" w:space="0"/>
            </w:tcBorders>
            <w:noWrap w:val="0"/>
            <w:vAlign w:val="center"/>
          </w:tcPr>
          <w:p w14:paraId="25B001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67" w:type="dxa"/>
            <w:tcBorders>
              <w:top w:val="nil"/>
              <w:left w:val="nil"/>
              <w:bottom w:val="single" w:color="auto" w:sz="4" w:space="0"/>
              <w:right w:val="single" w:color="auto" w:sz="4" w:space="0"/>
            </w:tcBorders>
            <w:noWrap w:val="0"/>
            <w:vAlign w:val="center"/>
          </w:tcPr>
          <w:p w14:paraId="3FF14CB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8" w:type="pct"/>
            <w:tcBorders>
              <w:top w:val="nil"/>
              <w:left w:val="nil"/>
              <w:bottom w:val="single" w:color="auto" w:sz="4" w:space="0"/>
              <w:right w:val="single" w:color="auto" w:sz="4" w:space="0"/>
            </w:tcBorders>
            <w:noWrap w:val="0"/>
            <w:vAlign w:val="center"/>
          </w:tcPr>
          <w:p w14:paraId="4A0A36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r>
      <w:tr w14:paraId="7BACF042">
        <w:tblPrEx>
          <w:tblCellMar>
            <w:top w:w="0" w:type="dxa"/>
            <w:left w:w="108" w:type="dxa"/>
            <w:bottom w:w="0" w:type="dxa"/>
            <w:right w:w="108" w:type="dxa"/>
          </w:tblCellMar>
        </w:tblPrEx>
        <w:trPr>
          <w:trHeight w:val="559" w:hRule="atLeast"/>
          <w:jc w:val="center"/>
        </w:trPr>
        <w:tc>
          <w:tcPr>
            <w:tcW w:w="432" w:type="pct"/>
            <w:vMerge w:val="continue"/>
            <w:tcBorders>
              <w:left w:val="single" w:color="auto" w:sz="4" w:space="0"/>
              <w:right w:val="single" w:color="auto" w:sz="4" w:space="0"/>
            </w:tcBorders>
            <w:shd w:val="clear" w:color="000000" w:fill="FFFFFF"/>
            <w:noWrap w:val="0"/>
            <w:vAlign w:val="center"/>
          </w:tcPr>
          <w:p w14:paraId="0462BE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489" w:type="pct"/>
            <w:vMerge w:val="continue"/>
            <w:tcBorders>
              <w:left w:val="single" w:color="auto" w:sz="4" w:space="0"/>
              <w:right w:val="single" w:color="auto" w:sz="4" w:space="0"/>
            </w:tcBorders>
            <w:noWrap w:val="0"/>
            <w:vAlign w:val="center"/>
          </w:tcPr>
          <w:p w14:paraId="5461F0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rPr>
            </w:pPr>
          </w:p>
        </w:tc>
        <w:tc>
          <w:tcPr>
            <w:tcW w:w="1425" w:type="dxa"/>
            <w:tcBorders>
              <w:top w:val="nil"/>
              <w:left w:val="nil"/>
              <w:bottom w:val="single" w:color="auto" w:sz="4" w:space="0"/>
              <w:right w:val="single" w:color="auto" w:sz="4" w:space="0"/>
            </w:tcBorders>
            <w:noWrap w:val="0"/>
            <w:vAlign w:val="center"/>
          </w:tcPr>
          <w:p w14:paraId="398A0F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13" w:type="dxa"/>
            <w:tcBorders>
              <w:top w:val="nil"/>
              <w:left w:val="nil"/>
              <w:bottom w:val="single" w:color="auto" w:sz="4" w:space="0"/>
              <w:right w:val="single" w:color="auto" w:sz="4" w:space="0"/>
            </w:tcBorders>
            <w:noWrap w:val="0"/>
            <w:vAlign w:val="center"/>
          </w:tcPr>
          <w:p w14:paraId="38C7B80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29" w:type="pct"/>
            <w:vMerge w:val="continue"/>
            <w:tcBorders>
              <w:left w:val="nil"/>
              <w:right w:val="single" w:color="auto" w:sz="4" w:space="0"/>
            </w:tcBorders>
            <w:noWrap w:val="0"/>
            <w:vAlign w:val="center"/>
          </w:tcPr>
          <w:p w14:paraId="315F50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678" w:type="dxa"/>
            <w:tcBorders>
              <w:top w:val="nil"/>
              <w:left w:val="nil"/>
              <w:bottom w:val="single" w:color="auto" w:sz="4" w:space="0"/>
              <w:right w:val="single" w:color="auto" w:sz="4" w:space="0"/>
            </w:tcBorders>
            <w:noWrap w:val="0"/>
            <w:vAlign w:val="center"/>
          </w:tcPr>
          <w:p w14:paraId="57E86301">
            <w:pPr>
              <w:keepNext w:val="0"/>
              <w:keepLines w:val="0"/>
              <w:widowControl/>
              <w:suppressLineNumbers w:val="0"/>
              <w:jc w:val="center"/>
              <w:textAlignment w:val="center"/>
              <w:rPr>
                <w:rFonts w:hint="eastAsia" w:ascii="仿宋" w:hAnsi="仿宋" w:eastAsia="仿宋" w:cs="仿宋"/>
                <w:sz w:val="20"/>
                <w:szCs w:val="20"/>
                <w:lang w:val="en-US" w:eastAsia="zh-CN"/>
              </w:rPr>
            </w:pPr>
          </w:p>
        </w:tc>
        <w:tc>
          <w:tcPr>
            <w:tcW w:w="1259" w:type="dxa"/>
            <w:tcBorders>
              <w:top w:val="nil"/>
              <w:left w:val="nil"/>
              <w:bottom w:val="single" w:color="auto" w:sz="4" w:space="0"/>
              <w:right w:val="single" w:color="auto" w:sz="4" w:space="0"/>
            </w:tcBorders>
            <w:noWrap w:val="0"/>
            <w:vAlign w:val="center"/>
          </w:tcPr>
          <w:p w14:paraId="08047F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98" w:type="dxa"/>
            <w:tcBorders>
              <w:top w:val="nil"/>
              <w:left w:val="nil"/>
              <w:bottom w:val="single" w:color="auto" w:sz="4" w:space="0"/>
              <w:right w:val="single" w:color="auto" w:sz="4" w:space="0"/>
            </w:tcBorders>
            <w:noWrap w:val="0"/>
            <w:vAlign w:val="center"/>
          </w:tcPr>
          <w:p w14:paraId="5FD909F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66" w:type="dxa"/>
            <w:tcBorders>
              <w:top w:val="nil"/>
              <w:left w:val="nil"/>
              <w:bottom w:val="single" w:color="auto" w:sz="4" w:space="0"/>
              <w:right w:val="single" w:color="auto" w:sz="4" w:space="0"/>
            </w:tcBorders>
            <w:noWrap w:val="0"/>
            <w:vAlign w:val="center"/>
          </w:tcPr>
          <w:p w14:paraId="0B9C1B8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81" w:type="dxa"/>
            <w:tcBorders>
              <w:top w:val="nil"/>
              <w:left w:val="nil"/>
              <w:bottom w:val="single" w:color="auto" w:sz="4" w:space="0"/>
              <w:right w:val="single" w:color="auto" w:sz="4" w:space="0"/>
            </w:tcBorders>
            <w:noWrap w:val="0"/>
            <w:vAlign w:val="center"/>
          </w:tcPr>
          <w:p w14:paraId="6C0512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67" w:type="dxa"/>
            <w:tcBorders>
              <w:top w:val="nil"/>
              <w:left w:val="nil"/>
              <w:bottom w:val="single" w:color="auto" w:sz="4" w:space="0"/>
              <w:right w:val="single" w:color="auto" w:sz="4" w:space="0"/>
            </w:tcBorders>
            <w:noWrap w:val="0"/>
            <w:vAlign w:val="center"/>
          </w:tcPr>
          <w:p w14:paraId="4EFCD6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8" w:type="pct"/>
            <w:tcBorders>
              <w:top w:val="nil"/>
              <w:left w:val="nil"/>
              <w:bottom w:val="single" w:color="auto" w:sz="4" w:space="0"/>
              <w:right w:val="single" w:color="auto" w:sz="4" w:space="0"/>
            </w:tcBorders>
            <w:noWrap w:val="0"/>
            <w:vAlign w:val="center"/>
          </w:tcPr>
          <w:p w14:paraId="5E40DB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r>
      <w:tr w14:paraId="7A6FEEE6">
        <w:tblPrEx>
          <w:tblCellMar>
            <w:top w:w="0" w:type="dxa"/>
            <w:left w:w="108" w:type="dxa"/>
            <w:bottom w:w="0" w:type="dxa"/>
            <w:right w:w="108" w:type="dxa"/>
          </w:tblCellMar>
        </w:tblPrEx>
        <w:trPr>
          <w:trHeight w:val="559" w:hRule="atLeast"/>
          <w:jc w:val="center"/>
        </w:trPr>
        <w:tc>
          <w:tcPr>
            <w:tcW w:w="432" w:type="pct"/>
            <w:vMerge w:val="continue"/>
            <w:tcBorders>
              <w:left w:val="single" w:color="auto" w:sz="4" w:space="0"/>
              <w:right w:val="single" w:color="auto" w:sz="4" w:space="0"/>
            </w:tcBorders>
            <w:shd w:val="clear" w:color="000000" w:fill="FFFFFF"/>
            <w:noWrap w:val="0"/>
            <w:vAlign w:val="center"/>
          </w:tcPr>
          <w:p w14:paraId="3B3669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489" w:type="pct"/>
            <w:vMerge w:val="continue"/>
            <w:tcBorders>
              <w:left w:val="single" w:color="auto" w:sz="4" w:space="0"/>
              <w:right w:val="single" w:color="auto" w:sz="4" w:space="0"/>
            </w:tcBorders>
            <w:noWrap w:val="0"/>
            <w:vAlign w:val="center"/>
          </w:tcPr>
          <w:p w14:paraId="6B60CD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rPr>
            </w:pPr>
          </w:p>
        </w:tc>
        <w:tc>
          <w:tcPr>
            <w:tcW w:w="1425" w:type="dxa"/>
            <w:tcBorders>
              <w:top w:val="nil"/>
              <w:left w:val="nil"/>
              <w:bottom w:val="single" w:color="auto" w:sz="4" w:space="0"/>
              <w:right w:val="single" w:color="auto" w:sz="4" w:space="0"/>
            </w:tcBorders>
            <w:noWrap w:val="0"/>
            <w:vAlign w:val="center"/>
          </w:tcPr>
          <w:p w14:paraId="0E506E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13" w:type="dxa"/>
            <w:tcBorders>
              <w:top w:val="nil"/>
              <w:left w:val="nil"/>
              <w:bottom w:val="single" w:color="auto" w:sz="4" w:space="0"/>
              <w:right w:val="single" w:color="auto" w:sz="4" w:space="0"/>
            </w:tcBorders>
            <w:noWrap w:val="0"/>
            <w:vAlign w:val="center"/>
          </w:tcPr>
          <w:p w14:paraId="32948FE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29" w:type="pct"/>
            <w:vMerge w:val="continue"/>
            <w:tcBorders>
              <w:left w:val="nil"/>
              <w:right w:val="single" w:color="auto" w:sz="4" w:space="0"/>
            </w:tcBorders>
            <w:noWrap w:val="0"/>
            <w:vAlign w:val="center"/>
          </w:tcPr>
          <w:p w14:paraId="18E92D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678" w:type="dxa"/>
            <w:tcBorders>
              <w:top w:val="nil"/>
              <w:left w:val="nil"/>
              <w:bottom w:val="single" w:color="auto" w:sz="4" w:space="0"/>
              <w:right w:val="single" w:color="auto" w:sz="4" w:space="0"/>
            </w:tcBorders>
            <w:noWrap w:val="0"/>
            <w:vAlign w:val="center"/>
          </w:tcPr>
          <w:p w14:paraId="1DCE6E1E">
            <w:pPr>
              <w:keepNext w:val="0"/>
              <w:keepLines w:val="0"/>
              <w:widowControl/>
              <w:suppressLineNumbers w:val="0"/>
              <w:jc w:val="center"/>
              <w:textAlignment w:val="center"/>
              <w:rPr>
                <w:rFonts w:hint="eastAsia" w:ascii="仿宋" w:hAnsi="仿宋" w:eastAsia="仿宋" w:cs="仿宋"/>
                <w:sz w:val="20"/>
                <w:szCs w:val="20"/>
                <w:lang w:val="en-US" w:eastAsia="zh-CN"/>
              </w:rPr>
            </w:pPr>
          </w:p>
        </w:tc>
        <w:tc>
          <w:tcPr>
            <w:tcW w:w="1259" w:type="dxa"/>
            <w:tcBorders>
              <w:top w:val="nil"/>
              <w:left w:val="nil"/>
              <w:bottom w:val="single" w:color="auto" w:sz="4" w:space="0"/>
              <w:right w:val="single" w:color="auto" w:sz="4" w:space="0"/>
            </w:tcBorders>
            <w:noWrap w:val="0"/>
            <w:vAlign w:val="center"/>
          </w:tcPr>
          <w:p w14:paraId="51B2A55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98" w:type="dxa"/>
            <w:tcBorders>
              <w:top w:val="nil"/>
              <w:left w:val="nil"/>
              <w:bottom w:val="single" w:color="auto" w:sz="4" w:space="0"/>
              <w:right w:val="single" w:color="auto" w:sz="4" w:space="0"/>
            </w:tcBorders>
            <w:noWrap w:val="0"/>
            <w:vAlign w:val="center"/>
          </w:tcPr>
          <w:p w14:paraId="78D75DD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66" w:type="dxa"/>
            <w:tcBorders>
              <w:top w:val="nil"/>
              <w:left w:val="nil"/>
              <w:bottom w:val="single" w:color="auto" w:sz="4" w:space="0"/>
              <w:right w:val="single" w:color="auto" w:sz="4" w:space="0"/>
            </w:tcBorders>
            <w:noWrap w:val="0"/>
            <w:vAlign w:val="center"/>
          </w:tcPr>
          <w:p w14:paraId="53C2E6C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81" w:type="dxa"/>
            <w:tcBorders>
              <w:top w:val="nil"/>
              <w:left w:val="nil"/>
              <w:bottom w:val="single" w:color="auto" w:sz="4" w:space="0"/>
              <w:right w:val="single" w:color="auto" w:sz="4" w:space="0"/>
            </w:tcBorders>
            <w:noWrap w:val="0"/>
            <w:vAlign w:val="center"/>
          </w:tcPr>
          <w:p w14:paraId="62EED9D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67" w:type="dxa"/>
            <w:tcBorders>
              <w:top w:val="nil"/>
              <w:left w:val="nil"/>
              <w:bottom w:val="single" w:color="auto" w:sz="4" w:space="0"/>
              <w:right w:val="single" w:color="auto" w:sz="4" w:space="0"/>
            </w:tcBorders>
            <w:noWrap w:val="0"/>
            <w:vAlign w:val="center"/>
          </w:tcPr>
          <w:p w14:paraId="4A6BFE9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8" w:type="pct"/>
            <w:tcBorders>
              <w:top w:val="nil"/>
              <w:left w:val="nil"/>
              <w:bottom w:val="single" w:color="auto" w:sz="4" w:space="0"/>
              <w:right w:val="single" w:color="auto" w:sz="4" w:space="0"/>
            </w:tcBorders>
            <w:noWrap w:val="0"/>
            <w:vAlign w:val="center"/>
          </w:tcPr>
          <w:p w14:paraId="7C6FB8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r>
      <w:tr w14:paraId="1B5D85A0">
        <w:tblPrEx>
          <w:tblCellMar>
            <w:top w:w="0" w:type="dxa"/>
            <w:left w:w="108" w:type="dxa"/>
            <w:bottom w:w="0" w:type="dxa"/>
            <w:right w:w="108" w:type="dxa"/>
          </w:tblCellMar>
        </w:tblPrEx>
        <w:trPr>
          <w:trHeight w:val="559" w:hRule="atLeast"/>
          <w:jc w:val="center"/>
        </w:trPr>
        <w:tc>
          <w:tcPr>
            <w:tcW w:w="432" w:type="pct"/>
            <w:vMerge w:val="continue"/>
            <w:tcBorders>
              <w:left w:val="single" w:color="auto" w:sz="4" w:space="0"/>
              <w:right w:val="single" w:color="auto" w:sz="4" w:space="0"/>
            </w:tcBorders>
            <w:shd w:val="clear" w:color="000000" w:fill="FFFFFF"/>
            <w:noWrap w:val="0"/>
            <w:vAlign w:val="center"/>
          </w:tcPr>
          <w:p w14:paraId="2AA9DB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489" w:type="pct"/>
            <w:vMerge w:val="continue"/>
            <w:tcBorders>
              <w:left w:val="single" w:color="auto" w:sz="4" w:space="0"/>
              <w:right w:val="single" w:color="auto" w:sz="4" w:space="0"/>
            </w:tcBorders>
            <w:noWrap w:val="0"/>
            <w:vAlign w:val="center"/>
          </w:tcPr>
          <w:p w14:paraId="2AA1B1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rPr>
            </w:pPr>
          </w:p>
        </w:tc>
        <w:tc>
          <w:tcPr>
            <w:tcW w:w="1425" w:type="dxa"/>
            <w:tcBorders>
              <w:top w:val="nil"/>
              <w:left w:val="nil"/>
              <w:bottom w:val="single" w:color="auto" w:sz="4" w:space="0"/>
              <w:right w:val="single" w:color="auto" w:sz="4" w:space="0"/>
            </w:tcBorders>
            <w:noWrap w:val="0"/>
            <w:vAlign w:val="center"/>
          </w:tcPr>
          <w:p w14:paraId="11906CB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13" w:type="dxa"/>
            <w:tcBorders>
              <w:top w:val="nil"/>
              <w:left w:val="nil"/>
              <w:bottom w:val="single" w:color="auto" w:sz="4" w:space="0"/>
              <w:right w:val="single" w:color="auto" w:sz="4" w:space="0"/>
            </w:tcBorders>
            <w:noWrap w:val="0"/>
            <w:vAlign w:val="center"/>
          </w:tcPr>
          <w:p w14:paraId="788218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29" w:type="pct"/>
            <w:vMerge w:val="continue"/>
            <w:tcBorders>
              <w:left w:val="nil"/>
              <w:right w:val="single" w:color="auto" w:sz="4" w:space="0"/>
            </w:tcBorders>
            <w:noWrap w:val="0"/>
            <w:vAlign w:val="center"/>
          </w:tcPr>
          <w:p w14:paraId="1D9EEF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678" w:type="dxa"/>
            <w:tcBorders>
              <w:top w:val="nil"/>
              <w:left w:val="nil"/>
              <w:bottom w:val="single" w:color="auto" w:sz="4" w:space="0"/>
              <w:right w:val="single" w:color="auto" w:sz="4" w:space="0"/>
            </w:tcBorders>
            <w:noWrap w:val="0"/>
            <w:vAlign w:val="center"/>
          </w:tcPr>
          <w:p w14:paraId="1F85F1D8">
            <w:pPr>
              <w:keepNext w:val="0"/>
              <w:keepLines w:val="0"/>
              <w:widowControl/>
              <w:suppressLineNumbers w:val="0"/>
              <w:jc w:val="center"/>
              <w:textAlignment w:val="center"/>
              <w:rPr>
                <w:rFonts w:hint="eastAsia" w:ascii="仿宋" w:hAnsi="仿宋" w:eastAsia="仿宋" w:cs="仿宋"/>
                <w:sz w:val="20"/>
                <w:szCs w:val="20"/>
                <w:lang w:val="en-US" w:eastAsia="zh-CN"/>
              </w:rPr>
            </w:pPr>
          </w:p>
        </w:tc>
        <w:tc>
          <w:tcPr>
            <w:tcW w:w="1259" w:type="dxa"/>
            <w:tcBorders>
              <w:top w:val="nil"/>
              <w:left w:val="nil"/>
              <w:bottom w:val="single" w:color="auto" w:sz="4" w:space="0"/>
              <w:right w:val="single" w:color="auto" w:sz="4" w:space="0"/>
            </w:tcBorders>
            <w:noWrap w:val="0"/>
            <w:vAlign w:val="center"/>
          </w:tcPr>
          <w:p w14:paraId="60CF1B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98" w:type="dxa"/>
            <w:tcBorders>
              <w:top w:val="nil"/>
              <w:left w:val="nil"/>
              <w:bottom w:val="single" w:color="auto" w:sz="4" w:space="0"/>
              <w:right w:val="single" w:color="auto" w:sz="4" w:space="0"/>
            </w:tcBorders>
            <w:noWrap w:val="0"/>
            <w:vAlign w:val="center"/>
          </w:tcPr>
          <w:p w14:paraId="3E079F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66" w:type="dxa"/>
            <w:tcBorders>
              <w:top w:val="nil"/>
              <w:left w:val="nil"/>
              <w:bottom w:val="single" w:color="auto" w:sz="4" w:space="0"/>
              <w:right w:val="single" w:color="auto" w:sz="4" w:space="0"/>
            </w:tcBorders>
            <w:noWrap w:val="0"/>
            <w:vAlign w:val="center"/>
          </w:tcPr>
          <w:p w14:paraId="106BB49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81" w:type="dxa"/>
            <w:tcBorders>
              <w:top w:val="nil"/>
              <w:left w:val="nil"/>
              <w:bottom w:val="single" w:color="auto" w:sz="4" w:space="0"/>
              <w:right w:val="single" w:color="auto" w:sz="4" w:space="0"/>
            </w:tcBorders>
            <w:noWrap w:val="0"/>
            <w:vAlign w:val="center"/>
          </w:tcPr>
          <w:p w14:paraId="6C44B3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67" w:type="dxa"/>
            <w:tcBorders>
              <w:top w:val="nil"/>
              <w:left w:val="nil"/>
              <w:bottom w:val="single" w:color="auto" w:sz="4" w:space="0"/>
              <w:right w:val="single" w:color="auto" w:sz="4" w:space="0"/>
            </w:tcBorders>
            <w:noWrap w:val="0"/>
            <w:vAlign w:val="center"/>
          </w:tcPr>
          <w:p w14:paraId="596D0C0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8" w:type="pct"/>
            <w:tcBorders>
              <w:top w:val="nil"/>
              <w:left w:val="nil"/>
              <w:bottom w:val="single" w:color="auto" w:sz="4" w:space="0"/>
              <w:right w:val="single" w:color="auto" w:sz="4" w:space="0"/>
            </w:tcBorders>
            <w:noWrap w:val="0"/>
            <w:vAlign w:val="center"/>
          </w:tcPr>
          <w:p w14:paraId="72C946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r>
      <w:tr w14:paraId="7368192B">
        <w:tblPrEx>
          <w:tblCellMar>
            <w:top w:w="0" w:type="dxa"/>
            <w:left w:w="108" w:type="dxa"/>
            <w:bottom w:w="0" w:type="dxa"/>
            <w:right w:w="108" w:type="dxa"/>
          </w:tblCellMar>
        </w:tblPrEx>
        <w:trPr>
          <w:trHeight w:val="509" w:hRule="atLeast"/>
          <w:jc w:val="center"/>
        </w:trPr>
        <w:tc>
          <w:tcPr>
            <w:tcW w:w="432" w:type="pct"/>
            <w:vMerge w:val="continue"/>
            <w:tcBorders>
              <w:left w:val="single" w:color="auto" w:sz="4" w:space="0"/>
              <w:right w:val="single" w:color="auto" w:sz="4" w:space="0"/>
            </w:tcBorders>
            <w:shd w:val="clear" w:color="000000" w:fill="FFFFFF"/>
            <w:noWrap w:val="0"/>
            <w:vAlign w:val="center"/>
          </w:tcPr>
          <w:p w14:paraId="5464A9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489" w:type="pct"/>
            <w:vMerge w:val="continue"/>
            <w:tcBorders>
              <w:left w:val="single" w:color="auto" w:sz="4" w:space="0"/>
              <w:right w:val="single" w:color="auto" w:sz="4" w:space="0"/>
            </w:tcBorders>
            <w:noWrap w:val="0"/>
            <w:vAlign w:val="center"/>
          </w:tcPr>
          <w:p w14:paraId="6B89E8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rPr>
            </w:pPr>
          </w:p>
        </w:tc>
        <w:tc>
          <w:tcPr>
            <w:tcW w:w="1425" w:type="dxa"/>
            <w:tcBorders>
              <w:top w:val="nil"/>
              <w:left w:val="nil"/>
              <w:bottom w:val="single" w:color="auto" w:sz="4" w:space="0"/>
              <w:right w:val="single" w:color="auto" w:sz="4" w:space="0"/>
            </w:tcBorders>
            <w:noWrap w:val="0"/>
            <w:vAlign w:val="center"/>
          </w:tcPr>
          <w:p w14:paraId="299886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13" w:type="dxa"/>
            <w:tcBorders>
              <w:top w:val="nil"/>
              <w:left w:val="nil"/>
              <w:bottom w:val="single" w:color="auto" w:sz="4" w:space="0"/>
              <w:right w:val="single" w:color="auto" w:sz="4" w:space="0"/>
            </w:tcBorders>
            <w:noWrap w:val="0"/>
            <w:vAlign w:val="center"/>
          </w:tcPr>
          <w:p w14:paraId="123913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29" w:type="pct"/>
            <w:vMerge w:val="continue"/>
            <w:tcBorders>
              <w:left w:val="nil"/>
              <w:right w:val="single" w:color="auto" w:sz="4" w:space="0"/>
            </w:tcBorders>
            <w:noWrap w:val="0"/>
            <w:vAlign w:val="center"/>
          </w:tcPr>
          <w:p w14:paraId="28E093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678" w:type="dxa"/>
            <w:tcBorders>
              <w:top w:val="nil"/>
              <w:left w:val="nil"/>
              <w:bottom w:val="single" w:color="auto" w:sz="4" w:space="0"/>
              <w:right w:val="single" w:color="auto" w:sz="4" w:space="0"/>
            </w:tcBorders>
            <w:noWrap w:val="0"/>
            <w:vAlign w:val="center"/>
          </w:tcPr>
          <w:p w14:paraId="77CE2121">
            <w:pPr>
              <w:keepNext w:val="0"/>
              <w:keepLines w:val="0"/>
              <w:widowControl/>
              <w:suppressLineNumbers w:val="0"/>
              <w:jc w:val="center"/>
              <w:textAlignment w:val="center"/>
              <w:rPr>
                <w:rFonts w:hint="eastAsia" w:ascii="仿宋" w:hAnsi="仿宋" w:eastAsia="仿宋" w:cs="仿宋"/>
                <w:sz w:val="20"/>
                <w:szCs w:val="20"/>
                <w:lang w:val="en-US" w:eastAsia="zh-CN"/>
              </w:rPr>
            </w:pPr>
          </w:p>
        </w:tc>
        <w:tc>
          <w:tcPr>
            <w:tcW w:w="1259" w:type="dxa"/>
            <w:tcBorders>
              <w:top w:val="nil"/>
              <w:left w:val="nil"/>
              <w:bottom w:val="single" w:color="auto" w:sz="4" w:space="0"/>
              <w:right w:val="single" w:color="auto" w:sz="4" w:space="0"/>
            </w:tcBorders>
            <w:noWrap w:val="0"/>
            <w:vAlign w:val="center"/>
          </w:tcPr>
          <w:p w14:paraId="1B1B0D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98" w:type="dxa"/>
            <w:tcBorders>
              <w:top w:val="nil"/>
              <w:left w:val="nil"/>
              <w:bottom w:val="single" w:color="auto" w:sz="4" w:space="0"/>
              <w:right w:val="single" w:color="auto" w:sz="4" w:space="0"/>
            </w:tcBorders>
            <w:noWrap w:val="0"/>
            <w:vAlign w:val="center"/>
          </w:tcPr>
          <w:p w14:paraId="59F84B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66" w:type="dxa"/>
            <w:tcBorders>
              <w:top w:val="nil"/>
              <w:left w:val="nil"/>
              <w:bottom w:val="single" w:color="auto" w:sz="4" w:space="0"/>
              <w:right w:val="single" w:color="auto" w:sz="4" w:space="0"/>
            </w:tcBorders>
            <w:noWrap w:val="0"/>
            <w:vAlign w:val="center"/>
          </w:tcPr>
          <w:p w14:paraId="569E6B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81" w:type="dxa"/>
            <w:tcBorders>
              <w:top w:val="nil"/>
              <w:left w:val="nil"/>
              <w:bottom w:val="single" w:color="auto" w:sz="4" w:space="0"/>
              <w:right w:val="single" w:color="auto" w:sz="4" w:space="0"/>
            </w:tcBorders>
            <w:noWrap w:val="0"/>
            <w:vAlign w:val="center"/>
          </w:tcPr>
          <w:p w14:paraId="7D6671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67" w:type="dxa"/>
            <w:tcBorders>
              <w:top w:val="nil"/>
              <w:left w:val="nil"/>
              <w:bottom w:val="single" w:color="auto" w:sz="4" w:space="0"/>
              <w:right w:val="single" w:color="auto" w:sz="4" w:space="0"/>
            </w:tcBorders>
            <w:noWrap w:val="0"/>
            <w:vAlign w:val="center"/>
          </w:tcPr>
          <w:p w14:paraId="49C3B20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68" w:type="pct"/>
            <w:tcBorders>
              <w:top w:val="nil"/>
              <w:left w:val="nil"/>
              <w:bottom w:val="single" w:color="auto" w:sz="4" w:space="0"/>
              <w:right w:val="single" w:color="auto" w:sz="4" w:space="0"/>
            </w:tcBorders>
            <w:noWrap w:val="0"/>
            <w:vAlign w:val="center"/>
          </w:tcPr>
          <w:p w14:paraId="383446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r>
      <w:tr w14:paraId="25FB4611">
        <w:tblPrEx>
          <w:tblCellMar>
            <w:top w:w="0" w:type="dxa"/>
            <w:left w:w="108" w:type="dxa"/>
            <w:bottom w:w="0" w:type="dxa"/>
            <w:right w:w="108" w:type="dxa"/>
          </w:tblCellMar>
        </w:tblPrEx>
        <w:trPr>
          <w:trHeight w:val="558" w:hRule="atLeast"/>
          <w:jc w:val="center"/>
        </w:trPr>
        <w:tc>
          <w:tcPr>
            <w:tcW w:w="2506" w:type="pct"/>
            <w:gridSpan w:val="6"/>
            <w:tcBorders>
              <w:top w:val="single" w:color="auto" w:sz="4" w:space="0"/>
              <w:left w:val="single" w:color="auto" w:sz="4" w:space="0"/>
              <w:bottom w:val="single" w:color="auto" w:sz="4" w:space="0"/>
              <w:right w:val="single" w:color="auto" w:sz="4" w:space="0"/>
            </w:tcBorders>
            <w:noWrap w:val="0"/>
            <w:vAlign w:val="center"/>
          </w:tcPr>
          <w:p w14:paraId="10E044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cs="仿宋"/>
                <w:b/>
                <w:bCs/>
                <w:color w:val="000000"/>
                <w:kern w:val="0"/>
                <w:sz w:val="20"/>
                <w:szCs w:val="20"/>
                <w:lang w:val="en-US" w:eastAsia="zh-CN" w:bidi="ar"/>
              </w:rPr>
            </w:pPr>
            <w:r>
              <w:rPr>
                <w:rFonts w:hint="eastAsia" w:ascii="仿宋" w:hAnsi="仿宋" w:cs="仿宋"/>
                <w:b/>
                <w:bCs/>
                <w:color w:val="000000"/>
                <w:kern w:val="0"/>
                <w:sz w:val="20"/>
                <w:szCs w:val="20"/>
                <w:lang w:val="en-US" w:eastAsia="zh-CN" w:bidi="ar"/>
              </w:rPr>
              <w:t>合计</w:t>
            </w:r>
          </w:p>
        </w:tc>
        <w:tc>
          <w:tcPr>
            <w:tcW w:w="413" w:type="pct"/>
            <w:tcBorders>
              <w:top w:val="nil"/>
              <w:left w:val="nil"/>
              <w:bottom w:val="single" w:color="auto" w:sz="4" w:space="0"/>
              <w:right w:val="single" w:color="auto" w:sz="4" w:space="0"/>
            </w:tcBorders>
            <w:noWrap w:val="0"/>
            <w:vAlign w:val="center"/>
          </w:tcPr>
          <w:p w14:paraId="252175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b/>
                <w:bCs/>
                <w:sz w:val="20"/>
                <w:szCs w:val="20"/>
                <w:lang w:val="en-US" w:eastAsia="zh-CN"/>
              </w:rPr>
            </w:pPr>
          </w:p>
        </w:tc>
        <w:tc>
          <w:tcPr>
            <w:tcW w:w="459" w:type="pct"/>
            <w:tcBorders>
              <w:top w:val="nil"/>
              <w:left w:val="nil"/>
              <w:bottom w:val="single" w:color="auto" w:sz="4" w:space="0"/>
              <w:right w:val="single" w:color="auto" w:sz="4" w:space="0"/>
            </w:tcBorders>
            <w:noWrap w:val="0"/>
            <w:vAlign w:val="center"/>
          </w:tcPr>
          <w:p w14:paraId="1F5702B6">
            <w:pPr>
              <w:jc w:val="center"/>
              <w:rPr>
                <w:rFonts w:hint="eastAsia" w:ascii="仿宋" w:hAnsi="仿宋" w:eastAsia="仿宋" w:cs="仿宋"/>
                <w:b/>
                <w:bCs/>
                <w:sz w:val="20"/>
                <w:szCs w:val="20"/>
                <w:lang w:val="en-US" w:eastAsia="zh-CN"/>
              </w:rPr>
            </w:pPr>
          </w:p>
        </w:tc>
        <w:tc>
          <w:tcPr>
            <w:tcW w:w="547" w:type="pct"/>
            <w:tcBorders>
              <w:top w:val="nil"/>
              <w:left w:val="nil"/>
              <w:bottom w:val="single" w:color="auto" w:sz="4" w:space="0"/>
              <w:right w:val="single" w:color="auto" w:sz="4" w:space="0"/>
            </w:tcBorders>
            <w:noWrap w:val="0"/>
            <w:vAlign w:val="center"/>
          </w:tcPr>
          <w:p w14:paraId="09688E38">
            <w:pPr>
              <w:jc w:val="center"/>
              <w:rPr>
                <w:rFonts w:hint="eastAsia" w:ascii="仿宋" w:hAnsi="仿宋" w:eastAsia="仿宋" w:cs="仿宋"/>
                <w:b/>
                <w:bCs/>
                <w:sz w:val="20"/>
                <w:szCs w:val="20"/>
                <w:lang w:val="en-US" w:eastAsia="zh-CN"/>
              </w:rPr>
            </w:pPr>
          </w:p>
        </w:tc>
        <w:tc>
          <w:tcPr>
            <w:tcW w:w="421" w:type="pct"/>
            <w:tcBorders>
              <w:top w:val="nil"/>
              <w:left w:val="nil"/>
              <w:bottom w:val="single" w:color="auto" w:sz="4" w:space="0"/>
              <w:right w:val="single" w:color="auto" w:sz="4" w:space="0"/>
            </w:tcBorders>
            <w:noWrap w:val="0"/>
            <w:vAlign w:val="center"/>
          </w:tcPr>
          <w:p w14:paraId="7CA965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cs="仿宋"/>
                <w:b/>
                <w:bCs/>
                <w:sz w:val="20"/>
                <w:szCs w:val="20"/>
                <w:lang w:val="en-US" w:eastAsia="zh-CN"/>
              </w:rPr>
            </w:pPr>
          </w:p>
        </w:tc>
        <w:tc>
          <w:tcPr>
            <w:tcW w:w="482" w:type="pct"/>
            <w:tcBorders>
              <w:top w:val="nil"/>
              <w:left w:val="nil"/>
              <w:bottom w:val="single" w:color="auto" w:sz="4" w:space="0"/>
              <w:right w:val="single" w:color="auto" w:sz="4" w:space="0"/>
            </w:tcBorders>
            <w:noWrap w:val="0"/>
            <w:vAlign w:val="center"/>
          </w:tcPr>
          <w:p w14:paraId="1531A0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cs="仿宋"/>
                <w:b/>
                <w:bCs/>
                <w:sz w:val="20"/>
                <w:szCs w:val="20"/>
                <w:lang w:val="en-US" w:eastAsia="zh-CN"/>
              </w:rPr>
            </w:pPr>
          </w:p>
        </w:tc>
        <w:tc>
          <w:tcPr>
            <w:tcW w:w="168" w:type="pct"/>
            <w:tcBorders>
              <w:top w:val="nil"/>
              <w:left w:val="nil"/>
              <w:bottom w:val="single" w:color="auto" w:sz="4" w:space="0"/>
              <w:right w:val="single" w:color="auto" w:sz="4" w:space="0"/>
            </w:tcBorders>
            <w:noWrap w:val="0"/>
            <w:vAlign w:val="center"/>
          </w:tcPr>
          <w:p w14:paraId="053D77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cs="仿宋"/>
                <w:b/>
                <w:bCs/>
                <w:color w:val="000000"/>
                <w:kern w:val="0"/>
                <w:sz w:val="20"/>
                <w:szCs w:val="20"/>
                <w:lang w:val="en-US" w:eastAsia="zh-CN" w:bidi="ar"/>
              </w:rPr>
            </w:pPr>
          </w:p>
        </w:tc>
      </w:tr>
    </w:tbl>
    <w:p w14:paraId="6A6620C0">
      <w:pPr>
        <w:kinsoku w:val="0"/>
        <w:overflowPunct w:val="0"/>
        <w:autoSpaceDE w:val="0"/>
        <w:autoSpaceDN w:val="0"/>
        <w:adjustRightInd w:val="0"/>
        <w:snapToGrid w:val="0"/>
        <w:spacing w:line="360" w:lineRule="auto"/>
        <w:ind w:firstLine="480"/>
        <w:jc w:val="left"/>
        <w:rPr>
          <w:rFonts w:hint="eastAsia" w:ascii="宋体" w:hAnsi="宋体"/>
          <w:sz w:val="21"/>
          <w:szCs w:val="20"/>
        </w:rPr>
      </w:pPr>
      <w:r>
        <w:rPr>
          <w:rFonts w:hint="eastAsia" w:ascii="宋体" w:hAnsi="宋体" w:cs="宋体"/>
          <w:bCs/>
          <w:kern w:val="0"/>
          <w:sz w:val="21"/>
          <w:szCs w:val="21"/>
        </w:rPr>
        <w:t>含增值税到工地合价总计（人民币大写）：人民币</w:t>
      </w:r>
      <w:r>
        <w:rPr>
          <w:rFonts w:hint="eastAsia" w:ascii="宋体" w:hAnsi="宋体" w:cs="宋体"/>
          <w:bCs/>
          <w:kern w:val="0"/>
          <w:sz w:val="21"/>
          <w:szCs w:val="21"/>
          <w:lang w:eastAsia="zh-CN"/>
        </w:rPr>
        <w:t>。</w:t>
      </w:r>
      <w:r>
        <w:rPr>
          <w:rFonts w:hint="eastAsia" w:ascii="宋体" w:hAnsi="宋体"/>
          <w:sz w:val="21"/>
          <w:szCs w:val="20"/>
        </w:rPr>
        <w:t xml:space="preserve"> </w:t>
      </w:r>
    </w:p>
    <w:p w14:paraId="12C32C74">
      <w:pPr>
        <w:kinsoku w:val="0"/>
        <w:overflowPunct w:val="0"/>
        <w:autoSpaceDE w:val="0"/>
        <w:autoSpaceDN w:val="0"/>
        <w:adjustRightInd w:val="0"/>
        <w:snapToGrid w:val="0"/>
        <w:spacing w:line="360" w:lineRule="auto"/>
        <w:ind w:firstLine="482"/>
        <w:jc w:val="left"/>
        <w:rPr>
          <w:rFonts w:ascii="宋体" w:hAnsi="宋体" w:cs="宋体"/>
          <w:b/>
          <w:bCs/>
          <w:kern w:val="0"/>
          <w:sz w:val="21"/>
          <w:szCs w:val="21"/>
        </w:rPr>
      </w:pPr>
      <w:r>
        <w:rPr>
          <w:rFonts w:hint="eastAsia" w:ascii="宋体" w:hAnsi="宋体" w:cs="宋体"/>
          <w:b/>
          <w:bCs/>
          <w:kern w:val="0"/>
          <w:sz w:val="21"/>
          <w:szCs w:val="21"/>
        </w:rPr>
        <w:t>发票要求：</w:t>
      </w:r>
      <w:r>
        <w:rPr>
          <w:rFonts w:hint="eastAsia" w:ascii="宋体" w:hAnsi="宋体"/>
          <w:b/>
          <w:bCs/>
          <w:sz w:val="21"/>
          <w:szCs w:val="20"/>
        </w:rPr>
        <w:t>一票制结算，乙方开具税率为</w:t>
      </w:r>
      <w:r>
        <w:rPr>
          <w:rFonts w:hint="eastAsia" w:ascii="宋体" w:hAnsi="宋体"/>
          <w:b/>
          <w:bCs/>
          <w:sz w:val="21"/>
          <w:szCs w:val="20"/>
          <w:lang w:val="en-US" w:eastAsia="zh-CN"/>
        </w:rPr>
        <w:t>13</w:t>
      </w:r>
      <w:r>
        <w:rPr>
          <w:rFonts w:hint="eastAsia" w:ascii="宋体" w:hAnsi="宋体"/>
          <w:b/>
          <w:bCs/>
          <w:sz w:val="21"/>
          <w:szCs w:val="20"/>
        </w:rPr>
        <w:t>%的增值税专用发票。</w:t>
      </w:r>
    </w:p>
    <w:p w14:paraId="5BD42312">
      <w:pPr>
        <w:kinsoku w:val="0"/>
        <w:overflowPunct w:val="0"/>
        <w:autoSpaceDE w:val="0"/>
        <w:autoSpaceDN w:val="0"/>
        <w:adjustRightInd w:val="0"/>
        <w:snapToGrid w:val="0"/>
        <w:spacing w:line="360" w:lineRule="auto"/>
        <w:ind w:firstLine="480"/>
        <w:jc w:val="left"/>
        <w:rPr>
          <w:rFonts w:ascii="宋体" w:hAnsi="宋体" w:cs="宋体"/>
          <w:bCs/>
          <w:kern w:val="0"/>
          <w:sz w:val="21"/>
          <w:szCs w:val="21"/>
        </w:rPr>
      </w:pPr>
      <w:r>
        <w:rPr>
          <w:rFonts w:hint="eastAsia" w:ascii="宋体" w:hAnsi="宋体" w:cs="宋体"/>
          <w:bCs/>
          <w:kern w:val="0"/>
          <w:sz w:val="21"/>
          <w:szCs w:val="21"/>
        </w:rPr>
        <w:t>投标人名称 （加 盖 公 章）：</w:t>
      </w:r>
      <w:r>
        <w:rPr>
          <w:rFonts w:ascii="宋体" w:hAnsi="宋体" w:cs="宋体"/>
          <w:bCs/>
          <w:kern w:val="0"/>
          <w:sz w:val="21"/>
          <w:szCs w:val="21"/>
        </w:rPr>
        <w:t xml:space="preserve"> </w:t>
      </w:r>
    </w:p>
    <w:p w14:paraId="20A688A1">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480"/>
        <w:jc w:val="left"/>
        <w:textAlignment w:val="auto"/>
        <w:rPr>
          <w:rFonts w:ascii="宋体" w:hAnsi="宋体"/>
          <w:sz w:val="24"/>
        </w:rPr>
      </w:pPr>
      <w:r>
        <w:rPr>
          <w:rFonts w:hint="eastAsia" w:ascii="宋体" w:hAnsi="宋体" w:cs="宋体"/>
          <w:bCs/>
          <w:kern w:val="0"/>
          <w:sz w:val="21"/>
          <w:szCs w:val="21"/>
        </w:rPr>
        <w:t>法定代表人或被授权代理人签字：</w:t>
      </w:r>
      <w:r>
        <w:rPr>
          <w:rFonts w:ascii="宋体" w:hAnsi="宋体"/>
          <w:sz w:val="22"/>
          <w:szCs w:val="21"/>
        </w:rPr>
        <w:br w:type="page"/>
      </w:r>
      <w:r>
        <w:rPr>
          <w:rFonts w:hint="eastAsia" w:ascii="宋体" w:hAnsi="宋体"/>
          <w:sz w:val="24"/>
        </w:rPr>
        <w:t>附件2：</w:t>
      </w:r>
    </w:p>
    <w:p w14:paraId="4B009472">
      <w:pPr>
        <w:keepNext w:val="0"/>
        <w:keepLines w:val="0"/>
        <w:pageBreakBefore w:val="0"/>
        <w:widowControl w:val="0"/>
        <w:wordWrap/>
        <w:topLinePunct w:val="0"/>
        <w:bidi w:val="0"/>
        <w:spacing w:line="240" w:lineRule="auto"/>
        <w:ind w:firstLine="0" w:firstLineChars="0"/>
        <w:jc w:val="center"/>
        <w:textAlignment w:val="auto"/>
        <w:rPr>
          <w:rFonts w:ascii="宋体" w:hAnsi="宋体"/>
          <w:b/>
          <w:sz w:val="28"/>
          <w:szCs w:val="28"/>
        </w:rPr>
      </w:pPr>
      <w:bookmarkStart w:id="51" w:name="_Hlk491353893"/>
      <w:r>
        <w:rPr>
          <w:rFonts w:ascii="宋体" w:hAnsi="宋体"/>
          <w:b/>
          <w:sz w:val="28"/>
          <w:szCs w:val="28"/>
        </w:rPr>
        <w:t>物资需求一览表</w:t>
      </w:r>
      <w:bookmarkEnd w:id="51"/>
    </w:p>
    <w:p w14:paraId="0142CD83">
      <w:pPr>
        <w:jc w:val="both"/>
        <w:rPr>
          <w:rFonts w:hint="default" w:ascii="仿宋" w:hAnsi="仿宋" w:cs="仿宋"/>
          <w:sz w:val="20"/>
          <w:szCs w:val="20"/>
          <w:lang w:val="en-US" w:eastAsia="zh-CN"/>
        </w:rPr>
      </w:pPr>
      <w:r>
        <w:rPr>
          <w:rFonts w:hint="eastAsia" w:ascii="仿宋" w:hAnsi="仿宋" w:eastAsia="仿宋" w:cs="仿宋"/>
          <w:kern w:val="0"/>
          <w:sz w:val="20"/>
          <w:szCs w:val="20"/>
        </w:rPr>
        <w:t xml:space="preserve">招标人名称： 中铁二局集团有限公司                           </w:t>
      </w:r>
      <w:r>
        <w:rPr>
          <w:rFonts w:hint="eastAsia" w:ascii="仿宋" w:hAnsi="仿宋" w:eastAsia="仿宋" w:cs="仿宋"/>
          <w:sz w:val="20"/>
          <w:szCs w:val="20"/>
          <w:lang w:val="en-US" w:eastAsia="zh-CN"/>
        </w:rPr>
        <w:t xml:space="preserve">采购编号： </w:t>
      </w:r>
      <w:r>
        <w:rPr>
          <w:rFonts w:hint="eastAsia" w:ascii="仿宋" w:hAnsi="仿宋" w:eastAsia="仿宋" w:cs="仿宋"/>
          <w:kern w:val="0"/>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kern w:val="0"/>
          <w:sz w:val="20"/>
          <w:szCs w:val="20"/>
        </w:rPr>
        <w:t xml:space="preserve">  包件号：</w:t>
      </w:r>
    </w:p>
    <w:tbl>
      <w:tblPr>
        <w:tblStyle w:val="7"/>
        <w:tblW w:w="5272" w:type="pct"/>
        <w:jc w:val="center"/>
        <w:tblLayout w:type="autofit"/>
        <w:tblCellMar>
          <w:top w:w="0" w:type="dxa"/>
          <w:left w:w="108" w:type="dxa"/>
          <w:bottom w:w="0" w:type="dxa"/>
          <w:right w:w="108" w:type="dxa"/>
        </w:tblCellMar>
      </w:tblPr>
      <w:tblGrid>
        <w:gridCol w:w="549"/>
        <w:gridCol w:w="1813"/>
        <w:gridCol w:w="1925"/>
        <w:gridCol w:w="1052"/>
        <w:gridCol w:w="1657"/>
        <w:gridCol w:w="1538"/>
        <w:gridCol w:w="1105"/>
        <w:gridCol w:w="1048"/>
        <w:gridCol w:w="2122"/>
        <w:gridCol w:w="1570"/>
        <w:gridCol w:w="1211"/>
      </w:tblGrid>
      <w:tr w14:paraId="163A7E50">
        <w:tblPrEx>
          <w:tblCellMar>
            <w:top w:w="0" w:type="dxa"/>
            <w:left w:w="108" w:type="dxa"/>
            <w:bottom w:w="0" w:type="dxa"/>
            <w:right w:w="108" w:type="dxa"/>
          </w:tblCellMar>
        </w:tblPrEx>
        <w:trPr>
          <w:trHeight w:val="830" w:hRule="atLeast"/>
          <w:jc w:val="center"/>
        </w:trPr>
        <w:tc>
          <w:tcPr>
            <w:tcW w:w="176" w:type="pct"/>
            <w:tcBorders>
              <w:top w:val="single" w:color="auto" w:sz="4" w:space="0"/>
              <w:left w:val="single" w:color="auto" w:sz="4" w:space="0"/>
              <w:bottom w:val="single" w:color="auto" w:sz="4" w:space="0"/>
              <w:right w:val="single" w:color="auto" w:sz="4" w:space="0"/>
            </w:tcBorders>
            <w:noWrap w:val="0"/>
            <w:vAlign w:val="center"/>
          </w:tcPr>
          <w:p w14:paraId="0D01C9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序号</w:t>
            </w:r>
          </w:p>
        </w:tc>
        <w:tc>
          <w:tcPr>
            <w:tcW w:w="581" w:type="pct"/>
            <w:tcBorders>
              <w:top w:val="single" w:color="auto" w:sz="4" w:space="0"/>
              <w:left w:val="nil"/>
              <w:bottom w:val="single" w:color="auto" w:sz="4" w:space="0"/>
              <w:right w:val="single" w:color="auto" w:sz="4" w:space="0"/>
            </w:tcBorders>
            <w:noWrap w:val="0"/>
            <w:vAlign w:val="center"/>
          </w:tcPr>
          <w:p w14:paraId="7DC5B9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物资名称</w:t>
            </w:r>
          </w:p>
        </w:tc>
        <w:tc>
          <w:tcPr>
            <w:tcW w:w="616" w:type="pct"/>
            <w:tcBorders>
              <w:top w:val="single" w:color="auto" w:sz="4" w:space="0"/>
              <w:left w:val="nil"/>
              <w:bottom w:val="single" w:color="auto" w:sz="4" w:space="0"/>
              <w:right w:val="single" w:color="auto" w:sz="4" w:space="0"/>
            </w:tcBorders>
            <w:noWrap w:val="0"/>
            <w:vAlign w:val="center"/>
          </w:tcPr>
          <w:p w14:paraId="2A914D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规格型号</w:t>
            </w:r>
          </w:p>
        </w:tc>
        <w:tc>
          <w:tcPr>
            <w:tcW w:w="337" w:type="pct"/>
            <w:tcBorders>
              <w:top w:val="single" w:color="auto" w:sz="4" w:space="0"/>
              <w:left w:val="nil"/>
              <w:bottom w:val="single" w:color="auto" w:sz="4" w:space="0"/>
              <w:right w:val="single" w:color="auto" w:sz="4" w:space="0"/>
            </w:tcBorders>
            <w:noWrap w:val="0"/>
            <w:vAlign w:val="center"/>
          </w:tcPr>
          <w:p w14:paraId="33BEA5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计量单位</w:t>
            </w:r>
          </w:p>
        </w:tc>
        <w:tc>
          <w:tcPr>
            <w:tcW w:w="531" w:type="pct"/>
            <w:tcBorders>
              <w:top w:val="single" w:color="auto" w:sz="4" w:space="0"/>
              <w:left w:val="nil"/>
              <w:bottom w:val="single" w:color="auto" w:sz="4" w:space="0"/>
              <w:right w:val="single" w:color="auto" w:sz="4" w:space="0"/>
            </w:tcBorders>
            <w:noWrap w:val="0"/>
            <w:vAlign w:val="center"/>
          </w:tcPr>
          <w:p w14:paraId="67A4DA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数量</w:t>
            </w:r>
          </w:p>
        </w:tc>
        <w:tc>
          <w:tcPr>
            <w:tcW w:w="493" w:type="pct"/>
            <w:tcBorders>
              <w:top w:val="single" w:color="auto" w:sz="4" w:space="0"/>
              <w:left w:val="nil"/>
              <w:bottom w:val="single" w:color="auto" w:sz="4" w:space="0"/>
              <w:right w:val="single" w:color="auto" w:sz="4" w:space="0"/>
            </w:tcBorders>
            <w:noWrap w:val="0"/>
            <w:vAlign w:val="center"/>
          </w:tcPr>
          <w:p w14:paraId="69A6D6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技术标准及要求</w:t>
            </w:r>
          </w:p>
        </w:tc>
        <w:tc>
          <w:tcPr>
            <w:tcW w:w="354" w:type="pct"/>
            <w:tcBorders>
              <w:top w:val="single" w:color="auto" w:sz="4" w:space="0"/>
              <w:left w:val="nil"/>
              <w:bottom w:val="single" w:color="auto" w:sz="4" w:space="0"/>
              <w:right w:val="single" w:color="auto" w:sz="4" w:space="0"/>
            </w:tcBorders>
            <w:noWrap w:val="0"/>
            <w:vAlign w:val="center"/>
          </w:tcPr>
          <w:p w14:paraId="7DE79F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交货状态</w:t>
            </w:r>
          </w:p>
        </w:tc>
        <w:tc>
          <w:tcPr>
            <w:tcW w:w="336" w:type="pct"/>
            <w:tcBorders>
              <w:top w:val="single" w:color="auto" w:sz="4" w:space="0"/>
              <w:left w:val="nil"/>
              <w:bottom w:val="single" w:color="auto" w:sz="4" w:space="0"/>
              <w:right w:val="single" w:color="auto" w:sz="4" w:space="0"/>
            </w:tcBorders>
            <w:noWrap w:val="0"/>
            <w:vAlign w:val="center"/>
          </w:tcPr>
          <w:p w14:paraId="70BE03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交货条件</w:t>
            </w:r>
          </w:p>
        </w:tc>
        <w:tc>
          <w:tcPr>
            <w:tcW w:w="680" w:type="pct"/>
            <w:tcBorders>
              <w:top w:val="single" w:color="auto" w:sz="4" w:space="0"/>
              <w:left w:val="nil"/>
              <w:bottom w:val="single" w:color="auto" w:sz="4" w:space="0"/>
              <w:right w:val="single" w:color="auto" w:sz="4" w:space="0"/>
            </w:tcBorders>
            <w:noWrap w:val="0"/>
            <w:vAlign w:val="center"/>
          </w:tcPr>
          <w:p w14:paraId="2939FB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交货地点</w:t>
            </w:r>
          </w:p>
        </w:tc>
        <w:tc>
          <w:tcPr>
            <w:tcW w:w="503" w:type="pct"/>
            <w:tcBorders>
              <w:top w:val="single" w:color="auto" w:sz="4" w:space="0"/>
              <w:left w:val="nil"/>
              <w:bottom w:val="single" w:color="auto" w:sz="4" w:space="0"/>
              <w:right w:val="single" w:color="auto" w:sz="4" w:space="0"/>
            </w:tcBorders>
            <w:noWrap w:val="0"/>
            <w:vAlign w:val="center"/>
          </w:tcPr>
          <w:p w14:paraId="0276CB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收货人</w:t>
            </w:r>
          </w:p>
        </w:tc>
        <w:tc>
          <w:tcPr>
            <w:tcW w:w="388" w:type="pct"/>
            <w:tcBorders>
              <w:top w:val="single" w:color="auto" w:sz="4" w:space="0"/>
              <w:left w:val="nil"/>
              <w:bottom w:val="single" w:color="auto" w:sz="4" w:space="0"/>
              <w:right w:val="single" w:color="auto" w:sz="4" w:space="0"/>
            </w:tcBorders>
            <w:noWrap w:val="0"/>
            <w:vAlign w:val="center"/>
          </w:tcPr>
          <w:p w14:paraId="2CD04E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交货期</w:t>
            </w:r>
          </w:p>
        </w:tc>
      </w:tr>
      <w:tr w14:paraId="4C4DDE87">
        <w:tblPrEx>
          <w:tblCellMar>
            <w:top w:w="0" w:type="dxa"/>
            <w:left w:w="108" w:type="dxa"/>
            <w:bottom w:w="0" w:type="dxa"/>
            <w:right w:w="108" w:type="dxa"/>
          </w:tblCellMar>
        </w:tblPrEx>
        <w:trPr>
          <w:trHeight w:val="540" w:hRule="atLeast"/>
          <w:jc w:val="center"/>
        </w:trPr>
        <w:tc>
          <w:tcPr>
            <w:tcW w:w="176" w:type="pct"/>
            <w:tcBorders>
              <w:top w:val="single" w:color="auto" w:sz="4" w:space="0"/>
              <w:left w:val="single" w:color="auto" w:sz="4" w:space="0"/>
              <w:bottom w:val="single" w:color="auto" w:sz="4" w:space="0"/>
              <w:right w:val="single" w:color="auto" w:sz="4" w:space="0"/>
            </w:tcBorders>
            <w:noWrap w:val="0"/>
            <w:vAlign w:val="center"/>
          </w:tcPr>
          <w:p w14:paraId="22E9C707">
            <w:pPr>
              <w:keepNext w:val="0"/>
              <w:keepLines w:val="0"/>
              <w:widowControl/>
              <w:suppressLineNumbers w:val="0"/>
              <w:jc w:val="center"/>
              <w:textAlignment w:val="center"/>
              <w:rPr>
                <w:rFonts w:hint="eastAsia" w:ascii="仿宋" w:hAnsi="仿宋" w:eastAsia="仿宋" w:cs="仿宋"/>
                <w:kern w:val="0"/>
                <w:sz w:val="18"/>
                <w:szCs w:val="18"/>
              </w:rPr>
            </w:pPr>
          </w:p>
        </w:tc>
        <w:tc>
          <w:tcPr>
            <w:tcW w:w="581" w:type="pct"/>
            <w:tcBorders>
              <w:top w:val="single" w:color="auto" w:sz="4" w:space="0"/>
              <w:left w:val="nil"/>
              <w:bottom w:val="single" w:color="auto" w:sz="4" w:space="0"/>
              <w:right w:val="single" w:color="auto" w:sz="4" w:space="0"/>
            </w:tcBorders>
            <w:noWrap w:val="0"/>
            <w:vAlign w:val="center"/>
          </w:tcPr>
          <w:p w14:paraId="18B75F7B">
            <w:pPr>
              <w:keepNext w:val="0"/>
              <w:keepLines w:val="0"/>
              <w:widowControl/>
              <w:suppressLineNumbers w:val="0"/>
              <w:jc w:val="center"/>
              <w:textAlignment w:val="center"/>
              <w:rPr>
                <w:rFonts w:hint="eastAsia" w:ascii="仿宋" w:hAnsi="仿宋" w:eastAsia="仿宋" w:cs="仿宋"/>
                <w:sz w:val="20"/>
                <w:szCs w:val="20"/>
                <w:lang w:val="en-US" w:eastAsia="zh-CN"/>
              </w:rPr>
            </w:pPr>
          </w:p>
        </w:tc>
        <w:tc>
          <w:tcPr>
            <w:tcW w:w="616" w:type="pct"/>
            <w:tcBorders>
              <w:top w:val="single" w:color="auto" w:sz="4" w:space="0"/>
              <w:left w:val="nil"/>
              <w:bottom w:val="single" w:color="auto" w:sz="4" w:space="0"/>
              <w:right w:val="single" w:color="auto" w:sz="4" w:space="0"/>
            </w:tcBorders>
            <w:noWrap w:val="0"/>
            <w:vAlign w:val="center"/>
          </w:tcPr>
          <w:p w14:paraId="4F934498">
            <w:pPr>
              <w:keepNext w:val="0"/>
              <w:keepLines w:val="0"/>
              <w:widowControl/>
              <w:suppressLineNumbers w:val="0"/>
              <w:jc w:val="center"/>
              <w:textAlignment w:val="center"/>
              <w:rPr>
                <w:rFonts w:hint="default" w:ascii="仿宋" w:hAnsi="仿宋" w:eastAsia="仿宋" w:cs="仿宋"/>
                <w:sz w:val="20"/>
                <w:szCs w:val="20"/>
                <w:lang w:val="en-US" w:eastAsia="zh-CN"/>
              </w:rPr>
            </w:pPr>
          </w:p>
        </w:tc>
        <w:tc>
          <w:tcPr>
            <w:tcW w:w="337" w:type="pct"/>
            <w:tcBorders>
              <w:top w:val="single" w:color="auto" w:sz="4" w:space="0"/>
              <w:left w:val="nil"/>
              <w:bottom w:val="single" w:color="auto" w:sz="4" w:space="0"/>
              <w:right w:val="single" w:color="auto" w:sz="4" w:space="0"/>
            </w:tcBorders>
            <w:noWrap w:val="0"/>
            <w:vAlign w:val="center"/>
          </w:tcPr>
          <w:p w14:paraId="48C2D8B1">
            <w:pPr>
              <w:keepNext w:val="0"/>
              <w:keepLines w:val="0"/>
              <w:widowControl/>
              <w:suppressLineNumbers w:val="0"/>
              <w:jc w:val="center"/>
              <w:textAlignment w:val="center"/>
              <w:rPr>
                <w:rFonts w:hint="eastAsia" w:ascii="仿宋" w:hAnsi="仿宋" w:eastAsia="仿宋" w:cs="仿宋"/>
                <w:sz w:val="20"/>
                <w:szCs w:val="20"/>
                <w:lang w:val="en-US" w:eastAsia="zh-CN"/>
              </w:rPr>
            </w:pPr>
          </w:p>
        </w:tc>
        <w:tc>
          <w:tcPr>
            <w:tcW w:w="531" w:type="pct"/>
            <w:tcBorders>
              <w:top w:val="single" w:color="auto" w:sz="4" w:space="0"/>
              <w:left w:val="nil"/>
              <w:bottom w:val="single" w:color="auto" w:sz="4" w:space="0"/>
              <w:right w:val="single" w:color="auto" w:sz="4" w:space="0"/>
            </w:tcBorders>
            <w:noWrap w:val="0"/>
            <w:vAlign w:val="center"/>
          </w:tcPr>
          <w:p w14:paraId="1C7972AE">
            <w:pPr>
              <w:keepNext w:val="0"/>
              <w:keepLines w:val="0"/>
              <w:widowControl/>
              <w:suppressLineNumbers w:val="0"/>
              <w:jc w:val="center"/>
              <w:textAlignment w:val="center"/>
              <w:rPr>
                <w:rFonts w:hint="eastAsia" w:ascii="仿宋" w:hAnsi="仿宋" w:eastAsia="仿宋" w:cs="仿宋"/>
                <w:sz w:val="20"/>
                <w:szCs w:val="20"/>
                <w:lang w:val="en-US" w:eastAsia="zh-CN"/>
              </w:rPr>
            </w:pPr>
          </w:p>
        </w:tc>
        <w:tc>
          <w:tcPr>
            <w:tcW w:w="493" w:type="pct"/>
            <w:vMerge w:val="restart"/>
            <w:tcBorders>
              <w:top w:val="single" w:color="auto" w:sz="4" w:space="0"/>
              <w:left w:val="single" w:color="auto" w:sz="4" w:space="0"/>
              <w:right w:val="single" w:color="auto" w:sz="4" w:space="0"/>
            </w:tcBorders>
            <w:noWrap w:val="0"/>
            <w:vAlign w:val="center"/>
          </w:tcPr>
          <w:p w14:paraId="3EDF41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rPr>
            </w:pPr>
            <w:r>
              <w:rPr>
                <w:rFonts w:hint="eastAsia" w:ascii="仿宋" w:hAnsi="仿宋" w:eastAsia="仿宋" w:cs="仿宋"/>
                <w:kern w:val="0"/>
                <w:sz w:val="18"/>
                <w:szCs w:val="18"/>
              </w:rPr>
              <w:t>见技术规格书</w:t>
            </w:r>
          </w:p>
        </w:tc>
        <w:tc>
          <w:tcPr>
            <w:tcW w:w="354" w:type="pct"/>
            <w:vMerge w:val="restart"/>
            <w:tcBorders>
              <w:top w:val="single" w:color="auto" w:sz="4" w:space="0"/>
              <w:left w:val="single" w:color="auto" w:sz="4" w:space="0"/>
              <w:right w:val="single" w:color="auto" w:sz="4" w:space="0"/>
            </w:tcBorders>
            <w:noWrap w:val="0"/>
            <w:vAlign w:val="center"/>
          </w:tcPr>
          <w:p w14:paraId="315A1B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符合各项质量、技术指标</w:t>
            </w:r>
          </w:p>
        </w:tc>
        <w:tc>
          <w:tcPr>
            <w:tcW w:w="336" w:type="pct"/>
            <w:vMerge w:val="restart"/>
            <w:tcBorders>
              <w:top w:val="single" w:color="auto" w:sz="4" w:space="0"/>
              <w:left w:val="single" w:color="auto" w:sz="4" w:space="0"/>
              <w:right w:val="single" w:color="auto" w:sz="4" w:space="0"/>
            </w:tcBorders>
            <w:noWrap w:val="0"/>
            <w:vAlign w:val="center"/>
          </w:tcPr>
          <w:p w14:paraId="57BD84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cs="仿宋"/>
                <w:kern w:val="0"/>
                <w:sz w:val="18"/>
                <w:szCs w:val="18"/>
                <w:lang w:val="en-US" w:eastAsia="zh-CN"/>
              </w:rPr>
              <w:t>板车</w:t>
            </w:r>
            <w:r>
              <w:rPr>
                <w:rFonts w:hint="eastAsia" w:ascii="仿宋" w:hAnsi="仿宋" w:eastAsia="仿宋" w:cs="仿宋"/>
                <w:kern w:val="0"/>
                <w:sz w:val="18"/>
                <w:szCs w:val="18"/>
              </w:rPr>
              <w:t>交货</w:t>
            </w:r>
          </w:p>
        </w:tc>
        <w:tc>
          <w:tcPr>
            <w:tcW w:w="680" w:type="pct"/>
            <w:vMerge w:val="restart"/>
            <w:tcBorders>
              <w:top w:val="single" w:color="auto" w:sz="4" w:space="0"/>
              <w:left w:val="nil"/>
              <w:right w:val="single" w:color="auto" w:sz="4" w:space="0"/>
            </w:tcBorders>
            <w:noWrap w:val="0"/>
            <w:vAlign w:val="center"/>
          </w:tcPr>
          <w:p w14:paraId="73ABF9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河北省衡水市中铁二局雄商高铁衡水枢纽站前一标项目</w:t>
            </w:r>
            <w:r>
              <w:rPr>
                <w:rFonts w:hint="eastAsia" w:ascii="仿宋" w:hAnsi="仿宋" w:eastAsia="仿宋" w:cs="仿宋"/>
                <w:kern w:val="0"/>
                <w:sz w:val="18"/>
                <w:szCs w:val="18"/>
                <w:lang w:val="en-US" w:eastAsia="zh-CN"/>
              </w:rPr>
              <w:t>工地</w:t>
            </w:r>
          </w:p>
        </w:tc>
        <w:tc>
          <w:tcPr>
            <w:tcW w:w="503" w:type="pct"/>
            <w:vMerge w:val="restart"/>
            <w:tcBorders>
              <w:top w:val="single" w:color="auto" w:sz="4" w:space="0"/>
              <w:left w:val="nil"/>
              <w:right w:val="single" w:color="auto" w:sz="4" w:space="0"/>
            </w:tcBorders>
            <w:noWrap w:val="0"/>
            <w:vAlign w:val="center"/>
          </w:tcPr>
          <w:p w14:paraId="735BBB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徐朝辉 18728030166</w:t>
            </w:r>
          </w:p>
        </w:tc>
        <w:tc>
          <w:tcPr>
            <w:tcW w:w="388" w:type="pct"/>
            <w:vMerge w:val="restart"/>
            <w:tcBorders>
              <w:top w:val="single" w:color="auto" w:sz="4" w:space="0"/>
              <w:left w:val="single" w:color="auto" w:sz="4" w:space="0"/>
              <w:right w:val="single" w:color="auto" w:sz="4" w:space="0"/>
            </w:tcBorders>
            <w:noWrap w:val="0"/>
            <w:vAlign w:val="center"/>
          </w:tcPr>
          <w:p w14:paraId="676098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根据现场施工需求进场</w:t>
            </w:r>
          </w:p>
        </w:tc>
      </w:tr>
      <w:tr w14:paraId="61ED6DDA">
        <w:tblPrEx>
          <w:tblCellMar>
            <w:top w:w="0" w:type="dxa"/>
            <w:left w:w="108" w:type="dxa"/>
            <w:bottom w:w="0" w:type="dxa"/>
            <w:right w:w="108" w:type="dxa"/>
          </w:tblCellMar>
        </w:tblPrEx>
        <w:trPr>
          <w:trHeight w:val="517" w:hRule="atLeast"/>
          <w:jc w:val="center"/>
        </w:trPr>
        <w:tc>
          <w:tcPr>
            <w:tcW w:w="176" w:type="pct"/>
            <w:tcBorders>
              <w:top w:val="single" w:color="auto" w:sz="4" w:space="0"/>
              <w:left w:val="single" w:color="auto" w:sz="4" w:space="0"/>
              <w:bottom w:val="single" w:color="auto" w:sz="4" w:space="0"/>
              <w:right w:val="single" w:color="auto" w:sz="4" w:space="0"/>
            </w:tcBorders>
            <w:noWrap w:val="0"/>
            <w:vAlign w:val="center"/>
          </w:tcPr>
          <w:p w14:paraId="6D2682EB">
            <w:pPr>
              <w:keepNext w:val="0"/>
              <w:keepLines w:val="0"/>
              <w:widowControl/>
              <w:suppressLineNumbers w:val="0"/>
              <w:jc w:val="center"/>
              <w:textAlignment w:val="center"/>
              <w:rPr>
                <w:rFonts w:hint="eastAsia" w:ascii="仿宋" w:hAnsi="仿宋" w:eastAsia="仿宋" w:cs="仿宋"/>
                <w:kern w:val="0"/>
                <w:sz w:val="18"/>
                <w:szCs w:val="18"/>
              </w:rPr>
            </w:pPr>
          </w:p>
        </w:tc>
        <w:tc>
          <w:tcPr>
            <w:tcW w:w="581" w:type="pct"/>
            <w:tcBorders>
              <w:top w:val="single" w:color="auto" w:sz="4" w:space="0"/>
              <w:left w:val="nil"/>
              <w:bottom w:val="single" w:color="auto" w:sz="4" w:space="0"/>
              <w:right w:val="single" w:color="auto" w:sz="4" w:space="0"/>
            </w:tcBorders>
            <w:noWrap w:val="0"/>
            <w:vAlign w:val="center"/>
          </w:tcPr>
          <w:p w14:paraId="2B8B51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16" w:type="pct"/>
            <w:tcBorders>
              <w:top w:val="single" w:color="auto" w:sz="4" w:space="0"/>
              <w:left w:val="nil"/>
              <w:bottom w:val="single" w:color="auto" w:sz="4" w:space="0"/>
              <w:right w:val="single" w:color="auto" w:sz="4" w:space="0"/>
            </w:tcBorders>
            <w:noWrap w:val="0"/>
            <w:vAlign w:val="center"/>
          </w:tcPr>
          <w:p w14:paraId="6AF6A3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37" w:type="pct"/>
            <w:tcBorders>
              <w:top w:val="single" w:color="auto" w:sz="4" w:space="0"/>
              <w:left w:val="nil"/>
              <w:bottom w:val="single" w:color="auto" w:sz="4" w:space="0"/>
              <w:right w:val="single" w:color="auto" w:sz="4" w:space="0"/>
            </w:tcBorders>
            <w:noWrap w:val="0"/>
            <w:vAlign w:val="center"/>
          </w:tcPr>
          <w:p w14:paraId="7A68DBE7">
            <w:pPr>
              <w:keepNext w:val="0"/>
              <w:keepLines w:val="0"/>
              <w:widowControl/>
              <w:suppressLineNumbers w:val="0"/>
              <w:jc w:val="center"/>
              <w:textAlignment w:val="center"/>
              <w:rPr>
                <w:rFonts w:hint="eastAsia" w:ascii="仿宋" w:hAnsi="仿宋" w:eastAsia="仿宋" w:cs="仿宋"/>
                <w:sz w:val="20"/>
                <w:szCs w:val="20"/>
                <w:lang w:val="en-US" w:eastAsia="zh-CN"/>
              </w:rPr>
            </w:pPr>
          </w:p>
        </w:tc>
        <w:tc>
          <w:tcPr>
            <w:tcW w:w="531" w:type="pct"/>
            <w:tcBorders>
              <w:top w:val="single" w:color="auto" w:sz="4" w:space="0"/>
              <w:left w:val="nil"/>
              <w:bottom w:val="single" w:color="auto" w:sz="4" w:space="0"/>
              <w:right w:val="single" w:color="auto" w:sz="4" w:space="0"/>
            </w:tcBorders>
            <w:noWrap w:val="0"/>
            <w:vAlign w:val="center"/>
          </w:tcPr>
          <w:p w14:paraId="1AF338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93" w:type="pct"/>
            <w:vMerge w:val="continue"/>
            <w:tcBorders>
              <w:left w:val="single" w:color="auto" w:sz="4" w:space="0"/>
              <w:right w:val="single" w:color="auto" w:sz="4" w:space="0"/>
            </w:tcBorders>
            <w:noWrap w:val="0"/>
            <w:vAlign w:val="center"/>
          </w:tcPr>
          <w:p w14:paraId="55FC3F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p>
        </w:tc>
        <w:tc>
          <w:tcPr>
            <w:tcW w:w="354" w:type="pct"/>
            <w:vMerge w:val="continue"/>
            <w:tcBorders>
              <w:left w:val="single" w:color="auto" w:sz="4" w:space="0"/>
              <w:right w:val="single" w:color="auto" w:sz="4" w:space="0"/>
            </w:tcBorders>
            <w:noWrap w:val="0"/>
            <w:vAlign w:val="center"/>
          </w:tcPr>
          <w:p w14:paraId="01829C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p>
        </w:tc>
        <w:tc>
          <w:tcPr>
            <w:tcW w:w="336" w:type="pct"/>
            <w:vMerge w:val="continue"/>
            <w:tcBorders>
              <w:left w:val="single" w:color="auto" w:sz="4" w:space="0"/>
              <w:right w:val="single" w:color="auto" w:sz="4" w:space="0"/>
            </w:tcBorders>
            <w:noWrap w:val="0"/>
            <w:vAlign w:val="center"/>
          </w:tcPr>
          <w:p w14:paraId="195F0F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cs="仿宋"/>
                <w:kern w:val="0"/>
                <w:sz w:val="18"/>
                <w:szCs w:val="18"/>
                <w:lang w:val="en-US" w:eastAsia="zh-CN"/>
              </w:rPr>
            </w:pPr>
          </w:p>
        </w:tc>
        <w:tc>
          <w:tcPr>
            <w:tcW w:w="680" w:type="pct"/>
            <w:vMerge w:val="continue"/>
            <w:tcBorders>
              <w:left w:val="nil"/>
              <w:right w:val="single" w:color="auto" w:sz="4" w:space="0"/>
            </w:tcBorders>
            <w:noWrap w:val="0"/>
            <w:vAlign w:val="center"/>
          </w:tcPr>
          <w:p w14:paraId="738CC5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p>
        </w:tc>
        <w:tc>
          <w:tcPr>
            <w:tcW w:w="503" w:type="pct"/>
            <w:vMerge w:val="continue"/>
            <w:tcBorders>
              <w:left w:val="nil"/>
              <w:right w:val="single" w:color="auto" w:sz="4" w:space="0"/>
            </w:tcBorders>
            <w:noWrap w:val="0"/>
            <w:vAlign w:val="center"/>
          </w:tcPr>
          <w:p w14:paraId="26E631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p>
        </w:tc>
        <w:tc>
          <w:tcPr>
            <w:tcW w:w="388" w:type="pct"/>
            <w:vMerge w:val="continue"/>
            <w:tcBorders>
              <w:left w:val="single" w:color="auto" w:sz="4" w:space="0"/>
              <w:right w:val="single" w:color="auto" w:sz="4" w:space="0"/>
            </w:tcBorders>
            <w:noWrap w:val="0"/>
            <w:vAlign w:val="center"/>
          </w:tcPr>
          <w:p w14:paraId="460102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p>
        </w:tc>
      </w:tr>
      <w:tr w14:paraId="11CE3D94">
        <w:tblPrEx>
          <w:tblCellMar>
            <w:top w:w="0" w:type="dxa"/>
            <w:left w:w="108" w:type="dxa"/>
            <w:bottom w:w="0" w:type="dxa"/>
            <w:right w:w="108" w:type="dxa"/>
          </w:tblCellMar>
        </w:tblPrEx>
        <w:trPr>
          <w:trHeight w:val="568" w:hRule="atLeast"/>
          <w:jc w:val="center"/>
        </w:trPr>
        <w:tc>
          <w:tcPr>
            <w:tcW w:w="1374" w:type="pct"/>
            <w:gridSpan w:val="3"/>
            <w:tcBorders>
              <w:top w:val="single" w:color="auto" w:sz="4" w:space="0"/>
              <w:left w:val="single" w:color="auto" w:sz="4" w:space="0"/>
              <w:bottom w:val="single" w:color="auto" w:sz="4" w:space="0"/>
              <w:right w:val="single" w:color="000000" w:sz="4" w:space="0"/>
            </w:tcBorders>
            <w:noWrap w:val="0"/>
            <w:vAlign w:val="center"/>
          </w:tcPr>
          <w:p w14:paraId="15C8B68C">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r>
              <w:rPr>
                <w:rFonts w:hint="eastAsia" w:ascii="仿宋" w:hAnsi="仿宋" w:eastAsia="仿宋" w:cs="仿宋"/>
                <w:kern w:val="0"/>
                <w:sz w:val="18"/>
                <w:szCs w:val="18"/>
              </w:rPr>
              <w:t>合计</w:t>
            </w:r>
          </w:p>
        </w:tc>
        <w:tc>
          <w:tcPr>
            <w:tcW w:w="337" w:type="pct"/>
            <w:tcBorders>
              <w:top w:val="nil"/>
              <w:left w:val="nil"/>
              <w:bottom w:val="single" w:color="auto" w:sz="4" w:space="0"/>
              <w:right w:val="single" w:color="auto" w:sz="4" w:space="0"/>
            </w:tcBorders>
            <w:noWrap w:val="0"/>
            <w:vAlign w:val="center"/>
          </w:tcPr>
          <w:p w14:paraId="11065993">
            <w:pPr>
              <w:widowControl/>
              <w:jc w:val="center"/>
              <w:textAlignment w:val="center"/>
              <w:rPr>
                <w:rFonts w:hint="default" w:ascii="仿宋" w:hAnsi="仿宋" w:cs="仿宋"/>
                <w:b/>
                <w:bCs/>
                <w:kern w:val="0"/>
                <w:sz w:val="18"/>
                <w:szCs w:val="18"/>
                <w:lang w:val="en-US" w:eastAsia="zh-CN"/>
              </w:rPr>
            </w:pPr>
            <w:r>
              <w:rPr>
                <w:rFonts w:hint="eastAsia" w:ascii="宋体" w:hAnsi="宋体" w:eastAsia="宋体"/>
                <w:b/>
                <w:sz w:val="20"/>
                <w:szCs w:val="20"/>
                <w:lang w:val="en-US" w:eastAsia="zh-CN"/>
              </w:rPr>
              <w:t>吨</w:t>
            </w:r>
          </w:p>
        </w:tc>
        <w:tc>
          <w:tcPr>
            <w:tcW w:w="531" w:type="pct"/>
            <w:tcBorders>
              <w:top w:val="nil"/>
              <w:left w:val="nil"/>
              <w:bottom w:val="single" w:color="auto" w:sz="4" w:space="0"/>
              <w:right w:val="single" w:color="auto" w:sz="4" w:space="0"/>
            </w:tcBorders>
            <w:noWrap w:val="0"/>
            <w:vAlign w:val="center"/>
          </w:tcPr>
          <w:p w14:paraId="281E0C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cs="仿宋"/>
                <w:b/>
                <w:bCs/>
                <w:kern w:val="0"/>
                <w:sz w:val="18"/>
                <w:szCs w:val="18"/>
                <w:lang w:val="en-US" w:eastAsia="zh-CN"/>
              </w:rPr>
            </w:pPr>
          </w:p>
        </w:tc>
        <w:tc>
          <w:tcPr>
            <w:tcW w:w="493" w:type="pct"/>
            <w:vMerge w:val="continue"/>
            <w:tcBorders>
              <w:left w:val="single" w:color="auto" w:sz="4" w:space="0"/>
              <w:bottom w:val="single" w:color="auto" w:sz="4" w:space="0"/>
              <w:right w:val="single" w:color="auto" w:sz="4" w:space="0"/>
            </w:tcBorders>
            <w:noWrap w:val="0"/>
            <w:vAlign w:val="center"/>
          </w:tcPr>
          <w:p w14:paraId="2118A2D8">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c>
          <w:tcPr>
            <w:tcW w:w="354" w:type="pct"/>
            <w:vMerge w:val="continue"/>
            <w:tcBorders>
              <w:left w:val="single" w:color="auto" w:sz="4" w:space="0"/>
              <w:bottom w:val="single" w:color="auto" w:sz="4" w:space="0"/>
              <w:right w:val="single" w:color="auto" w:sz="4" w:space="0"/>
            </w:tcBorders>
            <w:noWrap w:val="0"/>
            <w:vAlign w:val="center"/>
          </w:tcPr>
          <w:p w14:paraId="1933B046">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c>
          <w:tcPr>
            <w:tcW w:w="336" w:type="pct"/>
            <w:vMerge w:val="continue"/>
            <w:tcBorders>
              <w:left w:val="single" w:color="auto" w:sz="4" w:space="0"/>
              <w:bottom w:val="single" w:color="auto" w:sz="4" w:space="0"/>
              <w:right w:val="single" w:color="auto" w:sz="4" w:space="0"/>
            </w:tcBorders>
            <w:noWrap w:val="0"/>
            <w:vAlign w:val="center"/>
          </w:tcPr>
          <w:p w14:paraId="421B4CA7">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c>
          <w:tcPr>
            <w:tcW w:w="680" w:type="pct"/>
            <w:vMerge w:val="continue"/>
            <w:tcBorders>
              <w:left w:val="nil"/>
              <w:bottom w:val="single" w:color="auto" w:sz="4" w:space="0"/>
              <w:right w:val="single" w:color="auto" w:sz="4" w:space="0"/>
            </w:tcBorders>
            <w:noWrap w:val="0"/>
            <w:vAlign w:val="center"/>
          </w:tcPr>
          <w:p w14:paraId="70F4ED64">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c>
          <w:tcPr>
            <w:tcW w:w="503" w:type="pct"/>
            <w:vMerge w:val="continue"/>
            <w:tcBorders>
              <w:left w:val="nil"/>
              <w:bottom w:val="single" w:color="auto" w:sz="4" w:space="0"/>
              <w:right w:val="single" w:color="auto" w:sz="4" w:space="0"/>
            </w:tcBorders>
            <w:noWrap w:val="0"/>
            <w:vAlign w:val="center"/>
          </w:tcPr>
          <w:p w14:paraId="47628D3B">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c>
          <w:tcPr>
            <w:tcW w:w="388" w:type="pct"/>
            <w:vMerge w:val="continue"/>
            <w:tcBorders>
              <w:left w:val="single" w:color="auto" w:sz="4" w:space="0"/>
              <w:bottom w:val="single" w:color="auto" w:sz="4" w:space="0"/>
              <w:right w:val="single" w:color="auto" w:sz="4" w:space="0"/>
            </w:tcBorders>
            <w:noWrap w:val="0"/>
            <w:vAlign w:val="center"/>
          </w:tcPr>
          <w:p w14:paraId="3E590C5F">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r>
    </w:tbl>
    <w:p w14:paraId="37881D62">
      <w:pPr>
        <w:widowControl/>
        <w:spacing w:line="240" w:lineRule="auto"/>
        <w:ind w:firstLine="400"/>
        <w:jc w:val="left"/>
        <w:rPr>
          <w:rFonts w:ascii="宋体" w:hAnsi="宋体" w:cs="Arial"/>
          <w:kern w:val="0"/>
          <w:sz w:val="20"/>
        </w:rPr>
      </w:pPr>
      <w:r>
        <w:rPr>
          <w:rFonts w:hint="eastAsia" w:ascii="宋体" w:hAnsi="宋体" w:cs="Arial"/>
          <w:kern w:val="0"/>
          <w:sz w:val="20"/>
        </w:rPr>
        <w:t>备注：</w:t>
      </w:r>
    </w:p>
    <w:p w14:paraId="16798D34">
      <w:pPr>
        <w:widowControl/>
        <w:spacing w:line="240" w:lineRule="auto"/>
        <w:ind w:firstLine="400"/>
        <w:jc w:val="left"/>
        <w:rPr>
          <w:rFonts w:hint="eastAsia" w:ascii="宋体" w:hAnsi="宋体" w:cs="Arial"/>
          <w:kern w:val="0"/>
          <w:sz w:val="20"/>
          <w:szCs w:val="22"/>
        </w:rPr>
      </w:pPr>
      <w:r>
        <w:rPr>
          <w:rFonts w:hint="eastAsia" w:ascii="宋体" w:hAnsi="宋体" w:cs="Arial"/>
          <w:kern w:val="0"/>
          <w:sz w:val="20"/>
          <w:szCs w:val="22"/>
        </w:rPr>
        <w:t>1、表中为初步设计规格数量，最终规格数量以施工图为准，使用单位可根据施工图对以上规格数量进行调整。</w:t>
      </w:r>
    </w:p>
    <w:p w14:paraId="03251598">
      <w:pPr>
        <w:widowControl/>
        <w:spacing w:line="240" w:lineRule="auto"/>
        <w:ind w:firstLine="400"/>
        <w:jc w:val="left"/>
        <w:rPr>
          <w:rFonts w:hint="eastAsia" w:ascii="宋体" w:hAnsi="宋体" w:cs="Arial"/>
          <w:kern w:val="0"/>
          <w:sz w:val="20"/>
          <w:szCs w:val="22"/>
        </w:rPr>
      </w:pPr>
      <w:r>
        <w:rPr>
          <w:rFonts w:hint="eastAsia" w:ascii="宋体" w:hAnsi="宋体" w:cs="Arial"/>
          <w:kern w:val="0"/>
          <w:sz w:val="20"/>
          <w:szCs w:val="22"/>
        </w:rPr>
        <w:t>2、交货时间及地点具体以使用单位通知为准。</w:t>
      </w:r>
    </w:p>
    <w:p w14:paraId="1A34DC29">
      <w:pPr>
        <w:widowControl/>
        <w:spacing w:line="240" w:lineRule="auto"/>
        <w:ind w:firstLine="400"/>
        <w:jc w:val="left"/>
        <w:rPr>
          <w:rFonts w:hint="eastAsia" w:ascii="宋体" w:hAnsi="宋体" w:eastAsia="宋体" w:cs="Arial"/>
          <w:kern w:val="0"/>
          <w:sz w:val="20"/>
          <w:szCs w:val="22"/>
        </w:rPr>
      </w:pPr>
      <w:r>
        <w:rPr>
          <w:rFonts w:hint="eastAsia" w:ascii="宋体" w:hAnsi="宋体" w:cs="Arial"/>
          <w:kern w:val="0"/>
          <w:sz w:val="20"/>
          <w:szCs w:val="22"/>
        </w:rPr>
        <w:t>3、发票要</w:t>
      </w:r>
      <w:r>
        <w:rPr>
          <w:rFonts w:hint="eastAsia" w:ascii="宋体" w:hAnsi="宋体" w:eastAsia="宋体" w:cs="Arial"/>
          <w:kern w:val="0"/>
          <w:sz w:val="20"/>
          <w:szCs w:val="22"/>
        </w:rPr>
        <w:t>求：一票制增值税专用发票，税率为</w:t>
      </w:r>
      <w:r>
        <w:rPr>
          <w:rFonts w:hint="eastAsia" w:ascii="宋体" w:hAnsi="宋体" w:eastAsia="宋体" w:cs="Arial"/>
          <w:kern w:val="0"/>
          <w:sz w:val="20"/>
          <w:szCs w:val="22"/>
          <w:lang w:val="en-US" w:eastAsia="zh-CN"/>
        </w:rPr>
        <w:t>13</w:t>
      </w:r>
      <w:r>
        <w:rPr>
          <w:rFonts w:hint="eastAsia" w:ascii="宋体" w:hAnsi="宋体" w:eastAsia="宋体" w:cs="Arial"/>
          <w:kern w:val="0"/>
          <w:sz w:val="20"/>
          <w:szCs w:val="22"/>
        </w:rPr>
        <w:t>%。</w:t>
      </w:r>
    </w:p>
    <w:p w14:paraId="3BB1320C">
      <w:pPr>
        <w:widowControl/>
        <w:spacing w:line="240" w:lineRule="auto"/>
        <w:ind w:firstLine="400"/>
        <w:jc w:val="left"/>
        <w:rPr>
          <w:rFonts w:hint="eastAsia" w:ascii="宋体" w:hAnsi="宋体" w:eastAsia="宋体" w:cs="Arial"/>
          <w:kern w:val="0"/>
          <w:sz w:val="20"/>
          <w:szCs w:val="22"/>
        </w:rPr>
        <w:sectPr>
          <w:footerReference r:id="rId7" w:type="default"/>
          <w:pgSz w:w="16838" w:h="11906" w:orient="landscape"/>
          <w:pgMar w:top="1474" w:right="1134" w:bottom="1191" w:left="1134" w:header="964" w:footer="1531" w:gutter="0"/>
          <w:pgNumType w:fmt="decimal"/>
          <w:cols w:space="720" w:num="1"/>
          <w:docGrid w:linePitch="312" w:charSpace="0"/>
        </w:sectPr>
      </w:pPr>
      <w:r>
        <w:rPr>
          <w:rFonts w:hint="eastAsia" w:ascii="宋体" w:hAnsi="宋体" w:eastAsia="宋体" w:cs="Arial"/>
          <w:kern w:val="0"/>
          <w:sz w:val="20"/>
          <w:szCs w:val="22"/>
        </w:rPr>
        <w:t>4、货款支付方式：合同“买方”在结算当月扣除该批物资价值5%的质量保证金，在结算后第四个月20日前支付该批物资75%的价款，剩余的20%在第五个月20日前支付,质保金在质保期满后三个月内支付。</w:t>
      </w:r>
    </w:p>
    <w:p w14:paraId="683BFC0C">
      <w:pPr>
        <w:spacing w:line="360" w:lineRule="auto"/>
        <w:ind w:firstLine="480"/>
        <w:rPr>
          <w:rFonts w:ascii="宋体" w:hAnsi="宋体"/>
          <w:sz w:val="24"/>
        </w:rPr>
      </w:pPr>
      <w:r>
        <w:rPr>
          <w:rFonts w:hint="eastAsia" w:ascii="宋体" w:hAnsi="宋体"/>
          <w:sz w:val="24"/>
        </w:rPr>
        <w:t>附件</w:t>
      </w:r>
      <w:r>
        <w:rPr>
          <w:rFonts w:ascii="宋体" w:hAnsi="宋体"/>
          <w:sz w:val="24"/>
        </w:rPr>
        <w:t>3</w:t>
      </w:r>
      <w:r>
        <w:rPr>
          <w:rFonts w:hint="eastAsia" w:ascii="宋体" w:hAnsi="宋体"/>
          <w:sz w:val="24"/>
        </w:rPr>
        <w:t>：</w:t>
      </w:r>
      <w:bookmarkStart w:id="52" w:name="_Toc121923828"/>
    </w:p>
    <w:bookmarkEnd w:id="52"/>
    <w:p w14:paraId="51E0FBB2">
      <w:pPr>
        <w:spacing w:line="360" w:lineRule="auto"/>
        <w:ind w:firstLine="643"/>
        <w:jc w:val="center"/>
      </w:pPr>
      <w:r>
        <w:rPr>
          <w:rFonts w:hint="eastAsia" w:ascii="宋体" w:hAnsi="宋体" w:cs="宋体"/>
          <w:b/>
          <w:sz w:val="24"/>
          <w:szCs w:val="28"/>
        </w:rPr>
        <w:t>技术规格书</w:t>
      </w:r>
    </w:p>
    <w:p w14:paraId="1145D04E">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56A8E4A0">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25014A27">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651295E6">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791DF5D6">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7E337F25">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350ECE2B">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3224DB19">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1DF30397">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78F22C74">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2C47C0E5">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4DDD89F5">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0F3133FF">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0E808E9A">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362FA42D">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7B765ADF">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5BEDEBA0">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0ED71B2B">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3E4C981E">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529BCC9E">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19179CDE">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6DCAA899">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15C6C49A">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5C0F8778">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437A64FF">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6B41F3F1">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04E32FA5">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77FD0AE9">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3DC83A9B">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22FC4A55">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36A0D278">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38FDCEF5">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479680E9">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403FB10D">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43771711">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79100B72">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4CDDAA9A">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p>
    <w:p w14:paraId="4B0B8765">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ascii="宋体" w:hAnsi="宋体"/>
          <w:sz w:val="24"/>
        </w:rPr>
      </w:pPr>
      <w:r>
        <w:rPr>
          <w:rFonts w:ascii="宋体" w:hAnsi="宋体"/>
          <w:sz w:val="24"/>
        </w:rPr>
        <w:t>附件</w:t>
      </w:r>
      <w:r>
        <w:rPr>
          <w:rFonts w:hint="eastAsia" w:ascii="宋体" w:hAnsi="宋体"/>
          <w:sz w:val="24"/>
        </w:rPr>
        <w:t>4：</w:t>
      </w:r>
    </w:p>
    <w:p w14:paraId="7AC20241">
      <w:pPr>
        <w:jc w:val="center"/>
        <w:rPr>
          <w:rFonts w:hint="eastAsia" w:eastAsia="宋体"/>
          <w:lang w:eastAsia="zh-CN"/>
        </w:rPr>
      </w:pPr>
    </w:p>
    <w:p w14:paraId="4F65A095">
      <w:pPr>
        <w:rPr>
          <w:rFonts w:hint="eastAsia" w:eastAsia="宋体"/>
          <w:lang w:eastAsia="zh-CN"/>
        </w:rPr>
        <w:sectPr>
          <w:footerReference r:id="rId8" w:type="default"/>
          <w:pgSz w:w="11906" w:h="16838"/>
          <w:pgMar w:top="2154" w:right="1474" w:bottom="2041" w:left="1587" w:header="851" w:footer="992" w:gutter="0"/>
          <w:pgNumType w:fmt="decimal"/>
          <w:cols w:space="720" w:num="1"/>
          <w:docGrid w:type="lines" w:linePitch="312" w:charSpace="0"/>
        </w:sectPr>
      </w:pPr>
    </w:p>
    <w:p w14:paraId="30F398AA">
      <w:pPr>
        <w:rPr>
          <w:rFonts w:hint="eastAsia" w:ascii="宋体" w:hAnsi="宋体"/>
          <w:color w:val="FF0000"/>
          <w:sz w:val="24"/>
          <w:szCs w:val="24"/>
        </w:rPr>
      </w:pPr>
    </w:p>
    <w:p w14:paraId="45028635">
      <w:pPr>
        <w:spacing w:line="390" w:lineRule="exact"/>
        <w:ind w:firstLine="480"/>
        <w:rPr>
          <w:rFonts w:ascii="宋体" w:hAnsi="宋体"/>
          <w:sz w:val="24"/>
        </w:rPr>
      </w:pPr>
      <w:r>
        <w:rPr>
          <w:rFonts w:ascii="宋体" w:hAnsi="宋体"/>
          <w:sz w:val="24"/>
        </w:rPr>
        <w:t>附件</w:t>
      </w:r>
      <w:r>
        <w:rPr>
          <w:rFonts w:hint="eastAsia" w:ascii="宋体" w:hAnsi="宋体"/>
          <w:sz w:val="24"/>
          <w:lang w:val="en-US" w:eastAsia="zh-CN"/>
        </w:rPr>
        <w:t>5</w:t>
      </w:r>
      <w:r>
        <w:rPr>
          <w:rFonts w:hint="eastAsia" w:ascii="宋体" w:hAnsi="宋体"/>
          <w:sz w:val="24"/>
        </w:rPr>
        <w:t>：</w:t>
      </w:r>
    </w:p>
    <w:p w14:paraId="76C0242D">
      <w:pPr>
        <w:tabs>
          <w:tab w:val="left" w:pos="360"/>
        </w:tabs>
        <w:spacing w:line="390" w:lineRule="exact"/>
        <w:jc w:val="center"/>
        <w:rPr>
          <w:rFonts w:ascii="宋体" w:hAnsi="宋体"/>
          <w:color w:val="000000"/>
          <w:sz w:val="36"/>
          <w:szCs w:val="36"/>
        </w:rPr>
      </w:pPr>
      <w:r>
        <w:rPr>
          <w:rFonts w:hint="eastAsia" w:ascii="宋体" w:hAnsi="宋体"/>
          <w:color w:val="000000"/>
          <w:sz w:val="36"/>
          <w:szCs w:val="36"/>
        </w:rPr>
        <w:t>先行内部投诉平台投诉的承诺书</w:t>
      </w:r>
    </w:p>
    <w:p w14:paraId="04105B96">
      <w:pPr>
        <w:tabs>
          <w:tab w:val="left" w:pos="360"/>
        </w:tabs>
        <w:spacing w:line="390" w:lineRule="exact"/>
        <w:ind w:firstLine="480" w:firstLineChars="200"/>
        <w:rPr>
          <w:rFonts w:ascii="宋体" w:hAnsi="宋体"/>
          <w:color w:val="000000"/>
          <w:sz w:val="24"/>
          <w:szCs w:val="24"/>
        </w:rPr>
      </w:pPr>
    </w:p>
    <w:p w14:paraId="2349CC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rPr>
      </w:pPr>
      <w:r>
        <w:rPr>
          <w:rFonts w:hint="eastAsia" w:ascii="Times New Roman" w:hAnsi="Times New Roman" w:eastAsia="宋体" w:cs="Times New Roman"/>
          <w:sz w:val="24"/>
        </w:rPr>
        <w:t>致：中铁二局集团有限公司</w:t>
      </w:r>
    </w:p>
    <w:p w14:paraId="119B8A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我公司为贵公司雄商高铁衡水枢纽一标工程的分包商（供应商），为确保贵公司与我公司双方的合法权益，快捷解决双方争议，我公司对贵公司承诺如下：</w:t>
      </w:r>
    </w:p>
    <w:p w14:paraId="2DA975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我公司已知悉贵公司公布的内部投诉渠道如下：</w:t>
      </w:r>
    </w:p>
    <w:p w14:paraId="2D3AD1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项目部投诉电话：15617181678</w:t>
      </w:r>
    </w:p>
    <w:p w14:paraId="118703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 xml:space="preserve">公司投诉电话：028-61679223 </w:t>
      </w:r>
    </w:p>
    <w:p w14:paraId="2E1769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中铁二局集团公司投诉平台：</w:t>
      </w:r>
    </w:p>
    <w:p w14:paraId="346A8B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 xml:space="preserve">微信公众号《中铁二局合作方反馈意见处理平台》 </w:t>
      </w:r>
    </w:p>
    <w:p w14:paraId="3E70D7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中铁二局集团公司劳务工欠薪投诉电话：</w:t>
      </w:r>
    </w:p>
    <w:p w14:paraId="52BCC7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中铁二局集团公司信访办电话：028-86442040</w:t>
      </w:r>
    </w:p>
    <w:p w14:paraId="4C55D6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若发生我公司需向贵公司主张权益或反映问题时，承诺先行向贵公司内部投诉平台进行情况反映，对我公司的投诉事项从贵公司收到投诉次日起5个月的处理时限。在此期间，我公司承诺不得向国家或地方相关部门和各级信访部门进行投诉，也不得提起诉讼。否则，我公司自愿接受贵公司将我公司纳入《中铁二局限制交易名单》《中铁二局谨慎交易名单》中进行信用惩戒。并按照5万元/次承担违约责任。</w:t>
      </w:r>
    </w:p>
    <w:p w14:paraId="745B84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特此承诺！</w:t>
      </w:r>
    </w:p>
    <w:p w14:paraId="536ACBF7">
      <w:pPr>
        <w:tabs>
          <w:tab w:val="left" w:pos="360"/>
        </w:tabs>
        <w:spacing w:line="390" w:lineRule="exact"/>
        <w:ind w:firstLine="480" w:firstLineChars="200"/>
        <w:rPr>
          <w:rFonts w:ascii="宋体" w:hAnsi="宋体"/>
          <w:color w:val="000000"/>
          <w:sz w:val="24"/>
          <w:szCs w:val="24"/>
        </w:rPr>
      </w:pPr>
    </w:p>
    <w:p w14:paraId="31760F8A">
      <w:pPr>
        <w:tabs>
          <w:tab w:val="left" w:pos="360"/>
        </w:tabs>
        <w:spacing w:line="390" w:lineRule="exact"/>
        <w:ind w:firstLine="480" w:firstLineChars="200"/>
        <w:rPr>
          <w:rFonts w:ascii="宋体" w:hAnsi="宋体"/>
          <w:color w:val="000000"/>
          <w:sz w:val="24"/>
          <w:szCs w:val="24"/>
        </w:rPr>
      </w:pPr>
    </w:p>
    <w:p w14:paraId="49366235">
      <w:pPr>
        <w:tabs>
          <w:tab w:val="left" w:pos="360"/>
        </w:tabs>
        <w:spacing w:line="390" w:lineRule="exact"/>
        <w:ind w:firstLine="480" w:firstLineChars="200"/>
        <w:rPr>
          <w:rFonts w:ascii="宋体" w:hAnsi="宋体"/>
          <w:color w:val="000000"/>
          <w:sz w:val="24"/>
          <w:szCs w:val="24"/>
        </w:rPr>
      </w:pPr>
    </w:p>
    <w:p w14:paraId="6BC01778">
      <w:pPr>
        <w:spacing w:line="360" w:lineRule="auto"/>
        <w:ind w:firstLine="480" w:firstLineChars="200"/>
        <w:rPr>
          <w:sz w:val="24"/>
        </w:rPr>
      </w:pPr>
    </w:p>
    <w:p w14:paraId="5789385F">
      <w:pPr>
        <w:ind w:firstLine="1200" w:firstLineChars="500"/>
        <w:rPr>
          <w:sz w:val="24"/>
        </w:rPr>
      </w:pPr>
      <w:r>
        <w:rPr>
          <w:rFonts w:hint="eastAsia"/>
          <w:sz w:val="24"/>
        </w:rPr>
        <w:t xml:space="preserve">甲方：                               乙方： </w:t>
      </w:r>
    </w:p>
    <w:p w14:paraId="1B6619A8">
      <w:pPr>
        <w:ind w:firstLine="480" w:firstLineChars="200"/>
        <w:rPr>
          <w:sz w:val="24"/>
        </w:rPr>
      </w:pPr>
    </w:p>
    <w:p w14:paraId="1682EF0F">
      <w:pPr>
        <w:ind w:firstLine="480" w:firstLineChars="200"/>
        <w:rPr>
          <w:sz w:val="24"/>
        </w:rPr>
      </w:pPr>
    </w:p>
    <w:p w14:paraId="3028DFEE">
      <w:pPr>
        <w:ind w:firstLine="480" w:firstLineChars="200"/>
        <w:rPr>
          <w:sz w:val="24"/>
        </w:rPr>
      </w:pPr>
    </w:p>
    <w:p w14:paraId="449CE493">
      <w:pPr>
        <w:snapToGrid w:val="0"/>
        <w:jc w:val="right"/>
        <w:rPr>
          <w:rFonts w:hint="eastAsia"/>
        </w:rPr>
      </w:pPr>
      <w:r>
        <w:rPr>
          <w:rFonts w:hint="eastAsia"/>
          <w:sz w:val="24"/>
        </w:rPr>
        <w:t>日期：   年   月  日</w:t>
      </w:r>
    </w:p>
    <w:p w14:paraId="0CC54CCD">
      <w:pPr>
        <w:pStyle w:val="2"/>
        <w:spacing w:before="120" w:after="120"/>
        <w:jc w:val="center"/>
        <w:rPr>
          <w:rFonts w:ascii="宋体" w:hAnsi="宋体"/>
          <w:bCs w:val="0"/>
          <w:sz w:val="32"/>
        </w:rPr>
      </w:pPr>
      <w:r>
        <w:rPr>
          <w:rFonts w:hint="eastAsia" w:ascii="宋体" w:hAnsi="宋体"/>
          <w:bCs w:val="0"/>
          <w:sz w:val="32"/>
          <w:lang w:val="en-US" w:eastAsia="zh-CN"/>
        </w:rPr>
        <w:t>碎石</w:t>
      </w:r>
      <w:r>
        <w:rPr>
          <w:rFonts w:hint="eastAsia" w:ascii="宋体" w:hAnsi="宋体"/>
          <w:bCs w:val="0"/>
          <w:sz w:val="32"/>
        </w:rPr>
        <w:t>买卖合同</w:t>
      </w:r>
    </w:p>
    <w:p w14:paraId="45273424">
      <w:pPr>
        <w:spacing w:line="460" w:lineRule="atLeast"/>
        <w:ind w:firstLine="0" w:firstLineChars="0"/>
        <w:jc w:val="right"/>
        <w:rPr>
          <w:rFonts w:ascii="黑体" w:eastAsia="黑体"/>
          <w:color w:val="000000"/>
          <w:sz w:val="28"/>
          <w:szCs w:val="28"/>
        </w:rPr>
      </w:pPr>
      <w:r>
        <w:rPr>
          <w:rFonts w:hint="eastAsia"/>
          <w:sz w:val="22"/>
        </w:rPr>
        <w:t>合同编号：二局衡水枢纽物资其他</w:t>
      </w:r>
      <w:r>
        <w:rPr>
          <w:rFonts w:hint="eastAsia"/>
          <w:sz w:val="22"/>
          <w:lang w:val="en-US" w:eastAsia="zh-CN"/>
        </w:rPr>
        <w:t xml:space="preserve">   </w:t>
      </w:r>
      <w:r>
        <w:rPr>
          <w:rFonts w:hint="eastAsia"/>
          <w:sz w:val="22"/>
        </w:rPr>
        <w:t>号</w:t>
      </w:r>
    </w:p>
    <w:p w14:paraId="2AEE48B8">
      <w:pPr>
        <w:spacing w:line="460" w:lineRule="atLeast"/>
        <w:rPr>
          <w:color w:val="000000"/>
          <w:sz w:val="28"/>
          <w:szCs w:val="28"/>
        </w:rPr>
      </w:pPr>
    </w:p>
    <w:p w14:paraId="1525AD06">
      <w:pPr>
        <w:keepNext w:val="0"/>
        <w:keepLines w:val="0"/>
        <w:pageBreakBefore w:val="0"/>
        <w:widowControl/>
        <w:kinsoku/>
        <w:wordWrap/>
        <w:overflowPunct/>
        <w:topLinePunct w:val="0"/>
        <w:autoSpaceDE/>
        <w:autoSpaceDN/>
        <w:bidi w:val="0"/>
        <w:adjustRightInd/>
        <w:snapToGrid/>
        <w:spacing w:line="390" w:lineRule="exact"/>
        <w:ind w:firstLine="482"/>
        <w:textAlignment w:val="auto"/>
        <w:rPr>
          <w:rFonts w:ascii="宋体" w:hAnsi="宋体" w:cs="宋体"/>
          <w:bCs/>
          <w:kern w:val="0"/>
          <w:sz w:val="24"/>
        </w:rPr>
      </w:pPr>
      <w:r>
        <w:rPr>
          <w:rFonts w:hint="eastAsia" w:ascii="宋体" w:hAnsi="宋体" w:cs="宋体"/>
          <w:b/>
          <w:bCs/>
          <w:kern w:val="0"/>
          <w:sz w:val="24"/>
        </w:rPr>
        <w:t>买方</w:t>
      </w:r>
      <w:r>
        <w:rPr>
          <w:rFonts w:hint="eastAsia" w:ascii="宋体" w:hAnsi="宋体" w:cs="宋体"/>
          <w:bCs/>
          <w:kern w:val="0"/>
          <w:sz w:val="24"/>
        </w:rPr>
        <w:t>：</w:t>
      </w:r>
      <w:r>
        <w:rPr>
          <w:rFonts w:hint="eastAsia" w:ascii="宋体" w:hAnsi="宋体"/>
          <w:sz w:val="24"/>
        </w:rPr>
        <w:t>中铁二局集团有限公司</w:t>
      </w:r>
      <w:r>
        <w:rPr>
          <w:rFonts w:hint="eastAsia" w:ascii="宋体" w:hAnsi="宋体" w:cs="宋体"/>
          <w:bCs/>
          <w:kern w:val="0"/>
          <w:sz w:val="24"/>
        </w:rPr>
        <w:t>（以下简称甲方）</w:t>
      </w:r>
    </w:p>
    <w:p w14:paraId="47174A1B">
      <w:pPr>
        <w:keepNext w:val="0"/>
        <w:keepLines w:val="0"/>
        <w:pageBreakBefore w:val="0"/>
        <w:widowControl/>
        <w:kinsoku/>
        <w:wordWrap/>
        <w:overflowPunct/>
        <w:topLinePunct w:val="0"/>
        <w:autoSpaceDE/>
        <w:autoSpaceDN/>
        <w:bidi w:val="0"/>
        <w:adjustRightInd/>
        <w:snapToGrid/>
        <w:spacing w:line="390" w:lineRule="exact"/>
        <w:ind w:firstLine="482"/>
        <w:textAlignment w:val="auto"/>
        <w:rPr>
          <w:rFonts w:hint="eastAsia"/>
          <w:sz w:val="24"/>
          <w:szCs w:val="24"/>
          <w:highlight w:val="none"/>
        </w:rPr>
      </w:pPr>
      <w:r>
        <w:rPr>
          <w:rFonts w:hint="eastAsia" w:ascii="宋体" w:hAnsi="宋体" w:cs="宋体"/>
          <w:b/>
          <w:bCs/>
          <w:kern w:val="0"/>
          <w:sz w:val="24"/>
        </w:rPr>
        <w:t>卖方：</w:t>
      </w:r>
      <w:r>
        <w:rPr>
          <w:rFonts w:hint="eastAsia" w:ascii="宋体" w:hAnsi="宋体"/>
          <w:sz w:val="24"/>
        </w:rPr>
        <w:t>（以下简称乙方）</w:t>
      </w:r>
    </w:p>
    <w:p w14:paraId="3263F107">
      <w:pPr>
        <w:spacing w:line="390" w:lineRule="exact"/>
        <w:ind w:firstLine="480" w:firstLineChars="200"/>
        <w:rPr>
          <w:rFonts w:ascii="宋体" w:hAnsi="宋体"/>
          <w:color w:val="000000"/>
          <w:sz w:val="24"/>
          <w:szCs w:val="24"/>
        </w:rPr>
      </w:pPr>
      <w:r>
        <w:rPr>
          <w:rFonts w:hint="eastAsia" w:ascii="宋体" w:hAnsi="宋体"/>
          <w:color w:val="000000"/>
          <w:sz w:val="24"/>
          <w:szCs w:val="24"/>
        </w:rPr>
        <w:t>根据《中华人民共和国民法典》及相关法律法规的规定，在平等、自愿、公平和诚实信用的基础上，甲乙双方经充分协商，特订立本合同。</w:t>
      </w:r>
    </w:p>
    <w:p w14:paraId="25DDA326">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第一条 产品的名称、规格、数量、单价等</w:t>
      </w:r>
    </w:p>
    <w:tbl>
      <w:tblPr>
        <w:tblStyle w:val="7"/>
        <w:tblW w:w="10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213"/>
        <w:gridCol w:w="930"/>
        <w:gridCol w:w="523"/>
        <w:gridCol w:w="1120"/>
        <w:gridCol w:w="1176"/>
        <w:gridCol w:w="1300"/>
        <w:gridCol w:w="1011"/>
        <w:gridCol w:w="1369"/>
        <w:gridCol w:w="1104"/>
        <w:gridCol w:w="631"/>
      </w:tblGrid>
      <w:tr w14:paraId="3123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6" w:hRule="atLeast"/>
          <w:jc w:val="center"/>
        </w:trPr>
        <w:tc>
          <w:tcPr>
            <w:tcW w:w="518" w:type="dxa"/>
            <w:noWrap w:val="0"/>
            <w:vAlign w:val="center"/>
          </w:tcPr>
          <w:p w14:paraId="44D97E59">
            <w:pPr>
              <w:spacing w:line="390" w:lineRule="exact"/>
              <w:jc w:val="center"/>
              <w:rPr>
                <w:rFonts w:ascii="宋体" w:hAnsi="宋体"/>
                <w:bCs/>
                <w:sz w:val="24"/>
                <w:szCs w:val="24"/>
              </w:rPr>
            </w:pPr>
            <w:r>
              <w:rPr>
                <w:rFonts w:hint="eastAsia" w:ascii="宋体" w:hAnsi="宋体"/>
                <w:bCs/>
                <w:sz w:val="24"/>
                <w:szCs w:val="24"/>
              </w:rPr>
              <w:t>序号</w:t>
            </w:r>
          </w:p>
        </w:tc>
        <w:tc>
          <w:tcPr>
            <w:tcW w:w="1213" w:type="dxa"/>
            <w:noWrap w:val="0"/>
            <w:vAlign w:val="center"/>
          </w:tcPr>
          <w:p w14:paraId="548EE6CC">
            <w:pPr>
              <w:spacing w:line="390" w:lineRule="exact"/>
              <w:jc w:val="center"/>
              <w:rPr>
                <w:rFonts w:ascii="宋体" w:hAnsi="宋体"/>
                <w:bCs/>
                <w:sz w:val="24"/>
                <w:szCs w:val="24"/>
              </w:rPr>
            </w:pPr>
            <w:r>
              <w:rPr>
                <w:rFonts w:hint="eastAsia" w:ascii="宋体" w:hAnsi="宋体"/>
                <w:bCs/>
                <w:sz w:val="24"/>
                <w:szCs w:val="24"/>
              </w:rPr>
              <w:t>物资</w:t>
            </w:r>
            <w:r>
              <w:rPr>
                <w:rFonts w:ascii="宋体" w:hAnsi="宋体"/>
                <w:bCs/>
                <w:sz w:val="24"/>
                <w:szCs w:val="24"/>
              </w:rPr>
              <w:t>名称</w:t>
            </w:r>
          </w:p>
        </w:tc>
        <w:tc>
          <w:tcPr>
            <w:tcW w:w="930" w:type="dxa"/>
            <w:noWrap w:val="0"/>
            <w:vAlign w:val="center"/>
          </w:tcPr>
          <w:p w14:paraId="51563A64">
            <w:pPr>
              <w:spacing w:line="390" w:lineRule="exact"/>
              <w:jc w:val="center"/>
              <w:rPr>
                <w:rFonts w:ascii="宋体" w:hAnsi="宋体"/>
                <w:bCs/>
                <w:sz w:val="24"/>
                <w:szCs w:val="24"/>
              </w:rPr>
            </w:pPr>
            <w:r>
              <w:rPr>
                <w:rFonts w:ascii="宋体" w:hAnsi="宋体"/>
                <w:bCs/>
                <w:sz w:val="24"/>
                <w:szCs w:val="24"/>
              </w:rPr>
              <w:t>规格</w:t>
            </w:r>
          </w:p>
          <w:p w14:paraId="3713E14B">
            <w:pPr>
              <w:spacing w:line="390" w:lineRule="exact"/>
              <w:jc w:val="center"/>
              <w:rPr>
                <w:rFonts w:ascii="宋体" w:hAnsi="宋体"/>
                <w:bCs/>
                <w:sz w:val="24"/>
                <w:szCs w:val="24"/>
              </w:rPr>
            </w:pPr>
            <w:r>
              <w:rPr>
                <w:rFonts w:hint="eastAsia" w:ascii="宋体" w:hAnsi="宋体"/>
                <w:bCs/>
                <w:sz w:val="24"/>
                <w:szCs w:val="24"/>
              </w:rPr>
              <w:t>型号</w:t>
            </w:r>
          </w:p>
        </w:tc>
        <w:tc>
          <w:tcPr>
            <w:tcW w:w="523" w:type="dxa"/>
            <w:noWrap w:val="0"/>
            <w:vAlign w:val="center"/>
          </w:tcPr>
          <w:p w14:paraId="26C69D63">
            <w:pPr>
              <w:spacing w:line="390" w:lineRule="exact"/>
              <w:jc w:val="center"/>
              <w:rPr>
                <w:rFonts w:ascii="宋体" w:hAnsi="宋体"/>
                <w:bCs/>
                <w:sz w:val="24"/>
                <w:szCs w:val="24"/>
              </w:rPr>
            </w:pPr>
            <w:r>
              <w:rPr>
                <w:rFonts w:ascii="宋体" w:hAnsi="宋体"/>
                <w:bCs/>
                <w:sz w:val="24"/>
                <w:szCs w:val="24"/>
              </w:rPr>
              <w:t>单位</w:t>
            </w:r>
          </w:p>
        </w:tc>
        <w:tc>
          <w:tcPr>
            <w:tcW w:w="1120" w:type="dxa"/>
            <w:noWrap w:val="0"/>
            <w:vAlign w:val="center"/>
          </w:tcPr>
          <w:p w14:paraId="6BB9DADB">
            <w:pPr>
              <w:spacing w:line="390" w:lineRule="exact"/>
              <w:jc w:val="center"/>
              <w:rPr>
                <w:rFonts w:ascii="宋体" w:hAnsi="宋体"/>
                <w:bCs/>
                <w:sz w:val="24"/>
                <w:szCs w:val="24"/>
              </w:rPr>
            </w:pPr>
            <w:r>
              <w:rPr>
                <w:rFonts w:ascii="宋体" w:hAnsi="宋体"/>
                <w:bCs/>
                <w:sz w:val="24"/>
                <w:szCs w:val="24"/>
              </w:rPr>
              <w:t>数量</w:t>
            </w:r>
          </w:p>
        </w:tc>
        <w:tc>
          <w:tcPr>
            <w:tcW w:w="1176" w:type="dxa"/>
            <w:noWrap w:val="0"/>
            <w:vAlign w:val="center"/>
          </w:tcPr>
          <w:p w14:paraId="63A2E04D">
            <w:pPr>
              <w:spacing w:line="390" w:lineRule="exact"/>
              <w:jc w:val="center"/>
              <w:rPr>
                <w:rFonts w:ascii="宋体" w:hAnsi="宋体"/>
                <w:bCs/>
                <w:sz w:val="24"/>
                <w:szCs w:val="24"/>
              </w:rPr>
            </w:pPr>
            <w:r>
              <w:rPr>
                <w:rFonts w:hint="eastAsia" w:ascii="宋体" w:hAnsi="宋体"/>
                <w:bCs/>
                <w:sz w:val="24"/>
                <w:szCs w:val="24"/>
              </w:rPr>
              <w:t>不含增值税单价（元</w:t>
            </w:r>
            <w:r>
              <w:rPr>
                <w:rFonts w:hint="eastAsia" w:ascii="宋体" w:hAnsi="宋体"/>
                <w:bCs/>
                <w:sz w:val="24"/>
                <w:szCs w:val="24"/>
                <w:lang w:val="en-US" w:eastAsia="zh-CN"/>
              </w:rPr>
              <w:t>/吨</w:t>
            </w:r>
            <w:r>
              <w:rPr>
                <w:rFonts w:hint="eastAsia" w:ascii="宋体" w:hAnsi="宋体"/>
                <w:bCs/>
                <w:sz w:val="24"/>
                <w:szCs w:val="24"/>
              </w:rPr>
              <w:t>）</w:t>
            </w:r>
          </w:p>
        </w:tc>
        <w:tc>
          <w:tcPr>
            <w:tcW w:w="1300" w:type="dxa"/>
            <w:noWrap w:val="0"/>
            <w:vAlign w:val="center"/>
          </w:tcPr>
          <w:p w14:paraId="41523F95">
            <w:pPr>
              <w:spacing w:line="390" w:lineRule="exact"/>
              <w:jc w:val="center"/>
              <w:rPr>
                <w:rFonts w:ascii="宋体" w:hAnsi="宋体"/>
                <w:bCs/>
                <w:sz w:val="24"/>
                <w:szCs w:val="24"/>
              </w:rPr>
            </w:pPr>
            <w:r>
              <w:rPr>
                <w:rFonts w:hint="eastAsia" w:ascii="宋体" w:hAnsi="宋体"/>
                <w:bCs/>
                <w:sz w:val="24"/>
                <w:szCs w:val="24"/>
              </w:rPr>
              <w:t>不含增值税</w:t>
            </w:r>
            <w:r>
              <w:rPr>
                <w:rFonts w:ascii="宋体" w:hAnsi="宋体"/>
                <w:bCs/>
                <w:sz w:val="24"/>
                <w:szCs w:val="24"/>
              </w:rPr>
              <w:t>总价</w:t>
            </w:r>
            <w:r>
              <w:rPr>
                <w:rFonts w:hint="eastAsia" w:ascii="宋体" w:hAnsi="宋体"/>
                <w:bCs/>
                <w:sz w:val="24"/>
                <w:szCs w:val="24"/>
              </w:rPr>
              <w:t>（元）</w:t>
            </w:r>
          </w:p>
        </w:tc>
        <w:tc>
          <w:tcPr>
            <w:tcW w:w="1011" w:type="dxa"/>
            <w:noWrap w:val="0"/>
            <w:vAlign w:val="center"/>
          </w:tcPr>
          <w:p w14:paraId="46F4754B">
            <w:pPr>
              <w:spacing w:line="390" w:lineRule="exact"/>
              <w:jc w:val="center"/>
              <w:rPr>
                <w:rFonts w:ascii="宋体" w:hAnsi="宋体"/>
                <w:bCs/>
                <w:sz w:val="24"/>
                <w:szCs w:val="24"/>
              </w:rPr>
            </w:pPr>
            <w:r>
              <w:rPr>
                <w:rFonts w:hint="eastAsia" w:ascii="宋体" w:hAnsi="宋体"/>
                <w:bCs/>
                <w:sz w:val="24"/>
                <w:szCs w:val="24"/>
              </w:rPr>
              <w:t>含增值税单价（元</w:t>
            </w:r>
            <w:r>
              <w:rPr>
                <w:rFonts w:hint="eastAsia" w:ascii="宋体" w:hAnsi="宋体"/>
                <w:bCs/>
                <w:sz w:val="24"/>
                <w:szCs w:val="24"/>
                <w:lang w:val="en-US" w:eastAsia="zh-CN"/>
              </w:rPr>
              <w:t>/吨</w:t>
            </w:r>
            <w:r>
              <w:rPr>
                <w:rFonts w:hint="eastAsia" w:ascii="宋体" w:hAnsi="宋体"/>
                <w:bCs/>
                <w:sz w:val="24"/>
                <w:szCs w:val="24"/>
              </w:rPr>
              <w:t>）</w:t>
            </w:r>
          </w:p>
        </w:tc>
        <w:tc>
          <w:tcPr>
            <w:tcW w:w="1369" w:type="dxa"/>
            <w:noWrap w:val="0"/>
            <w:vAlign w:val="center"/>
          </w:tcPr>
          <w:p w14:paraId="51F7680D">
            <w:pPr>
              <w:spacing w:line="390" w:lineRule="exact"/>
              <w:jc w:val="center"/>
              <w:rPr>
                <w:rFonts w:ascii="宋体" w:hAnsi="宋体"/>
                <w:bCs/>
                <w:sz w:val="24"/>
                <w:szCs w:val="24"/>
              </w:rPr>
            </w:pPr>
            <w:r>
              <w:rPr>
                <w:rFonts w:hint="eastAsia" w:ascii="宋体" w:hAnsi="宋体"/>
                <w:bCs/>
                <w:sz w:val="24"/>
                <w:szCs w:val="24"/>
              </w:rPr>
              <w:t>含增值税</w:t>
            </w:r>
            <w:r>
              <w:rPr>
                <w:rFonts w:ascii="宋体" w:hAnsi="宋体"/>
                <w:bCs/>
                <w:sz w:val="24"/>
                <w:szCs w:val="24"/>
              </w:rPr>
              <w:t>总价</w:t>
            </w:r>
            <w:r>
              <w:rPr>
                <w:rFonts w:hint="eastAsia" w:ascii="宋体" w:hAnsi="宋体"/>
                <w:bCs/>
                <w:sz w:val="24"/>
                <w:szCs w:val="24"/>
              </w:rPr>
              <w:t>（元）</w:t>
            </w:r>
          </w:p>
        </w:tc>
        <w:tc>
          <w:tcPr>
            <w:tcW w:w="1104" w:type="dxa"/>
            <w:noWrap w:val="0"/>
            <w:vAlign w:val="center"/>
          </w:tcPr>
          <w:p w14:paraId="03010660">
            <w:pPr>
              <w:spacing w:line="390" w:lineRule="exact"/>
              <w:jc w:val="center"/>
              <w:rPr>
                <w:rFonts w:ascii="宋体" w:hAnsi="宋体"/>
                <w:bCs/>
                <w:sz w:val="24"/>
                <w:szCs w:val="24"/>
              </w:rPr>
            </w:pPr>
            <w:r>
              <w:rPr>
                <w:rFonts w:hint="eastAsia" w:ascii="宋体" w:hAnsi="宋体"/>
                <w:bCs/>
                <w:sz w:val="24"/>
                <w:szCs w:val="24"/>
              </w:rPr>
              <w:t>生产厂家</w:t>
            </w:r>
          </w:p>
        </w:tc>
        <w:tc>
          <w:tcPr>
            <w:tcW w:w="631" w:type="dxa"/>
            <w:noWrap w:val="0"/>
            <w:vAlign w:val="center"/>
          </w:tcPr>
          <w:p w14:paraId="58F220CC">
            <w:pPr>
              <w:spacing w:line="390" w:lineRule="exact"/>
              <w:jc w:val="center"/>
              <w:rPr>
                <w:rFonts w:ascii="宋体" w:hAnsi="宋体"/>
                <w:bCs/>
                <w:sz w:val="24"/>
                <w:szCs w:val="24"/>
              </w:rPr>
            </w:pPr>
            <w:r>
              <w:rPr>
                <w:rFonts w:hint="eastAsia" w:ascii="宋体" w:hAnsi="宋体"/>
                <w:bCs/>
                <w:sz w:val="24"/>
                <w:szCs w:val="24"/>
              </w:rPr>
              <w:t>备注</w:t>
            </w:r>
          </w:p>
        </w:tc>
      </w:tr>
      <w:tr w14:paraId="0C57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518" w:type="dxa"/>
            <w:noWrap w:val="0"/>
            <w:vAlign w:val="center"/>
          </w:tcPr>
          <w:p w14:paraId="428A2064">
            <w:pPr>
              <w:spacing w:line="390" w:lineRule="exact"/>
              <w:jc w:val="center"/>
              <w:rPr>
                <w:rFonts w:hint="eastAsia" w:ascii="宋体" w:hAnsi="宋体" w:eastAsia="宋体" w:cs="Times New Roman"/>
                <w:sz w:val="16"/>
                <w:szCs w:val="16"/>
              </w:rPr>
            </w:pPr>
            <w:r>
              <w:rPr>
                <w:rFonts w:hint="eastAsia" w:ascii="宋体" w:hAnsi="宋体" w:eastAsia="宋体" w:cs="Times New Roman"/>
                <w:sz w:val="16"/>
                <w:szCs w:val="16"/>
                <w:lang w:val="en-US" w:eastAsia="zh-CN"/>
              </w:rPr>
              <w:t>1</w:t>
            </w:r>
          </w:p>
        </w:tc>
        <w:tc>
          <w:tcPr>
            <w:tcW w:w="1213" w:type="dxa"/>
            <w:noWrap w:val="0"/>
            <w:vAlign w:val="center"/>
          </w:tcPr>
          <w:p w14:paraId="7F3D630F">
            <w:pPr>
              <w:spacing w:line="390" w:lineRule="exact"/>
              <w:jc w:val="center"/>
              <w:rPr>
                <w:rFonts w:hint="eastAsia" w:ascii="宋体" w:hAnsi="宋体" w:eastAsia="宋体" w:cs="Times New Roman"/>
                <w:sz w:val="16"/>
                <w:szCs w:val="16"/>
                <w:lang w:val="en-US" w:eastAsia="zh-CN"/>
              </w:rPr>
            </w:pPr>
          </w:p>
        </w:tc>
        <w:tc>
          <w:tcPr>
            <w:tcW w:w="930" w:type="dxa"/>
            <w:noWrap w:val="0"/>
            <w:vAlign w:val="center"/>
          </w:tcPr>
          <w:p w14:paraId="1E8E12E4">
            <w:pPr>
              <w:spacing w:line="390" w:lineRule="exact"/>
              <w:jc w:val="center"/>
              <w:rPr>
                <w:rFonts w:hint="eastAsia" w:ascii="宋体" w:hAnsi="宋体" w:eastAsia="宋体" w:cs="Times New Roman"/>
                <w:sz w:val="16"/>
                <w:szCs w:val="16"/>
                <w:lang w:val="en-US" w:eastAsia="zh-CN"/>
              </w:rPr>
            </w:pPr>
          </w:p>
        </w:tc>
        <w:tc>
          <w:tcPr>
            <w:tcW w:w="523" w:type="dxa"/>
            <w:noWrap w:val="0"/>
            <w:vAlign w:val="center"/>
          </w:tcPr>
          <w:p w14:paraId="380EAEBE">
            <w:pPr>
              <w:spacing w:line="390" w:lineRule="exact"/>
              <w:jc w:val="center"/>
              <w:rPr>
                <w:rFonts w:hint="eastAsia" w:ascii="宋体" w:hAnsi="宋体" w:eastAsia="宋体" w:cs="Times New Roman"/>
                <w:sz w:val="16"/>
                <w:szCs w:val="16"/>
                <w:lang w:val="en-US" w:eastAsia="zh-CN"/>
              </w:rPr>
            </w:pPr>
          </w:p>
        </w:tc>
        <w:tc>
          <w:tcPr>
            <w:tcW w:w="1120" w:type="dxa"/>
            <w:noWrap w:val="0"/>
            <w:vAlign w:val="center"/>
          </w:tcPr>
          <w:p w14:paraId="3A3ADCF9">
            <w:pPr>
              <w:spacing w:line="390" w:lineRule="exact"/>
              <w:jc w:val="center"/>
              <w:rPr>
                <w:rFonts w:hint="default" w:ascii="宋体" w:hAnsi="宋体" w:eastAsia="宋体" w:cs="Times New Roman"/>
                <w:sz w:val="16"/>
                <w:szCs w:val="16"/>
                <w:lang w:val="en-US" w:eastAsia="zh-CN"/>
              </w:rPr>
            </w:pPr>
          </w:p>
        </w:tc>
        <w:tc>
          <w:tcPr>
            <w:tcW w:w="1176" w:type="dxa"/>
            <w:noWrap w:val="0"/>
            <w:vAlign w:val="center"/>
          </w:tcPr>
          <w:p w14:paraId="03C3815E">
            <w:pPr>
              <w:spacing w:line="390" w:lineRule="exact"/>
              <w:jc w:val="center"/>
              <w:rPr>
                <w:rFonts w:hint="default" w:ascii="宋体" w:hAnsi="宋体" w:eastAsia="宋体" w:cs="Times New Roman"/>
                <w:sz w:val="16"/>
                <w:szCs w:val="16"/>
                <w:lang w:val="en-US" w:eastAsia="zh-CN"/>
              </w:rPr>
            </w:pPr>
          </w:p>
        </w:tc>
        <w:tc>
          <w:tcPr>
            <w:tcW w:w="1300" w:type="dxa"/>
            <w:noWrap w:val="0"/>
            <w:vAlign w:val="center"/>
          </w:tcPr>
          <w:p w14:paraId="1A0B523C">
            <w:pPr>
              <w:spacing w:line="390" w:lineRule="exact"/>
              <w:jc w:val="center"/>
              <w:rPr>
                <w:rFonts w:hint="default" w:ascii="宋体" w:hAnsi="宋体" w:eastAsia="宋体" w:cs="Times New Roman"/>
                <w:sz w:val="16"/>
                <w:szCs w:val="16"/>
                <w:lang w:val="en-US" w:eastAsia="zh-CN"/>
              </w:rPr>
            </w:pPr>
          </w:p>
        </w:tc>
        <w:tc>
          <w:tcPr>
            <w:tcW w:w="1011" w:type="dxa"/>
            <w:noWrap w:val="0"/>
            <w:vAlign w:val="center"/>
          </w:tcPr>
          <w:p w14:paraId="64EF8CDB">
            <w:pPr>
              <w:spacing w:line="390" w:lineRule="exact"/>
              <w:jc w:val="center"/>
              <w:rPr>
                <w:rFonts w:hint="default" w:ascii="宋体" w:hAnsi="宋体" w:eastAsia="宋体" w:cs="Times New Roman"/>
                <w:sz w:val="16"/>
                <w:szCs w:val="16"/>
                <w:lang w:val="en-US" w:eastAsia="zh-CN"/>
              </w:rPr>
            </w:pPr>
          </w:p>
        </w:tc>
        <w:tc>
          <w:tcPr>
            <w:tcW w:w="1369" w:type="dxa"/>
            <w:noWrap w:val="0"/>
            <w:vAlign w:val="center"/>
          </w:tcPr>
          <w:p w14:paraId="2D683AD3">
            <w:pPr>
              <w:spacing w:line="390" w:lineRule="exact"/>
              <w:jc w:val="center"/>
              <w:rPr>
                <w:rFonts w:hint="default" w:ascii="宋体" w:hAnsi="宋体" w:eastAsia="宋体" w:cs="Times New Roman"/>
                <w:sz w:val="16"/>
                <w:szCs w:val="16"/>
                <w:lang w:val="en-US" w:eastAsia="zh-CN"/>
              </w:rPr>
            </w:pPr>
          </w:p>
        </w:tc>
        <w:tc>
          <w:tcPr>
            <w:tcW w:w="1104" w:type="dxa"/>
            <w:noWrap w:val="0"/>
            <w:vAlign w:val="center"/>
          </w:tcPr>
          <w:p w14:paraId="6018E4A2">
            <w:pPr>
              <w:spacing w:line="390" w:lineRule="exact"/>
              <w:jc w:val="center"/>
              <w:rPr>
                <w:rFonts w:hint="default" w:ascii="宋体" w:hAnsi="宋体" w:eastAsia="宋体" w:cs="Times New Roman"/>
                <w:sz w:val="16"/>
                <w:szCs w:val="16"/>
                <w:lang w:val="en-US" w:eastAsia="zh-CN"/>
              </w:rPr>
            </w:pPr>
          </w:p>
        </w:tc>
        <w:tc>
          <w:tcPr>
            <w:tcW w:w="631" w:type="dxa"/>
            <w:noWrap w:val="0"/>
            <w:vAlign w:val="center"/>
          </w:tcPr>
          <w:p w14:paraId="6AAED145">
            <w:pPr>
              <w:spacing w:line="390" w:lineRule="exact"/>
              <w:jc w:val="center"/>
              <w:rPr>
                <w:rFonts w:hint="eastAsia" w:ascii="宋体" w:hAnsi="宋体" w:eastAsia="宋体" w:cs="Times New Roman"/>
                <w:sz w:val="16"/>
                <w:szCs w:val="16"/>
                <w:lang w:val="en-US" w:eastAsia="zh-CN"/>
              </w:rPr>
            </w:pPr>
          </w:p>
        </w:tc>
      </w:tr>
      <w:tr w14:paraId="0B93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518" w:type="dxa"/>
            <w:noWrap w:val="0"/>
            <w:vAlign w:val="center"/>
          </w:tcPr>
          <w:p w14:paraId="7AE1D38F">
            <w:pPr>
              <w:spacing w:line="390" w:lineRule="exact"/>
              <w:jc w:val="center"/>
              <w:rPr>
                <w:rFonts w:hint="default" w:ascii="宋体" w:hAnsi="宋体" w:eastAsia="宋体" w:cs="Times New Roman"/>
                <w:sz w:val="16"/>
                <w:szCs w:val="16"/>
                <w:lang w:val="en-US" w:eastAsia="zh-CN"/>
              </w:rPr>
            </w:pPr>
            <w:r>
              <w:rPr>
                <w:rFonts w:hint="eastAsia" w:ascii="宋体" w:hAnsi="宋体" w:eastAsia="宋体" w:cs="Times New Roman"/>
                <w:sz w:val="16"/>
                <w:szCs w:val="16"/>
                <w:lang w:val="en-US" w:eastAsia="zh-CN"/>
              </w:rPr>
              <w:t>2</w:t>
            </w:r>
          </w:p>
        </w:tc>
        <w:tc>
          <w:tcPr>
            <w:tcW w:w="1213" w:type="dxa"/>
            <w:noWrap w:val="0"/>
            <w:vAlign w:val="center"/>
          </w:tcPr>
          <w:p w14:paraId="43327E3B">
            <w:pPr>
              <w:spacing w:line="390" w:lineRule="exact"/>
              <w:jc w:val="center"/>
              <w:rPr>
                <w:rFonts w:hint="eastAsia" w:ascii="宋体" w:hAnsi="宋体" w:eastAsia="宋体" w:cs="Times New Roman"/>
                <w:sz w:val="16"/>
                <w:szCs w:val="16"/>
                <w:lang w:val="en-US" w:eastAsia="zh-CN"/>
              </w:rPr>
            </w:pPr>
          </w:p>
        </w:tc>
        <w:tc>
          <w:tcPr>
            <w:tcW w:w="930" w:type="dxa"/>
            <w:noWrap w:val="0"/>
            <w:vAlign w:val="center"/>
          </w:tcPr>
          <w:p w14:paraId="1CC4068C">
            <w:pPr>
              <w:spacing w:line="390" w:lineRule="exact"/>
              <w:jc w:val="center"/>
              <w:rPr>
                <w:rFonts w:hint="eastAsia" w:ascii="宋体" w:hAnsi="宋体" w:eastAsia="宋体" w:cs="Times New Roman"/>
                <w:sz w:val="16"/>
                <w:szCs w:val="16"/>
                <w:lang w:val="en-US" w:eastAsia="zh-CN"/>
              </w:rPr>
            </w:pPr>
          </w:p>
        </w:tc>
        <w:tc>
          <w:tcPr>
            <w:tcW w:w="523" w:type="dxa"/>
            <w:noWrap w:val="0"/>
            <w:vAlign w:val="center"/>
          </w:tcPr>
          <w:p w14:paraId="55BD915E">
            <w:pPr>
              <w:spacing w:line="390" w:lineRule="exact"/>
              <w:jc w:val="center"/>
              <w:rPr>
                <w:rFonts w:hint="eastAsia" w:ascii="宋体" w:hAnsi="宋体" w:eastAsia="宋体" w:cs="Times New Roman"/>
                <w:sz w:val="16"/>
                <w:szCs w:val="16"/>
                <w:lang w:val="en-US" w:eastAsia="zh-CN"/>
              </w:rPr>
            </w:pPr>
          </w:p>
        </w:tc>
        <w:tc>
          <w:tcPr>
            <w:tcW w:w="1120" w:type="dxa"/>
            <w:noWrap w:val="0"/>
            <w:vAlign w:val="center"/>
          </w:tcPr>
          <w:p w14:paraId="08B47910">
            <w:pPr>
              <w:spacing w:line="390" w:lineRule="exact"/>
              <w:jc w:val="center"/>
              <w:rPr>
                <w:rFonts w:hint="default" w:ascii="宋体" w:hAnsi="宋体" w:eastAsia="宋体" w:cs="Times New Roman"/>
                <w:sz w:val="16"/>
                <w:szCs w:val="16"/>
                <w:lang w:val="en-US" w:eastAsia="zh-CN"/>
              </w:rPr>
            </w:pPr>
          </w:p>
        </w:tc>
        <w:tc>
          <w:tcPr>
            <w:tcW w:w="1176" w:type="dxa"/>
            <w:noWrap w:val="0"/>
            <w:vAlign w:val="center"/>
          </w:tcPr>
          <w:p w14:paraId="5E2B8A24">
            <w:pPr>
              <w:spacing w:line="390" w:lineRule="exact"/>
              <w:jc w:val="center"/>
              <w:rPr>
                <w:rFonts w:hint="eastAsia" w:ascii="宋体" w:hAnsi="宋体" w:eastAsia="宋体" w:cs="Times New Roman"/>
                <w:sz w:val="16"/>
                <w:szCs w:val="16"/>
                <w:lang w:val="en-US" w:eastAsia="zh-CN"/>
              </w:rPr>
            </w:pPr>
          </w:p>
        </w:tc>
        <w:tc>
          <w:tcPr>
            <w:tcW w:w="1300" w:type="dxa"/>
            <w:noWrap w:val="0"/>
            <w:vAlign w:val="center"/>
          </w:tcPr>
          <w:p w14:paraId="0DFA819A">
            <w:pPr>
              <w:spacing w:line="390" w:lineRule="exact"/>
              <w:jc w:val="center"/>
              <w:rPr>
                <w:rFonts w:hint="default" w:ascii="宋体" w:hAnsi="宋体" w:eastAsia="宋体" w:cs="Times New Roman"/>
                <w:sz w:val="16"/>
                <w:szCs w:val="16"/>
                <w:lang w:val="en-US" w:eastAsia="zh-CN"/>
              </w:rPr>
            </w:pPr>
          </w:p>
        </w:tc>
        <w:tc>
          <w:tcPr>
            <w:tcW w:w="1011" w:type="dxa"/>
            <w:noWrap w:val="0"/>
            <w:vAlign w:val="center"/>
          </w:tcPr>
          <w:p w14:paraId="1E32B960">
            <w:pPr>
              <w:spacing w:line="390" w:lineRule="exact"/>
              <w:jc w:val="center"/>
              <w:rPr>
                <w:rFonts w:hint="default" w:ascii="宋体" w:hAnsi="宋体" w:eastAsia="宋体" w:cs="Times New Roman"/>
                <w:sz w:val="16"/>
                <w:szCs w:val="16"/>
                <w:lang w:val="en-US" w:eastAsia="zh-CN"/>
              </w:rPr>
            </w:pPr>
          </w:p>
        </w:tc>
        <w:tc>
          <w:tcPr>
            <w:tcW w:w="1369" w:type="dxa"/>
            <w:noWrap w:val="0"/>
            <w:vAlign w:val="center"/>
          </w:tcPr>
          <w:p w14:paraId="481ECFE1">
            <w:pPr>
              <w:spacing w:line="390" w:lineRule="exact"/>
              <w:jc w:val="center"/>
              <w:rPr>
                <w:rFonts w:hint="default" w:ascii="宋体" w:hAnsi="宋体" w:eastAsia="宋体" w:cs="Times New Roman"/>
                <w:sz w:val="16"/>
                <w:szCs w:val="16"/>
                <w:lang w:val="en-US" w:eastAsia="zh-CN"/>
              </w:rPr>
            </w:pPr>
          </w:p>
        </w:tc>
        <w:tc>
          <w:tcPr>
            <w:tcW w:w="1104" w:type="dxa"/>
            <w:noWrap w:val="0"/>
            <w:vAlign w:val="center"/>
          </w:tcPr>
          <w:p w14:paraId="1DA1C9E7">
            <w:pPr>
              <w:spacing w:line="390" w:lineRule="exact"/>
              <w:jc w:val="center"/>
              <w:rPr>
                <w:rFonts w:hint="default" w:ascii="宋体" w:hAnsi="宋体" w:eastAsia="宋体" w:cs="Times New Roman"/>
                <w:sz w:val="16"/>
                <w:szCs w:val="16"/>
                <w:lang w:val="en-US" w:eastAsia="zh-CN"/>
              </w:rPr>
            </w:pPr>
          </w:p>
        </w:tc>
        <w:tc>
          <w:tcPr>
            <w:tcW w:w="631" w:type="dxa"/>
            <w:noWrap w:val="0"/>
            <w:vAlign w:val="center"/>
          </w:tcPr>
          <w:p w14:paraId="36C9F66F">
            <w:pPr>
              <w:spacing w:line="390" w:lineRule="exact"/>
              <w:jc w:val="center"/>
              <w:rPr>
                <w:rFonts w:hint="eastAsia" w:ascii="宋体" w:hAnsi="宋体" w:eastAsia="宋体" w:cs="Times New Roman"/>
                <w:sz w:val="16"/>
                <w:szCs w:val="16"/>
                <w:lang w:val="en-US" w:eastAsia="zh-CN"/>
              </w:rPr>
            </w:pPr>
          </w:p>
        </w:tc>
      </w:tr>
      <w:tr w14:paraId="0EC1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731" w:type="dxa"/>
            <w:gridSpan w:val="2"/>
            <w:noWrap w:val="0"/>
            <w:vAlign w:val="center"/>
          </w:tcPr>
          <w:p w14:paraId="5DCE128E">
            <w:pPr>
              <w:spacing w:line="390" w:lineRule="exact"/>
              <w:ind w:left="0" w:leftChars="0" w:firstLine="0" w:firstLineChars="0"/>
              <w:jc w:val="center"/>
              <w:rPr>
                <w:rFonts w:ascii="宋体" w:hAnsi="宋体"/>
                <w:sz w:val="24"/>
                <w:szCs w:val="24"/>
              </w:rPr>
            </w:pPr>
            <w:r>
              <w:rPr>
                <w:rFonts w:hint="eastAsia" w:ascii="宋体" w:hAnsi="宋体"/>
                <w:bCs/>
                <w:sz w:val="24"/>
                <w:szCs w:val="24"/>
              </w:rPr>
              <w:t>小计</w:t>
            </w:r>
          </w:p>
        </w:tc>
        <w:tc>
          <w:tcPr>
            <w:tcW w:w="930" w:type="dxa"/>
            <w:noWrap w:val="0"/>
            <w:vAlign w:val="center"/>
          </w:tcPr>
          <w:p w14:paraId="78E080F1">
            <w:pPr>
              <w:spacing w:line="390" w:lineRule="exact"/>
              <w:jc w:val="center"/>
              <w:rPr>
                <w:rFonts w:ascii="宋体" w:hAnsi="宋体"/>
                <w:sz w:val="24"/>
                <w:szCs w:val="24"/>
              </w:rPr>
            </w:pPr>
          </w:p>
        </w:tc>
        <w:tc>
          <w:tcPr>
            <w:tcW w:w="523" w:type="dxa"/>
            <w:noWrap w:val="0"/>
            <w:vAlign w:val="center"/>
          </w:tcPr>
          <w:p w14:paraId="07B22FBA">
            <w:pPr>
              <w:spacing w:line="390" w:lineRule="exact"/>
              <w:jc w:val="center"/>
              <w:rPr>
                <w:rFonts w:hint="eastAsia" w:ascii="宋体" w:hAnsi="宋体" w:eastAsia="宋体" w:cs="Times New Roman"/>
                <w:sz w:val="16"/>
                <w:szCs w:val="16"/>
                <w:lang w:val="en-US" w:eastAsia="zh-CN"/>
              </w:rPr>
            </w:pPr>
          </w:p>
        </w:tc>
        <w:tc>
          <w:tcPr>
            <w:tcW w:w="1120" w:type="dxa"/>
            <w:noWrap w:val="0"/>
            <w:vAlign w:val="center"/>
          </w:tcPr>
          <w:p w14:paraId="2423E56F">
            <w:pPr>
              <w:spacing w:line="390" w:lineRule="exact"/>
              <w:jc w:val="center"/>
              <w:rPr>
                <w:rFonts w:hint="default" w:ascii="宋体" w:hAnsi="宋体" w:eastAsia="宋体" w:cs="Times New Roman"/>
                <w:b/>
                <w:bCs/>
                <w:sz w:val="16"/>
                <w:szCs w:val="16"/>
                <w:lang w:val="en-US" w:eastAsia="zh-CN"/>
              </w:rPr>
            </w:pPr>
          </w:p>
        </w:tc>
        <w:tc>
          <w:tcPr>
            <w:tcW w:w="1176" w:type="dxa"/>
            <w:noWrap w:val="0"/>
            <w:vAlign w:val="center"/>
          </w:tcPr>
          <w:p w14:paraId="51850AA3">
            <w:pPr>
              <w:spacing w:line="390" w:lineRule="exact"/>
              <w:jc w:val="center"/>
              <w:rPr>
                <w:rFonts w:ascii="宋体" w:hAnsi="宋体"/>
                <w:b/>
                <w:bCs/>
                <w:sz w:val="24"/>
                <w:szCs w:val="24"/>
              </w:rPr>
            </w:pPr>
          </w:p>
        </w:tc>
        <w:tc>
          <w:tcPr>
            <w:tcW w:w="1300" w:type="dxa"/>
            <w:noWrap w:val="0"/>
            <w:vAlign w:val="center"/>
          </w:tcPr>
          <w:p w14:paraId="5ACF7407">
            <w:pPr>
              <w:spacing w:line="390" w:lineRule="exact"/>
              <w:jc w:val="center"/>
              <w:rPr>
                <w:rFonts w:hint="default" w:ascii="宋体" w:hAnsi="宋体" w:eastAsia="宋体" w:cs="Times New Roman"/>
                <w:b/>
                <w:bCs/>
                <w:sz w:val="16"/>
                <w:szCs w:val="16"/>
                <w:lang w:val="en-US" w:eastAsia="zh-CN"/>
              </w:rPr>
            </w:pPr>
          </w:p>
        </w:tc>
        <w:tc>
          <w:tcPr>
            <w:tcW w:w="1011" w:type="dxa"/>
            <w:noWrap w:val="0"/>
            <w:vAlign w:val="center"/>
          </w:tcPr>
          <w:p w14:paraId="05150D91">
            <w:pPr>
              <w:spacing w:line="390" w:lineRule="exact"/>
              <w:jc w:val="center"/>
              <w:rPr>
                <w:rFonts w:hint="eastAsia" w:ascii="宋体" w:hAnsi="宋体" w:eastAsia="宋体" w:cs="Times New Roman"/>
                <w:b/>
                <w:bCs/>
                <w:sz w:val="16"/>
                <w:szCs w:val="16"/>
                <w:lang w:val="en-US" w:eastAsia="zh-CN"/>
              </w:rPr>
            </w:pPr>
          </w:p>
        </w:tc>
        <w:tc>
          <w:tcPr>
            <w:tcW w:w="1369" w:type="dxa"/>
            <w:noWrap w:val="0"/>
            <w:vAlign w:val="center"/>
          </w:tcPr>
          <w:p w14:paraId="1A907BE5">
            <w:pPr>
              <w:spacing w:line="390" w:lineRule="exact"/>
              <w:jc w:val="center"/>
              <w:rPr>
                <w:rFonts w:hint="default" w:ascii="宋体" w:hAnsi="宋体" w:eastAsia="宋体" w:cs="Times New Roman"/>
                <w:b/>
                <w:bCs/>
                <w:sz w:val="16"/>
                <w:szCs w:val="16"/>
                <w:lang w:val="en-US" w:eastAsia="zh-CN"/>
              </w:rPr>
            </w:pPr>
          </w:p>
        </w:tc>
        <w:tc>
          <w:tcPr>
            <w:tcW w:w="1104" w:type="dxa"/>
            <w:noWrap w:val="0"/>
            <w:vAlign w:val="center"/>
          </w:tcPr>
          <w:p w14:paraId="007D7C07">
            <w:pPr>
              <w:spacing w:line="390" w:lineRule="exact"/>
              <w:jc w:val="center"/>
              <w:rPr>
                <w:rFonts w:hint="eastAsia" w:ascii="宋体" w:hAnsi="宋体" w:eastAsia="宋体" w:cs="Times New Roman"/>
                <w:sz w:val="16"/>
                <w:szCs w:val="16"/>
                <w:lang w:val="en-US" w:eastAsia="zh-CN"/>
              </w:rPr>
            </w:pPr>
          </w:p>
        </w:tc>
        <w:tc>
          <w:tcPr>
            <w:tcW w:w="631" w:type="dxa"/>
            <w:noWrap w:val="0"/>
            <w:vAlign w:val="center"/>
          </w:tcPr>
          <w:p w14:paraId="378D38FF">
            <w:pPr>
              <w:spacing w:line="390" w:lineRule="exact"/>
              <w:jc w:val="center"/>
              <w:rPr>
                <w:rFonts w:hint="eastAsia" w:ascii="宋体" w:hAnsi="宋体" w:eastAsia="宋体" w:cs="Times New Roman"/>
                <w:sz w:val="16"/>
                <w:szCs w:val="16"/>
                <w:lang w:val="en-US" w:eastAsia="zh-CN"/>
              </w:rPr>
            </w:pPr>
          </w:p>
        </w:tc>
      </w:tr>
      <w:tr w14:paraId="709B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0895" w:type="dxa"/>
            <w:gridSpan w:val="11"/>
            <w:noWrap w:val="0"/>
            <w:vAlign w:val="center"/>
          </w:tcPr>
          <w:p w14:paraId="594C6978">
            <w:pPr>
              <w:spacing w:line="390" w:lineRule="exact"/>
              <w:ind w:left="0" w:leftChars="0" w:firstLine="0" w:firstLineChars="0"/>
              <w:rPr>
                <w:rFonts w:ascii="宋体" w:hAnsi="宋体"/>
                <w:sz w:val="24"/>
                <w:szCs w:val="24"/>
              </w:rPr>
            </w:pPr>
            <w:r>
              <w:rPr>
                <w:rFonts w:hint="eastAsia" w:ascii="宋体" w:hAnsi="宋体"/>
                <w:bCs/>
                <w:sz w:val="24"/>
                <w:szCs w:val="24"/>
                <w:u w:val="none"/>
              </w:rPr>
              <w:t xml:space="preserve">增值税税率为 </w:t>
            </w:r>
            <w:r>
              <w:rPr>
                <w:rFonts w:hint="eastAsia" w:ascii="宋体" w:hAnsi="宋体"/>
                <w:bCs/>
                <w:sz w:val="24"/>
                <w:szCs w:val="24"/>
                <w:u w:val="none"/>
                <w:lang w:val="en-US" w:eastAsia="zh-CN"/>
              </w:rPr>
              <w:t>13</w:t>
            </w:r>
            <w:r>
              <w:rPr>
                <w:rFonts w:ascii="宋体" w:hAnsi="宋体"/>
                <w:bCs/>
                <w:sz w:val="24"/>
                <w:szCs w:val="24"/>
                <w:u w:val="none"/>
              </w:rPr>
              <w:t xml:space="preserve"> </w:t>
            </w:r>
            <w:r>
              <w:rPr>
                <w:rFonts w:hint="eastAsia" w:ascii="宋体" w:hAnsi="宋体"/>
                <w:bCs/>
                <w:sz w:val="24"/>
                <w:szCs w:val="24"/>
                <w:u w:val="none"/>
              </w:rPr>
              <w:t>%，增值税额：元。</w:t>
            </w:r>
          </w:p>
        </w:tc>
      </w:tr>
      <w:tr w14:paraId="42D2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0895" w:type="dxa"/>
            <w:gridSpan w:val="11"/>
            <w:noWrap w:val="0"/>
            <w:vAlign w:val="center"/>
          </w:tcPr>
          <w:p w14:paraId="3B11661B">
            <w:pPr>
              <w:spacing w:line="390" w:lineRule="exact"/>
              <w:ind w:left="0" w:leftChars="0" w:firstLine="0" w:firstLineChars="0"/>
              <w:rPr>
                <w:rFonts w:ascii="宋体" w:hAnsi="宋体"/>
                <w:sz w:val="24"/>
                <w:szCs w:val="24"/>
              </w:rPr>
            </w:pPr>
            <w:r>
              <w:rPr>
                <w:rFonts w:ascii="宋体" w:hAnsi="宋体"/>
                <w:sz w:val="24"/>
                <w:szCs w:val="24"/>
                <w:u w:val="none"/>
              </w:rPr>
              <w:t>含增值税总价</w:t>
            </w:r>
            <w:r>
              <w:rPr>
                <w:rFonts w:hint="eastAsia" w:ascii="宋体" w:hAnsi="宋体"/>
                <w:sz w:val="24"/>
                <w:szCs w:val="24"/>
                <w:u w:val="none"/>
              </w:rPr>
              <w:t>（大写）：（小</w:t>
            </w:r>
            <w:r>
              <w:rPr>
                <w:rFonts w:hint="eastAsia" w:ascii="宋体" w:hAnsi="宋体" w:eastAsia="宋体" w:cs="Times New Roman"/>
                <w:sz w:val="24"/>
                <w:szCs w:val="24"/>
                <w:u w:val="none"/>
              </w:rPr>
              <w:t>写）：元。</w:t>
            </w:r>
          </w:p>
        </w:tc>
      </w:tr>
    </w:tbl>
    <w:p w14:paraId="5452D5AD">
      <w:pPr>
        <w:spacing w:line="390" w:lineRule="exact"/>
        <w:ind w:firstLine="480" w:firstLineChars="200"/>
        <w:rPr>
          <w:rFonts w:ascii="宋体" w:hAnsi="宋体" w:eastAsia="宋体" w:cs="宋体"/>
          <w:sz w:val="24"/>
          <w:szCs w:val="24"/>
        </w:rPr>
      </w:pPr>
      <w:r>
        <w:rPr>
          <w:rFonts w:hint="eastAsia" w:ascii="宋体" w:hAnsi="宋体" w:eastAsia="宋体" w:cs="宋体"/>
          <w:kern w:val="0"/>
          <w:sz w:val="24"/>
          <w:szCs w:val="24"/>
        </w:rPr>
        <w:t>1.1本合同暂定总价（含增值税）元（大写：人民币</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。其中，不含税价款为元（大写：人民币），增值税税率为</w:t>
      </w:r>
      <w:r>
        <w:rPr>
          <w:rFonts w:hint="eastAsia" w:ascii="宋体" w:hAnsi="宋体" w:eastAsia="宋体" w:cs="宋体"/>
          <w:kern w:val="0"/>
          <w:sz w:val="24"/>
          <w:szCs w:val="24"/>
          <w:lang w:val="en-US" w:eastAsia="zh-CN"/>
        </w:rPr>
        <w:t>13</w:t>
      </w:r>
      <w:r>
        <w:rPr>
          <w:rFonts w:hint="eastAsia" w:ascii="宋体" w:hAnsi="宋体" w:eastAsia="宋体" w:cs="宋体"/>
          <w:kern w:val="0"/>
          <w:sz w:val="24"/>
          <w:szCs w:val="24"/>
        </w:rPr>
        <w:t>%，增值税元（大写：人民币</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若因国家税务政策变化导致税率调整，不含增值税价格不变，具体税金以变更后的税率计算。</w:t>
      </w:r>
    </w:p>
    <w:p w14:paraId="73123EBD">
      <w:pPr>
        <w:widowControl/>
        <w:tabs>
          <w:tab w:val="left" w:pos="8364"/>
        </w:tabs>
        <w:spacing w:line="390" w:lineRule="exact"/>
        <w:ind w:firstLine="480" w:firstLineChars="200"/>
        <w:rPr>
          <w:rFonts w:ascii="宋体" w:hAnsi="宋体" w:eastAsia="宋体" w:cs="宋体"/>
          <w:kern w:val="0"/>
          <w:sz w:val="24"/>
          <w:szCs w:val="24"/>
          <w:highlight w:val="yellow"/>
        </w:rPr>
      </w:pPr>
      <w:r>
        <w:rPr>
          <w:rFonts w:hint="eastAsia" w:ascii="宋体" w:hAnsi="宋体" w:eastAsia="宋体" w:cs="宋体"/>
          <w:kern w:val="0"/>
          <w:sz w:val="24"/>
          <w:szCs w:val="24"/>
        </w:rPr>
        <w:t>1.2 上述“综合单价”已包含了产品采购、装卸（起坡用吊机、趸船、皮带机和基础设施及电耗等）、运输、各项损耗、电子计量装置、保管、保险、规费、风险管理、利润及其他一切费用，甲方不再就本合同另行支付其他任何费用，且合同价款已充分考虑支付条件、支付期限、支付方式等因素。</w:t>
      </w:r>
    </w:p>
    <w:p w14:paraId="3777B81D">
      <w:pPr>
        <w:spacing w:line="390" w:lineRule="exact"/>
        <w:ind w:firstLine="480" w:firstLineChars="200"/>
        <w:rPr>
          <w:rFonts w:ascii="宋体" w:hAnsi="宋体" w:eastAsia="宋体" w:cs="宋体"/>
          <w:sz w:val="24"/>
          <w:szCs w:val="24"/>
        </w:rPr>
      </w:pPr>
      <w:r>
        <w:rPr>
          <w:rFonts w:hint="eastAsia" w:ascii="宋体" w:hAnsi="宋体" w:eastAsia="宋体" w:cs="宋体"/>
          <w:kern w:val="0"/>
          <w:sz w:val="24"/>
          <w:szCs w:val="24"/>
        </w:rPr>
        <w:t>1.3</w:t>
      </w:r>
      <w:r>
        <w:rPr>
          <w:rFonts w:hint="eastAsia" w:ascii="宋体" w:hAnsi="宋体" w:eastAsia="宋体" w:cs="宋体"/>
          <w:sz w:val="24"/>
          <w:szCs w:val="24"/>
        </w:rPr>
        <w:t>此不含税单价在合同履行期间内</w:t>
      </w:r>
      <w:r>
        <w:rPr>
          <w:rFonts w:hint="eastAsia" w:ascii="宋体" w:hAnsi="宋体" w:eastAsia="宋体" w:cs="宋体"/>
          <w:sz w:val="24"/>
          <w:szCs w:val="24"/>
          <w:lang w:val="en-US" w:eastAsia="zh-CN"/>
        </w:rPr>
        <w:t>不可</w:t>
      </w:r>
      <w:r>
        <w:rPr>
          <w:rFonts w:hint="eastAsia" w:ascii="宋体" w:hAnsi="宋体" w:eastAsia="宋体" w:cs="宋体"/>
          <w:sz w:val="24"/>
          <w:szCs w:val="24"/>
        </w:rPr>
        <w:t>调整。</w:t>
      </w:r>
    </w:p>
    <w:p w14:paraId="589ACD90">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1.4 以上数量为暂定量，甲方可根据实际需要进行数量增减。甲方减少数量的，不属于违约；甲方增加数量的，乙方应按合同其他条款执行。</w:t>
      </w:r>
    </w:p>
    <w:p w14:paraId="6596B154">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第二条 供货期限</w:t>
      </w:r>
    </w:p>
    <w:p w14:paraId="7CB3DD8D">
      <w:pPr>
        <w:spacing w:line="39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本合同履行期限自</w:t>
      </w:r>
      <w:r>
        <w:rPr>
          <w:rFonts w:hint="eastAsia" w:ascii="宋体" w:hAnsi="宋体" w:eastAsia="宋体" w:cs="宋体"/>
          <w:kern w:val="0"/>
          <w:sz w:val="24"/>
          <w:szCs w:val="24"/>
          <w:lang w:val="en-US" w:eastAsia="zh-CN"/>
        </w:rPr>
        <w:t>供货之日起</w:t>
      </w:r>
      <w:r>
        <w:rPr>
          <w:rFonts w:hint="eastAsia" w:ascii="宋体" w:hAnsi="宋体" w:eastAsia="宋体" w:cs="宋体"/>
          <w:kern w:val="0"/>
          <w:sz w:val="24"/>
          <w:szCs w:val="24"/>
        </w:rPr>
        <w:t>至 202</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12</w:t>
      </w:r>
      <w:r>
        <w:rPr>
          <w:rFonts w:hint="eastAsia" w:ascii="宋体" w:hAnsi="宋体" w:eastAsia="宋体" w:cs="宋体"/>
          <w:kern w:val="0"/>
          <w:sz w:val="24"/>
          <w:szCs w:val="24"/>
        </w:rPr>
        <w:t>月30日；该期限为暂定期限，甲方有权根据施工需要单方调整合同履行期限，但应提前30日通知乙方。</w:t>
      </w:r>
    </w:p>
    <w:p w14:paraId="642D112B">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第三条 质量与技术标准</w:t>
      </w:r>
    </w:p>
    <w:p w14:paraId="0D960A50">
      <w:pPr>
        <w:spacing w:line="39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3.1质量标准：乙方交货时随货交付相关质量证明文件，产品的检验指标能满足</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的要求。其尺寸、外形、重量以及允许偏差应满足</w:t>
      </w:r>
      <w:r>
        <w:rPr>
          <w:rFonts w:hint="eastAsia" w:ascii="宋体" w:hAnsi="宋体" w:eastAsia="宋体" w:cs="Times New Roman"/>
          <w:sz w:val="24"/>
        </w:rPr>
        <w:t>附件</w:t>
      </w:r>
      <w:r>
        <w:rPr>
          <w:rFonts w:ascii="宋体" w:hAnsi="宋体" w:eastAsia="宋体" w:cs="Times New Roman"/>
          <w:sz w:val="24"/>
        </w:rPr>
        <w:t>3</w:t>
      </w:r>
      <w:r>
        <w:rPr>
          <w:rFonts w:hint="eastAsia" w:ascii="宋体" w:hAnsi="宋体" w:eastAsia="宋体" w:cs="Times New Roman"/>
          <w:sz w:val="24"/>
        </w:rPr>
        <w:t>《技术规格书》</w:t>
      </w:r>
      <w:r>
        <w:rPr>
          <w:rFonts w:hint="eastAsia" w:ascii="宋体" w:hAnsi="宋体" w:eastAsia="宋体" w:cs="宋体"/>
          <w:kern w:val="0"/>
          <w:sz w:val="24"/>
          <w:szCs w:val="24"/>
        </w:rPr>
        <w:t>的要求。材质证明书未按要求交付或者不真实的，产生的甲方损失由乙方负责赔偿。</w:t>
      </w:r>
    </w:p>
    <w:p w14:paraId="54167E9F">
      <w:pPr>
        <w:spacing w:line="390" w:lineRule="exact"/>
        <w:ind w:firstLine="480" w:firstLineChars="200"/>
        <w:rPr>
          <w:rFonts w:ascii="宋体" w:hAnsi="宋体" w:eastAsia="宋体" w:cs="宋体"/>
          <w:kern w:val="0"/>
          <w:sz w:val="24"/>
          <w:szCs w:val="24"/>
          <w:u w:val="single"/>
        </w:rPr>
      </w:pPr>
      <w:r>
        <w:rPr>
          <w:rFonts w:hint="eastAsia" w:ascii="宋体" w:hAnsi="宋体" w:eastAsia="宋体" w:cs="宋体"/>
          <w:kern w:val="0"/>
          <w:sz w:val="24"/>
          <w:szCs w:val="24"/>
        </w:rPr>
        <w:t>3.2 技术标准：</w:t>
      </w:r>
      <w:r>
        <w:rPr>
          <w:rFonts w:hint="eastAsia" w:ascii="宋体" w:hAnsi="宋体" w:eastAsia="宋体" w:cs="Times New Roman"/>
          <w:sz w:val="24"/>
        </w:rPr>
        <w:t>见附件</w:t>
      </w:r>
      <w:r>
        <w:rPr>
          <w:rFonts w:ascii="宋体" w:hAnsi="宋体" w:eastAsia="宋体" w:cs="Times New Roman"/>
          <w:sz w:val="24"/>
        </w:rPr>
        <w:t>3</w:t>
      </w:r>
      <w:r>
        <w:rPr>
          <w:rFonts w:hint="eastAsia" w:ascii="宋体" w:hAnsi="宋体" w:eastAsia="宋体" w:cs="Times New Roman"/>
          <w:sz w:val="24"/>
        </w:rPr>
        <w:t>《技术规格书》</w:t>
      </w:r>
      <w:r>
        <w:rPr>
          <w:rFonts w:hint="eastAsia" w:ascii="宋体" w:hAnsi="宋体" w:eastAsia="宋体" w:cs="宋体"/>
          <w:kern w:val="0"/>
          <w:sz w:val="24"/>
          <w:szCs w:val="24"/>
        </w:rPr>
        <w:t>。</w:t>
      </w:r>
    </w:p>
    <w:p w14:paraId="17E11EA7">
      <w:pPr>
        <w:widowControl/>
        <w:tabs>
          <w:tab w:val="left" w:pos="8364"/>
        </w:tabs>
        <w:spacing w:line="390" w:lineRule="exact"/>
        <w:ind w:firstLine="482" w:firstLineChars="200"/>
        <w:rPr>
          <w:rFonts w:ascii="宋体" w:hAnsi="宋体"/>
          <w:b/>
          <w:bCs/>
          <w:kern w:val="44"/>
          <w:sz w:val="24"/>
          <w:szCs w:val="24"/>
        </w:rPr>
      </w:pPr>
      <w:r>
        <w:rPr>
          <w:rFonts w:hint="eastAsia" w:ascii="宋体" w:hAnsi="宋体"/>
          <w:b/>
          <w:bCs/>
          <w:kern w:val="44"/>
          <w:sz w:val="24"/>
          <w:szCs w:val="24"/>
        </w:rPr>
        <w:t xml:space="preserve">第四条 </w:t>
      </w:r>
      <w:bookmarkStart w:id="53" w:name="_Hlk25135022"/>
      <w:r>
        <w:rPr>
          <w:rFonts w:hint="eastAsia" w:ascii="宋体" w:hAnsi="宋体"/>
          <w:b/>
          <w:bCs/>
          <w:kern w:val="44"/>
          <w:sz w:val="24"/>
          <w:szCs w:val="24"/>
        </w:rPr>
        <w:t>计量方法</w:t>
      </w:r>
      <w:bookmarkEnd w:id="53"/>
    </w:p>
    <w:p w14:paraId="6BC95554">
      <w:pPr>
        <w:widowControl/>
        <w:tabs>
          <w:tab w:val="left" w:pos="8364"/>
        </w:tabs>
        <w:spacing w:line="39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 xml:space="preserve">4.1 </w:t>
      </w:r>
      <w:r>
        <w:rPr>
          <w:rFonts w:hint="eastAsia" w:ascii="宋体" w:hAnsi="宋体" w:eastAsia="宋体" w:cs="宋体"/>
          <w:kern w:val="0"/>
          <w:sz w:val="24"/>
          <w:szCs w:val="24"/>
          <w:lang w:val="en-US" w:eastAsia="zh-CN"/>
        </w:rPr>
        <w:t>计量方法</w:t>
      </w:r>
      <w:r>
        <w:rPr>
          <w:rFonts w:hint="eastAsia" w:ascii="宋体" w:hAnsi="宋体" w:eastAsia="宋体" w:cs="宋体"/>
          <w:kern w:val="0"/>
          <w:sz w:val="24"/>
          <w:szCs w:val="24"/>
        </w:rPr>
        <w:t>：</w:t>
      </w:r>
      <w:r>
        <w:rPr>
          <w:rFonts w:hint="eastAsia" w:ascii="宋体" w:hAnsi="宋体" w:eastAsia="宋体" w:cs="Times New Roman"/>
          <w:sz w:val="24"/>
        </w:rPr>
        <w:t>见附件</w:t>
      </w:r>
      <w:r>
        <w:rPr>
          <w:rFonts w:ascii="宋体" w:hAnsi="宋体" w:eastAsia="宋体" w:cs="Times New Roman"/>
          <w:sz w:val="24"/>
        </w:rPr>
        <w:t>3</w:t>
      </w:r>
      <w:r>
        <w:rPr>
          <w:rFonts w:hint="eastAsia" w:ascii="宋体" w:hAnsi="宋体" w:eastAsia="宋体" w:cs="Times New Roman"/>
          <w:sz w:val="24"/>
        </w:rPr>
        <w:t>《技术规格书》</w:t>
      </w:r>
      <w:r>
        <w:rPr>
          <w:rFonts w:hint="eastAsia" w:ascii="宋体" w:hAnsi="宋体" w:eastAsia="宋体" w:cs="宋体"/>
          <w:kern w:val="0"/>
          <w:sz w:val="24"/>
          <w:szCs w:val="24"/>
        </w:rPr>
        <w:t>。</w:t>
      </w:r>
    </w:p>
    <w:p w14:paraId="538CE27B">
      <w:pPr>
        <w:keepNext/>
        <w:keepLines/>
        <w:tabs>
          <w:tab w:val="left" w:pos="5827"/>
        </w:tabs>
        <w:spacing w:line="390" w:lineRule="exact"/>
        <w:ind w:firstLine="482" w:firstLineChars="200"/>
        <w:rPr>
          <w:rFonts w:ascii="宋体" w:hAnsi="宋体"/>
          <w:b/>
          <w:bCs/>
          <w:kern w:val="44"/>
          <w:sz w:val="24"/>
          <w:szCs w:val="24"/>
        </w:rPr>
      </w:pPr>
      <w:r>
        <w:rPr>
          <w:rFonts w:hint="eastAsia" w:ascii="宋体" w:hAnsi="宋体"/>
          <w:b/>
          <w:bCs/>
          <w:kern w:val="44"/>
          <w:sz w:val="24"/>
          <w:szCs w:val="24"/>
        </w:rPr>
        <w:t>第五条 交货时间、地点及方式</w:t>
      </w:r>
      <w:r>
        <w:rPr>
          <w:rFonts w:ascii="宋体" w:hAnsi="宋体"/>
          <w:b/>
          <w:bCs/>
          <w:kern w:val="44"/>
          <w:sz w:val="24"/>
          <w:szCs w:val="24"/>
        </w:rPr>
        <w:tab/>
      </w:r>
    </w:p>
    <w:p w14:paraId="2BCEE395">
      <w:pPr>
        <w:widowControl/>
        <w:tabs>
          <w:tab w:val="left" w:pos="8364"/>
        </w:tabs>
        <w:spacing w:line="39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5.1 交货时间：乙方必须以甲方提供的材料计划数量组织好分期分批供应材料，每批具体交货数量和时间以甲方的通知为准。</w:t>
      </w:r>
      <w:r>
        <w:rPr>
          <w:rFonts w:hint="eastAsia" w:ascii="宋体" w:hAnsi="宋体" w:eastAsia="宋体" w:cs="宋体"/>
          <w:bCs/>
          <w:sz w:val="24"/>
          <w:szCs w:val="24"/>
        </w:rPr>
        <w:t xml:space="preserve">   </w:t>
      </w:r>
      <w:r>
        <w:rPr>
          <w:rFonts w:hint="eastAsia" w:ascii="宋体" w:hAnsi="宋体" w:eastAsia="宋体" w:cs="宋体"/>
          <w:kern w:val="0"/>
          <w:sz w:val="24"/>
          <w:szCs w:val="24"/>
        </w:rPr>
        <w:t xml:space="preserve">   </w:t>
      </w:r>
    </w:p>
    <w:p w14:paraId="2C4C9747">
      <w:pPr>
        <w:spacing w:line="390" w:lineRule="exact"/>
        <w:ind w:firstLine="480" w:firstLineChars="200"/>
        <w:rPr>
          <w:rFonts w:ascii="宋体" w:hAnsi="宋体" w:eastAsia="宋体" w:cs="宋体"/>
          <w:kern w:val="0"/>
          <w:sz w:val="24"/>
          <w:szCs w:val="24"/>
          <w:u w:val="single"/>
        </w:rPr>
      </w:pPr>
      <w:r>
        <w:rPr>
          <w:rFonts w:hint="eastAsia" w:ascii="宋体" w:hAnsi="宋体" w:eastAsia="宋体" w:cs="宋体"/>
          <w:kern w:val="0"/>
          <w:sz w:val="24"/>
          <w:szCs w:val="24"/>
        </w:rPr>
        <w:t>5.2 交货地点：甲方指定料场所在地。</w:t>
      </w:r>
    </w:p>
    <w:p w14:paraId="4EDB94CA">
      <w:pPr>
        <w:spacing w:line="390" w:lineRule="exact"/>
        <w:ind w:firstLine="480" w:firstLineChars="200"/>
        <w:rPr>
          <w:rFonts w:ascii="宋体" w:hAnsi="宋体" w:eastAsia="宋体" w:cs="宋体"/>
          <w:bCs/>
          <w:color w:val="FF0000"/>
          <w:sz w:val="24"/>
          <w:szCs w:val="24"/>
        </w:rPr>
      </w:pPr>
      <w:r>
        <w:rPr>
          <w:rFonts w:hint="eastAsia" w:ascii="宋体" w:hAnsi="宋体" w:eastAsia="宋体" w:cs="宋体"/>
          <w:kern w:val="0"/>
          <w:sz w:val="24"/>
          <w:szCs w:val="24"/>
        </w:rPr>
        <w:t>5.3 交货方式：卸货费用由</w:t>
      </w:r>
      <w:r>
        <w:rPr>
          <w:rFonts w:hint="eastAsia" w:ascii="宋体" w:hAnsi="宋体" w:eastAsia="宋体" w:cs="宋体"/>
          <w:kern w:val="0"/>
          <w:sz w:val="24"/>
          <w:szCs w:val="24"/>
          <w:lang w:val="en-US" w:eastAsia="zh-CN"/>
        </w:rPr>
        <w:t>乙</w:t>
      </w:r>
      <w:r>
        <w:rPr>
          <w:rFonts w:hint="eastAsia" w:ascii="宋体" w:hAnsi="宋体" w:eastAsia="宋体" w:cs="宋体"/>
          <w:kern w:val="0"/>
          <w:sz w:val="24"/>
          <w:szCs w:val="24"/>
        </w:rPr>
        <w:t>方承担，乙方负责供料、运输及装卸，</w:t>
      </w:r>
      <w:r>
        <w:rPr>
          <w:rFonts w:hint="eastAsia" w:ascii="宋体" w:hAnsi="宋体" w:eastAsia="宋体" w:cs="宋体"/>
          <w:sz w:val="24"/>
          <w:szCs w:val="24"/>
        </w:rPr>
        <w:t>甲方在未验收货品前，一切风险及费用均由乙方负责承担。</w:t>
      </w:r>
    </w:p>
    <w:p w14:paraId="77567941">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第六条 验收及提出异议</w:t>
      </w:r>
    </w:p>
    <w:p w14:paraId="0A028756">
      <w:pPr>
        <w:spacing w:line="390" w:lineRule="exact"/>
        <w:ind w:firstLine="480" w:firstLineChars="200"/>
        <w:rPr>
          <w:rFonts w:hint="eastAsia" w:ascii="宋体" w:hAnsi="宋体" w:eastAsia="宋体" w:cs="宋体"/>
          <w:sz w:val="24"/>
          <w:szCs w:val="24"/>
        </w:rPr>
      </w:pPr>
      <w:r>
        <w:rPr>
          <w:rFonts w:hint="eastAsia" w:ascii="宋体" w:hAnsi="宋体" w:eastAsia="宋体" w:cs="宋体"/>
          <w:kern w:val="0"/>
          <w:sz w:val="24"/>
          <w:szCs w:val="24"/>
        </w:rPr>
        <w:t>6.1 验收时</w:t>
      </w:r>
      <w:r>
        <w:rPr>
          <w:rFonts w:hint="eastAsia" w:ascii="宋体" w:hAnsi="宋体" w:eastAsia="宋体" w:cs="宋体"/>
          <w:sz w:val="24"/>
          <w:szCs w:val="24"/>
        </w:rPr>
        <w:t>间：货物运输至甲方指定地点后，双方在24小时内对品种、型号、规格、数量进行初步验收。</w:t>
      </w:r>
    </w:p>
    <w:p w14:paraId="11B39552">
      <w:pPr>
        <w:spacing w:line="39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6.2 验收方式：见附件3《技术规格书》。</w:t>
      </w:r>
    </w:p>
    <w:p w14:paraId="2C336165">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6.3甲方有权到乙方</w:t>
      </w:r>
      <w:r>
        <w:rPr>
          <w:rFonts w:hint="eastAsia" w:ascii="宋体" w:hAnsi="宋体" w:eastAsia="宋体" w:cs="宋体"/>
          <w:sz w:val="24"/>
          <w:szCs w:val="24"/>
          <w:lang w:val="en-US" w:eastAsia="zh-CN"/>
        </w:rPr>
        <w:t>碎石</w:t>
      </w:r>
      <w:r>
        <w:rPr>
          <w:rFonts w:hint="eastAsia" w:ascii="宋体" w:hAnsi="宋体" w:eastAsia="宋体" w:cs="宋体"/>
          <w:sz w:val="24"/>
          <w:szCs w:val="24"/>
        </w:rPr>
        <w:t>料源地或取材场（厂）进行检验，乙方应无条件配合。</w:t>
      </w:r>
    </w:p>
    <w:p w14:paraId="131A58B0">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6.4 甲方和发包人及监理单位有权对每次送达的产品进行抽样检查，若抽检不合格，或对抽验合格后的产品交由有资质的检验部门检验后发现不能满足技术规格要求的，甲方有权要求对该批产品按照第6.5条的约定进行处理，由此产生的一切费用和给甲方造成的一切损失均由乙方承担。</w:t>
      </w:r>
    </w:p>
    <w:p w14:paraId="78919E60">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6.5 甲方如发现产品的品种、型号、规格和数量等不符合规定和合同约定的，应自收到产品后</w:t>
      </w:r>
      <w:r>
        <w:rPr>
          <w:rFonts w:hint="eastAsia" w:ascii="宋体" w:hAnsi="宋体" w:eastAsia="宋体" w:cs="宋体"/>
          <w:sz w:val="24"/>
          <w:szCs w:val="24"/>
          <w:lang w:val="en-US" w:eastAsia="zh-CN"/>
        </w:rPr>
        <w:t>2</w:t>
      </w:r>
      <w:r>
        <w:rPr>
          <w:rFonts w:hint="eastAsia" w:ascii="宋体" w:hAnsi="宋体" w:eastAsia="宋体" w:cs="宋体"/>
          <w:sz w:val="24"/>
          <w:szCs w:val="24"/>
        </w:rPr>
        <w:t>日内向乙方提出异议和处理意见，但对产品质量的异议不受该时间的限制，随时发现可随时提出异议和处理意见。乙方在接到甲方异议后，应在</w:t>
      </w:r>
      <w:r>
        <w:rPr>
          <w:rFonts w:hint="eastAsia" w:ascii="宋体" w:hAnsi="宋体" w:eastAsia="宋体" w:cs="宋体"/>
          <w:sz w:val="24"/>
          <w:szCs w:val="24"/>
          <w:lang w:val="en-US" w:eastAsia="zh-CN"/>
        </w:rPr>
        <w:t>2</w:t>
      </w:r>
      <w:r>
        <w:rPr>
          <w:rFonts w:hint="eastAsia" w:ascii="宋体" w:hAnsi="宋体" w:eastAsia="宋体" w:cs="宋体"/>
          <w:sz w:val="24"/>
          <w:szCs w:val="24"/>
        </w:rPr>
        <w:t>日内按照甲方要求负责处理,否则即视为违约，且甲方有权自行处理收到的产品，造成的损失由乙方自行承担。</w:t>
      </w:r>
    </w:p>
    <w:p w14:paraId="6F91F1AC">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6.6 甲方指定负责材料的验收、签认；乙方指定（身份证号：）负责材料的交验、签认。甲方指定的上述人员是甲方唯一的收货代表，其在乙方送货清单上签字，作为乙方材料已到现场的证明，指定人员以外其他人员的验收、签认，对另一方不发生效力。一方指定人员发生变化时，应当及时告知对方，并自书面通知到达对方时产生效力。送货清单（或相应票据）中事先印刷的相关备注文字（双方验收人员签署的备注内容除外）内容不构成合同文件的组成部分。甲方对材料的验收，并不视为免除乙方对产品质量和技术应负的责任。 </w:t>
      </w:r>
    </w:p>
    <w:p w14:paraId="0A293150">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第七条 结算与货款支付</w:t>
      </w:r>
      <w:r>
        <w:rPr>
          <w:rFonts w:ascii="宋体" w:hAnsi="宋体"/>
          <w:b/>
          <w:bCs/>
          <w:kern w:val="44"/>
          <w:sz w:val="24"/>
          <w:szCs w:val="24"/>
        </w:rPr>
        <w:tab/>
      </w:r>
    </w:p>
    <w:p w14:paraId="48A4B83A">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7.1 本合同无预付款。</w:t>
      </w:r>
    </w:p>
    <w:p w14:paraId="4D6FED9E">
      <w:pPr>
        <w:spacing w:line="390" w:lineRule="exact"/>
        <w:ind w:firstLine="480" w:firstLineChars="200"/>
        <w:rPr>
          <w:rFonts w:ascii="宋体" w:hAnsi="宋体" w:eastAsia="宋体" w:cs="宋体"/>
          <w:bCs/>
          <w:kern w:val="0"/>
          <w:sz w:val="24"/>
          <w:szCs w:val="24"/>
        </w:rPr>
      </w:pPr>
      <w:r>
        <w:rPr>
          <w:rFonts w:hint="eastAsia" w:ascii="宋体" w:hAnsi="宋体" w:eastAsia="宋体" w:cs="宋体"/>
          <w:sz w:val="24"/>
          <w:szCs w:val="24"/>
        </w:rPr>
        <w:t>7.2</w:t>
      </w:r>
      <w:r>
        <w:rPr>
          <w:rFonts w:hint="eastAsia" w:ascii="宋体" w:hAnsi="宋体" w:eastAsia="宋体" w:cs="宋体"/>
          <w:bCs/>
          <w:kern w:val="0"/>
          <w:sz w:val="24"/>
          <w:szCs w:val="24"/>
        </w:rPr>
        <w:t xml:space="preserve"> 每月的</w:t>
      </w:r>
      <w:r>
        <w:rPr>
          <w:rFonts w:hint="eastAsia" w:ascii="宋体" w:hAnsi="宋体" w:eastAsia="宋体" w:cs="宋体"/>
          <w:bCs/>
          <w:kern w:val="0"/>
          <w:sz w:val="24"/>
          <w:szCs w:val="24"/>
          <w:lang w:val="en-US" w:eastAsia="zh-CN"/>
        </w:rPr>
        <w:t>20</w:t>
      </w:r>
      <w:r>
        <w:rPr>
          <w:rFonts w:hint="eastAsia" w:ascii="宋体" w:hAnsi="宋体" w:eastAsia="宋体" w:cs="宋体"/>
          <w:bCs/>
          <w:kern w:val="0"/>
          <w:sz w:val="24"/>
          <w:szCs w:val="24"/>
        </w:rPr>
        <w:t>日为当月的结算截止日期，甲乙双方根据甲方检验合格及共同签认的凭证计算当月</w:t>
      </w:r>
      <w:r>
        <w:rPr>
          <w:rFonts w:hint="eastAsia" w:ascii="宋体" w:hAnsi="宋体" w:eastAsia="宋体" w:cs="宋体"/>
          <w:bCs/>
          <w:kern w:val="0"/>
          <w:sz w:val="24"/>
          <w:szCs w:val="24"/>
          <w:lang w:val="en-US" w:eastAsia="zh-CN"/>
        </w:rPr>
        <w:t>级配碎石</w:t>
      </w:r>
      <w:r>
        <w:rPr>
          <w:rFonts w:hint="eastAsia" w:ascii="宋体" w:hAnsi="宋体" w:eastAsia="宋体" w:cs="宋体"/>
          <w:bCs/>
          <w:kern w:val="0"/>
          <w:sz w:val="24"/>
          <w:szCs w:val="24"/>
        </w:rPr>
        <w:t>实际收货方量，除此之外任何证明、收条、欠条、信函等文件，都不得作为结算、支付依据。</w:t>
      </w:r>
    </w:p>
    <w:p w14:paraId="287BBB85">
      <w:pPr>
        <w:spacing w:line="390" w:lineRule="exact"/>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7.3双方特别约定：遵循“先开票、后付款”的原则，甲方支付前，乙方应按双方确认的当期应付金额向甲方提供增值税专用发票，并于发票开具后</w:t>
      </w:r>
      <w:r>
        <w:rPr>
          <w:rFonts w:hint="eastAsia" w:ascii="宋体" w:hAnsi="宋体" w:eastAsia="宋体" w:cs="宋体"/>
          <w:bCs/>
          <w:kern w:val="0"/>
          <w:sz w:val="24"/>
          <w:szCs w:val="24"/>
          <w:lang w:val="en-US" w:eastAsia="zh-CN"/>
        </w:rPr>
        <w:t>10</w:t>
      </w:r>
      <w:r>
        <w:rPr>
          <w:rFonts w:hint="eastAsia" w:ascii="宋体" w:hAnsi="宋体" w:eastAsia="宋体" w:cs="宋体"/>
          <w:bCs/>
          <w:kern w:val="0"/>
          <w:sz w:val="24"/>
          <w:szCs w:val="24"/>
        </w:rPr>
        <w:t>日内提交给甲方，同时乙方向甲方提供</w:t>
      </w:r>
      <w:r>
        <w:rPr>
          <w:rFonts w:hint="eastAsia" w:ascii="宋体" w:hAnsi="宋体" w:eastAsia="宋体" w:cs="宋体"/>
          <w:bCs/>
          <w:kern w:val="0"/>
          <w:sz w:val="24"/>
          <w:szCs w:val="24"/>
          <w:lang w:val="en-US" w:eastAsia="zh-CN"/>
        </w:rPr>
        <w:t>碎石</w:t>
      </w:r>
      <w:r>
        <w:rPr>
          <w:rFonts w:hint="eastAsia" w:ascii="宋体" w:hAnsi="宋体" w:eastAsia="宋体" w:cs="宋体"/>
          <w:bCs/>
          <w:kern w:val="0"/>
          <w:sz w:val="24"/>
          <w:szCs w:val="24"/>
        </w:rPr>
        <w:t>资源税完税证明复印件留存备查。甲方收到乙方发票和完税证明后，按合同约定向乙方付款。</w:t>
      </w:r>
    </w:p>
    <w:p w14:paraId="1E6C25F9">
      <w:pPr>
        <w:spacing w:line="390" w:lineRule="exact"/>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合同“买方”在结算当月扣除该批物资价值5%的质量保证金，在结算后第四个月20日前支付该批物资75%的价款，剩余的20%在第五个月20日前支付,质保金在质保期满后支付。（“买方有权采用银行转账、信用证或供应链金融（包括但不限于商业承兑汇票、银行承兑汇票、建行E信通、航信、中铁E信）等形式付款。”）</w:t>
      </w:r>
    </w:p>
    <w:p w14:paraId="3DD1865B">
      <w:pPr>
        <w:spacing w:line="390" w:lineRule="exact"/>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rPr>
        <w:t>7</w:t>
      </w:r>
      <w:r>
        <w:rPr>
          <w:rFonts w:hint="eastAsia" w:ascii="宋体" w:hAnsi="宋体" w:eastAsia="宋体" w:cs="宋体"/>
          <w:bCs/>
          <w:kern w:val="0"/>
          <w:sz w:val="24"/>
          <w:szCs w:val="24"/>
        </w:rPr>
        <w:t>.</w:t>
      </w:r>
      <w:r>
        <w:rPr>
          <w:rFonts w:hint="eastAsia" w:ascii="宋体" w:hAnsi="宋体" w:eastAsia="宋体" w:cs="宋体"/>
          <w:bCs/>
          <w:kern w:val="0"/>
          <w:sz w:val="24"/>
          <w:szCs w:val="24"/>
          <w:lang w:val="en-US" w:eastAsia="zh-CN"/>
        </w:rPr>
        <w:t>4</w:t>
      </w:r>
      <w:r>
        <w:rPr>
          <w:rFonts w:hint="eastAsia" w:ascii="宋体" w:hAnsi="宋体" w:eastAsia="宋体" w:cs="宋体"/>
          <w:bCs/>
          <w:kern w:val="0"/>
          <w:sz w:val="24"/>
          <w:szCs w:val="24"/>
        </w:rPr>
        <w:t>货款支付方式：甲乙双方协商一致同意采用银行转账、银行承兑汇票、应收账款电子凭证等方式支付本合同款项。</w:t>
      </w:r>
    </w:p>
    <w:p w14:paraId="1320C658">
      <w:pPr>
        <w:spacing w:line="390" w:lineRule="exact"/>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甲方使用银行承兑汇票支付本合同款项，甲方不承担贴现费用；甲方使用应收账款电子凭证支付本合同款项，实际贴息费用不包含在采购单价中，由乙方以“价外费”的形式对实际接收应收账款电子凭证贴现费用开具发票，由甲方承担。</w:t>
      </w:r>
    </w:p>
    <w:p w14:paraId="0BC46A54">
      <w:pPr>
        <w:spacing w:line="390" w:lineRule="exact"/>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乙方指定联系人（身份证号</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rPr>
        <w:t>），联系方式。</w:t>
      </w:r>
    </w:p>
    <w:p w14:paraId="37534474">
      <w:pPr>
        <w:spacing w:line="390" w:lineRule="exact"/>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 xml:space="preserve"> 7.5 如甲方出现资金困难，乙方同意给予</w:t>
      </w:r>
      <w:r>
        <w:rPr>
          <w:rFonts w:hint="eastAsia" w:ascii="宋体" w:hAnsi="宋体" w:eastAsia="宋体" w:cs="宋体"/>
          <w:bCs/>
          <w:kern w:val="0"/>
          <w:sz w:val="24"/>
          <w:szCs w:val="24"/>
          <w:lang w:val="en-US" w:eastAsia="zh-CN"/>
        </w:rPr>
        <w:t>2</w:t>
      </w:r>
      <w:r>
        <w:rPr>
          <w:rFonts w:hint="eastAsia" w:ascii="宋体" w:hAnsi="宋体" w:eastAsia="宋体" w:cs="宋体"/>
          <w:bCs/>
          <w:kern w:val="0"/>
          <w:sz w:val="24"/>
          <w:szCs w:val="24"/>
        </w:rPr>
        <w:t>个月的付款宽限期，在此宽期间内不视为甲方违约且不计息，乙方不得以此为由中断本项目的货物供应。</w:t>
      </w:r>
    </w:p>
    <w:p w14:paraId="639AAE39">
      <w:pPr>
        <w:spacing w:line="390" w:lineRule="exact"/>
        <w:ind w:firstLine="480" w:firstLineChars="200"/>
        <w:rPr>
          <w:rFonts w:ascii="宋体" w:hAnsi="宋体" w:eastAsia="宋体" w:cs="宋体"/>
          <w:bCs/>
          <w:kern w:val="0"/>
          <w:sz w:val="24"/>
          <w:szCs w:val="24"/>
        </w:rPr>
      </w:pPr>
      <w:r>
        <w:rPr>
          <w:rFonts w:hint="eastAsia" w:ascii="宋体" w:hAnsi="宋体" w:eastAsia="宋体" w:cs="宋体"/>
          <w:bCs/>
          <w:kern w:val="0"/>
          <w:sz w:val="24"/>
          <w:szCs w:val="24"/>
        </w:rPr>
        <w:t>7.6本合同质保期</w:t>
      </w:r>
      <w:r>
        <w:rPr>
          <w:rFonts w:hint="eastAsia" w:ascii="宋体" w:hAnsi="宋体" w:eastAsia="宋体" w:cs="宋体"/>
          <w:bCs/>
          <w:kern w:val="0"/>
          <w:sz w:val="24"/>
          <w:szCs w:val="24"/>
          <w:lang w:val="en-US" w:eastAsia="zh-CN"/>
        </w:rPr>
        <w:t>6</w:t>
      </w:r>
      <w:r>
        <w:rPr>
          <w:rFonts w:hint="eastAsia" w:ascii="宋体" w:hAnsi="宋体" w:eastAsia="宋体" w:cs="宋体"/>
          <w:bCs/>
          <w:kern w:val="0"/>
          <w:sz w:val="24"/>
          <w:szCs w:val="24"/>
        </w:rPr>
        <w:t>个月，自最后一批供货验收合格之日起计算。在质保期内，因货物使用过程中出现任何问题影响到甲方正常使用的，乙方须在收到甲方通知后</w:t>
      </w:r>
      <w:r>
        <w:rPr>
          <w:rFonts w:hint="eastAsia" w:ascii="宋体" w:hAnsi="宋体" w:eastAsia="宋体" w:cs="宋体"/>
          <w:bCs/>
          <w:kern w:val="0"/>
          <w:sz w:val="24"/>
          <w:szCs w:val="24"/>
          <w:u w:val="single"/>
        </w:rPr>
        <w:t xml:space="preserve">  </w:t>
      </w:r>
      <w:r>
        <w:rPr>
          <w:rFonts w:hint="eastAsia" w:ascii="宋体" w:hAnsi="宋体" w:eastAsia="宋体" w:cs="宋体"/>
          <w:bCs/>
          <w:kern w:val="0"/>
          <w:sz w:val="24"/>
          <w:szCs w:val="24"/>
        </w:rPr>
        <w:t>日内进行更换，因此产生的费用由乙方承担。乙方对所供货物的质量终身负责。</w:t>
      </w:r>
    </w:p>
    <w:p w14:paraId="7FF2DE1D">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第八条 甲方义务</w:t>
      </w:r>
    </w:p>
    <w:p w14:paraId="1D8CDCAF">
      <w:pPr>
        <w:spacing w:line="390" w:lineRule="exact"/>
        <w:ind w:firstLine="480" w:firstLineChars="200"/>
        <w:rPr>
          <w:rFonts w:ascii="宋体" w:hAnsi="宋体" w:eastAsia="宋体" w:cs="宋体"/>
          <w:bCs/>
          <w:sz w:val="24"/>
          <w:szCs w:val="24"/>
        </w:rPr>
      </w:pPr>
      <w:r>
        <w:rPr>
          <w:rFonts w:hint="eastAsia" w:ascii="宋体" w:hAnsi="宋体" w:eastAsia="宋体" w:cs="宋体"/>
          <w:bCs/>
          <w:sz w:val="24"/>
          <w:szCs w:val="24"/>
        </w:rPr>
        <w:t>8.1 甲方负责提供供货计划和准确的交货地点。</w:t>
      </w:r>
    </w:p>
    <w:p w14:paraId="662BF7A6">
      <w:pPr>
        <w:spacing w:line="390" w:lineRule="exact"/>
        <w:ind w:firstLine="480" w:firstLineChars="200"/>
        <w:rPr>
          <w:rFonts w:ascii="宋体" w:hAnsi="宋体" w:eastAsia="宋体" w:cs="宋体"/>
          <w:bCs/>
          <w:sz w:val="24"/>
          <w:szCs w:val="24"/>
        </w:rPr>
      </w:pPr>
      <w:r>
        <w:rPr>
          <w:rFonts w:hint="eastAsia" w:ascii="宋体" w:hAnsi="宋体" w:eastAsia="宋体" w:cs="宋体"/>
          <w:bCs/>
          <w:sz w:val="24"/>
          <w:szCs w:val="24"/>
        </w:rPr>
        <w:t>8.2 按合同约定支付合同价款。</w:t>
      </w:r>
    </w:p>
    <w:p w14:paraId="1D7BEC6C">
      <w:pPr>
        <w:spacing w:line="390" w:lineRule="exact"/>
        <w:ind w:firstLine="480" w:firstLineChars="200"/>
        <w:rPr>
          <w:rFonts w:ascii="宋体" w:hAnsi="宋体" w:eastAsia="宋体" w:cs="宋体"/>
          <w:bCs/>
          <w:sz w:val="24"/>
          <w:szCs w:val="24"/>
        </w:rPr>
      </w:pPr>
      <w:r>
        <w:rPr>
          <w:rFonts w:hint="eastAsia" w:ascii="宋体" w:hAnsi="宋体" w:eastAsia="宋体" w:cs="宋体"/>
          <w:bCs/>
          <w:sz w:val="24"/>
          <w:szCs w:val="24"/>
        </w:rPr>
        <w:t>8.3 甲方不得无故拒绝接收供货计划范围内的物品。</w:t>
      </w:r>
    </w:p>
    <w:p w14:paraId="5C046743">
      <w:pPr>
        <w:spacing w:line="390" w:lineRule="exact"/>
        <w:ind w:firstLine="480" w:firstLineChars="200"/>
        <w:rPr>
          <w:rFonts w:ascii="宋体" w:hAnsi="宋体" w:eastAsia="宋体" w:cs="宋体"/>
          <w:bCs/>
          <w:sz w:val="24"/>
          <w:szCs w:val="24"/>
        </w:rPr>
      </w:pPr>
      <w:r>
        <w:rPr>
          <w:rFonts w:hint="eastAsia" w:ascii="宋体" w:hAnsi="宋体" w:eastAsia="宋体" w:cs="宋体"/>
          <w:bCs/>
          <w:sz w:val="24"/>
          <w:szCs w:val="24"/>
        </w:rPr>
        <w:t>8.4 按合同约定对物品进行检验和验收。</w:t>
      </w:r>
    </w:p>
    <w:p w14:paraId="1B6DF58F">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第九条 乙方义务</w:t>
      </w:r>
    </w:p>
    <w:p w14:paraId="62200192">
      <w:pPr>
        <w:tabs>
          <w:tab w:val="left" w:pos="360"/>
        </w:tabs>
        <w:spacing w:line="390" w:lineRule="exact"/>
        <w:ind w:firstLine="480" w:firstLineChars="200"/>
        <w:rPr>
          <w:rFonts w:ascii="宋体" w:hAnsi="宋体" w:eastAsia="宋体" w:cs="宋体"/>
          <w:bCs/>
          <w:kern w:val="0"/>
          <w:sz w:val="24"/>
          <w:szCs w:val="24"/>
        </w:rPr>
      </w:pPr>
      <w:r>
        <w:rPr>
          <w:rFonts w:hint="eastAsia" w:ascii="宋体" w:hAnsi="宋体" w:eastAsia="宋体" w:cs="宋体"/>
          <w:bCs/>
          <w:kern w:val="0"/>
          <w:sz w:val="24"/>
          <w:szCs w:val="24"/>
        </w:rPr>
        <w:t>9.1 乙方应满足甲方备料要求，并保证其</w:t>
      </w:r>
      <w:r>
        <w:rPr>
          <w:rFonts w:hint="eastAsia" w:ascii="宋体" w:hAnsi="宋体" w:eastAsia="宋体" w:cs="宋体"/>
          <w:bCs/>
          <w:kern w:val="0"/>
          <w:sz w:val="24"/>
          <w:szCs w:val="24"/>
          <w:lang w:val="en-US" w:eastAsia="zh-CN"/>
        </w:rPr>
        <w:t>级配碎石</w:t>
      </w:r>
      <w:r>
        <w:rPr>
          <w:rFonts w:hint="eastAsia" w:ascii="宋体" w:hAnsi="宋体" w:eastAsia="宋体" w:cs="宋体"/>
          <w:bCs/>
          <w:kern w:val="0"/>
          <w:sz w:val="24"/>
          <w:szCs w:val="24"/>
        </w:rPr>
        <w:t>合法来源，否则，由此造成的损失由乙方承担。</w:t>
      </w:r>
    </w:p>
    <w:p w14:paraId="5ECD156B">
      <w:pPr>
        <w:tabs>
          <w:tab w:val="left" w:pos="360"/>
        </w:tabs>
        <w:spacing w:line="390" w:lineRule="exact"/>
        <w:ind w:firstLine="480" w:firstLineChars="200"/>
        <w:rPr>
          <w:rFonts w:ascii="宋体" w:hAnsi="宋体" w:eastAsia="宋体" w:cs="宋体"/>
          <w:bCs/>
          <w:kern w:val="0"/>
          <w:sz w:val="24"/>
          <w:szCs w:val="24"/>
        </w:rPr>
      </w:pPr>
      <w:r>
        <w:rPr>
          <w:rFonts w:hint="eastAsia" w:ascii="宋体" w:hAnsi="宋体" w:eastAsia="宋体" w:cs="宋体"/>
          <w:bCs/>
          <w:kern w:val="0"/>
          <w:sz w:val="24"/>
          <w:szCs w:val="24"/>
        </w:rPr>
        <w:t>9.2 乙方在供应过程中（含生产、运输、装卸）所发生的各种安全事故，包括在船运、码头装卸，公路和施工便道上进行材料运输，均由乙方承担一切责任和损失。</w:t>
      </w:r>
    </w:p>
    <w:p w14:paraId="491D3BD9">
      <w:pPr>
        <w:tabs>
          <w:tab w:val="left" w:pos="360"/>
        </w:tabs>
        <w:spacing w:line="390" w:lineRule="exact"/>
        <w:ind w:firstLine="480" w:firstLineChars="200"/>
        <w:rPr>
          <w:rFonts w:ascii="宋体" w:hAnsi="宋体" w:eastAsia="宋体" w:cs="宋体"/>
          <w:bCs/>
          <w:kern w:val="0"/>
          <w:sz w:val="24"/>
          <w:szCs w:val="24"/>
        </w:rPr>
      </w:pPr>
      <w:r>
        <w:rPr>
          <w:rFonts w:hint="eastAsia" w:ascii="宋体" w:hAnsi="宋体" w:eastAsia="宋体" w:cs="宋体"/>
          <w:bCs/>
          <w:kern w:val="0"/>
          <w:sz w:val="24"/>
          <w:szCs w:val="24"/>
        </w:rPr>
        <w:t>9.3 乙方必须做好开采、运输、装卸等过程中的环境保护，遵守国家和行业的有关规定，因违反规定而受到任何处罚的，乙方承担全部责任。在货物交付甲方之前,道路及周围环境及他人人身财产造成损害的，乙方应承担赔偿责任。</w:t>
      </w:r>
    </w:p>
    <w:p w14:paraId="6FDC6E72">
      <w:pPr>
        <w:tabs>
          <w:tab w:val="left" w:pos="360"/>
        </w:tabs>
        <w:spacing w:line="390" w:lineRule="exact"/>
        <w:ind w:firstLine="480" w:firstLineChars="200"/>
        <w:rPr>
          <w:rFonts w:ascii="宋体" w:hAnsi="宋体" w:eastAsia="宋体" w:cs="宋体"/>
          <w:bCs/>
          <w:kern w:val="0"/>
          <w:sz w:val="24"/>
          <w:szCs w:val="24"/>
        </w:rPr>
      </w:pPr>
      <w:r>
        <w:rPr>
          <w:rFonts w:hint="eastAsia" w:ascii="宋体" w:hAnsi="宋体" w:eastAsia="宋体" w:cs="宋体"/>
          <w:bCs/>
          <w:kern w:val="0"/>
          <w:sz w:val="24"/>
          <w:szCs w:val="24"/>
        </w:rPr>
        <w:t>9.4 乙方材料供应应完全服从甲方的协调与指挥，乙方负责向甲方项目上派驻代表，负责材料的协调卸货和计量监督。乙方代表的办公、交通、生活等费用由乙方自行承担。</w:t>
      </w:r>
    </w:p>
    <w:p w14:paraId="23A669E7">
      <w:pPr>
        <w:spacing w:line="39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9.5 乙方与第三方发生的任何经济往来和债务纠纷均与甲方无关，乙方保证有关物品无法律权属上的瑕疵、无知识产权争议，否则，给甲方造成的任何损失均由乙方承担。</w:t>
      </w:r>
    </w:p>
    <w:p w14:paraId="53D8D499">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lang w:val="en-US" w:eastAsia="zh-CN"/>
        </w:rPr>
        <w:t>6</w:t>
      </w:r>
      <w:r>
        <w:rPr>
          <w:rFonts w:hint="eastAsia" w:ascii="宋体" w:hAnsi="宋体" w:eastAsia="宋体" w:cs="宋体"/>
          <w:bCs/>
          <w:kern w:val="0"/>
          <w:sz w:val="24"/>
          <w:szCs w:val="24"/>
        </w:rPr>
        <w:t>乙方积极协助甲方在税法规定期限内办理有关的进项税额的认证申办手续。乙方开具的增值税专用发票在送达甲方后如发生丢失、灭失，乙方同意按照税法规定和甲方的要求及时向甲方提供该发票的存根联复印件，以及乙方所在地主管税务机关开具的《丢失增值税发票（专用发票/普通发票）已报税证明单》，如因乙方拒绝履行配合义务，造成甲方经济损失的，应由乙方承担。</w:t>
      </w:r>
    </w:p>
    <w:p w14:paraId="48AE9F69">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lang w:val="en-US" w:eastAsia="zh-CN"/>
        </w:rPr>
        <w:t>7</w:t>
      </w:r>
      <w:r>
        <w:rPr>
          <w:rFonts w:hint="eastAsia" w:ascii="宋体" w:hAnsi="宋体" w:eastAsia="宋体" w:cs="宋体"/>
          <w:sz w:val="24"/>
          <w:szCs w:val="24"/>
        </w:rPr>
        <w:t xml:space="preserve"> 在涉及到砂石料质量问题的退货行为时,如果退货行为涉及到开具红字增值税专用发票的行为,乙方应当履行相关协助义务。</w:t>
      </w:r>
    </w:p>
    <w:p w14:paraId="018EB0CA">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lang w:val="en-US" w:eastAsia="zh-CN"/>
        </w:rPr>
        <w:t>8</w:t>
      </w:r>
      <w:r>
        <w:rPr>
          <w:rFonts w:hint="eastAsia" w:ascii="宋体" w:hAnsi="宋体" w:eastAsia="宋体" w:cs="宋体"/>
          <w:sz w:val="24"/>
          <w:szCs w:val="24"/>
        </w:rPr>
        <w:t>在本合同发生变更涉及增值税专用发票记载项目发生变化时，如果甲方取得增值税专用发票尚未认证抵扣,乙方应于专用发票认证期限内办理红字增值税专用发票开具申请，并重新开具增值税专用发票。如果原增值税专用发票已经抵扣，乙方就合同增加的金额补开增值税专用发票，就减少的金额甲方负责办理红字增值税专用发票开具申请，乙方开具红字增值税专用发票。</w:t>
      </w:r>
    </w:p>
    <w:p w14:paraId="732184DF">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第十条 违约责任</w:t>
      </w:r>
    </w:p>
    <w:p w14:paraId="788F0E33">
      <w:pPr>
        <w:tabs>
          <w:tab w:val="left" w:pos="360"/>
        </w:tabs>
        <w:spacing w:line="390" w:lineRule="exact"/>
        <w:ind w:firstLine="480" w:firstLineChars="200"/>
        <w:rPr>
          <w:rFonts w:hint="eastAsia" w:ascii="宋体" w:hAnsi="宋体" w:eastAsia="宋体" w:cs="宋体"/>
          <w:bCs/>
          <w:kern w:val="0"/>
          <w:sz w:val="24"/>
          <w:szCs w:val="24"/>
          <w:lang w:val="zh-CN"/>
        </w:rPr>
      </w:pPr>
      <w:r>
        <w:rPr>
          <w:rFonts w:hint="eastAsia" w:ascii="宋体" w:hAnsi="宋体" w:eastAsia="宋体" w:cs="宋体"/>
          <w:bCs/>
          <w:kern w:val="0"/>
          <w:sz w:val="24"/>
          <w:szCs w:val="24"/>
          <w:lang w:val="zh-CN"/>
        </w:rPr>
        <w:t>10.1</w:t>
      </w:r>
      <w:r>
        <w:rPr>
          <w:rFonts w:hint="eastAsia" w:ascii="宋体" w:hAnsi="宋体" w:eastAsia="宋体" w:cs="宋体"/>
          <w:bCs/>
          <w:kern w:val="0"/>
          <w:sz w:val="24"/>
          <w:szCs w:val="24"/>
        </w:rPr>
        <w:t>甲方在宽限期后，仍逾期支付货款的（乙方未履行向甲方开具增值税专用发票等合同约定的义务除外），甲方对逾期付款部分从宽限期满的次日起向乙方支付资金占用费。资金占用费按合同订立时一年期贷款市场报价利率计算，计算的基数以甲方最后一笔付款时剩余欠款金额为准，不包括前期逾期但现已支付部分的货款，资金占用费最高不得超过本合同项下双方结算价款（不含增值税）的1%。资金占用费由乙方以“价外费”的形式开具发票。除此之外，甲方不再承担其他任何违约责任。</w:t>
      </w:r>
    </w:p>
    <w:p w14:paraId="7FCBDB97">
      <w:pPr>
        <w:tabs>
          <w:tab w:val="left" w:pos="360"/>
        </w:tabs>
        <w:spacing w:line="390" w:lineRule="exact"/>
        <w:ind w:firstLine="480" w:firstLineChars="200"/>
        <w:rPr>
          <w:rFonts w:ascii="宋体" w:hAnsi="宋体" w:eastAsia="宋体" w:cs="宋体"/>
          <w:bCs/>
          <w:kern w:val="0"/>
          <w:sz w:val="24"/>
          <w:szCs w:val="24"/>
        </w:rPr>
      </w:pPr>
      <w:r>
        <w:rPr>
          <w:rFonts w:hint="eastAsia" w:ascii="宋体" w:hAnsi="宋体" w:eastAsia="宋体" w:cs="宋体"/>
          <w:bCs/>
          <w:kern w:val="0"/>
          <w:sz w:val="24"/>
          <w:szCs w:val="24"/>
        </w:rPr>
        <w:t>10.2 乙方所交产品的品种、型号、规格和质量等不符合合同约定的，乙方应按照甲方异议时提出的要求处理，由此产生的责任和费用由乙方自行承担。如在甲方指定的期限内，乙方仍不能达到合同约定条件或甲方要求的，</w:t>
      </w:r>
      <w:bookmarkStart w:id="54" w:name="_Hlk23795128"/>
      <w:r>
        <w:rPr>
          <w:rFonts w:hint="eastAsia" w:ascii="宋体" w:hAnsi="宋体" w:eastAsia="宋体" w:cs="宋体"/>
          <w:bCs/>
          <w:kern w:val="0"/>
          <w:sz w:val="24"/>
          <w:szCs w:val="24"/>
        </w:rPr>
        <w:t>乙方按本批次所交产品金额的</w:t>
      </w:r>
      <w:r>
        <w:rPr>
          <w:rFonts w:hint="eastAsia" w:ascii="宋体" w:hAnsi="宋体" w:eastAsia="宋体" w:cs="宋体"/>
          <w:bCs/>
          <w:kern w:val="0"/>
          <w:sz w:val="24"/>
          <w:szCs w:val="24"/>
          <w:lang w:val="en-US" w:eastAsia="zh-CN"/>
        </w:rPr>
        <w:t>10</w:t>
      </w:r>
      <w:r>
        <w:rPr>
          <w:rFonts w:hint="eastAsia" w:ascii="宋体" w:hAnsi="宋体" w:eastAsia="宋体" w:cs="宋体"/>
          <w:bCs/>
          <w:kern w:val="0"/>
          <w:sz w:val="24"/>
          <w:szCs w:val="24"/>
        </w:rPr>
        <w:t>%支付违约金</w:t>
      </w:r>
      <w:bookmarkEnd w:id="54"/>
      <w:r>
        <w:rPr>
          <w:rFonts w:hint="eastAsia" w:ascii="宋体" w:hAnsi="宋体" w:eastAsia="宋体" w:cs="宋体"/>
          <w:bCs/>
          <w:kern w:val="0"/>
          <w:sz w:val="24"/>
          <w:szCs w:val="24"/>
        </w:rPr>
        <w:t>；超过指定期限</w:t>
      </w:r>
      <w:r>
        <w:rPr>
          <w:rFonts w:hint="eastAsia" w:ascii="宋体" w:hAnsi="宋体" w:eastAsia="宋体" w:cs="宋体"/>
          <w:bCs/>
          <w:kern w:val="0"/>
          <w:sz w:val="24"/>
          <w:szCs w:val="24"/>
          <w:lang w:val="en-US" w:eastAsia="zh-CN"/>
        </w:rPr>
        <w:t>5</w:t>
      </w:r>
      <w:r>
        <w:rPr>
          <w:rFonts w:hint="eastAsia" w:ascii="宋体" w:hAnsi="宋体" w:eastAsia="宋体" w:cs="宋体"/>
          <w:bCs/>
          <w:kern w:val="0"/>
          <w:sz w:val="24"/>
          <w:szCs w:val="24"/>
        </w:rPr>
        <w:t>日仍未处理合格的，甲方有权解除本合同，由此给甲方造成的损失由乙方承担。</w:t>
      </w:r>
    </w:p>
    <w:p w14:paraId="5C481EE5">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10.3 乙方逾期交货的，每逾期一日，按照逾期交货金额的</w:t>
      </w:r>
      <w:r>
        <w:rPr>
          <w:rFonts w:hint="eastAsia" w:ascii="宋体" w:hAnsi="宋体" w:eastAsia="宋体" w:cs="宋体"/>
          <w:sz w:val="24"/>
          <w:szCs w:val="24"/>
          <w:lang w:val="en-US" w:eastAsia="zh-CN"/>
        </w:rPr>
        <w:t>3</w:t>
      </w:r>
      <w:r>
        <w:rPr>
          <w:rFonts w:hint="eastAsia" w:ascii="宋体" w:hAnsi="宋体" w:eastAsia="宋体" w:cs="宋体"/>
          <w:sz w:val="24"/>
          <w:szCs w:val="24"/>
        </w:rPr>
        <w:t>%向甲方支付逾期交货的违约金，甲方视工程进度情况有权向第三方全部或部分采购物资，所增加的费用由乙方承担；如逾期超过</w:t>
      </w:r>
      <w:r>
        <w:rPr>
          <w:rFonts w:hint="eastAsia" w:ascii="宋体" w:hAnsi="宋体" w:eastAsia="宋体" w:cs="宋体"/>
          <w:sz w:val="24"/>
          <w:szCs w:val="24"/>
          <w:lang w:val="en-US" w:eastAsia="zh-CN"/>
        </w:rPr>
        <w:t>15</w:t>
      </w:r>
      <w:r>
        <w:rPr>
          <w:rFonts w:hint="eastAsia" w:ascii="宋体" w:hAnsi="宋体" w:eastAsia="宋体" w:cs="宋体"/>
          <w:sz w:val="24"/>
          <w:szCs w:val="24"/>
        </w:rPr>
        <w:t xml:space="preserve">日，则甲方有权解除合同，乙方还应赔偿甲方因此所遭受的损失。 </w:t>
      </w:r>
    </w:p>
    <w:p w14:paraId="483BEAD8">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10.4 乙方不得将合同义务全部或部分转让给第三者,或交由第三方实际履行，否则甲方有权解除合同,</w:t>
      </w:r>
      <w:r>
        <w:rPr>
          <w:rFonts w:hint="eastAsia" w:ascii="宋体" w:hAnsi="宋体" w:eastAsia="宋体" w:cs="宋体"/>
          <w:bCs/>
          <w:kern w:val="0"/>
          <w:sz w:val="24"/>
          <w:szCs w:val="24"/>
        </w:rPr>
        <w:t>同时乙方按合同暂定价金额的</w:t>
      </w:r>
      <w:r>
        <w:rPr>
          <w:rFonts w:hint="eastAsia" w:ascii="宋体" w:hAnsi="宋体" w:eastAsia="宋体" w:cs="宋体"/>
          <w:bCs/>
          <w:kern w:val="0"/>
          <w:sz w:val="24"/>
          <w:szCs w:val="24"/>
          <w:lang w:val="en-US" w:eastAsia="zh-CN"/>
        </w:rPr>
        <w:t>3</w:t>
      </w:r>
      <w:r>
        <w:rPr>
          <w:rFonts w:hint="eastAsia" w:ascii="宋体" w:hAnsi="宋体" w:eastAsia="宋体" w:cs="宋体"/>
          <w:bCs/>
          <w:kern w:val="0"/>
          <w:sz w:val="24"/>
          <w:szCs w:val="24"/>
        </w:rPr>
        <w:t>%支付违约金</w:t>
      </w:r>
      <w:r>
        <w:rPr>
          <w:rFonts w:hint="eastAsia" w:ascii="宋体" w:hAnsi="宋体" w:eastAsia="宋体" w:cs="宋体"/>
          <w:sz w:val="24"/>
          <w:szCs w:val="24"/>
        </w:rPr>
        <w:t>并承担因此给甲方造成的一切损失。</w:t>
      </w:r>
    </w:p>
    <w:p w14:paraId="176E0C17">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10.5 乙方不得擅自停止供货，否则甲方有权重新选择其他供应商签订供货合同，</w:t>
      </w:r>
      <w:r>
        <w:rPr>
          <w:rFonts w:hint="eastAsia" w:ascii="宋体" w:hAnsi="宋体" w:eastAsia="宋体" w:cs="宋体"/>
          <w:bCs/>
          <w:kern w:val="0"/>
          <w:sz w:val="24"/>
          <w:szCs w:val="24"/>
        </w:rPr>
        <w:t>同时乙方按合同暂定价金额的</w:t>
      </w:r>
      <w:r>
        <w:rPr>
          <w:rFonts w:hint="eastAsia" w:ascii="宋体" w:hAnsi="宋体" w:eastAsia="宋体" w:cs="宋体"/>
          <w:bCs/>
          <w:kern w:val="0"/>
          <w:sz w:val="24"/>
          <w:szCs w:val="24"/>
          <w:lang w:val="en-US" w:eastAsia="zh-CN"/>
        </w:rPr>
        <w:t>3</w:t>
      </w:r>
      <w:r>
        <w:rPr>
          <w:rFonts w:hint="eastAsia" w:ascii="宋体" w:hAnsi="宋体" w:eastAsia="宋体" w:cs="宋体"/>
          <w:bCs/>
          <w:kern w:val="0"/>
          <w:sz w:val="24"/>
          <w:szCs w:val="24"/>
        </w:rPr>
        <w:t>%支付违约金，</w:t>
      </w:r>
      <w:r>
        <w:rPr>
          <w:rFonts w:hint="eastAsia" w:ascii="宋体" w:hAnsi="宋体" w:eastAsia="宋体" w:cs="宋体"/>
          <w:sz w:val="24"/>
          <w:szCs w:val="24"/>
        </w:rPr>
        <w:t>并由乙方承担断货给甲方造成的一切损失。</w:t>
      </w:r>
    </w:p>
    <w:p w14:paraId="22AA88C7">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10.6 由于乙方的原因，致使甲方单方解除合同的，乙方在接到甲方书面解除合同通知后，必须在48小时内撤走自己所有的机械设备及材料，否则视为乙方放弃所有权，甲方有权自行处理。</w:t>
      </w:r>
    </w:p>
    <w:p w14:paraId="7C2B4E53">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10.7乙方应提供真实、有效、合格的增值税专用发票，如乙方提供虚假或虚开的增值税专用发票，甲方有权拒收或退回，乙方应负责无偿更换，并自行承担相应法律责任。由此造成甲方无法及时认证、抵扣税款等情形的，乙方需向甲方承担赔偿责任包括但不限于税款、滞纳金、罚款及相关损失等。</w:t>
      </w:r>
    </w:p>
    <w:p w14:paraId="4A6C5B6C">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10.8乙方应按合同约定及时向甲方提供增值税专用发票，逾期提供的，每逾期一天，乙方应向甲方支付违约金</w:t>
      </w:r>
      <w:r>
        <w:rPr>
          <w:rFonts w:hint="eastAsia" w:ascii="宋体" w:hAnsi="宋体" w:eastAsia="宋体" w:cs="宋体"/>
          <w:sz w:val="24"/>
          <w:szCs w:val="24"/>
          <w:lang w:val="en-US" w:eastAsia="zh-CN"/>
        </w:rPr>
        <w:t>2000</w:t>
      </w:r>
      <w:r>
        <w:rPr>
          <w:rFonts w:hint="eastAsia" w:ascii="宋体" w:hAnsi="宋体" w:eastAsia="宋体" w:cs="宋体"/>
          <w:sz w:val="24"/>
          <w:szCs w:val="24"/>
        </w:rPr>
        <w:t>元。因乙方开具的增值税专用发票不及时，造成甲方无法及时认证、抵扣税款等情形的，乙方需向甲方承担赔偿责任包括但不限于税款、滞纳金、罚款及相关损失等。</w:t>
      </w:r>
    </w:p>
    <w:p w14:paraId="6F411F7F">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10.9乙方未能提供增值税专用发票的，甲方有权暂停支付相应款项，且乙方需向甲方承担赔偿责任包括但不限于税款、滞纳金、罚款及相关损失等。</w:t>
      </w:r>
    </w:p>
    <w:p w14:paraId="0288C4CD">
      <w:pPr>
        <w:spacing w:line="390" w:lineRule="exact"/>
        <w:ind w:firstLine="480" w:firstLineChars="200"/>
        <w:rPr>
          <w:rFonts w:ascii="宋体" w:hAnsi="宋体" w:eastAsia="宋体" w:cs="宋体"/>
          <w:sz w:val="24"/>
          <w:szCs w:val="24"/>
        </w:rPr>
      </w:pPr>
      <w:r>
        <w:rPr>
          <w:rFonts w:hint="eastAsia" w:ascii="宋体" w:hAnsi="宋体" w:eastAsia="宋体" w:cs="宋体"/>
          <w:sz w:val="24"/>
          <w:szCs w:val="24"/>
        </w:rPr>
        <w:t>10.10乙方有义务配合甲方接受税务机关、审计部门的检查工作，如果乙方拒不配合，由乙方支付</w:t>
      </w:r>
      <w:r>
        <w:rPr>
          <w:rFonts w:hint="eastAsia" w:ascii="宋体" w:hAnsi="宋体" w:eastAsia="宋体" w:cs="宋体"/>
          <w:sz w:val="24"/>
          <w:szCs w:val="24"/>
          <w:lang w:val="en-US" w:eastAsia="zh-CN"/>
        </w:rPr>
        <w:t>20000</w:t>
      </w:r>
      <w:r>
        <w:rPr>
          <w:rFonts w:hint="eastAsia" w:ascii="宋体" w:hAnsi="宋体" w:eastAsia="宋体" w:cs="宋体"/>
          <w:sz w:val="24"/>
          <w:szCs w:val="24"/>
        </w:rPr>
        <w:t>元的违约金，并承担对甲方造成的损失。</w:t>
      </w:r>
    </w:p>
    <w:p w14:paraId="019CA98D">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第十一条 争议解决</w:t>
      </w:r>
    </w:p>
    <w:p w14:paraId="5E789A75">
      <w:pPr>
        <w:pStyle w:val="5"/>
        <w:spacing w:line="390" w:lineRule="exact"/>
        <w:ind w:firstLine="480" w:firstLineChars="200"/>
        <w:rPr>
          <w:rFonts w:hAnsi="宋体" w:cs="宋体"/>
          <w:sz w:val="24"/>
          <w:szCs w:val="24"/>
        </w:rPr>
      </w:pPr>
      <w:bookmarkStart w:id="55" w:name="_Hlk23930003"/>
      <w:r>
        <w:rPr>
          <w:rFonts w:hint="eastAsia" w:hAnsi="宋体" w:cs="宋体"/>
          <w:sz w:val="24"/>
          <w:szCs w:val="24"/>
        </w:rPr>
        <w:t>11.1若发生乙方需向甲方主张权益或反映问题时，承诺先行向甲方内部投诉平台进行情况反映，投诉事项从甲方收到投诉次日起5个月的处理时限。在此期间，乙方承诺不得向国家或地方相关部门和各级信访部门进行投诉，也不得提起诉讼。否则，乙方自愿接受按照5万元/次承担违约责任。</w:t>
      </w:r>
    </w:p>
    <w:bookmarkEnd w:id="55"/>
    <w:p w14:paraId="38050049">
      <w:pPr>
        <w:keepNext/>
        <w:keepLines/>
        <w:spacing w:line="39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11.2本协议在履行过程中发生的争议，由双方当事人协商解决，协商不成，</w:t>
      </w:r>
      <w:r>
        <w:rPr>
          <w:rFonts w:hint="eastAsia" w:ascii="宋体" w:hAnsi="宋体" w:eastAsia="宋体" w:cs="Times New Roman"/>
          <w:color w:val="000000"/>
          <w:sz w:val="24"/>
          <w:szCs w:val="24"/>
          <w:lang w:val="en-US" w:eastAsia="zh-CN"/>
        </w:rPr>
        <w:t>提请成都仲裁委员会进行裁决</w:t>
      </w:r>
      <w:r>
        <w:rPr>
          <w:rFonts w:hint="eastAsia" w:ascii="宋体" w:hAnsi="宋体" w:eastAsia="宋体" w:cs="Times New Roman"/>
          <w:color w:val="000000"/>
          <w:sz w:val="24"/>
          <w:szCs w:val="24"/>
        </w:rPr>
        <w:t>。</w:t>
      </w:r>
    </w:p>
    <w:p w14:paraId="298314B7">
      <w:pPr>
        <w:keepNext/>
        <w:keepLines/>
        <w:spacing w:line="390" w:lineRule="exact"/>
        <w:ind w:firstLine="482" w:firstLineChars="200"/>
        <w:rPr>
          <w:rFonts w:ascii="宋体" w:hAnsi="宋体"/>
          <w:b/>
          <w:bCs/>
          <w:kern w:val="44"/>
          <w:sz w:val="24"/>
          <w:szCs w:val="24"/>
        </w:rPr>
      </w:pPr>
      <w:r>
        <w:rPr>
          <w:rFonts w:hint="eastAsia" w:ascii="宋体" w:hAnsi="宋体"/>
          <w:b/>
          <w:bCs/>
          <w:kern w:val="44"/>
          <w:sz w:val="24"/>
          <w:szCs w:val="24"/>
        </w:rPr>
        <w:t>第十二条 其他事项</w:t>
      </w:r>
    </w:p>
    <w:p w14:paraId="473881A8">
      <w:pPr>
        <w:tabs>
          <w:tab w:val="left" w:pos="360"/>
        </w:tabs>
        <w:spacing w:line="390" w:lineRule="exact"/>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rPr>
        <w:t xml:space="preserve">12.1 </w:t>
      </w:r>
      <w:r>
        <w:rPr>
          <w:rFonts w:hint="eastAsia" w:ascii="宋体" w:hAnsi="宋体" w:eastAsia="宋体" w:cs="宋体"/>
          <w:sz w:val="24"/>
          <w:szCs w:val="24"/>
        </w:rPr>
        <w:t>本合同中所涉及的债权，乙方不得转让，也不得用于任何形式的担保。若乙</w:t>
      </w:r>
      <w:r>
        <w:rPr>
          <w:rFonts w:hint="eastAsia" w:ascii="宋体" w:hAnsi="宋体" w:eastAsia="宋体" w:cs="宋体"/>
          <w:kern w:val="2"/>
          <w:sz w:val="24"/>
          <w:szCs w:val="24"/>
          <w:lang w:val="en-US" w:eastAsia="zh-CN" w:bidi="ar-SA"/>
        </w:rPr>
        <w:t>方擅自转让或用于担保的，则该行为无效，乙方应赔偿甲方因此受到的全部损失。</w:t>
      </w:r>
    </w:p>
    <w:p w14:paraId="1F4E4591">
      <w:pPr>
        <w:pStyle w:val="5"/>
        <w:spacing w:line="390" w:lineRule="exact"/>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12.2乙方作为有经验的供应方，知悉建设工程施工具有复杂性、关联性，乙方从事合同内容的最终结算与审计认定事实密切相关，乙方认可发包人、甲方、相关部门等对本工程的审计或鉴定结论对乙方在事实认定上具有约束力。若审计或鉴定结论对标的物数量、价款、质量等的认定与甲乙双方认定结果有差异的，乙方同意据实调整合同价款，并在乙方拨付款、保证金等款项中扣除或由乙方补足。</w:t>
      </w:r>
    </w:p>
    <w:p w14:paraId="55CD7BB1">
      <w:pPr>
        <w:pStyle w:val="5"/>
        <w:spacing w:line="390" w:lineRule="exact"/>
        <w:ind w:firstLine="480" w:firstLineChars="200"/>
        <w:rPr>
          <w:rFonts w:hAnsi="宋体" w:cs="宋体"/>
          <w:sz w:val="24"/>
          <w:szCs w:val="24"/>
        </w:rPr>
      </w:pPr>
      <w:r>
        <w:rPr>
          <w:rFonts w:hint="eastAsia" w:ascii="宋体" w:hAnsi="宋体" w:eastAsia="宋体" w:cs="宋体"/>
          <w:kern w:val="2"/>
          <w:sz w:val="24"/>
          <w:szCs w:val="24"/>
          <w:lang w:val="en-US" w:eastAsia="zh-CN" w:bidi="ar-SA"/>
        </w:rPr>
        <w:t>经甲方审计发现对乙方计量计价依据严重不足，不符合计量计价原则导致对乙</w:t>
      </w:r>
      <w:r>
        <w:rPr>
          <w:rFonts w:hint="eastAsia" w:hAnsi="宋体" w:cs="宋体"/>
          <w:sz w:val="24"/>
          <w:szCs w:val="24"/>
        </w:rPr>
        <w:t>方多计量计价错误，或《封账协议》（含封账单）中对乙方多付或漏扣少扣，乙方认可甲方审计结论，并无条件按照审计结果和甲方通知退回多收款项。</w:t>
      </w:r>
    </w:p>
    <w:p w14:paraId="374A5921">
      <w:pPr>
        <w:pStyle w:val="5"/>
        <w:spacing w:line="390" w:lineRule="exact"/>
        <w:ind w:firstLine="480" w:firstLineChars="200"/>
        <w:rPr>
          <w:rFonts w:hAnsi="宋体" w:cs="宋体"/>
          <w:sz w:val="24"/>
          <w:szCs w:val="24"/>
        </w:rPr>
      </w:pPr>
      <w:r>
        <w:rPr>
          <w:rFonts w:hint="eastAsia" w:hAnsi="宋体" w:cs="宋体"/>
          <w:sz w:val="24"/>
          <w:szCs w:val="24"/>
        </w:rPr>
        <w:t>12.3乙方在甲方场所发生工伤事故时，乙方必须第一时间妥善处置事故，及时通知项目部并配合项目部做好安置、取证等相关工作。乙方未及时通知导致损失扩大，乙方承担事故发生的全部损失，不得以任何理由干扰甲方正常工作。</w:t>
      </w:r>
    </w:p>
    <w:p w14:paraId="59571015">
      <w:pPr>
        <w:pStyle w:val="5"/>
        <w:spacing w:line="390" w:lineRule="exact"/>
        <w:ind w:firstLine="480" w:firstLineChars="200"/>
        <w:rPr>
          <w:rFonts w:hint="eastAsia" w:hAnsi="宋体" w:eastAsia="宋体" w:cs="宋体"/>
          <w:sz w:val="24"/>
          <w:szCs w:val="24"/>
          <w:lang w:val="en-US" w:eastAsia="zh-CN"/>
        </w:rPr>
      </w:pPr>
      <w:r>
        <w:rPr>
          <w:rFonts w:hint="eastAsia" w:hAnsi="宋体" w:cs="宋体"/>
          <w:sz w:val="24"/>
          <w:szCs w:val="24"/>
        </w:rPr>
        <w:t>12.4乙方与乙方使用的作业人员发生劳动争议、侵权、伤亡等纠纷，未妥善处置，导致甲方被诉（含仲裁、信访、行政处罚等）的，除直接导致甲方损失的费用全额由乙方承担外，每发生一人次，乙方还应向甲方支付</w:t>
      </w:r>
      <w:r>
        <w:rPr>
          <w:rFonts w:hint="eastAsia" w:hAnsi="宋体" w:cs="宋体"/>
          <w:sz w:val="24"/>
          <w:szCs w:val="24"/>
          <w:lang w:val="en-US" w:eastAsia="zh-CN"/>
        </w:rPr>
        <w:t>5000</w:t>
      </w:r>
      <w:r>
        <w:rPr>
          <w:rFonts w:hint="eastAsia" w:hAnsi="宋体" w:cs="宋体"/>
          <w:sz w:val="24"/>
          <w:szCs w:val="24"/>
        </w:rPr>
        <w:t>元/人次违约金，并承担由此给甲方造成的处理被诉案件的全部费用。</w:t>
      </w:r>
      <w:r>
        <w:rPr>
          <w:rFonts w:hint="eastAsia" w:hAnsi="宋体" w:cs="宋体"/>
          <w:sz w:val="24"/>
          <w:szCs w:val="24"/>
          <w:lang w:val="en-US" w:eastAsia="zh-CN"/>
        </w:rPr>
        <w:tab/>
      </w:r>
    </w:p>
    <w:p w14:paraId="43413EBD">
      <w:pPr>
        <w:widowControl/>
        <w:tabs>
          <w:tab w:val="left" w:pos="8364"/>
        </w:tabs>
        <w:spacing w:line="39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12.5在本合同履行过程中，如任何一方发生税务登记、公司名称等重大信息的变更事项，应在重大信息变更后的</w:t>
      </w:r>
      <w:r>
        <w:rPr>
          <w:rFonts w:hint="eastAsia" w:ascii="宋体" w:hAnsi="宋体" w:eastAsia="宋体" w:cs="宋体"/>
          <w:kern w:val="0"/>
          <w:sz w:val="24"/>
          <w:szCs w:val="24"/>
          <w:lang w:val="en-US" w:eastAsia="zh-CN"/>
        </w:rPr>
        <w:t>15</w:t>
      </w:r>
      <w:r>
        <w:rPr>
          <w:rFonts w:hint="eastAsia" w:ascii="宋体" w:hAnsi="宋体" w:eastAsia="宋体" w:cs="宋体"/>
          <w:kern w:val="0"/>
          <w:sz w:val="24"/>
          <w:szCs w:val="24"/>
        </w:rPr>
        <w:t>日内书面通知对方及相关机构变更情况，并提供相关信息资料。</w:t>
      </w:r>
    </w:p>
    <w:p w14:paraId="5C330A58">
      <w:pPr>
        <w:tabs>
          <w:tab w:val="left" w:pos="360"/>
        </w:tabs>
        <w:spacing w:line="39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12.6双方确定所预留的以下地址为往来函件法院（仲裁、公证等机构）法律文书应当送达双方法人所在地，任一方变更送达地址必须在变更之日起 7日内书面通知对方，否则不发生送达地址变更的法律效力，对方按原地址送达仍然为有效送达。</w:t>
      </w:r>
    </w:p>
    <w:p w14:paraId="1AB51D23">
      <w:pPr>
        <w:tabs>
          <w:tab w:val="left" w:pos="360"/>
        </w:tabs>
        <w:spacing w:line="39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甲方送达地址：</w:t>
      </w:r>
    </w:p>
    <w:p w14:paraId="57FD62F9">
      <w:pPr>
        <w:tabs>
          <w:tab w:val="left" w:pos="360"/>
        </w:tabs>
        <w:spacing w:line="39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联系人：</w:t>
      </w:r>
    </w:p>
    <w:p w14:paraId="48E43B01">
      <w:pPr>
        <w:tabs>
          <w:tab w:val="left" w:pos="360"/>
        </w:tabs>
        <w:spacing w:line="390" w:lineRule="exact"/>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rPr>
        <w:t>联系电话：</w:t>
      </w:r>
    </w:p>
    <w:p w14:paraId="414E4921">
      <w:pPr>
        <w:tabs>
          <w:tab w:val="left" w:pos="360"/>
        </w:tabs>
        <w:spacing w:line="390" w:lineRule="exact"/>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rPr>
        <w:t>电子邮箱：</w:t>
      </w:r>
    </w:p>
    <w:p w14:paraId="133C499E">
      <w:pPr>
        <w:tabs>
          <w:tab w:val="left" w:pos="360"/>
        </w:tabs>
        <w:spacing w:line="39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乙方送达地址：</w:t>
      </w:r>
    </w:p>
    <w:p w14:paraId="58A17D09">
      <w:pPr>
        <w:tabs>
          <w:tab w:val="left" w:pos="360"/>
        </w:tabs>
        <w:spacing w:line="39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联系人：</w:t>
      </w:r>
    </w:p>
    <w:p w14:paraId="42E9C272">
      <w:pPr>
        <w:tabs>
          <w:tab w:val="left" w:pos="360"/>
        </w:tabs>
        <w:spacing w:line="39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联系电话：</w:t>
      </w:r>
    </w:p>
    <w:p w14:paraId="75CB25D2">
      <w:pPr>
        <w:tabs>
          <w:tab w:val="left" w:pos="360"/>
        </w:tabs>
        <w:spacing w:line="39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电子邮箱：</w:t>
      </w:r>
    </w:p>
    <w:p w14:paraId="39BBBCA7">
      <w:pPr>
        <w:tabs>
          <w:tab w:val="left" w:pos="360"/>
        </w:tabs>
        <w:spacing w:line="39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12.4乙方承诺：乙方及工作人员不向甲方工作人员赠送礼金、礼品、有价证券、购物卡及其他有价物品等，不邀请甲方工作人员吃喝游玩及其他娱乐性消费；不向甲方工作人员提供任何工作以外的便利和好处；在合同履行过程中不弄虚作假骗取工程款。若乙方违背上述承诺且经甲方法人单位或其上级纪检监察机关查实认定，或国家司法机关立案查处，视为乙方违约，乙方承担暂定合同总价的</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%的违约金，违约金及乙方因违背承诺行为所取得的不当利益一并在结算中扣除。</w:t>
      </w:r>
    </w:p>
    <w:p w14:paraId="60D93BE3">
      <w:pPr>
        <w:tabs>
          <w:tab w:val="left" w:pos="360"/>
        </w:tabs>
        <w:spacing w:line="39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12.5甲方工作人员向乙方索贿的，乙方及其工作人员应向甲方法人单位或其上级纪检监察部门、国家司法机关检举。</w:t>
      </w:r>
    </w:p>
    <w:p w14:paraId="657A13D6">
      <w:pPr>
        <w:widowControl/>
        <w:tabs>
          <w:tab w:val="left" w:pos="8364"/>
        </w:tabs>
        <w:spacing w:line="39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12.6合同如有未尽事宜，经双方共同协商后签订补充协议。</w:t>
      </w:r>
    </w:p>
    <w:p w14:paraId="48EE7AD4">
      <w:pPr>
        <w:widowControl/>
        <w:tabs>
          <w:tab w:val="left" w:pos="8364"/>
        </w:tabs>
        <w:spacing w:line="39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12.7</w:t>
      </w:r>
      <w:r>
        <w:rPr>
          <w:rFonts w:hint="eastAsia" w:ascii="宋体" w:hAnsi="宋体" w:eastAsia="宋体" w:cs="Times New Roman"/>
          <w:sz w:val="24"/>
        </w:rPr>
        <w:t>合同自双方签章之日起生效。本合同一式</w:t>
      </w:r>
      <w:r>
        <w:rPr>
          <w:rFonts w:hint="eastAsia" w:ascii="宋体" w:hAnsi="宋体" w:eastAsia="宋体" w:cs="Times New Roman"/>
          <w:sz w:val="24"/>
          <w:lang w:val="en-US" w:eastAsia="zh-CN"/>
        </w:rPr>
        <w:t>陆</w:t>
      </w:r>
      <w:r>
        <w:rPr>
          <w:rFonts w:hint="eastAsia" w:ascii="宋体" w:hAnsi="宋体" w:eastAsia="宋体" w:cs="Times New Roman"/>
          <w:sz w:val="24"/>
        </w:rPr>
        <w:t>份，卖方</w:t>
      </w:r>
      <w:r>
        <w:rPr>
          <w:rFonts w:hint="eastAsia" w:ascii="宋体" w:hAnsi="宋体" w:eastAsia="宋体" w:cs="Times New Roman"/>
          <w:sz w:val="24"/>
          <w:lang w:val="en-US" w:eastAsia="zh-CN"/>
        </w:rPr>
        <w:t>壹</w:t>
      </w:r>
      <w:r>
        <w:rPr>
          <w:rFonts w:hint="eastAsia" w:ascii="宋体" w:hAnsi="宋体" w:eastAsia="宋体" w:cs="Times New Roman"/>
          <w:sz w:val="24"/>
        </w:rPr>
        <w:t>份买方</w:t>
      </w:r>
      <w:r>
        <w:rPr>
          <w:rFonts w:hint="eastAsia" w:ascii="宋体" w:hAnsi="宋体" w:eastAsia="宋体" w:cs="Times New Roman"/>
          <w:sz w:val="24"/>
          <w:lang w:val="en-US" w:eastAsia="zh-CN"/>
        </w:rPr>
        <w:t>伍</w:t>
      </w:r>
      <w:r>
        <w:rPr>
          <w:rFonts w:hint="eastAsia" w:ascii="宋体" w:hAnsi="宋体" w:eastAsia="宋体" w:cs="Times New Roman"/>
          <w:sz w:val="24"/>
        </w:rPr>
        <w:t>份</w:t>
      </w:r>
      <w:r>
        <w:rPr>
          <w:rFonts w:hint="eastAsia" w:ascii="宋体" w:hAnsi="宋体" w:eastAsia="宋体" w:cs="宋体"/>
          <w:kern w:val="0"/>
          <w:sz w:val="24"/>
          <w:szCs w:val="24"/>
        </w:rPr>
        <w:t>。</w:t>
      </w:r>
    </w:p>
    <w:p w14:paraId="1BC5B438">
      <w:pPr>
        <w:pStyle w:val="5"/>
        <w:shd w:val="clear" w:color="auto" w:fill="auto"/>
        <w:spacing w:line="390" w:lineRule="exact"/>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（重点提示：在合同最后新增要有一个手写部分内容：乙方基于与甲方充分谈判、协商一致而签订本合同，已认真审阅本合同条款，尤其是对本合同加粗、标识等涉及结算、支付等关键内容予以充分理解并接受）</w:t>
      </w:r>
    </w:p>
    <w:p w14:paraId="016ABDE2">
      <w:pPr>
        <w:pStyle w:val="5"/>
        <w:shd w:val="clear" w:color="auto" w:fill="auto"/>
        <w:spacing w:line="390" w:lineRule="exact"/>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                                                                      </w:t>
      </w:r>
    </w:p>
    <w:p w14:paraId="7FD6883D">
      <w:pPr>
        <w:pStyle w:val="5"/>
        <w:shd w:val="clear" w:color="auto" w:fill="auto"/>
        <w:spacing w:line="390" w:lineRule="exact"/>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                                                                      </w:t>
      </w:r>
    </w:p>
    <w:p w14:paraId="66AE1C27">
      <w:pPr>
        <w:pStyle w:val="5"/>
        <w:shd w:val="clear" w:color="auto" w:fill="auto"/>
        <w:spacing w:line="390" w:lineRule="exact"/>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                                                                                              </w:t>
      </w:r>
    </w:p>
    <w:p w14:paraId="0B2E948D">
      <w:pPr>
        <w:pStyle w:val="5"/>
        <w:shd w:val="clear" w:color="auto" w:fill="auto"/>
        <w:spacing w:line="390" w:lineRule="exact"/>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xml:space="preserve">                                    （乙方合同签署人签字：           ）</w:t>
      </w:r>
    </w:p>
    <w:p w14:paraId="3E798672">
      <w:pPr>
        <w:spacing w:line="390" w:lineRule="exact"/>
        <w:ind w:firstLine="475" w:firstLineChars="198"/>
        <w:rPr>
          <w:rFonts w:ascii="宋体" w:hAnsi="宋体" w:eastAsia="宋体" w:cs="宋体"/>
          <w:sz w:val="24"/>
          <w:szCs w:val="24"/>
        </w:rPr>
      </w:pPr>
    </w:p>
    <w:p w14:paraId="071A9BF2">
      <w:pPr>
        <w:spacing w:line="390" w:lineRule="exact"/>
        <w:ind w:firstLine="475" w:firstLineChars="198"/>
        <w:rPr>
          <w:rFonts w:ascii="宋体" w:hAnsi="宋体" w:eastAsia="宋体" w:cs="宋体"/>
          <w:sz w:val="24"/>
          <w:szCs w:val="24"/>
        </w:rPr>
      </w:pPr>
      <w:r>
        <w:rPr>
          <w:rFonts w:hint="eastAsia" w:ascii="宋体" w:hAnsi="宋体" w:eastAsia="宋体" w:cs="宋体"/>
          <w:sz w:val="24"/>
          <w:szCs w:val="24"/>
        </w:rPr>
        <w:t>（以下无合同正文）</w:t>
      </w:r>
    </w:p>
    <w:tbl>
      <w:tblPr>
        <w:tblStyle w:val="7"/>
        <w:tblW w:w="8814" w:type="dxa"/>
        <w:tblInd w:w="0" w:type="dxa"/>
        <w:tblLayout w:type="fixed"/>
        <w:tblCellMar>
          <w:top w:w="0" w:type="dxa"/>
          <w:left w:w="108" w:type="dxa"/>
          <w:bottom w:w="0" w:type="dxa"/>
          <w:right w:w="108" w:type="dxa"/>
        </w:tblCellMar>
      </w:tblPr>
      <w:tblGrid>
        <w:gridCol w:w="4407"/>
        <w:gridCol w:w="4407"/>
      </w:tblGrid>
      <w:tr w14:paraId="7C6C429A">
        <w:tblPrEx>
          <w:tblCellMar>
            <w:top w:w="0" w:type="dxa"/>
            <w:left w:w="108" w:type="dxa"/>
            <w:bottom w:w="0" w:type="dxa"/>
            <w:right w:w="108" w:type="dxa"/>
          </w:tblCellMar>
        </w:tblPrEx>
        <w:trPr>
          <w:trHeight w:val="639" w:hRule="atLeast"/>
        </w:trPr>
        <w:tc>
          <w:tcPr>
            <w:tcW w:w="4407" w:type="dxa"/>
            <w:noWrap w:val="0"/>
            <w:vAlign w:val="top"/>
          </w:tcPr>
          <w:p w14:paraId="5595B5BF">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买方：（盖章）中铁二局集团有限公司</w:t>
            </w:r>
          </w:p>
        </w:tc>
        <w:tc>
          <w:tcPr>
            <w:tcW w:w="4407" w:type="dxa"/>
            <w:noWrap w:val="0"/>
            <w:vAlign w:val="top"/>
          </w:tcPr>
          <w:p w14:paraId="1C4546C0">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卖方：（盖章）</w:t>
            </w:r>
          </w:p>
        </w:tc>
      </w:tr>
      <w:tr w14:paraId="4D8C9C49">
        <w:tblPrEx>
          <w:tblCellMar>
            <w:top w:w="0" w:type="dxa"/>
            <w:left w:w="108" w:type="dxa"/>
            <w:bottom w:w="0" w:type="dxa"/>
            <w:right w:w="108" w:type="dxa"/>
          </w:tblCellMar>
        </w:tblPrEx>
        <w:trPr>
          <w:trHeight w:val="639" w:hRule="atLeast"/>
        </w:trPr>
        <w:tc>
          <w:tcPr>
            <w:tcW w:w="4407" w:type="dxa"/>
            <w:noWrap w:val="0"/>
            <w:vAlign w:val="top"/>
          </w:tcPr>
          <w:p w14:paraId="6C281680">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住所地址：中铁二局集团有限公司</w:t>
            </w:r>
          </w:p>
        </w:tc>
        <w:tc>
          <w:tcPr>
            <w:tcW w:w="4407" w:type="dxa"/>
            <w:noWrap w:val="0"/>
            <w:vAlign w:val="top"/>
          </w:tcPr>
          <w:p w14:paraId="4A5D79E8">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住所地址：</w:t>
            </w:r>
          </w:p>
        </w:tc>
      </w:tr>
      <w:tr w14:paraId="1EA35632">
        <w:tblPrEx>
          <w:tblCellMar>
            <w:top w:w="0" w:type="dxa"/>
            <w:left w:w="108" w:type="dxa"/>
            <w:bottom w:w="0" w:type="dxa"/>
            <w:right w:w="108" w:type="dxa"/>
          </w:tblCellMar>
        </w:tblPrEx>
        <w:trPr>
          <w:trHeight w:val="639" w:hRule="atLeast"/>
        </w:trPr>
        <w:tc>
          <w:tcPr>
            <w:tcW w:w="4407" w:type="dxa"/>
            <w:noWrap w:val="0"/>
            <w:vAlign w:val="top"/>
          </w:tcPr>
          <w:p w14:paraId="03A31EE4">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法定代表人：</w:t>
            </w:r>
          </w:p>
        </w:tc>
        <w:tc>
          <w:tcPr>
            <w:tcW w:w="4407" w:type="dxa"/>
            <w:noWrap w:val="0"/>
            <w:vAlign w:val="top"/>
          </w:tcPr>
          <w:p w14:paraId="59032E66">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法定代表人：</w:t>
            </w:r>
          </w:p>
        </w:tc>
      </w:tr>
      <w:tr w14:paraId="2FB0168C">
        <w:tblPrEx>
          <w:tblCellMar>
            <w:top w:w="0" w:type="dxa"/>
            <w:left w:w="108" w:type="dxa"/>
            <w:bottom w:w="0" w:type="dxa"/>
            <w:right w:w="108" w:type="dxa"/>
          </w:tblCellMar>
        </w:tblPrEx>
        <w:trPr>
          <w:trHeight w:val="639" w:hRule="atLeast"/>
        </w:trPr>
        <w:tc>
          <w:tcPr>
            <w:tcW w:w="4407" w:type="dxa"/>
            <w:noWrap w:val="0"/>
            <w:vAlign w:val="top"/>
          </w:tcPr>
          <w:p w14:paraId="27DF0078">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委托代理人：</w:t>
            </w:r>
          </w:p>
        </w:tc>
        <w:tc>
          <w:tcPr>
            <w:tcW w:w="4407" w:type="dxa"/>
            <w:noWrap w:val="0"/>
            <w:vAlign w:val="top"/>
          </w:tcPr>
          <w:p w14:paraId="6995E026">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委托代理人：</w:t>
            </w:r>
          </w:p>
        </w:tc>
      </w:tr>
      <w:tr w14:paraId="0FA6110B">
        <w:tblPrEx>
          <w:tblCellMar>
            <w:top w:w="0" w:type="dxa"/>
            <w:left w:w="108" w:type="dxa"/>
            <w:bottom w:w="0" w:type="dxa"/>
            <w:right w:w="108" w:type="dxa"/>
          </w:tblCellMar>
        </w:tblPrEx>
        <w:trPr>
          <w:trHeight w:val="639" w:hRule="atLeast"/>
        </w:trPr>
        <w:tc>
          <w:tcPr>
            <w:tcW w:w="4407" w:type="dxa"/>
            <w:noWrap w:val="0"/>
            <w:vAlign w:val="top"/>
          </w:tcPr>
          <w:p w14:paraId="2114D4D7">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电话：028-86442260</w:t>
            </w:r>
          </w:p>
        </w:tc>
        <w:tc>
          <w:tcPr>
            <w:tcW w:w="4407" w:type="dxa"/>
            <w:noWrap w:val="0"/>
            <w:vAlign w:val="top"/>
          </w:tcPr>
          <w:p w14:paraId="2B2C4B26">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电话：</w:t>
            </w:r>
          </w:p>
        </w:tc>
      </w:tr>
      <w:tr w14:paraId="409D65E5">
        <w:tblPrEx>
          <w:tblCellMar>
            <w:top w:w="0" w:type="dxa"/>
            <w:left w:w="108" w:type="dxa"/>
            <w:bottom w:w="0" w:type="dxa"/>
            <w:right w:w="108" w:type="dxa"/>
          </w:tblCellMar>
        </w:tblPrEx>
        <w:trPr>
          <w:trHeight w:val="639" w:hRule="atLeast"/>
        </w:trPr>
        <w:tc>
          <w:tcPr>
            <w:tcW w:w="4407" w:type="dxa"/>
            <w:noWrap w:val="0"/>
            <w:vAlign w:val="top"/>
          </w:tcPr>
          <w:p w14:paraId="1B92886D">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纳税人识别号：91510100MA61RKR7X3</w:t>
            </w:r>
          </w:p>
        </w:tc>
        <w:tc>
          <w:tcPr>
            <w:tcW w:w="4407" w:type="dxa"/>
            <w:noWrap w:val="0"/>
            <w:vAlign w:val="top"/>
          </w:tcPr>
          <w:p w14:paraId="796DF8DB">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纳税人识别号：</w:t>
            </w:r>
          </w:p>
        </w:tc>
      </w:tr>
      <w:tr w14:paraId="217A2B47">
        <w:tblPrEx>
          <w:tblCellMar>
            <w:top w:w="0" w:type="dxa"/>
            <w:left w:w="108" w:type="dxa"/>
            <w:bottom w:w="0" w:type="dxa"/>
            <w:right w:w="108" w:type="dxa"/>
          </w:tblCellMar>
        </w:tblPrEx>
        <w:trPr>
          <w:trHeight w:val="639" w:hRule="atLeast"/>
        </w:trPr>
        <w:tc>
          <w:tcPr>
            <w:tcW w:w="4407" w:type="dxa"/>
            <w:noWrap w:val="0"/>
            <w:vAlign w:val="top"/>
          </w:tcPr>
          <w:p w14:paraId="523C9E2F">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开户银行：中国建设银行股份有限公司成都铁道支行</w:t>
            </w:r>
          </w:p>
        </w:tc>
        <w:tc>
          <w:tcPr>
            <w:tcW w:w="4407" w:type="dxa"/>
            <w:noWrap w:val="0"/>
            <w:vAlign w:val="top"/>
          </w:tcPr>
          <w:p w14:paraId="4B00762B">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开户银行：</w:t>
            </w:r>
          </w:p>
        </w:tc>
      </w:tr>
      <w:tr w14:paraId="7C43F9CD">
        <w:tblPrEx>
          <w:tblCellMar>
            <w:top w:w="0" w:type="dxa"/>
            <w:left w:w="108" w:type="dxa"/>
            <w:bottom w:w="0" w:type="dxa"/>
            <w:right w:w="108" w:type="dxa"/>
          </w:tblCellMar>
        </w:tblPrEx>
        <w:trPr>
          <w:trHeight w:val="639" w:hRule="atLeast"/>
        </w:trPr>
        <w:tc>
          <w:tcPr>
            <w:tcW w:w="4407" w:type="dxa"/>
            <w:noWrap w:val="0"/>
            <w:vAlign w:val="top"/>
          </w:tcPr>
          <w:p w14:paraId="023CB583">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账号：51050188083609123456</w:t>
            </w:r>
          </w:p>
          <w:p w14:paraId="1F08B58A">
            <w:pPr>
              <w:spacing w:line="390" w:lineRule="exact"/>
              <w:rPr>
                <w:rFonts w:hint="eastAsia" w:ascii="宋体" w:hAnsi="宋体" w:eastAsia="宋体" w:cs="宋体"/>
                <w:kern w:val="0"/>
                <w:sz w:val="24"/>
                <w:szCs w:val="24"/>
                <w:lang w:val="en-US" w:eastAsia="zh-CN" w:bidi="ar-SA"/>
              </w:rPr>
            </w:pPr>
          </w:p>
          <w:p w14:paraId="288A9C36">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签订日期：</w:t>
            </w:r>
          </w:p>
        </w:tc>
        <w:tc>
          <w:tcPr>
            <w:tcW w:w="4407" w:type="dxa"/>
            <w:noWrap w:val="0"/>
            <w:vAlign w:val="top"/>
          </w:tcPr>
          <w:p w14:paraId="37AFFEFB">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账号：</w:t>
            </w:r>
          </w:p>
          <w:p w14:paraId="41AFF6CC">
            <w:pPr>
              <w:spacing w:line="39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签订日期：</w:t>
            </w:r>
          </w:p>
        </w:tc>
      </w:tr>
    </w:tbl>
    <w:p w14:paraId="47E83B82">
      <w:pPr>
        <w:pStyle w:val="2"/>
        <w:spacing w:before="156"/>
        <w:jc w:val="both"/>
        <w:rPr>
          <w:rFonts w:hint="eastAsia" w:ascii="宋体" w:hAnsi="宋体" w:eastAsia="宋体" w:cs="宋体"/>
        </w:rPr>
        <w:sectPr>
          <w:footerReference r:id="rId9" w:type="default"/>
          <w:pgSz w:w="11906" w:h="16838"/>
          <w:pgMar w:top="2154" w:right="1474" w:bottom="2041" w:left="1587" w:header="851" w:footer="992" w:gutter="0"/>
          <w:pgNumType w:fmt="decimal" w:start="1"/>
          <w:cols w:space="720" w:num="1"/>
          <w:docGrid w:type="lines" w:linePitch="312" w:charSpace="0"/>
        </w:sectPr>
      </w:pPr>
    </w:p>
    <w:p w14:paraId="5FC183F6">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ascii="宋体" w:hAnsi="宋体"/>
          <w:sz w:val="24"/>
        </w:rPr>
      </w:pPr>
      <w:r>
        <w:rPr>
          <w:rFonts w:hint="eastAsia" w:ascii="宋体" w:hAnsi="宋体"/>
          <w:sz w:val="24"/>
        </w:rPr>
        <w:t>附件1:</w:t>
      </w:r>
    </w:p>
    <w:p w14:paraId="7E34D85B">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318" w:leftChars="-270" w:hanging="885" w:hangingChars="315"/>
        <w:jc w:val="center"/>
        <w:textAlignment w:val="auto"/>
        <w:rPr>
          <w:rFonts w:hint="eastAsia" w:ascii="宋体" w:hAnsi="宋体" w:cs="宋体"/>
          <w:b/>
          <w:kern w:val="0"/>
          <w:sz w:val="28"/>
          <w:szCs w:val="28"/>
        </w:rPr>
      </w:pPr>
      <w:r>
        <w:rPr>
          <w:rFonts w:hint="eastAsia" w:ascii="宋体" w:hAnsi="宋体" w:cs="宋体"/>
          <w:b/>
          <w:kern w:val="0"/>
          <w:sz w:val="28"/>
          <w:szCs w:val="28"/>
        </w:rPr>
        <w:t>订货明细表</w:t>
      </w:r>
    </w:p>
    <w:p w14:paraId="3B0919FD">
      <w:pPr>
        <w:jc w:val="both"/>
        <w:rPr>
          <w:rFonts w:hint="default" w:ascii="仿宋" w:hAnsi="仿宋" w:eastAsia="仿宋" w:cs="仿宋"/>
          <w:sz w:val="20"/>
          <w:szCs w:val="20"/>
          <w:lang w:val="en-US" w:eastAsia="zh-CN"/>
        </w:rPr>
      </w:pPr>
      <w:r>
        <w:rPr>
          <w:rFonts w:hint="eastAsia" w:ascii="仿宋" w:hAnsi="仿宋" w:eastAsia="仿宋" w:cs="仿宋"/>
          <w:sz w:val="20"/>
          <w:szCs w:val="20"/>
        </w:rPr>
        <w:t>投标人名称：</w:t>
      </w:r>
      <w:r>
        <w:rPr>
          <w:rFonts w:hint="eastAsia" w:ascii="仿宋" w:hAnsi="仿宋" w:eastAsia="仿宋" w:cs="仿宋"/>
          <w:sz w:val="20"/>
          <w:szCs w:val="20"/>
          <w:lang w:val="en-US" w:eastAsia="zh-CN"/>
        </w:rPr>
        <w:t xml:space="preserve"> </w:t>
      </w:r>
      <w:r>
        <w:rPr>
          <w:rFonts w:hint="eastAsia" w:ascii="仿宋" w:hAnsi="仿宋" w:cs="仿宋"/>
          <w:sz w:val="20"/>
          <w:szCs w:val="20"/>
          <w:lang w:val="en-US" w:eastAsia="zh-CN"/>
        </w:rPr>
        <w:t xml:space="preserve">  </w:t>
      </w:r>
      <w:r>
        <w:rPr>
          <w:rFonts w:hint="eastAsia" w:ascii="仿宋" w:hAnsi="仿宋" w:eastAsia="仿宋" w:cs="仿宋"/>
          <w:bCs/>
          <w:kern w:val="0"/>
          <w:sz w:val="20"/>
          <w:szCs w:val="20"/>
        </w:rPr>
        <w:t xml:space="preserve">     </w:t>
      </w:r>
      <w:r>
        <w:rPr>
          <w:rFonts w:hint="eastAsia" w:ascii="仿宋" w:hAnsi="仿宋" w:eastAsia="仿宋" w:cs="仿宋"/>
          <w:sz w:val="20"/>
          <w:szCs w:val="20"/>
        </w:rPr>
        <w:t xml:space="preserve">    </w:t>
      </w:r>
      <w:r>
        <w:rPr>
          <w:rFonts w:hint="eastAsia" w:ascii="仿宋" w:hAnsi="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采购</w:t>
      </w:r>
      <w:r>
        <w:rPr>
          <w:rFonts w:hint="eastAsia" w:ascii="仿宋" w:hAnsi="仿宋" w:eastAsia="仿宋" w:cs="仿宋"/>
          <w:sz w:val="20"/>
          <w:szCs w:val="20"/>
        </w:rPr>
        <w:t>编号</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包件号：</w:t>
      </w:r>
    </w:p>
    <w:tbl>
      <w:tblPr>
        <w:tblStyle w:val="7"/>
        <w:tblW w:w="5077" w:type="pct"/>
        <w:jc w:val="center"/>
        <w:tblLayout w:type="fixed"/>
        <w:tblCellMar>
          <w:top w:w="0" w:type="dxa"/>
          <w:left w:w="108" w:type="dxa"/>
          <w:bottom w:w="0" w:type="dxa"/>
          <w:right w:w="108" w:type="dxa"/>
        </w:tblCellMar>
      </w:tblPr>
      <w:tblGrid>
        <w:gridCol w:w="1298"/>
        <w:gridCol w:w="1469"/>
        <w:gridCol w:w="1407"/>
        <w:gridCol w:w="1395"/>
        <w:gridCol w:w="1291"/>
        <w:gridCol w:w="669"/>
        <w:gridCol w:w="1243"/>
        <w:gridCol w:w="1380"/>
        <w:gridCol w:w="1644"/>
        <w:gridCol w:w="1264"/>
        <w:gridCol w:w="1448"/>
        <w:gridCol w:w="507"/>
      </w:tblGrid>
      <w:tr w14:paraId="6F84D95B">
        <w:tblPrEx>
          <w:tblCellMar>
            <w:top w:w="0" w:type="dxa"/>
            <w:left w:w="108" w:type="dxa"/>
            <w:bottom w:w="0" w:type="dxa"/>
            <w:right w:w="108" w:type="dxa"/>
          </w:tblCellMar>
        </w:tblPrEx>
        <w:trPr>
          <w:trHeight w:val="682" w:hRule="atLeast"/>
          <w:jc w:val="center"/>
        </w:trPr>
        <w:tc>
          <w:tcPr>
            <w:tcW w:w="432" w:type="pct"/>
            <w:tcBorders>
              <w:top w:val="single" w:color="auto" w:sz="4" w:space="0"/>
              <w:left w:val="single" w:color="auto" w:sz="4" w:space="0"/>
              <w:bottom w:val="single" w:color="auto" w:sz="4" w:space="0"/>
              <w:right w:val="single" w:color="auto" w:sz="4" w:space="0"/>
            </w:tcBorders>
            <w:noWrap w:val="0"/>
            <w:vAlign w:val="center"/>
          </w:tcPr>
          <w:p w14:paraId="5C687E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采购编号</w:t>
            </w:r>
          </w:p>
        </w:tc>
        <w:tc>
          <w:tcPr>
            <w:tcW w:w="489" w:type="pct"/>
            <w:tcBorders>
              <w:top w:val="single" w:color="auto" w:sz="4" w:space="0"/>
              <w:left w:val="nil"/>
              <w:bottom w:val="single" w:color="auto" w:sz="4" w:space="0"/>
              <w:right w:val="single" w:color="auto" w:sz="4" w:space="0"/>
            </w:tcBorders>
            <w:noWrap w:val="0"/>
            <w:vAlign w:val="center"/>
          </w:tcPr>
          <w:p w14:paraId="3163A9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项目简称</w:t>
            </w:r>
          </w:p>
        </w:tc>
        <w:tc>
          <w:tcPr>
            <w:tcW w:w="468" w:type="pct"/>
            <w:tcBorders>
              <w:top w:val="single" w:color="auto" w:sz="4" w:space="0"/>
              <w:left w:val="nil"/>
              <w:bottom w:val="single" w:color="auto" w:sz="4" w:space="0"/>
              <w:right w:val="single" w:color="auto" w:sz="4" w:space="0"/>
            </w:tcBorders>
            <w:noWrap w:val="0"/>
            <w:vAlign w:val="center"/>
          </w:tcPr>
          <w:p w14:paraId="4572A5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物资名称</w:t>
            </w:r>
          </w:p>
        </w:tc>
        <w:tc>
          <w:tcPr>
            <w:tcW w:w="464" w:type="pct"/>
            <w:tcBorders>
              <w:top w:val="single" w:color="auto" w:sz="4" w:space="0"/>
              <w:left w:val="nil"/>
              <w:bottom w:val="single" w:color="auto" w:sz="4" w:space="0"/>
              <w:right w:val="single" w:color="auto" w:sz="4" w:space="0"/>
            </w:tcBorders>
            <w:noWrap w:val="0"/>
            <w:vAlign w:val="center"/>
          </w:tcPr>
          <w:p w14:paraId="58F33B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规格型号</w:t>
            </w:r>
          </w:p>
        </w:tc>
        <w:tc>
          <w:tcPr>
            <w:tcW w:w="429" w:type="pct"/>
            <w:tcBorders>
              <w:top w:val="single" w:color="auto" w:sz="4" w:space="0"/>
              <w:left w:val="nil"/>
              <w:bottom w:val="single" w:color="auto" w:sz="4" w:space="0"/>
              <w:right w:val="single" w:color="auto" w:sz="4" w:space="0"/>
            </w:tcBorders>
            <w:noWrap w:val="0"/>
            <w:vAlign w:val="center"/>
          </w:tcPr>
          <w:p w14:paraId="2D5A16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标准或图号</w:t>
            </w:r>
          </w:p>
        </w:tc>
        <w:tc>
          <w:tcPr>
            <w:tcW w:w="222" w:type="pct"/>
            <w:tcBorders>
              <w:top w:val="single" w:color="auto" w:sz="4" w:space="0"/>
              <w:left w:val="nil"/>
              <w:bottom w:val="single" w:color="auto" w:sz="4" w:space="0"/>
              <w:right w:val="single" w:color="auto" w:sz="4" w:space="0"/>
            </w:tcBorders>
            <w:noWrap w:val="0"/>
            <w:vAlign w:val="center"/>
          </w:tcPr>
          <w:p w14:paraId="5503DF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计量单位</w:t>
            </w:r>
          </w:p>
        </w:tc>
        <w:tc>
          <w:tcPr>
            <w:tcW w:w="413" w:type="pct"/>
            <w:tcBorders>
              <w:top w:val="single" w:color="auto" w:sz="4" w:space="0"/>
              <w:left w:val="nil"/>
              <w:bottom w:val="single" w:color="auto" w:sz="4" w:space="0"/>
              <w:right w:val="single" w:color="auto" w:sz="4" w:space="0"/>
            </w:tcBorders>
            <w:noWrap w:val="0"/>
            <w:vAlign w:val="center"/>
          </w:tcPr>
          <w:p w14:paraId="61E2FB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需求数量</w:t>
            </w:r>
          </w:p>
        </w:tc>
        <w:tc>
          <w:tcPr>
            <w:tcW w:w="459" w:type="pct"/>
            <w:tcBorders>
              <w:top w:val="single" w:color="auto" w:sz="4" w:space="0"/>
              <w:left w:val="nil"/>
              <w:bottom w:val="single" w:color="auto" w:sz="4" w:space="0"/>
              <w:right w:val="single" w:color="auto" w:sz="4" w:space="0"/>
            </w:tcBorders>
            <w:noWrap w:val="0"/>
            <w:vAlign w:val="center"/>
          </w:tcPr>
          <w:p w14:paraId="357482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含税</w:t>
            </w:r>
            <w:r>
              <w:rPr>
                <w:rFonts w:hint="eastAsia" w:ascii="仿宋" w:hAnsi="仿宋" w:eastAsia="仿宋" w:cs="仿宋"/>
                <w:color w:val="000000"/>
                <w:kern w:val="0"/>
                <w:sz w:val="20"/>
                <w:szCs w:val="20"/>
              </w:rPr>
              <w:t>出厂单价(元/</w:t>
            </w:r>
            <w:r>
              <w:rPr>
                <w:rFonts w:hint="eastAsia" w:ascii="仿宋" w:hAnsi="仿宋" w:eastAsia="仿宋" w:cs="仿宋"/>
                <w:color w:val="000000"/>
                <w:kern w:val="0"/>
                <w:sz w:val="20"/>
                <w:szCs w:val="20"/>
                <w:lang w:val="en-US" w:eastAsia="zh-CN"/>
              </w:rPr>
              <w:t>吨</w:t>
            </w:r>
            <w:r>
              <w:rPr>
                <w:rFonts w:hint="eastAsia" w:ascii="仿宋" w:hAnsi="仿宋" w:eastAsia="仿宋" w:cs="仿宋"/>
                <w:color w:val="000000"/>
                <w:kern w:val="0"/>
                <w:sz w:val="20"/>
                <w:szCs w:val="20"/>
              </w:rPr>
              <w:t>)</w:t>
            </w:r>
          </w:p>
        </w:tc>
        <w:tc>
          <w:tcPr>
            <w:tcW w:w="547" w:type="pct"/>
            <w:tcBorders>
              <w:top w:val="single" w:color="auto" w:sz="4" w:space="0"/>
              <w:left w:val="nil"/>
              <w:bottom w:val="single" w:color="auto" w:sz="4" w:space="0"/>
              <w:right w:val="single" w:color="auto" w:sz="4" w:space="0"/>
            </w:tcBorders>
            <w:noWrap w:val="0"/>
            <w:vAlign w:val="center"/>
          </w:tcPr>
          <w:p w14:paraId="2A70BE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X（运杂费等综合</w:t>
            </w:r>
          </w:p>
          <w:p w14:paraId="30B1CC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含税费用价格）（元/吨）</w:t>
            </w:r>
          </w:p>
        </w:tc>
        <w:tc>
          <w:tcPr>
            <w:tcW w:w="420" w:type="pct"/>
            <w:tcBorders>
              <w:top w:val="single" w:color="auto" w:sz="4" w:space="0"/>
              <w:left w:val="nil"/>
              <w:bottom w:val="single" w:color="auto" w:sz="4" w:space="0"/>
              <w:right w:val="single" w:color="auto" w:sz="4" w:space="0"/>
            </w:tcBorders>
            <w:noWrap w:val="0"/>
            <w:vAlign w:val="center"/>
          </w:tcPr>
          <w:p w14:paraId="0B5A85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lang w:val="en-US" w:eastAsia="zh-CN"/>
              </w:rPr>
            </w:pPr>
            <w:r>
              <w:rPr>
                <w:rFonts w:hint="eastAsia" w:ascii="仿宋" w:hAnsi="仿宋" w:eastAsia="仿宋" w:cs="仿宋"/>
                <w:color w:val="000000"/>
                <w:kern w:val="0"/>
                <w:sz w:val="20"/>
                <w:szCs w:val="20"/>
                <w:lang w:val="en-US" w:eastAsia="zh-CN"/>
              </w:rPr>
              <w:t>到站单价（元/吨）（含税）</w:t>
            </w:r>
          </w:p>
        </w:tc>
        <w:tc>
          <w:tcPr>
            <w:tcW w:w="482" w:type="pct"/>
            <w:tcBorders>
              <w:top w:val="single" w:color="auto" w:sz="4" w:space="0"/>
              <w:left w:val="nil"/>
              <w:bottom w:val="single" w:color="auto" w:sz="4" w:space="0"/>
              <w:right w:val="single" w:color="auto" w:sz="4" w:space="0"/>
            </w:tcBorders>
            <w:noWrap w:val="0"/>
            <w:vAlign w:val="center"/>
          </w:tcPr>
          <w:p w14:paraId="48EECE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lang w:val="en-US" w:eastAsia="zh-CN"/>
              </w:rPr>
              <w:t>含税</w:t>
            </w:r>
            <w:r>
              <w:rPr>
                <w:rFonts w:hint="eastAsia" w:ascii="仿宋" w:hAnsi="仿宋" w:eastAsia="仿宋" w:cs="仿宋"/>
                <w:color w:val="000000"/>
                <w:kern w:val="0"/>
                <w:sz w:val="20"/>
                <w:szCs w:val="20"/>
              </w:rPr>
              <w:t>到站合价（元）</w:t>
            </w:r>
          </w:p>
        </w:tc>
        <w:tc>
          <w:tcPr>
            <w:tcW w:w="168" w:type="pct"/>
            <w:tcBorders>
              <w:top w:val="single" w:color="auto" w:sz="4" w:space="0"/>
              <w:left w:val="nil"/>
              <w:bottom w:val="single" w:color="auto" w:sz="4" w:space="0"/>
              <w:right w:val="single" w:color="auto" w:sz="4" w:space="0"/>
            </w:tcBorders>
            <w:noWrap w:val="0"/>
            <w:vAlign w:val="center"/>
          </w:tcPr>
          <w:p w14:paraId="599DE5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仿宋_GB2312" w:hAnsi="等线" w:eastAsia="仿宋_GB2312" w:cs="宋体"/>
                <w:color w:val="000000"/>
                <w:kern w:val="0"/>
                <w:sz w:val="20"/>
                <w:szCs w:val="20"/>
              </w:rPr>
            </w:pPr>
            <w:r>
              <w:rPr>
                <w:rFonts w:hint="eastAsia" w:ascii="仿宋" w:hAnsi="仿宋" w:eastAsia="仿宋" w:cs="仿宋"/>
                <w:color w:val="000000"/>
                <w:kern w:val="0"/>
                <w:sz w:val="20"/>
                <w:szCs w:val="20"/>
              </w:rPr>
              <w:t>备注</w:t>
            </w:r>
          </w:p>
        </w:tc>
      </w:tr>
      <w:tr w14:paraId="7DE061C9">
        <w:tblPrEx>
          <w:tblCellMar>
            <w:top w:w="0" w:type="dxa"/>
            <w:left w:w="108" w:type="dxa"/>
            <w:bottom w:w="0" w:type="dxa"/>
            <w:right w:w="108" w:type="dxa"/>
          </w:tblCellMar>
        </w:tblPrEx>
        <w:trPr>
          <w:trHeight w:val="1522" w:hRule="atLeast"/>
          <w:jc w:val="center"/>
        </w:trPr>
        <w:tc>
          <w:tcPr>
            <w:tcW w:w="432" w:type="pct"/>
            <w:vMerge w:val="restart"/>
            <w:tcBorders>
              <w:top w:val="nil"/>
              <w:left w:val="single" w:color="auto" w:sz="4" w:space="0"/>
              <w:right w:val="single" w:color="auto" w:sz="4" w:space="0"/>
            </w:tcBorders>
            <w:shd w:val="clear" w:color="000000" w:fill="FFFFFF"/>
            <w:noWrap w:val="0"/>
            <w:vAlign w:val="center"/>
          </w:tcPr>
          <w:p w14:paraId="2DB0C3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sz w:val="20"/>
                <w:szCs w:val="20"/>
                <w:lang w:val="en-US" w:eastAsia="zh-CN"/>
              </w:rPr>
            </w:pPr>
          </w:p>
        </w:tc>
        <w:tc>
          <w:tcPr>
            <w:tcW w:w="489" w:type="pct"/>
            <w:vMerge w:val="restart"/>
            <w:tcBorders>
              <w:top w:val="nil"/>
              <w:left w:val="single" w:color="auto" w:sz="4" w:space="0"/>
              <w:right w:val="single" w:color="auto" w:sz="4" w:space="0"/>
            </w:tcBorders>
            <w:noWrap w:val="0"/>
            <w:vAlign w:val="center"/>
          </w:tcPr>
          <w:p w14:paraId="3C8F4B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rPr>
            </w:pPr>
          </w:p>
        </w:tc>
        <w:tc>
          <w:tcPr>
            <w:tcW w:w="468" w:type="pct"/>
            <w:tcBorders>
              <w:top w:val="nil"/>
              <w:left w:val="nil"/>
              <w:bottom w:val="single" w:color="auto" w:sz="4" w:space="0"/>
              <w:right w:val="single" w:color="auto" w:sz="4" w:space="0"/>
            </w:tcBorders>
            <w:noWrap w:val="0"/>
            <w:vAlign w:val="center"/>
          </w:tcPr>
          <w:p w14:paraId="610604D6">
            <w:pPr>
              <w:widowControl/>
              <w:jc w:val="center"/>
              <w:textAlignment w:val="center"/>
              <w:rPr>
                <w:rFonts w:hint="eastAsia" w:ascii="仿宋" w:hAnsi="仿宋" w:eastAsia="仿宋" w:cs="仿宋"/>
                <w:sz w:val="20"/>
                <w:szCs w:val="20"/>
                <w:lang w:val="en-US" w:eastAsia="zh-CN"/>
              </w:rPr>
            </w:pPr>
          </w:p>
        </w:tc>
        <w:tc>
          <w:tcPr>
            <w:tcW w:w="464" w:type="pct"/>
            <w:tcBorders>
              <w:top w:val="nil"/>
              <w:left w:val="nil"/>
              <w:bottom w:val="single" w:color="auto" w:sz="4" w:space="0"/>
              <w:right w:val="single" w:color="auto" w:sz="4" w:space="0"/>
            </w:tcBorders>
            <w:noWrap w:val="0"/>
            <w:vAlign w:val="center"/>
          </w:tcPr>
          <w:p w14:paraId="6508A13D">
            <w:pPr>
              <w:widowControl/>
              <w:jc w:val="center"/>
              <w:textAlignment w:val="center"/>
              <w:rPr>
                <w:rFonts w:hint="default" w:ascii="仿宋" w:hAnsi="仿宋" w:eastAsia="仿宋" w:cs="仿宋"/>
                <w:sz w:val="20"/>
                <w:szCs w:val="20"/>
                <w:lang w:val="en-US" w:eastAsia="zh-CN"/>
              </w:rPr>
            </w:pPr>
          </w:p>
        </w:tc>
        <w:tc>
          <w:tcPr>
            <w:tcW w:w="429" w:type="pct"/>
            <w:vMerge w:val="restart"/>
            <w:tcBorders>
              <w:top w:val="nil"/>
              <w:left w:val="nil"/>
              <w:right w:val="single" w:color="auto" w:sz="4" w:space="0"/>
            </w:tcBorders>
            <w:noWrap w:val="0"/>
            <w:vAlign w:val="center"/>
          </w:tcPr>
          <w:p w14:paraId="3A539C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222" w:type="pct"/>
            <w:tcBorders>
              <w:top w:val="nil"/>
              <w:left w:val="nil"/>
              <w:bottom w:val="single" w:color="auto" w:sz="4" w:space="0"/>
              <w:right w:val="single" w:color="auto" w:sz="4" w:space="0"/>
            </w:tcBorders>
            <w:noWrap w:val="0"/>
            <w:vAlign w:val="center"/>
          </w:tcPr>
          <w:p w14:paraId="072D5000">
            <w:pPr>
              <w:widowControl/>
              <w:jc w:val="center"/>
              <w:textAlignment w:val="center"/>
              <w:rPr>
                <w:rFonts w:hint="default" w:ascii="仿宋" w:hAnsi="仿宋" w:eastAsia="仿宋" w:cs="仿宋"/>
                <w:sz w:val="20"/>
                <w:szCs w:val="20"/>
                <w:lang w:val="en-US" w:eastAsia="zh-CN"/>
              </w:rPr>
            </w:pPr>
          </w:p>
        </w:tc>
        <w:tc>
          <w:tcPr>
            <w:tcW w:w="413" w:type="pct"/>
            <w:tcBorders>
              <w:top w:val="nil"/>
              <w:left w:val="nil"/>
              <w:bottom w:val="single" w:color="auto" w:sz="4" w:space="0"/>
              <w:right w:val="single" w:color="auto" w:sz="4" w:space="0"/>
            </w:tcBorders>
            <w:noWrap w:val="0"/>
            <w:vAlign w:val="center"/>
          </w:tcPr>
          <w:p w14:paraId="26895A30">
            <w:pPr>
              <w:widowControl/>
              <w:jc w:val="center"/>
              <w:textAlignment w:val="center"/>
              <w:rPr>
                <w:rFonts w:hint="eastAsia" w:ascii="宋体" w:hAnsi="宋体" w:eastAsia="宋体" w:cs="宋体"/>
                <w:color w:val="000000"/>
                <w:kern w:val="0"/>
                <w:sz w:val="18"/>
                <w:szCs w:val="18"/>
                <w:lang w:val="en-US" w:eastAsia="zh-CN" w:bidi="ar"/>
              </w:rPr>
            </w:pPr>
          </w:p>
        </w:tc>
        <w:tc>
          <w:tcPr>
            <w:tcW w:w="1380" w:type="dxa"/>
            <w:tcBorders>
              <w:top w:val="nil"/>
              <w:left w:val="nil"/>
              <w:bottom w:val="single" w:color="auto" w:sz="4" w:space="0"/>
              <w:right w:val="single" w:color="auto" w:sz="4" w:space="0"/>
            </w:tcBorders>
            <w:noWrap w:val="0"/>
            <w:vAlign w:val="center"/>
          </w:tcPr>
          <w:p w14:paraId="71073674">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p>
        </w:tc>
        <w:tc>
          <w:tcPr>
            <w:tcW w:w="1644" w:type="dxa"/>
            <w:tcBorders>
              <w:top w:val="nil"/>
              <w:left w:val="nil"/>
              <w:bottom w:val="single" w:color="auto" w:sz="4" w:space="0"/>
              <w:right w:val="single" w:color="auto" w:sz="4" w:space="0"/>
            </w:tcBorders>
            <w:noWrap w:val="0"/>
            <w:vAlign w:val="center"/>
          </w:tcPr>
          <w:p w14:paraId="71F364E9">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p>
        </w:tc>
        <w:tc>
          <w:tcPr>
            <w:tcW w:w="1264" w:type="dxa"/>
            <w:tcBorders>
              <w:top w:val="nil"/>
              <w:left w:val="nil"/>
              <w:bottom w:val="single" w:color="auto" w:sz="4" w:space="0"/>
              <w:right w:val="single" w:color="auto" w:sz="4" w:space="0"/>
            </w:tcBorders>
            <w:noWrap w:val="0"/>
            <w:vAlign w:val="center"/>
          </w:tcPr>
          <w:p w14:paraId="192B5705">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bidi="ar"/>
              </w:rPr>
            </w:pPr>
          </w:p>
        </w:tc>
        <w:tc>
          <w:tcPr>
            <w:tcW w:w="1448" w:type="dxa"/>
            <w:tcBorders>
              <w:top w:val="nil"/>
              <w:left w:val="nil"/>
              <w:bottom w:val="single" w:color="auto" w:sz="4" w:space="0"/>
              <w:right w:val="single" w:color="auto" w:sz="4" w:space="0"/>
            </w:tcBorders>
            <w:noWrap w:val="0"/>
            <w:vAlign w:val="center"/>
          </w:tcPr>
          <w:p w14:paraId="246925E2">
            <w:pPr>
              <w:keepNext w:val="0"/>
              <w:keepLines w:val="0"/>
              <w:widowControl/>
              <w:suppressLineNumbers w:val="0"/>
              <w:jc w:val="center"/>
              <w:textAlignment w:val="center"/>
              <w:rPr>
                <w:rFonts w:hint="default" w:ascii="仿宋" w:hAnsi="仿宋" w:eastAsia="仿宋" w:cs="仿宋"/>
                <w:sz w:val="20"/>
                <w:szCs w:val="20"/>
                <w:lang w:val="en-US" w:eastAsia="zh-CN"/>
              </w:rPr>
            </w:pPr>
          </w:p>
        </w:tc>
        <w:tc>
          <w:tcPr>
            <w:tcW w:w="168" w:type="pct"/>
            <w:tcBorders>
              <w:top w:val="nil"/>
              <w:left w:val="nil"/>
              <w:bottom w:val="single" w:color="auto" w:sz="4" w:space="0"/>
              <w:right w:val="single" w:color="auto" w:sz="4" w:space="0"/>
            </w:tcBorders>
            <w:noWrap w:val="0"/>
            <w:vAlign w:val="center"/>
          </w:tcPr>
          <w:p w14:paraId="3E34A0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r>
      <w:tr w14:paraId="6168DC3B">
        <w:tblPrEx>
          <w:tblCellMar>
            <w:top w:w="0" w:type="dxa"/>
            <w:left w:w="108" w:type="dxa"/>
            <w:bottom w:w="0" w:type="dxa"/>
            <w:right w:w="108" w:type="dxa"/>
          </w:tblCellMar>
        </w:tblPrEx>
        <w:trPr>
          <w:trHeight w:val="1522" w:hRule="atLeast"/>
          <w:jc w:val="center"/>
        </w:trPr>
        <w:tc>
          <w:tcPr>
            <w:tcW w:w="432" w:type="pct"/>
            <w:vMerge w:val="continue"/>
            <w:tcBorders>
              <w:left w:val="single" w:color="auto" w:sz="4" w:space="0"/>
              <w:right w:val="single" w:color="auto" w:sz="4" w:space="0"/>
            </w:tcBorders>
            <w:shd w:val="clear" w:color="000000" w:fill="FFFFFF"/>
            <w:noWrap w:val="0"/>
            <w:vAlign w:val="center"/>
          </w:tcPr>
          <w:p w14:paraId="0999E8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489" w:type="pct"/>
            <w:vMerge w:val="continue"/>
            <w:tcBorders>
              <w:left w:val="single" w:color="auto" w:sz="4" w:space="0"/>
              <w:right w:val="single" w:color="auto" w:sz="4" w:space="0"/>
            </w:tcBorders>
            <w:noWrap w:val="0"/>
            <w:vAlign w:val="center"/>
          </w:tcPr>
          <w:p w14:paraId="287C0E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rPr>
            </w:pPr>
          </w:p>
        </w:tc>
        <w:tc>
          <w:tcPr>
            <w:tcW w:w="468" w:type="pct"/>
            <w:tcBorders>
              <w:top w:val="nil"/>
              <w:left w:val="nil"/>
              <w:bottom w:val="single" w:color="auto" w:sz="4" w:space="0"/>
              <w:right w:val="single" w:color="auto" w:sz="4" w:space="0"/>
            </w:tcBorders>
            <w:noWrap w:val="0"/>
            <w:vAlign w:val="center"/>
          </w:tcPr>
          <w:p w14:paraId="5C1B7631">
            <w:pPr>
              <w:widowControl/>
              <w:jc w:val="center"/>
              <w:textAlignment w:val="center"/>
              <w:rPr>
                <w:rFonts w:hint="eastAsia" w:ascii="宋体" w:hAnsi="宋体" w:eastAsia="宋体" w:cs="宋体"/>
                <w:color w:val="000000"/>
                <w:kern w:val="0"/>
                <w:sz w:val="18"/>
                <w:szCs w:val="18"/>
                <w:lang w:val="en-US" w:eastAsia="zh-CN" w:bidi="ar"/>
              </w:rPr>
            </w:pPr>
          </w:p>
        </w:tc>
        <w:tc>
          <w:tcPr>
            <w:tcW w:w="464" w:type="pct"/>
            <w:tcBorders>
              <w:top w:val="nil"/>
              <w:left w:val="nil"/>
              <w:bottom w:val="single" w:color="auto" w:sz="4" w:space="0"/>
              <w:right w:val="single" w:color="auto" w:sz="4" w:space="0"/>
            </w:tcBorders>
            <w:noWrap w:val="0"/>
            <w:vAlign w:val="center"/>
          </w:tcPr>
          <w:p w14:paraId="745E6DE6">
            <w:pPr>
              <w:widowControl/>
              <w:jc w:val="center"/>
              <w:textAlignment w:val="center"/>
              <w:rPr>
                <w:rFonts w:hint="eastAsia" w:ascii="宋体" w:hAnsi="宋体" w:eastAsia="宋体" w:cs="宋体"/>
                <w:color w:val="000000"/>
                <w:kern w:val="0"/>
                <w:sz w:val="18"/>
                <w:szCs w:val="18"/>
                <w:lang w:val="en-US" w:eastAsia="zh-CN" w:bidi="ar"/>
              </w:rPr>
            </w:pPr>
          </w:p>
        </w:tc>
        <w:tc>
          <w:tcPr>
            <w:tcW w:w="429" w:type="pct"/>
            <w:vMerge w:val="continue"/>
            <w:tcBorders>
              <w:left w:val="nil"/>
              <w:right w:val="single" w:color="auto" w:sz="4" w:space="0"/>
            </w:tcBorders>
            <w:noWrap w:val="0"/>
            <w:vAlign w:val="center"/>
          </w:tcPr>
          <w:p w14:paraId="086186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c>
          <w:tcPr>
            <w:tcW w:w="222" w:type="pct"/>
            <w:tcBorders>
              <w:top w:val="nil"/>
              <w:left w:val="nil"/>
              <w:bottom w:val="single" w:color="auto" w:sz="4" w:space="0"/>
              <w:right w:val="single" w:color="auto" w:sz="4" w:space="0"/>
            </w:tcBorders>
            <w:noWrap w:val="0"/>
            <w:vAlign w:val="center"/>
          </w:tcPr>
          <w:p w14:paraId="466BAFEC">
            <w:pPr>
              <w:widowControl/>
              <w:jc w:val="center"/>
              <w:textAlignment w:val="center"/>
              <w:rPr>
                <w:rFonts w:hint="eastAsia" w:ascii="仿宋" w:hAnsi="仿宋" w:eastAsia="仿宋" w:cs="仿宋"/>
                <w:sz w:val="20"/>
                <w:szCs w:val="20"/>
                <w:lang w:val="en-US" w:eastAsia="zh-CN"/>
              </w:rPr>
            </w:pPr>
          </w:p>
        </w:tc>
        <w:tc>
          <w:tcPr>
            <w:tcW w:w="413" w:type="pct"/>
            <w:tcBorders>
              <w:top w:val="nil"/>
              <w:left w:val="nil"/>
              <w:bottom w:val="single" w:color="auto" w:sz="4" w:space="0"/>
              <w:right w:val="single" w:color="auto" w:sz="4" w:space="0"/>
            </w:tcBorders>
            <w:noWrap w:val="0"/>
            <w:vAlign w:val="center"/>
          </w:tcPr>
          <w:p w14:paraId="2A3A486D">
            <w:pPr>
              <w:widowControl/>
              <w:jc w:val="center"/>
              <w:textAlignment w:val="center"/>
              <w:rPr>
                <w:rFonts w:hint="eastAsia" w:ascii="宋体" w:hAnsi="宋体" w:eastAsia="宋体" w:cs="宋体"/>
                <w:color w:val="000000"/>
                <w:kern w:val="0"/>
                <w:sz w:val="18"/>
                <w:szCs w:val="18"/>
                <w:lang w:val="en-US" w:eastAsia="zh-CN" w:bidi="ar"/>
              </w:rPr>
            </w:pPr>
          </w:p>
        </w:tc>
        <w:tc>
          <w:tcPr>
            <w:tcW w:w="1380" w:type="dxa"/>
            <w:tcBorders>
              <w:top w:val="nil"/>
              <w:left w:val="nil"/>
              <w:bottom w:val="single" w:color="auto" w:sz="4" w:space="0"/>
              <w:right w:val="single" w:color="auto" w:sz="4" w:space="0"/>
            </w:tcBorders>
            <w:noWrap w:val="0"/>
            <w:vAlign w:val="center"/>
          </w:tcPr>
          <w:p w14:paraId="12427179">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644" w:type="dxa"/>
            <w:tcBorders>
              <w:top w:val="nil"/>
              <w:left w:val="nil"/>
              <w:bottom w:val="single" w:color="auto" w:sz="4" w:space="0"/>
              <w:right w:val="single" w:color="auto" w:sz="4" w:space="0"/>
            </w:tcBorders>
            <w:noWrap w:val="0"/>
            <w:vAlign w:val="center"/>
          </w:tcPr>
          <w:p w14:paraId="5FA85AC8">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264" w:type="dxa"/>
            <w:tcBorders>
              <w:top w:val="nil"/>
              <w:left w:val="nil"/>
              <w:bottom w:val="single" w:color="auto" w:sz="4" w:space="0"/>
              <w:right w:val="single" w:color="auto" w:sz="4" w:space="0"/>
            </w:tcBorders>
            <w:noWrap w:val="0"/>
            <w:vAlign w:val="center"/>
          </w:tcPr>
          <w:p w14:paraId="3BDE2CE3">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p>
        </w:tc>
        <w:tc>
          <w:tcPr>
            <w:tcW w:w="1448" w:type="dxa"/>
            <w:tcBorders>
              <w:top w:val="nil"/>
              <w:left w:val="nil"/>
              <w:bottom w:val="single" w:color="auto" w:sz="4" w:space="0"/>
              <w:right w:val="single" w:color="auto" w:sz="4" w:space="0"/>
            </w:tcBorders>
            <w:noWrap w:val="0"/>
            <w:vAlign w:val="center"/>
          </w:tcPr>
          <w:p w14:paraId="25727660">
            <w:pPr>
              <w:keepNext w:val="0"/>
              <w:keepLines w:val="0"/>
              <w:widowControl/>
              <w:suppressLineNumbers w:val="0"/>
              <w:jc w:val="center"/>
              <w:textAlignment w:val="center"/>
              <w:rPr>
                <w:rFonts w:hint="eastAsia" w:ascii="仿宋" w:hAnsi="仿宋" w:eastAsia="仿宋" w:cs="仿宋"/>
                <w:sz w:val="20"/>
                <w:szCs w:val="20"/>
                <w:lang w:val="en-US" w:eastAsia="zh-CN"/>
              </w:rPr>
            </w:pPr>
          </w:p>
        </w:tc>
        <w:tc>
          <w:tcPr>
            <w:tcW w:w="168" w:type="pct"/>
            <w:tcBorders>
              <w:top w:val="nil"/>
              <w:left w:val="nil"/>
              <w:bottom w:val="single" w:color="auto" w:sz="4" w:space="0"/>
              <w:right w:val="single" w:color="auto" w:sz="4" w:space="0"/>
            </w:tcBorders>
            <w:noWrap w:val="0"/>
            <w:vAlign w:val="center"/>
          </w:tcPr>
          <w:p w14:paraId="130CA5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sz w:val="20"/>
                <w:szCs w:val="20"/>
                <w:lang w:val="en-US" w:eastAsia="zh-CN"/>
              </w:rPr>
            </w:pPr>
          </w:p>
        </w:tc>
      </w:tr>
      <w:tr w14:paraId="25203636">
        <w:tblPrEx>
          <w:tblCellMar>
            <w:top w:w="0" w:type="dxa"/>
            <w:left w:w="108" w:type="dxa"/>
            <w:bottom w:w="0" w:type="dxa"/>
            <w:right w:w="108" w:type="dxa"/>
          </w:tblCellMar>
        </w:tblPrEx>
        <w:trPr>
          <w:trHeight w:val="411" w:hRule="atLeast"/>
          <w:jc w:val="center"/>
        </w:trPr>
        <w:tc>
          <w:tcPr>
            <w:tcW w:w="2507" w:type="pct"/>
            <w:gridSpan w:val="6"/>
            <w:tcBorders>
              <w:top w:val="single" w:color="auto" w:sz="4" w:space="0"/>
              <w:left w:val="single" w:color="auto" w:sz="4" w:space="0"/>
              <w:bottom w:val="single" w:color="auto" w:sz="4" w:space="0"/>
              <w:right w:val="single" w:color="auto" w:sz="4" w:space="0"/>
            </w:tcBorders>
            <w:noWrap w:val="0"/>
            <w:vAlign w:val="center"/>
          </w:tcPr>
          <w:p w14:paraId="5FD10C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cs="仿宋"/>
                <w:b/>
                <w:bCs/>
                <w:color w:val="000000"/>
                <w:kern w:val="0"/>
                <w:sz w:val="20"/>
                <w:szCs w:val="20"/>
                <w:lang w:val="en-US" w:eastAsia="zh-CN" w:bidi="ar"/>
              </w:rPr>
            </w:pPr>
            <w:r>
              <w:rPr>
                <w:rFonts w:hint="eastAsia" w:ascii="仿宋" w:hAnsi="仿宋" w:cs="仿宋"/>
                <w:b/>
                <w:bCs/>
                <w:color w:val="000000"/>
                <w:kern w:val="0"/>
                <w:sz w:val="20"/>
                <w:szCs w:val="20"/>
                <w:lang w:val="en-US" w:eastAsia="zh-CN" w:bidi="ar"/>
              </w:rPr>
              <w:t>合计</w:t>
            </w:r>
          </w:p>
        </w:tc>
        <w:tc>
          <w:tcPr>
            <w:tcW w:w="413" w:type="pct"/>
            <w:tcBorders>
              <w:top w:val="nil"/>
              <w:left w:val="nil"/>
              <w:bottom w:val="single" w:color="auto" w:sz="4" w:space="0"/>
              <w:right w:val="single" w:color="auto" w:sz="4" w:space="0"/>
            </w:tcBorders>
            <w:noWrap w:val="0"/>
            <w:vAlign w:val="center"/>
          </w:tcPr>
          <w:p w14:paraId="7103A7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b/>
                <w:bCs/>
                <w:sz w:val="20"/>
                <w:szCs w:val="20"/>
                <w:lang w:val="en-US" w:eastAsia="zh-CN"/>
              </w:rPr>
            </w:pPr>
          </w:p>
        </w:tc>
        <w:tc>
          <w:tcPr>
            <w:tcW w:w="1380" w:type="dxa"/>
            <w:tcBorders>
              <w:top w:val="nil"/>
              <w:left w:val="nil"/>
              <w:bottom w:val="single" w:color="auto" w:sz="4" w:space="0"/>
              <w:right w:val="single" w:color="auto" w:sz="4" w:space="0"/>
            </w:tcBorders>
            <w:noWrap w:val="0"/>
            <w:vAlign w:val="center"/>
          </w:tcPr>
          <w:p w14:paraId="48EDD4E2">
            <w:pPr>
              <w:jc w:val="center"/>
              <w:rPr>
                <w:rFonts w:hint="eastAsia" w:ascii="仿宋" w:hAnsi="仿宋" w:eastAsia="仿宋" w:cs="仿宋"/>
                <w:b/>
                <w:bCs/>
                <w:sz w:val="20"/>
                <w:szCs w:val="20"/>
                <w:lang w:val="en-US" w:eastAsia="zh-CN"/>
              </w:rPr>
            </w:pPr>
          </w:p>
        </w:tc>
        <w:tc>
          <w:tcPr>
            <w:tcW w:w="1644" w:type="dxa"/>
            <w:tcBorders>
              <w:top w:val="nil"/>
              <w:left w:val="nil"/>
              <w:bottom w:val="single" w:color="auto" w:sz="4" w:space="0"/>
              <w:right w:val="single" w:color="auto" w:sz="4" w:space="0"/>
            </w:tcBorders>
            <w:noWrap w:val="0"/>
            <w:vAlign w:val="center"/>
          </w:tcPr>
          <w:p w14:paraId="04FAEDB5">
            <w:pPr>
              <w:jc w:val="center"/>
              <w:rPr>
                <w:rFonts w:hint="eastAsia" w:ascii="仿宋" w:hAnsi="仿宋" w:eastAsia="仿宋" w:cs="仿宋"/>
                <w:b/>
                <w:bCs/>
                <w:sz w:val="20"/>
                <w:szCs w:val="20"/>
                <w:lang w:val="en-US" w:eastAsia="zh-CN"/>
              </w:rPr>
            </w:pPr>
          </w:p>
        </w:tc>
        <w:tc>
          <w:tcPr>
            <w:tcW w:w="1264" w:type="dxa"/>
            <w:tcBorders>
              <w:top w:val="nil"/>
              <w:left w:val="nil"/>
              <w:bottom w:val="single" w:color="auto" w:sz="4" w:space="0"/>
              <w:right w:val="single" w:color="auto" w:sz="4" w:space="0"/>
            </w:tcBorders>
            <w:noWrap w:val="0"/>
            <w:vAlign w:val="center"/>
          </w:tcPr>
          <w:p w14:paraId="28CD13FE">
            <w:pPr>
              <w:jc w:val="center"/>
              <w:rPr>
                <w:rFonts w:hint="eastAsia" w:ascii="仿宋" w:hAnsi="仿宋" w:cs="仿宋"/>
                <w:b/>
                <w:bCs/>
                <w:sz w:val="20"/>
                <w:szCs w:val="20"/>
                <w:lang w:val="en-US" w:eastAsia="zh-CN"/>
              </w:rPr>
            </w:pPr>
          </w:p>
        </w:tc>
        <w:tc>
          <w:tcPr>
            <w:tcW w:w="1448" w:type="dxa"/>
            <w:tcBorders>
              <w:top w:val="nil"/>
              <w:left w:val="nil"/>
              <w:bottom w:val="single" w:color="auto" w:sz="4" w:space="0"/>
              <w:right w:val="single" w:color="auto" w:sz="4" w:space="0"/>
            </w:tcBorders>
            <w:noWrap w:val="0"/>
            <w:vAlign w:val="center"/>
          </w:tcPr>
          <w:p w14:paraId="40AE1B80">
            <w:pPr>
              <w:keepNext w:val="0"/>
              <w:keepLines w:val="0"/>
              <w:widowControl/>
              <w:suppressLineNumbers w:val="0"/>
              <w:jc w:val="center"/>
              <w:textAlignment w:val="center"/>
              <w:rPr>
                <w:rFonts w:hint="default" w:ascii="仿宋" w:hAnsi="仿宋" w:cs="仿宋"/>
                <w:b/>
                <w:bCs/>
                <w:sz w:val="20"/>
                <w:szCs w:val="20"/>
                <w:lang w:val="en-US" w:eastAsia="zh-CN"/>
              </w:rPr>
            </w:pPr>
          </w:p>
        </w:tc>
        <w:tc>
          <w:tcPr>
            <w:tcW w:w="168" w:type="pct"/>
            <w:tcBorders>
              <w:top w:val="nil"/>
              <w:left w:val="nil"/>
              <w:bottom w:val="single" w:color="auto" w:sz="4" w:space="0"/>
              <w:right w:val="single" w:color="auto" w:sz="4" w:space="0"/>
            </w:tcBorders>
            <w:noWrap w:val="0"/>
            <w:vAlign w:val="center"/>
          </w:tcPr>
          <w:p w14:paraId="62B8B8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cs="仿宋"/>
                <w:b/>
                <w:bCs/>
                <w:color w:val="000000"/>
                <w:kern w:val="0"/>
                <w:sz w:val="20"/>
                <w:szCs w:val="20"/>
                <w:lang w:val="en-US" w:eastAsia="zh-CN" w:bidi="ar"/>
              </w:rPr>
            </w:pPr>
          </w:p>
        </w:tc>
      </w:tr>
    </w:tbl>
    <w:p w14:paraId="0BB049F6">
      <w:pPr>
        <w:kinsoku w:val="0"/>
        <w:overflowPunct w:val="0"/>
        <w:autoSpaceDE w:val="0"/>
        <w:autoSpaceDN w:val="0"/>
        <w:adjustRightInd w:val="0"/>
        <w:snapToGrid w:val="0"/>
        <w:spacing w:line="360" w:lineRule="auto"/>
        <w:ind w:firstLine="480"/>
        <w:jc w:val="left"/>
        <w:rPr>
          <w:rFonts w:hint="eastAsia" w:ascii="宋体" w:hAnsi="宋体"/>
          <w:sz w:val="21"/>
          <w:szCs w:val="20"/>
        </w:rPr>
      </w:pPr>
      <w:r>
        <w:rPr>
          <w:rFonts w:hint="eastAsia" w:ascii="宋体" w:hAnsi="宋体" w:cs="宋体"/>
          <w:bCs/>
          <w:kern w:val="0"/>
          <w:sz w:val="21"/>
          <w:szCs w:val="21"/>
        </w:rPr>
        <w:t>含增值税到工地合价总计（人民币大写）：人民币</w:t>
      </w:r>
      <w:r>
        <w:rPr>
          <w:rFonts w:hint="eastAsia" w:ascii="宋体" w:hAnsi="宋体" w:cs="宋体"/>
          <w:bCs/>
          <w:kern w:val="0"/>
          <w:sz w:val="21"/>
          <w:szCs w:val="21"/>
          <w:lang w:eastAsia="zh-CN"/>
        </w:rPr>
        <w:t>。</w:t>
      </w:r>
      <w:r>
        <w:rPr>
          <w:rFonts w:hint="eastAsia" w:ascii="宋体" w:hAnsi="宋体"/>
          <w:sz w:val="21"/>
          <w:szCs w:val="20"/>
        </w:rPr>
        <w:t xml:space="preserve"> </w:t>
      </w:r>
    </w:p>
    <w:p w14:paraId="564E2DED">
      <w:pPr>
        <w:kinsoku w:val="0"/>
        <w:overflowPunct w:val="0"/>
        <w:autoSpaceDE w:val="0"/>
        <w:autoSpaceDN w:val="0"/>
        <w:adjustRightInd w:val="0"/>
        <w:snapToGrid w:val="0"/>
        <w:spacing w:line="360" w:lineRule="auto"/>
        <w:ind w:firstLine="482"/>
        <w:jc w:val="left"/>
        <w:rPr>
          <w:rFonts w:ascii="宋体" w:hAnsi="宋体" w:cs="宋体"/>
          <w:b/>
          <w:bCs/>
          <w:kern w:val="0"/>
          <w:sz w:val="21"/>
          <w:szCs w:val="21"/>
        </w:rPr>
      </w:pPr>
      <w:r>
        <w:rPr>
          <w:rFonts w:hint="eastAsia" w:ascii="宋体" w:hAnsi="宋体" w:cs="宋体"/>
          <w:b/>
          <w:bCs/>
          <w:kern w:val="0"/>
          <w:sz w:val="21"/>
          <w:szCs w:val="21"/>
        </w:rPr>
        <w:t>发票要求：</w:t>
      </w:r>
      <w:r>
        <w:rPr>
          <w:rFonts w:hint="eastAsia" w:ascii="宋体" w:hAnsi="宋体"/>
          <w:b/>
          <w:bCs/>
          <w:sz w:val="21"/>
          <w:szCs w:val="20"/>
        </w:rPr>
        <w:t>一票制结算，乙方开具税率为</w:t>
      </w:r>
      <w:r>
        <w:rPr>
          <w:rFonts w:hint="eastAsia" w:ascii="宋体" w:hAnsi="宋体"/>
          <w:b/>
          <w:bCs/>
          <w:sz w:val="21"/>
          <w:szCs w:val="20"/>
          <w:lang w:val="en-US" w:eastAsia="zh-CN"/>
        </w:rPr>
        <w:t>13</w:t>
      </w:r>
      <w:r>
        <w:rPr>
          <w:rFonts w:hint="eastAsia" w:ascii="宋体" w:hAnsi="宋体"/>
          <w:b/>
          <w:bCs/>
          <w:sz w:val="21"/>
          <w:szCs w:val="20"/>
        </w:rPr>
        <w:t>%的增值税专用发票。</w:t>
      </w:r>
    </w:p>
    <w:p w14:paraId="4CB04F6D">
      <w:pPr>
        <w:kinsoku w:val="0"/>
        <w:overflowPunct w:val="0"/>
        <w:autoSpaceDE w:val="0"/>
        <w:autoSpaceDN w:val="0"/>
        <w:adjustRightInd w:val="0"/>
        <w:snapToGrid w:val="0"/>
        <w:spacing w:line="360" w:lineRule="auto"/>
        <w:ind w:firstLine="480"/>
        <w:jc w:val="left"/>
        <w:rPr>
          <w:rFonts w:ascii="宋体" w:hAnsi="宋体" w:cs="宋体"/>
          <w:bCs/>
          <w:kern w:val="0"/>
          <w:sz w:val="21"/>
          <w:szCs w:val="21"/>
        </w:rPr>
      </w:pPr>
      <w:r>
        <w:rPr>
          <w:rFonts w:hint="eastAsia" w:ascii="宋体" w:hAnsi="宋体" w:cs="宋体"/>
          <w:bCs/>
          <w:kern w:val="0"/>
          <w:sz w:val="21"/>
          <w:szCs w:val="21"/>
        </w:rPr>
        <w:t>投标人名称 （加 盖 公 章）：</w:t>
      </w:r>
      <w:r>
        <w:rPr>
          <w:rFonts w:ascii="宋体" w:hAnsi="宋体" w:cs="宋体"/>
          <w:bCs/>
          <w:kern w:val="0"/>
          <w:sz w:val="21"/>
          <w:szCs w:val="21"/>
        </w:rPr>
        <w:t xml:space="preserve"> </w:t>
      </w:r>
    </w:p>
    <w:p w14:paraId="2018B1D0">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480"/>
        <w:jc w:val="left"/>
        <w:textAlignment w:val="auto"/>
        <w:rPr>
          <w:rFonts w:ascii="宋体" w:hAnsi="宋体"/>
          <w:sz w:val="24"/>
        </w:rPr>
      </w:pPr>
      <w:r>
        <w:rPr>
          <w:rFonts w:hint="eastAsia" w:ascii="宋体" w:hAnsi="宋体" w:cs="宋体"/>
          <w:bCs/>
          <w:kern w:val="0"/>
          <w:sz w:val="21"/>
          <w:szCs w:val="21"/>
        </w:rPr>
        <w:t>法定代表人或被授权代理人签字：</w:t>
      </w:r>
      <w:r>
        <w:rPr>
          <w:rFonts w:ascii="宋体" w:hAnsi="宋体"/>
          <w:sz w:val="22"/>
          <w:szCs w:val="21"/>
        </w:rPr>
        <w:br w:type="page"/>
      </w:r>
      <w:r>
        <w:rPr>
          <w:rFonts w:hint="eastAsia" w:ascii="宋体" w:hAnsi="宋体"/>
          <w:sz w:val="24"/>
        </w:rPr>
        <w:t>附件2：</w:t>
      </w:r>
    </w:p>
    <w:p w14:paraId="3FECFDC5">
      <w:pPr>
        <w:keepNext w:val="0"/>
        <w:keepLines w:val="0"/>
        <w:pageBreakBefore w:val="0"/>
        <w:widowControl w:val="0"/>
        <w:wordWrap/>
        <w:topLinePunct w:val="0"/>
        <w:bidi w:val="0"/>
        <w:spacing w:line="240" w:lineRule="auto"/>
        <w:ind w:firstLine="0" w:firstLineChars="0"/>
        <w:jc w:val="center"/>
        <w:textAlignment w:val="auto"/>
        <w:rPr>
          <w:rFonts w:ascii="宋体" w:hAnsi="宋体"/>
          <w:b/>
          <w:sz w:val="28"/>
          <w:szCs w:val="28"/>
        </w:rPr>
      </w:pPr>
      <w:r>
        <w:rPr>
          <w:rFonts w:ascii="宋体" w:hAnsi="宋体"/>
          <w:b/>
          <w:sz w:val="28"/>
          <w:szCs w:val="28"/>
        </w:rPr>
        <w:t>物资需求一览表</w:t>
      </w:r>
    </w:p>
    <w:p w14:paraId="7633BB4B">
      <w:pPr>
        <w:jc w:val="both"/>
        <w:rPr>
          <w:rFonts w:hint="eastAsia" w:ascii="仿宋" w:hAnsi="仿宋" w:cs="仿宋"/>
          <w:sz w:val="20"/>
          <w:szCs w:val="20"/>
          <w:lang w:val="en-US" w:eastAsia="zh-CN"/>
        </w:rPr>
      </w:pPr>
      <w:r>
        <w:rPr>
          <w:rFonts w:hint="eastAsia" w:ascii="仿宋" w:hAnsi="仿宋" w:eastAsia="仿宋" w:cs="仿宋"/>
          <w:kern w:val="0"/>
          <w:sz w:val="20"/>
          <w:szCs w:val="20"/>
        </w:rPr>
        <w:t xml:space="preserve">招标人名称： 中铁二局集团有限公司                           </w:t>
      </w:r>
      <w:r>
        <w:rPr>
          <w:rFonts w:hint="eastAsia" w:ascii="仿宋" w:hAnsi="仿宋" w:eastAsia="仿宋" w:cs="仿宋"/>
          <w:sz w:val="20"/>
          <w:szCs w:val="20"/>
          <w:lang w:val="en-US" w:eastAsia="zh-CN"/>
        </w:rPr>
        <w:t>采购</w:t>
      </w:r>
      <w:r>
        <w:rPr>
          <w:rFonts w:hint="eastAsia" w:ascii="仿宋" w:hAnsi="仿宋" w:eastAsia="仿宋" w:cs="仿宋"/>
          <w:sz w:val="20"/>
          <w:szCs w:val="20"/>
        </w:rPr>
        <w:t>编号</w:t>
      </w:r>
      <w:r>
        <w:rPr>
          <w:rFonts w:hint="eastAsia" w:ascii="仿宋" w:hAnsi="仿宋" w:eastAsia="仿宋" w:cs="仿宋"/>
          <w:kern w:val="0"/>
          <w:sz w:val="20"/>
          <w:szCs w:val="20"/>
          <w:lang w:val="en-US" w:eastAsia="zh-CN"/>
        </w:rPr>
        <w:t xml:space="preserve">：  </w:t>
      </w:r>
      <w:r>
        <w:rPr>
          <w:rFonts w:hint="eastAsia" w:ascii="仿宋" w:hAnsi="仿宋" w:eastAsia="仿宋" w:cs="仿宋"/>
          <w:kern w:val="0"/>
          <w:sz w:val="20"/>
          <w:szCs w:val="20"/>
        </w:rPr>
        <w:t xml:space="preserve">          </w:t>
      </w:r>
      <w:r>
        <w:rPr>
          <w:rFonts w:hint="eastAsia" w:ascii="仿宋" w:hAnsi="仿宋" w:eastAsia="仿宋" w:cs="仿宋"/>
          <w:kern w:val="0"/>
          <w:sz w:val="20"/>
          <w:szCs w:val="20"/>
          <w:lang w:val="en-US" w:eastAsia="zh-CN"/>
        </w:rPr>
        <w:t xml:space="preserve">  </w:t>
      </w:r>
      <w:r>
        <w:rPr>
          <w:rFonts w:hint="eastAsia" w:ascii="仿宋" w:hAnsi="仿宋" w:eastAsia="仿宋" w:cs="仿宋"/>
          <w:kern w:val="0"/>
          <w:sz w:val="20"/>
          <w:szCs w:val="20"/>
        </w:rPr>
        <w:t xml:space="preserve">           包件号：</w:t>
      </w:r>
    </w:p>
    <w:tbl>
      <w:tblPr>
        <w:tblStyle w:val="7"/>
        <w:tblW w:w="5286" w:type="pct"/>
        <w:jc w:val="center"/>
        <w:tblLayout w:type="autofit"/>
        <w:tblCellMar>
          <w:top w:w="0" w:type="dxa"/>
          <w:left w:w="108" w:type="dxa"/>
          <w:bottom w:w="0" w:type="dxa"/>
          <w:right w:w="108" w:type="dxa"/>
        </w:tblCellMar>
      </w:tblPr>
      <w:tblGrid>
        <w:gridCol w:w="547"/>
        <w:gridCol w:w="1818"/>
        <w:gridCol w:w="1934"/>
        <w:gridCol w:w="1054"/>
        <w:gridCol w:w="1661"/>
        <w:gridCol w:w="1543"/>
        <w:gridCol w:w="1108"/>
        <w:gridCol w:w="1051"/>
        <w:gridCol w:w="2128"/>
        <w:gridCol w:w="1574"/>
        <w:gridCol w:w="1214"/>
      </w:tblGrid>
      <w:tr w14:paraId="26EBD337">
        <w:tblPrEx>
          <w:tblCellMar>
            <w:top w:w="0" w:type="dxa"/>
            <w:left w:w="108" w:type="dxa"/>
            <w:bottom w:w="0" w:type="dxa"/>
            <w:right w:w="108" w:type="dxa"/>
          </w:tblCellMar>
        </w:tblPrEx>
        <w:trPr>
          <w:trHeight w:val="693" w:hRule="atLeast"/>
          <w:jc w:val="center"/>
        </w:trPr>
        <w:tc>
          <w:tcPr>
            <w:tcW w:w="175" w:type="pct"/>
            <w:tcBorders>
              <w:top w:val="single" w:color="auto" w:sz="4" w:space="0"/>
              <w:left w:val="single" w:color="auto" w:sz="4" w:space="0"/>
              <w:bottom w:val="single" w:color="auto" w:sz="4" w:space="0"/>
              <w:right w:val="single" w:color="auto" w:sz="4" w:space="0"/>
            </w:tcBorders>
            <w:noWrap w:val="0"/>
            <w:vAlign w:val="center"/>
          </w:tcPr>
          <w:p w14:paraId="5E7DF7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序号</w:t>
            </w:r>
          </w:p>
        </w:tc>
        <w:tc>
          <w:tcPr>
            <w:tcW w:w="581" w:type="pct"/>
            <w:tcBorders>
              <w:top w:val="single" w:color="auto" w:sz="4" w:space="0"/>
              <w:left w:val="nil"/>
              <w:bottom w:val="single" w:color="auto" w:sz="4" w:space="0"/>
              <w:right w:val="single" w:color="auto" w:sz="4" w:space="0"/>
            </w:tcBorders>
            <w:noWrap w:val="0"/>
            <w:vAlign w:val="center"/>
          </w:tcPr>
          <w:p w14:paraId="1A2AA0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物资名称</w:t>
            </w:r>
          </w:p>
        </w:tc>
        <w:tc>
          <w:tcPr>
            <w:tcW w:w="616" w:type="pct"/>
            <w:tcBorders>
              <w:top w:val="single" w:color="auto" w:sz="4" w:space="0"/>
              <w:left w:val="nil"/>
              <w:bottom w:val="single" w:color="auto" w:sz="4" w:space="0"/>
              <w:right w:val="single" w:color="auto" w:sz="4" w:space="0"/>
            </w:tcBorders>
            <w:noWrap w:val="0"/>
            <w:vAlign w:val="center"/>
          </w:tcPr>
          <w:p w14:paraId="09AA90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规格型号</w:t>
            </w:r>
          </w:p>
        </w:tc>
        <w:tc>
          <w:tcPr>
            <w:tcW w:w="337" w:type="pct"/>
            <w:tcBorders>
              <w:top w:val="single" w:color="auto" w:sz="4" w:space="0"/>
              <w:left w:val="nil"/>
              <w:bottom w:val="single" w:color="auto" w:sz="4" w:space="0"/>
              <w:right w:val="single" w:color="auto" w:sz="4" w:space="0"/>
            </w:tcBorders>
            <w:noWrap w:val="0"/>
            <w:vAlign w:val="center"/>
          </w:tcPr>
          <w:p w14:paraId="3F8B28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计量单位</w:t>
            </w:r>
          </w:p>
        </w:tc>
        <w:tc>
          <w:tcPr>
            <w:tcW w:w="531" w:type="pct"/>
            <w:tcBorders>
              <w:top w:val="single" w:color="auto" w:sz="4" w:space="0"/>
              <w:left w:val="nil"/>
              <w:bottom w:val="single" w:color="auto" w:sz="4" w:space="0"/>
              <w:right w:val="single" w:color="auto" w:sz="4" w:space="0"/>
            </w:tcBorders>
            <w:noWrap w:val="0"/>
            <w:vAlign w:val="center"/>
          </w:tcPr>
          <w:p w14:paraId="6E8510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数量</w:t>
            </w:r>
          </w:p>
        </w:tc>
        <w:tc>
          <w:tcPr>
            <w:tcW w:w="493" w:type="pct"/>
            <w:tcBorders>
              <w:top w:val="single" w:color="auto" w:sz="4" w:space="0"/>
              <w:left w:val="nil"/>
              <w:bottom w:val="single" w:color="auto" w:sz="4" w:space="0"/>
              <w:right w:val="single" w:color="auto" w:sz="4" w:space="0"/>
            </w:tcBorders>
            <w:noWrap w:val="0"/>
            <w:vAlign w:val="center"/>
          </w:tcPr>
          <w:p w14:paraId="7B94E5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技术标准及要求</w:t>
            </w:r>
          </w:p>
        </w:tc>
        <w:tc>
          <w:tcPr>
            <w:tcW w:w="354" w:type="pct"/>
            <w:tcBorders>
              <w:top w:val="single" w:color="auto" w:sz="4" w:space="0"/>
              <w:left w:val="nil"/>
              <w:bottom w:val="single" w:color="auto" w:sz="4" w:space="0"/>
              <w:right w:val="single" w:color="auto" w:sz="4" w:space="0"/>
            </w:tcBorders>
            <w:noWrap w:val="0"/>
            <w:vAlign w:val="center"/>
          </w:tcPr>
          <w:p w14:paraId="369B14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交货状态</w:t>
            </w:r>
          </w:p>
        </w:tc>
        <w:tc>
          <w:tcPr>
            <w:tcW w:w="336" w:type="pct"/>
            <w:tcBorders>
              <w:top w:val="single" w:color="auto" w:sz="4" w:space="0"/>
              <w:left w:val="nil"/>
              <w:bottom w:val="single" w:color="auto" w:sz="4" w:space="0"/>
              <w:right w:val="single" w:color="auto" w:sz="4" w:space="0"/>
            </w:tcBorders>
            <w:noWrap w:val="0"/>
            <w:vAlign w:val="center"/>
          </w:tcPr>
          <w:p w14:paraId="7535F8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交货条件</w:t>
            </w:r>
          </w:p>
        </w:tc>
        <w:tc>
          <w:tcPr>
            <w:tcW w:w="680" w:type="pct"/>
            <w:tcBorders>
              <w:top w:val="single" w:color="auto" w:sz="4" w:space="0"/>
              <w:left w:val="nil"/>
              <w:bottom w:val="single" w:color="auto" w:sz="4" w:space="0"/>
              <w:right w:val="single" w:color="auto" w:sz="4" w:space="0"/>
            </w:tcBorders>
            <w:noWrap w:val="0"/>
            <w:vAlign w:val="center"/>
          </w:tcPr>
          <w:p w14:paraId="282D05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交货地点</w:t>
            </w:r>
          </w:p>
        </w:tc>
        <w:tc>
          <w:tcPr>
            <w:tcW w:w="503" w:type="pct"/>
            <w:tcBorders>
              <w:top w:val="single" w:color="auto" w:sz="4" w:space="0"/>
              <w:left w:val="nil"/>
              <w:bottom w:val="single" w:color="auto" w:sz="4" w:space="0"/>
              <w:right w:val="single" w:color="auto" w:sz="4" w:space="0"/>
            </w:tcBorders>
            <w:noWrap w:val="0"/>
            <w:vAlign w:val="center"/>
          </w:tcPr>
          <w:p w14:paraId="3018E1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收货人</w:t>
            </w:r>
          </w:p>
        </w:tc>
        <w:tc>
          <w:tcPr>
            <w:tcW w:w="388" w:type="pct"/>
            <w:tcBorders>
              <w:top w:val="single" w:color="auto" w:sz="4" w:space="0"/>
              <w:left w:val="nil"/>
              <w:bottom w:val="single" w:color="auto" w:sz="4" w:space="0"/>
              <w:right w:val="single" w:color="auto" w:sz="4" w:space="0"/>
            </w:tcBorders>
            <w:noWrap w:val="0"/>
            <w:vAlign w:val="center"/>
          </w:tcPr>
          <w:p w14:paraId="0CC2DD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交货期</w:t>
            </w:r>
          </w:p>
        </w:tc>
      </w:tr>
      <w:tr w14:paraId="286F30AE">
        <w:tblPrEx>
          <w:tblCellMar>
            <w:top w:w="0" w:type="dxa"/>
            <w:left w:w="108" w:type="dxa"/>
            <w:bottom w:w="0" w:type="dxa"/>
            <w:right w:w="108" w:type="dxa"/>
          </w:tblCellMar>
        </w:tblPrEx>
        <w:trPr>
          <w:trHeight w:val="1157" w:hRule="atLeast"/>
          <w:jc w:val="center"/>
        </w:trPr>
        <w:tc>
          <w:tcPr>
            <w:tcW w:w="175" w:type="pct"/>
            <w:tcBorders>
              <w:top w:val="single" w:color="auto" w:sz="4" w:space="0"/>
              <w:left w:val="single" w:color="auto" w:sz="4" w:space="0"/>
              <w:bottom w:val="single" w:color="auto" w:sz="4" w:space="0"/>
              <w:right w:val="single" w:color="auto" w:sz="4" w:space="0"/>
            </w:tcBorders>
            <w:noWrap w:val="0"/>
            <w:vAlign w:val="center"/>
          </w:tcPr>
          <w:p w14:paraId="417A31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p>
        </w:tc>
        <w:tc>
          <w:tcPr>
            <w:tcW w:w="1818" w:type="dxa"/>
            <w:tcBorders>
              <w:top w:val="single" w:color="auto" w:sz="4" w:space="0"/>
              <w:left w:val="nil"/>
              <w:bottom w:val="single" w:color="auto" w:sz="4" w:space="0"/>
              <w:right w:val="single" w:color="auto" w:sz="4" w:space="0"/>
            </w:tcBorders>
            <w:noWrap w:val="0"/>
            <w:vAlign w:val="center"/>
          </w:tcPr>
          <w:p w14:paraId="6A0E512E">
            <w:pPr>
              <w:widowControl/>
              <w:jc w:val="center"/>
              <w:textAlignment w:val="center"/>
              <w:rPr>
                <w:rFonts w:hint="eastAsia" w:ascii="宋体" w:hAnsi="宋体" w:eastAsia="宋体" w:cs="宋体"/>
                <w:color w:val="000000"/>
                <w:kern w:val="0"/>
                <w:sz w:val="18"/>
                <w:szCs w:val="18"/>
                <w:lang w:val="en-US" w:eastAsia="zh-CN" w:bidi="ar"/>
              </w:rPr>
            </w:pPr>
          </w:p>
        </w:tc>
        <w:tc>
          <w:tcPr>
            <w:tcW w:w="1934" w:type="dxa"/>
            <w:tcBorders>
              <w:top w:val="single" w:color="auto" w:sz="4" w:space="0"/>
              <w:left w:val="nil"/>
              <w:bottom w:val="single" w:color="auto" w:sz="4" w:space="0"/>
              <w:right w:val="single" w:color="auto" w:sz="4" w:space="0"/>
            </w:tcBorders>
            <w:noWrap w:val="0"/>
            <w:vAlign w:val="center"/>
          </w:tcPr>
          <w:p w14:paraId="1F5C0E03">
            <w:pPr>
              <w:widowControl/>
              <w:jc w:val="center"/>
              <w:textAlignment w:val="center"/>
              <w:rPr>
                <w:rFonts w:hint="default" w:ascii="宋体" w:hAnsi="宋体" w:eastAsia="宋体" w:cs="宋体"/>
                <w:color w:val="000000"/>
                <w:kern w:val="0"/>
                <w:sz w:val="18"/>
                <w:szCs w:val="18"/>
                <w:lang w:val="en-US" w:eastAsia="zh-CN" w:bidi="ar"/>
              </w:rPr>
            </w:pPr>
          </w:p>
        </w:tc>
        <w:tc>
          <w:tcPr>
            <w:tcW w:w="1054" w:type="dxa"/>
            <w:tcBorders>
              <w:top w:val="single" w:color="auto" w:sz="4" w:space="0"/>
              <w:left w:val="nil"/>
              <w:bottom w:val="single" w:color="auto" w:sz="4" w:space="0"/>
              <w:right w:val="single" w:color="auto" w:sz="4" w:space="0"/>
            </w:tcBorders>
            <w:noWrap w:val="0"/>
            <w:vAlign w:val="center"/>
          </w:tcPr>
          <w:p w14:paraId="3B4A26E7">
            <w:pPr>
              <w:widowControl/>
              <w:jc w:val="center"/>
              <w:textAlignment w:val="center"/>
              <w:rPr>
                <w:rFonts w:hint="eastAsia" w:ascii="宋体" w:hAnsi="宋体" w:eastAsia="宋体" w:cs="宋体"/>
                <w:color w:val="000000"/>
                <w:kern w:val="0"/>
                <w:sz w:val="18"/>
                <w:szCs w:val="18"/>
                <w:lang w:val="en-US" w:eastAsia="zh-CN" w:bidi="ar"/>
              </w:rPr>
            </w:pPr>
          </w:p>
        </w:tc>
        <w:tc>
          <w:tcPr>
            <w:tcW w:w="1661" w:type="dxa"/>
            <w:tcBorders>
              <w:top w:val="single" w:color="auto" w:sz="4" w:space="0"/>
              <w:left w:val="nil"/>
              <w:bottom w:val="single" w:color="auto" w:sz="4" w:space="0"/>
              <w:right w:val="single" w:color="auto" w:sz="4" w:space="0"/>
            </w:tcBorders>
            <w:noWrap w:val="0"/>
            <w:vAlign w:val="center"/>
          </w:tcPr>
          <w:p w14:paraId="4BC717B6">
            <w:pPr>
              <w:widowControl/>
              <w:jc w:val="center"/>
              <w:textAlignment w:val="center"/>
              <w:rPr>
                <w:rFonts w:hint="eastAsia" w:ascii="宋体" w:hAnsi="宋体" w:eastAsia="宋体" w:cs="宋体"/>
                <w:color w:val="000000"/>
                <w:kern w:val="0"/>
                <w:sz w:val="18"/>
                <w:szCs w:val="18"/>
                <w:lang w:val="en-US" w:eastAsia="zh-CN" w:bidi="ar"/>
              </w:rPr>
            </w:pPr>
          </w:p>
        </w:tc>
        <w:tc>
          <w:tcPr>
            <w:tcW w:w="493" w:type="pct"/>
            <w:vMerge w:val="restart"/>
            <w:tcBorders>
              <w:top w:val="single" w:color="auto" w:sz="4" w:space="0"/>
              <w:left w:val="single" w:color="auto" w:sz="4" w:space="0"/>
              <w:right w:val="single" w:color="auto" w:sz="4" w:space="0"/>
            </w:tcBorders>
            <w:noWrap w:val="0"/>
            <w:vAlign w:val="center"/>
          </w:tcPr>
          <w:p w14:paraId="3F40AF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rPr>
            </w:pPr>
            <w:r>
              <w:rPr>
                <w:rFonts w:hint="eastAsia" w:ascii="仿宋" w:hAnsi="仿宋" w:eastAsia="仿宋" w:cs="仿宋"/>
                <w:kern w:val="0"/>
                <w:sz w:val="18"/>
                <w:szCs w:val="18"/>
              </w:rPr>
              <w:t>见技术规格书</w:t>
            </w:r>
          </w:p>
        </w:tc>
        <w:tc>
          <w:tcPr>
            <w:tcW w:w="354" w:type="pct"/>
            <w:vMerge w:val="restart"/>
            <w:tcBorders>
              <w:top w:val="single" w:color="auto" w:sz="4" w:space="0"/>
              <w:left w:val="single" w:color="auto" w:sz="4" w:space="0"/>
              <w:right w:val="single" w:color="auto" w:sz="4" w:space="0"/>
            </w:tcBorders>
            <w:noWrap w:val="0"/>
            <w:vAlign w:val="center"/>
          </w:tcPr>
          <w:p w14:paraId="388FEB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符合各项质量、技术指标</w:t>
            </w:r>
          </w:p>
        </w:tc>
        <w:tc>
          <w:tcPr>
            <w:tcW w:w="336" w:type="pct"/>
            <w:vMerge w:val="restart"/>
            <w:tcBorders>
              <w:top w:val="single" w:color="auto" w:sz="4" w:space="0"/>
              <w:left w:val="single" w:color="auto" w:sz="4" w:space="0"/>
              <w:right w:val="single" w:color="auto" w:sz="4" w:space="0"/>
            </w:tcBorders>
            <w:noWrap w:val="0"/>
            <w:vAlign w:val="center"/>
          </w:tcPr>
          <w:p w14:paraId="30E747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lang w:val="en-US" w:eastAsia="zh-CN"/>
              </w:rPr>
              <w:t>板车</w:t>
            </w:r>
            <w:r>
              <w:rPr>
                <w:rFonts w:hint="eastAsia" w:ascii="仿宋" w:hAnsi="仿宋" w:eastAsia="仿宋" w:cs="仿宋"/>
                <w:kern w:val="0"/>
                <w:sz w:val="18"/>
                <w:szCs w:val="18"/>
              </w:rPr>
              <w:t>交货</w:t>
            </w:r>
          </w:p>
        </w:tc>
        <w:tc>
          <w:tcPr>
            <w:tcW w:w="680" w:type="pct"/>
            <w:vMerge w:val="restart"/>
            <w:tcBorders>
              <w:top w:val="single" w:color="auto" w:sz="4" w:space="0"/>
              <w:left w:val="nil"/>
              <w:right w:val="single" w:color="auto" w:sz="4" w:space="0"/>
            </w:tcBorders>
            <w:noWrap w:val="0"/>
            <w:vAlign w:val="center"/>
          </w:tcPr>
          <w:p w14:paraId="504AC7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lang w:eastAsia="zh-CN"/>
              </w:rPr>
            </w:pPr>
            <w:r>
              <w:rPr>
                <w:rFonts w:hint="eastAsia" w:ascii="仿宋" w:hAnsi="仿宋" w:eastAsia="仿宋" w:cs="仿宋"/>
                <w:kern w:val="0"/>
                <w:sz w:val="18"/>
                <w:szCs w:val="18"/>
              </w:rPr>
              <w:t>河北省衡水市中铁二局雄商高铁衡水枢纽站前一标项目</w:t>
            </w:r>
            <w:r>
              <w:rPr>
                <w:rFonts w:hint="eastAsia" w:ascii="仿宋" w:hAnsi="仿宋" w:eastAsia="仿宋" w:cs="仿宋"/>
                <w:kern w:val="0"/>
                <w:sz w:val="18"/>
                <w:szCs w:val="18"/>
                <w:lang w:val="en-US" w:eastAsia="zh-CN"/>
              </w:rPr>
              <w:t>工地</w:t>
            </w:r>
          </w:p>
        </w:tc>
        <w:tc>
          <w:tcPr>
            <w:tcW w:w="503" w:type="pct"/>
            <w:vMerge w:val="restart"/>
            <w:tcBorders>
              <w:top w:val="single" w:color="auto" w:sz="4" w:space="0"/>
              <w:left w:val="nil"/>
              <w:right w:val="single" w:color="auto" w:sz="4" w:space="0"/>
            </w:tcBorders>
            <w:noWrap w:val="0"/>
            <w:vAlign w:val="center"/>
          </w:tcPr>
          <w:p w14:paraId="57F3E5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徐朝辉 18728030166</w:t>
            </w:r>
          </w:p>
        </w:tc>
        <w:tc>
          <w:tcPr>
            <w:tcW w:w="388" w:type="pct"/>
            <w:vMerge w:val="restart"/>
            <w:tcBorders>
              <w:top w:val="single" w:color="auto" w:sz="4" w:space="0"/>
              <w:left w:val="single" w:color="auto" w:sz="4" w:space="0"/>
              <w:right w:val="single" w:color="auto" w:sz="4" w:space="0"/>
            </w:tcBorders>
            <w:noWrap w:val="0"/>
            <w:vAlign w:val="center"/>
          </w:tcPr>
          <w:p w14:paraId="33263F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根据现场施工需求进场</w:t>
            </w:r>
          </w:p>
        </w:tc>
      </w:tr>
      <w:tr w14:paraId="5B64A9CF">
        <w:tblPrEx>
          <w:tblCellMar>
            <w:top w:w="0" w:type="dxa"/>
            <w:left w:w="108" w:type="dxa"/>
            <w:bottom w:w="0" w:type="dxa"/>
            <w:right w:w="108" w:type="dxa"/>
          </w:tblCellMar>
        </w:tblPrEx>
        <w:trPr>
          <w:trHeight w:val="1157" w:hRule="atLeast"/>
          <w:jc w:val="center"/>
        </w:trPr>
        <w:tc>
          <w:tcPr>
            <w:tcW w:w="175" w:type="pct"/>
            <w:tcBorders>
              <w:top w:val="single" w:color="auto" w:sz="4" w:space="0"/>
              <w:left w:val="single" w:color="auto" w:sz="4" w:space="0"/>
              <w:bottom w:val="single" w:color="auto" w:sz="4" w:space="0"/>
              <w:right w:val="single" w:color="auto" w:sz="4" w:space="0"/>
            </w:tcBorders>
            <w:noWrap w:val="0"/>
            <w:vAlign w:val="center"/>
          </w:tcPr>
          <w:p w14:paraId="149EE2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lang w:val="en-US" w:eastAsia="zh-CN"/>
              </w:rPr>
            </w:pPr>
          </w:p>
        </w:tc>
        <w:tc>
          <w:tcPr>
            <w:tcW w:w="1818" w:type="dxa"/>
            <w:tcBorders>
              <w:top w:val="single" w:color="auto" w:sz="4" w:space="0"/>
              <w:left w:val="nil"/>
              <w:bottom w:val="single" w:color="auto" w:sz="4" w:space="0"/>
              <w:right w:val="single" w:color="auto" w:sz="4" w:space="0"/>
            </w:tcBorders>
            <w:noWrap w:val="0"/>
            <w:vAlign w:val="center"/>
          </w:tcPr>
          <w:p w14:paraId="2A2CD73A">
            <w:pPr>
              <w:widowControl/>
              <w:jc w:val="center"/>
              <w:textAlignment w:val="center"/>
              <w:rPr>
                <w:rFonts w:hint="eastAsia" w:ascii="宋体" w:hAnsi="宋体" w:eastAsia="宋体" w:cs="宋体"/>
                <w:color w:val="000000"/>
                <w:kern w:val="0"/>
                <w:sz w:val="18"/>
                <w:szCs w:val="18"/>
                <w:lang w:val="en-US" w:eastAsia="zh-CN" w:bidi="ar"/>
              </w:rPr>
            </w:pPr>
          </w:p>
        </w:tc>
        <w:tc>
          <w:tcPr>
            <w:tcW w:w="1934" w:type="dxa"/>
            <w:tcBorders>
              <w:top w:val="single" w:color="auto" w:sz="4" w:space="0"/>
              <w:left w:val="nil"/>
              <w:bottom w:val="single" w:color="auto" w:sz="4" w:space="0"/>
              <w:right w:val="single" w:color="auto" w:sz="4" w:space="0"/>
            </w:tcBorders>
            <w:noWrap w:val="0"/>
            <w:vAlign w:val="center"/>
          </w:tcPr>
          <w:p w14:paraId="3B7A33CC">
            <w:pPr>
              <w:widowControl/>
              <w:jc w:val="center"/>
              <w:textAlignment w:val="center"/>
              <w:rPr>
                <w:rFonts w:hint="eastAsia" w:ascii="宋体" w:hAnsi="宋体" w:eastAsia="宋体" w:cs="宋体"/>
                <w:color w:val="000000"/>
                <w:kern w:val="0"/>
                <w:sz w:val="18"/>
                <w:szCs w:val="18"/>
                <w:lang w:val="en-US" w:eastAsia="zh-CN" w:bidi="ar"/>
              </w:rPr>
            </w:pPr>
          </w:p>
        </w:tc>
        <w:tc>
          <w:tcPr>
            <w:tcW w:w="1054" w:type="dxa"/>
            <w:tcBorders>
              <w:top w:val="single" w:color="auto" w:sz="4" w:space="0"/>
              <w:left w:val="nil"/>
              <w:bottom w:val="single" w:color="auto" w:sz="4" w:space="0"/>
              <w:right w:val="single" w:color="auto" w:sz="4" w:space="0"/>
            </w:tcBorders>
            <w:noWrap w:val="0"/>
            <w:vAlign w:val="center"/>
          </w:tcPr>
          <w:p w14:paraId="7DD17992">
            <w:pPr>
              <w:widowControl/>
              <w:jc w:val="center"/>
              <w:textAlignment w:val="center"/>
              <w:rPr>
                <w:rFonts w:hint="eastAsia" w:ascii="宋体" w:hAnsi="宋体" w:eastAsia="宋体" w:cs="宋体"/>
                <w:color w:val="000000"/>
                <w:kern w:val="0"/>
                <w:sz w:val="18"/>
                <w:szCs w:val="18"/>
                <w:lang w:val="en-US" w:eastAsia="zh-CN" w:bidi="ar"/>
              </w:rPr>
            </w:pPr>
          </w:p>
        </w:tc>
        <w:tc>
          <w:tcPr>
            <w:tcW w:w="1661" w:type="dxa"/>
            <w:tcBorders>
              <w:top w:val="single" w:color="auto" w:sz="4" w:space="0"/>
              <w:left w:val="nil"/>
              <w:bottom w:val="single" w:color="auto" w:sz="4" w:space="0"/>
              <w:right w:val="single" w:color="auto" w:sz="4" w:space="0"/>
            </w:tcBorders>
            <w:noWrap w:val="0"/>
            <w:vAlign w:val="center"/>
          </w:tcPr>
          <w:p w14:paraId="2EBE3376">
            <w:pPr>
              <w:widowControl/>
              <w:jc w:val="center"/>
              <w:textAlignment w:val="center"/>
              <w:rPr>
                <w:rFonts w:hint="eastAsia" w:ascii="宋体" w:hAnsi="宋体" w:eastAsia="宋体" w:cs="宋体"/>
                <w:color w:val="000000"/>
                <w:kern w:val="0"/>
                <w:sz w:val="18"/>
                <w:szCs w:val="18"/>
                <w:lang w:val="en-US" w:eastAsia="zh-CN" w:bidi="ar"/>
              </w:rPr>
            </w:pPr>
          </w:p>
        </w:tc>
        <w:tc>
          <w:tcPr>
            <w:tcW w:w="493" w:type="pct"/>
            <w:vMerge w:val="continue"/>
            <w:tcBorders>
              <w:left w:val="single" w:color="auto" w:sz="4" w:space="0"/>
              <w:right w:val="single" w:color="auto" w:sz="4" w:space="0"/>
            </w:tcBorders>
            <w:noWrap w:val="0"/>
            <w:vAlign w:val="center"/>
          </w:tcPr>
          <w:p w14:paraId="6764DC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p>
        </w:tc>
        <w:tc>
          <w:tcPr>
            <w:tcW w:w="354" w:type="pct"/>
            <w:vMerge w:val="continue"/>
            <w:tcBorders>
              <w:left w:val="single" w:color="auto" w:sz="4" w:space="0"/>
              <w:right w:val="single" w:color="auto" w:sz="4" w:space="0"/>
            </w:tcBorders>
            <w:noWrap w:val="0"/>
            <w:vAlign w:val="center"/>
          </w:tcPr>
          <w:p w14:paraId="033D68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p>
        </w:tc>
        <w:tc>
          <w:tcPr>
            <w:tcW w:w="336" w:type="pct"/>
            <w:vMerge w:val="continue"/>
            <w:tcBorders>
              <w:left w:val="single" w:color="auto" w:sz="4" w:space="0"/>
              <w:right w:val="single" w:color="auto" w:sz="4" w:space="0"/>
            </w:tcBorders>
            <w:noWrap w:val="0"/>
            <w:vAlign w:val="center"/>
          </w:tcPr>
          <w:p w14:paraId="0A9733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cs="仿宋"/>
                <w:kern w:val="0"/>
                <w:sz w:val="18"/>
                <w:szCs w:val="18"/>
                <w:lang w:val="en-US" w:eastAsia="zh-CN"/>
              </w:rPr>
            </w:pPr>
          </w:p>
        </w:tc>
        <w:tc>
          <w:tcPr>
            <w:tcW w:w="680" w:type="pct"/>
            <w:vMerge w:val="continue"/>
            <w:tcBorders>
              <w:left w:val="nil"/>
              <w:right w:val="single" w:color="auto" w:sz="4" w:space="0"/>
            </w:tcBorders>
            <w:noWrap w:val="0"/>
            <w:vAlign w:val="center"/>
          </w:tcPr>
          <w:p w14:paraId="583964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p>
        </w:tc>
        <w:tc>
          <w:tcPr>
            <w:tcW w:w="503" w:type="pct"/>
            <w:vMerge w:val="continue"/>
            <w:tcBorders>
              <w:left w:val="nil"/>
              <w:right w:val="single" w:color="auto" w:sz="4" w:space="0"/>
            </w:tcBorders>
            <w:noWrap w:val="0"/>
            <w:vAlign w:val="center"/>
          </w:tcPr>
          <w:p w14:paraId="475E22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p>
        </w:tc>
        <w:tc>
          <w:tcPr>
            <w:tcW w:w="388" w:type="pct"/>
            <w:vMerge w:val="continue"/>
            <w:tcBorders>
              <w:left w:val="single" w:color="auto" w:sz="4" w:space="0"/>
              <w:right w:val="single" w:color="auto" w:sz="4" w:space="0"/>
            </w:tcBorders>
            <w:noWrap w:val="0"/>
            <w:vAlign w:val="center"/>
          </w:tcPr>
          <w:p w14:paraId="3039F3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kern w:val="0"/>
                <w:sz w:val="18"/>
                <w:szCs w:val="18"/>
              </w:rPr>
            </w:pPr>
          </w:p>
        </w:tc>
      </w:tr>
      <w:tr w14:paraId="4ADCADEC">
        <w:tblPrEx>
          <w:tblCellMar>
            <w:top w:w="0" w:type="dxa"/>
            <w:left w:w="108" w:type="dxa"/>
            <w:bottom w:w="0" w:type="dxa"/>
            <w:right w:w="108" w:type="dxa"/>
          </w:tblCellMar>
        </w:tblPrEx>
        <w:trPr>
          <w:trHeight w:val="485" w:hRule="atLeast"/>
          <w:jc w:val="center"/>
        </w:trPr>
        <w:tc>
          <w:tcPr>
            <w:tcW w:w="1374" w:type="pct"/>
            <w:gridSpan w:val="3"/>
            <w:tcBorders>
              <w:top w:val="single" w:color="auto" w:sz="4" w:space="0"/>
              <w:left w:val="single" w:color="auto" w:sz="4" w:space="0"/>
              <w:bottom w:val="single" w:color="auto" w:sz="4" w:space="0"/>
              <w:right w:val="single" w:color="000000" w:sz="4" w:space="0"/>
            </w:tcBorders>
            <w:noWrap w:val="0"/>
            <w:vAlign w:val="center"/>
          </w:tcPr>
          <w:p w14:paraId="228B7AA1">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r>
              <w:rPr>
                <w:rFonts w:hint="eastAsia" w:ascii="仿宋" w:hAnsi="仿宋" w:eastAsia="仿宋" w:cs="仿宋"/>
                <w:kern w:val="0"/>
                <w:sz w:val="18"/>
                <w:szCs w:val="18"/>
              </w:rPr>
              <w:t>合计</w:t>
            </w:r>
          </w:p>
        </w:tc>
        <w:tc>
          <w:tcPr>
            <w:tcW w:w="337" w:type="pct"/>
            <w:tcBorders>
              <w:top w:val="nil"/>
              <w:left w:val="nil"/>
              <w:bottom w:val="single" w:color="auto" w:sz="4" w:space="0"/>
              <w:right w:val="single" w:color="auto" w:sz="4" w:space="0"/>
            </w:tcBorders>
            <w:noWrap w:val="0"/>
            <w:vAlign w:val="center"/>
          </w:tcPr>
          <w:p w14:paraId="0D443A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仿宋" w:hAnsi="仿宋" w:cs="仿宋"/>
                <w:b/>
                <w:bCs/>
                <w:kern w:val="0"/>
                <w:sz w:val="18"/>
                <w:szCs w:val="18"/>
                <w:lang w:val="en-US" w:eastAsia="zh-CN"/>
              </w:rPr>
            </w:pPr>
          </w:p>
        </w:tc>
        <w:tc>
          <w:tcPr>
            <w:tcW w:w="1661" w:type="dxa"/>
            <w:tcBorders>
              <w:top w:val="nil"/>
              <w:left w:val="nil"/>
              <w:bottom w:val="single" w:color="auto" w:sz="4" w:space="0"/>
              <w:right w:val="single" w:color="auto" w:sz="4" w:space="0"/>
            </w:tcBorders>
            <w:noWrap w:val="0"/>
            <w:vAlign w:val="center"/>
          </w:tcPr>
          <w:p w14:paraId="0E1152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仿宋" w:hAnsi="仿宋" w:cs="仿宋"/>
                <w:b/>
                <w:bCs/>
                <w:kern w:val="0"/>
                <w:sz w:val="18"/>
                <w:szCs w:val="18"/>
                <w:lang w:val="en-US" w:eastAsia="zh-CN"/>
              </w:rPr>
            </w:pPr>
          </w:p>
        </w:tc>
        <w:tc>
          <w:tcPr>
            <w:tcW w:w="493" w:type="pct"/>
            <w:vMerge w:val="continue"/>
            <w:tcBorders>
              <w:left w:val="single" w:color="auto" w:sz="4" w:space="0"/>
              <w:bottom w:val="single" w:color="auto" w:sz="4" w:space="0"/>
              <w:right w:val="single" w:color="auto" w:sz="4" w:space="0"/>
            </w:tcBorders>
            <w:noWrap w:val="0"/>
            <w:vAlign w:val="center"/>
          </w:tcPr>
          <w:p w14:paraId="575D3C72">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c>
          <w:tcPr>
            <w:tcW w:w="354" w:type="pct"/>
            <w:vMerge w:val="continue"/>
            <w:tcBorders>
              <w:left w:val="single" w:color="auto" w:sz="4" w:space="0"/>
              <w:bottom w:val="single" w:color="auto" w:sz="4" w:space="0"/>
              <w:right w:val="single" w:color="auto" w:sz="4" w:space="0"/>
            </w:tcBorders>
            <w:noWrap w:val="0"/>
            <w:vAlign w:val="center"/>
          </w:tcPr>
          <w:p w14:paraId="5EBC6AE7">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c>
          <w:tcPr>
            <w:tcW w:w="336" w:type="pct"/>
            <w:vMerge w:val="continue"/>
            <w:tcBorders>
              <w:left w:val="single" w:color="auto" w:sz="4" w:space="0"/>
              <w:bottom w:val="single" w:color="auto" w:sz="4" w:space="0"/>
              <w:right w:val="single" w:color="auto" w:sz="4" w:space="0"/>
            </w:tcBorders>
            <w:noWrap w:val="0"/>
            <w:vAlign w:val="center"/>
          </w:tcPr>
          <w:p w14:paraId="14405385">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c>
          <w:tcPr>
            <w:tcW w:w="680" w:type="pct"/>
            <w:vMerge w:val="continue"/>
            <w:tcBorders>
              <w:left w:val="nil"/>
              <w:bottom w:val="single" w:color="auto" w:sz="4" w:space="0"/>
              <w:right w:val="single" w:color="auto" w:sz="4" w:space="0"/>
            </w:tcBorders>
            <w:noWrap w:val="0"/>
            <w:vAlign w:val="center"/>
          </w:tcPr>
          <w:p w14:paraId="1624B1FE">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c>
          <w:tcPr>
            <w:tcW w:w="503" w:type="pct"/>
            <w:vMerge w:val="continue"/>
            <w:tcBorders>
              <w:left w:val="nil"/>
              <w:bottom w:val="single" w:color="auto" w:sz="4" w:space="0"/>
              <w:right w:val="single" w:color="auto" w:sz="4" w:space="0"/>
            </w:tcBorders>
            <w:noWrap w:val="0"/>
            <w:vAlign w:val="center"/>
          </w:tcPr>
          <w:p w14:paraId="2C213176">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c>
          <w:tcPr>
            <w:tcW w:w="388" w:type="pct"/>
            <w:vMerge w:val="continue"/>
            <w:tcBorders>
              <w:left w:val="single" w:color="auto" w:sz="4" w:space="0"/>
              <w:bottom w:val="single" w:color="auto" w:sz="4" w:space="0"/>
              <w:right w:val="single" w:color="auto" w:sz="4" w:space="0"/>
            </w:tcBorders>
            <w:noWrap w:val="0"/>
            <w:vAlign w:val="center"/>
          </w:tcPr>
          <w:p w14:paraId="02705E0D">
            <w:pPr>
              <w:keepNext w:val="0"/>
              <w:keepLines w:val="0"/>
              <w:pageBreakBefore w:val="0"/>
              <w:widowControl/>
              <w:kinsoku/>
              <w:wordWrap/>
              <w:overflowPunct/>
              <w:topLinePunct w:val="0"/>
              <w:autoSpaceDE/>
              <w:autoSpaceDN/>
              <w:bidi w:val="0"/>
              <w:adjustRightInd/>
              <w:snapToGrid/>
              <w:spacing w:line="240" w:lineRule="auto"/>
              <w:ind w:firstLine="400"/>
              <w:jc w:val="center"/>
              <w:rPr>
                <w:rFonts w:hint="eastAsia" w:ascii="仿宋" w:hAnsi="仿宋" w:eastAsia="仿宋" w:cs="仿宋"/>
                <w:kern w:val="0"/>
                <w:sz w:val="18"/>
                <w:szCs w:val="18"/>
              </w:rPr>
            </w:pPr>
          </w:p>
        </w:tc>
      </w:tr>
    </w:tbl>
    <w:p w14:paraId="48F5F54A">
      <w:pPr>
        <w:widowControl/>
        <w:spacing w:line="240" w:lineRule="auto"/>
        <w:ind w:firstLine="400"/>
        <w:jc w:val="left"/>
        <w:rPr>
          <w:rFonts w:ascii="宋体" w:hAnsi="宋体" w:cs="Arial"/>
          <w:kern w:val="0"/>
          <w:sz w:val="20"/>
        </w:rPr>
      </w:pPr>
      <w:r>
        <w:rPr>
          <w:rFonts w:hint="eastAsia" w:ascii="宋体" w:hAnsi="宋体" w:cs="Arial"/>
          <w:kern w:val="0"/>
          <w:sz w:val="20"/>
        </w:rPr>
        <w:t>备注：</w:t>
      </w:r>
    </w:p>
    <w:p w14:paraId="0E4BB5AA">
      <w:pPr>
        <w:widowControl/>
        <w:spacing w:line="240" w:lineRule="auto"/>
        <w:ind w:firstLine="400"/>
        <w:jc w:val="left"/>
        <w:rPr>
          <w:rFonts w:hint="eastAsia" w:ascii="宋体" w:hAnsi="宋体" w:cs="Arial"/>
          <w:kern w:val="0"/>
          <w:sz w:val="20"/>
          <w:szCs w:val="22"/>
        </w:rPr>
      </w:pPr>
      <w:r>
        <w:rPr>
          <w:rFonts w:hint="eastAsia" w:ascii="宋体" w:hAnsi="宋体" w:cs="Arial"/>
          <w:kern w:val="0"/>
          <w:sz w:val="20"/>
          <w:szCs w:val="22"/>
        </w:rPr>
        <w:t>1、表中为初步设计规格数量，最终规格数量以施工图为准，使用单位可根据施工图对以上规格数量进行调整。</w:t>
      </w:r>
    </w:p>
    <w:p w14:paraId="58A4B0C0">
      <w:pPr>
        <w:widowControl/>
        <w:spacing w:line="240" w:lineRule="auto"/>
        <w:ind w:firstLine="400"/>
        <w:jc w:val="left"/>
        <w:rPr>
          <w:rFonts w:hint="eastAsia" w:ascii="宋体" w:hAnsi="宋体" w:cs="Arial"/>
          <w:kern w:val="0"/>
          <w:sz w:val="20"/>
          <w:szCs w:val="22"/>
        </w:rPr>
      </w:pPr>
      <w:r>
        <w:rPr>
          <w:rFonts w:hint="eastAsia" w:ascii="宋体" w:hAnsi="宋体" w:cs="Arial"/>
          <w:kern w:val="0"/>
          <w:sz w:val="20"/>
          <w:szCs w:val="22"/>
        </w:rPr>
        <w:t>2、交货时间及地点具体以使用单位通知为准。</w:t>
      </w:r>
    </w:p>
    <w:p w14:paraId="4ECD8523">
      <w:pPr>
        <w:widowControl/>
        <w:spacing w:line="240" w:lineRule="auto"/>
        <w:ind w:firstLine="400"/>
        <w:jc w:val="left"/>
        <w:rPr>
          <w:rFonts w:hint="eastAsia" w:ascii="宋体" w:hAnsi="宋体" w:cs="Arial"/>
          <w:kern w:val="0"/>
          <w:sz w:val="20"/>
          <w:szCs w:val="22"/>
        </w:rPr>
      </w:pPr>
      <w:r>
        <w:rPr>
          <w:rFonts w:hint="eastAsia" w:ascii="宋体" w:hAnsi="宋体" w:cs="Arial"/>
          <w:kern w:val="0"/>
          <w:sz w:val="20"/>
          <w:szCs w:val="22"/>
        </w:rPr>
        <w:t>3、发票要求：一票制增值税专用发票，税率为</w:t>
      </w:r>
      <w:r>
        <w:rPr>
          <w:rFonts w:hint="eastAsia" w:ascii="宋体" w:hAnsi="宋体" w:cs="Arial"/>
          <w:kern w:val="0"/>
          <w:sz w:val="20"/>
          <w:szCs w:val="22"/>
          <w:lang w:val="en-US" w:eastAsia="zh-CN"/>
        </w:rPr>
        <w:t>13</w:t>
      </w:r>
      <w:r>
        <w:rPr>
          <w:rFonts w:hint="eastAsia" w:ascii="宋体" w:hAnsi="宋体" w:cs="Arial"/>
          <w:kern w:val="0"/>
          <w:sz w:val="20"/>
          <w:szCs w:val="22"/>
        </w:rPr>
        <w:t>%。</w:t>
      </w:r>
    </w:p>
    <w:p w14:paraId="44315B6B">
      <w:pPr>
        <w:widowControl/>
        <w:spacing w:line="240" w:lineRule="auto"/>
        <w:ind w:firstLine="400"/>
        <w:jc w:val="left"/>
        <w:rPr>
          <w:rFonts w:hint="eastAsia" w:ascii="宋体" w:hAnsi="宋体" w:cs="Arial"/>
          <w:kern w:val="0"/>
          <w:sz w:val="20"/>
          <w:szCs w:val="22"/>
        </w:rPr>
        <w:sectPr>
          <w:pgSz w:w="16838" w:h="11906" w:orient="landscape"/>
          <w:pgMar w:top="1474" w:right="1134" w:bottom="1191" w:left="1134" w:header="964" w:footer="1531" w:gutter="0"/>
          <w:pgNumType w:fmt="decimal"/>
          <w:cols w:space="720" w:num="1"/>
          <w:docGrid w:linePitch="312" w:charSpace="0"/>
        </w:sectPr>
      </w:pPr>
      <w:r>
        <w:rPr>
          <w:rFonts w:hint="eastAsia" w:ascii="宋体" w:hAnsi="宋体" w:cs="Arial"/>
          <w:kern w:val="0"/>
          <w:sz w:val="20"/>
          <w:szCs w:val="22"/>
        </w:rPr>
        <w:t>4、货款支付方式：合同“买方”在结算当月扣除该批物资价值5%的质量保证金，在结算后第四个月20日前支付该批物资75%的价款，剩余的20%在第五个月20日前支付,质保金在质保期满后支付。（“买方有权采用银行转账、信用证或供应链金融（包括但不限于商业承兑汇票、银行承兑汇票、建行E信通、航信、中铁E信）等形式付款。”）</w:t>
      </w:r>
    </w:p>
    <w:p w14:paraId="576DB600">
      <w:pPr>
        <w:spacing w:line="360" w:lineRule="auto"/>
        <w:ind w:firstLine="480"/>
        <w:rPr>
          <w:rFonts w:ascii="宋体" w:hAnsi="宋体"/>
          <w:sz w:val="24"/>
        </w:rPr>
      </w:pPr>
      <w:r>
        <w:rPr>
          <w:rFonts w:hint="eastAsia" w:ascii="宋体" w:hAnsi="宋体"/>
          <w:sz w:val="24"/>
        </w:rPr>
        <w:t>附件</w:t>
      </w:r>
      <w:r>
        <w:rPr>
          <w:rFonts w:ascii="宋体" w:hAnsi="宋体"/>
          <w:sz w:val="24"/>
        </w:rPr>
        <w:t>3</w:t>
      </w:r>
      <w:r>
        <w:rPr>
          <w:rFonts w:hint="eastAsia" w:ascii="宋体" w:hAnsi="宋体"/>
          <w:sz w:val="24"/>
        </w:rPr>
        <w:t>：</w:t>
      </w:r>
    </w:p>
    <w:p w14:paraId="48034318">
      <w:pPr>
        <w:spacing w:line="360" w:lineRule="auto"/>
        <w:ind w:firstLine="643"/>
        <w:jc w:val="center"/>
      </w:pPr>
      <w:r>
        <w:rPr>
          <w:rFonts w:hint="eastAsia" w:ascii="宋体" w:hAnsi="宋体" w:cs="宋体"/>
          <w:b/>
          <w:sz w:val="24"/>
          <w:szCs w:val="28"/>
        </w:rPr>
        <w:t>技术规格书</w:t>
      </w:r>
    </w:p>
    <w:p w14:paraId="01DF4E64">
      <w:pPr>
        <w:spacing w:line="390" w:lineRule="exact"/>
        <w:ind w:firstLine="480"/>
        <w:rPr>
          <w:rFonts w:ascii="宋体" w:hAnsi="宋体"/>
          <w:sz w:val="24"/>
        </w:rPr>
      </w:pPr>
    </w:p>
    <w:p w14:paraId="05795964">
      <w:pPr>
        <w:spacing w:line="390" w:lineRule="exact"/>
        <w:rPr>
          <w:rFonts w:ascii="宋体" w:hAnsi="宋体"/>
          <w:sz w:val="24"/>
        </w:rPr>
      </w:pPr>
    </w:p>
    <w:p w14:paraId="3AE941C7">
      <w:pPr>
        <w:spacing w:line="390" w:lineRule="exact"/>
        <w:ind w:firstLine="480"/>
        <w:rPr>
          <w:rFonts w:ascii="宋体" w:hAnsi="宋体"/>
          <w:sz w:val="24"/>
        </w:rPr>
      </w:pPr>
    </w:p>
    <w:p w14:paraId="6AFB6215">
      <w:pPr>
        <w:spacing w:line="390" w:lineRule="exact"/>
        <w:ind w:firstLine="480"/>
        <w:rPr>
          <w:rFonts w:ascii="宋体" w:hAnsi="宋体"/>
          <w:sz w:val="24"/>
        </w:rPr>
      </w:pPr>
    </w:p>
    <w:p w14:paraId="0F370A43">
      <w:pPr>
        <w:spacing w:line="390" w:lineRule="exact"/>
        <w:ind w:firstLine="480"/>
        <w:rPr>
          <w:rFonts w:ascii="宋体" w:hAnsi="宋体"/>
          <w:sz w:val="24"/>
        </w:rPr>
      </w:pPr>
    </w:p>
    <w:p w14:paraId="2504A7F8">
      <w:pPr>
        <w:spacing w:line="390" w:lineRule="exact"/>
        <w:ind w:firstLine="480"/>
        <w:rPr>
          <w:rFonts w:ascii="宋体" w:hAnsi="宋体"/>
          <w:sz w:val="24"/>
        </w:rPr>
      </w:pPr>
    </w:p>
    <w:p w14:paraId="6858BEC2">
      <w:pPr>
        <w:spacing w:line="390" w:lineRule="exact"/>
        <w:ind w:firstLine="480"/>
        <w:rPr>
          <w:rFonts w:ascii="宋体" w:hAnsi="宋体"/>
          <w:sz w:val="24"/>
        </w:rPr>
      </w:pPr>
    </w:p>
    <w:p w14:paraId="4B679865">
      <w:pPr>
        <w:spacing w:line="390" w:lineRule="exact"/>
        <w:ind w:firstLine="480"/>
        <w:rPr>
          <w:rFonts w:ascii="宋体" w:hAnsi="宋体"/>
          <w:sz w:val="24"/>
        </w:rPr>
      </w:pPr>
    </w:p>
    <w:p w14:paraId="273543FA">
      <w:pPr>
        <w:spacing w:line="390" w:lineRule="exact"/>
        <w:ind w:firstLine="480"/>
        <w:rPr>
          <w:rFonts w:ascii="宋体" w:hAnsi="宋体"/>
          <w:sz w:val="24"/>
        </w:rPr>
      </w:pPr>
    </w:p>
    <w:p w14:paraId="3E05FB7F">
      <w:pPr>
        <w:spacing w:line="390" w:lineRule="exact"/>
        <w:ind w:firstLine="480"/>
        <w:rPr>
          <w:rFonts w:ascii="宋体" w:hAnsi="宋体"/>
          <w:sz w:val="24"/>
        </w:rPr>
      </w:pPr>
    </w:p>
    <w:p w14:paraId="0C7B2C5C">
      <w:pPr>
        <w:spacing w:line="390" w:lineRule="exact"/>
        <w:ind w:firstLine="480"/>
        <w:rPr>
          <w:rFonts w:ascii="宋体" w:hAnsi="宋体"/>
          <w:sz w:val="24"/>
        </w:rPr>
      </w:pPr>
    </w:p>
    <w:p w14:paraId="412A840E">
      <w:pPr>
        <w:spacing w:line="390" w:lineRule="exact"/>
        <w:ind w:firstLine="480"/>
        <w:rPr>
          <w:rFonts w:ascii="宋体" w:hAnsi="宋体"/>
          <w:sz w:val="24"/>
        </w:rPr>
      </w:pPr>
    </w:p>
    <w:p w14:paraId="1E47E857">
      <w:pPr>
        <w:spacing w:line="390" w:lineRule="exact"/>
        <w:ind w:firstLine="480"/>
        <w:rPr>
          <w:rFonts w:ascii="宋体" w:hAnsi="宋体"/>
          <w:sz w:val="24"/>
        </w:rPr>
      </w:pPr>
    </w:p>
    <w:p w14:paraId="62B4D87E">
      <w:pPr>
        <w:spacing w:line="390" w:lineRule="exact"/>
        <w:ind w:firstLine="480"/>
        <w:rPr>
          <w:rFonts w:ascii="宋体" w:hAnsi="宋体"/>
          <w:sz w:val="24"/>
        </w:rPr>
      </w:pPr>
    </w:p>
    <w:p w14:paraId="435F1628">
      <w:pPr>
        <w:spacing w:line="390" w:lineRule="exact"/>
        <w:ind w:firstLine="480"/>
        <w:rPr>
          <w:rFonts w:ascii="宋体" w:hAnsi="宋体"/>
          <w:sz w:val="24"/>
        </w:rPr>
      </w:pPr>
    </w:p>
    <w:p w14:paraId="3F66DA89">
      <w:pPr>
        <w:spacing w:line="390" w:lineRule="exact"/>
        <w:ind w:firstLine="480"/>
        <w:rPr>
          <w:rFonts w:ascii="宋体" w:hAnsi="宋体"/>
          <w:sz w:val="24"/>
        </w:rPr>
      </w:pPr>
    </w:p>
    <w:p w14:paraId="35D6FD6D">
      <w:pPr>
        <w:spacing w:line="390" w:lineRule="exact"/>
        <w:ind w:firstLine="480"/>
        <w:rPr>
          <w:rFonts w:ascii="宋体" w:hAnsi="宋体"/>
          <w:sz w:val="24"/>
        </w:rPr>
      </w:pPr>
    </w:p>
    <w:p w14:paraId="669C8B53">
      <w:pPr>
        <w:spacing w:line="390" w:lineRule="exact"/>
        <w:ind w:firstLine="480"/>
        <w:rPr>
          <w:rFonts w:ascii="宋体" w:hAnsi="宋体"/>
          <w:sz w:val="24"/>
        </w:rPr>
      </w:pPr>
    </w:p>
    <w:p w14:paraId="3397F614">
      <w:pPr>
        <w:spacing w:line="390" w:lineRule="exact"/>
        <w:ind w:firstLine="480"/>
        <w:rPr>
          <w:rFonts w:ascii="宋体" w:hAnsi="宋体"/>
          <w:sz w:val="24"/>
        </w:rPr>
      </w:pPr>
    </w:p>
    <w:p w14:paraId="0BE42E12">
      <w:pPr>
        <w:spacing w:line="390" w:lineRule="exact"/>
        <w:ind w:firstLine="480"/>
        <w:rPr>
          <w:rFonts w:ascii="宋体" w:hAnsi="宋体"/>
          <w:sz w:val="24"/>
        </w:rPr>
      </w:pPr>
    </w:p>
    <w:p w14:paraId="602D519C">
      <w:pPr>
        <w:spacing w:line="390" w:lineRule="exact"/>
        <w:ind w:firstLine="480"/>
        <w:rPr>
          <w:rFonts w:ascii="宋体" w:hAnsi="宋体"/>
          <w:sz w:val="24"/>
        </w:rPr>
      </w:pPr>
    </w:p>
    <w:p w14:paraId="0977862D">
      <w:pPr>
        <w:spacing w:line="390" w:lineRule="exact"/>
        <w:ind w:firstLine="480"/>
        <w:rPr>
          <w:rFonts w:ascii="宋体" w:hAnsi="宋体"/>
          <w:sz w:val="24"/>
        </w:rPr>
      </w:pPr>
    </w:p>
    <w:p w14:paraId="3F7E3BC1">
      <w:pPr>
        <w:spacing w:line="390" w:lineRule="exact"/>
        <w:ind w:firstLine="480"/>
        <w:rPr>
          <w:rFonts w:ascii="宋体" w:hAnsi="宋体"/>
          <w:sz w:val="24"/>
        </w:rPr>
      </w:pPr>
    </w:p>
    <w:p w14:paraId="4FE0EF6B">
      <w:pPr>
        <w:spacing w:line="390" w:lineRule="exact"/>
        <w:ind w:firstLine="480"/>
        <w:rPr>
          <w:rFonts w:ascii="宋体" w:hAnsi="宋体"/>
          <w:sz w:val="24"/>
        </w:rPr>
      </w:pPr>
    </w:p>
    <w:p w14:paraId="59A8B91D">
      <w:pPr>
        <w:spacing w:line="390" w:lineRule="exact"/>
        <w:ind w:firstLine="480"/>
        <w:rPr>
          <w:rFonts w:ascii="宋体" w:hAnsi="宋体"/>
          <w:sz w:val="24"/>
        </w:rPr>
      </w:pPr>
    </w:p>
    <w:p w14:paraId="3E0B9EFF">
      <w:pPr>
        <w:spacing w:line="390" w:lineRule="exact"/>
        <w:ind w:firstLine="480"/>
        <w:rPr>
          <w:rFonts w:ascii="宋体" w:hAnsi="宋体"/>
          <w:sz w:val="24"/>
        </w:rPr>
      </w:pPr>
    </w:p>
    <w:p w14:paraId="66215A4E">
      <w:pPr>
        <w:spacing w:line="390" w:lineRule="exact"/>
        <w:ind w:firstLine="480"/>
        <w:rPr>
          <w:rFonts w:ascii="宋体" w:hAnsi="宋体"/>
          <w:sz w:val="24"/>
        </w:rPr>
      </w:pPr>
    </w:p>
    <w:p w14:paraId="39191B03">
      <w:pPr>
        <w:spacing w:line="390" w:lineRule="exact"/>
        <w:ind w:firstLine="480"/>
        <w:rPr>
          <w:rFonts w:ascii="宋体" w:hAnsi="宋体"/>
          <w:sz w:val="24"/>
        </w:rPr>
      </w:pPr>
    </w:p>
    <w:p w14:paraId="0998A47B">
      <w:pPr>
        <w:spacing w:line="390" w:lineRule="exact"/>
        <w:ind w:firstLine="480"/>
        <w:rPr>
          <w:rFonts w:ascii="宋体" w:hAnsi="宋体"/>
          <w:sz w:val="24"/>
        </w:rPr>
      </w:pPr>
    </w:p>
    <w:p w14:paraId="59E85C64">
      <w:pPr>
        <w:spacing w:line="390" w:lineRule="exact"/>
        <w:ind w:firstLine="480"/>
        <w:rPr>
          <w:rFonts w:ascii="宋体" w:hAnsi="宋体"/>
          <w:sz w:val="24"/>
        </w:rPr>
      </w:pPr>
    </w:p>
    <w:p w14:paraId="772D04A9">
      <w:pPr>
        <w:spacing w:line="390" w:lineRule="exact"/>
        <w:ind w:firstLine="480"/>
        <w:rPr>
          <w:rFonts w:ascii="宋体" w:hAnsi="宋体"/>
          <w:sz w:val="24"/>
        </w:rPr>
      </w:pPr>
      <w:r>
        <w:rPr>
          <w:rFonts w:ascii="宋体" w:hAnsi="宋体"/>
          <w:sz w:val="24"/>
        </w:rPr>
        <w:t>附件</w:t>
      </w:r>
      <w:r>
        <w:rPr>
          <w:rFonts w:hint="eastAsia" w:ascii="宋体" w:hAnsi="宋体"/>
          <w:sz w:val="24"/>
        </w:rPr>
        <w:t>4：</w:t>
      </w:r>
    </w:p>
    <w:p w14:paraId="29016B34">
      <w:pPr>
        <w:jc w:val="center"/>
        <w:rPr>
          <w:rFonts w:hint="eastAsia" w:ascii="宋体" w:hAnsi="宋体"/>
          <w:color w:val="FF0000"/>
          <w:sz w:val="24"/>
          <w:szCs w:val="24"/>
        </w:rPr>
        <w:sectPr>
          <w:pgSz w:w="11906" w:h="16838"/>
          <w:pgMar w:top="2154" w:right="1474" w:bottom="2041" w:left="1587" w:header="851" w:footer="992" w:gutter="0"/>
          <w:pgNumType w:fmt="decimal"/>
          <w:cols w:space="720" w:num="1"/>
          <w:docGrid w:type="lines" w:linePitch="312" w:charSpace="0"/>
        </w:sectPr>
      </w:pPr>
    </w:p>
    <w:p w14:paraId="1A2DD503">
      <w:pPr>
        <w:rPr>
          <w:rFonts w:hint="eastAsia" w:ascii="宋体" w:hAnsi="宋体"/>
          <w:color w:val="FF0000"/>
          <w:sz w:val="24"/>
          <w:szCs w:val="24"/>
        </w:rPr>
      </w:pPr>
    </w:p>
    <w:p w14:paraId="4FBC6543">
      <w:pPr>
        <w:spacing w:line="390" w:lineRule="exact"/>
        <w:ind w:firstLine="480"/>
        <w:rPr>
          <w:rFonts w:ascii="宋体" w:hAnsi="宋体"/>
          <w:sz w:val="24"/>
        </w:rPr>
      </w:pPr>
      <w:r>
        <w:rPr>
          <w:rFonts w:ascii="宋体" w:hAnsi="宋体"/>
          <w:sz w:val="24"/>
        </w:rPr>
        <w:t>附件</w:t>
      </w:r>
      <w:r>
        <w:rPr>
          <w:rFonts w:hint="eastAsia" w:ascii="宋体" w:hAnsi="宋体"/>
          <w:sz w:val="24"/>
          <w:lang w:val="en-US" w:eastAsia="zh-CN"/>
        </w:rPr>
        <w:t>5</w:t>
      </w:r>
      <w:r>
        <w:rPr>
          <w:rFonts w:hint="eastAsia" w:ascii="宋体" w:hAnsi="宋体"/>
          <w:sz w:val="24"/>
        </w:rPr>
        <w:t>：</w:t>
      </w:r>
    </w:p>
    <w:p w14:paraId="0FAA8064">
      <w:pPr>
        <w:tabs>
          <w:tab w:val="left" w:pos="360"/>
        </w:tabs>
        <w:spacing w:line="390" w:lineRule="exact"/>
        <w:jc w:val="center"/>
        <w:rPr>
          <w:rFonts w:ascii="宋体" w:hAnsi="宋体"/>
          <w:color w:val="000000"/>
          <w:sz w:val="36"/>
          <w:szCs w:val="36"/>
        </w:rPr>
      </w:pPr>
      <w:r>
        <w:rPr>
          <w:rFonts w:hint="eastAsia" w:ascii="宋体" w:hAnsi="宋体"/>
          <w:color w:val="000000"/>
          <w:sz w:val="36"/>
          <w:szCs w:val="36"/>
        </w:rPr>
        <w:t>先行内部投诉平台投诉的承诺书</w:t>
      </w:r>
    </w:p>
    <w:p w14:paraId="6DCFB1F5">
      <w:pPr>
        <w:tabs>
          <w:tab w:val="left" w:pos="360"/>
        </w:tabs>
        <w:spacing w:line="390" w:lineRule="exact"/>
        <w:ind w:firstLine="480" w:firstLineChars="200"/>
        <w:rPr>
          <w:rFonts w:ascii="宋体" w:hAnsi="宋体"/>
          <w:color w:val="000000"/>
          <w:sz w:val="24"/>
          <w:szCs w:val="24"/>
        </w:rPr>
      </w:pPr>
    </w:p>
    <w:p w14:paraId="1730F5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rPr>
      </w:pPr>
      <w:r>
        <w:rPr>
          <w:rFonts w:hint="eastAsia" w:ascii="Times New Roman" w:hAnsi="Times New Roman" w:eastAsia="宋体" w:cs="Times New Roman"/>
          <w:sz w:val="24"/>
        </w:rPr>
        <w:t>致：中铁二局集团有限公司</w:t>
      </w:r>
    </w:p>
    <w:p w14:paraId="2AEF6A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我公司为贵公司雄商高铁衡水枢纽一标工程的分包商（供应商），为确保贵公司与我公司双方的合法权益，快捷解决双方争议，我公司对贵公司承诺如下：</w:t>
      </w:r>
    </w:p>
    <w:p w14:paraId="5A8E94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我公司已知悉贵公司公布的内部投诉渠道如下：</w:t>
      </w:r>
    </w:p>
    <w:p w14:paraId="342A52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项目部投诉电话：15617181678</w:t>
      </w:r>
    </w:p>
    <w:p w14:paraId="15CEE2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 xml:space="preserve">公司投诉电话：028-61679223 </w:t>
      </w:r>
    </w:p>
    <w:p w14:paraId="32287F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中铁二局集团公司投诉平台：</w:t>
      </w:r>
    </w:p>
    <w:p w14:paraId="03344B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 xml:space="preserve">微信公众号《中铁二局合作方反馈意见处理平台》 </w:t>
      </w:r>
    </w:p>
    <w:p w14:paraId="40DE5F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中铁二局集团公司劳务工欠薪投诉电话：</w:t>
      </w:r>
    </w:p>
    <w:p w14:paraId="31B9F4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中铁二局集团公司信访办电话：028-86442040</w:t>
      </w:r>
    </w:p>
    <w:p w14:paraId="211903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若发生我公司需向贵公司主张权益或反映问题时，承诺先行向贵公司内部投诉平台进行情况反映，对我公司的投诉事项从贵公司收到投诉次日起5个月的处理时限。在此期间，我公司承诺不得向国家或地方相关部门和各级信访部门进行投诉，也不得提起诉讼。否则，我公司自愿接受贵公司将我公司纳入《中铁二局限制交易名单》《中铁二局谨慎交易名单》中进行信用惩戒。并按照5万元/次承担违约责任。</w:t>
      </w:r>
    </w:p>
    <w:p w14:paraId="7DFAB8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rPr>
        <w:t>特此承诺！</w:t>
      </w:r>
    </w:p>
    <w:p w14:paraId="2528D8A1">
      <w:pPr>
        <w:spacing w:line="360" w:lineRule="auto"/>
        <w:rPr>
          <w:sz w:val="24"/>
        </w:rPr>
      </w:pPr>
    </w:p>
    <w:p w14:paraId="26A57147">
      <w:pPr>
        <w:ind w:firstLine="1200" w:firstLineChars="500"/>
        <w:rPr>
          <w:sz w:val="24"/>
        </w:rPr>
      </w:pPr>
      <w:r>
        <w:rPr>
          <w:rFonts w:hint="eastAsia"/>
          <w:sz w:val="24"/>
        </w:rPr>
        <w:t xml:space="preserve">甲方：                               乙方： </w:t>
      </w:r>
    </w:p>
    <w:p w14:paraId="2ED49007">
      <w:pPr>
        <w:ind w:firstLine="480" w:firstLineChars="200"/>
        <w:rPr>
          <w:sz w:val="24"/>
        </w:rPr>
      </w:pPr>
    </w:p>
    <w:p w14:paraId="6C14FEBD">
      <w:pPr>
        <w:ind w:firstLine="480" w:firstLineChars="200"/>
        <w:rPr>
          <w:sz w:val="24"/>
        </w:rPr>
      </w:pPr>
    </w:p>
    <w:p w14:paraId="602F6BB5">
      <w:pPr>
        <w:ind w:firstLine="480" w:firstLineChars="200"/>
        <w:rPr>
          <w:sz w:val="24"/>
        </w:rPr>
      </w:pPr>
    </w:p>
    <w:p w14:paraId="43FD1DD0">
      <w:pPr>
        <w:snapToGrid w:val="0"/>
        <w:jc w:val="right"/>
      </w:pPr>
      <w:r>
        <w:rPr>
          <w:rFonts w:hint="eastAsia"/>
          <w:sz w:val="24"/>
        </w:rPr>
        <w:t>日期：   年   月  日</w:t>
      </w:r>
    </w:p>
    <w:p w14:paraId="3CDD7942">
      <w:pPr>
        <w:pageBreakBefore w:val="0"/>
        <w:widowControl w:val="0"/>
        <w:kinsoku w:val="0"/>
        <w:wordWrap/>
        <w:overflowPunct w:val="0"/>
        <w:topLinePunct w:val="0"/>
        <w:autoSpaceDE w:val="0"/>
        <w:autoSpaceDN w:val="0"/>
        <w:bidi w:val="0"/>
        <w:adjustRightInd w:val="0"/>
        <w:snapToGrid w:val="0"/>
        <w:spacing w:line="240" w:lineRule="atLeast"/>
        <w:ind w:left="885" w:leftChars="0" w:hanging="885" w:hangingChars="315"/>
        <w:jc w:val="center"/>
        <w:textAlignment w:val="auto"/>
        <w:rPr>
          <w:rFonts w:hint="eastAsia" w:ascii="宋体" w:hAnsi="宋体" w:cs="宋体"/>
          <w:b/>
          <w:kern w:val="0"/>
          <w:sz w:val="28"/>
          <w:szCs w:val="28"/>
        </w:rPr>
      </w:pPr>
    </w:p>
    <w:p w14:paraId="5199D7DC">
      <w:pPr>
        <w:pageBreakBefore w:val="0"/>
        <w:widowControl w:val="0"/>
        <w:kinsoku w:val="0"/>
        <w:wordWrap/>
        <w:overflowPunct w:val="0"/>
        <w:topLinePunct w:val="0"/>
        <w:autoSpaceDE w:val="0"/>
        <w:autoSpaceDN w:val="0"/>
        <w:bidi w:val="0"/>
        <w:adjustRightInd w:val="0"/>
        <w:snapToGrid w:val="0"/>
        <w:spacing w:line="240" w:lineRule="atLeast"/>
        <w:ind w:left="885" w:leftChars="0" w:hanging="885" w:hangingChars="315"/>
        <w:jc w:val="center"/>
        <w:textAlignment w:val="auto"/>
        <w:rPr>
          <w:rFonts w:hint="eastAsia" w:ascii="宋体" w:hAnsi="宋体" w:cs="宋体"/>
          <w:b/>
          <w:kern w:val="0"/>
          <w:sz w:val="28"/>
          <w:szCs w:val="28"/>
        </w:rPr>
      </w:pPr>
      <w:r>
        <w:rPr>
          <w:rFonts w:hint="eastAsia" w:ascii="宋体" w:hAnsi="宋体" w:cs="宋体"/>
          <w:b/>
          <w:kern w:val="0"/>
          <w:sz w:val="28"/>
          <w:szCs w:val="28"/>
        </w:rPr>
        <w:t>供应商维权告知书</w:t>
      </w:r>
    </w:p>
    <w:p w14:paraId="42921ED4">
      <w:pPr>
        <w:spacing w:line="440" w:lineRule="exact"/>
        <w:ind w:firstLine="482" w:firstLineChars="200"/>
        <w:jc w:val="left"/>
        <w:rPr>
          <w:rFonts w:hint="eastAsia" w:ascii="宋体" w:hAnsi="宋体"/>
          <w:b/>
          <w:sz w:val="24"/>
        </w:rPr>
      </w:pPr>
      <w:r>
        <w:rPr>
          <w:rFonts w:hint="eastAsia" w:ascii="宋体" w:hAnsi="宋体"/>
          <w:b/>
          <w:sz w:val="24"/>
        </w:rPr>
        <w:t>各供应商朋友：</w:t>
      </w:r>
    </w:p>
    <w:p w14:paraId="5D5B7758">
      <w:pPr>
        <w:spacing w:line="440" w:lineRule="exact"/>
        <w:ind w:firstLine="420" w:firstLineChars="200"/>
        <w:jc w:val="left"/>
        <w:rPr>
          <w:rFonts w:hint="eastAsia" w:ascii="宋体" w:hAnsi="宋体"/>
          <w:szCs w:val="21"/>
        </w:rPr>
      </w:pPr>
      <w:r>
        <w:rPr>
          <w:rFonts w:hint="eastAsia" w:ascii="宋体" w:hAnsi="宋体"/>
          <w:szCs w:val="21"/>
        </w:rPr>
        <w:t>首先，感谢各位供应商朋友一直以来对本公司的鼎力支持。纵观整个行业环境，我们既有大好的发展机遇，也面临着严峻的挑战，当前阶段因项目业主方资金未能及时到位，一定程度上给项目增大了债务压力。但困难是暂时的，我们将想方设法履行责任和义务，为维护公平、友好、长期的合作关系，特告知如下。</w:t>
      </w:r>
    </w:p>
    <w:p w14:paraId="3F2C834E">
      <w:pPr>
        <w:spacing w:line="440" w:lineRule="exact"/>
        <w:ind w:firstLine="482" w:firstLineChars="200"/>
        <w:jc w:val="left"/>
        <w:rPr>
          <w:rFonts w:hint="eastAsia" w:ascii="宋体" w:hAnsi="宋体"/>
          <w:b/>
          <w:sz w:val="24"/>
        </w:rPr>
      </w:pPr>
      <w:r>
        <w:rPr>
          <w:rFonts w:hint="eastAsia" w:ascii="宋体" w:hAnsi="宋体"/>
          <w:b/>
          <w:sz w:val="24"/>
        </w:rPr>
        <w:t>一、畅通内部沟通渠道</w:t>
      </w:r>
    </w:p>
    <w:p w14:paraId="55785272">
      <w:pPr>
        <w:spacing w:line="440" w:lineRule="exact"/>
        <w:ind w:firstLine="420" w:firstLineChars="200"/>
        <w:jc w:val="left"/>
        <w:rPr>
          <w:rFonts w:hint="eastAsia" w:ascii="宋体" w:hAnsi="宋体"/>
          <w:szCs w:val="21"/>
        </w:rPr>
      </w:pPr>
      <w:r>
        <w:rPr>
          <w:rFonts w:hint="eastAsia" w:ascii="宋体" w:hAnsi="宋体"/>
          <w:szCs w:val="21"/>
        </w:rPr>
        <w:t>若过程中确实存在争议，请遵循以下顺次协商解决：</w:t>
      </w:r>
    </w:p>
    <w:p w14:paraId="374BD02F">
      <w:pPr>
        <w:spacing w:line="440" w:lineRule="exact"/>
        <w:ind w:firstLine="422" w:firstLineChars="200"/>
        <w:jc w:val="left"/>
        <w:rPr>
          <w:rFonts w:hint="eastAsia" w:ascii="宋体" w:hAnsi="宋体"/>
          <w:szCs w:val="21"/>
        </w:rPr>
      </w:pPr>
      <w:r>
        <w:rPr>
          <w:rFonts w:hint="eastAsia" w:ascii="宋体" w:hAnsi="宋体"/>
          <w:b/>
          <w:bCs/>
          <w:szCs w:val="21"/>
        </w:rPr>
        <w:t>顺序1：</w:t>
      </w:r>
      <w:r>
        <w:rPr>
          <w:rFonts w:hint="eastAsia" w:ascii="宋体" w:hAnsi="宋体"/>
          <w:szCs w:val="21"/>
        </w:rPr>
        <w:t>首先与项目经理部协商解决，项目经理部联系方式：详见附件一</w:t>
      </w:r>
    </w:p>
    <w:p w14:paraId="2FF0B007">
      <w:pPr>
        <w:spacing w:line="440" w:lineRule="exact"/>
        <w:ind w:firstLine="422" w:firstLineChars="200"/>
        <w:jc w:val="left"/>
        <w:rPr>
          <w:rFonts w:hint="eastAsia" w:ascii="宋体" w:hAnsi="宋体"/>
          <w:szCs w:val="21"/>
        </w:rPr>
      </w:pPr>
      <w:r>
        <w:rPr>
          <w:rFonts w:hint="eastAsia" w:ascii="宋体" w:hAnsi="宋体"/>
          <w:b/>
          <w:bCs/>
          <w:szCs w:val="21"/>
        </w:rPr>
        <w:t>顺序2：</w:t>
      </w:r>
      <w:r>
        <w:rPr>
          <w:rFonts w:hint="eastAsia" w:ascii="宋体" w:hAnsi="宋体"/>
          <w:szCs w:val="21"/>
        </w:rPr>
        <w:t xml:space="preserve">若按顺序1协商不成的请继续联系上级职能部门调解;详见附件一 </w:t>
      </w:r>
    </w:p>
    <w:p w14:paraId="7C00FE08">
      <w:pPr>
        <w:spacing w:line="440" w:lineRule="exact"/>
        <w:ind w:firstLine="420" w:firstLineChars="200"/>
        <w:jc w:val="left"/>
        <w:rPr>
          <w:rFonts w:hint="eastAsia" w:ascii="宋体" w:hAnsi="宋体"/>
          <w:szCs w:val="21"/>
        </w:rPr>
      </w:pPr>
      <w:r>
        <w:drawing>
          <wp:anchor distT="0" distB="0" distL="114300" distR="114300" simplePos="0" relativeHeight="251659264" behindDoc="1" locked="0" layoutInCell="1" allowOverlap="1">
            <wp:simplePos x="0" y="0"/>
            <wp:positionH relativeFrom="column">
              <wp:align>center</wp:align>
            </wp:positionH>
            <wp:positionV relativeFrom="paragraph">
              <wp:posOffset>33655</wp:posOffset>
            </wp:positionV>
            <wp:extent cx="1733550" cy="1666875"/>
            <wp:effectExtent l="0" t="0" r="6350" b="9525"/>
            <wp:wrapNone/>
            <wp:docPr id="5"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QR 代码&#10;&#10;描述已自动生成"/>
                    <pic:cNvPicPr>
                      <a:picLocks noChangeAspect="1"/>
                    </pic:cNvPicPr>
                  </pic:nvPicPr>
                  <pic:blipFill>
                    <a:blip r:embed="rId13"/>
                    <a:stretch>
                      <a:fillRect/>
                    </a:stretch>
                  </pic:blipFill>
                  <pic:spPr>
                    <a:xfrm>
                      <a:off x="0" y="0"/>
                      <a:ext cx="1733550" cy="1666875"/>
                    </a:xfrm>
                    <a:prstGeom prst="rect">
                      <a:avLst/>
                    </a:prstGeom>
                    <a:noFill/>
                    <a:ln>
                      <a:noFill/>
                    </a:ln>
                  </pic:spPr>
                </pic:pic>
              </a:graphicData>
            </a:graphic>
          </wp:anchor>
        </w:drawing>
      </w:r>
    </w:p>
    <w:p w14:paraId="734095D0">
      <w:pPr>
        <w:spacing w:line="440" w:lineRule="exact"/>
        <w:ind w:firstLine="420" w:firstLineChars="200"/>
        <w:jc w:val="left"/>
        <w:rPr>
          <w:rFonts w:hint="eastAsia" w:ascii="宋体" w:hAnsi="宋体"/>
          <w:szCs w:val="21"/>
        </w:rPr>
      </w:pPr>
    </w:p>
    <w:p w14:paraId="54501906">
      <w:pPr>
        <w:spacing w:line="440" w:lineRule="exact"/>
        <w:ind w:firstLine="420" w:firstLineChars="200"/>
        <w:jc w:val="left"/>
        <w:rPr>
          <w:rFonts w:hint="eastAsia" w:ascii="宋体" w:hAnsi="宋体"/>
          <w:szCs w:val="21"/>
        </w:rPr>
      </w:pPr>
    </w:p>
    <w:p w14:paraId="53C6DC8E">
      <w:pPr>
        <w:spacing w:line="440" w:lineRule="exact"/>
        <w:ind w:firstLine="420" w:firstLineChars="200"/>
        <w:jc w:val="left"/>
        <w:rPr>
          <w:rFonts w:hint="eastAsia" w:ascii="宋体" w:hAnsi="宋体"/>
          <w:szCs w:val="21"/>
        </w:rPr>
      </w:pPr>
    </w:p>
    <w:p w14:paraId="7474DD13">
      <w:pPr>
        <w:spacing w:line="440" w:lineRule="exact"/>
        <w:ind w:firstLine="420" w:firstLineChars="200"/>
        <w:jc w:val="left"/>
        <w:rPr>
          <w:rFonts w:hint="eastAsia" w:ascii="宋体" w:hAnsi="宋体"/>
          <w:szCs w:val="21"/>
        </w:rPr>
      </w:pPr>
    </w:p>
    <w:p w14:paraId="75A6787E">
      <w:pPr>
        <w:spacing w:line="440" w:lineRule="exact"/>
        <w:ind w:firstLine="420" w:firstLineChars="200"/>
        <w:jc w:val="left"/>
        <w:rPr>
          <w:rFonts w:hint="eastAsia" w:ascii="宋体" w:hAnsi="宋体"/>
          <w:szCs w:val="21"/>
        </w:rPr>
      </w:pPr>
    </w:p>
    <w:p w14:paraId="39FE829C">
      <w:pPr>
        <w:spacing w:line="440" w:lineRule="exact"/>
        <w:ind w:firstLine="420" w:firstLineChars="200"/>
        <w:jc w:val="left"/>
        <w:rPr>
          <w:rFonts w:hint="eastAsia" w:ascii="宋体" w:hAnsi="宋体"/>
          <w:szCs w:val="21"/>
        </w:rPr>
      </w:pPr>
    </w:p>
    <w:p w14:paraId="7287B27F">
      <w:pPr>
        <w:spacing w:line="440" w:lineRule="exact"/>
        <w:ind w:firstLine="422" w:firstLineChars="200"/>
        <w:jc w:val="left"/>
        <w:rPr>
          <w:rFonts w:hint="eastAsia" w:ascii="宋体" w:hAnsi="宋体"/>
          <w:szCs w:val="21"/>
        </w:rPr>
      </w:pPr>
      <w:r>
        <w:rPr>
          <w:rFonts w:hint="eastAsia" w:ascii="宋体" w:hAnsi="宋体"/>
          <w:b/>
          <w:bCs/>
          <w:szCs w:val="21"/>
        </w:rPr>
        <w:t>顺序3：</w:t>
      </w:r>
      <w:r>
        <w:fldChar w:fldCharType="begin"/>
      </w:r>
      <w:r>
        <w:instrText xml:space="preserve"> HYPERLINK "mailto:如上述2个途径仍未有效解决问题，各供应商可继续通过邮箱ztejwqxx@163.com，或者扫描" </w:instrText>
      </w:r>
      <w:r>
        <w:fldChar w:fldCharType="separate"/>
      </w:r>
      <w:r>
        <w:rPr>
          <w:rStyle w:val="10"/>
          <w:rFonts w:hint="eastAsia" w:ascii="宋体" w:hAnsi="宋体"/>
          <w:szCs w:val="21"/>
        </w:rPr>
        <w:t>如上述2个途径仍未有效解决问题，各供应商可继续通过邮箱ztejwqxx@163.com，或者扫描“二维码二”进一步反映问题。若乙方在反应货款支付问题时，未通过上述途径、未遵循上述顺序，采取其他方式手段的，视为乙方严重违约，甲方将按规定对乙方在中铁二局范围内进行限制交易处理。</w:t>
      </w:r>
      <w:r>
        <w:rPr>
          <w:rStyle w:val="10"/>
          <w:rFonts w:hint="eastAsia" w:ascii="宋体" w:hAnsi="宋体"/>
          <w:szCs w:val="21"/>
        </w:rPr>
        <w:fldChar w:fldCharType="end"/>
      </w:r>
    </w:p>
    <w:p w14:paraId="55BB5274">
      <w:pPr>
        <w:spacing w:line="440" w:lineRule="exact"/>
        <w:jc w:val="left"/>
        <w:rPr>
          <w:rFonts w:hint="eastAsia" w:ascii="宋体" w:hAnsi="宋体"/>
          <w:szCs w:val="21"/>
        </w:rPr>
      </w:pPr>
    </w:p>
    <w:p w14:paraId="442012E4">
      <w:pPr>
        <w:spacing w:line="440" w:lineRule="exact"/>
        <w:jc w:val="left"/>
        <w:rPr>
          <w:rFonts w:hint="eastAsia" w:ascii="宋体" w:hAnsi="宋体"/>
          <w:szCs w:val="21"/>
        </w:rPr>
      </w:pPr>
    </w:p>
    <w:p w14:paraId="6032B46E">
      <w:pPr>
        <w:spacing w:line="440" w:lineRule="exact"/>
        <w:jc w:val="left"/>
        <w:rPr>
          <w:rFonts w:hint="eastAsia" w:ascii="宋体" w:hAnsi="宋体"/>
          <w:szCs w:val="21"/>
        </w:rPr>
      </w:pPr>
    </w:p>
    <w:p w14:paraId="41932794">
      <w:pPr>
        <w:spacing w:line="440" w:lineRule="exact"/>
        <w:jc w:val="left"/>
        <w:rPr>
          <w:rFonts w:hint="eastAsia" w:ascii="宋体" w:hAnsi="宋体"/>
          <w:szCs w:val="21"/>
        </w:rPr>
      </w:pPr>
    </w:p>
    <w:p w14:paraId="4EC9DEB1">
      <w:pPr>
        <w:spacing w:line="440" w:lineRule="exact"/>
        <w:jc w:val="left"/>
        <w:rPr>
          <w:rFonts w:hint="eastAsia" w:ascii="宋体" w:hAnsi="宋体"/>
          <w:szCs w:val="21"/>
        </w:rPr>
      </w:pPr>
    </w:p>
    <w:p w14:paraId="1462073F">
      <w:pPr>
        <w:spacing w:line="440" w:lineRule="exact"/>
        <w:jc w:val="left"/>
        <w:rPr>
          <w:rFonts w:hint="eastAsia" w:ascii="宋体" w:hAnsi="宋体"/>
          <w:szCs w:val="21"/>
        </w:rPr>
      </w:pPr>
      <w:r>
        <w:rPr>
          <w:rFonts w:hint="eastAsia" w:ascii="宋体" w:hAnsi="宋体"/>
          <w:szCs w:val="21"/>
        </w:rPr>
        <w:drawing>
          <wp:anchor distT="0" distB="0" distL="114300" distR="114300" simplePos="0" relativeHeight="251661312" behindDoc="1" locked="0" layoutInCell="1" allowOverlap="1">
            <wp:simplePos x="0" y="0"/>
            <wp:positionH relativeFrom="column">
              <wp:align>center</wp:align>
            </wp:positionH>
            <wp:positionV relativeFrom="paragraph">
              <wp:posOffset>-1379220</wp:posOffset>
            </wp:positionV>
            <wp:extent cx="1466850" cy="1600200"/>
            <wp:effectExtent l="0" t="0" r="6350" b="0"/>
            <wp:wrapTight wrapText="bothSides">
              <wp:wrapPolygon>
                <wp:start x="0" y="0"/>
                <wp:lineTo x="0" y="21429"/>
                <wp:lineTo x="21506" y="21429"/>
                <wp:lineTo x="21506" y="0"/>
                <wp:lineTo x="0"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1466850" cy="1600200"/>
                    </a:xfrm>
                    <a:prstGeom prst="rect">
                      <a:avLst/>
                    </a:prstGeom>
                    <a:noFill/>
                    <a:ln>
                      <a:noFill/>
                    </a:ln>
                  </pic:spPr>
                </pic:pic>
              </a:graphicData>
            </a:graphic>
          </wp:anchor>
        </w:drawing>
      </w:r>
    </w:p>
    <w:p w14:paraId="13727F2D">
      <w:pPr>
        <w:spacing w:line="440" w:lineRule="exact"/>
        <w:ind w:firstLine="482" w:firstLineChars="200"/>
        <w:jc w:val="left"/>
        <w:rPr>
          <w:rFonts w:hint="eastAsia" w:ascii="宋体" w:hAnsi="宋体"/>
          <w:b/>
          <w:sz w:val="24"/>
        </w:rPr>
      </w:pPr>
      <w:r>
        <w:rPr>
          <w:rFonts w:hint="eastAsia" w:ascii="宋体" w:hAnsi="宋体"/>
          <w:b/>
          <w:sz w:val="24"/>
        </w:rPr>
        <w:t>二、避免平台误投风险</w:t>
      </w:r>
    </w:p>
    <w:p w14:paraId="1CED6F38">
      <w:pPr>
        <w:spacing w:line="440" w:lineRule="exact"/>
        <w:ind w:firstLine="420" w:firstLineChars="200"/>
        <w:jc w:val="left"/>
        <w:rPr>
          <w:rFonts w:hint="eastAsia" w:ascii="宋体" w:hAnsi="宋体"/>
          <w:szCs w:val="21"/>
        </w:rPr>
      </w:pPr>
      <w:r>
        <w:rPr>
          <w:rFonts w:hint="eastAsia" w:ascii="宋体" w:hAnsi="宋体"/>
          <w:szCs w:val="21"/>
        </w:rPr>
        <w:t>1.若各供应商在支付问题时，未通过上述</w:t>
      </w:r>
      <w:r>
        <w:rPr>
          <w:rFonts w:hint="eastAsia" w:ascii="宋体" w:hAnsi="宋体"/>
          <w:b/>
          <w:szCs w:val="21"/>
        </w:rPr>
        <w:t>途径</w:t>
      </w:r>
      <w:r>
        <w:rPr>
          <w:rFonts w:hint="eastAsia" w:ascii="宋体" w:hAnsi="宋体"/>
          <w:szCs w:val="21"/>
        </w:rPr>
        <w:t>、未遵循上述问题反应</w:t>
      </w:r>
      <w:r>
        <w:rPr>
          <w:rFonts w:ascii="宋体" w:hAnsi="宋体"/>
          <w:b/>
          <w:szCs w:val="21"/>
        </w:rPr>
        <w:t>顺序</w:t>
      </w:r>
      <w:r>
        <w:rPr>
          <w:rFonts w:ascii="宋体" w:hAnsi="宋体"/>
          <w:szCs w:val="21"/>
        </w:rPr>
        <w:t>，</w:t>
      </w:r>
      <w:r>
        <w:rPr>
          <w:rFonts w:hint="eastAsia" w:ascii="宋体" w:hAnsi="宋体"/>
          <w:szCs w:val="21"/>
        </w:rPr>
        <w:t>采取其他方式手段投诉，</w:t>
      </w:r>
      <w:r>
        <w:rPr>
          <w:rFonts w:ascii="宋体" w:hAnsi="宋体"/>
          <w:szCs w:val="21"/>
        </w:rPr>
        <w:t>视为</w:t>
      </w:r>
      <w:r>
        <w:rPr>
          <w:rFonts w:hint="eastAsia" w:ascii="宋体" w:hAnsi="宋体"/>
          <w:szCs w:val="21"/>
        </w:rPr>
        <w:t>供应商严重违约，该行为将被采购人认定为特大不良行为，采购人将按规定在中铁二局范围内对违约供应商及同一法人公司进行限制交易处理。</w:t>
      </w:r>
    </w:p>
    <w:p w14:paraId="7ECA79AE">
      <w:pPr>
        <w:spacing w:line="440" w:lineRule="exact"/>
        <w:ind w:firstLine="420" w:firstLineChars="200"/>
        <w:jc w:val="left"/>
        <w:rPr>
          <w:rFonts w:hint="eastAsia" w:ascii="宋体" w:hAnsi="宋体"/>
          <w:szCs w:val="21"/>
        </w:rPr>
      </w:pPr>
      <w:r>
        <w:rPr>
          <w:rFonts w:hint="eastAsia" w:ascii="宋体" w:hAnsi="宋体"/>
          <w:szCs w:val="21"/>
        </w:rPr>
        <w:t>2.若各供应商恶意或者不实投诉，造成甲方信用、声誉、经济、经营、业绩等实质性损失或者恶劣影响的，采购人将按规定在中铁二局范围内对相关供应商及同一法人公司进行永久限制交易处理。</w:t>
      </w:r>
    </w:p>
    <w:p w14:paraId="2DBDFBE4">
      <w:pPr>
        <w:spacing w:line="440" w:lineRule="exact"/>
        <w:ind w:firstLine="482" w:firstLineChars="200"/>
        <w:jc w:val="left"/>
        <w:rPr>
          <w:rFonts w:hint="eastAsia" w:ascii="宋体" w:hAnsi="宋体"/>
          <w:b/>
          <w:sz w:val="24"/>
        </w:rPr>
      </w:pPr>
      <w:r>
        <w:rPr>
          <w:rFonts w:hint="eastAsia" w:ascii="宋体" w:hAnsi="宋体"/>
          <w:b/>
          <w:sz w:val="24"/>
        </w:rPr>
        <w:t>三、同舟共济砥砺前行</w:t>
      </w:r>
    </w:p>
    <w:p w14:paraId="2719C08C">
      <w:pPr>
        <w:spacing w:line="440" w:lineRule="exact"/>
        <w:ind w:firstLine="420" w:firstLineChars="200"/>
        <w:jc w:val="left"/>
        <w:rPr>
          <w:rFonts w:hint="eastAsia" w:ascii="宋体" w:hAnsi="宋体"/>
          <w:szCs w:val="21"/>
        </w:rPr>
      </w:pPr>
      <w:r>
        <w:rPr>
          <w:rFonts w:hint="eastAsia" w:ascii="宋体" w:hAnsi="宋体"/>
          <w:szCs w:val="21"/>
        </w:rPr>
        <w:t>建筑行业持续低迷，让我们比任何时候都更加深刻的体会到命运共同体的意义，大道不孤，天下一家，上下同欲者胜，风雨同舟者兴。我们衷心希望能和各位供应商朋友携手共济，共克时艰，一起向阳生长、静待花开。在此，向所有与我们并肩作战的各位供应商朋友表示最诚挚的感谢和最深切的敬意。愿我们的合作之舟乘风破浪，直抵成功的彼岸！</w:t>
      </w:r>
    </w:p>
    <w:p w14:paraId="102C2AC8">
      <w:pPr>
        <w:spacing w:line="440" w:lineRule="exact"/>
        <w:ind w:firstLine="420" w:firstLineChars="200"/>
        <w:jc w:val="left"/>
        <w:rPr>
          <w:rFonts w:hint="eastAsia" w:ascii="宋体" w:hAnsi="宋体"/>
          <w:szCs w:val="21"/>
        </w:rPr>
      </w:pPr>
      <w:r>
        <w:rPr>
          <w:rFonts w:hint="eastAsia" w:ascii="宋体" w:hAnsi="宋体"/>
          <w:szCs w:val="21"/>
        </w:rPr>
        <w:t>顺祝商祺！</w:t>
      </w:r>
    </w:p>
    <w:bookmarkEnd w:id="42"/>
    <w:p w14:paraId="7785528F">
      <w:pPr>
        <w:jc w:val="center"/>
        <w:rPr>
          <w:rFonts w:hint="eastAsia" w:ascii="宋体" w:hAnsi="宋体"/>
          <w:b/>
          <w:sz w:val="28"/>
          <w:szCs w:val="28"/>
        </w:rPr>
      </w:pPr>
      <w:r>
        <w:rPr>
          <w:rFonts w:hint="eastAsia" w:ascii="宋体" w:hAnsi="宋体"/>
          <w:b/>
          <w:sz w:val="28"/>
          <w:szCs w:val="28"/>
        </w:rPr>
        <w:t>维权承诺书</w:t>
      </w:r>
    </w:p>
    <w:p w14:paraId="23B24013">
      <w:pPr>
        <w:wordWrap w:val="0"/>
        <w:spacing w:line="480" w:lineRule="auto"/>
        <w:rPr>
          <w:rFonts w:hint="eastAsia" w:ascii="宋体" w:hAnsi="宋体"/>
          <w:kern w:val="0"/>
          <w:szCs w:val="21"/>
        </w:rPr>
      </w:pPr>
      <w:r>
        <w:rPr>
          <w:rFonts w:hint="eastAsia" w:ascii="宋体" w:hAnsi="宋体"/>
          <w:kern w:val="0"/>
          <w:szCs w:val="21"/>
        </w:rPr>
        <w:t xml:space="preserve">致（买方/甲方）： </w:t>
      </w:r>
    </w:p>
    <w:p w14:paraId="01506773">
      <w:pPr>
        <w:wordWrap w:val="0"/>
        <w:spacing w:line="480" w:lineRule="auto"/>
        <w:ind w:firstLine="420" w:firstLineChars="200"/>
        <w:rPr>
          <w:rFonts w:hint="eastAsia" w:ascii="宋体" w:hAnsi="宋体"/>
          <w:kern w:val="0"/>
          <w:szCs w:val="21"/>
        </w:rPr>
      </w:pPr>
      <w:r>
        <w:rPr>
          <w:rFonts w:hint="eastAsia" w:ascii="宋体" w:hAnsi="宋体"/>
          <w:kern w:val="0"/>
          <w:szCs w:val="21"/>
        </w:rPr>
        <w:t>关于（项目名称</w:t>
      </w:r>
      <w:r>
        <w:rPr>
          <w:rFonts w:hint="eastAsia" w:ascii="宋体" w:hAnsi="宋体"/>
          <w:kern w:val="0"/>
          <w:szCs w:val="21"/>
          <w:u w:val="single"/>
        </w:rPr>
        <w:t xml:space="preserve">            </w:t>
      </w:r>
      <w:r>
        <w:rPr>
          <w:rFonts w:hint="eastAsia" w:ascii="宋体" w:hAnsi="宋体"/>
          <w:kern w:val="0"/>
          <w:szCs w:val="21"/>
        </w:rPr>
        <w:t>）招标文件（招标编号为：</w:t>
      </w:r>
      <w:r>
        <w:rPr>
          <w:rFonts w:hint="eastAsia" w:ascii="宋体" w:hAnsi="宋体"/>
          <w:kern w:val="0"/>
          <w:szCs w:val="21"/>
          <w:u w:val="single"/>
        </w:rPr>
        <w:t xml:space="preserve">         </w:t>
      </w:r>
      <w:r>
        <w:rPr>
          <w:rFonts w:hint="eastAsia" w:ascii="宋体" w:hAnsi="宋体"/>
          <w:kern w:val="0"/>
          <w:szCs w:val="21"/>
        </w:rPr>
        <w:t xml:space="preserve">），乙方作为投标人已熟知，并参加    物资     包件的投标，现乙方作为中标供应商与甲方签订合同，同时承诺如下： </w:t>
      </w:r>
    </w:p>
    <w:p w14:paraId="20D8A470">
      <w:pPr>
        <w:wordWrap w:val="0"/>
        <w:spacing w:line="480" w:lineRule="auto"/>
        <w:ind w:firstLine="420" w:firstLineChars="200"/>
        <w:rPr>
          <w:rFonts w:hint="eastAsia" w:ascii="宋体" w:hAnsi="宋体"/>
          <w:kern w:val="0"/>
          <w:szCs w:val="21"/>
        </w:rPr>
      </w:pPr>
      <w:r>
        <w:rPr>
          <w:rFonts w:hint="eastAsia" w:ascii="宋体" w:hAnsi="宋体"/>
          <w:kern w:val="0"/>
          <w:szCs w:val="21"/>
        </w:rPr>
        <w:t>若在合同执行过程中出现物资设备款项支付、合作纠纷等相关问题，乙方遵循以下顺序逐级协商解决：</w:t>
      </w:r>
    </w:p>
    <w:p w14:paraId="4D0AF066">
      <w:pPr>
        <w:spacing w:line="440" w:lineRule="exact"/>
        <w:ind w:firstLine="422" w:firstLineChars="200"/>
        <w:jc w:val="left"/>
        <w:rPr>
          <w:rFonts w:hint="eastAsia" w:ascii="宋体" w:hAnsi="宋体"/>
          <w:color w:val="FF0000"/>
          <w:szCs w:val="21"/>
        </w:rPr>
      </w:pPr>
      <w:r>
        <w:rPr>
          <w:rFonts w:hint="eastAsia" w:ascii="宋体" w:hAnsi="宋体"/>
          <w:b/>
          <w:bCs/>
          <w:szCs w:val="21"/>
        </w:rPr>
        <w:t>顺序1：</w:t>
      </w:r>
      <w:r>
        <w:rPr>
          <w:rFonts w:hint="eastAsia" w:ascii="宋体" w:hAnsi="宋体"/>
          <w:szCs w:val="21"/>
        </w:rPr>
        <w:t>首先与项目经理部协商解决，项目物资部联系方式：详见附件一</w:t>
      </w:r>
    </w:p>
    <w:p w14:paraId="3715BE64">
      <w:pPr>
        <w:spacing w:line="440" w:lineRule="exact"/>
        <w:ind w:firstLine="422" w:firstLineChars="200"/>
        <w:jc w:val="left"/>
        <w:rPr>
          <w:rFonts w:ascii="宋体" w:hAnsi="宋体"/>
          <w:szCs w:val="21"/>
        </w:rPr>
      </w:pPr>
      <w:r>
        <w:rPr>
          <w:rFonts w:hint="eastAsia" w:ascii="宋体" w:hAnsi="宋体"/>
          <w:b/>
          <w:bCs/>
          <w:szCs w:val="21"/>
        </w:rPr>
        <w:t>顺序2：</w:t>
      </w:r>
      <w:r>
        <w:rPr>
          <w:rFonts w:hint="eastAsia" w:ascii="宋体" w:hAnsi="宋体"/>
          <w:szCs w:val="21"/>
        </w:rPr>
        <w:t>若按顺序1协商不成的请继续联系上级职能部门调解：详见附件一</w:t>
      </w:r>
    </w:p>
    <w:p w14:paraId="24B1608C">
      <w:pPr>
        <w:spacing w:line="440" w:lineRule="exact"/>
        <w:ind w:firstLine="420" w:firstLineChars="200"/>
        <w:jc w:val="left"/>
        <w:rPr>
          <w:rFonts w:ascii="宋体" w:hAnsi="宋体"/>
          <w:szCs w:val="21"/>
        </w:rPr>
      </w:pPr>
    </w:p>
    <w:p w14:paraId="6BD392FF">
      <w:pPr>
        <w:spacing w:line="240" w:lineRule="auto"/>
        <w:ind w:firstLine="420" w:firstLineChars="200"/>
        <w:jc w:val="left"/>
        <w:rPr>
          <w:rFonts w:hint="eastAsia" w:ascii="宋体" w:hAnsi="宋体" w:eastAsia="宋体"/>
          <w:szCs w:val="21"/>
          <w:lang w:eastAsia="zh-CN"/>
        </w:rPr>
      </w:pPr>
      <w:r>
        <w:rPr>
          <w:rFonts w:hint="eastAsia" w:ascii="宋体" w:hAnsi="宋体"/>
          <w:szCs w:val="21"/>
          <w:lang w:val="en-US" w:eastAsia="zh-CN"/>
        </w:rPr>
        <w:t xml:space="preserve">                               </w:t>
      </w:r>
      <w:r>
        <w:rPr>
          <w:rFonts w:hint="eastAsia" w:ascii="宋体" w:hAnsi="宋体" w:eastAsia="宋体"/>
          <w:szCs w:val="21"/>
          <w:lang w:eastAsia="zh-CN"/>
        </w:rPr>
        <w:drawing>
          <wp:inline distT="0" distB="0" distL="114300" distR="114300">
            <wp:extent cx="1257300" cy="1362075"/>
            <wp:effectExtent l="0" t="0" r="0" b="9525"/>
            <wp:docPr id="1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图片1"/>
                    <pic:cNvPicPr>
                      <a:picLocks noChangeAspect="1"/>
                    </pic:cNvPicPr>
                  </pic:nvPicPr>
                  <pic:blipFill>
                    <a:blip r:embed="rId15"/>
                    <a:stretch>
                      <a:fillRect/>
                    </a:stretch>
                  </pic:blipFill>
                  <pic:spPr>
                    <a:xfrm>
                      <a:off x="0" y="0"/>
                      <a:ext cx="1257300" cy="1362075"/>
                    </a:xfrm>
                    <a:prstGeom prst="rect">
                      <a:avLst/>
                    </a:prstGeom>
                    <a:noFill/>
                    <a:ln>
                      <a:noFill/>
                    </a:ln>
                  </pic:spPr>
                </pic:pic>
              </a:graphicData>
            </a:graphic>
          </wp:inline>
        </w:drawing>
      </w:r>
    </w:p>
    <w:p w14:paraId="21B31FFC">
      <w:pPr>
        <w:spacing w:line="440" w:lineRule="exact"/>
        <w:ind w:firstLine="4322" w:firstLineChars="2050"/>
        <w:jc w:val="left"/>
        <w:rPr>
          <w:rFonts w:hint="eastAsia" w:ascii="宋体" w:hAnsi="宋体"/>
          <w:b/>
          <w:bCs/>
          <w:szCs w:val="21"/>
        </w:rPr>
      </w:pPr>
      <w:r>
        <w:rPr>
          <w:rFonts w:hint="eastAsia" w:ascii="宋体" w:hAnsi="宋体"/>
          <w:b/>
          <w:bCs/>
          <w:szCs w:val="21"/>
        </w:rPr>
        <w:t>二维码1</w:t>
      </w:r>
    </w:p>
    <w:p w14:paraId="589CF97F">
      <w:pPr>
        <w:spacing w:line="440" w:lineRule="exact"/>
        <w:ind w:firstLine="422" w:firstLineChars="200"/>
        <w:jc w:val="left"/>
        <w:rPr>
          <w:rFonts w:hint="eastAsia" w:ascii="宋体" w:hAnsi="宋体"/>
          <w:szCs w:val="21"/>
        </w:rPr>
      </w:pPr>
      <w:r>
        <w:rPr>
          <w:rFonts w:hint="eastAsia" w:ascii="宋体" w:hAnsi="宋体"/>
          <w:b/>
          <w:bCs/>
          <w:szCs w:val="21"/>
        </w:rPr>
        <w:t>顺序3：</w:t>
      </w:r>
      <w:r>
        <w:rPr>
          <w:rFonts w:hint="eastAsia" w:hAnsi="宋体"/>
        </w:rPr>
        <w:t>如上述2个途径仍未有效解决问题，各供应商可继续通过邮箱维权邮</w:t>
      </w:r>
      <w:r>
        <w:rPr>
          <w:rFonts w:hint="eastAsia" w:hAnsi="宋体"/>
          <w:b/>
          <w:bCs/>
        </w:rPr>
        <w:t>ztejwqxx@163.com，</w:t>
      </w:r>
      <w:r>
        <w:rPr>
          <w:rFonts w:hint="eastAsia" w:hAnsi="宋体"/>
        </w:rPr>
        <w:t>或者扫描“二维码2”（中铁二局维权投诉平台）进一步反映问题，平台将在</w:t>
      </w:r>
      <w:r>
        <w:rPr>
          <w:rFonts w:hAnsi="宋体"/>
        </w:rPr>
        <w:t>20</w:t>
      </w:r>
      <w:r>
        <w:rPr>
          <w:rFonts w:hint="eastAsia" w:hAnsi="宋体"/>
        </w:rPr>
        <w:t>个工作日内核实处理。</w:t>
      </w:r>
    </w:p>
    <w:p w14:paraId="7C2B5537">
      <w:pPr>
        <w:spacing w:line="240" w:lineRule="auto"/>
        <w:jc w:val="left"/>
        <w:rPr>
          <w:rFonts w:hint="eastAsia" w:ascii="宋体" w:hAnsi="宋体" w:eastAsia="宋体"/>
          <w:bCs/>
          <w:szCs w:val="21"/>
          <w:lang w:eastAsia="zh-CN"/>
        </w:rPr>
      </w:pPr>
      <w:r>
        <w:rPr>
          <w:rFonts w:hint="eastAsia" w:ascii="宋体" w:hAnsi="宋体"/>
          <w:bCs/>
          <w:szCs w:val="21"/>
          <w:lang w:val="en-US" w:eastAsia="zh-CN"/>
        </w:rPr>
        <w:t xml:space="preserve">                                  </w:t>
      </w:r>
      <w:r>
        <w:rPr>
          <w:rFonts w:hint="eastAsia" w:ascii="宋体" w:hAnsi="宋体"/>
          <w:bCs/>
          <w:szCs w:val="21"/>
        </w:rPr>
        <w:t xml:space="preserve"> </w:t>
      </w:r>
      <w:r>
        <w:rPr>
          <w:rFonts w:hint="eastAsia" w:ascii="宋体" w:hAnsi="宋体" w:eastAsia="宋体"/>
          <w:bCs/>
          <w:szCs w:val="21"/>
          <w:lang w:eastAsia="zh-CN"/>
        </w:rPr>
        <w:drawing>
          <wp:inline distT="0" distB="0" distL="114300" distR="114300">
            <wp:extent cx="1289685" cy="1343660"/>
            <wp:effectExtent l="0" t="0" r="5715" b="2540"/>
            <wp:docPr id="9"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片2"/>
                    <pic:cNvPicPr>
                      <a:picLocks noChangeAspect="1"/>
                    </pic:cNvPicPr>
                  </pic:nvPicPr>
                  <pic:blipFill>
                    <a:blip r:embed="rId16"/>
                    <a:stretch>
                      <a:fillRect/>
                    </a:stretch>
                  </pic:blipFill>
                  <pic:spPr>
                    <a:xfrm>
                      <a:off x="0" y="0"/>
                      <a:ext cx="1289685" cy="1343660"/>
                    </a:xfrm>
                    <a:prstGeom prst="rect">
                      <a:avLst/>
                    </a:prstGeom>
                    <a:noFill/>
                    <a:ln>
                      <a:noFill/>
                    </a:ln>
                  </pic:spPr>
                </pic:pic>
              </a:graphicData>
            </a:graphic>
          </wp:inline>
        </w:drawing>
      </w:r>
    </w:p>
    <w:p w14:paraId="7AD5F852">
      <w:pPr>
        <w:spacing w:line="440" w:lineRule="exact"/>
        <w:ind w:firstLine="4322" w:firstLineChars="2050"/>
        <w:jc w:val="left"/>
        <w:rPr>
          <w:rFonts w:hint="eastAsia" w:ascii="宋体" w:hAnsi="宋体"/>
          <w:b/>
          <w:szCs w:val="21"/>
        </w:rPr>
      </w:pPr>
      <w:r>
        <w:rPr>
          <w:rFonts w:hint="eastAsia" w:ascii="宋体" w:hAnsi="宋体"/>
          <w:b/>
          <w:szCs w:val="21"/>
        </w:rPr>
        <w:t>二维码2</w:t>
      </w:r>
    </w:p>
    <w:p w14:paraId="587CE7D0">
      <w:pPr>
        <w:wordWrap w:val="0"/>
        <w:spacing w:line="480" w:lineRule="auto"/>
        <w:ind w:firstLine="420" w:firstLineChars="200"/>
        <w:rPr>
          <w:rFonts w:hint="eastAsia" w:ascii="宋体" w:hAnsi="宋体"/>
          <w:kern w:val="0"/>
          <w:szCs w:val="21"/>
        </w:rPr>
      </w:pPr>
      <w:r>
        <w:rPr>
          <w:rFonts w:hint="eastAsia" w:ascii="宋体" w:hAnsi="宋体"/>
          <w:kern w:val="0"/>
          <w:szCs w:val="21"/>
        </w:rPr>
        <w:t>乙方若不按以上顺序逐级协商处理，造成甲方信用、声誉、经济、经营、业绩等实质性损失或者恶劣影响的，乙方接受甲方相应处罚。</w:t>
      </w:r>
    </w:p>
    <w:p w14:paraId="008935B8">
      <w:pPr>
        <w:wordWrap w:val="0"/>
        <w:spacing w:line="480" w:lineRule="auto"/>
        <w:ind w:firstLine="420" w:firstLineChars="200"/>
        <w:rPr>
          <w:rFonts w:ascii="宋体" w:hAnsi="宋体"/>
          <w:kern w:val="0"/>
          <w:szCs w:val="21"/>
        </w:rPr>
      </w:pPr>
      <w:r>
        <w:rPr>
          <w:rFonts w:hint="eastAsia" w:ascii="宋体" w:hAnsi="宋体"/>
          <w:kern w:val="0"/>
          <w:szCs w:val="21"/>
        </w:rPr>
        <w:t>乙方若恶意或者不实投诉，造成甲方信用、声誉、经济、经营、业绩等实质性损失或者恶劣影响的，甲方有权取消乙方的合作资格，并接受甲方相应处罚，承担相关法律、经济责任。</w:t>
      </w:r>
    </w:p>
    <w:p w14:paraId="2A641725">
      <w:pPr>
        <w:pStyle w:val="12"/>
        <w:ind w:firstLine="480"/>
      </w:pPr>
    </w:p>
    <w:p w14:paraId="2732F4F4">
      <w:pPr>
        <w:pStyle w:val="12"/>
        <w:ind w:firstLine="480"/>
        <w:rPr>
          <w:rFonts w:hint="eastAsia"/>
        </w:rPr>
      </w:pPr>
    </w:p>
    <w:p w14:paraId="1DBEF8B4">
      <w:pPr>
        <w:wordWrap w:val="0"/>
        <w:spacing w:line="480" w:lineRule="auto"/>
        <w:ind w:firstLine="4620" w:firstLineChars="2200"/>
        <w:rPr>
          <w:rFonts w:hint="eastAsia" w:ascii="宋体" w:hAnsi="宋体"/>
          <w:kern w:val="0"/>
          <w:szCs w:val="21"/>
          <w:u w:val="single"/>
        </w:rPr>
      </w:pP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      卖方/乙方（公章）： </w:t>
      </w:r>
    </w:p>
    <w:p w14:paraId="02E618CC">
      <w:pPr>
        <w:wordWrap w:val="0"/>
        <w:spacing w:line="480" w:lineRule="auto"/>
        <w:rPr>
          <w:rFonts w:hint="eastAsia" w:ascii="宋体" w:hAnsi="宋体"/>
          <w:kern w:val="0"/>
          <w:szCs w:val="21"/>
        </w:rPr>
      </w:pP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法定代表人或其授权人签字： </w:t>
      </w:r>
    </w:p>
    <w:p w14:paraId="50C83A02">
      <w:pPr>
        <w:wordWrap w:val="0"/>
        <w:spacing w:line="480" w:lineRule="auto"/>
        <w:ind w:firstLine="5040" w:firstLineChars="2400"/>
        <w:rPr>
          <w:rFonts w:ascii="宋体" w:hAnsi="宋体"/>
          <w:kern w:val="0"/>
          <w:szCs w:val="21"/>
        </w:rPr>
      </w:pPr>
      <w:r>
        <w:rPr>
          <w:rFonts w:hint="eastAsia" w:ascii="宋体" w:hAnsi="宋体"/>
          <w:kern w:val="0"/>
          <w:szCs w:val="21"/>
        </w:rPr>
        <w:t xml:space="preserve">日期：  </w:t>
      </w:r>
      <w:r>
        <w:rPr>
          <w:rFonts w:ascii="宋体" w:hAnsi="宋体"/>
          <w:kern w:val="0"/>
          <w:szCs w:val="21"/>
        </w:rPr>
        <w:t xml:space="preserve">   </w:t>
      </w:r>
      <w:r>
        <w:rPr>
          <w:rFonts w:hint="eastAsia" w:ascii="宋体" w:hAnsi="宋体"/>
          <w:kern w:val="0"/>
          <w:szCs w:val="21"/>
        </w:rPr>
        <w:t xml:space="preserve"> 年   月   日</w:t>
      </w:r>
    </w:p>
    <w:p w14:paraId="180D883D">
      <w:pPr>
        <w:rPr>
          <w:rFonts w:ascii="宋体" w:hAnsi="宋体"/>
          <w:sz w:val="28"/>
          <w:szCs w:val="28"/>
        </w:rPr>
      </w:pPr>
    </w:p>
    <w:p w14:paraId="60410BF0">
      <w:pPr>
        <w:outlineLvl w:val="1"/>
        <w:rPr>
          <w:rFonts w:hint="eastAsia" w:ascii="宋体" w:hAnsi="宋体"/>
          <w:sz w:val="28"/>
          <w:szCs w:val="28"/>
        </w:rPr>
      </w:pPr>
    </w:p>
    <w:p w14:paraId="28A295CA">
      <w:pPr>
        <w:outlineLvl w:val="1"/>
        <w:rPr>
          <w:rFonts w:hint="eastAsia" w:ascii="宋体" w:hAnsi="宋体"/>
          <w:sz w:val="28"/>
          <w:szCs w:val="28"/>
        </w:rPr>
      </w:pPr>
    </w:p>
    <w:p w14:paraId="4B9B4711">
      <w:pPr>
        <w:outlineLvl w:val="1"/>
        <w:rPr>
          <w:rFonts w:hint="eastAsia" w:ascii="宋体" w:hAnsi="宋体"/>
          <w:sz w:val="28"/>
          <w:szCs w:val="28"/>
        </w:rPr>
      </w:pPr>
    </w:p>
    <w:p w14:paraId="26494C79">
      <w:pPr>
        <w:outlineLvl w:val="1"/>
        <w:rPr>
          <w:rFonts w:hint="eastAsia" w:ascii="宋体" w:hAnsi="宋体"/>
          <w:sz w:val="28"/>
          <w:szCs w:val="28"/>
        </w:rPr>
      </w:pPr>
    </w:p>
    <w:p w14:paraId="537EE24F">
      <w:pPr>
        <w:outlineLvl w:val="1"/>
        <w:rPr>
          <w:rFonts w:hint="eastAsia" w:ascii="宋体" w:hAnsi="宋体"/>
          <w:sz w:val="28"/>
          <w:szCs w:val="28"/>
        </w:rPr>
      </w:pPr>
    </w:p>
    <w:p w14:paraId="3E3988C3">
      <w:pPr>
        <w:outlineLvl w:val="1"/>
        <w:rPr>
          <w:rFonts w:hint="eastAsia" w:ascii="宋体" w:hAnsi="宋体"/>
          <w:sz w:val="28"/>
          <w:szCs w:val="28"/>
        </w:rPr>
      </w:pPr>
    </w:p>
    <w:p w14:paraId="4B939FF9">
      <w:pPr>
        <w:outlineLvl w:val="1"/>
        <w:rPr>
          <w:rFonts w:hint="eastAsia" w:ascii="宋体" w:hAnsi="宋体"/>
          <w:sz w:val="28"/>
          <w:szCs w:val="28"/>
        </w:rPr>
      </w:pPr>
    </w:p>
    <w:p w14:paraId="65EEE461">
      <w:pPr>
        <w:outlineLvl w:val="1"/>
        <w:rPr>
          <w:rFonts w:hint="eastAsia" w:ascii="宋体" w:hAnsi="宋体"/>
          <w:sz w:val="28"/>
          <w:szCs w:val="28"/>
        </w:rPr>
      </w:pPr>
    </w:p>
    <w:p w14:paraId="3FEF68D4">
      <w:pPr>
        <w:outlineLvl w:val="1"/>
        <w:rPr>
          <w:rFonts w:hint="eastAsia" w:ascii="宋体" w:hAnsi="宋体"/>
          <w:sz w:val="28"/>
          <w:szCs w:val="28"/>
        </w:rPr>
      </w:pPr>
    </w:p>
    <w:p w14:paraId="3392A170">
      <w:pPr>
        <w:outlineLvl w:val="1"/>
        <w:rPr>
          <w:rFonts w:hint="eastAsia" w:ascii="宋体" w:hAnsi="宋体"/>
          <w:sz w:val="28"/>
          <w:szCs w:val="28"/>
        </w:rPr>
      </w:pPr>
    </w:p>
    <w:p w14:paraId="6157F191">
      <w:pPr>
        <w:outlineLvl w:val="1"/>
        <w:rPr>
          <w:rFonts w:hint="eastAsia" w:ascii="宋体" w:hAnsi="宋体"/>
          <w:sz w:val="28"/>
          <w:szCs w:val="28"/>
        </w:rPr>
      </w:pPr>
    </w:p>
    <w:p w14:paraId="6DD6BD19">
      <w:pPr>
        <w:outlineLvl w:val="1"/>
        <w:rPr>
          <w:rFonts w:hint="eastAsia" w:ascii="宋体" w:hAnsi="宋体"/>
          <w:sz w:val="28"/>
          <w:szCs w:val="28"/>
        </w:rPr>
      </w:pPr>
    </w:p>
    <w:p w14:paraId="06C4C398">
      <w:pPr>
        <w:outlineLvl w:val="1"/>
        <w:rPr>
          <w:rFonts w:hint="eastAsia" w:ascii="宋体" w:hAnsi="宋体"/>
          <w:sz w:val="28"/>
          <w:szCs w:val="28"/>
        </w:rPr>
      </w:pPr>
    </w:p>
    <w:p w14:paraId="6690276E">
      <w:pPr>
        <w:outlineLvl w:val="1"/>
        <w:rPr>
          <w:rFonts w:hint="eastAsia" w:ascii="宋体" w:hAnsi="宋体"/>
          <w:sz w:val="28"/>
          <w:szCs w:val="28"/>
        </w:rPr>
      </w:pPr>
    </w:p>
    <w:p w14:paraId="61FA3671">
      <w:pPr>
        <w:outlineLvl w:val="1"/>
        <w:rPr>
          <w:rFonts w:hint="eastAsia" w:ascii="宋体" w:hAnsi="宋体"/>
          <w:sz w:val="28"/>
          <w:szCs w:val="28"/>
        </w:rPr>
      </w:pPr>
    </w:p>
    <w:p w14:paraId="40D1C2DA">
      <w:pPr>
        <w:outlineLvl w:val="1"/>
        <w:rPr>
          <w:rFonts w:hint="eastAsia" w:ascii="宋体" w:hAnsi="宋体"/>
          <w:sz w:val="28"/>
          <w:szCs w:val="28"/>
        </w:rPr>
      </w:pPr>
    </w:p>
    <w:p w14:paraId="0A22B065">
      <w:pPr>
        <w:outlineLvl w:val="1"/>
        <w:rPr>
          <w:rFonts w:hint="eastAsia" w:ascii="宋体" w:hAnsi="宋体"/>
          <w:sz w:val="28"/>
          <w:szCs w:val="28"/>
        </w:rPr>
      </w:pPr>
    </w:p>
    <w:p w14:paraId="252B6892">
      <w:pPr>
        <w:pStyle w:val="2"/>
        <w:rPr>
          <w:rFonts w:hint="eastAsia" w:ascii="宋体" w:hAnsi="宋体"/>
          <w:sz w:val="28"/>
          <w:szCs w:val="28"/>
        </w:rPr>
      </w:pPr>
    </w:p>
    <w:p w14:paraId="4E06B558">
      <w:pPr>
        <w:rPr>
          <w:rFonts w:hint="eastAsia" w:ascii="宋体" w:hAnsi="宋体"/>
          <w:sz w:val="28"/>
          <w:szCs w:val="28"/>
        </w:rPr>
      </w:pPr>
    </w:p>
    <w:p w14:paraId="6F9FB74B">
      <w:pPr>
        <w:pStyle w:val="2"/>
        <w:rPr>
          <w:rFonts w:hint="eastAsia" w:ascii="宋体" w:hAnsi="宋体"/>
          <w:sz w:val="28"/>
          <w:szCs w:val="28"/>
        </w:rPr>
      </w:pPr>
    </w:p>
    <w:p w14:paraId="4574B8AC">
      <w:pPr>
        <w:rPr>
          <w:rFonts w:hint="eastAsia" w:ascii="宋体" w:hAnsi="宋体"/>
          <w:sz w:val="28"/>
          <w:szCs w:val="28"/>
        </w:rPr>
      </w:pPr>
    </w:p>
    <w:p w14:paraId="50EC70D0">
      <w:pPr>
        <w:pStyle w:val="2"/>
        <w:rPr>
          <w:rFonts w:hint="eastAsia" w:ascii="宋体" w:hAnsi="宋体"/>
          <w:sz w:val="28"/>
          <w:szCs w:val="28"/>
        </w:rPr>
      </w:pPr>
    </w:p>
    <w:p w14:paraId="4422AD86">
      <w:pPr>
        <w:rPr>
          <w:rFonts w:hint="eastAsia" w:ascii="宋体" w:hAnsi="宋体"/>
          <w:sz w:val="28"/>
          <w:szCs w:val="28"/>
        </w:rPr>
      </w:pPr>
    </w:p>
    <w:p w14:paraId="65A974EE">
      <w:pPr>
        <w:pStyle w:val="2"/>
        <w:rPr>
          <w:rFonts w:hint="eastAsia" w:ascii="宋体" w:hAnsi="宋体"/>
          <w:sz w:val="28"/>
          <w:szCs w:val="28"/>
        </w:rPr>
      </w:pPr>
    </w:p>
    <w:p w14:paraId="352824D5">
      <w:pPr>
        <w:rPr>
          <w:rFonts w:hint="eastAsia" w:ascii="宋体" w:hAnsi="宋体"/>
          <w:sz w:val="28"/>
          <w:szCs w:val="28"/>
        </w:rPr>
      </w:pPr>
    </w:p>
    <w:p w14:paraId="14942831">
      <w:pPr>
        <w:pStyle w:val="2"/>
        <w:rPr>
          <w:rFonts w:hint="eastAsia"/>
        </w:rPr>
      </w:pPr>
    </w:p>
    <w:p w14:paraId="4DC2AB62">
      <w:pPr>
        <w:outlineLvl w:val="1"/>
        <w:rPr>
          <w:rFonts w:hint="eastAsia" w:ascii="宋体" w:hAnsi="宋体"/>
          <w:sz w:val="28"/>
          <w:szCs w:val="28"/>
        </w:rPr>
      </w:pPr>
    </w:p>
    <w:p w14:paraId="203ABFA9">
      <w:pPr>
        <w:outlineLvl w:val="1"/>
        <w:rPr>
          <w:rFonts w:hint="eastAsia" w:ascii="宋体" w:hAnsi="宋体"/>
          <w:sz w:val="28"/>
          <w:szCs w:val="28"/>
        </w:rPr>
      </w:pPr>
    </w:p>
    <w:p w14:paraId="2730846D">
      <w:pPr>
        <w:outlineLvl w:val="1"/>
        <w:rPr>
          <w:rFonts w:hint="eastAsia" w:ascii="宋体" w:hAnsi="宋体"/>
          <w:sz w:val="28"/>
          <w:szCs w:val="28"/>
        </w:rPr>
      </w:pPr>
      <w:bookmarkStart w:id="56" w:name="_Toc949"/>
      <w:r>
        <w:rPr>
          <w:rFonts w:hint="eastAsia" w:ascii="宋体" w:hAnsi="宋体"/>
          <w:sz w:val="28"/>
          <w:szCs w:val="28"/>
        </w:rPr>
        <w:t>附件九</w:t>
      </w:r>
      <w:bookmarkEnd w:id="56"/>
    </w:p>
    <w:p w14:paraId="3176DF28">
      <w:pPr>
        <w:snapToGrid w:val="0"/>
        <w:spacing w:before="60" w:after="60" w:line="312" w:lineRule="auto"/>
        <w:jc w:val="center"/>
        <w:rPr>
          <w:rFonts w:hint="eastAsia" w:ascii="宋体" w:hAnsi="宋体" w:eastAsia="宋体" w:cs="新宋体"/>
          <w:b/>
          <w:bCs/>
          <w:kern w:val="0"/>
          <w:sz w:val="36"/>
          <w:szCs w:val="36"/>
          <w:lang w:val="en-US" w:eastAsia="zh-CN" w:bidi="ar-SA"/>
        </w:rPr>
      </w:pPr>
      <w:r>
        <w:rPr>
          <w:rFonts w:hint="eastAsia" w:ascii="宋体" w:hAnsi="宋体" w:eastAsia="宋体" w:cs="新宋体"/>
          <w:b/>
          <w:bCs/>
          <w:kern w:val="0"/>
          <w:sz w:val="36"/>
          <w:szCs w:val="36"/>
          <w:lang w:val="en-US" w:eastAsia="zh-CN" w:bidi="ar-SA"/>
        </w:rPr>
        <w:t>投标供应商付款操作指南</w:t>
      </w:r>
    </w:p>
    <w:p w14:paraId="0EF7AEE3">
      <w:pPr>
        <w:keepNext/>
        <w:keepLines/>
        <w:snapToGrid w:val="0"/>
        <w:spacing w:line="408" w:lineRule="auto"/>
        <w:jc w:val="left"/>
        <w:outlineLvl w:val="0"/>
        <w:rPr>
          <w:rFonts w:ascii="minorHAnsi" w:hAnsi="minorHAnsi" w:eastAsia="等线"/>
          <w:b/>
          <w:bCs/>
          <w:color w:val="1A1A1A"/>
          <w:sz w:val="28"/>
          <w:szCs w:val="36"/>
        </w:rPr>
      </w:pPr>
      <w:bookmarkStart w:id="57" w:name="_Toc2878"/>
      <w:r>
        <w:rPr>
          <w:rFonts w:ascii="minorHAnsi" w:hAnsi="minorHAnsi" w:eastAsia="等线"/>
          <w:b/>
          <w:bCs/>
          <w:color w:val="1A1A1A"/>
          <w:sz w:val="28"/>
          <w:szCs w:val="36"/>
        </w:rPr>
        <w:t>一、收款开户行</w:t>
      </w:r>
      <w:bookmarkEnd w:id="57"/>
    </w:p>
    <w:p w14:paraId="74C6B754">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开户行名称：中国农业银行股份有限公司总行营业部（非转汇行）</w:t>
      </w:r>
    </w:p>
    <w:p w14:paraId="7809DD0F">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联行号：103100000018</w:t>
      </w:r>
    </w:p>
    <w:p w14:paraId="7E9C3473">
      <w:pPr>
        <w:spacing w:line="360" w:lineRule="auto"/>
        <w:ind w:firstLine="482" w:firstLineChars="200"/>
        <w:rPr>
          <w:rFonts w:hint="eastAsia" w:ascii="宋体" w:hAnsi="宋体" w:cs="宋体"/>
          <w:b/>
          <w:color w:val="000000"/>
          <w:sz w:val="24"/>
          <w:szCs w:val="22"/>
        </w:rPr>
      </w:pPr>
      <w:r>
        <w:rPr>
          <w:rFonts w:ascii="宋体" w:hAnsi="宋体" w:cs="宋体"/>
          <w:b/>
          <w:color w:val="000000"/>
          <w:sz w:val="24"/>
          <w:szCs w:val="22"/>
        </w:rPr>
        <w:t>注意：</w:t>
      </w:r>
    </w:p>
    <w:p w14:paraId="48F09B49">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①开户行名称必须填写完整，包括“</w:t>
      </w:r>
      <w:r>
        <w:rPr>
          <w:rFonts w:ascii="宋体" w:hAnsi="宋体" w:cs="宋体"/>
          <w:b/>
          <w:color w:val="FF0000"/>
          <w:sz w:val="24"/>
          <w:szCs w:val="22"/>
        </w:rPr>
        <w:t>（非转汇行）</w:t>
      </w:r>
      <w:r>
        <w:rPr>
          <w:rFonts w:ascii="宋体" w:hAnsi="宋体" w:cs="宋体"/>
          <w:color w:val="000000"/>
          <w:sz w:val="24"/>
          <w:szCs w:val="22"/>
        </w:rPr>
        <w:t>”，字符括号为</w:t>
      </w:r>
      <w:r>
        <w:rPr>
          <w:rFonts w:ascii="宋体" w:hAnsi="宋体" w:cs="宋体"/>
          <w:b/>
          <w:color w:val="FF0000"/>
          <w:sz w:val="24"/>
          <w:szCs w:val="22"/>
        </w:rPr>
        <w:t>全角</w:t>
      </w:r>
      <w:r>
        <w:rPr>
          <w:rFonts w:ascii="宋体" w:hAnsi="宋体" w:cs="宋体"/>
          <w:color w:val="000000"/>
          <w:sz w:val="24"/>
          <w:szCs w:val="22"/>
        </w:rPr>
        <w:t>格式。与前后字符相隔较远的为全角，紧挨着前后字符的为半角。</w:t>
      </w:r>
    </w:p>
    <w:p w14:paraId="48E8640C">
      <w:pPr>
        <w:ind w:left="-708" w:leftChars="-337" w:right="-624" w:rightChars="-297"/>
        <w:rPr>
          <w:rFonts w:hint="eastAsia" w:ascii="宋体" w:hAnsi="宋体" w:cs="宋体"/>
          <w:b/>
          <w:color w:val="000000"/>
          <w:sz w:val="32"/>
          <w:szCs w:val="22"/>
        </w:rPr>
      </w:pPr>
    </w:p>
    <w:p w14:paraId="416DA588">
      <w:pPr>
        <w:keepNext/>
        <w:keepLines/>
        <w:snapToGrid w:val="0"/>
        <w:spacing w:line="408" w:lineRule="auto"/>
        <w:jc w:val="left"/>
        <w:outlineLvl w:val="0"/>
        <w:rPr>
          <w:rFonts w:ascii="minorHAnsi" w:hAnsi="minorHAnsi" w:eastAsia="等线"/>
          <w:b/>
          <w:bCs/>
          <w:color w:val="1A1A1A"/>
          <w:sz w:val="36"/>
          <w:szCs w:val="36"/>
        </w:rPr>
      </w:pPr>
      <w:bookmarkStart w:id="58" w:name="_Toc30776"/>
      <w:r>
        <w:rPr>
          <w:rFonts w:ascii="minorHAnsi" w:hAnsi="minorHAnsi" w:eastAsia="等线"/>
          <w:b/>
          <w:bCs/>
          <w:color w:val="1A1A1A"/>
          <w:sz w:val="28"/>
          <w:szCs w:val="36"/>
        </w:rPr>
        <w:t>二、汇款注意事项</w:t>
      </w:r>
      <w:bookmarkEnd w:id="58"/>
    </w:p>
    <w:p w14:paraId="71718F4E">
      <w:pPr>
        <w:keepNext/>
        <w:keepLines/>
        <w:snapToGrid w:val="0"/>
        <w:spacing w:line="408" w:lineRule="auto"/>
        <w:jc w:val="left"/>
        <w:outlineLvl w:val="1"/>
        <w:rPr>
          <w:rFonts w:ascii="minorHAnsi" w:hAnsi="minorHAnsi" w:eastAsia="等线"/>
          <w:b/>
          <w:bCs/>
          <w:color w:val="1A1A1A"/>
          <w:sz w:val="32"/>
          <w:szCs w:val="32"/>
        </w:rPr>
      </w:pPr>
      <w:bookmarkStart w:id="59" w:name="_Toc6325"/>
      <w:r>
        <w:rPr>
          <w:rFonts w:ascii="minorHAnsi" w:hAnsi="minorHAnsi" w:eastAsia="等线"/>
          <w:b/>
          <w:bCs/>
          <w:color w:val="1A1A1A"/>
          <w:sz w:val="28"/>
          <w:szCs w:val="32"/>
        </w:rPr>
        <w:t>（1）通过企业网上银行支付</w:t>
      </w:r>
      <w:bookmarkEnd w:id="59"/>
    </w:p>
    <w:p w14:paraId="6A7B2CA7">
      <w:pPr>
        <w:snapToGrid w:val="0"/>
        <w:ind w:firstLine="480" w:firstLineChars="200"/>
        <w:jc w:val="left"/>
        <w:rPr>
          <w:rFonts w:hint="eastAsia" w:ascii="宋体" w:hAnsi="宋体" w:cs="宋体"/>
          <w:color w:val="000000"/>
          <w:sz w:val="24"/>
          <w:szCs w:val="22"/>
        </w:rPr>
      </w:pPr>
      <w:r>
        <w:rPr>
          <w:rFonts w:ascii="宋体" w:hAnsi="宋体" w:cs="宋体"/>
          <w:color w:val="000000"/>
          <w:sz w:val="24"/>
          <w:szCs w:val="22"/>
        </w:rPr>
        <w:t>①</w:t>
      </w:r>
      <w:r>
        <w:rPr>
          <w:rFonts w:ascii="宋体" w:hAnsi="宋体" w:cs="宋体"/>
          <w:b/>
          <w:color w:val="FF0000"/>
          <w:sz w:val="24"/>
          <w:szCs w:val="22"/>
        </w:rPr>
        <w:t>付款方银行</w:t>
      </w:r>
      <w:r>
        <w:rPr>
          <w:rFonts w:ascii="宋体" w:hAnsi="宋体" w:cs="宋体"/>
          <w:color w:val="000000"/>
          <w:sz w:val="24"/>
          <w:szCs w:val="22"/>
        </w:rPr>
        <w:t>无论从哪个银行汇出，均要选择“</w:t>
      </w:r>
      <w:r>
        <w:rPr>
          <w:rFonts w:ascii="宋体" w:hAnsi="宋体" w:cs="宋体"/>
          <w:b/>
          <w:color w:val="FF0000"/>
          <w:sz w:val="24"/>
          <w:szCs w:val="22"/>
        </w:rPr>
        <w:t>跨行</w:t>
      </w:r>
      <w:r>
        <w:rPr>
          <w:rFonts w:ascii="宋体" w:hAnsi="宋体" w:cs="宋体"/>
          <w:color w:val="000000"/>
          <w:sz w:val="24"/>
          <w:szCs w:val="22"/>
        </w:rPr>
        <w:t xml:space="preserve">”交易，但收款方开户行类别要根据出款银行做区分： </w:t>
      </w:r>
      <w:r>
        <w:rPr>
          <w:rFonts w:ascii="宋体" w:hAnsi="宋体" w:cs="宋体"/>
          <w:color w:val="000000"/>
          <w:sz w:val="24"/>
          <w:szCs w:val="22"/>
        </w:rPr>
        <w:drawing>
          <wp:inline distT="0" distB="0" distL="114300" distR="114300">
            <wp:extent cx="6181090" cy="952500"/>
            <wp:effectExtent l="0" t="0" r="3810" b="0"/>
            <wp:docPr id="11" name="图片 3" descr="descript"/>
            <wp:cNvGraphicFramePr/>
            <a:graphic xmlns:a="http://schemas.openxmlformats.org/drawingml/2006/main">
              <a:graphicData uri="http://schemas.openxmlformats.org/drawingml/2006/picture">
                <pic:pic xmlns:pic="http://schemas.openxmlformats.org/drawingml/2006/picture">
                  <pic:nvPicPr>
                    <pic:cNvPr id="11" name="图片 3" descr="descript"/>
                    <pic:cNvPicPr/>
                  </pic:nvPicPr>
                  <pic:blipFill>
                    <a:blip r:embed="rId17"/>
                    <a:stretch>
                      <a:fillRect/>
                    </a:stretch>
                  </pic:blipFill>
                  <pic:spPr>
                    <a:xfrm>
                      <a:off x="0" y="0"/>
                      <a:ext cx="6181090" cy="952500"/>
                    </a:xfrm>
                    <a:prstGeom prst="rect">
                      <a:avLst/>
                    </a:prstGeom>
                    <a:solidFill>
                      <a:srgbClr val="FFFFFF"/>
                    </a:solidFill>
                    <a:ln>
                      <a:noFill/>
                    </a:ln>
                  </pic:spPr>
                </pic:pic>
              </a:graphicData>
            </a:graphic>
          </wp:inline>
        </w:drawing>
      </w:r>
    </w:p>
    <w:p w14:paraId="7DE0EAA1">
      <w:pPr>
        <w:snapToGrid w:val="0"/>
        <w:ind w:firstLine="480" w:firstLineChars="200"/>
        <w:jc w:val="left"/>
        <w:rPr>
          <w:rFonts w:hint="eastAsia" w:ascii="宋体" w:hAnsi="宋体" w:cs="宋体"/>
          <w:color w:val="000000"/>
          <w:szCs w:val="22"/>
        </w:rPr>
      </w:pPr>
      <w:r>
        <w:rPr>
          <w:rFonts w:ascii="宋体" w:hAnsi="宋体" w:cs="宋体"/>
          <w:color w:val="000000"/>
          <w:sz w:val="24"/>
          <w:szCs w:val="22"/>
        </w:rPr>
        <w:t>②</w:t>
      </w:r>
      <w:r>
        <w:rPr>
          <w:rFonts w:ascii="宋体" w:hAnsi="宋体" w:cs="宋体"/>
          <w:color w:val="FF0000"/>
          <w:sz w:val="24"/>
          <w:szCs w:val="22"/>
        </w:rPr>
        <w:t>付款用途</w:t>
      </w:r>
      <w:r>
        <w:rPr>
          <w:rFonts w:ascii="宋体" w:hAnsi="宋体" w:cs="宋体"/>
          <w:color w:val="000000"/>
          <w:sz w:val="24"/>
          <w:szCs w:val="22"/>
        </w:rPr>
        <w:t>要写在“附言”项里，也就是常说的摘要/备注。附言不超30个字。</w:t>
      </w:r>
    </w:p>
    <w:p w14:paraId="610D2ED2">
      <w:pPr>
        <w:snapToGrid w:val="0"/>
        <w:ind w:firstLine="420" w:firstLineChars="200"/>
        <w:jc w:val="left"/>
        <w:rPr>
          <w:rFonts w:hint="eastAsia" w:ascii="宋体" w:hAnsi="宋体" w:cs="宋体"/>
          <w:color w:val="000000"/>
          <w:szCs w:val="22"/>
        </w:rPr>
      </w:pPr>
    </w:p>
    <w:p w14:paraId="279CB8AC">
      <w:pPr>
        <w:snapToGrid w:val="0"/>
        <w:ind w:firstLine="420" w:firstLineChars="200"/>
        <w:jc w:val="left"/>
        <w:rPr>
          <w:rFonts w:hint="eastAsia" w:ascii="宋体" w:hAnsi="宋体" w:cs="宋体"/>
          <w:color w:val="000000"/>
          <w:szCs w:val="22"/>
        </w:rPr>
      </w:pPr>
      <w:r>
        <w:rPr>
          <w:rFonts w:ascii="宋体" w:hAnsi="宋体" w:cs="宋体"/>
          <w:color w:val="000000"/>
          <w:szCs w:val="22"/>
        </w:rPr>
        <w:drawing>
          <wp:inline distT="0" distB="0" distL="114300" distR="114300">
            <wp:extent cx="5370830" cy="4427220"/>
            <wp:effectExtent l="0" t="0" r="1270" b="5080"/>
            <wp:docPr id="13"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descript"/>
                    <pic:cNvPicPr>
                      <a:picLocks noChangeAspect="1"/>
                    </pic:cNvPicPr>
                  </pic:nvPicPr>
                  <pic:blipFill>
                    <a:blip r:embed="rId18"/>
                    <a:stretch>
                      <a:fillRect/>
                    </a:stretch>
                  </pic:blipFill>
                  <pic:spPr>
                    <a:xfrm>
                      <a:off x="0" y="0"/>
                      <a:ext cx="5370830" cy="4427220"/>
                    </a:xfrm>
                    <a:prstGeom prst="rect">
                      <a:avLst/>
                    </a:prstGeom>
                    <a:noFill/>
                    <a:ln>
                      <a:noFill/>
                    </a:ln>
                  </pic:spPr>
                </pic:pic>
              </a:graphicData>
            </a:graphic>
          </wp:inline>
        </w:drawing>
      </w:r>
    </w:p>
    <w:p w14:paraId="19A43ECF">
      <w:pPr>
        <w:spacing w:line="360" w:lineRule="auto"/>
        <w:ind w:left="-708" w:leftChars="-337" w:right="-624" w:rightChars="-297" w:firstLine="420" w:firstLineChars="200"/>
        <w:rPr>
          <w:rFonts w:hint="eastAsia" w:ascii="宋体" w:hAnsi="宋体" w:cs="宋体"/>
          <w:color w:val="000000"/>
          <w:szCs w:val="22"/>
        </w:rPr>
      </w:pPr>
    </w:p>
    <w:p w14:paraId="14CD0FBD">
      <w:pPr>
        <w:keepNext/>
        <w:keepLines/>
        <w:snapToGrid w:val="0"/>
        <w:spacing w:line="408" w:lineRule="auto"/>
        <w:jc w:val="left"/>
        <w:outlineLvl w:val="1"/>
        <w:rPr>
          <w:rFonts w:ascii="minorHAnsi" w:hAnsi="minorHAnsi" w:eastAsia="等线"/>
          <w:b/>
          <w:bCs/>
          <w:color w:val="1A1A1A"/>
          <w:sz w:val="28"/>
          <w:szCs w:val="32"/>
        </w:rPr>
      </w:pPr>
      <w:bookmarkStart w:id="60" w:name="_Toc27244"/>
      <w:r>
        <w:rPr>
          <w:rFonts w:ascii="minorHAnsi" w:hAnsi="minorHAnsi" w:eastAsia="等线"/>
          <w:b/>
          <w:bCs/>
          <w:color w:val="1A1A1A"/>
          <w:sz w:val="28"/>
          <w:szCs w:val="32"/>
        </w:rPr>
        <w:t>农行网银付款注意事项：</w:t>
      </w:r>
      <w:bookmarkEnd w:id="60"/>
    </w:p>
    <w:p w14:paraId="3ADED9A1">
      <w:pPr>
        <w:spacing w:line="360" w:lineRule="auto"/>
        <w:ind w:firstLine="482" w:firstLineChars="200"/>
        <w:rPr>
          <w:rFonts w:hint="eastAsia" w:ascii="宋体" w:hAnsi="宋体" w:cs="宋体"/>
          <w:b/>
          <w:color w:val="000000"/>
          <w:sz w:val="24"/>
          <w:szCs w:val="22"/>
        </w:rPr>
      </w:pPr>
      <w:r>
        <w:rPr>
          <w:rFonts w:ascii="宋体" w:hAnsi="宋体" w:cs="宋体"/>
          <w:b/>
          <w:color w:val="000000"/>
          <w:sz w:val="24"/>
          <w:szCs w:val="22"/>
        </w:rPr>
        <w:t>投标供应商采用</w:t>
      </w:r>
      <w:r>
        <w:rPr>
          <w:rFonts w:ascii="宋体" w:hAnsi="宋体" w:cs="宋体"/>
          <w:b/>
          <w:color w:val="FF0000"/>
          <w:sz w:val="24"/>
          <w:szCs w:val="22"/>
        </w:rPr>
        <w:t>农行网银</w:t>
      </w:r>
      <w:r>
        <w:rPr>
          <w:rFonts w:ascii="宋体" w:hAnsi="宋体" w:cs="宋体"/>
          <w:b/>
          <w:color w:val="000000"/>
          <w:sz w:val="24"/>
          <w:szCs w:val="22"/>
        </w:rPr>
        <w:t>付款时，必须</w:t>
      </w:r>
      <w:r>
        <w:rPr>
          <w:rFonts w:ascii="宋体" w:hAnsi="宋体" w:cs="宋体"/>
          <w:b/>
          <w:color w:val="FF0000"/>
          <w:sz w:val="24"/>
          <w:szCs w:val="22"/>
        </w:rPr>
        <w:t>先进行收款方信息维护</w:t>
      </w:r>
      <w:r>
        <w:rPr>
          <w:rFonts w:ascii="宋体" w:hAnsi="宋体" w:cs="宋体"/>
          <w:b/>
          <w:color w:val="000000"/>
          <w:sz w:val="24"/>
          <w:szCs w:val="22"/>
        </w:rPr>
        <w:t>再付款，维护详见步骤一、二。</w:t>
      </w:r>
    </w:p>
    <w:p w14:paraId="0F9FC2E3">
      <w:pPr>
        <w:spacing w:line="360" w:lineRule="auto"/>
        <w:ind w:firstLine="482" w:firstLineChars="200"/>
        <w:rPr>
          <w:rFonts w:hint="eastAsia" w:ascii="宋体" w:hAnsi="宋体" w:cs="宋体"/>
          <w:color w:val="000000"/>
          <w:szCs w:val="22"/>
        </w:rPr>
      </w:pPr>
      <w:r>
        <w:rPr>
          <w:rFonts w:ascii="宋体" w:hAnsi="宋体" w:cs="宋体"/>
          <w:b/>
          <w:color w:val="000000"/>
          <w:sz w:val="24"/>
          <w:szCs w:val="22"/>
        </w:rPr>
        <w:t>维护完成后进行转账支付，点击</w:t>
      </w:r>
      <w:r>
        <w:rPr>
          <w:rFonts w:ascii="宋体" w:hAnsi="宋体" w:cs="宋体"/>
          <w:b/>
          <w:color w:val="FF0000"/>
          <w:sz w:val="24"/>
          <w:szCs w:val="22"/>
        </w:rPr>
        <w:t>收款方名册</w:t>
      </w:r>
      <w:r>
        <w:rPr>
          <w:rFonts w:ascii="宋体" w:hAnsi="宋体" w:cs="宋体"/>
          <w:b/>
          <w:color w:val="000000"/>
          <w:sz w:val="24"/>
          <w:szCs w:val="22"/>
        </w:rPr>
        <w:t>选择收款单位，转账方式选择“</w:t>
      </w:r>
      <w:r>
        <w:rPr>
          <w:rFonts w:ascii="宋体" w:hAnsi="宋体" w:cs="宋体"/>
          <w:b/>
          <w:color w:val="FF0000"/>
          <w:sz w:val="24"/>
          <w:szCs w:val="22"/>
        </w:rPr>
        <w:t>普通转账</w:t>
      </w:r>
      <w:r>
        <w:rPr>
          <w:rFonts w:ascii="宋体" w:hAnsi="宋体" w:cs="宋体"/>
          <w:b/>
          <w:color w:val="000000"/>
          <w:sz w:val="24"/>
          <w:szCs w:val="22"/>
        </w:rPr>
        <w:t>”。</w:t>
      </w:r>
    </w:p>
    <w:p w14:paraId="33F5D1FF">
      <w:pPr>
        <w:ind w:right="-624" w:rightChars="-297"/>
        <w:jc w:val="left"/>
        <w:rPr>
          <w:rFonts w:hint="eastAsia" w:ascii="宋体" w:hAnsi="宋体" w:cs="宋体"/>
          <w:color w:val="000000"/>
          <w:szCs w:val="22"/>
        </w:rPr>
      </w:pPr>
    </w:p>
    <w:p w14:paraId="225A52C0">
      <w:pPr>
        <w:keepNext/>
        <w:keepLines/>
        <w:snapToGrid w:val="0"/>
        <w:spacing w:line="408" w:lineRule="auto"/>
        <w:jc w:val="left"/>
        <w:outlineLvl w:val="1"/>
        <w:rPr>
          <w:rFonts w:ascii="minorHAnsi" w:hAnsi="minorHAnsi" w:eastAsia="等线"/>
          <w:b/>
          <w:bCs/>
          <w:color w:val="1A1A1A"/>
          <w:sz w:val="28"/>
          <w:szCs w:val="32"/>
        </w:rPr>
      </w:pPr>
      <w:bookmarkStart w:id="61" w:name="_Toc24431"/>
      <w:r>
        <w:rPr>
          <w:rFonts w:ascii="minorHAnsi" w:hAnsi="minorHAnsi" w:eastAsia="等线"/>
          <w:b/>
          <w:bCs/>
          <w:color w:val="1A1A1A"/>
          <w:sz w:val="28"/>
          <w:szCs w:val="32"/>
        </w:rPr>
        <w:t>收款方信息维护步骤一：</w:t>
      </w:r>
      <w:bookmarkEnd w:id="61"/>
    </w:p>
    <w:p w14:paraId="5366FBA5">
      <w:pPr>
        <w:spacing w:line="360" w:lineRule="auto"/>
        <w:ind w:firstLine="480" w:firstLineChars="200"/>
        <w:rPr>
          <w:rFonts w:hint="eastAsia" w:ascii="宋体" w:hAnsi="宋体" w:cs="宋体"/>
          <w:b/>
          <w:color w:val="FF0000"/>
          <w:szCs w:val="22"/>
        </w:rPr>
      </w:pPr>
      <w:r>
        <w:rPr>
          <w:rFonts w:ascii="宋体" w:hAnsi="宋体" w:cs="宋体"/>
          <w:color w:val="000000"/>
          <w:sz w:val="24"/>
          <w:szCs w:val="22"/>
        </w:rPr>
        <w:t>进行</w:t>
      </w:r>
      <w:r>
        <w:rPr>
          <w:rFonts w:ascii="宋体" w:hAnsi="宋体" w:cs="宋体"/>
          <w:color w:val="FF0000"/>
          <w:sz w:val="24"/>
          <w:szCs w:val="22"/>
        </w:rPr>
        <w:t>收款方信息维护</w:t>
      </w:r>
      <w:r>
        <w:rPr>
          <w:rFonts w:ascii="宋体" w:hAnsi="宋体" w:cs="宋体"/>
          <w:color w:val="000000"/>
          <w:sz w:val="24"/>
          <w:szCs w:val="22"/>
        </w:rPr>
        <w:t>-</w:t>
      </w:r>
      <w:r>
        <w:rPr>
          <w:rFonts w:ascii="宋体" w:hAnsi="宋体" w:cs="宋体"/>
          <w:color w:val="FF0000"/>
          <w:sz w:val="24"/>
          <w:szCs w:val="22"/>
        </w:rPr>
        <w:t>新增收款方</w:t>
      </w:r>
      <w:r>
        <w:rPr>
          <w:rFonts w:ascii="宋体" w:hAnsi="宋体" w:cs="宋体"/>
          <w:color w:val="000000"/>
          <w:sz w:val="24"/>
          <w:szCs w:val="22"/>
        </w:rPr>
        <w:t>-需选择“</w:t>
      </w:r>
      <w:r>
        <w:rPr>
          <w:rFonts w:ascii="宋体" w:hAnsi="宋体" w:cs="宋体"/>
          <w:color w:val="FF0000"/>
          <w:sz w:val="24"/>
          <w:szCs w:val="22"/>
        </w:rPr>
        <w:t>特殊账户类型录入</w:t>
      </w:r>
      <w:r>
        <w:rPr>
          <w:rFonts w:ascii="宋体" w:hAnsi="宋体" w:cs="宋体"/>
          <w:color w:val="000000"/>
          <w:sz w:val="24"/>
          <w:szCs w:val="22"/>
        </w:rPr>
        <w:t>”-“</w:t>
      </w:r>
      <w:r>
        <w:rPr>
          <w:rFonts w:ascii="宋体" w:hAnsi="宋体" w:cs="宋体"/>
          <w:color w:val="FF0000"/>
          <w:sz w:val="24"/>
          <w:szCs w:val="22"/>
        </w:rPr>
        <w:t>内部合约</w:t>
      </w:r>
      <w:r>
        <w:rPr>
          <w:rFonts w:ascii="宋体" w:hAnsi="宋体" w:cs="宋体"/>
          <w:color w:val="000000"/>
          <w:sz w:val="24"/>
          <w:szCs w:val="22"/>
        </w:rPr>
        <w:t>”，如图所示：</w:t>
      </w:r>
    </w:p>
    <w:p w14:paraId="6850A72F">
      <w:pPr>
        <w:ind w:left="-709" w:right="-624" w:rightChars="-297" w:firstLine="424" w:firstLineChars="202"/>
        <w:jc w:val="left"/>
        <w:rPr>
          <w:rFonts w:hint="eastAsia" w:ascii="宋体" w:hAnsi="宋体" w:cs="宋体"/>
          <w:color w:val="333333"/>
          <w:szCs w:val="22"/>
        </w:rPr>
      </w:pPr>
    </w:p>
    <w:p w14:paraId="2FB5EEE6">
      <w:pPr>
        <w:ind w:left="-709" w:right="-624" w:rightChars="-297" w:firstLine="424" w:firstLineChars="202"/>
        <w:jc w:val="center"/>
        <w:rPr>
          <w:rFonts w:hint="eastAsia" w:ascii="宋体" w:hAnsi="宋体" w:cs="宋体"/>
          <w:color w:val="000000"/>
          <w:szCs w:val="22"/>
        </w:rPr>
      </w:pPr>
      <w:r>
        <w:rPr>
          <w:rFonts w:ascii="宋体" w:hAnsi="宋体" w:cs="宋体"/>
          <w:color w:val="000000"/>
          <w:szCs w:val="22"/>
        </w:rPr>
        <w:t xml:space="preserve">   </w:t>
      </w:r>
      <w:r>
        <w:rPr>
          <w:rFonts w:ascii="宋体" w:hAnsi="宋体" w:cs="宋体"/>
          <w:color w:val="000000"/>
          <w:szCs w:val="22"/>
        </w:rPr>
        <w:drawing>
          <wp:inline distT="0" distB="0" distL="114300" distR="114300">
            <wp:extent cx="6208395" cy="3369945"/>
            <wp:effectExtent l="0" t="0" r="1905" b="8255"/>
            <wp:docPr id="14"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descript"/>
                    <pic:cNvPicPr>
                      <a:picLocks noChangeAspect="1"/>
                    </pic:cNvPicPr>
                  </pic:nvPicPr>
                  <pic:blipFill>
                    <a:blip r:embed="rId19"/>
                    <a:stretch>
                      <a:fillRect/>
                    </a:stretch>
                  </pic:blipFill>
                  <pic:spPr>
                    <a:xfrm>
                      <a:off x="0" y="0"/>
                      <a:ext cx="6208395" cy="3369945"/>
                    </a:xfrm>
                    <a:prstGeom prst="rect">
                      <a:avLst/>
                    </a:prstGeom>
                    <a:noFill/>
                    <a:ln>
                      <a:noFill/>
                    </a:ln>
                  </pic:spPr>
                </pic:pic>
              </a:graphicData>
            </a:graphic>
          </wp:inline>
        </w:drawing>
      </w:r>
    </w:p>
    <w:p w14:paraId="7F1C8BB9">
      <w:pPr>
        <w:keepNext/>
        <w:keepLines/>
        <w:snapToGrid w:val="0"/>
        <w:spacing w:line="408" w:lineRule="auto"/>
        <w:jc w:val="left"/>
        <w:outlineLvl w:val="1"/>
        <w:rPr>
          <w:rFonts w:ascii="minorHAnsi" w:hAnsi="minorHAnsi" w:eastAsia="等线"/>
          <w:b/>
          <w:bCs/>
          <w:color w:val="1A1A1A"/>
          <w:sz w:val="28"/>
          <w:szCs w:val="32"/>
        </w:rPr>
      </w:pPr>
      <w:bookmarkStart w:id="62" w:name="_Toc30428"/>
      <w:r>
        <w:rPr>
          <w:rFonts w:ascii="minorHAnsi" w:hAnsi="minorHAnsi" w:eastAsia="等线"/>
          <w:b/>
          <w:bCs/>
          <w:color w:val="1A1A1A"/>
          <w:sz w:val="28"/>
          <w:szCs w:val="32"/>
        </w:rPr>
        <w:t>收款方信息维护步骤二：</w:t>
      </w:r>
      <w:bookmarkEnd w:id="62"/>
    </w:p>
    <w:p w14:paraId="2DCE933E">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按要求维护完毕后进行消息确认，如图所示：</w:t>
      </w:r>
    </w:p>
    <w:p w14:paraId="6F82A6AE">
      <w:pPr>
        <w:ind w:left="-709" w:right="-624" w:rightChars="-297" w:firstLine="444" w:firstLineChars="202"/>
        <w:jc w:val="left"/>
        <w:rPr>
          <w:rFonts w:hint="eastAsia" w:ascii="宋体" w:hAnsi="宋体" w:cs="宋体"/>
          <w:color w:val="333333"/>
          <w:sz w:val="22"/>
          <w:szCs w:val="22"/>
        </w:rPr>
      </w:pPr>
    </w:p>
    <w:p w14:paraId="003666F3">
      <w:pPr>
        <w:ind w:left="-709" w:right="-624" w:rightChars="-297" w:firstLine="444" w:firstLineChars="202"/>
        <w:jc w:val="center"/>
        <w:rPr>
          <w:rFonts w:hint="eastAsia" w:ascii="宋体" w:hAnsi="宋体" w:cs="宋体"/>
          <w:color w:val="333333"/>
          <w:sz w:val="22"/>
          <w:szCs w:val="22"/>
        </w:rPr>
      </w:pPr>
      <w:r>
        <w:rPr>
          <w:rFonts w:ascii="宋体" w:hAnsi="宋体" w:cs="宋体"/>
          <w:color w:val="333333"/>
          <w:sz w:val="22"/>
          <w:szCs w:val="22"/>
        </w:rPr>
        <w:drawing>
          <wp:inline distT="0" distB="0" distL="114300" distR="114300">
            <wp:extent cx="5123815" cy="3109595"/>
            <wp:effectExtent l="0" t="0" r="6985" b="1905"/>
            <wp:docPr id="4"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descript"/>
                    <pic:cNvPicPr>
                      <a:picLocks noChangeAspect="1"/>
                    </pic:cNvPicPr>
                  </pic:nvPicPr>
                  <pic:blipFill>
                    <a:blip r:embed="rId20"/>
                    <a:stretch>
                      <a:fillRect/>
                    </a:stretch>
                  </pic:blipFill>
                  <pic:spPr>
                    <a:xfrm>
                      <a:off x="0" y="0"/>
                      <a:ext cx="5123815" cy="3109595"/>
                    </a:xfrm>
                    <a:prstGeom prst="rect">
                      <a:avLst/>
                    </a:prstGeom>
                    <a:noFill/>
                    <a:ln>
                      <a:noFill/>
                    </a:ln>
                  </pic:spPr>
                </pic:pic>
              </a:graphicData>
            </a:graphic>
          </wp:inline>
        </w:drawing>
      </w:r>
    </w:p>
    <w:p w14:paraId="4B5CF094">
      <w:pPr>
        <w:ind w:left="-709" w:right="-624" w:rightChars="-297" w:firstLine="444" w:firstLineChars="202"/>
        <w:jc w:val="left"/>
        <w:rPr>
          <w:rFonts w:hint="eastAsia" w:ascii="宋体" w:hAnsi="宋体" w:cs="宋体"/>
          <w:color w:val="333333"/>
          <w:sz w:val="22"/>
          <w:szCs w:val="22"/>
        </w:rPr>
      </w:pPr>
    </w:p>
    <w:p w14:paraId="6055AF71">
      <w:pPr>
        <w:keepNext/>
        <w:keepLines/>
        <w:snapToGrid w:val="0"/>
        <w:spacing w:line="408" w:lineRule="auto"/>
        <w:jc w:val="left"/>
        <w:outlineLvl w:val="1"/>
        <w:rPr>
          <w:rFonts w:ascii="minorHAnsi" w:hAnsi="minorHAnsi" w:eastAsia="等线"/>
          <w:b/>
          <w:bCs/>
          <w:color w:val="1A1A1A"/>
          <w:sz w:val="28"/>
          <w:szCs w:val="32"/>
        </w:rPr>
      </w:pPr>
      <w:bookmarkStart w:id="63" w:name="_Toc28258"/>
      <w:r>
        <w:rPr>
          <w:rFonts w:ascii="minorHAnsi" w:hAnsi="minorHAnsi" w:eastAsia="等线"/>
          <w:b/>
          <w:bCs/>
          <w:color w:val="1A1A1A"/>
          <w:sz w:val="28"/>
          <w:szCs w:val="32"/>
        </w:rPr>
        <w:t>（2）银行柜台转账</w:t>
      </w:r>
      <w:bookmarkEnd w:id="63"/>
    </w:p>
    <w:p w14:paraId="33757841">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如果是农行柜台转账，需要告诉银行业务人员</w:t>
      </w:r>
      <w:r>
        <w:rPr>
          <w:rFonts w:ascii="宋体" w:hAnsi="宋体" w:cs="宋体"/>
          <w:color w:val="FF0000"/>
          <w:sz w:val="24"/>
          <w:szCs w:val="22"/>
        </w:rPr>
        <w:t>“农行账号往内部合约付款柜面操作，用“21201”交易，勾选账户间转账，账号录入财务公司15077账号，再勾选集中代理收付款，再录入代理行内部合约”。</w:t>
      </w:r>
    </w:p>
    <w:p w14:paraId="3D0982FE">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如需跟出款行付款提示，请务必说明收款方开户银行是中铁财务公司，代理银行为农业银行，此账号为中铁财务公司为我单位开设的代理行账户。</w:t>
      </w:r>
    </w:p>
    <w:p w14:paraId="1022E470">
      <w:pPr>
        <w:ind w:left="-708" w:leftChars="-337" w:right="-624" w:rightChars="-297" w:firstLine="420" w:firstLineChars="200"/>
        <w:jc w:val="center"/>
        <w:rPr>
          <w:rFonts w:hint="eastAsia" w:ascii="宋体" w:hAnsi="宋体" w:cs="宋体"/>
          <w:color w:val="333333"/>
          <w:szCs w:val="22"/>
        </w:rPr>
      </w:pPr>
      <w:r>
        <w:rPr>
          <w:rFonts w:ascii="宋体" w:hAnsi="宋体" w:cs="宋体"/>
          <w:color w:val="333333"/>
          <w:szCs w:val="22"/>
        </w:rPr>
        <w:drawing>
          <wp:inline distT="0" distB="0" distL="114300" distR="114300">
            <wp:extent cx="5191125" cy="3557905"/>
            <wp:effectExtent l="0" t="0" r="3175" b="10795"/>
            <wp:docPr id="15"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descript"/>
                    <pic:cNvPicPr>
                      <a:picLocks noChangeAspect="1"/>
                    </pic:cNvPicPr>
                  </pic:nvPicPr>
                  <pic:blipFill>
                    <a:blip r:embed="rId21"/>
                    <a:stretch>
                      <a:fillRect/>
                    </a:stretch>
                  </pic:blipFill>
                  <pic:spPr>
                    <a:xfrm>
                      <a:off x="0" y="0"/>
                      <a:ext cx="5191125" cy="3557905"/>
                    </a:xfrm>
                    <a:prstGeom prst="rect">
                      <a:avLst/>
                    </a:prstGeom>
                    <a:noFill/>
                    <a:ln>
                      <a:noFill/>
                    </a:ln>
                  </pic:spPr>
                </pic:pic>
              </a:graphicData>
            </a:graphic>
          </wp:inline>
        </w:drawing>
      </w:r>
    </w:p>
    <w:p w14:paraId="53349BD2">
      <w:pPr>
        <w:ind w:left="-708" w:leftChars="-337" w:right="-624" w:rightChars="-297" w:firstLine="420" w:firstLineChars="200"/>
        <w:rPr>
          <w:rFonts w:hint="eastAsia" w:ascii="宋体" w:hAnsi="宋体" w:cs="宋体"/>
          <w:color w:val="333333"/>
          <w:szCs w:val="22"/>
        </w:rPr>
      </w:pPr>
    </w:p>
    <w:p w14:paraId="08C3F5A5">
      <w:pPr>
        <w:keepNext/>
        <w:keepLines/>
        <w:snapToGrid w:val="0"/>
        <w:spacing w:line="408" w:lineRule="auto"/>
        <w:jc w:val="left"/>
        <w:outlineLvl w:val="1"/>
        <w:rPr>
          <w:rFonts w:ascii="minorHAnsi" w:hAnsi="minorHAnsi" w:eastAsia="等线"/>
          <w:b/>
          <w:bCs/>
          <w:color w:val="1A1A1A"/>
          <w:sz w:val="28"/>
          <w:szCs w:val="32"/>
        </w:rPr>
      </w:pPr>
      <w:bookmarkStart w:id="64" w:name="_Toc10972"/>
      <w:r>
        <w:rPr>
          <w:rFonts w:ascii="minorHAnsi" w:hAnsi="minorHAnsi" w:eastAsia="等线"/>
          <w:b/>
          <w:bCs/>
          <w:color w:val="1A1A1A"/>
          <w:sz w:val="28"/>
          <w:szCs w:val="32"/>
        </w:rPr>
        <w:t>（3）付款结果查询</w:t>
      </w:r>
      <w:bookmarkEnd w:id="64"/>
    </w:p>
    <w:p w14:paraId="28974F41">
      <w:r>
        <w:rPr>
          <w:rFonts w:ascii="宋体" w:hAnsi="宋体" w:cs="宋体"/>
          <w:b/>
          <w:color w:val="000000"/>
          <w:sz w:val="24"/>
          <w:szCs w:val="22"/>
        </w:rPr>
        <w:t>付款银行确认已出款但收款方未到账时，如确认收款信息填写无误，请将</w:t>
      </w:r>
      <w:r>
        <w:rPr>
          <w:rFonts w:ascii="宋体" w:hAnsi="宋体" w:cs="宋体"/>
          <w:b/>
          <w:color w:val="FF0000"/>
          <w:sz w:val="24"/>
          <w:szCs w:val="22"/>
        </w:rPr>
        <w:t>正式银行回单</w:t>
      </w:r>
      <w:r>
        <w:rPr>
          <w:rFonts w:ascii="宋体" w:hAnsi="宋体" w:cs="宋体"/>
          <w:b/>
          <w:color w:val="000000"/>
          <w:sz w:val="24"/>
          <w:szCs w:val="22"/>
        </w:rPr>
        <w:t>传给招标负责人查询。</w:t>
      </w:r>
      <w:bookmarkStart w:id="65" w:name="_GoBack"/>
      <w:bookmarkEnd w:id="6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inorHAnsi">
    <w:altName w:val="Cambria"/>
    <w:panose1 w:val="00000000000000000000"/>
    <w:charset w:val="00"/>
    <w:family w:val="roman"/>
    <w:pitch w:val="default"/>
    <w:sig w:usb0="00000000" w:usb1="00000000" w:usb2="00000000" w:usb3="00000000" w:csb0="0004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05B23">
    <w:pPr>
      <w:pStyle w:val="6"/>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4C3FF5">
                          <w:pPr>
                            <w:pStyle w:val="6"/>
                          </w:pPr>
                          <w:r>
                            <w:fldChar w:fldCharType="begin"/>
                          </w:r>
                          <w:r>
                            <w:instrText xml:space="preserve"> PAGE  \* MERGEFORMAT </w:instrText>
                          </w:r>
                          <w:r>
                            <w:fldChar w:fldCharType="separate"/>
                          </w:r>
                          <w:r>
                            <w:t>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7D4C3FF5">
                    <w:pPr>
                      <w:pStyle w:val="6"/>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021C7">
    <w:pPr>
      <w:pStyle w:val="6"/>
      <w:framePr w:wrap="around" w:vAnchor="text" w:hAnchor="margin" w:xAlign="right" w:y="1"/>
      <w:rPr>
        <w:rStyle w:val="9"/>
      </w:rPr>
    </w:pPr>
    <w:r>
      <w:fldChar w:fldCharType="begin"/>
    </w:r>
    <w:r>
      <w:rPr>
        <w:rStyle w:val="9"/>
      </w:rPr>
      <w:instrText xml:space="preserve">PAGE  </w:instrText>
    </w:r>
    <w:r>
      <w:fldChar w:fldCharType="separate"/>
    </w:r>
    <w:r>
      <w:rPr>
        <w:rStyle w:val="9"/>
      </w:rPr>
      <w:t>9</w:t>
    </w:r>
    <w:r>
      <w:fldChar w:fldCharType="end"/>
    </w:r>
  </w:p>
  <w:p w14:paraId="36D7F1A2">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40E81">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A607E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14:paraId="6FA607E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15</w:t>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C6102">
    <w:pPr>
      <w:pStyle w:val="6"/>
      <w:tabs>
        <w:tab w:val="left" w:pos="6211"/>
        <w:tab w:val="clear" w:pos="4153"/>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AB00D6">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4oms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N+KJrOgIAAHEEAAAOAAAAAAAAAAEAIAAAAB8BAABkcnMvZTJvRG9j&#10;LnhtbFBLBQYAAAAABgAGAFkBAADLBQAAAAA=&#10;">
              <v:fill on="f" focussize="0,0"/>
              <v:stroke on="f" weight="0.5pt"/>
              <v:imagedata o:title=""/>
              <o:lock v:ext="edit" aspectratio="f"/>
              <v:textbox inset="0mm,0mm,0mm,0mm" style="mso-fit-shape-to-text:t;">
                <w:txbxContent>
                  <w:p w14:paraId="79AB00D6">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0556B2">
                          <w:pPr>
                            <w:pStyle w:val="6"/>
                          </w:pPr>
                          <w:r>
                            <w:t xml:space="preserve">第 </w:t>
                          </w:r>
                          <w:r>
                            <w:rPr>
                              <w:rFonts w:hint="eastAsia"/>
                              <w:lang w:val="en-US" w:eastAsia="zh-CN"/>
                            </w:rPr>
                            <w:t>9</w:t>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SbC8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KUmwvOgIAAHEEAAAOAAAAAAAAAAEAIAAAAB8BAABkcnMvZTJvRG9j&#10;LnhtbFBLBQYAAAAABgAGAFkBAADLBQAAAAA=&#10;">
              <v:fill on="f" focussize="0,0"/>
              <v:stroke on="f" weight="0.5pt"/>
              <v:imagedata o:title=""/>
              <o:lock v:ext="edit" aspectratio="f"/>
              <v:textbox inset="0mm,0mm,0mm,0mm" style="mso-fit-shape-to-text:t;">
                <w:txbxContent>
                  <w:p w14:paraId="750556B2">
                    <w:pPr>
                      <w:pStyle w:val="6"/>
                    </w:pPr>
                    <w:r>
                      <w:t xml:space="preserve">第 </w:t>
                    </w:r>
                    <w:r>
                      <w:rPr>
                        <w:rFonts w:hint="eastAsia"/>
                        <w:lang w:val="en-US" w:eastAsia="zh-CN"/>
                      </w:rPr>
                      <w:t>9</w:t>
                    </w:r>
                    <w:r>
                      <w:t xml:space="preserve"> 页 共 </w:t>
                    </w:r>
                    <w:r>
                      <w:rPr>
                        <w:rFonts w:hint="eastAsia"/>
                        <w:lang w:val="en-US" w:eastAsia="zh-CN"/>
                      </w:rPr>
                      <w:t>16</w:t>
                    </w:r>
                    <w:r>
                      <w:t xml:space="preserve"> 页</w:t>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D58EF">
    <w:pPr>
      <w:pStyle w:val="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C073A4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s+A5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ehoXX2o&#10;ugeYQ8vCTj9YHtNEqbxdHwOkTYpHgTpV0Kl4wCSmnvVbE0f9z3OKevyn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mEs+A5AgAAcQQAAA4AAAAAAAAAAQAgAAAAHwEAAGRycy9lMm9Eb2Mu&#10;eG1sUEsFBgAAAAAGAAYAWQEAAMoFAAAAAA==&#10;">
              <v:fill on="f" focussize="0,0"/>
              <v:stroke on="f" weight="0.5pt"/>
              <v:imagedata o:title=""/>
              <o:lock v:ext="edit" aspectratio="f"/>
              <v:textbox inset="0mm,0mm,0mm,0mm" style="mso-fit-shape-to-text:t;">
                <w:txbxContent>
                  <w:p w14:paraId="4C073A4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15</w:t>
                    </w:r>
                    <w:r>
                      <w:t xml:space="preserve"> 页</w:t>
                    </w:r>
                  </w:p>
                </w:txbxContent>
              </v:textbox>
            </v:shap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7D944">
    <w:pPr>
      <w:pStyle w:val="6"/>
      <w:tabs>
        <w:tab w:val="left" w:pos="6211"/>
        <w:tab w:val="clear" w:pos="4153"/>
      </w:tabs>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CCF4280">
                          <w:pPr>
                            <w:pStyle w:val="6"/>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15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gJmo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vgJmo5AgAAcQQAAA4AAAAAAAAAAQAgAAAAHwEAAGRycy9lMm9Eb2Mu&#10;eG1sUEsFBgAAAAAGAAYAWQEAAMoFAAAAAA==&#10;">
              <v:fill on="f" focussize="0,0"/>
              <v:stroke on="f" weight="0.5pt"/>
              <v:imagedata o:title=""/>
              <o:lock v:ext="edit" aspectratio="f"/>
              <v:textbox inset="0mm,0mm,0mm,0mm" style="mso-fit-shape-to-text:t;">
                <w:txbxContent>
                  <w:p w14:paraId="5CCF4280">
                    <w:pPr>
                      <w:pStyle w:val="6"/>
                    </w:pPr>
                    <w:r>
                      <w:t xml:space="preserve">第 </w:t>
                    </w:r>
                    <w:r>
                      <w:fldChar w:fldCharType="begin"/>
                    </w:r>
                    <w:r>
                      <w:instrText xml:space="preserve"> PAGE  \* MERGEFORMAT </w:instrText>
                    </w:r>
                    <w:r>
                      <w:fldChar w:fldCharType="separate"/>
                    </w:r>
                    <w:r>
                      <w:t>12</w:t>
                    </w:r>
                    <w:r>
                      <w:fldChar w:fldCharType="end"/>
                    </w:r>
                    <w:r>
                      <w:t xml:space="preserve"> 页 共 </w:t>
                    </w:r>
                    <w:r>
                      <w:rPr>
                        <w:rFonts w:hint="eastAsia"/>
                        <w:lang w:val="en-US" w:eastAsia="zh-CN"/>
                      </w:rPr>
                      <w:t>15</w:t>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0BC23">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D6CD658">
                          <w:pPr>
                            <w:pStyle w:val="6"/>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15</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14:paraId="3D6CD658">
                    <w:pPr>
                      <w:pStyle w:val="6"/>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15</w:t>
                    </w:r>
                    <w: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4D0F7B"/>
    <w:rsid w:val="32DD7F38"/>
    <w:rsid w:val="342A10D6"/>
    <w:rsid w:val="66844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
    <w:qFormat/>
    <w:uiPriority w:val="0"/>
    <w:pPr>
      <w:keepNext/>
      <w:keepLines/>
      <w:spacing w:line="579" w:lineRule="auto"/>
      <w:jc w:val="center"/>
      <w:outlineLvl w:val="0"/>
    </w:pPr>
    <w:rPr>
      <w:rFonts w:ascii="Times New Roman" w:hAnsi="Times New Roman" w:eastAsia="方正小标宋简体"/>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Body Text"/>
    <w:basedOn w:val="1"/>
    <w:next w:val="1"/>
    <w:qFormat/>
    <w:uiPriority w:val="0"/>
    <w:pPr>
      <w:spacing w:after="120"/>
    </w:pPr>
    <w:rPr>
      <w:kern w:val="0"/>
      <w:sz w:val="20"/>
    </w:rPr>
  </w:style>
  <w:style w:type="paragraph" w:styleId="5">
    <w:name w:val="Plain Text"/>
    <w:basedOn w:val="1"/>
    <w:qFormat/>
    <w:uiPriority w:val="0"/>
    <w:pPr>
      <w:ind w:firstLine="200" w:firstLineChars="200"/>
    </w:pPr>
    <w:rPr>
      <w:rFonts w:ascii="宋体" w:hAnsi="Courier New" w:eastAsia="仿宋_GB2312"/>
      <w:kern w:val="0"/>
      <w:sz w:val="20"/>
      <w:szCs w:val="21"/>
    </w:rPr>
  </w:style>
  <w:style w:type="paragraph" w:styleId="6">
    <w:name w:val="footer"/>
    <w:basedOn w:val="1"/>
    <w:unhideWhenUsed/>
    <w:qFormat/>
    <w:uiPriority w:val="99"/>
    <w:pPr>
      <w:tabs>
        <w:tab w:val="center" w:pos="4153"/>
        <w:tab w:val="right" w:pos="8306"/>
      </w:tabs>
      <w:snapToGrid w:val="0"/>
      <w:jc w:val="left"/>
    </w:pPr>
    <w:rPr>
      <w:kern w:val="0"/>
      <w:sz w:val="18"/>
      <w:szCs w:val="18"/>
    </w:rPr>
  </w:style>
  <w:style w:type="character" w:styleId="9">
    <w:name w:val="page number"/>
    <w:qFormat/>
    <w:uiPriority w:val="0"/>
  </w:style>
  <w:style w:type="character" w:styleId="10">
    <w:name w:val="Hyperlink"/>
    <w:qFormat/>
    <w:uiPriority w:val="99"/>
    <w:rPr>
      <w:color w:val="0000FF"/>
      <w:u w:val="single"/>
    </w:rPr>
  </w:style>
  <w:style w:type="character" w:customStyle="1" w:styleId="11">
    <w:name w:val="标题 1 字符"/>
    <w:link w:val="2"/>
    <w:uiPriority w:val="0"/>
    <w:rPr>
      <w:rFonts w:ascii="Times New Roman" w:hAnsi="Times New Roman" w:eastAsia="方正小标宋简体"/>
      <w:b/>
      <w:bCs/>
      <w:kern w:val="44"/>
      <w:sz w:val="44"/>
      <w:szCs w:val="44"/>
    </w:rPr>
  </w:style>
  <w:style w:type="paragraph" w:customStyle="1" w:styleId="12">
    <w:name w:val="正文2"/>
    <w:basedOn w:val="1"/>
    <w:qFormat/>
    <w:uiPriority w:val="0"/>
    <w:pPr>
      <w:spacing w:line="480" w:lineRule="exact"/>
      <w:ind w:firstLine="200" w:firstLineChars="200"/>
    </w:pPr>
    <w:rPr>
      <w:rFonts w:ascii="Times New Roman" w:hAnsi="Times New Roman" w:cs="Times New Roman"/>
      <w:color w:val="000000"/>
      <w:sz w:val="24"/>
      <w:szCs w:val="24"/>
    </w:rPr>
  </w:style>
  <w:style w:type="paragraph" w:styleId="13">
    <w:name w:val="List Paragraph"/>
    <w:basedOn w:val="1"/>
    <w:qFormat/>
    <w:uiPriority w:val="1"/>
    <w:pPr>
      <w:ind w:firstLine="420" w:firstLineChars="200"/>
    </w:pPr>
    <w:rPr>
      <w:rFonts w:ascii="Calibri" w:hAnsi="Calibri"/>
      <w:szCs w:val="22"/>
    </w:rPr>
  </w:style>
  <w:style w:type="paragraph" w:customStyle="1" w:styleId="14">
    <w:name w:val="招标文件标题"/>
    <w:qFormat/>
    <w:uiPriority w:val="0"/>
    <w:pPr>
      <w:spacing w:before="120" w:after="120" w:line="480" w:lineRule="exact"/>
      <w:jc w:val="center"/>
      <w:outlineLvl w:val="0"/>
    </w:pPr>
    <w:rPr>
      <w:rFonts w:ascii="宋体" w:hAnsi="Times New Roman" w:eastAsia="宋体" w:cs="Times New Roman"/>
      <w:b/>
      <w:spacing w:val="10"/>
      <w:w w:val="95"/>
      <w:sz w:val="30"/>
      <w:lang w:val="en-US" w:eastAsia="zh-CN" w:bidi="ar-SA"/>
    </w:rPr>
  </w:style>
  <w:style w:type="paragraph" w:customStyle="1" w:styleId="15">
    <w:name w:val="Default"/>
    <w:qFormat/>
    <w:uiPriority w:val="99"/>
    <w:pPr>
      <w:widowControl w:val="0"/>
      <w:autoSpaceDE w:val="0"/>
      <w:autoSpaceDN w:val="0"/>
      <w:adjustRightInd w:val="0"/>
    </w:pPr>
    <w:rPr>
      <w:rFonts w:ascii="黑体" w:hAnsi="Calibri" w:eastAsia="黑体" w:cs="黑体"/>
      <w:color w:val="000000"/>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2025-07-11T01:38:00Z</dcterms:created>
  <dc:creator>ZZX</dc:creator>
  <cp:lastModifiedBy>张喆先</cp:lastModifiedBy>
  <dcterms:modified xsi:type="dcterms:W3CDTF">2025-10-24T03:09:06Z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BEE984C502E346F7992F24B9A8CD415C</vt:lpwstr>
  </property>
  <property fmtid="{D5CDD505-2E9C-101B-9397-08002B2CF9AE}" pid="4" name="KSOTemplateDocerSaveRecord">
    <vt:lpwstr>eyJoZGlkIjoiODk2ZWY3Yjg2MGE1NTBjZmFmMGI1ZmU4MDAyMWU0OTIiLCJ1c2VySWQiOiIxNjU3MzI4MDg2In0=</vt:lpwstr>
  </property>
</Properties>
</file>