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4"/>
          <w:szCs w:val="44"/>
          <w:highlight w:val="none"/>
        </w:rPr>
      </w:pPr>
    </w:p>
    <w:p>
      <w:pPr>
        <w:jc w:val="center"/>
        <w:rPr>
          <w:rFonts w:hint="eastAsia" w:ascii="宋体" w:hAnsi="宋体" w:eastAsia="宋体" w:cs="宋体"/>
          <w:b/>
          <w:bCs/>
          <w:color w:val="auto"/>
          <w:sz w:val="36"/>
          <w:szCs w:val="36"/>
          <w:highlight w:val="none"/>
        </w:rPr>
      </w:pPr>
      <w:r>
        <w:rPr>
          <w:rFonts w:hint="eastAsia" w:cs="宋体"/>
          <w:b/>
          <w:bCs/>
          <w:color w:val="auto"/>
          <w:sz w:val="52"/>
          <w:szCs w:val="52"/>
          <w:highlight w:val="none"/>
          <w:lang w:val="en-US" w:eastAsia="zh-CN"/>
        </w:rPr>
        <w:t>杭州市余杭区2023-2025年度专项债券发行准备法律专业服务采购项目</w:t>
      </w:r>
    </w:p>
    <w:p>
      <w:pPr>
        <w:jc w:val="center"/>
        <w:rPr>
          <w:rFonts w:hint="eastAsia" w:ascii="宋体" w:hAnsi="宋体" w:eastAsia="宋体" w:cs="宋体"/>
          <w:b/>
          <w:color w:val="auto"/>
          <w:sz w:val="72"/>
          <w:szCs w:val="72"/>
          <w:highlight w:val="none"/>
        </w:rPr>
      </w:pPr>
    </w:p>
    <w:p>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封闭式框架协议采购</w:t>
      </w:r>
    </w:p>
    <w:p>
      <w:pPr>
        <w:jc w:val="center"/>
        <w:rPr>
          <w:rFonts w:hint="eastAsia" w:ascii="宋体" w:hAnsi="宋体" w:eastAsia="宋体" w:cs="宋体"/>
          <w:b/>
          <w:color w:val="auto"/>
          <w:sz w:val="84"/>
          <w:szCs w:val="84"/>
          <w:highlight w:val="none"/>
        </w:rPr>
      </w:pPr>
      <w:bookmarkStart w:id="0" w:name="_Toc28551"/>
      <w:r>
        <w:rPr>
          <w:rFonts w:hint="eastAsia" w:ascii="宋体" w:hAnsi="宋体" w:eastAsia="宋体" w:cs="宋体"/>
          <w:b/>
          <w:color w:val="auto"/>
          <w:sz w:val="72"/>
          <w:szCs w:val="72"/>
          <w:highlight w:val="none"/>
        </w:rPr>
        <w:t>公开征集文件</w:t>
      </w:r>
      <w:bookmarkEnd w:id="0"/>
    </w:p>
    <w:p>
      <w:pPr>
        <w:widowControl/>
        <w:jc w:val="center"/>
        <w:rPr>
          <w:rFonts w:hint="eastAsia" w:ascii="宋体" w:hAnsi="宋体" w:eastAsia="宋体" w:cs="宋体"/>
          <w:b/>
          <w:color w:val="auto"/>
          <w:sz w:val="44"/>
          <w:szCs w:val="44"/>
          <w:highlight w:val="none"/>
        </w:rPr>
      </w:pPr>
    </w:p>
    <w:p>
      <w:pPr>
        <w:widowControl/>
        <w:jc w:val="center"/>
        <w:rPr>
          <w:rFonts w:hint="eastAsia" w:ascii="宋体" w:hAnsi="宋体" w:eastAsia="宋体" w:cs="宋体"/>
          <w:b/>
          <w:i w:val="0"/>
          <w:iCs w:val="0"/>
          <w:color w:val="auto"/>
          <w:sz w:val="44"/>
          <w:szCs w:val="44"/>
          <w:highlight w:val="none"/>
        </w:rPr>
      </w:pPr>
      <w:r>
        <w:rPr>
          <w:rFonts w:hint="eastAsia" w:ascii="宋体" w:hAnsi="宋体" w:eastAsia="宋体" w:cs="宋体"/>
          <w:b/>
          <w:i w:val="0"/>
          <w:iCs w:val="0"/>
          <w:color w:val="auto"/>
          <w:sz w:val="44"/>
          <w:szCs w:val="44"/>
          <w:highlight w:val="none"/>
        </w:rPr>
        <w:t>（政采云电子标）</w:t>
      </w:r>
    </w:p>
    <w:p>
      <w:pPr>
        <w:spacing w:line="440" w:lineRule="exact"/>
        <w:ind w:firstLine="220" w:firstLineChars="61"/>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pPr>
        <w:pStyle w:val="622"/>
        <w:spacing w:line="360" w:lineRule="auto"/>
        <w:ind w:firstLine="2804" w:firstLineChars="931"/>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rPr>
        <w:t>项目编号：</w:t>
      </w:r>
      <w:r>
        <w:rPr>
          <w:rFonts w:hint="eastAsia" w:cs="宋体"/>
          <w:b/>
          <w:bCs/>
          <w:color w:val="auto"/>
          <w:sz w:val="30"/>
          <w:szCs w:val="30"/>
          <w:highlight w:val="none"/>
          <w:lang w:val="en-US" w:eastAsia="zh-CN"/>
        </w:rPr>
        <w:t>YHZFCG2023-150</w:t>
      </w:r>
    </w:p>
    <w:p>
      <w:pPr>
        <w:pStyle w:val="622"/>
        <w:spacing w:line="360" w:lineRule="auto"/>
        <w:ind w:firstLine="1906" w:firstLineChars="633"/>
        <w:rPr>
          <w:rFonts w:hint="eastAsia" w:ascii="宋体" w:hAnsi="宋体" w:eastAsia="宋体" w:cs="宋体"/>
          <w:b/>
          <w:bCs/>
          <w:color w:val="auto"/>
          <w:sz w:val="30"/>
          <w:szCs w:val="30"/>
          <w:highlight w:val="none"/>
          <w:lang w:val="en-US"/>
        </w:rPr>
      </w:pPr>
    </w:p>
    <w:p>
      <w:pPr>
        <w:pStyle w:val="622"/>
        <w:spacing w:line="360" w:lineRule="auto"/>
        <w:ind w:firstLine="1906" w:firstLineChars="633"/>
        <w:rPr>
          <w:rFonts w:hint="eastAsia" w:ascii="宋体" w:hAnsi="宋体" w:eastAsia="宋体" w:cs="宋体"/>
          <w:b/>
          <w:bCs/>
          <w:color w:val="auto"/>
          <w:sz w:val="30"/>
          <w:szCs w:val="30"/>
          <w:highlight w:val="none"/>
          <w:lang w:val="en-US"/>
        </w:rPr>
      </w:pPr>
    </w:p>
    <w:p>
      <w:pPr>
        <w:pStyle w:val="622"/>
        <w:spacing w:line="360" w:lineRule="auto"/>
        <w:ind w:firstLine="1906" w:firstLineChars="633"/>
        <w:rPr>
          <w:rFonts w:hint="eastAsia" w:ascii="宋体" w:hAnsi="宋体" w:eastAsia="宋体" w:cs="宋体"/>
          <w:b/>
          <w:bCs/>
          <w:color w:val="auto"/>
          <w:sz w:val="30"/>
          <w:szCs w:val="30"/>
          <w:highlight w:val="none"/>
          <w:lang w:val="en-US"/>
        </w:rPr>
      </w:pPr>
    </w:p>
    <w:p>
      <w:pPr>
        <w:pStyle w:val="622"/>
        <w:spacing w:line="360" w:lineRule="auto"/>
        <w:ind w:firstLine="1906" w:firstLineChars="633"/>
        <w:rPr>
          <w:rFonts w:hint="eastAsia" w:ascii="宋体" w:hAnsi="宋体" w:eastAsia="宋体" w:cs="宋体"/>
          <w:b/>
          <w:bCs/>
          <w:color w:val="auto"/>
          <w:sz w:val="30"/>
          <w:szCs w:val="30"/>
          <w:highlight w:val="none"/>
          <w:lang w:val="en-US"/>
        </w:rPr>
      </w:pPr>
    </w:p>
    <w:p>
      <w:pPr>
        <w:pStyle w:val="622"/>
        <w:spacing w:line="360" w:lineRule="auto"/>
        <w:ind w:firstLine="1906" w:firstLineChars="633"/>
        <w:rPr>
          <w:rFonts w:hint="eastAsia" w:ascii="宋体" w:hAnsi="宋体" w:eastAsia="宋体" w:cs="宋体"/>
          <w:b/>
          <w:bCs/>
          <w:color w:val="auto"/>
          <w:sz w:val="30"/>
          <w:szCs w:val="30"/>
          <w:highlight w:val="none"/>
          <w:lang w:val="en-US"/>
        </w:rPr>
      </w:pPr>
    </w:p>
    <w:p>
      <w:pPr>
        <w:pStyle w:val="622"/>
        <w:spacing w:line="360" w:lineRule="auto"/>
        <w:ind w:firstLine="1906" w:firstLineChars="633"/>
        <w:rPr>
          <w:rFonts w:hint="eastAsia" w:ascii="宋体" w:hAnsi="宋体" w:eastAsia="宋体" w:cs="宋体"/>
          <w:b/>
          <w:bCs/>
          <w:color w:val="auto"/>
          <w:sz w:val="30"/>
          <w:szCs w:val="30"/>
          <w:highlight w:val="none"/>
          <w:lang w:val="en-US"/>
        </w:rPr>
      </w:pPr>
    </w:p>
    <w:p>
      <w:pPr>
        <w:pStyle w:val="622"/>
        <w:spacing w:line="360" w:lineRule="auto"/>
        <w:ind w:firstLine="2034" w:firstLineChars="633"/>
        <w:rPr>
          <w:rFonts w:hint="eastAsia" w:ascii="宋体" w:hAnsi="宋体" w:eastAsia="宋体" w:cs="宋体"/>
          <w:b/>
          <w:bCs/>
          <w:color w:val="auto"/>
          <w:sz w:val="32"/>
          <w:szCs w:val="32"/>
          <w:highlight w:val="none"/>
          <w:lang w:val="en-US"/>
        </w:rPr>
      </w:pPr>
    </w:p>
    <w:p>
      <w:pPr>
        <w:pStyle w:val="622"/>
        <w:spacing w:line="360" w:lineRule="auto"/>
        <w:ind w:firstLine="2034" w:firstLineChars="633"/>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rPr>
        <w:t>征 集 人：</w:t>
      </w:r>
      <w:r>
        <w:rPr>
          <w:rFonts w:hint="eastAsia" w:ascii="宋体" w:hAnsi="宋体" w:eastAsia="宋体" w:cs="宋体"/>
          <w:b/>
          <w:bCs/>
          <w:color w:val="auto"/>
          <w:sz w:val="32"/>
          <w:szCs w:val="32"/>
          <w:highlight w:val="none"/>
          <w:lang w:val="en-US" w:eastAsia="zh-CN"/>
        </w:rPr>
        <w:t>杭州市余杭区</w:t>
      </w:r>
      <w:r>
        <w:rPr>
          <w:rFonts w:hint="eastAsia" w:ascii="宋体" w:hAnsi="宋体" w:eastAsia="宋体" w:cs="宋体"/>
          <w:b/>
          <w:bCs/>
          <w:color w:val="auto"/>
          <w:sz w:val="32"/>
          <w:szCs w:val="32"/>
          <w:highlight w:val="none"/>
          <w:lang w:val="en-US"/>
        </w:rPr>
        <w:t>财政局</w:t>
      </w:r>
    </w:p>
    <w:p>
      <w:pPr>
        <w:pStyle w:val="622"/>
        <w:spacing w:line="360" w:lineRule="auto"/>
        <w:ind w:firstLine="1928" w:firstLineChars="600"/>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rPr>
        <w:t>委托代理机构：耀华建设管理有限公司</w:t>
      </w:r>
    </w:p>
    <w:p>
      <w:pPr>
        <w:pStyle w:val="622"/>
        <w:spacing w:line="360" w:lineRule="auto"/>
        <w:ind w:firstLine="2034" w:firstLineChars="633"/>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rPr>
        <w:t>日    期：二〇二三年</w:t>
      </w:r>
      <w:r>
        <w:rPr>
          <w:rFonts w:hint="eastAsia" w:cs="宋体"/>
          <w:b/>
          <w:bCs/>
          <w:color w:val="auto"/>
          <w:sz w:val="32"/>
          <w:szCs w:val="32"/>
          <w:highlight w:val="none"/>
          <w:lang w:val="en-US" w:eastAsia="zh-CN"/>
        </w:rPr>
        <w:t>九</w:t>
      </w:r>
      <w:r>
        <w:rPr>
          <w:rFonts w:hint="eastAsia" w:ascii="宋体" w:hAnsi="宋体" w:eastAsia="宋体" w:cs="宋体"/>
          <w:b/>
          <w:bCs/>
          <w:color w:val="auto"/>
          <w:sz w:val="32"/>
          <w:szCs w:val="32"/>
          <w:highlight w:val="none"/>
          <w:lang w:val="en-US"/>
        </w:rPr>
        <w:t>月</w:t>
      </w:r>
      <w:r>
        <w:rPr>
          <w:rFonts w:hint="eastAsia" w:cs="宋体"/>
          <w:b/>
          <w:bCs/>
          <w:color w:val="auto"/>
          <w:sz w:val="32"/>
          <w:szCs w:val="32"/>
          <w:highlight w:val="none"/>
          <w:lang w:val="en-US" w:eastAsia="zh-CN"/>
        </w:rPr>
        <w:t>八日</w:t>
      </w:r>
      <w:r>
        <w:rPr>
          <w:rFonts w:hint="eastAsia" w:ascii="宋体" w:hAnsi="宋体" w:eastAsia="宋体" w:cs="宋体"/>
          <w:b/>
          <w:bCs/>
          <w:color w:val="auto"/>
          <w:sz w:val="32"/>
          <w:szCs w:val="32"/>
          <w:highlight w:val="none"/>
          <w:lang w:val="en-US"/>
        </w:rPr>
        <w:t xml:space="preserve"> </w:t>
      </w:r>
    </w:p>
    <w:p>
      <w:pPr>
        <w:spacing w:line="360" w:lineRule="auto"/>
        <w:ind w:firstLine="566" w:firstLineChars="177"/>
        <w:jc w:val="center"/>
        <w:rPr>
          <w:rFonts w:hint="eastAsia" w:ascii="宋体" w:hAnsi="宋体" w:eastAsia="宋体" w:cs="宋体"/>
          <w:color w:val="auto"/>
          <w:sz w:val="32"/>
          <w:szCs w:val="32"/>
          <w:highlight w:val="none"/>
        </w:rPr>
        <w:sectPr>
          <w:headerReference r:id="rId4" w:type="first"/>
          <w:footerReference r:id="rId7" w:type="first"/>
          <w:headerReference r:id="rId3" w:type="default"/>
          <w:footerReference r:id="rId5" w:type="default"/>
          <w:footerReference r:id="rId6" w:type="even"/>
          <w:pgSz w:w="11905" w:h="16838"/>
          <w:pgMar w:top="872" w:right="1417" w:bottom="1266" w:left="1417" w:header="539" w:footer="482" w:gutter="0"/>
          <w:cols w:space="720" w:num="1"/>
          <w:titlePg/>
          <w:docGrid w:linePitch="312" w:charSpace="0"/>
        </w:sectPr>
      </w:pPr>
    </w:p>
    <w:p>
      <w:pPr>
        <w:spacing w:line="360" w:lineRule="auto"/>
        <w:jc w:val="center"/>
        <w:rPr>
          <w:rFonts w:hint="eastAsia" w:ascii="宋体" w:hAnsi="宋体" w:eastAsia="宋体" w:cs="宋体"/>
          <w:color w:val="auto"/>
          <w:sz w:val="24"/>
          <w:highlight w:val="none"/>
        </w:rPr>
      </w:pPr>
    </w:p>
    <w:p>
      <w:pPr>
        <w:rPr>
          <w:rFonts w:hint="eastAsia" w:ascii="宋体" w:hAnsi="宋体" w:eastAsia="宋体" w:cs="宋体"/>
          <w:color w:val="auto"/>
          <w:highlight w:val="none"/>
        </w:rPr>
      </w:pPr>
      <w:bookmarkStart w:id="1" w:name="_Hlt91233176"/>
      <w:bookmarkEnd w:id="1"/>
      <w:bookmarkStart w:id="2" w:name="_Toc91899869"/>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pPr>
        <w:spacing w:line="360" w:lineRule="auto"/>
        <w:ind w:firstLine="549" w:firstLineChars="229"/>
        <w:rPr>
          <w:rFonts w:hint="eastAsia" w:ascii="宋体" w:hAnsi="宋体" w:eastAsia="宋体" w:cs="宋体"/>
          <w:color w:val="auto"/>
          <w:sz w:val="24"/>
          <w:highlight w:val="none"/>
        </w:rPr>
      </w:pPr>
    </w:p>
    <w:p>
      <w:pPr>
        <w:pStyle w:val="18"/>
        <w:ind w:firstLine="420"/>
        <w:rPr>
          <w:rFonts w:hint="eastAsia" w:ascii="宋体" w:hAnsi="宋体" w:eastAsia="宋体" w:cs="宋体"/>
          <w:color w:val="auto"/>
          <w:highlight w:val="none"/>
        </w:rPr>
      </w:pPr>
    </w:p>
    <w:p>
      <w:pPr>
        <w:spacing w:line="480" w:lineRule="auto"/>
        <w:ind w:firstLine="641" w:firstLineChars="229"/>
        <w:rPr>
          <w:rFonts w:hint="eastAsia" w:ascii="宋体" w:hAnsi="宋体" w:eastAsia="宋体" w:cs="宋体"/>
          <w:color w:val="auto"/>
          <w:sz w:val="28"/>
          <w:szCs w:val="28"/>
          <w:highlight w:val="none"/>
        </w:rPr>
      </w:pPr>
    </w:p>
    <w:p>
      <w:pPr>
        <w:pStyle w:val="46"/>
        <w:tabs>
          <w:tab w:val="right" w:leader="dot" w:pos="907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"_Toc22449"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第一章 征集公告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_Toc22449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6"/>
        <w:tabs>
          <w:tab w:val="right" w:leader="dot" w:pos="907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"_Toc29950"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第二章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_Toc29950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- 4 -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6"/>
        <w:tabs>
          <w:tab w:val="right" w:leader="dot" w:pos="907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"_Toc6286"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第三章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_Toc6286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- 7 -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6"/>
        <w:tabs>
          <w:tab w:val="right" w:leader="dot" w:pos="907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"_Toc11884"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第四章 评审办法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_Toc11884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- 18 -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6"/>
        <w:tabs>
          <w:tab w:val="right" w:leader="dot" w:pos="907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"_Toc3870"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第五章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_Toc3870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- 27 -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6"/>
        <w:tabs>
          <w:tab w:val="right" w:leader="dot" w:pos="907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"_Toc6777"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第六章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_Toc6777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- 36 -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spacing w:line="480" w:lineRule="auto"/>
        <w:ind w:firstLine="641" w:firstLineChars="229"/>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fldChar w:fldCharType="end"/>
      </w: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bookmarkEnd w:id="2"/>
    <w:p>
      <w:pPr>
        <w:spacing w:line="360" w:lineRule="auto"/>
        <w:rPr>
          <w:rFonts w:hint="eastAsia" w:ascii="宋体" w:hAnsi="宋体" w:eastAsia="宋体" w:cs="宋体"/>
          <w:color w:val="auto"/>
          <w:sz w:val="24"/>
          <w:highlight w:val="none"/>
        </w:rPr>
      </w:pPr>
    </w:p>
    <w:p>
      <w:pPr>
        <w:adjustRightInd/>
        <w:spacing w:line="360" w:lineRule="auto"/>
        <w:jc w:val="center"/>
        <w:rPr>
          <w:rFonts w:hint="eastAsia" w:ascii="宋体" w:hAnsi="宋体" w:eastAsia="宋体" w:cs="宋体"/>
          <w:b/>
          <w:color w:val="auto"/>
          <w:sz w:val="36"/>
          <w:szCs w:val="20"/>
          <w:highlight w:val="none"/>
        </w:rPr>
        <w:sectPr>
          <w:footerReference r:id="rId10" w:type="first"/>
          <w:headerReference r:id="rId8" w:type="default"/>
          <w:footerReference r:id="rId9" w:type="default"/>
          <w:pgSz w:w="11905" w:h="16838"/>
          <w:pgMar w:top="872" w:right="1417" w:bottom="1266" w:left="1417" w:header="539" w:footer="482" w:gutter="0"/>
          <w:pgNumType w:start="1"/>
          <w:cols w:space="720" w:num="1"/>
          <w:docGrid w:linePitch="312" w:charSpace="0"/>
        </w:sectPr>
      </w:pPr>
      <w:bookmarkStart w:id="3" w:name="_Hlt74649545"/>
      <w:bookmarkEnd w:id="3"/>
      <w:bookmarkStart w:id="4" w:name="_Hlt74707423"/>
      <w:bookmarkEnd w:id="4"/>
      <w:bookmarkStart w:id="5" w:name="_Hlt74728647"/>
      <w:bookmarkEnd w:id="5"/>
      <w:bookmarkStart w:id="6" w:name="_Hlt74729822"/>
      <w:bookmarkEnd w:id="6"/>
      <w:bookmarkStart w:id="7" w:name="_Toc20296"/>
      <w:bookmarkStart w:id="8" w:name="_Toc22995"/>
      <w:bookmarkStart w:id="9" w:name="_Toc31815"/>
      <w:bookmarkStart w:id="10" w:name="_Toc18065"/>
      <w:bookmarkStart w:id="11" w:name="第二部分"/>
      <w:bookmarkStart w:id="12" w:name="_Toc91899870"/>
      <w:bookmarkStart w:id="13" w:name="_Toc91899871"/>
    </w:p>
    <w:p>
      <w:pPr>
        <w:adjustRightInd/>
        <w:spacing w:line="360" w:lineRule="auto"/>
        <w:jc w:val="center"/>
        <w:outlineLvl w:val="0"/>
        <w:rPr>
          <w:rFonts w:hint="eastAsia" w:ascii="宋体" w:hAnsi="宋体" w:eastAsia="宋体" w:cs="宋体"/>
          <w:b/>
          <w:color w:val="auto"/>
          <w:sz w:val="40"/>
          <w:szCs w:val="40"/>
          <w:highlight w:val="none"/>
        </w:rPr>
      </w:pPr>
      <w:bookmarkStart w:id="14" w:name="_Toc23199"/>
      <w:bookmarkStart w:id="15" w:name="_Toc3900"/>
      <w:bookmarkStart w:id="16" w:name="_Toc3856"/>
      <w:bookmarkStart w:id="17" w:name="_Toc21938"/>
      <w:bookmarkStart w:id="18" w:name="_Toc5744"/>
      <w:bookmarkStart w:id="19" w:name="_Toc22449"/>
      <w:bookmarkStart w:id="20" w:name="_Toc9820"/>
      <w:bookmarkStart w:id="21" w:name="_Toc13459"/>
      <w:r>
        <w:rPr>
          <w:rFonts w:hint="eastAsia" w:ascii="宋体" w:hAnsi="宋体" w:eastAsia="宋体" w:cs="宋体"/>
          <w:b/>
          <w:color w:val="auto"/>
          <w:sz w:val="40"/>
          <w:szCs w:val="40"/>
          <w:highlight w:val="none"/>
        </w:rPr>
        <w:t>第一章 征集公告</w:t>
      </w:r>
      <w:bookmarkEnd w:id="7"/>
      <w:bookmarkEnd w:id="8"/>
      <w:bookmarkEnd w:id="9"/>
      <w:bookmarkEnd w:id="10"/>
      <w:bookmarkEnd w:id="14"/>
      <w:bookmarkEnd w:id="15"/>
      <w:bookmarkEnd w:id="16"/>
      <w:bookmarkEnd w:id="17"/>
      <w:bookmarkEnd w:id="18"/>
      <w:bookmarkEnd w:id="19"/>
      <w:bookmarkEnd w:id="20"/>
      <w:bookmarkEnd w:id="21"/>
    </w:p>
    <w:p>
      <w:pPr>
        <w:pBdr>
          <w:top w:val="single" w:color="auto" w:sz="4" w:space="1"/>
          <w:left w:val="single" w:color="auto" w:sz="4" w:space="4"/>
          <w:bottom w:val="single" w:color="auto" w:sz="4" w:space="1"/>
          <w:right w:val="single" w:color="auto" w:sz="4" w:space="4"/>
        </w:pBd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 目 概 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根据政府采购框架协议采购方式管理暂行办法，</w:t>
      </w:r>
      <w:r>
        <w:rPr>
          <w:rFonts w:hint="eastAsia" w:ascii="宋体" w:hAnsi="宋体" w:cs="宋体"/>
          <w:color w:val="auto"/>
          <w:sz w:val="24"/>
          <w:highlight w:val="none"/>
          <w:lang w:val="en-US" w:eastAsia="zh-CN"/>
        </w:rPr>
        <w:t>杭州市余杭区2023-2025年度专项债券发行准备咨询专业服务采购项目</w:t>
      </w:r>
      <w:r>
        <w:rPr>
          <w:rFonts w:hint="eastAsia" w:ascii="宋体" w:hAnsi="宋体" w:eastAsia="宋体" w:cs="宋体"/>
          <w:color w:val="auto"/>
          <w:sz w:val="24"/>
          <w:highlight w:val="none"/>
        </w:rPr>
        <w:t>的潜在供应商应在政采云平台（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"https://www.zcygov.cn/）获取（下载）征集文件，并于2022年10月20日9点30分00秒" </w:instrText>
      </w:r>
      <w:r>
        <w:rPr>
          <w:rFonts w:hint="eastAsia" w:ascii="宋体" w:hAnsi="宋体" w:eastAsia="宋体" w:cs="宋体"/>
          <w:color w:val="auto"/>
          <w:highlight w:val="none"/>
        </w:rPr>
        <w:fldChar w:fldCharType="separate"/>
      </w:r>
      <w:r>
        <w:rPr>
          <w:rStyle w:val="78"/>
          <w:rFonts w:hint="eastAsia" w:ascii="宋体" w:hAnsi="宋体" w:eastAsia="宋体" w:cs="宋体"/>
          <w:color w:val="auto"/>
          <w:kern w:val="2"/>
          <w:sz w:val="24"/>
          <w:szCs w:val="24"/>
          <w:highlight w:val="none"/>
        </w:rPr>
        <w:t>https://www.zcygov.cn/）获取（下载）征集文件，并于2023年</w:t>
      </w:r>
      <w:r>
        <w:rPr>
          <w:rStyle w:val="78"/>
          <w:rFonts w:hint="eastAsia" w:ascii="宋体" w:hAnsi="宋体" w:cs="宋体"/>
          <w:color w:val="auto"/>
          <w:kern w:val="2"/>
          <w:sz w:val="24"/>
          <w:szCs w:val="24"/>
          <w:highlight w:val="none"/>
          <w:lang w:val="en-US" w:eastAsia="zh-CN"/>
        </w:rPr>
        <w:t>09</w:t>
      </w:r>
      <w:r>
        <w:rPr>
          <w:rStyle w:val="78"/>
          <w:rFonts w:hint="eastAsia" w:ascii="宋体" w:hAnsi="宋体" w:eastAsia="宋体" w:cs="宋体"/>
          <w:color w:val="auto"/>
          <w:kern w:val="2"/>
          <w:sz w:val="24"/>
          <w:szCs w:val="24"/>
          <w:highlight w:val="none"/>
        </w:rPr>
        <w:t>月</w:t>
      </w:r>
      <w:r>
        <w:rPr>
          <w:rStyle w:val="78"/>
          <w:rFonts w:hint="eastAsia" w:ascii="宋体" w:hAnsi="宋体" w:cs="宋体"/>
          <w:color w:val="auto"/>
          <w:kern w:val="2"/>
          <w:sz w:val="24"/>
          <w:szCs w:val="24"/>
          <w:highlight w:val="none"/>
          <w:lang w:val="en-US" w:eastAsia="zh-CN"/>
        </w:rPr>
        <w:t>28</w:t>
      </w:r>
      <w:r>
        <w:rPr>
          <w:rStyle w:val="78"/>
          <w:rFonts w:hint="eastAsia" w:ascii="宋体" w:hAnsi="宋体" w:eastAsia="宋体" w:cs="宋体"/>
          <w:color w:val="auto"/>
          <w:kern w:val="2"/>
          <w:sz w:val="24"/>
          <w:szCs w:val="24"/>
          <w:highlight w:val="none"/>
        </w:rPr>
        <w:t>日</w:t>
      </w:r>
      <w:r>
        <w:rPr>
          <w:rStyle w:val="78"/>
          <w:rFonts w:hint="eastAsia" w:ascii="宋体" w:hAnsi="宋体" w:cs="宋体"/>
          <w:color w:val="auto"/>
          <w:kern w:val="2"/>
          <w:sz w:val="24"/>
          <w:szCs w:val="24"/>
          <w:highlight w:val="none"/>
          <w:lang w:val="en-US" w:eastAsia="zh-CN"/>
        </w:rPr>
        <w:t>15</w:t>
      </w:r>
      <w:r>
        <w:rPr>
          <w:rStyle w:val="78"/>
          <w:rFonts w:hint="eastAsia" w:ascii="宋体" w:hAnsi="宋体" w:eastAsia="宋体" w:cs="宋体"/>
          <w:color w:val="auto"/>
          <w:kern w:val="2"/>
          <w:sz w:val="24"/>
          <w:szCs w:val="24"/>
          <w:highlight w:val="none"/>
        </w:rPr>
        <w:t>时</w:t>
      </w:r>
      <w:r>
        <w:rPr>
          <w:rStyle w:val="78"/>
          <w:rFonts w:hint="eastAsia" w:ascii="宋体" w:hAnsi="宋体" w:cs="宋体"/>
          <w:color w:val="auto"/>
          <w:kern w:val="2"/>
          <w:sz w:val="24"/>
          <w:szCs w:val="24"/>
          <w:highlight w:val="none"/>
          <w:lang w:val="en-US" w:eastAsia="zh-CN"/>
        </w:rPr>
        <w:t>30</w:t>
      </w:r>
      <w:r>
        <w:rPr>
          <w:rStyle w:val="78"/>
          <w:rFonts w:hint="eastAsia" w:ascii="宋体" w:hAnsi="宋体" w:eastAsia="宋体" w:cs="宋体"/>
          <w:color w:val="auto"/>
          <w:kern w:val="2"/>
          <w:sz w:val="24"/>
          <w:szCs w:val="24"/>
          <w:highlight w:val="none"/>
        </w:rPr>
        <w:t>分</w:t>
      </w:r>
      <w:r>
        <w:rPr>
          <w:rStyle w:val="78"/>
          <w:rFonts w:hint="eastAsia" w:ascii="宋体" w:hAnsi="宋体" w:cs="宋体"/>
          <w:bCs/>
          <w:color w:val="auto"/>
          <w:kern w:val="2"/>
          <w:sz w:val="24"/>
          <w:szCs w:val="24"/>
          <w:highlight w:val="none"/>
          <w:lang w:val="en-US" w:eastAsia="zh-CN"/>
        </w:rPr>
        <w:t>00</w:t>
      </w:r>
      <w:r>
        <w:rPr>
          <w:rStyle w:val="78"/>
          <w:rFonts w:hint="eastAsia" w:ascii="宋体" w:hAnsi="宋体" w:eastAsia="宋体" w:cs="宋体"/>
          <w:bCs/>
          <w:color w:val="auto"/>
          <w:kern w:val="2"/>
          <w:sz w:val="24"/>
          <w:szCs w:val="24"/>
          <w:highlight w:val="none"/>
        </w:rPr>
        <w:t>秒</w:t>
      </w:r>
      <w:r>
        <w:rPr>
          <w:rStyle w:val="78"/>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递交（上传）响应文件。</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（一）项目编号：</w:t>
      </w:r>
      <w:r>
        <w:rPr>
          <w:rFonts w:hint="eastAsia" w:ascii="宋体" w:hAnsi="宋体" w:cs="宋体"/>
          <w:bCs/>
          <w:color w:val="auto"/>
          <w:sz w:val="24"/>
          <w:highlight w:val="none"/>
          <w:lang w:eastAsia="zh-CN"/>
        </w:rPr>
        <w:t>YHZFCG2023-150</w:t>
      </w:r>
    </w:p>
    <w:p>
      <w:pPr>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eastAsia="宋体" w:cs="宋体"/>
          <w:bCs/>
          <w:color w:val="auto"/>
          <w:sz w:val="24"/>
          <w:highlight w:val="none"/>
        </w:rPr>
        <w:t>（二）项目名称：</w:t>
      </w:r>
      <w:r>
        <w:rPr>
          <w:rFonts w:hint="eastAsia" w:ascii="宋体" w:hAnsi="宋体" w:cs="宋体"/>
          <w:bCs/>
          <w:color w:val="auto"/>
          <w:sz w:val="24"/>
          <w:highlight w:val="none"/>
          <w:lang w:val="en-US" w:eastAsia="zh-CN"/>
        </w:rPr>
        <w:t>杭州市余杭区2023-2025年度专项债券发行准备法律专业服务采购项目</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（三）预算金额（元）：</w:t>
      </w:r>
      <w:bookmarkStart w:id="482" w:name="_GoBack"/>
      <w:bookmarkEnd w:id="482"/>
      <w:r>
        <w:rPr>
          <w:rFonts w:hint="eastAsia" w:ascii="宋体" w:hAnsi="宋体" w:eastAsia="宋体" w:cs="宋体"/>
          <w:bCs/>
          <w:color w:val="auto"/>
          <w:sz w:val="24"/>
          <w:highlight w:val="none"/>
        </w:rPr>
        <w:t>（无固定预算，以实际服务项目为准）</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（四）最高限价（元）：</w:t>
      </w:r>
      <w:r>
        <w:rPr>
          <w:rFonts w:hint="eastAsia" w:ascii="宋体" w:hAnsi="宋体" w:eastAsia="宋体" w:cs="宋体"/>
          <w:bCs/>
          <w:i w:val="0"/>
          <w:iCs w:val="0"/>
          <w:color w:val="auto"/>
          <w:sz w:val="24"/>
          <w:szCs w:val="24"/>
          <w:highlight w:val="none"/>
        </w:rPr>
        <w:t>出具加盖第三方中介机构公章的法律意见书并首次成功发行专项债的项目最高单价限价1.</w:t>
      </w:r>
      <w:r>
        <w:rPr>
          <w:rFonts w:hint="eastAsia" w:ascii="宋体" w:hAnsi="宋体" w:eastAsia="宋体" w:cs="宋体"/>
          <w:bCs/>
          <w:i w:val="0"/>
          <w:iCs w:val="0"/>
          <w:color w:val="auto"/>
          <w:sz w:val="24"/>
          <w:szCs w:val="24"/>
          <w:highlight w:val="none"/>
          <w:lang w:val="en-US" w:eastAsia="zh-CN"/>
        </w:rPr>
        <w:t>8</w:t>
      </w:r>
      <w:r>
        <w:rPr>
          <w:rFonts w:hint="eastAsia" w:ascii="宋体" w:hAnsi="宋体" w:eastAsia="宋体" w:cs="宋体"/>
          <w:bCs/>
          <w:i w:val="0"/>
          <w:iCs w:val="0"/>
          <w:color w:val="auto"/>
          <w:sz w:val="24"/>
          <w:szCs w:val="24"/>
          <w:highlight w:val="none"/>
        </w:rPr>
        <w:t>万元/个。</w:t>
      </w:r>
    </w:p>
    <w:p>
      <w:pPr>
        <w:pStyle w:val="16"/>
        <w:spacing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sz w:val="24"/>
          <w:szCs w:val="24"/>
          <w:highlight w:val="none"/>
        </w:rPr>
        <w:t>（五）采购需求：</w:t>
      </w:r>
      <w:r>
        <w:rPr>
          <w:rFonts w:hint="eastAsia" w:ascii="宋体" w:hAnsi="宋体" w:eastAsia="宋体" w:cs="宋体"/>
          <w:bCs/>
          <w:i w:val="0"/>
          <w:iCs w:val="0"/>
          <w:color w:val="auto"/>
          <w:sz w:val="24"/>
          <w:szCs w:val="24"/>
          <w:highlight w:val="none"/>
        </w:rPr>
        <w:t>为做好</w:t>
      </w:r>
      <w:r>
        <w:rPr>
          <w:rFonts w:hint="eastAsia" w:ascii="宋体" w:hAnsi="宋体" w:eastAsia="宋体" w:cs="宋体"/>
          <w:bCs/>
          <w:i w:val="0"/>
          <w:iCs w:val="0"/>
          <w:color w:val="auto"/>
          <w:sz w:val="24"/>
          <w:szCs w:val="24"/>
          <w:highlight w:val="none"/>
          <w:lang w:val="en-US" w:eastAsia="zh-CN"/>
        </w:rPr>
        <w:t>杭州市余杭区</w:t>
      </w:r>
      <w:r>
        <w:rPr>
          <w:rFonts w:hint="eastAsia" w:ascii="宋体" w:hAnsi="宋体" w:eastAsia="宋体" w:cs="宋体"/>
          <w:bCs/>
          <w:i w:val="0"/>
          <w:iCs w:val="0"/>
          <w:color w:val="auto"/>
          <w:sz w:val="24"/>
          <w:szCs w:val="24"/>
          <w:highlight w:val="none"/>
        </w:rPr>
        <w:t>2023-2025年度地方政府专项债券的发行准备工作，拟通过框架协议方式选聘律师事务所，为2023-2025年度专项债券发行准备工作提供法律专业服务，包括出具《法律意见书》等发行专项债券涉及的专业报告，并协助采购方和其他债券发行参与方完成专项债券项目的预审、申报、信息披露和全过程其他相关专业服务。</w:t>
      </w:r>
      <w:r>
        <w:rPr>
          <w:rFonts w:hint="eastAsia" w:ascii="宋体" w:hAnsi="宋体" w:eastAsia="宋体" w:cs="宋体"/>
          <w:bCs/>
          <w:i w:val="0"/>
          <w:iCs w:val="0"/>
          <w:color w:val="auto"/>
          <w:kern w:val="2"/>
          <w:sz w:val="24"/>
          <w:szCs w:val="24"/>
          <w:highlight w:val="none"/>
        </w:rPr>
        <w:t>具体详见“第三部分采购需求”</w:t>
      </w:r>
      <w:r>
        <w:rPr>
          <w:rFonts w:hint="eastAsia" w:ascii="宋体" w:hAnsi="宋体" w:eastAsia="宋体" w:cs="宋体"/>
          <w:bCs/>
          <w:sz w:val="24"/>
          <w:szCs w:val="24"/>
          <w:highlight w:val="none"/>
        </w:rPr>
        <w:t>。</w:t>
      </w:r>
    </w:p>
    <w:p>
      <w:pPr>
        <w:pStyle w:val="87"/>
        <w:spacing w:before="0" w:line="360" w:lineRule="auto"/>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（六）框架协议期限：</w:t>
      </w:r>
      <w:r>
        <w:rPr>
          <w:rFonts w:hint="eastAsia" w:ascii="宋体" w:hAnsi="宋体" w:eastAsia="宋体" w:cs="宋体"/>
          <w:bCs/>
          <w:i w:val="0"/>
          <w:iCs w:val="0"/>
          <w:color w:val="auto"/>
          <w:szCs w:val="24"/>
          <w:highlight w:val="none"/>
        </w:rPr>
        <w:t>2023-2025年，总服务期限不超过24个月，即二年</w:t>
      </w:r>
      <w:r>
        <w:rPr>
          <w:rFonts w:hint="eastAsia" w:ascii="宋体" w:hAnsi="宋体" w:eastAsia="宋体" w:cs="宋体"/>
          <w:bCs/>
          <w:color w:val="auto"/>
          <w:szCs w:val="24"/>
          <w:highlight w:val="none"/>
        </w:rPr>
        <w:t>。合同每年一签，每年协议期满，根据考核情况及相关政策不变的情况下，可协商续签下一年度服务合同。征集人也有权重新组织采购。</w:t>
      </w:r>
    </w:p>
    <w:p>
      <w:pPr>
        <w:pStyle w:val="87"/>
        <w:spacing w:before="0" w:line="360" w:lineRule="auto"/>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（七）框架协议的征集人：</w:t>
      </w:r>
      <w:r>
        <w:rPr>
          <w:rFonts w:hint="eastAsia" w:ascii="宋体" w:hAnsi="宋体" w:eastAsia="宋体" w:cs="宋体"/>
          <w:bCs/>
          <w:color w:val="auto"/>
          <w:szCs w:val="24"/>
          <w:highlight w:val="none"/>
          <w:lang w:val="en-US" w:eastAsia="zh-CN"/>
        </w:rPr>
        <w:t>杭州</w:t>
      </w:r>
      <w:r>
        <w:rPr>
          <w:rFonts w:hint="eastAsia" w:ascii="宋体" w:hAnsi="宋体" w:eastAsia="宋体" w:cs="宋体"/>
          <w:bCs/>
          <w:color w:val="auto"/>
          <w:szCs w:val="24"/>
          <w:highlight w:val="none"/>
        </w:rPr>
        <w:t>市</w:t>
      </w:r>
      <w:r>
        <w:rPr>
          <w:rFonts w:hint="eastAsia" w:ascii="宋体" w:hAnsi="宋体" w:eastAsia="宋体" w:cs="宋体"/>
          <w:bCs/>
          <w:color w:val="auto"/>
          <w:szCs w:val="24"/>
          <w:highlight w:val="none"/>
          <w:lang w:val="en-US" w:eastAsia="zh-CN"/>
        </w:rPr>
        <w:t>余杭区</w:t>
      </w:r>
      <w:r>
        <w:rPr>
          <w:rFonts w:hint="eastAsia" w:ascii="宋体" w:hAnsi="宋体" w:eastAsia="宋体" w:cs="宋体"/>
          <w:bCs/>
          <w:color w:val="auto"/>
          <w:szCs w:val="24"/>
          <w:highlight w:val="none"/>
        </w:rPr>
        <w:t>财政局。</w:t>
      </w:r>
    </w:p>
    <w:p>
      <w:pPr>
        <w:pStyle w:val="87"/>
        <w:spacing w:before="0" w:line="360" w:lineRule="auto"/>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（八）本项目不接受联合体形式参加。</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二、申请人（供应商）的资格要求：</w:t>
      </w:r>
    </w:p>
    <w:p>
      <w:pPr>
        <w:adjustRightInd/>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2.落实政府采购政策需满足的资格要求：无。</w:t>
      </w:r>
    </w:p>
    <w:p>
      <w:pPr>
        <w:adjustRightInd/>
        <w:spacing w:line="360" w:lineRule="auto"/>
        <w:ind w:firstLine="480" w:firstLineChars="200"/>
        <w:rPr>
          <w:rFonts w:hint="eastAsia" w:ascii="宋体" w:hAnsi="宋体" w:eastAsia="宋体" w:cs="宋体"/>
          <w:b/>
          <w:bCs/>
          <w:color w:val="auto"/>
          <w:sz w:val="24"/>
          <w:highlight w:val="none"/>
          <w:shd w:val="clear" w:color="auto" w:fill="FFFFFF"/>
        </w:rPr>
      </w:pPr>
      <w:r>
        <w:rPr>
          <w:rFonts w:hint="eastAsia" w:ascii="宋体" w:hAnsi="宋体" w:eastAsia="宋体" w:cs="宋体"/>
          <w:color w:val="auto"/>
          <w:sz w:val="24"/>
          <w:highlight w:val="none"/>
        </w:rPr>
        <w:t>3.本项目的特定资格要求</w:t>
      </w:r>
      <w:r>
        <w:rPr>
          <w:rFonts w:hint="eastAsia" w:ascii="宋体" w:hAnsi="宋体" w:eastAsia="宋体" w:cs="宋体"/>
          <w:color w:val="auto"/>
          <w:sz w:val="24"/>
          <w:highlight w:val="none"/>
          <w:shd w:val="clear" w:color="auto" w:fill="FFFFFF"/>
        </w:rPr>
        <w:t>：</w:t>
      </w:r>
      <w:r>
        <w:rPr>
          <w:rFonts w:hint="eastAsia" w:ascii="宋体" w:hAnsi="宋体" w:eastAsia="宋体" w:cs="宋体"/>
          <w:b/>
          <w:bCs/>
          <w:i w:val="0"/>
          <w:iCs w:val="0"/>
          <w:color w:val="auto"/>
          <w:kern w:val="0"/>
          <w:sz w:val="24"/>
          <w:highlight w:val="none"/>
        </w:rPr>
        <w:t>具有有效的律师事务所执业许可证</w:t>
      </w:r>
      <w:r>
        <w:rPr>
          <w:rFonts w:hint="eastAsia" w:ascii="宋体" w:hAnsi="宋体" w:cs="宋体"/>
          <w:b/>
          <w:bCs/>
          <w:i w:val="0"/>
          <w:iCs w:val="0"/>
          <w:color w:val="auto"/>
          <w:kern w:val="0"/>
          <w:sz w:val="24"/>
          <w:highlight w:val="none"/>
          <w:lang w:eastAsia="zh-CN"/>
        </w:rPr>
        <w:t>。</w:t>
      </w:r>
    </w:p>
    <w:p>
      <w:pPr>
        <w:widowControl/>
        <w:adjustRightInd/>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三、获取征集文件</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（一）时间：/至</w:t>
      </w:r>
      <w:r>
        <w:rPr>
          <w:rFonts w:hint="eastAsia" w:ascii="宋体" w:hAnsi="宋体" w:eastAsia="宋体" w:cs="宋体"/>
          <w:bCs/>
          <w:color w:val="auto"/>
          <w:sz w:val="24"/>
          <w:highlight w:val="none"/>
          <w:u w:val="single"/>
        </w:rPr>
        <w:t>2023年</w:t>
      </w:r>
      <w:r>
        <w:rPr>
          <w:rFonts w:hint="eastAsia" w:ascii="宋体" w:hAnsi="宋体" w:cs="宋体"/>
          <w:bCs/>
          <w:color w:val="auto"/>
          <w:sz w:val="24"/>
          <w:highlight w:val="none"/>
          <w:u w:val="single"/>
          <w:lang w:val="en-US" w:eastAsia="zh-CN"/>
        </w:rPr>
        <w:t>09</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28日</w:t>
      </w:r>
      <w:r>
        <w:rPr>
          <w:rFonts w:hint="eastAsia" w:ascii="宋体" w:hAnsi="宋体" w:eastAsia="宋体" w:cs="宋体"/>
          <w:bCs/>
          <w:color w:val="auto"/>
          <w:sz w:val="24"/>
          <w:highlight w:val="none"/>
          <w:u w:val="single"/>
        </w:rPr>
        <w:t>响应截止时间</w:t>
      </w:r>
      <w:r>
        <w:rPr>
          <w:rFonts w:hint="eastAsia" w:ascii="宋体" w:hAnsi="宋体" w:eastAsia="宋体" w:cs="宋体"/>
          <w:bCs/>
          <w:color w:val="auto"/>
          <w:sz w:val="24"/>
          <w:highlight w:val="none"/>
        </w:rPr>
        <w:t>，每天上午00:00至12:00，下午12:00至23:59（北京时间，线上获取法定节假日均可，线下获取文件法定节假日除外）</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（二）地点（网址）：政采云平台（https://www.zcygov.cn/）</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（三）方式：供应商登录政采云平台https://www.zcygov.cn/在线申请获取征集文件（进入“项目采购”应用，在获取征集文件菜单中选择项目，申请获取征集文件）。</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四、提交响应文件截止时间、开启时间和地点</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（一）提交响应文件截止时间：</w:t>
      </w:r>
      <w:r>
        <w:rPr>
          <w:rStyle w:val="78"/>
          <w:rFonts w:hint="eastAsia" w:ascii="宋体" w:hAnsi="宋体" w:eastAsia="宋体" w:cs="宋体"/>
          <w:color w:val="auto"/>
          <w:kern w:val="2"/>
          <w:sz w:val="24"/>
          <w:szCs w:val="24"/>
          <w:highlight w:val="none"/>
        </w:rPr>
        <w:t>2023年</w:t>
      </w:r>
      <w:r>
        <w:rPr>
          <w:rStyle w:val="78"/>
          <w:rFonts w:hint="eastAsia" w:ascii="宋体" w:hAnsi="宋体" w:cs="宋体"/>
          <w:color w:val="auto"/>
          <w:kern w:val="2"/>
          <w:sz w:val="24"/>
          <w:szCs w:val="24"/>
          <w:highlight w:val="none"/>
          <w:lang w:val="en-US" w:eastAsia="zh-CN"/>
        </w:rPr>
        <w:t>09</w:t>
      </w:r>
      <w:r>
        <w:rPr>
          <w:rStyle w:val="78"/>
          <w:rFonts w:hint="eastAsia" w:ascii="宋体" w:hAnsi="宋体" w:eastAsia="宋体" w:cs="宋体"/>
          <w:color w:val="auto"/>
          <w:kern w:val="2"/>
          <w:sz w:val="24"/>
          <w:szCs w:val="24"/>
          <w:highlight w:val="none"/>
        </w:rPr>
        <w:t>月</w:t>
      </w:r>
      <w:r>
        <w:rPr>
          <w:rStyle w:val="78"/>
          <w:rFonts w:hint="eastAsia" w:ascii="宋体" w:hAnsi="宋体" w:cs="宋体"/>
          <w:color w:val="auto"/>
          <w:kern w:val="2"/>
          <w:sz w:val="24"/>
          <w:szCs w:val="24"/>
          <w:highlight w:val="none"/>
          <w:lang w:val="en-US" w:eastAsia="zh-CN"/>
        </w:rPr>
        <w:t>28</w:t>
      </w:r>
      <w:r>
        <w:rPr>
          <w:rStyle w:val="78"/>
          <w:rFonts w:hint="eastAsia" w:ascii="宋体" w:hAnsi="宋体" w:eastAsia="宋体" w:cs="宋体"/>
          <w:color w:val="auto"/>
          <w:kern w:val="2"/>
          <w:sz w:val="24"/>
          <w:szCs w:val="24"/>
          <w:highlight w:val="none"/>
        </w:rPr>
        <w:t>日</w:t>
      </w:r>
      <w:r>
        <w:rPr>
          <w:rStyle w:val="78"/>
          <w:rFonts w:hint="eastAsia" w:ascii="宋体" w:hAnsi="宋体" w:cs="宋体"/>
          <w:color w:val="auto"/>
          <w:kern w:val="2"/>
          <w:sz w:val="24"/>
          <w:szCs w:val="24"/>
          <w:highlight w:val="none"/>
          <w:lang w:val="en-US" w:eastAsia="zh-CN"/>
        </w:rPr>
        <w:t>15</w:t>
      </w:r>
      <w:r>
        <w:rPr>
          <w:rStyle w:val="78"/>
          <w:rFonts w:hint="eastAsia" w:ascii="宋体" w:hAnsi="宋体" w:eastAsia="宋体" w:cs="宋体"/>
          <w:color w:val="auto"/>
          <w:kern w:val="2"/>
          <w:sz w:val="24"/>
          <w:szCs w:val="24"/>
          <w:highlight w:val="none"/>
        </w:rPr>
        <w:t>时</w:t>
      </w:r>
      <w:r>
        <w:rPr>
          <w:rStyle w:val="78"/>
          <w:rFonts w:hint="eastAsia" w:ascii="宋体" w:hAnsi="宋体" w:cs="宋体"/>
          <w:color w:val="auto"/>
          <w:kern w:val="2"/>
          <w:sz w:val="24"/>
          <w:szCs w:val="24"/>
          <w:highlight w:val="none"/>
          <w:lang w:val="en-US" w:eastAsia="zh-CN"/>
        </w:rPr>
        <w:t>30</w:t>
      </w:r>
      <w:r>
        <w:rPr>
          <w:rStyle w:val="78"/>
          <w:rFonts w:hint="eastAsia" w:ascii="宋体" w:hAnsi="宋体" w:eastAsia="宋体" w:cs="宋体"/>
          <w:color w:val="auto"/>
          <w:kern w:val="2"/>
          <w:sz w:val="24"/>
          <w:szCs w:val="24"/>
          <w:highlight w:val="none"/>
        </w:rPr>
        <w:t>分</w:t>
      </w:r>
      <w:r>
        <w:rPr>
          <w:rStyle w:val="78"/>
          <w:rFonts w:hint="eastAsia" w:ascii="宋体" w:hAnsi="宋体" w:cs="宋体"/>
          <w:bCs/>
          <w:color w:val="auto"/>
          <w:kern w:val="2"/>
          <w:sz w:val="24"/>
          <w:szCs w:val="24"/>
          <w:highlight w:val="none"/>
          <w:lang w:val="en-US" w:eastAsia="zh-CN"/>
        </w:rPr>
        <w:t>00</w:t>
      </w:r>
      <w:r>
        <w:rPr>
          <w:rStyle w:val="78"/>
          <w:rFonts w:hint="eastAsia" w:ascii="宋体" w:hAnsi="宋体" w:eastAsia="宋体" w:cs="宋体"/>
          <w:bCs/>
          <w:color w:val="auto"/>
          <w:kern w:val="2"/>
          <w:sz w:val="24"/>
          <w:szCs w:val="24"/>
          <w:highlight w:val="none"/>
        </w:rPr>
        <w:t>秒</w:t>
      </w:r>
      <w:r>
        <w:rPr>
          <w:rFonts w:hint="eastAsia" w:ascii="宋体" w:hAnsi="宋体" w:eastAsia="宋体" w:cs="宋体"/>
          <w:bCs/>
          <w:color w:val="auto"/>
          <w:sz w:val="24"/>
          <w:highlight w:val="none"/>
        </w:rPr>
        <w:t>（北京时间）</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（二）递交响应文件地点（网址）：政采云平台（https://www.zcygov.cn/）</w:t>
      </w:r>
    </w:p>
    <w:p>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（三）开启响应文件时间：</w:t>
      </w:r>
      <w:r>
        <w:rPr>
          <w:rStyle w:val="78"/>
          <w:rFonts w:hint="eastAsia" w:ascii="宋体" w:hAnsi="宋体" w:eastAsia="宋体" w:cs="宋体"/>
          <w:color w:val="auto"/>
          <w:kern w:val="2"/>
          <w:sz w:val="24"/>
          <w:szCs w:val="24"/>
          <w:highlight w:val="none"/>
        </w:rPr>
        <w:t>2023年</w:t>
      </w:r>
      <w:r>
        <w:rPr>
          <w:rStyle w:val="78"/>
          <w:rFonts w:hint="eastAsia" w:ascii="宋体" w:hAnsi="宋体" w:cs="宋体"/>
          <w:color w:val="auto"/>
          <w:kern w:val="2"/>
          <w:sz w:val="24"/>
          <w:szCs w:val="24"/>
          <w:highlight w:val="none"/>
          <w:lang w:val="en-US" w:eastAsia="zh-CN"/>
        </w:rPr>
        <w:t>09</w:t>
      </w:r>
      <w:r>
        <w:rPr>
          <w:rStyle w:val="78"/>
          <w:rFonts w:hint="eastAsia" w:ascii="宋体" w:hAnsi="宋体" w:eastAsia="宋体" w:cs="宋体"/>
          <w:color w:val="auto"/>
          <w:kern w:val="2"/>
          <w:sz w:val="24"/>
          <w:szCs w:val="24"/>
          <w:highlight w:val="none"/>
        </w:rPr>
        <w:t>月</w:t>
      </w:r>
      <w:r>
        <w:rPr>
          <w:rStyle w:val="78"/>
          <w:rFonts w:hint="eastAsia" w:ascii="宋体" w:hAnsi="宋体" w:cs="宋体"/>
          <w:color w:val="auto"/>
          <w:kern w:val="2"/>
          <w:sz w:val="24"/>
          <w:szCs w:val="24"/>
          <w:highlight w:val="none"/>
          <w:lang w:val="en-US" w:eastAsia="zh-CN"/>
        </w:rPr>
        <w:t>28</w:t>
      </w:r>
      <w:r>
        <w:rPr>
          <w:rStyle w:val="78"/>
          <w:rFonts w:hint="eastAsia" w:ascii="宋体" w:hAnsi="宋体" w:eastAsia="宋体" w:cs="宋体"/>
          <w:color w:val="auto"/>
          <w:kern w:val="2"/>
          <w:sz w:val="24"/>
          <w:szCs w:val="24"/>
          <w:highlight w:val="none"/>
        </w:rPr>
        <w:t>日</w:t>
      </w:r>
      <w:r>
        <w:rPr>
          <w:rStyle w:val="78"/>
          <w:rFonts w:hint="eastAsia" w:ascii="宋体" w:hAnsi="宋体" w:cs="宋体"/>
          <w:color w:val="auto"/>
          <w:kern w:val="2"/>
          <w:sz w:val="24"/>
          <w:szCs w:val="24"/>
          <w:highlight w:val="none"/>
          <w:lang w:val="en-US" w:eastAsia="zh-CN"/>
        </w:rPr>
        <w:t>15</w:t>
      </w:r>
      <w:r>
        <w:rPr>
          <w:rStyle w:val="78"/>
          <w:rFonts w:hint="eastAsia" w:ascii="宋体" w:hAnsi="宋体" w:eastAsia="宋体" w:cs="宋体"/>
          <w:color w:val="auto"/>
          <w:kern w:val="2"/>
          <w:sz w:val="24"/>
          <w:szCs w:val="24"/>
          <w:highlight w:val="none"/>
        </w:rPr>
        <w:t>时</w:t>
      </w:r>
      <w:r>
        <w:rPr>
          <w:rStyle w:val="78"/>
          <w:rFonts w:hint="eastAsia" w:ascii="宋体" w:hAnsi="宋体" w:cs="宋体"/>
          <w:color w:val="auto"/>
          <w:kern w:val="2"/>
          <w:sz w:val="24"/>
          <w:szCs w:val="24"/>
          <w:highlight w:val="none"/>
          <w:lang w:val="en-US" w:eastAsia="zh-CN"/>
        </w:rPr>
        <w:t>30</w:t>
      </w:r>
      <w:r>
        <w:rPr>
          <w:rStyle w:val="78"/>
          <w:rFonts w:hint="eastAsia" w:ascii="宋体" w:hAnsi="宋体" w:eastAsia="宋体" w:cs="宋体"/>
          <w:color w:val="auto"/>
          <w:kern w:val="2"/>
          <w:sz w:val="24"/>
          <w:szCs w:val="24"/>
          <w:highlight w:val="none"/>
        </w:rPr>
        <w:t>分</w:t>
      </w:r>
      <w:r>
        <w:rPr>
          <w:rStyle w:val="78"/>
          <w:rFonts w:hint="eastAsia" w:ascii="宋体" w:hAnsi="宋体" w:cs="宋体"/>
          <w:bCs/>
          <w:color w:val="auto"/>
          <w:kern w:val="2"/>
          <w:sz w:val="24"/>
          <w:szCs w:val="24"/>
          <w:highlight w:val="none"/>
          <w:lang w:val="en-US" w:eastAsia="zh-CN"/>
        </w:rPr>
        <w:t>00</w:t>
      </w:r>
      <w:r>
        <w:rPr>
          <w:rStyle w:val="78"/>
          <w:rFonts w:hint="eastAsia" w:ascii="宋体" w:hAnsi="宋体" w:eastAsia="宋体" w:cs="宋体"/>
          <w:bCs/>
          <w:color w:val="auto"/>
          <w:kern w:val="2"/>
          <w:sz w:val="24"/>
          <w:szCs w:val="24"/>
          <w:highlight w:val="none"/>
        </w:rPr>
        <w:t>秒</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（四）开启响应文件地点（网址）：政采云平台（https://www.zcygov.cn/）</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认为征集文件使自己的权益受到损害的，可以自获取征集文件之日或者采购公告期限届满之日（公告期限届满后获取征集文件的，以公告期限届满之日为准）起7个工作日内，对征集文件需求的以书面形式向征集人提出质疑，对其他内容的以书面形式向征集人提出质疑。质疑供应商对征集人的答复不满意或者征集人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事项：（1）需要落实的政府采购政策：包括节约资源、保护环境、支持创新等。（2）电子采购的说明：①本项目以数据电文形式，依托“政府采购云平台（www.zcygov.cn）”进行采购活动，不接受纸质响应文件；②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征集文件的获取：使用账号登录或者使用CA登录政采云平台；进入“项目采购”应用，在获取征集文件菜单中选择项目，获取征集文件；④响应文件的制作：在“政采云电子交易客户端”中完成“填写基本信息”、“导入响应文件”、“响应文件关联”、“响应文件检查”、“电子签名”、“生成电子响应文件”等操作；⑤征集人将依托政采云平台完成本项目的电子交易活动，平台不接受未按上述方式获取征集文件的供应商进行响应活动；⑥对未按上述方式获取征集文件的供应商对该文件提出的质疑，征集人将不予处理；⑦不提供征集文件纸质版；⑧响应文件的传输递交：供应商在响应截止时间前将加密的响应文件上传至政府采购云平台；⑨响应文件的解密：供应商按照平台提示和征集文件的规定在半小时内完成在线解密。⑩具体操作指南：详见政采云平台“服务中心-帮助文档-项目采购-操作流程-电子招投标-政府采购项目电子交易管理操作指南-供应商”。</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六、对本次采购提出询问、质疑、投诉，请按以下方式联系</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1.征集人信息</w:t>
      </w:r>
    </w:p>
    <w:p>
      <w:pPr>
        <w:spacing w:line="360" w:lineRule="auto"/>
        <w:ind w:firstLine="480" w:firstLineChars="200"/>
        <w:rPr>
          <w:rFonts w:hint="eastAsia" w:ascii="宋体" w:hAnsi="宋体" w:eastAsia="宋体" w:cs="宋体"/>
          <w:i w:val="0"/>
          <w:iCs w:val="0"/>
          <w:color w:val="auto"/>
          <w:sz w:val="24"/>
          <w:highlight w:val="none"/>
          <w:lang w:val="zh-TW"/>
        </w:rPr>
      </w:pPr>
      <w:r>
        <w:rPr>
          <w:rFonts w:hint="eastAsia" w:ascii="宋体" w:hAnsi="宋体" w:eastAsia="宋体" w:cs="宋体"/>
          <w:i w:val="0"/>
          <w:iCs w:val="0"/>
          <w:color w:val="auto"/>
          <w:sz w:val="24"/>
          <w:highlight w:val="none"/>
          <w:lang w:val="zh-TW" w:eastAsia="zh-TW"/>
        </w:rPr>
        <w:t>名    称：</w:t>
      </w:r>
      <w:r>
        <w:rPr>
          <w:rFonts w:hint="eastAsia" w:ascii="宋体" w:hAnsi="宋体" w:eastAsia="宋体" w:cs="宋体"/>
          <w:i w:val="0"/>
          <w:iCs w:val="0"/>
          <w:color w:val="auto"/>
          <w:sz w:val="24"/>
          <w:highlight w:val="none"/>
          <w:lang w:val="en-US" w:eastAsia="zh-CN"/>
        </w:rPr>
        <w:t>杭州</w:t>
      </w:r>
      <w:r>
        <w:rPr>
          <w:rFonts w:hint="eastAsia" w:ascii="宋体" w:hAnsi="宋体" w:eastAsia="宋体" w:cs="宋体"/>
          <w:i w:val="0"/>
          <w:iCs w:val="0"/>
          <w:color w:val="auto"/>
          <w:sz w:val="24"/>
          <w:highlight w:val="none"/>
          <w:lang w:val="zh-TW"/>
        </w:rPr>
        <w:t>市</w:t>
      </w:r>
      <w:r>
        <w:rPr>
          <w:rFonts w:hint="eastAsia" w:ascii="宋体" w:hAnsi="宋体" w:eastAsia="宋体" w:cs="宋体"/>
          <w:i w:val="0"/>
          <w:iCs w:val="0"/>
          <w:color w:val="auto"/>
          <w:sz w:val="24"/>
          <w:highlight w:val="none"/>
          <w:lang w:val="en-US" w:eastAsia="zh-CN"/>
        </w:rPr>
        <w:t>余杭区</w:t>
      </w:r>
      <w:r>
        <w:rPr>
          <w:rFonts w:hint="eastAsia" w:ascii="宋体" w:hAnsi="宋体" w:eastAsia="宋体" w:cs="宋体"/>
          <w:i w:val="0"/>
          <w:iCs w:val="0"/>
          <w:color w:val="auto"/>
          <w:sz w:val="24"/>
          <w:highlight w:val="none"/>
          <w:lang w:val="zh-TW"/>
        </w:rPr>
        <w:t>财政局</w:t>
      </w:r>
    </w:p>
    <w:p>
      <w:pPr>
        <w:spacing w:line="360" w:lineRule="auto"/>
        <w:ind w:firstLine="480" w:firstLineChars="200"/>
        <w:rPr>
          <w:rFonts w:hint="eastAsia" w:ascii="宋体" w:hAnsi="宋体" w:eastAsia="宋体" w:cs="宋体"/>
          <w:i w:val="0"/>
          <w:iCs w:val="0"/>
          <w:color w:val="auto"/>
          <w:sz w:val="24"/>
          <w:highlight w:val="none"/>
          <w:lang w:val="zh-TW" w:eastAsia="zh-CN"/>
        </w:rPr>
      </w:pPr>
      <w:r>
        <w:rPr>
          <w:rFonts w:hint="eastAsia" w:ascii="宋体" w:hAnsi="宋体" w:eastAsia="宋体" w:cs="宋体"/>
          <w:i w:val="0"/>
          <w:iCs w:val="0"/>
          <w:color w:val="auto"/>
          <w:sz w:val="24"/>
          <w:highlight w:val="none"/>
          <w:lang w:val="zh-TW" w:eastAsia="zh-TW"/>
        </w:rPr>
        <w:t>地    址：</w:t>
      </w:r>
      <w:r>
        <w:rPr>
          <w:rFonts w:hint="eastAsia" w:ascii="宋体" w:hAnsi="宋体" w:eastAsia="宋体" w:cs="宋体"/>
          <w:i w:val="0"/>
          <w:iCs w:val="0"/>
          <w:color w:val="auto"/>
          <w:sz w:val="24"/>
          <w:highlight w:val="none"/>
          <w:lang w:val="en-US" w:eastAsia="zh-CN"/>
        </w:rPr>
        <w:t>杭州市余</w:t>
      </w:r>
      <w:r>
        <w:rPr>
          <w:rFonts w:hint="eastAsia" w:ascii="宋体" w:hAnsi="宋体" w:eastAsia="宋体" w:cs="宋体"/>
          <w:i w:val="0"/>
          <w:iCs w:val="0"/>
          <w:color w:val="auto"/>
          <w:sz w:val="24"/>
          <w:highlight w:val="none"/>
          <w:lang w:val="zh-TW" w:eastAsia="zh-TW"/>
        </w:rPr>
        <w:t>杭区仓前街道文一西路1500号8号楼</w:t>
      </w:r>
      <w:r>
        <w:rPr>
          <w:rFonts w:hint="eastAsia" w:ascii="宋体" w:hAnsi="宋体" w:cs="宋体"/>
          <w:i w:val="0"/>
          <w:iCs w:val="0"/>
          <w:color w:val="auto"/>
          <w:sz w:val="24"/>
          <w:highlight w:val="none"/>
          <w:lang w:val="zh-TW" w:eastAsia="zh-CN"/>
        </w:rPr>
        <w:t>。</w:t>
      </w:r>
    </w:p>
    <w:p>
      <w:pPr>
        <w:spacing w:line="360" w:lineRule="auto"/>
        <w:ind w:firstLine="480" w:firstLineChars="200"/>
        <w:rPr>
          <w:rFonts w:hint="eastAsia" w:ascii="宋体" w:hAnsi="宋体" w:eastAsia="宋体" w:cs="宋体"/>
          <w:i w:val="0"/>
          <w:iCs w:val="0"/>
          <w:color w:val="auto"/>
          <w:sz w:val="24"/>
          <w:highlight w:val="none"/>
          <w:lang w:val="zh-TW"/>
        </w:rPr>
      </w:pPr>
      <w:r>
        <w:rPr>
          <w:rFonts w:hint="eastAsia" w:ascii="宋体" w:hAnsi="宋体" w:eastAsia="宋体" w:cs="宋体"/>
          <w:i w:val="0"/>
          <w:iCs w:val="0"/>
          <w:color w:val="auto"/>
          <w:sz w:val="24"/>
          <w:highlight w:val="none"/>
          <w:lang w:val="zh-TW" w:eastAsia="zh-TW"/>
        </w:rPr>
        <w:t>项目联系人（询问）：</w:t>
      </w:r>
      <w:r>
        <w:rPr>
          <w:rFonts w:hint="eastAsia" w:ascii="宋体" w:hAnsi="宋体" w:eastAsia="宋体" w:cs="宋体"/>
          <w:i w:val="0"/>
          <w:iCs w:val="0"/>
          <w:color w:val="auto"/>
          <w:sz w:val="24"/>
          <w:highlight w:val="none"/>
          <w:lang w:val="en-US" w:eastAsia="zh-CN"/>
        </w:rPr>
        <w:t>来小娜</w:t>
      </w:r>
      <w:r>
        <w:rPr>
          <w:rFonts w:hint="eastAsia" w:ascii="宋体" w:hAnsi="宋体" w:eastAsia="宋体" w:cs="宋体"/>
          <w:i w:val="0"/>
          <w:iCs w:val="0"/>
          <w:color w:val="auto"/>
          <w:sz w:val="24"/>
          <w:highlight w:val="none"/>
        </w:rPr>
        <w:t xml:space="preserve"> </w:t>
      </w:r>
    </w:p>
    <w:p>
      <w:pPr>
        <w:spacing w:line="360" w:lineRule="auto"/>
        <w:ind w:firstLine="480" w:firstLineChars="200"/>
        <w:rPr>
          <w:rFonts w:hint="eastAsia" w:ascii="宋体" w:hAnsi="宋体" w:eastAsia="宋体" w:cs="宋体"/>
          <w:i w:val="0"/>
          <w:iCs w:val="0"/>
          <w:color w:val="auto"/>
          <w:sz w:val="24"/>
          <w:highlight w:val="none"/>
          <w:lang w:val="zh-TW"/>
        </w:rPr>
      </w:pPr>
      <w:r>
        <w:rPr>
          <w:rFonts w:hint="eastAsia" w:ascii="宋体" w:hAnsi="宋体" w:eastAsia="宋体" w:cs="宋体"/>
          <w:i w:val="0"/>
          <w:iCs w:val="0"/>
          <w:color w:val="auto"/>
          <w:sz w:val="24"/>
          <w:highlight w:val="none"/>
          <w:lang w:val="zh-TW" w:eastAsia="zh-TW"/>
        </w:rPr>
        <w:t>项目联系方式（询问）：</w:t>
      </w:r>
      <w:r>
        <w:rPr>
          <w:rFonts w:hint="eastAsia" w:ascii="宋体" w:hAnsi="宋体" w:eastAsia="宋体" w:cs="宋体"/>
          <w:i w:val="0"/>
          <w:iCs w:val="0"/>
          <w:color w:val="auto"/>
          <w:sz w:val="24"/>
          <w:highlight w:val="none"/>
          <w:lang w:val="en-US" w:eastAsia="zh-CN"/>
        </w:rPr>
        <w:t>0571-89516151</w:t>
      </w:r>
      <w:r>
        <w:rPr>
          <w:rFonts w:hint="eastAsia" w:ascii="宋体" w:hAnsi="宋体" w:eastAsia="宋体" w:cs="宋体"/>
          <w:i w:val="0"/>
          <w:iCs w:val="0"/>
          <w:color w:val="auto"/>
          <w:sz w:val="24"/>
          <w:highlight w:val="none"/>
        </w:rPr>
        <w:t xml:space="preserve"> </w:t>
      </w:r>
    </w:p>
    <w:p>
      <w:pPr>
        <w:spacing w:line="360" w:lineRule="auto"/>
        <w:ind w:firstLine="480" w:firstLineChars="200"/>
        <w:rPr>
          <w:rFonts w:hint="eastAsia" w:ascii="宋体" w:hAnsi="宋体" w:eastAsia="宋体" w:cs="宋体"/>
          <w:i w:val="0"/>
          <w:iCs w:val="0"/>
          <w:color w:val="auto"/>
          <w:sz w:val="24"/>
          <w:highlight w:val="none"/>
          <w:lang w:val="zh-TW"/>
        </w:rPr>
      </w:pPr>
      <w:r>
        <w:rPr>
          <w:rFonts w:hint="eastAsia" w:ascii="宋体" w:hAnsi="宋体" w:eastAsia="宋体" w:cs="宋体"/>
          <w:i w:val="0"/>
          <w:iCs w:val="0"/>
          <w:color w:val="auto"/>
          <w:sz w:val="24"/>
          <w:highlight w:val="none"/>
          <w:lang w:val="zh-TW" w:eastAsia="zh-TW"/>
        </w:rPr>
        <w:t>质疑联系人：</w:t>
      </w:r>
      <w:r>
        <w:rPr>
          <w:rFonts w:hint="eastAsia" w:ascii="宋体" w:hAnsi="宋体" w:eastAsia="宋体" w:cs="宋体"/>
          <w:i w:val="0"/>
          <w:iCs w:val="0"/>
          <w:color w:val="auto"/>
          <w:sz w:val="24"/>
          <w:highlight w:val="none"/>
          <w:lang w:val="en-US" w:eastAsia="zh-CN"/>
        </w:rPr>
        <w:t>徐恩</w:t>
      </w:r>
      <w:r>
        <w:rPr>
          <w:rFonts w:hint="eastAsia" w:ascii="宋体" w:hAnsi="宋体" w:eastAsia="宋体" w:cs="宋体"/>
          <w:i w:val="0"/>
          <w:iCs w:val="0"/>
          <w:color w:val="auto"/>
          <w:sz w:val="24"/>
          <w:highlight w:val="none"/>
        </w:rPr>
        <w:t xml:space="preserve"> </w:t>
      </w:r>
    </w:p>
    <w:p>
      <w:pPr>
        <w:spacing w:line="360" w:lineRule="auto"/>
        <w:ind w:firstLine="480" w:firstLineChars="200"/>
        <w:rPr>
          <w:rFonts w:hint="eastAsia" w:ascii="宋体" w:hAnsi="宋体" w:eastAsia="宋体" w:cs="宋体"/>
          <w:i w:val="0"/>
          <w:iCs w:val="0"/>
          <w:color w:val="auto"/>
          <w:sz w:val="24"/>
          <w:highlight w:val="none"/>
          <w:lang w:val="zh-TW"/>
        </w:rPr>
      </w:pPr>
      <w:r>
        <w:rPr>
          <w:rFonts w:hint="eastAsia" w:ascii="宋体" w:hAnsi="宋体" w:eastAsia="宋体" w:cs="宋体"/>
          <w:i w:val="0"/>
          <w:iCs w:val="0"/>
          <w:color w:val="auto"/>
          <w:sz w:val="24"/>
          <w:highlight w:val="none"/>
          <w:lang w:val="zh-TW" w:eastAsia="zh-TW"/>
        </w:rPr>
        <w:t>质疑联系方式：</w:t>
      </w:r>
      <w:r>
        <w:rPr>
          <w:rFonts w:hint="eastAsia" w:ascii="宋体" w:hAnsi="宋体" w:eastAsia="宋体" w:cs="宋体"/>
          <w:i w:val="0"/>
          <w:iCs w:val="0"/>
          <w:color w:val="auto"/>
          <w:sz w:val="24"/>
          <w:highlight w:val="none"/>
          <w:lang w:val="en-US" w:eastAsia="zh-CN"/>
        </w:rPr>
        <w:t>0571-89516131</w:t>
      </w:r>
      <w:r>
        <w:rPr>
          <w:rFonts w:hint="eastAsia" w:ascii="宋体" w:hAnsi="宋体" w:eastAsia="宋体" w:cs="宋体"/>
          <w:i w:val="0"/>
          <w:iCs w:val="0"/>
          <w:color w:val="auto"/>
          <w:sz w:val="24"/>
          <w:highlight w:val="none"/>
        </w:rPr>
        <w:t xml:space="preserve"> </w:t>
      </w:r>
    </w:p>
    <w:p>
      <w:pPr>
        <w:spacing w:line="360" w:lineRule="auto"/>
        <w:ind w:firstLine="480" w:firstLineChars="200"/>
        <w:rPr>
          <w:rFonts w:hint="eastAsia" w:ascii="宋体" w:hAnsi="宋体" w:eastAsia="宋体" w:cs="宋体"/>
          <w:i w:val="0"/>
          <w:iCs w:val="0"/>
          <w:sz w:val="24"/>
          <w:highlight w:val="none"/>
          <w:lang w:val="en-US" w:eastAsia="zh-CN"/>
        </w:rPr>
      </w:pPr>
    </w:p>
    <w:p>
      <w:pPr>
        <w:spacing w:line="360" w:lineRule="auto"/>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2</w:t>
      </w:r>
      <w:r>
        <w:rPr>
          <w:rFonts w:hint="eastAsia" w:ascii="宋体" w:hAnsi="宋体" w:eastAsia="宋体" w:cs="宋体"/>
          <w:i w:val="0"/>
          <w:iCs w:val="0"/>
          <w:sz w:val="24"/>
          <w:highlight w:val="none"/>
        </w:rPr>
        <w:t xml:space="preserve">.采购代理机构信息            </w:t>
      </w:r>
    </w:p>
    <w:p>
      <w:pPr>
        <w:spacing w:line="360" w:lineRule="auto"/>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名    称：耀华建设管理有限公司</w:t>
      </w:r>
    </w:p>
    <w:p>
      <w:pPr>
        <w:spacing w:line="360" w:lineRule="auto"/>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地址：杭州市余杭区联创街77号汇银中心3幢2单元。</w:t>
      </w:r>
    </w:p>
    <w:p>
      <w:pPr>
        <w:spacing w:line="360" w:lineRule="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项目联系人（询问）：</w:t>
      </w:r>
      <w:r>
        <w:rPr>
          <w:rFonts w:hint="eastAsia" w:ascii="宋体" w:hAnsi="宋体" w:eastAsia="宋体" w:cs="宋体"/>
          <w:i w:val="0"/>
          <w:iCs w:val="0"/>
          <w:sz w:val="24"/>
          <w:highlight w:val="none"/>
          <w:lang w:val="en-US" w:eastAsia="zh-CN"/>
        </w:rPr>
        <w:t>周海丽</w:t>
      </w:r>
      <w:r>
        <w:rPr>
          <w:rFonts w:hint="eastAsia" w:ascii="宋体" w:hAnsi="宋体" w:eastAsia="宋体" w:cs="宋体"/>
          <w:i w:val="0"/>
          <w:iCs w:val="0"/>
          <w:sz w:val="24"/>
          <w:highlight w:val="none"/>
        </w:rPr>
        <w:t xml:space="preserve">   </w:t>
      </w:r>
      <w:r>
        <w:rPr>
          <w:rFonts w:hint="eastAsia" w:ascii="宋体" w:hAnsi="宋体" w:eastAsia="宋体" w:cs="宋体"/>
          <w:i w:val="0"/>
          <w:iCs w:val="0"/>
          <w:sz w:val="24"/>
          <w:highlight w:val="none"/>
          <w:lang w:val="en-US" w:eastAsia="zh-CN"/>
        </w:rPr>
        <w:t xml:space="preserve"> </w:t>
      </w:r>
      <w:r>
        <w:rPr>
          <w:rFonts w:hint="eastAsia" w:ascii="宋体" w:hAnsi="宋体" w:eastAsia="宋体" w:cs="宋体"/>
          <w:i w:val="0"/>
          <w:iCs w:val="0"/>
          <w:sz w:val="24"/>
          <w:highlight w:val="none"/>
        </w:rPr>
        <w:t>项目联系方式（询问）：</w:t>
      </w:r>
      <w:r>
        <w:rPr>
          <w:rFonts w:hint="eastAsia" w:ascii="宋体" w:hAnsi="宋体" w:eastAsia="宋体" w:cs="宋体"/>
          <w:i w:val="0"/>
          <w:iCs w:val="0"/>
          <w:sz w:val="24"/>
          <w:highlight w:val="none"/>
          <w:lang w:val="en-US" w:eastAsia="zh-CN"/>
        </w:rPr>
        <w:t>0571-86320706</w:t>
      </w:r>
      <w:r>
        <w:rPr>
          <w:rFonts w:hint="eastAsia" w:ascii="宋体" w:hAnsi="宋体" w:eastAsia="宋体" w:cs="宋体"/>
          <w:i w:val="0"/>
          <w:iCs w:val="0"/>
          <w:sz w:val="24"/>
          <w:highlight w:val="none"/>
        </w:rPr>
        <w:t xml:space="preserve"> </w:t>
      </w:r>
    </w:p>
    <w:p>
      <w:pPr>
        <w:spacing w:line="360" w:lineRule="auto"/>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质疑联系人：单成燕            质疑联系方式：0571-86320727</w:t>
      </w:r>
    </w:p>
    <w:p>
      <w:pPr>
        <w:spacing w:line="360" w:lineRule="auto"/>
        <w:ind w:firstLine="480" w:firstLineChars="200"/>
        <w:rPr>
          <w:rFonts w:hint="eastAsia" w:ascii="宋体" w:hAnsi="宋体" w:eastAsia="宋体" w:cs="宋体"/>
          <w:i w:val="0"/>
          <w:iCs w:val="0"/>
          <w:color w:val="auto"/>
          <w:sz w:val="24"/>
          <w:highlight w:val="none"/>
          <w:lang w:val="en-US" w:eastAsia="zh-CN"/>
        </w:rPr>
      </w:pP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3.</w:t>
      </w:r>
      <w:r>
        <w:rPr>
          <w:rFonts w:hint="eastAsia" w:ascii="宋体" w:hAnsi="宋体" w:eastAsia="宋体" w:cs="宋体"/>
          <w:i w:val="0"/>
          <w:iCs w:val="0"/>
          <w:color w:val="auto"/>
          <w:sz w:val="24"/>
          <w:highlight w:val="none"/>
        </w:rPr>
        <w:t>同级政府采购监督管理部门</w:t>
      </w:r>
    </w:p>
    <w:p>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名    称：</w:t>
      </w:r>
      <w:r>
        <w:rPr>
          <w:rFonts w:hint="eastAsia" w:ascii="宋体" w:hAnsi="宋体" w:eastAsia="宋体" w:cs="宋体"/>
          <w:i w:val="0"/>
          <w:iCs w:val="0"/>
          <w:color w:val="auto"/>
          <w:sz w:val="24"/>
          <w:highlight w:val="none"/>
          <w:lang w:val="en-US" w:eastAsia="zh-CN"/>
        </w:rPr>
        <w:t>杭州市余</w:t>
      </w:r>
      <w:r>
        <w:rPr>
          <w:rFonts w:hint="eastAsia" w:ascii="宋体" w:hAnsi="宋体" w:eastAsia="宋体" w:cs="宋体"/>
          <w:i w:val="0"/>
          <w:iCs w:val="0"/>
          <w:color w:val="auto"/>
          <w:sz w:val="24"/>
          <w:highlight w:val="none"/>
          <w:lang w:val="zh-TW" w:eastAsia="zh-TW"/>
        </w:rPr>
        <w:t>杭区</w:t>
      </w:r>
      <w:r>
        <w:rPr>
          <w:rFonts w:hint="eastAsia" w:ascii="宋体" w:hAnsi="宋体" w:eastAsia="宋体" w:cs="宋体"/>
          <w:i w:val="0"/>
          <w:iCs w:val="0"/>
          <w:color w:val="auto"/>
          <w:sz w:val="24"/>
          <w:highlight w:val="none"/>
        </w:rPr>
        <w:t xml:space="preserve">财政局政府采购监管处 </w:t>
      </w:r>
    </w:p>
    <w:p>
      <w:pPr>
        <w:spacing w:line="360" w:lineRule="auto"/>
        <w:ind w:firstLine="480" w:firstLineChars="200"/>
        <w:jc w:val="left"/>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地    址：</w:t>
      </w:r>
      <w:r>
        <w:rPr>
          <w:rFonts w:hint="eastAsia" w:ascii="宋体" w:hAnsi="宋体" w:eastAsia="宋体" w:cs="宋体"/>
          <w:i w:val="0"/>
          <w:iCs w:val="0"/>
          <w:color w:val="auto"/>
          <w:sz w:val="24"/>
          <w:highlight w:val="none"/>
          <w:lang w:val="en-US" w:eastAsia="zh-CN"/>
        </w:rPr>
        <w:t>杭州市余</w:t>
      </w:r>
      <w:r>
        <w:rPr>
          <w:rFonts w:hint="eastAsia" w:ascii="宋体" w:hAnsi="宋体" w:eastAsia="宋体" w:cs="宋体"/>
          <w:i w:val="0"/>
          <w:iCs w:val="0"/>
          <w:color w:val="auto"/>
          <w:sz w:val="24"/>
          <w:highlight w:val="none"/>
          <w:lang w:val="zh-TW" w:eastAsia="zh-TW"/>
        </w:rPr>
        <w:t>杭区仓前街道文一西路1500号8号楼</w:t>
      </w:r>
      <w:r>
        <w:rPr>
          <w:rFonts w:hint="eastAsia" w:ascii="宋体" w:hAnsi="宋体" w:eastAsia="宋体" w:cs="宋体"/>
          <w:i w:val="0"/>
          <w:iCs w:val="0"/>
          <w:color w:val="auto"/>
          <w:sz w:val="24"/>
          <w:highlight w:val="none"/>
        </w:rPr>
        <w:t>财政局</w:t>
      </w:r>
      <w:r>
        <w:rPr>
          <w:rFonts w:hint="eastAsia" w:ascii="宋体" w:hAnsi="宋体" w:eastAsia="宋体" w:cs="宋体"/>
          <w:i w:val="0"/>
          <w:iCs w:val="0"/>
          <w:color w:val="auto"/>
          <w:sz w:val="24"/>
          <w:highlight w:val="none"/>
          <w:lang w:eastAsia="zh-CN"/>
        </w:rPr>
        <w:t>。</w:t>
      </w:r>
    </w:p>
    <w:p>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联 系 人：</w:t>
      </w:r>
      <w:r>
        <w:rPr>
          <w:rFonts w:hint="eastAsia" w:ascii="宋体" w:hAnsi="宋体" w:eastAsia="宋体" w:cs="宋体"/>
          <w:i w:val="0"/>
          <w:iCs w:val="0"/>
          <w:sz w:val="24"/>
          <w:highlight w:val="none"/>
        </w:rPr>
        <w:t>储女士</w:t>
      </w:r>
    </w:p>
    <w:p>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监督投诉电话：</w:t>
      </w:r>
      <w:r>
        <w:rPr>
          <w:rFonts w:hint="eastAsia" w:ascii="宋体" w:hAnsi="宋体" w:eastAsia="宋体" w:cs="宋体"/>
          <w:i w:val="0"/>
          <w:iCs w:val="0"/>
          <w:sz w:val="24"/>
          <w:highlight w:val="none"/>
        </w:rPr>
        <w:t>0571-88728858</w:t>
      </w:r>
    </w:p>
    <w:p>
      <w:pPr>
        <w:spacing w:line="360" w:lineRule="auto"/>
        <w:jc w:val="left"/>
        <w:outlineLvl w:val="9"/>
        <w:rPr>
          <w:rFonts w:hint="eastAsia" w:ascii="宋体" w:hAnsi="宋体" w:eastAsia="宋体" w:cs="宋体"/>
          <w:b/>
          <w:color w:val="auto"/>
          <w:sz w:val="36"/>
          <w:szCs w:val="20"/>
          <w:highlight w:val="none"/>
        </w:rPr>
      </w:pPr>
      <w:bookmarkStart w:id="22" w:name="_Toc15143"/>
      <w:bookmarkStart w:id="23" w:name="_Toc23290"/>
      <w:bookmarkStart w:id="24" w:name="_Toc32068"/>
      <w:bookmarkStart w:id="25" w:name="_Toc29950"/>
      <w:bookmarkStart w:id="26" w:name="_Toc21980"/>
      <w:bookmarkStart w:id="27" w:name="_Toc19343"/>
      <w:bookmarkStart w:id="28" w:name="_Toc31502"/>
      <w:bookmarkStart w:id="29" w:name="_Toc17637"/>
      <w:bookmarkStart w:id="30" w:name="_Toc25207"/>
      <w:bookmarkStart w:id="31" w:name="_Toc22219"/>
      <w:bookmarkStart w:id="32" w:name="_Toc9549"/>
      <w:bookmarkStart w:id="33" w:name="_Toc135"/>
      <w:bookmarkStart w:id="34" w:name="_Hlk98851318"/>
      <w:bookmarkStart w:id="35" w:name="_Toc24002"/>
      <w:bookmarkStart w:id="36" w:name="_Toc24127"/>
      <w:bookmarkStart w:id="37" w:name="_Toc12023"/>
      <w:bookmarkStart w:id="38" w:name="_Toc27972"/>
      <w:bookmarkStart w:id="39" w:name="_Toc15458"/>
      <w:bookmarkStart w:id="40" w:name="_Toc17756"/>
      <w:bookmarkStart w:id="41" w:name="_Toc14306"/>
      <w:bookmarkStart w:id="42" w:name="_Toc25593"/>
      <w:bookmarkStart w:id="43" w:name="_Toc26106"/>
      <w:r>
        <w:rPr>
          <w:rFonts w:hint="eastAsia" w:ascii="宋体" w:hAnsi="宋体" w:eastAsia="宋体" w:cs="宋体"/>
          <w:b/>
          <w:color w:val="auto"/>
          <w:sz w:val="36"/>
          <w:szCs w:val="20"/>
          <w:highlight w:val="none"/>
        </w:rPr>
        <w:br w:type="page"/>
      </w:r>
    </w:p>
    <w:p>
      <w:pPr>
        <w:spacing w:line="360" w:lineRule="auto"/>
        <w:jc w:val="center"/>
        <w:outlineLvl w:val="0"/>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第二章 采购需求</w:t>
      </w:r>
      <w:bookmarkEnd w:id="22"/>
      <w:bookmarkEnd w:id="23"/>
      <w:bookmarkEnd w:id="24"/>
      <w:bookmarkEnd w:id="25"/>
      <w:bookmarkEnd w:id="26"/>
      <w:bookmarkEnd w:id="27"/>
      <w:bookmarkEnd w:id="28"/>
      <w:bookmarkEnd w:id="29"/>
      <w:bookmarkEnd w:id="30"/>
      <w:bookmarkEnd w:id="31"/>
      <w:bookmarkEnd w:id="32"/>
      <w:bookmarkEnd w:id="33"/>
    </w:p>
    <w:bookmarkEnd w:id="34"/>
    <w:p>
      <w:pPr>
        <w:numPr>
          <w:ilvl w:val="0"/>
          <w:numId w:val="1"/>
        </w:numPr>
        <w:spacing w:line="360" w:lineRule="auto"/>
        <w:ind w:firstLine="482"/>
        <w:jc w:val="both"/>
        <w:rPr>
          <w:rFonts w:hint="eastAsia" w:ascii="宋体" w:hAnsi="宋体" w:eastAsia="宋体" w:cs="宋体"/>
          <w:b/>
          <w:bCs/>
          <w:i w:val="0"/>
          <w:iCs w:val="0"/>
          <w:color w:val="auto"/>
          <w:sz w:val="24"/>
          <w:highlight w:val="none"/>
          <w:lang w:eastAsia="zh-CN"/>
        </w:rPr>
      </w:pPr>
      <w:bookmarkStart w:id="44" w:name="_Hlk126429246"/>
      <w:bookmarkStart w:id="45" w:name="_Toc93482125"/>
      <w:r>
        <w:rPr>
          <w:rFonts w:hint="eastAsia" w:ascii="宋体" w:hAnsi="宋体" w:eastAsia="宋体" w:cs="宋体"/>
          <w:b/>
          <w:bCs/>
          <w:i w:val="0"/>
          <w:iCs w:val="0"/>
          <w:color w:val="auto"/>
          <w:sz w:val="24"/>
          <w:highlight w:val="none"/>
          <w:lang w:eastAsia="zh-CN"/>
        </w:rPr>
        <w:t>项目概况</w:t>
      </w:r>
    </w:p>
    <w:p>
      <w:pPr>
        <w:numPr>
          <w:ilvl w:val="-1"/>
          <w:numId w:val="0"/>
        </w:numPr>
        <w:spacing w:line="360" w:lineRule="auto"/>
        <w:ind w:firstLine="480" w:firstLineChars="200"/>
        <w:jc w:val="both"/>
        <w:rPr>
          <w:rFonts w:hint="default" w:ascii="宋体" w:hAnsi="宋体" w:cs="宋体"/>
          <w:i w:val="0"/>
          <w:iCs w:val="0"/>
          <w:color w:val="auto"/>
          <w:sz w:val="24"/>
          <w:highlight w:val="none"/>
        </w:rPr>
      </w:pPr>
      <w:r>
        <w:rPr>
          <w:rFonts w:hint="eastAsia" w:ascii="宋体" w:hAnsi="宋体" w:eastAsia="宋体" w:cs="宋体"/>
          <w:i w:val="0"/>
          <w:iCs w:val="0"/>
          <w:color w:val="auto"/>
          <w:sz w:val="24"/>
          <w:highlight w:val="none"/>
        </w:rPr>
        <w:t>为做好</w:t>
      </w:r>
      <w:r>
        <w:rPr>
          <w:rFonts w:hint="eastAsia" w:ascii="宋体" w:hAnsi="宋体" w:eastAsia="宋体" w:cs="宋体"/>
          <w:i w:val="0"/>
          <w:iCs w:val="0"/>
          <w:color w:val="auto"/>
          <w:sz w:val="24"/>
          <w:highlight w:val="none"/>
          <w:lang w:val="en-US" w:eastAsia="zh-CN"/>
        </w:rPr>
        <w:t>杭州市余杭区</w:t>
      </w:r>
      <w:r>
        <w:rPr>
          <w:rFonts w:hint="eastAsia" w:ascii="宋体" w:hAnsi="宋体" w:eastAsia="宋体" w:cs="宋体"/>
          <w:i w:val="0"/>
          <w:iCs w:val="0"/>
          <w:color w:val="auto"/>
          <w:sz w:val="24"/>
          <w:highlight w:val="none"/>
        </w:rPr>
        <w:t>2023-2025年度地方政府专项债券的发行准备工作，拟通过框架协议方式选聘律师事务所，为2023-2025年度专项债券发行准备工作提供法律专业服务，包括出具《法律意见书》等发行专项债券涉及的专业报告，并协助采购方和其他债券发行参与方完成专项债券项目的预审、申报、信息披露和全过程其他相关专业服务。</w:t>
      </w:r>
      <w:r>
        <w:rPr>
          <w:rFonts w:hint="default" w:ascii="宋体" w:hAnsi="宋体" w:cs="宋体"/>
          <w:i w:val="0"/>
          <w:iCs w:val="0"/>
          <w:color w:val="auto"/>
          <w:sz w:val="24"/>
          <w:highlight w:val="none"/>
        </w:rPr>
        <w:t xml:space="preserve">  </w:t>
      </w:r>
    </w:p>
    <w:p>
      <w:pPr>
        <w:numPr>
          <w:ilvl w:val="-1"/>
          <w:numId w:val="0"/>
        </w:numPr>
        <w:spacing w:line="360" w:lineRule="auto"/>
        <w:ind w:firstLine="480" w:firstLineChars="200"/>
        <w:jc w:val="both"/>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具体情况见下表：</w:t>
      </w:r>
    </w:p>
    <w:tbl>
      <w:tblPr>
        <w:tblStyle w:val="6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45"/>
        <w:gridCol w:w="5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2"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序号</w:t>
            </w:r>
          </w:p>
        </w:tc>
        <w:tc>
          <w:tcPr>
            <w:tcW w:w="2745"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采购内容及数量</w:t>
            </w:r>
          </w:p>
        </w:tc>
        <w:tc>
          <w:tcPr>
            <w:tcW w:w="5482"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1260"/>
              </w:tabs>
              <w:snapToGrid/>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12"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p>
        </w:tc>
        <w:tc>
          <w:tcPr>
            <w:tcW w:w="2745"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spacing w:line="360" w:lineRule="auto"/>
              <w:jc w:val="center"/>
              <w:rPr>
                <w:rFonts w:hint="default"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入围律师事务所</w:t>
            </w:r>
            <w:r>
              <w:rPr>
                <w:rFonts w:hint="default" w:ascii="宋体" w:hAnsi="宋体" w:cs="宋体"/>
                <w:i w:val="0"/>
                <w:iCs w:val="0"/>
                <w:color w:val="auto"/>
                <w:sz w:val="24"/>
                <w:highlight w:val="none"/>
              </w:rPr>
              <w:t>≤</w:t>
            </w:r>
            <w:r>
              <w:rPr>
                <w:rFonts w:hint="eastAsia" w:ascii="宋体" w:hAnsi="宋体" w:eastAsia="宋体" w:cs="宋体"/>
                <w:i w:val="0"/>
                <w:iCs w:val="0"/>
                <w:color w:val="auto"/>
                <w:sz w:val="24"/>
                <w:highlight w:val="none"/>
                <w:lang w:val="en-US" w:eastAsia="zh-CN"/>
              </w:rPr>
              <w:t>5</w:t>
            </w:r>
            <w:r>
              <w:rPr>
                <w:rFonts w:hint="eastAsia" w:ascii="宋体" w:hAnsi="宋体" w:eastAsia="宋体" w:cs="宋体"/>
                <w:i w:val="0"/>
                <w:iCs w:val="0"/>
                <w:color w:val="auto"/>
                <w:sz w:val="24"/>
                <w:highlight w:val="none"/>
              </w:rPr>
              <w:t>家</w:t>
            </w:r>
            <w:r>
              <w:rPr>
                <w:rFonts w:hint="default" w:ascii="宋体" w:hAnsi="宋体" w:cs="宋体"/>
                <w:i w:val="0"/>
                <w:iCs w:val="0"/>
                <w:color w:val="auto"/>
                <w:sz w:val="24"/>
                <w:highlight w:val="none"/>
              </w:rPr>
              <w:t>≥3家</w:t>
            </w:r>
          </w:p>
        </w:tc>
        <w:tc>
          <w:tcPr>
            <w:tcW w:w="5482"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1260"/>
              </w:tabs>
              <w:adjustRightInd/>
              <w:snapToGrid/>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为</w:t>
            </w:r>
            <w:r>
              <w:rPr>
                <w:rFonts w:hint="eastAsia" w:ascii="宋体" w:hAnsi="宋体" w:eastAsia="宋体" w:cs="宋体"/>
                <w:i w:val="0"/>
                <w:iCs w:val="0"/>
                <w:color w:val="auto"/>
                <w:sz w:val="24"/>
                <w:highlight w:val="none"/>
                <w:lang w:val="en-US" w:eastAsia="zh-CN"/>
              </w:rPr>
              <w:t>杭州</w:t>
            </w:r>
            <w:r>
              <w:rPr>
                <w:rFonts w:hint="eastAsia" w:ascii="宋体" w:hAnsi="宋体" w:eastAsia="宋体" w:cs="宋体"/>
                <w:i w:val="0"/>
                <w:iCs w:val="0"/>
                <w:color w:val="auto"/>
                <w:sz w:val="24"/>
                <w:highlight w:val="none"/>
              </w:rPr>
              <w:t>市</w:t>
            </w:r>
            <w:r>
              <w:rPr>
                <w:rFonts w:hint="eastAsia" w:ascii="宋体" w:hAnsi="宋体" w:eastAsia="宋体" w:cs="宋体"/>
                <w:i w:val="0"/>
                <w:iCs w:val="0"/>
                <w:color w:val="auto"/>
                <w:sz w:val="24"/>
                <w:highlight w:val="none"/>
                <w:lang w:val="en-US" w:eastAsia="zh-CN"/>
              </w:rPr>
              <w:t>余杭区</w:t>
            </w:r>
            <w:r>
              <w:rPr>
                <w:rFonts w:hint="eastAsia" w:ascii="宋体" w:hAnsi="宋体" w:eastAsia="宋体" w:cs="宋体"/>
                <w:i w:val="0"/>
                <w:iCs w:val="0"/>
                <w:color w:val="auto"/>
                <w:sz w:val="24"/>
                <w:highlight w:val="none"/>
              </w:rPr>
              <w:t>2023-2025年度专项债券项目，出具法律意见书，并提供其他相关专业服务。</w:t>
            </w:r>
          </w:p>
          <w:p>
            <w:pPr>
              <w:tabs>
                <w:tab w:val="left" w:pos="1260"/>
              </w:tabs>
              <w:adjustRightInd/>
              <w:snapToGrid/>
              <w:spacing w:line="360" w:lineRule="auto"/>
              <w:rPr>
                <w:rFonts w:hint="default" w:ascii="宋体" w:hAnsi="宋体" w:eastAsia="宋体" w:cs="宋体"/>
                <w:i w:val="0"/>
                <w:iCs w:val="0"/>
                <w:color w:val="auto"/>
                <w:sz w:val="24"/>
                <w:highlight w:val="none"/>
              </w:rPr>
            </w:pPr>
            <w:r>
              <w:rPr>
                <w:rFonts w:hint="default" w:ascii="宋体" w:hAnsi="宋体" w:cs="宋体"/>
                <w:i w:val="0"/>
                <w:iCs w:val="0"/>
                <w:color w:val="auto"/>
                <w:sz w:val="24"/>
                <w:highlight w:val="none"/>
              </w:rPr>
              <w:t>具体要求下附。</w:t>
            </w:r>
          </w:p>
        </w:tc>
      </w:tr>
    </w:tbl>
    <w:p>
      <w:pPr>
        <w:numPr>
          <w:ilvl w:val="0"/>
          <w:numId w:val="1"/>
        </w:numPr>
        <w:spacing w:line="360" w:lineRule="auto"/>
        <w:ind w:firstLine="482"/>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确定成交供应商流程</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确定</w:t>
      </w:r>
      <w:r>
        <w:rPr>
          <w:rFonts w:hint="eastAsia" w:ascii="宋体" w:hAnsi="宋体" w:eastAsia="宋体" w:cs="宋体"/>
          <w:i w:val="0"/>
          <w:iCs w:val="0"/>
          <w:color w:val="auto"/>
          <w:sz w:val="24"/>
          <w:highlight w:val="none"/>
          <w:lang w:val="en-US" w:eastAsia="zh-CN"/>
        </w:rPr>
        <w:t>杭州市余杭区</w:t>
      </w:r>
      <w:r>
        <w:rPr>
          <w:rFonts w:hint="eastAsia" w:ascii="宋体" w:hAnsi="宋体" w:eastAsia="宋体" w:cs="宋体"/>
          <w:i w:val="0"/>
          <w:iCs w:val="0"/>
          <w:color w:val="auto"/>
          <w:sz w:val="24"/>
          <w:highlight w:val="none"/>
        </w:rPr>
        <w:t>2023-2025年度专项债券发行准备法律专业服务采购项目征集第一阶段入围供应商的方式为质量优先法，入围供应商数量为本次投标（响应）供应商数量的80%（但</w:t>
      </w:r>
      <w:r>
        <w:rPr>
          <w:rFonts w:hint="eastAsia" w:ascii="宋体" w:hAnsi="宋体" w:eastAsia="宋体" w:cs="宋体"/>
          <w:i w:val="0"/>
          <w:iCs w:val="0"/>
          <w:color w:val="auto"/>
          <w:kern w:val="0"/>
          <w:sz w:val="24"/>
          <w:highlight w:val="none"/>
        </w:rPr>
        <w:t>入围上限最多为</w:t>
      </w:r>
      <w:r>
        <w:rPr>
          <w:rFonts w:hint="eastAsia" w:ascii="宋体" w:hAnsi="宋体" w:eastAsia="宋体" w:cs="宋体"/>
          <w:i w:val="0"/>
          <w:iCs w:val="0"/>
          <w:color w:val="auto"/>
          <w:kern w:val="0"/>
          <w:sz w:val="24"/>
          <w:highlight w:val="none"/>
          <w:lang w:val="en-US" w:eastAsia="zh-CN"/>
        </w:rPr>
        <w:t>5</w:t>
      </w:r>
      <w:r>
        <w:rPr>
          <w:rFonts w:hint="eastAsia" w:ascii="宋体" w:hAnsi="宋体" w:eastAsia="宋体" w:cs="宋体"/>
          <w:i w:val="0"/>
          <w:iCs w:val="0"/>
          <w:color w:val="auto"/>
          <w:kern w:val="0"/>
          <w:sz w:val="24"/>
          <w:highlight w:val="none"/>
        </w:rPr>
        <w:t>家供应商</w:t>
      </w:r>
      <w:r>
        <w:rPr>
          <w:rFonts w:hint="eastAsia" w:ascii="宋体" w:hAnsi="宋体" w:eastAsia="宋体" w:cs="宋体"/>
          <w:i w:val="0"/>
          <w:iCs w:val="0"/>
          <w:color w:val="auto"/>
          <w:sz w:val="24"/>
          <w:highlight w:val="none"/>
        </w:rPr>
        <w:t>）</w:t>
      </w:r>
      <w:r>
        <w:rPr>
          <w:rFonts w:hint="eastAsia" w:ascii="宋体" w:hAnsi="宋体" w:eastAsia="宋体" w:cs="宋体"/>
          <w:bCs/>
          <w:i w:val="0"/>
          <w:iCs w:val="0"/>
          <w:color w:val="auto"/>
          <w:sz w:val="24"/>
          <w:highlight w:val="none"/>
        </w:rPr>
        <w:t>。</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确定第二阶段成交供应商的方式为直接选定</w:t>
      </w:r>
      <w:r>
        <w:rPr>
          <w:rFonts w:hint="eastAsia" w:ascii="宋体" w:hAnsi="宋体" w:eastAsia="宋体" w:cs="宋体"/>
          <w:i w:val="0"/>
          <w:iCs w:val="0"/>
          <w:color w:val="auto"/>
          <w:sz w:val="24"/>
          <w:highlight w:val="none"/>
          <w:lang w:val="en-US" w:eastAsia="zh-CN"/>
        </w:rPr>
        <w:t>或二次竞价</w:t>
      </w:r>
      <w:r>
        <w:rPr>
          <w:rFonts w:hint="eastAsia" w:ascii="宋体" w:hAnsi="宋体" w:eastAsia="宋体" w:cs="宋体"/>
          <w:i w:val="0"/>
          <w:iCs w:val="0"/>
          <w:color w:val="auto"/>
          <w:sz w:val="24"/>
          <w:highlight w:val="none"/>
        </w:rPr>
        <w:t>。</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直接选定</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由</w:t>
      </w:r>
      <w:r>
        <w:rPr>
          <w:rFonts w:hint="eastAsia" w:ascii="宋体" w:hAnsi="宋体" w:eastAsia="宋体" w:cs="宋体"/>
          <w:i w:val="0"/>
          <w:iCs w:val="0"/>
          <w:color w:val="auto"/>
          <w:kern w:val="0"/>
          <w:sz w:val="24"/>
          <w:highlight w:val="none"/>
          <w:lang w:val="en-US" w:eastAsia="zh-CN"/>
        </w:rPr>
        <w:t>杭州市余杭区财政局及余杭区</w:t>
      </w:r>
      <w:r>
        <w:rPr>
          <w:rFonts w:hint="eastAsia" w:ascii="宋体" w:hAnsi="宋体" w:eastAsia="宋体" w:cs="宋体"/>
          <w:i w:val="0"/>
          <w:iCs w:val="0"/>
          <w:color w:val="auto"/>
          <w:kern w:val="0"/>
          <w:sz w:val="24"/>
          <w:highlight w:val="none"/>
        </w:rPr>
        <w:t>直属各部门（单</w:t>
      </w:r>
      <w:r>
        <w:rPr>
          <w:rFonts w:hint="eastAsia" w:ascii="宋体" w:hAnsi="宋体" w:eastAsia="宋体" w:cs="宋体"/>
          <w:i w:val="0"/>
          <w:iCs w:val="0"/>
          <w:color w:val="auto"/>
          <w:kern w:val="0"/>
          <w:sz w:val="24"/>
          <w:highlight w:val="none"/>
          <w:lang w:val="en-US" w:eastAsia="zh-CN"/>
        </w:rPr>
        <w:t>位）</w:t>
      </w:r>
      <w:r>
        <w:rPr>
          <w:rFonts w:hint="eastAsia" w:ascii="宋体" w:hAnsi="宋体" w:eastAsia="宋体" w:cs="宋体"/>
          <w:i w:val="0"/>
          <w:iCs w:val="0"/>
          <w:color w:val="auto"/>
          <w:sz w:val="24"/>
          <w:highlight w:val="none"/>
        </w:rPr>
        <w:t>依据入围供应商的服务价格、服务承诺、服务便利性以及用户评价等因素，从第一阶段入围供应商中直接选定。第一阶段入围供应商的协议价格是</w:t>
      </w:r>
      <w:r>
        <w:rPr>
          <w:rFonts w:hint="eastAsia" w:ascii="宋体" w:hAnsi="宋体" w:eastAsia="宋体" w:cs="宋体"/>
          <w:i w:val="0"/>
          <w:iCs w:val="0"/>
          <w:color w:val="auto"/>
          <w:sz w:val="24"/>
          <w:highlight w:val="none"/>
          <w:lang w:val="en-US" w:eastAsia="zh-CN"/>
        </w:rPr>
        <w:t>杭州市余杭区</w:t>
      </w:r>
      <w:r>
        <w:rPr>
          <w:rFonts w:hint="eastAsia" w:ascii="宋体" w:hAnsi="宋体" w:eastAsia="宋体" w:cs="宋体"/>
          <w:i w:val="0"/>
          <w:iCs w:val="0"/>
          <w:color w:val="auto"/>
          <w:sz w:val="24"/>
          <w:highlight w:val="none"/>
        </w:rPr>
        <w:t>财政局确定第二阶段成交供应商的最高限价。</w:t>
      </w:r>
    </w:p>
    <w:p>
      <w:pPr>
        <w:spacing w:line="360" w:lineRule="auto"/>
        <w:ind w:firstLine="480" w:firstLineChars="200"/>
        <w:rPr>
          <w:rFonts w:hint="eastAsia" w:ascii="宋体" w:hAnsi="宋体" w:eastAsia="宋体" w:cs="宋体"/>
          <w:b/>
          <w:bCs/>
          <w:i w:val="0"/>
          <w:iCs w:val="0"/>
          <w:color w:val="auto"/>
          <w:sz w:val="24"/>
          <w:highlight w:val="none"/>
        </w:rPr>
      </w:pPr>
      <w:r>
        <w:rPr>
          <w:rFonts w:hint="eastAsia" w:ascii="宋体" w:hAnsi="宋体" w:eastAsia="宋体" w:cs="宋体"/>
          <w:i w:val="0"/>
          <w:iCs w:val="0"/>
          <w:color w:val="auto"/>
          <w:sz w:val="24"/>
          <w:highlight w:val="none"/>
          <w:lang w:val="en-US" w:eastAsia="zh-CN"/>
        </w:rPr>
        <w:t>二次竞价：</w:t>
      </w:r>
      <w:r>
        <w:rPr>
          <w:rFonts w:hint="eastAsia" w:ascii="宋体" w:hAnsi="宋体" w:eastAsia="宋体" w:cs="宋体"/>
          <w:b w:val="0"/>
          <w:bCs w:val="0"/>
          <w:i w:val="0"/>
          <w:iCs w:val="0"/>
          <w:color w:val="auto"/>
          <w:sz w:val="24"/>
          <w:highlight w:val="none"/>
        </w:rPr>
        <w:t>以框架协议约定的入围产品、采购合同文本等为依据，以协议价格为最高限价，征集人明确第二阶段竞价需求，从入围供应商中选择所有符合竞价需求的供应商参与二次竞价，确定报价最低的为成交供应商的方式。</w:t>
      </w:r>
    </w:p>
    <w:p>
      <w:pPr>
        <w:spacing w:line="360" w:lineRule="auto"/>
        <w:ind w:firstLine="482"/>
        <w:rPr>
          <w:rFonts w:hint="eastAsia" w:ascii="宋体" w:hAnsi="宋体" w:eastAsia="宋体" w:cs="宋体"/>
          <w:i w:val="0"/>
          <w:iCs w:val="0"/>
          <w:highlight w:val="none"/>
        </w:rPr>
      </w:pPr>
      <w:r>
        <w:rPr>
          <w:rFonts w:hint="eastAsia" w:ascii="宋体" w:hAnsi="宋体" w:eastAsia="宋体" w:cs="宋体"/>
          <w:i w:val="0"/>
          <w:iCs w:val="0"/>
          <w:color w:val="auto"/>
          <w:sz w:val="24"/>
          <w:highlight w:val="none"/>
        </w:rPr>
        <w:t>征集人不保证入围供应商协议期内的最低供应数量或金额。</w:t>
      </w:r>
    </w:p>
    <w:p>
      <w:pPr>
        <w:numPr>
          <w:ilvl w:val="0"/>
          <w:numId w:val="0"/>
        </w:numPr>
        <w:spacing w:line="360" w:lineRule="auto"/>
        <w:ind w:firstLine="482" w:firstLineChars="200"/>
        <w:rPr>
          <w:rFonts w:hint="eastAsia" w:ascii="宋体" w:hAnsi="宋体" w:eastAsia="宋体" w:cs="宋体"/>
          <w:b/>
          <w:bCs/>
          <w:i w:val="0"/>
          <w:iCs w:val="0"/>
          <w:color w:val="auto"/>
          <w:sz w:val="24"/>
          <w:highlight w:val="none"/>
        </w:rPr>
      </w:pPr>
      <w:r>
        <w:rPr>
          <w:rFonts w:hint="default" w:ascii="宋体" w:hAnsi="宋体" w:cs="宋体"/>
          <w:b/>
          <w:bCs/>
          <w:i w:val="0"/>
          <w:iCs w:val="0"/>
          <w:color w:val="auto"/>
          <w:sz w:val="24"/>
          <w:highlight w:val="none"/>
        </w:rPr>
        <w:t>三、</w:t>
      </w:r>
      <w:r>
        <w:rPr>
          <w:rFonts w:hint="eastAsia" w:ascii="宋体" w:hAnsi="宋体" w:eastAsia="宋体" w:cs="宋体"/>
          <w:b/>
          <w:bCs/>
          <w:i w:val="0"/>
          <w:iCs w:val="0"/>
          <w:color w:val="auto"/>
          <w:sz w:val="24"/>
          <w:highlight w:val="none"/>
        </w:rPr>
        <w:t>服务内容及要求</w:t>
      </w:r>
    </w:p>
    <w:p>
      <w:pPr>
        <w:spacing w:line="360" w:lineRule="auto"/>
        <w:ind w:firstLine="482"/>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（一）服务内容：</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1.在债券需求申报阶段，律师事务所需审查专项债券项目有关主体适格、基本信息、资金来源、资金投向、收费内容、收费政策依据等所涉法律事项的合法合规情况。</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2.在债券发行准备阶段，律师事务所需协助</w:t>
      </w:r>
      <w:r>
        <w:rPr>
          <w:rFonts w:hint="eastAsia" w:ascii="宋体" w:hAnsi="宋体" w:eastAsia="宋体" w:cs="宋体"/>
          <w:i w:val="0"/>
          <w:iCs w:val="0"/>
          <w:color w:val="auto"/>
          <w:sz w:val="24"/>
          <w:highlight w:val="none"/>
          <w:lang w:eastAsia="zh-CN"/>
        </w:rPr>
        <w:t>征集人</w:t>
      </w:r>
      <w:r>
        <w:rPr>
          <w:rFonts w:hint="eastAsia" w:ascii="宋体" w:hAnsi="宋体" w:eastAsia="宋体" w:cs="宋体"/>
          <w:i w:val="0"/>
          <w:iCs w:val="0"/>
          <w:color w:val="auto"/>
          <w:sz w:val="24"/>
          <w:highlight w:val="none"/>
        </w:rPr>
        <w:t>进行专项债券发行申请，对申请政府专项债券的项目提供独立、专业的法律服务，在规定时间内出具加盖公章的《法律意见书》正式稿。</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3.律师事务所需与财政部门招选的会计师事务所密切合作、相互配合，协助对方及时出具债券发行所需文本材料。</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4.现场参与财政部门组织的专项债券项目联审工作。</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5.财政部门要求的其他专项债券发行前期准备工作。</w:t>
      </w:r>
    </w:p>
    <w:p>
      <w:pPr>
        <w:spacing w:line="360" w:lineRule="auto"/>
        <w:ind w:firstLine="482"/>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（二）服务期限：</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color w:val="auto"/>
          <w:sz w:val="24"/>
          <w:highlight w:val="none"/>
        </w:rPr>
        <w:t>2023-2025年，总服务期限不超过24个月，即二年。</w:t>
      </w:r>
      <w:r>
        <w:rPr>
          <w:rFonts w:hint="eastAsia" w:ascii="宋体" w:hAnsi="宋体" w:eastAsia="宋体" w:cs="宋体"/>
          <w:i w:val="0"/>
          <w:iCs w:val="0"/>
          <w:color w:val="auto"/>
          <w:sz w:val="24"/>
          <w:highlight w:val="none"/>
        </w:rPr>
        <w:t>合同每年一签，每年协议期满，根据考核情况及相关政策不变的情况下，可协商续签下一年度服务合同。征集人也有权重新组织采购。 续签合同期间的专业服务费收费标准维持不变。</w:t>
      </w:r>
    </w:p>
    <w:p>
      <w:pPr>
        <w:spacing w:line="360" w:lineRule="auto"/>
        <w:ind w:firstLine="482"/>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（三）服务要求：</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专项债券发行必须符合相关法律、行政法规和规范性文件的要求。投标人在中标后应在人员安排上及时给予保障，负责人与项目组主要成员必须是本单位人员，且投标文件中已确定的人员名单，在服务期内原则上不得更换，如有调整需征得</w:t>
      </w:r>
      <w:r>
        <w:rPr>
          <w:rFonts w:hint="eastAsia" w:ascii="宋体" w:hAnsi="宋体" w:eastAsia="宋体" w:cs="宋体"/>
          <w:i w:val="0"/>
          <w:iCs w:val="0"/>
          <w:color w:val="auto"/>
          <w:sz w:val="24"/>
          <w:highlight w:val="none"/>
          <w:lang w:eastAsia="zh-CN"/>
        </w:rPr>
        <w:t>征集人</w:t>
      </w:r>
      <w:r>
        <w:rPr>
          <w:rFonts w:hint="eastAsia" w:ascii="宋体" w:hAnsi="宋体" w:eastAsia="宋体" w:cs="宋体"/>
          <w:i w:val="0"/>
          <w:iCs w:val="0"/>
          <w:color w:val="auto"/>
          <w:sz w:val="24"/>
          <w:highlight w:val="none"/>
        </w:rPr>
        <w:t>的同意。在接到</w:t>
      </w:r>
      <w:r>
        <w:rPr>
          <w:rFonts w:hint="eastAsia" w:ascii="宋体" w:hAnsi="宋体" w:eastAsia="宋体" w:cs="宋体"/>
          <w:i w:val="0"/>
          <w:iCs w:val="0"/>
          <w:color w:val="auto"/>
          <w:sz w:val="24"/>
          <w:highlight w:val="none"/>
          <w:lang w:eastAsia="zh-CN"/>
        </w:rPr>
        <w:t>征集人</w:t>
      </w:r>
      <w:r>
        <w:rPr>
          <w:rFonts w:hint="eastAsia" w:ascii="宋体" w:hAnsi="宋体" w:eastAsia="宋体" w:cs="宋体"/>
          <w:i w:val="0"/>
          <w:iCs w:val="0"/>
          <w:color w:val="auto"/>
          <w:sz w:val="24"/>
          <w:highlight w:val="none"/>
        </w:rPr>
        <w:t>委托任务后应及时开展工作并出具各种专业报告。专业报告包括纸质和电子版两种形式，数量根据</w:t>
      </w:r>
      <w:r>
        <w:rPr>
          <w:rFonts w:hint="eastAsia" w:ascii="宋体" w:hAnsi="宋体" w:eastAsia="宋体" w:cs="宋体"/>
          <w:i w:val="0"/>
          <w:iCs w:val="0"/>
          <w:color w:val="auto"/>
          <w:sz w:val="24"/>
          <w:highlight w:val="none"/>
          <w:lang w:eastAsia="zh-CN"/>
        </w:rPr>
        <w:t>征集人</w:t>
      </w:r>
      <w:r>
        <w:rPr>
          <w:rFonts w:hint="eastAsia" w:ascii="宋体" w:hAnsi="宋体" w:eastAsia="宋体" w:cs="宋体"/>
          <w:i w:val="0"/>
          <w:iCs w:val="0"/>
          <w:color w:val="auto"/>
          <w:sz w:val="24"/>
          <w:highlight w:val="none"/>
        </w:rPr>
        <w:t>在发债过程中的实际需要而定。</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委托方有权对中标机构的服务质量和完成时效进行考核评价，评价内容包括及时性、准确性、完整性、合规性和配合度等，视评价情况酌情扣减相应项目的费用。</w:t>
      </w:r>
    </w:p>
    <w:p>
      <w:pPr>
        <w:numPr>
          <w:ilvl w:val="0"/>
          <w:numId w:val="1"/>
        </w:numPr>
        <w:spacing w:line="360" w:lineRule="auto"/>
        <w:ind w:firstLine="482" w:firstLineChars="0"/>
        <w:rPr>
          <w:rFonts w:hint="eastAsia" w:ascii="宋体" w:hAnsi="宋体" w:eastAsia="宋体" w:cs="宋体"/>
          <w:b/>
          <w:bCs/>
          <w:i w:val="0"/>
          <w:iCs w:val="0"/>
          <w:color w:val="auto"/>
          <w:kern w:val="0"/>
          <w:sz w:val="24"/>
          <w:highlight w:val="none"/>
        </w:rPr>
      </w:pPr>
      <w:r>
        <w:rPr>
          <w:rFonts w:hint="eastAsia" w:ascii="宋体" w:hAnsi="宋体" w:eastAsia="宋体" w:cs="宋体"/>
          <w:b/>
          <w:bCs/>
          <w:i w:val="0"/>
          <w:iCs w:val="0"/>
          <w:color w:val="auto"/>
          <w:kern w:val="2"/>
          <w:sz w:val="24"/>
          <w:highlight w:val="none"/>
        </w:rPr>
        <w:t>商务</w:t>
      </w:r>
      <w:r>
        <w:rPr>
          <w:rFonts w:hint="eastAsia" w:ascii="宋体" w:hAnsi="宋体" w:eastAsia="宋体" w:cs="宋体"/>
          <w:b/>
          <w:bCs/>
          <w:i w:val="0"/>
          <w:iCs w:val="0"/>
          <w:color w:val="auto"/>
          <w:kern w:val="0"/>
          <w:sz w:val="24"/>
          <w:highlight w:val="none"/>
        </w:rPr>
        <w:t>要求</w:t>
      </w:r>
    </w:p>
    <w:p>
      <w:pPr>
        <w:spacing w:line="360" w:lineRule="auto"/>
        <w:ind w:firstLine="482" w:firstLineChars="200"/>
        <w:rPr>
          <w:rFonts w:hint="eastAsia" w:ascii="宋体" w:hAnsi="宋体" w:eastAsia="宋体" w:cs="宋体"/>
          <w:b/>
          <w:bCs/>
          <w:i w:val="0"/>
          <w:iCs w:val="0"/>
          <w:color w:val="auto"/>
          <w:kern w:val="0"/>
          <w:sz w:val="24"/>
          <w:highlight w:val="none"/>
        </w:rPr>
      </w:pPr>
      <w:r>
        <w:rPr>
          <w:rFonts w:hint="eastAsia" w:ascii="宋体" w:hAnsi="宋体" w:eastAsia="宋体" w:cs="宋体"/>
          <w:b/>
          <w:bCs/>
          <w:i w:val="0"/>
          <w:iCs w:val="0"/>
          <w:color w:val="auto"/>
          <w:kern w:val="0"/>
          <w:sz w:val="24"/>
          <w:highlight w:val="none"/>
        </w:rPr>
        <w:t>（一）合同签订：</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本次采购由</w:t>
      </w:r>
      <w:r>
        <w:rPr>
          <w:rFonts w:hint="eastAsia" w:ascii="宋体" w:hAnsi="宋体" w:eastAsia="宋体" w:cs="宋体"/>
          <w:i w:val="0"/>
          <w:iCs w:val="0"/>
          <w:color w:val="auto"/>
          <w:kern w:val="0"/>
          <w:sz w:val="24"/>
          <w:highlight w:val="none"/>
          <w:lang w:val="en-US" w:eastAsia="zh-CN"/>
        </w:rPr>
        <w:t>杭州市余杭区</w:t>
      </w:r>
      <w:r>
        <w:rPr>
          <w:rFonts w:hint="eastAsia" w:ascii="宋体" w:hAnsi="宋体" w:eastAsia="宋体" w:cs="宋体"/>
          <w:i w:val="0"/>
          <w:iCs w:val="0"/>
          <w:color w:val="auto"/>
          <w:kern w:val="0"/>
          <w:sz w:val="24"/>
          <w:highlight w:val="none"/>
        </w:rPr>
        <w:t>财政局与中标供应商签订框架协议。</w:t>
      </w:r>
      <w:r>
        <w:rPr>
          <w:rFonts w:hint="eastAsia" w:ascii="宋体" w:hAnsi="宋体" w:eastAsia="宋体" w:cs="宋体"/>
          <w:i w:val="0"/>
          <w:iCs w:val="0"/>
          <w:color w:val="auto"/>
          <w:kern w:val="0"/>
          <w:sz w:val="24"/>
          <w:highlight w:val="none"/>
          <w:lang w:val="en-US" w:eastAsia="zh-CN"/>
        </w:rPr>
        <w:t>杭州市余杭区财政局及余杭区</w:t>
      </w:r>
      <w:r>
        <w:rPr>
          <w:rFonts w:hint="eastAsia" w:ascii="宋体" w:hAnsi="宋体" w:eastAsia="宋体" w:cs="宋体"/>
          <w:i w:val="0"/>
          <w:iCs w:val="0"/>
          <w:color w:val="auto"/>
          <w:kern w:val="0"/>
          <w:sz w:val="24"/>
          <w:highlight w:val="none"/>
        </w:rPr>
        <w:t>直属各部门（单位）根据中标结果，直接选定</w:t>
      </w:r>
      <w:r>
        <w:rPr>
          <w:rFonts w:hint="eastAsia" w:ascii="宋体" w:hAnsi="宋体" w:eastAsia="宋体" w:cs="宋体"/>
          <w:i w:val="0"/>
          <w:iCs w:val="0"/>
          <w:color w:val="auto"/>
          <w:kern w:val="0"/>
          <w:sz w:val="24"/>
          <w:highlight w:val="none"/>
          <w:lang w:val="en-US" w:eastAsia="zh-CN"/>
        </w:rPr>
        <w:t>或二次竞价确定</w:t>
      </w:r>
      <w:r>
        <w:rPr>
          <w:rFonts w:hint="eastAsia" w:ascii="宋体" w:hAnsi="宋体" w:eastAsia="宋体" w:cs="宋体"/>
          <w:i w:val="0"/>
          <w:iCs w:val="0"/>
          <w:color w:val="auto"/>
          <w:kern w:val="0"/>
          <w:sz w:val="24"/>
          <w:highlight w:val="none"/>
        </w:rPr>
        <w:t>1家或以上供应商签订服务合同，且服务价格不得高于本框架入围价格。</w:t>
      </w:r>
    </w:p>
    <w:p>
      <w:pPr>
        <w:spacing w:line="360" w:lineRule="auto"/>
        <w:ind w:firstLine="482" w:firstLineChars="200"/>
        <w:rPr>
          <w:rFonts w:hint="eastAsia" w:ascii="宋体" w:hAnsi="宋体" w:eastAsia="宋体" w:cs="宋体"/>
          <w:b/>
          <w:bCs/>
          <w:i w:val="0"/>
          <w:iCs w:val="0"/>
          <w:color w:val="auto"/>
          <w:kern w:val="0"/>
          <w:sz w:val="24"/>
          <w:highlight w:val="none"/>
        </w:rPr>
      </w:pPr>
      <w:r>
        <w:rPr>
          <w:rFonts w:hint="eastAsia" w:ascii="宋体" w:hAnsi="宋体" w:eastAsia="宋体" w:cs="宋体"/>
          <w:b/>
          <w:bCs/>
          <w:i w:val="0"/>
          <w:iCs w:val="0"/>
          <w:color w:val="auto"/>
          <w:kern w:val="0"/>
          <w:sz w:val="24"/>
          <w:highlight w:val="none"/>
        </w:rPr>
        <w:t>（二）售后服务要求：</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（1）供应商在入围后应在人员安排上给予及时保障，负责人与项目组主要成员必须是本单位人员，且响应文件中已确定的人员名单，在服务期内原则上不得更换，如有调整需征得征集人的同意。</w:t>
      </w:r>
    </w:p>
    <w:p>
      <w:pPr>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（2）在接到</w:t>
      </w:r>
      <w:r>
        <w:rPr>
          <w:rFonts w:hint="eastAsia" w:ascii="宋体" w:hAnsi="宋体" w:eastAsia="宋体" w:cs="宋体"/>
          <w:i w:val="0"/>
          <w:iCs w:val="0"/>
          <w:color w:val="auto"/>
          <w:kern w:val="0"/>
          <w:sz w:val="24"/>
          <w:szCs w:val="24"/>
          <w:highlight w:val="none"/>
          <w:lang w:val="en-US" w:eastAsia="zh-CN"/>
        </w:rPr>
        <w:t>杭州市余杭区财政局</w:t>
      </w:r>
      <w:r>
        <w:rPr>
          <w:rFonts w:hint="eastAsia" w:ascii="宋体" w:hAnsi="宋体" w:eastAsia="宋体" w:cs="宋体"/>
          <w:i w:val="0"/>
          <w:iCs w:val="0"/>
          <w:color w:val="auto"/>
          <w:kern w:val="0"/>
          <w:sz w:val="24"/>
          <w:szCs w:val="24"/>
          <w:highlight w:val="none"/>
        </w:rPr>
        <w:t>委托任务后应及时开展工作并出具各种专业报告。专业报告包括纸质和电子版两种形式，数量根据</w:t>
      </w:r>
      <w:r>
        <w:rPr>
          <w:rFonts w:hint="eastAsia" w:ascii="宋体" w:hAnsi="宋体" w:eastAsia="宋体" w:cs="宋体"/>
          <w:i w:val="0"/>
          <w:iCs w:val="0"/>
          <w:color w:val="auto"/>
          <w:kern w:val="0"/>
          <w:sz w:val="24"/>
          <w:szCs w:val="24"/>
          <w:highlight w:val="none"/>
          <w:lang w:eastAsia="zh-CN"/>
        </w:rPr>
        <w:t>财政部门</w:t>
      </w:r>
      <w:r>
        <w:rPr>
          <w:rFonts w:hint="eastAsia" w:ascii="宋体" w:hAnsi="宋体" w:eastAsia="宋体" w:cs="宋体"/>
          <w:i w:val="0"/>
          <w:iCs w:val="0"/>
          <w:color w:val="auto"/>
          <w:kern w:val="0"/>
          <w:sz w:val="24"/>
          <w:szCs w:val="24"/>
          <w:highlight w:val="none"/>
        </w:rPr>
        <w:t>在发债过程中的实际需要量而定。</w:t>
      </w:r>
    </w:p>
    <w:p>
      <w:pPr>
        <w:numPr>
          <w:ilvl w:val="0"/>
          <w:numId w:val="1"/>
        </w:numPr>
        <w:spacing w:line="360" w:lineRule="auto"/>
        <w:ind w:firstLine="482"/>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报价要求</w:t>
      </w:r>
    </w:p>
    <w:bookmarkEnd w:id="44"/>
    <w:p>
      <w:pPr>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（一）最高限价。</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本项目</w:t>
      </w:r>
      <w:r>
        <w:rPr>
          <w:rFonts w:hint="eastAsia" w:ascii="宋体" w:hAnsi="宋体" w:eastAsia="宋体" w:cs="宋体"/>
          <w:i w:val="0"/>
          <w:iCs w:val="0"/>
          <w:color w:val="auto"/>
          <w:kern w:val="0"/>
          <w:sz w:val="24"/>
          <w:highlight w:val="none"/>
          <w:lang w:eastAsia="zh-CN"/>
        </w:rPr>
        <w:t>征集人</w:t>
      </w:r>
      <w:r>
        <w:rPr>
          <w:rFonts w:hint="eastAsia" w:ascii="宋体" w:hAnsi="宋体" w:eastAsia="宋体" w:cs="宋体"/>
          <w:i w:val="0"/>
          <w:iCs w:val="0"/>
          <w:color w:val="auto"/>
          <w:kern w:val="0"/>
          <w:sz w:val="24"/>
          <w:highlight w:val="none"/>
        </w:rPr>
        <w:t>根据出具加盖第三方中介机构公章的法律意见书的项目，设定专业服务费报价的最高单价限价（见下表）。投标人应在最高单价限价范围内进行报价，报价内容为xx元/个。报价超过最高限价视为无效。</w:t>
      </w:r>
    </w:p>
    <w:tbl>
      <w:tblPr>
        <w:tblStyle w:val="64"/>
        <w:tblW w:w="89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2"/>
        <w:gridCol w:w="6341"/>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12"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序号</w:t>
            </w:r>
          </w:p>
        </w:tc>
        <w:tc>
          <w:tcPr>
            <w:tcW w:w="6341"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项目类型</w:t>
            </w:r>
          </w:p>
        </w:tc>
        <w:tc>
          <w:tcPr>
            <w:tcW w:w="1665"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最高单价限价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6" w:hRule="exact"/>
          <w:jc w:val="center"/>
        </w:trPr>
        <w:tc>
          <w:tcPr>
            <w:tcW w:w="912"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p>
        </w:tc>
        <w:tc>
          <w:tcPr>
            <w:tcW w:w="6341"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出具加盖第三方中介机构公章的法律意见书并首次成功发行专项债的项目</w:t>
            </w:r>
          </w:p>
        </w:tc>
        <w:tc>
          <w:tcPr>
            <w:tcW w:w="1665"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r>
              <w:rPr>
                <w:rFonts w:hint="eastAsia" w:ascii="宋体" w:hAnsi="宋体" w:eastAsia="宋体" w:cs="宋体"/>
                <w:i w:val="0"/>
                <w:iCs w:val="0"/>
                <w:color w:val="auto"/>
                <w:sz w:val="24"/>
                <w:highlight w:val="none"/>
                <w:lang w:val="en-US" w:eastAsia="zh-CN"/>
              </w:rPr>
              <w:t>8</w:t>
            </w:r>
            <w:r>
              <w:rPr>
                <w:rFonts w:hint="eastAsia" w:ascii="宋体" w:hAnsi="宋体" w:eastAsia="宋体" w:cs="宋体"/>
                <w:i w:val="0"/>
                <w:iCs w:val="0"/>
                <w:color w:val="auto"/>
                <w:sz w:val="24"/>
                <w:highlight w:val="none"/>
              </w:rPr>
              <w:t>万元/个</w:t>
            </w:r>
          </w:p>
        </w:tc>
      </w:tr>
    </w:tbl>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（二）其他要求。</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1.已出具法律意见书但未发行成功的项目按中标价的</w:t>
      </w:r>
      <w:r>
        <w:rPr>
          <w:rFonts w:hint="eastAsia" w:ascii="宋体" w:hAnsi="宋体" w:eastAsia="宋体" w:cs="宋体"/>
          <w:i w:val="0"/>
          <w:iCs w:val="0"/>
          <w:color w:val="auto"/>
          <w:kern w:val="0"/>
          <w:sz w:val="24"/>
          <w:highlight w:val="none"/>
          <w:lang w:val="en-US" w:eastAsia="zh-CN"/>
        </w:rPr>
        <w:t>20</w:t>
      </w:r>
      <w:r>
        <w:rPr>
          <w:rFonts w:hint="eastAsia" w:ascii="宋体" w:hAnsi="宋体" w:eastAsia="宋体" w:cs="宋体"/>
          <w:i w:val="0"/>
          <w:iCs w:val="0"/>
          <w:color w:val="auto"/>
          <w:kern w:val="0"/>
          <w:sz w:val="24"/>
          <w:highlight w:val="none"/>
        </w:rPr>
        <w:t>%计算收费</w:t>
      </w:r>
      <w:r>
        <w:rPr>
          <w:rFonts w:hint="eastAsia" w:ascii="宋体" w:hAnsi="宋体" w:eastAsia="宋体" w:cs="宋体"/>
          <w:i w:val="0"/>
          <w:iCs w:val="0"/>
          <w:color w:val="auto"/>
          <w:kern w:val="0"/>
          <w:sz w:val="24"/>
          <w:highlight w:val="none"/>
          <w:lang w:eastAsia="zh-CN"/>
        </w:rPr>
        <w:t>。</w:t>
      </w:r>
      <w:r>
        <w:rPr>
          <w:rFonts w:hint="eastAsia" w:ascii="宋体" w:hAnsi="宋体" w:eastAsia="宋体" w:cs="宋体"/>
          <w:i w:val="0"/>
          <w:iCs w:val="0"/>
          <w:color w:val="auto"/>
          <w:kern w:val="0"/>
          <w:sz w:val="24"/>
          <w:highlight w:val="none"/>
          <w:lang w:val="en-US" w:eastAsia="zh-CN"/>
        </w:rPr>
        <w:t>发行成功的专项债项目后续再次发行成功，重新出具</w:t>
      </w:r>
      <w:r>
        <w:rPr>
          <w:rFonts w:hint="eastAsia" w:ascii="宋体" w:hAnsi="宋体" w:eastAsia="宋体" w:cs="宋体"/>
          <w:i w:val="0"/>
          <w:iCs w:val="0"/>
          <w:color w:val="auto"/>
          <w:sz w:val="24"/>
          <w:highlight w:val="none"/>
        </w:rPr>
        <w:t>法律意见书</w:t>
      </w:r>
      <w:r>
        <w:rPr>
          <w:rFonts w:hint="eastAsia" w:ascii="宋体" w:hAnsi="宋体" w:eastAsia="宋体" w:cs="宋体"/>
          <w:i w:val="0"/>
          <w:iCs w:val="0"/>
          <w:color w:val="auto"/>
          <w:kern w:val="0"/>
          <w:sz w:val="24"/>
          <w:highlight w:val="none"/>
          <w:lang w:val="en-US" w:eastAsia="zh-CN"/>
        </w:rPr>
        <w:t>的，按中标价的20%计算收费。</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2</w:t>
      </w:r>
      <w:r>
        <w:rPr>
          <w:rFonts w:hint="eastAsia" w:ascii="宋体" w:hAnsi="宋体" w:eastAsia="宋体" w:cs="宋体"/>
          <w:i w:val="0"/>
          <w:iCs w:val="0"/>
          <w:color w:val="auto"/>
          <w:kern w:val="0"/>
          <w:sz w:val="24"/>
          <w:highlight w:val="none"/>
          <w:lang w:val="en-US" w:eastAsia="zh-CN"/>
        </w:rPr>
        <w:t>.杭州市余杭区财政局及余杭区其他部门（单位）</w:t>
      </w:r>
      <w:r>
        <w:rPr>
          <w:rFonts w:hint="eastAsia" w:ascii="宋体" w:hAnsi="宋体" w:eastAsia="宋体" w:cs="宋体"/>
          <w:i w:val="0"/>
          <w:iCs w:val="0"/>
          <w:color w:val="auto"/>
          <w:kern w:val="0"/>
          <w:sz w:val="24"/>
          <w:highlight w:val="none"/>
        </w:rPr>
        <w:t>可在入围的律师事务所中，自行确定服务机构。</w:t>
      </w:r>
    </w:p>
    <w:p>
      <w:pPr>
        <w:numPr>
          <w:ilvl w:val="0"/>
          <w:numId w:val="1"/>
        </w:numPr>
        <w:autoSpaceDE/>
        <w:autoSpaceDN/>
        <w:spacing w:line="360" w:lineRule="auto"/>
        <w:ind w:firstLine="482" w:firstLineChars="0"/>
        <w:rPr>
          <w:rFonts w:hint="eastAsia" w:ascii="宋体" w:hAnsi="宋体" w:eastAsia="宋体" w:cs="宋体"/>
          <w:b/>
          <w:i w:val="0"/>
          <w:iCs w:val="0"/>
          <w:color w:val="auto"/>
          <w:sz w:val="24"/>
          <w:highlight w:val="none"/>
        </w:rPr>
      </w:pPr>
      <w:r>
        <w:rPr>
          <w:rFonts w:hint="eastAsia" w:ascii="宋体" w:hAnsi="宋体" w:eastAsia="宋体" w:cs="宋体"/>
          <w:b/>
          <w:bCs/>
          <w:i w:val="0"/>
          <w:iCs w:val="0"/>
          <w:color w:val="auto"/>
          <w:sz w:val="24"/>
          <w:highlight w:val="none"/>
        </w:rPr>
        <w:t>结算</w:t>
      </w:r>
      <w:r>
        <w:rPr>
          <w:rFonts w:hint="eastAsia" w:ascii="宋体" w:hAnsi="宋体" w:eastAsia="宋体" w:cs="宋体"/>
          <w:b/>
          <w:i w:val="0"/>
          <w:iCs w:val="0"/>
          <w:color w:val="auto"/>
          <w:sz w:val="24"/>
          <w:highlight w:val="none"/>
        </w:rPr>
        <w:t>方式</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1.专业服务费一年结算一次，于每年度12月15日前结算本年度的应付专业服务费，结算金额经双方确认后20个工作日内完成支出。</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rPr>
        <w:t>.由于入围供应商原因致使本次政府专项债券发行失败的，征集人有权拒付（或追回已付的）专业服务费；给征集人造成损失的，应予以赔偿。</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en-US" w:eastAsia="zh-CN"/>
        </w:rPr>
        <w:t>3</w:t>
      </w:r>
      <w:r>
        <w:rPr>
          <w:rFonts w:hint="eastAsia" w:ascii="宋体" w:hAnsi="宋体" w:eastAsia="宋体" w:cs="宋体"/>
          <w:i w:val="0"/>
          <w:iCs w:val="0"/>
          <w:color w:val="auto"/>
          <w:kern w:val="0"/>
          <w:sz w:val="24"/>
          <w:highlight w:val="none"/>
        </w:rPr>
        <w:t>.入围供应商办理专业服务费结算时，需出具正式税务发票。</w:t>
      </w:r>
    </w:p>
    <w:p>
      <w:pPr>
        <w:spacing w:line="360" w:lineRule="auto"/>
        <w:ind w:firstLine="0"/>
        <w:rPr>
          <w:rFonts w:hint="eastAsia" w:ascii="宋体" w:hAnsi="宋体" w:eastAsia="宋体" w:cs="宋体"/>
          <w:b/>
          <w:bCs/>
          <w:color w:val="000000"/>
          <w:kern w:val="2"/>
          <w:sz w:val="24"/>
          <w:szCs w:val="24"/>
          <w:highlight w:val="none"/>
          <w:lang w:val="zh-CN" w:eastAsia="zh-CN"/>
        </w:rPr>
      </w:pPr>
    </w:p>
    <w:bookmarkEnd w:id="45"/>
    <w:p>
      <w:pPr>
        <w:spacing w:line="240" w:lineRule="auto"/>
        <w:ind w:firstLine="0" w:firstLineChars="0"/>
        <w:jc w:val="left"/>
        <w:outlineLvl w:val="9"/>
        <w:rPr>
          <w:rFonts w:hint="eastAsia" w:ascii="宋体" w:hAnsi="宋体" w:eastAsia="宋体" w:cs="宋体"/>
          <w:b/>
          <w:color w:val="auto"/>
          <w:sz w:val="32"/>
          <w:szCs w:val="32"/>
          <w:highlight w:val="none"/>
        </w:rPr>
      </w:pPr>
      <w:bookmarkStart w:id="46" w:name="_Toc17545"/>
      <w:bookmarkStart w:id="47" w:name="_Toc6286"/>
      <w:bookmarkStart w:id="48" w:name="_Toc11863"/>
      <w:r>
        <w:rPr>
          <w:rFonts w:hint="eastAsia" w:ascii="宋体" w:hAnsi="宋体" w:eastAsia="宋体" w:cs="宋体"/>
          <w:b/>
          <w:color w:val="auto"/>
          <w:sz w:val="32"/>
          <w:szCs w:val="32"/>
          <w:highlight w:val="none"/>
        </w:rPr>
        <w:br w:type="page"/>
      </w:r>
    </w:p>
    <w:p>
      <w:pPr>
        <w:spacing w:line="400" w:lineRule="exact"/>
        <w:ind w:firstLine="643" w:firstLineChars="20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2"/>
          <w:szCs w:val="32"/>
          <w:highlight w:val="none"/>
        </w:rPr>
        <w:t>第</w:t>
      </w:r>
      <w:bookmarkEnd w:id="11"/>
      <w:r>
        <w:rPr>
          <w:rFonts w:hint="eastAsia" w:ascii="宋体" w:hAnsi="宋体" w:eastAsia="宋体" w:cs="宋体"/>
          <w:b/>
          <w:color w:val="auto"/>
          <w:sz w:val="32"/>
          <w:szCs w:val="32"/>
          <w:highlight w:val="none"/>
        </w:rPr>
        <w:t>三章 供应商须知</w:t>
      </w:r>
      <w:bookmarkEnd w:id="12"/>
      <w:bookmarkEnd w:id="35"/>
      <w:bookmarkEnd w:id="36"/>
      <w:bookmarkEnd w:id="37"/>
      <w:bookmarkEnd w:id="38"/>
      <w:bookmarkEnd w:id="39"/>
      <w:bookmarkEnd w:id="40"/>
      <w:bookmarkEnd w:id="41"/>
      <w:bookmarkEnd w:id="42"/>
      <w:bookmarkEnd w:id="43"/>
      <w:bookmarkEnd w:id="46"/>
      <w:bookmarkEnd w:id="47"/>
      <w:bookmarkEnd w:id="48"/>
    </w:p>
    <w:p>
      <w:pPr>
        <w:snapToGrid w:val="0"/>
        <w:spacing w:line="360" w:lineRule="auto"/>
        <w:jc w:val="center"/>
        <w:outlineLvl w:val="0"/>
        <w:rPr>
          <w:rFonts w:hint="eastAsia" w:ascii="宋体" w:hAnsi="宋体" w:eastAsia="宋体" w:cs="宋体"/>
          <w:b/>
          <w:color w:val="auto"/>
          <w:sz w:val="32"/>
          <w:szCs w:val="20"/>
          <w:highlight w:val="none"/>
        </w:rPr>
      </w:pPr>
      <w:bookmarkStart w:id="49" w:name="_Toc13031"/>
      <w:bookmarkStart w:id="50" w:name="_Toc27664"/>
      <w:bookmarkStart w:id="51" w:name="_Toc12637"/>
      <w:r>
        <w:rPr>
          <w:rFonts w:hint="eastAsia" w:ascii="宋体" w:hAnsi="宋体" w:eastAsia="宋体" w:cs="宋体"/>
          <w:b/>
          <w:color w:val="auto"/>
          <w:sz w:val="32"/>
          <w:szCs w:val="20"/>
          <w:highlight w:val="none"/>
        </w:rPr>
        <w:t>前附表</w:t>
      </w:r>
      <w:bookmarkEnd w:id="49"/>
      <w:bookmarkEnd w:id="50"/>
      <w:bookmarkEnd w:id="51"/>
    </w:p>
    <w:tbl>
      <w:tblPr>
        <w:tblStyle w:val="64"/>
        <w:tblW w:w="895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99"/>
        <w:gridCol w:w="64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99"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内容事项</w:t>
            </w:r>
          </w:p>
        </w:tc>
        <w:tc>
          <w:tcPr>
            <w:tcW w:w="6422"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99" w:type="dxa"/>
            <w:tcBorders>
              <w:top w:val="single" w:color="000000" w:sz="8" w:space="0"/>
              <w:left w:val="single" w:color="auto" w:sz="4" w:space="0"/>
              <w:bottom w:val="single" w:color="000000" w:sz="8" w:space="0"/>
              <w:right w:val="single" w:color="000000" w:sz="8" w:space="0"/>
            </w:tcBorders>
            <w:vAlign w:val="center"/>
          </w:tcPr>
          <w:p>
            <w:pPr>
              <w:autoSpaceDE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采购方式</w:t>
            </w:r>
          </w:p>
        </w:tc>
        <w:tc>
          <w:tcPr>
            <w:tcW w:w="6422" w:type="dxa"/>
            <w:tcBorders>
              <w:top w:val="single" w:color="000000" w:sz="8" w:space="0"/>
              <w:left w:val="single" w:color="000000" w:sz="2" w:space="0"/>
              <w:bottom w:val="single" w:color="000000" w:sz="8" w:space="0"/>
              <w:right w:val="single" w:color="000000" w:sz="8" w:space="0"/>
            </w:tcBorders>
            <w:vAlign w:val="center"/>
          </w:tcPr>
          <w:p>
            <w:pPr>
              <w:autoSpaceDE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封闭式框架协议采购</w:t>
            </w:r>
          </w:p>
          <w:p>
            <w:pPr>
              <w:autoSpaceDE w:val="0"/>
              <w:spacing w:line="40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☐开放式框架协议采购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99" w:type="dxa"/>
            <w:tcBorders>
              <w:top w:val="single" w:color="000000" w:sz="8" w:space="0"/>
              <w:left w:val="single" w:color="auto" w:sz="4" w:space="0"/>
              <w:bottom w:val="single" w:color="000000" w:sz="8" w:space="0"/>
              <w:right w:val="single" w:color="000000" w:sz="8" w:space="0"/>
            </w:tcBorders>
            <w:vAlign w:val="center"/>
          </w:tcPr>
          <w:p>
            <w:pPr>
              <w:autoSpaceDE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确定入围供应商的评审方法</w:t>
            </w:r>
          </w:p>
        </w:tc>
        <w:tc>
          <w:tcPr>
            <w:tcW w:w="6422" w:type="dxa"/>
            <w:tcBorders>
              <w:top w:val="single" w:color="000000" w:sz="8" w:space="0"/>
              <w:left w:val="single" w:color="000000" w:sz="2" w:space="0"/>
              <w:bottom w:val="single" w:color="000000" w:sz="8" w:space="0"/>
              <w:right w:val="single" w:color="000000" w:sz="8" w:space="0"/>
            </w:tcBorders>
            <w:vAlign w:val="center"/>
          </w:tcPr>
          <w:p>
            <w:pPr>
              <w:autoSpaceDE w:val="0"/>
              <w:spacing w:line="40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☐价格优先法   </w:t>
            </w: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质量优先法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99" w:type="dxa"/>
            <w:tcBorders>
              <w:top w:val="single" w:color="000000" w:sz="8" w:space="0"/>
              <w:left w:val="single" w:color="auto" w:sz="4" w:space="0"/>
              <w:bottom w:val="single" w:color="000000" w:sz="8" w:space="0"/>
              <w:right w:val="single" w:color="000000" w:sz="8" w:space="0"/>
            </w:tcBorders>
            <w:vAlign w:val="center"/>
          </w:tcPr>
          <w:p>
            <w:pPr>
              <w:autoSpaceDE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确定第二阶段成交供应商的方式</w:t>
            </w:r>
          </w:p>
        </w:tc>
        <w:tc>
          <w:tcPr>
            <w:tcW w:w="6422" w:type="dxa"/>
            <w:tcBorders>
              <w:top w:val="single" w:color="000000" w:sz="8" w:space="0"/>
              <w:left w:val="single" w:color="000000" w:sz="2" w:space="0"/>
              <w:bottom w:val="single" w:color="000000" w:sz="8" w:space="0"/>
              <w:right w:val="single" w:color="000000" w:sz="8" w:space="0"/>
            </w:tcBorders>
            <w:vAlign w:val="center"/>
          </w:tcPr>
          <w:p>
            <w:pPr>
              <w:autoSpaceDE w:val="0"/>
              <w:spacing w:line="400" w:lineRule="exact"/>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 xml:space="preserve">直接选定  </w:t>
            </w: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二次竞价  ☐顺序轮候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99" w:type="dxa"/>
            <w:tcBorders>
              <w:top w:val="single" w:color="000000" w:sz="8" w:space="0"/>
              <w:left w:val="single" w:color="auto" w:sz="4" w:space="0"/>
              <w:bottom w:val="single" w:color="000000" w:sz="8" w:space="0"/>
              <w:right w:val="single" w:color="000000" w:sz="8" w:space="0"/>
            </w:tcBorders>
            <w:vAlign w:val="center"/>
          </w:tcPr>
          <w:p>
            <w:pPr>
              <w:autoSpaceDE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交货（服务）对象及地点</w:t>
            </w:r>
          </w:p>
        </w:tc>
        <w:tc>
          <w:tcPr>
            <w:tcW w:w="6422" w:type="dxa"/>
            <w:tcBorders>
              <w:top w:val="single" w:color="000000" w:sz="8" w:space="0"/>
              <w:left w:val="single" w:color="000000" w:sz="2" w:space="0"/>
              <w:bottom w:val="single" w:color="000000" w:sz="8" w:space="0"/>
              <w:right w:val="single" w:color="000000" w:sz="8" w:space="0"/>
            </w:tcBorders>
            <w:vAlign w:val="center"/>
          </w:tcPr>
          <w:p>
            <w:pPr>
              <w:autoSpaceDE w:val="0"/>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en-US" w:eastAsia="zh-CN"/>
              </w:rPr>
              <w:t>杭州市余杭区财政局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5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99"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422" w:type="dxa"/>
            <w:tcBorders>
              <w:top w:val="single" w:color="000000" w:sz="8" w:space="0"/>
              <w:left w:val="single" w:color="000000" w:sz="2" w:space="0"/>
              <w:bottom w:val="single" w:color="000000" w:sz="8" w:space="0"/>
              <w:right w:val="single" w:color="000000" w:sz="8" w:space="0"/>
            </w:tcBorders>
            <w:vAlign w:val="center"/>
          </w:tcPr>
          <w:p>
            <w:pPr>
              <w:widowControl/>
              <w:numPr>
                <w:ilvl w:val="0"/>
                <w:numId w:val="0"/>
              </w:numPr>
              <w:adjustRightInd/>
              <w:snapToGrid/>
              <w:spacing w:line="400" w:lineRule="exact"/>
              <w:ind w:firstLine="480" w:firstLineChars="200"/>
              <w:jc w:val="left"/>
              <w:rPr>
                <w:rFonts w:hint="eastAsia" w:ascii="宋体" w:hAnsi="宋体" w:eastAsia="宋体" w:cs="宋体"/>
                <w:b/>
                <w:bCs/>
                <w:i w:val="0"/>
                <w:iCs w:val="0"/>
                <w:color w:val="auto"/>
                <w:kern w:val="0"/>
                <w:sz w:val="24"/>
                <w:szCs w:val="24"/>
                <w:highlight w:val="none"/>
                <w:lang w:val="zh-CN"/>
              </w:rPr>
            </w:pPr>
            <w:r>
              <w:rPr>
                <w:rFonts w:hint="eastAsia" w:ascii="宋体" w:hAnsi="宋体" w:eastAsia="宋体" w:cs="宋体"/>
                <w:color w:val="auto"/>
                <w:kern w:val="0"/>
                <w:sz w:val="24"/>
                <w:highlight w:val="none"/>
                <w:lang w:val="zh-CN" w:eastAsia="zh-CN"/>
              </w:rPr>
              <w:t>杭州市余杭区2023-2025年度专项债券发行准备法律专业服务采购项目最高限价为</w:t>
            </w:r>
            <w:r>
              <w:rPr>
                <w:rFonts w:hint="eastAsia" w:ascii="宋体" w:hAnsi="宋体" w:eastAsia="宋体" w:cs="宋体"/>
                <w:bCs w:val="0"/>
                <w:i w:val="0"/>
                <w:iCs w:val="0"/>
                <w:color w:val="auto"/>
                <w:kern w:val="0"/>
                <w:sz w:val="24"/>
                <w:szCs w:val="24"/>
                <w:highlight w:val="none"/>
                <w:lang w:val="zh-CN"/>
              </w:rPr>
              <w:t>出具加盖第三方中介机构公章的法律意见书并首次成功发行专项债的项目</w:t>
            </w:r>
            <w:r>
              <w:rPr>
                <w:rFonts w:hint="eastAsia" w:ascii="宋体" w:hAnsi="宋体" w:eastAsia="宋体" w:cs="宋体"/>
                <w:b/>
                <w:bCs/>
                <w:i w:val="0"/>
                <w:iCs w:val="0"/>
                <w:color w:val="auto"/>
                <w:kern w:val="0"/>
                <w:sz w:val="24"/>
                <w:szCs w:val="24"/>
                <w:highlight w:val="none"/>
                <w:lang w:val="zh-CN"/>
              </w:rPr>
              <w:t>最高单价限价1.</w:t>
            </w:r>
            <w:r>
              <w:rPr>
                <w:rFonts w:hint="eastAsia" w:ascii="宋体" w:hAnsi="宋体" w:eastAsia="宋体" w:cs="宋体"/>
                <w:b/>
                <w:bCs/>
                <w:i w:val="0"/>
                <w:iCs w:val="0"/>
                <w:color w:val="auto"/>
                <w:kern w:val="0"/>
                <w:sz w:val="24"/>
                <w:szCs w:val="24"/>
                <w:highlight w:val="none"/>
                <w:lang w:val="zh-CN" w:eastAsia="zh-CN"/>
              </w:rPr>
              <w:t>8</w:t>
            </w:r>
            <w:r>
              <w:rPr>
                <w:rFonts w:hint="eastAsia" w:ascii="宋体" w:hAnsi="宋体" w:eastAsia="宋体" w:cs="宋体"/>
                <w:b/>
                <w:bCs/>
                <w:i w:val="0"/>
                <w:iCs w:val="0"/>
                <w:color w:val="auto"/>
                <w:kern w:val="0"/>
                <w:sz w:val="24"/>
                <w:szCs w:val="24"/>
                <w:highlight w:val="none"/>
                <w:lang w:val="zh-CN"/>
              </w:rPr>
              <w:t>万元/个。</w:t>
            </w:r>
          </w:p>
          <w:p>
            <w:pPr>
              <w:widowControl/>
              <w:numPr>
                <w:ilvl w:val="0"/>
                <w:numId w:val="0"/>
              </w:numPr>
              <w:adjustRightInd/>
              <w:snapToGrid/>
              <w:spacing w:line="40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框架协议有效期内，具体采购项目</w:t>
            </w:r>
            <w:r>
              <w:rPr>
                <w:rFonts w:hint="eastAsia" w:ascii="宋体" w:hAnsi="宋体" w:eastAsia="宋体" w:cs="宋体"/>
                <w:color w:val="auto"/>
                <w:kern w:val="0"/>
                <w:sz w:val="24"/>
                <w:highlight w:val="none"/>
                <w:lang w:val="zh-CN"/>
              </w:rPr>
              <w:t>实施所需的所有费用，包括但不限于人工费、企业管理费、服务费、合理利润、税费等与项目实施相关的全部费用。征集文件未列明，而供应商认为必需的费用也需列入报价。</w:t>
            </w:r>
          </w:p>
          <w:p>
            <w:pPr>
              <w:snapToGrid w:val="0"/>
              <w:spacing w:line="400" w:lineRule="exact"/>
              <w:rPr>
                <w:rFonts w:hint="eastAsia" w:ascii="宋体" w:hAnsi="宋体" w:eastAsia="宋体" w:cs="宋体"/>
                <w:b/>
                <w:i w:val="0"/>
                <w:iCs w:val="0"/>
                <w:color w:val="auto"/>
                <w:kern w:val="0"/>
                <w:sz w:val="24"/>
                <w:highlight w:val="none"/>
                <w:lang w:val="zh-CN"/>
              </w:rPr>
            </w:pPr>
            <w:r>
              <w:rPr>
                <w:rFonts w:hint="eastAsia" w:ascii="宋体" w:hAnsi="宋体" w:eastAsia="宋体" w:cs="宋体"/>
                <w:b/>
                <w:i w:val="0"/>
                <w:iCs w:val="0"/>
                <w:color w:val="auto"/>
                <w:kern w:val="0"/>
                <w:sz w:val="24"/>
                <w:highlight w:val="none"/>
                <w:lang w:val="zh-CN"/>
              </w:rPr>
              <w:t>报价出现下列情形的，</w:t>
            </w:r>
            <w:r>
              <w:rPr>
                <w:rFonts w:hint="eastAsia" w:ascii="宋体" w:hAnsi="宋体" w:eastAsia="宋体" w:cs="宋体"/>
                <w:b/>
                <w:i w:val="0"/>
                <w:iCs w:val="0"/>
                <w:color w:val="auto"/>
                <w:kern w:val="0"/>
                <w:sz w:val="24"/>
                <w:highlight w:val="none"/>
              </w:rPr>
              <w:t>响应</w:t>
            </w:r>
            <w:r>
              <w:rPr>
                <w:rFonts w:hint="eastAsia" w:ascii="宋体" w:hAnsi="宋体" w:eastAsia="宋体" w:cs="宋体"/>
                <w:b/>
                <w:i w:val="0"/>
                <w:iCs w:val="0"/>
                <w:color w:val="auto"/>
                <w:kern w:val="0"/>
                <w:sz w:val="24"/>
                <w:highlight w:val="none"/>
                <w:lang w:val="zh-CN"/>
              </w:rPr>
              <w:t>无效：</w:t>
            </w:r>
          </w:p>
          <w:p>
            <w:pPr>
              <w:widowControl/>
              <w:numPr>
                <w:ilvl w:val="0"/>
                <w:numId w:val="0"/>
              </w:numPr>
              <w:adjustRightInd/>
              <w:spacing w:line="400" w:lineRule="exact"/>
              <w:jc w:val="left"/>
              <w:rPr>
                <w:rFonts w:hint="eastAsia" w:ascii="宋体" w:hAnsi="宋体" w:eastAsia="宋体" w:cs="宋体"/>
                <w:b/>
                <w:i w:val="0"/>
                <w:iCs w:val="0"/>
                <w:color w:val="auto"/>
                <w:kern w:val="0"/>
                <w:sz w:val="24"/>
                <w:highlight w:val="none"/>
              </w:rPr>
            </w:pPr>
            <w:r>
              <w:rPr>
                <w:rFonts w:hint="eastAsia" w:ascii="宋体" w:hAnsi="宋体" w:eastAsia="宋体" w:cs="宋体"/>
                <w:b/>
                <w:i w:val="0"/>
                <w:iCs w:val="0"/>
                <w:color w:val="auto"/>
                <w:kern w:val="0"/>
                <w:sz w:val="24"/>
                <w:highlight w:val="none"/>
                <w:lang w:val="zh-CN"/>
              </w:rPr>
              <w:t>（</w:t>
            </w:r>
            <w:r>
              <w:rPr>
                <w:rFonts w:hint="eastAsia" w:ascii="宋体" w:hAnsi="宋体" w:eastAsia="宋体" w:cs="宋体"/>
                <w:b/>
                <w:i w:val="0"/>
                <w:iCs w:val="0"/>
                <w:color w:val="auto"/>
                <w:kern w:val="0"/>
                <w:sz w:val="24"/>
                <w:highlight w:val="none"/>
                <w:lang w:val="en-US" w:eastAsia="zh-CN"/>
              </w:rPr>
              <w:t>1</w:t>
            </w:r>
            <w:r>
              <w:rPr>
                <w:rFonts w:hint="eastAsia" w:ascii="宋体" w:hAnsi="宋体" w:eastAsia="宋体" w:cs="宋体"/>
                <w:b/>
                <w:i w:val="0"/>
                <w:iCs w:val="0"/>
                <w:color w:val="auto"/>
                <w:kern w:val="0"/>
                <w:sz w:val="24"/>
                <w:highlight w:val="none"/>
                <w:lang w:val="zh-CN"/>
              </w:rPr>
              <w:t>）报价</w:t>
            </w:r>
            <w:r>
              <w:rPr>
                <w:rFonts w:hint="eastAsia" w:ascii="宋体" w:hAnsi="宋体" w:eastAsia="宋体" w:cs="宋体"/>
                <w:b/>
                <w:i w:val="0"/>
                <w:iCs w:val="0"/>
                <w:color w:val="auto"/>
                <w:kern w:val="0"/>
                <w:sz w:val="24"/>
                <w:highlight w:val="none"/>
                <w:lang w:val="en-US"/>
              </w:rPr>
              <w:t>超过征集文件中规定的预算金额或者最高</w:t>
            </w:r>
            <w:r>
              <w:rPr>
                <w:rFonts w:hint="eastAsia" w:ascii="宋体" w:hAnsi="宋体" w:eastAsia="宋体" w:cs="宋体"/>
                <w:b/>
                <w:i w:val="0"/>
                <w:iCs w:val="0"/>
                <w:color w:val="auto"/>
                <w:kern w:val="0"/>
                <w:sz w:val="24"/>
                <w:highlight w:val="none"/>
                <w:lang w:val="en-US" w:eastAsia="zh-CN"/>
              </w:rPr>
              <w:t>单价</w:t>
            </w:r>
            <w:r>
              <w:rPr>
                <w:rFonts w:hint="eastAsia" w:ascii="宋体" w:hAnsi="宋体" w:eastAsia="宋体" w:cs="宋体"/>
                <w:b/>
                <w:i w:val="0"/>
                <w:iCs w:val="0"/>
                <w:color w:val="auto"/>
                <w:kern w:val="0"/>
                <w:sz w:val="24"/>
                <w:highlight w:val="none"/>
                <w:lang w:val="en-US"/>
              </w:rPr>
              <w:t>限价的；</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i w:val="0"/>
                <w:iCs w:val="0"/>
                <w:color w:val="auto"/>
                <w:kern w:val="0"/>
                <w:sz w:val="24"/>
                <w:highlight w:val="none"/>
              </w:rPr>
            </w:pP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i w:val="0"/>
                <w:iCs w:val="0"/>
                <w:color w:val="auto"/>
                <w:kern w:val="0"/>
                <w:sz w:val="24"/>
                <w:highlight w:val="none"/>
                <w:lang w:val="en-US" w:eastAsia="zh-CN"/>
              </w:rPr>
              <w:t>2</w:t>
            </w: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i w:val="0"/>
                <w:iCs w:val="0"/>
                <w:color w:val="auto"/>
                <w:kern w:val="0"/>
                <w:sz w:val="24"/>
                <w:highlight w:val="none"/>
              </w:rPr>
              <w:t>供应商对根据修正原则修正后的报价不确认的。</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val="0"/>
                <w:i w:val="0"/>
                <w:iCs w:val="0"/>
                <w:color w:val="auto"/>
                <w:kern w:val="0"/>
                <w:sz w:val="24"/>
                <w:highlight w:val="none"/>
                <w:lang w:val="en-US"/>
              </w:rPr>
            </w:pP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i w:val="0"/>
                <w:iCs w:val="0"/>
                <w:color w:val="auto"/>
                <w:kern w:val="0"/>
                <w:sz w:val="24"/>
                <w:highlight w:val="none"/>
                <w:lang w:val="en-US" w:eastAsia="zh-CN"/>
              </w:rPr>
              <w:t>3</w:t>
            </w: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bCs w:val="0"/>
                <w:i w:val="0"/>
                <w:iCs w:val="0"/>
                <w:color w:val="auto"/>
                <w:kern w:val="0"/>
                <w:sz w:val="24"/>
                <w:highlight w:val="none"/>
                <w:lang w:val="en-US"/>
              </w:rPr>
              <w:t>响应文件出现不是唯一的、有选择性投标报价的；</w:t>
            </w:r>
          </w:p>
          <w:p>
            <w:pPr>
              <w:widowControl/>
              <w:numPr>
                <w:ilvl w:val="0"/>
                <w:numId w:val="0"/>
              </w:numPr>
              <w:adjustRightInd/>
              <w:spacing w:line="400" w:lineRule="exact"/>
              <w:jc w:val="left"/>
              <w:rPr>
                <w:rFonts w:hint="eastAsia" w:ascii="宋体" w:hAnsi="宋体" w:eastAsia="宋体" w:cs="宋体"/>
                <w:highlight w:val="none"/>
                <w:lang w:eastAsia="zh-CN"/>
              </w:rPr>
            </w:pPr>
            <w:r>
              <w:rPr>
                <w:rFonts w:hint="eastAsia" w:ascii="宋体" w:hAnsi="宋体" w:eastAsia="宋体" w:cs="宋体"/>
                <w:b/>
                <w:bCs w:val="0"/>
                <w:i w:val="0"/>
                <w:iCs w:val="0"/>
                <w:color w:val="auto"/>
                <w:kern w:val="0"/>
                <w:sz w:val="24"/>
                <w:highlight w:val="none"/>
                <w:lang w:val="en-US" w:eastAsia="zh-CN"/>
              </w:rPr>
              <w:t>（4）</w:t>
            </w:r>
            <w:r>
              <w:rPr>
                <w:rFonts w:hint="eastAsia" w:ascii="宋体" w:hAnsi="宋体" w:eastAsia="宋体" w:cs="宋体"/>
                <w:b/>
                <w:bCs w:val="0"/>
                <w:i w:val="0"/>
                <w:iCs w:val="0"/>
                <w:color w:val="auto"/>
                <w:kern w:val="0"/>
                <w:sz w:val="24"/>
                <w:highlight w:val="none"/>
                <w:lang w:val="en-US"/>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bCs w:val="0"/>
                <w:i w:val="0"/>
                <w:iCs w:val="0"/>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p>
            <w:pPr>
              <w:snapToGrid w:val="0"/>
              <w:spacing w:line="360" w:lineRule="exact"/>
              <w:jc w:val="center"/>
              <w:rPr>
                <w:rFonts w:hint="eastAsia" w:ascii="宋体" w:hAnsi="宋体" w:eastAsia="宋体" w:cs="宋体"/>
                <w:color w:val="auto"/>
                <w:sz w:val="24"/>
                <w:highlight w:val="none"/>
              </w:rPr>
            </w:pPr>
          </w:p>
        </w:tc>
        <w:tc>
          <w:tcPr>
            <w:tcW w:w="1899"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服务工作内容</w:t>
            </w:r>
          </w:p>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☐A  同意分包，同意将“/”工作分包。</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b/>
                <w:bCs/>
                <w:color w:val="auto"/>
                <w:sz w:val="24"/>
                <w:highlight w:val="none"/>
              </w:rPr>
              <w:t>B  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99" w:type="dxa"/>
            <w:vMerge w:val="restart"/>
            <w:tcBorders>
              <w:top w:val="single" w:color="000000" w:sz="8" w:space="0"/>
              <w:left w:val="single" w:color="auto" w:sz="4"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422" w:type="dxa"/>
            <w:tcBorders>
              <w:top w:val="single" w:color="000000" w:sz="8" w:space="0"/>
              <w:left w:val="single" w:color="000000" w:sz="2" w:space="0"/>
              <w:bottom w:val="single" w:color="auto" w:sz="4" w:space="0"/>
              <w:right w:val="single" w:color="000000" w:sz="8" w:space="0"/>
            </w:tcBorders>
            <w:vAlign w:val="center"/>
          </w:tcPr>
          <w:p>
            <w:pPr>
              <w:spacing w:line="400" w:lineRule="exact"/>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lang w:val="zh-CN"/>
              </w:rPr>
              <w:t>供应商未提供有效的资格证明文件的，视为供应商不具备征集文件中规定的资格要求，</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p>
        </w:tc>
        <w:tc>
          <w:tcPr>
            <w:tcW w:w="1899" w:type="dxa"/>
            <w:vMerge w:val="continue"/>
            <w:tcBorders>
              <w:left w:val="single" w:color="auto" w:sz="4"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p>
        </w:tc>
        <w:tc>
          <w:tcPr>
            <w:tcW w:w="6422" w:type="dxa"/>
            <w:tcBorders>
              <w:top w:val="single" w:color="auto" w:sz="4"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（2）资信证明文件：根据征集文件第评审标准提供。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99"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开启前答疑会或现场考察</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99"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99" w:type="dxa"/>
            <w:tcBorders>
              <w:top w:val="single" w:color="000000" w:sz="8" w:space="0"/>
              <w:left w:val="single" w:color="auto" w:sz="4"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方案讲解演示</w:t>
            </w:r>
          </w:p>
        </w:tc>
        <w:tc>
          <w:tcPr>
            <w:tcW w:w="6422" w:type="dxa"/>
            <w:tcBorders>
              <w:top w:val="single" w:color="000000" w:sz="8" w:space="0"/>
              <w:left w:val="single" w:color="000000" w:sz="2"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w:t>
            </w:r>
          </w:p>
          <w:p>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进口产品（服务项目不适用）</w:t>
            </w:r>
          </w:p>
        </w:tc>
        <w:tc>
          <w:tcPr>
            <w:tcW w:w="6422"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本项目不允许采购进口产品。</w:t>
            </w:r>
          </w:p>
          <w:p>
            <w:pPr>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征集人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w:t>
            </w:r>
          </w:p>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核心产品</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2"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征集人拟采购的产品</w:t>
            </w:r>
            <w:r>
              <w:rPr>
                <w:rFonts w:hint="eastAsia" w:ascii="宋体" w:hAnsi="宋体" w:eastAsia="宋体" w:cs="宋体"/>
                <w:snapToGrid w:val="0"/>
                <w:color w:val="auto"/>
                <w:kern w:val="28"/>
                <w:sz w:val="24"/>
                <w:highlight w:val="none"/>
                <w:u w:val="single"/>
              </w:rPr>
              <w:t xml:space="preserve">   /  </w:t>
            </w:r>
            <w:r>
              <w:rPr>
                <w:rFonts w:hint="eastAsia" w:ascii="宋体" w:hAnsi="宋体" w:eastAsia="宋体" w:cs="宋体"/>
                <w:snapToGrid w:val="0"/>
                <w:color w:val="auto"/>
                <w:kern w:val="28"/>
                <w:sz w:val="24"/>
                <w:highlight w:val="none"/>
              </w:rPr>
              <w:t>属于品目清单范围，征集人将依据国家确定的认证机构出具的、处于有效期之内的节能产品、环境标志产品认证证书，对获得证书的产品实施政府优先采购或强制采购。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评审小组组建</w:t>
            </w:r>
          </w:p>
        </w:tc>
        <w:tc>
          <w:tcPr>
            <w:tcW w:w="6422"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征集人根据征集项目特点组建评审小组，对符合资格要求的投标（响应）文件进行评估和比较。评审小组由征集人代表和评审专家组成，成员人数应当为5人及以上单数，其中评审专家不得少于成员总数的三分之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snapToGrid w:val="0"/>
                <w:color w:val="auto"/>
                <w:sz w:val="24"/>
                <w:highlight w:val="none"/>
              </w:rPr>
              <w:t>响应文件的形式</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供应商应准备电子响应文件。</w:t>
            </w:r>
          </w:p>
          <w:p>
            <w:pPr>
              <w:spacing w:line="400" w:lineRule="exact"/>
              <w:rPr>
                <w:rFonts w:hint="eastAsia" w:ascii="宋体" w:hAnsi="宋体" w:eastAsia="宋体" w:cs="宋体"/>
                <w:color w:val="auto"/>
                <w:highlight w:val="none"/>
              </w:rPr>
            </w:pPr>
            <w:r>
              <w:rPr>
                <w:rFonts w:hint="eastAsia" w:ascii="宋体" w:hAnsi="宋体" w:eastAsia="宋体" w:cs="宋体"/>
                <w:snapToGrid w:val="0"/>
                <w:color w:val="auto"/>
                <w:sz w:val="24"/>
                <w:highlight w:val="none"/>
              </w:rPr>
              <w:t>电子响应文件是指通过“政采云电子交易客户端”完成响应文件编制后生成并加密的数据电文形式的电子加密响应文件。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snapToGrid w:val="0"/>
                <w:color w:val="auto"/>
                <w:sz w:val="24"/>
                <w:highlight w:val="none"/>
              </w:rPr>
              <w:t>响应文件的编制</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highlight w:val="none"/>
              </w:rPr>
            </w:pPr>
            <w:r>
              <w:rPr>
                <w:rFonts w:hint="eastAsia" w:ascii="宋体" w:hAnsi="宋体" w:eastAsia="宋体" w:cs="宋体"/>
                <w:snapToGrid w:val="0"/>
                <w:color w:val="auto"/>
                <w:sz w:val="24"/>
                <w:highlight w:val="none"/>
              </w:rPr>
              <w:t>供应商应先安装“政采云电子交易客户端”，并按照本征集文件和“政府采购云平台”的要求，通过“政采云电子交易客户端”编制并加密响应文件。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snapToGrid w:val="0"/>
                <w:color w:val="auto"/>
                <w:sz w:val="24"/>
                <w:highlight w:val="none"/>
              </w:rPr>
              <w:t>响应文件的组成</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highlight w:val="none"/>
              </w:rPr>
            </w:pPr>
            <w:r>
              <w:rPr>
                <w:rFonts w:hint="eastAsia" w:ascii="宋体" w:hAnsi="宋体" w:eastAsia="宋体" w:cs="宋体"/>
                <w:bCs/>
                <w:snapToGrid w:val="0"/>
                <w:color w:val="auto"/>
                <w:sz w:val="24"/>
                <w:highlight w:val="none"/>
              </w:rPr>
              <w:t>由“资格文件”、“商务技术文件”、“报价文件”组成。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snapToGrid w:val="0"/>
                <w:color w:val="auto"/>
                <w:sz w:val="24"/>
                <w:highlight w:val="none"/>
              </w:rPr>
              <w:t>响应文件的盖章</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highlight w:val="none"/>
              </w:rPr>
            </w:pPr>
            <w:r>
              <w:rPr>
                <w:rFonts w:hint="eastAsia" w:ascii="宋体" w:hAnsi="宋体" w:eastAsia="宋体" w:cs="宋体"/>
                <w:snapToGrid w:val="0"/>
                <w:color w:val="auto"/>
                <w:sz w:val="24"/>
                <w:highlight w:val="none"/>
              </w:rPr>
              <w:t>响应文件中所涉及的加盖公章均采用</w:t>
            </w:r>
            <w:r>
              <w:rPr>
                <w:rFonts w:hint="eastAsia" w:ascii="宋体" w:hAnsi="宋体" w:eastAsia="宋体" w:cs="宋体"/>
                <w:color w:val="auto"/>
                <w:sz w:val="24"/>
                <w:highlight w:val="none"/>
              </w:rPr>
              <w:t>CA</w:t>
            </w:r>
            <w:r>
              <w:rPr>
                <w:rFonts w:hint="eastAsia" w:ascii="宋体" w:hAnsi="宋体" w:eastAsia="宋体" w:cs="宋体"/>
                <w:snapToGrid w:val="0"/>
                <w:color w:val="auto"/>
                <w:sz w:val="24"/>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snapToGrid w:val="0"/>
                <w:color w:val="auto"/>
                <w:sz w:val="24"/>
                <w:highlight w:val="none"/>
              </w:rPr>
              <w:t>法定代表人或其授权代表签字或盖章</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本征集文件所涉及的法定代表人或其授权代表签字或盖章的内容，如果投标单位没有法定代表人电子签章，涉及到法定代表人或其授权代表签字或盖章的内容，投标单位可以线下签字或盖章后扫描上传。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1899"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hint="eastAsia" w:ascii="宋体" w:hAnsi="宋体" w:eastAsia="宋体" w:cs="宋体"/>
                <w:b/>
                <w:bCs/>
                <w:snapToGrid w:val="0"/>
                <w:color w:val="auto"/>
                <w:sz w:val="24"/>
                <w:highlight w:val="none"/>
              </w:rPr>
            </w:pPr>
            <w:r>
              <w:rPr>
                <w:rFonts w:hint="eastAsia" w:ascii="宋体" w:hAnsi="宋体" w:eastAsia="宋体" w:cs="宋体"/>
                <w:b/>
                <w:bCs/>
                <w:snapToGrid w:val="0"/>
                <w:color w:val="auto"/>
                <w:sz w:val="24"/>
                <w:highlight w:val="none"/>
              </w:rPr>
              <w:t>响应文件份数</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1.电子加密响应文件在线上传递交一份。</w:t>
            </w:r>
          </w:p>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2.成交人在评标结束</w:t>
            </w:r>
            <w:r>
              <w:rPr>
                <w:rFonts w:hint="eastAsia" w:ascii="宋体" w:hAnsi="宋体" w:eastAsia="宋体" w:cs="宋体"/>
                <w:color w:val="auto"/>
                <w:sz w:val="24"/>
                <w:highlight w:val="none"/>
              </w:rPr>
              <w:t>3</w:t>
            </w:r>
            <w:r>
              <w:rPr>
                <w:rFonts w:hint="eastAsia" w:ascii="宋体" w:hAnsi="宋体" w:eastAsia="宋体" w:cs="宋体"/>
                <w:snapToGrid w:val="0"/>
                <w:color w:val="auto"/>
                <w:sz w:val="24"/>
                <w:highlight w:val="none"/>
              </w:rPr>
              <w:t>个工作日内向征集人递交与政采云系统上传文件一致的完整（“资格文件”、“商务技术文件”、</w:t>
            </w:r>
            <w:r>
              <w:rPr>
                <w:rFonts w:hint="eastAsia" w:ascii="宋体" w:hAnsi="宋体" w:eastAsia="宋体" w:cs="宋体"/>
                <w:bCs/>
                <w:snapToGrid w:val="0"/>
                <w:color w:val="auto"/>
                <w:sz w:val="24"/>
                <w:highlight w:val="none"/>
              </w:rPr>
              <w:t>“报价文件</w:t>
            </w:r>
            <w:r>
              <w:rPr>
                <w:rFonts w:hint="eastAsia" w:ascii="宋体" w:hAnsi="宋体" w:eastAsia="宋体" w:cs="宋体"/>
                <w:snapToGrid w:val="0"/>
                <w:color w:val="auto"/>
                <w:sz w:val="24"/>
                <w:highlight w:val="none"/>
              </w:rPr>
              <w:t>）纸质响应文件三套（需装订好），供征集人项目存档用。</w:t>
            </w:r>
          </w:p>
          <w:p>
            <w:pPr>
              <w:spacing w:line="400" w:lineRule="exact"/>
              <w:ind w:firstLine="482" w:firstLineChars="200"/>
              <w:rPr>
                <w:rFonts w:hint="eastAsia" w:ascii="宋体" w:hAnsi="宋体" w:eastAsia="宋体" w:cs="宋体"/>
                <w:b/>
                <w:bCs/>
                <w:snapToGrid w:val="0"/>
                <w:color w:val="auto"/>
                <w:sz w:val="24"/>
                <w:highlight w:val="none"/>
              </w:rPr>
            </w:pPr>
            <w:r>
              <w:rPr>
                <w:rFonts w:hint="eastAsia" w:ascii="宋体" w:hAnsi="宋体" w:eastAsia="宋体" w:cs="宋体"/>
                <w:b/>
                <w:bCs/>
                <w:snapToGrid w:val="0"/>
                <w:color w:val="auto"/>
                <w:sz w:val="24"/>
                <w:highlight w:val="none"/>
              </w:rPr>
              <w:t>纸质响应文件邮寄或递交至代理机构现场。收件信息如下：</w:t>
            </w:r>
          </w:p>
          <w:p>
            <w:pPr>
              <w:spacing w:line="400" w:lineRule="exact"/>
              <w:rPr>
                <w:rFonts w:hint="eastAsia" w:ascii="宋体" w:hAnsi="宋体" w:eastAsia="宋体" w:cs="宋体"/>
                <w:snapToGrid w:val="0"/>
                <w:color w:val="auto"/>
                <w:sz w:val="24"/>
                <w:highlight w:val="none"/>
              </w:rPr>
            </w:pPr>
            <w:r>
              <w:rPr>
                <w:rFonts w:hint="eastAsia" w:ascii="宋体" w:hAnsi="宋体" w:eastAsia="宋体" w:cs="宋体"/>
                <w:b/>
                <w:bCs/>
                <w:color w:val="auto"/>
                <w:sz w:val="24"/>
                <w:highlight w:val="none"/>
                <w:lang w:val="zh-TW" w:eastAsia="zh-TW"/>
              </w:rPr>
              <w:t>地址：</w:t>
            </w:r>
            <w:r>
              <w:rPr>
                <w:rFonts w:hint="eastAsia" w:ascii="宋体" w:hAnsi="宋体" w:eastAsia="宋体" w:cs="宋体"/>
                <w:kern w:val="28"/>
                <w:sz w:val="24"/>
                <w:szCs w:val="24"/>
                <w:highlight w:val="none"/>
                <w:u w:val="single"/>
              </w:rPr>
              <w:t>杭州市临平区南苑街道迎宾路与望梅路交汇处华元欢乐城-华元大厦20层2022办公室</w:t>
            </w:r>
            <w:r>
              <w:rPr>
                <w:rFonts w:hint="eastAsia" w:ascii="宋体" w:hAnsi="宋体" w:eastAsia="宋体" w:cs="宋体"/>
                <w:b/>
                <w:bCs/>
                <w:color w:val="auto"/>
                <w:sz w:val="24"/>
                <w:highlight w:val="none"/>
                <w:lang w:val="zh-TW" w:eastAsia="zh-CN"/>
              </w:rPr>
              <w:t>；</w:t>
            </w:r>
            <w:r>
              <w:rPr>
                <w:rFonts w:hint="eastAsia" w:ascii="宋体" w:hAnsi="宋体" w:eastAsia="宋体" w:cs="宋体"/>
                <w:b/>
                <w:bCs/>
                <w:color w:val="auto"/>
                <w:sz w:val="24"/>
                <w:highlight w:val="none"/>
                <w:lang w:val="en-US" w:eastAsia="zh-CN"/>
              </w:rPr>
              <w:t>收件人</w:t>
            </w:r>
            <w:r>
              <w:rPr>
                <w:rFonts w:hint="eastAsia" w:ascii="宋体" w:hAnsi="宋体" w:eastAsia="宋体" w:cs="宋体"/>
                <w:b/>
                <w:bCs/>
                <w:color w:val="auto"/>
                <w:sz w:val="24"/>
                <w:highlight w:val="none"/>
                <w:lang w:val="zh-TW" w:eastAsia="zh-TW"/>
              </w:rPr>
              <w:t>：</w:t>
            </w:r>
            <w:r>
              <w:rPr>
                <w:rFonts w:hint="eastAsia" w:ascii="宋体" w:hAnsi="宋体" w:eastAsia="宋体" w:cs="宋体"/>
                <w:b/>
                <w:bCs/>
                <w:color w:val="auto"/>
                <w:sz w:val="24"/>
                <w:highlight w:val="none"/>
                <w:lang w:val="en-US" w:eastAsia="zh-CN"/>
              </w:rPr>
              <w:t>周海丽</w:t>
            </w:r>
            <w:r>
              <w:rPr>
                <w:rFonts w:hint="eastAsia" w:ascii="宋体" w:hAnsi="宋体" w:eastAsia="宋体" w:cs="宋体"/>
                <w:b/>
                <w:bCs/>
                <w:color w:val="auto"/>
                <w:sz w:val="24"/>
                <w:highlight w:val="none"/>
                <w:lang w:val="zh-TW" w:eastAsia="zh-CN"/>
              </w:rPr>
              <w:t>；</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val="zh-TW" w:eastAsia="zh-TW"/>
              </w:rPr>
              <w:t>联系方式：</w:t>
            </w:r>
            <w:r>
              <w:rPr>
                <w:rFonts w:hint="eastAsia" w:ascii="宋体" w:hAnsi="宋体" w:eastAsia="宋体" w:cs="宋体"/>
                <w:b/>
                <w:bCs/>
                <w:color w:val="auto"/>
                <w:sz w:val="24"/>
                <w:highlight w:val="none"/>
                <w:lang w:val="en-US" w:eastAsia="zh-CN"/>
              </w:rPr>
              <w:t>15868109971</w:t>
            </w:r>
            <w:r>
              <w:rPr>
                <w:rFonts w:hint="eastAsia" w:ascii="宋体" w:hAnsi="宋体" w:eastAsia="宋体" w:cs="宋体"/>
                <w:b/>
                <w:bCs/>
                <w:color w:val="auto"/>
                <w:sz w:val="24"/>
                <w:highlight w:val="none"/>
                <w:lang w:val="zh-TW" w:eastAsia="zh-CN"/>
              </w:rPr>
              <w:t>。</w:t>
            </w:r>
            <w:r>
              <w:rPr>
                <w:rFonts w:hint="eastAsia" w:ascii="宋体" w:hAnsi="宋体" w:eastAsia="宋体" w:cs="宋体"/>
                <w:b/>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snapToGrid w:val="0"/>
                <w:color w:val="auto"/>
                <w:sz w:val="24"/>
                <w:highlight w:val="none"/>
              </w:rPr>
              <w:t>响应文件的上传和递交</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本项目通过“政府采购云平台（</w:t>
            </w:r>
            <w:r>
              <w:rPr>
                <w:rFonts w:hint="eastAsia" w:ascii="宋体" w:hAnsi="宋体" w:eastAsia="宋体" w:cs="宋体"/>
                <w:color w:val="auto"/>
                <w:sz w:val="24"/>
                <w:highlight w:val="none"/>
              </w:rPr>
              <w:t>www.zcygov.cn</w:t>
            </w:r>
            <w:r>
              <w:rPr>
                <w:rFonts w:hint="eastAsia" w:ascii="宋体" w:hAnsi="宋体" w:eastAsia="宋体" w:cs="宋体"/>
                <w:snapToGrid w:val="0"/>
                <w:color w:val="auto"/>
                <w:sz w:val="24"/>
                <w:highlight w:val="none"/>
              </w:rPr>
              <w:t>）”实行在线投标响应（电子投标），供应商应当在征集截止时间前，将生成的“电子加密响应文件”上传递交至“政府采购云平台”。</w:t>
            </w:r>
          </w:p>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“电子加密响应文件”的上传、递交：</w:t>
            </w:r>
          </w:p>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a.供应商应在投标截止时间前将“电子加密响应文件”成功上传递交至“政府采购云平台”，否则投标无效。</w:t>
            </w:r>
          </w:p>
          <w:p>
            <w:pPr>
              <w:spacing w:line="400" w:lineRule="exact"/>
              <w:rPr>
                <w:rFonts w:hint="eastAsia" w:ascii="宋体" w:hAnsi="宋体" w:eastAsia="宋体" w:cs="宋体"/>
                <w:color w:val="auto"/>
                <w:highlight w:val="none"/>
              </w:rPr>
            </w:pPr>
            <w:r>
              <w:rPr>
                <w:rFonts w:hint="eastAsia" w:ascii="宋体" w:hAnsi="宋体" w:eastAsia="宋体" w:cs="宋体"/>
                <w:snapToGrid w:val="0"/>
                <w:color w:val="auto"/>
                <w:sz w:val="24"/>
                <w:highlight w:val="none"/>
              </w:rPr>
              <w:t>b.“电子加密响应文件”成功上传递交后，供应商可自行打印响应文件接收回执。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snapToGrid w:val="0"/>
                <w:color w:val="auto"/>
                <w:sz w:val="24"/>
                <w:highlight w:val="none"/>
              </w:rPr>
              <w:t>响应文件加密解密</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1.开标后，采购组织机构将向各供应商发出“电子加密响应文件”的解密通知，各供应商代表应当在接到解密通知后</w:t>
            </w:r>
            <w:r>
              <w:rPr>
                <w:rFonts w:hint="eastAsia" w:ascii="宋体" w:hAnsi="宋体" w:eastAsia="宋体" w:cs="宋体"/>
                <w:color w:val="auto"/>
                <w:sz w:val="24"/>
                <w:highlight w:val="none"/>
              </w:rPr>
              <w:t>30</w:t>
            </w:r>
            <w:r>
              <w:rPr>
                <w:rFonts w:hint="eastAsia" w:ascii="宋体" w:hAnsi="宋体" w:eastAsia="宋体" w:cs="宋体"/>
                <w:snapToGrid w:val="0"/>
                <w:color w:val="auto"/>
                <w:sz w:val="24"/>
                <w:highlight w:val="none"/>
              </w:rPr>
              <w:t>分钟内自行完成“电子加密响应文件”的在线解密。</w:t>
            </w:r>
          </w:p>
          <w:p>
            <w:pPr>
              <w:spacing w:line="400" w:lineRule="exact"/>
              <w:rPr>
                <w:rFonts w:hint="eastAsia" w:ascii="宋体" w:hAnsi="宋体" w:eastAsia="宋体" w:cs="宋体"/>
                <w:color w:val="auto"/>
                <w:highlight w:val="none"/>
              </w:rPr>
            </w:pPr>
            <w:r>
              <w:rPr>
                <w:rFonts w:hint="eastAsia" w:ascii="宋体" w:hAnsi="宋体" w:eastAsia="宋体" w:cs="宋体"/>
                <w:snapToGrid w:val="0"/>
                <w:color w:val="auto"/>
                <w:sz w:val="24"/>
                <w:highlight w:val="none"/>
              </w:rPr>
              <w:t>2.通过“政府采购云平台”成功上传递交的“电子加密响应文件”无法按时解密的，其响应文件按拒收处理。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p>
        </w:tc>
        <w:tc>
          <w:tcPr>
            <w:tcW w:w="1899"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是否允许递交备选响应方案</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color w:val="auto"/>
                <w:highlight w:val="none"/>
              </w:rPr>
            </w:pPr>
            <w:r>
              <w:rPr>
                <w:rFonts w:hint="eastAsia" w:ascii="宋体" w:hAnsi="宋体" w:eastAsia="宋体" w:cs="宋体"/>
                <w:snapToGrid w:val="0"/>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snapToGrid w:val="0"/>
                <w:color w:val="auto"/>
                <w:sz w:val="24"/>
                <w:szCs w:val="24"/>
                <w:highlight w:val="none"/>
              </w:rPr>
              <w:t>采购项目需要落实的政府采购政策</w:t>
            </w:r>
          </w:p>
        </w:tc>
        <w:tc>
          <w:tcPr>
            <w:tcW w:w="642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numPr>
                <w:ilvl w:val="-1"/>
                <w:numId w:val="0"/>
              </w:numPr>
              <w:kinsoku/>
              <w:wordWrap w:val="0"/>
              <w:overflowPunct/>
              <w:topLinePunct w:val="0"/>
              <w:autoSpaceDE/>
              <w:autoSpaceDN/>
              <w:bidi w:val="0"/>
              <w:adjustRightInd w:val="0"/>
              <w:snapToGrid/>
              <w:spacing w:line="360" w:lineRule="auto"/>
              <w:ind w:firstLine="0" w:firstLineChars="0"/>
              <w:contextualSpacing/>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1.本</w:t>
            </w:r>
            <w:r>
              <w:rPr>
                <w:rFonts w:hint="eastAsia" w:ascii="宋体" w:hAnsi="宋体" w:eastAsia="宋体" w:cs="宋体"/>
                <w:color w:val="000000"/>
                <w:sz w:val="24"/>
                <w:szCs w:val="24"/>
                <w:highlight w:val="none"/>
              </w:rPr>
              <w:t>项目不属于专门面向中小企业采购的项目</w:t>
            </w:r>
            <w:r>
              <w:rPr>
                <w:rFonts w:hint="eastAsia" w:ascii="宋体" w:hAnsi="宋体" w:eastAsia="宋体" w:cs="宋体"/>
                <w:b/>
                <w:bCs/>
                <w:color w:val="000000"/>
                <w:sz w:val="24"/>
                <w:szCs w:val="24"/>
                <w:highlight w:val="none"/>
                <w:lang w:eastAsia="zh-CN"/>
              </w:rPr>
              <w:t>（律师事务所非企业，不享受中小企业政策优惠）；</w:t>
            </w:r>
          </w:p>
          <w:p>
            <w:pPr>
              <w:keepNext w:val="0"/>
              <w:keepLines w:val="0"/>
              <w:pageBreakBefore w:val="0"/>
              <w:widowControl w:val="0"/>
              <w:numPr>
                <w:ilvl w:val="-1"/>
                <w:numId w:val="0"/>
              </w:numPr>
              <w:kinsoku/>
              <w:wordWrap w:val="0"/>
              <w:overflowPunct/>
              <w:topLinePunct w:val="0"/>
              <w:autoSpaceDE/>
              <w:autoSpaceDN/>
              <w:bidi w:val="0"/>
              <w:adjustRightInd w:val="0"/>
              <w:snapToGrid/>
              <w:spacing w:line="360" w:lineRule="auto"/>
              <w:ind w:firstLine="0" w:firstLineChars="0"/>
              <w:contextualSpacing/>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见附件）。</w:t>
            </w:r>
          </w:p>
          <w:p>
            <w:pPr>
              <w:wordWrap w:val="0"/>
              <w:spacing w:line="360" w:lineRule="auto"/>
              <w:contextualSpacing/>
              <w:rPr>
                <w:rFonts w:hint="eastAsia" w:ascii="宋体" w:hAnsi="宋体" w:eastAsia="宋体" w:cs="宋体"/>
                <w:snapToGrid w:val="0"/>
                <w:color w:val="auto"/>
                <w:sz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1899"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供应商信用查询</w:t>
            </w:r>
          </w:p>
        </w:tc>
        <w:tc>
          <w:tcPr>
            <w:tcW w:w="642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信用记录查询：</w:t>
            </w:r>
          </w:p>
          <w:p>
            <w:pPr>
              <w:spacing w:line="40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根据《关于在政府采购活动中查询及使用信用记录有关问题的通知》（财库[2016]125号）要求，征集人会对供应商信用记录进行查询并甄别。</w:t>
            </w:r>
          </w:p>
          <w:p>
            <w:pPr>
              <w:spacing w:line="40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1.信用信息查询截止时点：提交投标文件（响应文件）截止时间前3年内；</w:t>
            </w:r>
          </w:p>
          <w:p>
            <w:pPr>
              <w:spacing w:line="40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2.查询渠道：信用中国（www.creditchina.gov.cn）；</w:t>
            </w:r>
          </w:p>
          <w:p>
            <w:pPr>
              <w:spacing w:line="40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中国政府采购网（www.ccgp.gov.cn）；</w:t>
            </w:r>
          </w:p>
          <w:p>
            <w:pPr>
              <w:spacing w:line="40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3.信用信息查询记录和证据留存具体方式：征集人经办人和监督人员将查询网页打印、签字与其他征集文件一并保存；</w:t>
            </w:r>
          </w:p>
          <w:p>
            <w:pPr>
              <w:spacing w:line="40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4.信用信息的使用规则：被列入失信被执行人、重大税收违法案件当事人名单、政府采购严重违法失信行为记录名单及其它不符合《中华人民共和国政府采购法》第二十二条规定条件的，其投标将被拒绝。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422" w:type="dxa"/>
            <w:tcBorders>
              <w:top w:val="single" w:color="000000" w:sz="8" w:space="0"/>
              <w:left w:val="single" w:color="000000" w:sz="2" w:space="0"/>
              <w:bottom w:val="single" w:color="000000" w:sz="8" w:space="0"/>
              <w:right w:val="single" w:color="000000" w:sz="8" w:space="0"/>
            </w:tcBorders>
            <w:vAlign w:val="center"/>
          </w:tcPr>
          <w:p>
            <w:pPr>
              <w:pStyle w:val="35"/>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1.采购代理服务费：不收取代理服务费</w:t>
            </w:r>
            <w:r>
              <w:rPr>
                <w:rFonts w:hint="eastAsia" w:hAnsi="宋体" w:cs="宋体"/>
                <w:color w:val="auto"/>
                <w:sz w:val="24"/>
                <w:szCs w:val="24"/>
                <w:highlight w:val="none"/>
                <w:lang w:val="en-US" w:eastAsia="zh-CN"/>
              </w:rPr>
              <w:t>,由征集人支付</w:t>
            </w:r>
            <w:r>
              <w:rPr>
                <w:rFonts w:hint="eastAsia" w:ascii="宋体" w:hAnsi="宋体" w:eastAsia="宋体" w:cs="宋体"/>
                <w:color w:val="auto"/>
                <w:sz w:val="24"/>
                <w:szCs w:val="24"/>
                <w:highlight w:val="none"/>
              </w:rPr>
              <w:t>。</w:t>
            </w:r>
          </w:p>
          <w:p>
            <w:pPr>
              <w:pStyle w:val="35"/>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2.响应文件存在下列情况之一的，视为撤回：</w:t>
            </w:r>
          </w:p>
          <w:p>
            <w:pPr>
              <w:pStyle w:val="35"/>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（1）电子响应文件无法解密的；</w:t>
            </w:r>
          </w:p>
          <w:p>
            <w:pPr>
              <w:pStyle w:val="35"/>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（2）响应文件未按时解密的；</w:t>
            </w:r>
          </w:p>
          <w:p>
            <w:pPr>
              <w:pStyle w:val="35"/>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（3）响应截止时间前，供应商未将“电子加密响应文件”成功上传至“政府采购云平台”的。</w:t>
            </w:r>
          </w:p>
          <w:p>
            <w:pPr>
              <w:pStyle w:val="35"/>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3.政采云平台如对电子化开启及评审程序有调整的，按调整后的程序操作。</w:t>
            </w:r>
          </w:p>
          <w:p>
            <w:pPr>
              <w:pStyle w:val="35"/>
              <w:wordWrap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4.封闭式框架协议第一阶段供应商响应操作指南详见 https://helpcenter.zcygov.cn/document/#/document/detail?siteCode=beijing&amp;manualId=251&amp;topicId=1447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1"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189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w:t>
            </w:r>
          </w:p>
        </w:tc>
        <w:tc>
          <w:tcPr>
            <w:tcW w:w="6422" w:type="dxa"/>
            <w:tcBorders>
              <w:top w:val="single" w:color="000000" w:sz="8" w:space="0"/>
              <w:left w:val="single" w:color="000000" w:sz="2" w:space="0"/>
              <w:bottom w:val="single" w:color="000000" w:sz="8" w:space="0"/>
              <w:right w:val="single" w:color="000000" w:sz="8" w:space="0"/>
            </w:tcBorders>
            <w:vAlign w:val="center"/>
          </w:tcPr>
          <w:p>
            <w:pPr>
              <w:pStyle w:val="35"/>
              <w:wordWrap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融、保险、通讯等特定行业的全国性企业所设立的区域性分支机构，以及个体工商户、个人独资企业、合伙企业，如果已经依法办理了市场监督经营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tc>
      </w:tr>
      <w:bookmarkEnd w:id="13"/>
    </w:tbl>
    <w:p>
      <w:pPr>
        <w:rPr>
          <w:rFonts w:hint="eastAsia" w:ascii="宋体" w:hAnsi="宋体" w:eastAsia="宋体" w:cs="宋体"/>
          <w:b/>
          <w:color w:val="auto"/>
          <w:sz w:val="32"/>
          <w:szCs w:val="20"/>
          <w:highlight w:val="none"/>
        </w:rPr>
      </w:pPr>
      <w:bookmarkStart w:id="52" w:name="_Toc164416483"/>
      <w:bookmarkStart w:id="53" w:name="第三部分"/>
      <w:r>
        <w:rPr>
          <w:rFonts w:hint="eastAsia" w:ascii="宋体" w:hAnsi="宋体" w:eastAsia="宋体" w:cs="宋体"/>
          <w:b/>
          <w:color w:val="auto"/>
          <w:sz w:val="32"/>
          <w:szCs w:val="20"/>
          <w:highlight w:val="none"/>
        </w:rPr>
        <w:br w:type="page"/>
      </w:r>
    </w:p>
    <w:p>
      <w:pPr>
        <w:adjustRightInd/>
        <w:spacing w:line="360" w:lineRule="auto"/>
        <w:jc w:val="center"/>
        <w:rPr>
          <w:rFonts w:hint="eastAsia" w:ascii="宋体" w:hAnsi="宋体" w:eastAsia="宋体" w:cs="宋体"/>
          <w:b/>
          <w:color w:val="auto"/>
          <w:sz w:val="32"/>
          <w:szCs w:val="32"/>
          <w:highlight w:val="none"/>
        </w:rPr>
      </w:pPr>
      <w:bookmarkStart w:id="54" w:name="_Toc2493"/>
      <w:r>
        <w:rPr>
          <w:rFonts w:hint="eastAsia" w:ascii="宋体" w:hAnsi="宋体" w:eastAsia="宋体" w:cs="宋体"/>
          <w:b/>
          <w:color w:val="auto"/>
          <w:sz w:val="32"/>
          <w:szCs w:val="32"/>
          <w:highlight w:val="none"/>
        </w:rPr>
        <w:t>一、总则</w:t>
      </w:r>
      <w:bookmarkEnd w:id="54"/>
    </w:p>
    <w:p>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（一）适用范围</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本征集文件适用于该项目的征集、响应、开启、资格审查及信用信息查询、评审、入围、框架协议签订、验收等行为（法律、法规另有规定的，从其规定）。</w:t>
      </w:r>
    </w:p>
    <w:p>
      <w:pPr>
        <w:adjustRightInd/>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（二）定义</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1.“征集人”系指征集公告中载明的本项目的征集人。</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2.“供应商”系指是指响应征集、参加竞争的法人、其他组织或者自然人。</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3.“负责人”系指法人企业的法定负责人，或其他组织为法律、行政法规规定代表单位行使职权的主要负责人，或自然人本人。</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4.“电子交易平台”是指本项目政府采购活动所依托的政府采购云平台（https://www.zcygov.cn/）。</w:t>
      </w:r>
    </w:p>
    <w:p>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5.“▲”系指实质性要求条款，实质性要求条款供应商必须满足，否则为无效响应。</w:t>
      </w:r>
    </w:p>
    <w:p>
      <w:pPr>
        <w:adjustRightInd/>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（三）合格的供应商：</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1.满足征集公告中供应商资格要求的规定。</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2.满足征集文件中符合性要求的规定。</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3.满足征集文件中实质性要求的规定。</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4.供应商应遵守中国的有关法律、法规和规章。</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5.供应商存在下列关联关系情形之一的，不得参加本项目征集入围：</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（1）单位负责人（含法定代表人、实际控制人）是同一人的供应商；</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（2）母公司、直接控股的被投资公司；</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（3）为项目提供整体设计、规范编制或者项目管理、监理、检测等服务的供应商，不得再参加该项目的其他采购（具体实施）活动。</w:t>
      </w: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（四）询问、质疑、投诉</w:t>
      </w:r>
    </w:p>
    <w:p>
      <w:pPr>
        <w:autoSpaceDE w:val="0"/>
        <w:autoSpaceDN w:val="0"/>
        <w:spacing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供应商询问</w:t>
      </w:r>
    </w:p>
    <w:p>
      <w:pPr>
        <w:autoSpaceDE w:val="0"/>
        <w:autoSpaceDN w:val="0"/>
        <w:spacing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供应商对政府采购活动事项有疑问的，可以提出询问，征集人应当在3个工作日内对供应商依法提出的询问作出答复，但答复的内容不得涉及商业秘密。</w:t>
      </w:r>
    </w:p>
    <w:p>
      <w:pPr>
        <w:autoSpaceDE w:val="0"/>
        <w:autoSpaceDN w:val="0"/>
        <w:spacing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供应商质疑</w:t>
      </w:r>
    </w:p>
    <w:p>
      <w:pPr>
        <w:pStyle w:val="3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提出质疑的供应商应当是参与所质疑项目采购活动的供应商。潜在供应商已依法获取其可质疑的征集文件的，可以对该文件提出质疑。</w:t>
      </w:r>
    </w:p>
    <w:p>
      <w:pPr>
        <w:pStyle w:val="3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供应商认为征集文件、采购过程和入围结果使自己的权益受到损害的，可以在知道或者应知其权益受到损害之日起七个工作日内，以在线或书面形式向征集人提出质疑，否则，征集人不予受理：</w:t>
      </w:r>
    </w:p>
    <w:p>
      <w:pPr>
        <w:pStyle w:val="16"/>
        <w:spacing w:line="4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rPr>
        <w:t>a.</w:t>
      </w:r>
      <w:r>
        <w:rPr>
          <w:rFonts w:hint="eastAsia" w:ascii="宋体" w:hAnsi="宋体" w:eastAsia="宋体" w:cs="宋体"/>
          <w:color w:val="auto"/>
          <w:kern w:val="2"/>
          <w:sz w:val="24"/>
          <w:szCs w:val="24"/>
          <w:highlight w:val="none"/>
        </w:rPr>
        <w:t>对征集文件提出质疑的，质疑期限为供应商获得征集文件之日或者征集文件公告期限届满之日起计算。</w:t>
      </w:r>
    </w:p>
    <w:p>
      <w:pPr>
        <w:pStyle w:val="3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b.</w:t>
      </w:r>
      <w:r>
        <w:rPr>
          <w:rFonts w:hint="eastAsia" w:ascii="宋体" w:hAnsi="宋体" w:eastAsia="宋体" w:cs="宋体"/>
          <w:color w:val="auto"/>
          <w:sz w:val="24"/>
          <w:szCs w:val="24"/>
          <w:highlight w:val="none"/>
        </w:rPr>
        <w:t>对采购过程提出质疑的，质疑期限为各采购程序环节结束之日起计算。对同一采购程序环节的质疑，供应商须一次性提出。</w:t>
      </w:r>
    </w:p>
    <w:p>
      <w:pPr>
        <w:pStyle w:val="3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c.</w:t>
      </w:r>
      <w:r>
        <w:rPr>
          <w:rFonts w:hint="eastAsia" w:ascii="宋体" w:hAnsi="宋体" w:eastAsia="宋体" w:cs="宋体"/>
          <w:color w:val="auto"/>
          <w:sz w:val="24"/>
          <w:szCs w:val="24"/>
          <w:highlight w:val="none"/>
        </w:rPr>
        <w:t>对采购结果提出质疑的，质疑期限自采购结果公告期限届满之日起计算。</w:t>
      </w:r>
    </w:p>
    <w:p>
      <w:pPr>
        <w:pStyle w:val="35"/>
        <w:spacing w:line="40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（3）</w:t>
      </w:r>
      <w:r>
        <w:rPr>
          <w:rFonts w:hint="eastAsia" w:ascii="宋体" w:hAnsi="宋体" w:eastAsia="宋体" w:cs="宋体"/>
          <w:bCs/>
          <w:color w:val="auto"/>
          <w:sz w:val="24"/>
          <w:szCs w:val="24"/>
          <w:highlight w:val="none"/>
        </w:rPr>
        <w:t>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a.供应商的姓名或者名称、地址、邮编、联系人及联系电话；</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b.质疑项目的名称、编号；</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c.具体、明确的质疑事项和与质疑事项相关的请求；</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d.事实依据；</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e.必要的法律依据；</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f.提出质疑的日期。</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6"/>
        <w:numPr>
          <w:ilvl w:val="0"/>
          <w:numId w:val="2"/>
        </w:numPr>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征集人应当在收到供应商的书面质疑后七个工作日内作出答复，并以书面形式通知质疑供应商和其他与质疑处理结果有利害关系的政府采购当事人，但答复的内容不得涉及商业秘密。</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5</w:t>
      </w:r>
      <w:r>
        <w:rPr>
          <w:rFonts w:hint="eastAsia" w:ascii="宋体" w:hAnsi="宋体" w:eastAsia="宋体" w:cs="宋体"/>
          <w:color w:val="auto"/>
          <w:highlight w:val="none"/>
          <w:lang w:val="zh-CN"/>
        </w:rPr>
        <w:t>）</w:t>
      </w:r>
      <w:r>
        <w:rPr>
          <w:rFonts w:hint="eastAsia" w:ascii="宋体" w:hAnsi="宋体" w:eastAsia="宋体" w:cs="宋体"/>
          <w:color w:val="auto"/>
          <w:highlight w:val="none"/>
        </w:rPr>
        <w:t>询问或者质疑事项可能影响采购结果的，征集人应当暂停签订合同，已经签订合同的，应当中止履行合同。</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lang w:val="zh-CN"/>
        </w:rPr>
      </w:pPr>
      <w:r>
        <w:rPr>
          <w:rFonts w:hint="eastAsia" w:ascii="宋体" w:hAnsi="宋体" w:eastAsia="宋体" w:cs="宋体"/>
          <w:color w:val="auto"/>
          <w:highlight w:val="none"/>
        </w:rPr>
        <w:t>3.</w:t>
      </w:r>
      <w:r>
        <w:rPr>
          <w:rFonts w:hint="eastAsia" w:ascii="宋体" w:hAnsi="宋体" w:eastAsia="宋体" w:cs="宋体"/>
          <w:color w:val="auto"/>
          <w:highlight w:val="none"/>
          <w:lang w:val="zh-CN"/>
        </w:rPr>
        <w:t>供应商投诉</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（1）质疑供应商对征集人的答复不满意或者征集人未在规定的时间内作出答复的，可以在答复期满后十五个工作日内向同级政府采购监督管理部门提出投诉。</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（2）供应商投诉的事项不得超出已质疑事项的范围，基于质疑答复内容提出的投诉事项除外。</w:t>
      </w:r>
    </w:p>
    <w:p>
      <w:pPr>
        <w:pStyle w:val="576"/>
        <w:shd w:val="clear" w:color="auto" w:fill="FFFFFF"/>
        <w:snapToGrid w:val="0"/>
        <w:spacing w:before="0" w:beforeAutospacing="0" w:after="0" w:afterAutospacing="0" w:line="400" w:lineRule="exact"/>
        <w:ind w:firstLine="480" w:firstLineChars="200"/>
        <w:contextualSpacing/>
        <w:jc w:val="both"/>
        <w:rPr>
          <w:rFonts w:hint="eastAsia" w:ascii="宋体" w:hAnsi="宋体" w:eastAsia="宋体" w:cs="宋体"/>
          <w:color w:val="auto"/>
          <w:highlight w:val="none"/>
        </w:rPr>
      </w:pPr>
      <w:r>
        <w:rPr>
          <w:rFonts w:hint="eastAsia" w:ascii="宋体" w:hAnsi="宋体" w:eastAsia="宋体" w:cs="宋体"/>
          <w:color w:val="auto"/>
          <w:highlight w:val="none"/>
        </w:rPr>
        <w:t>（3）供应商投诉应当有明确的请求和必要的证明材料。</w:t>
      </w:r>
    </w:p>
    <w:p>
      <w:pPr>
        <w:pStyle w:val="87"/>
        <w:snapToGrid w:val="0"/>
        <w:spacing w:before="0" w:line="400" w:lineRule="exact"/>
        <w:ind w:firstLine="480"/>
        <w:rPr>
          <w:rFonts w:hint="eastAsia" w:ascii="宋体" w:hAnsi="宋体" w:eastAsia="宋体" w:cs="宋体"/>
          <w:color w:val="auto"/>
          <w:szCs w:val="24"/>
          <w:highlight w:val="none"/>
        </w:rPr>
      </w:pPr>
    </w:p>
    <w:p>
      <w:pPr>
        <w:adjustRightInd/>
        <w:spacing w:line="400" w:lineRule="exact"/>
        <w:jc w:val="center"/>
        <w:rPr>
          <w:rFonts w:hint="eastAsia" w:ascii="宋体" w:hAnsi="宋体" w:eastAsia="宋体" w:cs="宋体"/>
          <w:b/>
          <w:color w:val="auto"/>
          <w:sz w:val="32"/>
          <w:szCs w:val="32"/>
          <w:highlight w:val="none"/>
        </w:rPr>
      </w:pPr>
      <w:bookmarkStart w:id="55" w:name="_Toc14002"/>
      <w:r>
        <w:rPr>
          <w:rFonts w:hint="eastAsia" w:ascii="宋体" w:hAnsi="宋体" w:eastAsia="宋体" w:cs="宋体"/>
          <w:b/>
          <w:color w:val="auto"/>
          <w:sz w:val="32"/>
          <w:szCs w:val="32"/>
          <w:highlight w:val="none"/>
        </w:rPr>
        <w:t>二、征集文件的构成、澄清、修改</w:t>
      </w:r>
      <w:bookmarkEnd w:id="55"/>
    </w:p>
    <w:p>
      <w:pPr>
        <w:pStyle w:val="35"/>
        <w:spacing w:line="4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（一）征集文件的构成</w:t>
      </w:r>
    </w:p>
    <w:p>
      <w:pPr>
        <w:pStyle w:val="35"/>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（1）征集文件包括下列文件及附件：</w:t>
      </w:r>
    </w:p>
    <w:p>
      <w:pPr>
        <w:pStyle w:val="35"/>
        <w:tabs>
          <w:tab w:val="left" w:pos="840"/>
        </w:tabs>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征集公告；</w:t>
      </w:r>
    </w:p>
    <w:p>
      <w:pPr>
        <w:pStyle w:val="35"/>
        <w:tabs>
          <w:tab w:val="left" w:pos="840"/>
        </w:tabs>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采购需求；</w:t>
      </w:r>
    </w:p>
    <w:p>
      <w:pPr>
        <w:pStyle w:val="35"/>
        <w:tabs>
          <w:tab w:val="left" w:pos="840"/>
        </w:tabs>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供应商须知；</w:t>
      </w:r>
    </w:p>
    <w:p>
      <w:pPr>
        <w:pStyle w:val="35"/>
        <w:tabs>
          <w:tab w:val="left" w:pos="840"/>
        </w:tabs>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评审办法；</w:t>
      </w:r>
    </w:p>
    <w:p>
      <w:pPr>
        <w:pStyle w:val="35"/>
        <w:tabs>
          <w:tab w:val="left" w:pos="840"/>
        </w:tabs>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拟签订的合同文本；</w:t>
      </w:r>
    </w:p>
    <w:p>
      <w:pPr>
        <w:pStyle w:val="35"/>
        <w:tabs>
          <w:tab w:val="left" w:pos="840"/>
        </w:tabs>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第六章 </w:t>
      </w:r>
      <w:r>
        <w:rPr>
          <w:rFonts w:hint="eastAsia" w:ascii="宋体" w:hAnsi="宋体" w:eastAsia="宋体" w:cs="宋体"/>
          <w:color w:val="auto"/>
          <w:sz w:val="24"/>
          <w:highlight w:val="none"/>
        </w:rPr>
        <w:t>应提交的有关格式范例</w:t>
      </w:r>
      <w:r>
        <w:rPr>
          <w:rFonts w:hint="eastAsia" w:ascii="宋体" w:hAnsi="宋体" w:eastAsia="宋体" w:cs="宋体"/>
          <w:color w:val="auto"/>
          <w:sz w:val="24"/>
          <w:szCs w:val="24"/>
          <w:highlight w:val="none"/>
        </w:rPr>
        <w:t>。</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澄清或者修改的内容为征集文件的组成部分</w:t>
      </w:r>
      <w:r>
        <w:rPr>
          <w:rFonts w:hint="eastAsia" w:ascii="宋体" w:hAnsi="宋体" w:eastAsia="宋体" w:cs="宋体"/>
          <w:color w:val="auto"/>
          <w:sz w:val="24"/>
          <w:highlight w:val="none"/>
        </w:rPr>
        <w:t>。</w:t>
      </w:r>
    </w:p>
    <w:p>
      <w:pPr>
        <w:pStyle w:val="35"/>
        <w:spacing w:line="4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（二）征集文件的澄清、修改</w:t>
      </w:r>
    </w:p>
    <w:p>
      <w:pPr>
        <w:pStyle w:val="87"/>
        <w:snapToGrid w:val="0"/>
        <w:spacing w:before="0" w:line="400" w:lineRule="exact"/>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1.已获取征集文件的潜在供应商，若有问题需要澄清，应于响应截止时间前，以书面形式或政采云线上询问方式向征集人提出。</w:t>
      </w:r>
    </w:p>
    <w:p>
      <w:pPr>
        <w:pStyle w:val="87"/>
        <w:snapToGrid w:val="0"/>
        <w:spacing w:before="0" w:line="400" w:lineRule="exact"/>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征集人对征集文件进行澄清或修改的，将同时通过电子交易平台通知已获取征集文件的潜在供应商。依法应当公告的，将按规定公告，同时视情况延长响应截止时间和开启时间。该澄清或者修改的内容为征集文件的组成部分。</w:t>
      </w:r>
    </w:p>
    <w:p>
      <w:pPr>
        <w:adjustRightInd/>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 xml:space="preserve">    </w:t>
      </w:r>
    </w:p>
    <w:p>
      <w:pPr>
        <w:adjustRightInd/>
        <w:spacing w:line="400" w:lineRule="exact"/>
        <w:jc w:val="center"/>
        <w:rPr>
          <w:rFonts w:hint="eastAsia" w:ascii="宋体" w:hAnsi="宋体" w:eastAsia="宋体" w:cs="宋体"/>
          <w:b/>
          <w:color w:val="auto"/>
          <w:sz w:val="32"/>
          <w:szCs w:val="32"/>
          <w:highlight w:val="none"/>
        </w:rPr>
      </w:pPr>
      <w:bookmarkStart w:id="56" w:name="_Toc15941"/>
      <w:r>
        <w:rPr>
          <w:rFonts w:hint="eastAsia" w:ascii="宋体" w:hAnsi="宋体" w:eastAsia="宋体" w:cs="宋体"/>
          <w:b/>
          <w:color w:val="auto"/>
          <w:sz w:val="32"/>
          <w:szCs w:val="32"/>
          <w:highlight w:val="none"/>
        </w:rPr>
        <w:t>三、响应</w:t>
      </w:r>
      <w:bookmarkEnd w:id="56"/>
    </w:p>
    <w:p>
      <w:pPr>
        <w:pStyle w:val="35"/>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（一）征集文件的获取</w:t>
      </w:r>
    </w:p>
    <w:p>
      <w:pPr>
        <w:spacing w:line="40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详见征集公告中获取征集文件的时间期限、地点、方式。</w:t>
      </w:r>
    </w:p>
    <w:p>
      <w:pPr>
        <w:pStyle w:val="35"/>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（二）开启前答疑会或现场考察</w:t>
      </w:r>
    </w:p>
    <w:p>
      <w:pPr>
        <w:pStyle w:val="35"/>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征集人组织潜在供应商现场考察或者召开开启前答疑会的，潜在供应商按第三章供应商须知前附表的规定参加现场考察或者开启前答疑会。</w:t>
      </w:r>
    </w:p>
    <w:p>
      <w:pPr>
        <w:pStyle w:val="35"/>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（三）响应文件的语言</w:t>
      </w:r>
    </w:p>
    <w:p>
      <w:pPr>
        <w:autoSpaceDE w:val="0"/>
        <w:autoSpaceDN w:val="0"/>
        <w:spacing w:line="4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响应文件及供应商与采购有关的来往通知、函件和文件均应使用中文。</w:t>
      </w:r>
    </w:p>
    <w:p>
      <w:pPr>
        <w:pStyle w:val="35"/>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（四）响应文件的组成</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(1）满足《中华人民共和国政府采购法》第二十二条规定的资料：</w:t>
      </w:r>
    </w:p>
    <w:p>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a.营业执照（或法人登记证书，自然人身份证明）复印件；</w:t>
      </w:r>
    </w:p>
    <w:p>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b.符合参加政府采购活动应当具备的一般条件的承诺函；</w:t>
      </w:r>
    </w:p>
    <w:p>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(2）落实政府采购政策需满足的资格要求：无；</w:t>
      </w:r>
    </w:p>
    <w:p>
      <w:pPr>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(3）符合供应商特定资格条件的材料：</w:t>
      </w:r>
      <w:r>
        <w:rPr>
          <w:rFonts w:hint="eastAsia" w:ascii="宋体" w:hAnsi="宋体" w:eastAsia="宋体" w:cs="宋体"/>
          <w:b/>
          <w:bCs/>
          <w:i w:val="0"/>
          <w:iCs w:val="0"/>
          <w:color w:val="auto"/>
          <w:kern w:val="0"/>
          <w:sz w:val="24"/>
          <w:highlight w:val="none"/>
        </w:rPr>
        <w:t>具有有效的律师事务所执业许可证</w:t>
      </w:r>
      <w:r>
        <w:rPr>
          <w:rFonts w:hint="eastAsia" w:ascii="宋体" w:hAnsi="宋体" w:eastAsia="宋体" w:cs="宋体"/>
          <w:b/>
          <w:bCs/>
          <w:i w:val="0"/>
          <w:iCs w:val="0"/>
          <w:color w:val="auto"/>
          <w:kern w:val="0"/>
          <w:sz w:val="24"/>
          <w:highlight w:val="none"/>
          <w:lang w:eastAsia="zh-CN"/>
        </w:rPr>
        <w:t>复印件加盖公章；</w:t>
      </w:r>
    </w:p>
    <w:p>
      <w:pPr>
        <w:snapToGrid w:val="0"/>
        <w:spacing w:line="4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pPr>
        <w:snapToGrid w:val="0"/>
        <w:spacing w:line="360" w:lineRule="auto"/>
        <w:ind w:firstLine="480" w:firstLineChars="200"/>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kern w:val="0"/>
          <w:sz w:val="24"/>
          <w:highlight w:val="none"/>
        </w:rPr>
        <w:t>（1）</w:t>
      </w:r>
      <w:r>
        <w:rPr>
          <w:rFonts w:hint="eastAsia" w:ascii="宋体" w:hAnsi="宋体" w:eastAsia="宋体" w:cs="宋体"/>
          <w:i w:val="0"/>
          <w:iCs w:val="0"/>
          <w:color w:val="auto"/>
          <w:sz w:val="24"/>
          <w:highlight w:val="none"/>
        </w:rPr>
        <w:t>响应函；</w:t>
      </w:r>
      <w:r>
        <w:rPr>
          <w:rFonts w:hint="eastAsia" w:ascii="宋体" w:hAnsi="宋体" w:cs="宋体"/>
          <w:i w:val="0"/>
          <w:iCs w:val="0"/>
          <w:color w:val="auto"/>
          <w:sz w:val="24"/>
          <w:highlight w:val="none"/>
          <w:lang w:eastAsia="zh-CN"/>
        </w:rPr>
        <w:t>格式详见</w:t>
      </w:r>
      <w:r>
        <w:rPr>
          <w:rFonts w:hint="eastAsia" w:ascii="宋体" w:hAnsi="宋体" w:cs="宋体"/>
          <w:i w:val="0"/>
          <w:iCs w:val="0"/>
          <w:color w:val="auto"/>
          <w:sz w:val="24"/>
          <w:highlight w:val="none"/>
          <w:lang w:val="en-US" w:eastAsia="zh-CN"/>
        </w:rPr>
        <w:t xml:space="preserve"> </w:t>
      </w:r>
      <w:r>
        <w:rPr>
          <w:rFonts w:hint="eastAsia" w:ascii="宋体" w:hAnsi="宋体" w:cs="宋体"/>
          <w:i w:val="0"/>
          <w:iCs w:val="0"/>
          <w:color w:val="auto"/>
          <w:sz w:val="24"/>
          <w:highlight w:val="none"/>
          <w:lang w:eastAsia="zh-CN"/>
        </w:rPr>
        <w:t>第六章 应提交的有关格式范例。</w:t>
      </w:r>
    </w:p>
    <w:p>
      <w:pPr>
        <w:snapToGrid w:val="0"/>
        <w:spacing w:line="360" w:lineRule="auto"/>
        <w:ind w:firstLine="480" w:firstLineChars="200"/>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kern w:val="0"/>
          <w:sz w:val="24"/>
          <w:highlight w:val="none"/>
        </w:rPr>
        <w:t>（2）</w:t>
      </w:r>
      <w:r>
        <w:rPr>
          <w:rFonts w:hint="eastAsia" w:ascii="宋体" w:hAnsi="宋体" w:eastAsia="宋体" w:cs="宋体"/>
          <w:i w:val="0"/>
          <w:iCs w:val="0"/>
          <w:color w:val="auto"/>
          <w:sz w:val="24"/>
          <w:highlight w:val="none"/>
        </w:rPr>
        <w:t>法定代表人授权委托书（非法人本人参加投标时提供；法定代表人本人参加投标时无须提供授权）；</w:t>
      </w:r>
      <w:r>
        <w:rPr>
          <w:rFonts w:hint="eastAsia" w:ascii="宋体" w:hAnsi="宋体" w:cs="宋体"/>
          <w:i w:val="0"/>
          <w:iCs w:val="0"/>
          <w:color w:val="auto"/>
          <w:sz w:val="24"/>
          <w:highlight w:val="none"/>
          <w:lang w:eastAsia="zh-CN"/>
        </w:rPr>
        <w:t>格式详见</w:t>
      </w:r>
      <w:r>
        <w:rPr>
          <w:rFonts w:hint="eastAsia" w:ascii="宋体" w:hAnsi="宋体" w:cs="宋体"/>
          <w:i w:val="0"/>
          <w:iCs w:val="0"/>
          <w:color w:val="auto"/>
          <w:sz w:val="24"/>
          <w:highlight w:val="none"/>
          <w:lang w:val="en-US" w:eastAsia="zh-CN"/>
        </w:rPr>
        <w:t xml:space="preserve"> </w:t>
      </w:r>
      <w:r>
        <w:rPr>
          <w:rFonts w:hint="eastAsia" w:ascii="宋体" w:hAnsi="宋体" w:cs="宋体"/>
          <w:i w:val="0"/>
          <w:iCs w:val="0"/>
          <w:color w:val="auto"/>
          <w:sz w:val="24"/>
          <w:highlight w:val="none"/>
          <w:lang w:eastAsia="zh-CN"/>
        </w:rPr>
        <w:t>第六章 应提交的有关格式范例。</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kern w:val="0"/>
          <w:sz w:val="24"/>
          <w:highlight w:val="none"/>
        </w:rPr>
        <w:t>（3）</w:t>
      </w:r>
      <w:r>
        <w:rPr>
          <w:rFonts w:hint="eastAsia" w:ascii="宋体" w:hAnsi="宋体" w:eastAsia="宋体" w:cs="宋体"/>
          <w:i w:val="0"/>
          <w:iCs w:val="0"/>
          <w:color w:val="auto"/>
          <w:sz w:val="24"/>
          <w:highlight w:val="none"/>
        </w:rPr>
        <w:t>供应商基本情况（如企业简介，经营状况、财务状况、专业能力，企业荣誉，企业资质，拥有相关认证情况等等）；</w:t>
      </w:r>
      <w:r>
        <w:rPr>
          <w:rFonts w:hint="eastAsia" w:ascii="宋体" w:hAnsi="宋体" w:cs="宋体"/>
          <w:i w:val="0"/>
          <w:iCs w:val="0"/>
          <w:color w:val="auto"/>
          <w:sz w:val="24"/>
          <w:highlight w:val="none"/>
          <w:lang w:eastAsia="zh-CN"/>
        </w:rPr>
        <w:t>格式自行草拟。</w:t>
      </w:r>
    </w:p>
    <w:p>
      <w:pPr>
        <w:snapToGrid w:val="0"/>
        <w:spacing w:line="360" w:lineRule="auto"/>
        <w:ind w:firstLine="480" w:firstLineChars="200"/>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（4）拟派项目组成员；</w:t>
      </w:r>
      <w:r>
        <w:rPr>
          <w:rFonts w:hint="eastAsia" w:ascii="宋体" w:hAnsi="宋体" w:cs="宋体"/>
          <w:i w:val="0"/>
          <w:iCs w:val="0"/>
          <w:color w:val="auto"/>
          <w:sz w:val="24"/>
          <w:highlight w:val="none"/>
          <w:lang w:eastAsia="zh-CN"/>
        </w:rPr>
        <w:t>格式自行草拟。</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（5）具有的</w:t>
      </w:r>
      <w:r>
        <w:rPr>
          <w:rFonts w:hint="eastAsia" w:ascii="宋体" w:hAnsi="宋体" w:eastAsia="宋体" w:cs="宋体"/>
          <w:i w:val="0"/>
          <w:iCs w:val="0"/>
          <w:color w:val="auto"/>
          <w:sz w:val="24"/>
          <w:highlight w:val="none"/>
          <w:lang w:val="en-US" w:eastAsia="zh-CN"/>
        </w:rPr>
        <w:t>专项债及其他融资类</w:t>
      </w:r>
      <w:r>
        <w:rPr>
          <w:rFonts w:hint="eastAsia" w:ascii="宋体" w:hAnsi="宋体" w:eastAsia="宋体" w:cs="宋体"/>
          <w:i w:val="0"/>
          <w:iCs w:val="0"/>
          <w:color w:val="auto"/>
          <w:sz w:val="24"/>
          <w:highlight w:val="none"/>
        </w:rPr>
        <w:t>项目业绩；</w:t>
      </w:r>
      <w:r>
        <w:rPr>
          <w:rFonts w:hint="eastAsia" w:ascii="宋体" w:hAnsi="宋体" w:cs="宋体"/>
          <w:i w:val="0"/>
          <w:iCs w:val="0"/>
          <w:color w:val="auto"/>
          <w:sz w:val="24"/>
          <w:highlight w:val="none"/>
          <w:lang w:eastAsia="zh-CN"/>
        </w:rPr>
        <w:t>格式自行草拟。</w:t>
      </w:r>
    </w:p>
    <w:p>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（6）</w:t>
      </w:r>
      <w:r>
        <w:rPr>
          <w:rFonts w:hint="eastAsia" w:ascii="宋体" w:hAnsi="宋体" w:eastAsia="宋体" w:cs="宋体"/>
          <w:i w:val="0"/>
          <w:iCs w:val="0"/>
          <w:color w:val="auto"/>
          <w:sz w:val="24"/>
          <w:highlight w:val="none"/>
          <w:lang w:val="en-US" w:eastAsia="zh-CN"/>
        </w:rPr>
        <w:t>其他服务类</w:t>
      </w:r>
      <w:r>
        <w:rPr>
          <w:rFonts w:hint="eastAsia" w:ascii="宋体" w:hAnsi="宋体" w:eastAsia="宋体" w:cs="宋体"/>
          <w:i w:val="0"/>
          <w:iCs w:val="0"/>
          <w:color w:val="auto"/>
          <w:sz w:val="24"/>
          <w:highlight w:val="none"/>
        </w:rPr>
        <w:t>指标（包括：重难点分析、合理化建议、现场服务、</w:t>
      </w:r>
      <w:r>
        <w:rPr>
          <w:rFonts w:hint="eastAsia" w:ascii="宋体" w:hAnsi="宋体" w:eastAsia="宋体" w:cs="宋体"/>
          <w:i w:val="0"/>
          <w:iCs w:val="0"/>
          <w:color w:val="auto"/>
          <w:sz w:val="24"/>
          <w:highlight w:val="none"/>
          <w:lang w:val="en-US" w:eastAsia="zh-CN"/>
        </w:rPr>
        <w:t>整体服务方案、</w:t>
      </w:r>
      <w:r>
        <w:rPr>
          <w:rFonts w:hint="eastAsia" w:ascii="宋体" w:hAnsi="宋体" w:eastAsia="宋体" w:cs="宋体"/>
          <w:i w:val="0"/>
          <w:iCs w:val="0"/>
          <w:color w:val="auto"/>
          <w:sz w:val="24"/>
          <w:highlight w:val="none"/>
        </w:rPr>
        <w:t>质量保证措施、其他服务</w:t>
      </w:r>
      <w:r>
        <w:rPr>
          <w:rFonts w:hint="eastAsia" w:ascii="宋体" w:hAnsi="宋体" w:eastAsia="宋体" w:cs="宋体"/>
          <w:i w:val="0"/>
          <w:iCs w:val="0"/>
          <w:color w:val="auto"/>
          <w:sz w:val="24"/>
          <w:highlight w:val="none"/>
          <w:lang w:val="en-US" w:eastAsia="zh-CN"/>
        </w:rPr>
        <w:t>承诺事项等内容）</w:t>
      </w:r>
      <w:r>
        <w:rPr>
          <w:rFonts w:hint="eastAsia" w:ascii="宋体" w:hAnsi="宋体" w:cs="宋体"/>
          <w:i w:val="0"/>
          <w:iCs w:val="0"/>
          <w:color w:val="auto"/>
          <w:sz w:val="24"/>
          <w:highlight w:val="none"/>
          <w:lang w:val="en-US" w:eastAsia="zh-CN"/>
        </w:rPr>
        <w:t>；</w:t>
      </w:r>
      <w:r>
        <w:rPr>
          <w:rFonts w:hint="eastAsia" w:ascii="宋体" w:hAnsi="宋体" w:cs="宋体"/>
          <w:i w:val="0"/>
          <w:iCs w:val="0"/>
          <w:color w:val="auto"/>
          <w:sz w:val="24"/>
          <w:highlight w:val="none"/>
          <w:lang w:eastAsia="zh-CN"/>
        </w:rPr>
        <w:t>格式自行草拟。</w:t>
      </w:r>
    </w:p>
    <w:p>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（7）服务响应表；</w:t>
      </w:r>
      <w:r>
        <w:rPr>
          <w:rFonts w:hint="eastAsia" w:ascii="宋体" w:hAnsi="宋体" w:cs="宋体"/>
          <w:i w:val="0"/>
          <w:iCs w:val="0"/>
          <w:color w:val="auto"/>
          <w:sz w:val="24"/>
          <w:highlight w:val="none"/>
          <w:lang w:eastAsia="zh-CN"/>
        </w:rPr>
        <w:t>格式自行草拟。</w:t>
      </w:r>
    </w:p>
    <w:p>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（8）对应商务技术分中评分细则提供相应的证明资料（投标人编制并提供相关证明材料）；</w:t>
      </w:r>
      <w:r>
        <w:rPr>
          <w:rFonts w:hint="eastAsia" w:ascii="宋体" w:hAnsi="宋体" w:cs="宋体"/>
          <w:i w:val="0"/>
          <w:iCs w:val="0"/>
          <w:color w:val="auto"/>
          <w:sz w:val="24"/>
          <w:highlight w:val="none"/>
          <w:lang w:eastAsia="zh-CN"/>
        </w:rPr>
        <w:t>格式自行草拟。</w:t>
      </w:r>
    </w:p>
    <w:p>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（9）供应商认为有必要提供的其他资料。</w:t>
      </w:r>
    </w:p>
    <w:p>
      <w:pPr>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3.报价文件</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（1）价格承诺函；</w:t>
      </w: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响应文件含有征集人不能接受的附加条件的，响应无效；</w:t>
      </w: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供应商提供虚假材料响应的，响应无效。</w:t>
      </w:r>
    </w:p>
    <w:p>
      <w:pPr>
        <w:pStyle w:val="87"/>
        <w:snapToGrid w:val="0"/>
        <w:spacing w:before="0" w:line="400" w:lineRule="exact"/>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（五）响应文件的编制</w:t>
      </w:r>
    </w:p>
    <w:p>
      <w:pPr>
        <w:spacing w:line="40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响应文件分为资格文件、商务技术文件、</w:t>
      </w:r>
      <w:r>
        <w:rPr>
          <w:rFonts w:hint="eastAsia" w:ascii="宋体" w:hAnsi="宋体" w:eastAsia="宋体" w:cs="宋体"/>
          <w:color w:val="auto"/>
          <w:kern w:val="0"/>
          <w:sz w:val="24"/>
          <w:highlight w:val="none"/>
        </w:rPr>
        <w:t>报价文件三</w:t>
      </w:r>
      <w:r>
        <w:rPr>
          <w:rFonts w:hint="eastAsia" w:ascii="宋体" w:hAnsi="宋体" w:eastAsia="宋体" w:cs="宋体"/>
          <w:color w:val="auto"/>
          <w:kern w:val="0"/>
          <w:sz w:val="24"/>
          <w:highlight w:val="none"/>
          <w:lang w:val="zh-CN"/>
        </w:rPr>
        <w:t>部分。各供应商在编制响应文件时请按照征集文件规定的格式进行，混乱的编排导致响应文件被误读或评审小组查找不到有效文件是供应商的风险。</w:t>
      </w:r>
    </w:p>
    <w:p>
      <w:pPr>
        <w:spacing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供应商进行电子投标应安装客户端软件—“政采云电子交易客户端”，并按照征集文件和电子交易平台的要求编制并加密响应文件。供应商未按规定加密的响应文件，电子交易平台将拒收并提示。</w:t>
      </w:r>
    </w:p>
    <w:p>
      <w:pPr>
        <w:spacing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使用“政采云电子交易客户端”需要提前申领CA数字证书，申领流程请自行前往“浙江政府采购网-下载专区-电子交易客户端-CA驱动和申领流程”进行查阅。</w:t>
      </w:r>
    </w:p>
    <w:p>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（六）响应文件的签署、盖章</w:t>
      </w:r>
    </w:p>
    <w:p>
      <w:pPr>
        <w:pStyle w:val="87"/>
        <w:snapToGrid w:val="0"/>
        <w:spacing w:before="0" w:line="40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1.响应文件按照征集文件要求进行签署、盖章。</w:t>
      </w:r>
      <w:r>
        <w:rPr>
          <w:rFonts w:hint="eastAsia" w:ascii="宋体" w:hAnsi="宋体" w:eastAsia="宋体" w:cs="宋体"/>
          <w:b/>
          <w:color w:val="auto"/>
          <w:szCs w:val="24"/>
          <w:highlight w:val="none"/>
        </w:rPr>
        <w:t>▲供应商的响应文件未按照征集文件要求签署、盖章的，其响应无效</w:t>
      </w:r>
      <w:r>
        <w:rPr>
          <w:rFonts w:hint="eastAsia" w:ascii="宋体" w:hAnsi="宋体" w:eastAsia="宋体" w:cs="宋体"/>
          <w:color w:val="auto"/>
          <w:szCs w:val="24"/>
          <w:highlight w:val="none"/>
        </w:rPr>
        <w:t>。</w:t>
      </w:r>
    </w:p>
    <w:p>
      <w:pPr>
        <w:pStyle w:val="87"/>
        <w:snapToGrid w:val="0"/>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2.为确保网上操作合法、有效和安全，供应商应当在响应截止时间前完成在“政府采购云平台”的身份认证，确保在电子投标过程中能够对相关数据电文进行加密和使用电子签名。</w:t>
      </w:r>
    </w:p>
    <w:p>
      <w:pPr>
        <w:pStyle w:val="87"/>
        <w:snapToGrid w:val="0"/>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3.征集文件对响应文件签署、盖章的要求适用于电子签名。</w:t>
      </w:r>
    </w:p>
    <w:p>
      <w:pPr>
        <w:pStyle w:val="87"/>
        <w:spacing w:before="0" w:line="400" w:lineRule="exact"/>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（七）响应文件的提交、补充、修改、撤回</w:t>
      </w:r>
    </w:p>
    <w:p>
      <w:pPr>
        <w:pStyle w:val="87"/>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pStyle w:val="87"/>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2.电子交易平台收到响应文件，将妥善保存并即时向供应商发出确认回执通知。在响应截止时间前，除供应商补充、修改或者撤回响应文件外，任何单位和个人不得解密或提取响应文件。</w:t>
      </w:r>
    </w:p>
    <w:p>
      <w:pPr>
        <w:pStyle w:val="87"/>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3.征集人可以视情况延长响应文件提交的截止时间。在上述情况下，征集人与供应商以前在响应截止期方面的全部权利、责任和义务，将适用于延长至新的响应截止期。</w:t>
      </w:r>
    </w:p>
    <w:p>
      <w:pPr>
        <w:pStyle w:val="87"/>
        <w:spacing w:before="0" w:line="400" w:lineRule="exact"/>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（八）响应有效期</w:t>
      </w:r>
    </w:p>
    <w:p>
      <w:pPr>
        <w:spacing w:line="40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1.响应有效期为从提交响应文件的截止之日起90天。▲</w:t>
      </w:r>
      <w:r>
        <w:rPr>
          <w:rFonts w:hint="eastAsia" w:ascii="宋体" w:hAnsi="宋体" w:eastAsia="宋体" w:cs="宋体"/>
          <w:b/>
          <w:color w:val="auto"/>
          <w:sz w:val="24"/>
          <w:highlight w:val="none"/>
        </w:rPr>
        <w:t>供应商的响应文件中承诺的响应有效期少于征集文件中载明的响应有效期的，响应无效。</w:t>
      </w:r>
    </w:p>
    <w:p>
      <w:pPr>
        <w:pStyle w:val="87"/>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2.响应文件合格投递后，自响应截止日期起，在响应有效期内有效。</w:t>
      </w:r>
    </w:p>
    <w:p>
      <w:pPr>
        <w:pStyle w:val="87"/>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3.在原定响应有效期满之前，如果出现特殊情况，征集人可以以书面形式通知供应商延长响应有效期。供应商同意延长的，不得要求或被允许修改其响应文件，供应商拒绝延长的，其响应无效。</w:t>
      </w:r>
    </w:p>
    <w:p>
      <w:pPr>
        <w:adjustRightInd/>
        <w:spacing w:line="400" w:lineRule="exact"/>
        <w:jc w:val="center"/>
        <w:rPr>
          <w:rFonts w:hint="eastAsia" w:ascii="宋体" w:hAnsi="宋体" w:eastAsia="宋体" w:cs="宋体"/>
          <w:b/>
          <w:color w:val="auto"/>
          <w:sz w:val="32"/>
          <w:szCs w:val="32"/>
          <w:highlight w:val="none"/>
        </w:rPr>
      </w:pPr>
    </w:p>
    <w:p>
      <w:pPr>
        <w:adjustRightInd/>
        <w:spacing w:line="400" w:lineRule="exact"/>
        <w:jc w:val="center"/>
        <w:rPr>
          <w:rFonts w:hint="eastAsia" w:ascii="宋体" w:hAnsi="宋体" w:eastAsia="宋体" w:cs="宋体"/>
          <w:b/>
          <w:color w:val="auto"/>
          <w:sz w:val="32"/>
          <w:szCs w:val="32"/>
          <w:highlight w:val="none"/>
        </w:rPr>
      </w:pPr>
      <w:bookmarkStart w:id="57" w:name="_Toc10787"/>
      <w:r>
        <w:rPr>
          <w:rFonts w:hint="eastAsia" w:ascii="宋体" w:hAnsi="宋体" w:eastAsia="宋体" w:cs="宋体"/>
          <w:b/>
          <w:color w:val="auto"/>
          <w:sz w:val="32"/>
          <w:szCs w:val="32"/>
          <w:highlight w:val="none"/>
        </w:rPr>
        <w:t>四、开启、资格审查与信用信息查询</w:t>
      </w:r>
      <w:bookmarkEnd w:id="57"/>
    </w:p>
    <w:p>
      <w:pPr>
        <w:pStyle w:val="244"/>
        <w:spacing w:before="0" w:line="400" w:lineRule="exact"/>
        <w:ind w:left="0" w:firstLine="482" w:firstLineChars="200"/>
        <w:contextualSpacing/>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（一）开启响应文件</w:t>
      </w:r>
    </w:p>
    <w:p>
      <w:pPr>
        <w:pStyle w:val="244"/>
        <w:spacing w:before="0" w:line="400" w:lineRule="exact"/>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1.征集人按照征集文件规定的时间通过电子交易平台组织开启，所有供应商均应当准时在线参加。递交响应文件的供应商不足</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家的，不得开启。</w:t>
      </w:r>
    </w:p>
    <w:p>
      <w:pPr>
        <w:pStyle w:val="244"/>
        <w:spacing w:before="0" w:line="400" w:lineRule="exact"/>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2.开启时，电子交易平台按开启时间自动提取所有响应文件。征集人依托电子交易平台发起开始解密指令，供应商按照平台提示和征集文件的规定在半小时内完成在线解密。</w:t>
      </w:r>
    </w:p>
    <w:p>
      <w:pPr>
        <w:pStyle w:val="244"/>
        <w:spacing w:before="0" w:line="400" w:lineRule="exact"/>
        <w:ind w:left="0"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本项目开启顺序：</w:t>
      </w:r>
      <w:r>
        <w:rPr>
          <w:rFonts w:hint="eastAsia" w:ascii="宋体" w:hAnsi="宋体" w:eastAsia="宋体" w:cs="宋体"/>
          <w:color w:val="auto"/>
          <w:sz w:val="24"/>
          <w:szCs w:val="24"/>
          <w:highlight w:val="none"/>
          <w:u w:val="single"/>
        </w:rPr>
        <w:sym w:font="Wingdings" w:char="00FE"/>
      </w:r>
      <w:r>
        <w:rPr>
          <w:rFonts w:hint="eastAsia" w:ascii="宋体" w:hAnsi="宋体" w:eastAsia="宋体" w:cs="宋体"/>
          <w:color w:val="auto"/>
          <w:sz w:val="24"/>
          <w:szCs w:val="24"/>
          <w:highlight w:val="none"/>
          <w:u w:val="single"/>
        </w:rPr>
        <w:t>先技术商务后报价，</w:t>
      </w:r>
      <w:r>
        <w:rPr>
          <w:rFonts w:hint="eastAsia" w:ascii="宋体" w:hAnsi="宋体" w:eastAsia="宋体" w:cs="宋体"/>
          <w:color w:val="auto"/>
          <w:sz w:val="24"/>
          <w:szCs w:val="24"/>
          <w:highlight w:val="none"/>
          <w:u w:val="single"/>
        </w:rPr>
        <w:sym w:font="Wingdings" w:char="00A8"/>
      </w:r>
      <w:r>
        <w:rPr>
          <w:rFonts w:hint="eastAsia" w:ascii="宋体" w:hAnsi="宋体" w:eastAsia="宋体" w:cs="宋体"/>
          <w:color w:val="auto"/>
          <w:sz w:val="24"/>
          <w:szCs w:val="24"/>
          <w:highlight w:val="none"/>
          <w:u w:val="single"/>
        </w:rPr>
        <w:t>报价技术商务同时开。</w:t>
      </w:r>
    </w:p>
    <w:p>
      <w:pPr>
        <w:pStyle w:val="244"/>
        <w:spacing w:before="0" w:line="400" w:lineRule="exact"/>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（二）资格审查</w:t>
      </w:r>
    </w:p>
    <w:p>
      <w:pPr>
        <w:pStyle w:val="87"/>
        <w:spacing w:before="0" w:line="40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1.开启后，征集人将依法对供应商的资格进行审查。</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征集人依据法律法规和征集文件的规定，对供应商的基本资格条件、特定资格条件进行审查。</w:t>
      </w:r>
    </w:p>
    <w:p>
      <w:pPr>
        <w:pStyle w:val="87"/>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3.供应商未按照征集文件要求提供与</w:t>
      </w:r>
      <w:r>
        <w:rPr>
          <w:rFonts w:hint="eastAsia" w:ascii="宋体" w:hAnsi="宋体" w:eastAsia="宋体" w:cs="宋体"/>
          <w:color w:val="auto"/>
          <w:szCs w:val="24"/>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szCs w:val="24"/>
          <w:highlight w:val="none"/>
        </w:rPr>
        <w:t>供应商不具备征集文件中规定的资格要求，其响应无效。</w:t>
      </w:r>
    </w:p>
    <w:p>
      <w:pPr>
        <w:pStyle w:val="87"/>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4.</w:t>
      </w:r>
      <w:r>
        <w:rPr>
          <w:rFonts w:hint="eastAsia" w:ascii="宋体" w:hAnsi="宋体" w:eastAsia="宋体" w:cs="宋体"/>
          <w:color w:val="auto"/>
          <w:szCs w:val="24"/>
          <w:highlight w:val="none"/>
        </w:rPr>
        <w:t>对未通过资格审查的供应商，征集人告知其未通过的原因。</w:t>
      </w:r>
    </w:p>
    <w:p>
      <w:pPr>
        <w:pStyle w:val="87"/>
        <w:spacing w:before="0" w:line="400" w:lineRule="exact"/>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5.</w:t>
      </w:r>
      <w:r>
        <w:rPr>
          <w:rFonts w:hint="eastAsia" w:ascii="宋体" w:hAnsi="宋体" w:eastAsia="宋体" w:cs="宋体"/>
          <w:color w:val="auto"/>
          <w:szCs w:val="24"/>
          <w:highlight w:val="none"/>
        </w:rPr>
        <w:t>合格供应商不足</w:t>
      </w:r>
      <w:r>
        <w:rPr>
          <w:rFonts w:hint="eastAsia" w:ascii="宋体" w:hAnsi="宋体" w:cs="宋体"/>
          <w:color w:val="auto"/>
          <w:szCs w:val="24"/>
          <w:highlight w:val="none"/>
          <w:lang w:val="en-US" w:eastAsia="zh-CN"/>
        </w:rPr>
        <w:t>4</w:t>
      </w:r>
      <w:r>
        <w:rPr>
          <w:rFonts w:hint="eastAsia" w:ascii="宋体" w:hAnsi="宋体" w:eastAsia="宋体" w:cs="宋体"/>
          <w:color w:val="auto"/>
          <w:szCs w:val="24"/>
          <w:highlight w:val="none"/>
        </w:rPr>
        <w:t>家的，不再继续评审。</w:t>
      </w:r>
    </w:p>
    <w:p>
      <w:pPr>
        <w:pStyle w:val="87"/>
        <w:spacing w:before="0" w:line="400" w:lineRule="exact"/>
        <w:ind w:firstLine="0" w:firstLineChars="0"/>
        <w:rPr>
          <w:rFonts w:hint="eastAsia" w:ascii="宋体" w:hAnsi="宋体" w:eastAsia="宋体" w:cs="宋体"/>
          <w:color w:val="auto"/>
          <w:kern w:val="0"/>
          <w:szCs w:val="24"/>
          <w:highlight w:val="none"/>
        </w:rPr>
      </w:pPr>
    </w:p>
    <w:p>
      <w:pPr>
        <w:adjustRightInd/>
        <w:spacing w:line="400" w:lineRule="exact"/>
        <w:jc w:val="center"/>
        <w:rPr>
          <w:rFonts w:hint="eastAsia" w:ascii="宋体" w:hAnsi="宋体" w:eastAsia="宋体" w:cs="宋体"/>
          <w:b/>
          <w:color w:val="auto"/>
          <w:sz w:val="32"/>
          <w:szCs w:val="32"/>
          <w:highlight w:val="none"/>
        </w:rPr>
      </w:pPr>
      <w:bookmarkStart w:id="58" w:name="_Toc5362"/>
      <w:r>
        <w:rPr>
          <w:rFonts w:hint="eastAsia" w:ascii="宋体" w:hAnsi="宋体" w:eastAsia="宋体" w:cs="宋体"/>
          <w:b/>
          <w:color w:val="auto"/>
          <w:sz w:val="32"/>
          <w:szCs w:val="32"/>
          <w:highlight w:val="none"/>
        </w:rPr>
        <w:t>五、评审</w:t>
      </w:r>
      <w:bookmarkEnd w:id="58"/>
    </w:p>
    <w:p>
      <w:pPr>
        <w:spacing w:line="360" w:lineRule="auto"/>
        <w:ind w:firstLine="482" w:firstLineChars="200"/>
        <w:rPr>
          <w:rFonts w:hint="eastAsia" w:ascii="宋体" w:hAnsi="宋体" w:eastAsia="宋体" w:cs="宋体"/>
          <w:b/>
          <w:i w:val="0"/>
          <w:iCs w:val="0"/>
          <w:color w:val="auto"/>
          <w:sz w:val="24"/>
          <w:highlight w:val="none"/>
        </w:rPr>
      </w:pPr>
      <w:bookmarkStart w:id="59" w:name="_Toc91899903"/>
      <w:r>
        <w:rPr>
          <w:rFonts w:hint="eastAsia" w:ascii="宋体" w:hAnsi="宋体" w:eastAsia="宋体" w:cs="宋体"/>
          <w:b/>
          <w:i w:val="0"/>
          <w:iCs w:val="0"/>
          <w:color w:val="auto"/>
          <w:sz w:val="24"/>
          <w:highlight w:val="none"/>
        </w:rPr>
        <w:t>（一）</w:t>
      </w:r>
      <w:r>
        <w:rPr>
          <w:rFonts w:hint="eastAsia" w:ascii="宋体" w:hAnsi="宋体" w:eastAsia="宋体" w:cs="宋体"/>
          <w:i w:val="0"/>
          <w:iCs w:val="0"/>
          <w:color w:val="auto"/>
          <w:sz w:val="24"/>
          <w:highlight w:val="none"/>
        </w:rPr>
        <w:t>评审委员会将根据征集文件和有关规定，履行评审工作职责，并按照评审方法及评分标准，全面衡量各供应商对征集文件的响应情况。对实质上响应征集文件的供应商，按照响应报价、评审因素的量化指标排出推荐入围的供应商的先后顺序，并按顺序提出授标建议。</w:t>
      </w:r>
    </w:p>
    <w:p>
      <w:pPr>
        <w:spacing w:line="360" w:lineRule="auto"/>
        <w:ind w:firstLine="482" w:firstLineChars="20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（二）评审淘汰机制</w:t>
      </w:r>
    </w:p>
    <w:p>
      <w:pPr>
        <w:spacing w:line="360" w:lineRule="auto"/>
        <w:ind w:firstLine="480" w:firstLineChars="200"/>
        <w:rPr>
          <w:rFonts w:hint="eastAsia" w:ascii="宋体" w:hAnsi="宋体" w:eastAsia="宋体" w:cs="宋体"/>
          <w:bCs/>
          <w:i w:val="0"/>
          <w:iCs w:val="0"/>
          <w:color w:val="auto"/>
          <w:sz w:val="24"/>
          <w:highlight w:val="none"/>
          <w:u w:val="single"/>
        </w:rPr>
      </w:pPr>
      <w:r>
        <w:rPr>
          <w:rFonts w:hint="eastAsia" w:ascii="宋体" w:hAnsi="宋体" w:eastAsia="宋体" w:cs="宋体"/>
          <w:bCs/>
          <w:i w:val="0"/>
          <w:iCs w:val="0"/>
          <w:color w:val="auto"/>
          <w:sz w:val="24"/>
          <w:highlight w:val="none"/>
          <w:u w:val="single"/>
        </w:rPr>
        <w:t>确定第一阶段入围供应商时，提交响应文件和符合资格条件、实质性要求的供应商应当均不少于</w:t>
      </w:r>
      <w:r>
        <w:rPr>
          <w:rFonts w:hint="eastAsia" w:ascii="宋体" w:hAnsi="宋体" w:eastAsia="宋体" w:cs="宋体"/>
          <w:bCs/>
          <w:i w:val="0"/>
          <w:iCs w:val="0"/>
          <w:color w:val="auto"/>
          <w:sz w:val="24"/>
          <w:highlight w:val="none"/>
          <w:u w:val="single"/>
          <w:lang w:val="en-US" w:eastAsia="zh-CN"/>
        </w:rPr>
        <w:t>4</w:t>
      </w:r>
      <w:r>
        <w:rPr>
          <w:rFonts w:hint="eastAsia" w:ascii="宋体" w:hAnsi="宋体" w:eastAsia="宋体" w:cs="宋体"/>
          <w:bCs/>
          <w:i w:val="0"/>
          <w:iCs w:val="0"/>
          <w:color w:val="auto"/>
          <w:sz w:val="24"/>
          <w:highlight w:val="none"/>
          <w:u w:val="single"/>
        </w:rPr>
        <w:t>家，淘汰比例一般不得低于20%，且至少淘汰一家供应商。</w:t>
      </w:r>
    </w:p>
    <w:p>
      <w:pPr>
        <w:spacing w:line="400" w:lineRule="exact"/>
        <w:ind w:firstLine="241" w:firstLineChars="100"/>
        <w:rPr>
          <w:rFonts w:hint="eastAsia" w:ascii="宋体" w:hAnsi="宋体" w:eastAsia="宋体" w:cs="宋体"/>
          <w:b/>
          <w:color w:val="auto"/>
          <w:sz w:val="24"/>
          <w:highlight w:val="none"/>
        </w:rPr>
      </w:pPr>
    </w:p>
    <w:p>
      <w:pPr>
        <w:adjustRightInd/>
        <w:spacing w:line="400" w:lineRule="exact"/>
        <w:jc w:val="center"/>
        <w:rPr>
          <w:rFonts w:hint="eastAsia" w:ascii="宋体" w:hAnsi="宋体" w:eastAsia="宋体" w:cs="宋体"/>
          <w:b/>
          <w:color w:val="auto"/>
          <w:sz w:val="32"/>
          <w:szCs w:val="32"/>
          <w:highlight w:val="none"/>
        </w:rPr>
      </w:pPr>
      <w:bookmarkStart w:id="60" w:name="_Toc26300"/>
      <w:r>
        <w:rPr>
          <w:rFonts w:hint="eastAsia" w:ascii="宋体" w:hAnsi="宋体" w:eastAsia="宋体" w:cs="宋体"/>
          <w:b/>
          <w:color w:val="auto"/>
          <w:sz w:val="32"/>
          <w:szCs w:val="32"/>
          <w:highlight w:val="none"/>
        </w:rPr>
        <w:t>六、入围供应商确定</w:t>
      </w:r>
      <w:bookmarkEnd w:id="60"/>
    </w:p>
    <w:p>
      <w:pPr>
        <w:pStyle w:val="17"/>
        <w:spacing w:line="400" w:lineRule="exact"/>
        <w:ind w:firstLine="482"/>
        <w:rPr>
          <w:rFonts w:hint="eastAsia" w:ascii="宋体" w:hAnsi="宋体" w:eastAsia="宋体" w:cs="宋体"/>
          <w:b/>
          <w:color w:val="auto"/>
          <w:highlight w:val="none"/>
          <w:u w:val="single"/>
        </w:rPr>
      </w:pPr>
      <w:r>
        <w:rPr>
          <w:rFonts w:hint="eastAsia" w:ascii="宋体" w:hAnsi="宋体" w:eastAsia="宋体" w:cs="宋体"/>
          <w:b/>
          <w:color w:val="auto"/>
          <w:highlight w:val="none"/>
        </w:rPr>
        <w:t>（一）确定入围供应商</w:t>
      </w:r>
    </w:p>
    <w:p>
      <w:pPr>
        <w:pStyle w:val="87"/>
        <w:snapToGrid w:val="0"/>
        <w:spacing w:before="0" w:line="40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 xml:space="preserve"> 征集人将自收到评审报告之日起2个工作日内通过电子交易平台在评审报告确定入围供应商。</w:t>
      </w:r>
    </w:p>
    <w:p>
      <w:pPr>
        <w:pStyle w:val="87"/>
        <w:snapToGrid w:val="0"/>
        <w:spacing w:before="0" w:line="400" w:lineRule="exact"/>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（二）入围通知书与入围结果公告</w:t>
      </w:r>
    </w:p>
    <w:p>
      <w:pPr>
        <w:widowControl/>
        <w:numPr>
          <w:ilvl w:val="0"/>
          <w:numId w:val="0"/>
        </w:numPr>
        <w:shd w:val="clear" w:color="auto" w:fill="FFFFFF"/>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1.自入围供应商确定之日起2个工作日内，征集人通过电子交易平台向入围供应商发出入围通知书，同时编制发布采购结果公告。征集人也可以以纸质形式进行入围通知。</w:t>
      </w:r>
    </w:p>
    <w:p>
      <w:pPr>
        <w:widowControl/>
        <w:shd w:val="clear" w:color="auto" w:fill="FFFFFF"/>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2.公告期限为1个工作日。</w:t>
      </w:r>
    </w:p>
    <w:p>
      <w:pPr>
        <w:snapToGrid w:val="0"/>
        <w:spacing w:line="400" w:lineRule="exact"/>
        <w:ind w:left="120" w:leftChars="57" w:firstLine="361" w:firstLineChars="150"/>
        <w:jc w:val="center"/>
        <w:rPr>
          <w:rFonts w:hint="eastAsia" w:ascii="宋体" w:hAnsi="宋体" w:eastAsia="宋体" w:cs="宋体"/>
          <w:b/>
          <w:color w:val="auto"/>
          <w:sz w:val="24"/>
          <w:highlight w:val="none"/>
        </w:rPr>
      </w:pPr>
    </w:p>
    <w:p>
      <w:pPr>
        <w:adjustRightInd/>
        <w:spacing w:line="400" w:lineRule="exact"/>
        <w:jc w:val="center"/>
        <w:rPr>
          <w:rFonts w:hint="eastAsia" w:ascii="宋体" w:hAnsi="宋体" w:eastAsia="宋体" w:cs="宋体"/>
          <w:b/>
          <w:color w:val="auto"/>
          <w:sz w:val="32"/>
          <w:szCs w:val="32"/>
          <w:highlight w:val="none"/>
        </w:rPr>
      </w:pPr>
      <w:bookmarkStart w:id="61" w:name="_Toc8813"/>
      <w:r>
        <w:rPr>
          <w:rFonts w:hint="eastAsia" w:ascii="宋体" w:hAnsi="宋体" w:eastAsia="宋体" w:cs="宋体"/>
          <w:b/>
          <w:color w:val="auto"/>
          <w:sz w:val="32"/>
          <w:szCs w:val="32"/>
          <w:highlight w:val="none"/>
        </w:rPr>
        <w:t>七、框架协议签订</w:t>
      </w:r>
      <w:bookmarkEnd w:id="61"/>
    </w:p>
    <w:p>
      <w:pPr>
        <w:pStyle w:val="17"/>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（一）框架主要条款详见第六章拟签订的框架协议文本。</w:t>
      </w:r>
    </w:p>
    <w:p>
      <w:pPr>
        <w:pStyle w:val="17"/>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（二）框架协议的签订</w:t>
      </w:r>
    </w:p>
    <w:p>
      <w:pPr>
        <w:widowControl/>
        <w:shd w:val="clear" w:color="auto" w:fill="FFFFFF"/>
        <w:spacing w:line="360" w:lineRule="auto"/>
        <w:ind w:firstLine="480" w:firstLineChars="200"/>
        <w:jc w:val="left"/>
        <w:rPr>
          <w:rFonts w:hint="eastAsia" w:ascii="宋体" w:hAnsi="宋体" w:eastAsia="宋体" w:cs="宋体"/>
          <w:bCs/>
          <w:i w:val="0"/>
          <w:iCs w:val="0"/>
          <w:color w:val="auto"/>
          <w:kern w:val="0"/>
          <w:sz w:val="24"/>
          <w:highlight w:val="none"/>
        </w:rPr>
      </w:pPr>
      <w:r>
        <w:rPr>
          <w:rFonts w:hint="eastAsia" w:ascii="宋体" w:hAnsi="宋体" w:eastAsia="宋体" w:cs="宋体"/>
          <w:bCs/>
          <w:i w:val="0"/>
          <w:iCs w:val="0"/>
          <w:color w:val="auto"/>
          <w:sz w:val="24"/>
          <w:highlight w:val="none"/>
        </w:rPr>
        <w:t>1.</w:t>
      </w:r>
      <w:r>
        <w:rPr>
          <w:rFonts w:hint="eastAsia" w:ascii="宋体" w:hAnsi="宋体" w:eastAsia="宋体" w:cs="宋体"/>
          <w:bCs/>
          <w:i w:val="0"/>
          <w:iCs w:val="0"/>
          <w:color w:val="auto"/>
          <w:kern w:val="0"/>
          <w:sz w:val="24"/>
          <w:highlight w:val="none"/>
        </w:rPr>
        <w:t>除不可抗力等特殊情况外，征集人应当在入围通知书</w:t>
      </w:r>
      <w:r>
        <w:rPr>
          <w:rFonts w:hint="eastAsia" w:ascii="宋体" w:hAnsi="宋体" w:eastAsia="宋体" w:cs="宋体"/>
          <w:bCs/>
          <w:i w:val="0"/>
          <w:iCs w:val="0"/>
          <w:color w:val="auto"/>
          <w:kern w:val="0"/>
          <w:sz w:val="24"/>
          <w:szCs w:val="24"/>
          <w:highlight w:val="none"/>
        </w:rPr>
        <w:t>发出之日起30日内</w:t>
      </w:r>
      <w:r>
        <w:rPr>
          <w:rFonts w:hint="eastAsia" w:ascii="宋体" w:hAnsi="宋体" w:eastAsia="宋体" w:cs="宋体"/>
          <w:bCs/>
          <w:color w:val="auto"/>
          <w:kern w:val="0"/>
          <w:sz w:val="24"/>
          <w:highlight w:val="none"/>
          <w:lang w:eastAsia="zh-CN"/>
        </w:rPr>
        <w:t>或为提高采购效力，提倡</w:t>
      </w:r>
      <w:r>
        <w:rPr>
          <w:rFonts w:hint="eastAsia" w:ascii="宋体" w:hAnsi="宋体" w:eastAsia="宋体" w:cs="宋体"/>
          <w:bCs/>
          <w:color w:val="auto"/>
          <w:kern w:val="0"/>
          <w:sz w:val="24"/>
          <w:highlight w:val="none"/>
          <w:lang w:val="en-US" w:eastAsia="zh-CN"/>
        </w:rPr>
        <w:t>10个工作日内</w:t>
      </w:r>
      <w:r>
        <w:rPr>
          <w:rFonts w:hint="eastAsia" w:ascii="宋体" w:hAnsi="宋体" w:eastAsia="宋体" w:cs="宋体"/>
          <w:bCs/>
          <w:i w:val="0"/>
          <w:iCs w:val="0"/>
          <w:color w:val="auto"/>
          <w:kern w:val="0"/>
          <w:sz w:val="24"/>
          <w:highlight w:val="none"/>
        </w:rPr>
        <w:t>和入围供应商签订框架协议，并在框架协议签订后</w:t>
      </w:r>
      <w:r>
        <w:rPr>
          <w:rFonts w:hint="eastAsia" w:ascii="宋体" w:hAnsi="宋体" w:eastAsia="宋体" w:cs="宋体"/>
          <w:bCs/>
          <w:i w:val="0"/>
          <w:iCs w:val="0"/>
          <w:color w:val="auto"/>
          <w:kern w:val="0"/>
          <w:sz w:val="24"/>
          <w:highlight w:val="none"/>
          <w:lang w:val="en-US" w:eastAsia="zh-CN"/>
        </w:rPr>
        <w:t>5</w:t>
      </w:r>
      <w:r>
        <w:rPr>
          <w:rFonts w:hint="eastAsia" w:ascii="宋体" w:hAnsi="宋体" w:eastAsia="宋体" w:cs="宋体"/>
          <w:bCs/>
          <w:i w:val="0"/>
          <w:iCs w:val="0"/>
          <w:color w:val="auto"/>
          <w:kern w:val="0"/>
          <w:sz w:val="24"/>
          <w:highlight w:val="none"/>
        </w:rPr>
        <w:t>个工作日内，将框架协议副本报本级财政部门备案。</w:t>
      </w:r>
    </w:p>
    <w:p>
      <w:pPr>
        <w:pStyle w:val="87"/>
        <w:snapToGrid w:val="0"/>
        <w:spacing w:before="0" w:line="360" w:lineRule="auto"/>
        <w:ind w:firstLine="480"/>
        <w:rPr>
          <w:rFonts w:hint="eastAsia" w:ascii="宋体" w:hAnsi="宋体" w:eastAsia="宋体" w:cs="宋体"/>
          <w:bCs/>
          <w:i w:val="0"/>
          <w:iCs w:val="0"/>
          <w:color w:val="auto"/>
          <w:kern w:val="0"/>
          <w:szCs w:val="24"/>
          <w:highlight w:val="none"/>
        </w:rPr>
      </w:pPr>
      <w:r>
        <w:rPr>
          <w:rFonts w:hint="eastAsia" w:ascii="宋体" w:hAnsi="宋体" w:eastAsia="宋体" w:cs="宋体"/>
          <w:bCs/>
          <w:i w:val="0"/>
          <w:iCs w:val="0"/>
          <w:color w:val="auto"/>
          <w:kern w:val="0"/>
          <w:szCs w:val="24"/>
          <w:highlight w:val="none"/>
        </w:rPr>
        <w:t>2.</w:t>
      </w:r>
      <w:r>
        <w:rPr>
          <w:rFonts w:hint="eastAsia" w:ascii="宋体" w:hAnsi="宋体" w:eastAsia="宋体" w:cs="宋体"/>
          <w:bCs/>
          <w:i w:val="0"/>
          <w:iCs w:val="0"/>
          <w:color w:val="auto"/>
          <w:kern w:val="0"/>
          <w:szCs w:val="24"/>
          <w:highlight w:val="none"/>
          <w:lang w:val="zh-CN"/>
        </w:rPr>
        <w:t>入围</w:t>
      </w:r>
      <w:r>
        <w:rPr>
          <w:rFonts w:hint="eastAsia" w:ascii="宋体" w:hAnsi="宋体" w:eastAsia="宋体" w:cs="宋体"/>
          <w:bCs/>
          <w:i w:val="0"/>
          <w:iCs w:val="0"/>
          <w:color w:val="auto"/>
          <w:kern w:val="0"/>
          <w:szCs w:val="24"/>
          <w:highlight w:val="none"/>
        </w:rPr>
        <w:t>供应商</w:t>
      </w:r>
      <w:r>
        <w:rPr>
          <w:rFonts w:hint="eastAsia" w:ascii="宋体" w:hAnsi="宋体" w:eastAsia="宋体" w:cs="宋体"/>
          <w:bCs/>
          <w:i w:val="0"/>
          <w:iCs w:val="0"/>
          <w:color w:val="auto"/>
          <w:kern w:val="0"/>
          <w:szCs w:val="24"/>
          <w:highlight w:val="none"/>
          <w:lang w:val="zh-CN"/>
        </w:rPr>
        <w:t>按规定的日期、时间、地点，由法定代表人或其授权代表与征集人代表签订框架协议。</w:t>
      </w:r>
    </w:p>
    <w:p>
      <w:pPr>
        <w:pStyle w:val="87"/>
        <w:snapToGrid w:val="0"/>
        <w:spacing w:before="0" w:line="360" w:lineRule="auto"/>
        <w:ind w:firstLine="480"/>
        <w:rPr>
          <w:rFonts w:hint="eastAsia" w:ascii="宋体" w:hAnsi="宋体" w:eastAsia="宋体" w:cs="宋体"/>
          <w:bCs/>
          <w:i w:val="0"/>
          <w:iCs w:val="0"/>
          <w:color w:val="auto"/>
          <w:szCs w:val="24"/>
          <w:highlight w:val="none"/>
        </w:rPr>
      </w:pPr>
      <w:r>
        <w:rPr>
          <w:rFonts w:hint="eastAsia" w:ascii="宋体" w:hAnsi="宋体" w:eastAsia="宋体" w:cs="宋体"/>
          <w:bCs/>
          <w:i w:val="0"/>
          <w:iCs w:val="0"/>
          <w:color w:val="auto"/>
          <w:szCs w:val="24"/>
          <w:highlight w:val="none"/>
        </w:rPr>
        <w:t>3.入围供应商拒绝与征集人签订框架协议的，且导致剩余入围供应商不足入围供应商总数70%的，征集人有权决定是否重新开展政府采购活动。拒绝签订框架协议的供应商不得参加同一封闭式框架协议补充征集，或者重新申请加入同一开放式框架协议。拒签供应商给采购组织机构造成损失的，供应商应承担赔偿责任，如承担代理费和专家评审费等费用。供应商</w:t>
      </w:r>
      <w:r>
        <w:rPr>
          <w:rFonts w:hint="eastAsia" w:ascii="宋体" w:hAnsi="宋体" w:eastAsia="宋体" w:cs="宋体"/>
          <w:bCs/>
          <w:i w:val="0"/>
          <w:iCs w:val="0"/>
          <w:color w:val="auto"/>
          <w:szCs w:val="24"/>
          <w:highlight w:val="none"/>
          <w:shd w:val="clear" w:color="auto" w:fill="FFFFFF"/>
        </w:rPr>
        <w:t>无正当理由</w:t>
      </w:r>
      <w:r>
        <w:rPr>
          <w:rFonts w:hint="eastAsia" w:ascii="宋体" w:hAnsi="宋体" w:eastAsia="宋体" w:cs="宋体"/>
          <w:bCs/>
          <w:i w:val="0"/>
          <w:iCs w:val="0"/>
          <w:color w:val="auto"/>
          <w:szCs w:val="24"/>
          <w:highlight w:val="none"/>
        </w:rPr>
        <w:t>拒绝或延期签订框架协议的列入不良行为记录一次，并给予通报。</w:t>
      </w:r>
    </w:p>
    <w:p>
      <w:pPr>
        <w:pStyle w:val="87"/>
        <w:snapToGrid w:val="0"/>
        <w:spacing w:before="0" w:line="360" w:lineRule="auto"/>
        <w:ind w:firstLine="480"/>
        <w:rPr>
          <w:rFonts w:hint="eastAsia" w:ascii="宋体" w:hAnsi="宋体" w:eastAsia="宋体" w:cs="宋体"/>
          <w:bCs/>
          <w:i w:val="0"/>
          <w:iCs w:val="0"/>
          <w:color w:val="auto"/>
          <w:szCs w:val="24"/>
          <w:highlight w:val="none"/>
        </w:rPr>
      </w:pPr>
      <w:r>
        <w:rPr>
          <w:rFonts w:hint="eastAsia" w:ascii="宋体" w:hAnsi="宋体" w:eastAsia="宋体" w:cs="宋体"/>
          <w:bCs/>
          <w:i w:val="0"/>
          <w:iCs w:val="0"/>
          <w:color w:val="auto"/>
          <w:szCs w:val="24"/>
          <w:highlight w:val="none"/>
        </w:rPr>
        <w:t>4.采购框架协议由征集人与入围供应商根据征集文件、响应文件等内容通过政府采购电子交易平台在线签订，自动备案。</w:t>
      </w:r>
    </w:p>
    <w:p>
      <w:pPr>
        <w:pStyle w:val="17"/>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（三）入围信息公示</w:t>
      </w:r>
    </w:p>
    <w:p>
      <w:pPr>
        <w:pStyle w:val="87"/>
        <w:snapToGrid w:val="0"/>
        <w:spacing w:before="0" w:line="360" w:lineRule="auto"/>
        <w:ind w:firstLine="480"/>
        <w:rPr>
          <w:rFonts w:hint="eastAsia" w:ascii="宋体" w:hAnsi="宋体" w:eastAsia="宋体" w:cs="宋体"/>
          <w:bCs/>
          <w:i w:val="0"/>
          <w:iCs w:val="0"/>
          <w:color w:val="auto"/>
          <w:kern w:val="0"/>
          <w:szCs w:val="24"/>
          <w:highlight w:val="none"/>
          <w:lang w:val="zh-CN"/>
        </w:rPr>
      </w:pPr>
      <w:r>
        <w:rPr>
          <w:rFonts w:hint="eastAsia" w:ascii="宋体" w:hAnsi="宋体" w:eastAsia="宋体" w:cs="宋体"/>
          <w:bCs/>
          <w:i w:val="0"/>
          <w:iCs w:val="0"/>
          <w:color w:val="auto"/>
          <w:kern w:val="0"/>
          <w:szCs w:val="24"/>
          <w:highlight w:val="none"/>
          <w:lang w:val="zh-CN"/>
        </w:rPr>
        <w:t>征集人应当在框架协议签订后3个工作日内通过电子化采购系统将入围信息告知适用框架协议的所有征集人或者服务对象。</w:t>
      </w:r>
    </w:p>
    <w:p>
      <w:pPr>
        <w:pStyle w:val="87"/>
        <w:snapToGrid w:val="0"/>
        <w:spacing w:before="0" w:line="360" w:lineRule="auto"/>
        <w:ind w:firstLine="480"/>
        <w:rPr>
          <w:rFonts w:hint="eastAsia" w:ascii="宋体" w:hAnsi="宋体" w:eastAsia="宋体" w:cs="宋体"/>
          <w:bCs/>
          <w:i w:val="0"/>
          <w:iCs w:val="0"/>
          <w:color w:val="auto"/>
          <w:kern w:val="0"/>
          <w:szCs w:val="24"/>
          <w:highlight w:val="none"/>
          <w:lang w:val="zh-CN"/>
        </w:rPr>
      </w:pPr>
      <w:r>
        <w:rPr>
          <w:rFonts w:hint="eastAsia" w:ascii="宋体" w:hAnsi="宋体" w:eastAsia="宋体" w:cs="宋体"/>
          <w:bCs/>
          <w:i w:val="0"/>
          <w:iCs w:val="0"/>
          <w:color w:val="auto"/>
          <w:kern w:val="0"/>
          <w:szCs w:val="24"/>
          <w:highlight w:val="none"/>
          <w:lang w:val="zh-CN"/>
        </w:rPr>
        <w:t>入围信息应当包括所有入围供应商的名称、地址、联系方式、入围产品信息和协议价格等内容。入围产品信息应当详细列明技术规格或者服务内容、服务标准等能反映产品质量特点的内容。</w:t>
      </w:r>
    </w:p>
    <w:p>
      <w:pPr>
        <w:snapToGrid w:val="0"/>
        <w:spacing w:line="400" w:lineRule="exact"/>
        <w:ind w:left="120" w:leftChars="57" w:firstLine="361" w:firstLineChars="150"/>
        <w:jc w:val="center"/>
        <w:rPr>
          <w:rFonts w:hint="eastAsia" w:ascii="宋体" w:hAnsi="宋体" w:eastAsia="宋体" w:cs="宋体"/>
          <w:b/>
          <w:color w:val="auto"/>
          <w:sz w:val="24"/>
          <w:highlight w:val="none"/>
        </w:rPr>
      </w:pPr>
    </w:p>
    <w:p>
      <w:pPr>
        <w:rPr>
          <w:rFonts w:hint="eastAsia" w:ascii="宋体" w:hAnsi="宋体" w:eastAsia="宋体" w:cs="宋体"/>
          <w:b/>
          <w:color w:val="auto"/>
          <w:sz w:val="32"/>
          <w:szCs w:val="32"/>
          <w:highlight w:val="none"/>
        </w:rPr>
      </w:pPr>
      <w:bookmarkStart w:id="62" w:name="_Toc25890"/>
      <w:r>
        <w:rPr>
          <w:rFonts w:hint="eastAsia" w:ascii="宋体" w:hAnsi="宋体" w:eastAsia="宋体" w:cs="宋体"/>
          <w:b/>
          <w:color w:val="auto"/>
          <w:sz w:val="32"/>
          <w:szCs w:val="32"/>
          <w:highlight w:val="none"/>
        </w:rPr>
        <w:br w:type="page"/>
      </w:r>
    </w:p>
    <w:p>
      <w:pPr>
        <w:numPr>
          <w:ilvl w:val="0"/>
          <w:numId w:val="3"/>
        </w:numPr>
        <w:adjustRightInd/>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采购合同授予</w:t>
      </w:r>
      <w:bookmarkEnd w:id="62"/>
    </w:p>
    <w:p>
      <w:pPr>
        <w:pStyle w:val="87"/>
        <w:spacing w:before="0" w:line="400" w:lineRule="exact"/>
        <w:ind w:firstLine="482"/>
        <w:rPr>
          <w:rFonts w:hint="eastAsia" w:ascii="宋体" w:hAnsi="宋体" w:eastAsia="宋体" w:cs="宋体"/>
          <w:b/>
          <w:color w:val="auto"/>
          <w:szCs w:val="24"/>
          <w:highlight w:val="none"/>
        </w:rPr>
      </w:pPr>
    </w:p>
    <w:p>
      <w:pPr>
        <w:pStyle w:val="87"/>
        <w:spacing w:before="0" w:line="400" w:lineRule="exact"/>
        <w:ind w:firstLine="482"/>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（一）</w:t>
      </w:r>
      <w:r>
        <w:rPr>
          <w:rFonts w:hint="eastAsia" w:ascii="宋体" w:hAnsi="宋体" w:eastAsia="宋体" w:cs="宋体"/>
          <w:b/>
          <w:bCs/>
          <w:color w:val="auto"/>
          <w:szCs w:val="24"/>
          <w:highlight w:val="none"/>
        </w:rPr>
        <w:t>适用框架协议的征集人或服务对象</w:t>
      </w:r>
    </w:p>
    <w:p>
      <w:pPr>
        <w:pStyle w:val="87"/>
        <w:snapToGrid w:val="0"/>
        <w:spacing w:before="0" w:line="400" w:lineRule="exact"/>
        <w:ind w:firstLine="480"/>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lang w:val="zh-CN"/>
        </w:rPr>
        <w:t>征集人：</w:t>
      </w:r>
      <w:r>
        <w:rPr>
          <w:rFonts w:hint="eastAsia" w:ascii="宋体" w:hAnsi="宋体" w:eastAsia="宋体" w:cs="宋体"/>
          <w:bCs/>
          <w:color w:val="auto"/>
          <w:kern w:val="0"/>
          <w:szCs w:val="24"/>
          <w:highlight w:val="none"/>
          <w:lang w:val="en-US" w:eastAsia="zh-CN"/>
        </w:rPr>
        <w:t>杭州市余杭区</w:t>
      </w:r>
      <w:r>
        <w:rPr>
          <w:rFonts w:hint="eastAsia" w:ascii="宋体" w:hAnsi="宋体" w:eastAsia="宋体" w:cs="宋体"/>
          <w:bCs/>
          <w:color w:val="auto"/>
          <w:kern w:val="0"/>
          <w:szCs w:val="24"/>
          <w:highlight w:val="none"/>
        </w:rPr>
        <w:t>财政局；服务对象：</w:t>
      </w:r>
      <w:r>
        <w:rPr>
          <w:rFonts w:hint="eastAsia" w:ascii="宋体" w:hAnsi="宋体" w:eastAsia="宋体" w:cs="宋体"/>
          <w:bCs/>
          <w:color w:val="auto"/>
          <w:kern w:val="0"/>
          <w:szCs w:val="24"/>
          <w:highlight w:val="none"/>
          <w:lang w:val="en-US" w:eastAsia="zh-CN"/>
        </w:rPr>
        <w:t>杭州市余杭区</w:t>
      </w:r>
      <w:r>
        <w:rPr>
          <w:rFonts w:hint="eastAsia" w:ascii="宋体" w:hAnsi="宋体" w:eastAsia="宋体" w:cs="宋体"/>
          <w:bCs/>
          <w:color w:val="auto"/>
          <w:kern w:val="0"/>
          <w:szCs w:val="24"/>
          <w:highlight w:val="none"/>
        </w:rPr>
        <w:t>财政局</w:t>
      </w:r>
      <w:r>
        <w:rPr>
          <w:rFonts w:hint="eastAsia" w:ascii="宋体" w:hAnsi="宋体" w:eastAsia="宋体" w:cs="宋体"/>
          <w:bCs/>
          <w:color w:val="auto"/>
          <w:kern w:val="0"/>
          <w:szCs w:val="24"/>
          <w:highlight w:val="none"/>
          <w:lang w:eastAsia="zh-CN"/>
        </w:rPr>
        <w:t>、</w:t>
      </w:r>
      <w:r>
        <w:rPr>
          <w:rFonts w:hint="eastAsia" w:ascii="宋体" w:hAnsi="宋体" w:eastAsia="宋体" w:cs="宋体"/>
          <w:bCs/>
          <w:color w:val="auto"/>
          <w:kern w:val="0"/>
          <w:szCs w:val="24"/>
          <w:highlight w:val="none"/>
          <w:lang w:val="en-US" w:eastAsia="zh-CN"/>
        </w:rPr>
        <w:t>杭州市余杭区</w:t>
      </w:r>
      <w:r>
        <w:rPr>
          <w:rFonts w:hint="eastAsia" w:ascii="宋体" w:hAnsi="宋体" w:eastAsia="宋体" w:cs="宋体"/>
          <w:bCs/>
          <w:color w:val="auto"/>
          <w:kern w:val="0"/>
          <w:szCs w:val="24"/>
          <w:highlight w:val="none"/>
          <w:lang w:eastAsia="zh-CN"/>
        </w:rPr>
        <w:t>各部门（单位）</w:t>
      </w:r>
      <w:r>
        <w:rPr>
          <w:rFonts w:hint="eastAsia" w:ascii="宋体" w:hAnsi="宋体" w:eastAsia="宋体" w:cs="宋体"/>
          <w:bCs/>
          <w:color w:val="auto"/>
          <w:kern w:val="0"/>
          <w:szCs w:val="24"/>
          <w:highlight w:val="none"/>
        </w:rPr>
        <w:t>。</w:t>
      </w:r>
    </w:p>
    <w:p>
      <w:pPr>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bCs/>
          <w:color w:val="auto"/>
          <w:sz w:val="24"/>
          <w:highlight w:val="none"/>
        </w:rPr>
        <w:t>第二阶段成交</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本项目确定第二阶段成交供应商的方式采用：</w:t>
      </w:r>
    </w:p>
    <w:p>
      <w:pPr>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sym w:font="Wingdings 2" w:char="0052"/>
      </w:r>
      <w:r>
        <w:rPr>
          <w:rFonts w:hint="eastAsia" w:ascii="宋体" w:hAnsi="宋体" w:eastAsia="宋体" w:cs="宋体"/>
          <w:b/>
          <w:bCs/>
          <w:color w:val="auto"/>
          <w:sz w:val="24"/>
          <w:highlight w:val="none"/>
        </w:rPr>
        <w:t>直接选定方式。由征集人或者服务对象依据入围产品价格、质量以及服务便利性、用户评价等因素，从入围供应商中直接选定。</w:t>
      </w:r>
    </w:p>
    <w:p>
      <w:pPr>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sym w:font="Wingdings 2" w:char="0052"/>
      </w:r>
      <w:r>
        <w:rPr>
          <w:rFonts w:hint="eastAsia" w:ascii="宋体" w:hAnsi="宋体" w:eastAsia="宋体" w:cs="宋体"/>
          <w:b/>
          <w:bCs/>
          <w:color w:val="auto"/>
          <w:sz w:val="24"/>
          <w:highlight w:val="none"/>
        </w:rPr>
        <w:t>二次竞价方式。以框架协议约定的入围产品、采购合同文本等为依据，以协议价格为最高限价，征集人明确第二阶段竞价需求，从入围供应商中选择所有符合竞价需求的供应商参与二次竞价，确定报价最低的为成交供应商的方式。</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顺序轮候方式。根据征集文件中确定的轮候顺序规则，对所有入围供应商依次授予采购合同的方式。每个入围供应商在一个顺序轮候期内，只有一次获得合同授予的机会。合同授予顺序确定后，应当书面告知所有入围供应商。除清退入围供应商和补充征集外，框架协议有效期内不得调整合同授予顺序。</w:t>
      </w:r>
    </w:p>
    <w:p>
      <w:pPr>
        <w:spacing w:line="400" w:lineRule="exact"/>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color w:val="auto"/>
          <w:sz w:val="24"/>
          <w:highlight w:val="none"/>
        </w:rPr>
        <w:t>（三）</w:t>
      </w:r>
      <w:r>
        <w:rPr>
          <w:rFonts w:hint="eastAsia" w:ascii="宋体" w:hAnsi="宋体" w:eastAsia="宋体" w:cs="宋体"/>
          <w:b/>
          <w:bCs/>
          <w:color w:val="auto"/>
          <w:kern w:val="0"/>
          <w:sz w:val="24"/>
          <w:highlight w:val="none"/>
        </w:rPr>
        <w:t>成交结果公告</w:t>
      </w:r>
    </w:p>
    <w:p>
      <w:pPr>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以二次竞价或者顺序轮候方式确定成交供应商的，征集人将在确定成交供应商后2个工作日内，在浙江政府采购网上逐笔发布成交结果公告。</w:t>
      </w:r>
      <w:r>
        <w:rPr>
          <w:rFonts w:hint="eastAsia" w:ascii="宋体" w:hAnsi="宋体" w:eastAsia="宋体" w:cs="宋体"/>
          <w:color w:val="auto"/>
          <w:sz w:val="24"/>
          <w:highlight w:val="none"/>
        </w:rPr>
        <w:t>征集人在框架协议有效期满后10个工作日内发布成交结果汇总公告。汇总公告包括征集人的名称、地址和联系方式、框架协议采购项目名称、编号和所有成交供应商的名称、地址及其成交合同总数和总金额。</w:t>
      </w:r>
    </w:p>
    <w:p>
      <w:pPr>
        <w:numPr>
          <w:ilvl w:val="0"/>
          <w:numId w:val="0"/>
        </w:numPr>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（四）</w:t>
      </w:r>
      <w:r>
        <w:rPr>
          <w:rFonts w:hint="eastAsia" w:ascii="宋体" w:hAnsi="宋体" w:eastAsia="宋体" w:cs="宋体"/>
          <w:b/>
          <w:bCs/>
          <w:color w:val="auto"/>
          <w:sz w:val="24"/>
          <w:highlight w:val="none"/>
        </w:rPr>
        <w:t>签订采购合同</w:t>
      </w:r>
    </w:p>
    <w:p>
      <w:pPr>
        <w:numPr>
          <w:ilvl w:val="0"/>
          <w:numId w:val="0"/>
        </w:num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1.成交结果发布后签订采购合同。 </w:t>
      </w:r>
    </w:p>
    <w:p>
      <w:pPr>
        <w:tabs>
          <w:tab w:val="left" w:pos="312"/>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2.合同条件详见征集文件中合同文本。</w:t>
      </w:r>
    </w:p>
    <w:p>
      <w:pPr>
        <w:numPr>
          <w:ilvl w:val="0"/>
          <w:numId w:val="0"/>
        </w:num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3.成交供应商按规定的日期、时间、地点，由法定代表人或其授权代表与征集人或服务对象代表签订合同。</w:t>
      </w:r>
    </w:p>
    <w:p>
      <w:pPr>
        <w:numPr>
          <w:ilvl w:val="0"/>
          <w:numId w:val="0"/>
        </w:num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4.如成交供应商</w:t>
      </w:r>
      <w:r>
        <w:rPr>
          <w:rFonts w:hint="eastAsia" w:ascii="宋体" w:hAnsi="宋体" w:eastAsia="宋体" w:cs="宋体"/>
          <w:color w:val="auto"/>
          <w:sz w:val="24"/>
          <w:highlight w:val="none"/>
          <w:shd w:val="clear" w:color="auto" w:fill="FFFFFF"/>
        </w:rPr>
        <w:t>无正当理由</w:t>
      </w:r>
      <w:r>
        <w:rPr>
          <w:rFonts w:hint="eastAsia" w:ascii="宋体" w:hAnsi="宋体" w:eastAsia="宋体" w:cs="宋体"/>
          <w:bCs/>
          <w:color w:val="auto"/>
          <w:sz w:val="24"/>
          <w:highlight w:val="none"/>
        </w:rPr>
        <w:t>拒绝签订合同的，解除框架协议，列入不良行为记录一次，并给予通报。如成交供应商签订合同并生效后，供应商</w:t>
      </w:r>
      <w:r>
        <w:rPr>
          <w:rFonts w:hint="eastAsia" w:ascii="宋体" w:hAnsi="宋体" w:eastAsia="宋体" w:cs="宋体"/>
          <w:color w:val="auto"/>
          <w:sz w:val="24"/>
          <w:highlight w:val="none"/>
          <w:shd w:val="clear" w:color="auto" w:fill="FFFFFF"/>
        </w:rPr>
        <w:t>无正当理由</w:t>
      </w:r>
      <w:r>
        <w:rPr>
          <w:rFonts w:hint="eastAsia" w:ascii="宋体" w:hAnsi="宋体" w:eastAsia="宋体" w:cs="宋体"/>
          <w:bCs/>
          <w:color w:val="auto"/>
          <w:sz w:val="24"/>
          <w:highlight w:val="none"/>
        </w:rPr>
        <w:t>拒绝或延期，除按照合同条款处理外，解除框架协议，列入不良行为记录一次，并给予通报。</w:t>
      </w:r>
    </w:p>
    <w:p>
      <w:pPr>
        <w:numPr>
          <w:ilvl w:val="0"/>
          <w:numId w:val="0"/>
        </w:num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5.成交供应商拒绝与征集人或服务对象签订合同的，征集人或服务对象可以按照轮候顺序依次确定下一个供应商签订合同。</w:t>
      </w:r>
    </w:p>
    <w:p>
      <w:pPr>
        <w:numPr>
          <w:ilvl w:val="0"/>
          <w:numId w:val="0"/>
        </w:numPr>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6.采购合同由征集人或服务对象与成交供应商通过政府采购电子交易平台在线签订，自动备案。</w:t>
      </w:r>
    </w:p>
    <w:p>
      <w:pPr>
        <w:tabs>
          <w:tab w:val="left" w:pos="0"/>
        </w:tabs>
        <w:spacing w:line="400" w:lineRule="exact"/>
        <w:ind w:firstLine="200"/>
        <w:rPr>
          <w:rFonts w:hint="eastAsia" w:ascii="宋体" w:hAnsi="宋体" w:eastAsia="宋体" w:cs="宋体"/>
          <w:color w:val="auto"/>
          <w:kern w:val="0"/>
          <w:sz w:val="24"/>
          <w:highlight w:val="none"/>
        </w:rPr>
      </w:pPr>
    </w:p>
    <w:p>
      <w:pPr>
        <w:rPr>
          <w:rFonts w:hint="eastAsia" w:ascii="宋体" w:hAnsi="宋体" w:eastAsia="宋体" w:cs="宋体"/>
          <w:b/>
          <w:color w:val="auto"/>
          <w:sz w:val="32"/>
          <w:szCs w:val="32"/>
          <w:highlight w:val="none"/>
        </w:rPr>
      </w:pPr>
      <w:bookmarkStart w:id="63" w:name="_Toc24796"/>
      <w:r>
        <w:rPr>
          <w:rFonts w:hint="eastAsia" w:ascii="宋体" w:hAnsi="宋体" w:eastAsia="宋体" w:cs="宋体"/>
          <w:b/>
          <w:color w:val="auto"/>
          <w:sz w:val="32"/>
          <w:szCs w:val="32"/>
          <w:highlight w:val="none"/>
        </w:rPr>
        <w:br w:type="page"/>
      </w:r>
    </w:p>
    <w:p>
      <w:pPr>
        <w:adjustRightInd/>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九、电子交易活动的中止</w:t>
      </w:r>
      <w:bookmarkEnd w:id="63"/>
    </w:p>
    <w:p>
      <w:pPr>
        <w:pStyle w:val="87"/>
        <w:snapToGrid w:val="0"/>
        <w:spacing w:before="0" w:line="360" w:lineRule="auto"/>
        <w:ind w:firstLine="482"/>
        <w:rPr>
          <w:rFonts w:hint="eastAsia" w:ascii="宋体" w:hAnsi="宋体" w:eastAsia="宋体" w:cs="宋体"/>
          <w:b/>
          <w:color w:val="auto"/>
          <w:szCs w:val="24"/>
          <w:highlight w:val="none"/>
        </w:rPr>
      </w:pPr>
    </w:p>
    <w:p>
      <w:pPr>
        <w:pStyle w:val="87"/>
        <w:snapToGrid w:val="0"/>
        <w:spacing w:before="0" w:line="360" w:lineRule="auto"/>
        <w:ind w:firstLine="482"/>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（一）</w:t>
      </w:r>
      <w:r>
        <w:rPr>
          <w:rFonts w:hint="eastAsia" w:ascii="宋体" w:hAnsi="宋体" w:eastAsia="宋体" w:cs="宋体"/>
          <w:b/>
          <w:bCs/>
          <w:color w:val="auto"/>
          <w:szCs w:val="24"/>
          <w:highlight w:val="none"/>
        </w:rPr>
        <w:t>电子交易活动的中止。</w:t>
      </w:r>
    </w:p>
    <w:p>
      <w:pPr>
        <w:pStyle w:val="87"/>
        <w:snapToGrid w:val="0"/>
        <w:spacing w:before="0" w:line="360" w:lineRule="auto"/>
        <w:ind w:firstLine="482"/>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采购过程中出现以下情形，导致电子交易平台无法正常运行，</w:t>
      </w:r>
      <w:r>
        <w:rPr>
          <w:rFonts w:hint="eastAsia" w:ascii="宋体" w:hAnsi="宋体" w:eastAsia="宋体" w:cs="宋体"/>
          <w:color w:val="auto"/>
          <w:szCs w:val="24"/>
          <w:highlight w:val="none"/>
        </w:rPr>
        <w:t>或者无法保证电子交易的公平、公正和安全时，征集人可中止电子交易活动：</w:t>
      </w:r>
    </w:p>
    <w:p>
      <w:pPr>
        <w:pStyle w:val="87"/>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rPr>
        <w:t>电子交易平台发生故障而无法登录访问的；</w:t>
      </w:r>
    </w:p>
    <w:p>
      <w:pPr>
        <w:pStyle w:val="87"/>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rPr>
        <w:t>电子交易平台应用或数据库出现错误，不能进行正常操作的；</w:t>
      </w:r>
    </w:p>
    <w:p>
      <w:pPr>
        <w:pStyle w:val="87"/>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rPr>
        <w:t>电子交易平台发现严重安全漏洞，有潜在泄密危险的；</w:t>
      </w:r>
    </w:p>
    <w:p>
      <w:pPr>
        <w:pStyle w:val="87"/>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rPr>
        <w:t>病毒发作导致不能进行正常操作的；</w:t>
      </w:r>
    </w:p>
    <w:p>
      <w:pPr>
        <w:pStyle w:val="87"/>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rPr>
        <w:t>其他无法保证电子交易的公平、公正和安全的情况。</w:t>
      </w:r>
    </w:p>
    <w:p>
      <w:pPr>
        <w:pStyle w:val="87"/>
        <w:snapToGrid w:val="0"/>
        <w:spacing w:before="0" w:line="360" w:lineRule="auto"/>
        <w:ind w:firstLine="482"/>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（二）</w:t>
      </w:r>
      <w:r>
        <w:rPr>
          <w:rFonts w:hint="eastAsia" w:ascii="宋体" w:hAnsi="宋体" w:eastAsia="宋体" w:cs="宋体"/>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87"/>
        <w:snapToGrid w:val="0"/>
        <w:spacing w:before="0" w:line="360" w:lineRule="auto"/>
        <w:ind w:firstLine="480"/>
        <w:rPr>
          <w:rFonts w:hint="eastAsia" w:ascii="宋体" w:hAnsi="宋体" w:eastAsia="宋体" w:cs="宋体"/>
          <w:color w:val="auto"/>
          <w:szCs w:val="24"/>
          <w:highlight w:val="none"/>
        </w:rPr>
      </w:pPr>
    </w:p>
    <w:p>
      <w:pPr>
        <w:adjustRightInd/>
        <w:spacing w:line="400" w:lineRule="exact"/>
        <w:jc w:val="center"/>
        <w:rPr>
          <w:rFonts w:hint="eastAsia" w:ascii="宋体" w:hAnsi="宋体" w:eastAsia="宋体" w:cs="宋体"/>
          <w:b/>
          <w:color w:val="auto"/>
          <w:sz w:val="32"/>
          <w:szCs w:val="32"/>
          <w:highlight w:val="none"/>
        </w:rPr>
      </w:pPr>
      <w:bookmarkStart w:id="64" w:name="_Toc29329"/>
      <w:r>
        <w:rPr>
          <w:rFonts w:hint="eastAsia" w:ascii="宋体" w:hAnsi="宋体" w:eastAsia="宋体" w:cs="宋体"/>
          <w:b/>
          <w:color w:val="auto"/>
          <w:sz w:val="32"/>
          <w:szCs w:val="32"/>
          <w:highlight w:val="none"/>
        </w:rPr>
        <w:t>十、验收</w:t>
      </w:r>
      <w:bookmarkEnd w:id="64"/>
    </w:p>
    <w:p>
      <w:pPr>
        <w:pStyle w:val="17"/>
        <w:spacing w:line="400" w:lineRule="exact"/>
        <w:ind w:firstLine="482"/>
        <w:rPr>
          <w:rFonts w:hint="eastAsia" w:ascii="宋体" w:hAnsi="宋体" w:eastAsia="宋体" w:cs="宋体"/>
          <w:b/>
          <w:color w:val="auto"/>
          <w:highlight w:val="none"/>
        </w:rPr>
      </w:pPr>
      <w:r>
        <w:rPr>
          <w:rFonts w:hint="eastAsia" w:ascii="宋体" w:hAnsi="宋体" w:eastAsia="宋体" w:cs="宋体"/>
          <w:b/>
          <w:color w:val="auto"/>
          <w:highlight w:val="none"/>
        </w:rPr>
        <w:t>（一）验收</w:t>
      </w:r>
    </w:p>
    <w:bookmarkEnd w:id="52"/>
    <w:bookmarkEnd w:id="53"/>
    <w:bookmarkEnd w:id="59"/>
    <w:p>
      <w:pPr>
        <w:tabs>
          <w:tab w:val="left" w:pos="0"/>
        </w:tabs>
        <w:spacing w:line="360" w:lineRule="auto"/>
        <w:ind w:firstLine="480" w:firstLineChars="200"/>
        <w:rPr>
          <w:rFonts w:hint="eastAsia" w:ascii="宋体" w:hAnsi="宋体" w:eastAsia="宋体" w:cs="宋体"/>
          <w:i w:val="0"/>
          <w:iCs w:val="0"/>
          <w:color w:val="auto"/>
          <w:kern w:val="0"/>
          <w:sz w:val="24"/>
          <w:highlight w:val="none"/>
        </w:rPr>
      </w:pPr>
      <w:bookmarkStart w:id="65" w:name="_Toc184308102"/>
      <w:bookmarkEnd w:id="65"/>
      <w:bookmarkStart w:id="66" w:name="_Toc184312083"/>
      <w:bookmarkEnd w:id="66"/>
      <w:bookmarkStart w:id="67" w:name="_Toc184308089"/>
      <w:bookmarkEnd w:id="67"/>
      <w:bookmarkStart w:id="68" w:name="_Toc184313275"/>
      <w:bookmarkEnd w:id="68"/>
      <w:bookmarkStart w:id="69" w:name="_Toc184314480"/>
      <w:bookmarkEnd w:id="69"/>
      <w:bookmarkStart w:id="70" w:name="_Toc184312132"/>
      <w:bookmarkEnd w:id="70"/>
      <w:bookmarkStart w:id="71" w:name="_Toc184310316"/>
      <w:bookmarkEnd w:id="71"/>
      <w:bookmarkStart w:id="72" w:name="_Toc184310297"/>
      <w:bookmarkEnd w:id="72"/>
      <w:bookmarkStart w:id="73" w:name="_Toc184313248"/>
      <w:bookmarkEnd w:id="73"/>
      <w:bookmarkStart w:id="74" w:name="_Toc184312122"/>
      <w:bookmarkEnd w:id="74"/>
      <w:bookmarkStart w:id="75" w:name="_Toc184310304"/>
      <w:bookmarkEnd w:id="75"/>
      <w:bookmarkStart w:id="76" w:name="_Toc184312078"/>
      <w:bookmarkEnd w:id="76"/>
      <w:bookmarkStart w:id="77" w:name="_Toc184313274"/>
      <w:bookmarkEnd w:id="77"/>
      <w:bookmarkStart w:id="78" w:name="_Toc184310281"/>
      <w:bookmarkEnd w:id="78"/>
      <w:bookmarkStart w:id="79" w:name="_Toc184308051"/>
      <w:bookmarkEnd w:id="79"/>
      <w:bookmarkStart w:id="80" w:name="_Toc184308038"/>
      <w:bookmarkEnd w:id="80"/>
      <w:bookmarkStart w:id="81" w:name="_Toc184312068"/>
      <w:bookmarkEnd w:id="81"/>
      <w:bookmarkStart w:id="82" w:name="_Toc184308070"/>
      <w:bookmarkEnd w:id="82"/>
      <w:bookmarkStart w:id="83" w:name="_Toc184314460"/>
      <w:bookmarkEnd w:id="83"/>
      <w:bookmarkStart w:id="84" w:name="_Toc184308076"/>
      <w:bookmarkEnd w:id="84"/>
      <w:bookmarkStart w:id="85" w:name="_Toc184310285"/>
      <w:bookmarkEnd w:id="85"/>
      <w:bookmarkStart w:id="86" w:name="_Toc184314459"/>
      <w:bookmarkEnd w:id="86"/>
      <w:bookmarkStart w:id="87" w:name="_Toc184312138"/>
      <w:bookmarkEnd w:id="87"/>
      <w:bookmarkStart w:id="88" w:name="_Toc184308068"/>
      <w:bookmarkEnd w:id="88"/>
      <w:bookmarkStart w:id="89" w:name="_Toc184313265"/>
      <w:bookmarkEnd w:id="89"/>
      <w:bookmarkStart w:id="90" w:name="_Toc184313301"/>
      <w:bookmarkEnd w:id="90"/>
      <w:bookmarkStart w:id="91" w:name="_Toc184313296"/>
      <w:bookmarkEnd w:id="91"/>
      <w:bookmarkStart w:id="92" w:name="_Toc184310314"/>
      <w:bookmarkEnd w:id="92"/>
      <w:bookmarkStart w:id="93" w:name="_Toc184313251"/>
      <w:bookmarkEnd w:id="93"/>
      <w:bookmarkStart w:id="94" w:name="_Toc184314418"/>
      <w:bookmarkEnd w:id="94"/>
      <w:bookmarkStart w:id="95" w:name="_Toc184312102"/>
      <w:bookmarkEnd w:id="95"/>
      <w:bookmarkStart w:id="96" w:name="_Toc184308099"/>
      <w:bookmarkEnd w:id="96"/>
      <w:bookmarkStart w:id="97" w:name="_Toc184312094"/>
      <w:bookmarkEnd w:id="97"/>
      <w:bookmarkStart w:id="98" w:name="_Toc184310317"/>
      <w:bookmarkEnd w:id="98"/>
      <w:bookmarkStart w:id="99" w:name="_Toc184308077"/>
      <w:bookmarkEnd w:id="99"/>
      <w:bookmarkStart w:id="100" w:name="_Toc184314456"/>
      <w:bookmarkEnd w:id="100"/>
      <w:bookmarkStart w:id="101" w:name="_Toc184312133"/>
      <w:bookmarkEnd w:id="101"/>
      <w:bookmarkStart w:id="102" w:name="_Toc184314465"/>
      <w:bookmarkEnd w:id="102"/>
      <w:bookmarkStart w:id="103" w:name="_Toc184314453"/>
      <w:bookmarkEnd w:id="103"/>
      <w:bookmarkStart w:id="104" w:name="_Toc184313309"/>
      <w:bookmarkEnd w:id="104"/>
      <w:bookmarkStart w:id="105" w:name="_Toc184312114"/>
      <w:bookmarkEnd w:id="105"/>
      <w:bookmarkStart w:id="106" w:name="_Toc184314449"/>
      <w:bookmarkEnd w:id="106"/>
      <w:bookmarkStart w:id="107" w:name="_Toc184308091"/>
      <w:bookmarkEnd w:id="107"/>
      <w:bookmarkStart w:id="108" w:name="_Toc184308083"/>
      <w:bookmarkEnd w:id="108"/>
      <w:bookmarkStart w:id="109" w:name="_Toc184310325"/>
      <w:bookmarkEnd w:id="109"/>
      <w:bookmarkStart w:id="110" w:name="_Toc184312091"/>
      <w:bookmarkEnd w:id="110"/>
      <w:bookmarkStart w:id="111" w:name="_Toc184312095"/>
      <w:bookmarkEnd w:id="111"/>
      <w:bookmarkStart w:id="112" w:name="_Toc184310290"/>
      <w:bookmarkEnd w:id="112"/>
      <w:bookmarkStart w:id="113" w:name="_Toc184312111"/>
      <w:bookmarkEnd w:id="113"/>
      <w:bookmarkStart w:id="114" w:name="_Toc184308087"/>
      <w:bookmarkEnd w:id="114"/>
      <w:bookmarkStart w:id="115" w:name="_Toc184313287"/>
      <w:bookmarkEnd w:id="115"/>
      <w:bookmarkStart w:id="116" w:name="_Toc184310338"/>
      <w:bookmarkEnd w:id="116"/>
      <w:bookmarkStart w:id="117" w:name="_Toc184313291"/>
      <w:bookmarkEnd w:id="117"/>
      <w:bookmarkStart w:id="118" w:name="_Toc184308074"/>
      <w:bookmarkEnd w:id="118"/>
      <w:bookmarkStart w:id="119" w:name="_Toc184310333"/>
      <w:bookmarkEnd w:id="119"/>
      <w:bookmarkStart w:id="120" w:name="_Toc184312119"/>
      <w:bookmarkEnd w:id="120"/>
      <w:bookmarkStart w:id="121" w:name="_Toc184314462"/>
      <w:bookmarkEnd w:id="121"/>
      <w:bookmarkStart w:id="122" w:name="_Toc184313285"/>
      <w:bookmarkEnd w:id="122"/>
      <w:bookmarkStart w:id="123" w:name="_Toc184313289"/>
      <w:bookmarkEnd w:id="123"/>
      <w:bookmarkStart w:id="124" w:name="_Toc184308093"/>
      <w:bookmarkEnd w:id="124"/>
      <w:bookmarkStart w:id="125" w:name="_Toc184308053"/>
      <w:bookmarkEnd w:id="125"/>
      <w:bookmarkStart w:id="126" w:name="_Toc184313243"/>
      <w:bookmarkEnd w:id="126"/>
      <w:bookmarkStart w:id="127" w:name="_Toc184312125"/>
      <w:bookmarkEnd w:id="127"/>
      <w:bookmarkStart w:id="128" w:name="_Toc184310280"/>
      <w:bookmarkEnd w:id="128"/>
      <w:bookmarkStart w:id="129" w:name="_Toc184308090"/>
      <w:bookmarkEnd w:id="129"/>
      <w:bookmarkStart w:id="130" w:name="_Toc184314417"/>
      <w:bookmarkEnd w:id="130"/>
      <w:bookmarkStart w:id="131" w:name="_Toc184312074"/>
      <w:bookmarkEnd w:id="131"/>
      <w:bookmarkStart w:id="132" w:name="_Toc184313257"/>
      <w:bookmarkEnd w:id="132"/>
      <w:bookmarkStart w:id="133" w:name="_Toc184314441"/>
      <w:bookmarkEnd w:id="133"/>
      <w:bookmarkStart w:id="134" w:name="_Toc184314415"/>
      <w:bookmarkEnd w:id="134"/>
      <w:bookmarkStart w:id="135" w:name="_Toc184314478"/>
      <w:bookmarkEnd w:id="135"/>
      <w:bookmarkStart w:id="136" w:name="_Toc184308059"/>
      <w:bookmarkEnd w:id="136"/>
      <w:bookmarkStart w:id="137" w:name="_Toc184310289"/>
      <w:bookmarkEnd w:id="137"/>
      <w:bookmarkStart w:id="138" w:name="_Toc184308052"/>
      <w:bookmarkEnd w:id="138"/>
      <w:bookmarkStart w:id="139" w:name="_Toc184310282"/>
      <w:bookmarkEnd w:id="139"/>
      <w:bookmarkStart w:id="140" w:name="_Toc184312073"/>
      <w:bookmarkEnd w:id="140"/>
      <w:bookmarkStart w:id="141" w:name="_Toc184314426"/>
      <w:bookmarkEnd w:id="141"/>
      <w:bookmarkStart w:id="142" w:name="_Toc184314479"/>
      <w:bookmarkEnd w:id="142"/>
      <w:bookmarkStart w:id="143" w:name="_Toc184313254"/>
      <w:bookmarkEnd w:id="143"/>
      <w:bookmarkStart w:id="144" w:name="_Toc184308084"/>
      <w:bookmarkEnd w:id="144"/>
      <w:bookmarkStart w:id="145" w:name="_Toc184308097"/>
      <w:bookmarkEnd w:id="145"/>
      <w:bookmarkStart w:id="146" w:name="_Toc184314435"/>
      <w:bookmarkEnd w:id="146"/>
      <w:bookmarkStart w:id="147" w:name="_Toc184313281"/>
      <w:bookmarkEnd w:id="147"/>
      <w:bookmarkStart w:id="148" w:name="_Toc184308040"/>
      <w:bookmarkEnd w:id="148"/>
      <w:bookmarkStart w:id="149" w:name="_Toc184312086"/>
      <w:bookmarkEnd w:id="149"/>
      <w:bookmarkStart w:id="150" w:name="_Toc184314425"/>
      <w:bookmarkEnd w:id="150"/>
      <w:bookmarkStart w:id="151" w:name="_Toc184312075"/>
      <w:bookmarkEnd w:id="151"/>
      <w:bookmarkStart w:id="152" w:name="_Toc184308086"/>
      <w:bookmarkEnd w:id="152"/>
      <w:bookmarkStart w:id="153" w:name="_Toc184314442"/>
      <w:bookmarkEnd w:id="153"/>
      <w:bookmarkStart w:id="154" w:name="_Toc184312089"/>
      <w:bookmarkEnd w:id="154"/>
      <w:bookmarkStart w:id="155" w:name="_Toc184313262"/>
      <w:bookmarkEnd w:id="155"/>
      <w:bookmarkStart w:id="156" w:name="_Toc184314472"/>
      <w:bookmarkEnd w:id="156"/>
      <w:bookmarkStart w:id="157" w:name="_Toc184308075"/>
      <w:bookmarkEnd w:id="157"/>
      <w:bookmarkStart w:id="158" w:name="_Toc184310288"/>
      <w:bookmarkEnd w:id="158"/>
      <w:bookmarkStart w:id="159" w:name="_Toc184310275"/>
      <w:bookmarkEnd w:id="159"/>
      <w:bookmarkStart w:id="160" w:name="_Toc184312115"/>
      <w:bookmarkEnd w:id="160"/>
      <w:bookmarkStart w:id="161" w:name="_Toc184313242"/>
      <w:bookmarkEnd w:id="161"/>
      <w:bookmarkStart w:id="162" w:name="_Toc184310291"/>
      <w:bookmarkEnd w:id="162"/>
      <w:bookmarkStart w:id="163" w:name="_Toc184308092"/>
      <w:bookmarkEnd w:id="163"/>
      <w:bookmarkStart w:id="164" w:name="_Toc184314424"/>
      <w:bookmarkEnd w:id="164"/>
      <w:bookmarkStart w:id="165" w:name="_Toc184313290"/>
      <w:bookmarkEnd w:id="165"/>
      <w:bookmarkStart w:id="166" w:name="_Toc184314429"/>
      <w:bookmarkEnd w:id="166"/>
      <w:bookmarkStart w:id="167" w:name="_Toc184314450"/>
      <w:bookmarkEnd w:id="167"/>
      <w:bookmarkStart w:id="168" w:name="_Toc184314457"/>
      <w:bookmarkEnd w:id="168"/>
      <w:bookmarkStart w:id="169" w:name="_Toc184312067"/>
      <w:bookmarkEnd w:id="169"/>
      <w:bookmarkStart w:id="170" w:name="_Toc184313276"/>
      <w:bookmarkEnd w:id="170"/>
      <w:bookmarkStart w:id="171" w:name="_Toc184313266"/>
      <w:bookmarkEnd w:id="171"/>
      <w:bookmarkStart w:id="172" w:name="_Toc184312118"/>
      <w:bookmarkEnd w:id="172"/>
      <w:bookmarkStart w:id="173" w:name="_Toc184308100"/>
      <w:bookmarkEnd w:id="173"/>
      <w:bookmarkStart w:id="174" w:name="_Toc184313282"/>
      <w:bookmarkEnd w:id="174"/>
      <w:bookmarkStart w:id="175" w:name="_Toc184310301"/>
      <w:bookmarkEnd w:id="175"/>
      <w:bookmarkStart w:id="176" w:name="_Toc184314436"/>
      <w:bookmarkEnd w:id="176"/>
      <w:bookmarkStart w:id="177" w:name="_Toc184310315"/>
      <w:bookmarkEnd w:id="177"/>
      <w:bookmarkStart w:id="178" w:name="_Toc184308080"/>
      <w:bookmarkEnd w:id="178"/>
      <w:bookmarkStart w:id="179" w:name="_Toc184310292"/>
      <w:bookmarkEnd w:id="179"/>
      <w:bookmarkStart w:id="180" w:name="_Toc184313253"/>
      <w:bookmarkEnd w:id="180"/>
      <w:bookmarkStart w:id="181" w:name="_Toc184310277"/>
      <w:bookmarkEnd w:id="181"/>
      <w:bookmarkStart w:id="182" w:name="_Toc184312098"/>
      <w:bookmarkEnd w:id="182"/>
      <w:bookmarkStart w:id="183" w:name="_Toc184314464"/>
      <w:bookmarkEnd w:id="183"/>
      <w:bookmarkStart w:id="184" w:name="_Toc184310332"/>
      <w:bookmarkEnd w:id="184"/>
      <w:bookmarkStart w:id="185" w:name="_Toc184314411"/>
      <w:bookmarkEnd w:id="185"/>
      <w:bookmarkStart w:id="186" w:name="_Toc184314420"/>
      <w:bookmarkEnd w:id="186"/>
      <w:bookmarkStart w:id="187" w:name="_Toc184308095"/>
      <w:bookmarkEnd w:id="187"/>
      <w:bookmarkStart w:id="188" w:name="_Toc184312110"/>
      <w:bookmarkEnd w:id="188"/>
      <w:bookmarkStart w:id="189" w:name="_Toc184314454"/>
      <w:bookmarkEnd w:id="189"/>
      <w:bookmarkStart w:id="190" w:name="_Toc184313272"/>
      <w:bookmarkEnd w:id="190"/>
      <w:bookmarkStart w:id="191" w:name="_Toc184314466"/>
      <w:bookmarkEnd w:id="191"/>
      <w:bookmarkStart w:id="192" w:name="_Toc184308041"/>
      <w:bookmarkEnd w:id="192"/>
      <w:bookmarkStart w:id="193" w:name="_Toc184314476"/>
      <w:bookmarkEnd w:id="193"/>
      <w:bookmarkStart w:id="194" w:name="_Toc184310311"/>
      <w:bookmarkEnd w:id="194"/>
      <w:bookmarkStart w:id="195" w:name="_Toc184312090"/>
      <w:bookmarkEnd w:id="195"/>
      <w:bookmarkStart w:id="196" w:name="_Toc184314447"/>
      <w:bookmarkEnd w:id="196"/>
      <w:bookmarkStart w:id="197" w:name="_Toc184310321"/>
      <w:bookmarkEnd w:id="197"/>
      <w:bookmarkStart w:id="198" w:name="_Toc184314444"/>
      <w:bookmarkEnd w:id="198"/>
      <w:bookmarkStart w:id="199" w:name="_Toc184310298"/>
      <w:bookmarkEnd w:id="199"/>
      <w:bookmarkStart w:id="200" w:name="_Toc184310294"/>
      <w:bookmarkEnd w:id="200"/>
      <w:bookmarkStart w:id="201" w:name="_Toc184308043"/>
      <w:bookmarkEnd w:id="201"/>
      <w:bookmarkStart w:id="202" w:name="_Toc184310336"/>
      <w:bookmarkEnd w:id="202"/>
      <w:bookmarkStart w:id="203" w:name="_Toc184308108"/>
      <w:bookmarkEnd w:id="203"/>
      <w:bookmarkStart w:id="204" w:name="_Toc184308050"/>
      <w:bookmarkEnd w:id="204"/>
      <w:bookmarkStart w:id="205" w:name="_Toc184308057"/>
      <w:bookmarkEnd w:id="205"/>
      <w:bookmarkStart w:id="206" w:name="_Toc184313252"/>
      <w:bookmarkEnd w:id="206"/>
      <w:bookmarkStart w:id="207" w:name="_Toc184314443"/>
      <w:bookmarkEnd w:id="207"/>
      <w:bookmarkStart w:id="208" w:name="_Toc184308066"/>
      <w:bookmarkEnd w:id="208"/>
      <w:bookmarkStart w:id="209" w:name="_Toc184308058"/>
      <w:bookmarkEnd w:id="209"/>
      <w:bookmarkStart w:id="210" w:name="_Toc184312096"/>
      <w:bookmarkEnd w:id="210"/>
      <w:bookmarkStart w:id="211" w:name="_Toc184313246"/>
      <w:bookmarkEnd w:id="211"/>
      <w:bookmarkStart w:id="212" w:name="_Toc184308069"/>
      <w:bookmarkEnd w:id="212"/>
      <w:bookmarkStart w:id="213" w:name="_Toc184312113"/>
      <w:bookmarkEnd w:id="213"/>
      <w:bookmarkStart w:id="214" w:name="_Toc184308054"/>
      <w:bookmarkEnd w:id="214"/>
      <w:bookmarkStart w:id="215" w:name="_Toc184310272"/>
      <w:bookmarkEnd w:id="215"/>
      <w:bookmarkStart w:id="216" w:name="_Toc184310299"/>
      <w:bookmarkEnd w:id="216"/>
      <w:bookmarkStart w:id="217" w:name="_Toc184312136"/>
      <w:bookmarkEnd w:id="217"/>
      <w:bookmarkStart w:id="218" w:name="_Toc184312069"/>
      <w:bookmarkEnd w:id="218"/>
      <w:bookmarkStart w:id="219" w:name="_Toc184314423"/>
      <w:bookmarkEnd w:id="219"/>
      <w:bookmarkStart w:id="220" w:name="_Toc184308073"/>
      <w:bookmarkEnd w:id="220"/>
      <w:bookmarkStart w:id="221" w:name="_Toc184312131"/>
      <w:bookmarkEnd w:id="221"/>
      <w:bookmarkStart w:id="222" w:name="_Toc184313294"/>
      <w:bookmarkEnd w:id="222"/>
      <w:bookmarkStart w:id="223" w:name="_Toc184314433"/>
      <w:bookmarkEnd w:id="223"/>
      <w:bookmarkStart w:id="224" w:name="_Toc184308094"/>
      <w:bookmarkEnd w:id="224"/>
      <w:bookmarkStart w:id="225" w:name="_Toc184310296"/>
      <w:bookmarkEnd w:id="225"/>
      <w:bookmarkStart w:id="226" w:name="_Toc184308061"/>
      <w:bookmarkEnd w:id="226"/>
      <w:bookmarkStart w:id="227" w:name="_Toc184313297"/>
      <w:bookmarkEnd w:id="227"/>
      <w:bookmarkStart w:id="228" w:name="_Toc184313278"/>
      <w:bookmarkEnd w:id="228"/>
      <w:bookmarkStart w:id="229" w:name="_Toc184313304"/>
      <w:bookmarkEnd w:id="229"/>
      <w:bookmarkStart w:id="230" w:name="_Toc184310337"/>
      <w:bookmarkEnd w:id="230"/>
      <w:bookmarkStart w:id="231" w:name="_Toc184314438"/>
      <w:bookmarkEnd w:id="231"/>
      <w:bookmarkStart w:id="232" w:name="_Toc184312135"/>
      <w:bookmarkEnd w:id="232"/>
      <w:bookmarkStart w:id="233" w:name="_Toc184314446"/>
      <w:bookmarkEnd w:id="233"/>
      <w:bookmarkStart w:id="234" w:name="_Toc184313284"/>
      <w:bookmarkEnd w:id="234"/>
      <w:bookmarkStart w:id="235" w:name="_Toc184308078"/>
      <w:bookmarkEnd w:id="235"/>
      <w:bookmarkStart w:id="236" w:name="_Toc184310283"/>
      <w:bookmarkEnd w:id="236"/>
      <w:bookmarkStart w:id="237" w:name="_Toc184310331"/>
      <w:bookmarkEnd w:id="237"/>
      <w:bookmarkStart w:id="238" w:name="_Toc184314482"/>
      <w:bookmarkEnd w:id="238"/>
      <w:bookmarkStart w:id="239" w:name="_Toc184310305"/>
      <w:bookmarkEnd w:id="239"/>
      <w:bookmarkStart w:id="240" w:name="_Toc184308036"/>
      <w:bookmarkEnd w:id="240"/>
      <w:bookmarkStart w:id="241" w:name="_Toc184313269"/>
      <w:bookmarkEnd w:id="241"/>
      <w:bookmarkStart w:id="242" w:name="_Toc184312084"/>
      <w:bookmarkEnd w:id="242"/>
      <w:bookmarkStart w:id="243" w:name="_Toc184314448"/>
      <w:bookmarkEnd w:id="243"/>
      <w:bookmarkStart w:id="244" w:name="_Toc184314414"/>
      <w:bookmarkEnd w:id="244"/>
      <w:bookmarkStart w:id="245" w:name="_Toc184310312"/>
      <w:bookmarkEnd w:id="245"/>
      <w:bookmarkStart w:id="246" w:name="_Toc184314475"/>
      <w:bookmarkEnd w:id="246"/>
      <w:bookmarkStart w:id="247" w:name="_Toc184312092"/>
      <w:bookmarkEnd w:id="247"/>
      <w:bookmarkStart w:id="248" w:name="_Toc184314461"/>
      <w:bookmarkEnd w:id="248"/>
      <w:bookmarkStart w:id="249" w:name="_Toc184313286"/>
      <w:bookmarkEnd w:id="249"/>
      <w:bookmarkStart w:id="250" w:name="_Toc184313256"/>
      <w:bookmarkEnd w:id="250"/>
      <w:bookmarkStart w:id="251" w:name="_Toc184313271"/>
      <w:bookmarkEnd w:id="251"/>
      <w:bookmarkStart w:id="252" w:name="_Toc184310328"/>
      <w:bookmarkEnd w:id="252"/>
      <w:bookmarkStart w:id="253" w:name="_Toc184313298"/>
      <w:bookmarkEnd w:id="253"/>
      <w:bookmarkStart w:id="254" w:name="_Toc184310308"/>
      <w:bookmarkEnd w:id="254"/>
      <w:bookmarkStart w:id="255" w:name="_Toc184308085"/>
      <w:bookmarkEnd w:id="255"/>
      <w:bookmarkStart w:id="256" w:name="_Toc184312106"/>
      <w:bookmarkEnd w:id="256"/>
      <w:bookmarkStart w:id="257" w:name="_Toc184312123"/>
      <w:bookmarkEnd w:id="257"/>
      <w:bookmarkStart w:id="258" w:name="_Toc184312088"/>
      <w:bookmarkEnd w:id="258"/>
      <w:bookmarkStart w:id="259" w:name="_Toc184312124"/>
      <w:bookmarkEnd w:id="259"/>
      <w:bookmarkStart w:id="260" w:name="_Toc184308046"/>
      <w:bookmarkEnd w:id="260"/>
      <w:bookmarkStart w:id="261" w:name="_Toc184310324"/>
      <w:bookmarkEnd w:id="261"/>
      <w:bookmarkStart w:id="262" w:name="_Toc184312137"/>
      <w:bookmarkEnd w:id="262"/>
      <w:bookmarkStart w:id="263" w:name="_Toc184313261"/>
      <w:bookmarkEnd w:id="263"/>
      <w:bookmarkStart w:id="264" w:name="_Toc184308081"/>
      <w:bookmarkEnd w:id="264"/>
      <w:bookmarkStart w:id="265" w:name="_Toc184314431"/>
      <w:bookmarkEnd w:id="265"/>
      <w:bookmarkStart w:id="266" w:name="_Toc184310335"/>
      <w:bookmarkEnd w:id="266"/>
      <w:bookmarkStart w:id="267" w:name="_Toc184313273"/>
      <w:bookmarkEnd w:id="267"/>
      <w:bookmarkStart w:id="268" w:name="_Toc184308047"/>
      <w:bookmarkEnd w:id="268"/>
      <w:bookmarkStart w:id="269" w:name="_Toc184308045"/>
      <w:bookmarkEnd w:id="269"/>
      <w:bookmarkStart w:id="270" w:name="_Toc184314445"/>
      <w:bookmarkEnd w:id="270"/>
      <w:bookmarkStart w:id="271" w:name="_Toc184314412"/>
      <w:bookmarkEnd w:id="271"/>
      <w:bookmarkStart w:id="272" w:name="_Toc184312099"/>
      <w:bookmarkEnd w:id="272"/>
      <w:bookmarkStart w:id="273" w:name="_Toc184312087"/>
      <w:bookmarkEnd w:id="273"/>
      <w:bookmarkStart w:id="274" w:name="_Toc184312097"/>
      <w:bookmarkEnd w:id="274"/>
      <w:bookmarkStart w:id="275" w:name="_Toc184310286"/>
      <w:bookmarkEnd w:id="275"/>
      <w:bookmarkStart w:id="276" w:name="_Toc184312126"/>
      <w:bookmarkEnd w:id="276"/>
      <w:bookmarkStart w:id="277" w:name="_Toc184313302"/>
      <w:bookmarkEnd w:id="277"/>
      <w:bookmarkStart w:id="278" w:name="_Toc184312139"/>
      <w:bookmarkEnd w:id="278"/>
      <w:bookmarkStart w:id="279" w:name="_Toc184312108"/>
      <w:bookmarkEnd w:id="279"/>
      <w:bookmarkStart w:id="280" w:name="_Toc184310287"/>
      <w:bookmarkEnd w:id="280"/>
      <w:bookmarkStart w:id="281" w:name="_Toc184314468"/>
      <w:bookmarkEnd w:id="281"/>
      <w:bookmarkStart w:id="282" w:name="_Toc184308088"/>
      <w:bookmarkEnd w:id="282"/>
      <w:bookmarkStart w:id="283" w:name="_Toc184313244"/>
      <w:bookmarkEnd w:id="283"/>
      <w:bookmarkStart w:id="284" w:name="_Toc184310318"/>
      <w:bookmarkEnd w:id="284"/>
      <w:bookmarkStart w:id="285" w:name="_Toc184313263"/>
      <w:bookmarkEnd w:id="285"/>
      <w:bookmarkStart w:id="286" w:name="_Toc184313299"/>
      <w:bookmarkEnd w:id="286"/>
      <w:bookmarkStart w:id="287" w:name="_Toc184312134"/>
      <w:bookmarkEnd w:id="287"/>
      <w:bookmarkStart w:id="288" w:name="_Toc184312081"/>
      <w:bookmarkEnd w:id="288"/>
      <w:bookmarkStart w:id="289" w:name="_Toc184308107"/>
      <w:bookmarkEnd w:id="289"/>
      <w:bookmarkStart w:id="290" w:name="_Toc184310339"/>
      <w:bookmarkEnd w:id="290"/>
      <w:bookmarkStart w:id="291" w:name="_Toc184313259"/>
      <w:bookmarkEnd w:id="291"/>
      <w:bookmarkStart w:id="292" w:name="_Toc184314474"/>
      <w:bookmarkEnd w:id="292"/>
      <w:bookmarkStart w:id="293" w:name="_Toc184310307"/>
      <w:bookmarkEnd w:id="293"/>
      <w:bookmarkStart w:id="294" w:name="_Toc184310340"/>
      <w:bookmarkEnd w:id="294"/>
      <w:bookmarkStart w:id="295" w:name="_Toc184314422"/>
      <w:bookmarkEnd w:id="295"/>
      <w:bookmarkStart w:id="296" w:name="_Toc184314413"/>
      <w:bookmarkEnd w:id="296"/>
      <w:bookmarkStart w:id="297" w:name="_Toc184308106"/>
      <w:bookmarkEnd w:id="297"/>
      <w:bookmarkStart w:id="298" w:name="_Toc184312070"/>
      <w:bookmarkEnd w:id="298"/>
      <w:bookmarkStart w:id="299" w:name="_Toc184310309"/>
      <w:bookmarkEnd w:id="299"/>
      <w:bookmarkStart w:id="300" w:name="_Toc184310342"/>
      <w:bookmarkEnd w:id="300"/>
      <w:bookmarkStart w:id="301" w:name="_Toc184313303"/>
      <w:bookmarkEnd w:id="301"/>
      <w:bookmarkStart w:id="302" w:name="_Toc184312107"/>
      <w:bookmarkEnd w:id="302"/>
      <w:bookmarkStart w:id="303" w:name="_Toc184312072"/>
      <w:bookmarkEnd w:id="303"/>
      <w:bookmarkStart w:id="304" w:name="_Toc184313255"/>
      <w:bookmarkEnd w:id="304"/>
      <w:bookmarkStart w:id="305" w:name="_Toc184314437"/>
      <w:bookmarkEnd w:id="305"/>
      <w:bookmarkStart w:id="306" w:name="_Toc184314430"/>
      <w:bookmarkEnd w:id="306"/>
      <w:bookmarkStart w:id="307" w:name="_Toc184313270"/>
      <w:bookmarkEnd w:id="307"/>
      <w:bookmarkStart w:id="308" w:name="_Toc184310326"/>
      <w:bookmarkEnd w:id="308"/>
      <w:bookmarkStart w:id="309" w:name="_Toc184308072"/>
      <w:bookmarkEnd w:id="309"/>
      <w:bookmarkStart w:id="310" w:name="_Toc184310300"/>
      <w:bookmarkEnd w:id="310"/>
      <w:bookmarkStart w:id="311" w:name="_Toc184313268"/>
      <w:bookmarkEnd w:id="311"/>
      <w:bookmarkStart w:id="312" w:name="_Toc184312077"/>
      <w:bookmarkEnd w:id="312"/>
      <w:bookmarkStart w:id="313" w:name="_Toc184308049"/>
      <w:bookmarkEnd w:id="313"/>
      <w:bookmarkStart w:id="314" w:name="_Toc184310341"/>
      <w:bookmarkEnd w:id="314"/>
      <w:bookmarkStart w:id="315" w:name="_Toc184314473"/>
      <w:bookmarkEnd w:id="315"/>
      <w:bookmarkStart w:id="316" w:name="_Toc184313288"/>
      <w:bookmarkEnd w:id="316"/>
      <w:bookmarkStart w:id="317" w:name="_Toc184314463"/>
      <w:bookmarkEnd w:id="317"/>
      <w:bookmarkStart w:id="318" w:name="_Toc184310327"/>
      <w:bookmarkEnd w:id="318"/>
      <w:bookmarkStart w:id="319" w:name="_Toc184313267"/>
      <w:bookmarkEnd w:id="319"/>
      <w:bookmarkStart w:id="320" w:name="_Toc184308055"/>
      <w:bookmarkEnd w:id="320"/>
      <w:bookmarkStart w:id="321" w:name="_Toc184310278"/>
      <w:bookmarkEnd w:id="321"/>
      <w:bookmarkStart w:id="322" w:name="_Toc184308063"/>
      <w:bookmarkEnd w:id="322"/>
      <w:bookmarkStart w:id="323" w:name="_Toc184310322"/>
      <w:bookmarkEnd w:id="323"/>
      <w:bookmarkStart w:id="324" w:name="_Toc184310273"/>
      <w:bookmarkEnd w:id="324"/>
      <w:bookmarkStart w:id="325" w:name="_Toc184310323"/>
      <w:bookmarkEnd w:id="325"/>
      <w:bookmarkStart w:id="326" w:name="_Toc184310302"/>
      <w:bookmarkEnd w:id="326"/>
      <w:bookmarkStart w:id="327" w:name="_Toc184314452"/>
      <w:bookmarkEnd w:id="327"/>
      <w:bookmarkStart w:id="328" w:name="_Toc184308096"/>
      <w:bookmarkEnd w:id="328"/>
      <w:bookmarkStart w:id="329" w:name="_Toc184313264"/>
      <w:bookmarkEnd w:id="329"/>
      <w:bookmarkStart w:id="330" w:name="_Toc184314410"/>
      <w:bookmarkEnd w:id="330"/>
      <w:bookmarkStart w:id="331" w:name="_Toc184313277"/>
      <w:bookmarkEnd w:id="331"/>
      <w:bookmarkStart w:id="332" w:name="_Toc184310320"/>
      <w:bookmarkEnd w:id="332"/>
      <w:bookmarkStart w:id="333" w:name="_Toc184313310"/>
      <w:bookmarkEnd w:id="333"/>
      <w:bookmarkStart w:id="334" w:name="_Toc184308103"/>
      <w:bookmarkEnd w:id="334"/>
      <w:bookmarkStart w:id="335" w:name="_Toc184312100"/>
      <w:bookmarkEnd w:id="335"/>
      <w:bookmarkStart w:id="336" w:name="_Toc184308098"/>
      <w:bookmarkEnd w:id="336"/>
      <w:bookmarkStart w:id="337" w:name="_Toc184312128"/>
      <w:bookmarkEnd w:id="337"/>
      <w:bookmarkStart w:id="338" w:name="_Toc184313300"/>
      <w:bookmarkEnd w:id="338"/>
      <w:bookmarkStart w:id="339" w:name="_Toc184314481"/>
      <w:bookmarkEnd w:id="339"/>
      <w:bookmarkStart w:id="340" w:name="_Toc184308065"/>
      <w:bookmarkEnd w:id="340"/>
      <w:bookmarkStart w:id="341" w:name="_Toc184314458"/>
      <w:bookmarkEnd w:id="341"/>
      <w:bookmarkStart w:id="342" w:name="_Toc184314421"/>
      <w:bookmarkEnd w:id="342"/>
      <w:bookmarkStart w:id="343" w:name="_Toc184313249"/>
      <w:bookmarkEnd w:id="343"/>
      <w:bookmarkStart w:id="344" w:name="_Toc184308039"/>
      <w:bookmarkEnd w:id="344"/>
      <w:bookmarkStart w:id="345" w:name="_Toc184313306"/>
      <w:bookmarkEnd w:id="345"/>
      <w:bookmarkStart w:id="346" w:name="_Toc184312130"/>
      <w:bookmarkEnd w:id="346"/>
      <w:bookmarkStart w:id="347" w:name="_Toc184310295"/>
      <w:bookmarkEnd w:id="347"/>
      <w:bookmarkStart w:id="348" w:name="_Toc184308101"/>
      <w:bookmarkEnd w:id="348"/>
      <w:bookmarkStart w:id="349" w:name="_Toc184310276"/>
      <w:bookmarkEnd w:id="349"/>
      <w:bookmarkStart w:id="350" w:name="_Toc184310343"/>
      <w:bookmarkEnd w:id="350"/>
      <w:bookmarkStart w:id="351" w:name="_Toc184312079"/>
      <w:bookmarkEnd w:id="351"/>
      <w:bookmarkStart w:id="352" w:name="_Toc184308064"/>
      <w:bookmarkEnd w:id="352"/>
      <w:bookmarkStart w:id="353" w:name="_Toc184313241"/>
      <w:bookmarkEnd w:id="353"/>
      <w:bookmarkStart w:id="354" w:name="_Toc184313293"/>
      <w:bookmarkEnd w:id="354"/>
      <w:bookmarkStart w:id="355" w:name="_Toc184310306"/>
      <w:bookmarkEnd w:id="355"/>
      <w:bookmarkStart w:id="356" w:name="_Toc184313258"/>
      <w:bookmarkEnd w:id="356"/>
      <w:bookmarkStart w:id="357" w:name="_Toc184312101"/>
      <w:bookmarkEnd w:id="357"/>
      <w:bookmarkStart w:id="358" w:name="_Toc184314434"/>
      <w:bookmarkEnd w:id="358"/>
      <w:bookmarkStart w:id="359" w:name="_Toc184314439"/>
      <w:bookmarkEnd w:id="359"/>
      <w:bookmarkStart w:id="360" w:name="_Toc184314416"/>
      <w:bookmarkEnd w:id="360"/>
      <w:bookmarkStart w:id="361" w:name="_Toc184308037"/>
      <w:bookmarkEnd w:id="361"/>
      <w:bookmarkStart w:id="362" w:name="_Toc184312085"/>
      <w:bookmarkEnd w:id="362"/>
      <w:bookmarkStart w:id="363" w:name="_Toc184313295"/>
      <w:bookmarkEnd w:id="363"/>
      <w:bookmarkStart w:id="364" w:name="_Toc184312082"/>
      <w:bookmarkEnd w:id="364"/>
      <w:bookmarkStart w:id="365" w:name="_Toc184314469"/>
      <w:bookmarkEnd w:id="365"/>
      <w:bookmarkStart w:id="366" w:name="_Toc184313247"/>
      <w:bookmarkEnd w:id="366"/>
      <w:bookmarkStart w:id="367" w:name="_Toc184312120"/>
      <w:bookmarkEnd w:id="367"/>
      <w:bookmarkStart w:id="368" w:name="_Toc184310330"/>
      <w:bookmarkEnd w:id="368"/>
      <w:bookmarkStart w:id="369" w:name="_Toc184310274"/>
      <w:bookmarkEnd w:id="369"/>
      <w:bookmarkStart w:id="370" w:name="_Toc184308042"/>
      <w:bookmarkEnd w:id="370"/>
      <w:bookmarkStart w:id="371" w:name="_Toc184313240"/>
      <w:bookmarkEnd w:id="371"/>
      <w:bookmarkStart w:id="372" w:name="_Toc184313238"/>
      <w:bookmarkEnd w:id="372"/>
      <w:bookmarkStart w:id="373" w:name="_Toc184314467"/>
      <w:bookmarkEnd w:id="373"/>
      <w:bookmarkStart w:id="374" w:name="_Toc184308105"/>
      <w:bookmarkEnd w:id="374"/>
      <w:bookmarkStart w:id="375" w:name="_Toc184313245"/>
      <w:bookmarkEnd w:id="375"/>
      <w:bookmarkStart w:id="376" w:name="_Toc184314451"/>
      <w:bookmarkEnd w:id="376"/>
      <w:bookmarkStart w:id="377" w:name="_Toc184310279"/>
      <w:bookmarkEnd w:id="377"/>
      <w:bookmarkStart w:id="378" w:name="_Toc184314419"/>
      <w:bookmarkEnd w:id="378"/>
      <w:bookmarkStart w:id="379" w:name="_Toc184314455"/>
      <w:bookmarkEnd w:id="379"/>
      <w:bookmarkStart w:id="380" w:name="_Toc184313239"/>
      <w:bookmarkEnd w:id="380"/>
      <w:bookmarkStart w:id="381" w:name="_Toc184308062"/>
      <w:bookmarkEnd w:id="381"/>
      <w:bookmarkStart w:id="382" w:name="_Toc184308082"/>
      <w:bookmarkEnd w:id="382"/>
      <w:bookmarkStart w:id="383" w:name="_Toc184313307"/>
      <w:bookmarkEnd w:id="383"/>
      <w:bookmarkStart w:id="384" w:name="_Toc184308044"/>
      <w:bookmarkEnd w:id="384"/>
      <w:bookmarkStart w:id="385" w:name="_Toc184308048"/>
      <w:bookmarkEnd w:id="385"/>
      <w:bookmarkStart w:id="386" w:name="_Toc184313279"/>
      <w:bookmarkEnd w:id="386"/>
      <w:bookmarkStart w:id="387" w:name="_Toc184314427"/>
      <w:bookmarkEnd w:id="387"/>
      <w:bookmarkStart w:id="388" w:name="_Toc184310303"/>
      <w:bookmarkEnd w:id="388"/>
      <w:bookmarkStart w:id="389" w:name="_Toc184314440"/>
      <w:bookmarkEnd w:id="389"/>
      <w:bookmarkStart w:id="390" w:name="_Toc184312076"/>
      <w:bookmarkEnd w:id="390"/>
      <w:bookmarkStart w:id="391" w:name="_Toc184312112"/>
      <w:bookmarkEnd w:id="391"/>
      <w:bookmarkStart w:id="392" w:name="_Toc184313250"/>
      <w:bookmarkEnd w:id="392"/>
      <w:bookmarkStart w:id="393" w:name="_Toc184313305"/>
      <w:bookmarkEnd w:id="393"/>
      <w:bookmarkStart w:id="394" w:name="_Toc184314470"/>
      <w:bookmarkEnd w:id="394"/>
      <w:bookmarkStart w:id="395" w:name="_Toc184312104"/>
      <w:bookmarkEnd w:id="395"/>
      <w:bookmarkStart w:id="396" w:name="_Toc184308071"/>
      <w:bookmarkEnd w:id="396"/>
      <w:bookmarkStart w:id="397" w:name="_Toc184312129"/>
      <w:bookmarkEnd w:id="397"/>
      <w:bookmarkStart w:id="398" w:name="_Toc184308060"/>
      <w:bookmarkEnd w:id="398"/>
      <w:bookmarkStart w:id="399" w:name="_Toc184313280"/>
      <w:bookmarkEnd w:id="399"/>
      <w:bookmarkStart w:id="400" w:name="_Toc184310310"/>
      <w:bookmarkEnd w:id="400"/>
      <w:bookmarkStart w:id="401" w:name="_Toc184310334"/>
      <w:bookmarkEnd w:id="401"/>
      <w:bookmarkStart w:id="402" w:name="_Toc184310284"/>
      <w:bookmarkEnd w:id="402"/>
      <w:bookmarkStart w:id="403" w:name="_Toc184310313"/>
      <w:bookmarkEnd w:id="403"/>
      <w:bookmarkStart w:id="404" w:name="_Toc184310319"/>
      <w:bookmarkEnd w:id="404"/>
      <w:bookmarkStart w:id="405" w:name="_Toc184310329"/>
      <w:bookmarkEnd w:id="405"/>
      <w:bookmarkStart w:id="406" w:name="_Toc184308056"/>
      <w:bookmarkEnd w:id="406"/>
      <w:bookmarkStart w:id="407" w:name="_Toc184314471"/>
      <w:bookmarkEnd w:id="407"/>
      <w:bookmarkStart w:id="408" w:name="_Toc184308079"/>
      <w:bookmarkEnd w:id="408"/>
      <w:bookmarkStart w:id="409" w:name="_Toc184312105"/>
      <w:bookmarkEnd w:id="409"/>
      <w:bookmarkStart w:id="410" w:name="_Toc184310344"/>
      <w:bookmarkEnd w:id="410"/>
      <w:bookmarkStart w:id="411" w:name="_Toc184313283"/>
      <w:bookmarkEnd w:id="411"/>
      <w:bookmarkStart w:id="412" w:name="_Toc184314432"/>
      <w:bookmarkEnd w:id="412"/>
      <w:bookmarkStart w:id="413" w:name="_Toc184312117"/>
      <w:bookmarkEnd w:id="413"/>
      <w:bookmarkStart w:id="414" w:name="_Toc184314428"/>
      <w:bookmarkEnd w:id="414"/>
      <w:bookmarkStart w:id="415" w:name="_Toc184312109"/>
      <w:bookmarkEnd w:id="415"/>
      <w:bookmarkStart w:id="416" w:name="_Toc184312127"/>
      <w:bookmarkEnd w:id="416"/>
      <w:bookmarkStart w:id="417" w:name="_Toc184308104"/>
      <w:bookmarkEnd w:id="417"/>
      <w:bookmarkStart w:id="418" w:name="_Toc184312093"/>
      <w:bookmarkEnd w:id="418"/>
      <w:bookmarkStart w:id="419" w:name="_Toc184312103"/>
      <w:bookmarkEnd w:id="419"/>
      <w:bookmarkStart w:id="420" w:name="_Toc184308067"/>
      <w:bookmarkEnd w:id="420"/>
      <w:bookmarkStart w:id="421" w:name="_Toc184313260"/>
      <w:bookmarkEnd w:id="421"/>
      <w:bookmarkStart w:id="422" w:name="_Toc184312080"/>
      <w:bookmarkEnd w:id="422"/>
      <w:bookmarkStart w:id="423" w:name="_Toc184312121"/>
      <w:bookmarkEnd w:id="423"/>
      <w:bookmarkStart w:id="424" w:name="_Toc184313292"/>
      <w:bookmarkEnd w:id="424"/>
      <w:bookmarkStart w:id="425" w:name="_Toc184312116"/>
      <w:bookmarkEnd w:id="425"/>
      <w:bookmarkStart w:id="426" w:name="_Toc184310293"/>
      <w:bookmarkEnd w:id="426"/>
      <w:bookmarkStart w:id="427" w:name="_Toc184312071"/>
      <w:bookmarkEnd w:id="427"/>
      <w:bookmarkStart w:id="428" w:name="_Toc184314477"/>
      <w:bookmarkEnd w:id="428"/>
      <w:bookmarkStart w:id="429" w:name="_Toc184313308"/>
      <w:bookmarkEnd w:id="429"/>
      <w:bookmarkStart w:id="430" w:name="_Toc4351"/>
      <w:bookmarkStart w:id="431" w:name="_Toc11884"/>
      <w:bookmarkStart w:id="432" w:name="_Toc32134"/>
      <w:bookmarkStart w:id="433" w:name="_Toc5081"/>
      <w:bookmarkStart w:id="434" w:name="_Toc324"/>
      <w:bookmarkStart w:id="435" w:name="_Toc28844"/>
      <w:bookmarkStart w:id="436" w:name="_Toc10932"/>
      <w:bookmarkStart w:id="437" w:name="_Toc24799"/>
      <w:bookmarkStart w:id="438" w:name="_Toc22598"/>
      <w:bookmarkStart w:id="439" w:name="_Toc26722"/>
      <w:bookmarkStart w:id="440" w:name="_Toc6657"/>
      <w:bookmarkStart w:id="441" w:name="_Toc13398"/>
      <w:bookmarkStart w:id="442" w:name="第四部分"/>
      <w:r>
        <w:rPr>
          <w:rFonts w:hint="eastAsia" w:ascii="宋体" w:hAnsi="宋体" w:eastAsia="宋体" w:cs="宋体"/>
          <w:i w:val="0"/>
          <w:iCs w:val="0"/>
          <w:color w:val="auto"/>
          <w:kern w:val="0"/>
          <w:sz w:val="24"/>
          <w:highlight w:val="none"/>
        </w:rPr>
        <w:t>1</w:t>
      </w:r>
      <w:r>
        <w:rPr>
          <w:rFonts w:hint="eastAsia" w:ascii="宋体" w:hAnsi="宋体" w:eastAsia="宋体" w:cs="宋体"/>
          <w:i w:val="0"/>
          <w:iCs w:val="0"/>
          <w:color w:val="auto"/>
          <w:kern w:val="0"/>
          <w:sz w:val="24"/>
          <w:highlight w:val="none"/>
          <w:lang w:val="en-US" w:eastAsia="zh-CN"/>
        </w:rPr>
        <w:t>.</w:t>
      </w:r>
      <w:r>
        <w:rPr>
          <w:rFonts w:hint="eastAsia" w:ascii="宋体" w:hAnsi="宋体" w:eastAsia="宋体" w:cs="宋体"/>
          <w:i w:val="0"/>
          <w:iCs w:val="0"/>
          <w:color w:val="auto"/>
          <w:kern w:val="0"/>
          <w:sz w:val="24"/>
          <w:highlight w:val="none"/>
        </w:rPr>
        <w:t>征集人或服务对象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2</w:t>
      </w:r>
      <w:r>
        <w:rPr>
          <w:rFonts w:hint="eastAsia" w:ascii="宋体" w:hAnsi="宋体" w:eastAsia="宋体" w:cs="宋体"/>
          <w:i w:val="0"/>
          <w:iCs w:val="0"/>
          <w:color w:val="auto"/>
          <w:kern w:val="0"/>
          <w:sz w:val="24"/>
          <w:highlight w:val="none"/>
          <w:lang w:val="en-US" w:eastAsia="zh-CN"/>
        </w:rPr>
        <w:t>.</w:t>
      </w:r>
      <w:r>
        <w:rPr>
          <w:rFonts w:hint="eastAsia" w:ascii="宋体" w:hAnsi="宋体" w:eastAsia="宋体" w:cs="宋体"/>
          <w:i w:val="0"/>
          <w:iCs w:val="0"/>
          <w:color w:val="auto"/>
          <w:kern w:val="0"/>
          <w:sz w:val="24"/>
          <w:highlight w:val="none"/>
        </w:rPr>
        <w:t>征集人或服务对象可以邀请参加本项目的其他供应商或者第三方机构参与验收。参与验收的供应商或者第三方机构的意见作为验收书的参考资料一并存档。</w:t>
      </w:r>
    </w:p>
    <w:p>
      <w:pPr>
        <w:tabs>
          <w:tab w:val="left" w:pos="0"/>
        </w:tabs>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3</w:t>
      </w:r>
      <w:r>
        <w:rPr>
          <w:rFonts w:hint="eastAsia" w:ascii="宋体" w:hAnsi="宋体" w:eastAsia="宋体" w:cs="宋体"/>
          <w:i w:val="0"/>
          <w:iCs w:val="0"/>
          <w:color w:val="auto"/>
          <w:kern w:val="0"/>
          <w:sz w:val="24"/>
          <w:highlight w:val="none"/>
          <w:lang w:val="en-US" w:eastAsia="zh-CN"/>
        </w:rPr>
        <w:t>.</w:t>
      </w:r>
      <w:r>
        <w:rPr>
          <w:rFonts w:hint="eastAsia" w:ascii="宋体" w:hAnsi="宋体" w:eastAsia="宋体" w:cs="宋体"/>
          <w:i w:val="0"/>
          <w:iCs w:val="0"/>
          <w:color w:val="auto"/>
          <w:kern w:val="0"/>
          <w:sz w:val="24"/>
          <w:highlight w:val="none"/>
        </w:rPr>
        <w:t>严格按照采购合同开展履约验收。征集人或服务对象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hint="eastAsia" w:ascii="宋体" w:hAnsi="宋体" w:eastAsia="宋体" w:cs="宋体"/>
          <w:i w:val="0"/>
          <w:iCs w:val="0"/>
          <w:color w:val="auto"/>
          <w:kern w:val="0"/>
          <w:sz w:val="24"/>
          <w:highlight w:val="none"/>
        </w:rPr>
        <w:sectPr>
          <w:footerReference r:id="rId11" w:type="default"/>
          <w:pgSz w:w="11905" w:h="16838"/>
          <w:pgMar w:top="1092" w:right="1417" w:bottom="1246" w:left="1417" w:header="539" w:footer="482" w:gutter="0"/>
          <w:pgNumType w:fmt="numberInDash" w:start="1"/>
          <w:cols w:space="720" w:num="1"/>
          <w:docGrid w:linePitch="312" w:charSpace="0"/>
        </w:sectPr>
      </w:pPr>
      <w:r>
        <w:rPr>
          <w:rFonts w:hint="eastAsia" w:ascii="宋体" w:hAnsi="宋体" w:eastAsia="宋体" w:cs="宋体"/>
          <w:i w:val="0"/>
          <w:iCs w:val="0"/>
          <w:color w:val="auto"/>
          <w:kern w:val="0"/>
          <w:sz w:val="24"/>
          <w:highlight w:val="none"/>
        </w:rPr>
        <w:t>4</w:t>
      </w:r>
      <w:r>
        <w:rPr>
          <w:rFonts w:hint="eastAsia" w:ascii="宋体" w:hAnsi="宋体" w:eastAsia="宋体" w:cs="宋体"/>
          <w:i w:val="0"/>
          <w:iCs w:val="0"/>
          <w:color w:val="auto"/>
          <w:kern w:val="0"/>
          <w:sz w:val="24"/>
          <w:highlight w:val="none"/>
          <w:lang w:val="en-US" w:eastAsia="zh-CN"/>
        </w:rPr>
        <w:t>.</w:t>
      </w:r>
      <w:r>
        <w:rPr>
          <w:rFonts w:hint="eastAsia" w:ascii="宋体" w:hAnsi="宋体" w:eastAsia="宋体" w:cs="宋体"/>
          <w:i w:val="0"/>
          <w:iCs w:val="0"/>
          <w:color w:val="auto"/>
          <w:kern w:val="0"/>
          <w:sz w:val="24"/>
          <w:highlight w:val="none"/>
        </w:rPr>
        <w:t>验收合格的项目，征集人或服务对象将根据采购合同的约定及时向供应商支付采购资金、退还履约保证金。验收不合格的项目，征集人将依法及时处理。采购合同的履行、违约责任和解决争议的方式等适用《中华人民共和国民法典》。供应商在履约过程中有政府采购法律法规规定的违法违规情形的，征集人应当及时报告本级财政部门。</w:t>
      </w:r>
      <w:bookmarkStart w:id="443" w:name="_Hlt68073093"/>
      <w:bookmarkEnd w:id="443"/>
      <w:bookmarkStart w:id="444" w:name="_Hlt74707468"/>
      <w:bookmarkEnd w:id="444"/>
      <w:bookmarkStart w:id="445" w:name="_Hlt74730295"/>
      <w:bookmarkEnd w:id="445"/>
      <w:bookmarkStart w:id="446" w:name="_Hlt74729768"/>
      <w:bookmarkEnd w:id="446"/>
      <w:bookmarkStart w:id="447" w:name="_Hlt75236101"/>
      <w:bookmarkEnd w:id="447"/>
      <w:bookmarkStart w:id="448" w:name="_Hlt68057669"/>
      <w:bookmarkEnd w:id="448"/>
      <w:bookmarkStart w:id="449" w:name="_Hlt68072990"/>
      <w:bookmarkEnd w:id="449"/>
      <w:bookmarkStart w:id="450" w:name="_Hlt68072998"/>
      <w:bookmarkEnd w:id="450"/>
      <w:bookmarkStart w:id="451" w:name="_Hlt68403820"/>
      <w:bookmarkEnd w:id="451"/>
      <w:bookmarkStart w:id="452" w:name="_Hlt74714665"/>
      <w:bookmarkEnd w:id="452"/>
      <w:bookmarkStart w:id="453" w:name="_Hlt75236290"/>
      <w:bookmarkEnd w:id="453"/>
      <w:bookmarkStart w:id="454" w:name="_Hlt75236011"/>
      <w:bookmarkEnd w:id="454"/>
    </w:p>
    <w:p>
      <w:pPr>
        <w:adjustRightInd/>
        <w:spacing w:line="360" w:lineRule="auto"/>
        <w:jc w:val="center"/>
        <w:outlineLvl w:val="0"/>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第四章 评审办法</w:t>
      </w:r>
      <w:bookmarkEnd w:id="430"/>
      <w:bookmarkEnd w:id="431"/>
      <w:bookmarkEnd w:id="432"/>
      <w:bookmarkEnd w:id="433"/>
      <w:bookmarkEnd w:id="434"/>
      <w:bookmarkEnd w:id="435"/>
      <w:bookmarkEnd w:id="436"/>
      <w:bookmarkEnd w:id="437"/>
      <w:bookmarkEnd w:id="438"/>
      <w:bookmarkEnd w:id="439"/>
      <w:bookmarkEnd w:id="440"/>
      <w:bookmarkEnd w:id="441"/>
    </w:p>
    <w:p>
      <w:pPr>
        <w:spacing w:line="440" w:lineRule="exact"/>
        <w:rPr>
          <w:rFonts w:hint="eastAsia" w:ascii="宋体" w:hAnsi="宋体" w:eastAsia="宋体" w:cs="宋体"/>
          <w:b/>
          <w:color w:val="auto"/>
          <w:sz w:val="24"/>
          <w:highlight w:val="none"/>
        </w:rPr>
      </w:pPr>
    </w:p>
    <w:p>
      <w:pPr>
        <w:adjustRightInd/>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本项目采用质量优先法，对满足采购需求且响应报价不超过最高限制单价的服务进行综合评分，按照质量评分从高到低排序，根据征集文件规定的淘汰率或者入围供应商数量上限，确定入围供应商的评审方法。</w:t>
      </w:r>
    </w:p>
    <w:p>
      <w:pPr>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一、评审程序</w:t>
      </w:r>
    </w:p>
    <w:p>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1.符合性审查</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评审小组应当对符合资格的供应商的响应文件进行符合性审查，以确定其是否满足征集文件的实质性要求。不满足征集文件的实质性要求的，响应无效。</w:t>
      </w:r>
    </w:p>
    <w:p>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2.比较与评价</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评审小组应当按照征集文件中规定的评审方法和标准，对符合性审查合格的响应文件进行商务和技术评估，综合比较与评价。</w:t>
      </w:r>
    </w:p>
    <w:p>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3.汇总商务技术得分</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评审小组各成员应当独立对每个供应商的商务和技术文件进行评价，并汇总商务技术得分情况。</w:t>
      </w:r>
    </w:p>
    <w:p>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4.报价评审</w:t>
      </w:r>
    </w:p>
    <w:p>
      <w:pPr>
        <w:pStyle w:val="87"/>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（1）报价文件开启后，如出现政采云开启的报价与报价文件不一致者，以报价文件为准。由评审小组根据报价文件内容进行修正。</w:t>
      </w:r>
    </w:p>
    <w:p>
      <w:pPr>
        <w:pStyle w:val="87"/>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（2）响应文件报价出现前后不一致的，按照下列规定修正：</w:t>
      </w:r>
    </w:p>
    <w:p>
      <w:pPr>
        <w:pStyle w:val="87"/>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a.响应文件中开启一览表(报价表)内容与响应文件中相应内容不一致的，以开启一览表(报价表)为准;但开启一览表(报价表)存在明显单位、文字错误的，则澄清、说明、补正；</w:t>
      </w:r>
    </w:p>
    <w:p>
      <w:pPr>
        <w:pStyle w:val="87"/>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b.大写金额和小写金额不一致的，以大写金额为准;但大写有明显单位、文字错误外的除外；</w:t>
      </w:r>
    </w:p>
    <w:p>
      <w:pPr>
        <w:pStyle w:val="87"/>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c.单价金额小数点或者百分比有明显错位的，以开启一览表的总价为准，并修改单价； </w:t>
      </w:r>
    </w:p>
    <w:p>
      <w:pPr>
        <w:pStyle w:val="87"/>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d.总价金额与按单价汇总金额不一致的，以单价金额计算结果为准。</w:t>
      </w:r>
    </w:p>
    <w:p>
      <w:pPr>
        <w:pStyle w:val="87"/>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同时出现两种以上不一致的，按照前款规定的顺序修正。修正后的报价按照财政部第87号令《政府采购货物和服务招标投标管理办法》第五十一条第二款的规定经供应商确认后产生约束力</w:t>
      </w:r>
      <w:r>
        <w:rPr>
          <w:rFonts w:hint="eastAsia" w:ascii="宋体" w:hAnsi="宋体" w:eastAsia="宋体" w:cs="宋体"/>
          <w:bCs/>
          <w:color w:val="auto"/>
          <w:szCs w:val="24"/>
          <w:highlight w:val="none"/>
        </w:rPr>
        <w:t>，供应商不确认的，其投标无效</w:t>
      </w:r>
      <w:r>
        <w:rPr>
          <w:rFonts w:hint="eastAsia" w:ascii="宋体" w:hAnsi="宋体" w:eastAsia="宋体" w:cs="宋体"/>
          <w:color w:val="auto"/>
          <w:kern w:val="0"/>
          <w:szCs w:val="24"/>
          <w:highlight w:val="none"/>
        </w:rPr>
        <w:t>。</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（3）响应文件出现不是唯一的、有选择性报价的，响应无效。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（4）报价超过征集文件中规定的预算金额或者最高单价限价的，响应无效。</w:t>
      </w:r>
    </w:p>
    <w:p>
      <w:pPr>
        <w:pStyle w:val="87"/>
        <w:spacing w:before="0" w:line="360" w:lineRule="auto"/>
        <w:ind w:firstLine="480"/>
        <w:rPr>
          <w:rFonts w:hint="eastAsia" w:ascii="宋体" w:hAnsi="宋体" w:eastAsia="宋体" w:cs="宋体"/>
          <w:b/>
          <w:bCs/>
          <w:color w:val="auto"/>
          <w:kern w:val="0"/>
          <w:szCs w:val="24"/>
          <w:highlight w:val="none"/>
        </w:rPr>
      </w:pPr>
      <w:r>
        <w:rPr>
          <w:rFonts w:hint="eastAsia" w:ascii="宋体" w:hAnsi="宋体" w:eastAsia="宋体" w:cs="宋体"/>
          <w:color w:val="auto"/>
          <w:kern w:val="0"/>
          <w:szCs w:val="24"/>
          <w:highlight w:val="none"/>
        </w:rPr>
        <w:t>（5）</w:t>
      </w:r>
      <w:r>
        <w:rPr>
          <w:rFonts w:hint="eastAsia" w:ascii="宋体" w:hAnsi="宋体" w:eastAsia="宋体" w:cs="宋体"/>
          <w:b/>
          <w:bCs/>
          <w:color w:val="auto"/>
          <w:kern w:val="0"/>
          <w:szCs w:val="24"/>
          <w:highlight w:val="none"/>
        </w:rPr>
        <w:t>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pPr>
        <w:spacing w:line="360" w:lineRule="auto"/>
        <w:ind w:firstLine="482" w:firstLineChars="200"/>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24"/>
          <w:highlight w:val="none"/>
        </w:rPr>
        <w:t>5.排序与推荐</w:t>
      </w:r>
      <w:r>
        <w:rPr>
          <w:rFonts w:hint="eastAsia" w:ascii="宋体" w:hAnsi="宋体" w:eastAsia="宋体" w:cs="宋体"/>
          <w:b/>
          <w:color w:val="auto"/>
          <w:kern w:val="0"/>
          <w:sz w:val="30"/>
          <w:szCs w:val="30"/>
          <w:highlight w:val="none"/>
        </w:rPr>
        <w:t xml:space="preserve"> </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（1）根据淘汰率、入围供应商数量上限确定入围供应商。</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本项目淘汰率为进入排序单位数量的20%（向上取整数20%。</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，推荐上限为</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家入围供应商。即：评审委员会根据综合得分高到低排序选取入围供应商。</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（2）评审委员会根据综合得分从高到低排序选取入围单位；综合得分相同时，则由评审委员会投票表决确定排序。</w:t>
      </w:r>
    </w:p>
    <w:p>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6.编写评审报告</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pPr>
        <w:widowControl/>
        <w:shd w:val="clear" w:color="auto" w:fill="FFFFFF"/>
        <w:adjustRightInd/>
        <w:spacing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二、评审中的其他事项</w:t>
      </w:r>
    </w:p>
    <w:p>
      <w:pPr>
        <w:pStyle w:val="87"/>
        <w:spacing w:before="0" w:line="360" w:lineRule="auto"/>
        <w:ind w:firstLine="482"/>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（一）供应商澄清、说明或者补正</w:t>
      </w:r>
    </w:p>
    <w:p>
      <w:pPr>
        <w:pStyle w:val="87"/>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17"/>
        <w:spacing w:line="360" w:lineRule="auto"/>
        <w:ind w:firstLine="482"/>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（二）响应无效的情形</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有下列情况之一的，响应无效：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1.供应商不具备征集文件中规定的资格要求的（供应商未提供有效的资格文件的，视为供应商不具备征集文件中规定的资格要求）；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2.响应文件未按照征集文件要求签署、盖章的；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3.征集人拟采购的产品属于政府强制采购的节能产品品目清单范围的，供应商未按征集文件要求提供国家确定的认证机构出具的、处于有效期之内的节能产品认证证书的；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4.响应文件含有征集人不能接受的附加条件的；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5.响应文件中承诺的响应有效期少于征集文件中载明的响应有效期的；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6.响应文件出现不是唯一的、有选择性响应报价的</w:t>
      </w:r>
      <w:r>
        <w:rPr>
          <w:rFonts w:hint="eastAsia" w:ascii="宋体" w:hAnsi="宋体" w:eastAsia="宋体" w:cs="宋体"/>
          <w:i w:val="0"/>
          <w:iCs w:val="0"/>
          <w:color w:val="auto"/>
          <w:kern w:val="0"/>
          <w:sz w:val="24"/>
          <w:highlight w:val="none"/>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7.响应报价超过征集文件中规定的预算金额或者最高限价的</w:t>
      </w:r>
      <w:r>
        <w:rPr>
          <w:rFonts w:hint="eastAsia" w:ascii="宋体" w:hAnsi="宋体" w:eastAsia="宋体" w:cs="宋体"/>
          <w:i w:val="0"/>
          <w:iCs w:val="0"/>
          <w:color w:val="auto"/>
          <w:kern w:val="0"/>
          <w:sz w:val="24"/>
          <w:highlight w:val="none"/>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8.报价明显低于其他通过符合性审查供应商的报价，有可能影响产品质量或者不能诚信履约的，未能按要求提供书面说明或者未提交相关证明材料，不能证明其报价合理性的</w:t>
      </w:r>
      <w:r>
        <w:rPr>
          <w:rFonts w:hint="eastAsia" w:ascii="宋体" w:hAnsi="宋体" w:eastAsia="宋体" w:cs="宋体"/>
          <w:i w:val="0"/>
          <w:iCs w:val="0"/>
          <w:color w:val="auto"/>
          <w:kern w:val="0"/>
          <w:sz w:val="24"/>
          <w:highlight w:val="none"/>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9.供应商对根据修正原则修正后的报价不确认的；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10.供应商提供虚假材料响应的；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11.供应商有恶意串通、妨碍其他供应商的竞争行为、损害征集人或者其他供应商的合法权益情形的；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12.响应文件不满足征集文件的其它实质性要求的；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13.法律、法规、规章（适用本市的）及省级以上规范性文件（适用本市的）规定的其他无效情形。</w:t>
      </w:r>
    </w:p>
    <w:p>
      <w:pPr>
        <w:widowControl/>
        <w:shd w:val="clear" w:color="auto" w:fill="FFFFFF"/>
        <w:adjustRightInd/>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（三）采购失败</w:t>
      </w:r>
    </w:p>
    <w:p>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在采购中，出现下列情形之一的，框架协议采购失败：</w:t>
      </w:r>
    </w:p>
    <w:p>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1.经淘汰后符合专业条件的供应商或者对征集文件作实质响应的供应商不足</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家的；</w:t>
      </w:r>
    </w:p>
    <w:p>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3.供应商的报价均超过了最高限价的；</w:t>
      </w:r>
    </w:p>
    <w:p>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pPr>
        <w:widowControl/>
        <w:shd w:val="clear" w:color="auto" w:fill="FFFFFF"/>
        <w:adjustRightInd/>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（四）修改征集文件，重新组织采购活动</w:t>
      </w:r>
    </w:p>
    <w:p>
      <w:pPr>
        <w:pStyle w:val="17"/>
        <w:numPr>
          <w:ilvl w:val="0"/>
          <w:numId w:val="0"/>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审小组发现征集文件存在歧义、重大缺陷导致评审工作无法进行，或者征集文件内容违反国家有关强制性规定的，将停止评审工作，并与征集人沟通并作书面记录。征集人确认后，将修改征集文件，重新组织采购活动。</w:t>
      </w:r>
    </w:p>
    <w:p>
      <w:pPr>
        <w:widowControl/>
        <w:shd w:val="clear" w:color="auto" w:fill="FFFFFF"/>
        <w:adjustRightInd/>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（五）重新开展采购</w:t>
      </w:r>
    </w:p>
    <w:p>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存在政府采购法第七十一条、第七十二条规定的违法行为之一，影响或者可能影响入围、成交结果的，依照下列规定处理：</w:t>
      </w:r>
    </w:p>
    <w:p>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1.未确定入围供应商的，终止本次政府采购活动，重新开展政府采购活动。</w:t>
      </w:r>
    </w:p>
    <w:p>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2.已确定入围供应商但尚未签订框架协议的，入围结果无效，重新开展政府采购活动。</w:t>
      </w:r>
    </w:p>
    <w:p>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3.政府采购框架协议已签订但尚未履行的，撤销框架协议，重新开展政府采购活动。</w:t>
      </w:r>
    </w:p>
    <w:p>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4.政府采购框架协议或采购合同已经履行，给征集人、供应商造成损失的，由责任人承担赔偿责任。</w:t>
      </w:r>
    </w:p>
    <w:p>
      <w:pPr>
        <w:pStyle w:val="1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5.政府采购当事人有其他违反政府采购法或者政府采购法实施条例等法律法规规定的行为，经改正后仍然影响或者可能影响入围、成交结果或者依法被认定为入围、成交无效的，依照1-4规定处理。</w:t>
      </w:r>
    </w:p>
    <w:p>
      <w:pPr>
        <w:pStyle w:val="17"/>
        <w:snapToGrid w:val="0"/>
        <w:spacing w:line="40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三、评审细则</w:t>
      </w:r>
    </w:p>
    <w:p>
      <w:pPr>
        <w:spacing w:line="360" w:lineRule="auto"/>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lang w:val="en-US" w:eastAsia="zh-CN"/>
        </w:rPr>
        <w:t>一</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总则</w:t>
      </w:r>
    </w:p>
    <w:p>
      <w:pPr>
        <w:spacing w:line="360" w:lineRule="auto"/>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本次评标采用综合评分法，总分为100分。合格投标人的评标得分为各项目汇总得分，中标候选资格按评标得分由高到低顺序排列，得分相同的，按投标报价由低到高顺序排列；得分且投标报价相同的，按技术指标优劣顺序排列。排名第一的投标人为中标候选人</w:t>
      </w:r>
      <w:r>
        <w:rPr>
          <w:rFonts w:hint="eastAsia" w:ascii="宋体" w:hAnsi="宋体" w:eastAsia="宋体" w:cs="宋体"/>
          <w:i w:val="0"/>
          <w:iCs w:val="0"/>
          <w:sz w:val="24"/>
          <w:szCs w:val="24"/>
          <w:highlight w:val="none"/>
          <w:lang w:eastAsia="zh-CN"/>
        </w:rPr>
        <w:t>，以此类推</w:t>
      </w:r>
      <w:r>
        <w:rPr>
          <w:rFonts w:hint="eastAsia" w:ascii="宋体" w:hAnsi="宋体" w:eastAsia="宋体" w:cs="宋体"/>
          <w:i w:val="0"/>
          <w:iCs w:val="0"/>
          <w:sz w:val="24"/>
          <w:szCs w:val="24"/>
          <w:highlight w:val="none"/>
        </w:rPr>
        <w:t>。评分过程中采用四舍五入法，</w:t>
      </w:r>
      <w:r>
        <w:rPr>
          <w:rFonts w:hint="eastAsia" w:ascii="宋体" w:hAnsi="宋体" w:eastAsia="宋体" w:cs="宋体"/>
          <w:i w:val="0"/>
          <w:iCs w:val="0"/>
          <w:sz w:val="24"/>
          <w:szCs w:val="24"/>
          <w:highlight w:val="none"/>
          <w:lang w:val="en-US" w:eastAsia="zh-CN"/>
        </w:rPr>
        <w:t>1</w:t>
      </w:r>
      <w:r>
        <w:rPr>
          <w:rFonts w:hint="eastAsia" w:ascii="宋体" w:hAnsi="宋体" w:eastAsia="宋体" w:cs="宋体"/>
          <w:i w:val="0"/>
          <w:iCs w:val="0"/>
          <w:sz w:val="24"/>
          <w:szCs w:val="24"/>
          <w:highlight w:val="none"/>
        </w:rPr>
        <w:t>位</w:t>
      </w:r>
      <w:r>
        <w:rPr>
          <w:rFonts w:hint="eastAsia" w:ascii="宋体" w:hAnsi="宋体" w:eastAsia="宋体" w:cs="宋体"/>
          <w:i w:val="0"/>
          <w:iCs w:val="0"/>
          <w:sz w:val="24"/>
          <w:szCs w:val="24"/>
          <w:highlight w:val="none"/>
          <w:lang w:eastAsia="zh-CN"/>
        </w:rPr>
        <w:t>，得分保留</w:t>
      </w:r>
      <w:r>
        <w:rPr>
          <w:rFonts w:hint="eastAsia" w:ascii="宋体" w:hAnsi="宋体" w:eastAsia="宋体" w:cs="宋体"/>
          <w:i w:val="0"/>
          <w:iCs w:val="0"/>
          <w:sz w:val="24"/>
          <w:szCs w:val="24"/>
          <w:highlight w:val="none"/>
          <w:lang w:val="en-US" w:eastAsia="zh-CN"/>
        </w:rPr>
        <w:t>2位</w:t>
      </w:r>
      <w:r>
        <w:rPr>
          <w:rFonts w:hint="eastAsia" w:ascii="宋体" w:hAnsi="宋体" w:eastAsia="宋体" w:cs="宋体"/>
          <w:i w:val="0"/>
          <w:iCs w:val="0"/>
          <w:sz w:val="24"/>
          <w:szCs w:val="24"/>
          <w:highlight w:val="none"/>
        </w:rPr>
        <w:t>。</w:t>
      </w:r>
    </w:p>
    <w:p>
      <w:pPr>
        <w:spacing w:line="360" w:lineRule="auto"/>
        <w:ind w:firstLine="482" w:firstLineChars="200"/>
        <w:rPr>
          <w:rFonts w:hint="eastAsia" w:ascii="宋体" w:hAnsi="宋体" w:eastAsia="宋体" w:cs="宋体"/>
          <w:i w:val="0"/>
          <w:iCs w:val="0"/>
          <w:highlight w:val="none"/>
        </w:rPr>
      </w:pPr>
      <w:r>
        <w:rPr>
          <w:rFonts w:hint="eastAsia" w:ascii="宋体" w:hAnsi="宋体" w:eastAsia="宋体" w:cs="宋体"/>
          <w:b/>
          <w:bCs/>
          <w:i w:val="0"/>
          <w:iCs w:val="0"/>
          <w:sz w:val="24"/>
          <w:szCs w:val="24"/>
          <w:highlight w:val="none"/>
        </w:rPr>
        <w:t>投标人评标综合得分=商务技术分</w:t>
      </w:r>
      <w:r>
        <w:rPr>
          <w:rFonts w:hint="eastAsia" w:ascii="宋体" w:hAnsi="宋体" w:eastAsia="宋体" w:cs="宋体"/>
          <w:b/>
          <w:bCs/>
          <w:i w:val="0"/>
          <w:iCs w:val="0"/>
          <w:sz w:val="24"/>
          <w:szCs w:val="24"/>
          <w:highlight w:val="none"/>
          <w:lang w:val="en-US" w:eastAsia="zh-CN"/>
        </w:rPr>
        <w:t>+</w:t>
      </w:r>
      <w:r>
        <w:rPr>
          <w:rFonts w:hint="eastAsia" w:ascii="宋体" w:hAnsi="宋体" w:eastAsia="宋体" w:cs="宋体"/>
          <w:b/>
          <w:bCs/>
          <w:i w:val="0"/>
          <w:iCs w:val="0"/>
          <w:sz w:val="24"/>
          <w:szCs w:val="24"/>
          <w:highlight w:val="none"/>
        </w:rPr>
        <w:t>价格分；</w:t>
      </w:r>
    </w:p>
    <w:p>
      <w:pPr>
        <w:pStyle w:val="17"/>
        <w:snapToGrid w:val="0"/>
        <w:spacing w:line="360" w:lineRule="auto"/>
        <w:ind w:firstLine="482"/>
        <w:rPr>
          <w:rFonts w:hint="eastAsia" w:ascii="宋体" w:hAnsi="宋体" w:eastAsia="宋体" w:cs="宋体"/>
          <w:b/>
          <w:bCs/>
          <w:i w:val="0"/>
          <w:iCs w:val="0"/>
          <w:color w:val="auto"/>
          <w:highlight w:val="none"/>
        </w:rPr>
      </w:pPr>
      <w:r>
        <w:rPr>
          <w:rFonts w:hint="eastAsia" w:ascii="宋体" w:hAnsi="宋体" w:eastAsia="宋体" w:cs="宋体"/>
          <w:b/>
          <w:bCs/>
          <w:i w:val="0"/>
          <w:iCs w:val="0"/>
          <w:color w:val="auto"/>
          <w:highlight w:val="none"/>
        </w:rPr>
        <w:t>（</w:t>
      </w:r>
      <w:r>
        <w:rPr>
          <w:rFonts w:hint="eastAsia" w:ascii="宋体" w:hAnsi="宋体" w:eastAsia="宋体" w:cs="宋体"/>
          <w:b/>
          <w:bCs/>
          <w:i w:val="0"/>
          <w:iCs w:val="0"/>
          <w:color w:val="auto"/>
          <w:highlight w:val="none"/>
          <w:lang w:val="en-US" w:eastAsia="zh-CN"/>
        </w:rPr>
        <w:t>二</w:t>
      </w:r>
      <w:r>
        <w:rPr>
          <w:rFonts w:hint="eastAsia" w:ascii="宋体" w:hAnsi="宋体" w:eastAsia="宋体" w:cs="宋体"/>
          <w:b/>
          <w:bCs/>
          <w:i w:val="0"/>
          <w:iCs w:val="0"/>
          <w:color w:val="auto"/>
          <w:highlight w:val="none"/>
        </w:rPr>
        <w:t>）商务技术文件评审（满分</w:t>
      </w:r>
      <w:r>
        <w:rPr>
          <w:rFonts w:hint="eastAsia" w:ascii="宋体" w:hAnsi="宋体" w:eastAsia="宋体" w:cs="宋体"/>
          <w:b/>
          <w:bCs/>
          <w:i w:val="0"/>
          <w:iCs w:val="0"/>
          <w:color w:val="auto"/>
          <w:highlight w:val="none"/>
          <w:lang w:val="en-US" w:eastAsia="zh-CN"/>
        </w:rPr>
        <w:t>90</w:t>
      </w:r>
      <w:r>
        <w:rPr>
          <w:rFonts w:hint="eastAsia" w:ascii="宋体" w:hAnsi="宋体" w:eastAsia="宋体" w:cs="宋体"/>
          <w:b/>
          <w:bCs/>
          <w:i w:val="0"/>
          <w:iCs w:val="0"/>
          <w:color w:val="auto"/>
          <w:highlight w:val="none"/>
        </w:rPr>
        <w:t>分）</w:t>
      </w:r>
    </w:p>
    <w:p>
      <w:pPr>
        <w:snapToGrid w:val="0"/>
        <w:spacing w:line="360" w:lineRule="auto"/>
        <w:jc w:val="both"/>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评分细则</w:t>
      </w:r>
      <w:r>
        <w:rPr>
          <w:rFonts w:hint="eastAsia" w:ascii="宋体" w:hAnsi="宋体" w:cs="宋体"/>
          <w:b/>
          <w:color w:val="auto"/>
          <w:sz w:val="24"/>
          <w:highlight w:val="none"/>
          <w:lang w:eastAsia="zh-CN"/>
        </w:rPr>
        <w:t>：</w:t>
      </w:r>
    </w:p>
    <w:tbl>
      <w:tblPr>
        <w:tblStyle w:val="64"/>
        <w:tblW w:w="92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105"/>
        <w:gridCol w:w="755"/>
        <w:gridCol w:w="60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blHeader/>
          <w:jc w:val="center"/>
        </w:trPr>
        <w:tc>
          <w:tcPr>
            <w:tcW w:w="2407" w:type="dxa"/>
            <w:gridSpan w:val="2"/>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i w:val="0"/>
                <w:iCs w:val="0"/>
                <w:highlight w:val="none"/>
              </w:rPr>
            </w:pPr>
            <w:r>
              <w:rPr>
                <w:rFonts w:hint="eastAsia" w:ascii="宋体" w:hAnsi="宋体" w:eastAsia="宋体" w:cs="宋体"/>
                <w:b/>
                <w:i w:val="0"/>
                <w:iCs w:val="0"/>
                <w:highlight w:val="none"/>
              </w:rPr>
              <w:t>评分项目</w:t>
            </w:r>
          </w:p>
        </w:tc>
        <w:tc>
          <w:tcPr>
            <w:tcW w:w="755"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i w:val="0"/>
                <w:iCs w:val="0"/>
                <w:highlight w:val="none"/>
              </w:rPr>
            </w:pPr>
            <w:r>
              <w:rPr>
                <w:rFonts w:hint="eastAsia" w:ascii="宋体" w:hAnsi="宋体" w:eastAsia="宋体" w:cs="宋体"/>
                <w:b/>
                <w:i w:val="0"/>
                <w:iCs w:val="0"/>
                <w:highlight w:val="none"/>
              </w:rPr>
              <w:t>分值</w:t>
            </w:r>
          </w:p>
        </w:tc>
        <w:tc>
          <w:tcPr>
            <w:tcW w:w="6094"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i w:val="0"/>
                <w:iCs w:val="0"/>
                <w:highlight w:val="none"/>
              </w:rPr>
            </w:pPr>
            <w:r>
              <w:rPr>
                <w:rFonts w:hint="eastAsia" w:ascii="宋体" w:hAnsi="宋体" w:eastAsia="宋体" w:cs="宋体"/>
                <w:b/>
                <w:i w:val="0"/>
                <w:iCs w:val="0"/>
                <w:highlight w:val="none"/>
              </w:rPr>
              <w:t>评标要点及说明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302" w:type="dxa"/>
            <w:vMerge w:val="restart"/>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i w:val="0"/>
                <w:iCs w:val="0"/>
                <w:highlight w:val="none"/>
              </w:rPr>
            </w:pPr>
            <w:r>
              <w:rPr>
                <w:rFonts w:hint="eastAsia" w:ascii="宋体" w:hAnsi="宋体" w:eastAsia="宋体" w:cs="宋体"/>
                <w:b/>
                <w:i w:val="0"/>
                <w:iCs w:val="0"/>
                <w:highlight w:val="none"/>
                <w:lang w:val="en-US" w:eastAsia="zh-CN"/>
              </w:rPr>
              <w:t>一、</w:t>
            </w:r>
            <w:r>
              <w:rPr>
                <w:rFonts w:hint="eastAsia" w:ascii="宋体" w:hAnsi="宋体" w:eastAsia="宋体" w:cs="宋体"/>
                <w:b/>
                <w:i w:val="0"/>
                <w:iCs w:val="0"/>
                <w:highlight w:val="none"/>
              </w:rPr>
              <w:t>机构实力指标</w:t>
            </w:r>
          </w:p>
        </w:tc>
        <w:tc>
          <w:tcPr>
            <w:tcW w:w="1105"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lang w:val="en-US" w:eastAsia="zh-CN"/>
              </w:rPr>
            </w:pPr>
            <w:r>
              <w:rPr>
                <w:rFonts w:hint="eastAsia" w:ascii="宋体" w:hAnsi="宋体" w:eastAsia="宋体" w:cs="宋体"/>
                <w:i w:val="0"/>
                <w:iCs w:val="0"/>
                <w:highlight w:val="none"/>
                <w:lang w:val="en-US" w:eastAsia="zh-CN"/>
              </w:rPr>
              <w:t>荣誉情况</w:t>
            </w:r>
          </w:p>
        </w:tc>
        <w:tc>
          <w:tcPr>
            <w:tcW w:w="755"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lang w:val="en-US" w:eastAsia="zh-CN"/>
              </w:rPr>
            </w:pPr>
            <w:r>
              <w:rPr>
                <w:rFonts w:hint="eastAsia" w:ascii="宋体" w:hAnsi="宋体" w:eastAsia="宋体" w:cs="宋体"/>
                <w:i w:val="0"/>
                <w:iCs w:val="0"/>
                <w:highlight w:val="none"/>
                <w:lang w:val="en-US" w:eastAsia="zh-CN"/>
              </w:rPr>
              <w:t>5分</w:t>
            </w:r>
          </w:p>
        </w:tc>
        <w:tc>
          <w:tcPr>
            <w:tcW w:w="6094"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i w:val="0"/>
                <w:iCs w:val="0"/>
                <w:highlight w:val="none"/>
                <w:lang w:val="en-US" w:eastAsia="zh-CN"/>
              </w:rPr>
            </w:pPr>
            <w:r>
              <w:rPr>
                <w:rFonts w:hint="eastAsia" w:ascii="宋体" w:hAnsi="宋体" w:eastAsia="宋体" w:cs="宋体"/>
                <w:i w:val="0"/>
                <w:iCs w:val="0"/>
                <w:highlight w:val="none"/>
                <w:lang w:val="en-US" w:eastAsia="zh-CN"/>
              </w:rPr>
              <w:t>1</w:t>
            </w:r>
            <w:r>
              <w:rPr>
                <w:rFonts w:hint="eastAsia" w:ascii="宋体" w:hAnsi="宋体" w:eastAsia="宋体" w:cs="宋体"/>
                <w:i w:val="0"/>
                <w:iCs w:val="0"/>
                <w:highlight w:val="none"/>
              </w:rPr>
              <w:t>.</w:t>
            </w:r>
            <w:r>
              <w:rPr>
                <w:rFonts w:hint="eastAsia" w:ascii="宋体" w:hAnsi="宋体" w:eastAsia="宋体" w:cs="宋体"/>
                <w:i w:val="0"/>
                <w:iCs w:val="0"/>
                <w:szCs w:val="21"/>
                <w:highlight w:val="none"/>
              </w:rPr>
              <w:t>投标人自20</w:t>
            </w:r>
            <w:r>
              <w:rPr>
                <w:rFonts w:hint="eastAsia" w:ascii="宋体" w:hAnsi="宋体" w:eastAsia="宋体" w:cs="宋体"/>
                <w:i w:val="0"/>
                <w:iCs w:val="0"/>
                <w:szCs w:val="21"/>
                <w:highlight w:val="none"/>
                <w:lang w:val="en-US" w:eastAsia="zh-CN"/>
              </w:rPr>
              <w:t>21</w:t>
            </w:r>
            <w:r>
              <w:rPr>
                <w:rFonts w:hint="eastAsia" w:ascii="宋体" w:hAnsi="宋体" w:eastAsia="宋体" w:cs="宋体"/>
                <w:i w:val="0"/>
                <w:iCs w:val="0"/>
                <w:szCs w:val="21"/>
                <w:highlight w:val="none"/>
              </w:rPr>
              <w:t>年1月1日以来获得市级以上司法部门、律师协会对律所业务工作类的公开表彰，国家级的加</w:t>
            </w:r>
            <w:r>
              <w:rPr>
                <w:rFonts w:hint="eastAsia" w:ascii="宋体" w:hAnsi="宋体" w:eastAsia="宋体" w:cs="宋体"/>
                <w:i w:val="0"/>
                <w:iCs w:val="0"/>
                <w:szCs w:val="21"/>
                <w:highlight w:val="none"/>
                <w:lang w:val="en-US" w:eastAsia="zh-CN"/>
              </w:rPr>
              <w:t>5</w:t>
            </w:r>
            <w:r>
              <w:rPr>
                <w:rFonts w:hint="eastAsia" w:ascii="宋体" w:hAnsi="宋体" w:eastAsia="宋体" w:cs="宋体"/>
                <w:i w:val="0"/>
                <w:iCs w:val="0"/>
                <w:szCs w:val="21"/>
                <w:highlight w:val="none"/>
              </w:rPr>
              <w:t>分，省级的加</w:t>
            </w:r>
            <w:r>
              <w:rPr>
                <w:rFonts w:hint="eastAsia" w:ascii="宋体" w:hAnsi="宋体" w:eastAsia="宋体" w:cs="宋体"/>
                <w:i w:val="0"/>
                <w:iCs w:val="0"/>
                <w:szCs w:val="21"/>
                <w:highlight w:val="none"/>
                <w:lang w:val="en-US" w:eastAsia="zh-CN"/>
              </w:rPr>
              <w:t>4</w:t>
            </w:r>
            <w:r>
              <w:rPr>
                <w:rFonts w:hint="eastAsia" w:ascii="宋体" w:hAnsi="宋体" w:eastAsia="宋体" w:cs="宋体"/>
                <w:i w:val="0"/>
                <w:iCs w:val="0"/>
                <w:szCs w:val="21"/>
                <w:highlight w:val="none"/>
              </w:rPr>
              <w:t>分，市级的加2分，本项采取就高但不累加的原则加分，最多加</w:t>
            </w:r>
            <w:r>
              <w:rPr>
                <w:rFonts w:hint="eastAsia" w:ascii="宋体" w:hAnsi="宋体" w:eastAsia="宋体" w:cs="宋体"/>
                <w:i w:val="0"/>
                <w:iCs w:val="0"/>
                <w:szCs w:val="21"/>
                <w:highlight w:val="none"/>
                <w:lang w:val="en-US" w:eastAsia="zh-CN"/>
              </w:rPr>
              <w:t>5</w:t>
            </w:r>
            <w:r>
              <w:rPr>
                <w:rFonts w:hint="eastAsia" w:ascii="宋体" w:hAnsi="宋体" w:eastAsia="宋体" w:cs="宋体"/>
                <w:i w:val="0"/>
                <w:iCs w:val="0"/>
                <w:szCs w:val="21"/>
                <w:highlight w:val="none"/>
              </w:rPr>
              <w:t>分。（须提供公开表彰文件或其他形式书面内容复印件，并加盖投标人公章）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1302" w:type="dxa"/>
            <w:vMerge w:val="continue"/>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i w:val="0"/>
                <w:iCs w:val="0"/>
                <w:highlight w:val="none"/>
              </w:rPr>
            </w:pPr>
          </w:p>
        </w:tc>
        <w:tc>
          <w:tcPr>
            <w:tcW w:w="1105" w:type="dxa"/>
            <w:vMerge w:val="restart"/>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lang w:val="en-US" w:eastAsia="zh-CN"/>
              </w:rPr>
            </w:pPr>
            <w:r>
              <w:rPr>
                <w:rFonts w:hint="eastAsia" w:ascii="宋体" w:hAnsi="宋体" w:eastAsia="宋体" w:cs="宋体"/>
                <w:i w:val="0"/>
                <w:iCs w:val="0"/>
                <w:highlight w:val="none"/>
                <w:lang w:val="en-US" w:eastAsia="zh-CN"/>
              </w:rPr>
              <w:t>项目组成人员</w:t>
            </w:r>
          </w:p>
        </w:tc>
        <w:tc>
          <w:tcPr>
            <w:tcW w:w="755"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lang w:val="en-US" w:eastAsia="zh-CN"/>
              </w:rPr>
            </w:pPr>
            <w:r>
              <w:rPr>
                <w:rFonts w:hint="eastAsia" w:ascii="宋体" w:hAnsi="宋体" w:eastAsia="宋体" w:cs="宋体"/>
                <w:i w:val="0"/>
                <w:iCs w:val="0"/>
                <w:highlight w:val="none"/>
                <w:lang w:val="en-US" w:eastAsia="zh-CN"/>
              </w:rPr>
              <w:t>2分</w:t>
            </w:r>
          </w:p>
        </w:tc>
        <w:tc>
          <w:tcPr>
            <w:tcW w:w="6094" w:type="dxa"/>
            <w:tcBorders>
              <w:bottom w:val="single" w:color="auto" w:sz="4" w:space="0"/>
            </w:tcBorders>
            <w:vAlign w:val="center"/>
          </w:tcPr>
          <w:p>
            <w:pPr>
              <w:keepNext w:val="0"/>
              <w:keepLines w:val="0"/>
              <w:pageBreakBefore w:val="0"/>
              <w:widowControl/>
              <w:numPr>
                <w:ilvl w:val="0"/>
                <w:numId w:val="4"/>
              </w:numPr>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highlight w:val="none"/>
              </w:rPr>
            </w:pPr>
            <w:r>
              <w:rPr>
                <w:rFonts w:hint="eastAsia" w:ascii="宋体" w:hAnsi="宋体" w:eastAsia="宋体" w:cs="宋体"/>
                <w:i w:val="0"/>
                <w:iCs w:val="0"/>
                <w:szCs w:val="21"/>
                <w:highlight w:val="none"/>
              </w:rPr>
              <w:t>项目负责人评价：具有高级职称的得1分；具有二个（含）以上执业资格的得1分</w:t>
            </w:r>
            <w:r>
              <w:rPr>
                <w:rFonts w:hint="eastAsia" w:ascii="宋体" w:hAnsi="宋体" w:eastAsia="宋体" w:cs="宋体"/>
                <w:i w:val="0"/>
                <w:iCs w:val="0"/>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w:t>
            </w:r>
            <w:r>
              <w:rPr>
                <w:rFonts w:hint="eastAsia" w:ascii="宋体" w:hAnsi="宋体" w:eastAsia="宋体" w:cs="宋体"/>
                <w:i w:val="0"/>
                <w:iCs w:val="0"/>
                <w:szCs w:val="21"/>
                <w:highlight w:val="none"/>
              </w:rPr>
              <w:t>执业资格</w:t>
            </w:r>
            <w:r>
              <w:rPr>
                <w:rFonts w:hint="eastAsia" w:ascii="宋体" w:hAnsi="宋体" w:eastAsia="宋体" w:cs="宋体"/>
                <w:i w:val="0"/>
                <w:iCs w:val="0"/>
                <w:szCs w:val="21"/>
                <w:highlight w:val="none"/>
                <w:lang w:eastAsia="zh-CN"/>
              </w:rPr>
              <w:t>：</w:t>
            </w:r>
            <w:r>
              <w:rPr>
                <w:rFonts w:hint="eastAsia" w:ascii="宋体" w:hAnsi="宋体" w:eastAsia="宋体" w:cs="宋体"/>
                <w:i w:val="0"/>
                <w:iCs w:val="0"/>
                <w:highlight w:val="none"/>
              </w:rPr>
              <w:t>可提供行业相关的注册执业资格</w:t>
            </w:r>
            <w:r>
              <w:rPr>
                <w:rFonts w:hint="eastAsia" w:ascii="宋体" w:hAnsi="宋体" w:cs="宋体"/>
                <w:i w:val="0"/>
                <w:iCs w:val="0"/>
                <w:highlight w:val="none"/>
                <w:lang w:eastAsia="zh-CN"/>
              </w:rPr>
              <w:t>，</w:t>
            </w:r>
            <w:r>
              <w:rPr>
                <w:rFonts w:hint="eastAsia" w:ascii="宋体" w:hAnsi="宋体" w:eastAsia="宋体" w:cs="宋体"/>
                <w:i w:val="0"/>
                <w:iCs w:val="0"/>
                <w:szCs w:val="21"/>
                <w:highlight w:val="none"/>
              </w:rPr>
              <w:t>高级职称</w:t>
            </w:r>
            <w:r>
              <w:rPr>
                <w:rFonts w:hint="eastAsia" w:ascii="宋体" w:hAnsi="宋体" w:eastAsia="宋体" w:cs="宋体"/>
                <w:i w:val="0"/>
                <w:iCs w:val="0"/>
                <w:szCs w:val="21"/>
                <w:highlight w:val="none"/>
                <w:lang w:eastAsia="zh-CN"/>
              </w:rPr>
              <w:t>：</w:t>
            </w:r>
            <w:r>
              <w:rPr>
                <w:rFonts w:hint="eastAsia" w:ascii="宋体" w:hAnsi="宋体" w:eastAsia="宋体" w:cs="宋体"/>
                <w:i w:val="0"/>
                <w:iCs w:val="0"/>
                <w:highlight w:val="none"/>
              </w:rPr>
              <w:t>提供相关人员职称证书材料扫描件并加盖投标人公章）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302" w:type="dxa"/>
            <w:vMerge w:val="continue"/>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i w:val="0"/>
                <w:iCs w:val="0"/>
                <w:highlight w:val="none"/>
              </w:rPr>
            </w:pPr>
          </w:p>
        </w:tc>
        <w:tc>
          <w:tcPr>
            <w:tcW w:w="1105" w:type="dxa"/>
            <w:vMerge w:val="continue"/>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lang w:val="en-US" w:eastAsia="zh-CN"/>
              </w:rPr>
            </w:pPr>
          </w:p>
        </w:tc>
        <w:tc>
          <w:tcPr>
            <w:tcW w:w="755"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lang w:val="en-US" w:eastAsia="zh-CN"/>
              </w:rPr>
            </w:pPr>
            <w:r>
              <w:rPr>
                <w:rFonts w:hint="eastAsia" w:ascii="宋体" w:hAnsi="宋体" w:eastAsia="宋体" w:cs="宋体"/>
                <w:i w:val="0"/>
                <w:iCs w:val="0"/>
                <w:highlight w:val="none"/>
                <w:lang w:val="en-US" w:eastAsia="zh-CN"/>
              </w:rPr>
              <w:t>5分</w:t>
            </w:r>
          </w:p>
        </w:tc>
        <w:tc>
          <w:tcPr>
            <w:tcW w:w="6094" w:type="dxa"/>
            <w:tcBorders>
              <w:top w:val="single" w:color="auto" w:sz="4" w:space="0"/>
              <w:bottom w:val="single" w:color="auto" w:sz="4" w:space="0"/>
            </w:tcBorders>
            <w:vAlign w:val="center"/>
          </w:tcPr>
          <w:p>
            <w:pPr>
              <w:keepNext w:val="0"/>
              <w:keepLines w:val="0"/>
              <w:pageBreakBefore w:val="0"/>
              <w:widowControl/>
              <w:numPr>
                <w:ilvl w:val="0"/>
                <w:numId w:val="4"/>
              </w:numPr>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highlight w:val="none"/>
              </w:rPr>
            </w:pPr>
            <w:r>
              <w:rPr>
                <w:rFonts w:hint="eastAsia" w:ascii="宋体" w:hAnsi="宋体" w:eastAsia="宋体" w:cs="宋体"/>
                <w:i w:val="0"/>
                <w:iCs w:val="0"/>
                <w:szCs w:val="21"/>
                <w:highlight w:val="none"/>
              </w:rPr>
              <w:t>项目负责人</w:t>
            </w:r>
            <w:r>
              <w:rPr>
                <w:rFonts w:hint="eastAsia" w:ascii="宋体" w:hAnsi="宋体" w:eastAsia="宋体" w:cs="宋体"/>
                <w:i w:val="0"/>
                <w:iCs w:val="0"/>
                <w:highlight w:val="none"/>
              </w:rPr>
              <w:t>具备</w:t>
            </w:r>
            <w:r>
              <w:rPr>
                <w:rFonts w:hint="eastAsia" w:ascii="宋体" w:hAnsi="宋体" w:eastAsia="宋体" w:cs="宋体"/>
                <w:b/>
                <w:bCs/>
                <w:i w:val="0"/>
                <w:iCs w:val="0"/>
                <w:highlight w:val="none"/>
              </w:rPr>
              <w:t>同类项目</w:t>
            </w:r>
            <w:r>
              <w:rPr>
                <w:rFonts w:hint="eastAsia" w:ascii="宋体" w:hAnsi="宋体" w:eastAsia="宋体" w:cs="宋体"/>
                <w:i w:val="0"/>
                <w:iCs w:val="0"/>
                <w:highlight w:val="none"/>
                <w:lang w:val="en-US" w:eastAsia="zh-CN"/>
              </w:rPr>
              <w:t>法律</w:t>
            </w:r>
            <w:r>
              <w:rPr>
                <w:rFonts w:hint="eastAsia" w:ascii="宋体" w:hAnsi="宋体" w:eastAsia="宋体" w:cs="宋体"/>
                <w:i w:val="0"/>
                <w:iCs w:val="0"/>
                <w:highlight w:val="none"/>
              </w:rPr>
              <w:t>专业服务</w:t>
            </w:r>
            <w:r>
              <w:rPr>
                <w:rFonts w:hint="eastAsia" w:ascii="宋体" w:hAnsi="宋体" w:cs="宋体"/>
                <w:i w:val="0"/>
                <w:iCs w:val="0"/>
                <w:highlight w:val="none"/>
                <w:lang w:eastAsia="zh-CN"/>
              </w:rPr>
              <w:t>报告</w:t>
            </w:r>
            <w:r>
              <w:rPr>
                <w:rFonts w:hint="eastAsia" w:ascii="宋体" w:hAnsi="宋体" w:eastAsia="宋体" w:cs="宋体"/>
                <w:i w:val="0"/>
                <w:iCs w:val="0"/>
                <w:highlight w:val="none"/>
              </w:rPr>
              <w:t>的每个项目得1分</w:t>
            </w:r>
            <w:r>
              <w:rPr>
                <w:rFonts w:hint="eastAsia" w:ascii="宋体" w:hAnsi="宋体" w:eastAsia="宋体" w:cs="宋体"/>
                <w:i w:val="0"/>
                <w:iCs w:val="0"/>
                <w:highlight w:val="none"/>
                <w:lang w:eastAsia="zh-CN"/>
              </w:rPr>
              <w:t>，最多得</w:t>
            </w:r>
            <w:r>
              <w:rPr>
                <w:rFonts w:hint="eastAsia" w:ascii="宋体" w:hAnsi="宋体" w:eastAsia="宋体" w:cs="宋体"/>
                <w:i w:val="0"/>
                <w:iCs w:val="0"/>
                <w:highlight w:val="none"/>
                <w:lang w:val="en-US" w:eastAsia="zh-CN"/>
              </w:rPr>
              <w:t>5分</w:t>
            </w:r>
            <w:r>
              <w:rPr>
                <w:rFonts w:hint="eastAsia" w:ascii="宋体" w:hAnsi="宋体" w:eastAsia="宋体" w:cs="宋体"/>
                <w:i w:val="0"/>
                <w:iCs w:val="0"/>
                <w:highlight w:val="none"/>
                <w:lang w:eastAsia="zh-CN"/>
              </w:rPr>
              <w:t>。</w:t>
            </w:r>
            <w:r>
              <w:rPr>
                <w:rFonts w:hint="eastAsia" w:ascii="宋体" w:hAnsi="宋体" w:eastAsia="宋体" w:cs="宋体"/>
                <w:b w:val="0"/>
                <w:bCs w:val="0"/>
                <w:sz w:val="21"/>
                <w:szCs w:val="21"/>
                <w:highlight w:val="none"/>
                <w:lang w:val="en-US"/>
              </w:rPr>
              <w:t>（须提供签字报告</w:t>
            </w:r>
            <w:r>
              <w:rPr>
                <w:rFonts w:hint="eastAsia" w:ascii="宋体" w:hAnsi="宋体" w:eastAsia="宋体" w:cs="宋体"/>
                <w:b w:val="0"/>
                <w:bCs w:val="0"/>
                <w:sz w:val="21"/>
                <w:szCs w:val="21"/>
                <w:highlight w:val="none"/>
                <w:lang w:val="en-US" w:eastAsia="zh-CN"/>
              </w:rPr>
              <w:t>关健页</w:t>
            </w:r>
            <w:r>
              <w:rPr>
                <w:rFonts w:hint="eastAsia" w:ascii="宋体" w:hAnsi="宋体" w:eastAsia="宋体" w:cs="宋体"/>
                <w:b w:val="0"/>
                <w:bCs w:val="0"/>
                <w:sz w:val="21"/>
                <w:szCs w:val="21"/>
                <w:highlight w:val="none"/>
                <w:lang w:val="en-US"/>
              </w:rPr>
              <w:t>复印件</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rPr>
              <w:t>并加盖投标人公章）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1" w:hRule="atLeast"/>
          <w:jc w:val="center"/>
        </w:trPr>
        <w:tc>
          <w:tcPr>
            <w:tcW w:w="1302" w:type="dxa"/>
            <w:vMerge w:val="continue"/>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i w:val="0"/>
                <w:iCs w:val="0"/>
                <w:highlight w:val="none"/>
              </w:rPr>
            </w:pPr>
          </w:p>
        </w:tc>
        <w:tc>
          <w:tcPr>
            <w:tcW w:w="1105" w:type="dxa"/>
            <w:vMerge w:val="continue"/>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lang w:val="en-US" w:eastAsia="zh-CN"/>
              </w:rPr>
            </w:pPr>
          </w:p>
        </w:tc>
        <w:tc>
          <w:tcPr>
            <w:tcW w:w="755"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lang w:val="en-US" w:eastAsia="zh-CN"/>
              </w:rPr>
            </w:pPr>
            <w:r>
              <w:rPr>
                <w:rFonts w:hint="eastAsia" w:ascii="宋体" w:hAnsi="宋体" w:eastAsia="宋体" w:cs="宋体"/>
                <w:i w:val="0"/>
                <w:iCs w:val="0"/>
                <w:highlight w:val="none"/>
                <w:lang w:val="en-US" w:eastAsia="zh-CN"/>
              </w:rPr>
              <w:t>10分</w:t>
            </w:r>
          </w:p>
        </w:tc>
        <w:tc>
          <w:tcPr>
            <w:tcW w:w="6094" w:type="dxa"/>
            <w:tcBorders>
              <w:top w:val="single" w:color="auto" w:sz="4" w:space="0"/>
            </w:tcBorders>
            <w:vAlign w:val="center"/>
          </w:tcPr>
          <w:p>
            <w:pPr>
              <w:keepNext w:val="0"/>
              <w:keepLines w:val="0"/>
              <w:pageBreakBefore w:val="0"/>
              <w:widowControl/>
              <w:numPr>
                <w:ilvl w:val="-1"/>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highlight w:val="none"/>
              </w:rPr>
            </w:pPr>
            <w:r>
              <w:rPr>
                <w:rFonts w:hint="eastAsia" w:ascii="宋体" w:hAnsi="宋体" w:eastAsia="宋体" w:cs="宋体"/>
                <w:i w:val="0"/>
                <w:iCs w:val="0"/>
                <w:highlight w:val="none"/>
                <w:lang w:val="en-US" w:eastAsia="zh-CN"/>
              </w:rPr>
              <w:t>3.</w:t>
            </w:r>
            <w:r>
              <w:rPr>
                <w:rFonts w:hint="eastAsia" w:ascii="宋体" w:hAnsi="宋体" w:eastAsia="宋体" w:cs="宋体"/>
                <w:i w:val="0"/>
                <w:iCs w:val="0"/>
                <w:highlight w:val="none"/>
              </w:rPr>
              <w:t>拟派本项目技术团队（除项目负责人外）人数在</w:t>
            </w:r>
            <w:r>
              <w:rPr>
                <w:rFonts w:hint="eastAsia" w:ascii="宋体" w:hAnsi="宋体" w:eastAsia="宋体" w:cs="宋体"/>
                <w:i w:val="0"/>
                <w:iCs w:val="0"/>
                <w:highlight w:val="none"/>
                <w:lang w:val="en-US" w:eastAsia="zh-CN"/>
              </w:rPr>
              <w:t>3</w:t>
            </w:r>
            <w:r>
              <w:rPr>
                <w:rFonts w:hint="eastAsia" w:ascii="宋体" w:hAnsi="宋体" w:eastAsia="宋体" w:cs="宋体"/>
                <w:i w:val="0"/>
                <w:iCs w:val="0"/>
                <w:highlight w:val="none"/>
              </w:rPr>
              <w:t>人以下得1分，</w:t>
            </w:r>
            <w:r>
              <w:rPr>
                <w:rFonts w:hint="eastAsia" w:ascii="宋体" w:hAnsi="宋体" w:eastAsia="宋体" w:cs="宋体"/>
                <w:i w:val="0"/>
                <w:iCs w:val="0"/>
                <w:highlight w:val="none"/>
                <w:lang w:val="en-US" w:eastAsia="zh-CN"/>
              </w:rPr>
              <w:t>4</w:t>
            </w:r>
            <w:r>
              <w:rPr>
                <w:rFonts w:hint="eastAsia" w:ascii="宋体" w:hAnsi="宋体" w:eastAsia="宋体" w:cs="宋体"/>
                <w:i w:val="0"/>
                <w:iCs w:val="0"/>
                <w:highlight w:val="none"/>
              </w:rPr>
              <w:t>人（含）-</w:t>
            </w:r>
            <w:r>
              <w:rPr>
                <w:rFonts w:hint="eastAsia" w:ascii="宋体" w:hAnsi="宋体" w:eastAsia="宋体" w:cs="宋体"/>
                <w:i w:val="0"/>
                <w:iCs w:val="0"/>
                <w:highlight w:val="none"/>
                <w:lang w:val="en-US" w:eastAsia="zh-CN"/>
              </w:rPr>
              <w:t>6</w:t>
            </w:r>
            <w:r>
              <w:rPr>
                <w:rFonts w:hint="eastAsia" w:ascii="宋体" w:hAnsi="宋体" w:eastAsia="宋体" w:cs="宋体"/>
                <w:i w:val="0"/>
                <w:iCs w:val="0"/>
                <w:highlight w:val="none"/>
              </w:rPr>
              <w:t>人得2分，</w:t>
            </w:r>
            <w:r>
              <w:rPr>
                <w:rFonts w:hint="eastAsia" w:ascii="宋体" w:hAnsi="宋体" w:eastAsia="宋体" w:cs="宋体"/>
                <w:i w:val="0"/>
                <w:iCs w:val="0"/>
                <w:highlight w:val="none"/>
                <w:lang w:val="en-US" w:eastAsia="zh-CN"/>
              </w:rPr>
              <w:t>7</w:t>
            </w:r>
            <w:r>
              <w:rPr>
                <w:rFonts w:hint="eastAsia" w:ascii="宋体" w:hAnsi="宋体" w:eastAsia="宋体" w:cs="宋体"/>
                <w:i w:val="0"/>
                <w:iCs w:val="0"/>
                <w:highlight w:val="none"/>
              </w:rPr>
              <w:t>人及以上得</w:t>
            </w:r>
            <w:r>
              <w:rPr>
                <w:rFonts w:hint="eastAsia" w:ascii="宋体" w:hAnsi="宋体" w:eastAsia="宋体" w:cs="宋体"/>
                <w:i w:val="0"/>
                <w:iCs w:val="0"/>
                <w:highlight w:val="none"/>
                <w:lang w:val="en-US" w:eastAsia="zh-CN"/>
              </w:rPr>
              <w:t>5</w:t>
            </w:r>
            <w:r>
              <w:rPr>
                <w:rFonts w:hint="eastAsia" w:ascii="宋体" w:hAnsi="宋体" w:eastAsia="宋体" w:cs="宋体"/>
                <w:i w:val="0"/>
                <w:iCs w:val="0"/>
                <w:highlight w:val="none"/>
              </w:rPr>
              <w:t>分。其中：</w:t>
            </w:r>
          </w:p>
          <w:p>
            <w:pPr>
              <w:keepNext w:val="0"/>
              <w:keepLines w:val="0"/>
              <w:pageBreakBefore w:val="0"/>
              <w:widowControl/>
              <w:numPr>
                <w:ilvl w:val="-1"/>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具有执业资格的，每1个人加1分，最高不超过</w:t>
            </w:r>
            <w:r>
              <w:rPr>
                <w:rFonts w:hint="eastAsia" w:ascii="宋体" w:hAnsi="宋体" w:eastAsia="宋体" w:cs="宋体"/>
                <w:i w:val="0"/>
                <w:iCs w:val="0"/>
                <w:highlight w:val="none"/>
                <w:lang w:val="en-US" w:eastAsia="zh-CN"/>
              </w:rPr>
              <w:t>5</w:t>
            </w:r>
            <w:r>
              <w:rPr>
                <w:rFonts w:hint="eastAsia" w:ascii="宋体" w:hAnsi="宋体" w:eastAsia="宋体" w:cs="宋体"/>
                <w:i w:val="0"/>
                <w:iCs w:val="0"/>
                <w:highlight w:val="none"/>
              </w:rPr>
              <w:t>分。</w:t>
            </w:r>
          </w:p>
          <w:p>
            <w:pPr>
              <w:keepNext w:val="0"/>
              <w:keepLines w:val="0"/>
              <w:pageBreakBefore w:val="0"/>
              <w:widowControl/>
              <w:numPr>
                <w:ilvl w:val="-1"/>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highlight w:val="none"/>
                <w:lang w:val="en-US" w:eastAsia="zh-CN"/>
              </w:rPr>
            </w:pPr>
            <w:r>
              <w:rPr>
                <w:rFonts w:hint="eastAsia" w:ascii="宋体" w:hAnsi="宋体" w:eastAsia="宋体" w:cs="宋体"/>
                <w:i w:val="0"/>
                <w:iCs w:val="0"/>
                <w:highlight w:val="none"/>
                <w:lang w:eastAsia="zh-CN"/>
              </w:rPr>
              <w:t>本项</w:t>
            </w:r>
            <w:r>
              <w:rPr>
                <w:rFonts w:hint="eastAsia" w:ascii="宋体" w:hAnsi="宋体" w:cs="宋体"/>
                <w:i w:val="0"/>
                <w:iCs w:val="0"/>
                <w:highlight w:val="none"/>
                <w:lang w:eastAsia="zh-CN"/>
              </w:rPr>
              <w:t>最</w:t>
            </w:r>
            <w:r>
              <w:rPr>
                <w:rFonts w:hint="eastAsia" w:ascii="宋体" w:hAnsi="宋体" w:eastAsia="宋体" w:cs="宋体"/>
                <w:i w:val="0"/>
                <w:iCs w:val="0"/>
                <w:highlight w:val="none"/>
                <w:lang w:eastAsia="zh-CN"/>
              </w:rPr>
              <w:t>高得</w:t>
            </w:r>
            <w:r>
              <w:rPr>
                <w:rFonts w:hint="eastAsia" w:ascii="宋体" w:hAnsi="宋体" w:eastAsia="宋体" w:cs="宋体"/>
                <w:i w:val="0"/>
                <w:iCs w:val="0"/>
                <w:highlight w:val="none"/>
                <w:lang w:val="en-US" w:eastAsia="zh-CN"/>
              </w:rPr>
              <w:t>10分。</w:t>
            </w:r>
          </w:p>
          <w:p>
            <w:pPr>
              <w:keepNext w:val="0"/>
              <w:keepLines w:val="0"/>
              <w:pageBreakBefore w:val="0"/>
              <w:widowControl/>
              <w:numPr>
                <w:ilvl w:val="-1"/>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（须提供相关人员</w:t>
            </w:r>
            <w:r>
              <w:rPr>
                <w:rFonts w:hint="eastAsia" w:ascii="宋体" w:hAnsi="宋体" w:eastAsia="宋体" w:cs="宋体"/>
                <w:i w:val="0"/>
                <w:iCs w:val="0"/>
                <w:highlight w:val="none"/>
                <w:lang w:eastAsia="zh-CN"/>
              </w:rPr>
              <w:t>律师执业资格证书</w:t>
            </w:r>
            <w:r>
              <w:rPr>
                <w:rFonts w:hint="eastAsia" w:ascii="宋体" w:hAnsi="宋体" w:eastAsia="宋体" w:cs="宋体"/>
                <w:i w:val="0"/>
                <w:iCs w:val="0"/>
                <w:highlight w:val="none"/>
              </w:rPr>
              <w:t>情况复印件或扫描件，并加盖投标人公章）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1302" w:type="dxa"/>
            <w:vMerge w:val="restart"/>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i w:val="0"/>
                <w:iCs w:val="0"/>
                <w:highlight w:val="none"/>
              </w:rPr>
            </w:pPr>
            <w:r>
              <w:rPr>
                <w:rFonts w:hint="eastAsia" w:ascii="宋体" w:hAnsi="宋体" w:eastAsia="宋体" w:cs="宋体"/>
                <w:b/>
                <w:i w:val="0"/>
                <w:iCs w:val="0"/>
                <w:highlight w:val="none"/>
                <w:lang w:val="en-US" w:eastAsia="zh-CN"/>
              </w:rPr>
              <w:t>二、行业经验指标</w:t>
            </w:r>
          </w:p>
        </w:tc>
        <w:tc>
          <w:tcPr>
            <w:tcW w:w="1105"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lang w:eastAsia="zh-CN"/>
              </w:rPr>
            </w:pPr>
            <w:r>
              <w:rPr>
                <w:rFonts w:hint="eastAsia" w:ascii="宋体" w:hAnsi="宋体" w:eastAsia="宋体" w:cs="宋体"/>
                <w:i w:val="0"/>
                <w:iCs w:val="0"/>
                <w:highlight w:val="none"/>
                <w:lang w:val="en-US" w:eastAsia="zh-CN"/>
              </w:rPr>
              <w:t>出具报告情况</w:t>
            </w:r>
          </w:p>
        </w:tc>
        <w:tc>
          <w:tcPr>
            <w:tcW w:w="755"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lang w:eastAsia="zh-CN"/>
              </w:rPr>
            </w:pPr>
            <w:r>
              <w:rPr>
                <w:rFonts w:hint="eastAsia" w:ascii="宋体" w:hAnsi="宋体" w:eastAsia="宋体" w:cs="宋体"/>
                <w:i w:val="0"/>
                <w:iCs w:val="0"/>
                <w:highlight w:val="none"/>
                <w:lang w:val="en-US" w:eastAsia="zh-CN"/>
              </w:rPr>
              <w:t>20分</w:t>
            </w:r>
          </w:p>
        </w:tc>
        <w:tc>
          <w:tcPr>
            <w:tcW w:w="6094" w:type="dxa"/>
            <w:vAlign w:val="center"/>
          </w:tcPr>
          <w:p>
            <w:pPr>
              <w:keepNext w:val="0"/>
              <w:keepLines w:val="0"/>
              <w:pageBreakBefore w:val="0"/>
              <w:tabs>
                <w:tab w:val="left" w:pos="1418"/>
              </w:tabs>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i w:val="0"/>
                <w:iCs w:val="0"/>
                <w:highlight w:val="none"/>
              </w:rPr>
            </w:pPr>
            <w:r>
              <w:rPr>
                <w:rFonts w:hint="eastAsia" w:ascii="宋体" w:hAnsi="宋体" w:eastAsia="宋体" w:cs="宋体"/>
                <w:i w:val="0"/>
                <w:iCs w:val="0"/>
                <w:szCs w:val="21"/>
                <w:highlight w:val="none"/>
              </w:rPr>
              <w:t>投标人自202</w:t>
            </w:r>
            <w:r>
              <w:rPr>
                <w:rFonts w:hint="eastAsia" w:ascii="宋体" w:hAnsi="宋体" w:eastAsia="宋体" w:cs="宋体"/>
                <w:i w:val="0"/>
                <w:iCs w:val="0"/>
                <w:szCs w:val="21"/>
                <w:highlight w:val="none"/>
                <w:lang w:val="en-US" w:eastAsia="zh-CN"/>
              </w:rPr>
              <w:t>2</w:t>
            </w:r>
            <w:r>
              <w:rPr>
                <w:rFonts w:hint="eastAsia" w:ascii="宋体" w:hAnsi="宋体" w:eastAsia="宋体" w:cs="宋体"/>
                <w:i w:val="0"/>
                <w:iCs w:val="0"/>
                <w:szCs w:val="21"/>
                <w:highlight w:val="none"/>
              </w:rPr>
              <w:t>年1月1日以来为政府专项债券发行提供法律专业服务的，每1个有效</w:t>
            </w:r>
            <w:r>
              <w:rPr>
                <w:rFonts w:hint="eastAsia" w:ascii="宋体" w:hAnsi="宋体" w:eastAsia="宋体" w:cs="宋体"/>
                <w:i w:val="0"/>
                <w:iCs w:val="0"/>
                <w:szCs w:val="21"/>
                <w:highlight w:val="none"/>
                <w:lang w:eastAsia="zh-CN"/>
              </w:rPr>
              <w:t>报告</w:t>
            </w:r>
            <w:r>
              <w:rPr>
                <w:rFonts w:hint="eastAsia" w:ascii="宋体" w:hAnsi="宋体" w:eastAsia="宋体" w:cs="宋体"/>
                <w:i w:val="0"/>
                <w:iCs w:val="0"/>
                <w:szCs w:val="21"/>
                <w:highlight w:val="none"/>
              </w:rPr>
              <w:t>（以中国债券信息网公开披露的项目为准）得</w:t>
            </w:r>
            <w:r>
              <w:rPr>
                <w:rFonts w:hint="eastAsia" w:ascii="宋体" w:hAnsi="宋体" w:eastAsia="宋体" w:cs="宋体"/>
                <w:i w:val="0"/>
                <w:iCs w:val="0"/>
                <w:szCs w:val="21"/>
                <w:highlight w:val="none"/>
                <w:lang w:val="en-US" w:eastAsia="zh-CN"/>
              </w:rPr>
              <w:t>1</w:t>
            </w:r>
            <w:r>
              <w:rPr>
                <w:rFonts w:hint="eastAsia" w:ascii="宋体" w:hAnsi="宋体" w:eastAsia="宋体" w:cs="宋体"/>
                <w:i w:val="0"/>
                <w:iCs w:val="0"/>
                <w:szCs w:val="21"/>
                <w:highlight w:val="none"/>
              </w:rPr>
              <w:t>分，最多得</w:t>
            </w:r>
            <w:r>
              <w:rPr>
                <w:rFonts w:hint="eastAsia" w:ascii="宋体" w:hAnsi="宋体" w:eastAsia="宋体" w:cs="宋体"/>
                <w:i w:val="0"/>
                <w:iCs w:val="0"/>
                <w:szCs w:val="21"/>
                <w:highlight w:val="none"/>
                <w:lang w:val="en-US" w:eastAsia="zh-CN"/>
              </w:rPr>
              <w:t>20</w:t>
            </w:r>
            <w:r>
              <w:rPr>
                <w:rFonts w:hint="eastAsia" w:ascii="宋体" w:hAnsi="宋体" w:eastAsia="宋体" w:cs="宋体"/>
                <w:i w:val="0"/>
                <w:iCs w:val="0"/>
                <w:szCs w:val="21"/>
                <w:highlight w:val="none"/>
              </w:rPr>
              <w:t>分。（须提供项目明细清单&lt;含发行地区、项目名称、发债金额等要素&gt;、中债网披露截图，并加盖投标人公章）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1302" w:type="dxa"/>
            <w:vMerge w:val="continue"/>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i w:val="0"/>
                <w:iCs w:val="0"/>
                <w:highlight w:val="none"/>
              </w:rPr>
            </w:pPr>
          </w:p>
        </w:tc>
        <w:tc>
          <w:tcPr>
            <w:tcW w:w="1105"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lang w:val="en-US" w:eastAsia="zh-CN"/>
              </w:rPr>
            </w:pPr>
            <w:r>
              <w:rPr>
                <w:rFonts w:hint="eastAsia" w:ascii="宋体" w:hAnsi="宋体" w:eastAsia="宋体" w:cs="宋体"/>
                <w:i w:val="0"/>
                <w:iCs w:val="0"/>
                <w:highlight w:val="none"/>
                <w:lang w:val="en-US" w:eastAsia="zh-CN"/>
              </w:rPr>
              <w:t>其他融资类</w:t>
            </w:r>
          </w:p>
        </w:tc>
        <w:tc>
          <w:tcPr>
            <w:tcW w:w="755"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lang w:val="en-US" w:eastAsia="zh-CN"/>
              </w:rPr>
            </w:pPr>
            <w:r>
              <w:rPr>
                <w:rFonts w:hint="eastAsia" w:ascii="宋体" w:hAnsi="宋体" w:eastAsia="宋体" w:cs="宋体"/>
                <w:i w:val="0"/>
                <w:iCs w:val="0"/>
                <w:highlight w:val="none"/>
                <w:lang w:val="en-US" w:eastAsia="zh-CN"/>
              </w:rPr>
              <w:t>15分</w:t>
            </w:r>
          </w:p>
        </w:tc>
        <w:tc>
          <w:tcPr>
            <w:tcW w:w="6094" w:type="dxa"/>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szCs w:val="21"/>
                <w:highlight w:val="none"/>
              </w:rPr>
            </w:pPr>
            <w:r>
              <w:rPr>
                <w:rFonts w:hint="eastAsia" w:ascii="宋体" w:hAnsi="宋体" w:eastAsia="宋体" w:cs="宋体"/>
                <w:i w:val="0"/>
                <w:iCs w:val="0"/>
                <w:szCs w:val="21"/>
                <w:highlight w:val="none"/>
              </w:rPr>
              <w:t>投标人自202</w:t>
            </w:r>
            <w:r>
              <w:rPr>
                <w:rFonts w:hint="eastAsia" w:ascii="宋体" w:hAnsi="宋体" w:eastAsia="宋体" w:cs="宋体"/>
                <w:i w:val="0"/>
                <w:iCs w:val="0"/>
                <w:szCs w:val="21"/>
                <w:highlight w:val="none"/>
                <w:lang w:val="en-US" w:eastAsia="zh-CN"/>
              </w:rPr>
              <w:t>2</w:t>
            </w:r>
            <w:r>
              <w:rPr>
                <w:rFonts w:hint="eastAsia" w:ascii="宋体" w:hAnsi="宋体" w:eastAsia="宋体" w:cs="宋体"/>
                <w:i w:val="0"/>
                <w:iCs w:val="0"/>
                <w:szCs w:val="21"/>
                <w:highlight w:val="none"/>
              </w:rPr>
              <w:t>年1月1日以来为中期票据、超短期融资券、公司债券、企业债券、社会稳定风险评估、股份挂牌转让业务出具法律意见书或融资类专项报告的，每1个有效</w:t>
            </w:r>
            <w:r>
              <w:rPr>
                <w:rFonts w:hint="eastAsia" w:ascii="宋体" w:hAnsi="宋体" w:eastAsia="宋体" w:cs="宋体"/>
                <w:i w:val="0"/>
                <w:iCs w:val="0"/>
                <w:szCs w:val="21"/>
                <w:highlight w:val="none"/>
                <w:lang w:eastAsia="zh-CN"/>
              </w:rPr>
              <w:t>报告</w:t>
            </w:r>
            <w:r>
              <w:rPr>
                <w:rFonts w:hint="eastAsia" w:ascii="宋体" w:hAnsi="宋体" w:eastAsia="宋体" w:cs="宋体"/>
                <w:i w:val="0"/>
                <w:iCs w:val="0"/>
                <w:szCs w:val="21"/>
                <w:highlight w:val="none"/>
              </w:rPr>
              <w:t>（以成功完成的项目数为准）得</w:t>
            </w:r>
            <w:r>
              <w:rPr>
                <w:rFonts w:hint="eastAsia" w:ascii="宋体" w:hAnsi="宋体" w:eastAsia="宋体" w:cs="宋体"/>
                <w:i w:val="0"/>
                <w:iCs w:val="0"/>
                <w:szCs w:val="21"/>
                <w:highlight w:val="none"/>
                <w:lang w:val="en-US" w:eastAsia="zh-CN"/>
              </w:rPr>
              <w:t>3</w:t>
            </w:r>
            <w:r>
              <w:rPr>
                <w:rFonts w:hint="eastAsia" w:ascii="宋体" w:hAnsi="宋体" w:eastAsia="宋体" w:cs="宋体"/>
                <w:i w:val="0"/>
                <w:iCs w:val="0"/>
                <w:szCs w:val="21"/>
                <w:highlight w:val="none"/>
              </w:rPr>
              <w:t>分，最高得</w:t>
            </w:r>
            <w:r>
              <w:rPr>
                <w:rFonts w:hint="eastAsia" w:ascii="宋体" w:hAnsi="宋体" w:eastAsia="宋体" w:cs="宋体"/>
                <w:i w:val="0"/>
                <w:iCs w:val="0"/>
                <w:szCs w:val="21"/>
                <w:highlight w:val="none"/>
                <w:lang w:val="en-US" w:eastAsia="zh-CN"/>
              </w:rPr>
              <w:t>15</w:t>
            </w:r>
            <w:r>
              <w:rPr>
                <w:rFonts w:hint="eastAsia" w:ascii="宋体" w:hAnsi="宋体" w:eastAsia="宋体" w:cs="宋体"/>
                <w:i w:val="0"/>
                <w:iCs w:val="0"/>
                <w:szCs w:val="21"/>
                <w:highlight w:val="none"/>
              </w:rPr>
              <w:t>分。（融资类专项报告须提供项目明细清单、已完成报告副本、服务合同复印件，并加盖投标人公章；稳评、股改所涉法律意见书须提供政法部门、股权交易机构等主体出具的文书&lt;复印件</w:t>
            </w:r>
            <w:r>
              <w:rPr>
                <w:rFonts w:hint="eastAsia" w:ascii="宋体" w:hAnsi="宋体" w:cs="宋体"/>
                <w:i w:val="0"/>
                <w:iCs w:val="0"/>
                <w:szCs w:val="21"/>
                <w:highlight w:val="none"/>
                <w:lang w:eastAsia="zh-CN"/>
              </w:rPr>
              <w:t>，</w:t>
            </w:r>
            <w:r>
              <w:rPr>
                <w:rFonts w:hint="eastAsia" w:ascii="宋体" w:hAnsi="宋体" w:eastAsia="宋体" w:cs="宋体"/>
                <w:i w:val="0"/>
                <w:iCs w:val="0"/>
                <w:szCs w:val="21"/>
                <w:highlight w:val="none"/>
              </w:rPr>
              <w:t>并加盖投标人公章&gt;）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302" w:type="dxa"/>
            <w:vMerge w:val="continue"/>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i w:val="0"/>
                <w:iCs w:val="0"/>
                <w:highlight w:val="none"/>
              </w:rPr>
            </w:pPr>
          </w:p>
        </w:tc>
        <w:tc>
          <w:tcPr>
            <w:tcW w:w="1105"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支持政府相关工作</w:t>
            </w:r>
          </w:p>
        </w:tc>
        <w:tc>
          <w:tcPr>
            <w:tcW w:w="755"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lang w:eastAsia="zh-CN"/>
              </w:rPr>
            </w:pPr>
            <w:r>
              <w:rPr>
                <w:rFonts w:hint="eastAsia" w:ascii="宋体" w:hAnsi="宋体" w:eastAsia="宋体" w:cs="宋体"/>
                <w:i w:val="0"/>
                <w:iCs w:val="0"/>
                <w:highlight w:val="none"/>
                <w:lang w:val="en-US" w:eastAsia="zh-CN"/>
              </w:rPr>
              <w:t>7分</w:t>
            </w:r>
          </w:p>
        </w:tc>
        <w:tc>
          <w:tcPr>
            <w:tcW w:w="6094" w:type="dxa"/>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szCs w:val="21"/>
                <w:highlight w:val="none"/>
              </w:rPr>
            </w:pPr>
            <w:r>
              <w:rPr>
                <w:rFonts w:hint="eastAsia" w:ascii="宋体" w:hAnsi="宋体" w:eastAsia="宋体" w:cs="宋体"/>
                <w:i w:val="0"/>
                <w:iCs w:val="0"/>
                <w:highlight w:val="none"/>
                <w:lang w:val="en-US" w:eastAsia="zh-CN"/>
              </w:rPr>
              <w:t>1</w:t>
            </w:r>
            <w:r>
              <w:rPr>
                <w:rFonts w:hint="eastAsia" w:ascii="宋体" w:hAnsi="宋体" w:eastAsia="宋体" w:cs="宋体"/>
                <w:i w:val="0"/>
                <w:iCs w:val="0"/>
                <w:highlight w:val="none"/>
              </w:rPr>
              <w:t>.</w:t>
            </w:r>
            <w:r>
              <w:rPr>
                <w:rFonts w:hint="eastAsia" w:ascii="宋体" w:hAnsi="宋体" w:eastAsia="宋体" w:cs="宋体"/>
                <w:i w:val="0"/>
                <w:iCs w:val="0"/>
                <w:szCs w:val="21"/>
                <w:highlight w:val="none"/>
              </w:rPr>
              <w:t>投标人对</w:t>
            </w:r>
            <w:r>
              <w:rPr>
                <w:rFonts w:hint="eastAsia" w:ascii="宋体" w:hAnsi="宋体" w:eastAsia="宋体" w:cs="宋体"/>
                <w:i w:val="0"/>
                <w:iCs w:val="0"/>
                <w:szCs w:val="21"/>
                <w:highlight w:val="none"/>
                <w:lang w:val="en-US" w:eastAsia="zh-CN"/>
              </w:rPr>
              <w:t>余杭区</w:t>
            </w:r>
            <w:r>
              <w:rPr>
                <w:rFonts w:hint="eastAsia" w:ascii="宋体" w:hAnsi="宋体" w:eastAsia="宋体" w:cs="宋体"/>
                <w:i w:val="0"/>
                <w:iCs w:val="0"/>
                <w:szCs w:val="21"/>
                <w:highlight w:val="none"/>
              </w:rPr>
              <w:t>202</w:t>
            </w:r>
            <w:r>
              <w:rPr>
                <w:rFonts w:hint="eastAsia" w:ascii="宋体" w:hAnsi="宋体" w:eastAsia="宋体" w:cs="宋体"/>
                <w:i w:val="0"/>
                <w:iCs w:val="0"/>
                <w:szCs w:val="21"/>
                <w:highlight w:val="none"/>
                <w:lang w:val="en-US" w:eastAsia="zh-CN"/>
              </w:rPr>
              <w:t>2</w:t>
            </w:r>
            <w:r>
              <w:rPr>
                <w:rFonts w:hint="eastAsia" w:ascii="宋体" w:hAnsi="宋体" w:eastAsia="宋体" w:cs="宋体"/>
                <w:i w:val="0"/>
                <w:iCs w:val="0"/>
                <w:szCs w:val="21"/>
                <w:highlight w:val="none"/>
              </w:rPr>
              <w:t>年度政府专项债券发行项目的了解及工作重点难点情况分析，非常清楚得</w:t>
            </w:r>
            <w:r>
              <w:rPr>
                <w:rFonts w:hint="eastAsia" w:ascii="宋体" w:hAnsi="宋体" w:eastAsia="宋体" w:cs="宋体"/>
                <w:i w:val="0"/>
                <w:iCs w:val="0"/>
                <w:szCs w:val="21"/>
                <w:highlight w:val="none"/>
                <w:lang w:val="en-US" w:eastAsia="zh-CN"/>
              </w:rPr>
              <w:t>3</w:t>
            </w:r>
            <w:r>
              <w:rPr>
                <w:rFonts w:hint="eastAsia" w:ascii="宋体" w:hAnsi="宋体" w:eastAsia="宋体" w:cs="宋体"/>
                <w:i w:val="0"/>
                <w:iCs w:val="0"/>
                <w:szCs w:val="21"/>
                <w:highlight w:val="none"/>
              </w:rPr>
              <w:t>分，比较清楚得</w:t>
            </w:r>
            <w:r>
              <w:rPr>
                <w:rFonts w:hint="eastAsia" w:ascii="宋体" w:hAnsi="宋体" w:eastAsia="宋体" w:cs="宋体"/>
                <w:i w:val="0"/>
                <w:iCs w:val="0"/>
                <w:szCs w:val="21"/>
                <w:highlight w:val="none"/>
                <w:lang w:val="en-US" w:eastAsia="zh-CN"/>
              </w:rPr>
              <w:t>2</w:t>
            </w:r>
            <w:r>
              <w:rPr>
                <w:rFonts w:hint="eastAsia" w:ascii="宋体" w:hAnsi="宋体" w:eastAsia="宋体" w:cs="宋体"/>
                <w:i w:val="0"/>
                <w:iCs w:val="0"/>
                <w:szCs w:val="21"/>
                <w:highlight w:val="none"/>
              </w:rPr>
              <w:t>分，一般清楚得1分。</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szCs w:val="21"/>
                <w:highlight w:val="none"/>
              </w:rPr>
            </w:pPr>
            <w:r>
              <w:rPr>
                <w:rFonts w:hint="eastAsia" w:ascii="宋体" w:hAnsi="宋体" w:eastAsia="宋体" w:cs="宋体"/>
                <w:i w:val="0"/>
                <w:iCs w:val="0"/>
                <w:highlight w:val="none"/>
                <w:lang w:val="en-US" w:eastAsia="zh-CN"/>
              </w:rPr>
              <w:t>2</w:t>
            </w:r>
            <w:r>
              <w:rPr>
                <w:rFonts w:hint="eastAsia" w:ascii="宋体" w:hAnsi="宋体" w:eastAsia="宋体" w:cs="宋体"/>
                <w:i w:val="0"/>
                <w:iCs w:val="0"/>
                <w:highlight w:val="none"/>
              </w:rPr>
              <w:t>.</w:t>
            </w:r>
            <w:r>
              <w:rPr>
                <w:rFonts w:hint="eastAsia" w:ascii="宋体" w:hAnsi="宋体" w:eastAsia="宋体" w:cs="宋体"/>
                <w:i w:val="0"/>
                <w:iCs w:val="0"/>
                <w:szCs w:val="21"/>
                <w:highlight w:val="none"/>
              </w:rPr>
              <w:t>投标人对浙江省政府专项债券发行申报要求的了解，并根据投标人过往同类项目服务经验，分析执业过程中常见的问题并提出合理的工作程序或其他合理化建议，每条合理化建议得1分，最高不超过</w:t>
            </w:r>
            <w:r>
              <w:rPr>
                <w:rFonts w:hint="eastAsia" w:ascii="宋体" w:hAnsi="宋体" w:eastAsia="宋体" w:cs="宋体"/>
                <w:i w:val="0"/>
                <w:iCs w:val="0"/>
                <w:szCs w:val="21"/>
                <w:highlight w:val="none"/>
                <w:lang w:val="en-US" w:eastAsia="zh-CN"/>
              </w:rPr>
              <w:t>4</w:t>
            </w:r>
            <w:r>
              <w:rPr>
                <w:rFonts w:hint="eastAsia" w:ascii="宋体" w:hAnsi="宋体" w:eastAsia="宋体" w:cs="宋体"/>
                <w:i w:val="0"/>
                <w:iCs w:val="0"/>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1" w:hRule="atLeast"/>
          <w:jc w:val="center"/>
        </w:trPr>
        <w:tc>
          <w:tcPr>
            <w:tcW w:w="1302" w:type="dxa"/>
            <w:vMerge w:val="restart"/>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i w:val="0"/>
                <w:iCs w:val="0"/>
                <w:highlight w:val="none"/>
              </w:rPr>
            </w:pPr>
            <w:r>
              <w:rPr>
                <w:rFonts w:hint="eastAsia" w:ascii="宋体" w:hAnsi="宋体" w:eastAsia="宋体" w:cs="宋体"/>
                <w:b/>
                <w:i w:val="0"/>
                <w:iCs w:val="0"/>
                <w:highlight w:val="none"/>
                <w:lang w:val="en-US" w:eastAsia="zh-CN"/>
              </w:rPr>
              <w:t>三、服务方案</w:t>
            </w:r>
          </w:p>
        </w:tc>
        <w:tc>
          <w:tcPr>
            <w:tcW w:w="1105" w:type="dxa"/>
            <w:vAlign w:val="center"/>
          </w:tcPr>
          <w:p>
            <w:pPr>
              <w:keepNext w:val="0"/>
              <w:keepLines w:val="0"/>
              <w:pageBreakBefore w:val="0"/>
              <w:kinsoku/>
              <w:wordWrap/>
              <w:overflowPunct/>
              <w:topLinePunct w:val="0"/>
              <w:autoSpaceDE/>
              <w:autoSpaceDN/>
              <w:bidi w:val="0"/>
              <w:adjustRightInd w:val="0"/>
              <w:snapToGrid/>
              <w:spacing w:line="360" w:lineRule="auto"/>
              <w:ind w:leftChars="-8" w:hanging="16" w:hangingChars="8"/>
              <w:jc w:val="center"/>
              <w:textAlignment w:val="auto"/>
              <w:rPr>
                <w:rFonts w:hint="eastAsia" w:ascii="宋体" w:hAnsi="宋体" w:eastAsia="宋体" w:cs="宋体"/>
                <w:b/>
                <w:bCs/>
                <w:i w:val="0"/>
                <w:iCs w:val="0"/>
                <w:highlight w:val="none"/>
                <w:lang w:eastAsia="zh-CN"/>
              </w:rPr>
            </w:pPr>
            <w:r>
              <w:rPr>
                <w:rFonts w:hint="eastAsia" w:ascii="宋体" w:hAnsi="宋体" w:eastAsia="宋体" w:cs="宋体"/>
                <w:i w:val="0"/>
                <w:iCs w:val="0"/>
                <w:highlight w:val="none"/>
                <w:lang w:val="en-US" w:eastAsia="zh-CN"/>
              </w:rPr>
              <w:t>时效性</w:t>
            </w:r>
          </w:p>
        </w:tc>
        <w:tc>
          <w:tcPr>
            <w:tcW w:w="755" w:type="dxa"/>
            <w:vAlign w:val="center"/>
          </w:tcPr>
          <w:p>
            <w:pPr>
              <w:keepNext w:val="0"/>
              <w:keepLines w:val="0"/>
              <w:pageBreakBefore w:val="0"/>
              <w:kinsoku/>
              <w:wordWrap/>
              <w:overflowPunct/>
              <w:topLinePunct w:val="0"/>
              <w:autoSpaceDE/>
              <w:autoSpaceDN/>
              <w:bidi w:val="0"/>
              <w:adjustRightInd w:val="0"/>
              <w:snapToGrid/>
              <w:spacing w:line="360" w:lineRule="auto"/>
              <w:ind w:leftChars="-8" w:hanging="16" w:hangingChars="8"/>
              <w:jc w:val="center"/>
              <w:textAlignment w:val="auto"/>
              <w:rPr>
                <w:rFonts w:hint="eastAsia" w:ascii="宋体" w:hAnsi="宋体" w:eastAsia="宋体" w:cs="宋体"/>
                <w:i w:val="0"/>
                <w:iCs w:val="0"/>
                <w:highlight w:val="none"/>
                <w:lang w:eastAsia="zh-CN"/>
              </w:rPr>
            </w:pPr>
            <w:r>
              <w:rPr>
                <w:rFonts w:hint="eastAsia" w:ascii="宋体" w:hAnsi="宋体" w:eastAsia="宋体" w:cs="宋体"/>
                <w:i w:val="0"/>
                <w:iCs w:val="0"/>
                <w:highlight w:val="none"/>
                <w:lang w:val="en-US" w:eastAsia="zh-CN"/>
              </w:rPr>
              <w:t>8分</w:t>
            </w:r>
          </w:p>
        </w:tc>
        <w:tc>
          <w:tcPr>
            <w:tcW w:w="6094" w:type="dxa"/>
            <w:vAlign w:val="center"/>
          </w:tcPr>
          <w:p>
            <w:pPr>
              <w:keepNext w:val="0"/>
              <w:keepLines w:val="0"/>
              <w:pageBreakBefore w:val="0"/>
              <w:widowControl/>
              <w:numPr>
                <w:ilvl w:val="0"/>
                <w:numId w:val="5"/>
              </w:numPr>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szCs w:val="21"/>
                <w:highlight w:val="none"/>
              </w:rPr>
            </w:pPr>
            <w:r>
              <w:rPr>
                <w:rFonts w:hint="eastAsia" w:ascii="宋体" w:hAnsi="宋体" w:eastAsia="宋体" w:cs="宋体"/>
                <w:i w:val="0"/>
                <w:iCs w:val="0"/>
                <w:szCs w:val="21"/>
                <w:highlight w:val="none"/>
              </w:rPr>
              <w:t>投标人承诺</w:t>
            </w:r>
            <w:r>
              <w:rPr>
                <w:rFonts w:hint="eastAsia" w:ascii="宋体" w:hAnsi="宋体" w:eastAsia="宋体" w:cs="宋体"/>
                <w:i w:val="0"/>
                <w:iCs w:val="0"/>
                <w:szCs w:val="21"/>
                <w:highlight w:val="none"/>
                <w:lang w:val="en-US" w:eastAsia="zh-CN"/>
              </w:rPr>
              <w:t>出具法律意见书初稿</w:t>
            </w:r>
            <w:r>
              <w:rPr>
                <w:rFonts w:hint="eastAsia" w:ascii="宋体" w:hAnsi="宋体" w:eastAsia="宋体" w:cs="宋体"/>
                <w:i w:val="0"/>
                <w:iCs w:val="0"/>
                <w:szCs w:val="21"/>
                <w:highlight w:val="none"/>
              </w:rPr>
              <w:t>工作时效为</w:t>
            </w:r>
            <w:r>
              <w:rPr>
                <w:rFonts w:hint="eastAsia" w:ascii="宋体" w:hAnsi="宋体" w:eastAsia="宋体" w:cs="宋体"/>
                <w:i w:val="0"/>
                <w:iCs w:val="0"/>
                <w:szCs w:val="21"/>
                <w:highlight w:val="none"/>
                <w:lang w:val="en-US" w:eastAsia="zh-CN"/>
              </w:rPr>
              <w:t>3</w:t>
            </w:r>
            <w:r>
              <w:rPr>
                <w:rFonts w:hint="eastAsia" w:ascii="宋体" w:hAnsi="宋体" w:eastAsia="宋体" w:cs="宋体"/>
                <w:i w:val="0"/>
                <w:iCs w:val="0"/>
                <w:szCs w:val="21"/>
                <w:highlight w:val="none"/>
              </w:rPr>
              <w:t>天以内的，得</w:t>
            </w:r>
            <w:r>
              <w:rPr>
                <w:rFonts w:hint="eastAsia" w:ascii="宋体" w:hAnsi="宋体" w:eastAsia="宋体" w:cs="宋体"/>
                <w:i w:val="0"/>
                <w:iCs w:val="0"/>
                <w:szCs w:val="21"/>
                <w:highlight w:val="none"/>
                <w:lang w:val="en-US" w:eastAsia="zh-CN"/>
              </w:rPr>
              <w:t>4</w:t>
            </w:r>
            <w:r>
              <w:rPr>
                <w:rFonts w:hint="eastAsia" w:ascii="宋体" w:hAnsi="宋体" w:eastAsia="宋体" w:cs="宋体"/>
                <w:i w:val="0"/>
                <w:iCs w:val="0"/>
                <w:szCs w:val="21"/>
                <w:highlight w:val="none"/>
              </w:rPr>
              <w:t>分；承诺工作时效为</w:t>
            </w:r>
            <w:r>
              <w:rPr>
                <w:rFonts w:hint="eastAsia" w:ascii="宋体" w:hAnsi="宋体" w:eastAsia="宋体" w:cs="宋体"/>
                <w:i w:val="0"/>
                <w:iCs w:val="0"/>
                <w:szCs w:val="21"/>
                <w:highlight w:val="none"/>
                <w:lang w:val="en-US" w:eastAsia="zh-CN"/>
              </w:rPr>
              <w:t>4</w:t>
            </w:r>
            <w:r>
              <w:rPr>
                <w:rFonts w:hint="eastAsia" w:ascii="宋体" w:hAnsi="宋体" w:eastAsia="宋体" w:cs="宋体"/>
                <w:i w:val="0"/>
                <w:iCs w:val="0"/>
                <w:szCs w:val="21"/>
                <w:highlight w:val="none"/>
              </w:rPr>
              <w:t>-</w:t>
            </w:r>
            <w:r>
              <w:rPr>
                <w:rFonts w:hint="eastAsia" w:ascii="宋体" w:hAnsi="宋体" w:eastAsia="宋体" w:cs="宋体"/>
                <w:i w:val="0"/>
                <w:iCs w:val="0"/>
                <w:szCs w:val="21"/>
                <w:highlight w:val="none"/>
                <w:lang w:val="en-US" w:eastAsia="zh-CN"/>
              </w:rPr>
              <w:t>6</w:t>
            </w:r>
            <w:r>
              <w:rPr>
                <w:rFonts w:hint="eastAsia" w:ascii="宋体" w:hAnsi="宋体" w:eastAsia="宋体" w:cs="宋体"/>
                <w:i w:val="0"/>
                <w:iCs w:val="0"/>
                <w:szCs w:val="21"/>
                <w:highlight w:val="none"/>
              </w:rPr>
              <w:t>天的，得2分；承诺工作时效超过</w:t>
            </w:r>
            <w:r>
              <w:rPr>
                <w:rFonts w:hint="eastAsia" w:ascii="宋体" w:hAnsi="宋体" w:eastAsia="宋体" w:cs="宋体"/>
                <w:i w:val="0"/>
                <w:iCs w:val="0"/>
                <w:szCs w:val="21"/>
                <w:highlight w:val="none"/>
                <w:lang w:val="en-US" w:eastAsia="zh-CN"/>
              </w:rPr>
              <w:t>7</w:t>
            </w:r>
            <w:r>
              <w:rPr>
                <w:rFonts w:hint="eastAsia" w:ascii="宋体" w:hAnsi="宋体" w:eastAsia="宋体" w:cs="宋体"/>
                <w:i w:val="0"/>
                <w:iCs w:val="0"/>
                <w:szCs w:val="21"/>
                <w:highlight w:val="none"/>
              </w:rPr>
              <w:t>天的，不得分。</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highlight w:val="none"/>
              </w:rPr>
            </w:pPr>
            <w:r>
              <w:rPr>
                <w:rFonts w:hint="eastAsia" w:ascii="宋体" w:hAnsi="宋体" w:eastAsia="宋体" w:cs="宋体"/>
                <w:i w:val="0"/>
                <w:iCs w:val="0"/>
                <w:highlight w:val="none"/>
                <w:lang w:val="en-US" w:eastAsia="zh-CN"/>
              </w:rPr>
              <w:t>2</w:t>
            </w:r>
            <w:r>
              <w:rPr>
                <w:rFonts w:hint="eastAsia" w:ascii="宋体" w:hAnsi="宋体" w:eastAsia="宋体" w:cs="宋体"/>
                <w:i w:val="0"/>
                <w:iCs w:val="0"/>
                <w:highlight w:val="none"/>
              </w:rPr>
              <w:t>.</w:t>
            </w:r>
            <w:r>
              <w:rPr>
                <w:rFonts w:hint="eastAsia" w:ascii="宋体" w:hAnsi="宋体" w:eastAsia="宋体" w:cs="宋体"/>
                <w:i w:val="0"/>
                <w:iCs w:val="0"/>
                <w:szCs w:val="21"/>
                <w:highlight w:val="none"/>
              </w:rPr>
              <w:t>投标人承诺</w:t>
            </w:r>
            <w:r>
              <w:rPr>
                <w:rFonts w:hint="eastAsia" w:ascii="宋体" w:hAnsi="宋体" w:eastAsia="宋体" w:cs="宋体"/>
                <w:i w:val="0"/>
                <w:iCs w:val="0"/>
                <w:szCs w:val="21"/>
                <w:highlight w:val="none"/>
                <w:lang w:val="en-US" w:eastAsia="zh-CN"/>
              </w:rPr>
              <w:t>在初稿基础上修改及出具盖章正式版</w:t>
            </w:r>
            <w:r>
              <w:rPr>
                <w:rFonts w:hint="eastAsia" w:ascii="宋体" w:hAnsi="宋体" w:eastAsia="宋体" w:cs="宋体"/>
                <w:i w:val="0"/>
                <w:iCs w:val="0"/>
                <w:szCs w:val="21"/>
                <w:highlight w:val="none"/>
              </w:rPr>
              <w:t>工作时效为</w:t>
            </w:r>
            <w:r>
              <w:rPr>
                <w:rFonts w:hint="eastAsia" w:ascii="宋体" w:hAnsi="宋体" w:eastAsia="宋体" w:cs="宋体"/>
                <w:i w:val="0"/>
                <w:iCs w:val="0"/>
                <w:szCs w:val="21"/>
                <w:highlight w:val="none"/>
                <w:lang w:val="en-US" w:eastAsia="zh-CN"/>
              </w:rPr>
              <w:t>1</w:t>
            </w:r>
            <w:r>
              <w:rPr>
                <w:rFonts w:hint="eastAsia" w:ascii="宋体" w:hAnsi="宋体" w:eastAsia="宋体" w:cs="宋体"/>
                <w:i w:val="0"/>
                <w:iCs w:val="0"/>
                <w:szCs w:val="21"/>
                <w:highlight w:val="none"/>
              </w:rPr>
              <w:t>天以内的，得</w:t>
            </w:r>
            <w:r>
              <w:rPr>
                <w:rFonts w:hint="eastAsia" w:ascii="宋体" w:hAnsi="宋体" w:eastAsia="宋体" w:cs="宋体"/>
                <w:i w:val="0"/>
                <w:iCs w:val="0"/>
                <w:szCs w:val="21"/>
                <w:highlight w:val="none"/>
                <w:lang w:val="en-US" w:eastAsia="zh-CN"/>
              </w:rPr>
              <w:t>4</w:t>
            </w:r>
            <w:r>
              <w:rPr>
                <w:rFonts w:hint="eastAsia" w:ascii="宋体" w:hAnsi="宋体" w:eastAsia="宋体" w:cs="宋体"/>
                <w:i w:val="0"/>
                <w:iCs w:val="0"/>
                <w:szCs w:val="21"/>
                <w:highlight w:val="none"/>
              </w:rPr>
              <w:t>分；承诺工作时效为</w:t>
            </w:r>
            <w:r>
              <w:rPr>
                <w:rFonts w:hint="eastAsia" w:ascii="宋体" w:hAnsi="宋体" w:eastAsia="宋体" w:cs="宋体"/>
                <w:i w:val="0"/>
                <w:iCs w:val="0"/>
                <w:szCs w:val="21"/>
                <w:highlight w:val="none"/>
                <w:lang w:val="en-US" w:eastAsia="zh-CN"/>
              </w:rPr>
              <w:t>2</w:t>
            </w:r>
            <w:r>
              <w:rPr>
                <w:rFonts w:hint="eastAsia" w:ascii="宋体" w:hAnsi="宋体" w:eastAsia="宋体" w:cs="宋体"/>
                <w:i w:val="0"/>
                <w:iCs w:val="0"/>
                <w:szCs w:val="21"/>
                <w:highlight w:val="none"/>
              </w:rPr>
              <w:t>-</w:t>
            </w:r>
            <w:r>
              <w:rPr>
                <w:rFonts w:hint="eastAsia" w:ascii="宋体" w:hAnsi="宋体" w:eastAsia="宋体" w:cs="宋体"/>
                <w:i w:val="0"/>
                <w:iCs w:val="0"/>
                <w:szCs w:val="21"/>
                <w:highlight w:val="none"/>
                <w:lang w:val="en-US" w:eastAsia="zh-CN"/>
              </w:rPr>
              <w:t>3</w:t>
            </w:r>
            <w:r>
              <w:rPr>
                <w:rFonts w:hint="eastAsia" w:ascii="宋体" w:hAnsi="宋体" w:eastAsia="宋体" w:cs="宋体"/>
                <w:i w:val="0"/>
                <w:iCs w:val="0"/>
                <w:szCs w:val="21"/>
                <w:highlight w:val="none"/>
              </w:rPr>
              <w:t>天的，得2分；承诺工作时效超过</w:t>
            </w:r>
            <w:r>
              <w:rPr>
                <w:rFonts w:hint="eastAsia" w:ascii="宋体" w:hAnsi="宋体" w:eastAsia="宋体" w:cs="宋体"/>
                <w:i w:val="0"/>
                <w:iCs w:val="0"/>
                <w:szCs w:val="21"/>
                <w:highlight w:val="none"/>
                <w:lang w:val="en-US" w:eastAsia="zh-CN"/>
              </w:rPr>
              <w:t>4</w:t>
            </w:r>
            <w:r>
              <w:rPr>
                <w:rFonts w:hint="eastAsia" w:ascii="宋体" w:hAnsi="宋体" w:eastAsia="宋体" w:cs="宋体"/>
                <w:i w:val="0"/>
                <w:iCs w:val="0"/>
                <w:szCs w:val="21"/>
                <w:highlight w:val="none"/>
              </w:rPr>
              <w:t>天的，不得分。</w:t>
            </w:r>
          </w:p>
          <w:p>
            <w:pPr>
              <w:keepNext w:val="0"/>
              <w:keepLines w:val="0"/>
              <w:pageBreakBefore w:val="0"/>
              <w:kinsoku/>
              <w:wordWrap/>
              <w:overflowPunct/>
              <w:topLinePunct w:val="0"/>
              <w:autoSpaceDE/>
              <w:autoSpaceDN/>
              <w:bidi w:val="0"/>
              <w:adjustRightInd w:val="0"/>
              <w:snapToGrid/>
              <w:spacing w:line="360" w:lineRule="auto"/>
              <w:ind w:leftChars="-10" w:hanging="21" w:hangingChars="10"/>
              <w:textAlignment w:val="auto"/>
              <w:rPr>
                <w:rFonts w:hint="eastAsia" w:ascii="宋体" w:hAnsi="宋体" w:eastAsia="宋体" w:cs="宋体"/>
                <w:i w:val="0"/>
                <w:iCs w:val="0"/>
                <w:highlight w:val="none"/>
                <w:lang w:eastAsia="zh-CN"/>
              </w:rPr>
            </w:pPr>
            <w:r>
              <w:rPr>
                <w:rFonts w:hint="eastAsia" w:ascii="宋体" w:hAnsi="宋体" w:eastAsia="宋体" w:cs="宋体"/>
                <w:i w:val="0"/>
                <w:iCs w:val="0"/>
                <w:highlight w:val="none"/>
                <w:lang w:eastAsia="zh-CN"/>
              </w:rPr>
              <w:t>（</w:t>
            </w:r>
            <w:r>
              <w:rPr>
                <w:rFonts w:hint="eastAsia" w:ascii="宋体" w:hAnsi="宋体" w:eastAsia="宋体" w:cs="宋体"/>
                <w:i w:val="0"/>
                <w:iCs w:val="0"/>
                <w:highlight w:val="none"/>
                <w:lang w:val="en-US" w:eastAsia="zh-CN"/>
              </w:rPr>
              <w:t>出具承诺书并加盖投标人公章，否则不得分</w:t>
            </w:r>
            <w:r>
              <w:rPr>
                <w:rFonts w:hint="eastAsia" w:ascii="宋体" w:hAnsi="宋体" w:eastAsia="宋体" w:cs="宋体"/>
                <w:i w:val="0"/>
                <w:iCs w:val="0"/>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1302" w:type="dxa"/>
            <w:vMerge w:val="continue"/>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i w:val="0"/>
                <w:iCs w:val="0"/>
                <w:highlight w:val="none"/>
              </w:rPr>
            </w:pPr>
          </w:p>
        </w:tc>
        <w:tc>
          <w:tcPr>
            <w:tcW w:w="1105"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lang w:eastAsia="zh-CN"/>
              </w:rPr>
            </w:pPr>
            <w:r>
              <w:rPr>
                <w:rFonts w:hint="eastAsia" w:ascii="宋体" w:hAnsi="宋体" w:eastAsia="宋体" w:cs="宋体"/>
                <w:i w:val="0"/>
                <w:iCs w:val="0"/>
                <w:highlight w:val="none"/>
                <w:lang w:val="en-US" w:eastAsia="zh-CN"/>
              </w:rPr>
              <w:t>现场服务</w:t>
            </w:r>
          </w:p>
        </w:tc>
        <w:tc>
          <w:tcPr>
            <w:tcW w:w="755"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lang w:eastAsia="zh-CN"/>
              </w:rPr>
            </w:pPr>
            <w:r>
              <w:rPr>
                <w:rFonts w:hint="eastAsia" w:ascii="宋体" w:hAnsi="宋体" w:eastAsia="宋体" w:cs="宋体"/>
                <w:i w:val="0"/>
                <w:iCs w:val="0"/>
                <w:highlight w:val="none"/>
                <w:lang w:val="en-US" w:eastAsia="zh-CN"/>
              </w:rPr>
              <w:t>5分</w:t>
            </w:r>
          </w:p>
        </w:tc>
        <w:tc>
          <w:tcPr>
            <w:tcW w:w="6094"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i w:val="0"/>
                <w:iCs w:val="0"/>
                <w:highlight w:val="none"/>
              </w:rPr>
            </w:pPr>
            <w:r>
              <w:rPr>
                <w:rFonts w:hint="eastAsia" w:ascii="宋体" w:hAnsi="宋体" w:eastAsia="宋体" w:cs="宋体"/>
                <w:i w:val="0"/>
                <w:iCs w:val="0"/>
                <w:szCs w:val="21"/>
                <w:highlight w:val="none"/>
              </w:rPr>
              <w:t>投标人可实现的现场驻点服务情况，承诺全年可提供的在</w:t>
            </w:r>
            <w:r>
              <w:rPr>
                <w:rFonts w:hint="eastAsia" w:ascii="宋体" w:hAnsi="宋体" w:eastAsia="宋体" w:cs="宋体"/>
                <w:i w:val="0"/>
                <w:iCs w:val="0"/>
                <w:szCs w:val="21"/>
                <w:highlight w:val="none"/>
                <w:lang w:val="en-US" w:eastAsia="zh-CN"/>
              </w:rPr>
              <w:t>杭州市余杭区财政局</w:t>
            </w:r>
            <w:r>
              <w:rPr>
                <w:rFonts w:hint="eastAsia" w:ascii="宋体" w:hAnsi="宋体" w:eastAsia="宋体" w:cs="宋体"/>
                <w:i w:val="0"/>
                <w:iCs w:val="0"/>
                <w:szCs w:val="21"/>
                <w:highlight w:val="none"/>
              </w:rPr>
              <w:t>现场驻点服务的天数，每1天得0.5分，最高不超过5分。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1302" w:type="dxa"/>
            <w:vMerge w:val="continue"/>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i w:val="0"/>
                <w:iCs w:val="0"/>
                <w:highlight w:val="none"/>
              </w:rPr>
            </w:pPr>
          </w:p>
        </w:tc>
        <w:tc>
          <w:tcPr>
            <w:tcW w:w="1105"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lang w:val="en-US" w:eastAsia="zh-CN"/>
              </w:rPr>
            </w:pPr>
            <w:r>
              <w:rPr>
                <w:rFonts w:hint="eastAsia" w:ascii="宋体" w:hAnsi="宋体" w:eastAsia="宋体" w:cs="宋体"/>
                <w:i w:val="0"/>
                <w:iCs w:val="0"/>
                <w:highlight w:val="none"/>
                <w:lang w:val="en-US" w:eastAsia="zh-CN"/>
              </w:rPr>
              <w:t>质量保证措施</w:t>
            </w:r>
          </w:p>
        </w:tc>
        <w:tc>
          <w:tcPr>
            <w:tcW w:w="755"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highlight w:val="none"/>
                <w:lang w:val="en-US" w:eastAsia="zh-CN"/>
              </w:rPr>
            </w:pPr>
            <w:r>
              <w:rPr>
                <w:rFonts w:hint="eastAsia" w:ascii="宋体" w:hAnsi="宋体" w:eastAsia="宋体" w:cs="宋体"/>
                <w:i w:val="0"/>
                <w:iCs w:val="0"/>
                <w:highlight w:val="none"/>
                <w:lang w:val="en-US" w:eastAsia="zh-CN"/>
              </w:rPr>
              <w:t>8分</w:t>
            </w:r>
          </w:p>
        </w:tc>
        <w:tc>
          <w:tcPr>
            <w:tcW w:w="6094"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i w:val="0"/>
                <w:iCs w:val="0"/>
                <w:szCs w:val="21"/>
                <w:highlight w:val="none"/>
              </w:rPr>
            </w:pPr>
            <w:r>
              <w:rPr>
                <w:rFonts w:hint="eastAsia" w:ascii="宋体" w:hAnsi="宋体" w:eastAsia="宋体" w:cs="宋体"/>
                <w:i w:val="0"/>
                <w:iCs w:val="0"/>
                <w:szCs w:val="21"/>
                <w:highlight w:val="none"/>
              </w:rPr>
              <w:t>1.根据投标人对报告质量审核主要关注点的描述，全面、详实、可操作的，得</w:t>
            </w:r>
            <w:r>
              <w:rPr>
                <w:rFonts w:hint="eastAsia" w:ascii="宋体" w:hAnsi="宋体" w:eastAsia="宋体" w:cs="宋体"/>
                <w:i w:val="0"/>
                <w:iCs w:val="0"/>
                <w:szCs w:val="21"/>
                <w:highlight w:val="none"/>
                <w:lang w:val="en-US" w:eastAsia="zh-CN"/>
              </w:rPr>
              <w:t>4</w:t>
            </w:r>
            <w:r>
              <w:rPr>
                <w:rFonts w:hint="eastAsia" w:ascii="宋体" w:hAnsi="宋体" w:eastAsia="宋体" w:cs="宋体"/>
                <w:i w:val="0"/>
                <w:iCs w:val="0"/>
                <w:szCs w:val="21"/>
                <w:highlight w:val="none"/>
              </w:rPr>
              <w:t>分；描述情况比较清楚的，得</w:t>
            </w:r>
            <w:r>
              <w:rPr>
                <w:rFonts w:hint="eastAsia" w:ascii="宋体" w:hAnsi="宋体" w:eastAsia="宋体" w:cs="宋体"/>
                <w:i w:val="0"/>
                <w:iCs w:val="0"/>
                <w:szCs w:val="21"/>
                <w:highlight w:val="none"/>
                <w:lang w:val="en-US" w:eastAsia="zh-CN"/>
              </w:rPr>
              <w:t>3</w:t>
            </w:r>
            <w:r>
              <w:rPr>
                <w:rFonts w:hint="eastAsia" w:ascii="宋体" w:hAnsi="宋体" w:eastAsia="宋体" w:cs="宋体"/>
                <w:i w:val="0"/>
                <w:iCs w:val="0"/>
                <w:szCs w:val="21"/>
                <w:highlight w:val="none"/>
              </w:rPr>
              <w:t>分；描述情况一般的</w:t>
            </w:r>
            <w:r>
              <w:rPr>
                <w:rFonts w:hint="eastAsia" w:ascii="宋体" w:hAnsi="宋体" w:eastAsia="宋体" w:cs="宋体"/>
                <w:i w:val="0"/>
                <w:iCs w:val="0"/>
                <w:szCs w:val="21"/>
                <w:highlight w:val="none"/>
                <w:lang w:eastAsia="zh-CN"/>
              </w:rPr>
              <w:t>，</w:t>
            </w:r>
            <w:r>
              <w:rPr>
                <w:rFonts w:hint="eastAsia" w:ascii="宋体" w:hAnsi="宋体" w:eastAsia="宋体" w:cs="宋体"/>
                <w:i w:val="0"/>
                <w:iCs w:val="0"/>
                <w:szCs w:val="21"/>
                <w:highlight w:val="none"/>
              </w:rPr>
              <w:t>得</w:t>
            </w:r>
            <w:r>
              <w:rPr>
                <w:rFonts w:hint="eastAsia" w:ascii="宋体" w:hAnsi="宋体" w:eastAsia="宋体" w:cs="宋体"/>
                <w:i w:val="0"/>
                <w:iCs w:val="0"/>
                <w:szCs w:val="21"/>
                <w:highlight w:val="none"/>
                <w:lang w:val="en-US" w:eastAsia="zh-CN"/>
              </w:rPr>
              <w:t>1分</w:t>
            </w:r>
            <w:r>
              <w:rPr>
                <w:rFonts w:hint="eastAsia" w:ascii="宋体" w:hAnsi="宋体" w:cs="宋体"/>
                <w:i w:val="0"/>
                <w:iCs w:val="0"/>
                <w:szCs w:val="21"/>
                <w:highlight w:val="none"/>
                <w:lang w:val="en-US" w:eastAsia="zh-CN"/>
              </w:rPr>
              <w:t>。</w:t>
            </w:r>
          </w:p>
          <w:p>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rPr>
                <w:rFonts w:hint="eastAsia"/>
                <w:highlight w:val="none"/>
                <w:lang w:eastAsia="zh-CN"/>
              </w:rPr>
            </w:pPr>
            <w:r>
              <w:rPr>
                <w:rFonts w:hint="eastAsia" w:ascii="宋体" w:hAnsi="宋体" w:eastAsia="宋体" w:cs="宋体"/>
                <w:i w:val="0"/>
                <w:iCs w:val="0"/>
                <w:szCs w:val="21"/>
                <w:highlight w:val="none"/>
              </w:rPr>
              <w:t>2.根据各投标人的质量内控体系建设情况，内容详实、组织合理、体系完善且符合实际的，得</w:t>
            </w:r>
            <w:r>
              <w:rPr>
                <w:rFonts w:hint="eastAsia" w:ascii="宋体" w:hAnsi="宋体" w:eastAsia="宋体" w:cs="宋体"/>
                <w:i w:val="0"/>
                <w:iCs w:val="0"/>
                <w:szCs w:val="21"/>
                <w:highlight w:val="none"/>
                <w:lang w:val="en-US" w:eastAsia="zh-CN"/>
              </w:rPr>
              <w:t>4</w:t>
            </w:r>
            <w:r>
              <w:rPr>
                <w:rFonts w:hint="eastAsia" w:ascii="宋体" w:hAnsi="宋体" w:eastAsia="宋体" w:cs="宋体"/>
                <w:i w:val="0"/>
                <w:iCs w:val="0"/>
                <w:szCs w:val="21"/>
                <w:highlight w:val="none"/>
              </w:rPr>
              <w:t>分；描述情况比较清楚的，得2分；描述情况一般的，得</w:t>
            </w:r>
            <w:r>
              <w:rPr>
                <w:rFonts w:hint="eastAsia" w:ascii="宋体" w:hAnsi="宋体" w:eastAsia="宋体" w:cs="宋体"/>
                <w:i w:val="0"/>
                <w:iCs w:val="0"/>
                <w:szCs w:val="21"/>
                <w:highlight w:val="none"/>
                <w:lang w:val="en-US" w:eastAsia="zh-CN"/>
              </w:rPr>
              <w:t>1</w:t>
            </w:r>
            <w:r>
              <w:rPr>
                <w:rFonts w:hint="eastAsia" w:ascii="宋体" w:hAnsi="宋体" w:eastAsia="宋体" w:cs="宋体"/>
                <w:i w:val="0"/>
                <w:iCs w:val="0"/>
                <w:szCs w:val="21"/>
                <w:highlight w:val="none"/>
              </w:rPr>
              <w:t>分。（需在投标文件技术标中提供单位已行文并在实际执行的内控制度，即质量内控体系相关制度等相关文件复印件加盖投标单位公章）。无质量内控体系的，不得分</w:t>
            </w:r>
            <w:r>
              <w:rPr>
                <w:rFonts w:hint="eastAsia" w:ascii="宋体" w:hAnsi="宋体" w:cs="宋体"/>
                <w:i w:val="0"/>
                <w:iCs w:val="0"/>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1302" w:type="dxa"/>
            <w:vMerge w:val="continue"/>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i w:val="0"/>
                <w:iCs w:val="0"/>
                <w:highlight w:val="none"/>
              </w:rPr>
            </w:pPr>
          </w:p>
        </w:tc>
        <w:tc>
          <w:tcPr>
            <w:tcW w:w="1105"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kern w:val="2"/>
                <w:sz w:val="21"/>
                <w:szCs w:val="24"/>
                <w:highlight w:val="none"/>
                <w:lang w:val="en-US" w:eastAsia="zh-CN" w:bidi="ar-SA"/>
              </w:rPr>
            </w:pPr>
            <w:r>
              <w:rPr>
                <w:rFonts w:hint="eastAsia" w:ascii="宋体" w:hAnsi="宋体" w:eastAsia="宋体" w:cs="宋体"/>
                <w:i w:val="0"/>
                <w:iCs w:val="0"/>
                <w:highlight w:val="none"/>
                <w:lang w:val="en-US" w:eastAsia="zh-CN"/>
              </w:rPr>
              <w:t>整体服务方案</w:t>
            </w:r>
          </w:p>
        </w:tc>
        <w:tc>
          <w:tcPr>
            <w:tcW w:w="755"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kern w:val="2"/>
                <w:sz w:val="21"/>
                <w:szCs w:val="24"/>
                <w:highlight w:val="none"/>
                <w:lang w:val="en-US" w:eastAsia="zh-CN" w:bidi="ar-SA"/>
              </w:rPr>
            </w:pPr>
            <w:r>
              <w:rPr>
                <w:rFonts w:hint="eastAsia" w:ascii="宋体" w:hAnsi="宋体" w:eastAsia="宋体" w:cs="宋体"/>
                <w:i w:val="0"/>
                <w:iCs w:val="0"/>
                <w:highlight w:val="none"/>
                <w:lang w:val="en-US" w:eastAsia="zh-CN"/>
              </w:rPr>
              <w:t>3分</w:t>
            </w:r>
          </w:p>
        </w:tc>
        <w:tc>
          <w:tcPr>
            <w:tcW w:w="6094"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i w:val="0"/>
                <w:iCs w:val="0"/>
                <w:kern w:val="2"/>
                <w:sz w:val="21"/>
                <w:szCs w:val="24"/>
                <w:highlight w:val="none"/>
                <w:lang w:val="zh-CN" w:eastAsia="zh-CN" w:bidi="ar-SA"/>
              </w:rPr>
            </w:pPr>
            <w:r>
              <w:rPr>
                <w:rFonts w:hint="eastAsia" w:ascii="宋体" w:hAnsi="宋体" w:eastAsia="宋体" w:cs="宋体"/>
                <w:i w:val="0"/>
                <w:iCs w:val="0"/>
                <w:highlight w:val="none"/>
              </w:rPr>
              <w:t>具有完善、针对性强的地方政府专项债券</w:t>
            </w:r>
            <w:r>
              <w:rPr>
                <w:rFonts w:hint="eastAsia" w:ascii="宋体" w:hAnsi="宋体" w:eastAsia="宋体" w:cs="宋体"/>
                <w:i w:val="0"/>
                <w:iCs w:val="0"/>
                <w:highlight w:val="none"/>
                <w:lang w:val="en-US" w:eastAsia="zh-CN"/>
              </w:rPr>
              <w:t>法律意见书</w:t>
            </w:r>
            <w:r>
              <w:rPr>
                <w:rFonts w:hint="eastAsia" w:ascii="宋体" w:hAnsi="宋体" w:eastAsia="宋体" w:cs="宋体"/>
                <w:i w:val="0"/>
                <w:iCs w:val="0"/>
                <w:highlight w:val="none"/>
              </w:rPr>
              <w:t>咨询服务整体服务方案，充分考虑项目的特性，充分理解和掌握相应政策规定与制度, 视其合理可行性</w:t>
            </w:r>
            <w:r>
              <w:rPr>
                <w:rFonts w:hint="eastAsia" w:ascii="宋体" w:hAnsi="宋体" w:eastAsia="宋体" w:cs="宋体"/>
                <w:i w:val="0"/>
                <w:iCs w:val="0"/>
                <w:highlight w:val="none"/>
                <w:lang w:val="en-US" w:eastAsia="zh-CN"/>
              </w:rPr>
              <w:t>进行打分。</w:t>
            </w:r>
            <w:r>
              <w:rPr>
                <w:rFonts w:hint="eastAsia" w:ascii="宋体" w:hAnsi="宋体" w:eastAsia="宋体" w:cs="宋体"/>
                <w:b w:val="0"/>
                <w:bCs w:val="0"/>
                <w:sz w:val="21"/>
                <w:szCs w:val="24"/>
                <w:highlight w:val="none"/>
                <w:lang w:val="en-US" w:eastAsia="zh-CN"/>
              </w:rPr>
              <w:t>方案合理性好、可行性高</w:t>
            </w:r>
            <w:r>
              <w:rPr>
                <w:rFonts w:hint="eastAsia" w:ascii="宋体" w:hAnsi="宋体" w:eastAsia="宋体" w:cs="宋体"/>
                <w:b w:val="0"/>
                <w:bCs w:val="0"/>
                <w:sz w:val="21"/>
                <w:szCs w:val="24"/>
                <w:highlight w:val="none"/>
                <w:u w:val="none"/>
                <w:lang w:val="en-US" w:eastAsia="zh-CN"/>
              </w:rPr>
              <w:t>的得3分；</w:t>
            </w:r>
            <w:r>
              <w:rPr>
                <w:rFonts w:hint="eastAsia" w:ascii="宋体" w:hAnsi="宋体" w:eastAsia="宋体" w:cs="宋体"/>
                <w:b w:val="0"/>
                <w:bCs w:val="0"/>
                <w:sz w:val="21"/>
                <w:szCs w:val="24"/>
                <w:highlight w:val="none"/>
                <w:lang w:val="en-US" w:eastAsia="zh-CN"/>
              </w:rPr>
              <w:t>方案合理性一般、</w:t>
            </w:r>
            <w:r>
              <w:rPr>
                <w:rFonts w:hint="eastAsia" w:ascii="宋体" w:hAnsi="宋体" w:eastAsia="宋体" w:cs="宋体"/>
                <w:b w:val="0"/>
                <w:bCs w:val="0"/>
                <w:kern w:val="2"/>
                <w:sz w:val="21"/>
                <w:szCs w:val="24"/>
                <w:highlight w:val="none"/>
                <w:lang w:val="en-US" w:eastAsia="zh-CN"/>
              </w:rPr>
              <w:t>可行性低的得2分；方案基本合理、</w:t>
            </w:r>
            <w:r>
              <w:rPr>
                <w:rFonts w:hint="eastAsia" w:ascii="宋体" w:hAnsi="宋体" w:eastAsia="宋体" w:cs="宋体"/>
                <w:b w:val="0"/>
                <w:bCs w:val="0"/>
                <w:sz w:val="21"/>
                <w:szCs w:val="24"/>
                <w:highlight w:val="none"/>
                <w:lang w:val="en-US" w:eastAsia="zh-CN"/>
              </w:rPr>
              <w:t>可行性差的得1分</w:t>
            </w:r>
            <w:r>
              <w:rPr>
                <w:rFonts w:hint="eastAsia" w:ascii="宋体" w:hAnsi="宋体" w:eastAsia="宋体" w:cs="宋体"/>
                <w:i w:val="0"/>
                <w:iCs w:val="0"/>
                <w:color w:val="auto"/>
                <w:kern w:val="2"/>
                <w:sz w:val="21"/>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1302" w:type="dxa"/>
            <w:vMerge w:val="continue"/>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i w:val="0"/>
                <w:iCs w:val="0"/>
                <w:highlight w:val="none"/>
              </w:rPr>
            </w:pPr>
          </w:p>
        </w:tc>
        <w:tc>
          <w:tcPr>
            <w:tcW w:w="1105"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kern w:val="2"/>
                <w:sz w:val="21"/>
                <w:szCs w:val="24"/>
                <w:highlight w:val="none"/>
                <w:lang w:val="en-US" w:eastAsia="zh-CN" w:bidi="ar-SA"/>
              </w:rPr>
            </w:pPr>
            <w:r>
              <w:rPr>
                <w:rFonts w:hint="eastAsia" w:ascii="宋体" w:hAnsi="宋体" w:eastAsia="宋体" w:cs="宋体"/>
                <w:i w:val="0"/>
                <w:iCs w:val="0"/>
                <w:highlight w:val="none"/>
                <w:lang w:val="en-US" w:eastAsia="zh-CN"/>
              </w:rPr>
              <w:t>保密制度</w:t>
            </w:r>
          </w:p>
        </w:tc>
        <w:tc>
          <w:tcPr>
            <w:tcW w:w="755"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i w:val="0"/>
                <w:iCs w:val="0"/>
                <w:kern w:val="2"/>
                <w:sz w:val="21"/>
                <w:szCs w:val="24"/>
                <w:highlight w:val="none"/>
                <w:lang w:val="en-US" w:eastAsia="zh-CN" w:bidi="ar-SA"/>
              </w:rPr>
            </w:pPr>
            <w:r>
              <w:rPr>
                <w:rFonts w:hint="eastAsia" w:ascii="宋体" w:hAnsi="宋体" w:eastAsia="宋体" w:cs="宋体"/>
                <w:i w:val="0"/>
                <w:iCs w:val="0"/>
                <w:highlight w:val="none"/>
                <w:lang w:val="en-US" w:eastAsia="zh-CN"/>
              </w:rPr>
              <w:t>2分</w:t>
            </w:r>
          </w:p>
        </w:tc>
        <w:tc>
          <w:tcPr>
            <w:tcW w:w="6094" w:type="dxa"/>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i w:val="0"/>
                <w:iCs w:val="0"/>
                <w:kern w:val="2"/>
                <w:sz w:val="21"/>
                <w:szCs w:val="24"/>
                <w:highlight w:val="none"/>
                <w:lang w:val="zh-CN" w:eastAsia="zh-CN" w:bidi="ar-SA"/>
              </w:rPr>
            </w:pPr>
            <w:r>
              <w:rPr>
                <w:rFonts w:hint="eastAsia" w:ascii="宋体" w:hAnsi="宋体" w:eastAsia="宋体" w:cs="宋体"/>
                <w:i w:val="0"/>
                <w:iCs w:val="0"/>
                <w:sz w:val="21"/>
                <w:szCs w:val="24"/>
                <w:highlight w:val="none"/>
              </w:rPr>
              <w:t>投标人须为保证本项目评估过程中的保密性，</w:t>
            </w:r>
            <w:r>
              <w:rPr>
                <w:rFonts w:hint="eastAsia" w:ascii="宋体" w:hAnsi="宋体" w:eastAsia="宋体" w:cs="宋体"/>
                <w:bCs w:val="0"/>
                <w:i w:val="0"/>
                <w:iCs w:val="0"/>
                <w:sz w:val="21"/>
                <w:szCs w:val="24"/>
                <w:highlight w:val="none"/>
              </w:rPr>
              <w:t>制定整个项目实施过程中的涉密信息、资料保密措施方案，由评委会根据保密措施方案打分。投标人提供的内容</w:t>
            </w:r>
            <w:r>
              <w:rPr>
                <w:rFonts w:hint="eastAsia" w:ascii="宋体" w:hAnsi="宋体" w:eastAsia="宋体" w:cs="宋体"/>
                <w:i w:val="0"/>
                <w:iCs w:val="0"/>
                <w:sz w:val="21"/>
                <w:szCs w:val="24"/>
                <w:highlight w:val="none"/>
              </w:rPr>
              <w:t>具有针对性、利于项目实施的，得</w:t>
            </w:r>
            <w:r>
              <w:rPr>
                <w:rFonts w:hint="eastAsia" w:ascii="宋体" w:hAnsi="宋体" w:eastAsia="宋体" w:cs="宋体"/>
                <w:i w:val="0"/>
                <w:iCs w:val="0"/>
                <w:sz w:val="21"/>
                <w:szCs w:val="24"/>
                <w:highlight w:val="none"/>
                <w:lang w:val="en-US" w:eastAsia="zh-CN"/>
              </w:rPr>
              <w:t>2</w:t>
            </w:r>
            <w:r>
              <w:rPr>
                <w:rFonts w:hint="eastAsia" w:ascii="宋体" w:hAnsi="宋体" w:eastAsia="宋体" w:cs="宋体"/>
                <w:i w:val="0"/>
                <w:iCs w:val="0"/>
                <w:sz w:val="21"/>
                <w:szCs w:val="24"/>
                <w:highlight w:val="none"/>
              </w:rPr>
              <w:t>分；针对性较弱，基本满足项目实施的，得</w:t>
            </w:r>
            <w:r>
              <w:rPr>
                <w:rFonts w:hint="eastAsia" w:ascii="宋体" w:hAnsi="宋体" w:eastAsia="宋体" w:cs="宋体"/>
                <w:i w:val="0"/>
                <w:iCs w:val="0"/>
                <w:sz w:val="21"/>
                <w:szCs w:val="24"/>
                <w:highlight w:val="none"/>
                <w:lang w:val="en-US" w:eastAsia="zh-CN"/>
              </w:rPr>
              <w:t>1</w:t>
            </w:r>
            <w:r>
              <w:rPr>
                <w:rFonts w:hint="eastAsia" w:ascii="宋体" w:hAnsi="宋体" w:eastAsia="宋体" w:cs="宋体"/>
                <w:i w:val="0"/>
                <w:iCs w:val="0"/>
                <w:sz w:val="21"/>
                <w:szCs w:val="24"/>
                <w:highlight w:val="none"/>
              </w:rPr>
              <w:t>分；内容提供较为简单、存在缺漏的，</w:t>
            </w:r>
            <w:r>
              <w:rPr>
                <w:rFonts w:hint="eastAsia" w:ascii="宋体" w:hAnsi="宋体" w:eastAsia="宋体" w:cs="宋体"/>
                <w:i w:val="0"/>
                <w:iCs w:val="0"/>
                <w:sz w:val="21"/>
                <w:szCs w:val="24"/>
                <w:highlight w:val="none"/>
                <w:lang w:eastAsia="zh-CN"/>
              </w:rPr>
              <w:t>不得</w:t>
            </w:r>
            <w:r>
              <w:rPr>
                <w:rFonts w:hint="eastAsia" w:ascii="宋体" w:hAnsi="宋体" w:eastAsia="宋体" w:cs="宋体"/>
                <w:i w:val="0"/>
                <w:iCs w:val="0"/>
                <w:sz w:val="21"/>
                <w:szCs w:val="24"/>
                <w:highlight w:val="none"/>
              </w:rPr>
              <w:t>分。</w:t>
            </w:r>
          </w:p>
        </w:tc>
      </w:tr>
    </w:tbl>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w:t>
      </w:r>
      <w:r>
        <w:rPr>
          <w:rFonts w:hint="eastAsia" w:ascii="宋体" w:hAnsi="宋体" w:cs="宋体"/>
          <w:color w:val="auto"/>
          <w:sz w:val="24"/>
          <w:highlight w:val="none"/>
          <w:lang w:eastAsia="zh-CN"/>
        </w:rPr>
        <w:t>商务技术</w:t>
      </w:r>
      <w:r>
        <w:rPr>
          <w:rFonts w:hint="eastAsia" w:ascii="宋体" w:hAnsi="宋体" w:eastAsia="宋体" w:cs="宋体"/>
          <w:color w:val="auto"/>
          <w:sz w:val="24"/>
          <w:highlight w:val="none"/>
        </w:rPr>
        <w:t>评分细则，对各供应商的商务技术文件进行书面审核和评论后，由各专家独立酌情打分，打分时保留小数1位，每人一份评分表，并签名。</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供应商商务技术得分为评标委员会所有成员的有效评分的算术平均值，计算时保留小数2位。</w:t>
      </w:r>
    </w:p>
    <w:p>
      <w:pPr>
        <w:numPr>
          <w:ilvl w:val="-1"/>
          <w:numId w:val="0"/>
        </w:numPr>
        <w:adjustRightInd/>
        <w:spacing w:line="360" w:lineRule="auto"/>
        <w:ind w:left="0" w:firstLine="482" w:firstLineChars="200"/>
        <w:rPr>
          <w:rFonts w:hint="default" w:ascii="宋体" w:hAnsi="宋体" w:eastAsia="宋体" w:cs="宋体"/>
          <w:b/>
          <w:i w:val="0"/>
          <w:iCs w:val="0"/>
          <w:color w:val="auto"/>
          <w:sz w:val="24"/>
          <w:highlight w:val="none"/>
          <w:lang w:val="en-US" w:eastAsia="zh-CN"/>
        </w:rPr>
      </w:pPr>
      <w:r>
        <w:rPr>
          <w:rFonts w:hint="eastAsia" w:ascii="宋体" w:hAnsi="宋体" w:eastAsia="宋体" w:cs="宋体"/>
          <w:b/>
          <w:i w:val="0"/>
          <w:iCs w:val="0"/>
          <w:color w:val="auto"/>
          <w:sz w:val="24"/>
          <w:highlight w:val="none"/>
          <w:lang w:eastAsia="zh-CN"/>
        </w:rPr>
        <w:t>（</w:t>
      </w:r>
      <w:r>
        <w:rPr>
          <w:rFonts w:hint="eastAsia" w:ascii="宋体" w:hAnsi="宋体" w:eastAsia="宋体" w:cs="宋体"/>
          <w:b/>
          <w:i w:val="0"/>
          <w:iCs w:val="0"/>
          <w:color w:val="auto"/>
          <w:sz w:val="24"/>
          <w:highlight w:val="none"/>
          <w:lang w:val="en-US" w:eastAsia="zh-CN"/>
        </w:rPr>
        <w:t>三</w:t>
      </w:r>
      <w:r>
        <w:rPr>
          <w:rFonts w:hint="eastAsia" w:ascii="宋体" w:hAnsi="宋体" w:eastAsia="宋体" w:cs="宋体"/>
          <w:b/>
          <w:i w:val="0"/>
          <w:iCs w:val="0"/>
          <w:color w:val="auto"/>
          <w:sz w:val="24"/>
          <w:highlight w:val="none"/>
          <w:lang w:eastAsia="zh-CN"/>
        </w:rPr>
        <w:t>）</w:t>
      </w:r>
      <w:r>
        <w:rPr>
          <w:rFonts w:hint="eastAsia" w:ascii="宋体" w:hAnsi="宋体" w:eastAsia="宋体" w:cs="宋体"/>
          <w:b/>
          <w:i w:val="0"/>
          <w:iCs w:val="0"/>
          <w:color w:val="auto"/>
          <w:sz w:val="24"/>
          <w:highlight w:val="none"/>
        </w:rPr>
        <w:t xml:space="preserve">报价标评审 </w:t>
      </w:r>
      <w:r>
        <w:rPr>
          <w:rFonts w:hint="eastAsia" w:ascii="宋体" w:hAnsi="宋体" w:cs="宋体"/>
          <w:b/>
          <w:i w:val="0"/>
          <w:iCs w:val="0"/>
          <w:color w:val="auto"/>
          <w:sz w:val="24"/>
          <w:highlight w:val="none"/>
          <w:lang w:eastAsia="zh-CN"/>
        </w:rPr>
        <w:t>（</w:t>
      </w:r>
      <w:r>
        <w:rPr>
          <w:rFonts w:hint="eastAsia" w:ascii="宋体" w:hAnsi="宋体" w:cs="宋体"/>
          <w:b/>
          <w:i w:val="0"/>
          <w:iCs w:val="0"/>
          <w:color w:val="auto"/>
          <w:sz w:val="24"/>
          <w:highlight w:val="none"/>
          <w:lang w:val="en-US" w:eastAsia="zh-CN"/>
        </w:rPr>
        <w:t>10分）</w:t>
      </w:r>
    </w:p>
    <w:p>
      <w:pPr>
        <w:shd w:val="clear" w:color="auto" w:fill="auto"/>
        <w:spacing w:line="360" w:lineRule="auto"/>
        <w:ind w:firstLine="480" w:firstLineChars="200"/>
        <w:rPr>
          <w:rFonts w:hint="eastAsia" w:ascii="宋体" w:hAnsi="宋体" w:eastAsia="宋体" w:cs="宋体"/>
          <w:i w:val="0"/>
          <w:iCs w:val="0"/>
          <w:sz w:val="24"/>
          <w:szCs w:val="24"/>
          <w:highlight w:val="none"/>
          <w:shd w:val="clear" w:color="auto" w:fill="auto"/>
        </w:rPr>
      </w:pPr>
      <w:r>
        <w:rPr>
          <w:rFonts w:hint="eastAsia" w:ascii="宋体" w:hAnsi="宋体" w:eastAsia="宋体" w:cs="宋体"/>
          <w:i w:val="0"/>
          <w:iCs w:val="0"/>
          <w:sz w:val="24"/>
          <w:szCs w:val="24"/>
          <w:highlight w:val="none"/>
          <w:shd w:val="clear" w:color="auto" w:fill="auto"/>
        </w:rPr>
        <w:t>投标价格的合理性：分析投标价格是否合理，投标价格范围是否完整，有否重大错漏项。投标价格不能为零，否则按废标处理。评标委员会认为投标人的报价明显低于其他通过符合性审查投标人的报价，有可能服务质量或者不能诚信履约的，应当要求其在评标现场合理时间内提供书面说明。投标人不能证明其报价合理性的，评标委员会应当将其作为无效投标处理。</w:t>
      </w:r>
    </w:p>
    <w:p>
      <w:pPr>
        <w:shd w:val="clear" w:color="auto" w:fill="auto"/>
        <w:spacing w:line="360" w:lineRule="auto"/>
        <w:ind w:firstLine="480" w:firstLineChars="200"/>
        <w:rPr>
          <w:rFonts w:hint="eastAsia" w:ascii="宋体" w:hAnsi="宋体" w:eastAsia="宋体" w:cs="宋体"/>
          <w:i w:val="0"/>
          <w:iCs w:val="0"/>
          <w:sz w:val="24"/>
          <w:szCs w:val="24"/>
          <w:highlight w:val="none"/>
          <w:shd w:val="clear" w:color="auto" w:fill="auto"/>
        </w:rPr>
      </w:pPr>
      <w:r>
        <w:rPr>
          <w:rFonts w:hint="eastAsia" w:ascii="宋体" w:hAnsi="宋体" w:eastAsia="宋体" w:cs="宋体"/>
          <w:i w:val="0"/>
          <w:iCs w:val="0"/>
          <w:sz w:val="24"/>
          <w:szCs w:val="24"/>
          <w:highlight w:val="none"/>
          <w:shd w:val="clear" w:color="auto" w:fill="auto"/>
        </w:rPr>
        <w:t>投标价格分计算方法：满足招标文件要求且投标价格</w:t>
      </w:r>
      <w:r>
        <w:rPr>
          <w:rFonts w:hint="eastAsia" w:ascii="宋体" w:hAnsi="宋体" w:cs="宋体"/>
          <w:i w:val="0"/>
          <w:iCs w:val="0"/>
          <w:sz w:val="24"/>
          <w:szCs w:val="24"/>
          <w:highlight w:val="none"/>
          <w:shd w:val="clear" w:color="auto" w:fill="auto"/>
          <w:lang w:eastAsia="zh-CN"/>
        </w:rPr>
        <w:t>单价</w:t>
      </w:r>
      <w:r>
        <w:rPr>
          <w:rFonts w:hint="eastAsia" w:ascii="宋体" w:hAnsi="宋体" w:eastAsia="宋体" w:cs="宋体"/>
          <w:i w:val="0"/>
          <w:iCs w:val="0"/>
          <w:sz w:val="24"/>
          <w:szCs w:val="24"/>
          <w:highlight w:val="none"/>
          <w:shd w:val="clear" w:color="auto" w:fill="auto"/>
        </w:rPr>
        <w:t>最低的投标报价为评标基准价，其他投标人的价格分统一按照下列公式计算：</w:t>
      </w:r>
    </w:p>
    <w:p>
      <w:pPr>
        <w:shd w:val="clear" w:color="auto" w:fill="auto"/>
        <w:spacing w:line="360" w:lineRule="auto"/>
        <w:ind w:firstLine="482" w:firstLineChars="200"/>
        <w:rPr>
          <w:rFonts w:hint="eastAsia" w:ascii="宋体" w:hAnsi="宋体" w:eastAsia="宋体" w:cs="宋体"/>
          <w:i w:val="0"/>
          <w:iCs w:val="0"/>
          <w:color w:val="auto"/>
          <w:sz w:val="24"/>
          <w:highlight w:val="none"/>
        </w:rPr>
      </w:pPr>
      <w:r>
        <w:rPr>
          <w:rFonts w:hint="eastAsia" w:ascii="宋体" w:hAnsi="宋体" w:eastAsia="宋体" w:cs="宋体"/>
          <w:b/>
          <w:bCs/>
          <w:i w:val="0"/>
          <w:iCs w:val="0"/>
          <w:sz w:val="24"/>
          <w:szCs w:val="24"/>
          <w:highlight w:val="none"/>
          <w:shd w:val="clear" w:color="auto" w:fill="auto"/>
        </w:rPr>
        <w:t>投标报价得分=(评标基准价／投标报价)×价格权值</w:t>
      </w:r>
      <w:r>
        <w:rPr>
          <w:rFonts w:hint="eastAsia" w:ascii="宋体" w:hAnsi="宋体" w:eastAsia="宋体" w:cs="宋体"/>
          <w:b/>
          <w:bCs/>
          <w:i w:val="0"/>
          <w:iCs w:val="0"/>
          <w:sz w:val="24"/>
          <w:szCs w:val="24"/>
          <w:highlight w:val="none"/>
          <w:shd w:val="clear" w:color="auto" w:fill="auto"/>
          <w:lang w:val="en-US" w:eastAsia="zh-CN"/>
        </w:rPr>
        <w:t>10</w:t>
      </w:r>
      <w:r>
        <w:rPr>
          <w:rFonts w:hint="eastAsia" w:ascii="宋体" w:hAnsi="宋体" w:eastAsia="宋体" w:cs="宋体"/>
          <w:b/>
          <w:bCs/>
          <w:i w:val="0"/>
          <w:iCs w:val="0"/>
          <w:sz w:val="24"/>
          <w:szCs w:val="24"/>
          <w:highlight w:val="none"/>
          <w:shd w:val="clear" w:color="auto" w:fill="auto"/>
        </w:rPr>
        <w:t>%×100（精确到小数点后二位）。</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各供应商根据自身实际情况明确服务项的报价，所有单价报价不高于征集文件明确的最高单价限价即为报价审查合格。任何一项单价报价高于最高限价的为无效报价，作无效响应。</w:t>
      </w:r>
    </w:p>
    <w:p>
      <w:pPr>
        <w:keepNext w:val="0"/>
        <w:keepLines w:val="0"/>
        <w:pageBreakBefore w:val="0"/>
        <w:widowControl w:val="0"/>
        <w:numPr>
          <w:ilvl w:val="0"/>
          <w:numId w:val="6"/>
        </w:numPr>
        <w:kinsoku/>
        <w:wordWrap/>
        <w:overflowPunct/>
        <w:topLinePunct w:val="0"/>
        <w:autoSpaceDE/>
        <w:autoSpaceDN/>
        <w:bidi w:val="0"/>
        <w:adjustRightInd/>
        <w:spacing w:line="360" w:lineRule="auto"/>
        <w:ind w:firstLine="482" w:firstLineChars="200"/>
        <w:textAlignment w:val="auto"/>
        <w:rPr>
          <w:rFonts w:hint="eastAsia" w:ascii="宋体" w:hAnsi="宋体" w:cs="宋体-PUA"/>
          <w:b/>
          <w:bCs/>
          <w:color w:val="000000" w:themeColor="text1"/>
          <w:sz w:val="24"/>
          <w:highlight w:val="none"/>
        </w:rPr>
      </w:pPr>
      <w:r>
        <w:rPr>
          <w:rFonts w:hint="eastAsia" w:ascii="宋体" w:hAnsi="宋体" w:cs="宋体-PUA"/>
          <w:b/>
          <w:bCs/>
          <w:color w:val="000000" w:themeColor="text1"/>
          <w:sz w:val="24"/>
          <w:highlight w:val="none"/>
        </w:rPr>
        <w:t>定标原则：</w:t>
      </w:r>
    </w:p>
    <w:p>
      <w:pPr>
        <w:keepNext w:val="0"/>
        <w:keepLines w:val="0"/>
        <w:pageBreakBefore w:val="0"/>
        <w:widowControl w:val="0"/>
        <w:numPr>
          <w:ilvl w:val="0"/>
          <w:numId w:val="7"/>
        </w:numPr>
        <w:kinsoku/>
        <w:wordWrap/>
        <w:overflowPunct/>
        <w:topLinePunct w:val="0"/>
        <w:autoSpaceDE/>
        <w:autoSpaceDN/>
        <w:bidi w:val="0"/>
        <w:adjustRightInd/>
        <w:spacing w:line="520" w:lineRule="exact"/>
        <w:ind w:firstLine="480" w:firstLineChars="200"/>
        <w:textAlignment w:val="auto"/>
        <w:rPr>
          <w:rFonts w:hint="eastAsia" w:ascii="宋体" w:hAnsi="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评标委员会根据排序从后往前按比例淘汰单位（淘汰比例为进入排序单位数量的20%，且至少淘汰一家供应商，向上取整数）</w:t>
      </w:r>
      <w:r>
        <w:rPr>
          <w:rFonts w:hint="eastAsia" w:ascii="宋体" w:hAnsi="宋体" w:cs="宋体"/>
          <w:b w:val="0"/>
          <w:bCs w:val="0"/>
          <w:color w:val="000000" w:themeColor="text1"/>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b/>
          <w:bCs/>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如参加投标单位家数为</w:t>
      </w:r>
      <w:r>
        <w:rPr>
          <w:rFonts w:hint="eastAsia" w:ascii="宋体" w:hAnsi="宋体" w:cs="宋体"/>
          <w:b w:val="0"/>
          <w:bCs w:val="0"/>
          <w:color w:val="000000" w:themeColor="text1"/>
          <w:sz w:val="24"/>
          <w:szCs w:val="24"/>
          <w:highlight w:val="none"/>
          <w:lang w:val="en-US" w:eastAsia="zh-CN"/>
        </w:rPr>
        <w:t>3</w:t>
      </w:r>
      <w:r>
        <w:rPr>
          <w:rFonts w:hint="eastAsia" w:ascii="宋体" w:hAnsi="宋体" w:eastAsia="宋体" w:cs="宋体"/>
          <w:b w:val="0"/>
          <w:bCs w:val="0"/>
          <w:color w:val="000000" w:themeColor="text1"/>
          <w:sz w:val="24"/>
          <w:szCs w:val="24"/>
          <w:highlight w:val="none"/>
          <w:lang w:val="en-US" w:eastAsia="zh-CN"/>
        </w:rPr>
        <w:t>家及以下时，则重新组织招标。</w:t>
      </w:r>
    </w:p>
    <w:p>
      <w:pPr>
        <w:keepNext w:val="0"/>
        <w:keepLines w:val="0"/>
        <w:pageBreakBefore w:val="0"/>
        <w:widowControl w:val="0"/>
        <w:numPr>
          <w:ilvl w:val="0"/>
          <w:numId w:val="7"/>
        </w:numP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定标程序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rPr>
        <w:t>1）评标委员会将评标情况写出书面评审报告，并按照综合评分的高低排列顺序</w:t>
      </w:r>
      <w:r>
        <w:rPr>
          <w:rFonts w:hint="eastAsia" w:ascii="宋体" w:hAnsi="宋体" w:eastAsia="宋体" w:cs="宋体"/>
          <w:color w:val="000000" w:themeColor="text1"/>
          <w:sz w:val="24"/>
          <w:highlight w:val="none"/>
          <w:lang w:eastAsia="zh-CN"/>
        </w:rPr>
        <w:t>按定标原则</w:t>
      </w:r>
      <w:r>
        <w:rPr>
          <w:rFonts w:hint="eastAsia" w:ascii="宋体" w:hAnsi="宋体" w:eastAsia="宋体" w:cs="宋体"/>
          <w:color w:val="000000" w:themeColor="text1"/>
          <w:sz w:val="24"/>
          <w:highlight w:val="none"/>
        </w:rPr>
        <w:t>推荐入围</w:t>
      </w:r>
      <w:r>
        <w:rPr>
          <w:rFonts w:hint="eastAsia" w:ascii="宋体" w:hAnsi="宋体" w:eastAsia="宋体" w:cs="宋体"/>
          <w:color w:val="000000" w:themeColor="text1"/>
          <w:sz w:val="24"/>
          <w:highlight w:val="none"/>
          <w:lang w:eastAsia="zh-CN"/>
        </w:rPr>
        <w:t>服务单位。</w:t>
      </w:r>
      <w:r>
        <w:rPr>
          <w:rFonts w:hint="eastAsia" w:ascii="宋体" w:hAnsi="宋体" w:cs="宋体"/>
          <w:color w:val="000000" w:themeColor="text1"/>
          <w:sz w:val="24"/>
          <w:highlight w:val="none"/>
          <w:lang w:eastAsia="zh-CN"/>
        </w:rPr>
        <w:t>其他要求详见前附表。</w:t>
      </w:r>
    </w:p>
    <w:p>
      <w:pPr>
        <w:pStyle w:val="19"/>
        <w:keepNext w:val="0"/>
        <w:keepLines w:val="0"/>
        <w:pageBreakBefore w:val="0"/>
        <w:widowControl w:val="0"/>
        <w:numPr>
          <w:ilvl w:val="0"/>
          <w:numId w:val="0"/>
        </w:numPr>
        <w:kinsoku/>
        <w:wordWrap/>
        <w:overflowPunct/>
        <w:topLinePunct w:val="0"/>
        <w:autoSpaceDE/>
        <w:autoSpaceDN/>
        <w:bidi w:val="0"/>
        <w:adjustRightInd/>
        <w:spacing w:after="0" w:line="520" w:lineRule="exact"/>
        <w:ind w:firstLine="480" w:firstLineChars="200"/>
        <w:textAlignment w:val="auto"/>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pacing w:val="0"/>
          <w:sz w:val="24"/>
          <w:highlight w:val="none"/>
          <w:lang w:val="en-US" w:eastAsia="zh-CN"/>
        </w:rPr>
        <w:t>入围单位</w:t>
      </w:r>
      <w:r>
        <w:rPr>
          <w:rFonts w:hint="eastAsia" w:ascii="宋体" w:hAnsi="宋体" w:eastAsia="宋体" w:cs="宋体"/>
          <w:b w:val="0"/>
          <w:bCs w:val="0"/>
          <w:color w:val="000000" w:themeColor="text1"/>
          <w:spacing w:val="0"/>
          <w:sz w:val="24"/>
          <w:highlight w:val="none"/>
          <w:lang w:eastAsia="zh-CN"/>
        </w:rPr>
        <w:t>具体服务项目的分派规则如下：</w:t>
      </w:r>
      <w:r>
        <w:rPr>
          <w:rFonts w:hint="eastAsia" w:ascii="宋体" w:hAnsi="宋体" w:eastAsia="宋体" w:cs="宋体"/>
          <w:b w:val="0"/>
          <w:bCs w:val="0"/>
          <w:color w:val="000000" w:themeColor="text1"/>
          <w:sz w:val="24"/>
          <w:szCs w:val="24"/>
          <w:highlight w:val="none"/>
          <w:lang w:val="en-US" w:eastAsia="zh-CN"/>
        </w:rPr>
        <w:t>原则上每个项目实施前由实施单位根据实际需要</w:t>
      </w:r>
      <w:r>
        <w:rPr>
          <w:rFonts w:hint="eastAsia" w:hAnsi="宋体" w:cs="宋体"/>
          <w:b w:val="0"/>
          <w:bCs w:val="0"/>
          <w:color w:val="000000" w:themeColor="text1"/>
          <w:sz w:val="24"/>
          <w:szCs w:val="24"/>
          <w:highlight w:val="none"/>
          <w:lang w:val="en-US" w:eastAsia="zh-CN"/>
        </w:rPr>
        <w:t>进行</w:t>
      </w:r>
      <w:r>
        <w:rPr>
          <w:rFonts w:hint="eastAsia" w:ascii="宋体" w:hAnsi="宋体" w:eastAsia="宋体" w:cs="宋体"/>
          <w:i w:val="0"/>
          <w:iCs w:val="0"/>
          <w:color w:val="auto"/>
          <w:sz w:val="24"/>
          <w:highlight w:val="none"/>
        </w:rPr>
        <w:sym w:font="Wingdings 2" w:char="0052"/>
      </w:r>
      <w:r>
        <w:rPr>
          <w:rFonts w:hint="eastAsia" w:ascii="宋体" w:hAnsi="宋体" w:eastAsia="宋体" w:cs="宋体"/>
          <w:i w:val="0"/>
          <w:iCs w:val="0"/>
          <w:color w:val="auto"/>
          <w:sz w:val="24"/>
          <w:highlight w:val="none"/>
        </w:rPr>
        <w:t xml:space="preserve">直接选定 </w:t>
      </w:r>
      <w:r>
        <w:rPr>
          <w:rFonts w:hint="eastAsia" w:ascii="宋体" w:hAnsi="宋体" w:eastAsia="宋体" w:cs="宋体"/>
          <w:i w:val="0"/>
          <w:iCs w:val="0"/>
          <w:color w:val="auto"/>
          <w:sz w:val="24"/>
          <w:highlight w:val="none"/>
          <w:lang w:eastAsia="zh-CN"/>
        </w:rPr>
        <w:t>或</w:t>
      </w:r>
      <w:r>
        <w:rPr>
          <w:rFonts w:hint="eastAsia" w:ascii="宋体" w:hAnsi="宋体" w:eastAsia="宋体" w:cs="宋体"/>
          <w:i w:val="0"/>
          <w:iCs w:val="0"/>
          <w:color w:val="auto"/>
          <w:sz w:val="24"/>
          <w:highlight w:val="none"/>
        </w:rPr>
        <w:t xml:space="preserve"> </w:t>
      </w:r>
      <w:r>
        <w:rPr>
          <w:rFonts w:hint="eastAsia" w:ascii="宋体" w:hAnsi="宋体" w:eastAsia="宋体" w:cs="宋体"/>
          <w:i w:val="0"/>
          <w:iCs w:val="0"/>
          <w:color w:val="auto"/>
          <w:sz w:val="24"/>
          <w:highlight w:val="none"/>
        </w:rPr>
        <w:sym w:font="Wingdings 2" w:char="0052"/>
      </w:r>
      <w:r>
        <w:rPr>
          <w:rFonts w:hint="eastAsia" w:ascii="宋体" w:hAnsi="宋体" w:eastAsia="宋体" w:cs="宋体"/>
          <w:i w:val="0"/>
          <w:iCs w:val="0"/>
          <w:color w:val="auto"/>
          <w:sz w:val="24"/>
          <w:highlight w:val="none"/>
        </w:rPr>
        <w:t>二次竞价</w:t>
      </w:r>
      <w:r>
        <w:rPr>
          <w:rFonts w:hint="eastAsia" w:ascii="宋体" w:hAnsi="宋体" w:eastAsia="宋体" w:cs="宋体"/>
          <w:i w:val="0"/>
          <w:iCs w:val="0"/>
          <w:color w:val="auto"/>
          <w:sz w:val="24"/>
          <w:highlight w:val="none"/>
          <w:lang w:eastAsia="zh-CN"/>
        </w:rPr>
        <w:t>。</w:t>
      </w:r>
    </w:p>
    <w:p>
      <w:pPr>
        <w:pStyle w:val="35"/>
        <w:keepNext w:val="0"/>
        <w:keepLines w:val="0"/>
        <w:pageBreakBefore w:val="0"/>
        <w:kinsoku/>
        <w:wordWrap/>
        <w:topLinePunct w:val="0"/>
        <w:bidi w:val="0"/>
        <w:snapToGrid w:val="0"/>
        <w:spacing w:line="52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2）根据评标委员会确定的入围</w:t>
      </w:r>
      <w:r>
        <w:rPr>
          <w:rFonts w:hint="eastAsia" w:ascii="宋体" w:hAnsi="宋体" w:eastAsia="宋体" w:cs="宋体"/>
          <w:color w:val="000000" w:themeColor="text1"/>
          <w:sz w:val="24"/>
          <w:highlight w:val="none"/>
          <w:lang w:eastAsia="zh-CN"/>
        </w:rPr>
        <w:t>单位</w:t>
      </w:r>
      <w:r>
        <w:rPr>
          <w:rFonts w:hint="eastAsia" w:ascii="宋体" w:hAnsi="宋体" w:eastAsia="宋体" w:cs="宋体"/>
          <w:color w:val="000000" w:themeColor="text1"/>
          <w:sz w:val="24"/>
          <w:highlight w:val="none"/>
        </w:rPr>
        <w:t>，采购代理机构在浙江政府采购网（</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"http://www.zjzfcg.gov.cn/"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sz w:val="24"/>
          <w:highlight w:val="none"/>
        </w:rPr>
        <w:t>www.zjzfcg.gov.cn</w:t>
      </w:r>
      <w:r>
        <w:rPr>
          <w:rFonts w:hint="eastAsia" w:ascii="宋体" w:hAnsi="宋体" w:eastAsia="宋体" w:cs="宋体"/>
          <w:color w:val="000000" w:themeColor="text1"/>
          <w:sz w:val="24"/>
          <w:highlight w:val="none"/>
        </w:rPr>
        <w:fldChar w:fldCharType="end"/>
      </w:r>
      <w:r>
        <w:rPr>
          <w:rFonts w:hint="eastAsia" w:ascii="宋体" w:hAnsi="宋体" w:eastAsia="宋体" w:cs="宋体"/>
          <w:color w:val="000000" w:themeColor="text1"/>
          <w:sz w:val="24"/>
          <w:highlight w:val="none"/>
        </w:rPr>
        <w:t>）上发布入围</w:t>
      </w:r>
      <w:r>
        <w:rPr>
          <w:rFonts w:hint="eastAsia" w:ascii="宋体" w:hAnsi="宋体" w:eastAsia="宋体" w:cs="宋体"/>
          <w:color w:val="000000" w:themeColor="text1"/>
          <w:sz w:val="24"/>
          <w:highlight w:val="none"/>
          <w:lang w:eastAsia="zh-CN"/>
        </w:rPr>
        <w:t>结果公告</w:t>
      </w:r>
      <w:r>
        <w:rPr>
          <w:rFonts w:hint="eastAsia" w:ascii="宋体" w:hAnsi="宋体" w:eastAsia="宋体" w:cs="宋体"/>
          <w:color w:val="000000" w:themeColor="text1"/>
          <w:sz w:val="24"/>
          <w:highlight w:val="none"/>
        </w:rPr>
        <w:t>。</w:t>
      </w:r>
    </w:p>
    <w:p>
      <w:pPr>
        <w:keepNext w:val="0"/>
        <w:keepLines w:val="0"/>
        <w:pageBreakBefore w:val="0"/>
        <w:tabs>
          <w:tab w:val="left" w:pos="360"/>
          <w:tab w:val="left" w:pos="840"/>
        </w:tabs>
        <w:kinsoku/>
        <w:wordWrap/>
        <w:topLinePunct w:val="0"/>
        <w:bidi w:val="0"/>
        <w:spacing w:line="52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3）采购代理机构不解释入围或落标原因，不退回投标文件和其他投标资料。</w:t>
      </w:r>
    </w:p>
    <w:bookmarkEnd w:id="442"/>
    <w:p>
      <w:pPr>
        <w:adjustRightInd/>
        <w:spacing w:line="400" w:lineRule="exact"/>
        <w:ind w:firstLine="723" w:firstLineChars="200"/>
        <w:rPr>
          <w:rFonts w:hint="eastAsia" w:ascii="宋体" w:hAnsi="宋体" w:eastAsia="宋体" w:cs="宋体"/>
          <w:b/>
          <w:color w:val="auto"/>
          <w:sz w:val="36"/>
          <w:szCs w:val="36"/>
          <w:highlight w:val="none"/>
        </w:rPr>
      </w:pPr>
      <w:bookmarkStart w:id="455" w:name="_Toc27563"/>
      <w:bookmarkStart w:id="456" w:name="_Toc12903"/>
      <w:bookmarkStart w:id="457" w:name="_Toc28629"/>
      <w:bookmarkStart w:id="458" w:name="_Toc22290"/>
      <w:bookmarkStart w:id="459" w:name="第五部分"/>
      <w:bookmarkStart w:id="460" w:name="_Toc86217003"/>
      <w:r>
        <w:rPr>
          <w:rFonts w:hint="eastAsia" w:ascii="宋体" w:hAnsi="宋体" w:eastAsia="宋体" w:cs="宋体"/>
          <w:b/>
          <w:color w:val="auto"/>
          <w:sz w:val="36"/>
          <w:szCs w:val="36"/>
          <w:highlight w:val="none"/>
        </w:rPr>
        <w:br w:type="page"/>
      </w:r>
    </w:p>
    <w:p>
      <w:pPr>
        <w:spacing w:line="360" w:lineRule="auto"/>
        <w:jc w:val="center"/>
        <w:outlineLvl w:val="0"/>
        <w:rPr>
          <w:rFonts w:hint="eastAsia" w:ascii="宋体" w:hAnsi="宋体" w:eastAsia="宋体" w:cs="宋体"/>
          <w:b/>
          <w:color w:val="auto"/>
          <w:sz w:val="32"/>
          <w:szCs w:val="32"/>
          <w:highlight w:val="none"/>
        </w:rPr>
      </w:pPr>
      <w:bookmarkStart w:id="461" w:name="_Toc3870"/>
      <w:bookmarkStart w:id="462" w:name="_Toc8078"/>
      <w:bookmarkStart w:id="463" w:name="_Toc6922"/>
      <w:bookmarkStart w:id="464" w:name="_Toc27784"/>
      <w:bookmarkStart w:id="465" w:name="_Toc9072"/>
      <w:bookmarkStart w:id="466" w:name="_Toc30488"/>
      <w:bookmarkStart w:id="467" w:name="_Toc5846"/>
      <w:bookmarkStart w:id="468" w:name="_Toc12505"/>
      <w:r>
        <w:rPr>
          <w:rFonts w:hint="eastAsia" w:ascii="宋体" w:hAnsi="宋体" w:eastAsia="宋体" w:cs="宋体"/>
          <w:b/>
          <w:color w:val="auto"/>
          <w:sz w:val="32"/>
          <w:szCs w:val="32"/>
          <w:highlight w:val="none"/>
        </w:rPr>
        <w:t>第五章 拟签订的合同文本</w:t>
      </w:r>
      <w:bookmarkEnd w:id="455"/>
      <w:bookmarkEnd w:id="456"/>
      <w:bookmarkEnd w:id="457"/>
      <w:bookmarkEnd w:id="458"/>
      <w:bookmarkEnd w:id="461"/>
      <w:bookmarkEnd w:id="462"/>
      <w:bookmarkEnd w:id="463"/>
      <w:bookmarkEnd w:id="464"/>
      <w:bookmarkEnd w:id="465"/>
      <w:bookmarkEnd w:id="466"/>
      <w:bookmarkEnd w:id="467"/>
      <w:bookmarkEnd w:id="468"/>
    </w:p>
    <w:p>
      <w:pPr>
        <w:pStyle w:val="35"/>
        <w:spacing w:line="400" w:lineRule="exact"/>
        <w:jc w:val="center"/>
        <w:rPr>
          <w:rStyle w:val="977"/>
          <w:rFonts w:hint="eastAsia" w:ascii="宋体" w:hAnsi="宋体" w:eastAsia="宋体" w:cs="宋体"/>
          <w:i w:val="0"/>
          <w:iCs w:val="0"/>
          <w:color w:val="auto"/>
          <w:sz w:val="30"/>
          <w:szCs w:val="30"/>
          <w:highlight w:val="none"/>
        </w:rPr>
      </w:pPr>
      <w:bookmarkStart w:id="469" w:name="_Toc17376"/>
      <w:bookmarkStart w:id="470" w:name="_Toc3441"/>
      <w:bookmarkStart w:id="471" w:name="_Toc23526"/>
      <w:bookmarkStart w:id="472" w:name="_Toc27544"/>
      <w:bookmarkStart w:id="473" w:name="_Toc25425"/>
      <w:r>
        <w:rPr>
          <w:rStyle w:val="977"/>
          <w:rFonts w:hint="eastAsia" w:ascii="宋体" w:hAnsi="宋体" w:eastAsia="宋体" w:cs="宋体"/>
          <w:i w:val="0"/>
          <w:iCs w:val="0"/>
          <w:color w:val="auto"/>
          <w:sz w:val="30"/>
          <w:szCs w:val="30"/>
          <w:highlight w:val="none"/>
        </w:rPr>
        <w:t xml:space="preserve"> </w:t>
      </w:r>
      <w:r>
        <w:rPr>
          <w:rStyle w:val="977"/>
          <w:rFonts w:hint="eastAsia" w:ascii="宋体" w:hAnsi="宋体" w:eastAsia="宋体" w:cs="宋体"/>
          <w:i w:val="0"/>
          <w:iCs w:val="0"/>
          <w:color w:val="auto"/>
          <w:highlight w:val="none"/>
        </w:rPr>
        <w:t>（可根据中标实际情况调整）</w:t>
      </w:r>
    </w:p>
    <w:p>
      <w:pPr>
        <w:spacing w:line="360" w:lineRule="auto"/>
        <w:jc w:val="center"/>
        <w:rPr>
          <w:rFonts w:hint="eastAsia" w:ascii="宋体" w:hAnsi="宋体" w:eastAsia="宋体" w:cs="宋体"/>
          <w:b/>
          <w:i w:val="0"/>
          <w:iCs w:val="0"/>
          <w:color w:val="auto"/>
          <w:sz w:val="32"/>
          <w:szCs w:val="32"/>
          <w:highlight w:val="none"/>
          <w:lang w:eastAsia="zh-CN"/>
        </w:rPr>
      </w:pPr>
      <w:r>
        <w:rPr>
          <w:rFonts w:hint="eastAsia" w:ascii="宋体" w:hAnsi="宋体" w:eastAsia="宋体" w:cs="宋体"/>
          <w:b/>
          <w:i w:val="0"/>
          <w:iCs w:val="0"/>
          <w:color w:val="auto"/>
          <w:sz w:val="32"/>
          <w:szCs w:val="32"/>
          <w:highlight w:val="none"/>
        </w:rPr>
        <w:t>框架协议</w:t>
      </w:r>
    </w:p>
    <w:p>
      <w:pPr>
        <w:pStyle w:val="565"/>
        <w:spacing w:line="400" w:lineRule="exact"/>
        <w:rPr>
          <w:rStyle w:val="977"/>
          <w:rFonts w:hint="eastAsia" w:ascii="宋体" w:hAnsi="宋体" w:eastAsia="宋体" w:cs="宋体"/>
          <w:bCs/>
          <w:i w:val="0"/>
          <w:iCs w:val="0"/>
          <w:color w:val="auto"/>
          <w:sz w:val="24"/>
          <w:szCs w:val="24"/>
          <w:highlight w:val="none"/>
        </w:rPr>
      </w:pPr>
    </w:p>
    <w:p>
      <w:pPr>
        <w:pStyle w:val="565"/>
        <w:spacing w:line="360" w:lineRule="auto"/>
        <w:rPr>
          <w:rStyle w:val="977"/>
          <w:rFonts w:hint="eastAsia" w:ascii="宋体" w:hAnsi="宋体" w:eastAsia="宋体" w:cs="宋体"/>
          <w:i w:val="0"/>
          <w:iCs w:val="0"/>
          <w:color w:val="auto"/>
          <w:sz w:val="24"/>
          <w:szCs w:val="24"/>
          <w:highlight w:val="none"/>
        </w:rPr>
      </w:pPr>
      <w:r>
        <w:rPr>
          <w:rStyle w:val="977"/>
          <w:rFonts w:hint="eastAsia" w:ascii="宋体" w:hAnsi="宋体" w:eastAsia="宋体" w:cs="宋体"/>
          <w:bCs/>
          <w:i w:val="0"/>
          <w:iCs w:val="0"/>
          <w:color w:val="auto"/>
          <w:sz w:val="24"/>
          <w:szCs w:val="24"/>
          <w:highlight w:val="none"/>
        </w:rPr>
        <w:t>甲方</w:t>
      </w:r>
      <w:r>
        <w:rPr>
          <w:rStyle w:val="977"/>
          <w:rFonts w:hint="eastAsia" w:ascii="宋体" w:hAnsi="宋体" w:eastAsia="宋体" w:cs="宋体"/>
          <w:i w:val="0"/>
          <w:iCs w:val="0"/>
          <w:color w:val="auto"/>
          <w:sz w:val="24"/>
          <w:szCs w:val="24"/>
          <w:highlight w:val="none"/>
        </w:rPr>
        <w:t>（征集人）：</w:t>
      </w:r>
      <w:r>
        <w:rPr>
          <w:rStyle w:val="977"/>
          <w:rFonts w:hint="eastAsia" w:ascii="宋体" w:hAnsi="宋体" w:eastAsia="宋体" w:cs="宋体"/>
          <w:i w:val="0"/>
          <w:iCs w:val="0"/>
          <w:color w:val="auto"/>
          <w:sz w:val="24"/>
          <w:szCs w:val="24"/>
          <w:highlight w:val="none"/>
          <w:lang w:val="en-US" w:eastAsia="zh-CN"/>
        </w:rPr>
        <w:t>杭州</w:t>
      </w:r>
      <w:r>
        <w:rPr>
          <w:rStyle w:val="977"/>
          <w:rFonts w:hint="eastAsia" w:ascii="宋体" w:hAnsi="宋体" w:eastAsia="宋体" w:cs="宋体"/>
          <w:i w:val="0"/>
          <w:iCs w:val="0"/>
          <w:color w:val="auto"/>
          <w:sz w:val="24"/>
          <w:szCs w:val="24"/>
          <w:highlight w:val="none"/>
        </w:rPr>
        <w:t>市</w:t>
      </w:r>
      <w:r>
        <w:rPr>
          <w:rStyle w:val="977"/>
          <w:rFonts w:hint="eastAsia" w:ascii="宋体" w:hAnsi="宋体" w:eastAsia="宋体" w:cs="宋体"/>
          <w:i w:val="0"/>
          <w:iCs w:val="0"/>
          <w:color w:val="auto"/>
          <w:sz w:val="24"/>
          <w:szCs w:val="24"/>
          <w:highlight w:val="none"/>
          <w:lang w:val="en-US" w:eastAsia="zh-CN"/>
        </w:rPr>
        <w:t>余杭区</w:t>
      </w:r>
      <w:r>
        <w:rPr>
          <w:rStyle w:val="977"/>
          <w:rFonts w:hint="eastAsia" w:ascii="宋体" w:hAnsi="宋体" w:eastAsia="宋体" w:cs="宋体"/>
          <w:i w:val="0"/>
          <w:iCs w:val="0"/>
          <w:color w:val="auto"/>
          <w:sz w:val="24"/>
          <w:szCs w:val="24"/>
          <w:highlight w:val="none"/>
        </w:rPr>
        <w:t>财政局</w:t>
      </w:r>
    </w:p>
    <w:p>
      <w:pPr>
        <w:pStyle w:val="565"/>
        <w:spacing w:line="360" w:lineRule="auto"/>
        <w:rPr>
          <w:rStyle w:val="977"/>
          <w:rFonts w:hint="eastAsia" w:ascii="宋体" w:hAnsi="宋体" w:eastAsia="宋体" w:cs="宋体"/>
          <w:i w:val="0"/>
          <w:iCs w:val="0"/>
          <w:color w:val="auto"/>
          <w:sz w:val="24"/>
          <w:szCs w:val="24"/>
          <w:highlight w:val="none"/>
        </w:rPr>
      </w:pPr>
      <w:r>
        <w:rPr>
          <w:rStyle w:val="977"/>
          <w:rFonts w:hint="eastAsia" w:ascii="宋体" w:hAnsi="宋体" w:eastAsia="宋体" w:cs="宋体"/>
          <w:bCs/>
          <w:i w:val="0"/>
          <w:iCs w:val="0"/>
          <w:color w:val="auto"/>
          <w:sz w:val="24"/>
          <w:szCs w:val="24"/>
          <w:highlight w:val="none"/>
        </w:rPr>
        <w:t>乙方</w:t>
      </w:r>
      <w:r>
        <w:rPr>
          <w:rStyle w:val="977"/>
          <w:rFonts w:hint="eastAsia" w:ascii="宋体" w:hAnsi="宋体" w:eastAsia="宋体" w:cs="宋体"/>
          <w:i w:val="0"/>
          <w:iCs w:val="0"/>
          <w:color w:val="auto"/>
          <w:sz w:val="24"/>
          <w:szCs w:val="24"/>
          <w:highlight w:val="none"/>
        </w:rPr>
        <w:t>（供应商）：</w:t>
      </w:r>
    </w:p>
    <w:p>
      <w:pPr>
        <w:pStyle w:val="35"/>
        <w:spacing w:line="360" w:lineRule="auto"/>
        <w:ind w:left="105" w:leftChars="50" w:firstLine="600" w:firstLineChars="250"/>
        <w:rPr>
          <w:rStyle w:val="977"/>
          <w:rFonts w:hint="eastAsia" w:ascii="宋体" w:hAnsi="宋体" w:eastAsia="宋体" w:cs="宋体"/>
          <w:i w:val="0"/>
          <w:iCs w:val="0"/>
          <w:color w:val="auto"/>
          <w:kern w:val="0"/>
          <w:sz w:val="24"/>
          <w:szCs w:val="24"/>
          <w:highlight w:val="none"/>
        </w:rPr>
      </w:pPr>
      <w:r>
        <w:rPr>
          <w:rStyle w:val="977"/>
          <w:rFonts w:hint="eastAsia" w:ascii="宋体" w:hAnsi="宋体" w:eastAsia="宋体" w:cs="宋体"/>
          <w:i w:val="0"/>
          <w:iCs w:val="0"/>
          <w:color w:val="auto"/>
          <w:kern w:val="0"/>
          <w:sz w:val="24"/>
          <w:szCs w:val="24"/>
          <w:highlight w:val="none"/>
        </w:rPr>
        <w:t>甲、乙双方根据</w:t>
      </w:r>
      <w:r>
        <w:rPr>
          <w:rStyle w:val="977"/>
          <w:rFonts w:hint="eastAsia" w:ascii="宋体" w:hAnsi="宋体" w:eastAsia="宋体" w:cs="宋体"/>
          <w:i w:val="0"/>
          <w:iCs w:val="0"/>
          <w:color w:val="auto"/>
          <w:kern w:val="0"/>
          <w:sz w:val="24"/>
          <w:szCs w:val="24"/>
          <w:highlight w:val="none"/>
          <w:lang w:val="en-US" w:eastAsia="zh-CN"/>
        </w:rPr>
        <w:t>杭州市余杭区</w:t>
      </w:r>
      <w:r>
        <w:rPr>
          <w:rStyle w:val="977"/>
          <w:rFonts w:hint="eastAsia" w:ascii="宋体" w:hAnsi="宋体" w:eastAsia="宋体" w:cs="宋体"/>
          <w:i w:val="0"/>
          <w:iCs w:val="0"/>
          <w:color w:val="auto"/>
          <w:kern w:val="0"/>
          <w:sz w:val="24"/>
          <w:szCs w:val="24"/>
          <w:highlight w:val="none"/>
        </w:rPr>
        <w:t>2023-2025年度专项债券发行准备法律专业服务采购项目（项目编号：</w:t>
      </w:r>
      <w:r>
        <w:rPr>
          <w:rStyle w:val="977"/>
          <w:rFonts w:hint="eastAsia" w:ascii="宋体" w:hAnsi="宋体" w:eastAsia="宋体" w:cs="宋体"/>
          <w:i w:val="0"/>
          <w:iCs w:val="0"/>
          <w:color w:val="auto"/>
          <w:kern w:val="0"/>
          <w:sz w:val="24"/>
          <w:szCs w:val="24"/>
          <w:highlight w:val="none"/>
          <w:lang w:val="en-US" w:eastAsia="zh-CN"/>
        </w:rPr>
        <w:t xml:space="preserve">    </w:t>
      </w:r>
      <w:r>
        <w:rPr>
          <w:rStyle w:val="977"/>
          <w:rFonts w:hint="eastAsia" w:ascii="宋体" w:hAnsi="宋体" w:eastAsia="宋体" w:cs="宋体"/>
          <w:i w:val="0"/>
          <w:iCs w:val="0"/>
          <w:color w:val="auto"/>
          <w:kern w:val="0"/>
          <w:sz w:val="24"/>
          <w:szCs w:val="24"/>
          <w:highlight w:val="none"/>
        </w:rPr>
        <w:t>）公开征集的结果，签署本协议。</w:t>
      </w:r>
    </w:p>
    <w:p>
      <w:pPr>
        <w:pStyle w:val="35"/>
        <w:spacing w:line="360" w:lineRule="auto"/>
        <w:ind w:firstLine="480" w:firstLineChars="200"/>
        <w:rPr>
          <w:rStyle w:val="977"/>
          <w:rFonts w:hint="eastAsia" w:ascii="宋体" w:hAnsi="宋体" w:eastAsia="宋体" w:cs="宋体"/>
          <w:b/>
          <w:bCs/>
          <w:i w:val="0"/>
          <w:iCs w:val="0"/>
          <w:color w:val="auto"/>
          <w:sz w:val="24"/>
          <w:szCs w:val="24"/>
          <w:highlight w:val="none"/>
        </w:rPr>
      </w:pPr>
      <w:r>
        <w:rPr>
          <w:rStyle w:val="977"/>
          <w:rFonts w:hint="eastAsia" w:ascii="宋体" w:hAnsi="宋体" w:eastAsia="宋体" w:cs="宋体"/>
          <w:bCs/>
          <w:i w:val="0"/>
          <w:iCs w:val="0"/>
          <w:color w:val="auto"/>
          <w:kern w:val="0"/>
          <w:sz w:val="24"/>
          <w:szCs w:val="24"/>
          <w:highlight w:val="none"/>
        </w:rPr>
        <w:t>一、服务清单</w:t>
      </w:r>
      <w:r>
        <w:rPr>
          <w:rStyle w:val="977"/>
          <w:rFonts w:hint="eastAsia" w:ascii="宋体" w:hAnsi="宋体" w:eastAsia="宋体" w:cs="宋体"/>
          <w:bCs/>
          <w:i w:val="0"/>
          <w:iCs w:val="0"/>
          <w:color w:val="auto"/>
          <w:sz w:val="24"/>
          <w:szCs w:val="24"/>
          <w:highlight w:val="none"/>
        </w:rPr>
        <w:t>及协议单价：</w:t>
      </w:r>
    </w:p>
    <w:tbl>
      <w:tblPr>
        <w:tblStyle w:val="64"/>
        <w:tblW w:w="86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0"/>
        <w:gridCol w:w="6182"/>
        <w:gridCol w:w="1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890"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序号</w:t>
            </w:r>
          </w:p>
        </w:tc>
        <w:tc>
          <w:tcPr>
            <w:tcW w:w="6182"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项目类型</w:t>
            </w:r>
          </w:p>
        </w:tc>
        <w:tc>
          <w:tcPr>
            <w:tcW w:w="1624"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spacing w:line="360" w:lineRule="auto"/>
              <w:jc w:val="center"/>
              <w:rPr>
                <w:rFonts w:hint="eastAsia" w:ascii="宋体" w:hAnsi="宋体" w:eastAsia="宋体" w:cs="宋体"/>
                <w:i w:val="0"/>
                <w:iCs w:val="0"/>
                <w:color w:val="auto"/>
                <w:sz w:val="24"/>
                <w:highlight w:val="none"/>
              </w:rPr>
            </w:pPr>
            <w:r>
              <w:rPr>
                <w:rStyle w:val="977"/>
                <w:rFonts w:hint="eastAsia" w:ascii="宋体" w:hAnsi="宋体" w:eastAsia="宋体" w:cs="宋体"/>
                <w:bCs/>
                <w:i w:val="0"/>
                <w:iCs w:val="0"/>
                <w:color w:val="auto"/>
                <w:sz w:val="24"/>
                <w:highlight w:val="none"/>
              </w:rPr>
              <w:t>协议单价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exact"/>
          <w:jc w:val="center"/>
        </w:trPr>
        <w:tc>
          <w:tcPr>
            <w:tcW w:w="890"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p>
        </w:tc>
        <w:tc>
          <w:tcPr>
            <w:tcW w:w="6182"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出具加盖第三方中介机构公章的法律意见书并首次成功发行专项债的项目</w:t>
            </w:r>
          </w:p>
        </w:tc>
        <w:tc>
          <w:tcPr>
            <w:tcW w:w="1624"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rPr>
              <w:t xml:space="preserve">   万</w:t>
            </w:r>
            <w:r>
              <w:rPr>
                <w:rFonts w:hint="eastAsia" w:ascii="宋体" w:hAnsi="宋体" w:eastAsia="宋体" w:cs="宋体"/>
                <w:i w:val="0"/>
                <w:iCs w:val="0"/>
                <w:color w:val="auto"/>
                <w:sz w:val="24"/>
                <w:highlight w:val="none"/>
              </w:rPr>
              <w:t>元/个</w:t>
            </w:r>
          </w:p>
        </w:tc>
      </w:tr>
    </w:tbl>
    <w:p>
      <w:pPr>
        <w:pStyle w:val="565"/>
        <w:spacing w:line="360" w:lineRule="auto"/>
        <w:ind w:firstLine="482" w:firstLineChars="200"/>
        <w:rPr>
          <w:rStyle w:val="977"/>
          <w:rFonts w:hint="eastAsia" w:ascii="宋体" w:hAnsi="宋体" w:eastAsia="宋体" w:cs="宋体"/>
          <w:b/>
          <w:bCs/>
          <w:i w:val="0"/>
          <w:iCs w:val="0"/>
          <w:color w:val="auto"/>
          <w:sz w:val="24"/>
          <w:szCs w:val="24"/>
          <w:highlight w:val="none"/>
        </w:rPr>
      </w:pPr>
      <w:r>
        <w:rPr>
          <w:rStyle w:val="977"/>
          <w:rFonts w:hint="eastAsia" w:ascii="宋体" w:hAnsi="宋体" w:eastAsia="宋体" w:cs="宋体"/>
          <w:b/>
          <w:bCs/>
          <w:i w:val="0"/>
          <w:iCs w:val="0"/>
          <w:color w:val="auto"/>
          <w:sz w:val="24"/>
          <w:szCs w:val="24"/>
          <w:highlight w:val="none"/>
        </w:rPr>
        <w:t>1.对已出具法律意见书但未发行成功的项目按</w:t>
      </w:r>
      <w:r>
        <w:rPr>
          <w:rFonts w:hint="eastAsia" w:ascii="宋体" w:hAnsi="宋体" w:eastAsia="宋体" w:cs="宋体"/>
          <w:b/>
          <w:bCs/>
          <w:i w:val="0"/>
          <w:iCs w:val="0"/>
          <w:color w:val="auto"/>
          <w:kern w:val="0"/>
          <w:sz w:val="24"/>
          <w:highlight w:val="none"/>
        </w:rPr>
        <w:t>中标价的</w:t>
      </w:r>
      <w:r>
        <w:rPr>
          <w:rFonts w:hint="eastAsia" w:ascii="宋体" w:hAnsi="宋体" w:eastAsia="宋体" w:cs="宋体"/>
          <w:b/>
          <w:bCs/>
          <w:i w:val="0"/>
          <w:iCs w:val="0"/>
          <w:color w:val="auto"/>
          <w:kern w:val="0"/>
          <w:sz w:val="24"/>
          <w:highlight w:val="none"/>
          <w:lang w:val="en-US" w:eastAsia="zh-CN"/>
        </w:rPr>
        <w:t>20</w:t>
      </w:r>
      <w:r>
        <w:rPr>
          <w:rFonts w:hint="eastAsia" w:ascii="宋体" w:hAnsi="宋体" w:eastAsia="宋体" w:cs="宋体"/>
          <w:b/>
          <w:bCs/>
          <w:i w:val="0"/>
          <w:iCs w:val="0"/>
          <w:color w:val="auto"/>
          <w:kern w:val="0"/>
          <w:sz w:val="24"/>
          <w:highlight w:val="none"/>
        </w:rPr>
        <w:t>%计算收费</w:t>
      </w:r>
      <w:r>
        <w:rPr>
          <w:rFonts w:hint="eastAsia" w:ascii="宋体" w:hAnsi="宋体" w:eastAsia="宋体" w:cs="宋体"/>
          <w:b/>
          <w:bCs/>
          <w:i w:val="0"/>
          <w:iCs w:val="0"/>
          <w:color w:val="auto"/>
          <w:kern w:val="0"/>
          <w:sz w:val="24"/>
          <w:highlight w:val="none"/>
          <w:lang w:eastAsia="zh-CN"/>
        </w:rPr>
        <w:t>。</w:t>
      </w:r>
      <w:r>
        <w:rPr>
          <w:rFonts w:hint="eastAsia" w:ascii="宋体" w:hAnsi="宋体" w:eastAsia="宋体" w:cs="宋体"/>
          <w:b/>
          <w:bCs/>
          <w:i w:val="0"/>
          <w:iCs w:val="0"/>
          <w:color w:val="auto"/>
          <w:kern w:val="0"/>
          <w:sz w:val="24"/>
          <w:highlight w:val="none"/>
          <w:lang w:val="en-US" w:eastAsia="zh-CN"/>
        </w:rPr>
        <w:t>发行成功的专项债项目后续再次发行成功，重新出具法律意见书的，按中标价的20%计算收费</w:t>
      </w:r>
      <w:r>
        <w:rPr>
          <w:rStyle w:val="977"/>
          <w:rFonts w:hint="eastAsia" w:ascii="宋体" w:hAnsi="宋体" w:eastAsia="宋体" w:cs="宋体"/>
          <w:b/>
          <w:bCs/>
          <w:i w:val="0"/>
          <w:iCs w:val="0"/>
          <w:color w:val="auto"/>
          <w:sz w:val="24"/>
          <w:szCs w:val="24"/>
          <w:highlight w:val="none"/>
        </w:rPr>
        <w:t>，对该发行批次该项目的收费不得高于中标价。</w:t>
      </w:r>
    </w:p>
    <w:p>
      <w:pPr>
        <w:pStyle w:val="565"/>
        <w:spacing w:line="360" w:lineRule="auto"/>
        <w:ind w:firstLine="482" w:firstLineChars="200"/>
        <w:rPr>
          <w:rStyle w:val="977"/>
          <w:rFonts w:hint="eastAsia" w:ascii="宋体" w:hAnsi="宋体" w:eastAsia="宋体" w:cs="宋体"/>
          <w:i w:val="0"/>
          <w:iCs w:val="0"/>
          <w:color w:val="auto"/>
          <w:sz w:val="24"/>
          <w:szCs w:val="24"/>
          <w:highlight w:val="none"/>
        </w:rPr>
      </w:pPr>
      <w:r>
        <w:rPr>
          <w:rStyle w:val="977"/>
          <w:rFonts w:hint="eastAsia" w:ascii="宋体" w:hAnsi="宋体" w:eastAsia="宋体" w:cs="宋体"/>
          <w:b/>
          <w:bCs/>
          <w:i w:val="0"/>
          <w:iCs w:val="0"/>
          <w:color w:val="auto"/>
          <w:sz w:val="24"/>
          <w:szCs w:val="24"/>
          <w:highlight w:val="none"/>
        </w:rPr>
        <w:t>2</w:t>
      </w:r>
      <w:r>
        <w:rPr>
          <w:rFonts w:hint="eastAsia" w:ascii="宋体" w:hAnsi="宋体" w:eastAsia="宋体" w:cs="宋体"/>
          <w:i w:val="0"/>
          <w:iCs w:val="0"/>
          <w:color w:val="auto"/>
          <w:sz w:val="24"/>
          <w:szCs w:val="24"/>
          <w:highlight w:val="none"/>
        </w:rPr>
        <w:t>.</w:t>
      </w:r>
      <w:r>
        <w:rPr>
          <w:rStyle w:val="977"/>
          <w:rFonts w:hint="eastAsia" w:ascii="宋体" w:hAnsi="宋体" w:eastAsia="宋体" w:cs="宋体"/>
          <w:i w:val="0"/>
          <w:iCs w:val="0"/>
          <w:color w:val="auto"/>
          <w:sz w:val="24"/>
          <w:szCs w:val="24"/>
          <w:highlight w:val="none"/>
        </w:rPr>
        <w:t>以上入围单价包含所需的一切费用。</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本次采购由甲方统一进行框架协议采购，实际服务合同</w:t>
      </w:r>
      <w:r>
        <w:rPr>
          <w:rFonts w:hint="eastAsia" w:ascii="宋体" w:hAnsi="宋体" w:eastAsia="宋体" w:cs="宋体"/>
          <w:i w:val="0"/>
          <w:iCs w:val="0"/>
          <w:color w:val="auto"/>
          <w:sz w:val="24"/>
          <w:szCs w:val="24"/>
          <w:highlight w:val="none"/>
          <w:lang w:val="en-US" w:eastAsia="zh-CN"/>
        </w:rPr>
        <w:t>由</w:t>
      </w:r>
      <w:r>
        <w:rPr>
          <w:rFonts w:hint="eastAsia" w:ascii="宋体" w:hAnsi="宋体" w:eastAsia="宋体" w:cs="宋体"/>
          <w:i w:val="0"/>
          <w:iCs w:val="0"/>
          <w:color w:val="auto"/>
          <w:kern w:val="0"/>
          <w:sz w:val="24"/>
          <w:highlight w:val="none"/>
          <w:lang w:val="en-US" w:eastAsia="zh-CN"/>
        </w:rPr>
        <w:t>杭州市余杭区财政局及余杭区</w:t>
      </w:r>
      <w:r>
        <w:rPr>
          <w:rFonts w:hint="eastAsia" w:ascii="宋体" w:hAnsi="宋体" w:eastAsia="宋体" w:cs="宋体"/>
          <w:i w:val="0"/>
          <w:iCs w:val="0"/>
          <w:color w:val="auto"/>
          <w:kern w:val="0"/>
          <w:sz w:val="24"/>
          <w:highlight w:val="none"/>
          <w:lang w:eastAsia="zh-CN"/>
        </w:rPr>
        <w:t>各部门（单位）</w:t>
      </w:r>
      <w:r>
        <w:rPr>
          <w:rFonts w:hint="eastAsia" w:ascii="宋体" w:hAnsi="宋体" w:eastAsia="宋体" w:cs="宋体"/>
          <w:i w:val="0"/>
          <w:iCs w:val="0"/>
          <w:color w:val="auto"/>
          <w:sz w:val="24"/>
          <w:szCs w:val="24"/>
          <w:highlight w:val="none"/>
        </w:rPr>
        <w:t>自行签订。</w:t>
      </w:r>
      <w:r>
        <w:rPr>
          <w:rFonts w:hint="eastAsia" w:ascii="宋体" w:hAnsi="宋体" w:eastAsia="宋体" w:cs="宋体"/>
          <w:i w:val="0"/>
          <w:iCs w:val="0"/>
          <w:color w:val="auto"/>
          <w:sz w:val="24"/>
          <w:szCs w:val="24"/>
          <w:highlight w:val="none"/>
          <w:lang w:val="en-US" w:eastAsia="zh-CN"/>
        </w:rPr>
        <w:t>通过</w:t>
      </w:r>
      <w:r>
        <w:rPr>
          <w:rFonts w:hint="eastAsia" w:ascii="宋体" w:hAnsi="宋体" w:eastAsia="宋体" w:cs="宋体"/>
          <w:i w:val="0"/>
          <w:iCs w:val="0"/>
          <w:color w:val="auto"/>
          <w:kern w:val="0"/>
          <w:sz w:val="24"/>
          <w:highlight w:val="none"/>
        </w:rPr>
        <w:t>直接选定</w:t>
      </w:r>
      <w:r>
        <w:rPr>
          <w:rFonts w:hint="eastAsia" w:ascii="宋体" w:hAnsi="宋体" w:eastAsia="宋体" w:cs="宋体"/>
          <w:i w:val="0"/>
          <w:iCs w:val="0"/>
          <w:color w:val="auto"/>
          <w:kern w:val="0"/>
          <w:sz w:val="24"/>
          <w:highlight w:val="none"/>
          <w:lang w:val="en-US" w:eastAsia="zh-CN"/>
        </w:rPr>
        <w:t>或二次竞价方式确定</w:t>
      </w:r>
      <w:r>
        <w:rPr>
          <w:rFonts w:hint="eastAsia" w:ascii="宋体" w:hAnsi="宋体" w:eastAsia="宋体" w:cs="宋体"/>
          <w:i w:val="0"/>
          <w:iCs w:val="0"/>
          <w:color w:val="auto"/>
          <w:kern w:val="0"/>
          <w:sz w:val="24"/>
          <w:highlight w:val="none"/>
        </w:rPr>
        <w:t>1家或以上供应商签订服务合同，且服务价格不得高于本框架入围价格。</w:t>
      </w:r>
    </w:p>
    <w:p>
      <w:pPr>
        <w:pStyle w:val="35"/>
        <w:spacing w:line="360" w:lineRule="auto"/>
        <w:ind w:firstLine="480" w:firstLineChars="200"/>
        <w:rPr>
          <w:rStyle w:val="977"/>
          <w:rFonts w:hint="eastAsia" w:ascii="宋体" w:hAnsi="宋体" w:eastAsia="宋体" w:cs="宋体"/>
          <w:b/>
          <w:bCs/>
          <w:i w:val="0"/>
          <w:iCs w:val="0"/>
          <w:color w:val="auto"/>
          <w:kern w:val="0"/>
          <w:sz w:val="24"/>
          <w:szCs w:val="24"/>
          <w:highlight w:val="none"/>
        </w:rPr>
      </w:pPr>
      <w:r>
        <w:rPr>
          <w:rStyle w:val="977"/>
          <w:rFonts w:hint="eastAsia" w:ascii="宋体" w:hAnsi="宋体" w:eastAsia="宋体" w:cs="宋体"/>
          <w:bCs/>
          <w:i w:val="0"/>
          <w:iCs w:val="0"/>
          <w:color w:val="auto"/>
          <w:kern w:val="0"/>
          <w:sz w:val="24"/>
          <w:szCs w:val="24"/>
          <w:highlight w:val="none"/>
        </w:rPr>
        <w:t>二、服务内容及要求</w:t>
      </w:r>
      <w:r>
        <w:rPr>
          <w:rStyle w:val="977"/>
          <w:rFonts w:hint="eastAsia" w:ascii="宋体" w:hAnsi="宋体" w:eastAsia="宋体" w:cs="宋体"/>
          <w:b/>
          <w:bCs/>
          <w:i w:val="0"/>
          <w:iCs w:val="0"/>
          <w:color w:val="auto"/>
          <w:kern w:val="0"/>
          <w:sz w:val="24"/>
          <w:szCs w:val="24"/>
          <w:highlight w:val="none"/>
        </w:rPr>
        <w:t>：</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（一）服务内容</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1.在债券需求申报阶段，律师事务所需审查专项债券项目有关主体适格、基本信息、资金来源、资金投向、收费内容、收费政策依据等所涉法律事项的合法合规情况。</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2.在债券发行准备阶段，律师事务所需协助</w:t>
      </w:r>
      <w:r>
        <w:rPr>
          <w:rFonts w:hint="eastAsia" w:ascii="宋体" w:hAnsi="宋体" w:eastAsia="宋体" w:cs="宋体"/>
          <w:i w:val="0"/>
          <w:iCs w:val="0"/>
          <w:color w:val="auto"/>
          <w:sz w:val="24"/>
          <w:highlight w:val="none"/>
          <w:lang w:eastAsia="zh-CN"/>
        </w:rPr>
        <w:t>征集人</w:t>
      </w:r>
      <w:r>
        <w:rPr>
          <w:rFonts w:hint="eastAsia" w:ascii="宋体" w:hAnsi="宋体" w:eastAsia="宋体" w:cs="宋体"/>
          <w:i w:val="0"/>
          <w:iCs w:val="0"/>
          <w:color w:val="auto"/>
          <w:sz w:val="24"/>
          <w:highlight w:val="none"/>
        </w:rPr>
        <w:t>进行专项债券发行申请，对申请政府专项债券的项目提供独立、专业的法律服务，在规定时间内出具加盖公章的《法律意见书》正式稿。</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3.律师事务所需与财政部门招选的会计师事务所密切合作、相互配合，协助对方及时出具债券发行所需文本材料。</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4.现场参与财政部门组织的专项债券项目联审工作。</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5.财政部门要求的其他专项债券发行前期准备工作。</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（二）服务要求</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专项债券发行必须符合相关法律、行政法规和规范性文件的要求。投标人在中标后应在人员安排上及时给予保障，负责人与项目组主要成员必须是本单位人员，且投标文件中已确定的人员名单，在服务期内原则上不得更换，如有调整需征得</w:t>
      </w:r>
      <w:r>
        <w:rPr>
          <w:rFonts w:hint="eastAsia" w:ascii="宋体" w:hAnsi="宋体" w:eastAsia="宋体" w:cs="宋体"/>
          <w:i w:val="0"/>
          <w:iCs w:val="0"/>
          <w:color w:val="auto"/>
          <w:sz w:val="24"/>
          <w:highlight w:val="none"/>
          <w:lang w:eastAsia="zh-CN"/>
        </w:rPr>
        <w:t>征集人</w:t>
      </w:r>
      <w:r>
        <w:rPr>
          <w:rFonts w:hint="eastAsia" w:ascii="宋体" w:hAnsi="宋体" w:eastAsia="宋体" w:cs="宋体"/>
          <w:i w:val="0"/>
          <w:iCs w:val="0"/>
          <w:color w:val="auto"/>
          <w:sz w:val="24"/>
          <w:highlight w:val="none"/>
        </w:rPr>
        <w:t>的同意。在接到</w:t>
      </w:r>
      <w:r>
        <w:rPr>
          <w:rFonts w:hint="eastAsia" w:ascii="宋体" w:hAnsi="宋体" w:eastAsia="宋体" w:cs="宋体"/>
          <w:i w:val="0"/>
          <w:iCs w:val="0"/>
          <w:color w:val="auto"/>
          <w:sz w:val="24"/>
          <w:highlight w:val="none"/>
          <w:lang w:eastAsia="zh-CN"/>
        </w:rPr>
        <w:t>征集人</w:t>
      </w:r>
      <w:r>
        <w:rPr>
          <w:rFonts w:hint="eastAsia" w:ascii="宋体" w:hAnsi="宋体" w:eastAsia="宋体" w:cs="宋体"/>
          <w:i w:val="0"/>
          <w:iCs w:val="0"/>
          <w:color w:val="auto"/>
          <w:sz w:val="24"/>
          <w:highlight w:val="none"/>
        </w:rPr>
        <w:t>委托任务后应及时开展工作并出具各种专业报告。专业报告包括纸质和电子版两种形式，数量根据</w:t>
      </w:r>
      <w:r>
        <w:rPr>
          <w:rFonts w:hint="eastAsia" w:ascii="宋体" w:hAnsi="宋体" w:eastAsia="宋体" w:cs="宋体"/>
          <w:i w:val="0"/>
          <w:iCs w:val="0"/>
          <w:color w:val="auto"/>
          <w:sz w:val="24"/>
          <w:highlight w:val="none"/>
          <w:lang w:eastAsia="zh-CN"/>
        </w:rPr>
        <w:t>征集人</w:t>
      </w:r>
      <w:r>
        <w:rPr>
          <w:rFonts w:hint="eastAsia" w:ascii="宋体" w:hAnsi="宋体" w:eastAsia="宋体" w:cs="宋体"/>
          <w:i w:val="0"/>
          <w:iCs w:val="0"/>
          <w:color w:val="auto"/>
          <w:sz w:val="24"/>
          <w:highlight w:val="none"/>
        </w:rPr>
        <w:t>在发债过程中的实际需要而定。</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委托方有权对中标机构的服务质量和完成时效进行考核评价，评价内容包括及时性、准确性、完整性、合规性和配合度等，视评价情况酌情扣减相应项目的费用。</w:t>
      </w:r>
    </w:p>
    <w:p>
      <w:pPr>
        <w:pStyle w:val="35"/>
        <w:spacing w:line="360" w:lineRule="auto"/>
        <w:ind w:firstLine="480" w:firstLineChars="200"/>
        <w:rPr>
          <w:rFonts w:hint="eastAsia" w:ascii="宋体" w:hAnsi="宋体" w:eastAsia="宋体" w:cs="宋体"/>
          <w:i w:val="0"/>
          <w:iCs w:val="0"/>
          <w:color w:val="auto"/>
          <w:sz w:val="24"/>
          <w:highlight w:val="none"/>
        </w:rPr>
      </w:pPr>
      <w:r>
        <w:rPr>
          <w:rStyle w:val="977"/>
          <w:rFonts w:hint="eastAsia" w:ascii="宋体" w:hAnsi="宋体" w:eastAsia="宋体" w:cs="宋体"/>
          <w:bCs/>
          <w:i w:val="0"/>
          <w:iCs w:val="0"/>
          <w:color w:val="auto"/>
          <w:kern w:val="0"/>
          <w:sz w:val="24"/>
          <w:szCs w:val="24"/>
          <w:highlight w:val="none"/>
        </w:rPr>
        <w:t>三、服务期限：</w:t>
      </w:r>
      <w:r>
        <w:rPr>
          <w:rFonts w:hint="eastAsia" w:ascii="宋体" w:hAnsi="宋体" w:eastAsia="宋体" w:cs="宋体"/>
          <w:i w:val="0"/>
          <w:iCs w:val="0"/>
          <w:color w:val="auto"/>
          <w:sz w:val="24"/>
          <w:highlight w:val="none"/>
        </w:rPr>
        <w:t>2023-2025年，总服务期限不超过24个月，即二年。</w:t>
      </w:r>
      <w:r>
        <w:rPr>
          <w:rFonts w:hint="eastAsia" w:ascii="宋体" w:hAnsi="宋体" w:eastAsia="宋体" w:cs="宋体"/>
          <w:i w:val="0"/>
          <w:iCs w:val="0"/>
          <w:color w:val="auto"/>
          <w:sz w:val="24"/>
          <w:highlight w:val="none"/>
          <w:lang w:eastAsia="zh-CN"/>
        </w:rPr>
        <w:t>自</w:t>
      </w:r>
      <w:r>
        <w:rPr>
          <w:rFonts w:hint="eastAsia" w:ascii="宋体" w:hAnsi="宋体" w:eastAsia="宋体" w:cs="宋体"/>
          <w:i w:val="0"/>
          <w:iCs w:val="0"/>
          <w:color w:val="auto"/>
          <w:sz w:val="24"/>
          <w:highlight w:val="none"/>
          <w:lang w:val="en-US" w:eastAsia="zh-CN"/>
        </w:rPr>
        <w:t xml:space="preserve">  年  月  日至  年  月  日止</w:t>
      </w:r>
      <w:r>
        <w:rPr>
          <w:rFonts w:hint="eastAsia" w:ascii="宋体" w:hAnsi="宋体" w:eastAsia="宋体" w:cs="宋体"/>
          <w:i w:val="0"/>
          <w:iCs w:val="0"/>
          <w:color w:val="auto"/>
          <w:sz w:val="24"/>
          <w:highlight w:val="none"/>
        </w:rPr>
        <w:t>。合同每年一签，每年协议期满，根据考核情况及相关政策不变的情况下，可协商续签下一年度服务合同。甲方也有权重新组织采购。 续签合同期间的专业服务费收费标准维持不变。</w:t>
      </w:r>
    </w:p>
    <w:p>
      <w:pPr>
        <w:pStyle w:val="35"/>
        <w:spacing w:line="360" w:lineRule="auto"/>
        <w:ind w:firstLine="480" w:firstLineChars="200"/>
        <w:rPr>
          <w:rStyle w:val="977"/>
          <w:rFonts w:hint="eastAsia" w:ascii="宋体" w:hAnsi="宋体" w:eastAsia="宋体" w:cs="宋体"/>
          <w:bCs/>
          <w:i w:val="0"/>
          <w:iCs w:val="0"/>
          <w:color w:val="auto"/>
          <w:kern w:val="0"/>
          <w:sz w:val="24"/>
          <w:szCs w:val="24"/>
          <w:highlight w:val="none"/>
        </w:rPr>
      </w:pPr>
      <w:r>
        <w:rPr>
          <w:rStyle w:val="977"/>
          <w:rFonts w:hint="eastAsia" w:ascii="宋体" w:hAnsi="宋体" w:eastAsia="宋体" w:cs="宋体"/>
          <w:bCs/>
          <w:i w:val="0"/>
          <w:iCs w:val="0"/>
          <w:color w:val="auto"/>
          <w:kern w:val="0"/>
          <w:sz w:val="24"/>
          <w:szCs w:val="24"/>
          <w:highlight w:val="none"/>
        </w:rPr>
        <w:t>四、甲方责任与义务</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甲方的责任是提出项目服务的任务、工期要求等相关事项，协调工作过程中出现的有关问题。甲方的义务是对乙方的工作过程与结果进行监督，并对乙方的服务质量进行检查复核。</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五、乙方责任与义务</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1.乙方及其委派的工作人员应勤勉尽责，严格遵守执业规范和职业道德，按规定和约定履行义务，并就其自身的工作成果承担相应的责任。</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2.在政府专项债券发行过程中，乙方不得损害发行人的利益，也不得以欺诈、操纵市场等行为获取不正当利益。</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3.乙方出具的各种专业报告必须符合政府专项债券发行要求和相关法律法规，以及浙江省财政厅的申报要求；</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4.乙方及其委派的工作人员应履行保密义务，对执业过程中所获得的相关信息予以保密，不得私自对外泄露；</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5.乙方应与其他中介机构密切配合，共同推进债券发行工作，不得推诿、敷衍、拖延；</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6、服务响应：</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（1）乙方在入围后应在人员安排上给予及时保障，负责人与项目组主要成员必须是本单位人员，且响应文件中已确定的人员名单，在服务期内原则上不得更换，如有调整需征得甲方的同意。</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（2）在接到甲方委托任务后应及时开展工作并出具各种专业报告。专业报告包括纸质和电子版两种形式，数量根据甲方在发债过程中的实际需要量而定。</w:t>
      </w:r>
    </w:p>
    <w:p>
      <w:pPr>
        <w:snapToGrid w:val="0"/>
        <w:spacing w:line="360" w:lineRule="auto"/>
        <w:ind w:firstLine="480" w:firstLineChars="200"/>
        <w:rPr>
          <w:rFonts w:hint="eastAsia" w:ascii="宋体" w:hAnsi="宋体" w:eastAsia="宋体" w:cs="宋体"/>
          <w:i w:val="0"/>
          <w:iCs w:val="0"/>
          <w:color w:val="auto"/>
          <w:sz w:val="24"/>
          <w:highlight w:val="none"/>
        </w:rPr>
      </w:pPr>
      <w:r>
        <w:rPr>
          <w:rStyle w:val="977"/>
          <w:rFonts w:hint="eastAsia" w:ascii="宋体" w:hAnsi="宋体" w:eastAsia="宋体" w:cs="宋体"/>
          <w:bCs/>
          <w:i w:val="0"/>
          <w:iCs w:val="0"/>
          <w:color w:val="auto"/>
          <w:kern w:val="0"/>
          <w:sz w:val="24"/>
          <w:highlight w:val="none"/>
        </w:rPr>
        <w:t>六、</w:t>
      </w:r>
      <w:r>
        <w:rPr>
          <w:rFonts w:hint="eastAsia" w:ascii="宋体" w:hAnsi="宋体" w:eastAsia="宋体" w:cs="宋体"/>
          <w:i w:val="0"/>
          <w:iCs w:val="0"/>
          <w:color w:val="auto"/>
          <w:sz w:val="24"/>
          <w:highlight w:val="none"/>
        </w:rPr>
        <w:t>付款方式</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1.专业服务费一年结算一次，于每年度12月15日前结算本年度的应付专业服务费，结算金额经双方确认后20个工作日内完成支出。</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rPr>
        <w:t>.由于入围供应商原因致使本次政府专项债券发行失败的，</w:t>
      </w:r>
      <w:r>
        <w:rPr>
          <w:rFonts w:hint="eastAsia" w:ascii="宋体" w:hAnsi="宋体" w:eastAsia="宋体" w:cs="宋体"/>
          <w:i w:val="0"/>
          <w:iCs w:val="0"/>
          <w:color w:val="auto"/>
          <w:kern w:val="0"/>
          <w:sz w:val="24"/>
          <w:highlight w:val="none"/>
          <w:lang w:val="en-US" w:eastAsia="zh-CN"/>
        </w:rPr>
        <w:t>甲方</w:t>
      </w:r>
      <w:r>
        <w:rPr>
          <w:rFonts w:hint="eastAsia" w:ascii="宋体" w:hAnsi="宋体" w:eastAsia="宋体" w:cs="宋体"/>
          <w:i w:val="0"/>
          <w:iCs w:val="0"/>
          <w:color w:val="auto"/>
          <w:kern w:val="0"/>
          <w:sz w:val="24"/>
          <w:highlight w:val="none"/>
        </w:rPr>
        <w:t>有权拒付（或追回已付的）专业服务费；给</w:t>
      </w:r>
      <w:r>
        <w:rPr>
          <w:rFonts w:hint="eastAsia" w:ascii="宋体" w:hAnsi="宋体" w:eastAsia="宋体" w:cs="宋体"/>
          <w:i w:val="0"/>
          <w:iCs w:val="0"/>
          <w:color w:val="auto"/>
          <w:kern w:val="0"/>
          <w:sz w:val="24"/>
          <w:highlight w:val="none"/>
          <w:lang w:val="en-US" w:eastAsia="zh-CN"/>
        </w:rPr>
        <w:t>甲方</w:t>
      </w:r>
      <w:r>
        <w:rPr>
          <w:rFonts w:hint="eastAsia" w:ascii="宋体" w:hAnsi="宋体" w:eastAsia="宋体" w:cs="宋体"/>
          <w:i w:val="0"/>
          <w:iCs w:val="0"/>
          <w:color w:val="auto"/>
          <w:kern w:val="0"/>
          <w:sz w:val="24"/>
          <w:highlight w:val="none"/>
        </w:rPr>
        <w:t>造成损失的，应予以赔偿。</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en-US" w:eastAsia="zh-CN"/>
        </w:rPr>
        <w:t>3</w:t>
      </w:r>
      <w:r>
        <w:rPr>
          <w:rFonts w:hint="eastAsia" w:ascii="宋体" w:hAnsi="宋体" w:eastAsia="宋体" w:cs="宋体"/>
          <w:i w:val="0"/>
          <w:iCs w:val="0"/>
          <w:color w:val="auto"/>
          <w:kern w:val="0"/>
          <w:sz w:val="24"/>
          <w:highlight w:val="none"/>
        </w:rPr>
        <w:t>.入围供应商办理专业服务费结算时，需出具正式税务发票。</w:t>
      </w:r>
    </w:p>
    <w:p>
      <w:pPr>
        <w:pStyle w:val="18"/>
        <w:spacing w:after="0" w:line="360" w:lineRule="auto"/>
        <w:ind w:left="0" w:leftChars="0" w:firstLine="48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七、双方都有责任保守所知晓的对方的商业秘密，不得向第三方泄露。任何一方违反此协议，给对方造成损失，须承担赔偿责任。</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八、本协议在执行中，因乙方违约、解体或违反本协议中的有关条款，甲方有权立即终止协议。</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在执业过程中发现以下情形之一的，甲方有权更换服务单位：</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1.在投标中故意隐瞒与投标书不符的重大事实的；</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2.将中标业务转包或分包给其他律师事务所的；</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3.无法完成或拒不完成本项目约定服务内容的；</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4.在服务期间因违法、违规行为被国家有关主管部门给予重大行政处罚的；</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5.严重违反有关规定，且拒不改正的；</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6.其他严重违法、违规行为。</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九、免责条件</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1.双方任何一方由于严重火灾、水灾、台风、地震、不可遇见事故及其它双方均认可的不可抗力因素所造成的损失和影响，双方互不承担责任。</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2.受不可抗力因素影响的一方应在不可抗力发生后3天内书面告知另一方，并在事故发生后7天内，向另一方出具有效的事实证明材料。</w:t>
      </w:r>
    </w:p>
    <w:p>
      <w:pPr>
        <w:pStyle w:val="18"/>
        <w:spacing w:after="0" w:line="360" w:lineRule="auto"/>
        <w:ind w:left="0" w:leftChars="0" w:firstLine="0" w:firstLineChars="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3.如遇上级部门政策调整，本合同自动终止。</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十、纠纷解决方式</w:t>
      </w:r>
    </w:p>
    <w:p>
      <w:pPr>
        <w:pStyle w:val="35"/>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1.凡与本合同有关的任何纠纷，买、卖双方应通过友好协商，妥善解决。如通过协商仍不能解决时，应向甲方所在地的人民法院诉讼解决。</w:t>
      </w:r>
    </w:p>
    <w:p>
      <w:pPr>
        <w:pStyle w:val="35"/>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2.诉讼费及律师费除法院另有裁决外，由败诉方承担。</w:t>
      </w:r>
    </w:p>
    <w:p>
      <w:pPr>
        <w:pStyle w:val="35"/>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3.在诉讼期间，除正在进行诉讼的部分外，本合同其他部分应继续执行。</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十一、合同生效及其它</w:t>
      </w:r>
    </w:p>
    <w:p>
      <w:pPr>
        <w:pStyle w:val="633"/>
        <w:spacing w:line="360" w:lineRule="auto"/>
        <w:ind w:firstLine="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1.协议经甲、乙双方签名并加盖单位公章后生效。</w:t>
      </w:r>
    </w:p>
    <w:p>
      <w:pPr>
        <w:pStyle w:val="633"/>
        <w:spacing w:line="360" w:lineRule="auto"/>
        <w:ind w:firstLine="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2.协议执行中涉及采购资金和采购内容修改或补充的，须经财政部门审批，并签书面补充协议，经报政府采购监督管理部门备案后，方可作为主协议不可分割的一部分。</w:t>
      </w:r>
    </w:p>
    <w:p>
      <w:pPr>
        <w:pStyle w:val="633"/>
        <w:spacing w:line="360" w:lineRule="auto"/>
        <w:ind w:firstLine="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3.征集文件、乙方的响应文件与本协议具有同等法律效力。</w:t>
      </w:r>
    </w:p>
    <w:p>
      <w:pPr>
        <w:pStyle w:val="633"/>
        <w:spacing w:line="360" w:lineRule="auto"/>
        <w:ind w:firstLine="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4.本协议未尽事宜，遵照《中华人民共和国民法典》有关条文执行。</w:t>
      </w:r>
    </w:p>
    <w:p>
      <w:pPr>
        <w:pStyle w:val="633"/>
        <w:spacing w:line="360" w:lineRule="auto"/>
        <w:ind w:firstLine="48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5.本协议一式五份，具有同等法律效力，甲、乙双方各执二份，备案一份。</w:t>
      </w:r>
    </w:p>
    <w:p>
      <w:pPr>
        <w:pStyle w:val="35"/>
        <w:spacing w:line="360" w:lineRule="auto"/>
        <w:ind w:firstLine="480" w:firstLineChars="200"/>
        <w:rPr>
          <w:rStyle w:val="977"/>
          <w:rFonts w:hint="eastAsia" w:ascii="宋体" w:hAnsi="宋体" w:eastAsia="宋体" w:cs="宋体"/>
          <w:bCs/>
          <w:i w:val="0"/>
          <w:iCs w:val="0"/>
          <w:color w:val="auto"/>
          <w:kern w:val="0"/>
          <w:sz w:val="24"/>
          <w:szCs w:val="24"/>
          <w:highlight w:val="none"/>
        </w:rPr>
      </w:pPr>
    </w:p>
    <w:tbl>
      <w:tblPr>
        <w:tblStyle w:val="6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5"/>
        <w:gridCol w:w="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3" w:hRule="atLeast"/>
          <w:jc w:val="center"/>
        </w:trPr>
        <w:tc>
          <w:tcPr>
            <w:tcW w:w="4705" w:type="dxa"/>
            <w:tcBorders>
              <w:top w:val="single" w:color="auto" w:sz="4" w:space="0"/>
              <w:left w:val="single" w:color="auto" w:sz="4" w:space="0"/>
              <w:right w:val="single" w:color="auto" w:sz="4" w:space="0"/>
            </w:tcBorders>
            <w:vAlign w:val="top"/>
          </w:tcPr>
          <w:p>
            <w:pPr>
              <w:spacing w:line="360" w:lineRule="auto"/>
              <w:ind w:right="-105" w:rightChars="-50"/>
              <w:jc w:val="both"/>
              <w:rPr>
                <w:rFonts w:hint="eastAsia" w:ascii="宋体" w:hAnsi="宋体" w:eastAsia="宋体" w:cs="宋体"/>
                <w:b/>
                <w:bCs/>
                <w:i w:val="0"/>
                <w:iCs w:val="0"/>
                <w:color w:val="auto"/>
                <w:sz w:val="24"/>
                <w:highlight w:val="none"/>
                <w:lang w:eastAsia="zh-CN"/>
              </w:rPr>
            </w:pPr>
            <w:r>
              <w:rPr>
                <w:rFonts w:hint="eastAsia" w:ascii="宋体" w:hAnsi="宋体" w:eastAsia="宋体" w:cs="宋体"/>
                <w:b/>
                <w:bCs/>
                <w:i w:val="0"/>
                <w:iCs w:val="0"/>
                <w:color w:val="auto"/>
                <w:sz w:val="24"/>
                <w:highlight w:val="none"/>
              </w:rPr>
              <w:t>甲方（采购）</w:t>
            </w:r>
            <w:r>
              <w:rPr>
                <w:rFonts w:hint="eastAsia" w:ascii="宋体" w:hAnsi="宋体" w:eastAsia="宋体" w:cs="宋体"/>
                <w:b/>
                <w:bCs/>
                <w:i w:val="0"/>
                <w:iCs w:val="0"/>
                <w:color w:val="auto"/>
                <w:sz w:val="24"/>
                <w:highlight w:val="none"/>
                <w:lang w:eastAsia="zh-CN"/>
              </w:rPr>
              <w:t>：</w:t>
            </w:r>
          </w:p>
          <w:p>
            <w:pPr>
              <w:spacing w:line="360" w:lineRule="auto"/>
              <w:ind w:left="-171"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单位名称（盖章）： </w:t>
            </w:r>
          </w:p>
          <w:p>
            <w:pPr>
              <w:spacing w:line="360" w:lineRule="auto"/>
              <w:ind w:left="-171"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单位地址： </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法定（委托）代表人</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（签字或盖章）：</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电 话：</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开户银行：</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账 号：   </w:t>
            </w:r>
          </w:p>
        </w:tc>
        <w:tc>
          <w:tcPr>
            <w:tcW w:w="4714" w:type="dxa"/>
            <w:tcBorders>
              <w:top w:val="single" w:color="auto" w:sz="4" w:space="0"/>
              <w:left w:val="single" w:color="auto" w:sz="4" w:space="0"/>
              <w:right w:val="single" w:color="auto" w:sz="4" w:space="0"/>
            </w:tcBorders>
            <w:vAlign w:val="top"/>
          </w:tcPr>
          <w:p>
            <w:pPr>
              <w:spacing w:line="360" w:lineRule="auto"/>
              <w:ind w:right="-105" w:rightChars="-50"/>
              <w:jc w:val="both"/>
              <w:rPr>
                <w:rFonts w:hint="eastAsia" w:ascii="宋体" w:hAnsi="宋体" w:eastAsia="宋体" w:cs="宋体"/>
                <w:b/>
                <w:bCs/>
                <w:i w:val="0"/>
                <w:iCs w:val="0"/>
                <w:color w:val="auto"/>
                <w:sz w:val="24"/>
                <w:highlight w:val="none"/>
                <w:lang w:eastAsia="zh-CN"/>
              </w:rPr>
            </w:pPr>
            <w:r>
              <w:rPr>
                <w:rFonts w:hint="eastAsia" w:ascii="宋体" w:hAnsi="宋体" w:eastAsia="宋体" w:cs="宋体"/>
                <w:b/>
                <w:bCs/>
                <w:i w:val="0"/>
                <w:iCs w:val="0"/>
                <w:color w:val="auto"/>
                <w:sz w:val="24"/>
                <w:highlight w:val="none"/>
              </w:rPr>
              <w:t>乙方（服务）</w:t>
            </w:r>
            <w:r>
              <w:rPr>
                <w:rFonts w:hint="eastAsia" w:ascii="宋体" w:hAnsi="宋体" w:eastAsia="宋体" w:cs="宋体"/>
                <w:b/>
                <w:bCs/>
                <w:i w:val="0"/>
                <w:iCs w:val="0"/>
                <w:color w:val="auto"/>
                <w:sz w:val="24"/>
                <w:highlight w:val="none"/>
                <w:lang w:eastAsia="zh-CN"/>
              </w:rPr>
              <w:t>：</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单位名称（盖章）： </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单位地址： </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法定（委托）代表人 </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（签字或盖章）：</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电 话：</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开户银行： </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账 号：  </w:t>
            </w:r>
          </w:p>
        </w:tc>
      </w:tr>
    </w:tbl>
    <w:p>
      <w:pPr>
        <w:spacing w:line="360" w:lineRule="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 xml:space="preserve">                                          合同签订时间：   年   月  日  </w:t>
      </w:r>
    </w:p>
    <w:p>
      <w:pPr>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br w:type="page"/>
      </w:r>
    </w:p>
    <w:p>
      <w:pPr>
        <w:spacing w:line="360" w:lineRule="auto"/>
        <w:jc w:val="center"/>
        <w:rPr>
          <w:rFonts w:hint="eastAsia" w:ascii="宋体" w:hAnsi="宋体" w:eastAsia="宋体" w:cs="宋体"/>
          <w:b/>
          <w:i w:val="0"/>
          <w:iCs w:val="0"/>
          <w:color w:val="auto"/>
          <w:sz w:val="36"/>
          <w:szCs w:val="36"/>
          <w:highlight w:val="none"/>
          <w:lang w:val="en-US" w:eastAsia="zh-CN"/>
        </w:rPr>
      </w:pPr>
    </w:p>
    <w:p>
      <w:pPr>
        <w:spacing w:line="360" w:lineRule="auto"/>
        <w:jc w:val="center"/>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lang w:val="en-US" w:eastAsia="zh-CN"/>
        </w:rPr>
        <w:t>杭州市余杭区</w:t>
      </w:r>
      <w:r>
        <w:rPr>
          <w:rFonts w:hint="eastAsia" w:ascii="宋体" w:hAnsi="宋体" w:eastAsia="宋体" w:cs="宋体"/>
          <w:b/>
          <w:i w:val="0"/>
          <w:iCs w:val="0"/>
          <w:color w:val="auto"/>
          <w:sz w:val="36"/>
          <w:szCs w:val="36"/>
          <w:highlight w:val="none"/>
        </w:rPr>
        <w:t>2023-2025年度专项债券发行准备法律专业服务采购项目</w:t>
      </w:r>
    </w:p>
    <w:p>
      <w:pPr>
        <w:spacing w:line="360" w:lineRule="auto"/>
        <w:jc w:val="center"/>
        <w:rPr>
          <w:rFonts w:hint="eastAsia" w:ascii="宋体" w:hAnsi="宋体" w:eastAsia="宋体" w:cs="宋体"/>
          <w:b/>
          <w:i w:val="0"/>
          <w:iCs w:val="0"/>
          <w:color w:val="auto"/>
          <w:sz w:val="48"/>
          <w:szCs w:val="48"/>
          <w:highlight w:val="none"/>
        </w:rPr>
      </w:pPr>
    </w:p>
    <w:p>
      <w:pPr>
        <w:spacing w:line="360" w:lineRule="auto"/>
        <w:jc w:val="center"/>
        <w:rPr>
          <w:rFonts w:hint="eastAsia" w:ascii="宋体" w:hAnsi="宋体" w:eastAsia="宋体" w:cs="宋体"/>
          <w:b/>
          <w:i w:val="0"/>
          <w:iCs w:val="0"/>
          <w:color w:val="auto"/>
          <w:sz w:val="48"/>
          <w:szCs w:val="48"/>
          <w:highlight w:val="none"/>
        </w:rPr>
      </w:pPr>
    </w:p>
    <w:p>
      <w:pPr>
        <w:spacing w:line="360" w:lineRule="auto"/>
        <w:jc w:val="center"/>
        <w:rPr>
          <w:rFonts w:hint="eastAsia" w:ascii="宋体" w:hAnsi="宋体" w:eastAsia="宋体" w:cs="宋体"/>
          <w:b/>
          <w:i w:val="0"/>
          <w:iCs w:val="0"/>
          <w:color w:val="auto"/>
          <w:sz w:val="48"/>
          <w:szCs w:val="48"/>
          <w:highlight w:val="none"/>
        </w:rPr>
      </w:pPr>
    </w:p>
    <w:p>
      <w:pPr>
        <w:spacing w:line="360" w:lineRule="auto"/>
        <w:jc w:val="center"/>
        <w:rPr>
          <w:rFonts w:hint="eastAsia" w:ascii="宋体" w:hAnsi="宋体" w:eastAsia="宋体" w:cs="宋体"/>
          <w:b/>
          <w:i w:val="0"/>
          <w:iCs w:val="0"/>
          <w:color w:val="auto"/>
          <w:sz w:val="48"/>
          <w:szCs w:val="48"/>
          <w:highlight w:val="none"/>
        </w:rPr>
      </w:pPr>
      <w:r>
        <w:rPr>
          <w:rFonts w:hint="eastAsia" w:ascii="宋体" w:hAnsi="宋体" w:eastAsia="宋体" w:cs="宋体"/>
          <w:b/>
          <w:i w:val="0"/>
          <w:iCs w:val="0"/>
          <w:color w:val="auto"/>
          <w:sz w:val="48"/>
          <w:szCs w:val="48"/>
          <w:highlight w:val="none"/>
        </w:rPr>
        <w:t>服 务 合 同</w:t>
      </w:r>
    </w:p>
    <w:p>
      <w:pPr>
        <w:pStyle w:val="35"/>
        <w:snapToGrid w:val="0"/>
        <w:spacing w:line="360" w:lineRule="auto"/>
        <w:ind w:firstLine="1890" w:firstLineChars="900"/>
        <w:rPr>
          <w:rFonts w:hint="eastAsia" w:ascii="宋体" w:hAnsi="宋体" w:eastAsia="宋体" w:cs="宋体"/>
          <w:i w:val="0"/>
          <w:iCs w:val="0"/>
          <w:color w:val="auto"/>
          <w:kern w:val="0"/>
          <w:highlight w:val="none"/>
        </w:rPr>
      </w:pPr>
    </w:p>
    <w:p>
      <w:pPr>
        <w:pStyle w:val="35"/>
        <w:snapToGrid w:val="0"/>
        <w:spacing w:line="360" w:lineRule="auto"/>
        <w:ind w:firstLine="1890" w:firstLineChars="900"/>
        <w:rPr>
          <w:rFonts w:hint="eastAsia" w:ascii="宋体" w:hAnsi="宋体" w:eastAsia="宋体" w:cs="宋体"/>
          <w:i w:val="0"/>
          <w:iCs w:val="0"/>
          <w:color w:val="auto"/>
          <w:kern w:val="0"/>
          <w:highlight w:val="none"/>
        </w:rPr>
      </w:pPr>
    </w:p>
    <w:p>
      <w:pPr>
        <w:pStyle w:val="35"/>
        <w:snapToGrid w:val="0"/>
        <w:spacing w:line="360" w:lineRule="auto"/>
        <w:ind w:firstLine="1890" w:firstLineChars="900"/>
        <w:rPr>
          <w:rFonts w:hint="eastAsia" w:ascii="宋体" w:hAnsi="宋体" w:eastAsia="宋体" w:cs="宋体"/>
          <w:i w:val="0"/>
          <w:iCs w:val="0"/>
          <w:color w:val="auto"/>
          <w:kern w:val="0"/>
          <w:highlight w:val="none"/>
          <w:u w:val="single"/>
        </w:rPr>
      </w:pPr>
      <w:r>
        <w:rPr>
          <w:rFonts w:hint="eastAsia" w:ascii="宋体" w:hAnsi="宋体" w:eastAsia="宋体" w:cs="宋体"/>
          <w:i w:val="0"/>
          <w:iCs w:val="0"/>
          <w:color w:val="auto"/>
          <w:kern w:val="0"/>
          <w:highlight w:val="none"/>
        </w:rPr>
        <w:t xml:space="preserve"> </w:t>
      </w:r>
    </w:p>
    <w:p>
      <w:pPr>
        <w:autoSpaceDE w:val="0"/>
        <w:autoSpaceDN w:val="0"/>
        <w:snapToGrid w:val="0"/>
        <w:spacing w:before="312" w:beforeLines="100"/>
        <w:textAlignment w:val="bottom"/>
        <w:rPr>
          <w:rFonts w:hint="eastAsia" w:ascii="宋体" w:hAnsi="宋体" w:eastAsia="宋体" w:cs="宋体"/>
          <w:i w:val="0"/>
          <w:iCs w:val="0"/>
          <w:color w:val="auto"/>
          <w:kern w:val="0"/>
          <w:sz w:val="28"/>
          <w:szCs w:val="28"/>
          <w:highlight w:val="none"/>
        </w:rPr>
      </w:pPr>
      <w:r>
        <w:rPr>
          <w:rFonts w:hint="eastAsia" w:ascii="宋体" w:hAnsi="宋体" w:eastAsia="宋体" w:cs="宋体"/>
          <w:i w:val="0"/>
          <w:iCs w:val="0"/>
          <w:color w:val="auto"/>
          <w:kern w:val="0"/>
          <w:sz w:val="28"/>
          <w:szCs w:val="28"/>
          <w:highlight w:val="none"/>
        </w:rPr>
        <w:tab/>
      </w:r>
      <w:r>
        <w:rPr>
          <w:rFonts w:hint="eastAsia" w:ascii="宋体" w:hAnsi="宋体" w:eastAsia="宋体" w:cs="宋体"/>
          <w:i w:val="0"/>
          <w:iCs w:val="0"/>
          <w:color w:val="auto"/>
          <w:kern w:val="0"/>
          <w:sz w:val="28"/>
          <w:szCs w:val="28"/>
          <w:highlight w:val="none"/>
        </w:rPr>
        <w:tab/>
      </w:r>
    </w:p>
    <w:p>
      <w:pPr>
        <w:autoSpaceDE w:val="0"/>
        <w:autoSpaceDN w:val="0"/>
        <w:snapToGrid w:val="0"/>
        <w:spacing w:before="312" w:beforeLines="100"/>
        <w:textAlignment w:val="bottom"/>
        <w:rPr>
          <w:rFonts w:hint="eastAsia" w:ascii="宋体" w:hAnsi="宋体" w:eastAsia="宋体" w:cs="宋体"/>
          <w:i w:val="0"/>
          <w:iCs w:val="0"/>
          <w:color w:val="auto"/>
          <w:kern w:val="0"/>
          <w:sz w:val="28"/>
          <w:szCs w:val="28"/>
          <w:highlight w:val="none"/>
        </w:rPr>
      </w:pPr>
    </w:p>
    <w:p>
      <w:pPr>
        <w:autoSpaceDE w:val="0"/>
        <w:autoSpaceDN w:val="0"/>
        <w:snapToGrid w:val="0"/>
        <w:spacing w:before="312" w:beforeLines="100"/>
        <w:textAlignment w:val="bottom"/>
        <w:rPr>
          <w:rFonts w:hint="eastAsia" w:ascii="宋体" w:hAnsi="宋体" w:eastAsia="宋体" w:cs="宋体"/>
          <w:i w:val="0"/>
          <w:iCs w:val="0"/>
          <w:color w:val="auto"/>
          <w:kern w:val="0"/>
          <w:sz w:val="28"/>
          <w:szCs w:val="28"/>
          <w:highlight w:val="none"/>
        </w:rPr>
      </w:pPr>
    </w:p>
    <w:p>
      <w:pPr>
        <w:autoSpaceDE w:val="0"/>
        <w:autoSpaceDN w:val="0"/>
        <w:snapToGrid w:val="0"/>
        <w:spacing w:before="312" w:beforeLines="100"/>
        <w:textAlignment w:val="bottom"/>
        <w:rPr>
          <w:rFonts w:hint="eastAsia" w:ascii="宋体" w:hAnsi="宋体" w:eastAsia="宋体" w:cs="宋体"/>
          <w:i w:val="0"/>
          <w:iCs w:val="0"/>
          <w:color w:val="auto"/>
          <w:kern w:val="0"/>
          <w:sz w:val="28"/>
          <w:szCs w:val="28"/>
          <w:highlight w:val="none"/>
        </w:rPr>
      </w:pPr>
    </w:p>
    <w:p>
      <w:pPr>
        <w:autoSpaceDE w:val="0"/>
        <w:autoSpaceDN w:val="0"/>
        <w:snapToGrid w:val="0"/>
        <w:spacing w:before="312" w:beforeLines="100"/>
        <w:textAlignment w:val="bottom"/>
        <w:rPr>
          <w:rFonts w:hint="eastAsia" w:ascii="宋体" w:hAnsi="宋体" w:eastAsia="宋体" w:cs="宋体"/>
          <w:i w:val="0"/>
          <w:iCs w:val="0"/>
          <w:color w:val="auto"/>
          <w:kern w:val="0"/>
          <w:sz w:val="28"/>
          <w:szCs w:val="28"/>
          <w:highlight w:val="none"/>
        </w:rPr>
      </w:pPr>
    </w:p>
    <w:p>
      <w:pPr>
        <w:autoSpaceDE w:val="0"/>
        <w:autoSpaceDN w:val="0"/>
        <w:snapToGrid w:val="0"/>
        <w:spacing w:before="312" w:beforeLines="100"/>
        <w:ind w:firstLine="1120" w:firstLineChars="400"/>
        <w:textAlignment w:val="bottom"/>
        <w:rPr>
          <w:rFonts w:hint="eastAsia" w:ascii="宋体" w:hAnsi="宋体" w:eastAsia="宋体" w:cs="宋体"/>
          <w:i w:val="0"/>
          <w:iCs w:val="0"/>
          <w:color w:val="auto"/>
          <w:kern w:val="0"/>
          <w:sz w:val="28"/>
          <w:szCs w:val="28"/>
          <w:highlight w:val="none"/>
        </w:rPr>
      </w:pPr>
      <w:r>
        <w:rPr>
          <w:rFonts w:hint="eastAsia" w:ascii="宋体" w:hAnsi="宋体" w:eastAsia="宋体" w:cs="宋体"/>
          <w:i w:val="0"/>
          <w:iCs w:val="0"/>
          <w:color w:val="auto"/>
          <w:kern w:val="0"/>
          <w:sz w:val="28"/>
          <w:szCs w:val="28"/>
          <w:highlight w:val="none"/>
        </w:rPr>
        <w:t xml:space="preserve">甲方（采购方）： </w:t>
      </w:r>
    </w:p>
    <w:p>
      <w:pPr>
        <w:autoSpaceDE w:val="0"/>
        <w:autoSpaceDN w:val="0"/>
        <w:snapToGrid w:val="0"/>
        <w:spacing w:before="312" w:beforeLines="100"/>
        <w:ind w:firstLine="1120" w:firstLineChars="400"/>
        <w:textAlignment w:val="bottom"/>
        <w:rPr>
          <w:rFonts w:hint="eastAsia" w:ascii="宋体" w:hAnsi="宋体" w:eastAsia="宋体" w:cs="宋体"/>
          <w:i w:val="0"/>
          <w:iCs w:val="0"/>
          <w:color w:val="auto"/>
          <w:kern w:val="0"/>
          <w:sz w:val="28"/>
          <w:szCs w:val="28"/>
          <w:highlight w:val="none"/>
        </w:rPr>
      </w:pPr>
      <w:r>
        <w:rPr>
          <w:rFonts w:hint="eastAsia" w:ascii="宋体" w:hAnsi="宋体" w:eastAsia="宋体" w:cs="宋体"/>
          <w:i w:val="0"/>
          <w:iCs w:val="0"/>
          <w:color w:val="auto"/>
          <w:kern w:val="0"/>
          <w:sz w:val="28"/>
          <w:szCs w:val="28"/>
          <w:highlight w:val="none"/>
        </w:rPr>
        <w:t xml:space="preserve">乙方（服务方）： </w:t>
      </w:r>
    </w:p>
    <w:p>
      <w:pPr>
        <w:autoSpaceDE w:val="0"/>
        <w:autoSpaceDN w:val="0"/>
        <w:snapToGrid w:val="0"/>
        <w:spacing w:before="312" w:beforeLines="100"/>
        <w:ind w:firstLine="1120" w:firstLineChars="400"/>
        <w:textAlignment w:val="bottom"/>
        <w:rPr>
          <w:rFonts w:hint="eastAsia" w:ascii="宋体" w:hAnsi="宋体" w:eastAsia="宋体" w:cs="宋体"/>
          <w:i w:val="0"/>
          <w:iCs w:val="0"/>
          <w:color w:val="auto"/>
          <w:kern w:val="0"/>
          <w:sz w:val="28"/>
          <w:szCs w:val="28"/>
          <w:highlight w:val="none"/>
        </w:rPr>
      </w:pPr>
      <w:r>
        <w:rPr>
          <w:rFonts w:hint="eastAsia" w:ascii="宋体" w:hAnsi="宋体" w:eastAsia="宋体" w:cs="宋体"/>
          <w:i w:val="0"/>
          <w:iCs w:val="0"/>
          <w:color w:val="auto"/>
          <w:kern w:val="0"/>
          <w:sz w:val="28"/>
          <w:szCs w:val="28"/>
          <w:highlight w:val="none"/>
        </w:rPr>
        <w:t>签署地点：</w:t>
      </w:r>
    </w:p>
    <w:p>
      <w:pPr>
        <w:autoSpaceDE w:val="0"/>
        <w:autoSpaceDN w:val="0"/>
        <w:snapToGrid w:val="0"/>
        <w:spacing w:before="312" w:beforeLines="100"/>
        <w:ind w:right="206" w:rightChars="98"/>
        <w:textAlignment w:val="bottom"/>
        <w:rPr>
          <w:rFonts w:hint="eastAsia" w:ascii="宋体" w:hAnsi="宋体" w:eastAsia="宋体" w:cs="宋体"/>
          <w:i w:val="0"/>
          <w:iCs w:val="0"/>
          <w:color w:val="auto"/>
          <w:kern w:val="0"/>
          <w:sz w:val="28"/>
          <w:szCs w:val="28"/>
          <w:highlight w:val="none"/>
        </w:rPr>
      </w:pPr>
      <w:r>
        <w:rPr>
          <w:rFonts w:hint="eastAsia" w:ascii="宋体" w:hAnsi="宋体" w:eastAsia="宋体" w:cs="宋体"/>
          <w:i w:val="0"/>
          <w:iCs w:val="0"/>
          <w:color w:val="auto"/>
          <w:kern w:val="0"/>
          <w:sz w:val="28"/>
          <w:szCs w:val="28"/>
          <w:highlight w:val="none"/>
        </w:rPr>
        <w:tab/>
      </w:r>
      <w:r>
        <w:rPr>
          <w:rFonts w:hint="eastAsia" w:ascii="宋体" w:hAnsi="宋体" w:eastAsia="宋体" w:cs="宋体"/>
          <w:i w:val="0"/>
          <w:iCs w:val="0"/>
          <w:color w:val="auto"/>
          <w:kern w:val="0"/>
          <w:sz w:val="28"/>
          <w:szCs w:val="28"/>
          <w:highlight w:val="none"/>
        </w:rPr>
        <w:tab/>
      </w:r>
      <w:r>
        <w:rPr>
          <w:rFonts w:hint="eastAsia" w:ascii="宋体" w:hAnsi="宋体" w:eastAsia="宋体" w:cs="宋体"/>
          <w:i w:val="0"/>
          <w:iCs w:val="0"/>
          <w:color w:val="auto"/>
          <w:kern w:val="0"/>
          <w:sz w:val="28"/>
          <w:szCs w:val="28"/>
          <w:highlight w:val="none"/>
        </w:rPr>
        <w:t xml:space="preserve">  签署日期：</w:t>
      </w:r>
    </w:p>
    <w:p>
      <w:pPr>
        <w:pStyle w:val="35"/>
        <w:snapToGrid w:val="0"/>
        <w:jc w:val="left"/>
        <w:rPr>
          <w:rFonts w:hint="eastAsia" w:ascii="宋体" w:hAnsi="宋体" w:eastAsia="宋体" w:cs="宋体"/>
          <w:i w:val="0"/>
          <w:iCs w:val="0"/>
          <w:color w:val="auto"/>
          <w:kern w:val="0"/>
          <w:sz w:val="32"/>
          <w:szCs w:val="32"/>
          <w:highlight w:val="none"/>
        </w:rPr>
      </w:pPr>
    </w:p>
    <w:p>
      <w:pPr>
        <w:widowControl/>
        <w:spacing w:beforeAutospacing="1" w:afterAutospacing="1"/>
        <w:jc w:val="left"/>
        <w:rPr>
          <w:rFonts w:hint="eastAsia" w:ascii="宋体" w:hAnsi="宋体" w:eastAsia="宋体" w:cs="宋体"/>
          <w:i w:val="0"/>
          <w:iCs w:val="0"/>
          <w:color w:val="auto"/>
          <w:kern w:val="0"/>
          <w:sz w:val="24"/>
          <w:highlight w:val="none"/>
        </w:rPr>
        <w:sectPr>
          <w:footerReference r:id="rId12" w:type="default"/>
          <w:pgSz w:w="11906" w:h="16838"/>
          <w:pgMar w:top="1440" w:right="1576" w:bottom="1440" w:left="1576" w:header="720" w:footer="720" w:gutter="0"/>
          <w:pgNumType w:fmt="numberInDash"/>
          <w:cols w:space="720" w:num="1"/>
          <w:docGrid w:type="lines" w:linePitch="312" w:charSpace="0"/>
        </w:sectPr>
      </w:pPr>
    </w:p>
    <w:p>
      <w:pPr>
        <w:adjustRightInd/>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根据</w:t>
      </w:r>
      <w:r>
        <w:rPr>
          <w:rFonts w:hint="eastAsia" w:ascii="宋体" w:hAnsi="宋体" w:eastAsia="宋体" w:cs="宋体"/>
          <w:i w:val="0"/>
          <w:iCs w:val="0"/>
          <w:color w:val="auto"/>
          <w:sz w:val="24"/>
          <w:highlight w:val="none"/>
          <w:lang w:val="en-US" w:eastAsia="zh-CN"/>
        </w:rPr>
        <w:t>杭州市余杭区</w:t>
      </w:r>
      <w:r>
        <w:rPr>
          <w:rFonts w:hint="eastAsia" w:ascii="宋体" w:hAnsi="宋体" w:eastAsia="宋体" w:cs="宋体"/>
          <w:i w:val="0"/>
          <w:iCs w:val="0"/>
          <w:color w:val="auto"/>
          <w:sz w:val="24"/>
          <w:highlight w:val="none"/>
        </w:rPr>
        <w:t>财政局与于_____年_____月_____日签订的</w:t>
      </w:r>
      <w:r>
        <w:rPr>
          <w:rFonts w:hint="eastAsia" w:ascii="宋体" w:hAnsi="宋体" w:eastAsia="宋体" w:cs="宋体"/>
          <w:i w:val="0"/>
          <w:iCs w:val="0"/>
          <w:color w:val="auto"/>
          <w:sz w:val="24"/>
          <w:highlight w:val="none"/>
          <w:lang w:val="en-US" w:eastAsia="zh-CN"/>
        </w:rPr>
        <w:t>杭州市余杭区</w:t>
      </w:r>
      <w:r>
        <w:rPr>
          <w:rFonts w:hint="eastAsia" w:ascii="宋体" w:hAnsi="宋体" w:eastAsia="宋体" w:cs="宋体"/>
          <w:i w:val="0"/>
          <w:iCs w:val="0"/>
          <w:color w:val="auto"/>
          <w:sz w:val="24"/>
          <w:highlight w:val="none"/>
        </w:rPr>
        <w:t>2023-2025年度专项债券发行准备法律专业服务采购项目《框架协议》（项目编号：</w:t>
      </w:r>
      <w:r>
        <w:rPr>
          <w:rFonts w:hint="eastAsia" w:ascii="宋体" w:hAnsi="宋体" w:eastAsia="宋体" w:cs="宋体"/>
          <w:i w:val="0"/>
          <w:iCs w:val="0"/>
          <w:color w:val="auto"/>
          <w:sz w:val="24"/>
          <w:highlight w:val="none"/>
          <w:lang w:val="en-US" w:eastAsia="zh-CN"/>
        </w:rPr>
        <w:t xml:space="preserve">   </w:t>
      </w:r>
      <w:r>
        <w:rPr>
          <w:rFonts w:hint="eastAsia" w:ascii="宋体" w:hAnsi="宋体" w:eastAsia="宋体" w:cs="宋体"/>
          <w:i w:val="0"/>
          <w:iCs w:val="0"/>
          <w:color w:val="auto"/>
          <w:sz w:val="24"/>
          <w:highlight w:val="none"/>
        </w:rPr>
        <w:t>）要求，并依照《中华人民共和国民法典》等有关法律、行政法规的规定，在平等、公平、诚实和信用的原则下，经乙方与甲方____ 协商一致，签订以下条款并遵照执行。</w:t>
      </w:r>
    </w:p>
    <w:p>
      <w:pPr>
        <w:snapToGrid w:val="0"/>
        <w:spacing w:line="360" w:lineRule="auto"/>
        <w:ind w:firstLine="482" w:firstLineChars="200"/>
        <w:rPr>
          <w:rFonts w:hint="eastAsia" w:ascii="宋体" w:hAnsi="宋体" w:eastAsia="宋体" w:cs="宋体"/>
          <w:b/>
          <w:i w:val="0"/>
          <w:iCs w:val="0"/>
          <w:color w:val="auto"/>
          <w:kern w:val="0"/>
          <w:sz w:val="24"/>
          <w:highlight w:val="none"/>
        </w:rPr>
      </w:pPr>
      <w:r>
        <w:rPr>
          <w:rFonts w:hint="eastAsia" w:ascii="宋体" w:hAnsi="宋体" w:eastAsia="宋体" w:cs="宋体"/>
          <w:b/>
          <w:i w:val="0"/>
          <w:iCs w:val="0"/>
          <w:color w:val="auto"/>
          <w:kern w:val="0"/>
          <w:sz w:val="24"/>
          <w:highlight w:val="none"/>
        </w:rPr>
        <w:t>一、</w:t>
      </w:r>
      <w:r>
        <w:rPr>
          <w:rStyle w:val="977"/>
          <w:rFonts w:hint="eastAsia" w:ascii="宋体" w:hAnsi="宋体" w:eastAsia="宋体" w:cs="宋体"/>
          <w:b/>
          <w:i w:val="0"/>
          <w:iCs w:val="0"/>
          <w:color w:val="auto"/>
          <w:kern w:val="0"/>
          <w:sz w:val="24"/>
          <w:highlight w:val="none"/>
        </w:rPr>
        <w:t>服务清单</w:t>
      </w:r>
      <w:r>
        <w:rPr>
          <w:rStyle w:val="977"/>
          <w:rFonts w:hint="eastAsia" w:ascii="宋体" w:hAnsi="宋体" w:eastAsia="宋体" w:cs="宋体"/>
          <w:b/>
          <w:i w:val="0"/>
          <w:iCs w:val="0"/>
          <w:color w:val="auto"/>
          <w:sz w:val="24"/>
          <w:highlight w:val="none"/>
        </w:rPr>
        <w:t>及单价</w:t>
      </w:r>
    </w:p>
    <w:tbl>
      <w:tblPr>
        <w:tblStyle w:val="64"/>
        <w:tblW w:w="8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
        <w:gridCol w:w="6140"/>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884"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序号</w:t>
            </w:r>
          </w:p>
        </w:tc>
        <w:tc>
          <w:tcPr>
            <w:tcW w:w="6140"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项目类型</w:t>
            </w:r>
          </w:p>
        </w:tc>
        <w:tc>
          <w:tcPr>
            <w:tcW w:w="1613"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spacing w:line="360" w:lineRule="auto"/>
              <w:jc w:val="center"/>
              <w:rPr>
                <w:rFonts w:hint="eastAsia" w:ascii="宋体" w:hAnsi="宋体" w:eastAsia="宋体" w:cs="宋体"/>
                <w:i w:val="0"/>
                <w:iCs w:val="0"/>
                <w:color w:val="auto"/>
                <w:sz w:val="24"/>
                <w:highlight w:val="none"/>
              </w:rPr>
            </w:pPr>
            <w:r>
              <w:rPr>
                <w:rStyle w:val="977"/>
                <w:rFonts w:hint="eastAsia" w:ascii="宋体" w:hAnsi="宋体" w:eastAsia="宋体" w:cs="宋体"/>
                <w:bCs/>
                <w:i w:val="0"/>
                <w:iCs w:val="0"/>
                <w:color w:val="auto"/>
                <w:sz w:val="24"/>
                <w:highlight w:val="none"/>
              </w:rPr>
              <w:t>协议单价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3" w:hRule="exact"/>
          <w:jc w:val="center"/>
        </w:trPr>
        <w:tc>
          <w:tcPr>
            <w:tcW w:w="884"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一</w:t>
            </w:r>
          </w:p>
        </w:tc>
        <w:tc>
          <w:tcPr>
            <w:tcW w:w="6140"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出具加盖第三方中介机构公章的法律意见书并首次成功发行专项债的项目</w:t>
            </w:r>
          </w:p>
        </w:tc>
        <w:tc>
          <w:tcPr>
            <w:tcW w:w="1613"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万元/个</w:t>
            </w:r>
          </w:p>
        </w:tc>
      </w:tr>
    </w:tbl>
    <w:p>
      <w:pPr>
        <w:pStyle w:val="565"/>
        <w:numPr>
          <w:ilvl w:val="0"/>
          <w:numId w:val="8"/>
        </w:numPr>
        <w:spacing w:line="360" w:lineRule="auto"/>
        <w:ind w:firstLine="482" w:firstLineChars="200"/>
        <w:rPr>
          <w:rStyle w:val="977"/>
          <w:rFonts w:hint="eastAsia" w:ascii="宋体" w:hAnsi="宋体" w:eastAsia="宋体" w:cs="宋体"/>
          <w:b/>
          <w:bCs/>
          <w:i w:val="0"/>
          <w:iCs w:val="0"/>
          <w:color w:val="auto"/>
          <w:sz w:val="24"/>
          <w:szCs w:val="24"/>
          <w:highlight w:val="none"/>
        </w:rPr>
      </w:pPr>
      <w:r>
        <w:rPr>
          <w:rStyle w:val="977"/>
          <w:rFonts w:hint="eastAsia" w:ascii="宋体" w:hAnsi="宋体" w:eastAsia="宋体" w:cs="宋体"/>
          <w:b/>
          <w:bCs/>
          <w:i w:val="0"/>
          <w:iCs w:val="0"/>
          <w:color w:val="auto"/>
          <w:sz w:val="24"/>
          <w:szCs w:val="24"/>
          <w:highlight w:val="none"/>
        </w:rPr>
        <w:t>对已出具法律意见书但未发行成功的项目按</w:t>
      </w:r>
      <w:r>
        <w:rPr>
          <w:rFonts w:hint="eastAsia" w:ascii="宋体" w:hAnsi="宋体" w:eastAsia="宋体" w:cs="宋体"/>
          <w:b/>
          <w:bCs/>
          <w:i w:val="0"/>
          <w:iCs w:val="0"/>
          <w:color w:val="auto"/>
          <w:kern w:val="0"/>
          <w:sz w:val="24"/>
          <w:highlight w:val="none"/>
        </w:rPr>
        <w:t>中标价的</w:t>
      </w:r>
      <w:r>
        <w:rPr>
          <w:rFonts w:hint="eastAsia" w:ascii="宋体" w:hAnsi="宋体" w:eastAsia="宋体" w:cs="宋体"/>
          <w:b/>
          <w:bCs/>
          <w:i w:val="0"/>
          <w:iCs w:val="0"/>
          <w:color w:val="auto"/>
          <w:kern w:val="0"/>
          <w:sz w:val="24"/>
          <w:highlight w:val="none"/>
          <w:lang w:val="en-US" w:eastAsia="zh-CN"/>
        </w:rPr>
        <w:t>20</w:t>
      </w:r>
      <w:r>
        <w:rPr>
          <w:rFonts w:hint="eastAsia" w:ascii="宋体" w:hAnsi="宋体" w:eastAsia="宋体" w:cs="宋体"/>
          <w:b/>
          <w:bCs/>
          <w:i w:val="0"/>
          <w:iCs w:val="0"/>
          <w:color w:val="auto"/>
          <w:kern w:val="0"/>
          <w:sz w:val="24"/>
          <w:highlight w:val="none"/>
        </w:rPr>
        <w:t>%计算收费</w:t>
      </w:r>
      <w:r>
        <w:rPr>
          <w:rFonts w:hint="eastAsia" w:ascii="宋体" w:hAnsi="宋体" w:eastAsia="宋体" w:cs="宋体"/>
          <w:b/>
          <w:bCs/>
          <w:i w:val="0"/>
          <w:iCs w:val="0"/>
          <w:color w:val="auto"/>
          <w:kern w:val="0"/>
          <w:sz w:val="24"/>
          <w:highlight w:val="none"/>
          <w:lang w:eastAsia="zh-CN"/>
        </w:rPr>
        <w:t>。</w:t>
      </w:r>
      <w:r>
        <w:rPr>
          <w:rFonts w:hint="eastAsia" w:ascii="宋体" w:hAnsi="宋体" w:eastAsia="宋体" w:cs="宋体"/>
          <w:b/>
          <w:bCs/>
          <w:i w:val="0"/>
          <w:iCs w:val="0"/>
          <w:color w:val="auto"/>
          <w:kern w:val="0"/>
          <w:sz w:val="24"/>
          <w:highlight w:val="none"/>
          <w:lang w:val="en-US" w:eastAsia="zh-CN"/>
        </w:rPr>
        <w:t>发行成功的专项债项目后续再次发行成功，重新出具法律意见书的，按中标价的20%计算收费</w:t>
      </w:r>
      <w:r>
        <w:rPr>
          <w:rStyle w:val="977"/>
          <w:rFonts w:hint="eastAsia" w:ascii="宋体" w:hAnsi="宋体" w:eastAsia="宋体" w:cs="宋体"/>
          <w:b/>
          <w:bCs/>
          <w:i w:val="0"/>
          <w:iCs w:val="0"/>
          <w:color w:val="auto"/>
          <w:sz w:val="24"/>
          <w:szCs w:val="24"/>
          <w:highlight w:val="none"/>
        </w:rPr>
        <w:t>，对该发行批次该项目的收费不得高于中标价。</w:t>
      </w:r>
    </w:p>
    <w:p>
      <w:pPr>
        <w:pStyle w:val="565"/>
        <w:numPr>
          <w:ilvl w:val="0"/>
          <w:numId w:val="8"/>
        </w:numPr>
        <w:spacing w:line="360" w:lineRule="auto"/>
        <w:ind w:firstLine="480" w:firstLineChars="200"/>
        <w:rPr>
          <w:rStyle w:val="977"/>
          <w:rFonts w:hint="eastAsia" w:ascii="宋体" w:hAnsi="宋体" w:eastAsia="宋体" w:cs="宋体"/>
          <w:i w:val="0"/>
          <w:iCs w:val="0"/>
          <w:color w:val="auto"/>
          <w:sz w:val="24"/>
          <w:szCs w:val="24"/>
          <w:highlight w:val="none"/>
        </w:rPr>
      </w:pPr>
      <w:r>
        <w:rPr>
          <w:rStyle w:val="977"/>
          <w:rFonts w:hint="eastAsia" w:ascii="宋体" w:hAnsi="宋体" w:eastAsia="宋体" w:cs="宋体"/>
          <w:i w:val="0"/>
          <w:iCs w:val="0"/>
          <w:color w:val="auto"/>
          <w:sz w:val="24"/>
          <w:szCs w:val="24"/>
          <w:highlight w:val="none"/>
        </w:rPr>
        <w:t>以上入围单价包含所需的一切费用。</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en-US" w:eastAsia="zh-CN"/>
        </w:rPr>
        <w:t>3</w:t>
      </w:r>
      <w:r>
        <w:rPr>
          <w:rFonts w:hint="eastAsia" w:ascii="宋体" w:hAnsi="宋体" w:eastAsia="宋体" w:cs="宋体"/>
          <w:i w:val="0"/>
          <w:iCs w:val="0"/>
          <w:color w:val="auto"/>
          <w:kern w:val="0"/>
          <w:sz w:val="24"/>
          <w:highlight w:val="none"/>
        </w:rPr>
        <w:t>.服务数量：服务期内，具体服务量在实际需要量为准。甲方不保证最低供应数量或金额。</w:t>
      </w:r>
    </w:p>
    <w:p>
      <w:pPr>
        <w:spacing w:line="360" w:lineRule="auto"/>
        <w:ind w:firstLine="480" w:firstLineChars="200"/>
        <w:rPr>
          <w:rFonts w:hint="eastAsia" w:ascii="宋体" w:hAnsi="宋体" w:eastAsia="宋体" w:cs="宋体"/>
          <w:i w:val="0"/>
          <w:iCs w:val="0"/>
          <w:color w:val="auto"/>
          <w:sz w:val="24"/>
          <w:highlight w:val="none"/>
        </w:rPr>
      </w:pPr>
      <w:r>
        <w:rPr>
          <w:rStyle w:val="977"/>
          <w:rFonts w:hint="eastAsia" w:ascii="宋体" w:hAnsi="宋体" w:eastAsia="宋体" w:cs="宋体"/>
          <w:bCs/>
          <w:i w:val="0"/>
          <w:iCs w:val="0"/>
          <w:color w:val="auto"/>
          <w:kern w:val="0"/>
          <w:sz w:val="24"/>
          <w:szCs w:val="24"/>
          <w:highlight w:val="none"/>
          <w:lang w:val="en-US" w:eastAsia="zh-CN"/>
        </w:rPr>
        <w:t>4.</w:t>
      </w:r>
      <w:r>
        <w:rPr>
          <w:rFonts w:hint="eastAsia" w:ascii="宋体" w:hAnsi="宋体" w:eastAsia="宋体" w:cs="宋体"/>
          <w:i w:val="0"/>
          <w:iCs w:val="0"/>
          <w:color w:val="auto"/>
          <w:sz w:val="24"/>
          <w:highlight w:val="none"/>
        </w:rPr>
        <w:t>本项目确定第二阶段成交供应商的方式采用：</w:t>
      </w:r>
    </w:p>
    <w:p>
      <w:pPr>
        <w:spacing w:line="360" w:lineRule="auto"/>
        <w:ind w:firstLine="482" w:firstLineChars="200"/>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sym w:font="Wingdings 2" w:char="00A3"/>
      </w:r>
      <w:r>
        <w:rPr>
          <w:rFonts w:hint="eastAsia" w:ascii="宋体" w:hAnsi="宋体" w:eastAsia="宋体" w:cs="宋体"/>
          <w:b/>
          <w:bCs/>
          <w:i w:val="0"/>
          <w:iCs w:val="0"/>
          <w:color w:val="auto"/>
          <w:sz w:val="24"/>
          <w:highlight w:val="none"/>
        </w:rPr>
        <w:t>直接选定方式。由征集人或者服务对象依据入围产品价格、质量以及服务便利性、用户评价等因素，从入围供应商中直接选定。</w:t>
      </w:r>
    </w:p>
    <w:p>
      <w:pPr>
        <w:spacing w:line="360" w:lineRule="auto"/>
        <w:ind w:firstLine="482" w:firstLineChars="200"/>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sym w:font="Wingdings 2" w:char="00A3"/>
      </w:r>
      <w:r>
        <w:rPr>
          <w:rFonts w:hint="eastAsia" w:ascii="宋体" w:hAnsi="宋体" w:eastAsia="宋体" w:cs="宋体"/>
          <w:b/>
          <w:bCs/>
          <w:i w:val="0"/>
          <w:iCs w:val="0"/>
          <w:color w:val="auto"/>
          <w:sz w:val="24"/>
          <w:highlight w:val="none"/>
        </w:rPr>
        <w:t>二次竞价方式。以框架协议约定的入围产品、采购合同文本等为依据，以协议价格为最高限价，征集人明确第二阶段竞价需求，从入围供应商中选择所有符合竞价需求的供应商参与二次竞价，确定报价最低的为成交供应商的方式。</w:t>
      </w:r>
    </w:p>
    <w:p>
      <w:pPr>
        <w:pStyle w:val="35"/>
        <w:spacing w:line="360" w:lineRule="auto"/>
        <w:ind w:firstLine="480" w:firstLineChars="200"/>
        <w:rPr>
          <w:rStyle w:val="977"/>
          <w:rFonts w:hint="eastAsia" w:ascii="宋体" w:hAnsi="宋体" w:eastAsia="宋体" w:cs="宋体"/>
          <w:b/>
          <w:bCs/>
          <w:i w:val="0"/>
          <w:iCs w:val="0"/>
          <w:color w:val="auto"/>
          <w:kern w:val="0"/>
          <w:sz w:val="24"/>
          <w:szCs w:val="24"/>
          <w:highlight w:val="none"/>
        </w:rPr>
      </w:pPr>
      <w:r>
        <w:rPr>
          <w:rStyle w:val="977"/>
          <w:rFonts w:hint="eastAsia" w:ascii="宋体" w:hAnsi="宋体" w:eastAsia="宋体" w:cs="宋体"/>
          <w:bCs/>
          <w:i w:val="0"/>
          <w:iCs w:val="0"/>
          <w:color w:val="auto"/>
          <w:kern w:val="0"/>
          <w:sz w:val="24"/>
          <w:szCs w:val="24"/>
          <w:highlight w:val="none"/>
        </w:rPr>
        <w:t>二、服务内容及要求</w:t>
      </w:r>
      <w:r>
        <w:rPr>
          <w:rStyle w:val="977"/>
          <w:rFonts w:hint="eastAsia" w:ascii="宋体" w:hAnsi="宋体" w:eastAsia="宋体" w:cs="宋体"/>
          <w:b/>
          <w:bCs/>
          <w:i w:val="0"/>
          <w:iCs w:val="0"/>
          <w:color w:val="auto"/>
          <w:kern w:val="0"/>
          <w:sz w:val="24"/>
          <w:szCs w:val="24"/>
          <w:highlight w:val="none"/>
        </w:rPr>
        <w:t>：</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（一）服务内容</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1.在债券需求申报阶段，律师事务所需审查专项债券项目有关主体适格、基本信息、资金来源、资金投向、收费内容、收费政策依据等所涉法律事项的合法合规情况。</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2.在债券发行准备阶段，律师事务所需协助</w:t>
      </w:r>
      <w:r>
        <w:rPr>
          <w:rFonts w:hint="eastAsia" w:ascii="宋体" w:hAnsi="宋体" w:eastAsia="宋体" w:cs="宋体"/>
          <w:i w:val="0"/>
          <w:iCs w:val="0"/>
          <w:color w:val="auto"/>
          <w:sz w:val="24"/>
          <w:highlight w:val="none"/>
          <w:lang w:eastAsia="zh-CN"/>
        </w:rPr>
        <w:t>征集人</w:t>
      </w:r>
      <w:r>
        <w:rPr>
          <w:rFonts w:hint="eastAsia" w:ascii="宋体" w:hAnsi="宋体" w:eastAsia="宋体" w:cs="宋体"/>
          <w:i w:val="0"/>
          <w:iCs w:val="0"/>
          <w:color w:val="auto"/>
          <w:sz w:val="24"/>
          <w:highlight w:val="none"/>
        </w:rPr>
        <w:t>进行专项债券发行申请，对申请政府专项债券的项目提供独立、专业的法律服务，在规定时间内出具加盖公章的《法律意见书》正式稿。</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3.律师事务所需与财政部门招选的会计师事务所密切合作、相互配合，协助对方及时出具债券发行所需文本材料。</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4.现场参与财政部门组织的专项债券项目联审工作。</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5.财政部门要求的其他专项债券发行前期准备工作。</w:t>
      </w:r>
    </w:p>
    <w:p>
      <w:pPr>
        <w:spacing w:line="360" w:lineRule="auto"/>
        <w:ind w:firstLine="48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（二）服务要求</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专项债券发行必须符合相关法律、行政法规和规范性文件的要求。投标人在中标后应在人员安排上及时给予保障，负责人与项目组主要成员必须是本单位人员，且投标文件中已确定的人员名单，在服务期内原则上不得更换，如有调整需征得</w:t>
      </w:r>
      <w:r>
        <w:rPr>
          <w:rFonts w:hint="eastAsia" w:ascii="宋体" w:hAnsi="宋体" w:eastAsia="宋体" w:cs="宋体"/>
          <w:i w:val="0"/>
          <w:iCs w:val="0"/>
          <w:color w:val="auto"/>
          <w:sz w:val="24"/>
          <w:highlight w:val="none"/>
          <w:lang w:eastAsia="zh-CN"/>
        </w:rPr>
        <w:t>征集人</w:t>
      </w:r>
      <w:r>
        <w:rPr>
          <w:rFonts w:hint="eastAsia" w:ascii="宋体" w:hAnsi="宋体" w:eastAsia="宋体" w:cs="宋体"/>
          <w:i w:val="0"/>
          <w:iCs w:val="0"/>
          <w:color w:val="auto"/>
          <w:sz w:val="24"/>
          <w:highlight w:val="none"/>
        </w:rPr>
        <w:t>的同意。在接到</w:t>
      </w:r>
      <w:r>
        <w:rPr>
          <w:rFonts w:hint="eastAsia" w:ascii="宋体" w:hAnsi="宋体" w:eastAsia="宋体" w:cs="宋体"/>
          <w:i w:val="0"/>
          <w:iCs w:val="0"/>
          <w:color w:val="auto"/>
          <w:sz w:val="24"/>
          <w:highlight w:val="none"/>
          <w:lang w:eastAsia="zh-CN"/>
        </w:rPr>
        <w:t>征集人</w:t>
      </w:r>
      <w:r>
        <w:rPr>
          <w:rFonts w:hint="eastAsia" w:ascii="宋体" w:hAnsi="宋体" w:eastAsia="宋体" w:cs="宋体"/>
          <w:i w:val="0"/>
          <w:iCs w:val="0"/>
          <w:color w:val="auto"/>
          <w:sz w:val="24"/>
          <w:highlight w:val="none"/>
        </w:rPr>
        <w:t>委托任务后应及时开展工作并出具各种专业报告。专业报告包括纸质和电子版两种形式，数量根据</w:t>
      </w:r>
      <w:r>
        <w:rPr>
          <w:rFonts w:hint="eastAsia" w:ascii="宋体" w:hAnsi="宋体" w:eastAsia="宋体" w:cs="宋体"/>
          <w:i w:val="0"/>
          <w:iCs w:val="0"/>
          <w:color w:val="auto"/>
          <w:sz w:val="24"/>
          <w:highlight w:val="none"/>
          <w:lang w:eastAsia="zh-CN"/>
        </w:rPr>
        <w:t>征集人</w:t>
      </w:r>
      <w:r>
        <w:rPr>
          <w:rFonts w:hint="eastAsia" w:ascii="宋体" w:hAnsi="宋体" w:eastAsia="宋体" w:cs="宋体"/>
          <w:i w:val="0"/>
          <w:iCs w:val="0"/>
          <w:color w:val="auto"/>
          <w:sz w:val="24"/>
          <w:highlight w:val="none"/>
        </w:rPr>
        <w:t>在发债过程中的实际需要而定。</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委托方有权对中标机构的服务质量和完成时效进行考核评价，评价内容包括及时性、准确性、完整性、合规性和配合度等，视评价情况酌情扣减相应项目的费用。</w:t>
      </w:r>
    </w:p>
    <w:p>
      <w:pPr>
        <w:pStyle w:val="35"/>
        <w:numPr>
          <w:ilvl w:val="0"/>
          <w:numId w:val="9"/>
        </w:numPr>
        <w:snapToGrid w:val="0"/>
        <w:spacing w:line="360" w:lineRule="auto"/>
        <w:ind w:firstLine="482" w:firstLineChars="0"/>
        <w:jc w:val="left"/>
        <w:rPr>
          <w:rStyle w:val="977"/>
          <w:rFonts w:hint="eastAsia" w:ascii="宋体" w:hAnsi="宋体" w:eastAsia="宋体" w:cs="宋体"/>
          <w:b/>
          <w:bCs w:val="0"/>
          <w:i w:val="0"/>
          <w:iCs w:val="0"/>
          <w:color w:val="auto"/>
          <w:kern w:val="0"/>
          <w:sz w:val="24"/>
          <w:szCs w:val="24"/>
          <w:highlight w:val="none"/>
        </w:rPr>
      </w:pPr>
      <w:r>
        <w:rPr>
          <w:rStyle w:val="977"/>
          <w:rFonts w:hint="eastAsia" w:ascii="宋体" w:hAnsi="宋体" w:eastAsia="宋体" w:cs="宋体"/>
          <w:b/>
          <w:bCs w:val="0"/>
          <w:i w:val="0"/>
          <w:iCs w:val="0"/>
          <w:color w:val="auto"/>
          <w:kern w:val="0"/>
          <w:sz w:val="24"/>
          <w:szCs w:val="24"/>
          <w:highlight w:val="none"/>
        </w:rPr>
        <w:t>服务期限：</w:t>
      </w:r>
    </w:p>
    <w:p>
      <w:pPr>
        <w:pStyle w:val="35"/>
        <w:numPr>
          <w:ilvl w:val="-1"/>
          <w:numId w:val="0"/>
        </w:numPr>
        <w:snapToGrid w:val="0"/>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2023-2025年，总服务期限不超过24个月，即二年。</w:t>
      </w:r>
      <w:r>
        <w:rPr>
          <w:rFonts w:hint="eastAsia" w:ascii="宋体" w:hAnsi="宋体" w:eastAsia="宋体" w:cs="宋体"/>
          <w:i w:val="0"/>
          <w:iCs w:val="0"/>
          <w:color w:val="auto"/>
          <w:sz w:val="24"/>
          <w:highlight w:val="none"/>
          <w:lang w:eastAsia="zh-CN"/>
        </w:rPr>
        <w:t>自</w:t>
      </w:r>
      <w:r>
        <w:rPr>
          <w:rFonts w:hint="eastAsia" w:ascii="宋体" w:hAnsi="宋体" w:eastAsia="宋体" w:cs="宋体"/>
          <w:i w:val="0"/>
          <w:iCs w:val="0"/>
          <w:color w:val="auto"/>
          <w:sz w:val="24"/>
          <w:highlight w:val="none"/>
          <w:lang w:val="en-US" w:eastAsia="zh-CN"/>
        </w:rPr>
        <w:t xml:space="preserve">  年  月  日至  年  月  日止</w:t>
      </w:r>
      <w:r>
        <w:rPr>
          <w:rFonts w:hint="eastAsia" w:ascii="宋体" w:hAnsi="宋体" w:eastAsia="宋体" w:cs="宋体"/>
          <w:i w:val="0"/>
          <w:iCs w:val="0"/>
          <w:color w:val="auto"/>
          <w:sz w:val="24"/>
          <w:highlight w:val="none"/>
        </w:rPr>
        <w:t>。合同每年一签，每年协议期满，根据考核情况及相关政策不变的情况下，可协商续签下一年度服务合同。甲方也有权重新组织采购。 续签合同期间的专业服务费收费标准维持不变。</w:t>
      </w:r>
    </w:p>
    <w:p>
      <w:pPr>
        <w:pStyle w:val="247"/>
        <w:spacing w:line="360" w:lineRule="auto"/>
        <w:ind w:firstLine="482"/>
        <w:rPr>
          <w:rFonts w:hint="eastAsia" w:ascii="宋体" w:hAnsi="宋体" w:eastAsia="宋体" w:cs="宋体"/>
          <w:b/>
          <w:i w:val="0"/>
          <w:iCs w:val="0"/>
          <w:color w:val="auto"/>
          <w:kern w:val="2"/>
          <w:szCs w:val="24"/>
          <w:highlight w:val="none"/>
        </w:rPr>
      </w:pPr>
      <w:r>
        <w:rPr>
          <w:rFonts w:hint="eastAsia" w:ascii="宋体" w:hAnsi="宋体" w:eastAsia="宋体" w:cs="宋体"/>
          <w:b/>
          <w:bCs/>
          <w:i w:val="0"/>
          <w:iCs w:val="0"/>
          <w:color w:val="auto"/>
          <w:highlight w:val="none"/>
        </w:rPr>
        <w:t>四、</w:t>
      </w:r>
      <w:r>
        <w:rPr>
          <w:rFonts w:hint="eastAsia" w:ascii="宋体" w:hAnsi="宋体" w:eastAsia="宋体" w:cs="宋体"/>
          <w:b/>
          <w:i w:val="0"/>
          <w:iCs w:val="0"/>
          <w:color w:val="auto"/>
          <w:kern w:val="2"/>
          <w:szCs w:val="24"/>
          <w:highlight w:val="none"/>
        </w:rPr>
        <w:t>甲方责任与义务</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甲方的责任是提出项目服务的任务、工期要求等相关事项，协调工作过程中出现的有关问题。甲方的义务是对乙方的工作过程与结果进行监督，并对乙方的服务质量进行检查复核。</w:t>
      </w:r>
    </w:p>
    <w:p>
      <w:pPr>
        <w:pStyle w:val="247"/>
        <w:spacing w:line="360" w:lineRule="auto"/>
        <w:ind w:firstLine="482"/>
        <w:rPr>
          <w:rFonts w:hint="eastAsia" w:ascii="宋体" w:hAnsi="宋体" w:eastAsia="宋体" w:cs="宋体"/>
          <w:b/>
          <w:i w:val="0"/>
          <w:iCs w:val="0"/>
          <w:color w:val="auto"/>
          <w:kern w:val="2"/>
          <w:szCs w:val="24"/>
          <w:highlight w:val="none"/>
        </w:rPr>
      </w:pPr>
      <w:r>
        <w:rPr>
          <w:rFonts w:hint="eastAsia" w:ascii="宋体" w:hAnsi="宋体" w:eastAsia="宋体" w:cs="宋体"/>
          <w:b/>
          <w:i w:val="0"/>
          <w:iCs w:val="0"/>
          <w:color w:val="auto"/>
          <w:kern w:val="2"/>
          <w:szCs w:val="24"/>
          <w:highlight w:val="none"/>
        </w:rPr>
        <w:t>五、乙方责任与义务</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1.乙方及其委派的工作人员应勤勉尽责，严格遵守执业规范和职业道德，按规定和约定履行义务，并就其自身的工作成果承担相应的责任。</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2.在政府专项债券发行过程中，乙方不得损害发行人的利益，也不得以欺诈、操纵市场等行为获取不正当利益。</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3.乙方出具的各种专业报告必须符合政府专项债券发行要求和相关法律法规，以及浙江省财政厅的申报要求；</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4.乙方及其委派的工作人员应履行保密义务，对执业过程中所获得的相关信息予以保密，不得私自对外泄露；</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5.乙方应与其他中介机构密切配合，共同推进债券发行工作，不得推诿、敷衍、拖延；</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6、服务响应：</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（1）乙方在入围后应在人员安排上给予及时保障，负责人与项目组主要成员必须是本单位人员，且响应文件中已确定的人员名单，在服务期内原则上不得更换，如有调整需征得甲方的同意。</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（2）在接到甲方委托任务后应及时开展工作并出具各种专业报告。专业报告包括纸质和电子版两种形式，数量根据甲方在发债过程中的实际需要量而定。</w:t>
      </w:r>
    </w:p>
    <w:p>
      <w:pPr>
        <w:autoSpaceDE w:val="0"/>
        <w:autoSpaceDN w:val="0"/>
        <w:spacing w:line="360" w:lineRule="auto"/>
        <w:ind w:firstLine="482" w:firstLineChars="20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六、结算方式</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1.专业服务费一年结算一次，于每年度12月15日前结算本年度的应付专业服务费，结算金额经双方确认后20个工作日内完成支出。</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rPr>
        <w:t>.由于</w:t>
      </w:r>
      <w:r>
        <w:rPr>
          <w:rFonts w:hint="eastAsia" w:ascii="宋体" w:hAnsi="宋体" w:eastAsia="宋体" w:cs="宋体"/>
          <w:i w:val="0"/>
          <w:iCs w:val="0"/>
          <w:color w:val="auto"/>
          <w:kern w:val="0"/>
          <w:sz w:val="24"/>
          <w:highlight w:val="none"/>
          <w:lang w:val="en-US" w:eastAsia="zh-CN"/>
        </w:rPr>
        <w:t>乙方</w:t>
      </w:r>
      <w:r>
        <w:rPr>
          <w:rFonts w:hint="eastAsia" w:ascii="宋体" w:hAnsi="宋体" w:eastAsia="宋体" w:cs="宋体"/>
          <w:i w:val="0"/>
          <w:iCs w:val="0"/>
          <w:color w:val="auto"/>
          <w:kern w:val="0"/>
          <w:sz w:val="24"/>
          <w:highlight w:val="none"/>
        </w:rPr>
        <w:t>原因致使本次政府专项债券发行失败的，</w:t>
      </w:r>
      <w:r>
        <w:rPr>
          <w:rFonts w:hint="eastAsia" w:ascii="宋体" w:hAnsi="宋体" w:eastAsia="宋体" w:cs="宋体"/>
          <w:i w:val="0"/>
          <w:iCs w:val="0"/>
          <w:color w:val="auto"/>
          <w:kern w:val="0"/>
          <w:sz w:val="24"/>
          <w:highlight w:val="none"/>
          <w:lang w:val="en-US" w:eastAsia="zh-CN"/>
        </w:rPr>
        <w:t>甲方</w:t>
      </w:r>
      <w:r>
        <w:rPr>
          <w:rFonts w:hint="eastAsia" w:ascii="宋体" w:hAnsi="宋体" w:eastAsia="宋体" w:cs="宋体"/>
          <w:i w:val="0"/>
          <w:iCs w:val="0"/>
          <w:color w:val="auto"/>
          <w:kern w:val="0"/>
          <w:sz w:val="24"/>
          <w:highlight w:val="none"/>
        </w:rPr>
        <w:t>有权拒付（或追回已付的）专业服务费；给</w:t>
      </w:r>
      <w:r>
        <w:rPr>
          <w:rFonts w:hint="eastAsia" w:ascii="宋体" w:hAnsi="宋体" w:eastAsia="宋体" w:cs="宋体"/>
          <w:i w:val="0"/>
          <w:iCs w:val="0"/>
          <w:color w:val="auto"/>
          <w:kern w:val="0"/>
          <w:sz w:val="24"/>
          <w:highlight w:val="none"/>
          <w:lang w:val="en-US" w:eastAsia="zh-CN"/>
        </w:rPr>
        <w:t>甲方</w:t>
      </w:r>
      <w:r>
        <w:rPr>
          <w:rFonts w:hint="eastAsia" w:ascii="宋体" w:hAnsi="宋体" w:eastAsia="宋体" w:cs="宋体"/>
          <w:i w:val="0"/>
          <w:iCs w:val="0"/>
          <w:color w:val="auto"/>
          <w:kern w:val="0"/>
          <w:sz w:val="24"/>
          <w:highlight w:val="none"/>
        </w:rPr>
        <w:t>造成损失的，应予以赔偿。</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en-US" w:eastAsia="zh-CN"/>
        </w:rPr>
        <w:t>3</w:t>
      </w:r>
      <w:r>
        <w:rPr>
          <w:rFonts w:hint="eastAsia" w:ascii="宋体" w:hAnsi="宋体" w:eastAsia="宋体" w:cs="宋体"/>
          <w:i w:val="0"/>
          <w:iCs w:val="0"/>
          <w:color w:val="auto"/>
          <w:kern w:val="0"/>
          <w:sz w:val="24"/>
          <w:highlight w:val="none"/>
        </w:rPr>
        <w:t>.</w:t>
      </w:r>
      <w:r>
        <w:rPr>
          <w:rFonts w:hint="eastAsia" w:ascii="宋体" w:hAnsi="宋体" w:eastAsia="宋体" w:cs="宋体"/>
          <w:i w:val="0"/>
          <w:iCs w:val="0"/>
          <w:color w:val="auto"/>
          <w:kern w:val="0"/>
          <w:sz w:val="24"/>
          <w:highlight w:val="none"/>
          <w:lang w:val="en-US" w:eastAsia="zh-CN"/>
        </w:rPr>
        <w:t>乙方</w:t>
      </w:r>
      <w:r>
        <w:rPr>
          <w:rFonts w:hint="eastAsia" w:ascii="宋体" w:hAnsi="宋体" w:eastAsia="宋体" w:cs="宋体"/>
          <w:i w:val="0"/>
          <w:iCs w:val="0"/>
          <w:color w:val="auto"/>
          <w:kern w:val="0"/>
          <w:sz w:val="24"/>
          <w:highlight w:val="none"/>
        </w:rPr>
        <w:t>办理专业服务费结算时，需出具正式税务发票。</w:t>
      </w:r>
    </w:p>
    <w:p>
      <w:pPr>
        <w:pStyle w:val="18"/>
        <w:spacing w:after="0" w:line="360" w:lineRule="auto"/>
        <w:ind w:left="0" w:leftChars="0" w:firstLine="482"/>
        <w:rPr>
          <w:rFonts w:hint="eastAsia" w:ascii="宋体" w:hAnsi="宋体" w:eastAsia="宋体" w:cs="宋体"/>
          <w:i w:val="0"/>
          <w:iCs w:val="0"/>
          <w:color w:val="auto"/>
          <w:sz w:val="24"/>
          <w:highlight w:val="none"/>
        </w:rPr>
      </w:pPr>
      <w:r>
        <w:rPr>
          <w:rFonts w:hint="eastAsia" w:ascii="宋体" w:hAnsi="宋体" w:eastAsia="宋体" w:cs="宋体"/>
          <w:b/>
          <w:bCs/>
          <w:i w:val="0"/>
          <w:iCs w:val="0"/>
          <w:color w:val="auto"/>
          <w:sz w:val="24"/>
          <w:highlight w:val="none"/>
        </w:rPr>
        <w:t>七、</w:t>
      </w:r>
      <w:r>
        <w:rPr>
          <w:rFonts w:hint="eastAsia" w:ascii="宋体" w:hAnsi="宋体" w:eastAsia="宋体" w:cs="宋体"/>
          <w:i w:val="0"/>
          <w:iCs w:val="0"/>
          <w:color w:val="auto"/>
          <w:sz w:val="24"/>
          <w:highlight w:val="none"/>
        </w:rPr>
        <w:t>双方都有责任保守所知晓的对方的商业秘密，不得向第三方泄露。任何一方违反此协议，给对方造成损失，须承担赔偿责任。</w:t>
      </w:r>
    </w:p>
    <w:p>
      <w:pPr>
        <w:snapToGrid w:val="0"/>
        <w:spacing w:line="360" w:lineRule="auto"/>
        <w:ind w:firstLine="482" w:firstLineChars="200"/>
        <w:rPr>
          <w:rFonts w:hint="eastAsia" w:ascii="宋体" w:hAnsi="宋体" w:eastAsia="宋体" w:cs="宋体"/>
          <w:i w:val="0"/>
          <w:iCs w:val="0"/>
          <w:color w:val="auto"/>
          <w:sz w:val="24"/>
          <w:highlight w:val="none"/>
        </w:rPr>
      </w:pPr>
      <w:r>
        <w:rPr>
          <w:rFonts w:hint="eastAsia" w:ascii="宋体" w:hAnsi="宋体" w:eastAsia="宋体" w:cs="宋体"/>
          <w:b/>
          <w:bCs/>
          <w:i w:val="0"/>
          <w:iCs w:val="0"/>
          <w:color w:val="auto"/>
          <w:sz w:val="24"/>
          <w:highlight w:val="none"/>
        </w:rPr>
        <w:t>八、</w:t>
      </w:r>
      <w:r>
        <w:rPr>
          <w:rFonts w:hint="eastAsia" w:ascii="宋体" w:hAnsi="宋体" w:eastAsia="宋体" w:cs="宋体"/>
          <w:i w:val="0"/>
          <w:iCs w:val="0"/>
          <w:color w:val="auto"/>
          <w:sz w:val="24"/>
          <w:highlight w:val="none"/>
        </w:rPr>
        <w:t>本协议在执行中，因乙方违约、解体或违反本协议中的有关条款，甲方有权立即终止协议。</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在执业过程中发现以下情形之一的，甲方有权更换服务单位：</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1.在投标中故意隐瞒与投标书不符的重大事实的；</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2.将中标业务转包或分包给其他律师事务所的；</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3.无法完成或拒不完成本项目约定服务内容的；</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4.在服务期间因违法、违规行为被国家有关主管部门给予重大行政处罚的；</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5.严重违反有关规定，且拒不改正的；</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6.其他严重违法、违规行为。</w:t>
      </w:r>
    </w:p>
    <w:p>
      <w:pPr>
        <w:snapToGrid w:val="0"/>
        <w:spacing w:line="360" w:lineRule="auto"/>
        <w:ind w:firstLine="482" w:firstLineChars="200"/>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九、免责条件</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1.双方任何一方由于严重火灾、水灾、台风、地震、不可遇见事故及其它双方均认可的不可抗力因素所造成的损失和影响，双方互不承担责任。</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2.受不可抗力因素影响的一方应在不可抗力发生后3天内书面告知另一方，并在事故发生后7天内，向另一方出具有效的事实证明材料。</w:t>
      </w:r>
    </w:p>
    <w:p>
      <w:pPr>
        <w:pStyle w:val="18"/>
        <w:spacing w:after="0" w:line="360" w:lineRule="auto"/>
        <w:ind w:left="0" w:leftChars="0" w:firstLine="0" w:firstLineChars="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3.如遇上级部门政策调整，本合同自动终止。</w:t>
      </w:r>
    </w:p>
    <w:p>
      <w:pPr>
        <w:pStyle w:val="35"/>
        <w:snapToGrid w:val="0"/>
        <w:spacing w:line="360" w:lineRule="auto"/>
        <w:ind w:firstLine="482" w:firstLineChars="200"/>
        <w:jc w:val="left"/>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十、合同纠纷</w:t>
      </w:r>
    </w:p>
    <w:p>
      <w:pPr>
        <w:pStyle w:val="35"/>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1.凡与本合同有关的任何纠纷，买、卖双方应通过友好协商，妥善解决。如通过协商仍不能解决时，应向甲方所在地的人民法院诉讼解决。</w:t>
      </w:r>
    </w:p>
    <w:p>
      <w:pPr>
        <w:pStyle w:val="35"/>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2.诉讼费及律师费除法院另有裁决外，由败诉方承担。</w:t>
      </w:r>
    </w:p>
    <w:p>
      <w:pPr>
        <w:pStyle w:val="35"/>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3.在诉讼期间，除正在进行诉讼的部分外，本合同其他部分应继续执行。</w:t>
      </w:r>
    </w:p>
    <w:p>
      <w:pPr>
        <w:pStyle w:val="35"/>
        <w:snapToGrid w:val="0"/>
        <w:spacing w:line="360" w:lineRule="auto"/>
        <w:ind w:firstLine="482" w:firstLineChars="20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十一、合同生效及其它</w:t>
      </w:r>
    </w:p>
    <w:p>
      <w:pPr>
        <w:pStyle w:val="35"/>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1.合同经双方法定代表人或授权代表签字并加盖单位公章后生效。</w:t>
      </w:r>
    </w:p>
    <w:p>
      <w:pPr>
        <w:pStyle w:val="35"/>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2.合同修改：甲乙双方的任何一方对合同内容提出修改，均应以书面形式通知对方，达成由双方签署的合同修改书，并经双方确认后生效。其中涉及采购采购内容修改或补充的，须经</w:t>
      </w:r>
      <w:r>
        <w:rPr>
          <w:rFonts w:hint="eastAsia" w:ascii="宋体" w:hAnsi="宋体" w:eastAsia="宋体" w:cs="宋体"/>
          <w:i w:val="0"/>
          <w:iCs w:val="0"/>
          <w:color w:val="auto"/>
          <w:sz w:val="24"/>
          <w:szCs w:val="24"/>
          <w:highlight w:val="none"/>
          <w:lang w:val="en-US" w:eastAsia="zh-CN"/>
        </w:rPr>
        <w:t>杭州市余杭区</w:t>
      </w:r>
      <w:r>
        <w:rPr>
          <w:rFonts w:hint="eastAsia" w:ascii="宋体" w:hAnsi="宋体" w:eastAsia="宋体" w:cs="宋体"/>
          <w:i w:val="0"/>
          <w:iCs w:val="0"/>
          <w:color w:val="auto"/>
          <w:sz w:val="24"/>
          <w:szCs w:val="24"/>
          <w:highlight w:val="none"/>
        </w:rPr>
        <w:t>财政局审批，并与</w:t>
      </w:r>
      <w:r>
        <w:rPr>
          <w:rFonts w:hint="eastAsia" w:ascii="宋体" w:hAnsi="宋体" w:eastAsia="宋体" w:cs="宋体"/>
          <w:i w:val="0"/>
          <w:iCs w:val="0"/>
          <w:color w:val="auto"/>
          <w:sz w:val="24"/>
          <w:szCs w:val="24"/>
          <w:highlight w:val="none"/>
          <w:lang w:val="en-US" w:eastAsia="zh-CN"/>
        </w:rPr>
        <w:t>杭州市余杭区</w:t>
      </w:r>
      <w:r>
        <w:rPr>
          <w:rFonts w:hint="eastAsia" w:ascii="宋体" w:hAnsi="宋体" w:eastAsia="宋体" w:cs="宋体"/>
          <w:i w:val="0"/>
          <w:iCs w:val="0"/>
          <w:color w:val="auto"/>
          <w:sz w:val="24"/>
          <w:szCs w:val="24"/>
          <w:highlight w:val="none"/>
        </w:rPr>
        <w:t>财政局签订书面补充协议后，方可作为主合同不可分割的一部分。</w:t>
      </w:r>
    </w:p>
    <w:p>
      <w:pPr>
        <w:pStyle w:val="35"/>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3.本项目的征集文件与乙方的响应文件均为本主合同不可分割的组成部分。</w:t>
      </w:r>
    </w:p>
    <w:p>
      <w:pPr>
        <w:pStyle w:val="35"/>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4.本合同未尽事宜，遵照《中华人民共和国民法典》有关条文执行。</w:t>
      </w:r>
    </w:p>
    <w:p>
      <w:pPr>
        <w:pStyle w:val="35"/>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5.本合同正本一式肆份，具有同等法律效力，甲、乙双方各执二份。</w:t>
      </w:r>
    </w:p>
    <w:p>
      <w:pPr>
        <w:pStyle w:val="35"/>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6.其他约定</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pPr>
        <w:pStyle w:val="35"/>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7.合同附件：考核办法。 </w:t>
      </w:r>
    </w:p>
    <w:tbl>
      <w:tblPr>
        <w:tblStyle w:val="6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5"/>
        <w:gridCol w:w="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3" w:hRule="atLeast"/>
          <w:jc w:val="center"/>
        </w:trPr>
        <w:tc>
          <w:tcPr>
            <w:tcW w:w="4705" w:type="dxa"/>
            <w:tcBorders>
              <w:top w:val="single" w:color="auto" w:sz="4" w:space="0"/>
              <w:left w:val="single" w:color="auto" w:sz="4" w:space="0"/>
              <w:right w:val="single" w:color="auto" w:sz="4" w:space="0"/>
            </w:tcBorders>
            <w:vAlign w:val="top"/>
          </w:tcPr>
          <w:p>
            <w:pPr>
              <w:spacing w:line="360" w:lineRule="auto"/>
              <w:ind w:right="-105" w:rightChars="-50"/>
              <w:jc w:val="both"/>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甲方（采购）</w:t>
            </w:r>
          </w:p>
          <w:p>
            <w:pPr>
              <w:spacing w:line="360" w:lineRule="auto"/>
              <w:ind w:left="-171"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单位名称（盖章）： </w:t>
            </w:r>
          </w:p>
          <w:p>
            <w:pPr>
              <w:spacing w:line="360" w:lineRule="auto"/>
              <w:ind w:left="-171"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单位地址： </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法定（委托）代表人</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（签字或盖章）：</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电 话：</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开户银行：</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账 号：   </w:t>
            </w:r>
          </w:p>
        </w:tc>
        <w:tc>
          <w:tcPr>
            <w:tcW w:w="4714" w:type="dxa"/>
            <w:tcBorders>
              <w:top w:val="single" w:color="auto" w:sz="4" w:space="0"/>
              <w:left w:val="single" w:color="auto" w:sz="4" w:space="0"/>
              <w:right w:val="single" w:color="auto" w:sz="4" w:space="0"/>
            </w:tcBorders>
            <w:vAlign w:val="top"/>
          </w:tcPr>
          <w:p>
            <w:pPr>
              <w:spacing w:line="360" w:lineRule="auto"/>
              <w:ind w:right="-105" w:rightChars="-50"/>
              <w:jc w:val="both"/>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乙方（服务）</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单位名称（盖章）： </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单位地址： </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法定（委托）代表人 </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（签字或盖章）：</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电 话：</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开户银行： </w:t>
            </w:r>
          </w:p>
          <w:p>
            <w:pPr>
              <w:spacing w:line="360" w:lineRule="auto"/>
              <w:ind w:left="-170" w:right="-105" w:rightChars="-50" w:firstLine="163" w:firstLineChars="6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账 号：  </w:t>
            </w:r>
          </w:p>
        </w:tc>
      </w:tr>
    </w:tbl>
    <w:p>
      <w:pPr>
        <w:spacing w:line="360" w:lineRule="auto"/>
        <w:rPr>
          <w:rFonts w:hint="eastAsia" w:ascii="宋体" w:hAnsi="宋体" w:eastAsia="宋体" w:cs="宋体"/>
          <w:b/>
          <w:bCs/>
          <w:i w:val="0"/>
          <w:iCs w:val="0"/>
          <w:color w:val="auto"/>
          <w:sz w:val="28"/>
          <w:szCs w:val="28"/>
          <w:highlight w:val="none"/>
        </w:rPr>
      </w:pPr>
      <w:r>
        <w:rPr>
          <w:rFonts w:hint="eastAsia" w:ascii="宋体" w:hAnsi="宋体" w:eastAsia="宋体" w:cs="宋体"/>
          <w:bCs/>
          <w:i w:val="0"/>
          <w:iCs w:val="0"/>
          <w:color w:val="auto"/>
          <w:sz w:val="24"/>
          <w:highlight w:val="none"/>
        </w:rPr>
        <w:t xml:space="preserve">                                          合同签订时间：   年   月  日  </w:t>
      </w:r>
    </w:p>
    <w:p>
      <w:pPr>
        <w:spacing w:after="240" w:afterLines="100" w:line="340" w:lineRule="exact"/>
        <w:rPr>
          <w:rFonts w:hint="eastAsia" w:ascii="宋体" w:hAnsi="宋体" w:eastAsia="宋体" w:cs="宋体"/>
          <w:b/>
          <w:i w:val="0"/>
          <w:iCs w:val="0"/>
          <w:color w:val="auto"/>
          <w:sz w:val="36"/>
          <w:szCs w:val="36"/>
          <w:highlight w:val="none"/>
        </w:rPr>
      </w:pPr>
    </w:p>
    <w:p>
      <w:pPr>
        <w:spacing w:line="400" w:lineRule="exact"/>
        <w:ind w:firstLine="482" w:firstLineChars="200"/>
        <w:rPr>
          <w:rFonts w:hint="eastAsia" w:ascii="宋体" w:hAnsi="宋体" w:eastAsia="宋体" w:cs="宋体"/>
          <w:b/>
          <w:bCs/>
          <w:color w:val="auto"/>
          <w:sz w:val="24"/>
          <w:highlight w:val="none"/>
          <w:u w:val="single"/>
        </w:rPr>
      </w:pPr>
    </w:p>
    <w:p>
      <w:pPr>
        <w:spacing w:line="400" w:lineRule="exact"/>
        <w:ind w:firstLine="482" w:firstLineChars="200"/>
        <w:rPr>
          <w:rFonts w:hint="eastAsia" w:ascii="宋体" w:hAnsi="宋体" w:eastAsia="宋体" w:cs="宋体"/>
          <w:b/>
          <w:bCs/>
          <w:color w:val="auto"/>
          <w:sz w:val="24"/>
          <w:highlight w:val="none"/>
          <w:u w:val="single"/>
        </w:rPr>
      </w:pPr>
    </w:p>
    <w:p>
      <w:pPr>
        <w:spacing w:before="120" w:beforeLines="50" w:after="120" w:afterLines="50" w:line="320" w:lineRule="exact"/>
        <w:rPr>
          <w:rFonts w:hint="eastAsia" w:ascii="宋体" w:hAnsi="宋体" w:eastAsia="宋体" w:cs="宋体"/>
          <w:b/>
          <w:color w:val="auto"/>
          <w:sz w:val="36"/>
          <w:szCs w:val="36"/>
          <w:highlight w:val="none"/>
        </w:rPr>
      </w:pPr>
    </w:p>
    <w:p>
      <w:pPr>
        <w:spacing w:line="360" w:lineRule="auto"/>
        <w:rPr>
          <w:rFonts w:hint="eastAsia" w:ascii="宋体" w:hAnsi="宋体" w:eastAsia="宋体" w:cs="宋体"/>
          <w:b/>
          <w:bCs/>
          <w:color w:val="auto"/>
          <w:sz w:val="28"/>
          <w:szCs w:val="28"/>
          <w:highlight w:val="none"/>
        </w:rPr>
      </w:pPr>
      <w:bookmarkStart w:id="474" w:name="_Toc496796639"/>
    </w:p>
    <w:bookmarkEnd w:id="474"/>
    <w:p>
      <w:pPr>
        <w:rPr>
          <w:rFonts w:hint="eastAsia" w:ascii="宋体" w:hAnsi="宋体" w:eastAsia="宋体" w:cs="宋体"/>
          <w:b/>
          <w:color w:val="auto"/>
          <w:sz w:val="32"/>
          <w:szCs w:val="32"/>
          <w:highlight w:val="none"/>
        </w:rPr>
      </w:pPr>
      <w:bookmarkStart w:id="475" w:name="_Toc6777"/>
      <w:bookmarkStart w:id="476" w:name="_Toc1969"/>
      <w:bookmarkStart w:id="477" w:name="_Toc11410"/>
      <w:bookmarkStart w:id="478" w:name="_Toc29080"/>
      <w:bookmarkStart w:id="479" w:name="_Toc442"/>
      <w:bookmarkStart w:id="480" w:name="_Toc29063"/>
      <w:bookmarkStart w:id="481" w:name="_Toc19013"/>
      <w:r>
        <w:rPr>
          <w:rFonts w:hint="eastAsia" w:ascii="宋体" w:hAnsi="宋体" w:eastAsia="宋体" w:cs="宋体"/>
          <w:b/>
          <w:color w:val="auto"/>
          <w:sz w:val="32"/>
          <w:szCs w:val="32"/>
          <w:highlight w:val="none"/>
        </w:rPr>
        <w:br w:type="page"/>
      </w:r>
    </w:p>
    <w:p>
      <w:pPr>
        <w:spacing w:line="360" w:lineRule="auto"/>
        <w:jc w:val="center"/>
        <w:outlineLvl w:val="0"/>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第</w:t>
      </w:r>
      <w:bookmarkEnd w:id="459"/>
      <w:r>
        <w:rPr>
          <w:rFonts w:hint="eastAsia" w:ascii="宋体" w:hAnsi="宋体" w:eastAsia="宋体" w:cs="宋体"/>
          <w:b/>
          <w:color w:val="auto"/>
          <w:sz w:val="48"/>
          <w:szCs w:val="48"/>
          <w:highlight w:val="none"/>
        </w:rPr>
        <w:t xml:space="preserve">六章 </w:t>
      </w:r>
      <w:bookmarkEnd w:id="460"/>
      <w:r>
        <w:rPr>
          <w:rFonts w:hint="eastAsia" w:ascii="宋体" w:hAnsi="宋体" w:eastAsia="宋体" w:cs="宋体"/>
          <w:b/>
          <w:color w:val="auto"/>
          <w:sz w:val="48"/>
          <w:szCs w:val="48"/>
          <w:highlight w:val="none"/>
        </w:rPr>
        <w:t>应提交的有关格式范例</w:t>
      </w:r>
      <w:bookmarkEnd w:id="469"/>
      <w:bookmarkEnd w:id="470"/>
      <w:bookmarkEnd w:id="471"/>
      <w:bookmarkEnd w:id="472"/>
      <w:bookmarkEnd w:id="473"/>
      <w:bookmarkEnd w:id="475"/>
      <w:bookmarkEnd w:id="476"/>
      <w:bookmarkEnd w:id="477"/>
      <w:bookmarkEnd w:id="478"/>
      <w:bookmarkEnd w:id="479"/>
      <w:bookmarkEnd w:id="480"/>
      <w:bookmarkEnd w:id="481"/>
    </w:p>
    <w:p>
      <w:pPr>
        <w:spacing w:line="360" w:lineRule="auto"/>
        <w:jc w:val="center"/>
        <w:rPr>
          <w:rFonts w:hint="eastAsia" w:ascii="宋体" w:hAnsi="宋体" w:eastAsia="宋体" w:cs="宋体"/>
          <w:b/>
          <w:color w:val="auto"/>
          <w:kern w:val="0"/>
          <w:sz w:val="36"/>
          <w:szCs w:val="36"/>
          <w:highlight w:val="none"/>
        </w:rPr>
      </w:pPr>
    </w:p>
    <w:p>
      <w:pPr>
        <w:pStyle w:val="18"/>
        <w:spacing w:line="480" w:lineRule="auto"/>
        <w:ind w:firstLine="420"/>
        <w:rPr>
          <w:rFonts w:hint="eastAsia" w:ascii="宋体" w:hAnsi="宋体" w:eastAsia="宋体" w:cs="宋体"/>
          <w:color w:val="auto"/>
          <w:highlight w:val="none"/>
        </w:rPr>
      </w:pPr>
    </w:p>
    <w:p>
      <w:pPr>
        <w:pStyle w:val="16"/>
        <w:spacing w:line="480" w:lineRule="auto"/>
        <w:ind w:left="0" w:leftChars="0" w:firstLine="0" w:firstLineChars="0"/>
        <w:jc w:val="center"/>
        <w:rPr>
          <w:rFonts w:hint="eastAsia" w:ascii="宋体" w:hAnsi="宋体" w:eastAsia="宋体" w:cs="宋体"/>
          <w:color w:val="auto"/>
          <w:sz w:val="40"/>
          <w:szCs w:val="40"/>
          <w:highlight w:val="none"/>
        </w:rPr>
      </w:pPr>
      <w:r>
        <w:rPr>
          <w:rFonts w:hint="eastAsia" w:cs="宋体"/>
          <w:b/>
          <w:bCs/>
          <w:color w:val="auto"/>
          <w:sz w:val="40"/>
          <w:szCs w:val="40"/>
          <w:highlight w:val="none"/>
          <w:lang w:val="en-US" w:eastAsia="zh-CN"/>
        </w:rPr>
        <w:t>杭州市余杭区2023-2025年度专项债券发行准备法律专业服务采购项目</w:t>
      </w:r>
    </w:p>
    <w:p>
      <w:pPr>
        <w:pStyle w:val="16"/>
        <w:rPr>
          <w:rFonts w:hint="eastAsia" w:ascii="宋体" w:hAnsi="宋体" w:eastAsia="宋体" w:cs="宋体"/>
          <w:color w:val="auto"/>
          <w:highlight w:val="none"/>
        </w:rPr>
      </w:pPr>
    </w:p>
    <w:p>
      <w:pPr>
        <w:shd w:val="clear" w:color="auto" w:fill="FFFFFF"/>
        <w:snapToGrid w:val="0"/>
        <w:spacing w:after="50"/>
        <w:jc w:val="center"/>
        <w:rPr>
          <w:rFonts w:hint="eastAsia" w:ascii="宋体" w:hAnsi="宋体" w:eastAsia="宋体" w:cs="宋体"/>
          <w:b/>
          <w:color w:val="auto"/>
          <w:sz w:val="72"/>
          <w:szCs w:val="72"/>
          <w:highlight w:val="none"/>
          <w:shd w:val="clear" w:color="auto" w:fill="FFFFFF"/>
        </w:rPr>
      </w:pPr>
      <w:r>
        <w:rPr>
          <w:rFonts w:hint="eastAsia" w:ascii="宋体" w:hAnsi="宋体" w:eastAsia="宋体" w:cs="宋体"/>
          <w:b/>
          <w:color w:val="auto"/>
          <w:sz w:val="72"/>
          <w:szCs w:val="72"/>
          <w:highlight w:val="none"/>
          <w:shd w:val="clear" w:color="auto" w:fill="FFFFFF"/>
        </w:rPr>
        <w:t>响 应 文 件</w:t>
      </w:r>
    </w:p>
    <w:p>
      <w:pPr>
        <w:shd w:val="clear" w:color="auto" w:fill="FFFFFF"/>
        <w:snapToGrid w:val="0"/>
        <w:spacing w:after="50"/>
        <w:jc w:val="center"/>
        <w:rPr>
          <w:rFonts w:hint="eastAsia" w:ascii="宋体" w:hAnsi="宋体" w:eastAsia="宋体" w:cs="宋体"/>
          <w:b/>
          <w:color w:val="auto"/>
          <w:sz w:val="52"/>
          <w:szCs w:val="52"/>
          <w:highlight w:val="none"/>
          <w:shd w:val="clear" w:color="auto" w:fill="FFFFFF"/>
        </w:rPr>
      </w:pPr>
    </w:p>
    <w:p>
      <w:pPr>
        <w:shd w:val="clear" w:color="auto" w:fill="FFFFFF"/>
        <w:snapToGrid w:val="0"/>
        <w:spacing w:after="50"/>
        <w:jc w:val="center"/>
        <w:rPr>
          <w:rFonts w:hint="eastAsia" w:ascii="宋体" w:hAnsi="宋体" w:eastAsia="宋体" w:cs="宋体"/>
          <w:b/>
          <w:color w:val="auto"/>
          <w:sz w:val="52"/>
          <w:szCs w:val="52"/>
          <w:highlight w:val="none"/>
          <w:shd w:val="clear" w:color="auto" w:fill="FFFFFF"/>
        </w:rPr>
      </w:pPr>
      <w:r>
        <w:rPr>
          <w:rFonts w:hint="eastAsia" w:ascii="宋体" w:hAnsi="宋体" w:eastAsia="宋体" w:cs="宋体"/>
          <w:b/>
          <w:color w:val="auto"/>
          <w:sz w:val="52"/>
          <w:szCs w:val="52"/>
          <w:highlight w:val="none"/>
          <w:shd w:val="clear" w:color="auto" w:fill="FFFFFF"/>
        </w:rPr>
        <w:t>（资格文件）</w:t>
      </w:r>
    </w:p>
    <w:p>
      <w:pPr>
        <w:shd w:val="clear" w:color="auto" w:fill="FFFFFF"/>
        <w:snapToGrid w:val="0"/>
        <w:spacing w:after="50"/>
        <w:jc w:val="center"/>
        <w:rPr>
          <w:rFonts w:hint="eastAsia" w:ascii="宋体" w:hAnsi="宋体" w:eastAsia="宋体" w:cs="宋体"/>
          <w:b/>
          <w:color w:val="auto"/>
          <w:sz w:val="44"/>
          <w:szCs w:val="44"/>
          <w:highlight w:val="none"/>
        </w:rPr>
      </w:pPr>
    </w:p>
    <w:p>
      <w:pPr>
        <w:shd w:val="clear" w:color="auto" w:fill="FFFFFF"/>
        <w:snapToGrid w:val="0"/>
        <w:spacing w:after="50"/>
        <w:rPr>
          <w:rFonts w:hint="eastAsia" w:ascii="宋体" w:hAnsi="宋体" w:eastAsia="宋体" w:cs="宋体"/>
          <w:bCs/>
          <w:color w:val="auto"/>
          <w:sz w:val="24"/>
          <w:highlight w:val="none"/>
        </w:rPr>
      </w:pPr>
    </w:p>
    <w:p>
      <w:pPr>
        <w:shd w:val="clear" w:color="auto" w:fill="FFFFFF"/>
        <w:snapToGrid w:val="0"/>
        <w:spacing w:after="50"/>
        <w:jc w:val="center"/>
        <w:rPr>
          <w:rFonts w:hint="eastAsia" w:ascii="宋体" w:hAnsi="宋体" w:eastAsia="宋体" w:cs="宋体"/>
          <w:bCs/>
          <w:color w:val="auto"/>
          <w:sz w:val="24"/>
          <w:highlight w:val="none"/>
        </w:rPr>
      </w:pPr>
    </w:p>
    <w:p>
      <w:pPr>
        <w:pStyle w:val="18"/>
        <w:ind w:firstLine="480"/>
        <w:rPr>
          <w:rFonts w:hint="eastAsia" w:ascii="宋体" w:hAnsi="宋体" w:eastAsia="宋体" w:cs="宋体"/>
          <w:bCs/>
          <w:color w:val="auto"/>
          <w:sz w:val="24"/>
          <w:highlight w:val="none"/>
        </w:rPr>
      </w:pPr>
    </w:p>
    <w:p>
      <w:pPr>
        <w:rPr>
          <w:rFonts w:hint="eastAsia" w:ascii="宋体" w:hAnsi="宋体" w:eastAsia="宋体" w:cs="宋体"/>
          <w:bCs/>
          <w:color w:val="auto"/>
          <w:sz w:val="24"/>
          <w:highlight w:val="none"/>
        </w:rPr>
      </w:pPr>
    </w:p>
    <w:p>
      <w:pPr>
        <w:pStyle w:val="18"/>
        <w:ind w:firstLine="480"/>
        <w:rPr>
          <w:rFonts w:hint="eastAsia" w:ascii="宋体" w:hAnsi="宋体" w:eastAsia="宋体" w:cs="宋体"/>
          <w:bCs/>
          <w:color w:val="auto"/>
          <w:sz w:val="24"/>
          <w:highlight w:val="none"/>
        </w:rPr>
      </w:pPr>
    </w:p>
    <w:p>
      <w:pPr>
        <w:rPr>
          <w:rFonts w:hint="eastAsia" w:ascii="宋体" w:hAnsi="宋体" w:eastAsia="宋体" w:cs="宋体"/>
          <w:color w:val="auto"/>
          <w:highlight w:val="none"/>
        </w:rPr>
      </w:pPr>
    </w:p>
    <w:p>
      <w:pPr>
        <w:shd w:val="clear" w:color="auto" w:fill="FFFFFF"/>
        <w:snapToGrid w:val="0"/>
        <w:spacing w:after="50"/>
        <w:rPr>
          <w:rFonts w:hint="eastAsia" w:ascii="宋体" w:hAnsi="宋体" w:eastAsia="宋体" w:cs="宋体"/>
          <w:bCs/>
          <w:color w:val="auto"/>
          <w:sz w:val="24"/>
          <w:szCs w:val="20"/>
          <w:highlight w:val="none"/>
        </w:rPr>
      </w:pPr>
    </w:p>
    <w:p>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项目编号：</w:t>
      </w:r>
    </w:p>
    <w:p>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供应商全称（公章）：</w:t>
      </w:r>
    </w:p>
    <w:p>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供应商地址：</w:t>
      </w:r>
    </w:p>
    <w:p>
      <w:pPr>
        <w:shd w:val="clear" w:color="auto" w:fill="FFFFFF"/>
        <w:snapToGrid w:val="0"/>
        <w:spacing w:after="50"/>
        <w:ind w:firstLine="900" w:firstLineChars="3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联系电话：</w:t>
      </w:r>
    </w:p>
    <w:p>
      <w:pPr>
        <w:shd w:val="clear" w:color="auto" w:fill="FFFFFF"/>
        <w:snapToGrid w:val="0"/>
        <w:spacing w:after="50"/>
        <w:ind w:firstLine="900" w:firstLineChars="300"/>
        <w:rPr>
          <w:rFonts w:hint="eastAsia" w:ascii="宋体" w:hAnsi="宋体" w:eastAsia="宋体" w:cs="宋体"/>
          <w:bCs/>
          <w:color w:val="auto"/>
          <w:sz w:val="30"/>
          <w:szCs w:val="30"/>
          <w:highlight w:val="none"/>
        </w:rPr>
      </w:pPr>
    </w:p>
    <w:p>
      <w:pPr>
        <w:shd w:val="clear" w:color="auto" w:fill="FFFFFF"/>
        <w:snapToGrid w:val="0"/>
        <w:spacing w:after="50"/>
        <w:ind w:firstLine="5100" w:firstLineChars="1700"/>
        <w:rPr>
          <w:rFonts w:hint="eastAsia" w:ascii="宋体" w:hAnsi="宋体" w:eastAsia="宋体" w:cs="宋体"/>
          <w:color w:val="auto"/>
          <w:sz w:val="28"/>
          <w:szCs w:val="21"/>
          <w:highlight w:val="none"/>
        </w:rPr>
      </w:pPr>
      <w:r>
        <w:rPr>
          <w:rFonts w:hint="eastAsia" w:ascii="宋体" w:hAnsi="宋体" w:eastAsia="宋体" w:cs="宋体"/>
          <w:bCs/>
          <w:color w:val="auto"/>
          <w:sz w:val="30"/>
          <w:szCs w:val="30"/>
          <w:highlight w:val="none"/>
        </w:rPr>
        <w:t xml:space="preserve"> </w:t>
      </w:r>
    </w:p>
    <w:p>
      <w:pPr>
        <w:shd w:val="clear" w:color="auto" w:fill="FFFFFF"/>
        <w:snapToGrid w:val="0"/>
        <w:spacing w:after="50"/>
        <w:ind w:right="670" w:rightChars="319" w:firstLine="645"/>
        <w:jc w:val="right"/>
        <w:rPr>
          <w:rFonts w:hint="eastAsia" w:ascii="宋体" w:hAnsi="宋体" w:eastAsia="宋体" w:cs="宋体"/>
          <w:color w:val="auto"/>
          <w:sz w:val="28"/>
          <w:szCs w:val="21"/>
          <w:highlight w:val="none"/>
        </w:rPr>
      </w:pPr>
      <w:r>
        <w:rPr>
          <w:rFonts w:hint="eastAsia" w:ascii="宋体" w:hAnsi="宋体" w:eastAsia="宋体" w:cs="宋体"/>
          <w:color w:val="auto"/>
          <w:sz w:val="28"/>
          <w:szCs w:val="28"/>
          <w:highlight w:val="none"/>
        </w:rPr>
        <w:t xml:space="preserve">                        年  月  日</w:t>
      </w: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 </w:t>
      </w:r>
    </w:p>
    <w:p>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w:t>
      </w:r>
      <w:r>
        <w:rPr>
          <w:rFonts w:hint="eastAsia" w:ascii="宋体" w:hAnsi="宋体" w:cs="宋体"/>
          <w:b/>
          <w:color w:val="auto"/>
          <w:kern w:val="0"/>
          <w:sz w:val="36"/>
          <w:szCs w:val="36"/>
          <w:highlight w:val="none"/>
          <w:lang w:val="en-US" w:eastAsia="zh-CN"/>
        </w:rPr>
        <w:t xml:space="preserve"> </w:t>
      </w:r>
      <w:r>
        <w:rPr>
          <w:rFonts w:hint="eastAsia" w:ascii="宋体" w:hAnsi="宋体" w:eastAsia="宋体" w:cs="宋体"/>
          <w:b/>
          <w:color w:val="auto"/>
          <w:kern w:val="0"/>
          <w:sz w:val="36"/>
          <w:szCs w:val="36"/>
          <w:highlight w:val="none"/>
        </w:rPr>
        <w:t>录</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一、满足《中华人民共和国政府采购法》第二十二条规定的资料：</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a.营业执照（或法人登记证书，自然人身份证明）复印件；</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b.符合参加政府采购活动应当具备的一般条件的承诺函；</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二、落实政府采购政策需满足的资格要求：无；</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三、符合供应商特定资格条件的材料：</w:t>
      </w:r>
      <w:r>
        <w:rPr>
          <w:rFonts w:hint="eastAsia" w:ascii="宋体" w:hAnsi="宋体" w:eastAsia="宋体" w:cs="宋体"/>
          <w:b/>
          <w:bCs/>
          <w:i w:val="0"/>
          <w:iCs w:val="0"/>
          <w:color w:val="auto"/>
          <w:kern w:val="0"/>
          <w:sz w:val="24"/>
          <w:highlight w:val="none"/>
        </w:rPr>
        <w:t>具有有效的律师事务所执业许可证</w:t>
      </w:r>
      <w:r>
        <w:rPr>
          <w:rFonts w:hint="eastAsia" w:ascii="宋体" w:hAnsi="宋体" w:eastAsia="宋体" w:cs="宋体"/>
          <w:b/>
          <w:bCs/>
          <w:i w:val="0"/>
          <w:iCs w:val="0"/>
          <w:color w:val="auto"/>
          <w:kern w:val="0"/>
          <w:sz w:val="24"/>
          <w:highlight w:val="none"/>
          <w:lang w:eastAsia="zh-CN"/>
        </w:rPr>
        <w:t>复印件加盖公章；</w:t>
      </w:r>
    </w:p>
    <w:p>
      <w:pPr>
        <w:snapToGrid w:val="0"/>
        <w:spacing w:line="480" w:lineRule="auto"/>
        <w:ind w:firstLine="480" w:firstLineChars="200"/>
        <w:jc w:val="left"/>
        <w:rPr>
          <w:rFonts w:hint="eastAsia" w:ascii="宋体" w:hAnsi="宋体" w:eastAsia="宋体" w:cs="宋体"/>
          <w:color w:val="auto"/>
          <w:kern w:val="0"/>
          <w:sz w:val="24"/>
          <w:highlight w:val="none"/>
        </w:rPr>
      </w:pP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p>
    <w:p>
      <w:pPr>
        <w:numPr>
          <w:ilvl w:val="0"/>
          <w:numId w:val="10"/>
        </w:numPr>
        <w:snapToGrid w:val="0"/>
        <w:spacing w:line="288" w:lineRule="auto"/>
        <w:ind w:right="482"/>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i w:val="0"/>
          <w:iCs w:val="0"/>
          <w:color w:val="auto"/>
          <w:kern w:val="0"/>
          <w:sz w:val="30"/>
          <w:szCs w:val="30"/>
          <w:highlight w:val="none"/>
        </w:rPr>
        <w:t>满足《中华人民共和国政府采购法》第二十二条规定的资料：</w:t>
      </w:r>
    </w:p>
    <w:p>
      <w:pPr>
        <w:snapToGrid w:val="0"/>
        <w:spacing w:line="360" w:lineRule="auto"/>
        <w:ind w:firstLine="480" w:firstLineChars="200"/>
        <w:jc w:val="left"/>
        <w:rPr>
          <w:rFonts w:hint="eastAsia" w:ascii="宋体" w:hAnsi="宋体" w:eastAsia="宋体" w:cs="宋体"/>
          <w:i w:val="0"/>
          <w:iCs w:val="0"/>
          <w:color w:val="auto"/>
          <w:kern w:val="0"/>
          <w:sz w:val="24"/>
          <w:highlight w:val="none"/>
        </w:rPr>
      </w:pPr>
    </w:p>
    <w:p>
      <w:pPr>
        <w:snapToGrid w:val="0"/>
        <w:spacing w:line="360" w:lineRule="auto"/>
        <w:ind w:firstLine="482" w:firstLineChars="200"/>
        <w:jc w:val="left"/>
        <w:rPr>
          <w:rFonts w:hint="eastAsia" w:ascii="宋体" w:hAnsi="宋体" w:eastAsia="宋体" w:cs="宋体"/>
          <w:b/>
          <w:bCs/>
          <w:i w:val="0"/>
          <w:iCs w:val="0"/>
          <w:color w:val="auto"/>
          <w:kern w:val="0"/>
          <w:sz w:val="24"/>
          <w:highlight w:val="none"/>
        </w:rPr>
      </w:pPr>
      <w:r>
        <w:rPr>
          <w:rFonts w:hint="eastAsia" w:ascii="宋体" w:hAnsi="宋体" w:eastAsia="宋体" w:cs="宋体"/>
          <w:b/>
          <w:bCs/>
          <w:i w:val="0"/>
          <w:iCs w:val="0"/>
          <w:color w:val="auto"/>
          <w:kern w:val="0"/>
          <w:sz w:val="24"/>
          <w:highlight w:val="none"/>
        </w:rPr>
        <w:t>a.营业执照（或法人登记证书，自然人身份证明）复印件</w:t>
      </w:r>
      <w:r>
        <w:rPr>
          <w:rFonts w:hint="eastAsia" w:ascii="宋体" w:hAnsi="宋体" w:eastAsia="宋体" w:cs="宋体"/>
          <w:b/>
          <w:bCs/>
          <w:i w:val="0"/>
          <w:iCs w:val="0"/>
          <w:color w:val="auto"/>
          <w:kern w:val="0"/>
          <w:sz w:val="24"/>
          <w:highlight w:val="none"/>
          <w:lang w:eastAsia="zh-CN"/>
        </w:rPr>
        <w:t>。</w:t>
      </w:r>
    </w:p>
    <w:p>
      <w:pPr>
        <w:snapToGrid w:val="0"/>
        <w:spacing w:before="50" w:after="156" w:line="360" w:lineRule="auto"/>
        <w:jc w:val="left"/>
        <w:rPr>
          <w:rFonts w:hint="eastAsia" w:ascii="宋体" w:hAnsi="宋体" w:eastAsia="宋体" w:cs="宋体"/>
          <w:b/>
          <w:i w:val="0"/>
          <w:iCs w:val="0"/>
          <w:color w:val="auto"/>
          <w:sz w:val="30"/>
          <w:szCs w:val="30"/>
          <w:highlight w:val="none"/>
        </w:rPr>
      </w:pPr>
      <w:r>
        <w:rPr>
          <w:rFonts w:hint="eastAsia" w:ascii="宋体" w:hAnsi="宋体" w:eastAsia="宋体" w:cs="宋体"/>
          <w:b/>
          <w:i w:val="0"/>
          <w:iCs w:val="0"/>
          <w:color w:val="auto"/>
          <w:sz w:val="30"/>
          <w:szCs w:val="30"/>
          <w:highlight w:val="none"/>
        </w:rPr>
        <w:t>[格式自拟]</w:t>
      </w:r>
    </w:p>
    <w:p>
      <w:pPr>
        <w:snapToGrid w:val="0"/>
        <w:spacing w:line="360" w:lineRule="auto"/>
        <w:ind w:firstLine="482" w:firstLineChars="200"/>
        <w:jc w:val="left"/>
        <w:rPr>
          <w:rFonts w:hint="eastAsia" w:ascii="宋体" w:hAnsi="宋体" w:eastAsia="宋体" w:cs="宋体"/>
          <w:b/>
          <w:bCs/>
          <w:i w:val="0"/>
          <w:iCs w:val="0"/>
          <w:color w:val="auto"/>
          <w:kern w:val="0"/>
          <w:sz w:val="24"/>
          <w:highlight w:val="none"/>
        </w:rPr>
      </w:pPr>
      <w:r>
        <w:rPr>
          <w:rFonts w:hint="eastAsia" w:ascii="宋体" w:hAnsi="宋体" w:eastAsia="宋体" w:cs="宋体"/>
          <w:b/>
          <w:bCs/>
          <w:i w:val="0"/>
          <w:iCs w:val="0"/>
          <w:color w:val="auto"/>
          <w:kern w:val="0"/>
          <w:sz w:val="24"/>
          <w:highlight w:val="none"/>
        </w:rPr>
        <w:t>b.符合参加政府采购活动应当具备的一般条件的承诺函；</w:t>
      </w:r>
    </w:p>
    <w:p>
      <w:pPr>
        <w:snapToGrid w:val="0"/>
        <w:spacing w:line="360" w:lineRule="auto"/>
        <w:ind w:firstLine="480" w:firstLineChars="200"/>
        <w:rPr>
          <w:rFonts w:hint="eastAsia" w:ascii="宋体" w:hAnsi="宋体" w:eastAsia="宋体" w:cs="宋体"/>
          <w:i w:val="0"/>
          <w:iCs w:val="0"/>
          <w:color w:val="auto"/>
          <w:sz w:val="24"/>
          <w:highlight w:val="none"/>
          <w:u w:val="none"/>
        </w:rPr>
      </w:pPr>
      <w:r>
        <w:rPr>
          <w:rFonts w:hint="eastAsia" w:ascii="宋体" w:hAnsi="宋体" w:eastAsia="宋体" w:cs="宋体"/>
          <w:i w:val="0"/>
          <w:iCs w:val="0"/>
          <w:color w:val="auto"/>
          <w:sz w:val="24"/>
          <w:highlight w:val="none"/>
          <w:u w:val="none"/>
          <w:lang w:val="en-US" w:eastAsia="zh-CN"/>
        </w:rPr>
        <w:t>杭州市余杭区</w:t>
      </w:r>
      <w:r>
        <w:rPr>
          <w:rFonts w:hint="eastAsia" w:ascii="宋体" w:hAnsi="宋体" w:eastAsia="宋体" w:cs="宋体"/>
          <w:i w:val="0"/>
          <w:iCs w:val="0"/>
          <w:color w:val="auto"/>
          <w:sz w:val="24"/>
          <w:highlight w:val="none"/>
          <w:u w:val="none"/>
        </w:rPr>
        <w:t>财政局：</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我方参与</w:t>
      </w:r>
      <w:r>
        <w:rPr>
          <w:rFonts w:hint="eastAsia" w:ascii="宋体" w:hAnsi="宋体" w:eastAsia="宋体" w:cs="宋体"/>
          <w:i w:val="0"/>
          <w:iCs w:val="0"/>
          <w:color w:val="auto"/>
          <w:sz w:val="24"/>
          <w:highlight w:val="none"/>
          <w:u w:val="single"/>
        </w:rPr>
        <w:t>（项目名称）</w:t>
      </w:r>
      <w:r>
        <w:rPr>
          <w:rFonts w:hint="eastAsia" w:ascii="宋体" w:hAnsi="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【项目编号：</w:t>
      </w:r>
      <w:r>
        <w:rPr>
          <w:rFonts w:hint="eastAsia" w:ascii="宋体" w:hAnsi="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w:t>
      </w:r>
      <w:r>
        <w:rPr>
          <w:rFonts w:hint="eastAsia" w:ascii="宋体" w:hAnsi="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政府采购活动，郑重承诺：</w:t>
      </w:r>
    </w:p>
    <w:p>
      <w:pPr>
        <w:snapToGrid w:val="0"/>
        <w:spacing w:line="312" w:lineRule="auto"/>
        <w:ind w:firstLine="360" w:firstLineChars="15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（一）具备《中华人民共和国政府采购法》第二十二条第一款规定的条件：</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1、具有独立承担民事责任的能力；</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2、具有良好的商业信誉和健全的财务会计制度； </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3、具有履行合同所必需的设备和专业技术能力；</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4、有依法缴纳税收和社会保障资金的良好记录；</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5、参加</w:t>
      </w:r>
      <w:r>
        <w:rPr>
          <w:rFonts w:hint="eastAsia" w:ascii="宋体" w:hAnsi="宋体" w:eastAsia="宋体" w:cs="宋体"/>
          <w:i w:val="0"/>
          <w:iCs w:val="0"/>
          <w:color w:val="auto"/>
          <w:sz w:val="24"/>
          <w:highlight w:val="none"/>
          <w:u w:val="single"/>
        </w:rPr>
        <w:t>本项目</w:t>
      </w:r>
      <w:r>
        <w:rPr>
          <w:rFonts w:hint="eastAsia" w:ascii="宋体" w:hAnsi="宋体" w:eastAsia="宋体" w:cs="宋体"/>
          <w:i w:val="0"/>
          <w:iCs w:val="0"/>
          <w:color w:val="auto"/>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6、具有法律、行政法规规定的其他条件。</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（三）不存在以下情况：</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1、单位负责人为同一人或者存在直接控股、管理关系的不同供应商参加同一合同项下的政府采购活动的；</w:t>
      </w:r>
    </w:p>
    <w:p>
      <w:pPr>
        <w:snapToGrid w:val="0"/>
        <w:spacing w:line="312"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2、为采购项目提供整体设计、规范编制或者项目管理、监理、检测等服务后再参加该采购项目的其他采购活动的。</w:t>
      </w:r>
    </w:p>
    <w:p>
      <w:pPr>
        <w:snapToGrid w:val="0"/>
        <w:spacing w:line="312" w:lineRule="auto"/>
        <w:ind w:firstLine="480" w:firstLineChars="200"/>
        <w:rPr>
          <w:rFonts w:hint="eastAsia" w:ascii="宋体" w:hAnsi="宋体" w:eastAsia="宋体" w:cs="宋体"/>
          <w:i w:val="0"/>
          <w:iCs w:val="0"/>
          <w:color w:val="auto"/>
          <w:kern w:val="0"/>
          <w:sz w:val="24"/>
          <w:highlight w:val="none"/>
          <w:u w:val="single"/>
        </w:rPr>
      </w:pPr>
      <w:r>
        <w:rPr>
          <w:rFonts w:hint="eastAsia" w:ascii="宋体" w:hAnsi="宋体" w:eastAsia="宋体" w:cs="宋体"/>
          <w:i w:val="0"/>
          <w:iCs w:val="0"/>
          <w:color w:val="auto"/>
          <w:kern w:val="0"/>
          <w:sz w:val="24"/>
          <w:highlight w:val="none"/>
          <w:lang w:val="zh-CN"/>
        </w:rPr>
        <w:t>3、本单位与征集人之间存在下列利害关系:</w:t>
      </w:r>
      <w:r>
        <w:rPr>
          <w:rFonts w:hint="eastAsia" w:ascii="宋体" w:hAnsi="宋体" w:eastAsia="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single"/>
        </w:rPr>
        <w:t xml:space="preserve">      </w:t>
      </w:r>
    </w:p>
    <w:p>
      <w:pPr>
        <w:snapToGrid w:val="0"/>
        <w:spacing w:line="312"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A．投资关系，B．行政隶属关系，C．业务指导关系，D．其他可能影响采购公正的利害关系。</w:t>
      </w:r>
      <w:r>
        <w:rPr>
          <w:rFonts w:hint="eastAsia" w:ascii="宋体" w:hAnsi="宋体" w:eastAsia="宋体" w:cs="宋体"/>
          <w:i w:val="0"/>
          <w:iCs w:val="0"/>
          <w:color w:val="auto"/>
          <w:kern w:val="0"/>
          <w:sz w:val="24"/>
          <w:highlight w:val="none"/>
        </w:rPr>
        <w:t>E.不存在利害关系</w:t>
      </w:r>
    </w:p>
    <w:p>
      <w:pPr>
        <w:snapToGrid w:val="0"/>
        <w:spacing w:line="312" w:lineRule="auto"/>
        <w:ind w:firstLine="480" w:firstLineChars="2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4、因违法经营被禁止参加政府采购活动的期限内的。</w:t>
      </w:r>
    </w:p>
    <w:p>
      <w:pPr>
        <w:snapToGrid w:val="0"/>
        <w:spacing w:line="360" w:lineRule="auto"/>
        <w:ind w:firstLine="5520" w:firstLineChars="2300"/>
        <w:rPr>
          <w:rFonts w:hint="eastAsia" w:ascii="宋体" w:hAnsi="宋体" w:eastAsia="宋体" w:cs="宋体"/>
          <w:i w:val="0"/>
          <w:iCs w:val="0"/>
          <w:color w:val="auto"/>
          <w:kern w:val="0"/>
          <w:sz w:val="24"/>
          <w:highlight w:val="none"/>
          <w:lang w:val="zh-CN"/>
        </w:rPr>
      </w:pPr>
    </w:p>
    <w:p>
      <w:pPr>
        <w:pStyle w:val="35"/>
        <w:snapToGrid w:val="0"/>
        <w:spacing w:before="120" w:after="120" w:line="360" w:lineRule="auto"/>
        <w:ind w:firstLine="900" w:firstLineChars="375"/>
        <w:jc w:val="righ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highlight w:val="none"/>
          <w:lang w:val="zh-CN"/>
        </w:rPr>
        <w:t>供应商</w:t>
      </w:r>
      <w:r>
        <w:rPr>
          <w:rFonts w:hint="eastAsia" w:ascii="宋体" w:hAnsi="宋体" w:eastAsia="宋体" w:cs="宋体"/>
          <w:i w:val="0"/>
          <w:iCs w:val="0"/>
          <w:color w:val="auto"/>
          <w:sz w:val="24"/>
          <w:szCs w:val="24"/>
          <w:highlight w:val="none"/>
        </w:rPr>
        <w:t>（电子签章）：__________________________</w:t>
      </w:r>
    </w:p>
    <w:p>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b/>
          <w:bCs/>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 xml:space="preserve">                       </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日期</w:t>
      </w:r>
      <w:r>
        <w:rPr>
          <w:rFonts w:hint="eastAsia" w:ascii="宋体" w:hAnsi="宋体" w:eastAsia="宋体" w:cs="宋体"/>
          <w:i w:val="0"/>
          <w:iCs w:val="0"/>
          <w:color w:val="auto"/>
          <w:kern w:val="0"/>
          <w:sz w:val="24"/>
          <w:highlight w:val="none"/>
        </w:rPr>
        <w:t xml:space="preserve">：  年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w:t>
      </w: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snapToGrid w:val="0"/>
        <w:spacing w:line="288" w:lineRule="auto"/>
        <w:ind w:right="482"/>
        <w:jc w:val="center"/>
        <w:rPr>
          <w:rFonts w:hint="eastAsia" w:ascii="宋体" w:hAnsi="宋体" w:eastAsia="宋体" w:cs="宋体"/>
          <w:b/>
          <w:i w:val="0"/>
          <w:iCs w:val="0"/>
          <w:color w:val="auto"/>
          <w:kern w:val="0"/>
          <w:sz w:val="30"/>
          <w:szCs w:val="30"/>
          <w:highlight w:val="none"/>
        </w:rPr>
      </w:pPr>
    </w:p>
    <w:p>
      <w:pPr>
        <w:snapToGrid w:val="0"/>
        <w:spacing w:line="288" w:lineRule="auto"/>
        <w:ind w:right="482"/>
        <w:jc w:val="both"/>
        <w:rPr>
          <w:rFonts w:hint="eastAsia" w:ascii="宋体" w:hAnsi="宋体" w:eastAsia="宋体" w:cs="宋体"/>
          <w:b/>
          <w:i w:val="0"/>
          <w:iCs w:val="0"/>
          <w:color w:val="auto"/>
          <w:kern w:val="0"/>
          <w:sz w:val="30"/>
          <w:szCs w:val="30"/>
          <w:highlight w:val="none"/>
        </w:rPr>
      </w:pPr>
      <w:r>
        <w:rPr>
          <w:rFonts w:hint="eastAsia" w:ascii="宋体" w:hAnsi="宋体" w:eastAsia="宋体" w:cs="宋体"/>
          <w:b/>
          <w:i w:val="0"/>
          <w:iCs w:val="0"/>
          <w:color w:val="auto"/>
          <w:kern w:val="0"/>
          <w:sz w:val="30"/>
          <w:szCs w:val="30"/>
          <w:highlight w:val="none"/>
        </w:rPr>
        <w:t xml:space="preserve">二、落实政府采购政策需满足的资格要求：无。 </w:t>
      </w:r>
    </w:p>
    <w:p>
      <w:pPr>
        <w:snapToGrid w:val="0"/>
        <w:spacing w:before="50" w:after="50" w:line="360" w:lineRule="auto"/>
        <w:ind w:firstLine="472" w:firstLineChars="196"/>
        <w:jc w:val="left"/>
        <w:rPr>
          <w:rFonts w:hint="eastAsia" w:ascii="宋体" w:hAnsi="宋体" w:eastAsia="宋体" w:cs="宋体"/>
          <w:b/>
          <w:i w:val="0"/>
          <w:iCs w:val="0"/>
          <w:color w:val="auto"/>
          <w:sz w:val="24"/>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numPr>
          <w:ilvl w:val="0"/>
          <w:numId w:val="0"/>
        </w:numPr>
        <w:adjustRightInd/>
        <w:spacing w:line="360" w:lineRule="auto"/>
        <w:ind w:leftChars="0"/>
        <w:rPr>
          <w:rFonts w:hint="eastAsia" w:ascii="宋体" w:hAnsi="宋体" w:eastAsia="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lang w:eastAsia="zh-CN"/>
        </w:rPr>
        <w:t>三、</w:t>
      </w:r>
      <w:r>
        <w:rPr>
          <w:rFonts w:hint="eastAsia" w:ascii="宋体" w:hAnsi="宋体" w:eastAsia="宋体" w:cs="宋体"/>
          <w:b/>
          <w:i w:val="0"/>
          <w:iCs w:val="0"/>
          <w:color w:val="auto"/>
          <w:kern w:val="0"/>
          <w:sz w:val="32"/>
          <w:szCs w:val="32"/>
          <w:highlight w:val="none"/>
        </w:rPr>
        <w:t>满足本项目特定资格要求的证明材料：</w:t>
      </w:r>
    </w:p>
    <w:p>
      <w:pPr>
        <w:snapToGrid w:val="0"/>
        <w:spacing w:line="360" w:lineRule="auto"/>
        <w:ind w:firstLine="482" w:firstLineChars="200"/>
        <w:jc w:val="left"/>
        <w:rPr>
          <w:rFonts w:hint="eastAsia" w:ascii="宋体" w:hAnsi="宋体" w:eastAsia="宋体" w:cs="宋体"/>
          <w:b/>
          <w:i w:val="0"/>
          <w:iCs w:val="0"/>
          <w:color w:val="auto"/>
          <w:kern w:val="0"/>
          <w:sz w:val="32"/>
          <w:szCs w:val="32"/>
          <w:highlight w:val="none"/>
        </w:rPr>
      </w:pPr>
      <w:r>
        <w:rPr>
          <w:rFonts w:hint="eastAsia" w:ascii="宋体" w:hAnsi="宋体" w:eastAsia="宋体" w:cs="宋体"/>
          <w:b/>
          <w:bCs/>
          <w:i w:val="0"/>
          <w:iCs w:val="0"/>
          <w:color w:val="auto"/>
          <w:kern w:val="0"/>
          <w:sz w:val="24"/>
          <w:highlight w:val="none"/>
        </w:rPr>
        <w:t>具有有效的律师事务所执业许可证</w:t>
      </w:r>
      <w:r>
        <w:rPr>
          <w:rFonts w:hint="eastAsia" w:ascii="宋体" w:hAnsi="宋体" w:eastAsia="宋体" w:cs="宋体"/>
          <w:b/>
          <w:bCs/>
          <w:i w:val="0"/>
          <w:iCs w:val="0"/>
          <w:color w:val="auto"/>
          <w:kern w:val="0"/>
          <w:sz w:val="24"/>
          <w:highlight w:val="none"/>
          <w:lang w:eastAsia="zh-CN"/>
        </w:rPr>
        <w:t>复印件加盖公章；</w:t>
      </w:r>
    </w:p>
    <w:p>
      <w:pPr>
        <w:adjustRightInd/>
        <w:spacing w:line="400" w:lineRule="exact"/>
        <w:ind w:firstLine="480" w:firstLineChars="200"/>
        <w:rPr>
          <w:rFonts w:hint="eastAsia" w:ascii="宋体" w:hAnsi="宋体" w:eastAsia="宋体" w:cs="宋体"/>
          <w:i w:val="0"/>
          <w:iCs w:val="0"/>
          <w:color w:val="auto"/>
          <w:sz w:val="24"/>
          <w:highlight w:val="none"/>
        </w:rPr>
      </w:pPr>
    </w:p>
    <w:p>
      <w:pPr>
        <w:snapToGrid w:val="0"/>
        <w:spacing w:line="360" w:lineRule="auto"/>
        <w:ind w:right="480"/>
        <w:jc w:val="center"/>
        <w:rPr>
          <w:rFonts w:hint="eastAsia" w:ascii="宋体" w:hAnsi="宋体" w:eastAsia="宋体" w:cs="宋体"/>
          <w:i w:val="0"/>
          <w:iCs w:val="0"/>
          <w:color w:val="auto"/>
          <w:kern w:val="0"/>
          <w:sz w:val="32"/>
          <w:szCs w:val="32"/>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pPr>
        <w:pStyle w:val="16"/>
        <w:spacing w:line="360" w:lineRule="auto"/>
        <w:ind w:firstLine="0"/>
        <w:jc w:val="center"/>
        <w:rPr>
          <w:rFonts w:hint="eastAsia" w:hAnsi="宋体" w:cs="宋体"/>
          <w:b/>
          <w:bCs/>
          <w:i w:val="0"/>
          <w:iCs w:val="0"/>
          <w:color w:val="auto"/>
          <w:sz w:val="40"/>
          <w:szCs w:val="48"/>
          <w:highlight w:val="none"/>
          <w:lang w:eastAsia="zh-CN"/>
        </w:rPr>
      </w:pPr>
    </w:p>
    <w:p>
      <w:pPr>
        <w:shd w:val="clear" w:color="auto" w:fill="FFFFFF"/>
        <w:snapToGrid w:val="0"/>
        <w:spacing w:after="50" w:line="360" w:lineRule="auto"/>
        <w:jc w:val="center"/>
        <w:rPr>
          <w:rFonts w:hint="eastAsia" w:ascii="宋体" w:hAnsi="宋体" w:eastAsia="宋体" w:cs="宋体"/>
          <w:b/>
          <w:i w:val="0"/>
          <w:iCs w:val="0"/>
          <w:color w:val="auto"/>
          <w:sz w:val="72"/>
          <w:szCs w:val="72"/>
          <w:highlight w:val="none"/>
          <w:shd w:val="clear" w:color="auto" w:fill="FFFFFF"/>
        </w:rPr>
      </w:pPr>
      <w:r>
        <w:rPr>
          <w:rFonts w:hint="eastAsia" w:hAnsi="宋体" w:cs="宋体"/>
          <w:b/>
          <w:bCs/>
          <w:i w:val="0"/>
          <w:iCs w:val="0"/>
          <w:color w:val="auto"/>
          <w:sz w:val="40"/>
          <w:szCs w:val="48"/>
          <w:highlight w:val="none"/>
          <w:lang w:eastAsia="zh-CN"/>
        </w:rPr>
        <w:t>杭州市余杭区2023-2025年度专项债券发行准备法律专业服务采购项目</w:t>
      </w:r>
    </w:p>
    <w:p>
      <w:pPr>
        <w:shd w:val="clear" w:color="auto" w:fill="FFFFFF"/>
        <w:snapToGrid w:val="0"/>
        <w:spacing w:after="50"/>
        <w:jc w:val="center"/>
        <w:rPr>
          <w:rFonts w:hint="eastAsia" w:ascii="宋体" w:hAnsi="宋体" w:eastAsia="宋体" w:cs="宋体"/>
          <w:b/>
          <w:i w:val="0"/>
          <w:iCs w:val="0"/>
          <w:color w:val="auto"/>
          <w:sz w:val="72"/>
          <w:szCs w:val="72"/>
          <w:highlight w:val="none"/>
          <w:shd w:val="clear" w:color="auto" w:fill="FFFFFF"/>
        </w:rPr>
      </w:pPr>
      <w:r>
        <w:rPr>
          <w:rFonts w:hint="eastAsia" w:ascii="宋体" w:hAnsi="宋体" w:eastAsia="宋体" w:cs="宋体"/>
          <w:b/>
          <w:i w:val="0"/>
          <w:iCs w:val="0"/>
          <w:color w:val="auto"/>
          <w:sz w:val="72"/>
          <w:szCs w:val="72"/>
          <w:highlight w:val="none"/>
          <w:shd w:val="clear" w:color="auto" w:fill="FFFFFF"/>
        </w:rPr>
        <w:t>响 应 文 件</w:t>
      </w:r>
    </w:p>
    <w:p>
      <w:pPr>
        <w:shd w:val="clear" w:color="auto" w:fill="FFFFFF"/>
        <w:snapToGrid w:val="0"/>
        <w:spacing w:after="50"/>
        <w:jc w:val="center"/>
        <w:rPr>
          <w:rFonts w:hint="eastAsia" w:ascii="宋体" w:hAnsi="宋体" w:eastAsia="宋体" w:cs="宋体"/>
          <w:b/>
          <w:i w:val="0"/>
          <w:iCs w:val="0"/>
          <w:color w:val="auto"/>
          <w:sz w:val="52"/>
          <w:szCs w:val="52"/>
          <w:highlight w:val="none"/>
          <w:shd w:val="clear" w:color="auto" w:fill="FFFFFF"/>
        </w:rPr>
      </w:pPr>
    </w:p>
    <w:p>
      <w:pPr>
        <w:shd w:val="clear" w:color="auto" w:fill="FFFFFF"/>
        <w:snapToGrid w:val="0"/>
        <w:spacing w:after="50"/>
        <w:jc w:val="center"/>
        <w:rPr>
          <w:rFonts w:hint="eastAsia" w:ascii="宋体" w:hAnsi="宋体" w:eastAsia="宋体" w:cs="宋体"/>
          <w:b/>
          <w:i w:val="0"/>
          <w:iCs w:val="0"/>
          <w:color w:val="auto"/>
          <w:sz w:val="52"/>
          <w:szCs w:val="52"/>
          <w:highlight w:val="none"/>
          <w:shd w:val="clear" w:color="auto" w:fill="FFFFFF"/>
        </w:rPr>
      </w:pPr>
      <w:r>
        <w:rPr>
          <w:rFonts w:hint="eastAsia" w:ascii="宋体" w:hAnsi="宋体" w:eastAsia="宋体" w:cs="宋体"/>
          <w:b/>
          <w:i w:val="0"/>
          <w:iCs w:val="0"/>
          <w:color w:val="auto"/>
          <w:sz w:val="52"/>
          <w:szCs w:val="52"/>
          <w:highlight w:val="none"/>
          <w:shd w:val="clear" w:color="auto" w:fill="FFFFFF"/>
        </w:rPr>
        <w:t>（商务技术文件）</w:t>
      </w:r>
    </w:p>
    <w:p>
      <w:pPr>
        <w:shd w:val="clear" w:color="auto" w:fill="FFFFFF"/>
        <w:snapToGrid w:val="0"/>
        <w:spacing w:after="50"/>
        <w:jc w:val="center"/>
        <w:rPr>
          <w:rFonts w:hint="eastAsia" w:ascii="宋体" w:hAnsi="宋体" w:eastAsia="宋体" w:cs="宋体"/>
          <w:b/>
          <w:i w:val="0"/>
          <w:iCs w:val="0"/>
          <w:color w:val="auto"/>
          <w:sz w:val="44"/>
          <w:szCs w:val="44"/>
          <w:highlight w:val="none"/>
        </w:rPr>
      </w:pPr>
    </w:p>
    <w:p>
      <w:pPr>
        <w:shd w:val="clear" w:color="auto" w:fill="FFFFFF"/>
        <w:snapToGrid w:val="0"/>
        <w:spacing w:after="50"/>
        <w:rPr>
          <w:rFonts w:hint="eastAsia" w:ascii="宋体" w:hAnsi="宋体" w:eastAsia="宋体" w:cs="宋体"/>
          <w:bCs/>
          <w:i w:val="0"/>
          <w:iCs w:val="0"/>
          <w:color w:val="auto"/>
          <w:sz w:val="24"/>
          <w:highlight w:val="none"/>
          <w:lang w:val="en-US" w:eastAsia="zh-CN"/>
        </w:rPr>
      </w:pPr>
      <w:r>
        <w:rPr>
          <w:rFonts w:hint="eastAsia" w:ascii="宋体" w:hAnsi="宋体" w:cs="宋体"/>
          <w:bCs/>
          <w:i w:val="0"/>
          <w:iCs w:val="0"/>
          <w:color w:val="auto"/>
          <w:sz w:val="24"/>
          <w:highlight w:val="none"/>
          <w:lang w:val="en-US" w:eastAsia="zh-CN"/>
        </w:rPr>
        <w:t xml:space="preserve"> </w:t>
      </w:r>
    </w:p>
    <w:p>
      <w:pPr>
        <w:shd w:val="clear" w:color="auto" w:fill="FFFFFF"/>
        <w:snapToGrid w:val="0"/>
        <w:spacing w:after="50"/>
        <w:jc w:val="center"/>
        <w:rPr>
          <w:rFonts w:hint="eastAsia" w:ascii="宋体" w:hAnsi="宋体" w:eastAsia="宋体" w:cs="宋体"/>
          <w:bCs/>
          <w:i w:val="0"/>
          <w:iCs w:val="0"/>
          <w:color w:val="auto"/>
          <w:sz w:val="24"/>
          <w:highlight w:val="none"/>
        </w:rPr>
      </w:pPr>
    </w:p>
    <w:p>
      <w:pPr>
        <w:pStyle w:val="18"/>
        <w:ind w:firstLine="480"/>
        <w:rPr>
          <w:rFonts w:hint="eastAsia" w:ascii="宋体" w:hAnsi="宋体" w:eastAsia="宋体" w:cs="宋体"/>
          <w:bCs/>
          <w:i w:val="0"/>
          <w:iCs w:val="0"/>
          <w:color w:val="auto"/>
          <w:sz w:val="24"/>
          <w:highlight w:val="none"/>
        </w:rPr>
      </w:pPr>
    </w:p>
    <w:p>
      <w:pPr>
        <w:rPr>
          <w:rFonts w:hint="eastAsia" w:ascii="宋体" w:hAnsi="宋体" w:eastAsia="宋体" w:cs="宋体"/>
          <w:bCs/>
          <w:i w:val="0"/>
          <w:iCs w:val="0"/>
          <w:color w:val="auto"/>
          <w:sz w:val="24"/>
          <w:highlight w:val="none"/>
        </w:rPr>
      </w:pPr>
    </w:p>
    <w:p>
      <w:pPr>
        <w:pStyle w:val="18"/>
        <w:ind w:firstLine="480"/>
        <w:rPr>
          <w:rFonts w:hint="eastAsia" w:ascii="宋体" w:hAnsi="宋体" w:eastAsia="宋体" w:cs="宋体"/>
          <w:bCs/>
          <w:i w:val="0"/>
          <w:iCs w:val="0"/>
          <w:color w:val="auto"/>
          <w:sz w:val="24"/>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shd w:val="clear" w:color="auto" w:fill="FFFFFF"/>
        <w:snapToGrid w:val="0"/>
        <w:spacing w:after="50"/>
        <w:rPr>
          <w:rFonts w:hint="eastAsia" w:ascii="宋体" w:hAnsi="宋体" w:eastAsia="宋体" w:cs="宋体"/>
          <w:bCs/>
          <w:i w:val="0"/>
          <w:iCs w:val="0"/>
          <w:color w:val="auto"/>
          <w:sz w:val="24"/>
          <w:szCs w:val="20"/>
          <w:highlight w:val="none"/>
        </w:rPr>
      </w:pP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r>
        <w:rPr>
          <w:rFonts w:hint="eastAsia" w:ascii="宋体" w:hAnsi="宋体" w:eastAsia="宋体" w:cs="宋体"/>
          <w:bCs/>
          <w:i w:val="0"/>
          <w:iCs w:val="0"/>
          <w:color w:val="auto"/>
          <w:sz w:val="30"/>
          <w:szCs w:val="30"/>
          <w:highlight w:val="none"/>
        </w:rPr>
        <w:t>项目编号：</w:t>
      </w: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r>
        <w:rPr>
          <w:rFonts w:hint="eastAsia" w:ascii="宋体" w:hAnsi="宋体" w:eastAsia="宋体" w:cs="宋体"/>
          <w:bCs/>
          <w:i w:val="0"/>
          <w:iCs w:val="0"/>
          <w:color w:val="auto"/>
          <w:sz w:val="30"/>
          <w:szCs w:val="30"/>
          <w:highlight w:val="none"/>
        </w:rPr>
        <w:t>供应商全称（公章）：</w:t>
      </w: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r>
        <w:rPr>
          <w:rFonts w:hint="eastAsia" w:ascii="宋体" w:hAnsi="宋体" w:eastAsia="宋体" w:cs="宋体"/>
          <w:bCs/>
          <w:i w:val="0"/>
          <w:iCs w:val="0"/>
          <w:color w:val="auto"/>
          <w:sz w:val="30"/>
          <w:szCs w:val="30"/>
          <w:highlight w:val="none"/>
        </w:rPr>
        <w:t>供应商地址：</w:t>
      </w: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r>
        <w:rPr>
          <w:rFonts w:hint="eastAsia" w:ascii="宋体" w:hAnsi="宋体" w:eastAsia="宋体" w:cs="宋体"/>
          <w:bCs/>
          <w:i w:val="0"/>
          <w:iCs w:val="0"/>
          <w:color w:val="auto"/>
          <w:sz w:val="30"/>
          <w:szCs w:val="30"/>
          <w:highlight w:val="none"/>
        </w:rPr>
        <w:t>联系电话：</w:t>
      </w: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p>
    <w:p>
      <w:pPr>
        <w:shd w:val="clear" w:color="auto" w:fill="FFFFFF"/>
        <w:snapToGrid w:val="0"/>
        <w:spacing w:after="50"/>
        <w:ind w:firstLine="5100" w:firstLineChars="1700"/>
        <w:rPr>
          <w:rFonts w:hint="eastAsia" w:ascii="宋体" w:hAnsi="宋体" w:eastAsia="宋体" w:cs="宋体"/>
          <w:i w:val="0"/>
          <w:iCs w:val="0"/>
          <w:color w:val="auto"/>
          <w:sz w:val="28"/>
          <w:szCs w:val="21"/>
          <w:highlight w:val="none"/>
        </w:rPr>
      </w:pPr>
      <w:r>
        <w:rPr>
          <w:rFonts w:hint="eastAsia" w:ascii="宋体" w:hAnsi="宋体" w:eastAsia="宋体" w:cs="宋体"/>
          <w:bCs/>
          <w:i w:val="0"/>
          <w:iCs w:val="0"/>
          <w:color w:val="auto"/>
          <w:sz w:val="30"/>
          <w:szCs w:val="30"/>
          <w:highlight w:val="none"/>
        </w:rPr>
        <w:t xml:space="preserve"> </w:t>
      </w:r>
    </w:p>
    <w:p>
      <w:pPr>
        <w:shd w:val="clear" w:color="auto" w:fill="FFFFFF"/>
        <w:snapToGrid w:val="0"/>
        <w:spacing w:after="50"/>
        <w:ind w:right="670" w:rightChars="319" w:firstLine="645"/>
        <w:jc w:val="center"/>
        <w:rPr>
          <w:rFonts w:hint="eastAsia" w:ascii="宋体" w:hAnsi="宋体" w:eastAsia="宋体" w:cs="宋体"/>
          <w:i w:val="0"/>
          <w:iCs w:val="0"/>
          <w:color w:val="auto"/>
          <w:sz w:val="28"/>
          <w:szCs w:val="21"/>
          <w:highlight w:val="none"/>
        </w:rPr>
      </w:pPr>
      <w:r>
        <w:rPr>
          <w:rFonts w:hint="eastAsia" w:ascii="宋体" w:hAnsi="宋体" w:eastAsia="宋体" w:cs="宋体"/>
          <w:i w:val="0"/>
          <w:iCs w:val="0"/>
          <w:color w:val="auto"/>
          <w:sz w:val="28"/>
          <w:szCs w:val="28"/>
          <w:highlight w:val="none"/>
        </w:rPr>
        <w:t>年  月  日</w:t>
      </w:r>
    </w:p>
    <w:p>
      <w:pPr>
        <w:spacing w:line="360" w:lineRule="auto"/>
        <w:jc w:val="center"/>
        <w:rPr>
          <w:rFonts w:hint="eastAsia" w:ascii="宋体" w:hAnsi="宋体" w:eastAsia="宋体" w:cs="宋体"/>
          <w:b/>
          <w:i w:val="0"/>
          <w:iCs w:val="0"/>
          <w:color w:val="auto"/>
          <w:kern w:val="0"/>
          <w:sz w:val="24"/>
          <w:highlight w:val="none"/>
        </w:rPr>
      </w:pPr>
    </w:p>
    <w:p>
      <w:pPr>
        <w:rPr>
          <w:rFonts w:hint="eastAsia" w:ascii="宋体" w:hAnsi="宋体" w:eastAsia="宋体" w:cs="宋体"/>
          <w:b/>
          <w:i w:val="0"/>
          <w:iCs w:val="0"/>
          <w:color w:val="auto"/>
          <w:kern w:val="0"/>
          <w:sz w:val="28"/>
          <w:szCs w:val="28"/>
          <w:highlight w:val="none"/>
        </w:rPr>
      </w:pPr>
      <w:r>
        <w:rPr>
          <w:rFonts w:hint="eastAsia" w:ascii="宋体" w:hAnsi="宋体" w:eastAsia="宋体" w:cs="宋体"/>
          <w:b/>
          <w:i w:val="0"/>
          <w:iCs w:val="0"/>
          <w:color w:val="auto"/>
          <w:kern w:val="0"/>
          <w:sz w:val="28"/>
          <w:szCs w:val="28"/>
          <w:highlight w:val="none"/>
        </w:rPr>
        <w:br w:type="page"/>
      </w:r>
    </w:p>
    <w:p>
      <w:pPr>
        <w:rPr>
          <w:rFonts w:hint="eastAsia" w:ascii="宋体" w:hAnsi="宋体" w:eastAsia="宋体" w:cs="宋体"/>
          <w:b/>
          <w:i w:val="0"/>
          <w:iCs w:val="0"/>
          <w:color w:val="auto"/>
          <w:kern w:val="0"/>
          <w:sz w:val="32"/>
          <w:szCs w:val="32"/>
          <w:highlight w:val="none"/>
          <w:lang w:val="zh-CN"/>
        </w:rPr>
      </w:pPr>
    </w:p>
    <w:p>
      <w:pPr>
        <w:adjustRightInd/>
        <w:spacing w:line="360" w:lineRule="auto"/>
        <w:jc w:val="center"/>
        <w:rPr>
          <w:rFonts w:hint="eastAsia" w:ascii="宋体" w:hAnsi="宋体" w:eastAsia="宋体" w:cs="宋体"/>
          <w:b/>
          <w:bCs/>
          <w:i w:val="0"/>
          <w:iCs w:val="0"/>
          <w:color w:val="auto"/>
          <w:sz w:val="32"/>
          <w:szCs w:val="32"/>
          <w:highlight w:val="none"/>
        </w:rPr>
      </w:pPr>
      <w:r>
        <w:rPr>
          <w:rFonts w:hint="eastAsia" w:ascii="宋体" w:hAnsi="宋体" w:eastAsia="宋体" w:cs="宋体"/>
          <w:b/>
          <w:bCs/>
          <w:i w:val="0"/>
          <w:iCs w:val="0"/>
          <w:color w:val="auto"/>
          <w:sz w:val="32"/>
          <w:szCs w:val="32"/>
          <w:highlight w:val="none"/>
        </w:rPr>
        <w:t>详细评审索引</w:t>
      </w:r>
    </w:p>
    <w:tbl>
      <w:tblPr>
        <w:tblStyle w:val="64"/>
        <w:tblW w:w="82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611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序号</w:t>
            </w:r>
          </w:p>
        </w:tc>
        <w:tc>
          <w:tcPr>
            <w:tcW w:w="6119" w:type="dxa"/>
            <w:vAlign w:val="center"/>
          </w:tcPr>
          <w:p>
            <w:pPr>
              <w:snapToGrid w:val="0"/>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评分/评审细则</w:t>
            </w:r>
          </w:p>
        </w:tc>
        <w:tc>
          <w:tcPr>
            <w:tcW w:w="1276" w:type="dxa"/>
            <w:vAlign w:val="center"/>
          </w:tcPr>
          <w:p>
            <w:pPr>
              <w:snapToGrid w:val="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页码</w:t>
            </w:r>
            <w:r>
              <w:rPr>
                <w:rFonts w:hint="eastAsia" w:ascii="宋体" w:hAnsi="宋体" w:eastAsia="宋体" w:cs="宋体"/>
                <w:b/>
                <w:color w:val="auto"/>
                <w:sz w:val="24"/>
                <w:highlight w:val="none"/>
                <w:lang w:eastAsia="zh-CN"/>
              </w:rPr>
              <w:t>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rPr>
                <w:rFonts w:hint="eastAsia" w:ascii="宋体" w:hAnsi="宋体" w:eastAsia="宋体" w:cs="宋体"/>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rPr>
                <w:rFonts w:hint="eastAsia" w:ascii="宋体" w:hAnsi="宋体" w:eastAsia="宋体" w:cs="宋体"/>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rPr>
                <w:rFonts w:hint="eastAsia" w:ascii="宋体" w:hAnsi="宋体" w:eastAsia="宋体" w:cs="宋体"/>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rPr>
                <w:rFonts w:hint="eastAsia" w:ascii="宋体" w:hAnsi="宋体" w:eastAsia="宋体" w:cs="宋体"/>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ind w:left="-2" w:firstLine="2"/>
              <w:rPr>
                <w:rFonts w:hint="eastAsia" w:ascii="宋体" w:hAnsi="宋体" w:eastAsia="宋体" w:cs="宋体"/>
                <w:b/>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ind w:left="-2" w:firstLine="2"/>
              <w:rPr>
                <w:rFonts w:hint="eastAsia" w:ascii="宋体" w:hAnsi="宋体" w:eastAsia="宋体" w:cs="宋体"/>
                <w:b/>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ind w:left="-2" w:firstLine="2"/>
              <w:rPr>
                <w:rFonts w:hint="eastAsia" w:ascii="宋体" w:hAnsi="宋体" w:eastAsia="宋体" w:cs="宋体"/>
                <w:b/>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ind w:left="-2" w:firstLine="2"/>
              <w:rPr>
                <w:rFonts w:hint="eastAsia" w:ascii="宋体" w:hAnsi="宋体" w:eastAsia="宋体" w:cs="宋体"/>
                <w:b/>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snapToGrid w:val="0"/>
              <w:jc w:val="center"/>
              <w:rPr>
                <w:rFonts w:hint="eastAsia" w:ascii="宋体" w:hAnsi="宋体" w:eastAsia="宋体" w:cs="宋体"/>
                <w:i w:val="0"/>
                <w:iCs w:val="0"/>
                <w:color w:val="auto"/>
                <w:sz w:val="24"/>
                <w:highlight w:val="none"/>
              </w:rPr>
            </w:pPr>
          </w:p>
        </w:tc>
        <w:tc>
          <w:tcPr>
            <w:tcW w:w="6119" w:type="dxa"/>
            <w:vAlign w:val="center"/>
          </w:tcPr>
          <w:p>
            <w:pPr>
              <w:snapToGrid w:val="0"/>
              <w:ind w:left="-2" w:firstLine="2"/>
              <w:rPr>
                <w:rFonts w:hint="eastAsia" w:ascii="宋体" w:hAnsi="宋体" w:eastAsia="宋体" w:cs="宋体"/>
                <w:b/>
                <w:i w:val="0"/>
                <w:iCs w:val="0"/>
                <w:color w:val="auto"/>
                <w:sz w:val="24"/>
                <w:highlight w:val="none"/>
              </w:rPr>
            </w:pPr>
          </w:p>
        </w:tc>
        <w:tc>
          <w:tcPr>
            <w:tcW w:w="1276" w:type="dxa"/>
            <w:vAlign w:val="center"/>
          </w:tcPr>
          <w:p>
            <w:pPr>
              <w:snapToGrid w:val="0"/>
              <w:jc w:val="center"/>
              <w:rPr>
                <w:rFonts w:hint="eastAsia" w:ascii="宋体" w:hAnsi="宋体" w:eastAsia="宋体" w:cs="宋体"/>
                <w:b/>
                <w:i w:val="0"/>
                <w:iCs w:val="0"/>
                <w:color w:val="auto"/>
                <w:sz w:val="24"/>
                <w:highlight w:val="none"/>
              </w:rPr>
            </w:pPr>
          </w:p>
        </w:tc>
      </w:tr>
    </w:tbl>
    <w:p>
      <w:pPr>
        <w:adjustRightInd/>
        <w:spacing w:line="440" w:lineRule="exact"/>
        <w:ind w:firstLine="840" w:firstLineChars="400"/>
        <w:rPr>
          <w:rFonts w:hint="eastAsia" w:ascii="宋体" w:hAnsi="宋体" w:eastAsia="宋体" w:cs="宋体"/>
          <w:i w:val="0"/>
          <w:iCs w:val="0"/>
          <w:color w:val="auto"/>
          <w:highlight w:val="none"/>
        </w:rPr>
      </w:pPr>
      <w:r>
        <w:rPr>
          <w:rFonts w:hint="eastAsia" w:ascii="宋体" w:hAnsi="宋体" w:eastAsia="宋体" w:cs="宋体"/>
          <w:i w:val="0"/>
          <w:iCs w:val="0"/>
          <w:color w:val="auto"/>
          <w:szCs w:val="21"/>
          <w:highlight w:val="none"/>
        </w:rPr>
        <w:t>注：供应商根据评审办法的“评审因素”条款一一对应填写本表。</w:t>
      </w:r>
    </w:p>
    <w:p>
      <w:pPr>
        <w:pStyle w:val="18"/>
        <w:ind w:firstLine="420"/>
        <w:rPr>
          <w:rFonts w:hint="eastAsia" w:ascii="宋体" w:hAnsi="宋体" w:eastAsia="宋体" w:cs="宋体"/>
          <w:i w:val="0"/>
          <w:iCs w:val="0"/>
          <w:color w:val="auto"/>
          <w:highlight w:val="none"/>
          <w:lang w:val="zh-CN"/>
        </w:rPr>
      </w:pPr>
    </w:p>
    <w:p>
      <w:pPr>
        <w:snapToGrid w:val="0"/>
        <w:spacing w:line="360" w:lineRule="auto"/>
        <w:jc w:val="center"/>
        <w:rPr>
          <w:rFonts w:hint="eastAsia" w:ascii="宋体" w:hAnsi="宋体" w:eastAsia="宋体" w:cs="宋体"/>
          <w:b/>
          <w:i w:val="0"/>
          <w:iCs w:val="0"/>
          <w:color w:val="auto"/>
          <w:kern w:val="0"/>
          <w:sz w:val="32"/>
          <w:szCs w:val="32"/>
          <w:highlight w:val="none"/>
          <w:lang w:val="zh-CN"/>
        </w:rPr>
      </w:pPr>
    </w:p>
    <w:p>
      <w:pPr>
        <w:snapToGrid w:val="0"/>
        <w:spacing w:line="360" w:lineRule="auto"/>
        <w:jc w:val="center"/>
        <w:rPr>
          <w:rFonts w:hint="eastAsia" w:ascii="宋体" w:hAnsi="宋体" w:eastAsia="宋体" w:cs="宋体"/>
          <w:b/>
          <w:i w:val="0"/>
          <w:iCs w:val="0"/>
          <w:color w:val="auto"/>
          <w:kern w:val="0"/>
          <w:sz w:val="32"/>
          <w:szCs w:val="32"/>
          <w:highlight w:val="none"/>
          <w:lang w:val="zh-CN"/>
        </w:rPr>
      </w:pPr>
    </w:p>
    <w:p>
      <w:pPr>
        <w:snapToGrid w:val="0"/>
        <w:spacing w:line="360" w:lineRule="auto"/>
        <w:jc w:val="center"/>
        <w:rPr>
          <w:rFonts w:hint="eastAsia" w:ascii="宋体" w:hAnsi="宋体" w:eastAsia="宋体" w:cs="宋体"/>
          <w:b/>
          <w:i w:val="0"/>
          <w:iCs w:val="0"/>
          <w:color w:val="auto"/>
          <w:kern w:val="0"/>
          <w:sz w:val="32"/>
          <w:szCs w:val="32"/>
          <w:highlight w:val="none"/>
          <w:lang w:val="zh-CN"/>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rPr>
          <w:rFonts w:hint="eastAsia" w:ascii="宋体" w:hAnsi="宋体" w:eastAsia="宋体" w:cs="宋体"/>
          <w:i w:val="0"/>
          <w:iCs w:val="0"/>
          <w:color w:val="auto"/>
          <w:highlight w:val="none"/>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snapToGrid w:val="0"/>
        <w:spacing w:line="360" w:lineRule="auto"/>
        <w:jc w:val="center"/>
        <w:rPr>
          <w:rFonts w:hint="eastAsia" w:ascii="宋体" w:hAnsi="宋体" w:eastAsia="宋体" w:cs="宋体"/>
          <w:b/>
          <w:i w:val="0"/>
          <w:iCs w:val="0"/>
          <w:color w:val="auto"/>
          <w:kern w:val="0"/>
          <w:sz w:val="32"/>
          <w:szCs w:val="32"/>
          <w:highlight w:val="none"/>
        </w:rPr>
      </w:pPr>
    </w:p>
    <w:p>
      <w:pPr>
        <w:numPr>
          <w:ilvl w:val="0"/>
          <w:numId w:val="11"/>
        </w:numPr>
        <w:snapToGrid w:val="0"/>
        <w:spacing w:line="360" w:lineRule="auto"/>
        <w:jc w:val="center"/>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kern w:val="0"/>
          <w:sz w:val="32"/>
          <w:szCs w:val="32"/>
          <w:highlight w:val="none"/>
        </w:rPr>
        <w:t>响应</w:t>
      </w:r>
      <w:r>
        <w:rPr>
          <w:rFonts w:hint="eastAsia" w:ascii="宋体" w:hAnsi="宋体" w:eastAsia="宋体" w:cs="宋体"/>
          <w:b/>
          <w:i w:val="0"/>
          <w:iCs w:val="0"/>
          <w:color w:val="auto"/>
          <w:sz w:val="32"/>
          <w:szCs w:val="32"/>
          <w:highlight w:val="none"/>
        </w:rPr>
        <w:t>函</w:t>
      </w:r>
    </w:p>
    <w:p>
      <w:pPr>
        <w:pStyle w:val="98"/>
        <w:numPr>
          <w:ilvl w:val="-1"/>
          <w:numId w:val="0"/>
        </w:numPr>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lang w:val="en-US" w:eastAsia="zh-CN"/>
        </w:rPr>
        <w:t>杭州市余杭区</w:t>
      </w:r>
      <w:r>
        <w:rPr>
          <w:rFonts w:hint="eastAsia" w:ascii="宋体" w:hAnsi="宋体" w:eastAsia="宋体" w:cs="宋体"/>
          <w:i w:val="0"/>
          <w:iCs w:val="0"/>
          <w:color w:val="auto"/>
          <w:sz w:val="24"/>
          <w:highlight w:val="none"/>
          <w:u w:val="single"/>
        </w:rPr>
        <w:t>财政局</w:t>
      </w:r>
      <w:r>
        <w:rPr>
          <w:rFonts w:hint="eastAsia" w:ascii="宋体" w:hAnsi="宋体" w:eastAsia="宋体" w:cs="宋体"/>
          <w:i w:val="0"/>
          <w:iCs w:val="0"/>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我方参加你方组织的</w:t>
      </w:r>
      <w:r>
        <w:rPr>
          <w:rFonts w:hint="eastAsia" w:ascii="宋体" w:hAnsi="宋体" w:eastAsia="宋体" w:cs="宋体"/>
          <w:i w:val="0"/>
          <w:iCs w:val="0"/>
          <w:color w:val="auto"/>
          <w:sz w:val="24"/>
          <w:highlight w:val="none"/>
          <w:u w:val="single"/>
        </w:rPr>
        <w:t>（项目名称）【项目编号：    】</w:t>
      </w:r>
      <w:r>
        <w:rPr>
          <w:rFonts w:hint="eastAsia" w:ascii="宋体" w:hAnsi="宋体" w:eastAsia="宋体" w:cs="宋体"/>
          <w:i w:val="0"/>
          <w:iCs w:val="0"/>
          <w:color w:val="auto"/>
          <w:sz w:val="24"/>
          <w:highlight w:val="none"/>
        </w:rPr>
        <w:t>征集的有关活动，并对此项目进行响应。为此：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1.我方承诺响应有效期从提交响应文件的截止之日起</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天（不少于90天）</w:t>
      </w:r>
      <w:r>
        <w:rPr>
          <w:rFonts w:hint="eastAsia" w:ascii="宋体" w:hAnsi="宋体" w:eastAsia="宋体" w:cs="宋体"/>
          <w:i w:val="0"/>
          <w:iCs w:val="0"/>
          <w:color w:val="auto"/>
          <w:highlight w:val="none"/>
        </w:rPr>
        <w:t>，</w:t>
      </w:r>
      <w:r>
        <w:rPr>
          <w:rFonts w:hint="eastAsia" w:ascii="宋体" w:hAnsi="宋体" w:eastAsia="宋体" w:cs="宋体"/>
          <w:i w:val="0"/>
          <w:iCs w:val="0"/>
          <w:color w:val="auto"/>
          <w:sz w:val="24"/>
          <w:highlight w:val="none"/>
        </w:rPr>
        <w:t>本响应文件在响应有效期满之前均具有约束力。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2.我方的响应文件包括以下内容：</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i w:val="0"/>
          <w:iCs w:val="0"/>
          <w:color w:val="auto"/>
          <w:sz w:val="24"/>
          <w:highlight w:val="none"/>
          <w:lang w:val="zh-CN"/>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 xml:space="preserve"> </w:t>
      </w:r>
      <w:r>
        <w:rPr>
          <w:rFonts w:hint="eastAsia" w:ascii="宋体" w:hAnsi="宋体" w:eastAsia="宋体" w:cs="宋体"/>
          <w:i w:val="0"/>
          <w:iCs w:val="0"/>
          <w:color w:val="auto"/>
          <w:sz w:val="24"/>
          <w:highlight w:val="none"/>
        </w:rPr>
        <w:t>商务技术</w:t>
      </w:r>
      <w:r>
        <w:rPr>
          <w:rFonts w:hint="eastAsia" w:ascii="宋体" w:hAnsi="宋体" w:eastAsia="宋体" w:cs="宋体"/>
          <w:i w:val="0"/>
          <w:iCs w:val="0"/>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3.我方承诺除商务/技术偏离表列出的偏离外，我方响应征集文件的全部要求。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4.如我方入围，我方承诺：</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4.1在收到入围通知书后，在入围通知书规定的期限内与你方签订合同；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4.3按照征集文件要求提交履约保证金</w:t>
      </w:r>
      <w:r>
        <w:rPr>
          <w:rFonts w:hint="eastAsia" w:ascii="宋体" w:hAnsi="宋体" w:cs="宋体"/>
          <w:i w:val="0"/>
          <w:iCs w:val="0"/>
          <w:color w:val="auto"/>
          <w:sz w:val="24"/>
          <w:highlight w:val="none"/>
          <w:lang w:eastAsia="zh-CN"/>
        </w:rPr>
        <w:t>（如有）</w:t>
      </w:r>
      <w:r>
        <w:rPr>
          <w:rFonts w:hint="eastAsia" w:ascii="宋体" w:hAnsi="宋体" w:eastAsia="宋体" w:cs="宋体"/>
          <w:i w:val="0"/>
          <w:iCs w:val="0"/>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5.其他补充说明:</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w:t>
      </w:r>
    </w:p>
    <w:p>
      <w:pPr>
        <w:spacing w:line="360" w:lineRule="auto"/>
        <w:ind w:firstLine="4320" w:firstLineChars="1800"/>
        <w:rPr>
          <w:rFonts w:hint="eastAsia" w:ascii="宋体" w:hAnsi="宋体" w:eastAsia="宋体" w:cs="宋体"/>
          <w:i w:val="0"/>
          <w:iCs w:val="0"/>
          <w:color w:val="auto"/>
          <w:sz w:val="24"/>
          <w:highlight w:val="none"/>
        </w:rPr>
      </w:pPr>
    </w:p>
    <w:p>
      <w:pPr>
        <w:spacing w:line="360" w:lineRule="auto"/>
        <w:ind w:firstLine="4320" w:firstLineChars="1800"/>
        <w:rPr>
          <w:rFonts w:hint="eastAsia" w:ascii="宋体" w:hAnsi="宋体" w:eastAsia="宋体" w:cs="宋体"/>
          <w:i w:val="0"/>
          <w:iCs w:val="0"/>
          <w:color w:val="auto"/>
          <w:sz w:val="24"/>
          <w:highlight w:val="none"/>
        </w:rPr>
      </w:pPr>
    </w:p>
    <w:p>
      <w:pPr>
        <w:spacing w:line="360" w:lineRule="auto"/>
        <w:ind w:firstLine="4320" w:firstLineChars="1800"/>
        <w:rPr>
          <w:rFonts w:hint="eastAsia" w:ascii="宋体" w:hAnsi="宋体" w:eastAsia="宋体" w:cs="宋体"/>
          <w:i w:val="0"/>
          <w:iCs w:val="0"/>
          <w:color w:val="auto"/>
          <w:sz w:val="24"/>
          <w:highlight w:val="none"/>
        </w:rPr>
      </w:pPr>
    </w:p>
    <w:p>
      <w:pPr>
        <w:spacing w:line="360" w:lineRule="auto"/>
        <w:ind w:firstLine="4320" w:firstLineChars="18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供应商名称（</w:t>
      </w:r>
      <w:r>
        <w:rPr>
          <w:rFonts w:hint="eastAsia" w:ascii="宋体" w:hAnsi="宋体" w:eastAsia="宋体" w:cs="宋体"/>
          <w:i w:val="0"/>
          <w:iCs w:val="0"/>
          <w:color w:val="auto"/>
          <w:kern w:val="0"/>
          <w:sz w:val="24"/>
          <w:highlight w:val="none"/>
        </w:rPr>
        <w:t>电子签名</w:t>
      </w:r>
      <w:r>
        <w:rPr>
          <w:rFonts w:hint="eastAsia" w:ascii="宋体" w:hAnsi="宋体" w:eastAsia="宋体" w:cs="宋体"/>
          <w:i w:val="0"/>
          <w:iCs w:val="0"/>
          <w:color w:val="auto"/>
          <w:sz w:val="24"/>
          <w:highlight w:val="none"/>
        </w:rPr>
        <w:t xml:space="preserve">）：                          </w:t>
      </w:r>
    </w:p>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日期：  年   月   日</w:t>
      </w:r>
    </w:p>
    <w:p>
      <w:pPr>
        <w:rPr>
          <w:rFonts w:hint="eastAsia" w:ascii="宋体" w:hAnsi="宋体" w:eastAsia="宋体" w:cs="宋体"/>
          <w:i w:val="0"/>
          <w:iCs w:val="0"/>
          <w:color w:val="auto"/>
          <w:kern w:val="0"/>
          <w:sz w:val="24"/>
          <w:highlight w:val="none"/>
          <w:u w:val="single"/>
          <w:lang w:val="zh-CN"/>
        </w:rPr>
      </w:pPr>
      <w:r>
        <w:rPr>
          <w:rFonts w:hint="eastAsia" w:ascii="宋体" w:hAnsi="宋体" w:eastAsia="宋体" w:cs="宋体"/>
          <w:i w:val="0"/>
          <w:iCs w:val="0"/>
          <w:color w:val="auto"/>
          <w:kern w:val="0"/>
          <w:sz w:val="24"/>
          <w:highlight w:val="none"/>
          <w:u w:val="single"/>
          <w:lang w:val="zh-CN"/>
        </w:rPr>
        <w:br w:type="page"/>
      </w:r>
    </w:p>
    <w:p>
      <w:pPr>
        <w:rPr>
          <w:rFonts w:hint="eastAsia" w:ascii="宋体" w:hAnsi="宋体" w:eastAsia="宋体" w:cs="宋体"/>
          <w:b/>
          <w:i w:val="0"/>
          <w:iCs w:val="0"/>
          <w:color w:val="auto"/>
          <w:kern w:val="0"/>
          <w:sz w:val="32"/>
          <w:szCs w:val="32"/>
          <w:highlight w:val="none"/>
          <w:lang w:val="zh-CN"/>
        </w:rPr>
      </w:pP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i w:val="0"/>
          <w:iCs w:val="0"/>
          <w:color w:val="auto"/>
          <w:kern w:val="0"/>
          <w:sz w:val="30"/>
          <w:szCs w:val="30"/>
          <w:highlight w:val="none"/>
          <w:lang w:val="zh-CN"/>
        </w:rPr>
      </w:pPr>
      <w:r>
        <w:rPr>
          <w:rFonts w:hint="eastAsia" w:ascii="宋体" w:hAnsi="宋体" w:eastAsia="宋体" w:cs="宋体"/>
          <w:b/>
          <w:i w:val="0"/>
          <w:iCs w:val="0"/>
          <w:color w:val="auto"/>
          <w:kern w:val="0"/>
          <w:sz w:val="30"/>
          <w:szCs w:val="30"/>
          <w:highlight w:val="none"/>
          <w:lang w:val="zh-CN"/>
        </w:rPr>
        <w:t>授权委托书或法定代表人（单位负责人、自然人本人）身份证明</w:t>
      </w: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w:t>
      </w:r>
    </w:p>
    <w:p>
      <w:pPr>
        <w:snapToGrid w:val="0"/>
        <w:spacing w:line="360" w:lineRule="auto"/>
        <w:jc w:val="center"/>
        <w:rPr>
          <w:rFonts w:hint="eastAsia" w:ascii="宋体" w:hAnsi="宋体" w:eastAsia="宋体" w:cs="宋体"/>
          <w:i w:val="0"/>
          <w:iCs w:val="0"/>
          <w:color w:val="auto"/>
          <w:highlight w:val="none"/>
        </w:rPr>
      </w:pPr>
      <w:r>
        <w:rPr>
          <w:rFonts w:hint="eastAsia" w:ascii="宋体" w:hAnsi="宋体" w:eastAsia="宋体" w:cs="宋体"/>
          <w:b/>
          <w:i w:val="0"/>
          <w:iCs w:val="0"/>
          <w:color w:val="auto"/>
          <w:kern w:val="0"/>
          <w:sz w:val="32"/>
          <w:szCs w:val="32"/>
          <w:highlight w:val="none"/>
          <w:lang w:val="zh-CN"/>
        </w:rPr>
        <w:t>法定代表人授权委托书</w:t>
      </w:r>
    </w:p>
    <w:p>
      <w:pPr>
        <w:snapToGrid w:val="0"/>
        <w:spacing w:line="360" w:lineRule="auto"/>
        <w:rPr>
          <w:rFonts w:hint="eastAsia" w:ascii="宋体" w:hAnsi="宋体" w:eastAsia="宋体" w:cs="宋体"/>
          <w:i w:val="0"/>
          <w:iCs w:val="0"/>
          <w:color w:val="auto"/>
          <w:sz w:val="24"/>
          <w:highlight w:val="none"/>
          <w:u w:val="single"/>
          <w:lang w:val="en-US" w:eastAsia="zh-CN"/>
        </w:rPr>
      </w:pP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lang w:val="en-US" w:eastAsia="zh-CN"/>
        </w:rPr>
        <w:t>杭州市余杭区</w:t>
      </w:r>
      <w:r>
        <w:rPr>
          <w:rFonts w:hint="eastAsia" w:ascii="宋体" w:hAnsi="宋体" w:eastAsia="宋体" w:cs="宋体"/>
          <w:i w:val="0"/>
          <w:iCs w:val="0"/>
          <w:color w:val="auto"/>
          <w:sz w:val="24"/>
          <w:highlight w:val="none"/>
          <w:u w:val="single"/>
        </w:rPr>
        <w:t>财政局</w:t>
      </w:r>
      <w:r>
        <w:rPr>
          <w:rFonts w:hint="eastAsia" w:ascii="宋体" w:hAnsi="宋体" w:eastAsia="宋体" w:cs="宋体"/>
          <w:i w:val="0"/>
          <w:iCs w:val="0"/>
          <w:color w:val="auto"/>
          <w:sz w:val="24"/>
          <w:highlight w:val="none"/>
        </w:rPr>
        <w:t>：</w:t>
      </w:r>
    </w:p>
    <w:p>
      <w:pPr>
        <w:snapToGrid w:val="0"/>
        <w:spacing w:line="360" w:lineRule="auto"/>
        <w:ind w:firstLine="576"/>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我单位法定代表人</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rPr>
        <w:t>，现</w:t>
      </w:r>
      <w:r>
        <w:rPr>
          <w:rFonts w:hint="eastAsia" w:ascii="宋体" w:hAnsi="宋体" w:eastAsia="宋体" w:cs="宋体"/>
          <w:i w:val="0"/>
          <w:iCs w:val="0"/>
          <w:color w:val="auto"/>
          <w:kern w:val="0"/>
          <w:sz w:val="24"/>
          <w:highlight w:val="none"/>
          <w:lang w:val="zh-CN"/>
        </w:rPr>
        <w:t>委托</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（姓名）为我方代理人（身份证号码：</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，手机：</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），以我方名义处理</w:t>
      </w:r>
      <w:r>
        <w:rPr>
          <w:rFonts w:hint="eastAsia" w:ascii="宋体" w:hAnsi="宋体" w:eastAsia="宋体" w:cs="宋体"/>
          <w:i w:val="0"/>
          <w:iCs w:val="0"/>
          <w:color w:val="auto"/>
          <w:sz w:val="24"/>
          <w:highlight w:val="none"/>
        </w:rPr>
        <w:t>（项目名称）【项目编号： 】</w:t>
      </w:r>
      <w:r>
        <w:rPr>
          <w:rFonts w:hint="eastAsia" w:ascii="宋体" w:hAnsi="宋体" w:eastAsia="宋体" w:cs="宋体"/>
          <w:i w:val="0"/>
          <w:iCs w:val="0"/>
          <w:color w:val="auto"/>
          <w:kern w:val="0"/>
          <w:sz w:val="24"/>
          <w:highlight w:val="none"/>
          <w:lang w:val="zh-CN"/>
        </w:rPr>
        <w:t>政府采购响应的一切事项，其法律后果由我方承担。</w:t>
      </w:r>
    </w:p>
    <w:p>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委托期限</w:t>
      </w:r>
      <w:r>
        <w:rPr>
          <w:rFonts w:hint="eastAsia" w:ascii="宋体" w:hAnsi="宋体" w:eastAsia="宋体" w:cs="宋体"/>
          <w:i w:val="0"/>
          <w:iCs w:val="0"/>
          <w:color w:val="auto"/>
          <w:kern w:val="0"/>
          <w:sz w:val="24"/>
          <w:highlight w:val="none"/>
        </w:rPr>
        <w:t>：</w:t>
      </w:r>
      <w:r>
        <w:rPr>
          <w:rFonts w:hint="eastAsia" w:ascii="宋体" w:hAnsi="宋体" w:eastAsia="宋体" w:cs="宋体"/>
          <w:i w:val="0"/>
          <w:iCs w:val="0"/>
          <w:color w:val="auto"/>
          <w:kern w:val="0"/>
          <w:sz w:val="24"/>
          <w:highlight w:val="none"/>
          <w:lang w:val="zh-CN"/>
        </w:rPr>
        <w:t>自</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日起至</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日止。</w:t>
      </w:r>
    </w:p>
    <w:p>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特此告知。</w:t>
      </w:r>
    </w:p>
    <w:p>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 xml:space="preserve">                                                 供应商名称(</w:t>
      </w:r>
      <w:r>
        <w:rPr>
          <w:rFonts w:hint="eastAsia" w:ascii="宋体" w:hAnsi="宋体" w:eastAsia="宋体" w:cs="宋体"/>
          <w:i w:val="0"/>
          <w:iCs w:val="0"/>
          <w:color w:val="auto"/>
          <w:kern w:val="0"/>
          <w:sz w:val="24"/>
          <w:highlight w:val="none"/>
        </w:rPr>
        <w:t>电子签名</w:t>
      </w:r>
      <w:r>
        <w:rPr>
          <w:rFonts w:hint="eastAsia" w:ascii="宋体" w:hAnsi="宋体" w:eastAsia="宋体" w:cs="宋体"/>
          <w:i w:val="0"/>
          <w:iCs w:val="0"/>
          <w:color w:val="auto"/>
          <w:kern w:val="0"/>
          <w:sz w:val="24"/>
          <w:highlight w:val="none"/>
          <w:lang w:val="zh-CN"/>
        </w:rPr>
        <w:t>)：</w:t>
      </w:r>
    </w:p>
    <w:p>
      <w:pPr>
        <w:snapToGrid w:val="0"/>
        <w:spacing w:line="360" w:lineRule="auto"/>
        <w:rPr>
          <w:rFonts w:hint="eastAsia" w:ascii="宋体" w:hAnsi="宋体" w:eastAsia="宋体" w:cs="宋体"/>
          <w:i w:val="0"/>
          <w:iCs w:val="0"/>
          <w:color w:val="auto"/>
          <w:sz w:val="24"/>
          <w:highlight w:val="none"/>
          <w:shd w:val="clear" w:color="auto" w:fill="FFFFFF"/>
        </w:rPr>
      </w:pPr>
      <w:r>
        <w:rPr>
          <w:rFonts w:hint="eastAsia" w:ascii="宋体" w:hAnsi="宋体" w:eastAsia="宋体" w:cs="宋体"/>
          <w:i w:val="0"/>
          <w:iCs w:val="0"/>
          <w:color w:val="auto"/>
          <w:kern w:val="0"/>
          <w:sz w:val="24"/>
          <w:highlight w:val="none"/>
          <w:lang w:val="zh-CN"/>
        </w:rPr>
        <w:t xml:space="preserve">                                                 签发日期：  年  月   日</w:t>
      </w:r>
    </w:p>
    <w:p>
      <w:pPr>
        <w:snapToGrid w:val="0"/>
        <w:spacing w:before="120" w:beforeLines="50" w:after="50" w:line="360" w:lineRule="auto"/>
        <w:rPr>
          <w:rFonts w:hint="eastAsia" w:ascii="宋体" w:hAnsi="宋体" w:eastAsia="宋体" w:cs="宋体"/>
          <w:b/>
          <w:i w:val="0"/>
          <w:iCs w:val="0"/>
          <w:color w:val="auto"/>
          <w:sz w:val="24"/>
          <w:highlight w:val="none"/>
        </w:rPr>
      </w:pPr>
    </w:p>
    <w:p>
      <w:pPr>
        <w:snapToGrid w:val="0"/>
        <w:spacing w:before="120" w:beforeLines="50" w:after="50" w:line="360" w:lineRule="auto"/>
        <w:rPr>
          <w:rFonts w:hint="eastAsia" w:ascii="宋体" w:hAnsi="宋体" w:eastAsia="宋体" w:cs="宋体"/>
          <w:b/>
          <w:i w:val="0"/>
          <w:iCs w:val="0"/>
          <w:color w:val="auto"/>
          <w:sz w:val="24"/>
          <w:highlight w:val="none"/>
        </w:rPr>
      </w:pPr>
    </w:p>
    <w:p>
      <w:pPr>
        <w:snapToGrid w:val="0"/>
        <w:spacing w:before="120" w:beforeLines="50" w:after="50" w:line="360" w:lineRule="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后附：1.法定代表人身份证复印件（双面）；</w:t>
      </w:r>
    </w:p>
    <w:p>
      <w:pPr>
        <w:snapToGrid w:val="0"/>
        <w:spacing w:before="120" w:beforeLines="50" w:after="50" w:line="360" w:lineRule="auto"/>
        <w:ind w:firstLine="723" w:firstLineChars="300"/>
        <w:rPr>
          <w:rFonts w:hint="eastAsia" w:ascii="宋体" w:hAnsi="宋体" w:eastAsia="宋体" w:cs="宋体"/>
          <w:b/>
          <w:i w:val="0"/>
          <w:iCs w:val="0"/>
          <w:color w:val="auto"/>
          <w:sz w:val="24"/>
          <w:szCs w:val="20"/>
          <w:highlight w:val="none"/>
        </w:rPr>
      </w:pPr>
      <w:r>
        <w:rPr>
          <w:rFonts w:hint="eastAsia" w:ascii="宋体" w:hAnsi="宋体" w:eastAsia="宋体" w:cs="宋体"/>
          <w:b/>
          <w:i w:val="0"/>
          <w:iCs w:val="0"/>
          <w:color w:val="auto"/>
          <w:sz w:val="24"/>
          <w:highlight w:val="none"/>
        </w:rPr>
        <w:t>2.被授权人身份证复印件（双面）；</w:t>
      </w:r>
    </w:p>
    <w:p>
      <w:pPr>
        <w:rPr>
          <w:rFonts w:hint="eastAsia" w:ascii="宋体" w:hAnsi="宋体" w:eastAsia="宋体" w:cs="宋体"/>
          <w:b/>
          <w:i w:val="0"/>
          <w:iCs w:val="0"/>
          <w:color w:val="auto"/>
          <w:kern w:val="0"/>
          <w:sz w:val="32"/>
          <w:szCs w:val="32"/>
          <w:highlight w:val="none"/>
        </w:rPr>
      </w:pP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kern w:val="0"/>
          <w:sz w:val="32"/>
          <w:szCs w:val="32"/>
          <w:highlight w:val="none"/>
          <w:lang w:val="zh-CN"/>
        </w:rPr>
        <w:t>法定代表人、单位负责人或自然人本人</w:t>
      </w:r>
      <w:r>
        <w:rPr>
          <w:rFonts w:hint="eastAsia" w:ascii="宋体" w:hAnsi="宋体" w:eastAsia="宋体" w:cs="宋体"/>
          <w:b/>
          <w:i w:val="0"/>
          <w:iCs w:val="0"/>
          <w:color w:val="auto"/>
          <w:sz w:val="30"/>
          <w:szCs w:val="30"/>
          <w:highlight w:val="none"/>
        </w:rPr>
        <w:t>的身份证明（适用于法定代表人、单位负责人或者自然人本人代表供应商参加）</w:t>
      </w:r>
    </w:p>
    <w:p>
      <w:pPr>
        <w:pStyle w:val="89"/>
        <w:spacing w:line="360" w:lineRule="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正面：                                 反面：</w:t>
            </w:r>
          </w:p>
          <w:p>
            <w:pPr>
              <w:pStyle w:val="89"/>
              <w:adjustRightInd w:val="0"/>
              <w:spacing w:line="360" w:lineRule="auto"/>
              <w:rPr>
                <w:rFonts w:hint="eastAsia" w:ascii="宋体" w:hAnsi="宋体" w:eastAsia="宋体" w:cs="宋体"/>
                <w:bCs/>
                <w:i w:val="0"/>
                <w:iCs w:val="0"/>
                <w:color w:val="auto"/>
                <w:sz w:val="24"/>
                <w:highlight w:val="none"/>
              </w:rPr>
            </w:pPr>
          </w:p>
        </w:tc>
      </w:tr>
    </w:tbl>
    <w:p>
      <w:pPr>
        <w:snapToGrid w:val="0"/>
        <w:spacing w:line="360" w:lineRule="auto"/>
        <w:ind w:firstLine="576"/>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供应商名称(</w:t>
      </w:r>
      <w:r>
        <w:rPr>
          <w:rFonts w:hint="eastAsia" w:ascii="宋体" w:hAnsi="宋体" w:eastAsia="宋体" w:cs="宋体"/>
          <w:i w:val="0"/>
          <w:iCs w:val="0"/>
          <w:color w:val="auto"/>
          <w:kern w:val="0"/>
          <w:sz w:val="24"/>
          <w:highlight w:val="none"/>
        </w:rPr>
        <w:t>电子签名</w:t>
      </w:r>
      <w:r>
        <w:rPr>
          <w:rFonts w:hint="eastAsia" w:ascii="宋体" w:hAnsi="宋体" w:eastAsia="宋体" w:cs="宋体"/>
          <w:i w:val="0"/>
          <w:iCs w:val="0"/>
          <w:color w:val="auto"/>
          <w:kern w:val="0"/>
          <w:sz w:val="24"/>
          <w:highlight w:val="none"/>
          <w:lang w:val="zh-CN"/>
        </w:rPr>
        <w:t xml:space="preserve">)：                              </w:t>
      </w:r>
    </w:p>
    <w:p>
      <w:pPr>
        <w:spacing w:line="360" w:lineRule="auto"/>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  年  月  日</w:t>
      </w: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jc w:val="center"/>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lang w:val="zh-CN"/>
        </w:rPr>
      </w:pPr>
    </w:p>
    <w:p>
      <w:pPr>
        <w:rPr>
          <w:rFonts w:hint="eastAsia" w:ascii="宋体" w:hAnsi="宋体" w:eastAsia="宋体" w:cs="宋体"/>
          <w:b/>
          <w:i w:val="0"/>
          <w:iCs w:val="0"/>
          <w:color w:val="auto"/>
          <w:kern w:val="0"/>
          <w:sz w:val="32"/>
          <w:szCs w:val="32"/>
          <w:highlight w:val="none"/>
          <w:lang w:val="zh-CN"/>
        </w:rPr>
      </w:pPr>
    </w:p>
    <w:p>
      <w:pPr>
        <w:rPr>
          <w:rFonts w:hint="eastAsia" w:ascii="宋体" w:hAnsi="宋体" w:eastAsia="宋体" w:cs="宋体"/>
          <w:b/>
          <w:i w:val="0"/>
          <w:iCs w:val="0"/>
          <w:color w:val="auto"/>
          <w:kern w:val="0"/>
          <w:sz w:val="32"/>
          <w:szCs w:val="32"/>
          <w:highlight w:val="none"/>
          <w:lang w:val="zh-CN"/>
        </w:rPr>
      </w:pPr>
    </w:p>
    <w:p>
      <w:pPr>
        <w:rPr>
          <w:rFonts w:hint="eastAsia" w:ascii="宋体" w:hAnsi="宋体" w:eastAsia="宋体" w:cs="宋体"/>
          <w:b/>
          <w:i w:val="0"/>
          <w:iCs w:val="0"/>
          <w:color w:val="auto"/>
          <w:kern w:val="0"/>
          <w:sz w:val="32"/>
          <w:szCs w:val="32"/>
          <w:highlight w:val="none"/>
          <w:lang w:val="zh-CN"/>
        </w:rPr>
      </w:pPr>
    </w:p>
    <w:p>
      <w:pPr>
        <w:rPr>
          <w:rFonts w:hint="eastAsia" w:ascii="宋体" w:hAnsi="宋体" w:eastAsia="宋体" w:cs="宋体"/>
          <w:b/>
          <w:i w:val="0"/>
          <w:iCs w:val="0"/>
          <w:color w:val="auto"/>
          <w:kern w:val="0"/>
          <w:sz w:val="32"/>
          <w:szCs w:val="32"/>
          <w:highlight w:val="none"/>
          <w:lang w:val="zh-CN"/>
        </w:rPr>
      </w:pPr>
    </w:p>
    <w:p>
      <w:pPr>
        <w:spacing w:line="360" w:lineRule="auto"/>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lang w:val="zh-CN"/>
        </w:rPr>
        <w:t>三、供应商基本情况（如企业简介，经营状况、财务状况、专业能力，企业荣誉，企业资质，拥有相关认证情况等等）</w:t>
      </w:r>
      <w:r>
        <w:rPr>
          <w:rFonts w:hint="eastAsia" w:ascii="宋体" w:hAnsi="宋体" w:eastAsia="宋体" w:cs="宋体"/>
          <w:b/>
          <w:i w:val="0"/>
          <w:iCs w:val="0"/>
          <w:color w:val="auto"/>
          <w:kern w:val="0"/>
          <w:sz w:val="32"/>
          <w:szCs w:val="32"/>
          <w:highlight w:val="none"/>
        </w:rPr>
        <w:t xml:space="preserve"> </w:t>
      </w:r>
    </w:p>
    <w:p>
      <w:pPr>
        <w:spacing w:line="360" w:lineRule="auto"/>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【格式自拟】</w:t>
      </w: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numPr>
          <w:ilvl w:val="-1"/>
          <w:numId w:val="0"/>
        </w:numPr>
        <w:jc w:val="both"/>
        <w:rPr>
          <w:rFonts w:hint="eastAsia" w:ascii="宋体" w:hAnsi="宋体" w:eastAsia="宋体" w:cs="宋体"/>
          <w:b/>
          <w:i w:val="0"/>
          <w:iCs w:val="0"/>
          <w:color w:val="auto"/>
          <w:kern w:val="0"/>
          <w:sz w:val="32"/>
          <w:szCs w:val="32"/>
          <w:highlight w:val="none"/>
          <w:lang w:val="zh-CN"/>
        </w:rPr>
      </w:pPr>
    </w:p>
    <w:p>
      <w:pPr>
        <w:numPr>
          <w:ilvl w:val="0"/>
          <w:numId w:val="12"/>
        </w:numPr>
        <w:jc w:val="center"/>
        <w:rPr>
          <w:rFonts w:hint="eastAsia" w:ascii="宋体" w:hAnsi="宋体" w:eastAsia="宋体" w:cs="宋体"/>
          <w:b/>
          <w:i w:val="0"/>
          <w:iCs w:val="0"/>
          <w:color w:val="auto"/>
          <w:kern w:val="0"/>
          <w:sz w:val="32"/>
          <w:szCs w:val="32"/>
          <w:highlight w:val="none"/>
          <w:lang w:val="zh-CN"/>
        </w:rPr>
      </w:pPr>
      <w:r>
        <w:rPr>
          <w:rFonts w:hint="eastAsia" w:ascii="宋体" w:hAnsi="宋体" w:eastAsia="宋体" w:cs="宋体"/>
          <w:b/>
          <w:i w:val="0"/>
          <w:iCs w:val="0"/>
          <w:color w:val="auto"/>
          <w:kern w:val="0"/>
          <w:sz w:val="32"/>
          <w:szCs w:val="32"/>
          <w:highlight w:val="none"/>
          <w:lang w:val="zh-CN"/>
        </w:rPr>
        <w:t>拟派项目组成员</w:t>
      </w:r>
      <w:r>
        <w:rPr>
          <w:rFonts w:hint="eastAsia" w:ascii="宋体" w:hAnsi="宋体" w:cs="宋体"/>
          <w:b/>
          <w:i w:val="0"/>
          <w:iCs w:val="0"/>
          <w:color w:val="auto"/>
          <w:kern w:val="0"/>
          <w:sz w:val="32"/>
          <w:szCs w:val="32"/>
          <w:highlight w:val="none"/>
          <w:lang w:val="zh-CN"/>
        </w:rPr>
        <w:t>（参考格式）</w:t>
      </w:r>
    </w:p>
    <w:p>
      <w:pPr>
        <w:pStyle w:val="18"/>
        <w:ind w:left="840" w:leftChars="400" w:firstLine="0" w:firstLineChars="0"/>
        <w:jc w:val="center"/>
        <w:rPr>
          <w:rFonts w:hint="eastAsia" w:ascii="宋体" w:hAnsi="宋体" w:eastAsia="宋体" w:cs="宋体"/>
          <w:i w:val="0"/>
          <w:iCs w:val="0"/>
          <w:color w:val="auto"/>
          <w:highlight w:val="none"/>
          <w:lang w:val="zh-CN"/>
        </w:rPr>
      </w:pPr>
    </w:p>
    <w:p>
      <w:pPr>
        <w:spacing w:line="400" w:lineRule="exact"/>
        <w:ind w:firstLine="440" w:firstLineChars="200"/>
        <w:rPr>
          <w:rFonts w:hint="eastAsia" w:ascii="宋体" w:hAnsi="宋体" w:eastAsia="宋体" w:cs="宋体"/>
          <w:i w:val="0"/>
          <w:iCs w:val="0"/>
          <w:color w:val="auto"/>
          <w:sz w:val="22"/>
          <w:highlight w:val="none"/>
        </w:rPr>
      </w:pPr>
      <w:r>
        <w:rPr>
          <w:rFonts w:hint="eastAsia" w:ascii="宋体" w:hAnsi="宋体" w:eastAsia="宋体" w:cs="宋体"/>
          <w:i w:val="0"/>
          <w:iCs w:val="0"/>
          <w:color w:val="auto"/>
          <w:sz w:val="22"/>
          <w:highlight w:val="none"/>
        </w:rPr>
        <w:t>项目名称：                                             项目编号：</w:t>
      </w:r>
    </w:p>
    <w:p>
      <w:pPr>
        <w:pStyle w:val="18"/>
        <w:ind w:firstLine="2730" w:firstLineChars="130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u w:val="none"/>
          <w:lang w:val="en-US" w:eastAsia="zh-CN"/>
        </w:rPr>
        <w:t>负责人</w:t>
      </w:r>
      <w:r>
        <w:rPr>
          <w:rFonts w:hint="eastAsia" w:ascii="宋体" w:hAnsi="宋体" w:eastAsia="宋体" w:cs="宋体"/>
          <w:i w:val="0"/>
          <w:iCs w:val="0"/>
          <w:color w:val="auto"/>
          <w:highlight w:val="none"/>
        </w:rPr>
        <w:t xml:space="preserve">履历表 </w:t>
      </w:r>
    </w:p>
    <w:tbl>
      <w:tblPr>
        <w:tblStyle w:val="64"/>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630"/>
        <w:gridCol w:w="630"/>
        <w:gridCol w:w="525"/>
        <w:gridCol w:w="420"/>
        <w:gridCol w:w="1260"/>
        <w:gridCol w:w="192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姓名</w:t>
            </w:r>
          </w:p>
        </w:tc>
        <w:tc>
          <w:tcPr>
            <w:tcW w:w="115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260"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性别</w:t>
            </w:r>
          </w:p>
        </w:tc>
        <w:tc>
          <w:tcPr>
            <w:tcW w:w="94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260"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出生年月</w:t>
            </w:r>
          </w:p>
        </w:tc>
        <w:tc>
          <w:tcPr>
            <w:tcW w:w="1929"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326" w:type="dxa"/>
            <w:vMerge w:val="restart"/>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p>
            <w:pPr>
              <w:spacing w:line="30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照</w:t>
            </w:r>
          </w:p>
          <w:p>
            <w:pPr>
              <w:spacing w:line="300" w:lineRule="auto"/>
              <w:jc w:val="center"/>
              <w:rPr>
                <w:rFonts w:hint="eastAsia" w:ascii="宋体" w:hAnsi="宋体" w:eastAsia="宋体" w:cs="宋体"/>
                <w:i w:val="0"/>
                <w:iCs w:val="0"/>
                <w:color w:val="auto"/>
                <w:szCs w:val="21"/>
                <w:highlight w:val="none"/>
              </w:rPr>
            </w:pPr>
          </w:p>
          <w:p>
            <w:pPr>
              <w:spacing w:line="300" w:lineRule="auto"/>
              <w:jc w:val="center"/>
              <w:rPr>
                <w:rFonts w:hint="eastAsia" w:ascii="宋体" w:hAnsi="宋体" w:eastAsia="宋体" w:cs="宋体"/>
                <w:i w:val="0"/>
                <w:iCs w:val="0"/>
                <w:color w:val="auto"/>
                <w:szCs w:val="21"/>
                <w:highlight w:val="none"/>
              </w:rPr>
            </w:pPr>
          </w:p>
          <w:p>
            <w:pPr>
              <w:spacing w:line="30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片</w:t>
            </w:r>
          </w:p>
          <w:p>
            <w:pPr>
              <w:spacing w:line="300" w:lineRule="auto"/>
              <w:jc w:val="center"/>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职务</w:t>
            </w:r>
          </w:p>
        </w:tc>
        <w:tc>
          <w:tcPr>
            <w:tcW w:w="115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20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参加工作时间</w:t>
            </w:r>
          </w:p>
        </w:tc>
        <w:tc>
          <w:tcPr>
            <w:tcW w:w="3189"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32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学历</w:t>
            </w:r>
          </w:p>
        </w:tc>
        <w:tc>
          <w:tcPr>
            <w:tcW w:w="115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260"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毕业学校</w:t>
            </w:r>
          </w:p>
        </w:tc>
        <w:tc>
          <w:tcPr>
            <w:tcW w:w="94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260"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专业</w:t>
            </w:r>
          </w:p>
        </w:tc>
        <w:tc>
          <w:tcPr>
            <w:tcW w:w="1929"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32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主要研究方向</w:t>
            </w:r>
          </w:p>
        </w:tc>
        <w:tc>
          <w:tcPr>
            <w:tcW w:w="5394" w:type="dxa"/>
            <w:gridSpan w:val="6"/>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32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执业资格</w:t>
            </w:r>
          </w:p>
        </w:tc>
        <w:tc>
          <w:tcPr>
            <w:tcW w:w="115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p>
        </w:tc>
        <w:tc>
          <w:tcPr>
            <w:tcW w:w="1785" w:type="dxa"/>
            <w:gridSpan w:val="3"/>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获证时间及</w:t>
            </w:r>
          </w:p>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审批机关</w:t>
            </w:r>
          </w:p>
        </w:tc>
        <w:tc>
          <w:tcPr>
            <w:tcW w:w="3609" w:type="dxa"/>
            <w:gridSpan w:val="3"/>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p>
        </w:tc>
        <w:tc>
          <w:tcPr>
            <w:tcW w:w="132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职称</w:t>
            </w:r>
          </w:p>
        </w:tc>
        <w:tc>
          <w:tcPr>
            <w:tcW w:w="1155"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785" w:type="dxa"/>
            <w:gridSpan w:val="3"/>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获证时间及</w:t>
            </w:r>
          </w:p>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审批机关</w:t>
            </w:r>
          </w:p>
        </w:tc>
        <w:tc>
          <w:tcPr>
            <w:tcW w:w="3609" w:type="dxa"/>
            <w:gridSpan w:val="3"/>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32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90"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身份证号码</w:t>
            </w:r>
          </w:p>
        </w:tc>
        <w:tc>
          <w:tcPr>
            <w:tcW w:w="1785" w:type="dxa"/>
            <w:gridSpan w:val="3"/>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1680"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联系电话</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restart"/>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kern w:val="2"/>
                <w:sz w:val="21"/>
                <w:szCs w:val="21"/>
                <w:highlight w:val="none"/>
                <w:lang w:val="en-US" w:eastAsia="zh-CN" w:bidi="ar-SA"/>
              </w:rPr>
              <w:pict>
                <v:shape id="直接箭头连接符 1" o:spid="_x0000_s1031" o:spt="32" type="#_x0000_t32" style="position:absolute;left:0pt;margin-left:-5.4pt;margin-top:261.2pt;height:0.05pt;width:429.5pt;z-index:251661312;mso-width-relative:page;mso-height-relative:page;" filled="f" stroked="t" coordsize="21600,21600" o:gfxdata="UEsDBAoAAAAAAIdO4kAAAAAAAAAAAAAAAAAEAAAAZHJzL1BLAwQUAAAACACHTuJARIi1h9kAAAAL&#10;AQAADwAAAGRycy9kb3ducmV2LnhtbE2PwW7CMBBE75X6D9ZW6qUCOxZBIcRBVaUeeiwgcTXxkoTG&#10;6yh2COXr6/ZSjjs7mnlTbK62YxccfOtIQTIXwJAqZ1qqFex377MMmA+ajO4coYJv9LApHx8KnRs3&#10;0SdetqFmMYR8rhU0IfQ5575q0Go/dz1S/J3cYHWI51BzM+gphtuOSyGW3OqWYkOje3xrsPrajlYB&#10;+jFNxOvK1vuP2/RykLfz1O+Uen5KxBpYwGv4N8MvfkSHMjId3UjGs07BLBERPShIpVwAi45skUlg&#10;xz8lBV4W/H5D+QNQSwMEFAAAAAgAh07iQFW3ksoDAgAA+gMAAA4AAABkcnMvZTJvRG9jLnhtbK1T&#10;S44TMRDdI3EHy3vSSZiOoJXOLBKGDYJIwAEc291tyT+5nN8luAASK2AFs5o9p4HhGJTdTQaGTRb0&#10;wl12Vb2q91yeXx6MJjsZQDlb08loTIm03All25q+fXP16AklEJkVTDsra3qUQC8XDx/M976SU9c5&#10;LWQgCGKh2vuadjH6qiiAd9IwGDkvLTobFwyLuA1tIQLbI7rRxXQ8nhV7F4QPjksAPF31TjoghnMA&#10;XdMoLleOb420sUcNUrOIlKBTHugid9s0ksdXTQMyEl1TZBrzikXQ3qS1WMxZ1QbmO8WHFtg5Ldzj&#10;ZJiyWPQEtWKRkW1Q/0AZxYMD18QRd6boiWRFkMVkfE+b1x3zMnNBqcGfRIf/B8tf7taBKIGTQIll&#10;Bi/89v3Nj3efbq+/fv948/Pbh2R/+UwmSaq9hwozlnYdhh34dUi8D00w6Y+MyCHLezzJKw+RcDws&#10;L8qLWYnKc/TNHpcJsbhL9QHic+kMSUZNIQam2i4unbV4jS5MssBs9wJin/g7IdXVluxr+rSclgjP&#10;cCwbHAc0jUdqYNucC04rcaW0ThkQ2s1SB7JjaTTyNzT0V1gqsmLQ9XHZlcJY1UkmnllB4tGjaBbf&#10;Ck0tGCko0RKfVrJyZGRKnxOJWmiLkiSVe12TtXHiiFe09SGpMYiaY3AksoDD+KaZ+3Ofke6e7O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Ii1h9kAAAALAQAADwAAAAAAAAABACAAAAAiAAAAZHJz&#10;L2Rvd25yZXYueG1sUEsBAhQAFAAAAAgAh07iQFW3ksoDAgAA+gMAAA4AAAAAAAAAAQAgAAAAKAEA&#10;AGRycy9lMm9Eb2MueG1sUEsFBgAAAAAGAAYAWQEAAJ0FAAAAAA==&#10;">
                  <v:path arrowok="t"/>
                  <v:fill on="f" focussize="0,0"/>
                  <v:stroke color="#000000" joinstyle="round"/>
                  <v:imagedata o:title=""/>
                  <o:lock v:ext="edit" aspectratio="f"/>
                </v:shape>
              </w:pict>
            </w:r>
            <w:r>
              <w:rPr>
                <w:rFonts w:hint="eastAsia" w:ascii="宋体" w:hAnsi="宋体" w:eastAsia="宋体" w:cs="宋体"/>
                <w:i w:val="0"/>
                <w:iCs w:val="0"/>
                <w:color w:val="auto"/>
                <w:szCs w:val="21"/>
                <w:highlight w:val="none"/>
              </w:rPr>
              <w:t>从事执业工作经历</w:t>
            </w: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时间</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本人承担任务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35"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hint="eastAsia" w:ascii="宋体" w:hAnsi="宋体" w:eastAsia="宋体" w:cs="宋体"/>
                <w:i w:val="0"/>
                <w:iCs w:val="0"/>
                <w:color w:val="auto"/>
                <w:szCs w:val="21"/>
                <w:highlight w:val="none"/>
              </w:rPr>
            </w:pPr>
          </w:p>
        </w:tc>
        <w:tc>
          <w:tcPr>
            <w:tcW w:w="1785" w:type="dxa"/>
            <w:gridSpan w:val="2"/>
            <w:tcBorders>
              <w:top w:val="single" w:color="auto" w:sz="4" w:space="0"/>
              <w:left w:val="single" w:color="auto" w:sz="4" w:space="0"/>
              <w:bottom w:val="single" w:color="000000"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2835" w:type="dxa"/>
            <w:gridSpan w:val="4"/>
            <w:tcBorders>
              <w:top w:val="single" w:color="auto" w:sz="4" w:space="0"/>
              <w:left w:val="single" w:color="auto" w:sz="4" w:space="0"/>
              <w:bottom w:val="single" w:color="000000"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c>
          <w:tcPr>
            <w:tcW w:w="3255" w:type="dxa"/>
            <w:gridSpan w:val="2"/>
            <w:tcBorders>
              <w:top w:val="single" w:color="auto" w:sz="4" w:space="0"/>
              <w:left w:val="single" w:color="auto" w:sz="4" w:space="0"/>
              <w:bottom w:val="single" w:color="000000" w:sz="4" w:space="0"/>
              <w:right w:val="single" w:color="auto" w:sz="4" w:space="0"/>
            </w:tcBorders>
            <w:vAlign w:val="top"/>
          </w:tcPr>
          <w:p>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 </w:t>
            </w:r>
          </w:p>
        </w:tc>
      </w:tr>
    </w:tbl>
    <w:p>
      <w:pPr>
        <w:pStyle w:val="18"/>
        <w:ind w:firstLine="420"/>
        <w:rPr>
          <w:rFonts w:hint="eastAsia" w:ascii="宋体" w:hAnsi="宋体" w:eastAsia="宋体" w:cs="宋体"/>
          <w:i w:val="0"/>
          <w:iCs w:val="0"/>
          <w:color w:val="auto"/>
          <w:highlight w:val="none"/>
        </w:rPr>
      </w:pPr>
    </w:p>
    <w:p>
      <w:pPr>
        <w:pStyle w:val="18"/>
        <w:ind w:firstLine="420"/>
        <w:rPr>
          <w:rFonts w:hint="eastAsia" w:ascii="宋体" w:hAnsi="宋体" w:eastAsia="宋体" w:cs="宋体"/>
          <w:i w:val="0"/>
          <w:iCs w:val="0"/>
          <w:color w:val="auto"/>
          <w:highlight w:val="none"/>
        </w:rPr>
      </w:pPr>
    </w:p>
    <w:p>
      <w:pPr>
        <w:pStyle w:val="18"/>
        <w:ind w:firstLine="420"/>
        <w:rPr>
          <w:rFonts w:hint="eastAsia" w:ascii="宋体" w:hAnsi="宋体" w:eastAsia="宋体" w:cs="宋体"/>
          <w:i w:val="0"/>
          <w:iCs w:val="0"/>
          <w:color w:val="auto"/>
          <w:highlight w:val="none"/>
        </w:rPr>
      </w:pPr>
    </w:p>
    <w:p>
      <w:pPr>
        <w:pStyle w:val="43"/>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i w:val="0"/>
          <w:iCs w:val="0"/>
          <w:color w:val="auto"/>
          <w:highlight w:val="none"/>
        </w:rPr>
      </w:pPr>
    </w:p>
    <w:p>
      <w:pPr>
        <w:pStyle w:val="99"/>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8"/>
        <w:rPr>
          <w:rFonts w:hint="eastAsia" w:ascii="宋体" w:hAnsi="宋体" w:eastAsia="宋体" w:cs="宋体"/>
          <w:highlight w:val="none"/>
        </w:rPr>
      </w:pPr>
    </w:p>
    <w:p>
      <w:pPr>
        <w:pStyle w:val="18"/>
        <w:ind w:firstLine="3360" w:firstLineChars="1600"/>
        <w:rPr>
          <w:rFonts w:hint="eastAsia" w:ascii="宋体" w:hAnsi="宋体" w:eastAsia="宋体" w:cs="宋体"/>
          <w:i w:val="0"/>
          <w:iCs w:val="0"/>
          <w:color w:val="auto"/>
          <w:highlight w:val="none"/>
        </w:rPr>
      </w:pPr>
    </w:p>
    <w:p>
      <w:pPr>
        <w:pStyle w:val="18"/>
        <w:ind w:firstLine="3360" w:firstLineChars="1600"/>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rPr>
        <w:t>项目成员组成</w:t>
      </w:r>
      <w:r>
        <w:rPr>
          <w:rFonts w:hint="eastAsia" w:ascii="宋体" w:hAnsi="宋体" w:eastAsia="宋体" w:cs="宋体"/>
          <w:i w:val="0"/>
          <w:iCs w:val="0"/>
          <w:color w:val="auto"/>
          <w:highlight w:val="none"/>
          <w:lang w:val="en-US" w:eastAsia="zh-CN"/>
        </w:rPr>
        <w:t>情况</w:t>
      </w:r>
    </w:p>
    <w:tbl>
      <w:tblPr>
        <w:tblStyle w:val="64"/>
        <w:tblW w:w="949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057"/>
        <w:gridCol w:w="648"/>
        <w:gridCol w:w="648"/>
        <w:gridCol w:w="1368"/>
        <w:gridCol w:w="1065"/>
        <w:gridCol w:w="1126"/>
        <w:gridCol w:w="25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trPr>
        <w:tc>
          <w:tcPr>
            <w:tcW w:w="1070" w:type="dxa"/>
            <w:vAlign w:val="center"/>
          </w:tcPr>
          <w:p>
            <w:pPr>
              <w:jc w:val="center"/>
              <w:rPr>
                <w:rFonts w:hint="eastAsia" w:ascii="宋体" w:hAnsi="宋体" w:eastAsia="宋体" w:cs="宋体"/>
                <w:bCs/>
                <w:i w:val="0"/>
                <w:iCs w:val="0"/>
                <w:color w:val="auto"/>
                <w:sz w:val="20"/>
                <w:highlight w:val="none"/>
              </w:rPr>
            </w:pPr>
            <w:r>
              <w:rPr>
                <w:rFonts w:hint="eastAsia" w:ascii="宋体" w:hAnsi="宋体" w:eastAsia="宋体" w:cs="宋体"/>
                <w:bCs/>
                <w:i w:val="0"/>
                <w:iCs w:val="0"/>
                <w:color w:val="auto"/>
                <w:sz w:val="20"/>
                <w:highlight w:val="none"/>
              </w:rPr>
              <w:t>姓名</w:t>
            </w:r>
          </w:p>
        </w:tc>
        <w:tc>
          <w:tcPr>
            <w:tcW w:w="1057" w:type="dxa"/>
            <w:vAlign w:val="center"/>
          </w:tcPr>
          <w:p>
            <w:pPr>
              <w:jc w:val="center"/>
              <w:rPr>
                <w:rFonts w:hint="eastAsia" w:ascii="宋体" w:hAnsi="宋体" w:eastAsia="宋体" w:cs="宋体"/>
                <w:bCs/>
                <w:i w:val="0"/>
                <w:iCs w:val="0"/>
                <w:color w:val="auto"/>
                <w:sz w:val="20"/>
                <w:highlight w:val="none"/>
              </w:rPr>
            </w:pPr>
            <w:r>
              <w:rPr>
                <w:rFonts w:hint="eastAsia" w:ascii="宋体" w:hAnsi="宋体" w:eastAsia="宋体" w:cs="宋体"/>
                <w:bCs/>
                <w:i w:val="0"/>
                <w:iCs w:val="0"/>
                <w:color w:val="auto"/>
                <w:sz w:val="20"/>
                <w:highlight w:val="none"/>
              </w:rPr>
              <w:t>本项目担任工作</w:t>
            </w:r>
          </w:p>
        </w:tc>
        <w:tc>
          <w:tcPr>
            <w:tcW w:w="648" w:type="dxa"/>
            <w:vAlign w:val="center"/>
          </w:tcPr>
          <w:p>
            <w:pPr>
              <w:jc w:val="center"/>
              <w:rPr>
                <w:rFonts w:hint="eastAsia" w:ascii="宋体" w:hAnsi="宋体" w:eastAsia="宋体" w:cs="宋体"/>
                <w:bCs/>
                <w:i w:val="0"/>
                <w:iCs w:val="0"/>
                <w:color w:val="auto"/>
                <w:sz w:val="20"/>
                <w:highlight w:val="none"/>
              </w:rPr>
            </w:pPr>
            <w:r>
              <w:rPr>
                <w:rFonts w:hint="eastAsia" w:ascii="宋体" w:hAnsi="宋体" w:eastAsia="宋体" w:cs="宋体"/>
                <w:bCs/>
                <w:i w:val="0"/>
                <w:iCs w:val="0"/>
                <w:color w:val="auto"/>
                <w:sz w:val="20"/>
                <w:highlight w:val="none"/>
              </w:rPr>
              <w:t>年龄</w:t>
            </w:r>
          </w:p>
        </w:tc>
        <w:tc>
          <w:tcPr>
            <w:tcW w:w="648" w:type="dxa"/>
            <w:vAlign w:val="center"/>
          </w:tcPr>
          <w:p>
            <w:pPr>
              <w:jc w:val="center"/>
              <w:rPr>
                <w:rFonts w:hint="eastAsia" w:ascii="宋体" w:hAnsi="宋体" w:eastAsia="宋体" w:cs="宋体"/>
                <w:bCs/>
                <w:i w:val="0"/>
                <w:iCs w:val="0"/>
                <w:color w:val="auto"/>
                <w:sz w:val="20"/>
                <w:highlight w:val="none"/>
              </w:rPr>
            </w:pPr>
            <w:r>
              <w:rPr>
                <w:rFonts w:hint="eastAsia" w:ascii="宋体" w:hAnsi="宋体" w:eastAsia="宋体" w:cs="宋体"/>
                <w:bCs/>
                <w:i w:val="0"/>
                <w:iCs w:val="0"/>
                <w:color w:val="auto"/>
                <w:sz w:val="20"/>
                <w:highlight w:val="none"/>
              </w:rPr>
              <w:t>性别</w:t>
            </w:r>
          </w:p>
        </w:tc>
        <w:tc>
          <w:tcPr>
            <w:tcW w:w="1368" w:type="dxa"/>
            <w:vAlign w:val="center"/>
          </w:tcPr>
          <w:p>
            <w:pPr>
              <w:jc w:val="center"/>
              <w:rPr>
                <w:rFonts w:hint="eastAsia" w:ascii="宋体" w:hAnsi="宋体" w:eastAsia="宋体" w:cs="宋体"/>
                <w:bCs/>
                <w:i w:val="0"/>
                <w:iCs w:val="0"/>
                <w:color w:val="auto"/>
                <w:sz w:val="20"/>
                <w:highlight w:val="none"/>
              </w:rPr>
            </w:pPr>
            <w:r>
              <w:rPr>
                <w:rFonts w:hint="eastAsia" w:ascii="宋体" w:hAnsi="宋体" w:eastAsia="宋体" w:cs="宋体"/>
                <w:bCs/>
                <w:i w:val="0"/>
                <w:iCs w:val="0"/>
                <w:color w:val="auto"/>
                <w:sz w:val="20"/>
                <w:highlight w:val="none"/>
              </w:rPr>
              <w:t>职称或资格</w:t>
            </w:r>
          </w:p>
        </w:tc>
        <w:tc>
          <w:tcPr>
            <w:tcW w:w="1065" w:type="dxa"/>
            <w:vAlign w:val="center"/>
          </w:tcPr>
          <w:p>
            <w:pPr>
              <w:jc w:val="center"/>
              <w:rPr>
                <w:rFonts w:hint="eastAsia" w:ascii="宋体" w:hAnsi="宋体" w:eastAsia="宋体" w:cs="宋体"/>
                <w:bCs/>
                <w:i w:val="0"/>
                <w:iCs w:val="0"/>
                <w:color w:val="auto"/>
                <w:sz w:val="20"/>
                <w:highlight w:val="none"/>
              </w:rPr>
            </w:pPr>
            <w:r>
              <w:rPr>
                <w:rFonts w:hint="eastAsia" w:ascii="宋体" w:hAnsi="宋体" w:eastAsia="宋体" w:cs="宋体"/>
                <w:bCs/>
                <w:i w:val="0"/>
                <w:iCs w:val="0"/>
                <w:color w:val="auto"/>
                <w:sz w:val="20"/>
                <w:highlight w:val="none"/>
              </w:rPr>
              <w:t xml:space="preserve">执业资格类别 </w:t>
            </w:r>
          </w:p>
        </w:tc>
        <w:tc>
          <w:tcPr>
            <w:tcW w:w="1126" w:type="dxa"/>
            <w:vAlign w:val="center"/>
          </w:tcPr>
          <w:p>
            <w:pPr>
              <w:jc w:val="center"/>
              <w:rPr>
                <w:rFonts w:hint="eastAsia" w:ascii="宋体" w:hAnsi="宋体" w:eastAsia="宋体" w:cs="宋体"/>
                <w:bCs/>
                <w:i w:val="0"/>
                <w:iCs w:val="0"/>
                <w:color w:val="auto"/>
                <w:sz w:val="20"/>
                <w:highlight w:val="none"/>
              </w:rPr>
            </w:pPr>
            <w:r>
              <w:rPr>
                <w:rFonts w:hint="eastAsia" w:ascii="宋体" w:hAnsi="宋体" w:eastAsia="宋体" w:cs="宋体"/>
                <w:i w:val="0"/>
                <w:iCs w:val="0"/>
                <w:color w:val="auto"/>
                <w:szCs w:val="21"/>
                <w:highlight w:val="none"/>
              </w:rPr>
              <w:t>执业注册证书号</w:t>
            </w:r>
          </w:p>
        </w:tc>
        <w:tc>
          <w:tcPr>
            <w:tcW w:w="2508" w:type="dxa"/>
            <w:vAlign w:val="center"/>
          </w:tcPr>
          <w:p>
            <w:pPr>
              <w:jc w:val="center"/>
              <w:rPr>
                <w:rFonts w:hint="eastAsia" w:ascii="宋体" w:hAnsi="宋体" w:eastAsia="宋体" w:cs="宋体"/>
                <w:bCs/>
                <w:i w:val="0"/>
                <w:iCs w:val="0"/>
                <w:color w:val="auto"/>
                <w:sz w:val="20"/>
                <w:highlight w:val="none"/>
              </w:rPr>
            </w:pPr>
            <w:r>
              <w:rPr>
                <w:rFonts w:hint="eastAsia" w:ascii="宋体" w:hAnsi="宋体" w:eastAsia="宋体" w:cs="宋体"/>
                <w:i w:val="0"/>
                <w:iCs w:val="0"/>
                <w:color w:val="auto"/>
                <w:szCs w:val="21"/>
                <w:highlight w:val="none"/>
              </w:rPr>
              <w:t>从事执业工作时间及参与典型业务情况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pStyle w:val="38"/>
              <w:spacing w:line="360" w:lineRule="auto"/>
              <w:ind w:left="5250"/>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070" w:type="dxa"/>
            <w:vAlign w:val="center"/>
          </w:tcPr>
          <w:p>
            <w:pPr>
              <w:spacing w:line="360" w:lineRule="auto"/>
              <w:rPr>
                <w:rFonts w:hint="eastAsia" w:ascii="宋体" w:hAnsi="宋体" w:eastAsia="宋体" w:cs="宋体"/>
                <w:i w:val="0"/>
                <w:iCs w:val="0"/>
                <w:color w:val="auto"/>
                <w:sz w:val="20"/>
                <w:highlight w:val="none"/>
              </w:rPr>
            </w:pPr>
          </w:p>
        </w:tc>
        <w:tc>
          <w:tcPr>
            <w:tcW w:w="1057"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648" w:type="dxa"/>
            <w:vAlign w:val="center"/>
          </w:tcPr>
          <w:p>
            <w:pPr>
              <w:spacing w:line="360" w:lineRule="auto"/>
              <w:rPr>
                <w:rFonts w:hint="eastAsia" w:ascii="宋体" w:hAnsi="宋体" w:eastAsia="宋体" w:cs="宋体"/>
                <w:i w:val="0"/>
                <w:iCs w:val="0"/>
                <w:color w:val="auto"/>
                <w:sz w:val="20"/>
                <w:highlight w:val="none"/>
              </w:rPr>
            </w:pPr>
          </w:p>
        </w:tc>
        <w:tc>
          <w:tcPr>
            <w:tcW w:w="1368" w:type="dxa"/>
            <w:vAlign w:val="center"/>
          </w:tcPr>
          <w:p>
            <w:pPr>
              <w:spacing w:line="360" w:lineRule="auto"/>
              <w:rPr>
                <w:rFonts w:hint="eastAsia" w:ascii="宋体" w:hAnsi="宋体" w:eastAsia="宋体" w:cs="宋体"/>
                <w:i w:val="0"/>
                <w:iCs w:val="0"/>
                <w:color w:val="auto"/>
                <w:sz w:val="20"/>
                <w:highlight w:val="none"/>
              </w:rPr>
            </w:pPr>
          </w:p>
        </w:tc>
        <w:tc>
          <w:tcPr>
            <w:tcW w:w="1065" w:type="dxa"/>
            <w:vAlign w:val="center"/>
          </w:tcPr>
          <w:p>
            <w:pPr>
              <w:spacing w:line="360" w:lineRule="auto"/>
              <w:rPr>
                <w:rFonts w:hint="eastAsia" w:ascii="宋体" w:hAnsi="宋体" w:eastAsia="宋体" w:cs="宋体"/>
                <w:i w:val="0"/>
                <w:iCs w:val="0"/>
                <w:color w:val="auto"/>
                <w:sz w:val="20"/>
                <w:highlight w:val="none"/>
              </w:rPr>
            </w:pPr>
          </w:p>
        </w:tc>
        <w:tc>
          <w:tcPr>
            <w:tcW w:w="1126" w:type="dxa"/>
            <w:vAlign w:val="center"/>
          </w:tcPr>
          <w:p>
            <w:pPr>
              <w:spacing w:line="360" w:lineRule="auto"/>
              <w:rPr>
                <w:rFonts w:hint="eastAsia" w:ascii="宋体" w:hAnsi="宋体" w:eastAsia="宋体" w:cs="宋体"/>
                <w:i w:val="0"/>
                <w:iCs w:val="0"/>
                <w:color w:val="auto"/>
                <w:sz w:val="20"/>
                <w:highlight w:val="none"/>
              </w:rPr>
            </w:pPr>
          </w:p>
        </w:tc>
        <w:tc>
          <w:tcPr>
            <w:tcW w:w="2508" w:type="dxa"/>
            <w:vAlign w:val="center"/>
          </w:tcPr>
          <w:p>
            <w:pPr>
              <w:spacing w:line="360" w:lineRule="auto"/>
              <w:rPr>
                <w:rFonts w:hint="eastAsia" w:ascii="宋体" w:hAnsi="宋体" w:eastAsia="宋体" w:cs="宋体"/>
                <w:i w:val="0"/>
                <w:iCs w:val="0"/>
                <w:color w:val="auto"/>
                <w:sz w:val="20"/>
                <w:highlight w:val="none"/>
              </w:rPr>
            </w:pPr>
          </w:p>
        </w:tc>
      </w:tr>
    </w:tbl>
    <w:p>
      <w:pPr>
        <w:autoSpaceDE w:val="0"/>
        <w:autoSpaceDN w:val="0"/>
        <w:spacing w:line="360" w:lineRule="auto"/>
        <w:rPr>
          <w:rFonts w:hint="eastAsia" w:ascii="宋体" w:hAnsi="宋体" w:eastAsia="宋体" w:cs="宋体"/>
          <w:i w:val="0"/>
          <w:iCs w:val="0"/>
          <w:color w:val="auto"/>
          <w:sz w:val="22"/>
          <w:highlight w:val="none"/>
        </w:rPr>
      </w:pPr>
      <w:r>
        <w:rPr>
          <w:rFonts w:hint="eastAsia" w:ascii="宋体" w:hAnsi="宋体" w:eastAsia="宋体" w:cs="宋体"/>
          <w:i w:val="0"/>
          <w:iCs w:val="0"/>
          <w:color w:val="auto"/>
          <w:sz w:val="22"/>
          <w:highlight w:val="none"/>
        </w:rPr>
        <w:t>注：1、本表人员如有证书的，须提供相关人员情况复印件或扫描件，并加盖供应商公章。</w:t>
      </w:r>
    </w:p>
    <w:p>
      <w:pPr>
        <w:autoSpaceDE w:val="0"/>
        <w:autoSpaceDN w:val="0"/>
        <w:spacing w:line="360" w:lineRule="auto"/>
        <w:ind w:firstLine="323" w:firstLineChars="147"/>
        <w:rPr>
          <w:rFonts w:hint="eastAsia" w:ascii="宋体" w:hAnsi="宋体" w:eastAsia="宋体" w:cs="宋体"/>
          <w:i w:val="0"/>
          <w:iCs w:val="0"/>
          <w:color w:val="auto"/>
          <w:sz w:val="22"/>
          <w:highlight w:val="none"/>
        </w:rPr>
      </w:pPr>
      <w:r>
        <w:rPr>
          <w:rFonts w:hint="eastAsia" w:ascii="宋体" w:hAnsi="宋体" w:eastAsia="宋体" w:cs="宋体"/>
          <w:i w:val="0"/>
          <w:iCs w:val="0"/>
          <w:color w:val="auto"/>
          <w:sz w:val="22"/>
          <w:highlight w:val="none"/>
        </w:rPr>
        <w:t xml:space="preserve"> 2、列入本表人员如要更换，需经征集人同意；擅自更换或不到位属违约行为。</w:t>
      </w:r>
    </w:p>
    <w:p>
      <w:pPr>
        <w:snapToGrid w:val="0"/>
        <w:spacing w:line="360" w:lineRule="auto"/>
        <w:ind w:firstLine="576"/>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p>
    <w:p>
      <w:pPr>
        <w:snapToGrid w:val="0"/>
        <w:spacing w:line="360" w:lineRule="auto"/>
        <w:ind w:firstLine="576"/>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en-US" w:eastAsia="zh-CN"/>
        </w:rPr>
        <w:t xml:space="preserve">                 </w:t>
      </w:r>
      <w:r>
        <w:rPr>
          <w:rFonts w:hint="eastAsia" w:ascii="宋体" w:hAnsi="宋体" w:eastAsia="宋体" w:cs="宋体"/>
          <w:i w:val="0"/>
          <w:iCs w:val="0"/>
          <w:color w:val="auto"/>
          <w:kern w:val="0"/>
          <w:sz w:val="24"/>
          <w:highlight w:val="none"/>
          <w:lang w:val="zh-CN"/>
        </w:rPr>
        <w:t>供应商名称(</w:t>
      </w:r>
      <w:r>
        <w:rPr>
          <w:rFonts w:hint="eastAsia" w:ascii="宋体" w:hAnsi="宋体" w:eastAsia="宋体" w:cs="宋体"/>
          <w:i w:val="0"/>
          <w:iCs w:val="0"/>
          <w:color w:val="auto"/>
          <w:kern w:val="0"/>
          <w:sz w:val="24"/>
          <w:highlight w:val="none"/>
        </w:rPr>
        <w:t>电子签名</w:t>
      </w:r>
      <w:r>
        <w:rPr>
          <w:rFonts w:hint="eastAsia" w:ascii="宋体" w:hAnsi="宋体" w:eastAsia="宋体" w:cs="宋体"/>
          <w:i w:val="0"/>
          <w:iCs w:val="0"/>
          <w:color w:val="auto"/>
          <w:kern w:val="0"/>
          <w:sz w:val="24"/>
          <w:highlight w:val="none"/>
          <w:lang w:val="zh-CN"/>
        </w:rPr>
        <w:t xml:space="preserve">)：                              </w:t>
      </w:r>
    </w:p>
    <w:p>
      <w:pPr>
        <w:spacing w:line="360" w:lineRule="auto"/>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  年  月  日</w:t>
      </w:r>
    </w:p>
    <w:p>
      <w:pPr>
        <w:snapToGrid w:val="0"/>
        <w:outlineLvl w:val="1"/>
        <w:rPr>
          <w:rFonts w:hint="eastAsia" w:ascii="宋体" w:hAnsi="宋体" w:eastAsia="宋体" w:cs="宋体"/>
          <w:i w:val="0"/>
          <w:iCs w:val="0"/>
          <w:color w:val="auto"/>
          <w:sz w:val="32"/>
          <w:szCs w:val="32"/>
          <w:highlight w:val="none"/>
        </w:rPr>
      </w:pPr>
    </w:p>
    <w:p>
      <w:pPr>
        <w:rPr>
          <w:rFonts w:hint="eastAsia" w:ascii="宋体" w:hAnsi="宋体" w:eastAsia="宋体" w:cs="宋体"/>
          <w:b/>
          <w:i w:val="0"/>
          <w:iCs w:val="0"/>
          <w:color w:val="auto"/>
          <w:kern w:val="0"/>
          <w:sz w:val="32"/>
          <w:szCs w:val="32"/>
          <w:highlight w:val="none"/>
          <w:lang w:val="zh-CN"/>
        </w:rPr>
      </w:pPr>
    </w:p>
    <w:p>
      <w:pPr>
        <w:rPr>
          <w:rFonts w:hint="eastAsia" w:ascii="宋体" w:hAnsi="宋体" w:eastAsia="宋体" w:cs="宋体"/>
          <w:b/>
          <w:i w:val="0"/>
          <w:iCs w:val="0"/>
          <w:color w:val="auto"/>
          <w:kern w:val="0"/>
          <w:sz w:val="32"/>
          <w:szCs w:val="32"/>
          <w:highlight w:val="none"/>
          <w:lang w:val="zh-CN"/>
        </w:rPr>
      </w:pPr>
    </w:p>
    <w:p>
      <w:pPr>
        <w:rPr>
          <w:rFonts w:hint="eastAsia" w:ascii="宋体" w:hAnsi="宋体" w:eastAsia="宋体" w:cs="宋体"/>
          <w:b/>
          <w:i w:val="0"/>
          <w:iCs w:val="0"/>
          <w:color w:val="auto"/>
          <w:kern w:val="0"/>
          <w:sz w:val="32"/>
          <w:szCs w:val="32"/>
          <w:highlight w:val="none"/>
          <w:lang w:val="zh-CN"/>
        </w:rPr>
      </w:pPr>
    </w:p>
    <w:p>
      <w:pP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pPr>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lang w:val="zh-CN" w:eastAsia="zh-CN"/>
        </w:rPr>
      </w:pPr>
      <w:r>
        <w:rPr>
          <w:rFonts w:hint="eastAsia" w:ascii="宋体" w:hAnsi="宋体" w:eastAsia="宋体" w:cs="宋体"/>
          <w:b/>
          <w:i w:val="0"/>
          <w:iCs w:val="0"/>
          <w:color w:val="auto"/>
          <w:kern w:val="0"/>
          <w:sz w:val="32"/>
          <w:szCs w:val="32"/>
          <w:highlight w:val="none"/>
        </w:rPr>
        <w:t>五、供应商具有的</w:t>
      </w:r>
      <w:r>
        <w:rPr>
          <w:rFonts w:hint="eastAsia" w:ascii="宋体" w:hAnsi="宋体" w:eastAsia="宋体" w:cs="宋体"/>
          <w:b/>
          <w:i w:val="0"/>
          <w:iCs w:val="0"/>
          <w:color w:val="auto"/>
          <w:kern w:val="0"/>
          <w:sz w:val="32"/>
          <w:szCs w:val="32"/>
          <w:highlight w:val="none"/>
          <w:lang w:val="en-US" w:eastAsia="zh-CN"/>
        </w:rPr>
        <w:t>专项债及其他融资类</w:t>
      </w:r>
      <w:r>
        <w:rPr>
          <w:rFonts w:hint="eastAsia" w:ascii="宋体" w:hAnsi="宋体" w:eastAsia="宋体" w:cs="宋体"/>
          <w:b/>
          <w:i w:val="0"/>
          <w:iCs w:val="0"/>
          <w:color w:val="auto"/>
          <w:kern w:val="0"/>
          <w:sz w:val="32"/>
          <w:szCs w:val="32"/>
          <w:highlight w:val="none"/>
        </w:rPr>
        <w:t>项目业绩</w:t>
      </w:r>
      <w:r>
        <w:rPr>
          <w:rFonts w:hint="eastAsia" w:ascii="宋体" w:hAnsi="宋体" w:cs="宋体"/>
          <w:b/>
          <w:i w:val="0"/>
          <w:iCs w:val="0"/>
          <w:color w:val="auto"/>
          <w:kern w:val="0"/>
          <w:sz w:val="32"/>
          <w:szCs w:val="32"/>
          <w:highlight w:val="none"/>
          <w:lang w:eastAsia="zh-CN"/>
        </w:rPr>
        <w:t>（参考格式）</w:t>
      </w:r>
    </w:p>
    <w:tbl>
      <w:tblPr>
        <w:tblStyle w:val="64"/>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97"/>
        <w:gridCol w:w="1806"/>
        <w:gridCol w:w="1806"/>
        <w:gridCol w:w="1390"/>
        <w:gridCol w:w="139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序号</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项目名称</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完成时间（起讫）</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项目简介</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金额（元）</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委托单位单位及联系人</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tabs>
                <w:tab w:val="left" w:pos="732"/>
              </w:tabs>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w:t>
            </w:r>
          </w:p>
        </w:tc>
      </w:tr>
    </w:tbl>
    <w:p>
      <w:pPr>
        <w:autoSpaceDE w:val="0"/>
        <w:autoSpaceDN w:val="0"/>
        <w:spacing w:line="360" w:lineRule="auto"/>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专项债项目：</w:t>
      </w:r>
      <w:r>
        <w:rPr>
          <w:rFonts w:hint="eastAsia" w:ascii="宋体" w:hAnsi="宋体" w:eastAsia="宋体" w:cs="宋体"/>
          <w:i w:val="0"/>
          <w:iCs w:val="0"/>
          <w:color w:val="auto"/>
          <w:sz w:val="24"/>
          <w:highlight w:val="none"/>
        </w:rPr>
        <w:t>供应商须提供项目明细清单&lt;含发行地区、项目名称、发债金额等要素&gt;、</w:t>
      </w:r>
      <w:r>
        <w:rPr>
          <w:rFonts w:hint="eastAsia" w:ascii="宋体" w:hAnsi="宋体" w:eastAsia="宋体" w:cs="宋体"/>
          <w:i w:val="0"/>
          <w:iCs w:val="0"/>
          <w:color w:val="auto"/>
          <w:sz w:val="24"/>
          <w:highlight w:val="none"/>
          <w:lang w:val="en-US" w:eastAsia="zh-CN"/>
        </w:rPr>
        <w:t>相关网站</w:t>
      </w:r>
      <w:r>
        <w:rPr>
          <w:rFonts w:hint="eastAsia" w:ascii="宋体" w:hAnsi="宋体" w:eastAsia="宋体" w:cs="宋体"/>
          <w:i w:val="0"/>
          <w:iCs w:val="0"/>
          <w:color w:val="auto"/>
          <w:sz w:val="24"/>
          <w:highlight w:val="none"/>
        </w:rPr>
        <w:t>披露截图，并加盖投标人公章</w:t>
      </w:r>
      <w:r>
        <w:rPr>
          <w:rFonts w:hint="eastAsia" w:ascii="宋体" w:hAnsi="宋体" w:eastAsia="宋体" w:cs="宋体"/>
          <w:i w:val="0"/>
          <w:iCs w:val="0"/>
          <w:color w:val="auto"/>
          <w:sz w:val="24"/>
          <w:highlight w:val="none"/>
          <w:lang w:val="en-US" w:eastAsia="zh-CN"/>
        </w:rPr>
        <w:t>&lt;以分支机构或其他合作单位名义出具不视为投标人业绩&gt;</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w:t>
      </w:r>
    </w:p>
    <w:p>
      <w:pPr>
        <w:autoSpaceDE w:val="0"/>
        <w:autoSpaceDN w:val="0"/>
        <w:spacing w:line="36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其他融资类：须提供项目明细清单、已完成报告副本、服务合同复印件，并加盖投标人公章；稳评、股改所涉法律意见书须提供政法部门、股权交易机构等主体出具的文书&lt;复印件并加盖投标人公章&gt;</w:t>
      </w:r>
    </w:p>
    <w:p>
      <w:pPr>
        <w:autoSpaceDE w:val="0"/>
        <w:autoSpaceDN w:val="0"/>
        <w:spacing w:line="360" w:lineRule="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注：供应商可按上述的格式自行编制，须随表提交的证明材料见评审办法。</w:t>
      </w:r>
    </w:p>
    <w:p>
      <w:pPr>
        <w:rPr>
          <w:rFonts w:hint="eastAsia" w:ascii="宋体" w:hAnsi="宋体" w:eastAsia="宋体" w:cs="宋体"/>
          <w:b/>
          <w:i w:val="0"/>
          <w:iCs w:val="0"/>
          <w:color w:val="auto"/>
          <w:kern w:val="0"/>
          <w:sz w:val="32"/>
          <w:szCs w:val="32"/>
          <w:highlight w:val="none"/>
        </w:rPr>
      </w:pPr>
    </w:p>
    <w:p>
      <w:pPr>
        <w:pStyle w:val="18"/>
        <w:ind w:firstLine="643"/>
        <w:rPr>
          <w:rFonts w:hint="eastAsia" w:ascii="宋体" w:hAnsi="宋体" w:eastAsia="宋体" w:cs="宋体"/>
          <w:b/>
          <w:i w:val="0"/>
          <w:iCs w:val="0"/>
          <w:color w:val="auto"/>
          <w:kern w:val="0"/>
          <w:sz w:val="32"/>
          <w:szCs w:val="32"/>
          <w:highlight w:val="none"/>
        </w:rPr>
      </w:pPr>
    </w:p>
    <w:p>
      <w:pPr>
        <w:rPr>
          <w:rFonts w:hint="eastAsia" w:ascii="宋体" w:hAnsi="宋体" w:eastAsia="宋体" w:cs="宋体"/>
          <w:i w:val="0"/>
          <w:iCs w:val="0"/>
          <w:color w:val="auto"/>
          <w:highlight w:val="none"/>
        </w:rPr>
      </w:pPr>
    </w:p>
    <w:p>
      <w:pP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pPr>
        <w:rPr>
          <w:rFonts w:hint="eastAsia" w:ascii="宋体" w:hAnsi="宋体" w:eastAsia="宋体" w:cs="宋体"/>
          <w:b/>
          <w:i w:val="0"/>
          <w:iCs w:val="0"/>
          <w:color w:val="auto"/>
          <w:kern w:val="0"/>
          <w:sz w:val="32"/>
          <w:szCs w:val="32"/>
          <w:highlight w:val="none"/>
        </w:rPr>
      </w:pPr>
    </w:p>
    <w:p>
      <w:pPr>
        <w:spacing w:line="360" w:lineRule="auto"/>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六、</w:t>
      </w:r>
      <w:r>
        <w:rPr>
          <w:rFonts w:hint="eastAsia" w:ascii="宋体" w:hAnsi="宋体" w:eastAsia="宋体" w:cs="宋体"/>
          <w:b/>
          <w:i w:val="0"/>
          <w:iCs w:val="0"/>
          <w:color w:val="auto"/>
          <w:kern w:val="0"/>
          <w:sz w:val="32"/>
          <w:szCs w:val="32"/>
          <w:highlight w:val="none"/>
          <w:lang w:val="en-US" w:eastAsia="zh-CN"/>
        </w:rPr>
        <w:t>其他服务类</w:t>
      </w:r>
      <w:r>
        <w:rPr>
          <w:rFonts w:hint="eastAsia" w:ascii="宋体" w:hAnsi="宋体" w:eastAsia="宋体" w:cs="宋体"/>
          <w:b/>
          <w:i w:val="0"/>
          <w:iCs w:val="0"/>
          <w:color w:val="auto"/>
          <w:kern w:val="0"/>
          <w:sz w:val="32"/>
          <w:szCs w:val="32"/>
          <w:highlight w:val="none"/>
        </w:rPr>
        <w:t>指标（包括：重难点分析、合理化建议、现场服务、</w:t>
      </w:r>
      <w:r>
        <w:rPr>
          <w:rFonts w:hint="eastAsia" w:ascii="宋体" w:hAnsi="宋体" w:eastAsia="宋体" w:cs="宋体"/>
          <w:b/>
          <w:i w:val="0"/>
          <w:iCs w:val="0"/>
          <w:color w:val="auto"/>
          <w:kern w:val="0"/>
          <w:sz w:val="32"/>
          <w:szCs w:val="32"/>
          <w:highlight w:val="none"/>
          <w:lang w:val="en-US" w:eastAsia="zh-CN"/>
        </w:rPr>
        <w:t>整体服务方案、</w:t>
      </w:r>
      <w:r>
        <w:rPr>
          <w:rFonts w:hint="eastAsia" w:ascii="宋体" w:hAnsi="宋体" w:eastAsia="宋体" w:cs="宋体"/>
          <w:b/>
          <w:i w:val="0"/>
          <w:iCs w:val="0"/>
          <w:color w:val="auto"/>
          <w:kern w:val="0"/>
          <w:sz w:val="32"/>
          <w:szCs w:val="32"/>
          <w:highlight w:val="none"/>
        </w:rPr>
        <w:t>质量保证措施、其他服务承诺事项等内容）</w:t>
      </w:r>
    </w:p>
    <w:p>
      <w:pPr>
        <w:rPr>
          <w:rFonts w:hint="eastAsia" w:ascii="宋体" w:hAnsi="宋体" w:eastAsia="宋体" w:cs="宋体"/>
          <w:b/>
          <w:i w:val="0"/>
          <w:iCs w:val="0"/>
          <w:color w:val="auto"/>
          <w:kern w:val="0"/>
          <w:sz w:val="32"/>
          <w:szCs w:val="32"/>
          <w:highlight w:val="none"/>
        </w:rPr>
      </w:pPr>
    </w:p>
    <w:p>
      <w:pPr>
        <w:ind w:firstLine="3213" w:firstLineChars="1000"/>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【格式自拟】</w:t>
      </w:r>
    </w:p>
    <w:p>
      <w:pPr>
        <w:ind w:left="840"/>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i w:val="0"/>
          <w:iCs w:val="0"/>
          <w:color w:val="auto"/>
          <w:highlight w:val="none"/>
        </w:rPr>
        <w:br w:type="page"/>
      </w:r>
    </w:p>
    <w:p>
      <w:pPr>
        <w:ind w:left="840"/>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七、服务条款响应表</w:t>
      </w:r>
    </w:p>
    <w:tbl>
      <w:tblPr>
        <w:tblStyle w:val="64"/>
        <w:tblW w:w="93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3255"/>
        <w:gridCol w:w="2569"/>
        <w:gridCol w:w="1384"/>
        <w:gridCol w:w="13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726" w:type="dxa"/>
            <w:tcBorders>
              <w:top w:val="single" w:color="auto" w:sz="4" w:space="0"/>
              <w:left w:val="single" w:color="auto" w:sz="4" w:space="0"/>
              <w:bottom w:val="single" w:color="auto" w:sz="4" w:space="0"/>
              <w:right w:val="single" w:color="auto" w:sz="4" w:space="0"/>
            </w:tcBorders>
            <w:vAlign w:val="center"/>
          </w:tcPr>
          <w:p>
            <w:pPr>
              <w:pStyle w:val="35"/>
              <w:snapToGrid w:val="0"/>
              <w:jc w:val="center"/>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序号</w:t>
            </w:r>
          </w:p>
        </w:tc>
        <w:tc>
          <w:tcPr>
            <w:tcW w:w="3255" w:type="dxa"/>
            <w:tcBorders>
              <w:top w:val="single" w:color="auto" w:sz="4" w:space="0"/>
              <w:left w:val="single" w:color="auto" w:sz="4" w:space="0"/>
              <w:bottom w:val="single" w:color="auto" w:sz="4" w:space="0"/>
              <w:right w:val="single" w:color="auto" w:sz="4" w:space="0"/>
            </w:tcBorders>
            <w:vAlign w:val="center"/>
          </w:tcPr>
          <w:p>
            <w:pPr>
              <w:pStyle w:val="35"/>
              <w:snapToGrid w:val="0"/>
              <w:spacing w:before="120" w:after="120"/>
              <w:jc w:val="center"/>
              <w:rPr>
                <w:rFonts w:hint="eastAsia" w:ascii="宋体" w:hAnsi="宋体" w:eastAsia="宋体" w:cs="宋体"/>
                <w:i w:val="0"/>
                <w:iCs w:val="0"/>
                <w:color w:val="auto"/>
                <w:szCs w:val="24"/>
                <w:highlight w:val="none"/>
                <w:lang w:val="en-US" w:eastAsia="zh-CN"/>
              </w:rPr>
            </w:pPr>
            <w:r>
              <w:rPr>
                <w:rFonts w:hint="eastAsia" w:ascii="宋体" w:hAnsi="宋体" w:eastAsia="宋体" w:cs="宋体"/>
                <w:i w:val="0"/>
                <w:iCs w:val="0"/>
                <w:color w:val="auto"/>
                <w:szCs w:val="24"/>
                <w:highlight w:val="none"/>
              </w:rPr>
              <w:t>征集文件</w:t>
            </w:r>
            <w:r>
              <w:rPr>
                <w:rFonts w:hint="eastAsia" w:hAnsi="宋体" w:cs="宋体"/>
                <w:i w:val="0"/>
                <w:iCs w:val="0"/>
                <w:color w:val="auto"/>
                <w:szCs w:val="24"/>
                <w:highlight w:val="none"/>
                <w:lang w:eastAsia="zh-CN"/>
              </w:rPr>
              <w:t>的</w:t>
            </w:r>
            <w:r>
              <w:rPr>
                <w:rFonts w:hint="eastAsia" w:ascii="宋体" w:hAnsi="宋体" w:eastAsia="宋体" w:cs="宋体"/>
                <w:i w:val="0"/>
                <w:iCs w:val="0"/>
                <w:color w:val="auto"/>
                <w:szCs w:val="24"/>
                <w:highlight w:val="none"/>
              </w:rPr>
              <w:t>第二章 采购需求</w:t>
            </w:r>
          </w:p>
        </w:tc>
        <w:tc>
          <w:tcPr>
            <w:tcW w:w="2569" w:type="dxa"/>
            <w:tcBorders>
              <w:top w:val="single" w:color="auto" w:sz="4" w:space="0"/>
              <w:left w:val="single" w:color="auto" w:sz="4" w:space="0"/>
              <w:bottom w:val="single" w:color="auto" w:sz="4" w:space="0"/>
              <w:right w:val="single" w:color="auto" w:sz="4" w:space="0"/>
            </w:tcBorders>
            <w:vAlign w:val="center"/>
          </w:tcPr>
          <w:p>
            <w:pPr>
              <w:pStyle w:val="35"/>
              <w:snapToGrid w:val="0"/>
              <w:jc w:val="center"/>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响应情况</w:t>
            </w:r>
          </w:p>
        </w:tc>
        <w:tc>
          <w:tcPr>
            <w:tcW w:w="1384" w:type="dxa"/>
            <w:tcBorders>
              <w:top w:val="single" w:color="auto" w:sz="4" w:space="0"/>
              <w:left w:val="single" w:color="auto" w:sz="4" w:space="0"/>
              <w:bottom w:val="single" w:color="auto" w:sz="4" w:space="0"/>
              <w:right w:val="single" w:color="auto" w:sz="4" w:space="0"/>
            </w:tcBorders>
            <w:vAlign w:val="center"/>
          </w:tcPr>
          <w:p>
            <w:pPr>
              <w:pStyle w:val="35"/>
              <w:snapToGrid w:val="0"/>
              <w:jc w:val="center"/>
              <w:rPr>
                <w:rFonts w:hint="eastAsia" w:ascii="宋体" w:hAnsi="宋体" w:eastAsia="宋体" w:cs="宋体"/>
                <w:i w:val="0"/>
                <w:iCs w:val="0"/>
                <w:color w:val="auto"/>
                <w:szCs w:val="24"/>
                <w:highlight w:val="none"/>
                <w:lang w:eastAsia="zh-CN"/>
              </w:rPr>
            </w:pPr>
            <w:r>
              <w:rPr>
                <w:rFonts w:hint="eastAsia" w:hAnsi="宋体" w:cs="宋体"/>
                <w:i w:val="0"/>
                <w:iCs w:val="0"/>
                <w:color w:val="auto"/>
                <w:szCs w:val="24"/>
                <w:highlight w:val="none"/>
                <w:lang w:eastAsia="zh-CN"/>
              </w:rPr>
              <w:t>偏离情况</w:t>
            </w:r>
          </w:p>
        </w:tc>
        <w:tc>
          <w:tcPr>
            <w:tcW w:w="1384" w:type="dxa"/>
            <w:tcBorders>
              <w:top w:val="single" w:color="auto" w:sz="4" w:space="0"/>
              <w:left w:val="single" w:color="auto" w:sz="4" w:space="0"/>
              <w:bottom w:val="single" w:color="auto" w:sz="4" w:space="0"/>
              <w:right w:val="single" w:color="auto" w:sz="4" w:space="0"/>
            </w:tcBorders>
            <w:vAlign w:val="center"/>
          </w:tcPr>
          <w:p>
            <w:pPr>
              <w:pStyle w:val="35"/>
              <w:snapToGrid w:val="0"/>
              <w:jc w:val="center"/>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726"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3255" w:type="dxa"/>
            <w:tcBorders>
              <w:top w:val="single" w:color="auto" w:sz="4" w:space="0"/>
              <w:left w:val="single" w:color="auto" w:sz="4" w:space="0"/>
              <w:bottom w:val="single" w:color="auto" w:sz="4" w:space="0"/>
              <w:right w:val="single" w:color="auto" w:sz="4" w:space="0"/>
            </w:tcBorders>
            <w:vAlign w:val="top"/>
          </w:tcPr>
          <w:p>
            <w:pPr>
              <w:pStyle w:val="35"/>
              <w:snapToGrid w:val="0"/>
              <w:spacing w:before="120" w:after="120"/>
              <w:jc w:val="left"/>
              <w:rPr>
                <w:rFonts w:hint="eastAsia" w:ascii="宋体" w:hAnsi="宋体" w:eastAsia="宋体" w:cs="宋体"/>
                <w:i w:val="0"/>
                <w:iCs w:val="0"/>
                <w:color w:val="auto"/>
                <w:szCs w:val="24"/>
                <w:highlight w:val="none"/>
              </w:rPr>
            </w:pPr>
          </w:p>
        </w:tc>
        <w:tc>
          <w:tcPr>
            <w:tcW w:w="2569"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726"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3255" w:type="dxa"/>
            <w:tcBorders>
              <w:top w:val="single" w:color="auto" w:sz="4" w:space="0"/>
              <w:left w:val="single" w:color="auto" w:sz="4" w:space="0"/>
              <w:bottom w:val="single" w:color="auto" w:sz="4" w:space="0"/>
              <w:right w:val="single" w:color="auto" w:sz="4" w:space="0"/>
            </w:tcBorders>
            <w:vAlign w:val="top"/>
          </w:tcPr>
          <w:p>
            <w:pPr>
              <w:pStyle w:val="35"/>
              <w:snapToGrid w:val="0"/>
              <w:spacing w:before="120" w:after="120"/>
              <w:jc w:val="left"/>
              <w:rPr>
                <w:rFonts w:hint="eastAsia" w:ascii="宋体" w:hAnsi="宋体" w:eastAsia="宋体" w:cs="宋体"/>
                <w:i w:val="0"/>
                <w:iCs w:val="0"/>
                <w:color w:val="auto"/>
                <w:szCs w:val="24"/>
                <w:highlight w:val="none"/>
              </w:rPr>
            </w:pPr>
          </w:p>
        </w:tc>
        <w:tc>
          <w:tcPr>
            <w:tcW w:w="2569"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726"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3255" w:type="dxa"/>
            <w:tcBorders>
              <w:top w:val="single" w:color="auto" w:sz="4" w:space="0"/>
              <w:left w:val="single" w:color="auto" w:sz="4" w:space="0"/>
              <w:bottom w:val="single" w:color="auto" w:sz="4" w:space="0"/>
              <w:right w:val="single" w:color="auto" w:sz="4" w:space="0"/>
            </w:tcBorders>
            <w:vAlign w:val="top"/>
          </w:tcPr>
          <w:p>
            <w:pPr>
              <w:pStyle w:val="35"/>
              <w:snapToGrid w:val="0"/>
              <w:spacing w:before="120" w:after="120"/>
              <w:jc w:val="left"/>
              <w:rPr>
                <w:rFonts w:hint="eastAsia" w:ascii="宋体" w:hAnsi="宋体" w:eastAsia="宋体" w:cs="宋体"/>
                <w:i w:val="0"/>
                <w:iCs w:val="0"/>
                <w:color w:val="auto"/>
                <w:szCs w:val="24"/>
                <w:highlight w:val="none"/>
              </w:rPr>
            </w:pPr>
          </w:p>
        </w:tc>
        <w:tc>
          <w:tcPr>
            <w:tcW w:w="2569"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726"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3255" w:type="dxa"/>
            <w:tcBorders>
              <w:top w:val="single" w:color="auto" w:sz="4" w:space="0"/>
              <w:left w:val="single" w:color="auto" w:sz="4" w:space="0"/>
              <w:bottom w:val="single" w:color="auto" w:sz="4" w:space="0"/>
              <w:right w:val="single" w:color="auto" w:sz="4" w:space="0"/>
            </w:tcBorders>
            <w:vAlign w:val="top"/>
          </w:tcPr>
          <w:p>
            <w:pPr>
              <w:pStyle w:val="35"/>
              <w:snapToGrid w:val="0"/>
              <w:spacing w:before="120" w:after="120"/>
              <w:jc w:val="left"/>
              <w:rPr>
                <w:rFonts w:hint="eastAsia" w:ascii="宋体" w:hAnsi="宋体" w:eastAsia="宋体" w:cs="宋体"/>
                <w:i w:val="0"/>
                <w:iCs w:val="0"/>
                <w:color w:val="auto"/>
                <w:szCs w:val="24"/>
                <w:highlight w:val="none"/>
              </w:rPr>
            </w:pPr>
          </w:p>
        </w:tc>
        <w:tc>
          <w:tcPr>
            <w:tcW w:w="2569"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726"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3255" w:type="dxa"/>
            <w:tcBorders>
              <w:top w:val="single" w:color="auto" w:sz="4" w:space="0"/>
              <w:left w:val="single" w:color="auto" w:sz="4" w:space="0"/>
              <w:bottom w:val="single" w:color="auto" w:sz="4" w:space="0"/>
              <w:right w:val="single" w:color="auto" w:sz="4" w:space="0"/>
            </w:tcBorders>
            <w:vAlign w:val="top"/>
          </w:tcPr>
          <w:p>
            <w:pPr>
              <w:pStyle w:val="35"/>
              <w:snapToGrid w:val="0"/>
              <w:spacing w:before="120" w:after="120"/>
              <w:jc w:val="left"/>
              <w:rPr>
                <w:rFonts w:hint="eastAsia" w:ascii="宋体" w:hAnsi="宋体" w:eastAsia="宋体" w:cs="宋体"/>
                <w:i w:val="0"/>
                <w:iCs w:val="0"/>
                <w:color w:val="auto"/>
                <w:szCs w:val="24"/>
                <w:highlight w:val="none"/>
              </w:rPr>
            </w:pPr>
          </w:p>
        </w:tc>
        <w:tc>
          <w:tcPr>
            <w:tcW w:w="2569"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trPr>
        <w:tc>
          <w:tcPr>
            <w:tcW w:w="726"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3255" w:type="dxa"/>
            <w:tcBorders>
              <w:top w:val="single" w:color="auto" w:sz="4" w:space="0"/>
              <w:left w:val="single" w:color="auto" w:sz="4" w:space="0"/>
              <w:bottom w:val="single" w:color="auto" w:sz="4" w:space="0"/>
              <w:right w:val="single" w:color="auto" w:sz="4" w:space="0"/>
            </w:tcBorders>
            <w:vAlign w:val="top"/>
          </w:tcPr>
          <w:p>
            <w:pPr>
              <w:pStyle w:val="35"/>
              <w:snapToGrid w:val="0"/>
              <w:spacing w:before="120" w:after="120"/>
              <w:jc w:val="center"/>
              <w:rPr>
                <w:rFonts w:hint="eastAsia" w:ascii="宋体" w:hAnsi="宋体" w:eastAsia="宋体" w:cs="宋体"/>
                <w:i w:val="0"/>
                <w:iCs w:val="0"/>
                <w:color w:val="auto"/>
                <w:szCs w:val="24"/>
                <w:highlight w:val="none"/>
              </w:rPr>
            </w:pPr>
          </w:p>
        </w:tc>
        <w:tc>
          <w:tcPr>
            <w:tcW w:w="2569"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trPr>
        <w:tc>
          <w:tcPr>
            <w:tcW w:w="726"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3255" w:type="dxa"/>
            <w:tcBorders>
              <w:top w:val="single" w:color="auto" w:sz="4" w:space="0"/>
              <w:left w:val="single" w:color="auto" w:sz="4" w:space="0"/>
              <w:bottom w:val="single" w:color="auto" w:sz="4" w:space="0"/>
              <w:right w:val="single" w:color="auto" w:sz="4" w:space="0"/>
            </w:tcBorders>
            <w:vAlign w:val="top"/>
          </w:tcPr>
          <w:p>
            <w:pPr>
              <w:pStyle w:val="35"/>
              <w:snapToGrid w:val="0"/>
              <w:spacing w:before="120" w:after="120"/>
              <w:jc w:val="center"/>
              <w:rPr>
                <w:rFonts w:hint="eastAsia" w:ascii="宋体" w:hAnsi="宋体" w:eastAsia="宋体" w:cs="宋体"/>
                <w:i w:val="0"/>
                <w:iCs w:val="0"/>
                <w:color w:val="auto"/>
                <w:szCs w:val="24"/>
                <w:highlight w:val="none"/>
              </w:rPr>
            </w:pPr>
          </w:p>
        </w:tc>
        <w:tc>
          <w:tcPr>
            <w:tcW w:w="2569" w:type="dxa"/>
            <w:tcBorders>
              <w:top w:val="single" w:color="auto" w:sz="4" w:space="0"/>
              <w:left w:val="single" w:color="auto" w:sz="4" w:space="0"/>
              <w:bottom w:val="single" w:color="auto" w:sz="4" w:space="0"/>
              <w:right w:val="single" w:color="auto" w:sz="4" w:space="0"/>
            </w:tcBorders>
            <w:vAlign w:val="top"/>
          </w:tcPr>
          <w:p>
            <w:pPr>
              <w:pStyle w:val="35"/>
              <w:snapToGrid w:val="0"/>
              <w:jc w:val="center"/>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top"/>
          </w:tcPr>
          <w:p>
            <w:pPr>
              <w:pStyle w:val="35"/>
              <w:snapToGrid w:val="0"/>
              <w:rPr>
                <w:rFonts w:hint="eastAsia" w:ascii="宋体" w:hAnsi="宋体" w:eastAsia="宋体" w:cs="宋体"/>
                <w:i w:val="0"/>
                <w:iCs w:val="0"/>
                <w:color w:val="auto"/>
                <w:szCs w:val="24"/>
                <w:highlight w:val="none"/>
              </w:rPr>
            </w:pPr>
          </w:p>
        </w:tc>
      </w:tr>
    </w:tbl>
    <w:p>
      <w:pPr>
        <w:tabs>
          <w:tab w:val="center" w:pos="4706"/>
          <w:tab w:val="left" w:pos="5970"/>
        </w:tabs>
        <w:snapToGrid w:val="0"/>
        <w:spacing w:before="50" w:after="120" w:afterLines="50"/>
        <w:jc w:val="left"/>
        <w:rPr>
          <w:rFonts w:hint="eastAsia" w:ascii="宋体" w:hAnsi="宋体" w:eastAsia="宋体" w:cs="宋体"/>
          <w:b/>
          <w:i w:val="0"/>
          <w:iCs w:val="0"/>
          <w:color w:val="auto"/>
          <w:sz w:val="24"/>
          <w:highlight w:val="none"/>
        </w:rPr>
      </w:pPr>
      <w:r>
        <w:rPr>
          <w:rFonts w:hint="eastAsia" w:ascii="宋体" w:hAnsi="宋体" w:eastAsia="宋体" w:cs="宋体"/>
          <w:bCs/>
          <w:i w:val="0"/>
          <w:iCs w:val="0"/>
          <w:color w:val="auto"/>
          <w:sz w:val="24"/>
          <w:highlight w:val="none"/>
        </w:rPr>
        <w:t>（针对“</w:t>
      </w:r>
      <w:r>
        <w:rPr>
          <w:rFonts w:hint="eastAsia" w:ascii="宋体" w:hAnsi="宋体" w:eastAsia="宋体" w:cs="宋体"/>
          <w:i w:val="0"/>
          <w:iCs w:val="0"/>
          <w:color w:val="auto"/>
          <w:sz w:val="24"/>
          <w:highlight w:val="none"/>
        </w:rPr>
        <w:t>采购项目要求</w:t>
      </w:r>
      <w:r>
        <w:rPr>
          <w:rFonts w:hint="eastAsia" w:ascii="宋体" w:hAnsi="宋体" w:eastAsia="宋体" w:cs="宋体"/>
          <w:bCs/>
          <w:i w:val="0"/>
          <w:iCs w:val="0"/>
          <w:color w:val="auto"/>
          <w:sz w:val="24"/>
          <w:highlight w:val="none"/>
        </w:rPr>
        <w:t>”所列的服务要求条目，逐一说明是完全响应、正偏离、负偏离等响应情况）</w:t>
      </w:r>
    </w:p>
    <w:p>
      <w:pPr>
        <w:pStyle w:val="18"/>
        <w:ind w:left="0" w:leftChars="0" w:firstLine="0" w:firstLineChars="0"/>
        <w:rPr>
          <w:rFonts w:hint="eastAsia" w:ascii="宋体" w:hAnsi="宋体" w:eastAsia="宋体" w:cs="宋体"/>
          <w:i w:val="0"/>
          <w:iCs w:val="0"/>
          <w:color w:val="auto"/>
          <w:highlight w:val="none"/>
        </w:rPr>
      </w:pPr>
    </w:p>
    <w:p>
      <w:pPr>
        <w:pStyle w:val="18"/>
        <w:ind w:left="0" w:leftChars="0" w:firstLine="0" w:firstLineChars="0"/>
        <w:rPr>
          <w:rFonts w:hint="eastAsia" w:ascii="宋体" w:hAnsi="宋体" w:eastAsia="宋体" w:cs="宋体"/>
          <w:i w:val="0"/>
          <w:iCs w:val="0"/>
          <w:color w:val="auto"/>
          <w:highlight w:val="none"/>
        </w:rPr>
      </w:pPr>
    </w:p>
    <w:p>
      <w:pPr>
        <w:pStyle w:val="18"/>
        <w:ind w:left="0" w:leftChars="0" w:firstLine="0" w:firstLineChars="0"/>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18"/>
        <w:ind w:firstLine="420"/>
        <w:rPr>
          <w:rFonts w:hint="eastAsia" w:ascii="宋体" w:hAnsi="宋体" w:eastAsia="宋体" w:cs="宋体"/>
          <w:i w:val="0"/>
          <w:iCs w:val="0"/>
          <w:color w:val="auto"/>
          <w:highlight w:val="none"/>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lang w:val="en-US" w:eastAsia="zh-CN"/>
        </w:rPr>
      </w:pPr>
    </w:p>
    <w:p>
      <w:pPr>
        <w:spacing w:line="360" w:lineRule="auto"/>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lang w:val="en-US" w:eastAsia="zh-CN"/>
        </w:rPr>
        <w:t>八</w:t>
      </w:r>
      <w:r>
        <w:rPr>
          <w:rFonts w:hint="eastAsia" w:ascii="宋体" w:hAnsi="宋体" w:eastAsia="宋体" w:cs="宋体"/>
          <w:b/>
          <w:i w:val="0"/>
          <w:iCs w:val="0"/>
          <w:color w:val="auto"/>
          <w:kern w:val="0"/>
          <w:sz w:val="32"/>
          <w:szCs w:val="32"/>
          <w:highlight w:val="none"/>
        </w:rPr>
        <w:t>、对应技术、商务分中评分细则提供相应的证明资料（投标人编制并提供相关证明材料）；</w:t>
      </w:r>
    </w:p>
    <w:p>
      <w:pPr>
        <w:spacing w:line="360" w:lineRule="auto"/>
        <w:rPr>
          <w:rFonts w:hint="eastAsia" w:ascii="宋体" w:hAnsi="宋体" w:eastAsia="宋体" w:cs="宋体"/>
          <w:b/>
          <w:i w:val="0"/>
          <w:iCs w:val="0"/>
          <w:color w:val="auto"/>
          <w:kern w:val="0"/>
          <w:sz w:val="32"/>
          <w:szCs w:val="32"/>
          <w:highlight w:val="none"/>
        </w:rPr>
      </w:pPr>
    </w:p>
    <w:p>
      <w:pPr>
        <w:spacing w:line="360" w:lineRule="auto"/>
        <w:rPr>
          <w:rFonts w:hint="eastAsia" w:ascii="宋体" w:hAnsi="宋体" w:eastAsia="宋体" w:cs="宋体"/>
          <w:b/>
          <w:i w:val="0"/>
          <w:iCs w:val="0"/>
          <w:color w:val="auto"/>
          <w:kern w:val="0"/>
          <w:sz w:val="32"/>
          <w:szCs w:val="32"/>
          <w:highlight w:val="none"/>
        </w:rPr>
      </w:pPr>
    </w:p>
    <w:p>
      <w:pPr>
        <w:spacing w:line="360" w:lineRule="auto"/>
        <w:rPr>
          <w:rFonts w:hint="eastAsia" w:ascii="宋体" w:hAnsi="宋体" w:eastAsia="宋体" w:cs="宋体"/>
          <w:b/>
          <w:i w:val="0"/>
          <w:iCs w:val="0"/>
          <w:color w:val="auto"/>
          <w:kern w:val="0"/>
          <w:sz w:val="32"/>
          <w:szCs w:val="32"/>
          <w:highlight w:val="none"/>
        </w:rPr>
      </w:pPr>
    </w:p>
    <w:p>
      <w:pPr>
        <w:pStyle w:val="98"/>
        <w:rPr>
          <w:rFonts w:hint="eastAsia" w:ascii="宋体" w:hAnsi="宋体" w:eastAsia="宋体" w:cs="宋体"/>
          <w:b/>
          <w:i w:val="0"/>
          <w:iCs w:val="0"/>
          <w:color w:val="auto"/>
          <w:kern w:val="0"/>
          <w:sz w:val="32"/>
          <w:szCs w:val="32"/>
          <w:highlight w:val="none"/>
        </w:rPr>
      </w:pPr>
    </w:p>
    <w:p>
      <w:pPr>
        <w:pStyle w:val="99"/>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98"/>
        <w:rPr>
          <w:rFonts w:hint="eastAsia" w:ascii="宋体" w:hAnsi="宋体" w:eastAsia="宋体" w:cs="宋体"/>
          <w:b/>
          <w:i w:val="0"/>
          <w:iCs w:val="0"/>
          <w:color w:val="auto"/>
          <w:kern w:val="0"/>
          <w:sz w:val="32"/>
          <w:szCs w:val="32"/>
          <w:highlight w:val="none"/>
        </w:rPr>
      </w:pPr>
    </w:p>
    <w:p>
      <w:pPr>
        <w:pStyle w:val="99"/>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98"/>
        <w:rPr>
          <w:rFonts w:hint="eastAsia" w:ascii="宋体" w:hAnsi="宋体" w:eastAsia="宋体" w:cs="宋体"/>
          <w:b/>
          <w:i w:val="0"/>
          <w:iCs w:val="0"/>
          <w:color w:val="auto"/>
          <w:kern w:val="0"/>
          <w:sz w:val="32"/>
          <w:szCs w:val="32"/>
          <w:highlight w:val="none"/>
        </w:rPr>
      </w:pPr>
    </w:p>
    <w:p>
      <w:pPr>
        <w:pStyle w:val="99"/>
        <w:rPr>
          <w:rFonts w:hint="eastAsia" w:ascii="宋体" w:hAnsi="宋体" w:eastAsia="宋体" w:cs="宋体"/>
          <w:highlight w:val="none"/>
        </w:rPr>
      </w:pPr>
    </w:p>
    <w:p>
      <w:pPr>
        <w:spacing w:line="360" w:lineRule="auto"/>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lang w:val="en-US" w:eastAsia="zh-CN"/>
        </w:rPr>
        <w:t>九、</w:t>
      </w:r>
      <w:r>
        <w:rPr>
          <w:rFonts w:hint="eastAsia" w:ascii="宋体" w:hAnsi="宋体" w:eastAsia="宋体" w:cs="宋体"/>
          <w:b/>
          <w:i w:val="0"/>
          <w:iCs w:val="0"/>
          <w:color w:val="auto"/>
          <w:kern w:val="0"/>
          <w:sz w:val="32"/>
          <w:szCs w:val="32"/>
          <w:highlight w:val="none"/>
        </w:rPr>
        <w:t>供应商认为有必要提供的其他资料【结合评分需要，格式自拟】。</w:t>
      </w:r>
    </w:p>
    <w:p>
      <w:pPr>
        <w:spacing w:line="360" w:lineRule="auto"/>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 xml:space="preserve"> </w:t>
      </w: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pStyle w:val="993"/>
        <w:snapToGrid w:val="0"/>
        <w:spacing w:before="120" w:after="120"/>
        <w:jc w:val="center"/>
        <w:rPr>
          <w:rFonts w:hint="eastAsia" w:ascii="宋体" w:hAnsi="宋体" w:eastAsia="宋体" w:cs="宋体"/>
          <w:b/>
          <w:color w:val="auto"/>
          <w:sz w:val="32"/>
          <w:szCs w:val="32"/>
          <w:highlight w:val="none"/>
        </w:rPr>
      </w:pPr>
      <w:r>
        <w:rPr>
          <w:rFonts w:hint="eastAsia" w:hAnsi="宋体" w:cs="宋体"/>
          <w:b/>
          <w:color w:val="auto"/>
          <w:sz w:val="32"/>
          <w:szCs w:val="32"/>
          <w:highlight w:val="none"/>
          <w:lang w:eastAsia="zh-CN"/>
        </w:rPr>
        <w:t>十</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政府采购活动现场确认声明书</w:t>
      </w:r>
    </w:p>
    <w:p>
      <w:pPr>
        <w:pStyle w:val="993"/>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993"/>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994"/>
        <w:widowControl/>
        <w:numPr>
          <w:ilvl w:val="0"/>
          <w:numId w:val="13"/>
        </w:numPr>
        <w:snapToGrid w:val="0"/>
        <w:spacing w:line="380" w:lineRule="exact"/>
        <w:ind w:firstLine="396" w:firstLineChars="189"/>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本单位与采购人之间 □不存在利害关系 </w:t>
      </w:r>
      <w:r>
        <w:rPr>
          <w:rFonts w:hint="eastAsia" w:ascii="宋体" w:hAnsi="宋体" w:eastAsia="宋体" w:cs="宋体"/>
          <w:color w:val="auto"/>
          <w:kern w:val="0"/>
          <w:szCs w:val="21"/>
          <w:highlight w:val="none"/>
          <w:lang w:eastAsia="zh-CN"/>
        </w:rPr>
        <w:t>□</w:t>
      </w:r>
      <w:r>
        <w:rPr>
          <w:rFonts w:ascii="宋体" w:hAnsi="宋体" w:eastAsia="宋体" w:cs="宋体"/>
          <w:color w:val="auto"/>
          <w:kern w:val="0"/>
          <w:szCs w:val="21"/>
          <w:highlight w:val="none"/>
        </w:rPr>
        <w:t>存在下列利害关系</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w:t>
      </w:r>
    </w:p>
    <w:p>
      <w:pPr>
        <w:pStyle w:val="994"/>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A.投资关系    B.行政隶属关系    C.业务指导关系</w:t>
      </w:r>
    </w:p>
    <w:p>
      <w:pPr>
        <w:pStyle w:val="994"/>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D.其他可能</w:t>
      </w:r>
      <w:r>
        <w:rPr>
          <w:rFonts w:ascii="宋体" w:hAnsi="宋体" w:eastAsia="宋体" w:cs="宋体"/>
          <w:color w:val="auto"/>
          <w:szCs w:val="21"/>
          <w:highlight w:val="none"/>
        </w:rPr>
        <w:t>影响采购公正的</w:t>
      </w:r>
      <w:r>
        <w:rPr>
          <w:rFonts w:ascii="宋体" w:hAnsi="宋体" w:eastAsia="宋体" w:cs="宋体"/>
          <w:color w:val="auto"/>
          <w:kern w:val="0"/>
          <w:szCs w:val="21"/>
          <w:highlight w:val="none"/>
        </w:rPr>
        <w:t>利害关系</w:t>
      </w:r>
      <w:r>
        <w:rPr>
          <w:rFonts w:ascii="宋体" w:hAnsi="宋体" w:eastAsia="宋体" w:cs="宋体"/>
          <w:color w:val="auto"/>
          <w:kern w:val="0"/>
          <w:szCs w:val="21"/>
          <w:highlight w:val="none"/>
          <w:u w:val="single"/>
        </w:rPr>
        <w:t xml:space="preserve">（如有，请如实说明）                 </w:t>
      </w:r>
      <w:r>
        <w:rPr>
          <w:rFonts w:ascii="宋体" w:hAnsi="宋体" w:eastAsia="宋体" w:cs="宋体"/>
          <w:color w:val="auto"/>
          <w:kern w:val="0"/>
          <w:szCs w:val="21"/>
          <w:highlight w:val="none"/>
        </w:rPr>
        <w:t>。</w:t>
      </w:r>
    </w:p>
    <w:p>
      <w:pPr>
        <w:pStyle w:val="994"/>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spacing w:val="6"/>
          <w:szCs w:val="21"/>
          <w:highlight w:val="none"/>
        </w:rPr>
        <w:t xml:space="preserve">  二、</w:t>
      </w:r>
      <w:r>
        <w:rPr>
          <w:rFonts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ascii="宋体" w:hAnsi="宋体" w:eastAsia="宋体" w:cs="宋体"/>
          <w:color w:val="auto"/>
          <w:kern w:val="0"/>
          <w:szCs w:val="21"/>
          <w:highlight w:val="none"/>
          <w:u w:val="single"/>
        </w:rPr>
        <w:t xml:space="preserve">           （供应商名称）</w:t>
      </w:r>
      <w:r>
        <w:rPr>
          <w:rFonts w:ascii="宋体" w:hAnsi="宋体" w:eastAsia="宋体" w:cs="宋体"/>
          <w:color w:val="auto"/>
          <w:kern w:val="0"/>
          <w:szCs w:val="21"/>
          <w:highlight w:val="none"/>
        </w:rPr>
        <w:t>之间存在下列利害关系</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w:t>
      </w:r>
    </w:p>
    <w:p>
      <w:pPr>
        <w:pStyle w:val="993"/>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993"/>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993"/>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993"/>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993"/>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993"/>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993"/>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993"/>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993"/>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994"/>
        <w:widowControl/>
        <w:numPr>
          <w:ilvl w:val="0"/>
          <w:numId w:val="14"/>
        </w:numPr>
        <w:snapToGrid w:val="0"/>
        <w:spacing w:line="380" w:lineRule="exact"/>
        <w:ind w:firstLine="396" w:firstLineChars="189"/>
        <w:rPr>
          <w:rFonts w:ascii="宋体" w:hAnsi="宋体" w:eastAsia="宋体" w:cs="宋体"/>
          <w:color w:val="auto"/>
          <w:kern w:val="0"/>
          <w:szCs w:val="21"/>
          <w:highlight w:val="none"/>
        </w:rPr>
      </w:pPr>
      <w:r>
        <w:rPr>
          <w:rFonts w:ascii="宋体" w:hAnsi="宋体" w:eastAsia="宋体" w:cs="宋体"/>
          <w:color w:val="auto"/>
          <w:szCs w:val="21"/>
          <w:highlight w:val="none"/>
        </w:rPr>
        <w:t>现已清楚知道并</w:t>
      </w:r>
      <w:r>
        <w:rPr>
          <w:rFonts w:ascii="宋体" w:hAnsi="宋体" w:eastAsia="宋体" w:cs="宋体"/>
          <w:color w:val="auto"/>
          <w:kern w:val="0"/>
          <w:szCs w:val="21"/>
          <w:highlight w:val="none"/>
        </w:rPr>
        <w:t>严格遵守政府采购法律法规和现场纪律。</w:t>
      </w:r>
    </w:p>
    <w:p>
      <w:pPr>
        <w:pStyle w:val="994"/>
        <w:widowControl/>
        <w:numPr>
          <w:ilvl w:val="0"/>
          <w:numId w:val="14"/>
        </w:numPr>
        <w:snapToGrid w:val="0"/>
        <w:spacing w:line="380" w:lineRule="exact"/>
        <w:ind w:firstLine="396" w:firstLineChars="189"/>
        <w:rPr>
          <w:rFonts w:ascii="宋体" w:hAnsi="宋体" w:eastAsia="宋体" w:cs="宋体"/>
          <w:color w:val="auto"/>
          <w:szCs w:val="21"/>
          <w:highlight w:val="none"/>
        </w:rPr>
      </w:pPr>
      <w:r>
        <w:rPr>
          <w:rFonts w:ascii="宋体" w:hAnsi="宋体" w:eastAsia="宋体" w:cs="宋体"/>
          <w:color w:val="auto"/>
          <w:kern w:val="0"/>
          <w:szCs w:val="21"/>
          <w:highlight w:val="none"/>
        </w:rPr>
        <w:t>我发现</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供应商之间存在或可能存在上述第二条第</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项利害关系。</w:t>
      </w:r>
    </w:p>
    <w:p>
      <w:pPr>
        <w:pStyle w:val="993"/>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pPr>
        <w:pStyle w:val="993"/>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pPr>
        <w:pStyle w:val="18"/>
        <w:spacing w:line="360" w:lineRule="auto"/>
        <w:ind w:left="0" w:leftChars="0" w:firstLine="0" w:firstLineChars="0"/>
        <w:jc w:val="center"/>
        <w:rPr>
          <w:rFonts w:hint="eastAsia" w:ascii="宋体" w:hAnsi="宋体" w:eastAsia="宋体" w:cs="宋体"/>
          <w:b/>
          <w:bCs/>
          <w:i w:val="0"/>
          <w:iCs w:val="0"/>
          <w:color w:val="auto"/>
          <w:sz w:val="52"/>
          <w:szCs w:val="52"/>
          <w:highlight w:val="none"/>
          <w:lang w:val="en-US" w:eastAsia="zh-CN"/>
        </w:rPr>
      </w:pPr>
    </w:p>
    <w:p>
      <w:pPr>
        <w:pStyle w:val="18"/>
        <w:spacing w:line="360" w:lineRule="auto"/>
        <w:ind w:left="0" w:leftChars="0" w:firstLine="0" w:firstLineChars="0"/>
        <w:jc w:val="center"/>
        <w:rPr>
          <w:rFonts w:hint="eastAsia" w:ascii="宋体" w:hAnsi="宋体" w:eastAsia="宋体" w:cs="宋体"/>
          <w:b/>
          <w:bCs/>
          <w:i w:val="0"/>
          <w:iCs w:val="0"/>
          <w:color w:val="auto"/>
          <w:sz w:val="52"/>
          <w:szCs w:val="52"/>
          <w:highlight w:val="none"/>
          <w:lang w:val="en-US" w:eastAsia="zh-CN"/>
        </w:rPr>
      </w:pPr>
    </w:p>
    <w:p>
      <w:pPr>
        <w:pStyle w:val="18"/>
        <w:spacing w:line="360" w:lineRule="auto"/>
        <w:ind w:left="0" w:leftChars="0" w:firstLine="0" w:firstLineChars="0"/>
        <w:jc w:val="center"/>
        <w:rPr>
          <w:rFonts w:hint="eastAsia" w:ascii="宋体" w:hAnsi="宋体" w:eastAsia="宋体" w:cs="宋体"/>
          <w:b/>
          <w:bCs/>
          <w:i w:val="0"/>
          <w:iCs w:val="0"/>
          <w:color w:val="auto"/>
          <w:sz w:val="52"/>
          <w:szCs w:val="52"/>
          <w:highlight w:val="none"/>
          <w:lang w:val="en-US" w:eastAsia="zh-CN"/>
        </w:rPr>
      </w:pPr>
    </w:p>
    <w:p>
      <w:pPr>
        <w:pStyle w:val="16"/>
        <w:jc w:val="center"/>
        <w:rPr>
          <w:rFonts w:hint="eastAsia" w:hAnsi="宋体" w:cs="宋体"/>
          <w:b/>
          <w:bCs/>
          <w:i w:val="0"/>
          <w:iCs w:val="0"/>
          <w:color w:val="auto"/>
          <w:sz w:val="32"/>
          <w:szCs w:val="32"/>
          <w:highlight w:val="none"/>
          <w:lang w:val="en-US" w:eastAsia="zh-CN"/>
        </w:rPr>
      </w:pPr>
    </w:p>
    <w:p>
      <w:pPr>
        <w:pStyle w:val="16"/>
        <w:spacing w:line="480" w:lineRule="auto"/>
        <w:jc w:val="center"/>
        <w:rPr>
          <w:rFonts w:hint="eastAsia" w:hAnsi="宋体" w:cs="宋体"/>
          <w:b/>
          <w:bCs/>
          <w:i w:val="0"/>
          <w:iCs w:val="0"/>
          <w:color w:val="auto"/>
          <w:sz w:val="40"/>
          <w:szCs w:val="40"/>
          <w:highlight w:val="none"/>
          <w:lang w:val="en-US" w:eastAsia="zh-CN"/>
        </w:rPr>
      </w:pPr>
    </w:p>
    <w:p>
      <w:pPr>
        <w:shd w:val="clear" w:color="auto" w:fill="FFFFFF"/>
        <w:snapToGrid w:val="0"/>
        <w:spacing w:after="50" w:line="360" w:lineRule="auto"/>
        <w:jc w:val="center"/>
        <w:rPr>
          <w:rFonts w:hint="eastAsia" w:hAnsi="宋体" w:cs="宋体"/>
          <w:b/>
          <w:bCs/>
          <w:i w:val="0"/>
          <w:iCs w:val="0"/>
          <w:color w:val="auto"/>
          <w:sz w:val="40"/>
          <w:szCs w:val="40"/>
          <w:highlight w:val="none"/>
          <w:lang w:val="en-US" w:eastAsia="zh-CN"/>
        </w:rPr>
      </w:pPr>
      <w:r>
        <w:rPr>
          <w:rFonts w:hint="eastAsia" w:hAnsi="宋体" w:cs="宋体"/>
          <w:b/>
          <w:bCs/>
          <w:i w:val="0"/>
          <w:iCs w:val="0"/>
          <w:color w:val="auto"/>
          <w:sz w:val="40"/>
          <w:szCs w:val="40"/>
          <w:highlight w:val="none"/>
          <w:lang w:val="en-US" w:eastAsia="zh-CN"/>
        </w:rPr>
        <w:t>杭州市余杭区2023-2025年度专项债券发行准备法律专业服务采购项目</w:t>
      </w:r>
    </w:p>
    <w:p>
      <w:pPr>
        <w:shd w:val="clear" w:color="auto" w:fill="FFFFFF"/>
        <w:snapToGrid w:val="0"/>
        <w:spacing w:after="50"/>
        <w:jc w:val="center"/>
        <w:rPr>
          <w:rFonts w:hint="eastAsia" w:hAnsi="宋体" w:cs="宋体"/>
          <w:b/>
          <w:bCs/>
          <w:i w:val="0"/>
          <w:iCs w:val="0"/>
          <w:color w:val="auto"/>
          <w:sz w:val="40"/>
          <w:szCs w:val="40"/>
          <w:highlight w:val="none"/>
          <w:lang w:val="en-US" w:eastAsia="zh-CN"/>
        </w:rPr>
      </w:pPr>
    </w:p>
    <w:p>
      <w:pPr>
        <w:shd w:val="clear" w:color="auto" w:fill="FFFFFF"/>
        <w:snapToGrid w:val="0"/>
        <w:spacing w:after="50"/>
        <w:jc w:val="center"/>
        <w:rPr>
          <w:rFonts w:hint="eastAsia" w:ascii="宋体" w:hAnsi="宋体" w:eastAsia="宋体" w:cs="宋体"/>
          <w:b/>
          <w:i w:val="0"/>
          <w:iCs w:val="0"/>
          <w:color w:val="auto"/>
          <w:sz w:val="72"/>
          <w:szCs w:val="72"/>
          <w:highlight w:val="none"/>
          <w:shd w:val="clear" w:color="auto" w:fill="FFFFFF"/>
        </w:rPr>
      </w:pPr>
      <w:r>
        <w:rPr>
          <w:rFonts w:hint="eastAsia" w:ascii="宋体" w:hAnsi="宋体" w:eastAsia="宋体" w:cs="宋体"/>
          <w:b/>
          <w:i w:val="0"/>
          <w:iCs w:val="0"/>
          <w:color w:val="auto"/>
          <w:sz w:val="72"/>
          <w:szCs w:val="72"/>
          <w:highlight w:val="none"/>
          <w:shd w:val="clear" w:color="auto" w:fill="FFFFFF"/>
        </w:rPr>
        <w:t>响 应 文 件</w:t>
      </w:r>
    </w:p>
    <w:p>
      <w:pPr>
        <w:shd w:val="clear" w:color="auto" w:fill="FFFFFF"/>
        <w:snapToGrid w:val="0"/>
        <w:spacing w:after="50"/>
        <w:jc w:val="center"/>
        <w:rPr>
          <w:rFonts w:hint="eastAsia" w:ascii="宋体" w:hAnsi="宋体" w:eastAsia="宋体" w:cs="宋体"/>
          <w:b/>
          <w:i w:val="0"/>
          <w:iCs w:val="0"/>
          <w:color w:val="auto"/>
          <w:sz w:val="52"/>
          <w:szCs w:val="52"/>
          <w:highlight w:val="none"/>
          <w:shd w:val="clear" w:color="auto" w:fill="FFFFFF"/>
        </w:rPr>
      </w:pPr>
    </w:p>
    <w:p>
      <w:pPr>
        <w:shd w:val="clear" w:color="auto" w:fill="FFFFFF"/>
        <w:snapToGrid w:val="0"/>
        <w:spacing w:after="50"/>
        <w:jc w:val="center"/>
        <w:rPr>
          <w:rFonts w:hint="eastAsia" w:ascii="宋体" w:hAnsi="宋体" w:eastAsia="宋体" w:cs="宋体"/>
          <w:b/>
          <w:i w:val="0"/>
          <w:iCs w:val="0"/>
          <w:color w:val="auto"/>
          <w:sz w:val="52"/>
          <w:szCs w:val="52"/>
          <w:highlight w:val="none"/>
          <w:shd w:val="clear" w:color="auto" w:fill="FFFFFF"/>
        </w:rPr>
      </w:pPr>
      <w:r>
        <w:rPr>
          <w:rFonts w:hint="eastAsia" w:ascii="宋体" w:hAnsi="宋体" w:eastAsia="宋体" w:cs="宋体"/>
          <w:b/>
          <w:i w:val="0"/>
          <w:iCs w:val="0"/>
          <w:color w:val="auto"/>
          <w:sz w:val="52"/>
          <w:szCs w:val="52"/>
          <w:highlight w:val="none"/>
          <w:shd w:val="clear" w:color="auto" w:fill="FFFFFF"/>
        </w:rPr>
        <w:t>（报价文件）</w:t>
      </w:r>
    </w:p>
    <w:p>
      <w:pPr>
        <w:shd w:val="clear" w:color="auto" w:fill="FFFFFF"/>
        <w:snapToGrid w:val="0"/>
        <w:spacing w:after="50"/>
        <w:jc w:val="center"/>
        <w:rPr>
          <w:rFonts w:hint="eastAsia" w:ascii="宋体" w:hAnsi="宋体" w:eastAsia="宋体" w:cs="宋体"/>
          <w:b/>
          <w:i w:val="0"/>
          <w:iCs w:val="0"/>
          <w:color w:val="auto"/>
          <w:sz w:val="44"/>
          <w:szCs w:val="44"/>
          <w:highlight w:val="none"/>
        </w:rPr>
      </w:pPr>
    </w:p>
    <w:p>
      <w:pPr>
        <w:shd w:val="clear" w:color="auto" w:fill="FFFFFF"/>
        <w:snapToGrid w:val="0"/>
        <w:spacing w:after="50"/>
        <w:rPr>
          <w:rFonts w:hint="eastAsia" w:ascii="宋体" w:hAnsi="宋体" w:eastAsia="宋体" w:cs="宋体"/>
          <w:bCs/>
          <w:i w:val="0"/>
          <w:iCs w:val="0"/>
          <w:color w:val="auto"/>
          <w:sz w:val="24"/>
          <w:highlight w:val="none"/>
        </w:rPr>
      </w:pPr>
    </w:p>
    <w:p>
      <w:pPr>
        <w:shd w:val="clear" w:color="auto" w:fill="FFFFFF"/>
        <w:snapToGrid w:val="0"/>
        <w:spacing w:after="50"/>
        <w:jc w:val="center"/>
        <w:rPr>
          <w:rFonts w:hint="eastAsia" w:ascii="宋体" w:hAnsi="宋体" w:eastAsia="宋体" w:cs="宋体"/>
          <w:bCs/>
          <w:i w:val="0"/>
          <w:iCs w:val="0"/>
          <w:color w:val="auto"/>
          <w:sz w:val="24"/>
          <w:highlight w:val="none"/>
        </w:rPr>
      </w:pPr>
    </w:p>
    <w:p>
      <w:pPr>
        <w:pStyle w:val="18"/>
        <w:ind w:firstLine="480"/>
        <w:rPr>
          <w:rFonts w:hint="eastAsia" w:ascii="宋体" w:hAnsi="宋体" w:eastAsia="宋体" w:cs="宋体"/>
          <w:bCs/>
          <w:i w:val="0"/>
          <w:iCs w:val="0"/>
          <w:color w:val="auto"/>
          <w:sz w:val="24"/>
          <w:highlight w:val="none"/>
        </w:rPr>
      </w:pPr>
    </w:p>
    <w:p>
      <w:pPr>
        <w:pStyle w:val="19"/>
        <w:rPr>
          <w:rFonts w:hint="eastAsia"/>
          <w:highlight w:val="none"/>
        </w:rPr>
      </w:pPr>
    </w:p>
    <w:p>
      <w:pPr>
        <w:rPr>
          <w:rFonts w:hint="eastAsia" w:ascii="宋体" w:hAnsi="宋体" w:eastAsia="宋体" w:cs="宋体"/>
          <w:bCs/>
          <w:i w:val="0"/>
          <w:iCs w:val="0"/>
          <w:color w:val="auto"/>
          <w:sz w:val="24"/>
          <w:highlight w:val="none"/>
        </w:rPr>
      </w:pPr>
    </w:p>
    <w:p>
      <w:pPr>
        <w:pStyle w:val="18"/>
        <w:ind w:firstLine="480"/>
        <w:rPr>
          <w:rFonts w:hint="eastAsia" w:ascii="宋体" w:hAnsi="宋体" w:eastAsia="宋体" w:cs="宋体"/>
          <w:bCs/>
          <w:i w:val="0"/>
          <w:iCs w:val="0"/>
          <w:color w:val="auto"/>
          <w:sz w:val="24"/>
          <w:highlight w:val="none"/>
        </w:rPr>
      </w:pPr>
    </w:p>
    <w:p>
      <w:pPr>
        <w:pStyle w:val="19"/>
        <w:rPr>
          <w:rFonts w:hint="eastAsia"/>
          <w:highlight w:val="none"/>
        </w:rPr>
      </w:pPr>
    </w:p>
    <w:p>
      <w:pPr>
        <w:rPr>
          <w:rFonts w:hint="eastAsia" w:ascii="宋体" w:hAnsi="宋体" w:eastAsia="宋体" w:cs="宋体"/>
          <w:i w:val="0"/>
          <w:iCs w:val="0"/>
          <w:color w:val="auto"/>
          <w:highlight w:val="none"/>
        </w:rPr>
      </w:pPr>
    </w:p>
    <w:p>
      <w:pPr>
        <w:shd w:val="clear" w:color="auto" w:fill="FFFFFF"/>
        <w:snapToGrid w:val="0"/>
        <w:spacing w:after="50"/>
        <w:rPr>
          <w:rFonts w:hint="eastAsia" w:ascii="宋体" w:hAnsi="宋体" w:eastAsia="宋体" w:cs="宋体"/>
          <w:bCs/>
          <w:i w:val="0"/>
          <w:iCs w:val="0"/>
          <w:color w:val="auto"/>
          <w:sz w:val="24"/>
          <w:szCs w:val="20"/>
          <w:highlight w:val="none"/>
        </w:rPr>
      </w:pP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r>
        <w:rPr>
          <w:rFonts w:hint="eastAsia" w:ascii="宋体" w:hAnsi="宋体" w:eastAsia="宋体" w:cs="宋体"/>
          <w:bCs/>
          <w:i w:val="0"/>
          <w:iCs w:val="0"/>
          <w:color w:val="auto"/>
          <w:sz w:val="30"/>
          <w:szCs w:val="30"/>
          <w:highlight w:val="none"/>
        </w:rPr>
        <w:t>项目编号：</w:t>
      </w: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r>
        <w:rPr>
          <w:rFonts w:hint="eastAsia" w:ascii="宋体" w:hAnsi="宋体" w:eastAsia="宋体" w:cs="宋体"/>
          <w:bCs/>
          <w:i w:val="0"/>
          <w:iCs w:val="0"/>
          <w:color w:val="auto"/>
          <w:sz w:val="30"/>
          <w:szCs w:val="30"/>
          <w:highlight w:val="none"/>
        </w:rPr>
        <w:t>供应商全称（公章）：</w:t>
      </w: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r>
        <w:rPr>
          <w:rFonts w:hint="eastAsia" w:ascii="宋体" w:hAnsi="宋体" w:eastAsia="宋体" w:cs="宋体"/>
          <w:bCs/>
          <w:i w:val="0"/>
          <w:iCs w:val="0"/>
          <w:color w:val="auto"/>
          <w:sz w:val="30"/>
          <w:szCs w:val="30"/>
          <w:highlight w:val="none"/>
        </w:rPr>
        <w:t>供应商地址：</w:t>
      </w: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r>
        <w:rPr>
          <w:rFonts w:hint="eastAsia" w:ascii="宋体" w:hAnsi="宋体" w:eastAsia="宋体" w:cs="宋体"/>
          <w:bCs/>
          <w:i w:val="0"/>
          <w:iCs w:val="0"/>
          <w:color w:val="auto"/>
          <w:sz w:val="30"/>
          <w:szCs w:val="30"/>
          <w:highlight w:val="none"/>
        </w:rPr>
        <w:t>联系电话：</w:t>
      </w:r>
    </w:p>
    <w:p>
      <w:pPr>
        <w:shd w:val="clear" w:color="auto" w:fill="FFFFFF"/>
        <w:snapToGrid w:val="0"/>
        <w:spacing w:after="50"/>
        <w:ind w:firstLine="900" w:firstLineChars="300"/>
        <w:rPr>
          <w:rFonts w:hint="eastAsia" w:ascii="宋体" w:hAnsi="宋体" w:eastAsia="宋体" w:cs="宋体"/>
          <w:bCs/>
          <w:i w:val="0"/>
          <w:iCs w:val="0"/>
          <w:color w:val="auto"/>
          <w:sz w:val="30"/>
          <w:szCs w:val="30"/>
          <w:highlight w:val="none"/>
        </w:rPr>
      </w:pPr>
    </w:p>
    <w:p>
      <w:pPr>
        <w:shd w:val="clear" w:color="auto" w:fill="FFFFFF"/>
        <w:snapToGrid w:val="0"/>
        <w:spacing w:after="50"/>
        <w:ind w:right="670" w:rightChars="319" w:firstLine="645"/>
        <w:jc w:val="center"/>
        <w:rPr>
          <w:rFonts w:hint="eastAsia" w:ascii="宋体" w:hAnsi="宋体" w:eastAsia="宋体" w:cs="宋体"/>
          <w:i w:val="0"/>
          <w:iCs w:val="0"/>
          <w:color w:val="auto"/>
          <w:sz w:val="28"/>
          <w:szCs w:val="21"/>
          <w:highlight w:val="none"/>
        </w:rPr>
      </w:pPr>
      <w:r>
        <w:rPr>
          <w:rFonts w:hint="eastAsia" w:ascii="宋体" w:hAnsi="宋体" w:eastAsia="宋体" w:cs="宋体"/>
          <w:i w:val="0"/>
          <w:iCs w:val="0"/>
          <w:color w:val="auto"/>
          <w:sz w:val="28"/>
          <w:szCs w:val="28"/>
          <w:highlight w:val="none"/>
        </w:rPr>
        <w:t>年  月  日</w:t>
      </w:r>
    </w:p>
    <w:p>
      <w:pP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br w:type="page"/>
      </w:r>
    </w:p>
    <w:p>
      <w:pPr>
        <w:pStyle w:val="18"/>
        <w:ind w:left="0" w:leftChars="0" w:firstLine="0" w:firstLineChars="0"/>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36"/>
          <w:szCs w:val="44"/>
          <w:highlight w:val="none"/>
        </w:rPr>
        <w:t>价格承诺函</w:t>
      </w:r>
    </w:p>
    <w:p>
      <w:pPr>
        <w:pStyle w:val="18"/>
        <w:ind w:firstLine="249" w:firstLineChars="104"/>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项目名称：</w:t>
      </w:r>
      <w:r>
        <w:rPr>
          <w:rFonts w:hint="eastAsia" w:ascii="宋体" w:hAnsi="宋体" w:eastAsia="宋体" w:cs="宋体"/>
          <w:i w:val="0"/>
          <w:iCs w:val="0"/>
          <w:color w:val="auto"/>
          <w:sz w:val="24"/>
          <w:highlight w:val="none"/>
          <w:lang w:val="en-US" w:eastAsia="zh-CN"/>
        </w:rPr>
        <w:t xml:space="preserve">                                       </w:t>
      </w:r>
      <w:r>
        <w:rPr>
          <w:rFonts w:hint="eastAsia" w:ascii="宋体" w:hAnsi="宋体" w:eastAsia="宋体" w:cs="宋体"/>
          <w:i w:val="0"/>
          <w:iCs w:val="0"/>
          <w:color w:val="auto"/>
          <w:sz w:val="24"/>
          <w:highlight w:val="none"/>
        </w:rPr>
        <w:t>项目编号：</w:t>
      </w:r>
    </w:p>
    <w:tbl>
      <w:tblPr>
        <w:tblStyle w:val="64"/>
        <w:tblW w:w="8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84"/>
        <w:gridCol w:w="1591"/>
        <w:gridCol w:w="2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6" w:hRule="atLeast"/>
          <w:jc w:val="center"/>
        </w:trPr>
        <w:tc>
          <w:tcPr>
            <w:tcW w:w="3884"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项目</w:t>
            </w:r>
            <w:r>
              <w:rPr>
                <w:rFonts w:hint="eastAsia" w:ascii="宋体" w:hAnsi="宋体" w:cs="宋体"/>
                <w:i w:val="0"/>
                <w:iCs w:val="0"/>
                <w:color w:val="auto"/>
                <w:sz w:val="24"/>
                <w:highlight w:val="none"/>
                <w:lang w:val="en-US" w:eastAsia="zh-CN"/>
              </w:rPr>
              <w:t>类型</w:t>
            </w:r>
          </w:p>
        </w:tc>
        <w:tc>
          <w:tcPr>
            <w:tcW w:w="1591"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jc w:val="center"/>
              <w:rPr>
                <w:rStyle w:val="977"/>
                <w:rFonts w:hint="eastAsia" w:ascii="宋体" w:hAnsi="宋体" w:eastAsia="宋体" w:cs="宋体"/>
                <w:bCs/>
                <w:i w:val="0"/>
                <w:iCs w:val="0"/>
                <w:color w:val="auto"/>
                <w:sz w:val="24"/>
                <w:highlight w:val="none"/>
              </w:rPr>
            </w:pPr>
            <w:r>
              <w:rPr>
                <w:rStyle w:val="977"/>
                <w:rFonts w:hint="eastAsia" w:ascii="宋体" w:hAnsi="宋体" w:eastAsia="宋体" w:cs="宋体"/>
                <w:bCs/>
                <w:i w:val="0"/>
                <w:iCs w:val="0"/>
                <w:color w:val="auto"/>
                <w:sz w:val="24"/>
                <w:highlight w:val="none"/>
              </w:rPr>
              <w:t>最高单价限价</w:t>
            </w:r>
          </w:p>
        </w:tc>
        <w:tc>
          <w:tcPr>
            <w:tcW w:w="2970"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widowControl/>
              <w:snapToGrid w:val="0"/>
              <w:jc w:val="center"/>
              <w:rPr>
                <w:rFonts w:hint="eastAsia" w:ascii="宋体" w:hAnsi="宋体" w:eastAsia="宋体" w:cs="宋体"/>
                <w:i w:val="0"/>
                <w:iCs w:val="0"/>
                <w:color w:val="auto"/>
                <w:sz w:val="24"/>
                <w:highlight w:val="none"/>
                <w:lang w:eastAsia="zh-CN"/>
              </w:rPr>
            </w:pPr>
            <w:r>
              <w:rPr>
                <w:rStyle w:val="977"/>
                <w:rFonts w:hint="eastAsia" w:ascii="宋体" w:hAnsi="宋体" w:eastAsia="宋体" w:cs="宋体"/>
                <w:bCs/>
                <w:i w:val="0"/>
                <w:iCs w:val="0"/>
                <w:color w:val="auto"/>
                <w:sz w:val="24"/>
                <w:highlight w:val="none"/>
              </w:rPr>
              <w:t>响应单价</w:t>
            </w:r>
            <w:r>
              <w:rPr>
                <w:rStyle w:val="977"/>
                <w:rFonts w:hint="eastAsia" w:ascii="宋体" w:hAnsi="宋体" w:cs="宋体"/>
                <w:bCs/>
                <w:i w:val="0"/>
                <w:iCs w:val="0"/>
                <w:color w:val="auto"/>
                <w:sz w:val="24"/>
                <w:highlight w:val="none"/>
                <w:lang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exact"/>
          <w:jc w:val="center"/>
        </w:trPr>
        <w:tc>
          <w:tcPr>
            <w:tcW w:w="3884"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出具加盖第三方中介机构公章的法律意见书并首次成功发行专项债的项目</w:t>
            </w:r>
          </w:p>
        </w:tc>
        <w:tc>
          <w:tcPr>
            <w:tcW w:w="1591"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360" w:lineRule="auto"/>
              <w:jc w:val="center"/>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1.</w:t>
            </w:r>
            <w:r>
              <w:rPr>
                <w:rFonts w:hint="eastAsia" w:ascii="宋体" w:hAnsi="宋体" w:eastAsia="宋体" w:cs="宋体"/>
                <w:i w:val="0"/>
                <w:iCs w:val="0"/>
                <w:color w:val="auto"/>
                <w:sz w:val="24"/>
                <w:highlight w:val="none"/>
                <w:lang w:val="en-US" w:eastAsia="zh-CN"/>
              </w:rPr>
              <w:t>8</w:t>
            </w:r>
            <w:r>
              <w:rPr>
                <w:rFonts w:hint="eastAsia" w:ascii="宋体" w:hAnsi="宋体" w:eastAsia="宋体" w:cs="宋体"/>
                <w:i w:val="0"/>
                <w:iCs w:val="0"/>
                <w:color w:val="auto"/>
                <w:sz w:val="24"/>
                <w:highlight w:val="none"/>
              </w:rPr>
              <w:t>万元/个</w:t>
            </w:r>
          </w:p>
        </w:tc>
        <w:tc>
          <w:tcPr>
            <w:tcW w:w="2970" w:type="dxa"/>
            <w:tcBorders>
              <w:top w:val="single" w:color="000000" w:sz="4" w:space="0"/>
              <w:left w:val="single" w:color="000000" w:sz="4" w:space="0"/>
              <w:bottom w:val="single" w:color="000000" w:sz="4" w:space="0"/>
              <w:right w:val="single" w:color="000000" w:sz="4" w:space="0"/>
              <w:tl2br w:val="nil"/>
              <w:tr2bl w:val="nil"/>
            </w:tcBorders>
            <w:tcMar>
              <w:top w:w="12" w:type="dxa"/>
              <w:left w:w="12" w:type="dxa"/>
              <w:right w:w="12" w:type="dxa"/>
            </w:tcMar>
            <w:vAlign w:val="center"/>
          </w:tcPr>
          <w:p>
            <w:pPr>
              <w:adjustRightInd/>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小写</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元/个</w:t>
            </w:r>
          </w:p>
          <w:p>
            <w:pPr>
              <w:pStyle w:val="18"/>
              <w:ind w:left="0" w:leftChars="0" w:firstLine="0" w:firstLineChars="0"/>
              <w:rPr>
                <w:rFonts w:hint="eastAsia" w:ascii="宋体" w:hAnsi="宋体" w:eastAsia="宋体" w:cs="宋体"/>
                <w:i w:val="0"/>
                <w:iCs w:val="0"/>
                <w:color w:val="auto"/>
                <w:highlight w:val="none"/>
                <w:u w:val="single"/>
              </w:rPr>
            </w:pPr>
            <w:r>
              <w:rPr>
                <w:rFonts w:hint="eastAsia" w:ascii="宋体" w:hAnsi="宋体" w:eastAsia="宋体" w:cs="宋体"/>
                <w:i w:val="0"/>
                <w:iCs w:val="0"/>
                <w:color w:val="auto"/>
                <w:sz w:val="24"/>
                <w:highlight w:val="none"/>
              </w:rPr>
              <w:t>大写</w:t>
            </w:r>
            <w:r>
              <w:rPr>
                <w:rFonts w:hint="eastAsia" w:ascii="宋体" w:hAnsi="宋体" w:eastAsia="宋体" w:cs="宋体"/>
                <w:i w:val="0"/>
                <w:iCs w:val="0"/>
                <w:color w:val="auto"/>
                <w:sz w:val="24"/>
                <w:highlight w:val="none"/>
                <w:u w:val="single"/>
              </w:rPr>
              <w:t xml:space="preserve">        元/个</w:t>
            </w:r>
          </w:p>
        </w:tc>
      </w:tr>
    </w:tbl>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注：本项目征集人</w:t>
      </w:r>
      <w:r>
        <w:rPr>
          <w:rFonts w:hint="eastAsia" w:ascii="宋体" w:hAnsi="宋体" w:eastAsia="宋体" w:cs="宋体"/>
          <w:i w:val="0"/>
          <w:iCs w:val="0"/>
          <w:color w:val="auto"/>
          <w:kern w:val="0"/>
          <w:sz w:val="24"/>
          <w:highlight w:val="none"/>
        </w:rPr>
        <w:t>根据出具加盖第三方中介机构公章的法律意见书的项目，设定专业服务费报价的最高单价限价。</w:t>
      </w:r>
      <w:r>
        <w:rPr>
          <w:rFonts w:hint="eastAsia" w:ascii="宋体" w:hAnsi="宋体" w:eastAsia="宋体" w:cs="宋体"/>
          <w:i w:val="0"/>
          <w:iCs w:val="0"/>
          <w:color w:val="auto"/>
          <w:sz w:val="24"/>
          <w:highlight w:val="none"/>
        </w:rPr>
        <w:t>供应商应在最高单价限价范围内进行报价，报价内容为x元/个。报价超过最高限价视为无效。</w:t>
      </w:r>
    </w:p>
    <w:p>
      <w:pPr>
        <w:pStyle w:val="18"/>
        <w:ind w:firstLine="480"/>
        <w:rPr>
          <w:rFonts w:hint="eastAsia" w:ascii="宋体" w:hAnsi="宋体" w:eastAsia="宋体" w:cs="宋体"/>
          <w:i w:val="0"/>
          <w:iCs w:val="0"/>
          <w:color w:val="auto"/>
          <w:sz w:val="24"/>
          <w:highlight w:val="none"/>
        </w:rPr>
      </w:pPr>
    </w:p>
    <w:p>
      <w:pPr>
        <w:rPr>
          <w:rFonts w:hint="eastAsia" w:ascii="宋体" w:hAnsi="宋体" w:eastAsia="宋体" w:cs="宋体"/>
          <w:i w:val="0"/>
          <w:iCs w:val="0"/>
          <w:color w:val="auto"/>
          <w:sz w:val="24"/>
          <w:highlight w:val="none"/>
        </w:rPr>
      </w:pPr>
    </w:p>
    <w:p>
      <w:pPr>
        <w:pStyle w:val="18"/>
        <w:ind w:firstLine="420"/>
        <w:rPr>
          <w:rFonts w:hint="eastAsia" w:ascii="宋体" w:hAnsi="宋体" w:eastAsia="宋体" w:cs="宋体"/>
          <w:i w:val="0"/>
          <w:iCs w:val="0"/>
          <w:color w:val="auto"/>
          <w:highlight w:val="none"/>
        </w:rPr>
      </w:pPr>
    </w:p>
    <w:p>
      <w:pPr>
        <w:spacing w:line="360" w:lineRule="auto"/>
        <w:ind w:firstLine="4320" w:firstLineChars="18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供应商名称（</w:t>
      </w:r>
      <w:r>
        <w:rPr>
          <w:rFonts w:hint="eastAsia" w:ascii="宋体" w:hAnsi="宋体" w:eastAsia="宋体" w:cs="宋体"/>
          <w:i w:val="0"/>
          <w:iCs w:val="0"/>
          <w:color w:val="auto"/>
          <w:kern w:val="0"/>
          <w:sz w:val="24"/>
          <w:highlight w:val="none"/>
        </w:rPr>
        <w:t>电子签名</w:t>
      </w:r>
      <w:r>
        <w:rPr>
          <w:rFonts w:hint="eastAsia" w:ascii="宋体" w:hAnsi="宋体" w:eastAsia="宋体" w:cs="宋体"/>
          <w:i w:val="0"/>
          <w:iCs w:val="0"/>
          <w:color w:val="auto"/>
          <w:sz w:val="24"/>
          <w:highlight w:val="none"/>
        </w:rPr>
        <w:t xml:space="preserve">）：                          </w:t>
      </w:r>
    </w:p>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日期：  年   月   日</w:t>
      </w:r>
    </w:p>
    <w:p>
      <w:pPr>
        <w:pStyle w:val="2"/>
        <w:rPr>
          <w:rFonts w:hint="eastAsia" w:ascii="宋体" w:hAnsi="宋体" w:eastAsia="宋体" w:cs="宋体"/>
          <w:i w:val="0"/>
          <w:iCs w:val="0"/>
          <w:color w:val="auto"/>
          <w:highlight w:val="none"/>
        </w:rPr>
      </w:pPr>
    </w:p>
    <w:p>
      <w:pP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pStyle w:val="18"/>
        <w:ind w:left="0" w:leftChars="0" w:firstLine="0" w:firstLineChars="0"/>
        <w:jc w:val="center"/>
        <w:rPr>
          <w:rFonts w:hint="eastAsia" w:ascii="宋体" w:hAnsi="宋体" w:eastAsia="宋体" w:cs="宋体"/>
          <w:b/>
          <w:bCs/>
          <w:i w:val="0"/>
          <w:iCs w:val="0"/>
          <w:color w:val="auto"/>
          <w:sz w:val="36"/>
          <w:szCs w:val="44"/>
          <w:highlight w:val="none"/>
          <w:lang w:eastAsia="zh-CN"/>
        </w:rPr>
      </w:pPr>
    </w:p>
    <w:p>
      <w:pPr>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br w:type="page"/>
      </w:r>
    </w:p>
    <w:p>
      <w:pPr>
        <w:spacing w:line="360" w:lineRule="auto"/>
        <w:jc w:val="both"/>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附件：</w:t>
      </w:r>
      <w:r>
        <w:rPr>
          <w:rFonts w:hint="eastAsia" w:ascii="宋体" w:hAnsi="宋体" w:eastAsia="宋体" w:cs="宋体"/>
          <w:b/>
          <w:color w:val="auto"/>
          <w:sz w:val="32"/>
          <w:szCs w:val="32"/>
          <w:highlight w:val="none"/>
        </w:rPr>
        <w:t>中小企业声明函（服务）</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采购活动，服务全部由符合政策要求的中小企业承接。相关企业的具体情况如下：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w:t>
      </w:r>
    </w:p>
    <w:p>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rPr>
          <w:rFonts w:hint="eastAsia"/>
          <w:highlight w:val="none"/>
        </w:rPr>
        <w:sectPr>
          <w:footerReference r:id="rId14" w:type="first"/>
          <w:footerReference r:id="rId13" w:type="default"/>
          <w:pgSz w:w="11905" w:h="16838"/>
          <w:pgMar w:top="822" w:right="1417" w:bottom="822" w:left="1417" w:header="539" w:footer="482" w:gutter="0"/>
          <w:pgNumType w:fmt="numberInDash"/>
          <w:cols w:space="720" w:num="1"/>
          <w:titlePg/>
          <w:docGrid w:linePitch="312" w:charSpace="0"/>
        </w:sectPr>
      </w:pPr>
    </w:p>
    <w:tbl>
      <w:tblPr>
        <w:tblStyle w:val="64"/>
        <w:tblW w:w="140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1"/>
        <w:gridCol w:w="1383"/>
        <w:gridCol w:w="1575"/>
        <w:gridCol w:w="1550"/>
        <w:gridCol w:w="1182"/>
        <w:gridCol w:w="1387"/>
        <w:gridCol w:w="1425"/>
        <w:gridCol w:w="1010"/>
        <w:gridCol w:w="1132"/>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14069" w:type="dxa"/>
            <w:gridSpan w:val="10"/>
            <w:tcMar>
              <w:top w:w="15" w:type="dxa"/>
              <w:left w:w="15" w:type="dxa"/>
              <w:bottom w:w="15" w:type="dxa"/>
              <w:right w:w="15" w:type="dxa"/>
            </w:tcMar>
            <w:vAlign w:val="bottom"/>
          </w:tcPr>
          <w:p>
            <w:pPr>
              <w:widowControl/>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2341"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3226"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2341"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8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2341"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1132"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color w:val="auto"/>
                <w:sz w:val="20"/>
                <w:highlight w:val="none"/>
              </w:rPr>
            </w:pPr>
          </w:p>
        </w:tc>
        <w:tc>
          <w:tcPr>
            <w:tcW w:w="1084"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14069" w:type="dxa"/>
            <w:gridSpan w:val="10"/>
            <w:tcMar>
              <w:top w:w="15" w:type="dxa"/>
              <w:left w:w="15" w:type="dxa"/>
              <w:bottom w:w="15" w:type="dxa"/>
              <w:right w:w="15" w:type="dxa"/>
            </w:tcMar>
            <w:vAlign w:val="bottom"/>
          </w:tcPr>
          <w:p>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rPr>
          <w:rFonts w:hint="eastAsia"/>
          <w:highlight w:val="none"/>
        </w:rPr>
        <w:sectPr>
          <w:footerReference r:id="rId16" w:type="first"/>
          <w:footerReference r:id="rId15" w:type="default"/>
          <w:pgSz w:w="16838" w:h="11905" w:orient="landscape"/>
          <w:pgMar w:top="1417" w:right="822" w:bottom="1417" w:left="822" w:header="539" w:footer="482" w:gutter="0"/>
          <w:pgNumType w:fmt="numberInDash"/>
          <w:cols w:space="0" w:num="1"/>
          <w:titlePg/>
          <w:rtlGutter w:val="0"/>
          <w:docGrid w:linePitch="312" w:charSpace="0"/>
        </w:sectPr>
      </w:pPr>
    </w:p>
    <w:p>
      <w:pPr>
        <w:pStyle w:val="2"/>
        <w:ind w:left="0" w:leftChars="0" w:firstLine="0" w:firstLineChars="0"/>
        <w:rPr>
          <w:rFonts w:hint="eastAsia"/>
          <w:highlight w:val="none"/>
        </w:rPr>
      </w:pPr>
    </w:p>
    <w:sectPr>
      <w:pgSz w:w="11905" w:h="16838"/>
      <w:pgMar w:top="822" w:right="1417" w:bottom="822" w:left="1417" w:header="539" w:footer="48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Wingdings 2">
    <w:panose1 w:val="05020102010507070707"/>
    <w:charset w:val="02"/>
    <w:family w:val="auto"/>
    <w:pitch w:val="default"/>
    <w:sig w:usb0="00000000" w:usb1="00000000" w:usb2="00000000" w:usb3="00000000" w:csb0="80000000" w:csb1="00000000"/>
  </w:font>
  <w:font w:name="宋体-PUA">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sz w:val="18"/>
      </w:rPr>
      <w:pict>
        <v:shape id="_x0000_s2061" o:spid="_x0000_s206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w:pict>
        <v:shape id="_x0000_s2062" o:spid="_x0000_s206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55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19"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w:pict>
        <v:shape id="_x0000_s2057" o:spid="_x0000_s205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w:pict>
        <v:shape id="_x0000_s2058" o:spid="_x0000_s205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sz w:val="18"/>
      </w:rPr>
      <w:pict>
        <v:shape id="_x0000_s2059" o:spid="_x0000_s205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32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w:pict>
        <v:shape id="_x0000_s2060" o:spid="_x0000_s206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31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4" w:space="0"/>
      </w:pBdr>
      <w:rPr>
        <w:rFonts w:ascii="宋体" w:hAnsi="宋体" w:cs="宋体"/>
        <w:iCs/>
      </w:rPr>
    </w:pPr>
    <w:r>
      <w:rPr>
        <w:rFonts w:hint="eastAsia" w:ascii="宋体" w:hAnsi="宋体" w:cs="宋体"/>
        <w:iCs/>
      </w:rPr>
      <w:t>金华市2023-2025年度专项债券发行准备财务会计专业服务采购项目封闭式框架协议采购公开征集文件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4" w:space="0"/>
      </w:pBdr>
      <w:rPr>
        <w:rFonts w:ascii="宋体" w:hAnsi="宋体" w:cs="宋体"/>
        <w:iCs/>
        <w:sz w:val="20"/>
        <w:szCs w:val="20"/>
      </w:rPr>
    </w:pPr>
    <w:r>
      <w:rPr>
        <w:rFonts w:hint="eastAsia" w:ascii="宋体" w:hAnsi="宋体" w:cs="宋体"/>
        <w:iCs/>
        <w:sz w:val="20"/>
        <w:szCs w:val="20"/>
      </w:rPr>
      <w:t>杭州市余杭区2023-2025年度专项债券发行准备法律专业服务采购公开征集文件</w:t>
    </w:r>
  </w:p>
  <w:p>
    <w:pPr>
      <w:pStyle w:val="44"/>
      <w:pBdr>
        <w:bottom w:val="none" w:color="auto" w:sz="0" w:space="0"/>
      </w:pBdr>
      <w:tabs>
        <w:tab w:val="center" w:pos="4535"/>
        <w:tab w:val="right" w:pos="9070"/>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4" w:space="0"/>
      </w:pBdr>
      <w:rPr>
        <w:rFonts w:ascii="宋体" w:hAnsi="宋体" w:cs="宋体"/>
        <w:iCs/>
        <w:sz w:val="20"/>
        <w:szCs w:val="20"/>
      </w:rPr>
    </w:pPr>
    <w:r>
      <w:rPr>
        <w:rFonts w:hint="eastAsia" w:ascii="宋体" w:hAnsi="宋体" w:cs="宋体"/>
        <w:iCs/>
        <w:sz w:val="20"/>
        <w:szCs w:val="20"/>
      </w:rPr>
      <w:t>杭州市余杭区2023-2025年度专项债券发行准备法律专业服务采购公开征集文件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99673"/>
    <w:multiLevelType w:val="singleLevel"/>
    <w:tmpl w:val="90799673"/>
    <w:lvl w:ilvl="0" w:tentative="0">
      <w:start w:val="8"/>
      <w:numFmt w:val="chineseCounting"/>
      <w:suff w:val="nothing"/>
      <w:lvlText w:val="%1、"/>
      <w:lvlJc w:val="left"/>
      <w:pPr>
        <w:ind w:left="210"/>
      </w:pPr>
      <w:rPr>
        <w:rFonts w:hint="eastAsia"/>
      </w:rPr>
    </w:lvl>
  </w:abstractNum>
  <w:abstractNum w:abstractNumId="1">
    <w:nsid w:val="9B1C16D0"/>
    <w:multiLevelType w:val="singleLevel"/>
    <w:tmpl w:val="9B1C16D0"/>
    <w:lvl w:ilvl="0" w:tentative="0">
      <w:start w:val="1"/>
      <w:numFmt w:val="chineseCounting"/>
      <w:suff w:val="nothing"/>
      <w:lvlText w:val="%1、"/>
      <w:lvlJc w:val="left"/>
      <w:rPr>
        <w:rFonts w:hint="eastAsia"/>
      </w:rPr>
    </w:lvl>
  </w:abstractNum>
  <w:abstractNum w:abstractNumId="2">
    <w:nsid w:val="B0A97E3A"/>
    <w:multiLevelType w:val="singleLevel"/>
    <w:tmpl w:val="B0A97E3A"/>
    <w:lvl w:ilvl="0" w:tentative="0">
      <w:start w:val="1"/>
      <w:numFmt w:val="decimal"/>
      <w:lvlText w:val="%1."/>
      <w:lvlJc w:val="left"/>
      <w:pPr>
        <w:tabs>
          <w:tab w:val="left" w:pos="312"/>
        </w:tabs>
      </w:pPr>
    </w:lvl>
  </w:abstractNum>
  <w:abstractNum w:abstractNumId="3">
    <w:nsid w:val="CFA4D4DC"/>
    <w:multiLevelType w:val="singleLevel"/>
    <w:tmpl w:val="CFA4D4DC"/>
    <w:lvl w:ilvl="0" w:tentative="0">
      <w:start w:val="1"/>
      <w:numFmt w:val="chineseCounting"/>
      <w:suff w:val="nothing"/>
      <w:lvlText w:val="%1、"/>
      <w:lvlJc w:val="left"/>
      <w:rPr>
        <w:rFonts w:hint="eastAsia"/>
      </w:rPr>
    </w:lvl>
  </w:abstractNum>
  <w:abstractNum w:abstractNumId="4">
    <w:nsid w:val="D0B49096"/>
    <w:multiLevelType w:val="singleLevel"/>
    <w:tmpl w:val="D0B49096"/>
    <w:lvl w:ilvl="0" w:tentative="0">
      <w:start w:val="1"/>
      <w:numFmt w:val="decimal"/>
      <w:lvlText w:val="%1."/>
      <w:lvlJc w:val="left"/>
      <w:pPr>
        <w:tabs>
          <w:tab w:val="left" w:pos="312"/>
        </w:tabs>
      </w:pPr>
    </w:lvl>
  </w:abstractNum>
  <w:abstractNum w:abstractNumId="5">
    <w:nsid w:val="1534F343"/>
    <w:multiLevelType w:val="singleLevel"/>
    <w:tmpl w:val="1534F343"/>
    <w:lvl w:ilvl="0" w:tentative="0">
      <w:start w:val="4"/>
      <w:numFmt w:val="chineseCounting"/>
      <w:suff w:val="nothing"/>
      <w:lvlText w:val="（%1）"/>
      <w:lvlJc w:val="left"/>
      <w:rPr>
        <w:rFonts w:hint="eastAsia"/>
      </w:rPr>
    </w:lvl>
  </w:abstractNum>
  <w:abstractNum w:abstractNumId="6">
    <w:nsid w:val="193A7B3A"/>
    <w:multiLevelType w:val="singleLevel"/>
    <w:tmpl w:val="193A7B3A"/>
    <w:lvl w:ilvl="0" w:tentative="0">
      <w:start w:val="1"/>
      <w:numFmt w:val="chineseCounting"/>
      <w:suff w:val="nothing"/>
      <w:lvlText w:val="%1、"/>
      <w:lvlJc w:val="left"/>
      <w:rPr>
        <w:rFonts w:hint="eastAsia"/>
      </w:rPr>
    </w:lvl>
  </w:abstractNum>
  <w:abstractNum w:abstractNumId="7">
    <w:nsid w:val="2579673C"/>
    <w:multiLevelType w:val="singleLevel"/>
    <w:tmpl w:val="2579673C"/>
    <w:lvl w:ilvl="0" w:tentative="0">
      <w:start w:val="4"/>
      <w:numFmt w:val="decimal"/>
      <w:suff w:val="nothing"/>
      <w:lvlText w:val="（%1）"/>
      <w:lvlJc w:val="left"/>
    </w:lvl>
  </w:abstractNum>
  <w:abstractNum w:abstractNumId="8">
    <w:nsid w:val="422C2233"/>
    <w:multiLevelType w:val="singleLevel"/>
    <w:tmpl w:val="422C2233"/>
    <w:lvl w:ilvl="0" w:tentative="0">
      <w:start w:val="1"/>
      <w:numFmt w:val="chineseCounting"/>
      <w:suff w:val="nothing"/>
      <w:lvlText w:val="%1、"/>
      <w:lvlJc w:val="left"/>
      <w:rPr>
        <w:rFonts w:hint="eastAsia"/>
      </w:rPr>
    </w:lvl>
  </w:abstractNum>
  <w:abstractNum w:abstractNumId="9">
    <w:nsid w:val="457F9CBB"/>
    <w:multiLevelType w:val="singleLevel"/>
    <w:tmpl w:val="457F9CBB"/>
    <w:lvl w:ilvl="0" w:tentative="0">
      <w:start w:val="1"/>
      <w:numFmt w:val="decimal"/>
      <w:suff w:val="nothing"/>
      <w:lvlText w:val="%1、"/>
      <w:lvlJc w:val="left"/>
    </w:lvl>
  </w:abstractNum>
  <w:abstractNum w:abstractNumId="10">
    <w:nsid w:val="52B8BA06"/>
    <w:multiLevelType w:val="singleLevel"/>
    <w:tmpl w:val="52B8BA06"/>
    <w:lvl w:ilvl="0" w:tentative="0">
      <w:start w:val="4"/>
      <w:numFmt w:val="chineseCounting"/>
      <w:suff w:val="nothing"/>
      <w:lvlText w:val="%1、"/>
      <w:lvlJc w:val="left"/>
      <w:rPr>
        <w:rFonts w:hint="eastAsia"/>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64B8D8C3"/>
    <w:multiLevelType w:val="singleLevel"/>
    <w:tmpl w:val="64B8D8C3"/>
    <w:lvl w:ilvl="0" w:tentative="0">
      <w:start w:val="1"/>
      <w:numFmt w:val="decimal"/>
      <w:suff w:val="nothing"/>
      <w:lvlText w:val="%1."/>
      <w:lvlJc w:val="left"/>
    </w:lvl>
  </w:abstractNum>
  <w:num w:numId="1">
    <w:abstractNumId w:val="8"/>
  </w:num>
  <w:num w:numId="2">
    <w:abstractNumId w:val="7"/>
  </w:num>
  <w:num w:numId="3">
    <w:abstractNumId w:val="0"/>
  </w:num>
  <w:num w:numId="4">
    <w:abstractNumId w:val="4"/>
  </w:num>
  <w:num w:numId="5">
    <w:abstractNumId w:val="2"/>
  </w:num>
  <w:num w:numId="6">
    <w:abstractNumId w:val="5"/>
  </w:num>
  <w:num w:numId="7">
    <w:abstractNumId w:val="9"/>
  </w:num>
  <w:num w:numId="8">
    <w:abstractNumId w:val="13"/>
  </w:num>
  <w:num w:numId="9">
    <w:abstractNumId w:val="3"/>
  </w:num>
  <w:num w:numId="10">
    <w:abstractNumId w:val="6"/>
  </w:num>
  <w:num w:numId="11">
    <w:abstractNumId w:val="1"/>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cxMzZhZGI4Mjg0N2VjOWYxYmE0YTI4YmYyYTMwODIifQ=="/>
  </w:docVars>
  <w:rsids>
    <w:rsidRoot w:val="00172A27"/>
    <w:rsid w:val="00000451"/>
    <w:rsid w:val="0000108B"/>
    <w:rsid w:val="0000133D"/>
    <w:rsid w:val="00001509"/>
    <w:rsid w:val="000032B2"/>
    <w:rsid w:val="0000363B"/>
    <w:rsid w:val="000058BD"/>
    <w:rsid w:val="00006109"/>
    <w:rsid w:val="00006150"/>
    <w:rsid w:val="0000618E"/>
    <w:rsid w:val="000063E8"/>
    <w:rsid w:val="00006725"/>
    <w:rsid w:val="0000675E"/>
    <w:rsid w:val="00007CAA"/>
    <w:rsid w:val="00010199"/>
    <w:rsid w:val="00010FE9"/>
    <w:rsid w:val="0001122F"/>
    <w:rsid w:val="000113B7"/>
    <w:rsid w:val="00011A4B"/>
    <w:rsid w:val="00012251"/>
    <w:rsid w:val="0001337C"/>
    <w:rsid w:val="000138C4"/>
    <w:rsid w:val="00013C1F"/>
    <w:rsid w:val="00013F31"/>
    <w:rsid w:val="000140D8"/>
    <w:rsid w:val="00014530"/>
    <w:rsid w:val="00014BBC"/>
    <w:rsid w:val="000150EE"/>
    <w:rsid w:val="000168D8"/>
    <w:rsid w:val="000169DF"/>
    <w:rsid w:val="000170C8"/>
    <w:rsid w:val="000173F4"/>
    <w:rsid w:val="000177DF"/>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12B"/>
    <w:rsid w:val="00026EAC"/>
    <w:rsid w:val="000270F2"/>
    <w:rsid w:val="00027540"/>
    <w:rsid w:val="00030572"/>
    <w:rsid w:val="00030976"/>
    <w:rsid w:val="00030A97"/>
    <w:rsid w:val="00030CB3"/>
    <w:rsid w:val="0003206A"/>
    <w:rsid w:val="000326A7"/>
    <w:rsid w:val="00032EA0"/>
    <w:rsid w:val="000331B0"/>
    <w:rsid w:val="000336D4"/>
    <w:rsid w:val="00034FA7"/>
    <w:rsid w:val="0003533D"/>
    <w:rsid w:val="000357E4"/>
    <w:rsid w:val="00035ACA"/>
    <w:rsid w:val="00037972"/>
    <w:rsid w:val="00040447"/>
    <w:rsid w:val="00040494"/>
    <w:rsid w:val="00040B70"/>
    <w:rsid w:val="00042441"/>
    <w:rsid w:val="00042533"/>
    <w:rsid w:val="00042DBB"/>
    <w:rsid w:val="00042E65"/>
    <w:rsid w:val="0004347C"/>
    <w:rsid w:val="00043907"/>
    <w:rsid w:val="00043ABD"/>
    <w:rsid w:val="00044F48"/>
    <w:rsid w:val="00045A4E"/>
    <w:rsid w:val="00047354"/>
    <w:rsid w:val="00050656"/>
    <w:rsid w:val="00050A19"/>
    <w:rsid w:val="000511B6"/>
    <w:rsid w:val="00051B00"/>
    <w:rsid w:val="00051C72"/>
    <w:rsid w:val="00052192"/>
    <w:rsid w:val="0005238F"/>
    <w:rsid w:val="00052787"/>
    <w:rsid w:val="00052BB8"/>
    <w:rsid w:val="000535AB"/>
    <w:rsid w:val="0005417A"/>
    <w:rsid w:val="00054D39"/>
    <w:rsid w:val="0005501B"/>
    <w:rsid w:val="000550F5"/>
    <w:rsid w:val="00055337"/>
    <w:rsid w:val="000554C7"/>
    <w:rsid w:val="00056145"/>
    <w:rsid w:val="00056402"/>
    <w:rsid w:val="00056617"/>
    <w:rsid w:val="00056791"/>
    <w:rsid w:val="00056868"/>
    <w:rsid w:val="00056876"/>
    <w:rsid w:val="000568DF"/>
    <w:rsid w:val="000578A3"/>
    <w:rsid w:val="00057D4C"/>
    <w:rsid w:val="00060C48"/>
    <w:rsid w:val="00061A3C"/>
    <w:rsid w:val="00061C48"/>
    <w:rsid w:val="00064278"/>
    <w:rsid w:val="000646CA"/>
    <w:rsid w:val="00065DC8"/>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69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77D"/>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D6D"/>
    <w:rsid w:val="000C0A43"/>
    <w:rsid w:val="000C0CB1"/>
    <w:rsid w:val="000C1411"/>
    <w:rsid w:val="000C1ADE"/>
    <w:rsid w:val="000C1C38"/>
    <w:rsid w:val="000C21DC"/>
    <w:rsid w:val="000C2264"/>
    <w:rsid w:val="000C256B"/>
    <w:rsid w:val="000C3970"/>
    <w:rsid w:val="000C3B1A"/>
    <w:rsid w:val="000C4299"/>
    <w:rsid w:val="000C4727"/>
    <w:rsid w:val="000C47AE"/>
    <w:rsid w:val="000C51AD"/>
    <w:rsid w:val="000C5374"/>
    <w:rsid w:val="000C5EC0"/>
    <w:rsid w:val="000C6162"/>
    <w:rsid w:val="000C64CC"/>
    <w:rsid w:val="000C6688"/>
    <w:rsid w:val="000C6728"/>
    <w:rsid w:val="000C692E"/>
    <w:rsid w:val="000C6B28"/>
    <w:rsid w:val="000C6E8A"/>
    <w:rsid w:val="000C7BEB"/>
    <w:rsid w:val="000D0124"/>
    <w:rsid w:val="000D048B"/>
    <w:rsid w:val="000D11E5"/>
    <w:rsid w:val="000D19E8"/>
    <w:rsid w:val="000D1FA1"/>
    <w:rsid w:val="000D2834"/>
    <w:rsid w:val="000D2CAC"/>
    <w:rsid w:val="000D3145"/>
    <w:rsid w:val="000D34C8"/>
    <w:rsid w:val="000D34FD"/>
    <w:rsid w:val="000D3BE5"/>
    <w:rsid w:val="000D3C37"/>
    <w:rsid w:val="000D453A"/>
    <w:rsid w:val="000D4AFA"/>
    <w:rsid w:val="000D5EA6"/>
    <w:rsid w:val="000D5F00"/>
    <w:rsid w:val="000D63E6"/>
    <w:rsid w:val="000D6C9F"/>
    <w:rsid w:val="000D6E3B"/>
    <w:rsid w:val="000D6F30"/>
    <w:rsid w:val="000D74E4"/>
    <w:rsid w:val="000D759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919"/>
    <w:rsid w:val="000F5DDB"/>
    <w:rsid w:val="000F628E"/>
    <w:rsid w:val="000F68A0"/>
    <w:rsid w:val="000F6CC2"/>
    <w:rsid w:val="000F729C"/>
    <w:rsid w:val="000F7D4B"/>
    <w:rsid w:val="0010118C"/>
    <w:rsid w:val="0010125E"/>
    <w:rsid w:val="001015F8"/>
    <w:rsid w:val="00101967"/>
    <w:rsid w:val="00103251"/>
    <w:rsid w:val="00103509"/>
    <w:rsid w:val="0010353C"/>
    <w:rsid w:val="0010393D"/>
    <w:rsid w:val="00103EBD"/>
    <w:rsid w:val="001040FB"/>
    <w:rsid w:val="00104699"/>
    <w:rsid w:val="00104E5B"/>
    <w:rsid w:val="00104EEC"/>
    <w:rsid w:val="001050DC"/>
    <w:rsid w:val="00105482"/>
    <w:rsid w:val="001056A5"/>
    <w:rsid w:val="00105BA9"/>
    <w:rsid w:val="00105FE1"/>
    <w:rsid w:val="00106AAA"/>
    <w:rsid w:val="00106E0E"/>
    <w:rsid w:val="001078A5"/>
    <w:rsid w:val="0010791E"/>
    <w:rsid w:val="00107BBD"/>
    <w:rsid w:val="00107BC7"/>
    <w:rsid w:val="00110033"/>
    <w:rsid w:val="001102B5"/>
    <w:rsid w:val="001109C5"/>
    <w:rsid w:val="00110ABC"/>
    <w:rsid w:val="00111C17"/>
    <w:rsid w:val="00111C7D"/>
    <w:rsid w:val="00112038"/>
    <w:rsid w:val="001127FF"/>
    <w:rsid w:val="00112B0B"/>
    <w:rsid w:val="00112EB5"/>
    <w:rsid w:val="0011383E"/>
    <w:rsid w:val="00113EE3"/>
    <w:rsid w:val="00114802"/>
    <w:rsid w:val="00114847"/>
    <w:rsid w:val="0011585B"/>
    <w:rsid w:val="00115B1A"/>
    <w:rsid w:val="001160FF"/>
    <w:rsid w:val="001164F4"/>
    <w:rsid w:val="001168F8"/>
    <w:rsid w:val="001176FF"/>
    <w:rsid w:val="0012153F"/>
    <w:rsid w:val="0012159D"/>
    <w:rsid w:val="00121804"/>
    <w:rsid w:val="00121A7D"/>
    <w:rsid w:val="00121EC9"/>
    <w:rsid w:val="001224FE"/>
    <w:rsid w:val="001231D3"/>
    <w:rsid w:val="001232A7"/>
    <w:rsid w:val="00123F7C"/>
    <w:rsid w:val="0012419E"/>
    <w:rsid w:val="001246DD"/>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16D"/>
    <w:rsid w:val="00157432"/>
    <w:rsid w:val="00161185"/>
    <w:rsid w:val="001620BA"/>
    <w:rsid w:val="001623AC"/>
    <w:rsid w:val="00162BAA"/>
    <w:rsid w:val="00163C40"/>
    <w:rsid w:val="0016488B"/>
    <w:rsid w:val="00165758"/>
    <w:rsid w:val="00165A65"/>
    <w:rsid w:val="00165DAB"/>
    <w:rsid w:val="00166317"/>
    <w:rsid w:val="00167478"/>
    <w:rsid w:val="00167594"/>
    <w:rsid w:val="001702BE"/>
    <w:rsid w:val="001704B3"/>
    <w:rsid w:val="0017059C"/>
    <w:rsid w:val="00170F7E"/>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26"/>
    <w:rsid w:val="00176AA6"/>
    <w:rsid w:val="00177063"/>
    <w:rsid w:val="00180A47"/>
    <w:rsid w:val="001827B7"/>
    <w:rsid w:val="001827EF"/>
    <w:rsid w:val="00182982"/>
    <w:rsid w:val="001829BC"/>
    <w:rsid w:val="00182D68"/>
    <w:rsid w:val="00183031"/>
    <w:rsid w:val="00183468"/>
    <w:rsid w:val="00183593"/>
    <w:rsid w:val="0018397E"/>
    <w:rsid w:val="00183ECB"/>
    <w:rsid w:val="00184466"/>
    <w:rsid w:val="00184DBF"/>
    <w:rsid w:val="001852A8"/>
    <w:rsid w:val="0018620A"/>
    <w:rsid w:val="00186EB0"/>
    <w:rsid w:val="00187121"/>
    <w:rsid w:val="00187243"/>
    <w:rsid w:val="00187717"/>
    <w:rsid w:val="001878CE"/>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64"/>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215"/>
    <w:rsid w:val="001B06A6"/>
    <w:rsid w:val="001B13BF"/>
    <w:rsid w:val="001B13ED"/>
    <w:rsid w:val="001B16F5"/>
    <w:rsid w:val="001B1C1F"/>
    <w:rsid w:val="001B219B"/>
    <w:rsid w:val="001B2703"/>
    <w:rsid w:val="001B2865"/>
    <w:rsid w:val="001B2FC5"/>
    <w:rsid w:val="001B3DCD"/>
    <w:rsid w:val="001B446C"/>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867"/>
    <w:rsid w:val="001D67A5"/>
    <w:rsid w:val="001E0911"/>
    <w:rsid w:val="001E17E3"/>
    <w:rsid w:val="001E2052"/>
    <w:rsid w:val="001E2492"/>
    <w:rsid w:val="001E257C"/>
    <w:rsid w:val="001E286C"/>
    <w:rsid w:val="001E2F34"/>
    <w:rsid w:val="001E35EE"/>
    <w:rsid w:val="001E3717"/>
    <w:rsid w:val="001E4B2C"/>
    <w:rsid w:val="001E507F"/>
    <w:rsid w:val="001E56C2"/>
    <w:rsid w:val="001E59FB"/>
    <w:rsid w:val="001E6D07"/>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5E45"/>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FD4"/>
    <w:rsid w:val="00232555"/>
    <w:rsid w:val="00233382"/>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3EC6"/>
    <w:rsid w:val="002542F8"/>
    <w:rsid w:val="002543EF"/>
    <w:rsid w:val="00254F2A"/>
    <w:rsid w:val="00255784"/>
    <w:rsid w:val="00255A29"/>
    <w:rsid w:val="0025631F"/>
    <w:rsid w:val="00256575"/>
    <w:rsid w:val="00256986"/>
    <w:rsid w:val="00256D61"/>
    <w:rsid w:val="00256E23"/>
    <w:rsid w:val="00257246"/>
    <w:rsid w:val="00257438"/>
    <w:rsid w:val="0026119C"/>
    <w:rsid w:val="002611F7"/>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1D7D"/>
    <w:rsid w:val="0028316D"/>
    <w:rsid w:val="00283296"/>
    <w:rsid w:val="002851FC"/>
    <w:rsid w:val="0028583E"/>
    <w:rsid w:val="00285853"/>
    <w:rsid w:val="00285B1A"/>
    <w:rsid w:val="00285FF3"/>
    <w:rsid w:val="0028618D"/>
    <w:rsid w:val="002866EC"/>
    <w:rsid w:val="0028744E"/>
    <w:rsid w:val="002876D2"/>
    <w:rsid w:val="00287936"/>
    <w:rsid w:val="00287BB7"/>
    <w:rsid w:val="002903C5"/>
    <w:rsid w:val="0029041B"/>
    <w:rsid w:val="00290A99"/>
    <w:rsid w:val="00290EAF"/>
    <w:rsid w:val="0029159A"/>
    <w:rsid w:val="00291AEF"/>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87B"/>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00A"/>
    <w:rsid w:val="002C327D"/>
    <w:rsid w:val="002C3890"/>
    <w:rsid w:val="002C3AD9"/>
    <w:rsid w:val="002C4286"/>
    <w:rsid w:val="002C43FC"/>
    <w:rsid w:val="002C45C3"/>
    <w:rsid w:val="002C483B"/>
    <w:rsid w:val="002C4DFE"/>
    <w:rsid w:val="002C519E"/>
    <w:rsid w:val="002C5999"/>
    <w:rsid w:val="002C5D5E"/>
    <w:rsid w:val="002C6116"/>
    <w:rsid w:val="002C643D"/>
    <w:rsid w:val="002C66B8"/>
    <w:rsid w:val="002C70E7"/>
    <w:rsid w:val="002D0505"/>
    <w:rsid w:val="002D0C27"/>
    <w:rsid w:val="002D0E88"/>
    <w:rsid w:val="002D0EA7"/>
    <w:rsid w:val="002D0F31"/>
    <w:rsid w:val="002D142D"/>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95"/>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373"/>
    <w:rsid w:val="002F03B6"/>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43C"/>
    <w:rsid w:val="00300573"/>
    <w:rsid w:val="003025FE"/>
    <w:rsid w:val="00302A27"/>
    <w:rsid w:val="00303AB6"/>
    <w:rsid w:val="00304157"/>
    <w:rsid w:val="00304640"/>
    <w:rsid w:val="00304AC1"/>
    <w:rsid w:val="00305090"/>
    <w:rsid w:val="00305454"/>
    <w:rsid w:val="00305B9F"/>
    <w:rsid w:val="00305E21"/>
    <w:rsid w:val="003066C6"/>
    <w:rsid w:val="003066FA"/>
    <w:rsid w:val="00306AD6"/>
    <w:rsid w:val="003077F4"/>
    <w:rsid w:val="00307DC7"/>
    <w:rsid w:val="00307FF2"/>
    <w:rsid w:val="00310039"/>
    <w:rsid w:val="00310EDB"/>
    <w:rsid w:val="00310FC8"/>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A5E"/>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6EBB"/>
    <w:rsid w:val="00347356"/>
    <w:rsid w:val="0035005C"/>
    <w:rsid w:val="00350896"/>
    <w:rsid w:val="00350C31"/>
    <w:rsid w:val="00350C9F"/>
    <w:rsid w:val="00351391"/>
    <w:rsid w:val="003519CD"/>
    <w:rsid w:val="00351A3A"/>
    <w:rsid w:val="0035201E"/>
    <w:rsid w:val="0035455F"/>
    <w:rsid w:val="00355C76"/>
    <w:rsid w:val="00355D75"/>
    <w:rsid w:val="00355D8F"/>
    <w:rsid w:val="00356A73"/>
    <w:rsid w:val="00356FF0"/>
    <w:rsid w:val="003577EF"/>
    <w:rsid w:val="00357A60"/>
    <w:rsid w:val="00357B9E"/>
    <w:rsid w:val="00360304"/>
    <w:rsid w:val="00360A78"/>
    <w:rsid w:val="00361750"/>
    <w:rsid w:val="00362F9D"/>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21"/>
    <w:rsid w:val="00370A56"/>
    <w:rsid w:val="00370A70"/>
    <w:rsid w:val="00371213"/>
    <w:rsid w:val="00372842"/>
    <w:rsid w:val="003729A5"/>
    <w:rsid w:val="00372C89"/>
    <w:rsid w:val="00372E9A"/>
    <w:rsid w:val="003735B9"/>
    <w:rsid w:val="00373634"/>
    <w:rsid w:val="00374677"/>
    <w:rsid w:val="0037510C"/>
    <w:rsid w:val="00375850"/>
    <w:rsid w:val="0037632F"/>
    <w:rsid w:val="00376812"/>
    <w:rsid w:val="00377B26"/>
    <w:rsid w:val="00381014"/>
    <w:rsid w:val="00381604"/>
    <w:rsid w:val="00381C68"/>
    <w:rsid w:val="00381F60"/>
    <w:rsid w:val="00383204"/>
    <w:rsid w:val="00383AB0"/>
    <w:rsid w:val="003847BB"/>
    <w:rsid w:val="00384814"/>
    <w:rsid w:val="00384C0A"/>
    <w:rsid w:val="00384C94"/>
    <w:rsid w:val="00385B16"/>
    <w:rsid w:val="00385B96"/>
    <w:rsid w:val="0038637D"/>
    <w:rsid w:val="003868F6"/>
    <w:rsid w:val="003869DC"/>
    <w:rsid w:val="00386C07"/>
    <w:rsid w:val="00386F58"/>
    <w:rsid w:val="00387001"/>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EC0"/>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188"/>
    <w:rsid w:val="003A703F"/>
    <w:rsid w:val="003A7D11"/>
    <w:rsid w:val="003A7E2B"/>
    <w:rsid w:val="003A7E40"/>
    <w:rsid w:val="003B0336"/>
    <w:rsid w:val="003B0A3A"/>
    <w:rsid w:val="003B0D79"/>
    <w:rsid w:val="003B1850"/>
    <w:rsid w:val="003B231A"/>
    <w:rsid w:val="003B2930"/>
    <w:rsid w:val="003B31A7"/>
    <w:rsid w:val="003B4587"/>
    <w:rsid w:val="003B4B51"/>
    <w:rsid w:val="003B4FE1"/>
    <w:rsid w:val="003B514E"/>
    <w:rsid w:val="003B5531"/>
    <w:rsid w:val="003B636A"/>
    <w:rsid w:val="003B69CE"/>
    <w:rsid w:val="003B6B32"/>
    <w:rsid w:val="003B7403"/>
    <w:rsid w:val="003C011C"/>
    <w:rsid w:val="003C0E32"/>
    <w:rsid w:val="003C11D7"/>
    <w:rsid w:val="003C16CB"/>
    <w:rsid w:val="003C1B97"/>
    <w:rsid w:val="003C247B"/>
    <w:rsid w:val="003C3292"/>
    <w:rsid w:val="003C3C1E"/>
    <w:rsid w:val="003C3D88"/>
    <w:rsid w:val="003C4134"/>
    <w:rsid w:val="003C42C8"/>
    <w:rsid w:val="003C435B"/>
    <w:rsid w:val="003C4EBE"/>
    <w:rsid w:val="003C58F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88"/>
    <w:rsid w:val="003E20F7"/>
    <w:rsid w:val="003E336A"/>
    <w:rsid w:val="003E3E2F"/>
    <w:rsid w:val="003E4048"/>
    <w:rsid w:val="003E4CE5"/>
    <w:rsid w:val="003E57F3"/>
    <w:rsid w:val="003E604C"/>
    <w:rsid w:val="003E60DA"/>
    <w:rsid w:val="003E6E00"/>
    <w:rsid w:val="003E7111"/>
    <w:rsid w:val="003E7940"/>
    <w:rsid w:val="003F01BD"/>
    <w:rsid w:val="003F0486"/>
    <w:rsid w:val="003F048E"/>
    <w:rsid w:val="003F09FA"/>
    <w:rsid w:val="003F0AFF"/>
    <w:rsid w:val="003F1275"/>
    <w:rsid w:val="003F1AA2"/>
    <w:rsid w:val="003F2564"/>
    <w:rsid w:val="003F26DC"/>
    <w:rsid w:val="003F2B71"/>
    <w:rsid w:val="003F42FF"/>
    <w:rsid w:val="003F4B48"/>
    <w:rsid w:val="003F4DDC"/>
    <w:rsid w:val="003F56B8"/>
    <w:rsid w:val="003F5F1A"/>
    <w:rsid w:val="003F6327"/>
    <w:rsid w:val="003F6EAE"/>
    <w:rsid w:val="003F7425"/>
    <w:rsid w:val="003F765B"/>
    <w:rsid w:val="003F7CB8"/>
    <w:rsid w:val="00400CB4"/>
    <w:rsid w:val="00401386"/>
    <w:rsid w:val="004013E6"/>
    <w:rsid w:val="00401E31"/>
    <w:rsid w:val="00402BBA"/>
    <w:rsid w:val="004035D0"/>
    <w:rsid w:val="0040361D"/>
    <w:rsid w:val="00403795"/>
    <w:rsid w:val="004041FB"/>
    <w:rsid w:val="0040443E"/>
    <w:rsid w:val="0040548C"/>
    <w:rsid w:val="004056B6"/>
    <w:rsid w:val="00405764"/>
    <w:rsid w:val="00406745"/>
    <w:rsid w:val="0040674B"/>
    <w:rsid w:val="004068AD"/>
    <w:rsid w:val="00406B32"/>
    <w:rsid w:val="00407281"/>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5FB8"/>
    <w:rsid w:val="00416208"/>
    <w:rsid w:val="0041690F"/>
    <w:rsid w:val="004169D3"/>
    <w:rsid w:val="00416C2B"/>
    <w:rsid w:val="00416D41"/>
    <w:rsid w:val="00416E70"/>
    <w:rsid w:val="00417264"/>
    <w:rsid w:val="004210C0"/>
    <w:rsid w:val="004211DD"/>
    <w:rsid w:val="00421454"/>
    <w:rsid w:val="00421762"/>
    <w:rsid w:val="00421D4B"/>
    <w:rsid w:val="00421ED8"/>
    <w:rsid w:val="00422907"/>
    <w:rsid w:val="00423125"/>
    <w:rsid w:val="00423309"/>
    <w:rsid w:val="004233AD"/>
    <w:rsid w:val="00424446"/>
    <w:rsid w:val="0042458A"/>
    <w:rsid w:val="00424867"/>
    <w:rsid w:val="00425341"/>
    <w:rsid w:val="004255FE"/>
    <w:rsid w:val="00425674"/>
    <w:rsid w:val="00425A82"/>
    <w:rsid w:val="00425C60"/>
    <w:rsid w:val="00426B2C"/>
    <w:rsid w:val="00427FA8"/>
    <w:rsid w:val="0043009D"/>
    <w:rsid w:val="0043026B"/>
    <w:rsid w:val="00430299"/>
    <w:rsid w:val="004306D4"/>
    <w:rsid w:val="00430AFE"/>
    <w:rsid w:val="00431A2A"/>
    <w:rsid w:val="00431E3B"/>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576"/>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E22"/>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CEA"/>
    <w:rsid w:val="0049333E"/>
    <w:rsid w:val="00493FD9"/>
    <w:rsid w:val="0049418F"/>
    <w:rsid w:val="0049570D"/>
    <w:rsid w:val="00495C48"/>
    <w:rsid w:val="00495DC6"/>
    <w:rsid w:val="00496CCE"/>
    <w:rsid w:val="004978C1"/>
    <w:rsid w:val="00497AAD"/>
    <w:rsid w:val="00497BD7"/>
    <w:rsid w:val="00497D1A"/>
    <w:rsid w:val="004A00C9"/>
    <w:rsid w:val="004A03D0"/>
    <w:rsid w:val="004A1049"/>
    <w:rsid w:val="004A121B"/>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83"/>
    <w:rsid w:val="004B4EA9"/>
    <w:rsid w:val="004B5C96"/>
    <w:rsid w:val="004B6124"/>
    <w:rsid w:val="004B6E50"/>
    <w:rsid w:val="004B728F"/>
    <w:rsid w:val="004B7317"/>
    <w:rsid w:val="004B75B2"/>
    <w:rsid w:val="004B75C6"/>
    <w:rsid w:val="004C02C5"/>
    <w:rsid w:val="004C06F1"/>
    <w:rsid w:val="004C0BF0"/>
    <w:rsid w:val="004C0D40"/>
    <w:rsid w:val="004C114F"/>
    <w:rsid w:val="004C11A9"/>
    <w:rsid w:val="004C27CF"/>
    <w:rsid w:val="004C2CA7"/>
    <w:rsid w:val="004C3592"/>
    <w:rsid w:val="004C45C8"/>
    <w:rsid w:val="004C4F8F"/>
    <w:rsid w:val="004C5F4B"/>
    <w:rsid w:val="004C612E"/>
    <w:rsid w:val="004C61B8"/>
    <w:rsid w:val="004C61D1"/>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CF"/>
    <w:rsid w:val="004E5101"/>
    <w:rsid w:val="004E5380"/>
    <w:rsid w:val="004E6746"/>
    <w:rsid w:val="004E6CAC"/>
    <w:rsid w:val="004E6F69"/>
    <w:rsid w:val="004E75C1"/>
    <w:rsid w:val="004E777F"/>
    <w:rsid w:val="004F0368"/>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13"/>
    <w:rsid w:val="004F7922"/>
    <w:rsid w:val="004F7A1F"/>
    <w:rsid w:val="004F7B47"/>
    <w:rsid w:val="0050079C"/>
    <w:rsid w:val="0050106A"/>
    <w:rsid w:val="005010BC"/>
    <w:rsid w:val="00501848"/>
    <w:rsid w:val="00502B31"/>
    <w:rsid w:val="00503914"/>
    <w:rsid w:val="0050434C"/>
    <w:rsid w:val="005045C0"/>
    <w:rsid w:val="0050537D"/>
    <w:rsid w:val="0050591C"/>
    <w:rsid w:val="005059BD"/>
    <w:rsid w:val="005060AE"/>
    <w:rsid w:val="0050790B"/>
    <w:rsid w:val="00507FDF"/>
    <w:rsid w:val="0051037C"/>
    <w:rsid w:val="0051050F"/>
    <w:rsid w:val="0051058B"/>
    <w:rsid w:val="00510DDC"/>
    <w:rsid w:val="00511166"/>
    <w:rsid w:val="00512217"/>
    <w:rsid w:val="00512459"/>
    <w:rsid w:val="00512B61"/>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00A"/>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BC"/>
    <w:rsid w:val="0054680A"/>
    <w:rsid w:val="00546BF8"/>
    <w:rsid w:val="00547BA2"/>
    <w:rsid w:val="00550AC5"/>
    <w:rsid w:val="00550B7E"/>
    <w:rsid w:val="00551052"/>
    <w:rsid w:val="005524ED"/>
    <w:rsid w:val="00553106"/>
    <w:rsid w:val="00553F91"/>
    <w:rsid w:val="00554007"/>
    <w:rsid w:val="00554C03"/>
    <w:rsid w:val="00554C58"/>
    <w:rsid w:val="00554D5D"/>
    <w:rsid w:val="005550F9"/>
    <w:rsid w:val="00556338"/>
    <w:rsid w:val="00556441"/>
    <w:rsid w:val="00557031"/>
    <w:rsid w:val="0055754D"/>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666"/>
    <w:rsid w:val="00570763"/>
    <w:rsid w:val="0057125A"/>
    <w:rsid w:val="0057200B"/>
    <w:rsid w:val="00572297"/>
    <w:rsid w:val="005724A8"/>
    <w:rsid w:val="00572BD6"/>
    <w:rsid w:val="0057345D"/>
    <w:rsid w:val="0057347D"/>
    <w:rsid w:val="00573560"/>
    <w:rsid w:val="005746E3"/>
    <w:rsid w:val="005748C6"/>
    <w:rsid w:val="00574E7B"/>
    <w:rsid w:val="00574F36"/>
    <w:rsid w:val="0057533F"/>
    <w:rsid w:val="005766BE"/>
    <w:rsid w:val="00576A55"/>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525"/>
    <w:rsid w:val="00591BA6"/>
    <w:rsid w:val="00592825"/>
    <w:rsid w:val="00592B0C"/>
    <w:rsid w:val="00594437"/>
    <w:rsid w:val="00594B70"/>
    <w:rsid w:val="00594EE1"/>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42"/>
    <w:rsid w:val="005A57B8"/>
    <w:rsid w:val="005A5DDE"/>
    <w:rsid w:val="005A64A8"/>
    <w:rsid w:val="005A65C5"/>
    <w:rsid w:val="005A6875"/>
    <w:rsid w:val="005A7016"/>
    <w:rsid w:val="005A70EE"/>
    <w:rsid w:val="005A7A32"/>
    <w:rsid w:val="005A7F85"/>
    <w:rsid w:val="005B00DD"/>
    <w:rsid w:val="005B03B1"/>
    <w:rsid w:val="005B07D5"/>
    <w:rsid w:val="005B1A8A"/>
    <w:rsid w:val="005B1AAB"/>
    <w:rsid w:val="005B2578"/>
    <w:rsid w:val="005B26BF"/>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3C"/>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C84"/>
    <w:rsid w:val="005D6D84"/>
    <w:rsid w:val="005D70A1"/>
    <w:rsid w:val="005D79F2"/>
    <w:rsid w:val="005D7CB1"/>
    <w:rsid w:val="005D7F57"/>
    <w:rsid w:val="005E0067"/>
    <w:rsid w:val="005E0141"/>
    <w:rsid w:val="005E09CA"/>
    <w:rsid w:val="005E1AB4"/>
    <w:rsid w:val="005E255B"/>
    <w:rsid w:val="005E2615"/>
    <w:rsid w:val="005E2CF7"/>
    <w:rsid w:val="005E4543"/>
    <w:rsid w:val="005E4A1C"/>
    <w:rsid w:val="005E56C9"/>
    <w:rsid w:val="005E5CF7"/>
    <w:rsid w:val="005E5F37"/>
    <w:rsid w:val="005E5FF0"/>
    <w:rsid w:val="005E642A"/>
    <w:rsid w:val="005E65A7"/>
    <w:rsid w:val="005E721E"/>
    <w:rsid w:val="005E7A75"/>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0F02"/>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6F6"/>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B8F"/>
    <w:rsid w:val="00630C70"/>
    <w:rsid w:val="00630D67"/>
    <w:rsid w:val="00631005"/>
    <w:rsid w:val="00631667"/>
    <w:rsid w:val="00631C79"/>
    <w:rsid w:val="00632727"/>
    <w:rsid w:val="0063283D"/>
    <w:rsid w:val="00633769"/>
    <w:rsid w:val="00633FE3"/>
    <w:rsid w:val="0063410F"/>
    <w:rsid w:val="00634276"/>
    <w:rsid w:val="00634570"/>
    <w:rsid w:val="0063477C"/>
    <w:rsid w:val="0063487C"/>
    <w:rsid w:val="00635B73"/>
    <w:rsid w:val="00635BB7"/>
    <w:rsid w:val="00636743"/>
    <w:rsid w:val="00636CC7"/>
    <w:rsid w:val="00637F27"/>
    <w:rsid w:val="006405EC"/>
    <w:rsid w:val="00640A4D"/>
    <w:rsid w:val="00641768"/>
    <w:rsid w:val="006418F2"/>
    <w:rsid w:val="00641A84"/>
    <w:rsid w:val="00641B05"/>
    <w:rsid w:val="00641DA1"/>
    <w:rsid w:val="00641E5B"/>
    <w:rsid w:val="00641F12"/>
    <w:rsid w:val="00642C69"/>
    <w:rsid w:val="0064330A"/>
    <w:rsid w:val="00643F89"/>
    <w:rsid w:val="00644334"/>
    <w:rsid w:val="0064487C"/>
    <w:rsid w:val="00644BED"/>
    <w:rsid w:val="00644E2E"/>
    <w:rsid w:val="00645A3A"/>
    <w:rsid w:val="00645B87"/>
    <w:rsid w:val="00645CB4"/>
    <w:rsid w:val="00646084"/>
    <w:rsid w:val="006468ED"/>
    <w:rsid w:val="00647664"/>
    <w:rsid w:val="00650689"/>
    <w:rsid w:val="00650D19"/>
    <w:rsid w:val="00652CF5"/>
    <w:rsid w:val="0065343E"/>
    <w:rsid w:val="006536BB"/>
    <w:rsid w:val="0065398F"/>
    <w:rsid w:val="00653C69"/>
    <w:rsid w:val="00653C7C"/>
    <w:rsid w:val="00654252"/>
    <w:rsid w:val="006543B7"/>
    <w:rsid w:val="00654EA5"/>
    <w:rsid w:val="0065587E"/>
    <w:rsid w:val="006558CD"/>
    <w:rsid w:val="00655C26"/>
    <w:rsid w:val="0065637A"/>
    <w:rsid w:val="00656398"/>
    <w:rsid w:val="00656998"/>
    <w:rsid w:val="00656E4D"/>
    <w:rsid w:val="006576BA"/>
    <w:rsid w:val="006600BF"/>
    <w:rsid w:val="00660AF7"/>
    <w:rsid w:val="00660D3E"/>
    <w:rsid w:val="00661691"/>
    <w:rsid w:val="00662304"/>
    <w:rsid w:val="00662981"/>
    <w:rsid w:val="00662D3D"/>
    <w:rsid w:val="00662F1F"/>
    <w:rsid w:val="00663D15"/>
    <w:rsid w:val="00665030"/>
    <w:rsid w:val="00665670"/>
    <w:rsid w:val="006659EA"/>
    <w:rsid w:val="006661E8"/>
    <w:rsid w:val="00666424"/>
    <w:rsid w:val="0066676C"/>
    <w:rsid w:val="00666C0A"/>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77EF4"/>
    <w:rsid w:val="00680326"/>
    <w:rsid w:val="00680714"/>
    <w:rsid w:val="0068071D"/>
    <w:rsid w:val="00680C6B"/>
    <w:rsid w:val="006811F3"/>
    <w:rsid w:val="00681240"/>
    <w:rsid w:val="00683068"/>
    <w:rsid w:val="00683CCD"/>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780"/>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7FB"/>
    <w:rsid w:val="006C5B4D"/>
    <w:rsid w:val="006C5D5D"/>
    <w:rsid w:val="006C627E"/>
    <w:rsid w:val="006C6303"/>
    <w:rsid w:val="006C6A51"/>
    <w:rsid w:val="006C6B21"/>
    <w:rsid w:val="006C6EBD"/>
    <w:rsid w:val="006C7E04"/>
    <w:rsid w:val="006C7F79"/>
    <w:rsid w:val="006D0004"/>
    <w:rsid w:val="006D015F"/>
    <w:rsid w:val="006D060E"/>
    <w:rsid w:val="006D0681"/>
    <w:rsid w:val="006D0A80"/>
    <w:rsid w:val="006D0AE8"/>
    <w:rsid w:val="006D135C"/>
    <w:rsid w:val="006D2F72"/>
    <w:rsid w:val="006D394B"/>
    <w:rsid w:val="006D43C1"/>
    <w:rsid w:val="006D5442"/>
    <w:rsid w:val="006D5886"/>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053"/>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3C3"/>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0CB"/>
    <w:rsid w:val="00710257"/>
    <w:rsid w:val="00710587"/>
    <w:rsid w:val="007107D5"/>
    <w:rsid w:val="0071174F"/>
    <w:rsid w:val="007119DC"/>
    <w:rsid w:val="00711CC7"/>
    <w:rsid w:val="0071200E"/>
    <w:rsid w:val="0071230A"/>
    <w:rsid w:val="0071294A"/>
    <w:rsid w:val="00712BDD"/>
    <w:rsid w:val="00712E1E"/>
    <w:rsid w:val="00712F37"/>
    <w:rsid w:val="00713A6B"/>
    <w:rsid w:val="00713CB5"/>
    <w:rsid w:val="007141F1"/>
    <w:rsid w:val="0071499C"/>
    <w:rsid w:val="00714F9D"/>
    <w:rsid w:val="007154D8"/>
    <w:rsid w:val="00715577"/>
    <w:rsid w:val="0071604D"/>
    <w:rsid w:val="00716C67"/>
    <w:rsid w:val="007170AB"/>
    <w:rsid w:val="0071779C"/>
    <w:rsid w:val="00717808"/>
    <w:rsid w:val="00717ED7"/>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BFF"/>
    <w:rsid w:val="00725D6A"/>
    <w:rsid w:val="007263A2"/>
    <w:rsid w:val="007266B9"/>
    <w:rsid w:val="00727351"/>
    <w:rsid w:val="00727AC5"/>
    <w:rsid w:val="00727C65"/>
    <w:rsid w:val="007300F0"/>
    <w:rsid w:val="00730904"/>
    <w:rsid w:val="0073116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963"/>
    <w:rsid w:val="007403C6"/>
    <w:rsid w:val="007403FE"/>
    <w:rsid w:val="007413EB"/>
    <w:rsid w:val="007413FB"/>
    <w:rsid w:val="00742D32"/>
    <w:rsid w:val="00742E9B"/>
    <w:rsid w:val="007444E6"/>
    <w:rsid w:val="00744CC6"/>
    <w:rsid w:val="0074592C"/>
    <w:rsid w:val="00745C91"/>
    <w:rsid w:val="00746098"/>
    <w:rsid w:val="00746D58"/>
    <w:rsid w:val="00747578"/>
    <w:rsid w:val="00747ED9"/>
    <w:rsid w:val="00750D12"/>
    <w:rsid w:val="00750ECF"/>
    <w:rsid w:val="00751073"/>
    <w:rsid w:val="00751AF2"/>
    <w:rsid w:val="00751B1A"/>
    <w:rsid w:val="00751BD2"/>
    <w:rsid w:val="00751CE5"/>
    <w:rsid w:val="00752188"/>
    <w:rsid w:val="00752AC8"/>
    <w:rsid w:val="00752CC6"/>
    <w:rsid w:val="00753577"/>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0A1C"/>
    <w:rsid w:val="00771CAC"/>
    <w:rsid w:val="00772036"/>
    <w:rsid w:val="00772B55"/>
    <w:rsid w:val="00773098"/>
    <w:rsid w:val="007739A3"/>
    <w:rsid w:val="00773BD9"/>
    <w:rsid w:val="00773CB0"/>
    <w:rsid w:val="00773D71"/>
    <w:rsid w:val="00774B57"/>
    <w:rsid w:val="00774C34"/>
    <w:rsid w:val="00775526"/>
    <w:rsid w:val="00775651"/>
    <w:rsid w:val="00775F3F"/>
    <w:rsid w:val="0077710B"/>
    <w:rsid w:val="0077765A"/>
    <w:rsid w:val="00780032"/>
    <w:rsid w:val="00780636"/>
    <w:rsid w:val="00780E86"/>
    <w:rsid w:val="0078108C"/>
    <w:rsid w:val="00781727"/>
    <w:rsid w:val="007823E8"/>
    <w:rsid w:val="007829DE"/>
    <w:rsid w:val="00782CF3"/>
    <w:rsid w:val="00783959"/>
    <w:rsid w:val="00783BA5"/>
    <w:rsid w:val="007844A9"/>
    <w:rsid w:val="00785091"/>
    <w:rsid w:val="0078638C"/>
    <w:rsid w:val="007869F9"/>
    <w:rsid w:val="00786CBB"/>
    <w:rsid w:val="00786DAD"/>
    <w:rsid w:val="00786E21"/>
    <w:rsid w:val="0079026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3D9"/>
    <w:rsid w:val="007A18B1"/>
    <w:rsid w:val="007A1BBD"/>
    <w:rsid w:val="007A1F08"/>
    <w:rsid w:val="007A23F0"/>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A9D"/>
    <w:rsid w:val="007C2085"/>
    <w:rsid w:val="007C20F8"/>
    <w:rsid w:val="007C21C5"/>
    <w:rsid w:val="007C2229"/>
    <w:rsid w:val="007C225A"/>
    <w:rsid w:val="007C2313"/>
    <w:rsid w:val="007C2570"/>
    <w:rsid w:val="007C3590"/>
    <w:rsid w:val="007C387A"/>
    <w:rsid w:val="007C3A0D"/>
    <w:rsid w:val="007C3EB0"/>
    <w:rsid w:val="007C43D6"/>
    <w:rsid w:val="007C47FF"/>
    <w:rsid w:val="007C4838"/>
    <w:rsid w:val="007C60A8"/>
    <w:rsid w:val="007C660F"/>
    <w:rsid w:val="007C6664"/>
    <w:rsid w:val="007C66FF"/>
    <w:rsid w:val="007C69AE"/>
    <w:rsid w:val="007C6FE9"/>
    <w:rsid w:val="007C7688"/>
    <w:rsid w:val="007C76E3"/>
    <w:rsid w:val="007C76F3"/>
    <w:rsid w:val="007C7DD9"/>
    <w:rsid w:val="007D0199"/>
    <w:rsid w:val="007D03BC"/>
    <w:rsid w:val="007D0DC9"/>
    <w:rsid w:val="007D0ECD"/>
    <w:rsid w:val="007D1A8E"/>
    <w:rsid w:val="007D2882"/>
    <w:rsid w:val="007D296C"/>
    <w:rsid w:val="007D2C31"/>
    <w:rsid w:val="007D2E50"/>
    <w:rsid w:val="007D3D74"/>
    <w:rsid w:val="007D445F"/>
    <w:rsid w:val="007D4DED"/>
    <w:rsid w:val="007D59E6"/>
    <w:rsid w:val="007D5BA2"/>
    <w:rsid w:val="007D5ED3"/>
    <w:rsid w:val="007D682F"/>
    <w:rsid w:val="007D6FB9"/>
    <w:rsid w:val="007D7211"/>
    <w:rsid w:val="007E0595"/>
    <w:rsid w:val="007E0A63"/>
    <w:rsid w:val="007E0C63"/>
    <w:rsid w:val="007E0E05"/>
    <w:rsid w:val="007E0F5D"/>
    <w:rsid w:val="007E23A1"/>
    <w:rsid w:val="007E259F"/>
    <w:rsid w:val="007E347E"/>
    <w:rsid w:val="007E411A"/>
    <w:rsid w:val="007E41A4"/>
    <w:rsid w:val="007E43E3"/>
    <w:rsid w:val="007E54B8"/>
    <w:rsid w:val="007E5D12"/>
    <w:rsid w:val="007E6420"/>
    <w:rsid w:val="007E677F"/>
    <w:rsid w:val="007E6B25"/>
    <w:rsid w:val="007E6E06"/>
    <w:rsid w:val="007E6F4A"/>
    <w:rsid w:val="007E79CC"/>
    <w:rsid w:val="007F1124"/>
    <w:rsid w:val="007F152D"/>
    <w:rsid w:val="007F1EE5"/>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330"/>
    <w:rsid w:val="007F67B6"/>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AD5"/>
    <w:rsid w:val="00821C14"/>
    <w:rsid w:val="00821D85"/>
    <w:rsid w:val="00821E47"/>
    <w:rsid w:val="008220F6"/>
    <w:rsid w:val="00822456"/>
    <w:rsid w:val="00823819"/>
    <w:rsid w:val="00823C4B"/>
    <w:rsid w:val="0082427D"/>
    <w:rsid w:val="00825441"/>
    <w:rsid w:val="00826855"/>
    <w:rsid w:val="00827110"/>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637"/>
    <w:rsid w:val="008465B4"/>
    <w:rsid w:val="00846D25"/>
    <w:rsid w:val="00850013"/>
    <w:rsid w:val="008500DD"/>
    <w:rsid w:val="00850A0A"/>
    <w:rsid w:val="00850A94"/>
    <w:rsid w:val="0085104E"/>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257"/>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DE5"/>
    <w:rsid w:val="0088434F"/>
    <w:rsid w:val="00884371"/>
    <w:rsid w:val="008848E2"/>
    <w:rsid w:val="00884B7A"/>
    <w:rsid w:val="00884D47"/>
    <w:rsid w:val="008856BF"/>
    <w:rsid w:val="008856C5"/>
    <w:rsid w:val="00886112"/>
    <w:rsid w:val="008872B3"/>
    <w:rsid w:val="00887392"/>
    <w:rsid w:val="00890A64"/>
    <w:rsid w:val="00890C40"/>
    <w:rsid w:val="0089122E"/>
    <w:rsid w:val="008912A7"/>
    <w:rsid w:val="0089183A"/>
    <w:rsid w:val="008920B4"/>
    <w:rsid w:val="008925EB"/>
    <w:rsid w:val="0089275E"/>
    <w:rsid w:val="0089294F"/>
    <w:rsid w:val="00892B43"/>
    <w:rsid w:val="00893432"/>
    <w:rsid w:val="00893936"/>
    <w:rsid w:val="00893CE2"/>
    <w:rsid w:val="00893F41"/>
    <w:rsid w:val="00894580"/>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F46"/>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2F6D"/>
    <w:rsid w:val="008C3A4E"/>
    <w:rsid w:val="008C46B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8E7"/>
    <w:rsid w:val="008D7247"/>
    <w:rsid w:val="008D74F0"/>
    <w:rsid w:val="008D7567"/>
    <w:rsid w:val="008D76E6"/>
    <w:rsid w:val="008E0300"/>
    <w:rsid w:val="008E0EE4"/>
    <w:rsid w:val="008E12BE"/>
    <w:rsid w:val="008E13FD"/>
    <w:rsid w:val="008E1C24"/>
    <w:rsid w:val="008E2626"/>
    <w:rsid w:val="008E27A9"/>
    <w:rsid w:val="008E323C"/>
    <w:rsid w:val="008E32E0"/>
    <w:rsid w:val="008E35A6"/>
    <w:rsid w:val="008E36D9"/>
    <w:rsid w:val="008E3A5C"/>
    <w:rsid w:val="008E3A9A"/>
    <w:rsid w:val="008E429E"/>
    <w:rsid w:val="008E4A00"/>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1B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B7A"/>
    <w:rsid w:val="00903969"/>
    <w:rsid w:val="00903C83"/>
    <w:rsid w:val="00903D77"/>
    <w:rsid w:val="0090408F"/>
    <w:rsid w:val="0090446A"/>
    <w:rsid w:val="00904537"/>
    <w:rsid w:val="00904C01"/>
    <w:rsid w:val="00904DC3"/>
    <w:rsid w:val="0090534A"/>
    <w:rsid w:val="00905469"/>
    <w:rsid w:val="00906078"/>
    <w:rsid w:val="0090629C"/>
    <w:rsid w:val="00906EA2"/>
    <w:rsid w:val="00907278"/>
    <w:rsid w:val="00910041"/>
    <w:rsid w:val="0091112B"/>
    <w:rsid w:val="009111F1"/>
    <w:rsid w:val="00911D61"/>
    <w:rsid w:val="00912850"/>
    <w:rsid w:val="009128B8"/>
    <w:rsid w:val="0091472C"/>
    <w:rsid w:val="00914DC9"/>
    <w:rsid w:val="00915351"/>
    <w:rsid w:val="00915679"/>
    <w:rsid w:val="009159C2"/>
    <w:rsid w:val="00915D5A"/>
    <w:rsid w:val="0091627F"/>
    <w:rsid w:val="00916E45"/>
    <w:rsid w:val="0092030A"/>
    <w:rsid w:val="0092077A"/>
    <w:rsid w:val="00920DC0"/>
    <w:rsid w:val="009219F3"/>
    <w:rsid w:val="00921A1B"/>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DAE"/>
    <w:rsid w:val="00934C8E"/>
    <w:rsid w:val="00935194"/>
    <w:rsid w:val="00935C40"/>
    <w:rsid w:val="00936EA5"/>
    <w:rsid w:val="00937114"/>
    <w:rsid w:val="0094003D"/>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36B"/>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14F"/>
    <w:rsid w:val="00974022"/>
    <w:rsid w:val="009743E8"/>
    <w:rsid w:val="009745D8"/>
    <w:rsid w:val="0097485D"/>
    <w:rsid w:val="00974F3B"/>
    <w:rsid w:val="0097552A"/>
    <w:rsid w:val="0097564A"/>
    <w:rsid w:val="00975974"/>
    <w:rsid w:val="00975D06"/>
    <w:rsid w:val="00975D63"/>
    <w:rsid w:val="00975DAE"/>
    <w:rsid w:val="00976BBE"/>
    <w:rsid w:val="0098055B"/>
    <w:rsid w:val="00980B30"/>
    <w:rsid w:val="009810BE"/>
    <w:rsid w:val="009817BC"/>
    <w:rsid w:val="009819A7"/>
    <w:rsid w:val="00981F09"/>
    <w:rsid w:val="0098220A"/>
    <w:rsid w:val="00982E75"/>
    <w:rsid w:val="0098302A"/>
    <w:rsid w:val="00983337"/>
    <w:rsid w:val="009836AA"/>
    <w:rsid w:val="009846BF"/>
    <w:rsid w:val="00984768"/>
    <w:rsid w:val="009851F5"/>
    <w:rsid w:val="0098534B"/>
    <w:rsid w:val="00985D2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6C1"/>
    <w:rsid w:val="00993AC7"/>
    <w:rsid w:val="00993BAD"/>
    <w:rsid w:val="00993E49"/>
    <w:rsid w:val="00994120"/>
    <w:rsid w:val="009942F5"/>
    <w:rsid w:val="00994568"/>
    <w:rsid w:val="00994602"/>
    <w:rsid w:val="00994A33"/>
    <w:rsid w:val="00995B01"/>
    <w:rsid w:val="00996055"/>
    <w:rsid w:val="00996EF4"/>
    <w:rsid w:val="00996F23"/>
    <w:rsid w:val="00997044"/>
    <w:rsid w:val="00997BC9"/>
    <w:rsid w:val="009A113D"/>
    <w:rsid w:val="009A1ECA"/>
    <w:rsid w:val="009A2BE9"/>
    <w:rsid w:val="009A2BF3"/>
    <w:rsid w:val="009A3688"/>
    <w:rsid w:val="009A3713"/>
    <w:rsid w:val="009A3B04"/>
    <w:rsid w:val="009A3C3E"/>
    <w:rsid w:val="009A4153"/>
    <w:rsid w:val="009A4C2C"/>
    <w:rsid w:val="009A59B3"/>
    <w:rsid w:val="009A5CB3"/>
    <w:rsid w:val="009A5F1B"/>
    <w:rsid w:val="009A5FAE"/>
    <w:rsid w:val="009A6B3A"/>
    <w:rsid w:val="009A70A3"/>
    <w:rsid w:val="009A7E7C"/>
    <w:rsid w:val="009B0237"/>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20"/>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2A8"/>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0A87"/>
    <w:rsid w:val="009F1109"/>
    <w:rsid w:val="009F143E"/>
    <w:rsid w:val="009F1621"/>
    <w:rsid w:val="009F1DE8"/>
    <w:rsid w:val="009F2186"/>
    <w:rsid w:val="009F227C"/>
    <w:rsid w:val="009F28DC"/>
    <w:rsid w:val="009F2EDB"/>
    <w:rsid w:val="009F33DC"/>
    <w:rsid w:val="009F4550"/>
    <w:rsid w:val="009F56C0"/>
    <w:rsid w:val="009F5C76"/>
    <w:rsid w:val="009F6A75"/>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3C3"/>
    <w:rsid w:val="00A03A7C"/>
    <w:rsid w:val="00A03DA5"/>
    <w:rsid w:val="00A044AA"/>
    <w:rsid w:val="00A0700C"/>
    <w:rsid w:val="00A102F8"/>
    <w:rsid w:val="00A10A20"/>
    <w:rsid w:val="00A117D5"/>
    <w:rsid w:val="00A11C11"/>
    <w:rsid w:val="00A11F98"/>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ADE"/>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33B"/>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511"/>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7E7"/>
    <w:rsid w:val="00A85806"/>
    <w:rsid w:val="00A8597A"/>
    <w:rsid w:val="00A85B87"/>
    <w:rsid w:val="00A85F83"/>
    <w:rsid w:val="00A86019"/>
    <w:rsid w:val="00A86EED"/>
    <w:rsid w:val="00A8733A"/>
    <w:rsid w:val="00A9106C"/>
    <w:rsid w:val="00A9151F"/>
    <w:rsid w:val="00A9196B"/>
    <w:rsid w:val="00A91BB5"/>
    <w:rsid w:val="00A91BEE"/>
    <w:rsid w:val="00A91D4B"/>
    <w:rsid w:val="00A91E23"/>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498"/>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785"/>
    <w:rsid w:val="00AB4E41"/>
    <w:rsid w:val="00AB5EB1"/>
    <w:rsid w:val="00AB6003"/>
    <w:rsid w:val="00AB759A"/>
    <w:rsid w:val="00AB7B06"/>
    <w:rsid w:val="00AB7EAA"/>
    <w:rsid w:val="00AC0432"/>
    <w:rsid w:val="00AC0770"/>
    <w:rsid w:val="00AC1683"/>
    <w:rsid w:val="00AC1D82"/>
    <w:rsid w:val="00AC1F83"/>
    <w:rsid w:val="00AC2D5F"/>
    <w:rsid w:val="00AC4094"/>
    <w:rsid w:val="00AC42B6"/>
    <w:rsid w:val="00AC4AB7"/>
    <w:rsid w:val="00AC51E0"/>
    <w:rsid w:val="00AC6D24"/>
    <w:rsid w:val="00AC6E18"/>
    <w:rsid w:val="00AC7F64"/>
    <w:rsid w:val="00AD1065"/>
    <w:rsid w:val="00AD159E"/>
    <w:rsid w:val="00AD2AB1"/>
    <w:rsid w:val="00AD2B24"/>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D2F"/>
    <w:rsid w:val="00AE11C1"/>
    <w:rsid w:val="00AE163D"/>
    <w:rsid w:val="00AE1A42"/>
    <w:rsid w:val="00AE1C5C"/>
    <w:rsid w:val="00AE315E"/>
    <w:rsid w:val="00AE319F"/>
    <w:rsid w:val="00AE31D9"/>
    <w:rsid w:val="00AE3CF0"/>
    <w:rsid w:val="00AE4546"/>
    <w:rsid w:val="00AE52CE"/>
    <w:rsid w:val="00AE5BAB"/>
    <w:rsid w:val="00AE6575"/>
    <w:rsid w:val="00AE71EE"/>
    <w:rsid w:val="00AF03CF"/>
    <w:rsid w:val="00AF0A0A"/>
    <w:rsid w:val="00AF14FC"/>
    <w:rsid w:val="00AF1ED2"/>
    <w:rsid w:val="00AF1F4E"/>
    <w:rsid w:val="00AF2302"/>
    <w:rsid w:val="00AF262A"/>
    <w:rsid w:val="00AF2951"/>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633"/>
    <w:rsid w:val="00B00D91"/>
    <w:rsid w:val="00B00E84"/>
    <w:rsid w:val="00B01DD9"/>
    <w:rsid w:val="00B01F0E"/>
    <w:rsid w:val="00B038F1"/>
    <w:rsid w:val="00B03C1B"/>
    <w:rsid w:val="00B040CD"/>
    <w:rsid w:val="00B04678"/>
    <w:rsid w:val="00B047C9"/>
    <w:rsid w:val="00B04A04"/>
    <w:rsid w:val="00B04B78"/>
    <w:rsid w:val="00B04C37"/>
    <w:rsid w:val="00B04F00"/>
    <w:rsid w:val="00B05BA6"/>
    <w:rsid w:val="00B066FE"/>
    <w:rsid w:val="00B06912"/>
    <w:rsid w:val="00B07316"/>
    <w:rsid w:val="00B07F74"/>
    <w:rsid w:val="00B10618"/>
    <w:rsid w:val="00B10B04"/>
    <w:rsid w:val="00B10C39"/>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3CA"/>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9F8"/>
    <w:rsid w:val="00B27C4B"/>
    <w:rsid w:val="00B30563"/>
    <w:rsid w:val="00B3069E"/>
    <w:rsid w:val="00B30A76"/>
    <w:rsid w:val="00B31246"/>
    <w:rsid w:val="00B32295"/>
    <w:rsid w:val="00B32B6E"/>
    <w:rsid w:val="00B33AB5"/>
    <w:rsid w:val="00B3412E"/>
    <w:rsid w:val="00B343E0"/>
    <w:rsid w:val="00B35AD6"/>
    <w:rsid w:val="00B35B6D"/>
    <w:rsid w:val="00B35D53"/>
    <w:rsid w:val="00B35DD6"/>
    <w:rsid w:val="00B367C4"/>
    <w:rsid w:val="00B36D3E"/>
    <w:rsid w:val="00B37B8E"/>
    <w:rsid w:val="00B40222"/>
    <w:rsid w:val="00B404C3"/>
    <w:rsid w:val="00B41A04"/>
    <w:rsid w:val="00B42132"/>
    <w:rsid w:val="00B42743"/>
    <w:rsid w:val="00B430E9"/>
    <w:rsid w:val="00B4311F"/>
    <w:rsid w:val="00B431AE"/>
    <w:rsid w:val="00B4326E"/>
    <w:rsid w:val="00B44288"/>
    <w:rsid w:val="00B448BF"/>
    <w:rsid w:val="00B45A59"/>
    <w:rsid w:val="00B45C56"/>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799"/>
    <w:rsid w:val="00B56ECA"/>
    <w:rsid w:val="00B57093"/>
    <w:rsid w:val="00B577BE"/>
    <w:rsid w:val="00B57B5D"/>
    <w:rsid w:val="00B60613"/>
    <w:rsid w:val="00B61504"/>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AD9"/>
    <w:rsid w:val="00B8537B"/>
    <w:rsid w:val="00B85586"/>
    <w:rsid w:val="00B86289"/>
    <w:rsid w:val="00B863B3"/>
    <w:rsid w:val="00B869D3"/>
    <w:rsid w:val="00B86CF8"/>
    <w:rsid w:val="00B86E44"/>
    <w:rsid w:val="00B8730A"/>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1F3B"/>
    <w:rsid w:val="00BA2C82"/>
    <w:rsid w:val="00BA3869"/>
    <w:rsid w:val="00BA4399"/>
    <w:rsid w:val="00BA4452"/>
    <w:rsid w:val="00BA46C6"/>
    <w:rsid w:val="00BA498C"/>
    <w:rsid w:val="00BA4ACF"/>
    <w:rsid w:val="00BA5039"/>
    <w:rsid w:val="00BA583B"/>
    <w:rsid w:val="00BA5DF2"/>
    <w:rsid w:val="00BA5EC7"/>
    <w:rsid w:val="00BA6319"/>
    <w:rsid w:val="00BA63CE"/>
    <w:rsid w:val="00BA676E"/>
    <w:rsid w:val="00BA6980"/>
    <w:rsid w:val="00BA6EF2"/>
    <w:rsid w:val="00BA7146"/>
    <w:rsid w:val="00BA7227"/>
    <w:rsid w:val="00BA763C"/>
    <w:rsid w:val="00BA784D"/>
    <w:rsid w:val="00BA7CD7"/>
    <w:rsid w:val="00BB00E5"/>
    <w:rsid w:val="00BB12D3"/>
    <w:rsid w:val="00BB1688"/>
    <w:rsid w:val="00BB1EFB"/>
    <w:rsid w:val="00BB269F"/>
    <w:rsid w:val="00BB27CC"/>
    <w:rsid w:val="00BB2ACE"/>
    <w:rsid w:val="00BB2DE5"/>
    <w:rsid w:val="00BB2E4E"/>
    <w:rsid w:val="00BB2E62"/>
    <w:rsid w:val="00BB36C9"/>
    <w:rsid w:val="00BB3A66"/>
    <w:rsid w:val="00BB40D1"/>
    <w:rsid w:val="00BB5AA0"/>
    <w:rsid w:val="00BB777D"/>
    <w:rsid w:val="00BB7EC0"/>
    <w:rsid w:val="00BB7F88"/>
    <w:rsid w:val="00BC0207"/>
    <w:rsid w:val="00BC089F"/>
    <w:rsid w:val="00BC0A0C"/>
    <w:rsid w:val="00BC0A5A"/>
    <w:rsid w:val="00BC0E64"/>
    <w:rsid w:val="00BC25D1"/>
    <w:rsid w:val="00BC2DBD"/>
    <w:rsid w:val="00BC36E6"/>
    <w:rsid w:val="00BC3BCB"/>
    <w:rsid w:val="00BC3CF1"/>
    <w:rsid w:val="00BC428A"/>
    <w:rsid w:val="00BC4C40"/>
    <w:rsid w:val="00BC4D52"/>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73"/>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3DA8"/>
    <w:rsid w:val="00BE3F26"/>
    <w:rsid w:val="00BE4222"/>
    <w:rsid w:val="00BE472D"/>
    <w:rsid w:val="00BE4C03"/>
    <w:rsid w:val="00BE7095"/>
    <w:rsid w:val="00BE7F4D"/>
    <w:rsid w:val="00BF03C0"/>
    <w:rsid w:val="00BF0EBF"/>
    <w:rsid w:val="00BF1534"/>
    <w:rsid w:val="00BF2021"/>
    <w:rsid w:val="00BF21D4"/>
    <w:rsid w:val="00BF2DDC"/>
    <w:rsid w:val="00BF32DE"/>
    <w:rsid w:val="00BF461F"/>
    <w:rsid w:val="00BF4A15"/>
    <w:rsid w:val="00BF4E0E"/>
    <w:rsid w:val="00BF4E27"/>
    <w:rsid w:val="00BF4F7C"/>
    <w:rsid w:val="00BF537B"/>
    <w:rsid w:val="00BF5901"/>
    <w:rsid w:val="00BF626A"/>
    <w:rsid w:val="00BF688E"/>
    <w:rsid w:val="00BF6CC1"/>
    <w:rsid w:val="00BF6D77"/>
    <w:rsid w:val="00BF739A"/>
    <w:rsid w:val="00BF7A34"/>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313"/>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319"/>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D86"/>
    <w:rsid w:val="00C3701A"/>
    <w:rsid w:val="00C379EF"/>
    <w:rsid w:val="00C405C8"/>
    <w:rsid w:val="00C40C2F"/>
    <w:rsid w:val="00C415AC"/>
    <w:rsid w:val="00C4297A"/>
    <w:rsid w:val="00C4360C"/>
    <w:rsid w:val="00C439B8"/>
    <w:rsid w:val="00C43A0B"/>
    <w:rsid w:val="00C43EDA"/>
    <w:rsid w:val="00C43FEC"/>
    <w:rsid w:val="00C4414C"/>
    <w:rsid w:val="00C45101"/>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98C"/>
    <w:rsid w:val="00C70718"/>
    <w:rsid w:val="00C70B25"/>
    <w:rsid w:val="00C71528"/>
    <w:rsid w:val="00C717B4"/>
    <w:rsid w:val="00C717E4"/>
    <w:rsid w:val="00C7191B"/>
    <w:rsid w:val="00C71F09"/>
    <w:rsid w:val="00C72588"/>
    <w:rsid w:val="00C727B9"/>
    <w:rsid w:val="00C72F44"/>
    <w:rsid w:val="00C73670"/>
    <w:rsid w:val="00C737D1"/>
    <w:rsid w:val="00C738A0"/>
    <w:rsid w:val="00C73DE0"/>
    <w:rsid w:val="00C74609"/>
    <w:rsid w:val="00C749AB"/>
    <w:rsid w:val="00C7544E"/>
    <w:rsid w:val="00C75A8F"/>
    <w:rsid w:val="00C76129"/>
    <w:rsid w:val="00C76C0C"/>
    <w:rsid w:val="00C76FFC"/>
    <w:rsid w:val="00C774E0"/>
    <w:rsid w:val="00C776BA"/>
    <w:rsid w:val="00C7791E"/>
    <w:rsid w:val="00C81716"/>
    <w:rsid w:val="00C832CB"/>
    <w:rsid w:val="00C83E71"/>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A1"/>
    <w:rsid w:val="00C90BC4"/>
    <w:rsid w:val="00C90CA9"/>
    <w:rsid w:val="00C9135C"/>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AEF"/>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05A"/>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774"/>
    <w:rsid w:val="00CC7E0D"/>
    <w:rsid w:val="00CC7E97"/>
    <w:rsid w:val="00CD00EB"/>
    <w:rsid w:val="00CD1255"/>
    <w:rsid w:val="00CD1484"/>
    <w:rsid w:val="00CD1892"/>
    <w:rsid w:val="00CD1C01"/>
    <w:rsid w:val="00CD1D00"/>
    <w:rsid w:val="00CD2009"/>
    <w:rsid w:val="00CD27AC"/>
    <w:rsid w:val="00CD2A82"/>
    <w:rsid w:val="00CD2E15"/>
    <w:rsid w:val="00CD3C1C"/>
    <w:rsid w:val="00CD3CAB"/>
    <w:rsid w:val="00CD44FF"/>
    <w:rsid w:val="00CD46A7"/>
    <w:rsid w:val="00CD47BC"/>
    <w:rsid w:val="00CD4E50"/>
    <w:rsid w:val="00CD57CB"/>
    <w:rsid w:val="00CD64E1"/>
    <w:rsid w:val="00CD66BA"/>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F029C"/>
    <w:rsid w:val="00CF07AA"/>
    <w:rsid w:val="00CF0AF0"/>
    <w:rsid w:val="00CF157E"/>
    <w:rsid w:val="00CF1631"/>
    <w:rsid w:val="00CF1834"/>
    <w:rsid w:val="00CF1AAA"/>
    <w:rsid w:val="00CF1EC2"/>
    <w:rsid w:val="00CF2ACF"/>
    <w:rsid w:val="00CF345B"/>
    <w:rsid w:val="00CF393C"/>
    <w:rsid w:val="00CF475F"/>
    <w:rsid w:val="00CF5008"/>
    <w:rsid w:val="00CF5069"/>
    <w:rsid w:val="00CF5E34"/>
    <w:rsid w:val="00CF6707"/>
    <w:rsid w:val="00CF7101"/>
    <w:rsid w:val="00CF7327"/>
    <w:rsid w:val="00CF7385"/>
    <w:rsid w:val="00CF7539"/>
    <w:rsid w:val="00CF75C6"/>
    <w:rsid w:val="00CF7B77"/>
    <w:rsid w:val="00CF7DF5"/>
    <w:rsid w:val="00CF7E22"/>
    <w:rsid w:val="00D001D2"/>
    <w:rsid w:val="00D01654"/>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C8C"/>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B70"/>
    <w:rsid w:val="00D27F75"/>
    <w:rsid w:val="00D3046D"/>
    <w:rsid w:val="00D30497"/>
    <w:rsid w:val="00D30C4D"/>
    <w:rsid w:val="00D30F5F"/>
    <w:rsid w:val="00D31243"/>
    <w:rsid w:val="00D316D9"/>
    <w:rsid w:val="00D31B07"/>
    <w:rsid w:val="00D31B9D"/>
    <w:rsid w:val="00D3249A"/>
    <w:rsid w:val="00D3272E"/>
    <w:rsid w:val="00D32FA0"/>
    <w:rsid w:val="00D33112"/>
    <w:rsid w:val="00D331CB"/>
    <w:rsid w:val="00D3497A"/>
    <w:rsid w:val="00D35F2F"/>
    <w:rsid w:val="00D35FC6"/>
    <w:rsid w:val="00D36BB8"/>
    <w:rsid w:val="00D37622"/>
    <w:rsid w:val="00D377D4"/>
    <w:rsid w:val="00D401A1"/>
    <w:rsid w:val="00D40217"/>
    <w:rsid w:val="00D40385"/>
    <w:rsid w:val="00D404CE"/>
    <w:rsid w:val="00D40E8F"/>
    <w:rsid w:val="00D412BF"/>
    <w:rsid w:val="00D417C6"/>
    <w:rsid w:val="00D417D0"/>
    <w:rsid w:val="00D42B0C"/>
    <w:rsid w:val="00D42D6E"/>
    <w:rsid w:val="00D43C72"/>
    <w:rsid w:val="00D43DEF"/>
    <w:rsid w:val="00D44259"/>
    <w:rsid w:val="00D446C9"/>
    <w:rsid w:val="00D45C61"/>
    <w:rsid w:val="00D45DDC"/>
    <w:rsid w:val="00D46899"/>
    <w:rsid w:val="00D5064C"/>
    <w:rsid w:val="00D50778"/>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1ED"/>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9F4"/>
    <w:rsid w:val="00D67D81"/>
    <w:rsid w:val="00D70170"/>
    <w:rsid w:val="00D702E8"/>
    <w:rsid w:val="00D70552"/>
    <w:rsid w:val="00D70D42"/>
    <w:rsid w:val="00D71285"/>
    <w:rsid w:val="00D71ABC"/>
    <w:rsid w:val="00D721C5"/>
    <w:rsid w:val="00D72454"/>
    <w:rsid w:val="00D7245F"/>
    <w:rsid w:val="00D729A7"/>
    <w:rsid w:val="00D72A5B"/>
    <w:rsid w:val="00D73991"/>
    <w:rsid w:val="00D73CD4"/>
    <w:rsid w:val="00D73F06"/>
    <w:rsid w:val="00D740B2"/>
    <w:rsid w:val="00D7415C"/>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8B8"/>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7D1"/>
    <w:rsid w:val="00DA099C"/>
    <w:rsid w:val="00DA0F18"/>
    <w:rsid w:val="00DA1D5D"/>
    <w:rsid w:val="00DA2125"/>
    <w:rsid w:val="00DA21EC"/>
    <w:rsid w:val="00DA24DE"/>
    <w:rsid w:val="00DA270C"/>
    <w:rsid w:val="00DA281F"/>
    <w:rsid w:val="00DA316A"/>
    <w:rsid w:val="00DA3C5B"/>
    <w:rsid w:val="00DA3D23"/>
    <w:rsid w:val="00DA4A61"/>
    <w:rsid w:val="00DA5AFE"/>
    <w:rsid w:val="00DA61AB"/>
    <w:rsid w:val="00DA61CD"/>
    <w:rsid w:val="00DA6EE2"/>
    <w:rsid w:val="00DA718A"/>
    <w:rsid w:val="00DA78CF"/>
    <w:rsid w:val="00DA78D5"/>
    <w:rsid w:val="00DA7A89"/>
    <w:rsid w:val="00DA7BF4"/>
    <w:rsid w:val="00DB052F"/>
    <w:rsid w:val="00DB0913"/>
    <w:rsid w:val="00DB14D3"/>
    <w:rsid w:val="00DB154B"/>
    <w:rsid w:val="00DB1BDC"/>
    <w:rsid w:val="00DB3490"/>
    <w:rsid w:val="00DB3593"/>
    <w:rsid w:val="00DB440B"/>
    <w:rsid w:val="00DB4426"/>
    <w:rsid w:val="00DB4522"/>
    <w:rsid w:val="00DB4B40"/>
    <w:rsid w:val="00DB4F12"/>
    <w:rsid w:val="00DB4F21"/>
    <w:rsid w:val="00DB4F42"/>
    <w:rsid w:val="00DB540C"/>
    <w:rsid w:val="00DB6A51"/>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0FCF"/>
    <w:rsid w:val="00DD1205"/>
    <w:rsid w:val="00DD15AA"/>
    <w:rsid w:val="00DD1633"/>
    <w:rsid w:val="00DD17A0"/>
    <w:rsid w:val="00DD1B97"/>
    <w:rsid w:val="00DD2831"/>
    <w:rsid w:val="00DD2A6D"/>
    <w:rsid w:val="00DD2E17"/>
    <w:rsid w:val="00DD42DE"/>
    <w:rsid w:val="00DD4309"/>
    <w:rsid w:val="00DD4344"/>
    <w:rsid w:val="00DD4357"/>
    <w:rsid w:val="00DD4DDD"/>
    <w:rsid w:val="00DD573B"/>
    <w:rsid w:val="00DD576B"/>
    <w:rsid w:val="00DD57E7"/>
    <w:rsid w:val="00DD5A1E"/>
    <w:rsid w:val="00DD5B8C"/>
    <w:rsid w:val="00DD5DFA"/>
    <w:rsid w:val="00DD5E91"/>
    <w:rsid w:val="00DD6CE2"/>
    <w:rsid w:val="00DD720D"/>
    <w:rsid w:val="00DD7E04"/>
    <w:rsid w:val="00DE0229"/>
    <w:rsid w:val="00DE0359"/>
    <w:rsid w:val="00DE04E0"/>
    <w:rsid w:val="00DE12F1"/>
    <w:rsid w:val="00DE1A9D"/>
    <w:rsid w:val="00DE1CB1"/>
    <w:rsid w:val="00DE2073"/>
    <w:rsid w:val="00DE2F1B"/>
    <w:rsid w:val="00DE30AC"/>
    <w:rsid w:val="00DE38D1"/>
    <w:rsid w:val="00DE4106"/>
    <w:rsid w:val="00DE466B"/>
    <w:rsid w:val="00DE48F4"/>
    <w:rsid w:val="00DE4F03"/>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5A8"/>
    <w:rsid w:val="00DF3798"/>
    <w:rsid w:val="00DF4FF1"/>
    <w:rsid w:val="00DF52BA"/>
    <w:rsid w:val="00DF56A3"/>
    <w:rsid w:val="00DF5AB9"/>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5FE0"/>
    <w:rsid w:val="00E1720B"/>
    <w:rsid w:val="00E174DC"/>
    <w:rsid w:val="00E203DE"/>
    <w:rsid w:val="00E20CE7"/>
    <w:rsid w:val="00E217B1"/>
    <w:rsid w:val="00E21E1C"/>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82E"/>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AAB"/>
    <w:rsid w:val="00E45A2C"/>
    <w:rsid w:val="00E46A6B"/>
    <w:rsid w:val="00E46A9C"/>
    <w:rsid w:val="00E47DB1"/>
    <w:rsid w:val="00E503A2"/>
    <w:rsid w:val="00E50BDD"/>
    <w:rsid w:val="00E510CF"/>
    <w:rsid w:val="00E513D7"/>
    <w:rsid w:val="00E519FE"/>
    <w:rsid w:val="00E5206C"/>
    <w:rsid w:val="00E52AAB"/>
    <w:rsid w:val="00E5448E"/>
    <w:rsid w:val="00E545D7"/>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03D"/>
    <w:rsid w:val="00E6514D"/>
    <w:rsid w:val="00E65161"/>
    <w:rsid w:val="00E652C9"/>
    <w:rsid w:val="00E6593B"/>
    <w:rsid w:val="00E65D74"/>
    <w:rsid w:val="00E66E11"/>
    <w:rsid w:val="00E672C6"/>
    <w:rsid w:val="00E70192"/>
    <w:rsid w:val="00E70C55"/>
    <w:rsid w:val="00E70E34"/>
    <w:rsid w:val="00E7163B"/>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0D0"/>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865"/>
    <w:rsid w:val="00E97DC6"/>
    <w:rsid w:val="00E97F7A"/>
    <w:rsid w:val="00EA0010"/>
    <w:rsid w:val="00EA0143"/>
    <w:rsid w:val="00EA089B"/>
    <w:rsid w:val="00EA1318"/>
    <w:rsid w:val="00EA1ACC"/>
    <w:rsid w:val="00EA2E21"/>
    <w:rsid w:val="00EA2EAA"/>
    <w:rsid w:val="00EA380C"/>
    <w:rsid w:val="00EA4E88"/>
    <w:rsid w:val="00EA613D"/>
    <w:rsid w:val="00EA6281"/>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981"/>
    <w:rsid w:val="00EC1E8A"/>
    <w:rsid w:val="00EC1F1F"/>
    <w:rsid w:val="00EC328C"/>
    <w:rsid w:val="00EC32F5"/>
    <w:rsid w:val="00EC3852"/>
    <w:rsid w:val="00EC4528"/>
    <w:rsid w:val="00EC4D3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6C3"/>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BA2"/>
    <w:rsid w:val="00EF611C"/>
    <w:rsid w:val="00EF625F"/>
    <w:rsid w:val="00EF62C0"/>
    <w:rsid w:val="00EF6D5A"/>
    <w:rsid w:val="00EF71E6"/>
    <w:rsid w:val="00F0058A"/>
    <w:rsid w:val="00F00630"/>
    <w:rsid w:val="00F00922"/>
    <w:rsid w:val="00F00924"/>
    <w:rsid w:val="00F01506"/>
    <w:rsid w:val="00F0187E"/>
    <w:rsid w:val="00F01BE6"/>
    <w:rsid w:val="00F01F75"/>
    <w:rsid w:val="00F0217A"/>
    <w:rsid w:val="00F02275"/>
    <w:rsid w:val="00F026D3"/>
    <w:rsid w:val="00F027E8"/>
    <w:rsid w:val="00F03395"/>
    <w:rsid w:val="00F034E6"/>
    <w:rsid w:val="00F03E4C"/>
    <w:rsid w:val="00F03F73"/>
    <w:rsid w:val="00F041FD"/>
    <w:rsid w:val="00F04D19"/>
    <w:rsid w:val="00F050A3"/>
    <w:rsid w:val="00F06340"/>
    <w:rsid w:val="00F0665D"/>
    <w:rsid w:val="00F06D42"/>
    <w:rsid w:val="00F07134"/>
    <w:rsid w:val="00F0724D"/>
    <w:rsid w:val="00F07378"/>
    <w:rsid w:val="00F07F19"/>
    <w:rsid w:val="00F07FFC"/>
    <w:rsid w:val="00F10B81"/>
    <w:rsid w:val="00F10BC9"/>
    <w:rsid w:val="00F113C9"/>
    <w:rsid w:val="00F11C01"/>
    <w:rsid w:val="00F11D80"/>
    <w:rsid w:val="00F13B0A"/>
    <w:rsid w:val="00F14692"/>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99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77C"/>
    <w:rsid w:val="00F2689C"/>
    <w:rsid w:val="00F27E44"/>
    <w:rsid w:val="00F30313"/>
    <w:rsid w:val="00F303BC"/>
    <w:rsid w:val="00F30472"/>
    <w:rsid w:val="00F31052"/>
    <w:rsid w:val="00F318A1"/>
    <w:rsid w:val="00F31CF5"/>
    <w:rsid w:val="00F3265C"/>
    <w:rsid w:val="00F32C4A"/>
    <w:rsid w:val="00F33262"/>
    <w:rsid w:val="00F3417C"/>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003"/>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BCC"/>
    <w:rsid w:val="00F51591"/>
    <w:rsid w:val="00F51A82"/>
    <w:rsid w:val="00F51B78"/>
    <w:rsid w:val="00F51BDD"/>
    <w:rsid w:val="00F52065"/>
    <w:rsid w:val="00F521CE"/>
    <w:rsid w:val="00F5253E"/>
    <w:rsid w:val="00F5254B"/>
    <w:rsid w:val="00F52CB7"/>
    <w:rsid w:val="00F53A44"/>
    <w:rsid w:val="00F54E5E"/>
    <w:rsid w:val="00F551DB"/>
    <w:rsid w:val="00F55810"/>
    <w:rsid w:val="00F559BE"/>
    <w:rsid w:val="00F5649C"/>
    <w:rsid w:val="00F56F7E"/>
    <w:rsid w:val="00F56FEF"/>
    <w:rsid w:val="00F57521"/>
    <w:rsid w:val="00F60938"/>
    <w:rsid w:val="00F60C7E"/>
    <w:rsid w:val="00F60E0A"/>
    <w:rsid w:val="00F61606"/>
    <w:rsid w:val="00F61918"/>
    <w:rsid w:val="00F62151"/>
    <w:rsid w:val="00F62CA8"/>
    <w:rsid w:val="00F62F92"/>
    <w:rsid w:val="00F630B4"/>
    <w:rsid w:val="00F635EF"/>
    <w:rsid w:val="00F636EE"/>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550"/>
    <w:rsid w:val="00F74103"/>
    <w:rsid w:val="00F7410A"/>
    <w:rsid w:val="00F745A4"/>
    <w:rsid w:val="00F74C0C"/>
    <w:rsid w:val="00F758E1"/>
    <w:rsid w:val="00F75BB5"/>
    <w:rsid w:val="00F75FD5"/>
    <w:rsid w:val="00F7604C"/>
    <w:rsid w:val="00F773A9"/>
    <w:rsid w:val="00F8056E"/>
    <w:rsid w:val="00F805B7"/>
    <w:rsid w:val="00F810C1"/>
    <w:rsid w:val="00F81623"/>
    <w:rsid w:val="00F818C2"/>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C1B"/>
    <w:rsid w:val="00F97A34"/>
    <w:rsid w:val="00F97E4A"/>
    <w:rsid w:val="00F97EA1"/>
    <w:rsid w:val="00FA003A"/>
    <w:rsid w:val="00FA05C8"/>
    <w:rsid w:val="00FA0678"/>
    <w:rsid w:val="00FA0DB6"/>
    <w:rsid w:val="00FA2091"/>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2E5"/>
    <w:rsid w:val="00FC4345"/>
    <w:rsid w:val="00FC444A"/>
    <w:rsid w:val="00FC453D"/>
    <w:rsid w:val="00FC4A89"/>
    <w:rsid w:val="00FC619B"/>
    <w:rsid w:val="00FC665F"/>
    <w:rsid w:val="00FC6C35"/>
    <w:rsid w:val="00FC6D59"/>
    <w:rsid w:val="00FC7561"/>
    <w:rsid w:val="00FC78F5"/>
    <w:rsid w:val="00FC7A1F"/>
    <w:rsid w:val="00FC7ACA"/>
    <w:rsid w:val="00FC7AD2"/>
    <w:rsid w:val="00FD10B3"/>
    <w:rsid w:val="00FD11C3"/>
    <w:rsid w:val="00FD154E"/>
    <w:rsid w:val="00FD20BE"/>
    <w:rsid w:val="00FD24D7"/>
    <w:rsid w:val="00FD29CE"/>
    <w:rsid w:val="00FD3AE2"/>
    <w:rsid w:val="00FD3E41"/>
    <w:rsid w:val="00FD3EFA"/>
    <w:rsid w:val="00FD54A8"/>
    <w:rsid w:val="00FD5AE4"/>
    <w:rsid w:val="00FD5F25"/>
    <w:rsid w:val="00FD60BE"/>
    <w:rsid w:val="00FD62C2"/>
    <w:rsid w:val="00FD6894"/>
    <w:rsid w:val="00FD6AF0"/>
    <w:rsid w:val="00FD6F11"/>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C4C"/>
    <w:rsid w:val="00FE4F80"/>
    <w:rsid w:val="00FE570E"/>
    <w:rsid w:val="00FE6870"/>
    <w:rsid w:val="00FE6D11"/>
    <w:rsid w:val="00FE713E"/>
    <w:rsid w:val="00FE735F"/>
    <w:rsid w:val="00FE7877"/>
    <w:rsid w:val="00FE7DD1"/>
    <w:rsid w:val="00FF0B4F"/>
    <w:rsid w:val="00FF0F58"/>
    <w:rsid w:val="00FF159B"/>
    <w:rsid w:val="00FF183C"/>
    <w:rsid w:val="00FF1A06"/>
    <w:rsid w:val="00FF1AD3"/>
    <w:rsid w:val="00FF1B46"/>
    <w:rsid w:val="00FF219D"/>
    <w:rsid w:val="00FF2A7B"/>
    <w:rsid w:val="00FF3D2B"/>
    <w:rsid w:val="00FF42C9"/>
    <w:rsid w:val="00FF49B4"/>
    <w:rsid w:val="00FF49F4"/>
    <w:rsid w:val="00FF5C6A"/>
    <w:rsid w:val="00FF651D"/>
    <w:rsid w:val="00FF6843"/>
    <w:rsid w:val="00FF6C25"/>
    <w:rsid w:val="00FF7BD2"/>
    <w:rsid w:val="010158D6"/>
    <w:rsid w:val="010651D9"/>
    <w:rsid w:val="011662CC"/>
    <w:rsid w:val="011F6449"/>
    <w:rsid w:val="012313A8"/>
    <w:rsid w:val="01236AFB"/>
    <w:rsid w:val="01271E0A"/>
    <w:rsid w:val="013F5477"/>
    <w:rsid w:val="015E3B2D"/>
    <w:rsid w:val="017A5090"/>
    <w:rsid w:val="01845256"/>
    <w:rsid w:val="018A2693"/>
    <w:rsid w:val="019F7441"/>
    <w:rsid w:val="01AE15BA"/>
    <w:rsid w:val="01B37585"/>
    <w:rsid w:val="01D55165"/>
    <w:rsid w:val="01DF6BF8"/>
    <w:rsid w:val="01E71852"/>
    <w:rsid w:val="01EC2C57"/>
    <w:rsid w:val="02262AB8"/>
    <w:rsid w:val="02405F8A"/>
    <w:rsid w:val="02594515"/>
    <w:rsid w:val="025A26FC"/>
    <w:rsid w:val="02604264"/>
    <w:rsid w:val="02677347"/>
    <w:rsid w:val="026B2E25"/>
    <w:rsid w:val="0271577C"/>
    <w:rsid w:val="027658DD"/>
    <w:rsid w:val="0279309D"/>
    <w:rsid w:val="02824D4D"/>
    <w:rsid w:val="02987B74"/>
    <w:rsid w:val="029B2D72"/>
    <w:rsid w:val="02BB5E18"/>
    <w:rsid w:val="02CD4DC8"/>
    <w:rsid w:val="02D23086"/>
    <w:rsid w:val="02D90BFD"/>
    <w:rsid w:val="02DC4B10"/>
    <w:rsid w:val="02DD76CE"/>
    <w:rsid w:val="02DE5ECF"/>
    <w:rsid w:val="02DF389F"/>
    <w:rsid w:val="02F36323"/>
    <w:rsid w:val="02F5619C"/>
    <w:rsid w:val="03192A63"/>
    <w:rsid w:val="0326446A"/>
    <w:rsid w:val="032D5555"/>
    <w:rsid w:val="033301DC"/>
    <w:rsid w:val="03404493"/>
    <w:rsid w:val="034B2E38"/>
    <w:rsid w:val="03527DB5"/>
    <w:rsid w:val="03564A89"/>
    <w:rsid w:val="036634D2"/>
    <w:rsid w:val="03885263"/>
    <w:rsid w:val="03A574F2"/>
    <w:rsid w:val="03C20F77"/>
    <w:rsid w:val="03C70711"/>
    <w:rsid w:val="03C75283"/>
    <w:rsid w:val="03DD35E4"/>
    <w:rsid w:val="03E91EB6"/>
    <w:rsid w:val="03FC5F2A"/>
    <w:rsid w:val="04076900"/>
    <w:rsid w:val="041A5A3B"/>
    <w:rsid w:val="042311BA"/>
    <w:rsid w:val="042B157A"/>
    <w:rsid w:val="04415108"/>
    <w:rsid w:val="04602319"/>
    <w:rsid w:val="048F3DCE"/>
    <w:rsid w:val="048F763B"/>
    <w:rsid w:val="0492128F"/>
    <w:rsid w:val="049F330E"/>
    <w:rsid w:val="04AA775C"/>
    <w:rsid w:val="04AF1889"/>
    <w:rsid w:val="04B3263F"/>
    <w:rsid w:val="04BA4312"/>
    <w:rsid w:val="04C34E7B"/>
    <w:rsid w:val="04CB1885"/>
    <w:rsid w:val="04E76BC6"/>
    <w:rsid w:val="04F66F48"/>
    <w:rsid w:val="050464C8"/>
    <w:rsid w:val="05251151"/>
    <w:rsid w:val="05251E14"/>
    <w:rsid w:val="055D1DD7"/>
    <w:rsid w:val="056027A2"/>
    <w:rsid w:val="05721F43"/>
    <w:rsid w:val="05A16594"/>
    <w:rsid w:val="05A7762D"/>
    <w:rsid w:val="05B13426"/>
    <w:rsid w:val="05DA66AF"/>
    <w:rsid w:val="05F41C2F"/>
    <w:rsid w:val="06007F0A"/>
    <w:rsid w:val="060E5941"/>
    <w:rsid w:val="06110FAF"/>
    <w:rsid w:val="061D7032"/>
    <w:rsid w:val="061E64BE"/>
    <w:rsid w:val="0628422C"/>
    <w:rsid w:val="062D516C"/>
    <w:rsid w:val="06493CA7"/>
    <w:rsid w:val="065A6178"/>
    <w:rsid w:val="066761DB"/>
    <w:rsid w:val="066F1CF3"/>
    <w:rsid w:val="067B1C86"/>
    <w:rsid w:val="067E5607"/>
    <w:rsid w:val="067F1E48"/>
    <w:rsid w:val="06930BB8"/>
    <w:rsid w:val="069F0814"/>
    <w:rsid w:val="06C278B5"/>
    <w:rsid w:val="070F7789"/>
    <w:rsid w:val="07245D42"/>
    <w:rsid w:val="07264C62"/>
    <w:rsid w:val="072B4B05"/>
    <w:rsid w:val="076170CE"/>
    <w:rsid w:val="0779354C"/>
    <w:rsid w:val="0790350F"/>
    <w:rsid w:val="07B61E00"/>
    <w:rsid w:val="07BA5875"/>
    <w:rsid w:val="07FE23B9"/>
    <w:rsid w:val="080545BE"/>
    <w:rsid w:val="08061376"/>
    <w:rsid w:val="080C528C"/>
    <w:rsid w:val="08382DBB"/>
    <w:rsid w:val="0845247E"/>
    <w:rsid w:val="08452D77"/>
    <w:rsid w:val="086401F8"/>
    <w:rsid w:val="0874091F"/>
    <w:rsid w:val="08751CAA"/>
    <w:rsid w:val="087E4C40"/>
    <w:rsid w:val="0888779C"/>
    <w:rsid w:val="08A2174C"/>
    <w:rsid w:val="08A80E6D"/>
    <w:rsid w:val="08AB6853"/>
    <w:rsid w:val="08D37B58"/>
    <w:rsid w:val="08D66AD6"/>
    <w:rsid w:val="08DA33A3"/>
    <w:rsid w:val="08E40988"/>
    <w:rsid w:val="08E65ADD"/>
    <w:rsid w:val="08E80F13"/>
    <w:rsid w:val="08F47C1C"/>
    <w:rsid w:val="09335624"/>
    <w:rsid w:val="0944690F"/>
    <w:rsid w:val="09535675"/>
    <w:rsid w:val="095F057D"/>
    <w:rsid w:val="09642282"/>
    <w:rsid w:val="09733572"/>
    <w:rsid w:val="09737F58"/>
    <w:rsid w:val="09772C16"/>
    <w:rsid w:val="09787726"/>
    <w:rsid w:val="098353B5"/>
    <w:rsid w:val="099B67B3"/>
    <w:rsid w:val="09A908B8"/>
    <w:rsid w:val="09A92330"/>
    <w:rsid w:val="09AF7ED3"/>
    <w:rsid w:val="09B06B87"/>
    <w:rsid w:val="09B2685E"/>
    <w:rsid w:val="09BE0E50"/>
    <w:rsid w:val="09C13146"/>
    <w:rsid w:val="09C90142"/>
    <w:rsid w:val="09D247A9"/>
    <w:rsid w:val="09DC47EA"/>
    <w:rsid w:val="09E04166"/>
    <w:rsid w:val="09EA1AEE"/>
    <w:rsid w:val="09FE6D16"/>
    <w:rsid w:val="0A1C0718"/>
    <w:rsid w:val="0A1C277D"/>
    <w:rsid w:val="0A2851B6"/>
    <w:rsid w:val="0A2B4970"/>
    <w:rsid w:val="0A3E7710"/>
    <w:rsid w:val="0A40746F"/>
    <w:rsid w:val="0A4129E0"/>
    <w:rsid w:val="0A432ABB"/>
    <w:rsid w:val="0A4B312D"/>
    <w:rsid w:val="0A522000"/>
    <w:rsid w:val="0A563A66"/>
    <w:rsid w:val="0A5B7E63"/>
    <w:rsid w:val="0A6633BE"/>
    <w:rsid w:val="0A67494D"/>
    <w:rsid w:val="0A6752D1"/>
    <w:rsid w:val="0A960AF7"/>
    <w:rsid w:val="0AA374A5"/>
    <w:rsid w:val="0AA87736"/>
    <w:rsid w:val="0AAB7649"/>
    <w:rsid w:val="0AAC0660"/>
    <w:rsid w:val="0ABC5606"/>
    <w:rsid w:val="0AC11B84"/>
    <w:rsid w:val="0AC41328"/>
    <w:rsid w:val="0ACE6829"/>
    <w:rsid w:val="0ADD6AE9"/>
    <w:rsid w:val="0AFA761E"/>
    <w:rsid w:val="0AFC1873"/>
    <w:rsid w:val="0B0C57AA"/>
    <w:rsid w:val="0B135418"/>
    <w:rsid w:val="0B30404E"/>
    <w:rsid w:val="0B3D458E"/>
    <w:rsid w:val="0B412664"/>
    <w:rsid w:val="0B48567B"/>
    <w:rsid w:val="0B4C6C14"/>
    <w:rsid w:val="0B631A88"/>
    <w:rsid w:val="0B683D45"/>
    <w:rsid w:val="0B7F3F11"/>
    <w:rsid w:val="0B884417"/>
    <w:rsid w:val="0BAF70CA"/>
    <w:rsid w:val="0BBE5231"/>
    <w:rsid w:val="0BC65BEC"/>
    <w:rsid w:val="0BCD088E"/>
    <w:rsid w:val="0BCE0120"/>
    <w:rsid w:val="0BDD0E14"/>
    <w:rsid w:val="0BE27D20"/>
    <w:rsid w:val="0BF6188C"/>
    <w:rsid w:val="0BF71DAF"/>
    <w:rsid w:val="0BF73C91"/>
    <w:rsid w:val="0C0733B6"/>
    <w:rsid w:val="0C1666D9"/>
    <w:rsid w:val="0C170175"/>
    <w:rsid w:val="0C197F77"/>
    <w:rsid w:val="0C4900DF"/>
    <w:rsid w:val="0C571A41"/>
    <w:rsid w:val="0C5C1171"/>
    <w:rsid w:val="0C5E1CBC"/>
    <w:rsid w:val="0C615B50"/>
    <w:rsid w:val="0C812B51"/>
    <w:rsid w:val="0C8445DA"/>
    <w:rsid w:val="0C87121B"/>
    <w:rsid w:val="0C88523B"/>
    <w:rsid w:val="0CAF4438"/>
    <w:rsid w:val="0CC007F7"/>
    <w:rsid w:val="0CD02D66"/>
    <w:rsid w:val="0CE50631"/>
    <w:rsid w:val="0CF40175"/>
    <w:rsid w:val="0CFE707A"/>
    <w:rsid w:val="0D017656"/>
    <w:rsid w:val="0D063BDA"/>
    <w:rsid w:val="0D08375F"/>
    <w:rsid w:val="0D184CFB"/>
    <w:rsid w:val="0D1878DF"/>
    <w:rsid w:val="0D2E0CC5"/>
    <w:rsid w:val="0D363981"/>
    <w:rsid w:val="0D4A7419"/>
    <w:rsid w:val="0D5258E4"/>
    <w:rsid w:val="0D6E147C"/>
    <w:rsid w:val="0D724973"/>
    <w:rsid w:val="0D827401"/>
    <w:rsid w:val="0D84094E"/>
    <w:rsid w:val="0D8A00E9"/>
    <w:rsid w:val="0D8D589E"/>
    <w:rsid w:val="0D985689"/>
    <w:rsid w:val="0DA01C73"/>
    <w:rsid w:val="0DBA45FA"/>
    <w:rsid w:val="0DC41553"/>
    <w:rsid w:val="0DD31A38"/>
    <w:rsid w:val="0DD57ECE"/>
    <w:rsid w:val="0DD63300"/>
    <w:rsid w:val="0DED346A"/>
    <w:rsid w:val="0DEF573D"/>
    <w:rsid w:val="0DF50604"/>
    <w:rsid w:val="0DF702FE"/>
    <w:rsid w:val="0E060E51"/>
    <w:rsid w:val="0E0802A4"/>
    <w:rsid w:val="0E19600D"/>
    <w:rsid w:val="0E225AB9"/>
    <w:rsid w:val="0E2A7675"/>
    <w:rsid w:val="0E2B3FEA"/>
    <w:rsid w:val="0E4673D2"/>
    <w:rsid w:val="0E5604B2"/>
    <w:rsid w:val="0E5E6115"/>
    <w:rsid w:val="0E6D5D79"/>
    <w:rsid w:val="0E75310C"/>
    <w:rsid w:val="0E7E325D"/>
    <w:rsid w:val="0E855450"/>
    <w:rsid w:val="0E87566C"/>
    <w:rsid w:val="0E8C2C83"/>
    <w:rsid w:val="0E921AE2"/>
    <w:rsid w:val="0E942262"/>
    <w:rsid w:val="0E9D0089"/>
    <w:rsid w:val="0EA0228A"/>
    <w:rsid w:val="0EA31D7A"/>
    <w:rsid w:val="0EAB4CCC"/>
    <w:rsid w:val="0EB803EE"/>
    <w:rsid w:val="0ECF42AE"/>
    <w:rsid w:val="0EE06B2A"/>
    <w:rsid w:val="0EE67D92"/>
    <w:rsid w:val="0EF17760"/>
    <w:rsid w:val="0EF44384"/>
    <w:rsid w:val="0EF94D4B"/>
    <w:rsid w:val="0F0179D2"/>
    <w:rsid w:val="0F101073"/>
    <w:rsid w:val="0F134CC3"/>
    <w:rsid w:val="0F183BEF"/>
    <w:rsid w:val="0F20024D"/>
    <w:rsid w:val="0F2C7FC2"/>
    <w:rsid w:val="0F344D93"/>
    <w:rsid w:val="0F4958DC"/>
    <w:rsid w:val="0F4E001C"/>
    <w:rsid w:val="0F515DF7"/>
    <w:rsid w:val="0F596BA8"/>
    <w:rsid w:val="0F5D63CD"/>
    <w:rsid w:val="0F61429E"/>
    <w:rsid w:val="0F6248D2"/>
    <w:rsid w:val="0F672818"/>
    <w:rsid w:val="0F693536"/>
    <w:rsid w:val="0F7B0511"/>
    <w:rsid w:val="0F7B76D9"/>
    <w:rsid w:val="0F7C354D"/>
    <w:rsid w:val="0F7F28E8"/>
    <w:rsid w:val="0F816ACD"/>
    <w:rsid w:val="0F8E47D8"/>
    <w:rsid w:val="0F9832DB"/>
    <w:rsid w:val="0FB0333E"/>
    <w:rsid w:val="0FBF2BE4"/>
    <w:rsid w:val="0FBF3FD2"/>
    <w:rsid w:val="0FBF7FF3"/>
    <w:rsid w:val="0FC06194"/>
    <w:rsid w:val="0FEB176D"/>
    <w:rsid w:val="0FF271F9"/>
    <w:rsid w:val="10006D15"/>
    <w:rsid w:val="10182A25"/>
    <w:rsid w:val="103678F2"/>
    <w:rsid w:val="10563D68"/>
    <w:rsid w:val="10646583"/>
    <w:rsid w:val="1070041D"/>
    <w:rsid w:val="10797237"/>
    <w:rsid w:val="107D4B15"/>
    <w:rsid w:val="108A3C80"/>
    <w:rsid w:val="108F0808"/>
    <w:rsid w:val="10A17219"/>
    <w:rsid w:val="10B262A5"/>
    <w:rsid w:val="10BB15FD"/>
    <w:rsid w:val="10C26171"/>
    <w:rsid w:val="10D678B9"/>
    <w:rsid w:val="10EF5B09"/>
    <w:rsid w:val="10F33360"/>
    <w:rsid w:val="10FC16EA"/>
    <w:rsid w:val="10FC5772"/>
    <w:rsid w:val="11034D52"/>
    <w:rsid w:val="110A4333"/>
    <w:rsid w:val="110F1D40"/>
    <w:rsid w:val="111B365C"/>
    <w:rsid w:val="111B6D01"/>
    <w:rsid w:val="11266F33"/>
    <w:rsid w:val="11695CA6"/>
    <w:rsid w:val="118963A1"/>
    <w:rsid w:val="118A1374"/>
    <w:rsid w:val="118F08FD"/>
    <w:rsid w:val="11916802"/>
    <w:rsid w:val="119B31DD"/>
    <w:rsid w:val="11C6522A"/>
    <w:rsid w:val="11E104CC"/>
    <w:rsid w:val="11E20309"/>
    <w:rsid w:val="120B3EBE"/>
    <w:rsid w:val="12135469"/>
    <w:rsid w:val="12255233"/>
    <w:rsid w:val="12347C54"/>
    <w:rsid w:val="124436F3"/>
    <w:rsid w:val="12530213"/>
    <w:rsid w:val="12594386"/>
    <w:rsid w:val="1269011E"/>
    <w:rsid w:val="126B2BAF"/>
    <w:rsid w:val="127723A9"/>
    <w:rsid w:val="127B54E8"/>
    <w:rsid w:val="12862074"/>
    <w:rsid w:val="12883966"/>
    <w:rsid w:val="12933991"/>
    <w:rsid w:val="12950962"/>
    <w:rsid w:val="129E45B4"/>
    <w:rsid w:val="12A14256"/>
    <w:rsid w:val="12B967B5"/>
    <w:rsid w:val="12D81596"/>
    <w:rsid w:val="12E55CFE"/>
    <w:rsid w:val="12EC0194"/>
    <w:rsid w:val="13072A44"/>
    <w:rsid w:val="131A5CA6"/>
    <w:rsid w:val="131F1BB3"/>
    <w:rsid w:val="132B66B5"/>
    <w:rsid w:val="132D0739"/>
    <w:rsid w:val="133B576B"/>
    <w:rsid w:val="135B4E34"/>
    <w:rsid w:val="135F4BE2"/>
    <w:rsid w:val="13685340"/>
    <w:rsid w:val="137957A2"/>
    <w:rsid w:val="13853043"/>
    <w:rsid w:val="13925EA9"/>
    <w:rsid w:val="13944A2C"/>
    <w:rsid w:val="139B1A0A"/>
    <w:rsid w:val="139D25C7"/>
    <w:rsid w:val="13A20852"/>
    <w:rsid w:val="13BE1388"/>
    <w:rsid w:val="13BF3CE4"/>
    <w:rsid w:val="14037739"/>
    <w:rsid w:val="14067033"/>
    <w:rsid w:val="141008D8"/>
    <w:rsid w:val="14125FE6"/>
    <w:rsid w:val="1432418F"/>
    <w:rsid w:val="145511F1"/>
    <w:rsid w:val="14565544"/>
    <w:rsid w:val="145A197A"/>
    <w:rsid w:val="145C6C53"/>
    <w:rsid w:val="146705D2"/>
    <w:rsid w:val="146B50E8"/>
    <w:rsid w:val="146D271E"/>
    <w:rsid w:val="14740EE8"/>
    <w:rsid w:val="1494463F"/>
    <w:rsid w:val="14982588"/>
    <w:rsid w:val="149A5AD9"/>
    <w:rsid w:val="14A7619D"/>
    <w:rsid w:val="14C81A92"/>
    <w:rsid w:val="14E81904"/>
    <w:rsid w:val="14ED3819"/>
    <w:rsid w:val="150536C3"/>
    <w:rsid w:val="15064E11"/>
    <w:rsid w:val="150C1963"/>
    <w:rsid w:val="150E6B56"/>
    <w:rsid w:val="151447A0"/>
    <w:rsid w:val="151A4B37"/>
    <w:rsid w:val="152F25BA"/>
    <w:rsid w:val="15421AFA"/>
    <w:rsid w:val="154A6454"/>
    <w:rsid w:val="154D3803"/>
    <w:rsid w:val="15762120"/>
    <w:rsid w:val="158741A4"/>
    <w:rsid w:val="158B33E1"/>
    <w:rsid w:val="1592490D"/>
    <w:rsid w:val="159C67C1"/>
    <w:rsid w:val="15B82DDC"/>
    <w:rsid w:val="15C216B2"/>
    <w:rsid w:val="15C7584D"/>
    <w:rsid w:val="15CA15FD"/>
    <w:rsid w:val="15D1541F"/>
    <w:rsid w:val="15EE2139"/>
    <w:rsid w:val="16491459"/>
    <w:rsid w:val="164B6F7F"/>
    <w:rsid w:val="16602267"/>
    <w:rsid w:val="16606BAD"/>
    <w:rsid w:val="166938A9"/>
    <w:rsid w:val="16776354"/>
    <w:rsid w:val="167F0B3A"/>
    <w:rsid w:val="169E2A55"/>
    <w:rsid w:val="169E79F7"/>
    <w:rsid w:val="169F2025"/>
    <w:rsid w:val="16A8729C"/>
    <w:rsid w:val="16B33777"/>
    <w:rsid w:val="16BC70A7"/>
    <w:rsid w:val="16C6339E"/>
    <w:rsid w:val="16DB76B1"/>
    <w:rsid w:val="16E41209"/>
    <w:rsid w:val="17012110"/>
    <w:rsid w:val="17065D41"/>
    <w:rsid w:val="17243C30"/>
    <w:rsid w:val="172C16AC"/>
    <w:rsid w:val="172F2D79"/>
    <w:rsid w:val="173C05FF"/>
    <w:rsid w:val="17557BEF"/>
    <w:rsid w:val="1767428D"/>
    <w:rsid w:val="176C1D45"/>
    <w:rsid w:val="17966920"/>
    <w:rsid w:val="17CA481C"/>
    <w:rsid w:val="17D349C1"/>
    <w:rsid w:val="18040CDB"/>
    <w:rsid w:val="1821268E"/>
    <w:rsid w:val="182C2DE0"/>
    <w:rsid w:val="1830729E"/>
    <w:rsid w:val="1864257A"/>
    <w:rsid w:val="1870062C"/>
    <w:rsid w:val="18707171"/>
    <w:rsid w:val="187C5B16"/>
    <w:rsid w:val="187D53EA"/>
    <w:rsid w:val="18817102"/>
    <w:rsid w:val="18830A15"/>
    <w:rsid w:val="18852B28"/>
    <w:rsid w:val="188A2917"/>
    <w:rsid w:val="188B5321"/>
    <w:rsid w:val="189310B2"/>
    <w:rsid w:val="189A022E"/>
    <w:rsid w:val="18AE1328"/>
    <w:rsid w:val="18BC23B6"/>
    <w:rsid w:val="18D07D4F"/>
    <w:rsid w:val="18E304B2"/>
    <w:rsid w:val="18EC5CFD"/>
    <w:rsid w:val="195902ED"/>
    <w:rsid w:val="197607B7"/>
    <w:rsid w:val="19793B2B"/>
    <w:rsid w:val="197E65D9"/>
    <w:rsid w:val="19907918"/>
    <w:rsid w:val="19932372"/>
    <w:rsid w:val="19A20DD5"/>
    <w:rsid w:val="19AE03F1"/>
    <w:rsid w:val="19F27963"/>
    <w:rsid w:val="1A033733"/>
    <w:rsid w:val="1A071A03"/>
    <w:rsid w:val="1A1F16AE"/>
    <w:rsid w:val="1A2C6C3F"/>
    <w:rsid w:val="1A304265"/>
    <w:rsid w:val="1A3B5C77"/>
    <w:rsid w:val="1A450189"/>
    <w:rsid w:val="1A6C5716"/>
    <w:rsid w:val="1A984BAD"/>
    <w:rsid w:val="1AA43102"/>
    <w:rsid w:val="1AB8220E"/>
    <w:rsid w:val="1AB85CB8"/>
    <w:rsid w:val="1ABE0444"/>
    <w:rsid w:val="1AE4166C"/>
    <w:rsid w:val="1AE85900"/>
    <w:rsid w:val="1AF06CFB"/>
    <w:rsid w:val="1AF11B8D"/>
    <w:rsid w:val="1AFB2B95"/>
    <w:rsid w:val="1B11359C"/>
    <w:rsid w:val="1B1232D1"/>
    <w:rsid w:val="1B1D177B"/>
    <w:rsid w:val="1B2A271F"/>
    <w:rsid w:val="1B3D21A7"/>
    <w:rsid w:val="1B460DC4"/>
    <w:rsid w:val="1B4F3923"/>
    <w:rsid w:val="1B530544"/>
    <w:rsid w:val="1B713184"/>
    <w:rsid w:val="1B7F5EC6"/>
    <w:rsid w:val="1B86231B"/>
    <w:rsid w:val="1B91311E"/>
    <w:rsid w:val="1BA209CF"/>
    <w:rsid w:val="1BA36F23"/>
    <w:rsid w:val="1BB4777D"/>
    <w:rsid w:val="1BBE4697"/>
    <w:rsid w:val="1BD45161"/>
    <w:rsid w:val="1BD75AB8"/>
    <w:rsid w:val="1BDA1D9C"/>
    <w:rsid w:val="1BDB7AAB"/>
    <w:rsid w:val="1BF1134C"/>
    <w:rsid w:val="1C0459C2"/>
    <w:rsid w:val="1C1B3B4A"/>
    <w:rsid w:val="1C56667E"/>
    <w:rsid w:val="1C5823F6"/>
    <w:rsid w:val="1C5F7AD6"/>
    <w:rsid w:val="1C6A22A8"/>
    <w:rsid w:val="1C745C7A"/>
    <w:rsid w:val="1C88086E"/>
    <w:rsid w:val="1C9C00FE"/>
    <w:rsid w:val="1CA07A92"/>
    <w:rsid w:val="1CAC707E"/>
    <w:rsid w:val="1CD86393"/>
    <w:rsid w:val="1CD96F21"/>
    <w:rsid w:val="1CE04199"/>
    <w:rsid w:val="1CFB5A88"/>
    <w:rsid w:val="1D0350C5"/>
    <w:rsid w:val="1D1C1676"/>
    <w:rsid w:val="1D2579B7"/>
    <w:rsid w:val="1D266CE1"/>
    <w:rsid w:val="1D3963AF"/>
    <w:rsid w:val="1D3D6A4B"/>
    <w:rsid w:val="1D436C02"/>
    <w:rsid w:val="1D6A673C"/>
    <w:rsid w:val="1D70676E"/>
    <w:rsid w:val="1D783852"/>
    <w:rsid w:val="1D792624"/>
    <w:rsid w:val="1D865A27"/>
    <w:rsid w:val="1D882867"/>
    <w:rsid w:val="1D8D4321"/>
    <w:rsid w:val="1D902354"/>
    <w:rsid w:val="1D9247AE"/>
    <w:rsid w:val="1D9C27B6"/>
    <w:rsid w:val="1DB567EC"/>
    <w:rsid w:val="1DC553F5"/>
    <w:rsid w:val="1DD44E99"/>
    <w:rsid w:val="1DEF4894"/>
    <w:rsid w:val="1DF51A98"/>
    <w:rsid w:val="1DF93765"/>
    <w:rsid w:val="1E140328"/>
    <w:rsid w:val="1E3D060F"/>
    <w:rsid w:val="1E3D5921"/>
    <w:rsid w:val="1E3E3281"/>
    <w:rsid w:val="1E3F7D2E"/>
    <w:rsid w:val="1E4134E4"/>
    <w:rsid w:val="1E5062B3"/>
    <w:rsid w:val="1E523514"/>
    <w:rsid w:val="1E5C6A55"/>
    <w:rsid w:val="1E635082"/>
    <w:rsid w:val="1E714A66"/>
    <w:rsid w:val="1E802593"/>
    <w:rsid w:val="1EA703CC"/>
    <w:rsid w:val="1EA77665"/>
    <w:rsid w:val="1EB7330C"/>
    <w:rsid w:val="1EC630FC"/>
    <w:rsid w:val="1EC728D8"/>
    <w:rsid w:val="1ECD1D9F"/>
    <w:rsid w:val="1EDC4C44"/>
    <w:rsid w:val="1F093E7B"/>
    <w:rsid w:val="1F0A0FF3"/>
    <w:rsid w:val="1F1A7E37"/>
    <w:rsid w:val="1F5771FF"/>
    <w:rsid w:val="1F605587"/>
    <w:rsid w:val="1F6317DE"/>
    <w:rsid w:val="1F666CD2"/>
    <w:rsid w:val="1F7D3F22"/>
    <w:rsid w:val="1FA31BDA"/>
    <w:rsid w:val="1FB160A1"/>
    <w:rsid w:val="1FCD4EA9"/>
    <w:rsid w:val="1FDA75E3"/>
    <w:rsid w:val="1FE868A9"/>
    <w:rsid w:val="1FEA15B7"/>
    <w:rsid w:val="1FEE0565"/>
    <w:rsid w:val="200044F4"/>
    <w:rsid w:val="2000702C"/>
    <w:rsid w:val="20034907"/>
    <w:rsid w:val="200563F1"/>
    <w:rsid w:val="20173E4B"/>
    <w:rsid w:val="202866BE"/>
    <w:rsid w:val="204E48BC"/>
    <w:rsid w:val="20561A3E"/>
    <w:rsid w:val="20575593"/>
    <w:rsid w:val="206D262D"/>
    <w:rsid w:val="207D68CF"/>
    <w:rsid w:val="208018C7"/>
    <w:rsid w:val="208921B3"/>
    <w:rsid w:val="2090422C"/>
    <w:rsid w:val="20921109"/>
    <w:rsid w:val="20973DEB"/>
    <w:rsid w:val="20B0621D"/>
    <w:rsid w:val="20B26522"/>
    <w:rsid w:val="20B44310"/>
    <w:rsid w:val="20D12777"/>
    <w:rsid w:val="20D44015"/>
    <w:rsid w:val="211116EB"/>
    <w:rsid w:val="21470E6E"/>
    <w:rsid w:val="216133FC"/>
    <w:rsid w:val="21657A51"/>
    <w:rsid w:val="21A5330F"/>
    <w:rsid w:val="21B03E34"/>
    <w:rsid w:val="21D56769"/>
    <w:rsid w:val="21DD26D6"/>
    <w:rsid w:val="21E40288"/>
    <w:rsid w:val="21E421B3"/>
    <w:rsid w:val="21E52EF3"/>
    <w:rsid w:val="21EC16FC"/>
    <w:rsid w:val="21EC5DE9"/>
    <w:rsid w:val="21F32E80"/>
    <w:rsid w:val="21FB5D7B"/>
    <w:rsid w:val="220B1C3D"/>
    <w:rsid w:val="22141111"/>
    <w:rsid w:val="22163247"/>
    <w:rsid w:val="221D1D20"/>
    <w:rsid w:val="22334A87"/>
    <w:rsid w:val="223A4F4A"/>
    <w:rsid w:val="22453DC6"/>
    <w:rsid w:val="2265586D"/>
    <w:rsid w:val="22993768"/>
    <w:rsid w:val="22A10DA1"/>
    <w:rsid w:val="22AA4F68"/>
    <w:rsid w:val="22BA5BB9"/>
    <w:rsid w:val="22BB548D"/>
    <w:rsid w:val="22BB723C"/>
    <w:rsid w:val="22BE6801"/>
    <w:rsid w:val="22C41BDF"/>
    <w:rsid w:val="22D155B4"/>
    <w:rsid w:val="22FB2D4B"/>
    <w:rsid w:val="23083B45"/>
    <w:rsid w:val="233500BF"/>
    <w:rsid w:val="23377209"/>
    <w:rsid w:val="23377FF7"/>
    <w:rsid w:val="23487548"/>
    <w:rsid w:val="236B425F"/>
    <w:rsid w:val="23706C39"/>
    <w:rsid w:val="238236C4"/>
    <w:rsid w:val="23825FAA"/>
    <w:rsid w:val="23836192"/>
    <w:rsid w:val="23901F29"/>
    <w:rsid w:val="23985FD7"/>
    <w:rsid w:val="239C0061"/>
    <w:rsid w:val="23B908A4"/>
    <w:rsid w:val="23BA47E3"/>
    <w:rsid w:val="23D305B4"/>
    <w:rsid w:val="23D909ED"/>
    <w:rsid w:val="23DA6859"/>
    <w:rsid w:val="23E95BEF"/>
    <w:rsid w:val="23ED78C8"/>
    <w:rsid w:val="23FD0064"/>
    <w:rsid w:val="24207C9D"/>
    <w:rsid w:val="243B1FD6"/>
    <w:rsid w:val="24431BDE"/>
    <w:rsid w:val="2445609C"/>
    <w:rsid w:val="245375B0"/>
    <w:rsid w:val="24631119"/>
    <w:rsid w:val="24642C0A"/>
    <w:rsid w:val="24863878"/>
    <w:rsid w:val="24886ADB"/>
    <w:rsid w:val="249E4B2C"/>
    <w:rsid w:val="249E6CBA"/>
    <w:rsid w:val="24A804E6"/>
    <w:rsid w:val="24B22173"/>
    <w:rsid w:val="24B67167"/>
    <w:rsid w:val="24B95AD9"/>
    <w:rsid w:val="24BE24DA"/>
    <w:rsid w:val="24C465A1"/>
    <w:rsid w:val="24CF5825"/>
    <w:rsid w:val="24D663E6"/>
    <w:rsid w:val="24D77F2B"/>
    <w:rsid w:val="24EA3E07"/>
    <w:rsid w:val="2513335E"/>
    <w:rsid w:val="25183A2B"/>
    <w:rsid w:val="253E3E32"/>
    <w:rsid w:val="254E26E2"/>
    <w:rsid w:val="257A35C3"/>
    <w:rsid w:val="258B00E2"/>
    <w:rsid w:val="259C03A6"/>
    <w:rsid w:val="25A917A6"/>
    <w:rsid w:val="25AF7A72"/>
    <w:rsid w:val="25B97332"/>
    <w:rsid w:val="25BD776E"/>
    <w:rsid w:val="25BE27CC"/>
    <w:rsid w:val="25C0149C"/>
    <w:rsid w:val="25E92378"/>
    <w:rsid w:val="25F74A5C"/>
    <w:rsid w:val="25F926A0"/>
    <w:rsid w:val="261B0F18"/>
    <w:rsid w:val="261C7718"/>
    <w:rsid w:val="2628662C"/>
    <w:rsid w:val="262D45DE"/>
    <w:rsid w:val="265B3015"/>
    <w:rsid w:val="266877EA"/>
    <w:rsid w:val="266C18D4"/>
    <w:rsid w:val="26856E3E"/>
    <w:rsid w:val="2686568A"/>
    <w:rsid w:val="26915AE8"/>
    <w:rsid w:val="26943E2C"/>
    <w:rsid w:val="26961C08"/>
    <w:rsid w:val="26A53EF9"/>
    <w:rsid w:val="26A94201"/>
    <w:rsid w:val="26AC274F"/>
    <w:rsid w:val="26AF74D5"/>
    <w:rsid w:val="26C03F07"/>
    <w:rsid w:val="26C41924"/>
    <w:rsid w:val="26DE7813"/>
    <w:rsid w:val="26F07935"/>
    <w:rsid w:val="27044A29"/>
    <w:rsid w:val="271D34C8"/>
    <w:rsid w:val="271F7034"/>
    <w:rsid w:val="274912B9"/>
    <w:rsid w:val="275315CB"/>
    <w:rsid w:val="27550CD5"/>
    <w:rsid w:val="275C4F85"/>
    <w:rsid w:val="276142BF"/>
    <w:rsid w:val="276E6F72"/>
    <w:rsid w:val="27741567"/>
    <w:rsid w:val="2778023A"/>
    <w:rsid w:val="27783712"/>
    <w:rsid w:val="278E4F1E"/>
    <w:rsid w:val="27907362"/>
    <w:rsid w:val="279315CC"/>
    <w:rsid w:val="27973D17"/>
    <w:rsid w:val="27AE55C0"/>
    <w:rsid w:val="27BB7CDD"/>
    <w:rsid w:val="27C44DE4"/>
    <w:rsid w:val="27CE6EE6"/>
    <w:rsid w:val="27E72424"/>
    <w:rsid w:val="27F72131"/>
    <w:rsid w:val="28105561"/>
    <w:rsid w:val="28165027"/>
    <w:rsid w:val="28177609"/>
    <w:rsid w:val="281913D2"/>
    <w:rsid w:val="28333E1D"/>
    <w:rsid w:val="28454BD6"/>
    <w:rsid w:val="28455253"/>
    <w:rsid w:val="28551971"/>
    <w:rsid w:val="285B1C53"/>
    <w:rsid w:val="286D1B94"/>
    <w:rsid w:val="286D5867"/>
    <w:rsid w:val="28770115"/>
    <w:rsid w:val="289305E4"/>
    <w:rsid w:val="289F7086"/>
    <w:rsid w:val="28C32028"/>
    <w:rsid w:val="28CC490F"/>
    <w:rsid w:val="28CF4645"/>
    <w:rsid w:val="28D3513F"/>
    <w:rsid w:val="28DE40AA"/>
    <w:rsid w:val="28EA57CD"/>
    <w:rsid w:val="28FC2C00"/>
    <w:rsid w:val="29071838"/>
    <w:rsid w:val="29097894"/>
    <w:rsid w:val="291D7223"/>
    <w:rsid w:val="292C0D62"/>
    <w:rsid w:val="29345E77"/>
    <w:rsid w:val="294C65AD"/>
    <w:rsid w:val="29557393"/>
    <w:rsid w:val="296F7A85"/>
    <w:rsid w:val="29753362"/>
    <w:rsid w:val="29806583"/>
    <w:rsid w:val="298B3C4C"/>
    <w:rsid w:val="2994507C"/>
    <w:rsid w:val="299C1D15"/>
    <w:rsid w:val="29B76E57"/>
    <w:rsid w:val="29BB71CD"/>
    <w:rsid w:val="29CC6A8C"/>
    <w:rsid w:val="29F26D24"/>
    <w:rsid w:val="2A024C96"/>
    <w:rsid w:val="2A067935"/>
    <w:rsid w:val="2A110E23"/>
    <w:rsid w:val="2A15033F"/>
    <w:rsid w:val="2A1662C1"/>
    <w:rsid w:val="2A1C7367"/>
    <w:rsid w:val="2A2815FA"/>
    <w:rsid w:val="2A2906FE"/>
    <w:rsid w:val="2A3E70CF"/>
    <w:rsid w:val="2A437712"/>
    <w:rsid w:val="2A4B17EC"/>
    <w:rsid w:val="2A67266B"/>
    <w:rsid w:val="2A6D6092"/>
    <w:rsid w:val="2A7C5075"/>
    <w:rsid w:val="2A7D76B4"/>
    <w:rsid w:val="2A8B3672"/>
    <w:rsid w:val="2A9471FF"/>
    <w:rsid w:val="2AA1282F"/>
    <w:rsid w:val="2AAA6D4D"/>
    <w:rsid w:val="2ABB524A"/>
    <w:rsid w:val="2AF12DEA"/>
    <w:rsid w:val="2B0E4C00"/>
    <w:rsid w:val="2B114234"/>
    <w:rsid w:val="2B261369"/>
    <w:rsid w:val="2B3109E2"/>
    <w:rsid w:val="2B391645"/>
    <w:rsid w:val="2B3E4EAD"/>
    <w:rsid w:val="2B437463"/>
    <w:rsid w:val="2B47108B"/>
    <w:rsid w:val="2B480F4F"/>
    <w:rsid w:val="2B550C2B"/>
    <w:rsid w:val="2B6E3F6A"/>
    <w:rsid w:val="2B722141"/>
    <w:rsid w:val="2B746B21"/>
    <w:rsid w:val="2B7807EE"/>
    <w:rsid w:val="2B9B2EEA"/>
    <w:rsid w:val="2BAA396D"/>
    <w:rsid w:val="2BB2051B"/>
    <w:rsid w:val="2BB71FB5"/>
    <w:rsid w:val="2BBF00EC"/>
    <w:rsid w:val="2BC37CFD"/>
    <w:rsid w:val="2BCE686B"/>
    <w:rsid w:val="2BD001FB"/>
    <w:rsid w:val="2BD5237F"/>
    <w:rsid w:val="2BE536CE"/>
    <w:rsid w:val="2BE758D9"/>
    <w:rsid w:val="2C0724B8"/>
    <w:rsid w:val="2C09049E"/>
    <w:rsid w:val="2C0A653C"/>
    <w:rsid w:val="2C191F85"/>
    <w:rsid w:val="2C26606D"/>
    <w:rsid w:val="2C35440A"/>
    <w:rsid w:val="2C5C64EB"/>
    <w:rsid w:val="2C723060"/>
    <w:rsid w:val="2C7D7498"/>
    <w:rsid w:val="2C8A6AA3"/>
    <w:rsid w:val="2C914855"/>
    <w:rsid w:val="2C914E7D"/>
    <w:rsid w:val="2CB0513C"/>
    <w:rsid w:val="2CB63A29"/>
    <w:rsid w:val="2CB66EF8"/>
    <w:rsid w:val="2CD13D68"/>
    <w:rsid w:val="2CE82D6F"/>
    <w:rsid w:val="2CEF7814"/>
    <w:rsid w:val="2CF240C0"/>
    <w:rsid w:val="2D035FCE"/>
    <w:rsid w:val="2D343236"/>
    <w:rsid w:val="2D376058"/>
    <w:rsid w:val="2D606C7D"/>
    <w:rsid w:val="2D661664"/>
    <w:rsid w:val="2D847B6B"/>
    <w:rsid w:val="2DAA4023"/>
    <w:rsid w:val="2DC747E2"/>
    <w:rsid w:val="2DD15014"/>
    <w:rsid w:val="2DF72DE4"/>
    <w:rsid w:val="2DFC7732"/>
    <w:rsid w:val="2DFE6127"/>
    <w:rsid w:val="2E0220AF"/>
    <w:rsid w:val="2E110657"/>
    <w:rsid w:val="2E1E4633"/>
    <w:rsid w:val="2E257E86"/>
    <w:rsid w:val="2E4525DD"/>
    <w:rsid w:val="2E4B082A"/>
    <w:rsid w:val="2E4D4C86"/>
    <w:rsid w:val="2E5D4E86"/>
    <w:rsid w:val="2E5D790B"/>
    <w:rsid w:val="2E7500CE"/>
    <w:rsid w:val="2E8A1071"/>
    <w:rsid w:val="2E9A3C18"/>
    <w:rsid w:val="2EB363AC"/>
    <w:rsid w:val="2EBB0FEE"/>
    <w:rsid w:val="2EC545AB"/>
    <w:rsid w:val="2EC63002"/>
    <w:rsid w:val="2ED96459"/>
    <w:rsid w:val="2EE03233"/>
    <w:rsid w:val="2EE351AC"/>
    <w:rsid w:val="2EE87609"/>
    <w:rsid w:val="2EEB698A"/>
    <w:rsid w:val="2F0A6B38"/>
    <w:rsid w:val="2F1C5505"/>
    <w:rsid w:val="2F946CCB"/>
    <w:rsid w:val="2F972268"/>
    <w:rsid w:val="2F9742ED"/>
    <w:rsid w:val="2F990904"/>
    <w:rsid w:val="2FAE750D"/>
    <w:rsid w:val="2FB052CF"/>
    <w:rsid w:val="2FC718A5"/>
    <w:rsid w:val="2FD25781"/>
    <w:rsid w:val="2FF7494D"/>
    <w:rsid w:val="2FFD7934"/>
    <w:rsid w:val="301215AD"/>
    <w:rsid w:val="305050BC"/>
    <w:rsid w:val="305822AC"/>
    <w:rsid w:val="305E4B15"/>
    <w:rsid w:val="30733ACD"/>
    <w:rsid w:val="307C26FF"/>
    <w:rsid w:val="30861519"/>
    <w:rsid w:val="308C3862"/>
    <w:rsid w:val="309379D8"/>
    <w:rsid w:val="309A3CCC"/>
    <w:rsid w:val="30A270F7"/>
    <w:rsid w:val="30C44F7C"/>
    <w:rsid w:val="30DF1478"/>
    <w:rsid w:val="30E22CDA"/>
    <w:rsid w:val="30EC586F"/>
    <w:rsid w:val="30F229C1"/>
    <w:rsid w:val="30FB426E"/>
    <w:rsid w:val="310538A1"/>
    <w:rsid w:val="311E2BFD"/>
    <w:rsid w:val="3138414C"/>
    <w:rsid w:val="31405BC4"/>
    <w:rsid w:val="316A1E4B"/>
    <w:rsid w:val="317C04DD"/>
    <w:rsid w:val="3192350A"/>
    <w:rsid w:val="319C6071"/>
    <w:rsid w:val="31AB5907"/>
    <w:rsid w:val="31AC537E"/>
    <w:rsid w:val="31BD2BF4"/>
    <w:rsid w:val="31C111F3"/>
    <w:rsid w:val="31E3679B"/>
    <w:rsid w:val="31E732FD"/>
    <w:rsid w:val="31F81362"/>
    <w:rsid w:val="31FA3F13"/>
    <w:rsid w:val="3200110E"/>
    <w:rsid w:val="3205734C"/>
    <w:rsid w:val="32126E9C"/>
    <w:rsid w:val="3236068C"/>
    <w:rsid w:val="32454D73"/>
    <w:rsid w:val="32481706"/>
    <w:rsid w:val="32517576"/>
    <w:rsid w:val="32523523"/>
    <w:rsid w:val="3268280F"/>
    <w:rsid w:val="329A7A8D"/>
    <w:rsid w:val="329F4D04"/>
    <w:rsid w:val="32BC6982"/>
    <w:rsid w:val="32BE5C2C"/>
    <w:rsid w:val="32C75571"/>
    <w:rsid w:val="32C83C83"/>
    <w:rsid w:val="32F07DD5"/>
    <w:rsid w:val="32FB6478"/>
    <w:rsid w:val="32FC70F2"/>
    <w:rsid w:val="33263B3F"/>
    <w:rsid w:val="332B1372"/>
    <w:rsid w:val="333A0650"/>
    <w:rsid w:val="335A2AA0"/>
    <w:rsid w:val="336963EB"/>
    <w:rsid w:val="33816EEB"/>
    <w:rsid w:val="33890C8F"/>
    <w:rsid w:val="33C85C5B"/>
    <w:rsid w:val="33EB55CD"/>
    <w:rsid w:val="33EC4C02"/>
    <w:rsid w:val="33F24171"/>
    <w:rsid w:val="340B78F6"/>
    <w:rsid w:val="340D2360"/>
    <w:rsid w:val="3410665D"/>
    <w:rsid w:val="34211214"/>
    <w:rsid w:val="342E63AB"/>
    <w:rsid w:val="34733234"/>
    <w:rsid w:val="34763909"/>
    <w:rsid w:val="347A14C3"/>
    <w:rsid w:val="34867F1B"/>
    <w:rsid w:val="34950E68"/>
    <w:rsid w:val="3495784E"/>
    <w:rsid w:val="34986E94"/>
    <w:rsid w:val="34AE0B4C"/>
    <w:rsid w:val="34AF257B"/>
    <w:rsid w:val="34AF62C9"/>
    <w:rsid w:val="34CB4388"/>
    <w:rsid w:val="34CD66C2"/>
    <w:rsid w:val="34D4418C"/>
    <w:rsid w:val="34E147BC"/>
    <w:rsid w:val="34ED0215"/>
    <w:rsid w:val="34FA6E12"/>
    <w:rsid w:val="3508232F"/>
    <w:rsid w:val="350B22A4"/>
    <w:rsid w:val="35400528"/>
    <w:rsid w:val="355B3740"/>
    <w:rsid w:val="35661288"/>
    <w:rsid w:val="356E6F10"/>
    <w:rsid w:val="358D5588"/>
    <w:rsid w:val="359A3628"/>
    <w:rsid w:val="359E1737"/>
    <w:rsid w:val="35A05E57"/>
    <w:rsid w:val="35A61D02"/>
    <w:rsid w:val="35AA0A18"/>
    <w:rsid w:val="35B244CD"/>
    <w:rsid w:val="35CC4F2D"/>
    <w:rsid w:val="35F66AB0"/>
    <w:rsid w:val="35FD6EE8"/>
    <w:rsid w:val="36010FB1"/>
    <w:rsid w:val="36157521"/>
    <w:rsid w:val="361918A7"/>
    <w:rsid w:val="36251143"/>
    <w:rsid w:val="362751E6"/>
    <w:rsid w:val="3639704B"/>
    <w:rsid w:val="363A3B40"/>
    <w:rsid w:val="365302AE"/>
    <w:rsid w:val="36607A0A"/>
    <w:rsid w:val="366C4520"/>
    <w:rsid w:val="366E227C"/>
    <w:rsid w:val="366F2E0D"/>
    <w:rsid w:val="367B6A5C"/>
    <w:rsid w:val="367C48DF"/>
    <w:rsid w:val="367E52AD"/>
    <w:rsid w:val="368708D6"/>
    <w:rsid w:val="36992A33"/>
    <w:rsid w:val="369E3CEB"/>
    <w:rsid w:val="36A74ADA"/>
    <w:rsid w:val="36AD60D5"/>
    <w:rsid w:val="36B224F9"/>
    <w:rsid w:val="36EC0CC9"/>
    <w:rsid w:val="36F32FEF"/>
    <w:rsid w:val="370C24CD"/>
    <w:rsid w:val="3714541D"/>
    <w:rsid w:val="373F410B"/>
    <w:rsid w:val="37474571"/>
    <w:rsid w:val="375662BE"/>
    <w:rsid w:val="376C7D61"/>
    <w:rsid w:val="37721B96"/>
    <w:rsid w:val="37907D63"/>
    <w:rsid w:val="37976191"/>
    <w:rsid w:val="37A13C16"/>
    <w:rsid w:val="37A21F3B"/>
    <w:rsid w:val="37B41E56"/>
    <w:rsid w:val="37E82428"/>
    <w:rsid w:val="37EE7094"/>
    <w:rsid w:val="37FD4734"/>
    <w:rsid w:val="3805122C"/>
    <w:rsid w:val="381E5E4A"/>
    <w:rsid w:val="381F2104"/>
    <w:rsid w:val="382564B0"/>
    <w:rsid w:val="38296B3F"/>
    <w:rsid w:val="38296C89"/>
    <w:rsid w:val="382F0057"/>
    <w:rsid w:val="383002EB"/>
    <w:rsid w:val="383C4522"/>
    <w:rsid w:val="38586797"/>
    <w:rsid w:val="38667EC5"/>
    <w:rsid w:val="3894435E"/>
    <w:rsid w:val="38975BFC"/>
    <w:rsid w:val="38997F35"/>
    <w:rsid w:val="389E33A0"/>
    <w:rsid w:val="389F4A2A"/>
    <w:rsid w:val="38A71F00"/>
    <w:rsid w:val="38B638A9"/>
    <w:rsid w:val="38BC0149"/>
    <w:rsid w:val="38BC48FF"/>
    <w:rsid w:val="38C5276A"/>
    <w:rsid w:val="38CD7870"/>
    <w:rsid w:val="38D34E86"/>
    <w:rsid w:val="38D87D1C"/>
    <w:rsid w:val="38F5199B"/>
    <w:rsid w:val="38F815D3"/>
    <w:rsid w:val="390D37F8"/>
    <w:rsid w:val="390E5EBF"/>
    <w:rsid w:val="39222F04"/>
    <w:rsid w:val="392350DC"/>
    <w:rsid w:val="39636459"/>
    <w:rsid w:val="39643D30"/>
    <w:rsid w:val="396B7F6C"/>
    <w:rsid w:val="397B107A"/>
    <w:rsid w:val="39893EFA"/>
    <w:rsid w:val="39AD5E68"/>
    <w:rsid w:val="39B417A9"/>
    <w:rsid w:val="39CD2315"/>
    <w:rsid w:val="39CD5D7A"/>
    <w:rsid w:val="39D42349"/>
    <w:rsid w:val="39F33306"/>
    <w:rsid w:val="39FC5695"/>
    <w:rsid w:val="3A006D8E"/>
    <w:rsid w:val="3A013C75"/>
    <w:rsid w:val="3A053F5E"/>
    <w:rsid w:val="3A0D43C8"/>
    <w:rsid w:val="3A212837"/>
    <w:rsid w:val="3A2B0CF2"/>
    <w:rsid w:val="3A3651E5"/>
    <w:rsid w:val="3A444DB1"/>
    <w:rsid w:val="3A4E5A4A"/>
    <w:rsid w:val="3A56271C"/>
    <w:rsid w:val="3A5E4C24"/>
    <w:rsid w:val="3A6218FE"/>
    <w:rsid w:val="3A6A698E"/>
    <w:rsid w:val="3A744481"/>
    <w:rsid w:val="3A797E6F"/>
    <w:rsid w:val="3A7F1136"/>
    <w:rsid w:val="3A8C7BEF"/>
    <w:rsid w:val="3A8F302F"/>
    <w:rsid w:val="3A906246"/>
    <w:rsid w:val="3AB25A09"/>
    <w:rsid w:val="3AC802EF"/>
    <w:rsid w:val="3ACF7F42"/>
    <w:rsid w:val="3ADD3456"/>
    <w:rsid w:val="3AEB1198"/>
    <w:rsid w:val="3AFC4F2B"/>
    <w:rsid w:val="3AFF12B6"/>
    <w:rsid w:val="3B0743A5"/>
    <w:rsid w:val="3B2349B7"/>
    <w:rsid w:val="3B311256"/>
    <w:rsid w:val="3B3F4A55"/>
    <w:rsid w:val="3B542821"/>
    <w:rsid w:val="3B5D00DF"/>
    <w:rsid w:val="3B5D137F"/>
    <w:rsid w:val="3B616CFF"/>
    <w:rsid w:val="3B6259F6"/>
    <w:rsid w:val="3B976654"/>
    <w:rsid w:val="3BC01EFC"/>
    <w:rsid w:val="3BC476BA"/>
    <w:rsid w:val="3BCA786A"/>
    <w:rsid w:val="3BCC4781"/>
    <w:rsid w:val="3BD22094"/>
    <w:rsid w:val="3BD31E2F"/>
    <w:rsid w:val="3BD74DAA"/>
    <w:rsid w:val="3BD80A06"/>
    <w:rsid w:val="3BD93247"/>
    <w:rsid w:val="3BDF6ABC"/>
    <w:rsid w:val="3BF15831"/>
    <w:rsid w:val="3BF92D28"/>
    <w:rsid w:val="3C00178B"/>
    <w:rsid w:val="3C035A0C"/>
    <w:rsid w:val="3C09790D"/>
    <w:rsid w:val="3C105946"/>
    <w:rsid w:val="3C467402"/>
    <w:rsid w:val="3C471448"/>
    <w:rsid w:val="3C577B7C"/>
    <w:rsid w:val="3C5D60F0"/>
    <w:rsid w:val="3C5F759A"/>
    <w:rsid w:val="3C6B3628"/>
    <w:rsid w:val="3C6C525A"/>
    <w:rsid w:val="3C771FCD"/>
    <w:rsid w:val="3C776471"/>
    <w:rsid w:val="3C7C6193"/>
    <w:rsid w:val="3C8F0D83"/>
    <w:rsid w:val="3C990195"/>
    <w:rsid w:val="3CAF1767"/>
    <w:rsid w:val="3CB678A5"/>
    <w:rsid w:val="3CB85199"/>
    <w:rsid w:val="3CBE7BFC"/>
    <w:rsid w:val="3CCE23CB"/>
    <w:rsid w:val="3CD17D17"/>
    <w:rsid w:val="3CE6634A"/>
    <w:rsid w:val="3CF74BDC"/>
    <w:rsid w:val="3D1E069A"/>
    <w:rsid w:val="3D2E6F84"/>
    <w:rsid w:val="3D330CF2"/>
    <w:rsid w:val="3D334A0A"/>
    <w:rsid w:val="3D3B749E"/>
    <w:rsid w:val="3D3C7F39"/>
    <w:rsid w:val="3D410DCD"/>
    <w:rsid w:val="3D43654E"/>
    <w:rsid w:val="3D440F09"/>
    <w:rsid w:val="3D4504A0"/>
    <w:rsid w:val="3D6D1E2D"/>
    <w:rsid w:val="3D73347A"/>
    <w:rsid w:val="3D803103"/>
    <w:rsid w:val="3D8734BB"/>
    <w:rsid w:val="3D9A11D4"/>
    <w:rsid w:val="3DA16D89"/>
    <w:rsid w:val="3DA364BE"/>
    <w:rsid w:val="3DA51394"/>
    <w:rsid w:val="3DB2043B"/>
    <w:rsid w:val="3DC01751"/>
    <w:rsid w:val="3DC74721"/>
    <w:rsid w:val="3DDD5A75"/>
    <w:rsid w:val="3DE041CB"/>
    <w:rsid w:val="3DF40815"/>
    <w:rsid w:val="3DFC7637"/>
    <w:rsid w:val="3E021D6A"/>
    <w:rsid w:val="3E083B55"/>
    <w:rsid w:val="3E0D48F6"/>
    <w:rsid w:val="3E105D74"/>
    <w:rsid w:val="3E1868B4"/>
    <w:rsid w:val="3E1A73F6"/>
    <w:rsid w:val="3E2A04EE"/>
    <w:rsid w:val="3E353C3E"/>
    <w:rsid w:val="3E377251"/>
    <w:rsid w:val="3E3E3D98"/>
    <w:rsid w:val="3E42664B"/>
    <w:rsid w:val="3E5A7334"/>
    <w:rsid w:val="3E5F5B3A"/>
    <w:rsid w:val="3E77193B"/>
    <w:rsid w:val="3E7B5D6B"/>
    <w:rsid w:val="3E8306C6"/>
    <w:rsid w:val="3E843E66"/>
    <w:rsid w:val="3E8F51FE"/>
    <w:rsid w:val="3E926F87"/>
    <w:rsid w:val="3E9A59DE"/>
    <w:rsid w:val="3EAF4836"/>
    <w:rsid w:val="3EC01BF6"/>
    <w:rsid w:val="3EC33DFA"/>
    <w:rsid w:val="3EDB4E2F"/>
    <w:rsid w:val="3EF06066"/>
    <w:rsid w:val="3F017B7E"/>
    <w:rsid w:val="3F060E16"/>
    <w:rsid w:val="3F1D1096"/>
    <w:rsid w:val="3F2A47C8"/>
    <w:rsid w:val="3F2F0234"/>
    <w:rsid w:val="3F58688B"/>
    <w:rsid w:val="3F6363FE"/>
    <w:rsid w:val="3F7337E4"/>
    <w:rsid w:val="3F742888"/>
    <w:rsid w:val="3F756B8F"/>
    <w:rsid w:val="3F7C2F01"/>
    <w:rsid w:val="3F800E2D"/>
    <w:rsid w:val="3F95482B"/>
    <w:rsid w:val="3FA330D9"/>
    <w:rsid w:val="3FCC33C2"/>
    <w:rsid w:val="3FF34060"/>
    <w:rsid w:val="40077B0C"/>
    <w:rsid w:val="40171C89"/>
    <w:rsid w:val="4019356B"/>
    <w:rsid w:val="403460EE"/>
    <w:rsid w:val="40491ED2"/>
    <w:rsid w:val="40582115"/>
    <w:rsid w:val="40592157"/>
    <w:rsid w:val="406E1CAE"/>
    <w:rsid w:val="40750F19"/>
    <w:rsid w:val="40781723"/>
    <w:rsid w:val="409622BC"/>
    <w:rsid w:val="40A0133A"/>
    <w:rsid w:val="40C31A53"/>
    <w:rsid w:val="40CA2FA4"/>
    <w:rsid w:val="40E1730B"/>
    <w:rsid w:val="40F55BB6"/>
    <w:rsid w:val="40FB10EC"/>
    <w:rsid w:val="40FE4A6B"/>
    <w:rsid w:val="40FF545D"/>
    <w:rsid w:val="410067C8"/>
    <w:rsid w:val="410B3A33"/>
    <w:rsid w:val="41235AB1"/>
    <w:rsid w:val="41344930"/>
    <w:rsid w:val="413B5CBF"/>
    <w:rsid w:val="413D75D0"/>
    <w:rsid w:val="416C5F4F"/>
    <w:rsid w:val="418A5AB5"/>
    <w:rsid w:val="418F0D2A"/>
    <w:rsid w:val="418F1B67"/>
    <w:rsid w:val="419719C7"/>
    <w:rsid w:val="41992059"/>
    <w:rsid w:val="419A3758"/>
    <w:rsid w:val="41D01505"/>
    <w:rsid w:val="41D37CA5"/>
    <w:rsid w:val="41DC26C2"/>
    <w:rsid w:val="41FA1949"/>
    <w:rsid w:val="42025DE2"/>
    <w:rsid w:val="420D11ED"/>
    <w:rsid w:val="42474939"/>
    <w:rsid w:val="424C3C57"/>
    <w:rsid w:val="42506C4F"/>
    <w:rsid w:val="42517EEB"/>
    <w:rsid w:val="425761C4"/>
    <w:rsid w:val="425A6618"/>
    <w:rsid w:val="425F778B"/>
    <w:rsid w:val="42613FF3"/>
    <w:rsid w:val="42660D96"/>
    <w:rsid w:val="42750D5C"/>
    <w:rsid w:val="428667D2"/>
    <w:rsid w:val="4287441B"/>
    <w:rsid w:val="42A12863"/>
    <w:rsid w:val="42B21FB1"/>
    <w:rsid w:val="42C53E91"/>
    <w:rsid w:val="42CD1CE0"/>
    <w:rsid w:val="42D40179"/>
    <w:rsid w:val="42E1381E"/>
    <w:rsid w:val="42ED6459"/>
    <w:rsid w:val="42EE2E81"/>
    <w:rsid w:val="42EE7007"/>
    <w:rsid w:val="42F11CB6"/>
    <w:rsid w:val="42F308B1"/>
    <w:rsid w:val="42FE58DD"/>
    <w:rsid w:val="43174B3D"/>
    <w:rsid w:val="431A1904"/>
    <w:rsid w:val="434B790E"/>
    <w:rsid w:val="435571DE"/>
    <w:rsid w:val="43590042"/>
    <w:rsid w:val="435C016E"/>
    <w:rsid w:val="4360274F"/>
    <w:rsid w:val="436B679D"/>
    <w:rsid w:val="43957229"/>
    <w:rsid w:val="43965470"/>
    <w:rsid w:val="43977AB6"/>
    <w:rsid w:val="43A3342B"/>
    <w:rsid w:val="43B65AD0"/>
    <w:rsid w:val="43C114AA"/>
    <w:rsid w:val="43C77C27"/>
    <w:rsid w:val="43CB3945"/>
    <w:rsid w:val="43CB4A1B"/>
    <w:rsid w:val="43DE09EE"/>
    <w:rsid w:val="43E519D8"/>
    <w:rsid w:val="44002FAD"/>
    <w:rsid w:val="44021755"/>
    <w:rsid w:val="4403274D"/>
    <w:rsid w:val="440525B4"/>
    <w:rsid w:val="4405758C"/>
    <w:rsid w:val="442346AF"/>
    <w:rsid w:val="44291FE0"/>
    <w:rsid w:val="44450C02"/>
    <w:rsid w:val="44496945"/>
    <w:rsid w:val="444B446B"/>
    <w:rsid w:val="44623562"/>
    <w:rsid w:val="446C43E1"/>
    <w:rsid w:val="449101DD"/>
    <w:rsid w:val="44B43EE8"/>
    <w:rsid w:val="44D42A00"/>
    <w:rsid w:val="44DE1391"/>
    <w:rsid w:val="451B225C"/>
    <w:rsid w:val="451C6FFC"/>
    <w:rsid w:val="452410C9"/>
    <w:rsid w:val="45317DFB"/>
    <w:rsid w:val="45336CAD"/>
    <w:rsid w:val="45394546"/>
    <w:rsid w:val="454D7D6F"/>
    <w:rsid w:val="4565330A"/>
    <w:rsid w:val="456D3CE4"/>
    <w:rsid w:val="45765517"/>
    <w:rsid w:val="4579042C"/>
    <w:rsid w:val="457F0571"/>
    <w:rsid w:val="45851176"/>
    <w:rsid w:val="459C7154"/>
    <w:rsid w:val="45C63B94"/>
    <w:rsid w:val="45D5524E"/>
    <w:rsid w:val="45F428E0"/>
    <w:rsid w:val="46054AED"/>
    <w:rsid w:val="460A487E"/>
    <w:rsid w:val="460E7DA5"/>
    <w:rsid w:val="460F14C8"/>
    <w:rsid w:val="461A7364"/>
    <w:rsid w:val="46422483"/>
    <w:rsid w:val="464257AC"/>
    <w:rsid w:val="464841B5"/>
    <w:rsid w:val="4659254A"/>
    <w:rsid w:val="465B0637"/>
    <w:rsid w:val="465E3F0D"/>
    <w:rsid w:val="466A16E6"/>
    <w:rsid w:val="46893F2B"/>
    <w:rsid w:val="468B03AE"/>
    <w:rsid w:val="469317FC"/>
    <w:rsid w:val="46942A15"/>
    <w:rsid w:val="469A3487"/>
    <w:rsid w:val="46C4686E"/>
    <w:rsid w:val="46F106CB"/>
    <w:rsid w:val="47030182"/>
    <w:rsid w:val="4733546E"/>
    <w:rsid w:val="473D50BE"/>
    <w:rsid w:val="474E0C66"/>
    <w:rsid w:val="47520928"/>
    <w:rsid w:val="47767A51"/>
    <w:rsid w:val="477B778F"/>
    <w:rsid w:val="478203EC"/>
    <w:rsid w:val="478C05DB"/>
    <w:rsid w:val="47B025FA"/>
    <w:rsid w:val="47F366F7"/>
    <w:rsid w:val="48061E29"/>
    <w:rsid w:val="4809698F"/>
    <w:rsid w:val="4811697D"/>
    <w:rsid w:val="481B5768"/>
    <w:rsid w:val="48217291"/>
    <w:rsid w:val="48276F9D"/>
    <w:rsid w:val="48345216"/>
    <w:rsid w:val="4839282C"/>
    <w:rsid w:val="483B3270"/>
    <w:rsid w:val="483E5FFB"/>
    <w:rsid w:val="486457A8"/>
    <w:rsid w:val="48733940"/>
    <w:rsid w:val="487A3E25"/>
    <w:rsid w:val="48806AEF"/>
    <w:rsid w:val="488B5503"/>
    <w:rsid w:val="488F069E"/>
    <w:rsid w:val="48937E21"/>
    <w:rsid w:val="489A0361"/>
    <w:rsid w:val="48B94FF3"/>
    <w:rsid w:val="48D735D8"/>
    <w:rsid w:val="48E37AAB"/>
    <w:rsid w:val="48FB5D0B"/>
    <w:rsid w:val="48FD4B4C"/>
    <w:rsid w:val="48FF152B"/>
    <w:rsid w:val="490044E7"/>
    <w:rsid w:val="49064E04"/>
    <w:rsid w:val="490A68E0"/>
    <w:rsid w:val="491055FE"/>
    <w:rsid w:val="49117305"/>
    <w:rsid w:val="492D2391"/>
    <w:rsid w:val="493A685C"/>
    <w:rsid w:val="494616A5"/>
    <w:rsid w:val="49470F79"/>
    <w:rsid w:val="494F64C8"/>
    <w:rsid w:val="495F5B3E"/>
    <w:rsid w:val="496F77D7"/>
    <w:rsid w:val="497654FD"/>
    <w:rsid w:val="49A07007"/>
    <w:rsid w:val="49B64211"/>
    <w:rsid w:val="49E35145"/>
    <w:rsid w:val="49F6167F"/>
    <w:rsid w:val="49F8402B"/>
    <w:rsid w:val="4A064FA0"/>
    <w:rsid w:val="4A0A248B"/>
    <w:rsid w:val="4A0E7992"/>
    <w:rsid w:val="4A0F6CA7"/>
    <w:rsid w:val="4A16615C"/>
    <w:rsid w:val="4A4424D7"/>
    <w:rsid w:val="4A4E6A63"/>
    <w:rsid w:val="4A4F242F"/>
    <w:rsid w:val="4A52794A"/>
    <w:rsid w:val="4A5E4B39"/>
    <w:rsid w:val="4A7F4927"/>
    <w:rsid w:val="4A83308A"/>
    <w:rsid w:val="4A8910CD"/>
    <w:rsid w:val="4AA0093E"/>
    <w:rsid w:val="4AA51DDF"/>
    <w:rsid w:val="4AAF7430"/>
    <w:rsid w:val="4AB50890"/>
    <w:rsid w:val="4AB56AE2"/>
    <w:rsid w:val="4AB82D0F"/>
    <w:rsid w:val="4AEB7664"/>
    <w:rsid w:val="4AFD7C19"/>
    <w:rsid w:val="4B0213BB"/>
    <w:rsid w:val="4B0567D1"/>
    <w:rsid w:val="4B0E4466"/>
    <w:rsid w:val="4B104C17"/>
    <w:rsid w:val="4B1F10C6"/>
    <w:rsid w:val="4B204E6B"/>
    <w:rsid w:val="4B226226"/>
    <w:rsid w:val="4B236AAE"/>
    <w:rsid w:val="4B253F29"/>
    <w:rsid w:val="4B2F1727"/>
    <w:rsid w:val="4B3B7573"/>
    <w:rsid w:val="4B3D424A"/>
    <w:rsid w:val="4B471143"/>
    <w:rsid w:val="4B4C0AC8"/>
    <w:rsid w:val="4B513439"/>
    <w:rsid w:val="4B667538"/>
    <w:rsid w:val="4B6B30EF"/>
    <w:rsid w:val="4B6E252A"/>
    <w:rsid w:val="4B707271"/>
    <w:rsid w:val="4B7778F3"/>
    <w:rsid w:val="4B9739F7"/>
    <w:rsid w:val="4B983B6E"/>
    <w:rsid w:val="4BA13E68"/>
    <w:rsid w:val="4BA86BF5"/>
    <w:rsid w:val="4BAF3531"/>
    <w:rsid w:val="4BE71C3A"/>
    <w:rsid w:val="4BEE2503"/>
    <w:rsid w:val="4BFC69AC"/>
    <w:rsid w:val="4C1F238B"/>
    <w:rsid w:val="4C2442A0"/>
    <w:rsid w:val="4C245A30"/>
    <w:rsid w:val="4C575977"/>
    <w:rsid w:val="4C714C8A"/>
    <w:rsid w:val="4C7B1D9D"/>
    <w:rsid w:val="4C89719B"/>
    <w:rsid w:val="4C8A6BFA"/>
    <w:rsid w:val="4CA43DA3"/>
    <w:rsid w:val="4CB6685F"/>
    <w:rsid w:val="4CC22DCD"/>
    <w:rsid w:val="4CC367FE"/>
    <w:rsid w:val="4CCA0782"/>
    <w:rsid w:val="4CCE5E33"/>
    <w:rsid w:val="4CDD7C2A"/>
    <w:rsid w:val="4CE92A73"/>
    <w:rsid w:val="4D077F3C"/>
    <w:rsid w:val="4D0B0B91"/>
    <w:rsid w:val="4D123355"/>
    <w:rsid w:val="4D297313"/>
    <w:rsid w:val="4D2A3B31"/>
    <w:rsid w:val="4D312C52"/>
    <w:rsid w:val="4D747D65"/>
    <w:rsid w:val="4D905305"/>
    <w:rsid w:val="4D964A72"/>
    <w:rsid w:val="4D9C1254"/>
    <w:rsid w:val="4DBC44B5"/>
    <w:rsid w:val="4DCB03CA"/>
    <w:rsid w:val="4DFF1E22"/>
    <w:rsid w:val="4E264413"/>
    <w:rsid w:val="4E3708CE"/>
    <w:rsid w:val="4E372CEF"/>
    <w:rsid w:val="4E3D5AC3"/>
    <w:rsid w:val="4E3F66C2"/>
    <w:rsid w:val="4E4063F4"/>
    <w:rsid w:val="4E564778"/>
    <w:rsid w:val="4E6C5709"/>
    <w:rsid w:val="4E7065EE"/>
    <w:rsid w:val="4E793892"/>
    <w:rsid w:val="4E7D74A7"/>
    <w:rsid w:val="4E800872"/>
    <w:rsid w:val="4E94015D"/>
    <w:rsid w:val="4EAF34D1"/>
    <w:rsid w:val="4EB1260B"/>
    <w:rsid w:val="4EC569ED"/>
    <w:rsid w:val="4EC8315B"/>
    <w:rsid w:val="4ED50EA1"/>
    <w:rsid w:val="4EEC050C"/>
    <w:rsid w:val="4EF77EC0"/>
    <w:rsid w:val="4EFC42CF"/>
    <w:rsid w:val="4F104EC3"/>
    <w:rsid w:val="4F1E1E73"/>
    <w:rsid w:val="4F26120E"/>
    <w:rsid w:val="4F4426F6"/>
    <w:rsid w:val="4F47354A"/>
    <w:rsid w:val="4F691B75"/>
    <w:rsid w:val="4F7A5C04"/>
    <w:rsid w:val="4F895E47"/>
    <w:rsid w:val="4F911C54"/>
    <w:rsid w:val="4F9763EB"/>
    <w:rsid w:val="4FC33B8C"/>
    <w:rsid w:val="4FCC21D8"/>
    <w:rsid w:val="4FE625E0"/>
    <w:rsid w:val="4FF84D7B"/>
    <w:rsid w:val="4FFD7DC3"/>
    <w:rsid w:val="501A1D50"/>
    <w:rsid w:val="501B67F5"/>
    <w:rsid w:val="5021480F"/>
    <w:rsid w:val="50250358"/>
    <w:rsid w:val="50485DFD"/>
    <w:rsid w:val="504E6959"/>
    <w:rsid w:val="505200C7"/>
    <w:rsid w:val="50832F0D"/>
    <w:rsid w:val="50962ECB"/>
    <w:rsid w:val="5099655E"/>
    <w:rsid w:val="50A42E38"/>
    <w:rsid w:val="50A4577F"/>
    <w:rsid w:val="50A868B7"/>
    <w:rsid w:val="50A94B87"/>
    <w:rsid w:val="50B73D1F"/>
    <w:rsid w:val="50BB4E97"/>
    <w:rsid w:val="50BD5212"/>
    <w:rsid w:val="50BD5BC9"/>
    <w:rsid w:val="50C11EEE"/>
    <w:rsid w:val="50E2040B"/>
    <w:rsid w:val="50E97CFC"/>
    <w:rsid w:val="50F9524E"/>
    <w:rsid w:val="50FA4028"/>
    <w:rsid w:val="50FC4F0E"/>
    <w:rsid w:val="510374A0"/>
    <w:rsid w:val="510D65B7"/>
    <w:rsid w:val="510F05CE"/>
    <w:rsid w:val="511157AB"/>
    <w:rsid w:val="5118277B"/>
    <w:rsid w:val="51244194"/>
    <w:rsid w:val="51333D03"/>
    <w:rsid w:val="514249A7"/>
    <w:rsid w:val="5142540C"/>
    <w:rsid w:val="514B6067"/>
    <w:rsid w:val="514C35D0"/>
    <w:rsid w:val="516918E3"/>
    <w:rsid w:val="516E1798"/>
    <w:rsid w:val="517D5E7F"/>
    <w:rsid w:val="518479C2"/>
    <w:rsid w:val="518832C8"/>
    <w:rsid w:val="51A0432A"/>
    <w:rsid w:val="51A86090"/>
    <w:rsid w:val="51B7396D"/>
    <w:rsid w:val="51D04201"/>
    <w:rsid w:val="51DD06CC"/>
    <w:rsid w:val="51F464F4"/>
    <w:rsid w:val="51F53C68"/>
    <w:rsid w:val="51F831BD"/>
    <w:rsid w:val="51FD791B"/>
    <w:rsid w:val="52170CBE"/>
    <w:rsid w:val="52187956"/>
    <w:rsid w:val="521A6312"/>
    <w:rsid w:val="522E4CC3"/>
    <w:rsid w:val="523818E8"/>
    <w:rsid w:val="5244713B"/>
    <w:rsid w:val="524E02CE"/>
    <w:rsid w:val="52615633"/>
    <w:rsid w:val="526279A5"/>
    <w:rsid w:val="526B5049"/>
    <w:rsid w:val="526C5BF4"/>
    <w:rsid w:val="528973AD"/>
    <w:rsid w:val="528B637A"/>
    <w:rsid w:val="52977FD4"/>
    <w:rsid w:val="529E280C"/>
    <w:rsid w:val="52A25790"/>
    <w:rsid w:val="52A339CB"/>
    <w:rsid w:val="52A96B6F"/>
    <w:rsid w:val="52B45975"/>
    <w:rsid w:val="52BB6C5F"/>
    <w:rsid w:val="52D375AC"/>
    <w:rsid w:val="52D94AA4"/>
    <w:rsid w:val="52EA3A62"/>
    <w:rsid w:val="52EB148C"/>
    <w:rsid w:val="52ED1235"/>
    <w:rsid w:val="52F50BB8"/>
    <w:rsid w:val="53000B16"/>
    <w:rsid w:val="53097272"/>
    <w:rsid w:val="530C60F3"/>
    <w:rsid w:val="532B7B0A"/>
    <w:rsid w:val="532C36B9"/>
    <w:rsid w:val="534112A6"/>
    <w:rsid w:val="534B76CB"/>
    <w:rsid w:val="53544462"/>
    <w:rsid w:val="53690469"/>
    <w:rsid w:val="536C6901"/>
    <w:rsid w:val="5397158E"/>
    <w:rsid w:val="539B4F01"/>
    <w:rsid w:val="539F3E8B"/>
    <w:rsid w:val="53A26BE5"/>
    <w:rsid w:val="53B31B8A"/>
    <w:rsid w:val="53B536AF"/>
    <w:rsid w:val="53BF38EC"/>
    <w:rsid w:val="53C2401E"/>
    <w:rsid w:val="53C5766A"/>
    <w:rsid w:val="53F90357"/>
    <w:rsid w:val="54013861"/>
    <w:rsid w:val="54104D89"/>
    <w:rsid w:val="54280325"/>
    <w:rsid w:val="54395D5B"/>
    <w:rsid w:val="54487265"/>
    <w:rsid w:val="544D6070"/>
    <w:rsid w:val="54576514"/>
    <w:rsid w:val="54605E1E"/>
    <w:rsid w:val="548059AC"/>
    <w:rsid w:val="54931E82"/>
    <w:rsid w:val="54942937"/>
    <w:rsid w:val="54B3506A"/>
    <w:rsid w:val="54B87E29"/>
    <w:rsid w:val="54CA0D16"/>
    <w:rsid w:val="54D272FC"/>
    <w:rsid w:val="54DD4057"/>
    <w:rsid w:val="54E7490F"/>
    <w:rsid w:val="54F969C9"/>
    <w:rsid w:val="550764A4"/>
    <w:rsid w:val="550B2BF6"/>
    <w:rsid w:val="550F3998"/>
    <w:rsid w:val="55175CA3"/>
    <w:rsid w:val="55180399"/>
    <w:rsid w:val="55214D74"/>
    <w:rsid w:val="55214EB5"/>
    <w:rsid w:val="55364EFD"/>
    <w:rsid w:val="55437327"/>
    <w:rsid w:val="555D4828"/>
    <w:rsid w:val="556D3484"/>
    <w:rsid w:val="557645ED"/>
    <w:rsid w:val="557A4C8B"/>
    <w:rsid w:val="557B4484"/>
    <w:rsid w:val="557B7D23"/>
    <w:rsid w:val="557D4AFD"/>
    <w:rsid w:val="55801A9A"/>
    <w:rsid w:val="558931E1"/>
    <w:rsid w:val="558D41B7"/>
    <w:rsid w:val="55923347"/>
    <w:rsid w:val="55925180"/>
    <w:rsid w:val="55983B1B"/>
    <w:rsid w:val="559B6418"/>
    <w:rsid w:val="55A014EF"/>
    <w:rsid w:val="55A614B1"/>
    <w:rsid w:val="55A8376B"/>
    <w:rsid w:val="55D43B94"/>
    <w:rsid w:val="55D65B5E"/>
    <w:rsid w:val="55DC29B6"/>
    <w:rsid w:val="55DD4241"/>
    <w:rsid w:val="55F43710"/>
    <w:rsid w:val="5618423F"/>
    <w:rsid w:val="56602FA9"/>
    <w:rsid w:val="56675D2B"/>
    <w:rsid w:val="566B6D1E"/>
    <w:rsid w:val="56846705"/>
    <w:rsid w:val="56870FC1"/>
    <w:rsid w:val="568B3A0D"/>
    <w:rsid w:val="568E77D2"/>
    <w:rsid w:val="56933A4F"/>
    <w:rsid w:val="56E415E6"/>
    <w:rsid w:val="56EA31AE"/>
    <w:rsid w:val="56EF204F"/>
    <w:rsid w:val="56F85528"/>
    <w:rsid w:val="57032A2C"/>
    <w:rsid w:val="570F5219"/>
    <w:rsid w:val="57150236"/>
    <w:rsid w:val="571C3E42"/>
    <w:rsid w:val="571D1B2E"/>
    <w:rsid w:val="572920EB"/>
    <w:rsid w:val="572C012C"/>
    <w:rsid w:val="575D12B5"/>
    <w:rsid w:val="57610A87"/>
    <w:rsid w:val="577B1140"/>
    <w:rsid w:val="577B7F21"/>
    <w:rsid w:val="577F181B"/>
    <w:rsid w:val="57874D86"/>
    <w:rsid w:val="57921984"/>
    <w:rsid w:val="579737F0"/>
    <w:rsid w:val="579D5315"/>
    <w:rsid w:val="57A072DC"/>
    <w:rsid w:val="57AB7B30"/>
    <w:rsid w:val="57AF5251"/>
    <w:rsid w:val="57B26373"/>
    <w:rsid w:val="57B63F04"/>
    <w:rsid w:val="57B83428"/>
    <w:rsid w:val="57CA16F3"/>
    <w:rsid w:val="57CD20C2"/>
    <w:rsid w:val="57D07FEA"/>
    <w:rsid w:val="57D573DB"/>
    <w:rsid w:val="57D675AB"/>
    <w:rsid w:val="57D918C5"/>
    <w:rsid w:val="57D95FDD"/>
    <w:rsid w:val="57E5652D"/>
    <w:rsid w:val="57F1549A"/>
    <w:rsid w:val="58047084"/>
    <w:rsid w:val="58070A5D"/>
    <w:rsid w:val="581646A6"/>
    <w:rsid w:val="582B31D0"/>
    <w:rsid w:val="584E416F"/>
    <w:rsid w:val="5859375E"/>
    <w:rsid w:val="58917D2F"/>
    <w:rsid w:val="58932672"/>
    <w:rsid w:val="5894085C"/>
    <w:rsid w:val="58AE4F0C"/>
    <w:rsid w:val="58B85899"/>
    <w:rsid w:val="58DB1FB6"/>
    <w:rsid w:val="58DC16DE"/>
    <w:rsid w:val="58E363A9"/>
    <w:rsid w:val="58F1480B"/>
    <w:rsid w:val="59034EBC"/>
    <w:rsid w:val="591470C9"/>
    <w:rsid w:val="59254A57"/>
    <w:rsid w:val="59460135"/>
    <w:rsid w:val="595E1678"/>
    <w:rsid w:val="595F4EB3"/>
    <w:rsid w:val="59696A4A"/>
    <w:rsid w:val="596D5BD4"/>
    <w:rsid w:val="597072EF"/>
    <w:rsid w:val="59722042"/>
    <w:rsid w:val="597E3DD8"/>
    <w:rsid w:val="598D7058"/>
    <w:rsid w:val="599B6EA3"/>
    <w:rsid w:val="599F412D"/>
    <w:rsid w:val="59C44CCC"/>
    <w:rsid w:val="59D32AE1"/>
    <w:rsid w:val="59D86349"/>
    <w:rsid w:val="59DD570D"/>
    <w:rsid w:val="59E9551A"/>
    <w:rsid w:val="59EC5950"/>
    <w:rsid w:val="59F80043"/>
    <w:rsid w:val="59F92CC7"/>
    <w:rsid w:val="59FF17EC"/>
    <w:rsid w:val="5A09252F"/>
    <w:rsid w:val="5A0B2778"/>
    <w:rsid w:val="5A0E316A"/>
    <w:rsid w:val="5A146C55"/>
    <w:rsid w:val="5A1F49E2"/>
    <w:rsid w:val="5A2A7C7B"/>
    <w:rsid w:val="5A3E2560"/>
    <w:rsid w:val="5A42157E"/>
    <w:rsid w:val="5A4A4207"/>
    <w:rsid w:val="5A5D3B6E"/>
    <w:rsid w:val="5A625C12"/>
    <w:rsid w:val="5A637A76"/>
    <w:rsid w:val="5A6D33BA"/>
    <w:rsid w:val="5A792B1F"/>
    <w:rsid w:val="5A874767"/>
    <w:rsid w:val="5A8F463C"/>
    <w:rsid w:val="5AAB1367"/>
    <w:rsid w:val="5AAD6F28"/>
    <w:rsid w:val="5AC051B0"/>
    <w:rsid w:val="5AD63A24"/>
    <w:rsid w:val="5ADA0928"/>
    <w:rsid w:val="5ADF0A1B"/>
    <w:rsid w:val="5AED342D"/>
    <w:rsid w:val="5AF2343A"/>
    <w:rsid w:val="5AFC1BC3"/>
    <w:rsid w:val="5B1038C0"/>
    <w:rsid w:val="5B226ED3"/>
    <w:rsid w:val="5B246C75"/>
    <w:rsid w:val="5B2E1A1D"/>
    <w:rsid w:val="5B2F09D6"/>
    <w:rsid w:val="5B603F18"/>
    <w:rsid w:val="5B833462"/>
    <w:rsid w:val="5B8347D7"/>
    <w:rsid w:val="5B843A1C"/>
    <w:rsid w:val="5B873E3F"/>
    <w:rsid w:val="5B9B13DC"/>
    <w:rsid w:val="5BB22606"/>
    <w:rsid w:val="5BD164BB"/>
    <w:rsid w:val="5BD445A4"/>
    <w:rsid w:val="5BDB3215"/>
    <w:rsid w:val="5BE72BC3"/>
    <w:rsid w:val="5BF7476C"/>
    <w:rsid w:val="5C02690E"/>
    <w:rsid w:val="5C031DC6"/>
    <w:rsid w:val="5C0A6562"/>
    <w:rsid w:val="5C196DA7"/>
    <w:rsid w:val="5C205D85"/>
    <w:rsid w:val="5C220A3A"/>
    <w:rsid w:val="5C2869E8"/>
    <w:rsid w:val="5C2A048C"/>
    <w:rsid w:val="5C545A2F"/>
    <w:rsid w:val="5C6B34A4"/>
    <w:rsid w:val="5C6C358C"/>
    <w:rsid w:val="5C6E0D96"/>
    <w:rsid w:val="5C7A4768"/>
    <w:rsid w:val="5C80234E"/>
    <w:rsid w:val="5C831903"/>
    <w:rsid w:val="5C8A680C"/>
    <w:rsid w:val="5C9127DF"/>
    <w:rsid w:val="5CA60F58"/>
    <w:rsid w:val="5CBF2D50"/>
    <w:rsid w:val="5CD5091E"/>
    <w:rsid w:val="5CDD3C76"/>
    <w:rsid w:val="5CE44EFA"/>
    <w:rsid w:val="5CE75958"/>
    <w:rsid w:val="5D011893"/>
    <w:rsid w:val="5D0A075D"/>
    <w:rsid w:val="5D0C4701"/>
    <w:rsid w:val="5D0E3E30"/>
    <w:rsid w:val="5D0F0395"/>
    <w:rsid w:val="5D136FF9"/>
    <w:rsid w:val="5D221076"/>
    <w:rsid w:val="5D383B2F"/>
    <w:rsid w:val="5D397964"/>
    <w:rsid w:val="5D3D64C3"/>
    <w:rsid w:val="5D491257"/>
    <w:rsid w:val="5D5A391C"/>
    <w:rsid w:val="5D5F10C0"/>
    <w:rsid w:val="5D7243BE"/>
    <w:rsid w:val="5D72592E"/>
    <w:rsid w:val="5D83037A"/>
    <w:rsid w:val="5D891B7B"/>
    <w:rsid w:val="5D9635FF"/>
    <w:rsid w:val="5D9D7BB3"/>
    <w:rsid w:val="5DAD38EE"/>
    <w:rsid w:val="5DD40BD5"/>
    <w:rsid w:val="5DDC06E4"/>
    <w:rsid w:val="5DDD7460"/>
    <w:rsid w:val="5DDE5264"/>
    <w:rsid w:val="5DE01E82"/>
    <w:rsid w:val="5DE702CE"/>
    <w:rsid w:val="5DF72B16"/>
    <w:rsid w:val="5E006862"/>
    <w:rsid w:val="5E0207B9"/>
    <w:rsid w:val="5E0349F2"/>
    <w:rsid w:val="5E135BA1"/>
    <w:rsid w:val="5E1834A1"/>
    <w:rsid w:val="5E1840D4"/>
    <w:rsid w:val="5E22427D"/>
    <w:rsid w:val="5E251431"/>
    <w:rsid w:val="5E261785"/>
    <w:rsid w:val="5E2E29DB"/>
    <w:rsid w:val="5E3B7091"/>
    <w:rsid w:val="5E4A7017"/>
    <w:rsid w:val="5E552BBA"/>
    <w:rsid w:val="5E5B745B"/>
    <w:rsid w:val="5E611C10"/>
    <w:rsid w:val="5EAF5C0D"/>
    <w:rsid w:val="5ECD523E"/>
    <w:rsid w:val="5EE83F9A"/>
    <w:rsid w:val="5EFC7377"/>
    <w:rsid w:val="5F06174D"/>
    <w:rsid w:val="5F0C00E7"/>
    <w:rsid w:val="5F182D44"/>
    <w:rsid w:val="5F2C4C16"/>
    <w:rsid w:val="5F3A3602"/>
    <w:rsid w:val="5F4B136B"/>
    <w:rsid w:val="5F4B2916"/>
    <w:rsid w:val="5F556FD7"/>
    <w:rsid w:val="5F587050"/>
    <w:rsid w:val="5F6277C6"/>
    <w:rsid w:val="5F6D0B1D"/>
    <w:rsid w:val="5F7A1C50"/>
    <w:rsid w:val="5F7D5B25"/>
    <w:rsid w:val="5F7E34EF"/>
    <w:rsid w:val="5F8D0B82"/>
    <w:rsid w:val="5FA46697"/>
    <w:rsid w:val="5FB056DC"/>
    <w:rsid w:val="5FCC5339"/>
    <w:rsid w:val="5FD47FCC"/>
    <w:rsid w:val="5FE34A5B"/>
    <w:rsid w:val="5FED5F7E"/>
    <w:rsid w:val="5FF90EA4"/>
    <w:rsid w:val="5FFC5682"/>
    <w:rsid w:val="5FFE1E36"/>
    <w:rsid w:val="6007225A"/>
    <w:rsid w:val="600862CC"/>
    <w:rsid w:val="601710AD"/>
    <w:rsid w:val="60232584"/>
    <w:rsid w:val="606972E1"/>
    <w:rsid w:val="607330CE"/>
    <w:rsid w:val="60825176"/>
    <w:rsid w:val="608B48D4"/>
    <w:rsid w:val="609F2AC4"/>
    <w:rsid w:val="60B65B72"/>
    <w:rsid w:val="60BB42CE"/>
    <w:rsid w:val="60CC798A"/>
    <w:rsid w:val="60FA2EE8"/>
    <w:rsid w:val="60FE42AA"/>
    <w:rsid w:val="61054A27"/>
    <w:rsid w:val="610A52BC"/>
    <w:rsid w:val="610B536B"/>
    <w:rsid w:val="611D2366"/>
    <w:rsid w:val="61421856"/>
    <w:rsid w:val="614C3178"/>
    <w:rsid w:val="615227C4"/>
    <w:rsid w:val="615A38B8"/>
    <w:rsid w:val="615B5B2A"/>
    <w:rsid w:val="6161296D"/>
    <w:rsid w:val="61654E3F"/>
    <w:rsid w:val="61700C15"/>
    <w:rsid w:val="617821BF"/>
    <w:rsid w:val="6182292A"/>
    <w:rsid w:val="619F7F92"/>
    <w:rsid w:val="61A80477"/>
    <w:rsid w:val="61AC36FA"/>
    <w:rsid w:val="61C559A1"/>
    <w:rsid w:val="61CD2D79"/>
    <w:rsid w:val="61F94C26"/>
    <w:rsid w:val="62000E56"/>
    <w:rsid w:val="620E382D"/>
    <w:rsid w:val="62435056"/>
    <w:rsid w:val="624F2F20"/>
    <w:rsid w:val="624F3E49"/>
    <w:rsid w:val="62582BDC"/>
    <w:rsid w:val="625B08CA"/>
    <w:rsid w:val="62632286"/>
    <w:rsid w:val="626E215E"/>
    <w:rsid w:val="626E32BA"/>
    <w:rsid w:val="6283706E"/>
    <w:rsid w:val="62885958"/>
    <w:rsid w:val="628C5ACD"/>
    <w:rsid w:val="629152E7"/>
    <w:rsid w:val="62984E01"/>
    <w:rsid w:val="62996CEF"/>
    <w:rsid w:val="629D5670"/>
    <w:rsid w:val="62F40B65"/>
    <w:rsid w:val="62FC2CFE"/>
    <w:rsid w:val="62FC6DD3"/>
    <w:rsid w:val="63024505"/>
    <w:rsid w:val="6306451B"/>
    <w:rsid w:val="632A0BAF"/>
    <w:rsid w:val="632E2182"/>
    <w:rsid w:val="63561C82"/>
    <w:rsid w:val="635B1DB5"/>
    <w:rsid w:val="63711FED"/>
    <w:rsid w:val="63880DDC"/>
    <w:rsid w:val="638D750D"/>
    <w:rsid w:val="63913F53"/>
    <w:rsid w:val="639435FE"/>
    <w:rsid w:val="63AC6CC0"/>
    <w:rsid w:val="63BC5880"/>
    <w:rsid w:val="63D43986"/>
    <w:rsid w:val="63D86CEC"/>
    <w:rsid w:val="64055776"/>
    <w:rsid w:val="64205BC6"/>
    <w:rsid w:val="64240056"/>
    <w:rsid w:val="642C4B68"/>
    <w:rsid w:val="643857C5"/>
    <w:rsid w:val="643E143A"/>
    <w:rsid w:val="644C27A0"/>
    <w:rsid w:val="645A7CF9"/>
    <w:rsid w:val="645C60CA"/>
    <w:rsid w:val="64714BEC"/>
    <w:rsid w:val="64781593"/>
    <w:rsid w:val="648B6EEF"/>
    <w:rsid w:val="649C61C5"/>
    <w:rsid w:val="64BB489D"/>
    <w:rsid w:val="64C158BF"/>
    <w:rsid w:val="64CE2EAA"/>
    <w:rsid w:val="64CF0348"/>
    <w:rsid w:val="64E301EE"/>
    <w:rsid w:val="64E61C88"/>
    <w:rsid w:val="653C3090"/>
    <w:rsid w:val="656E26A3"/>
    <w:rsid w:val="657B6143"/>
    <w:rsid w:val="65854376"/>
    <w:rsid w:val="658767BE"/>
    <w:rsid w:val="65892531"/>
    <w:rsid w:val="658C560E"/>
    <w:rsid w:val="65956E9C"/>
    <w:rsid w:val="65B670C7"/>
    <w:rsid w:val="65C1176D"/>
    <w:rsid w:val="66151A2D"/>
    <w:rsid w:val="66195831"/>
    <w:rsid w:val="662E75B1"/>
    <w:rsid w:val="66313021"/>
    <w:rsid w:val="66337ECA"/>
    <w:rsid w:val="66342C2E"/>
    <w:rsid w:val="663E784C"/>
    <w:rsid w:val="66596FF2"/>
    <w:rsid w:val="66613222"/>
    <w:rsid w:val="66652D12"/>
    <w:rsid w:val="66707909"/>
    <w:rsid w:val="66807B4C"/>
    <w:rsid w:val="668B6A45"/>
    <w:rsid w:val="668E4F07"/>
    <w:rsid w:val="669C5CBA"/>
    <w:rsid w:val="669E0497"/>
    <w:rsid w:val="66B01071"/>
    <w:rsid w:val="66B274F3"/>
    <w:rsid w:val="66B76D00"/>
    <w:rsid w:val="66CD3C88"/>
    <w:rsid w:val="66EB54CD"/>
    <w:rsid w:val="67023DD3"/>
    <w:rsid w:val="67112C45"/>
    <w:rsid w:val="672C3830"/>
    <w:rsid w:val="672F3F24"/>
    <w:rsid w:val="67310E46"/>
    <w:rsid w:val="67340937"/>
    <w:rsid w:val="673A143A"/>
    <w:rsid w:val="673E055F"/>
    <w:rsid w:val="67551CE3"/>
    <w:rsid w:val="675A24C7"/>
    <w:rsid w:val="6772060E"/>
    <w:rsid w:val="678064FF"/>
    <w:rsid w:val="678A5A74"/>
    <w:rsid w:val="67944D0A"/>
    <w:rsid w:val="679B36C4"/>
    <w:rsid w:val="67A22552"/>
    <w:rsid w:val="67B22DCC"/>
    <w:rsid w:val="67BE71AA"/>
    <w:rsid w:val="67D90273"/>
    <w:rsid w:val="67DE5875"/>
    <w:rsid w:val="67DF53C7"/>
    <w:rsid w:val="67E55852"/>
    <w:rsid w:val="67EB1AB4"/>
    <w:rsid w:val="67F105D6"/>
    <w:rsid w:val="67F53CE1"/>
    <w:rsid w:val="67FA1285"/>
    <w:rsid w:val="682269E1"/>
    <w:rsid w:val="68353B8B"/>
    <w:rsid w:val="683B1BC8"/>
    <w:rsid w:val="68464DC5"/>
    <w:rsid w:val="6854113D"/>
    <w:rsid w:val="68551F4F"/>
    <w:rsid w:val="685E5C6B"/>
    <w:rsid w:val="687C10C9"/>
    <w:rsid w:val="68840C16"/>
    <w:rsid w:val="68876EFB"/>
    <w:rsid w:val="68884654"/>
    <w:rsid w:val="689F444F"/>
    <w:rsid w:val="68B166E3"/>
    <w:rsid w:val="68B96DBB"/>
    <w:rsid w:val="68C116E7"/>
    <w:rsid w:val="68C2564E"/>
    <w:rsid w:val="68C450DB"/>
    <w:rsid w:val="68CA2805"/>
    <w:rsid w:val="68CA6994"/>
    <w:rsid w:val="68CB0E27"/>
    <w:rsid w:val="68E937A3"/>
    <w:rsid w:val="69036813"/>
    <w:rsid w:val="690D582F"/>
    <w:rsid w:val="69154FBD"/>
    <w:rsid w:val="692F7B9E"/>
    <w:rsid w:val="69320EA6"/>
    <w:rsid w:val="693E15D3"/>
    <w:rsid w:val="69627681"/>
    <w:rsid w:val="696D4DFA"/>
    <w:rsid w:val="6977531D"/>
    <w:rsid w:val="69A2427D"/>
    <w:rsid w:val="69B71EBC"/>
    <w:rsid w:val="69B848FC"/>
    <w:rsid w:val="69C02F33"/>
    <w:rsid w:val="69C064B2"/>
    <w:rsid w:val="69CC2BFF"/>
    <w:rsid w:val="69D5399A"/>
    <w:rsid w:val="69E47C01"/>
    <w:rsid w:val="69EF3BD1"/>
    <w:rsid w:val="69F01B9F"/>
    <w:rsid w:val="69F756F6"/>
    <w:rsid w:val="69FD55B8"/>
    <w:rsid w:val="6A0740E0"/>
    <w:rsid w:val="6A0B1C62"/>
    <w:rsid w:val="6A0E546F"/>
    <w:rsid w:val="6A1879E8"/>
    <w:rsid w:val="6A2406C8"/>
    <w:rsid w:val="6A4A0458"/>
    <w:rsid w:val="6A7E45FB"/>
    <w:rsid w:val="6A812359"/>
    <w:rsid w:val="6A8C4CE6"/>
    <w:rsid w:val="6A9A6387"/>
    <w:rsid w:val="6AAB3ED7"/>
    <w:rsid w:val="6ABC167B"/>
    <w:rsid w:val="6AC31CBE"/>
    <w:rsid w:val="6AC954A6"/>
    <w:rsid w:val="6ACF2E50"/>
    <w:rsid w:val="6ADE0BD1"/>
    <w:rsid w:val="6AE6019A"/>
    <w:rsid w:val="6AE96859"/>
    <w:rsid w:val="6AFA41DD"/>
    <w:rsid w:val="6B147746"/>
    <w:rsid w:val="6B24787C"/>
    <w:rsid w:val="6B357E3D"/>
    <w:rsid w:val="6B3929BF"/>
    <w:rsid w:val="6B3A254D"/>
    <w:rsid w:val="6B573233"/>
    <w:rsid w:val="6B5B6274"/>
    <w:rsid w:val="6B6920A6"/>
    <w:rsid w:val="6B7F24A8"/>
    <w:rsid w:val="6B935D53"/>
    <w:rsid w:val="6B943D7F"/>
    <w:rsid w:val="6BBF5E5E"/>
    <w:rsid w:val="6BCE28C6"/>
    <w:rsid w:val="6BD86FC5"/>
    <w:rsid w:val="6BE04891"/>
    <w:rsid w:val="6BE648F5"/>
    <w:rsid w:val="6BF958E1"/>
    <w:rsid w:val="6C0B35B2"/>
    <w:rsid w:val="6C196F71"/>
    <w:rsid w:val="6C1F1BB5"/>
    <w:rsid w:val="6C226FCB"/>
    <w:rsid w:val="6C31226F"/>
    <w:rsid w:val="6C3F3B3F"/>
    <w:rsid w:val="6C496C32"/>
    <w:rsid w:val="6C552F0B"/>
    <w:rsid w:val="6C8C67B7"/>
    <w:rsid w:val="6C9C4FB4"/>
    <w:rsid w:val="6C9D744C"/>
    <w:rsid w:val="6CB0280D"/>
    <w:rsid w:val="6CB34986"/>
    <w:rsid w:val="6CE86A00"/>
    <w:rsid w:val="6D06067F"/>
    <w:rsid w:val="6D0D692A"/>
    <w:rsid w:val="6D167928"/>
    <w:rsid w:val="6D26299B"/>
    <w:rsid w:val="6D2F659C"/>
    <w:rsid w:val="6D3E7B9E"/>
    <w:rsid w:val="6D4772EC"/>
    <w:rsid w:val="6D4A4A10"/>
    <w:rsid w:val="6D536141"/>
    <w:rsid w:val="6D6C0E2A"/>
    <w:rsid w:val="6D6F7C04"/>
    <w:rsid w:val="6D8141C3"/>
    <w:rsid w:val="6D8343C6"/>
    <w:rsid w:val="6D9078AF"/>
    <w:rsid w:val="6D9E2FAE"/>
    <w:rsid w:val="6DAA3FEF"/>
    <w:rsid w:val="6DB30807"/>
    <w:rsid w:val="6DBD77C1"/>
    <w:rsid w:val="6DC0172B"/>
    <w:rsid w:val="6DCB690C"/>
    <w:rsid w:val="6DCF0754"/>
    <w:rsid w:val="6DD41A5B"/>
    <w:rsid w:val="6DF43C2E"/>
    <w:rsid w:val="6DF51CA3"/>
    <w:rsid w:val="6E0C170B"/>
    <w:rsid w:val="6E0F2EA4"/>
    <w:rsid w:val="6E180A6F"/>
    <w:rsid w:val="6E1D2124"/>
    <w:rsid w:val="6E3000AA"/>
    <w:rsid w:val="6E4057A2"/>
    <w:rsid w:val="6E5A623E"/>
    <w:rsid w:val="6E7066F8"/>
    <w:rsid w:val="6E8335BD"/>
    <w:rsid w:val="6E8479ED"/>
    <w:rsid w:val="6E8B4A99"/>
    <w:rsid w:val="6E8E12EF"/>
    <w:rsid w:val="6E8F4877"/>
    <w:rsid w:val="6E972936"/>
    <w:rsid w:val="6E9E5B00"/>
    <w:rsid w:val="6ED446C5"/>
    <w:rsid w:val="6EEB3FD1"/>
    <w:rsid w:val="6F0F6AD0"/>
    <w:rsid w:val="6F1570A7"/>
    <w:rsid w:val="6F172299"/>
    <w:rsid w:val="6F2A7D94"/>
    <w:rsid w:val="6F2D4A05"/>
    <w:rsid w:val="6F3C482C"/>
    <w:rsid w:val="6F412BA0"/>
    <w:rsid w:val="6F4B2014"/>
    <w:rsid w:val="6F6F0244"/>
    <w:rsid w:val="6F80522B"/>
    <w:rsid w:val="6F8331F1"/>
    <w:rsid w:val="6F875189"/>
    <w:rsid w:val="6FAE1A09"/>
    <w:rsid w:val="6FC62348"/>
    <w:rsid w:val="6FCA008A"/>
    <w:rsid w:val="6FD75BF8"/>
    <w:rsid w:val="6FFB5146"/>
    <w:rsid w:val="7030295B"/>
    <w:rsid w:val="70383246"/>
    <w:rsid w:val="703B7829"/>
    <w:rsid w:val="70423FD9"/>
    <w:rsid w:val="70426134"/>
    <w:rsid w:val="70444548"/>
    <w:rsid w:val="704A4D27"/>
    <w:rsid w:val="70706E37"/>
    <w:rsid w:val="70764150"/>
    <w:rsid w:val="707723D0"/>
    <w:rsid w:val="707B1384"/>
    <w:rsid w:val="70827C5B"/>
    <w:rsid w:val="708E0A52"/>
    <w:rsid w:val="709C24CA"/>
    <w:rsid w:val="70A1504C"/>
    <w:rsid w:val="70AF4583"/>
    <w:rsid w:val="70C747BE"/>
    <w:rsid w:val="70D4240C"/>
    <w:rsid w:val="70E03262"/>
    <w:rsid w:val="70E37655"/>
    <w:rsid w:val="70F5661B"/>
    <w:rsid w:val="70FC162C"/>
    <w:rsid w:val="71140EDA"/>
    <w:rsid w:val="712007C5"/>
    <w:rsid w:val="71280AC2"/>
    <w:rsid w:val="71296EFD"/>
    <w:rsid w:val="71360107"/>
    <w:rsid w:val="71370DFE"/>
    <w:rsid w:val="713B688E"/>
    <w:rsid w:val="71436346"/>
    <w:rsid w:val="71451B23"/>
    <w:rsid w:val="716D7745"/>
    <w:rsid w:val="717B6263"/>
    <w:rsid w:val="71805602"/>
    <w:rsid w:val="71CC608C"/>
    <w:rsid w:val="71D43752"/>
    <w:rsid w:val="71DC54C0"/>
    <w:rsid w:val="71E002A1"/>
    <w:rsid w:val="71E837E6"/>
    <w:rsid w:val="71EE501B"/>
    <w:rsid w:val="71F1796A"/>
    <w:rsid w:val="72154626"/>
    <w:rsid w:val="72262B5D"/>
    <w:rsid w:val="72283FF7"/>
    <w:rsid w:val="722A4E10"/>
    <w:rsid w:val="722E7212"/>
    <w:rsid w:val="723A0474"/>
    <w:rsid w:val="724539F8"/>
    <w:rsid w:val="725923E4"/>
    <w:rsid w:val="72710E68"/>
    <w:rsid w:val="72864BF7"/>
    <w:rsid w:val="729023FC"/>
    <w:rsid w:val="72991030"/>
    <w:rsid w:val="729915CE"/>
    <w:rsid w:val="729C6F3E"/>
    <w:rsid w:val="72AD22E1"/>
    <w:rsid w:val="72E6359F"/>
    <w:rsid w:val="73137F9A"/>
    <w:rsid w:val="731742D0"/>
    <w:rsid w:val="731955B0"/>
    <w:rsid w:val="734F0FF3"/>
    <w:rsid w:val="73643F2E"/>
    <w:rsid w:val="739A11A0"/>
    <w:rsid w:val="73C0646E"/>
    <w:rsid w:val="73C92407"/>
    <w:rsid w:val="73CE7C58"/>
    <w:rsid w:val="73D95081"/>
    <w:rsid w:val="740438BA"/>
    <w:rsid w:val="7407365B"/>
    <w:rsid w:val="740B0B57"/>
    <w:rsid w:val="742222F5"/>
    <w:rsid w:val="7426187A"/>
    <w:rsid w:val="742D5398"/>
    <w:rsid w:val="742F2BB2"/>
    <w:rsid w:val="74315D68"/>
    <w:rsid w:val="7439279F"/>
    <w:rsid w:val="74476126"/>
    <w:rsid w:val="74685100"/>
    <w:rsid w:val="74706664"/>
    <w:rsid w:val="74792DAA"/>
    <w:rsid w:val="747F3682"/>
    <w:rsid w:val="749C4185"/>
    <w:rsid w:val="74BF59FB"/>
    <w:rsid w:val="74C85DB6"/>
    <w:rsid w:val="74CF4EC9"/>
    <w:rsid w:val="75067759"/>
    <w:rsid w:val="752B5DB7"/>
    <w:rsid w:val="752E6DCD"/>
    <w:rsid w:val="7533222E"/>
    <w:rsid w:val="754D5AA2"/>
    <w:rsid w:val="7551380D"/>
    <w:rsid w:val="75555F04"/>
    <w:rsid w:val="75600BE5"/>
    <w:rsid w:val="7564475C"/>
    <w:rsid w:val="756C6C89"/>
    <w:rsid w:val="7574140D"/>
    <w:rsid w:val="7583797F"/>
    <w:rsid w:val="758B5E3B"/>
    <w:rsid w:val="75954C96"/>
    <w:rsid w:val="759E179B"/>
    <w:rsid w:val="75A373B3"/>
    <w:rsid w:val="75AF3FF1"/>
    <w:rsid w:val="75B00DA7"/>
    <w:rsid w:val="75B165AB"/>
    <w:rsid w:val="75D20F1D"/>
    <w:rsid w:val="75DA2C18"/>
    <w:rsid w:val="75E83018"/>
    <w:rsid w:val="75F54412"/>
    <w:rsid w:val="75FE6CDF"/>
    <w:rsid w:val="76033702"/>
    <w:rsid w:val="760A5684"/>
    <w:rsid w:val="760F2C9B"/>
    <w:rsid w:val="761C2309"/>
    <w:rsid w:val="761D08E0"/>
    <w:rsid w:val="76206A90"/>
    <w:rsid w:val="762322A2"/>
    <w:rsid w:val="76515EF5"/>
    <w:rsid w:val="765D347C"/>
    <w:rsid w:val="765F126C"/>
    <w:rsid w:val="76826699"/>
    <w:rsid w:val="7690015C"/>
    <w:rsid w:val="76BA7A1F"/>
    <w:rsid w:val="76C43680"/>
    <w:rsid w:val="76C87133"/>
    <w:rsid w:val="76CD08D5"/>
    <w:rsid w:val="76DB4B92"/>
    <w:rsid w:val="770110A1"/>
    <w:rsid w:val="77021C1D"/>
    <w:rsid w:val="77052AA4"/>
    <w:rsid w:val="770866FF"/>
    <w:rsid w:val="7713250F"/>
    <w:rsid w:val="77136511"/>
    <w:rsid w:val="771613AE"/>
    <w:rsid w:val="77340A39"/>
    <w:rsid w:val="77351FD0"/>
    <w:rsid w:val="77386161"/>
    <w:rsid w:val="77414F47"/>
    <w:rsid w:val="77457985"/>
    <w:rsid w:val="77472422"/>
    <w:rsid w:val="774E6E46"/>
    <w:rsid w:val="775545E5"/>
    <w:rsid w:val="77727630"/>
    <w:rsid w:val="777F31F2"/>
    <w:rsid w:val="77A57603"/>
    <w:rsid w:val="77B207CD"/>
    <w:rsid w:val="77B22E90"/>
    <w:rsid w:val="77D1700D"/>
    <w:rsid w:val="77D777E8"/>
    <w:rsid w:val="77DB6BE6"/>
    <w:rsid w:val="77EC04CC"/>
    <w:rsid w:val="77F3473C"/>
    <w:rsid w:val="77F55EC0"/>
    <w:rsid w:val="781C51FB"/>
    <w:rsid w:val="782F21C9"/>
    <w:rsid w:val="78395DAD"/>
    <w:rsid w:val="785E75AD"/>
    <w:rsid w:val="78775729"/>
    <w:rsid w:val="7878706D"/>
    <w:rsid w:val="789C4865"/>
    <w:rsid w:val="78A42DB0"/>
    <w:rsid w:val="78A656AB"/>
    <w:rsid w:val="78B10039"/>
    <w:rsid w:val="78B2245C"/>
    <w:rsid w:val="78B73293"/>
    <w:rsid w:val="78BD2AE3"/>
    <w:rsid w:val="78D6184E"/>
    <w:rsid w:val="78E172CC"/>
    <w:rsid w:val="78E558A6"/>
    <w:rsid w:val="78EA1D1F"/>
    <w:rsid w:val="78FA19E0"/>
    <w:rsid w:val="7904172F"/>
    <w:rsid w:val="790D44A7"/>
    <w:rsid w:val="790E79E2"/>
    <w:rsid w:val="790F7E27"/>
    <w:rsid w:val="7913466E"/>
    <w:rsid w:val="79167E9C"/>
    <w:rsid w:val="79202C44"/>
    <w:rsid w:val="79216A1F"/>
    <w:rsid w:val="792A231A"/>
    <w:rsid w:val="79316829"/>
    <w:rsid w:val="79440F0B"/>
    <w:rsid w:val="79764419"/>
    <w:rsid w:val="797E66A9"/>
    <w:rsid w:val="79A100AE"/>
    <w:rsid w:val="79A97383"/>
    <w:rsid w:val="79AD3C96"/>
    <w:rsid w:val="79C175F9"/>
    <w:rsid w:val="79D77D74"/>
    <w:rsid w:val="79E27E8B"/>
    <w:rsid w:val="79EE79A7"/>
    <w:rsid w:val="79F850CE"/>
    <w:rsid w:val="79FD443C"/>
    <w:rsid w:val="7A0E5017"/>
    <w:rsid w:val="7A191B7B"/>
    <w:rsid w:val="7A1D1975"/>
    <w:rsid w:val="7A3E5150"/>
    <w:rsid w:val="7A4670D6"/>
    <w:rsid w:val="7A534B63"/>
    <w:rsid w:val="7A5F5873"/>
    <w:rsid w:val="7A615382"/>
    <w:rsid w:val="7A67303B"/>
    <w:rsid w:val="7A7C6561"/>
    <w:rsid w:val="7A8A5390"/>
    <w:rsid w:val="7AAB1D04"/>
    <w:rsid w:val="7ABA4368"/>
    <w:rsid w:val="7ABA5A5E"/>
    <w:rsid w:val="7AC758F2"/>
    <w:rsid w:val="7ACD4DD5"/>
    <w:rsid w:val="7ACF29F8"/>
    <w:rsid w:val="7AD05746"/>
    <w:rsid w:val="7AE2272C"/>
    <w:rsid w:val="7B017E0B"/>
    <w:rsid w:val="7B1E10F0"/>
    <w:rsid w:val="7B257FFD"/>
    <w:rsid w:val="7B343476"/>
    <w:rsid w:val="7B362A78"/>
    <w:rsid w:val="7B4679A3"/>
    <w:rsid w:val="7B5A2978"/>
    <w:rsid w:val="7B5A7E4C"/>
    <w:rsid w:val="7B667AF9"/>
    <w:rsid w:val="7B722A71"/>
    <w:rsid w:val="7B7468F8"/>
    <w:rsid w:val="7B8732D3"/>
    <w:rsid w:val="7B973637"/>
    <w:rsid w:val="7BAB5214"/>
    <w:rsid w:val="7BBB7869"/>
    <w:rsid w:val="7BBD2817"/>
    <w:rsid w:val="7BCA093E"/>
    <w:rsid w:val="7BDE0BC1"/>
    <w:rsid w:val="7BE1474D"/>
    <w:rsid w:val="7BEE0103"/>
    <w:rsid w:val="7BF6244F"/>
    <w:rsid w:val="7BFD3327"/>
    <w:rsid w:val="7BFF730D"/>
    <w:rsid w:val="7C0A0FE4"/>
    <w:rsid w:val="7C0A4AB0"/>
    <w:rsid w:val="7C254906"/>
    <w:rsid w:val="7C286864"/>
    <w:rsid w:val="7C2D3E7B"/>
    <w:rsid w:val="7C4D0079"/>
    <w:rsid w:val="7C590818"/>
    <w:rsid w:val="7C7C10F6"/>
    <w:rsid w:val="7C8276E1"/>
    <w:rsid w:val="7C8415C1"/>
    <w:rsid w:val="7C853BEA"/>
    <w:rsid w:val="7C881368"/>
    <w:rsid w:val="7CE27788"/>
    <w:rsid w:val="7D0C32F1"/>
    <w:rsid w:val="7D0F408D"/>
    <w:rsid w:val="7D1F485D"/>
    <w:rsid w:val="7D254B52"/>
    <w:rsid w:val="7D491C6C"/>
    <w:rsid w:val="7D5429C0"/>
    <w:rsid w:val="7D5E0B9A"/>
    <w:rsid w:val="7D6E6D43"/>
    <w:rsid w:val="7D834497"/>
    <w:rsid w:val="7D8F44D2"/>
    <w:rsid w:val="7D901F30"/>
    <w:rsid w:val="7DA04833"/>
    <w:rsid w:val="7DB042A2"/>
    <w:rsid w:val="7DB33A21"/>
    <w:rsid w:val="7DB57A34"/>
    <w:rsid w:val="7DDF11A4"/>
    <w:rsid w:val="7DDF6644"/>
    <w:rsid w:val="7DE60973"/>
    <w:rsid w:val="7DE655B3"/>
    <w:rsid w:val="7DEF0916"/>
    <w:rsid w:val="7E0368A3"/>
    <w:rsid w:val="7E0C30A1"/>
    <w:rsid w:val="7E1E5218"/>
    <w:rsid w:val="7E32168D"/>
    <w:rsid w:val="7E3F39F1"/>
    <w:rsid w:val="7E4E00D8"/>
    <w:rsid w:val="7E507BCA"/>
    <w:rsid w:val="7E5C0A47"/>
    <w:rsid w:val="7E84532A"/>
    <w:rsid w:val="7E9957F7"/>
    <w:rsid w:val="7E9A331D"/>
    <w:rsid w:val="7E9A4E1F"/>
    <w:rsid w:val="7E9E60C3"/>
    <w:rsid w:val="7EA7723A"/>
    <w:rsid w:val="7ECB618F"/>
    <w:rsid w:val="7EE10F4C"/>
    <w:rsid w:val="7EF56FBB"/>
    <w:rsid w:val="7F042BD6"/>
    <w:rsid w:val="7F0569E9"/>
    <w:rsid w:val="7F0768EB"/>
    <w:rsid w:val="7F143BEC"/>
    <w:rsid w:val="7F1A6A43"/>
    <w:rsid w:val="7F2B6368"/>
    <w:rsid w:val="7F370B6C"/>
    <w:rsid w:val="7F405C73"/>
    <w:rsid w:val="7F482D79"/>
    <w:rsid w:val="7F4D6BBA"/>
    <w:rsid w:val="7F515A2D"/>
    <w:rsid w:val="7F6F6558"/>
    <w:rsid w:val="7F715AF2"/>
    <w:rsid w:val="7F886E69"/>
    <w:rsid w:val="7F9A1827"/>
    <w:rsid w:val="7FAE7D05"/>
    <w:rsid w:val="7FB97D2B"/>
    <w:rsid w:val="7FBD5B5A"/>
    <w:rsid w:val="7FF750A2"/>
    <w:rsid w:val="7FF87E3A"/>
    <w:rsid w:val="7FFB5CE1"/>
    <w:rsid w:val="ADCAE25E"/>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734"/>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8"/>
    <w:link w:val="797"/>
    <w:qFormat/>
    <w:uiPriority w:val="99"/>
    <w:pPr>
      <w:spacing w:line="480" w:lineRule="exact"/>
      <w:ind w:firstLine="480" w:firstLineChars="200"/>
    </w:pPr>
    <w:rPr>
      <w:rFonts w:ascii="宋体" w:hAnsi="宋体"/>
      <w:sz w:val="24"/>
    </w:rPr>
  </w:style>
  <w:style w:type="paragraph" w:styleId="18">
    <w:name w:val="Body Text First Indent 2"/>
    <w:basedOn w:val="17"/>
    <w:next w:val="19"/>
    <w:link w:val="979"/>
    <w:qFormat/>
    <w:uiPriority w:val="0"/>
    <w:pPr>
      <w:adjustRightInd/>
      <w:spacing w:after="120" w:line="240" w:lineRule="auto"/>
      <w:ind w:left="420" w:leftChars="200" w:firstLine="210"/>
    </w:pPr>
    <w:rPr>
      <w:sz w:val="21"/>
    </w:rPr>
  </w:style>
  <w:style w:type="paragraph" w:styleId="19">
    <w:name w:val="Body Text First Indent"/>
    <w:basedOn w:val="20"/>
    <w:link w:val="848"/>
    <w:qFormat/>
    <w:uiPriority w:val="0"/>
    <w:pPr>
      <w:ind w:firstLine="420"/>
    </w:pPr>
    <w:rPr>
      <w:rFonts w:hAnsi="Calibri" w:cs="Times New Roman"/>
      <w:szCs w:val="20"/>
    </w:rPr>
  </w:style>
  <w:style w:type="paragraph" w:styleId="20">
    <w:name w:val="Body Text"/>
    <w:basedOn w:val="1"/>
    <w:next w:val="19"/>
    <w:link w:val="946"/>
    <w:qFormat/>
    <w:uiPriority w:val="0"/>
    <w:pPr>
      <w:autoSpaceDE w:val="0"/>
      <w:autoSpaceDN w:val="0"/>
      <w:spacing w:line="360" w:lineRule="auto"/>
    </w:pPr>
    <w:rPr>
      <w:rFonts w:ascii="宋体" w:hAnsi="Arial" w:cs="Arial"/>
      <w:snapToGrid w:val="0"/>
      <w:sz w:val="24"/>
      <w:szCs w:val="21"/>
      <w:lang w:val="zh-CN"/>
    </w:rPr>
  </w:style>
  <w:style w:type="paragraph" w:styleId="21">
    <w:name w:val="caption"/>
    <w:basedOn w:val="1"/>
    <w:next w:val="1"/>
    <w:link w:val="766"/>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41"/>
    <w:qFormat/>
    <w:uiPriority w:val="0"/>
    <w:pPr>
      <w:shd w:val="clear" w:color="auto" w:fill="000080"/>
    </w:pPr>
  </w:style>
  <w:style w:type="paragraph" w:styleId="24">
    <w:name w:val="annotation text"/>
    <w:basedOn w:val="1"/>
    <w:link w:val="869"/>
    <w:qFormat/>
    <w:uiPriority w:val="99"/>
    <w:pPr>
      <w:jc w:val="left"/>
    </w:pPr>
    <w:rPr>
      <w:rFonts w:hint="eastAsia" w:ascii="宋体" w:hAnsi="宋体"/>
      <w:szCs w:val="20"/>
    </w:rPr>
  </w:style>
  <w:style w:type="paragraph" w:styleId="25">
    <w:name w:val="Salutation"/>
    <w:basedOn w:val="1"/>
    <w:next w:val="1"/>
    <w:link w:val="829"/>
    <w:qFormat/>
    <w:uiPriority w:val="0"/>
    <w:rPr>
      <w:rFonts w:ascii="仿宋_GB2312" w:eastAsia="仿宋_GB2312"/>
      <w:sz w:val="28"/>
      <w:szCs w:val="20"/>
    </w:rPr>
  </w:style>
  <w:style w:type="paragraph" w:styleId="26">
    <w:name w:val="Body Text 3"/>
    <w:basedOn w:val="1"/>
    <w:link w:val="857"/>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73"/>
    <w:qFormat/>
    <w:uiPriority w:val="99"/>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23"/>
    <w:qFormat/>
    <w:uiPriority w:val="0"/>
    <w:pPr>
      <w:ind w:left="100" w:leftChars="2500"/>
    </w:pPr>
    <w:rPr>
      <w:rFonts w:ascii="宋体"/>
      <w:sz w:val="24"/>
      <w:szCs w:val="21"/>
      <w:lang w:val="zh-CN"/>
    </w:rPr>
  </w:style>
  <w:style w:type="paragraph" w:styleId="39">
    <w:name w:val="Body Text Indent 2"/>
    <w:basedOn w:val="1"/>
    <w:link w:val="837"/>
    <w:qFormat/>
    <w:uiPriority w:val="0"/>
    <w:pPr>
      <w:spacing w:line="360" w:lineRule="auto"/>
      <w:ind w:firstLine="601"/>
      <w:textAlignment w:val="baseline"/>
    </w:pPr>
    <w:rPr>
      <w:rFonts w:ascii="宋体"/>
      <w:kern w:val="0"/>
      <w:sz w:val="28"/>
      <w:szCs w:val="20"/>
    </w:rPr>
  </w:style>
  <w:style w:type="paragraph" w:styleId="40">
    <w:name w:val="endnote text"/>
    <w:basedOn w:val="1"/>
    <w:link w:val="954"/>
    <w:qFormat/>
    <w:uiPriority w:val="0"/>
    <w:rPr>
      <w:lang w:val="zh-CN"/>
    </w:rPr>
  </w:style>
  <w:style w:type="paragraph" w:styleId="41">
    <w:name w:val="Balloon Text"/>
    <w:basedOn w:val="1"/>
    <w:link w:val="730"/>
    <w:qFormat/>
    <w:uiPriority w:val="99"/>
    <w:rPr>
      <w:sz w:val="18"/>
      <w:szCs w:val="18"/>
    </w:rPr>
  </w:style>
  <w:style w:type="paragraph" w:styleId="42">
    <w:name w:val="footer"/>
    <w:basedOn w:val="1"/>
    <w:link w:val="905"/>
    <w:qFormat/>
    <w:uiPriority w:val="99"/>
    <w:pPr>
      <w:tabs>
        <w:tab w:val="center" w:pos="4153"/>
        <w:tab w:val="right" w:pos="8306"/>
      </w:tabs>
      <w:snapToGrid w:val="0"/>
      <w:jc w:val="left"/>
    </w:pPr>
    <w:rPr>
      <w:sz w:val="18"/>
      <w:szCs w:val="18"/>
    </w:rPr>
  </w:style>
  <w:style w:type="paragraph" w:styleId="43">
    <w:name w:val="envelope return"/>
    <w:basedOn w:val="1"/>
    <w:next w:val="1"/>
    <w:qFormat/>
    <w:uiPriority w:val="0"/>
    <w:pPr>
      <w:widowControl/>
      <w:snapToGrid w:val="0"/>
      <w:spacing w:line="357" w:lineRule="atLeast"/>
      <w:textAlignment w:val="baseline"/>
    </w:pPr>
    <w:rPr>
      <w:color w:val="000000"/>
      <w:kern w:val="0"/>
      <w:szCs w:val="20"/>
      <w:u w:val="none" w:color="000000"/>
    </w:rPr>
  </w:style>
  <w:style w:type="paragraph" w:styleId="44">
    <w:name w:val="header"/>
    <w:basedOn w:val="1"/>
    <w:link w:val="91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70"/>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8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
    <w:link w:val="839"/>
    <w:qFormat/>
    <w:uiPriority w:val="0"/>
    <w:pPr>
      <w:adjustRightInd/>
      <w:spacing w:before="60" w:after="60" w:line="300" w:lineRule="exact"/>
    </w:pPr>
    <w:rPr>
      <w:rFonts w:ascii="Calibri"/>
      <w:color w:val="0000FF"/>
      <w:kern w:val="0"/>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98"/>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33"/>
    <w:qFormat/>
    <w:uiPriority w:val="0"/>
    <w:pPr>
      <w:spacing w:after="120" w:line="480" w:lineRule="auto"/>
    </w:pPr>
  </w:style>
  <w:style w:type="paragraph" w:styleId="60">
    <w:name w:val="HTML Preformatted"/>
    <w:basedOn w:val="1"/>
    <w:link w:val="8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17"/>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4"/>
    <w:next w:val="24"/>
    <w:link w:val="646"/>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xl53"/>
    <w:basedOn w:val="1"/>
    <w:next w:val="1"/>
    <w:qFormat/>
    <w:uiPriority w:val="0"/>
    <w:pPr>
      <w:spacing w:before="280" w:after="280" w:line="100" w:lineRule="exact"/>
      <w:jc w:val="center"/>
    </w:pPr>
    <w:rPr>
      <w:rFonts w:ascii="宋体"/>
      <w:b/>
      <w:sz w:val="20"/>
    </w:rPr>
  </w:style>
  <w:style w:type="paragraph" w:customStyle="1" w:styleId="82">
    <w:name w:val="表格非标题文字"/>
    <w:link w:val="63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36"/>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44"/>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51"/>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6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78"/>
    <w:qFormat/>
    <w:uiPriority w:val="0"/>
    <w:pPr>
      <w:spacing w:before="156" w:line="360" w:lineRule="auto"/>
      <w:ind w:firstLine="510" w:firstLineChars="200"/>
    </w:pPr>
    <w:rPr>
      <w:sz w:val="24"/>
      <w:szCs w:val="20"/>
    </w:rPr>
  </w:style>
  <w:style w:type="paragraph" w:customStyle="1" w:styleId="88">
    <w:name w:val="无间隔1"/>
    <w:link w:val="686"/>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94"/>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704"/>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2"/>
    <w:link w:val="71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33"/>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39"/>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5"/>
    <w:link w:val="76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63"/>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next w:val="99"/>
    <w:link w:val="77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0">
    <w:name w:val="正文样式"/>
    <w:basedOn w:val="1"/>
    <w:link w:val="781"/>
    <w:qFormat/>
    <w:uiPriority w:val="0"/>
    <w:pPr>
      <w:adjustRightInd/>
      <w:spacing w:line="360" w:lineRule="auto"/>
      <w:ind w:firstLine="480" w:firstLineChars="200"/>
    </w:pPr>
    <w:rPr>
      <w:kern w:val="0"/>
      <w:sz w:val="24"/>
    </w:rPr>
  </w:style>
  <w:style w:type="paragraph" w:customStyle="1" w:styleId="101">
    <w:name w:val="gf正文1"/>
    <w:basedOn w:val="1"/>
    <w:link w:val="78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9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表段落1"/>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12"/>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34"/>
    <w:qFormat/>
    <w:uiPriority w:val="0"/>
    <w:pPr>
      <w:tabs>
        <w:tab w:val="left" w:pos="2356"/>
      </w:tabs>
    </w:pPr>
  </w:style>
  <w:style w:type="paragraph" w:customStyle="1" w:styleId="106">
    <w:name w:val="样式 标题 4h4H4Fab-4T5Ref Heading 1rh1Heading sqlsect 1.2.3...."/>
    <w:basedOn w:val="5"/>
    <w:link w:val="93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4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47"/>
    <w:qFormat/>
    <w:uiPriority w:val="0"/>
    <w:pPr>
      <w:adjustRightInd/>
    </w:pPr>
    <w:rPr>
      <w:rFonts w:ascii="宋体" w:hAnsi="Courier New"/>
      <w:kern w:val="0"/>
      <w:sz w:val="20"/>
      <w:szCs w:val="20"/>
    </w:rPr>
  </w:style>
  <w:style w:type="paragraph" w:customStyle="1" w:styleId="109">
    <w:name w:val="正文说明"/>
    <w:basedOn w:val="1"/>
    <w:link w:val="859"/>
    <w:qFormat/>
    <w:uiPriority w:val="0"/>
    <w:pPr>
      <w:adjustRightInd/>
      <w:spacing w:line="360" w:lineRule="auto"/>
    </w:pPr>
    <w:rPr>
      <w:kern w:val="0"/>
      <w:sz w:val="24"/>
    </w:rPr>
  </w:style>
  <w:style w:type="paragraph" w:customStyle="1" w:styleId="110">
    <w:name w:val="Table Text"/>
    <w:basedOn w:val="1"/>
    <w:link w:val="865"/>
    <w:qFormat/>
    <w:uiPriority w:val="0"/>
    <w:pPr>
      <w:widowControl/>
      <w:spacing w:before="60" w:after="60"/>
      <w:jc w:val="left"/>
    </w:pPr>
    <w:rPr>
      <w:kern w:val="0"/>
      <w:sz w:val="24"/>
    </w:rPr>
  </w:style>
  <w:style w:type="paragraph" w:customStyle="1" w:styleId="111">
    <w:name w:val="公文正文"/>
    <w:basedOn w:val="1"/>
    <w:link w:val="877"/>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8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910"/>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17"/>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20"/>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26"/>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33"/>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6"/>
    <w:link w:val="94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25"/>
    <w:next w:val="125"/>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125">
    <w:name w:val="第一部分"/>
    <w:basedOn w:val="1"/>
    <w:qFormat/>
    <w:uiPriority w:val="0"/>
    <w:pPr>
      <w:jc w:val="center"/>
    </w:pPr>
    <w:rPr>
      <w:b/>
      <w:sz w:val="36"/>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5"/>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55"/>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6"/>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19"/>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5"/>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98"/>
    <w:next w:val="98"/>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98"/>
    <w:next w:val="98"/>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1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9"/>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3"/>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5"/>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0"/>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9"/>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0"/>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0"/>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1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23"/>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59"/>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5"/>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0"/>
    <w:pPr>
      <w:adjustRightInd/>
      <w:ind w:firstLine="420" w:firstLineChars="200"/>
    </w:pPr>
    <w:rPr>
      <w:rFonts w:eastAsia="仿宋_GB2312"/>
      <w:sz w:val="28"/>
    </w:rPr>
  </w:style>
  <w:style w:type="paragraph" w:customStyle="1" w:styleId="580">
    <w:name w:val="表格 内容"/>
    <w:basedOn w:val="416"/>
    <w:qFormat/>
    <w:uiPriority w:val="0"/>
    <w:rPr>
      <w:b w:val="0"/>
      <w:sz w:val="20"/>
    </w:rPr>
  </w:style>
  <w:style w:type="paragraph" w:customStyle="1" w:styleId="581">
    <w:name w:val="正文首行缩进1"/>
    <w:basedOn w:val="20"/>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6"/>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0"/>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0"/>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49"/>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56"/>
    <w:qFormat/>
    <w:uiPriority w:val="0"/>
    <w:pPr>
      <w:adjustRightInd/>
      <w:spacing w:line="360" w:lineRule="auto"/>
      <w:ind w:firstLine="480" w:firstLineChars="200"/>
    </w:pPr>
    <w:rPr>
      <w:rFonts w:cs="宋体"/>
      <w:sz w:val="24"/>
      <w:szCs w:val="20"/>
    </w:rPr>
  </w:style>
  <w:style w:type="paragraph" w:customStyle="1" w:styleId="610">
    <w:name w:val="_Style 947"/>
    <w:basedOn w:val="1"/>
    <w:next w:val="103"/>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1"/>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Normal]"/>
    <w:qFormat/>
    <w:uiPriority w:val="0"/>
    <w:rPr>
      <w:rFonts w:ascii="宋体" w:hAnsi="宋体" w:eastAsia="宋体" w:cs="Times New Roman"/>
      <w:sz w:val="24"/>
      <w:szCs w:val="22"/>
      <w:lang w:val="zh-CN" w:eastAsia="zh-CN" w:bidi="ar-SA"/>
    </w:rPr>
  </w:style>
  <w:style w:type="paragraph" w:customStyle="1" w:styleId="623">
    <w:name w:val="大标题"/>
    <w:basedOn w:val="124"/>
    <w:qFormat/>
    <w:uiPriority w:val="0"/>
    <w:rPr>
      <w:szCs w:val="36"/>
    </w:rPr>
  </w:style>
  <w:style w:type="paragraph" w:customStyle="1" w:styleId="624">
    <w:name w:val="WPSOffice手动目录 1"/>
    <w:qFormat/>
    <w:uiPriority w:val="0"/>
    <w:rPr>
      <w:rFonts w:ascii="Times New Roman" w:hAnsi="Times New Roman" w:eastAsia="宋体" w:cs="Times New Roman"/>
      <w:lang w:val="en-US" w:eastAsia="zh-CN" w:bidi="ar-SA"/>
    </w:rPr>
  </w:style>
  <w:style w:type="paragraph" w:customStyle="1" w:styleId="625">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62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7">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28">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29">
    <w:name w:val="正文首行缩进 21"/>
    <w:basedOn w:val="17"/>
    <w:qFormat/>
    <w:uiPriority w:val="0"/>
    <w:pPr>
      <w:adjustRightInd/>
      <w:spacing w:before="100" w:beforeAutospacing="1" w:after="120" w:line="240" w:lineRule="auto"/>
      <w:ind w:left="420" w:leftChars="200" w:firstLine="210"/>
    </w:pPr>
    <w:rPr>
      <w:sz w:val="21"/>
      <w:szCs w:val="21"/>
    </w:rPr>
  </w:style>
  <w:style w:type="paragraph" w:customStyle="1" w:styleId="630">
    <w:name w:val="Body Text Indent1"/>
    <w:qFormat/>
    <w:uiPriority w:val="0"/>
    <w:pPr>
      <w:widowControl w:val="0"/>
      <w:ind w:firstLine="602"/>
      <w:jc w:val="both"/>
    </w:pPr>
    <w:rPr>
      <w:rFonts w:ascii="Times New Roman" w:hAnsi="Times New Roman" w:eastAsia="宋体" w:cs="Times New Roman"/>
      <w:b/>
      <w:kern w:val="2"/>
      <w:sz w:val="21"/>
      <w:szCs w:val="24"/>
      <w:lang w:val="en-US" w:eastAsia="zh-CN" w:bidi="ar-SA"/>
    </w:rPr>
  </w:style>
  <w:style w:type="paragraph" w:customStyle="1" w:styleId="631">
    <w:name w:val="List Paragraph"/>
    <w:basedOn w:val="1"/>
    <w:qFormat/>
    <w:uiPriority w:val="99"/>
    <w:pPr>
      <w:adjustRightInd/>
      <w:ind w:firstLine="420" w:firstLineChars="200"/>
    </w:pPr>
    <w:rPr>
      <w:rFonts w:ascii="等线" w:hAnsi="等线" w:eastAsia="等线"/>
      <w:szCs w:val="22"/>
    </w:rPr>
  </w:style>
  <w:style w:type="paragraph" w:customStyle="1" w:styleId="632">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33">
    <w:name w:val="列出段落12"/>
    <w:basedOn w:val="1"/>
    <w:qFormat/>
    <w:uiPriority w:val="0"/>
    <w:pPr>
      <w:adjustRightInd/>
      <w:ind w:firstLine="420" w:firstLineChars="200"/>
    </w:pPr>
    <w:rPr>
      <w:rFonts w:ascii="Calibri" w:hAnsi="Calibri"/>
      <w:szCs w:val="22"/>
    </w:rPr>
  </w:style>
  <w:style w:type="paragraph" w:customStyle="1" w:styleId="634">
    <w:name w:val="修订8"/>
    <w:hidden/>
    <w:semiHidden/>
    <w:qFormat/>
    <w:uiPriority w:val="99"/>
    <w:rPr>
      <w:rFonts w:ascii="Times New Roman" w:hAnsi="Times New Roman" w:eastAsia="宋体" w:cs="Times New Roman"/>
      <w:kern w:val="2"/>
      <w:sz w:val="21"/>
      <w:szCs w:val="24"/>
      <w:lang w:val="en-US" w:eastAsia="zh-CN" w:bidi="ar-SA"/>
    </w:rPr>
  </w:style>
  <w:style w:type="character" w:customStyle="1" w:styleId="635">
    <w:name w:val="表格非标题文字 Char"/>
    <w:link w:val="82"/>
    <w:qFormat/>
    <w:uiPriority w:val="0"/>
    <w:rPr>
      <w:rFonts w:ascii="Futura Bk" w:hAnsi="Futura Bk"/>
      <w:kern w:val="2"/>
      <w:sz w:val="18"/>
      <w:szCs w:val="21"/>
      <w:lang w:val="en-US" w:eastAsia="zh-CN" w:bidi="ar-SA"/>
    </w:rPr>
  </w:style>
  <w:style w:type="character" w:customStyle="1" w:styleId="636">
    <w:name w:val="*正文 Char"/>
    <w:link w:val="83"/>
    <w:qFormat/>
    <w:locked/>
    <w:uiPriority w:val="0"/>
    <w:rPr>
      <w:rFonts w:ascii="宋体" w:hAnsi="宋体"/>
      <w:sz w:val="24"/>
    </w:rPr>
  </w:style>
  <w:style w:type="character" w:customStyle="1" w:styleId="637">
    <w:name w:val="Char Char71"/>
    <w:semiHidden/>
    <w:qFormat/>
    <w:uiPriority w:val="0"/>
    <w:rPr>
      <w:rFonts w:eastAsia="宋体"/>
      <w:kern w:val="2"/>
      <w:sz w:val="21"/>
      <w:szCs w:val="24"/>
      <w:lang w:val="en-US" w:eastAsia="zh-CN" w:bidi="ar-SA"/>
    </w:rPr>
  </w:style>
  <w:style w:type="character" w:customStyle="1" w:styleId="638">
    <w:name w:val="Char Char6"/>
    <w:qFormat/>
    <w:uiPriority w:val="0"/>
    <w:rPr>
      <w:rFonts w:eastAsia="宋体"/>
      <w:kern w:val="2"/>
      <w:sz w:val="21"/>
      <w:szCs w:val="24"/>
      <w:lang w:val="en-US" w:eastAsia="zh-CN" w:bidi="ar-SA"/>
    </w:rPr>
  </w:style>
  <w:style w:type="character" w:customStyle="1" w:styleId="639">
    <w:name w:val="正文缩进 Char"/>
    <w:qFormat/>
    <w:uiPriority w:val="0"/>
    <w:rPr>
      <w:rFonts w:eastAsia="宋体"/>
      <w:kern w:val="2"/>
      <w:sz w:val="21"/>
      <w:lang w:val="en-US" w:eastAsia="zh-CN"/>
    </w:rPr>
  </w:style>
  <w:style w:type="character" w:customStyle="1" w:styleId="640">
    <w:name w:val="正文首行缩进 Char1"/>
    <w:qFormat/>
    <w:uiPriority w:val="0"/>
    <w:rPr>
      <w:rFonts w:ascii="宋体" w:hAnsi="Times New Roman" w:eastAsia="宋体" w:cs="Times New Roman"/>
      <w:snapToGrid w:val="0"/>
      <w:kern w:val="2"/>
      <w:sz w:val="24"/>
      <w:szCs w:val="21"/>
      <w:lang w:val="zh-CN"/>
    </w:rPr>
  </w:style>
  <w:style w:type="character" w:customStyle="1" w:styleId="641">
    <w:name w:val="Char Char28"/>
    <w:qFormat/>
    <w:uiPriority w:val="6"/>
    <w:rPr>
      <w:rFonts w:ascii="仿宋_GB2312" w:hAnsi="仿宋_GB2312" w:eastAsia="仿宋_GB2312"/>
      <w:kern w:val="1"/>
      <w:sz w:val="28"/>
    </w:rPr>
  </w:style>
  <w:style w:type="character" w:customStyle="1" w:styleId="64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qFormat/>
    <w:uiPriority w:val="6"/>
    <w:rPr>
      <w:rFonts w:ascii="Times New Roman" w:hAnsi="Times New Roman" w:eastAsia="黑体" w:cs="Times New Roman"/>
      <w:b/>
      <w:kern w:val="0"/>
      <w:sz w:val="24"/>
      <w:szCs w:val="24"/>
    </w:rPr>
  </w:style>
  <w:style w:type="character" w:customStyle="1" w:styleId="644">
    <w:name w:val="U_正文 Char"/>
    <w:link w:val="84"/>
    <w:qFormat/>
    <w:uiPriority w:val="0"/>
    <w:rPr>
      <w:sz w:val="24"/>
      <w:szCs w:val="24"/>
    </w:rPr>
  </w:style>
  <w:style w:type="character" w:customStyle="1" w:styleId="645">
    <w:name w:val="HTML 地址 Char1"/>
    <w:qFormat/>
    <w:uiPriority w:val="0"/>
    <w:rPr>
      <w:rFonts w:ascii="Times New Roman" w:hAnsi="Times New Roman" w:eastAsia="宋体" w:cs="Times New Roman"/>
      <w:i/>
      <w:iCs/>
      <w:szCs w:val="24"/>
    </w:rPr>
  </w:style>
  <w:style w:type="character" w:customStyle="1" w:styleId="646">
    <w:name w:val="批注主题 Char1"/>
    <w:link w:val="63"/>
    <w:qFormat/>
    <w:uiPriority w:val="0"/>
    <w:rPr>
      <w:b/>
      <w:bCs/>
      <w:kern w:val="2"/>
      <w:sz w:val="21"/>
      <w:szCs w:val="24"/>
    </w:rPr>
  </w:style>
  <w:style w:type="character" w:customStyle="1" w:styleId="647">
    <w:name w:val="Char Char51"/>
    <w:qFormat/>
    <w:uiPriority w:val="0"/>
    <w:rPr>
      <w:rFonts w:ascii="宋体" w:hAnsi="Courier New" w:eastAsia="宋体"/>
      <w:kern w:val="2"/>
      <w:sz w:val="21"/>
      <w:lang w:val="en-US" w:eastAsia="zh-CN"/>
    </w:rPr>
  </w:style>
  <w:style w:type="character" w:customStyle="1" w:styleId="648">
    <w:name w:val="表正文 Char"/>
    <w:qFormat/>
    <w:uiPriority w:val="0"/>
    <w:rPr>
      <w:rFonts w:ascii="宋体" w:eastAsia="宋体"/>
      <w:snapToGrid w:val="0"/>
      <w:color w:val="000000"/>
      <w:kern w:val="28"/>
      <w:sz w:val="28"/>
      <w:lang w:val="en-US" w:eastAsia="zh-CN" w:bidi="ar-SA"/>
    </w:rPr>
  </w:style>
  <w:style w:type="character" w:customStyle="1" w:styleId="649">
    <w:name w:val="Char Char34"/>
    <w:qFormat/>
    <w:uiPriority w:val="6"/>
    <w:rPr>
      <w:b/>
      <w:kern w:val="1"/>
      <w:sz w:val="28"/>
      <w:szCs w:val="28"/>
    </w:rPr>
  </w:style>
  <w:style w:type="character" w:customStyle="1" w:styleId="65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85"/>
    <w:qFormat/>
    <w:uiPriority w:val="0"/>
    <w:rPr>
      <w:rFonts w:ascii="宋体" w:hAnsi="宋体" w:eastAsia="宋体"/>
      <w:kern w:val="2"/>
      <w:sz w:val="24"/>
      <w:lang w:bidi="ar-SA"/>
    </w:rPr>
  </w:style>
  <w:style w:type="character" w:customStyle="1" w:styleId="652">
    <w:name w:val="未处理的提及1"/>
    <w:qFormat/>
    <w:uiPriority w:val="0"/>
    <w:rPr>
      <w:color w:val="808080"/>
      <w:shd w:val="clear" w:color="auto" w:fill="E6E6E6"/>
    </w:rPr>
  </w:style>
  <w:style w:type="character" w:customStyle="1" w:styleId="653">
    <w:name w:val="txt"/>
    <w:qFormat/>
    <w:uiPriority w:val="0"/>
    <w:rPr>
      <w:rFonts w:ascii="仿宋_GB2312" w:eastAsia="微软雅黑"/>
      <w:b/>
      <w:kern w:val="2"/>
      <w:sz w:val="32"/>
      <w:szCs w:val="32"/>
      <w:lang w:val="en-US" w:eastAsia="zh-CN" w:bidi="ar-SA"/>
    </w:rPr>
  </w:style>
  <w:style w:type="character" w:customStyle="1" w:styleId="654">
    <w:name w:val="二级标题 Char Char"/>
    <w:qFormat/>
    <w:uiPriority w:val="0"/>
    <w:rPr>
      <w:rFonts w:ascii="宋体" w:hAnsi="宋体" w:eastAsia="宋体"/>
      <w:b/>
      <w:snapToGrid w:val="0"/>
      <w:kern w:val="2"/>
      <w:sz w:val="24"/>
      <w:szCs w:val="24"/>
      <w:lang w:val="en-US" w:eastAsia="zh-CN" w:bidi="ar-SA"/>
    </w:rPr>
  </w:style>
  <w:style w:type="character" w:customStyle="1" w:styleId="655">
    <w:name w:val="Char Char32"/>
    <w:qFormat/>
    <w:uiPriority w:val="6"/>
    <w:rPr>
      <w:b/>
      <w:kern w:val="1"/>
      <w:sz w:val="24"/>
      <w:szCs w:val="24"/>
    </w:rPr>
  </w:style>
  <w:style w:type="character" w:customStyle="1" w:styleId="656">
    <w:name w:val="PI Char1"/>
    <w:qFormat/>
    <w:uiPriority w:val="0"/>
    <w:rPr>
      <w:rFonts w:ascii="宋体" w:hAnsi="宋体"/>
      <w:kern w:val="2"/>
      <w:sz w:val="24"/>
      <w:szCs w:val="24"/>
    </w:rPr>
  </w:style>
  <w:style w:type="character" w:customStyle="1" w:styleId="657">
    <w:name w:val="tw4winTerm"/>
    <w:qFormat/>
    <w:uiPriority w:val="0"/>
    <w:rPr>
      <w:color w:val="0000FF"/>
    </w:rPr>
  </w:style>
  <w:style w:type="character" w:customStyle="1" w:styleId="658">
    <w:name w:val="Footer Char"/>
    <w:qFormat/>
    <w:locked/>
    <w:uiPriority w:val="0"/>
    <w:rPr>
      <w:rFonts w:eastAsia="宋体"/>
      <w:kern w:val="2"/>
      <w:sz w:val="18"/>
      <w:lang w:val="en-US" w:eastAsia="zh-CN" w:bidi="ar-SA"/>
    </w:rPr>
  </w:style>
  <w:style w:type="character" w:customStyle="1" w:styleId="659">
    <w:name w:val="普通文字 Char Char1"/>
    <w:qFormat/>
    <w:uiPriority w:val="0"/>
    <w:rPr>
      <w:rFonts w:ascii="宋体" w:hAnsi="Courier New"/>
      <w:kern w:val="2"/>
      <w:sz w:val="21"/>
    </w:rPr>
  </w:style>
  <w:style w:type="character" w:customStyle="1" w:styleId="660">
    <w:name w:val="Char Char101"/>
    <w:qFormat/>
    <w:uiPriority w:val="6"/>
    <w:rPr>
      <w:rFonts w:ascii="宋体" w:hAnsi="宋体"/>
      <w:kern w:val="2"/>
      <w:sz w:val="21"/>
      <w:szCs w:val="24"/>
      <w:lang w:val="en-US" w:eastAsia="zh-CN"/>
    </w:rPr>
  </w:style>
  <w:style w:type="character" w:customStyle="1" w:styleId="661">
    <w:name w:val="标题 4 Char"/>
    <w:qFormat/>
    <w:uiPriority w:val="0"/>
    <w:rPr>
      <w:rFonts w:ascii="Arial" w:hAnsi="Arial" w:eastAsia="黑体"/>
      <w:b/>
      <w:kern w:val="2"/>
      <w:sz w:val="28"/>
    </w:rPr>
  </w:style>
  <w:style w:type="character" w:customStyle="1" w:styleId="662">
    <w:name w:val="链接"/>
    <w:qFormat/>
    <w:uiPriority w:val="0"/>
    <w:rPr>
      <w:color w:val="0000FF"/>
      <w:sz w:val="21"/>
      <w:szCs w:val="21"/>
      <w:u w:val="single"/>
    </w:rPr>
  </w:style>
  <w:style w:type="character" w:customStyle="1" w:styleId="663">
    <w:name w:val="h4 Char"/>
    <w:qFormat/>
    <w:uiPriority w:val="0"/>
    <w:rPr>
      <w:rFonts w:ascii="Arial" w:hAnsi="Arial" w:eastAsia="黑体"/>
      <w:b/>
      <w:bCs/>
      <w:kern w:val="2"/>
      <w:sz w:val="28"/>
      <w:szCs w:val="28"/>
      <w:lang w:val="zh-CN" w:eastAsia="zh-CN" w:bidi="ar-SA"/>
    </w:rPr>
  </w:style>
  <w:style w:type="character" w:customStyle="1" w:styleId="664">
    <w:name w:val="5正文 Char"/>
    <w:link w:val="86"/>
    <w:qFormat/>
    <w:uiPriority w:val="0"/>
    <w:rPr>
      <w:rFonts w:ascii="仿宋_GB2312" w:hAnsi="微软雅黑" w:eastAsia="仿宋_GB2312"/>
      <w:sz w:val="28"/>
      <w:szCs w:val="21"/>
    </w:rPr>
  </w:style>
  <w:style w:type="character" w:customStyle="1" w:styleId="665">
    <w:name w:val="标题 3 字符"/>
    <w:qFormat/>
    <w:uiPriority w:val="9"/>
    <w:rPr>
      <w:b/>
      <w:bCs/>
      <w:kern w:val="2"/>
      <w:sz w:val="32"/>
      <w:szCs w:val="32"/>
    </w:rPr>
  </w:style>
  <w:style w:type="character" w:customStyle="1" w:styleId="666">
    <w:name w:val="样式6 Char"/>
    <w:qFormat/>
    <w:uiPriority w:val="0"/>
    <w:rPr>
      <w:rFonts w:ascii="仿宋_GB2312" w:hAnsi="宋体" w:eastAsia="仿宋_GB2312"/>
      <w:b/>
      <w:bCs/>
      <w:kern w:val="2"/>
      <w:sz w:val="24"/>
      <w:szCs w:val="24"/>
      <w:lang w:val="en-US" w:eastAsia="zh-CN" w:bidi="ar-SA"/>
    </w:rPr>
  </w:style>
  <w:style w:type="character" w:customStyle="1" w:styleId="667">
    <w:name w:val="Char Char14"/>
    <w:qFormat/>
    <w:uiPriority w:val="6"/>
    <w:rPr>
      <w:rFonts w:ascii="黑体" w:hAnsi="黑体" w:eastAsia="黑体"/>
    </w:rPr>
  </w:style>
  <w:style w:type="character" w:customStyle="1" w:styleId="668">
    <w:name w:val="Heading 2 Hidden Char"/>
    <w:qFormat/>
    <w:uiPriority w:val="0"/>
    <w:rPr>
      <w:rFonts w:ascii="仿宋_GB2312" w:eastAsia="仿宋_GB2312"/>
      <w:b/>
      <w:bCs/>
      <w:kern w:val="2"/>
      <w:sz w:val="24"/>
      <w:szCs w:val="24"/>
      <w:lang w:val="zh-CN" w:eastAsia="zh-CN" w:bidi="ar-SA"/>
    </w:rPr>
  </w:style>
  <w:style w:type="character" w:customStyle="1" w:styleId="669">
    <w:name w:val="正文文本首行缩进 2 字符"/>
    <w:qFormat/>
    <w:uiPriority w:val="0"/>
    <w:rPr>
      <w:rFonts w:ascii="宋体" w:hAnsi="宋体"/>
      <w:kern w:val="2"/>
      <w:sz w:val="21"/>
      <w:szCs w:val="24"/>
    </w:rPr>
  </w:style>
  <w:style w:type="character" w:customStyle="1" w:styleId="670">
    <w:name w:val="font11"/>
    <w:basedOn w:val="71"/>
    <w:qFormat/>
    <w:uiPriority w:val="0"/>
    <w:rPr>
      <w:rFonts w:hint="default" w:ascii="Times New Roman" w:hAnsi="Times New Roman" w:cs="Times New Roman"/>
      <w:color w:val="000000"/>
      <w:sz w:val="22"/>
      <w:szCs w:val="22"/>
      <w:u w:val="none"/>
    </w:rPr>
  </w:style>
  <w:style w:type="character" w:customStyle="1" w:styleId="671">
    <w:name w:val="表正文 Char1"/>
    <w:qFormat/>
    <w:uiPriority w:val="0"/>
    <w:rPr>
      <w:rFonts w:ascii="宋体" w:eastAsia="宋体"/>
      <w:snapToGrid w:val="0"/>
      <w:color w:val="000000"/>
      <w:kern w:val="28"/>
      <w:sz w:val="28"/>
    </w:rPr>
  </w:style>
  <w:style w:type="character" w:customStyle="1" w:styleId="672">
    <w:name w:val="blue1"/>
    <w:basedOn w:val="71"/>
    <w:qFormat/>
    <w:uiPriority w:val="0"/>
    <w:rPr>
      <w:rFonts w:ascii="Arial" w:hAnsi="Arial" w:eastAsia="黑体" w:cs="Arial"/>
      <w:snapToGrid w:val="0"/>
      <w:kern w:val="0"/>
      <w:szCs w:val="21"/>
    </w:rPr>
  </w:style>
  <w:style w:type="character" w:customStyle="1" w:styleId="67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74">
    <w:name w:val="标书1 Char"/>
    <w:qFormat/>
    <w:uiPriority w:val="0"/>
    <w:rPr>
      <w:rFonts w:eastAsia="宋体"/>
      <w:b/>
      <w:bCs/>
      <w:kern w:val="44"/>
      <w:sz w:val="44"/>
      <w:szCs w:val="44"/>
      <w:lang w:val="en-US" w:eastAsia="zh-CN" w:bidi="ar-SA"/>
    </w:rPr>
  </w:style>
  <w:style w:type="character" w:customStyle="1" w:styleId="675">
    <w:name w:val="样式5 Char"/>
    <w:qFormat/>
    <w:uiPriority w:val="0"/>
    <w:rPr>
      <w:rFonts w:ascii="仿宋_GB2312" w:hAnsi="仿宋" w:eastAsia="仿宋_GB2312"/>
      <w:kern w:val="2"/>
      <w:sz w:val="24"/>
      <w:szCs w:val="24"/>
    </w:rPr>
  </w:style>
  <w:style w:type="character" w:customStyle="1" w:styleId="676">
    <w:name w:val="样式4 Char"/>
    <w:qFormat/>
    <w:uiPriority w:val="0"/>
    <w:rPr>
      <w:rFonts w:ascii="仿宋_GB2312" w:hAnsi="仿宋" w:eastAsia="仿宋_GB2312"/>
      <w:b/>
      <w:kern w:val="2"/>
      <w:sz w:val="32"/>
      <w:szCs w:val="32"/>
      <w:lang w:bidi="ar-SA"/>
    </w:rPr>
  </w:style>
  <w:style w:type="character" w:customStyle="1" w:styleId="677">
    <w:name w:val="插图说明 Char"/>
    <w:qFormat/>
    <w:uiPriority w:val="0"/>
    <w:rPr>
      <w:rFonts w:eastAsia="黑体"/>
      <w:sz w:val="24"/>
      <w:lang w:val="en-US" w:eastAsia="zh-CN"/>
    </w:rPr>
  </w:style>
  <w:style w:type="character" w:customStyle="1" w:styleId="678">
    <w:name w:val="正文2 Char Char"/>
    <w:link w:val="87"/>
    <w:qFormat/>
    <w:uiPriority w:val="0"/>
    <w:rPr>
      <w:rFonts w:eastAsia="宋体"/>
      <w:kern w:val="2"/>
      <w:sz w:val="24"/>
      <w:lang w:val="en-US" w:eastAsia="zh-CN" w:bidi="ar-SA"/>
    </w:rPr>
  </w:style>
  <w:style w:type="character" w:customStyle="1" w:styleId="679">
    <w:name w:val="Char Char24"/>
    <w:qFormat/>
    <w:uiPriority w:val="6"/>
    <w:rPr>
      <w:kern w:val="1"/>
      <w:sz w:val="21"/>
    </w:rPr>
  </w:style>
  <w:style w:type="character" w:customStyle="1" w:styleId="680">
    <w:name w:val="副标题 Char"/>
    <w:link w:val="50"/>
    <w:qFormat/>
    <w:uiPriority w:val="0"/>
    <w:rPr>
      <w:rFonts w:ascii="Arial" w:hAnsi="Arial" w:eastAsia="隶书"/>
      <w:b/>
      <w:bCs/>
      <w:kern w:val="28"/>
      <w:sz w:val="44"/>
      <w:szCs w:val="32"/>
      <w:lang w:val="en-US" w:eastAsia="zh-CN" w:bidi="ar-SA"/>
    </w:rPr>
  </w:style>
  <w:style w:type="character" w:customStyle="1" w:styleId="681">
    <w:name w:val="普通文字 Char1 Char"/>
    <w:qFormat/>
    <w:uiPriority w:val="0"/>
    <w:rPr>
      <w:rFonts w:ascii="宋体" w:hAnsi="Courier New" w:eastAsia="宋体"/>
      <w:kern w:val="2"/>
      <w:sz w:val="21"/>
      <w:szCs w:val="24"/>
      <w:lang w:val="en-US" w:eastAsia="zh-CN" w:bidi="ar-SA"/>
    </w:rPr>
  </w:style>
  <w:style w:type="character" w:customStyle="1" w:styleId="682">
    <w:name w:val="h3 Char1"/>
    <w:qFormat/>
    <w:uiPriority w:val="0"/>
    <w:rPr>
      <w:rFonts w:eastAsia="宋体"/>
      <w:b/>
      <w:bCs/>
      <w:kern w:val="2"/>
      <w:sz w:val="32"/>
      <w:szCs w:val="32"/>
      <w:lang w:bidi="ar-SA"/>
    </w:rPr>
  </w:style>
  <w:style w:type="character" w:customStyle="1" w:styleId="683">
    <w:name w:val="标题 Char1"/>
    <w:qFormat/>
    <w:uiPriority w:val="0"/>
    <w:rPr>
      <w:rFonts w:ascii="Cambria" w:hAnsi="Cambria" w:eastAsia="宋体" w:cs="Times New Roman"/>
      <w:b/>
      <w:bCs/>
      <w:sz w:val="32"/>
      <w:szCs w:val="32"/>
      <w:lang w:bidi="ar-SA"/>
    </w:rPr>
  </w:style>
  <w:style w:type="character" w:customStyle="1" w:styleId="684">
    <w:name w:val="gf正文1 Char"/>
    <w:qFormat/>
    <w:uiPriority w:val="0"/>
    <w:rPr>
      <w:rFonts w:ascii="宋体" w:hAnsi="宋体" w:eastAsia="宋体" w:cs="宋体"/>
      <w:kern w:val="2"/>
      <w:sz w:val="24"/>
      <w:szCs w:val="24"/>
      <w:lang w:val="en-US" w:eastAsia="zh-CN" w:bidi="ar-SA"/>
    </w:rPr>
  </w:style>
  <w:style w:type="character" w:customStyle="1" w:styleId="685">
    <w:name w:val="正文文本缩进 Char1"/>
    <w:qFormat/>
    <w:uiPriority w:val="0"/>
    <w:rPr>
      <w:rFonts w:ascii="Calibri" w:hAnsi="Calibri"/>
      <w:sz w:val="28"/>
    </w:rPr>
  </w:style>
  <w:style w:type="character" w:customStyle="1" w:styleId="686">
    <w:name w:val="No Spacing Char"/>
    <w:link w:val="88"/>
    <w:qFormat/>
    <w:uiPriority w:val="1"/>
    <w:rPr>
      <w:sz w:val="22"/>
      <w:szCs w:val="22"/>
      <w:lang w:val="en-US" w:eastAsia="zh-CN" w:bidi="ar-SA"/>
    </w:rPr>
  </w:style>
  <w:style w:type="character" w:customStyle="1" w:styleId="687">
    <w:name w:val="样式7 Char"/>
    <w:qFormat/>
    <w:uiPriority w:val="0"/>
    <w:rPr>
      <w:rFonts w:ascii="仿宋_GB2312" w:hAnsi="仿宋" w:eastAsia="仿宋_GB2312"/>
      <w:b/>
      <w:kern w:val="2"/>
      <w:sz w:val="24"/>
      <w:szCs w:val="24"/>
    </w:rPr>
  </w:style>
  <w:style w:type="character" w:customStyle="1" w:styleId="688">
    <w:name w:val="font12gray1"/>
    <w:qFormat/>
    <w:uiPriority w:val="0"/>
    <w:rPr>
      <w:rFonts w:ascii="仿宋_GB2312" w:eastAsia="微软雅黑"/>
      <w:b/>
      <w:spacing w:val="300"/>
      <w:kern w:val="2"/>
      <w:sz w:val="18"/>
      <w:szCs w:val="18"/>
      <w:lang w:val="en-US" w:eastAsia="zh-CN" w:bidi="ar-SA"/>
    </w:rPr>
  </w:style>
  <w:style w:type="character" w:customStyle="1" w:styleId="689">
    <w:name w:val="Char Char7"/>
    <w:semiHidden/>
    <w:qFormat/>
    <w:uiPriority w:val="0"/>
    <w:rPr>
      <w:rFonts w:eastAsia="宋体"/>
      <w:kern w:val="2"/>
      <w:sz w:val="21"/>
      <w:szCs w:val="24"/>
      <w:lang w:val="en-US" w:eastAsia="zh-CN" w:bidi="ar-SA"/>
    </w:rPr>
  </w:style>
  <w:style w:type="character" w:customStyle="1" w:styleId="690">
    <w:name w:val="表名 Char"/>
    <w:qFormat/>
    <w:uiPriority w:val="0"/>
    <w:rPr>
      <w:rFonts w:eastAsia="宋体"/>
      <w:b/>
      <w:bCs/>
      <w:kern w:val="2"/>
      <w:sz w:val="24"/>
      <w:szCs w:val="24"/>
      <w:lang w:val="en-US" w:eastAsia="zh-CN" w:bidi="ar-SA"/>
    </w:rPr>
  </w:style>
  <w:style w:type="character" w:customStyle="1" w:styleId="691">
    <w:name w:val="Document Map Char"/>
    <w:qFormat/>
    <w:locked/>
    <w:uiPriority w:val="0"/>
    <w:rPr>
      <w:rFonts w:eastAsia="宋体"/>
      <w:kern w:val="2"/>
      <w:sz w:val="21"/>
      <w:szCs w:val="24"/>
      <w:lang w:val="en-US" w:eastAsia="zh-CN" w:bidi="ar-SA"/>
    </w:rPr>
  </w:style>
  <w:style w:type="character" w:customStyle="1" w:styleId="692">
    <w:name w:val="font41"/>
    <w:qFormat/>
    <w:uiPriority w:val="0"/>
    <w:rPr>
      <w:rFonts w:hint="eastAsia" w:ascii="仿宋_GB2312" w:eastAsia="仿宋_GB2312" w:cs="仿宋_GB2312"/>
      <w:color w:val="000000"/>
      <w:sz w:val="22"/>
      <w:szCs w:val="22"/>
      <w:u w:val="none"/>
    </w:rPr>
  </w:style>
  <w:style w:type="character" w:customStyle="1" w:styleId="693">
    <w:name w:val="标题 6 Char"/>
    <w:link w:val="7"/>
    <w:qFormat/>
    <w:uiPriority w:val="0"/>
    <w:rPr>
      <w:rFonts w:ascii="Arial" w:hAnsi="Arial" w:eastAsia="黑体"/>
      <w:b/>
      <w:bCs/>
      <w:kern w:val="2"/>
      <w:sz w:val="24"/>
      <w:szCs w:val="24"/>
    </w:rPr>
  </w:style>
  <w:style w:type="character" w:customStyle="1" w:styleId="694">
    <w:name w:val="纯文本 Char_0"/>
    <w:link w:val="89"/>
    <w:qFormat/>
    <w:uiPriority w:val="0"/>
    <w:rPr>
      <w:rFonts w:ascii="宋体" w:hAnsi="Courier New"/>
      <w:kern w:val="2"/>
      <w:sz w:val="21"/>
      <w:szCs w:val="21"/>
      <w:lang w:val="en-US" w:eastAsia="zh-CN"/>
    </w:rPr>
  </w:style>
  <w:style w:type="character" w:customStyle="1" w:styleId="695">
    <w:name w:val="Balloon Text Char"/>
    <w:qFormat/>
    <w:locked/>
    <w:uiPriority w:val="0"/>
    <w:rPr>
      <w:rFonts w:eastAsia="宋体"/>
      <w:kern w:val="2"/>
      <w:sz w:val="18"/>
      <w:szCs w:val="18"/>
      <w:lang w:val="en-US" w:eastAsia="zh-CN" w:bidi="ar-SA"/>
    </w:rPr>
  </w:style>
  <w:style w:type="character" w:customStyle="1" w:styleId="696">
    <w:name w:val="正文 项目2 Char"/>
    <w:basedOn w:val="697"/>
    <w:qFormat/>
    <w:uiPriority w:val="0"/>
    <w:rPr>
      <w:rFonts w:ascii="仿宋_GB2312" w:hAnsi="仿宋_GB2312" w:eastAsia="仿宋_GB2312"/>
      <w:kern w:val="2"/>
      <w:sz w:val="24"/>
      <w:lang w:bidi="ar-SA"/>
    </w:rPr>
  </w:style>
  <w:style w:type="character" w:customStyle="1" w:styleId="697">
    <w:name w:val="正文 项目 Char"/>
    <w:qFormat/>
    <w:uiPriority w:val="0"/>
    <w:rPr>
      <w:rFonts w:ascii="仿宋_GB2312" w:hAnsi="仿宋_GB2312" w:eastAsia="仿宋_GB2312"/>
      <w:kern w:val="2"/>
      <w:sz w:val="24"/>
      <w:lang w:bidi="ar-SA"/>
    </w:rPr>
  </w:style>
  <w:style w:type="character" w:customStyle="1" w:styleId="698">
    <w:name w:val="h Char Char1"/>
    <w:qFormat/>
    <w:uiPriority w:val="0"/>
    <w:rPr>
      <w:rFonts w:eastAsia="宋体"/>
      <w:kern w:val="2"/>
      <w:sz w:val="18"/>
      <w:szCs w:val="18"/>
      <w:lang w:val="en-US" w:eastAsia="zh-CN" w:bidi="ar-SA"/>
    </w:rPr>
  </w:style>
  <w:style w:type="character" w:customStyle="1" w:styleId="699">
    <w:name w:val="Char Char27"/>
    <w:qFormat/>
    <w:uiPriority w:val="6"/>
    <w:rPr>
      <w:rFonts w:ascii="宋体" w:hAnsi="宋体" w:eastAsia="宋体"/>
      <w:color w:val="000000"/>
      <w:kern w:val="1"/>
      <w:sz w:val="28"/>
      <w:lang w:val="en-US" w:eastAsia="zh-CN" w:bidi="ar-SA"/>
    </w:rPr>
  </w:style>
  <w:style w:type="character" w:customStyle="1" w:styleId="700">
    <w:name w:val="px14"/>
    <w:qFormat/>
    <w:uiPriority w:val="0"/>
    <w:rPr>
      <w:rFonts w:ascii="仿宋_GB2312" w:eastAsia="微软雅黑" w:cs="Times New Roman"/>
      <w:b/>
      <w:kern w:val="2"/>
      <w:sz w:val="32"/>
      <w:szCs w:val="32"/>
      <w:lang w:val="en-US" w:eastAsia="zh-CN" w:bidi="ar-SA"/>
    </w:rPr>
  </w:style>
  <w:style w:type="character" w:customStyle="1" w:styleId="701">
    <w:name w:val="HTML 预设格式 Char1"/>
    <w:qFormat/>
    <w:uiPriority w:val="0"/>
    <w:rPr>
      <w:rFonts w:ascii="Courier New" w:hAnsi="Courier New" w:eastAsia="宋体" w:cs="Courier New"/>
      <w:sz w:val="20"/>
      <w:szCs w:val="20"/>
    </w:rPr>
  </w:style>
  <w:style w:type="character" w:customStyle="1" w:styleId="702">
    <w:name w:val="普通文字 Char1"/>
    <w:qFormat/>
    <w:uiPriority w:val="0"/>
    <w:rPr>
      <w:rFonts w:ascii="宋体" w:hAnsi="Courier New" w:eastAsia="宋体"/>
      <w:kern w:val="2"/>
      <w:sz w:val="21"/>
      <w:lang w:val="en-US" w:eastAsia="zh-CN"/>
    </w:rPr>
  </w:style>
  <w:style w:type="character" w:customStyle="1" w:styleId="703">
    <w:name w:val="hei16b1"/>
    <w:qFormat/>
    <w:uiPriority w:val="0"/>
    <w:rPr>
      <w:rFonts w:hint="default" w:ascii="Arial" w:hAnsi="Arial" w:cs="Arial"/>
      <w:b/>
      <w:bCs/>
      <w:color w:val="000000"/>
      <w:sz w:val="24"/>
      <w:szCs w:val="24"/>
    </w:rPr>
  </w:style>
  <w:style w:type="character" w:customStyle="1" w:styleId="704">
    <w:name w:val="正文（绿盟科技） Char"/>
    <w:link w:val="91"/>
    <w:qFormat/>
    <w:uiPriority w:val="0"/>
    <w:rPr>
      <w:rFonts w:ascii="Arial" w:hAnsi="Arial"/>
      <w:sz w:val="21"/>
      <w:szCs w:val="21"/>
    </w:rPr>
  </w:style>
  <w:style w:type="character" w:customStyle="1" w:styleId="705">
    <w:name w:val="Char Char19"/>
    <w:qFormat/>
    <w:uiPriority w:val="6"/>
    <w:rPr>
      <w:rFonts w:ascii="宋体" w:hAnsi="宋体"/>
      <w:i/>
      <w:sz w:val="24"/>
      <w:szCs w:val="24"/>
    </w:rPr>
  </w:style>
  <w:style w:type="character" w:customStyle="1" w:styleId="706">
    <w:name w:val="页脚 Char"/>
    <w:qFormat/>
    <w:uiPriority w:val="0"/>
    <w:rPr>
      <w:rFonts w:eastAsia="仿宋_GB2312"/>
      <w:kern w:val="2"/>
      <w:sz w:val="18"/>
      <w:lang w:val="en-US" w:eastAsia="zh-CN"/>
    </w:rPr>
  </w:style>
  <w:style w:type="character" w:customStyle="1" w:styleId="707">
    <w:name w:val="批注主题 Char"/>
    <w:qFormat/>
    <w:uiPriority w:val="0"/>
    <w:rPr>
      <w:rFonts w:eastAsia="宋体"/>
      <w:b/>
      <w:bCs/>
      <w:kern w:val="2"/>
      <w:sz w:val="21"/>
      <w:szCs w:val="24"/>
      <w:lang w:val="en-US" w:eastAsia="zh-CN" w:bidi="ar-SA"/>
    </w:rPr>
  </w:style>
  <w:style w:type="character" w:customStyle="1" w:styleId="708">
    <w:name w:val="Comment Text Char"/>
    <w:qFormat/>
    <w:locked/>
    <w:uiPriority w:val="0"/>
    <w:rPr>
      <w:rFonts w:ascii="宋体" w:hAnsi="宋体" w:eastAsia="宋体"/>
      <w:kern w:val="2"/>
      <w:sz w:val="24"/>
      <w:lang w:val="en-US" w:eastAsia="zh-CN" w:bidi="ar-SA"/>
    </w:rPr>
  </w:style>
  <w:style w:type="character" w:customStyle="1" w:styleId="709">
    <w:name w:val="标题 2 字符"/>
    <w:qFormat/>
    <w:uiPriority w:val="1"/>
    <w:rPr>
      <w:rFonts w:ascii="仿宋_GB2312" w:hAnsi="Times New Roman" w:eastAsia="仿宋_GB2312" w:cs="Times New Roman"/>
      <w:b/>
      <w:kern w:val="2"/>
      <w:sz w:val="24"/>
      <w:lang w:val="zh-CN"/>
    </w:rPr>
  </w:style>
  <w:style w:type="character" w:customStyle="1" w:styleId="710">
    <w:name w:val="Char Char72"/>
    <w:qFormat/>
    <w:uiPriority w:val="0"/>
    <w:rPr>
      <w:rFonts w:eastAsia="宋体"/>
      <w:kern w:val="2"/>
      <w:sz w:val="21"/>
      <w:szCs w:val="24"/>
      <w:lang w:val="en-US" w:eastAsia="zh-CN" w:bidi="ar-SA"/>
    </w:rPr>
  </w:style>
  <w:style w:type="character" w:customStyle="1" w:styleId="711">
    <w:name w:val="正文文本缩进 Char2"/>
    <w:qFormat/>
    <w:uiPriority w:val="0"/>
    <w:rPr>
      <w:rFonts w:ascii="Times New Roman" w:hAnsi="Times New Roman" w:eastAsia="宋体" w:cs="Times New Roman"/>
      <w:snapToGrid w:val="0"/>
      <w:kern w:val="0"/>
      <w:szCs w:val="24"/>
    </w:rPr>
  </w:style>
  <w:style w:type="character" w:customStyle="1" w:styleId="712">
    <w:name w:val="样式2 Char"/>
    <w:qFormat/>
    <w:uiPriority w:val="0"/>
    <w:rPr>
      <w:rFonts w:ascii="仿宋_GB2312" w:hAnsi="仿宋" w:eastAsia="仿宋_GB2312" w:cs="仿宋_GB2312"/>
      <w:b/>
      <w:bCs/>
      <w:sz w:val="32"/>
      <w:szCs w:val="30"/>
      <w:lang w:val="zh-CN"/>
    </w:rPr>
  </w:style>
  <w:style w:type="character" w:customStyle="1" w:styleId="713">
    <w:name w:val="表格名称[858D7CFB-ED40-4347-BF05-701D383B685F]"/>
    <w:link w:val="92"/>
    <w:qFormat/>
    <w:uiPriority w:val="0"/>
    <w:rPr>
      <w:sz w:val="32"/>
    </w:rPr>
  </w:style>
  <w:style w:type="character" w:customStyle="1" w:styleId="714">
    <w:name w:val="Char Char4"/>
    <w:qFormat/>
    <w:uiPriority w:val="0"/>
    <w:rPr>
      <w:rFonts w:eastAsia="宋体"/>
      <w:b/>
      <w:sz w:val="24"/>
      <w:lang w:eastAsia="zh-CN" w:bidi="ar-SA"/>
    </w:rPr>
  </w:style>
  <w:style w:type="character" w:customStyle="1" w:styleId="715">
    <w:name w:val="c7 style3"/>
    <w:qFormat/>
    <w:uiPriority w:val="0"/>
  </w:style>
  <w:style w:type="character" w:customStyle="1" w:styleId="716">
    <w:name w:val="正文文本 3 Char1"/>
    <w:semiHidden/>
    <w:qFormat/>
    <w:uiPriority w:val="99"/>
    <w:rPr>
      <w:rFonts w:ascii="Times New Roman" w:hAnsi="Times New Roman" w:eastAsia="宋体" w:cs="Times New Roman"/>
      <w:sz w:val="16"/>
      <w:szCs w:val="16"/>
    </w:rPr>
  </w:style>
  <w:style w:type="character" w:customStyle="1" w:styleId="717">
    <w:name w:val="tw4winInternal"/>
    <w:qFormat/>
    <w:uiPriority w:val="0"/>
    <w:rPr>
      <w:rFonts w:ascii="Courier New" w:hAnsi="Courier New" w:cs="Courier New"/>
      <w:color w:val="FF0000"/>
      <w:lang w:val="en-US" w:eastAsia="zh-CN"/>
    </w:rPr>
  </w:style>
  <w:style w:type="character" w:customStyle="1" w:styleId="718">
    <w:name w:val="Char Char10"/>
    <w:semiHidden/>
    <w:qFormat/>
    <w:uiPriority w:val="0"/>
    <w:rPr>
      <w:rFonts w:ascii="宋体" w:hAnsi="宋体"/>
      <w:kern w:val="2"/>
      <w:sz w:val="21"/>
      <w:szCs w:val="24"/>
      <w:lang w:val="en-US" w:eastAsia="zh-CN"/>
    </w:rPr>
  </w:style>
  <w:style w:type="character" w:customStyle="1" w:styleId="719">
    <w:name w:val="shadow11"/>
    <w:qFormat/>
    <w:uiPriority w:val="0"/>
    <w:rPr>
      <w:color w:val="000000"/>
      <w:sz w:val="21"/>
    </w:rPr>
  </w:style>
  <w:style w:type="character" w:customStyle="1" w:styleId="720">
    <w:name w:val="正文非缩进 Char3"/>
    <w:qFormat/>
    <w:uiPriority w:val="0"/>
    <w:rPr>
      <w:rFonts w:ascii="宋体" w:eastAsia="宋体"/>
      <w:snapToGrid w:val="0"/>
      <w:color w:val="000000"/>
      <w:kern w:val="28"/>
      <w:sz w:val="28"/>
      <w:lang w:val="en-US" w:eastAsia="zh-CN" w:bidi="ar-SA"/>
    </w:rPr>
  </w:style>
  <w:style w:type="character" w:customStyle="1" w:styleId="721">
    <w:name w:val="Char Char"/>
    <w:qFormat/>
    <w:uiPriority w:val="0"/>
    <w:rPr>
      <w:rFonts w:ascii="宋体" w:hAnsi="Courier New" w:eastAsia="宋体"/>
      <w:kern w:val="2"/>
      <w:sz w:val="21"/>
      <w:lang w:val="en-US" w:eastAsia="zh-CN" w:bidi="ar-SA"/>
    </w:rPr>
  </w:style>
  <w:style w:type="character" w:customStyle="1" w:styleId="722">
    <w:name w:val="签名 Char1"/>
    <w:qFormat/>
    <w:uiPriority w:val="0"/>
    <w:rPr>
      <w:rFonts w:ascii="Times New Roman" w:hAnsi="Times New Roman" w:eastAsia="宋体" w:cs="Times New Roman"/>
      <w:szCs w:val="24"/>
    </w:rPr>
  </w:style>
  <w:style w:type="character" w:customStyle="1" w:styleId="723">
    <w:name w:val="日期 Char"/>
    <w:link w:val="38"/>
    <w:qFormat/>
    <w:uiPriority w:val="0"/>
    <w:rPr>
      <w:rFonts w:ascii="宋体"/>
      <w:kern w:val="2"/>
      <w:sz w:val="24"/>
      <w:szCs w:val="21"/>
      <w:lang w:val="zh-CN"/>
    </w:rPr>
  </w:style>
  <w:style w:type="character" w:customStyle="1" w:styleId="724">
    <w:name w:val="标题 9 Char"/>
    <w:link w:val="10"/>
    <w:qFormat/>
    <w:uiPriority w:val="0"/>
    <w:rPr>
      <w:rFonts w:ascii="Arial" w:hAnsi="Arial" w:eastAsia="黑体"/>
      <w:kern w:val="2"/>
      <w:sz w:val="21"/>
      <w:szCs w:val="21"/>
    </w:rPr>
  </w:style>
  <w:style w:type="character" w:customStyle="1" w:styleId="725">
    <w:name w:val="Char Char18"/>
    <w:qFormat/>
    <w:uiPriority w:val="6"/>
    <w:rPr>
      <w:rFonts w:ascii="宋体" w:hAnsi="宋体"/>
      <w:sz w:val="28"/>
    </w:rPr>
  </w:style>
  <w:style w:type="character" w:customStyle="1" w:styleId="726">
    <w:name w:val="批注文字 Char"/>
    <w:qFormat/>
    <w:uiPriority w:val="99"/>
    <w:rPr>
      <w:kern w:val="2"/>
      <w:sz w:val="21"/>
      <w:szCs w:val="24"/>
    </w:rPr>
  </w:style>
  <w:style w:type="character" w:customStyle="1" w:styleId="727">
    <w:name w:val="Char Char22"/>
    <w:qFormat/>
    <w:uiPriority w:val="6"/>
    <w:rPr>
      <w:rFonts w:ascii="宋体" w:hAnsi="宋体"/>
      <w:kern w:val="1"/>
      <w:sz w:val="24"/>
      <w:szCs w:val="24"/>
    </w:rPr>
  </w:style>
  <w:style w:type="character" w:customStyle="1" w:styleId="728">
    <w:name w:val="pt141"/>
    <w:qFormat/>
    <w:uiPriority w:val="0"/>
    <w:rPr>
      <w:color w:val="330066"/>
      <w:sz w:val="22"/>
      <w:szCs w:val="22"/>
    </w:rPr>
  </w:style>
  <w:style w:type="character" w:customStyle="1" w:styleId="729">
    <w:name w:val="正文文本缩进 2 Char1"/>
    <w:semiHidden/>
    <w:qFormat/>
    <w:uiPriority w:val="99"/>
    <w:rPr>
      <w:rFonts w:ascii="Times New Roman" w:hAnsi="Times New Roman" w:eastAsia="宋体" w:cs="Times New Roman"/>
      <w:szCs w:val="24"/>
    </w:rPr>
  </w:style>
  <w:style w:type="character" w:customStyle="1" w:styleId="730">
    <w:name w:val="批注框文本 Char"/>
    <w:link w:val="41"/>
    <w:qFormat/>
    <w:uiPriority w:val="0"/>
    <w:rPr>
      <w:kern w:val="2"/>
      <w:sz w:val="18"/>
      <w:szCs w:val="18"/>
    </w:rPr>
  </w:style>
  <w:style w:type="character" w:customStyle="1" w:styleId="731">
    <w:name w:val="Char Char611"/>
    <w:qFormat/>
    <w:uiPriority w:val="0"/>
    <w:rPr>
      <w:rFonts w:eastAsia="宋体"/>
      <w:kern w:val="2"/>
      <w:sz w:val="21"/>
      <w:szCs w:val="24"/>
      <w:lang w:val="en-US" w:eastAsia="zh-CN" w:bidi="ar-SA"/>
    </w:rPr>
  </w:style>
  <w:style w:type="character" w:customStyle="1" w:styleId="732">
    <w:name w:val="highlight1"/>
    <w:qFormat/>
    <w:uiPriority w:val="0"/>
    <w:rPr>
      <w:rFonts w:ascii="仿宋_GB2312" w:eastAsia="微软雅黑"/>
      <w:b/>
      <w:kern w:val="2"/>
      <w:sz w:val="23"/>
      <w:szCs w:val="23"/>
      <w:lang w:val="en-US" w:eastAsia="zh-CN" w:bidi="ar-SA"/>
    </w:rPr>
  </w:style>
  <w:style w:type="character" w:customStyle="1" w:styleId="733">
    <w:name w:val="my正文 Char"/>
    <w:link w:val="93"/>
    <w:qFormat/>
    <w:locked/>
    <w:uiPriority w:val="0"/>
    <w:rPr>
      <w:rFonts w:ascii="Tahoma" w:hAnsi="Tahoma"/>
      <w:sz w:val="24"/>
      <w:szCs w:val="24"/>
    </w:rPr>
  </w:style>
  <w:style w:type="character" w:customStyle="1" w:styleId="734">
    <w:name w:val="正文缩进 Char2"/>
    <w:link w:val="16"/>
    <w:qFormat/>
    <w:uiPriority w:val="0"/>
    <w:rPr>
      <w:rFonts w:ascii="宋体" w:eastAsia="宋体"/>
      <w:snapToGrid w:val="0"/>
      <w:color w:val="000000"/>
      <w:kern w:val="28"/>
      <w:sz w:val="28"/>
      <w:lang w:val="en-US" w:eastAsia="zh-CN" w:bidi="ar-SA"/>
    </w:rPr>
  </w:style>
  <w:style w:type="character" w:customStyle="1" w:styleId="735">
    <w:name w:val="Used by Word for text of Help footnotes Char Char1"/>
    <w:qFormat/>
    <w:uiPriority w:val="0"/>
    <w:rPr>
      <w:color w:val="0000FF"/>
      <w:sz w:val="21"/>
    </w:rPr>
  </w:style>
  <w:style w:type="character" w:customStyle="1" w:styleId="736">
    <w:name w:val="页眉 Char"/>
    <w:qFormat/>
    <w:uiPriority w:val="0"/>
    <w:rPr>
      <w:rFonts w:eastAsia="仿宋_GB2312"/>
      <w:kern w:val="2"/>
      <w:sz w:val="18"/>
      <w:lang w:val="en-US" w:eastAsia="zh-CN"/>
    </w:rPr>
  </w:style>
  <w:style w:type="character" w:customStyle="1" w:styleId="737">
    <w:name w:val="FA正文 Char Char"/>
    <w:qFormat/>
    <w:uiPriority w:val="0"/>
    <w:rPr>
      <w:rFonts w:hAnsi="宋体"/>
      <w:kern w:val="2"/>
      <w:sz w:val="24"/>
      <w:lang w:bidi="ar-SA"/>
    </w:rPr>
  </w:style>
  <w:style w:type="character" w:customStyle="1" w:styleId="738">
    <w:name w:val="纯文本 字符"/>
    <w:qFormat/>
    <w:uiPriority w:val="99"/>
    <w:rPr>
      <w:rFonts w:ascii="宋体" w:hAnsi="Courier New" w:eastAsia="宋体" w:cs="Arial"/>
      <w:snapToGrid w:val="0"/>
      <w:kern w:val="2"/>
      <w:sz w:val="21"/>
      <w:szCs w:val="21"/>
      <w:lang w:val="en-US" w:eastAsia="zh-CN" w:bidi="ar-SA"/>
    </w:rPr>
  </w:style>
  <w:style w:type="character" w:customStyle="1" w:styleId="739">
    <w:name w:val="3级 Char"/>
    <w:link w:val="94"/>
    <w:qFormat/>
    <w:uiPriority w:val="0"/>
    <w:rPr>
      <w:rFonts w:ascii="宋体" w:hAnsi="宋体"/>
      <w:b/>
      <w:bCs/>
      <w:sz w:val="28"/>
    </w:rPr>
  </w:style>
  <w:style w:type="character" w:customStyle="1" w:styleId="740">
    <w:name w:val="myp11"/>
    <w:qFormat/>
    <w:uiPriority w:val="0"/>
    <w:rPr>
      <w:rFonts w:ascii="仿宋_GB2312" w:eastAsia="微软雅黑"/>
      <w:b/>
      <w:kern w:val="2"/>
      <w:sz w:val="32"/>
      <w:szCs w:val="32"/>
      <w:lang w:val="en-US" w:eastAsia="zh-CN" w:bidi="ar-SA"/>
    </w:rPr>
  </w:style>
  <w:style w:type="character" w:customStyle="1" w:styleId="741">
    <w:name w:val="文档结构图 Char1"/>
    <w:link w:val="23"/>
    <w:qFormat/>
    <w:uiPriority w:val="0"/>
    <w:rPr>
      <w:kern w:val="2"/>
      <w:sz w:val="21"/>
      <w:szCs w:val="24"/>
      <w:shd w:val="clear" w:color="auto" w:fill="000080"/>
    </w:rPr>
  </w:style>
  <w:style w:type="character" w:customStyle="1" w:styleId="742">
    <w:name w:val="H6 Char"/>
    <w:qFormat/>
    <w:uiPriority w:val="0"/>
    <w:rPr>
      <w:rFonts w:ascii="Arial" w:hAnsi="Arial" w:eastAsia="黑体"/>
      <w:b/>
      <w:bCs/>
      <w:kern w:val="2"/>
      <w:sz w:val="24"/>
      <w:szCs w:val="24"/>
    </w:rPr>
  </w:style>
  <w:style w:type="character" w:customStyle="1" w:styleId="743">
    <w:name w:val="Char Char91"/>
    <w:qFormat/>
    <w:uiPriority w:val="0"/>
    <w:rPr>
      <w:rFonts w:eastAsia="宋体"/>
      <w:kern w:val="2"/>
      <w:sz w:val="18"/>
      <w:szCs w:val="18"/>
      <w:lang w:val="en-US" w:eastAsia="zh-CN" w:bidi="ar-SA"/>
    </w:rPr>
  </w:style>
  <w:style w:type="character" w:customStyle="1" w:styleId="744">
    <w:name w:val="副标题 Char1"/>
    <w:qFormat/>
    <w:uiPriority w:val="0"/>
    <w:rPr>
      <w:rFonts w:ascii="Cambria" w:hAnsi="Cambria" w:eastAsia="宋体" w:cs="Times New Roman"/>
      <w:b/>
      <w:bCs/>
      <w:snapToGrid w:val="0"/>
      <w:kern w:val="28"/>
      <w:sz w:val="32"/>
      <w:szCs w:val="32"/>
    </w:rPr>
  </w:style>
  <w:style w:type="character" w:customStyle="1" w:styleId="745">
    <w:name w:val="font61"/>
    <w:qFormat/>
    <w:uiPriority w:val="0"/>
    <w:rPr>
      <w:rFonts w:hint="eastAsia" w:ascii="仿宋" w:hAnsi="仿宋" w:eastAsia="仿宋" w:cs="仿宋"/>
      <w:color w:val="000000"/>
      <w:sz w:val="20"/>
      <w:szCs w:val="20"/>
      <w:u w:val="none"/>
    </w:rPr>
  </w:style>
  <w:style w:type="character" w:customStyle="1" w:styleId="74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7">
    <w:name w:val="Char Char211"/>
    <w:qFormat/>
    <w:uiPriority w:val="0"/>
    <w:rPr>
      <w:rFonts w:eastAsia="宋体"/>
      <w:b/>
      <w:bCs/>
      <w:kern w:val="2"/>
      <w:sz w:val="21"/>
      <w:szCs w:val="24"/>
      <w:lang w:val="en-US" w:eastAsia="zh-CN" w:bidi="ar-SA"/>
    </w:rPr>
  </w:style>
  <w:style w:type="character" w:customStyle="1" w:styleId="748">
    <w:name w:val="标题 2 Char"/>
    <w:qFormat/>
    <w:uiPriority w:val="0"/>
    <w:rPr>
      <w:rFonts w:ascii="Arial" w:hAnsi="Arial" w:eastAsia="黑体"/>
      <w:b/>
      <w:kern w:val="2"/>
      <w:sz w:val="32"/>
      <w:lang w:val="en-US" w:eastAsia="zh-CN"/>
    </w:rPr>
  </w:style>
  <w:style w:type="character" w:customStyle="1" w:styleId="749">
    <w:name w:val="maywed421"/>
    <w:qFormat/>
    <w:uiPriority w:val="0"/>
    <w:rPr>
      <w:color w:val="366FB6"/>
      <w:u w:val="none"/>
    </w:rPr>
  </w:style>
  <w:style w:type="character" w:customStyle="1" w:styleId="750">
    <w:name w:val="正文文本缩进 Char"/>
    <w:qFormat/>
    <w:uiPriority w:val="0"/>
    <w:rPr>
      <w:rFonts w:ascii="宋体" w:hAnsi="宋体"/>
      <w:kern w:val="2"/>
      <w:sz w:val="24"/>
      <w:szCs w:val="24"/>
    </w:rPr>
  </w:style>
  <w:style w:type="character" w:customStyle="1" w:styleId="751">
    <w:name w:val="Char Char102"/>
    <w:semiHidden/>
    <w:qFormat/>
    <w:uiPriority w:val="0"/>
    <w:rPr>
      <w:rFonts w:ascii="宋体" w:hAnsi="宋体"/>
      <w:kern w:val="2"/>
      <w:sz w:val="21"/>
      <w:szCs w:val="24"/>
      <w:lang w:val="en-US" w:eastAsia="zh-CN"/>
    </w:rPr>
  </w:style>
  <w:style w:type="character" w:customStyle="1" w:styleId="752">
    <w:name w:val="页眉 Char1"/>
    <w:qFormat/>
    <w:uiPriority w:val="0"/>
    <w:rPr>
      <w:rFonts w:eastAsia="宋体"/>
      <w:kern w:val="2"/>
      <w:sz w:val="18"/>
      <w:szCs w:val="18"/>
      <w:lang w:val="en-US" w:eastAsia="zh-CN" w:bidi="ar-SA"/>
    </w:rPr>
  </w:style>
  <w:style w:type="character" w:customStyle="1" w:styleId="753">
    <w:name w:val="md"/>
    <w:basedOn w:val="71"/>
    <w:qFormat/>
    <w:uiPriority w:val="0"/>
    <w:rPr>
      <w:rFonts w:ascii="Arial" w:hAnsi="Arial" w:eastAsia="黑体" w:cs="Arial"/>
      <w:snapToGrid w:val="0"/>
      <w:kern w:val="0"/>
      <w:szCs w:val="21"/>
    </w:rPr>
  </w:style>
  <w:style w:type="character" w:customStyle="1" w:styleId="754">
    <w:name w:val="big1"/>
    <w:qFormat/>
    <w:uiPriority w:val="0"/>
    <w:rPr>
      <w:rFonts w:hint="eastAsia" w:ascii="宋体" w:hAnsi="宋体" w:eastAsia="宋体"/>
      <w:color w:val="333333"/>
      <w:sz w:val="22"/>
      <w:szCs w:val="22"/>
    </w:rPr>
  </w:style>
  <w:style w:type="character" w:customStyle="1" w:styleId="755">
    <w:name w:val="Char Char311"/>
    <w:qFormat/>
    <w:uiPriority w:val="0"/>
    <w:rPr>
      <w:rFonts w:eastAsia="宋体"/>
      <w:kern w:val="2"/>
      <w:sz w:val="21"/>
      <w:szCs w:val="24"/>
      <w:lang w:val="en-US" w:eastAsia="zh-CN" w:bidi="ar-SA"/>
    </w:rPr>
  </w:style>
  <w:style w:type="character" w:customStyle="1" w:styleId="756">
    <w:name w:val="Char Char81"/>
    <w:qFormat/>
    <w:uiPriority w:val="6"/>
    <w:rPr>
      <w:rFonts w:eastAsia="宋体"/>
      <w:b/>
      <w:sz w:val="24"/>
      <w:lang w:eastAsia="zh-CN"/>
    </w:rPr>
  </w:style>
  <w:style w:type="character" w:customStyle="1" w:styleId="757">
    <w:name w:val="样式3 Char"/>
    <w:basedOn w:val="712"/>
    <w:qFormat/>
    <w:uiPriority w:val="0"/>
    <w:rPr>
      <w:rFonts w:ascii="仿宋_GB2312" w:hAnsi="仿宋" w:eastAsia="仿宋_GB2312" w:cs="仿宋_GB2312"/>
      <w:sz w:val="32"/>
      <w:szCs w:val="30"/>
      <w:lang w:val="zh-CN"/>
    </w:rPr>
  </w:style>
  <w:style w:type="character" w:customStyle="1" w:styleId="758">
    <w:name w:val="HTML 地址 Char"/>
    <w:link w:val="32"/>
    <w:qFormat/>
    <w:uiPriority w:val="0"/>
    <w:rPr>
      <w:rFonts w:ascii="宋体" w:hAnsi="宋体"/>
      <w:i/>
      <w:iCs/>
      <w:sz w:val="24"/>
      <w:szCs w:val="24"/>
    </w:rPr>
  </w:style>
  <w:style w:type="character" w:customStyle="1" w:styleId="759">
    <w:name w:val="正文首行缩进 2 Char1"/>
    <w:qFormat/>
    <w:uiPriority w:val="0"/>
    <w:rPr>
      <w:rFonts w:ascii="Times New Roman" w:hAnsi="Times New Roman" w:eastAsia="宋体" w:cs="Times New Roman"/>
      <w:kern w:val="2"/>
      <w:sz w:val="24"/>
      <w:szCs w:val="24"/>
    </w:rPr>
  </w:style>
  <w:style w:type="character" w:customStyle="1" w:styleId="760">
    <w:name w:val="副标题 Char2"/>
    <w:qFormat/>
    <w:uiPriority w:val="0"/>
    <w:rPr>
      <w:rFonts w:ascii="Cambria" w:hAnsi="Cambria" w:eastAsia="宋体" w:cs="Times New Roman"/>
      <w:b/>
      <w:bCs/>
      <w:snapToGrid w:val="0"/>
      <w:kern w:val="28"/>
      <w:sz w:val="32"/>
      <w:szCs w:val="32"/>
    </w:rPr>
  </w:style>
  <w:style w:type="character" w:customStyle="1" w:styleId="761">
    <w:name w:val="标题4-dyf Char"/>
    <w:link w:val="96"/>
    <w:qFormat/>
    <w:uiPriority w:val="0"/>
    <w:rPr>
      <w:rFonts w:ascii="Cambria" w:hAnsi="Cambria"/>
      <w:b/>
      <w:bCs/>
      <w:color w:val="000000"/>
      <w:kern w:val="2"/>
      <w:sz w:val="21"/>
      <w:szCs w:val="21"/>
    </w:rPr>
  </w:style>
  <w:style w:type="character" w:customStyle="1" w:styleId="762">
    <w:name w:val="dectext1"/>
    <w:qFormat/>
    <w:uiPriority w:val="0"/>
    <w:rPr>
      <w:rFonts w:ascii="宋体" w:hAnsi="宋体" w:eastAsia="宋体"/>
      <w:color w:val="333333"/>
      <w:sz w:val="21"/>
      <w:szCs w:val="21"/>
      <w:u w:val="none"/>
    </w:rPr>
  </w:style>
  <w:style w:type="character" w:customStyle="1" w:styleId="763">
    <w:name w:val="冯 Char"/>
    <w:link w:val="97"/>
    <w:qFormat/>
    <w:uiPriority w:val="0"/>
    <w:rPr>
      <w:rFonts w:ascii="宋体" w:hAnsi="宋体"/>
      <w:color w:val="000000"/>
      <w:sz w:val="24"/>
      <w:szCs w:val="24"/>
    </w:rPr>
  </w:style>
  <w:style w:type="character" w:customStyle="1" w:styleId="764">
    <w:name w:val="Header Char"/>
    <w:qFormat/>
    <w:locked/>
    <w:uiPriority w:val="0"/>
    <w:rPr>
      <w:rFonts w:eastAsia="宋体"/>
      <w:kern w:val="2"/>
      <w:sz w:val="18"/>
      <w:szCs w:val="18"/>
      <w:lang w:val="en-US" w:eastAsia="zh-CN" w:bidi="ar-SA"/>
    </w:rPr>
  </w:style>
  <w:style w:type="character" w:customStyle="1" w:styleId="765">
    <w:name w:val="Char Char12"/>
    <w:qFormat/>
    <w:uiPriority w:val="0"/>
    <w:rPr>
      <w:rFonts w:ascii="仿宋_GB2312" w:eastAsia="仿宋_GB2312"/>
      <w:b/>
      <w:bCs/>
      <w:kern w:val="2"/>
      <w:sz w:val="24"/>
      <w:szCs w:val="24"/>
      <w:lang w:val="zh-CN" w:eastAsia="zh-CN" w:bidi="ar-SA"/>
    </w:rPr>
  </w:style>
  <w:style w:type="character" w:customStyle="1" w:styleId="766">
    <w:name w:val="题注 Char"/>
    <w:link w:val="21"/>
    <w:qFormat/>
    <w:uiPriority w:val="0"/>
    <w:rPr>
      <w:b/>
      <w:kern w:val="2"/>
      <w:sz w:val="28"/>
    </w:rPr>
  </w:style>
  <w:style w:type="character" w:customStyle="1" w:styleId="767">
    <w:name w:val="普通文字 Char3"/>
    <w:qFormat/>
    <w:uiPriority w:val="0"/>
    <w:rPr>
      <w:rFonts w:ascii="宋体" w:hAnsi="Courier New" w:eastAsia="宋体"/>
      <w:kern w:val="2"/>
      <w:sz w:val="21"/>
      <w:lang w:val="en-US" w:eastAsia="zh-CN" w:bidi="ar-SA"/>
    </w:rPr>
  </w:style>
  <w:style w:type="character" w:customStyle="1" w:styleId="768">
    <w:name w:val="公文正文 Char"/>
    <w:qFormat/>
    <w:uiPriority w:val="0"/>
    <w:rPr>
      <w:rFonts w:ascii="仿宋_GB2312" w:eastAsia="仿宋_GB2312"/>
      <w:kern w:val="2"/>
      <w:sz w:val="24"/>
      <w:szCs w:val="24"/>
      <w:lang w:val="en-US" w:eastAsia="zh-CN" w:bidi="ar-SA"/>
    </w:rPr>
  </w:style>
  <w:style w:type="character" w:customStyle="1" w:styleId="769">
    <w:name w:val="正文首行缩进 Char Char Char Char Char"/>
    <w:qFormat/>
    <w:uiPriority w:val="0"/>
    <w:rPr>
      <w:rFonts w:ascii="宋体"/>
      <w:kern w:val="2"/>
      <w:sz w:val="24"/>
      <w:lang w:val="zh-CN"/>
    </w:rPr>
  </w:style>
  <w:style w:type="character" w:customStyle="1" w:styleId="770">
    <w:name w:val="PI Char"/>
    <w:qFormat/>
    <w:uiPriority w:val="0"/>
    <w:rPr>
      <w:rFonts w:ascii="宋体" w:hAnsi="宋体" w:eastAsia="宋体"/>
      <w:kern w:val="2"/>
      <w:sz w:val="24"/>
      <w:szCs w:val="24"/>
      <w:lang w:val="en-US" w:eastAsia="zh-CN" w:bidi="ar-SA"/>
    </w:rPr>
  </w:style>
  <w:style w:type="character" w:customStyle="1" w:styleId="771">
    <w:name w:val="Default Char"/>
    <w:link w:val="98"/>
    <w:qFormat/>
    <w:uiPriority w:val="0"/>
    <w:rPr>
      <w:rFonts w:ascii="仿宋_GB2312" w:eastAsia="仿宋_GB2312" w:cs="仿宋_GB2312"/>
      <w:color w:val="000000"/>
      <w:sz w:val="24"/>
      <w:szCs w:val="24"/>
      <w:lang w:val="en-US" w:eastAsia="zh-CN" w:bidi="ar-SA"/>
    </w:rPr>
  </w:style>
  <w:style w:type="character" w:customStyle="1" w:styleId="772">
    <w:name w:val="style91"/>
    <w:qFormat/>
    <w:uiPriority w:val="0"/>
    <w:rPr>
      <w:color w:val="333333"/>
    </w:rPr>
  </w:style>
  <w:style w:type="character" w:customStyle="1" w:styleId="773">
    <w:name w:val="列出段落 Char2"/>
    <w:qFormat/>
    <w:uiPriority w:val="34"/>
    <w:rPr>
      <w:rFonts w:ascii="Calibri" w:hAnsi="Calibri"/>
      <w:kern w:val="2"/>
      <w:sz w:val="28"/>
    </w:rPr>
  </w:style>
  <w:style w:type="character" w:customStyle="1" w:styleId="774">
    <w:name w:val="mdeck"/>
    <w:qFormat/>
    <w:uiPriority w:val="0"/>
    <w:rPr>
      <w:rFonts w:ascii="仿宋_GB2312" w:eastAsia="微软雅黑"/>
      <w:b/>
      <w:kern w:val="2"/>
      <w:sz w:val="32"/>
      <w:szCs w:val="32"/>
      <w:lang w:val="en-US" w:eastAsia="zh-CN" w:bidi="ar-SA"/>
    </w:rPr>
  </w:style>
  <w:style w:type="character" w:customStyle="1" w:styleId="775">
    <w:name w:val="unnamed11"/>
    <w:qFormat/>
    <w:uiPriority w:val="0"/>
    <w:rPr>
      <w:sz w:val="20"/>
      <w:szCs w:val="20"/>
    </w:rPr>
  </w:style>
  <w:style w:type="character" w:customStyle="1" w:styleId="776">
    <w:name w:val="正文文本 Char2"/>
    <w:semiHidden/>
    <w:qFormat/>
    <w:uiPriority w:val="99"/>
    <w:rPr>
      <w:rFonts w:ascii="Times New Roman" w:hAnsi="Times New Roman" w:eastAsia="宋体" w:cs="Times New Roman"/>
      <w:snapToGrid w:val="0"/>
      <w:kern w:val="0"/>
      <w:szCs w:val="24"/>
    </w:rPr>
  </w:style>
  <w:style w:type="character" w:customStyle="1" w:styleId="777">
    <w:name w:val="标书正文格式 Char"/>
    <w:qFormat/>
    <w:uiPriority w:val="0"/>
    <w:rPr>
      <w:rFonts w:eastAsia="楷体_GB2312"/>
      <w:kern w:val="2"/>
      <w:sz w:val="24"/>
      <w:szCs w:val="24"/>
      <w:lang w:bidi="ar-SA"/>
    </w:rPr>
  </w:style>
  <w:style w:type="character" w:customStyle="1" w:styleId="778">
    <w:name w:val="Char Char11"/>
    <w:qFormat/>
    <w:locked/>
    <w:uiPriority w:val="0"/>
    <w:rPr>
      <w:rFonts w:ascii="宋体" w:hAnsi="宋体" w:eastAsia="宋体"/>
      <w:b/>
      <w:kern w:val="2"/>
      <w:sz w:val="24"/>
      <w:szCs w:val="24"/>
      <w:lang w:val="en-US" w:eastAsia="zh-CN" w:bidi="ar-SA"/>
    </w:rPr>
  </w:style>
  <w:style w:type="character" w:customStyle="1" w:styleId="779">
    <w:name w:val="ca-131"/>
    <w:qFormat/>
    <w:uiPriority w:val="0"/>
    <w:rPr>
      <w:rFonts w:hint="eastAsia" w:ascii="仿宋_GB2312" w:eastAsia="仿宋_GB2312"/>
      <w:b/>
      <w:bCs/>
      <w:color w:val="000000"/>
      <w:spacing w:val="-20"/>
      <w:sz w:val="24"/>
      <w:szCs w:val="24"/>
    </w:rPr>
  </w:style>
  <w:style w:type="character" w:customStyle="1" w:styleId="780">
    <w:name w:val="tw4winMark"/>
    <w:qFormat/>
    <w:uiPriority w:val="0"/>
    <w:rPr>
      <w:rFonts w:ascii="Courier New" w:hAnsi="Courier New" w:cs="Courier New"/>
      <w:vanish/>
      <w:color w:val="800080"/>
      <w:sz w:val="24"/>
      <w:szCs w:val="24"/>
      <w:vertAlign w:val="subscript"/>
    </w:rPr>
  </w:style>
  <w:style w:type="character" w:customStyle="1" w:styleId="781">
    <w:name w:val="正文样式 Char"/>
    <w:link w:val="100"/>
    <w:qFormat/>
    <w:uiPriority w:val="0"/>
    <w:rPr>
      <w:rFonts w:ascii="Calibri" w:hAnsi="Calibri"/>
      <w:sz w:val="24"/>
      <w:szCs w:val="24"/>
    </w:rPr>
  </w:style>
  <w:style w:type="character" w:customStyle="1" w:styleId="782">
    <w:name w:val="表正文 Char3"/>
    <w:qFormat/>
    <w:uiPriority w:val="0"/>
    <w:rPr>
      <w:rFonts w:eastAsia="宋体"/>
    </w:rPr>
  </w:style>
  <w:style w:type="character" w:customStyle="1" w:styleId="783">
    <w:name w:val="H5 Char"/>
    <w:qFormat/>
    <w:uiPriority w:val="0"/>
    <w:rPr>
      <w:b/>
      <w:bCs/>
      <w:kern w:val="2"/>
      <w:sz w:val="28"/>
      <w:szCs w:val="28"/>
    </w:rPr>
  </w:style>
  <w:style w:type="character" w:customStyle="1" w:styleId="784">
    <w:name w:val="Char Char3"/>
    <w:qFormat/>
    <w:uiPriority w:val="0"/>
    <w:rPr>
      <w:rFonts w:eastAsia="宋体"/>
      <w:kern w:val="2"/>
      <w:sz w:val="21"/>
      <w:szCs w:val="24"/>
      <w:lang w:val="en-US" w:eastAsia="zh-CN" w:bidi="ar-SA"/>
    </w:rPr>
  </w:style>
  <w:style w:type="character" w:customStyle="1" w:styleId="785">
    <w:name w:val="正文 编号 Char"/>
    <w:qFormat/>
    <w:uiPriority w:val="0"/>
    <w:rPr>
      <w:rFonts w:ascii="仿宋_GB2312" w:hAnsi="仿宋_GB2312" w:eastAsia="仿宋_GB2312"/>
      <w:kern w:val="2"/>
      <w:sz w:val="24"/>
      <w:lang w:bidi="ar-SA"/>
    </w:rPr>
  </w:style>
  <w:style w:type="character" w:customStyle="1" w:styleId="786">
    <w:name w:val="question-title2"/>
    <w:qFormat/>
    <w:uiPriority w:val="6"/>
    <w:rPr>
      <w:rFonts w:ascii="Arial" w:hAnsi="Arial" w:eastAsia="黑体" w:cs="Arial"/>
      <w:snapToGrid w:val="0"/>
      <w:kern w:val="0"/>
      <w:szCs w:val="21"/>
    </w:rPr>
  </w:style>
  <w:style w:type="character" w:customStyle="1" w:styleId="787">
    <w:name w:val="gf正文1 Char Char"/>
    <w:link w:val="101"/>
    <w:qFormat/>
    <w:uiPriority w:val="0"/>
    <w:rPr>
      <w:rFonts w:ascii="宋体" w:hAnsi="宋体" w:cs="宋体"/>
      <w:kern w:val="2"/>
      <w:sz w:val="24"/>
      <w:szCs w:val="24"/>
    </w:rPr>
  </w:style>
  <w:style w:type="character" w:customStyle="1" w:styleId="788">
    <w:name w:val="Char Char15"/>
    <w:qFormat/>
    <w:uiPriority w:val="6"/>
    <w:rPr>
      <w:rFonts w:ascii="宋体" w:hAnsi="宋体"/>
      <w:kern w:val="1"/>
      <w:sz w:val="21"/>
    </w:rPr>
  </w:style>
  <w:style w:type="character" w:customStyle="1" w:styleId="789">
    <w:name w:val="正文缩进 Char3"/>
    <w:qFormat/>
    <w:uiPriority w:val="0"/>
    <w:rPr>
      <w:rFonts w:ascii="宋体" w:eastAsia="宋体"/>
      <w:snapToGrid w:val="0"/>
      <w:color w:val="000000"/>
      <w:kern w:val="28"/>
      <w:sz w:val="28"/>
      <w:lang w:val="en-US" w:eastAsia="zh-CN" w:bidi="ar-SA"/>
    </w:rPr>
  </w:style>
  <w:style w:type="character" w:customStyle="1" w:styleId="790">
    <w:name w:val="列出段落 Char1"/>
    <w:link w:val="102"/>
    <w:qFormat/>
    <w:uiPriority w:val="0"/>
    <w:rPr>
      <w:rFonts w:ascii="Calibri" w:hAnsi="Calibri"/>
      <w:sz w:val="24"/>
      <w:lang w:eastAsia="en-US"/>
    </w:rPr>
  </w:style>
  <w:style w:type="character" w:customStyle="1" w:styleId="791">
    <w:name w:val="Char Char8"/>
    <w:qFormat/>
    <w:uiPriority w:val="0"/>
    <w:rPr>
      <w:rFonts w:eastAsia="宋体"/>
      <w:b/>
      <w:sz w:val="24"/>
      <w:lang w:eastAsia="zh-CN"/>
    </w:rPr>
  </w:style>
  <w:style w:type="character" w:customStyle="1" w:styleId="792">
    <w:name w:val="Normal Indent Char Char"/>
    <w:qFormat/>
    <w:uiPriority w:val="0"/>
    <w:rPr>
      <w:rFonts w:eastAsia="宋体"/>
      <w:kern w:val="2"/>
      <w:sz w:val="21"/>
      <w:lang w:val="en-US" w:eastAsia="zh-CN" w:bidi="ar-SA"/>
    </w:rPr>
  </w:style>
  <w:style w:type="character" w:customStyle="1" w:styleId="793">
    <w:name w:val="列表段落 字符"/>
    <w:qFormat/>
    <w:uiPriority w:val="99"/>
  </w:style>
  <w:style w:type="character" w:customStyle="1" w:styleId="794">
    <w:name w:val="Ò³Ã¼ Char Char1"/>
    <w:qFormat/>
    <w:uiPriority w:val="0"/>
    <w:rPr>
      <w:rFonts w:eastAsia="宋体"/>
      <w:kern w:val="2"/>
      <w:sz w:val="18"/>
      <w:szCs w:val="18"/>
      <w:lang w:val="en-US" w:eastAsia="zh-CN" w:bidi="ar-SA"/>
    </w:rPr>
  </w:style>
  <w:style w:type="character" w:customStyle="1" w:styleId="795">
    <w:name w:val="方案正文 Char"/>
    <w:qFormat/>
    <w:uiPriority w:val="0"/>
    <w:rPr>
      <w:rFonts w:ascii="仿宋_GB2312" w:eastAsia="仿宋_GB2312"/>
      <w:b/>
      <w:color w:val="000000"/>
      <w:kern w:val="2"/>
      <w:sz w:val="24"/>
      <w:lang w:val="en-US" w:eastAsia="zh-CN" w:bidi="ar-SA"/>
    </w:rPr>
  </w:style>
  <w:style w:type="character" w:customStyle="1" w:styleId="796">
    <w:name w:val="Char Char30"/>
    <w:qFormat/>
    <w:uiPriority w:val="6"/>
    <w:rPr>
      <w:rFonts w:ascii="Arial" w:hAnsi="Arial" w:eastAsia="黑体"/>
      <w:kern w:val="1"/>
      <w:sz w:val="21"/>
      <w:szCs w:val="21"/>
    </w:rPr>
  </w:style>
  <w:style w:type="character" w:customStyle="1" w:styleId="797">
    <w:name w:val="正文文本缩进 Char3"/>
    <w:link w:val="17"/>
    <w:qFormat/>
    <w:uiPriority w:val="0"/>
    <w:rPr>
      <w:rFonts w:ascii="宋体" w:hAnsi="宋体"/>
      <w:kern w:val="2"/>
      <w:sz w:val="24"/>
      <w:szCs w:val="24"/>
    </w:rPr>
  </w:style>
  <w:style w:type="character" w:customStyle="1" w:styleId="798">
    <w:name w:val="font01"/>
    <w:qFormat/>
    <w:uiPriority w:val="0"/>
    <w:rPr>
      <w:rFonts w:hint="eastAsia" w:ascii="微软雅黑" w:hAnsi="微软雅黑" w:eastAsia="微软雅黑" w:cs="微软雅黑"/>
      <w:color w:val="000000"/>
      <w:sz w:val="20"/>
      <w:szCs w:val="20"/>
      <w:u w:val="none"/>
    </w:rPr>
  </w:style>
  <w:style w:type="character" w:customStyle="1" w:styleId="799">
    <w:name w:val="Char Char20"/>
    <w:qFormat/>
    <w:uiPriority w:val="6"/>
    <w:rPr>
      <w:kern w:val="1"/>
      <w:sz w:val="24"/>
    </w:rPr>
  </w:style>
  <w:style w:type="character" w:customStyle="1" w:styleId="800">
    <w:name w:val="tw4winExternal"/>
    <w:qFormat/>
    <w:uiPriority w:val="0"/>
    <w:rPr>
      <w:rFonts w:ascii="Courier New" w:hAnsi="Courier New" w:cs="Courier New"/>
      <w:color w:val="808080"/>
      <w:lang w:val="en-US" w:eastAsia="zh-CN"/>
    </w:rPr>
  </w:style>
  <w:style w:type="character" w:customStyle="1" w:styleId="801">
    <w:name w:val="标题 4 Char1"/>
    <w:qFormat/>
    <w:uiPriority w:val="9"/>
    <w:rPr>
      <w:rFonts w:ascii="Cambria" w:hAnsi="Cambria" w:eastAsia="宋体" w:cs="Times New Roman"/>
      <w:b/>
      <w:bCs/>
      <w:kern w:val="2"/>
      <w:sz w:val="28"/>
      <w:szCs w:val="28"/>
    </w:rPr>
  </w:style>
  <w:style w:type="character" w:customStyle="1" w:styleId="802">
    <w:name w:val="批注文字 Char2"/>
    <w:qFormat/>
    <w:uiPriority w:val="99"/>
    <w:rPr>
      <w:rFonts w:ascii="Times New Roman" w:hAnsi="Times New Roman" w:eastAsia="宋体" w:cs="Times New Roman"/>
      <w:snapToGrid w:val="0"/>
      <w:kern w:val="0"/>
      <w:szCs w:val="24"/>
    </w:rPr>
  </w:style>
  <w:style w:type="character" w:customStyle="1" w:styleId="803">
    <w:name w:val="正文文本 2 Char"/>
    <w:qFormat/>
    <w:uiPriority w:val="0"/>
    <w:rPr>
      <w:rFonts w:eastAsia="宋体"/>
      <w:kern w:val="2"/>
      <w:sz w:val="21"/>
      <w:szCs w:val="24"/>
      <w:lang w:val="en-US" w:eastAsia="zh-CN" w:bidi="ar-SA"/>
    </w:rPr>
  </w:style>
  <w:style w:type="character" w:customStyle="1" w:styleId="804">
    <w:name w:val="Ò³Ã¼ Char Char"/>
    <w:qFormat/>
    <w:uiPriority w:val="0"/>
    <w:rPr>
      <w:rFonts w:eastAsia="宋体"/>
      <w:kern w:val="2"/>
      <w:sz w:val="18"/>
      <w:lang w:val="en-US" w:eastAsia="zh-CN" w:bidi="ar-SA"/>
    </w:rPr>
  </w:style>
  <w:style w:type="character" w:customStyle="1" w:styleId="805">
    <w:name w:val="message1"/>
    <w:qFormat/>
    <w:uiPriority w:val="0"/>
    <w:rPr>
      <w:rFonts w:hint="default" w:ascii="Tahoma" w:hAnsi="Tahoma" w:cs="Tahoma"/>
      <w:sz w:val="18"/>
      <w:szCs w:val="18"/>
    </w:rPr>
  </w:style>
  <w:style w:type="character" w:customStyle="1" w:styleId="806">
    <w:name w:val="Char Char23"/>
    <w:qFormat/>
    <w:uiPriority w:val="6"/>
    <w:rPr>
      <w:color w:val="0000FF"/>
      <w:sz w:val="21"/>
    </w:rPr>
  </w:style>
  <w:style w:type="character" w:customStyle="1" w:styleId="807">
    <w:name w:val="批注框文本 字符"/>
    <w:qFormat/>
    <w:uiPriority w:val="99"/>
    <w:rPr>
      <w:rFonts w:ascii="Arial" w:hAnsi="Arial" w:eastAsia="黑体" w:cs="Arial"/>
      <w:snapToGrid w:val="0"/>
      <w:kern w:val="0"/>
      <w:sz w:val="18"/>
      <w:szCs w:val="18"/>
    </w:rPr>
  </w:style>
  <w:style w:type="character" w:customStyle="1" w:styleId="808">
    <w:name w:val="纯文本 Char2"/>
    <w:semiHidden/>
    <w:qFormat/>
    <w:uiPriority w:val="99"/>
    <w:rPr>
      <w:rFonts w:ascii="宋体" w:hAnsi="Courier New" w:eastAsia="宋体" w:cs="Courier New"/>
    </w:rPr>
  </w:style>
  <w:style w:type="character" w:customStyle="1" w:styleId="809">
    <w:name w:val="Char Char25"/>
    <w:qFormat/>
    <w:uiPriority w:val="6"/>
    <w:rPr>
      <w:rFonts w:ascii="宋体" w:hAnsi="宋体"/>
      <w:kern w:val="1"/>
      <w:sz w:val="24"/>
      <w:lang w:val="zh-CN"/>
    </w:rPr>
  </w:style>
  <w:style w:type="character" w:customStyle="1" w:styleId="810">
    <w:name w:val="Char Char411"/>
    <w:qFormat/>
    <w:uiPriority w:val="0"/>
    <w:rPr>
      <w:rFonts w:eastAsia="宋体"/>
      <w:b/>
      <w:sz w:val="24"/>
      <w:lang w:eastAsia="zh-CN" w:bidi="ar-SA"/>
    </w:rPr>
  </w:style>
  <w:style w:type="character" w:customStyle="1" w:styleId="811">
    <w:name w:val="Heading 7 Char"/>
    <w:qFormat/>
    <w:locked/>
    <w:uiPriority w:val="0"/>
    <w:rPr>
      <w:rFonts w:ascii="宋体" w:hAnsi="宋体" w:eastAsia="宋体"/>
      <w:b/>
      <w:bCs/>
      <w:kern w:val="2"/>
      <w:sz w:val="24"/>
      <w:szCs w:val="24"/>
      <w:lang w:val="en-US" w:eastAsia="zh-CN" w:bidi="ar-SA"/>
    </w:rPr>
  </w:style>
  <w:style w:type="character" w:customStyle="1" w:styleId="812">
    <w:name w:val="此正文 Char"/>
    <w:link w:val="104"/>
    <w:qFormat/>
    <w:uiPriority w:val="0"/>
    <w:rPr>
      <w:kern w:val="2"/>
      <w:sz w:val="24"/>
      <w:szCs w:val="24"/>
    </w:rPr>
  </w:style>
  <w:style w:type="character" w:customStyle="1" w:styleId="813">
    <w:name w:val="Char Char2"/>
    <w:qFormat/>
    <w:uiPriority w:val="0"/>
    <w:rPr>
      <w:rFonts w:eastAsia="宋体"/>
      <w:b/>
      <w:bCs/>
      <w:kern w:val="2"/>
      <w:sz w:val="21"/>
      <w:szCs w:val="24"/>
      <w:lang w:val="en-US" w:eastAsia="zh-CN" w:bidi="ar-SA"/>
    </w:rPr>
  </w:style>
  <w:style w:type="character" w:customStyle="1" w:styleId="814">
    <w:name w:val="标题 1 Char"/>
    <w:link w:val="3"/>
    <w:qFormat/>
    <w:uiPriority w:val="9"/>
    <w:rPr>
      <w:b/>
      <w:bCs/>
      <w:kern w:val="44"/>
      <w:sz w:val="44"/>
      <w:szCs w:val="44"/>
    </w:rPr>
  </w:style>
  <w:style w:type="character" w:customStyle="1" w:styleId="815">
    <w:name w:val="Footer-Even Char1"/>
    <w:qFormat/>
    <w:uiPriority w:val="0"/>
    <w:rPr>
      <w:rFonts w:eastAsia="宋体"/>
      <w:kern w:val="2"/>
      <w:sz w:val="18"/>
      <w:szCs w:val="18"/>
      <w:lang w:val="en-US" w:eastAsia="zh-CN" w:bidi="ar-SA"/>
    </w:rPr>
  </w:style>
  <w:style w:type="character" w:customStyle="1" w:styleId="816">
    <w:name w:val="Char Char29"/>
    <w:qFormat/>
    <w:uiPriority w:val="6"/>
    <w:rPr>
      <w:rFonts w:ascii="Arial" w:hAnsi="Arial" w:eastAsia="微软雅黑"/>
      <w:b/>
      <w:kern w:val="1"/>
      <w:sz w:val="44"/>
      <w:szCs w:val="32"/>
      <w:lang w:val="en-US" w:eastAsia="zh-CN" w:bidi="ar-SA"/>
    </w:rPr>
  </w:style>
  <w:style w:type="character" w:customStyle="1" w:styleId="817">
    <w:name w:val="标题 Char2"/>
    <w:link w:val="62"/>
    <w:qFormat/>
    <w:uiPriority w:val="10"/>
    <w:rPr>
      <w:b/>
      <w:sz w:val="24"/>
    </w:rPr>
  </w:style>
  <w:style w:type="character" w:customStyle="1" w:styleId="818">
    <w:name w:val="font81"/>
    <w:qFormat/>
    <w:uiPriority w:val="0"/>
    <w:rPr>
      <w:rFonts w:ascii="微软雅黑" w:hAnsi="微软雅黑" w:eastAsia="微软雅黑" w:cs="微软雅黑"/>
      <w:color w:val="000000"/>
      <w:sz w:val="20"/>
      <w:szCs w:val="20"/>
      <w:u w:val="none"/>
    </w:rPr>
  </w:style>
  <w:style w:type="character" w:customStyle="1" w:styleId="819">
    <w:name w:val="Char Char312"/>
    <w:qFormat/>
    <w:uiPriority w:val="0"/>
    <w:rPr>
      <w:rFonts w:ascii="Times New Roman" w:hAnsi="Times New Roman" w:eastAsia="宋体" w:cs="Times New Roman"/>
      <w:b/>
      <w:kern w:val="2"/>
      <w:sz w:val="32"/>
      <w:szCs w:val="24"/>
      <w:lang w:val="en-US" w:eastAsia="zh-CN" w:bidi="ar-SA"/>
    </w:rPr>
  </w:style>
  <w:style w:type="character" w:customStyle="1" w:styleId="820">
    <w:name w:val="t21"/>
    <w:qFormat/>
    <w:uiPriority w:val="0"/>
    <w:rPr>
      <w:rFonts w:ascii="仿宋_GB2312" w:eastAsia="微软雅黑"/>
      <w:b/>
      <w:kern w:val="2"/>
      <w:sz w:val="23"/>
      <w:szCs w:val="23"/>
      <w:lang w:val="en-US" w:eastAsia="zh-CN" w:bidi="ar-SA"/>
    </w:rPr>
  </w:style>
  <w:style w:type="character" w:customStyle="1" w:styleId="821">
    <w:name w:val="样式8 Char"/>
    <w:qFormat/>
    <w:uiPriority w:val="0"/>
    <w:rPr>
      <w:rFonts w:ascii="仿宋_GB2312" w:hAnsi="宋体" w:eastAsia="仿宋_GB2312"/>
      <w:b/>
      <w:bCs/>
      <w:kern w:val="2"/>
      <w:sz w:val="24"/>
      <w:szCs w:val="24"/>
    </w:rPr>
  </w:style>
  <w:style w:type="character" w:customStyle="1" w:styleId="822">
    <w:name w:val="表格 Char Char"/>
    <w:qFormat/>
    <w:uiPriority w:val="0"/>
    <w:rPr>
      <w:rFonts w:ascii="宋体" w:hAnsi="宋体" w:eastAsia="宋体"/>
      <w:lang w:bidi="ar-SA"/>
    </w:rPr>
  </w:style>
  <w:style w:type="character" w:customStyle="1" w:styleId="823">
    <w:name w:val="正文文本 字符1"/>
    <w:qFormat/>
    <w:uiPriority w:val="0"/>
    <w:rPr>
      <w:rFonts w:ascii="Calibri" w:hAnsi="Calibri" w:eastAsia="黑体" w:cs="Arial"/>
      <w:snapToGrid w:val="0"/>
      <w:kern w:val="2"/>
      <w:sz w:val="28"/>
      <w:szCs w:val="21"/>
    </w:rPr>
  </w:style>
  <w:style w:type="character" w:customStyle="1" w:styleId="824">
    <w:name w:val="标题 5 Char"/>
    <w:link w:val="6"/>
    <w:qFormat/>
    <w:uiPriority w:val="9"/>
    <w:rPr>
      <w:b/>
      <w:bCs/>
      <w:kern w:val="2"/>
      <w:sz w:val="28"/>
      <w:szCs w:val="28"/>
    </w:rPr>
  </w:style>
  <w:style w:type="character" w:customStyle="1" w:styleId="825">
    <w:name w:val="标题 6 Char1"/>
    <w:qFormat/>
    <w:uiPriority w:val="0"/>
    <w:rPr>
      <w:rFonts w:ascii="Arial" w:hAnsi="Arial" w:eastAsia="黑体" w:cs="Times New Roman"/>
      <w:b/>
      <w:sz w:val="24"/>
      <w:szCs w:val="20"/>
      <w:lang w:bidi="ar-SA"/>
    </w:rPr>
  </w:style>
  <w:style w:type="character" w:customStyle="1" w:styleId="826">
    <w:name w:val="带编号样式 Char"/>
    <w:qFormat/>
    <w:uiPriority w:val="0"/>
    <w:rPr>
      <w:rFonts w:ascii="仿宋_GB2312" w:eastAsia="仿宋_GB2312"/>
      <w:color w:val="000000"/>
      <w:sz w:val="24"/>
      <w:lang w:bidi="ar-SA"/>
    </w:rPr>
  </w:style>
  <w:style w:type="character" w:customStyle="1" w:styleId="827">
    <w:name w:val="unnamed31"/>
    <w:qFormat/>
    <w:uiPriority w:val="0"/>
    <w:rPr>
      <w:rFonts w:ascii="Tahoma" w:hAnsi="Tahoma" w:eastAsia="宋体"/>
      <w:b/>
      <w:kern w:val="2"/>
      <w:sz w:val="24"/>
      <w:szCs w:val="32"/>
      <w:u w:val="none"/>
      <w:lang w:val="en-US" w:eastAsia="zh-CN" w:bidi="ar-SA"/>
    </w:rPr>
  </w:style>
  <w:style w:type="character" w:customStyle="1" w:styleId="828">
    <w:name w:val="正文首行缩进 Char Char Char Char Char Char1"/>
    <w:qFormat/>
    <w:uiPriority w:val="0"/>
    <w:rPr>
      <w:rFonts w:ascii="宋体" w:eastAsia="宋体"/>
      <w:kern w:val="2"/>
      <w:sz w:val="24"/>
      <w:szCs w:val="24"/>
      <w:lang w:val="zh-CN" w:bidi="ar-SA"/>
    </w:rPr>
  </w:style>
  <w:style w:type="character" w:customStyle="1" w:styleId="829">
    <w:name w:val="称呼 Char"/>
    <w:link w:val="25"/>
    <w:qFormat/>
    <w:uiPriority w:val="0"/>
    <w:rPr>
      <w:rFonts w:ascii="仿宋_GB2312" w:eastAsia="仿宋_GB2312"/>
      <w:kern w:val="2"/>
      <w:sz w:val="28"/>
    </w:rPr>
  </w:style>
  <w:style w:type="character" w:customStyle="1" w:styleId="830">
    <w:name w:val="文本正文 Char Char"/>
    <w:qFormat/>
    <w:locked/>
    <w:uiPriority w:val="0"/>
    <w:rPr>
      <w:sz w:val="24"/>
      <w:lang w:bidi="ar-SA"/>
    </w:rPr>
  </w:style>
  <w:style w:type="character" w:customStyle="1" w:styleId="831">
    <w:name w:val="正文缩进 字符"/>
    <w:qFormat/>
    <w:uiPriority w:val="0"/>
    <w:rPr>
      <w:rFonts w:ascii="宋体" w:eastAsia="宋体"/>
      <w:snapToGrid w:val="0"/>
      <w:color w:val="000000"/>
      <w:kern w:val="28"/>
      <w:sz w:val="28"/>
      <w:lang w:val="en-US" w:eastAsia="zh-CN" w:bidi="ar-SA"/>
    </w:rPr>
  </w:style>
  <w:style w:type="character" w:customStyle="1" w:styleId="832">
    <w:name w:val="HTML 预设格式 Char"/>
    <w:link w:val="60"/>
    <w:qFormat/>
    <w:uiPriority w:val="0"/>
    <w:rPr>
      <w:rFonts w:ascii="黑体" w:hAnsi="Courier New" w:eastAsia="黑体"/>
    </w:rPr>
  </w:style>
  <w:style w:type="character" w:customStyle="1" w:styleId="833">
    <w:name w:val="正文文本 2 Char1"/>
    <w:link w:val="59"/>
    <w:qFormat/>
    <w:uiPriority w:val="0"/>
    <w:rPr>
      <w:kern w:val="2"/>
      <w:sz w:val="21"/>
      <w:szCs w:val="24"/>
    </w:rPr>
  </w:style>
  <w:style w:type="character" w:customStyle="1" w:styleId="834">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35">
    <w:name w:val="正文非缩进 Char"/>
    <w:qFormat/>
    <w:uiPriority w:val="0"/>
    <w:rPr>
      <w:rFonts w:ascii="宋体" w:eastAsia="宋体"/>
      <w:snapToGrid w:val="0"/>
      <w:color w:val="000000"/>
      <w:kern w:val="28"/>
      <w:sz w:val="28"/>
      <w:lang w:val="en-US" w:eastAsia="zh-CN" w:bidi="ar-SA"/>
    </w:rPr>
  </w:style>
  <w:style w:type="character" w:customStyle="1" w:styleId="836">
    <w:name w:val="标题 7 Char"/>
    <w:link w:val="8"/>
    <w:qFormat/>
    <w:uiPriority w:val="0"/>
    <w:rPr>
      <w:b/>
      <w:bCs/>
      <w:kern w:val="2"/>
      <w:sz w:val="24"/>
      <w:szCs w:val="24"/>
    </w:rPr>
  </w:style>
  <w:style w:type="character" w:customStyle="1" w:styleId="837">
    <w:name w:val="正文文本缩进 2 Char"/>
    <w:link w:val="39"/>
    <w:qFormat/>
    <w:uiPriority w:val="0"/>
    <w:rPr>
      <w:rFonts w:ascii="宋体"/>
      <w:sz w:val="28"/>
    </w:rPr>
  </w:style>
  <w:style w:type="character" w:customStyle="1" w:styleId="838">
    <w:name w:val="Char Char5"/>
    <w:qFormat/>
    <w:uiPriority w:val="0"/>
    <w:rPr>
      <w:rFonts w:ascii="宋体" w:hAnsi="Courier New" w:eastAsia="宋体"/>
      <w:kern w:val="2"/>
      <w:sz w:val="21"/>
      <w:lang w:val="en-US" w:eastAsia="zh-CN"/>
    </w:rPr>
  </w:style>
  <w:style w:type="character" w:customStyle="1" w:styleId="839">
    <w:name w:val="脚注文本 Char"/>
    <w:link w:val="53"/>
    <w:qFormat/>
    <w:uiPriority w:val="0"/>
    <w:rPr>
      <w:color w:val="0000FF"/>
      <w:sz w:val="21"/>
    </w:rPr>
  </w:style>
  <w:style w:type="character" w:customStyle="1" w:styleId="840">
    <w:name w:val="称呼 Char1"/>
    <w:qFormat/>
    <w:uiPriority w:val="0"/>
    <w:rPr>
      <w:rFonts w:ascii="Times New Roman" w:hAnsi="Times New Roman" w:eastAsia="宋体" w:cs="Times New Roman"/>
      <w:szCs w:val="24"/>
    </w:rPr>
  </w:style>
  <w:style w:type="character" w:customStyle="1" w:styleId="841">
    <w:name w:val="正文1 Char"/>
    <w:qFormat/>
    <w:uiPriority w:val="0"/>
    <w:rPr>
      <w:rFonts w:ascii="宋体" w:eastAsia="宋体"/>
      <w:snapToGrid w:val="0"/>
      <w:color w:val="000000"/>
      <w:kern w:val="28"/>
      <w:sz w:val="28"/>
      <w:lang w:val="en-US" w:eastAsia="zh-CN" w:bidi="ar-SA"/>
    </w:rPr>
  </w:style>
  <w:style w:type="character" w:customStyle="1" w:styleId="842">
    <w:name w:val="正文缩进 Char1"/>
    <w:qFormat/>
    <w:uiPriority w:val="0"/>
    <w:rPr>
      <w:rFonts w:ascii="宋体" w:eastAsia="宋体"/>
      <w:snapToGrid w:val="0"/>
      <w:color w:val="000000"/>
      <w:kern w:val="28"/>
      <w:sz w:val="28"/>
      <w:lang w:val="en-US" w:eastAsia="zh-CN" w:bidi="ar-SA"/>
    </w:rPr>
  </w:style>
  <w:style w:type="character" w:customStyle="1" w:styleId="843">
    <w:name w:val="font21"/>
    <w:qFormat/>
    <w:uiPriority w:val="0"/>
    <w:rPr>
      <w:rFonts w:hint="eastAsia" w:ascii="宋体" w:hAnsi="宋体" w:eastAsia="宋体"/>
      <w:kern w:val="2"/>
      <w:sz w:val="28"/>
      <w:szCs w:val="28"/>
      <w:lang w:val="en-US" w:eastAsia="zh-CN" w:bidi="ar-SA"/>
    </w:rPr>
  </w:style>
  <w:style w:type="character" w:customStyle="1" w:styleId="844">
    <w:name w:val="Char Char26"/>
    <w:qFormat/>
    <w:uiPriority w:val="6"/>
    <w:rPr>
      <w:kern w:val="1"/>
      <w:sz w:val="21"/>
      <w:szCs w:val="24"/>
    </w:rPr>
  </w:style>
  <w:style w:type="character" w:customStyle="1" w:styleId="845">
    <w:name w:val="Item List Char"/>
    <w:link w:val="107"/>
    <w:qFormat/>
    <w:uiPriority w:val="0"/>
    <w:rPr>
      <w:rFonts w:ascii="Arial"/>
      <w:bCs/>
      <w:sz w:val="21"/>
      <w:szCs w:val="21"/>
      <w:lang w:val="en-US" w:eastAsia="zh-CN" w:bidi="ar-SA"/>
    </w:rPr>
  </w:style>
  <w:style w:type="character" w:customStyle="1" w:styleId="846">
    <w:name w:val="批注框文本 Char1"/>
    <w:qFormat/>
    <w:uiPriority w:val="0"/>
    <w:rPr>
      <w:rFonts w:ascii="Times New Roman" w:hAnsi="Times New Roman" w:eastAsia="宋体" w:cs="Times New Roman"/>
      <w:sz w:val="18"/>
      <w:szCs w:val="18"/>
    </w:rPr>
  </w:style>
  <w:style w:type="character" w:customStyle="1" w:styleId="847">
    <w:name w:val="纯文本 Char1"/>
    <w:link w:val="108"/>
    <w:qFormat/>
    <w:uiPriority w:val="0"/>
    <w:rPr>
      <w:rFonts w:ascii="宋体" w:hAnsi="Courier New"/>
    </w:rPr>
  </w:style>
  <w:style w:type="character" w:customStyle="1" w:styleId="848">
    <w:name w:val="正文首行缩进 Char"/>
    <w:link w:val="19"/>
    <w:qFormat/>
    <w:uiPriority w:val="0"/>
    <w:rPr>
      <w:rFonts w:ascii="宋体"/>
      <w:kern w:val="2"/>
      <w:sz w:val="24"/>
      <w:lang w:val="zh-CN"/>
    </w:rPr>
  </w:style>
  <w:style w:type="character" w:customStyle="1" w:styleId="849">
    <w:name w:val="h3 Char"/>
    <w:qFormat/>
    <w:uiPriority w:val="0"/>
    <w:rPr>
      <w:rFonts w:eastAsia="宋体"/>
      <w:b/>
      <w:kern w:val="2"/>
      <w:sz w:val="32"/>
      <w:lang w:val="en-US" w:eastAsia="zh-CN" w:bidi="ar-SA"/>
    </w:rPr>
  </w:style>
  <w:style w:type="character" w:customStyle="1" w:styleId="850">
    <w:name w:val="dandyren_title1"/>
    <w:qFormat/>
    <w:uiPriority w:val="0"/>
    <w:rPr>
      <w:b/>
      <w:bCs/>
      <w:color w:val="FF6633"/>
      <w:sz w:val="18"/>
      <w:szCs w:val="18"/>
    </w:rPr>
  </w:style>
  <w:style w:type="character" w:customStyle="1" w:styleId="851">
    <w:name w:val="Char Char31"/>
    <w:qFormat/>
    <w:uiPriority w:val="6"/>
    <w:rPr>
      <w:rFonts w:ascii="Arial" w:hAnsi="Arial" w:eastAsia="黑体"/>
      <w:kern w:val="1"/>
      <w:sz w:val="24"/>
      <w:szCs w:val="24"/>
    </w:rPr>
  </w:style>
  <w:style w:type="character" w:customStyle="1" w:styleId="852">
    <w:name w:val="h Char1"/>
    <w:qFormat/>
    <w:uiPriority w:val="0"/>
    <w:rPr>
      <w:sz w:val="18"/>
      <w:szCs w:val="18"/>
    </w:rPr>
  </w:style>
  <w:style w:type="character" w:customStyle="1" w:styleId="853">
    <w:name w:val="solutionfonts"/>
    <w:qFormat/>
    <w:uiPriority w:val="0"/>
  </w:style>
  <w:style w:type="character" w:customStyle="1" w:styleId="854">
    <w:name w:val="标题 4 Char2"/>
    <w:link w:val="5"/>
    <w:qFormat/>
    <w:uiPriority w:val="9"/>
    <w:rPr>
      <w:rFonts w:ascii="Arial" w:hAnsi="Arial" w:eastAsia="黑体"/>
      <w:b/>
      <w:bCs/>
      <w:kern w:val="2"/>
      <w:sz w:val="28"/>
      <w:szCs w:val="28"/>
      <w:lang w:val="zh-CN"/>
    </w:rPr>
  </w:style>
  <w:style w:type="character" w:customStyle="1" w:styleId="855">
    <w:name w:val="首行缩进 Char"/>
    <w:qFormat/>
    <w:uiPriority w:val="0"/>
    <w:rPr>
      <w:rFonts w:ascii="宋体" w:eastAsia="宋体"/>
      <w:kern w:val="2"/>
      <w:sz w:val="24"/>
      <w:lang w:val="en-US" w:eastAsia="zh-CN" w:bidi="ar-SA"/>
    </w:rPr>
  </w:style>
  <w:style w:type="character" w:customStyle="1" w:styleId="856">
    <w:name w:val="Char Char52"/>
    <w:qFormat/>
    <w:uiPriority w:val="0"/>
    <w:rPr>
      <w:rFonts w:ascii="宋体" w:hAnsi="Courier New" w:eastAsia="宋体"/>
      <w:kern w:val="2"/>
      <w:sz w:val="21"/>
      <w:lang w:val="en-US" w:eastAsia="zh-CN"/>
    </w:rPr>
  </w:style>
  <w:style w:type="character" w:customStyle="1" w:styleId="857">
    <w:name w:val="正文文本 3 Char"/>
    <w:link w:val="26"/>
    <w:qFormat/>
    <w:uiPriority w:val="0"/>
    <w:rPr>
      <w:kern w:val="2"/>
      <w:sz w:val="21"/>
    </w:rPr>
  </w:style>
  <w:style w:type="character" w:customStyle="1" w:styleId="858">
    <w:name w:val="font31"/>
    <w:qFormat/>
    <w:uiPriority w:val="0"/>
    <w:rPr>
      <w:rFonts w:hint="eastAsia" w:ascii="仿宋" w:hAnsi="仿宋" w:eastAsia="仿宋" w:cs="仿宋"/>
      <w:color w:val="000000"/>
      <w:sz w:val="20"/>
      <w:szCs w:val="20"/>
      <w:u w:val="none"/>
    </w:rPr>
  </w:style>
  <w:style w:type="character" w:customStyle="1" w:styleId="859">
    <w:name w:val="正文说明 Char"/>
    <w:link w:val="109"/>
    <w:qFormat/>
    <w:uiPriority w:val="0"/>
    <w:rPr>
      <w:sz w:val="24"/>
      <w:szCs w:val="24"/>
    </w:rPr>
  </w:style>
  <w:style w:type="character" w:customStyle="1" w:styleId="860">
    <w:name w:val="脚注文本 Char1"/>
    <w:qFormat/>
    <w:uiPriority w:val="0"/>
    <w:rPr>
      <w:rFonts w:ascii="Times New Roman" w:hAnsi="Times New Roman" w:eastAsia="宋体" w:cs="Times New Roman"/>
      <w:sz w:val="18"/>
      <w:szCs w:val="18"/>
    </w:rPr>
  </w:style>
  <w:style w:type="character" w:customStyle="1" w:styleId="861">
    <w:name w:val="Char Char1211"/>
    <w:qFormat/>
    <w:uiPriority w:val="0"/>
    <w:rPr>
      <w:rFonts w:ascii="仿宋_GB2312" w:eastAsia="仿宋_GB2312"/>
      <w:b/>
      <w:bCs/>
      <w:kern w:val="2"/>
      <w:sz w:val="24"/>
      <w:szCs w:val="24"/>
      <w:lang w:val="zh-CN" w:eastAsia="zh-CN" w:bidi="ar-SA"/>
    </w:rPr>
  </w:style>
  <w:style w:type="character" w:customStyle="1" w:styleId="862">
    <w:name w:val="标题 Char"/>
    <w:qFormat/>
    <w:uiPriority w:val="0"/>
    <w:rPr>
      <w:rFonts w:eastAsia="宋体"/>
      <w:b/>
      <w:sz w:val="24"/>
      <w:lang w:eastAsia="zh-CN" w:bidi="ar-SA"/>
    </w:rPr>
  </w:style>
  <w:style w:type="character" w:customStyle="1" w:styleId="863">
    <w:name w:val="Char Char35"/>
    <w:qFormat/>
    <w:uiPriority w:val="6"/>
    <w:rPr>
      <w:rFonts w:ascii="Arial" w:hAnsi="Arial" w:eastAsia="黑体"/>
      <w:b/>
      <w:kern w:val="1"/>
      <w:sz w:val="28"/>
      <w:szCs w:val="28"/>
      <w:lang w:val="zh-CN"/>
    </w:rPr>
  </w:style>
  <w:style w:type="character" w:customStyle="1" w:styleId="864">
    <w:name w:val="纯文本 Char Char Char"/>
    <w:qFormat/>
    <w:uiPriority w:val="0"/>
    <w:rPr>
      <w:rFonts w:ascii="宋体" w:hAnsi="Courier New" w:eastAsia="宋体"/>
      <w:kern w:val="2"/>
      <w:sz w:val="21"/>
      <w:lang w:val="en-US" w:eastAsia="zh-CN" w:bidi="ar-SA"/>
    </w:rPr>
  </w:style>
  <w:style w:type="character" w:customStyle="1" w:styleId="865">
    <w:name w:val="Table Text Char"/>
    <w:link w:val="110"/>
    <w:qFormat/>
    <w:uiPriority w:val="0"/>
    <w:rPr>
      <w:sz w:val="24"/>
      <w:szCs w:val="24"/>
    </w:rPr>
  </w:style>
  <w:style w:type="character" w:customStyle="1" w:styleId="866">
    <w:name w:val="正文1 Char1"/>
    <w:qFormat/>
    <w:uiPriority w:val="0"/>
    <w:rPr>
      <w:rFonts w:ascii="仿宋_GB2312" w:hAnsi="Courier New" w:eastAsia="仿宋_GB2312"/>
      <w:kern w:val="28"/>
      <w:sz w:val="24"/>
      <w:szCs w:val="24"/>
      <w:lang w:val="en-US" w:eastAsia="zh-CN"/>
    </w:rPr>
  </w:style>
  <w:style w:type="character" w:customStyle="1" w:styleId="867">
    <w:name w:val="页脚 Char1"/>
    <w:qFormat/>
    <w:uiPriority w:val="0"/>
    <w:rPr>
      <w:rFonts w:eastAsia="宋体"/>
      <w:kern w:val="2"/>
      <w:sz w:val="18"/>
      <w:szCs w:val="18"/>
      <w:lang w:val="en-US" w:eastAsia="zh-CN" w:bidi="ar-SA"/>
    </w:rPr>
  </w:style>
  <w:style w:type="character" w:customStyle="1" w:styleId="868">
    <w:name w:val="Bold"/>
    <w:qFormat/>
    <w:uiPriority w:val="0"/>
    <w:rPr>
      <w:rFonts w:ascii="Arial" w:hAnsi="Arial" w:eastAsia="黑体" w:cs="Times New Roman"/>
      <w:b/>
      <w:kern w:val="2"/>
      <w:sz w:val="32"/>
      <w:szCs w:val="32"/>
      <w:lang w:val="en-US" w:eastAsia="zh-CN" w:bidi="ar-SA"/>
    </w:rPr>
  </w:style>
  <w:style w:type="character" w:customStyle="1" w:styleId="869">
    <w:name w:val="批注文字 Char1"/>
    <w:link w:val="24"/>
    <w:qFormat/>
    <w:uiPriority w:val="99"/>
    <w:rPr>
      <w:kern w:val="2"/>
      <w:sz w:val="21"/>
      <w:szCs w:val="24"/>
    </w:rPr>
  </w:style>
  <w:style w:type="character" w:customStyle="1" w:styleId="870">
    <w:name w:val="签名 Char"/>
    <w:link w:val="45"/>
    <w:qFormat/>
    <w:uiPriority w:val="0"/>
    <w:rPr>
      <w:rFonts w:eastAsia="仿宋_GB2312"/>
      <w:sz w:val="24"/>
    </w:rPr>
  </w:style>
  <w:style w:type="character" w:customStyle="1" w:styleId="871">
    <w:name w:val="hui3"/>
    <w:qFormat/>
    <w:uiPriority w:val="0"/>
    <w:rPr>
      <w:color w:val="333333"/>
    </w:rPr>
  </w:style>
  <w:style w:type="character" w:customStyle="1" w:styleId="872">
    <w:name w:val="Char Char17"/>
    <w:qFormat/>
    <w:uiPriority w:val="6"/>
    <w:rPr>
      <w:rFonts w:eastAsia="仿宋_GB2312"/>
      <w:sz w:val="24"/>
    </w:rPr>
  </w:style>
  <w:style w:type="character" w:customStyle="1" w:styleId="873">
    <w:name w:val="标题 4 字符"/>
    <w:qFormat/>
    <w:uiPriority w:val="9"/>
    <w:rPr>
      <w:rFonts w:ascii="等线 Light" w:hAnsi="等线 Light" w:eastAsia="等线 Light" w:cs="Times New Roman"/>
      <w:b/>
      <w:bCs/>
      <w:snapToGrid w:val="0"/>
      <w:kern w:val="0"/>
      <w:sz w:val="28"/>
      <w:szCs w:val="28"/>
    </w:rPr>
  </w:style>
  <w:style w:type="character" w:customStyle="1" w:styleId="874">
    <w:name w:val="Char Char37"/>
    <w:qFormat/>
    <w:uiPriority w:val="6"/>
    <w:rPr>
      <w:b/>
      <w:kern w:val="1"/>
      <w:sz w:val="44"/>
      <w:szCs w:val="44"/>
    </w:rPr>
  </w:style>
  <w:style w:type="character" w:customStyle="1" w:styleId="875">
    <w:name w:val="列出段落 Char"/>
    <w:qFormat/>
    <w:uiPriority w:val="0"/>
    <w:rPr>
      <w:rFonts w:eastAsia="楷体_GB2312" w:cs="Lucida Sans"/>
      <w:kern w:val="2"/>
      <w:sz w:val="24"/>
      <w:szCs w:val="24"/>
      <w:lang w:val="en-US" w:eastAsia="zh-CN" w:bidi="ar-SA"/>
    </w:rPr>
  </w:style>
  <w:style w:type="character" w:customStyle="1" w:styleId="876">
    <w:name w:val="正文文本缩进 3 Char1"/>
    <w:semiHidden/>
    <w:qFormat/>
    <w:uiPriority w:val="99"/>
    <w:rPr>
      <w:rFonts w:ascii="Times New Roman" w:hAnsi="Times New Roman" w:eastAsia="宋体" w:cs="Times New Roman"/>
      <w:sz w:val="16"/>
      <w:szCs w:val="16"/>
    </w:rPr>
  </w:style>
  <w:style w:type="character" w:customStyle="1" w:styleId="877">
    <w:name w:val="公文正文 Char Char"/>
    <w:link w:val="111"/>
    <w:qFormat/>
    <w:uiPriority w:val="0"/>
    <w:rPr>
      <w:rFonts w:ascii="仿宋_GB2312" w:eastAsia="仿宋_GB2312"/>
      <w:kern w:val="2"/>
      <w:sz w:val="24"/>
      <w:szCs w:val="24"/>
    </w:rPr>
  </w:style>
  <w:style w:type="character" w:customStyle="1" w:styleId="878">
    <w:name w:val="Table Text Char1"/>
    <w:qFormat/>
    <w:uiPriority w:val="0"/>
    <w:rPr>
      <w:rFonts w:eastAsia="宋体"/>
      <w:sz w:val="24"/>
      <w:szCs w:val="24"/>
      <w:lang w:val="en-US" w:eastAsia="zh-CN" w:bidi="ar-SA"/>
    </w:rPr>
  </w:style>
  <w:style w:type="character" w:customStyle="1" w:styleId="879">
    <w:name w:val="标题 1 Char Char"/>
    <w:qFormat/>
    <w:uiPriority w:val="0"/>
    <w:rPr>
      <w:rFonts w:hint="eastAsia" w:ascii="宋体" w:hAnsi="宋体" w:eastAsia="宋体"/>
      <w:b/>
      <w:spacing w:val="-2"/>
      <w:sz w:val="24"/>
      <w:lang w:val="en-US" w:eastAsia="zh-CN" w:bidi="ar-SA"/>
    </w:rPr>
  </w:style>
  <w:style w:type="character" w:customStyle="1" w:styleId="880">
    <w:name w:val="正文（缩进2汉字） Char"/>
    <w:link w:val="112"/>
    <w:qFormat/>
    <w:uiPriority w:val="0"/>
    <w:rPr>
      <w:rFonts w:ascii="宋体"/>
    </w:rPr>
  </w:style>
  <w:style w:type="character" w:customStyle="1" w:styleId="881">
    <w:name w:val="标题 8 Char"/>
    <w:link w:val="9"/>
    <w:qFormat/>
    <w:uiPriority w:val="0"/>
    <w:rPr>
      <w:rFonts w:ascii="Arial" w:hAnsi="Arial" w:eastAsia="黑体"/>
      <w:kern w:val="2"/>
      <w:sz w:val="24"/>
      <w:szCs w:val="24"/>
    </w:rPr>
  </w:style>
  <w:style w:type="character" w:customStyle="1" w:styleId="882">
    <w:name w:val="标书表格字体格式 Char"/>
    <w:qFormat/>
    <w:uiPriority w:val="0"/>
    <w:rPr>
      <w:kern w:val="2"/>
      <w:sz w:val="21"/>
      <w:szCs w:val="24"/>
      <w:lang w:bidi="ar-SA"/>
    </w:rPr>
  </w:style>
  <w:style w:type="character" w:customStyle="1" w:styleId="883">
    <w:name w:val="tw4winError"/>
    <w:qFormat/>
    <w:uiPriority w:val="0"/>
    <w:rPr>
      <w:rFonts w:ascii="Courier New" w:hAnsi="Courier New" w:cs="Courier New"/>
      <w:color w:val="00FF00"/>
      <w:sz w:val="40"/>
      <w:szCs w:val="40"/>
    </w:rPr>
  </w:style>
  <w:style w:type="character" w:customStyle="1" w:styleId="884">
    <w:name w:val="Body Text(ch) Char Char"/>
    <w:qFormat/>
    <w:uiPriority w:val="0"/>
    <w:rPr>
      <w:rFonts w:ascii="宋体"/>
      <w:kern w:val="2"/>
      <w:sz w:val="24"/>
      <w:szCs w:val="21"/>
      <w:lang w:val="zh-CN"/>
    </w:rPr>
  </w:style>
  <w:style w:type="character" w:customStyle="1" w:styleId="885">
    <w:name w:val="正文首行缩进两字 Char"/>
    <w:qFormat/>
    <w:uiPriority w:val="0"/>
    <w:rPr>
      <w:sz w:val="24"/>
      <w:szCs w:val="24"/>
      <w:lang w:val="en-US" w:eastAsia="zh-CN" w:bidi="ar-SA"/>
    </w:rPr>
  </w:style>
  <w:style w:type="character" w:customStyle="1" w:styleId="886">
    <w:name w:val="正文文本 Char"/>
    <w:qFormat/>
    <w:uiPriority w:val="0"/>
    <w:rPr>
      <w:rFonts w:eastAsia="宋体"/>
      <w:kern w:val="2"/>
      <w:sz w:val="24"/>
      <w:szCs w:val="24"/>
      <w:lang w:val="en-US" w:eastAsia="zh-CN" w:bidi="ar-SA"/>
    </w:rPr>
  </w:style>
  <w:style w:type="character" w:customStyle="1" w:styleId="887">
    <w:name w:val="文档结构图 字符1"/>
    <w:qFormat/>
    <w:uiPriority w:val="0"/>
    <w:rPr>
      <w:rFonts w:ascii="宋体" w:hAnsi="Calibri" w:eastAsia="黑体" w:cs="Arial"/>
      <w:snapToGrid w:val="0"/>
      <w:kern w:val="2"/>
      <w:sz w:val="18"/>
      <w:szCs w:val="18"/>
    </w:rPr>
  </w:style>
  <w:style w:type="character" w:customStyle="1" w:styleId="888">
    <w:name w:val="content"/>
    <w:qFormat/>
    <w:uiPriority w:val="0"/>
  </w:style>
  <w:style w:type="character" w:customStyle="1" w:styleId="889">
    <w:name w:val="tw4winPopup"/>
    <w:qFormat/>
    <w:uiPriority w:val="0"/>
    <w:rPr>
      <w:rFonts w:ascii="Courier New" w:hAnsi="Courier New" w:cs="Courier New"/>
      <w:color w:val="008000"/>
      <w:lang w:val="en-US" w:eastAsia="zh-CN"/>
    </w:rPr>
  </w:style>
  <w:style w:type="character" w:customStyle="1" w:styleId="890">
    <w:name w:val="param-name"/>
    <w:qFormat/>
    <w:uiPriority w:val="99"/>
    <w:rPr>
      <w:rFonts w:ascii="Arial" w:hAnsi="Arial" w:eastAsia="黑体" w:cs="Arial"/>
      <w:snapToGrid w:val="0"/>
      <w:kern w:val="0"/>
      <w:szCs w:val="21"/>
    </w:rPr>
  </w:style>
  <w:style w:type="character" w:customStyle="1" w:styleId="891">
    <w:name w:val="标准正文格式 Char"/>
    <w:qFormat/>
    <w:uiPriority w:val="0"/>
    <w:rPr>
      <w:rFonts w:ascii="宋体" w:eastAsia="仿宋_GB2312" w:cs="宋体"/>
      <w:color w:val="000000"/>
      <w:sz w:val="24"/>
      <w:lang w:val="en-US" w:eastAsia="zh-CN" w:bidi="ar-SA"/>
    </w:rPr>
  </w:style>
  <w:style w:type="character" w:customStyle="1" w:styleId="892">
    <w:name w:val="Char Char212"/>
    <w:qFormat/>
    <w:uiPriority w:val="0"/>
    <w:rPr>
      <w:rFonts w:eastAsia="宋体"/>
      <w:b/>
      <w:bCs/>
      <w:kern w:val="2"/>
      <w:sz w:val="21"/>
      <w:szCs w:val="24"/>
      <w:lang w:val="en-US" w:eastAsia="zh-CN" w:bidi="ar-SA"/>
    </w:rPr>
  </w:style>
  <w:style w:type="character" w:customStyle="1" w:styleId="893">
    <w:name w:val="文档结构图 Char"/>
    <w:qFormat/>
    <w:uiPriority w:val="0"/>
    <w:rPr>
      <w:rFonts w:eastAsia="宋体"/>
      <w:kern w:val="2"/>
      <w:sz w:val="21"/>
      <w:szCs w:val="24"/>
      <w:lang w:val="en-US" w:eastAsia="zh-CN" w:bidi="ar-SA"/>
    </w:rPr>
  </w:style>
  <w:style w:type="character" w:customStyle="1" w:styleId="894">
    <w:name w:val="zbggmain style9"/>
    <w:qFormat/>
    <w:uiPriority w:val="0"/>
  </w:style>
  <w:style w:type="character" w:customStyle="1" w:styleId="895">
    <w:name w:val="Char Char16"/>
    <w:qFormat/>
    <w:uiPriority w:val="6"/>
    <w:rPr>
      <w:kern w:val="1"/>
      <w:sz w:val="18"/>
      <w:szCs w:val="18"/>
    </w:rPr>
  </w:style>
  <w:style w:type="character" w:customStyle="1" w:styleId="896">
    <w:name w:val="font51"/>
    <w:qFormat/>
    <w:uiPriority w:val="0"/>
    <w:rPr>
      <w:rFonts w:hint="eastAsia" w:ascii="仿宋" w:hAnsi="仿宋" w:eastAsia="仿宋" w:cs="仿宋"/>
      <w:color w:val="000000"/>
      <w:sz w:val="20"/>
      <w:szCs w:val="20"/>
      <w:u w:val="none"/>
    </w:rPr>
  </w:style>
  <w:style w:type="character" w:customStyle="1" w:styleId="897">
    <w:name w:val="Char Char82"/>
    <w:qFormat/>
    <w:uiPriority w:val="0"/>
    <w:rPr>
      <w:rFonts w:eastAsia="宋体"/>
      <w:b/>
      <w:sz w:val="24"/>
      <w:lang w:eastAsia="zh-CN"/>
    </w:rPr>
  </w:style>
  <w:style w:type="character" w:customStyle="1" w:styleId="898">
    <w:name w:val="正文文本缩进 3 Char"/>
    <w:link w:val="56"/>
    <w:qFormat/>
    <w:uiPriority w:val="0"/>
    <w:rPr>
      <w:kern w:val="2"/>
      <w:sz w:val="24"/>
    </w:rPr>
  </w:style>
  <w:style w:type="character" w:customStyle="1" w:styleId="899">
    <w:name w:val="日期 Char1"/>
    <w:semiHidden/>
    <w:qFormat/>
    <w:uiPriority w:val="99"/>
    <w:rPr>
      <w:rFonts w:ascii="Times New Roman" w:hAnsi="Times New Roman" w:eastAsia="宋体" w:cs="Times New Roman"/>
      <w:szCs w:val="24"/>
    </w:rPr>
  </w:style>
  <w:style w:type="character" w:customStyle="1" w:styleId="900">
    <w:name w:val="页眉 字符"/>
    <w:qFormat/>
    <w:uiPriority w:val="99"/>
    <w:rPr>
      <w:kern w:val="2"/>
      <w:sz w:val="18"/>
      <w:szCs w:val="18"/>
    </w:rPr>
  </w:style>
  <w:style w:type="character" w:customStyle="1" w:styleId="901">
    <w:name w:val="Char Char33"/>
    <w:qFormat/>
    <w:uiPriority w:val="6"/>
    <w:rPr>
      <w:rFonts w:ascii="Arial" w:hAnsi="Arial" w:eastAsia="黑体"/>
      <w:b/>
      <w:kern w:val="1"/>
      <w:sz w:val="24"/>
      <w:szCs w:val="24"/>
    </w:rPr>
  </w:style>
  <w:style w:type="character" w:customStyle="1" w:styleId="902">
    <w:name w:val="b11_01b Char"/>
    <w:link w:val="113"/>
    <w:qFormat/>
    <w:uiPriority w:val="0"/>
    <w:rPr>
      <w:rFonts w:ascii="Verdana" w:hAnsi="Verdana"/>
      <w:b/>
      <w:bCs/>
      <w:color w:val="4A82CA"/>
      <w:sz w:val="17"/>
      <w:szCs w:val="17"/>
    </w:rPr>
  </w:style>
  <w:style w:type="character" w:customStyle="1" w:styleId="903">
    <w:name w:val="Char Char121"/>
    <w:qFormat/>
    <w:uiPriority w:val="6"/>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Char2"/>
    <w:link w:val="42"/>
    <w:qFormat/>
    <w:locked/>
    <w:uiPriority w:val="99"/>
    <w:rPr>
      <w:kern w:val="2"/>
      <w:sz w:val="18"/>
      <w:szCs w:val="18"/>
    </w:rPr>
  </w:style>
  <w:style w:type="character" w:customStyle="1" w:styleId="906">
    <w:name w:val="Char Char36"/>
    <w:qFormat/>
    <w:uiPriority w:val="6"/>
    <w:rPr>
      <w:rFonts w:ascii="仿宋_GB2312" w:hAnsi="仿宋_GB2312" w:eastAsia="仿宋_GB2312" w:cs="Arial"/>
      <w:b/>
      <w:kern w:val="1"/>
      <w:sz w:val="32"/>
      <w:szCs w:val="32"/>
      <w:lang w:val="zh-CN" w:eastAsia="zh-CN" w:bidi="ar-SA"/>
    </w:rPr>
  </w:style>
  <w:style w:type="character" w:customStyle="1" w:styleId="907">
    <w:name w:val="Char Char61"/>
    <w:qFormat/>
    <w:uiPriority w:val="6"/>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14"/>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Char2"/>
    <w:link w:val="44"/>
    <w:qFormat/>
    <w:uiPriority w:val="99"/>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w:link w:val="115"/>
    <w:qFormat/>
    <w:uiPriority w:val="0"/>
    <w:rPr>
      <w:sz w:val="24"/>
    </w:rPr>
  </w:style>
  <w:style w:type="character" w:customStyle="1" w:styleId="918">
    <w:name w:val="Char Char13"/>
    <w:qFormat/>
    <w:uiPriority w:val="6"/>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w:link w:val="116"/>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w:link w:val="117"/>
    <w:qFormat/>
    <w:uiPriority w:val="0"/>
    <w:rPr>
      <w:rFonts w:ascii="Arial" w:hAnsi="Arial"/>
      <w:sz w:val="24"/>
    </w:rPr>
  </w:style>
  <w:style w:type="character" w:customStyle="1" w:styleId="927">
    <w:name w:val="Font Style82"/>
    <w:qFormat/>
    <w:uiPriority w:val="99"/>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w:link w:val="118"/>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99"/>
    <w:rPr>
      <w:rFonts w:ascii="Arial" w:hAnsi="Arial" w:eastAsia="黑体" w:cs="Arial"/>
      <w:b/>
      <w:bCs/>
      <w:snapToGrid w:val="0"/>
      <w:kern w:val="44"/>
      <w:sz w:val="44"/>
      <w:szCs w:val="44"/>
    </w:rPr>
  </w:style>
  <w:style w:type="character" w:customStyle="1" w:styleId="938">
    <w:name w:val="style36"/>
    <w:basedOn w:val="71"/>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99"/>
    <w:rPr>
      <w:kern w:val="2"/>
      <w:sz w:val="18"/>
      <w:szCs w:val="18"/>
    </w:rPr>
  </w:style>
  <w:style w:type="character" w:customStyle="1" w:styleId="943">
    <w:name w:val="正文2 Char"/>
    <w:qFormat/>
    <w:uiPriority w:val="0"/>
    <w:rPr>
      <w:rFonts w:eastAsia="宋体"/>
      <w:kern w:val="2"/>
      <w:sz w:val="24"/>
      <w:lang w:val="en-US" w:eastAsia="zh-CN" w:bidi="ar-SA"/>
    </w:rPr>
  </w:style>
  <w:style w:type="character" w:customStyle="1" w:styleId="944">
    <w:name w:val="Char Char21"/>
    <w:qFormat/>
    <w:uiPriority w:val="6"/>
    <w:rPr>
      <w:rFonts w:ascii="宋体" w:hAnsi="宋体"/>
      <w:kern w:val="1"/>
      <w:sz w:val="24"/>
      <w:szCs w:val="21"/>
      <w:lang w:val="zh-CN"/>
    </w:rPr>
  </w:style>
  <w:style w:type="character" w:customStyle="1" w:styleId="945">
    <w:name w:val="样式 正文缩进 + 首行缩进:  2 字符 Char Char"/>
    <w:link w:val="119"/>
    <w:qFormat/>
    <w:uiPriority w:val="0"/>
    <w:rPr>
      <w:rFonts w:cs="宋体"/>
      <w:kern w:val="2"/>
      <w:sz w:val="24"/>
    </w:rPr>
  </w:style>
  <w:style w:type="character" w:customStyle="1" w:styleId="946">
    <w:name w:val="正文文本 Char1"/>
    <w:link w:val="20"/>
    <w:qFormat/>
    <w:uiPriority w:val="0"/>
    <w:rPr>
      <w:rFonts w:ascii="宋体" w:hAnsi="Arial" w:eastAsia="宋体" w:cs="Arial"/>
      <w:snapToGrid w:val="0"/>
      <w:kern w:val="2"/>
      <w:sz w:val="24"/>
      <w:szCs w:val="21"/>
      <w:lang w:val="zh-CN" w:eastAsia="zh-CN" w:bidi="ar-SA"/>
    </w:rPr>
  </w:style>
  <w:style w:type="character" w:customStyle="1" w:styleId="947">
    <w:name w:val="gray6"/>
    <w:basedOn w:val="71"/>
    <w:qFormat/>
    <w:uiPriority w:val="0"/>
    <w:rPr>
      <w:rFonts w:ascii="Arial" w:hAnsi="Arial" w:eastAsia="黑体" w:cs="Arial"/>
      <w:snapToGrid w:val="0"/>
      <w:kern w:val="0"/>
      <w:szCs w:val="21"/>
    </w:rPr>
  </w:style>
  <w:style w:type="character" w:customStyle="1" w:styleId="948">
    <w:name w:val="hui"/>
    <w:basedOn w:val="71"/>
    <w:qFormat/>
    <w:uiPriority w:val="0"/>
    <w:rPr>
      <w:rFonts w:ascii="Arial" w:hAnsi="Arial" w:eastAsia="黑体" w:cs="Arial"/>
      <w:snapToGrid w:val="0"/>
      <w:kern w:val="0"/>
      <w:szCs w:val="21"/>
    </w:rPr>
  </w:style>
  <w:style w:type="character" w:customStyle="1" w:styleId="949">
    <w:name w:val="哈哈正文 Char Char"/>
    <w:qFormat/>
    <w:uiPriority w:val="0"/>
    <w:rPr>
      <w:rFonts w:ascii="宋体" w:hAnsi="宋体" w:eastAsia="宋体" w:cs="宋体"/>
      <w:kern w:val="2"/>
      <w:sz w:val="24"/>
      <w:lang w:val="en-US" w:eastAsia="zh-CN" w:bidi="ar-SA"/>
    </w:rPr>
  </w:style>
  <w:style w:type="character" w:customStyle="1" w:styleId="950">
    <w:name w:val="交叉引用"/>
    <w:qFormat/>
    <w:uiPriority w:val="1"/>
    <w:rPr>
      <w:rFonts w:ascii="Arial" w:hAnsi="Arial" w:eastAsia="黑体"/>
      <w:snapToGrid w:val="0"/>
      <w:color w:val="0000FF"/>
      <w:kern w:val="0"/>
      <w:sz w:val="20"/>
      <w:szCs w:val="21"/>
      <w:u w:val="single"/>
      <w:lang w:val="en-US" w:eastAsia="zh-CN"/>
    </w:rPr>
  </w:style>
  <w:style w:type="character" w:customStyle="1" w:styleId="951">
    <w:name w:val="正文缩进 字符1"/>
    <w:qFormat/>
    <w:uiPriority w:val="0"/>
    <w:rPr>
      <w:rFonts w:ascii="宋体" w:eastAsia="宋体"/>
      <w:snapToGrid w:val="0"/>
      <w:color w:val="000000"/>
      <w:kern w:val="28"/>
      <w:sz w:val="28"/>
      <w:lang w:val="en-US" w:eastAsia="zh-CN" w:bidi="ar-SA"/>
    </w:rPr>
  </w:style>
  <w:style w:type="character" w:customStyle="1" w:styleId="952">
    <w:name w:val="页脚 字符1"/>
    <w:qFormat/>
    <w:locked/>
    <w:uiPriority w:val="99"/>
    <w:rPr>
      <w:kern w:val="2"/>
      <w:sz w:val="18"/>
      <w:szCs w:val="18"/>
    </w:rPr>
  </w:style>
  <w:style w:type="character" w:customStyle="1" w:styleId="953">
    <w:name w:val="页眉 字符1"/>
    <w:qFormat/>
    <w:uiPriority w:val="99"/>
    <w:rPr>
      <w:kern w:val="2"/>
      <w:sz w:val="18"/>
      <w:szCs w:val="18"/>
    </w:rPr>
  </w:style>
  <w:style w:type="character" w:customStyle="1" w:styleId="954">
    <w:name w:val="尾注文本 Char"/>
    <w:link w:val="40"/>
    <w:qFormat/>
    <w:uiPriority w:val="0"/>
    <w:rPr>
      <w:kern w:val="2"/>
      <w:sz w:val="21"/>
      <w:szCs w:val="24"/>
      <w:lang w:val="zh-CN"/>
    </w:rPr>
  </w:style>
  <w:style w:type="character" w:customStyle="1" w:styleId="955">
    <w:name w:val="无间隔 字符"/>
    <w:link w:val="170"/>
    <w:qFormat/>
    <w:uiPriority w:val="99"/>
    <w:rPr>
      <w:kern w:val="2"/>
      <w:sz w:val="21"/>
      <w:szCs w:val="22"/>
    </w:rPr>
  </w:style>
  <w:style w:type="character" w:customStyle="1" w:styleId="956">
    <w:name w:val="标准文本 Char Char"/>
    <w:link w:val="609"/>
    <w:qFormat/>
    <w:uiPriority w:val="0"/>
    <w:rPr>
      <w:rFonts w:cs="宋体"/>
      <w:kern w:val="2"/>
      <w:sz w:val="24"/>
    </w:rPr>
  </w:style>
  <w:style w:type="character" w:customStyle="1" w:styleId="957">
    <w:name w:val="Char Char213"/>
    <w:qFormat/>
    <w:uiPriority w:val="0"/>
    <w:rPr>
      <w:rFonts w:eastAsia="Century Gothic"/>
      <w:b/>
      <w:bCs/>
      <w:kern w:val="44"/>
      <w:sz w:val="32"/>
      <w:szCs w:val="44"/>
      <w:lang w:val="en-US" w:eastAsia="zh-CN" w:bidi="ar-SA"/>
    </w:rPr>
  </w:style>
  <w:style w:type="character" w:customStyle="1" w:styleId="958">
    <w:name w:val="apple-style-span"/>
    <w:qFormat/>
    <w:uiPriority w:val="0"/>
    <w:rPr>
      <w:rFonts w:ascii="Arial" w:hAnsi="Arial" w:eastAsia="黑体" w:cs="Arial"/>
      <w:snapToGrid w:val="0"/>
      <w:kern w:val="0"/>
      <w:szCs w:val="21"/>
    </w:rPr>
  </w:style>
  <w:style w:type="character" w:customStyle="1" w:styleId="959">
    <w:name w:val="15"/>
    <w:qFormat/>
    <w:uiPriority w:val="0"/>
    <w:rPr>
      <w:rFonts w:hint="default" w:ascii="Calibri" w:hAnsi="Calibri"/>
      <w:color w:val="0000FF"/>
      <w:u w:val="single"/>
    </w:rPr>
  </w:style>
  <w:style w:type="character" w:customStyle="1" w:styleId="960">
    <w:name w:val="16"/>
    <w:qFormat/>
    <w:uiPriority w:val="0"/>
    <w:rPr>
      <w:rFonts w:hint="eastAsia" w:ascii="宋体" w:hAnsi="宋体" w:eastAsia="宋体"/>
      <w:color w:val="000000"/>
      <w:sz w:val="20"/>
      <w:szCs w:val="20"/>
    </w:rPr>
  </w:style>
  <w:style w:type="character" w:customStyle="1" w:styleId="961">
    <w:name w:val="edui-unclickable"/>
    <w:qFormat/>
    <w:uiPriority w:val="0"/>
    <w:rPr>
      <w:color w:val="808080"/>
    </w:rPr>
  </w:style>
  <w:style w:type="character" w:customStyle="1" w:styleId="962">
    <w:name w:val="tpc_content1"/>
    <w:qFormat/>
    <w:uiPriority w:val="0"/>
    <w:rPr>
      <w:sz w:val="20"/>
      <w:szCs w:val="20"/>
    </w:rPr>
  </w:style>
  <w:style w:type="character" w:customStyle="1" w:styleId="963">
    <w:name w:val="正文文本缩进 字符"/>
    <w:qFormat/>
    <w:uiPriority w:val="99"/>
    <w:rPr>
      <w:rFonts w:ascii="Century Gothic" w:hAnsi="Century Gothic" w:eastAsia="Century Gothic"/>
      <w:kern w:val="2"/>
      <w:sz w:val="24"/>
      <w:lang w:val="en-US" w:eastAsia="zh-CN" w:bidi="ar-SA"/>
    </w:rPr>
  </w:style>
  <w:style w:type="character" w:customStyle="1" w:styleId="964">
    <w:name w:val="正文文本 2 字符"/>
    <w:qFormat/>
    <w:uiPriority w:val="0"/>
    <w:rPr>
      <w:rFonts w:ascii="Arial" w:hAnsi="Arial" w:eastAsia="宋体"/>
      <w:kern w:val="2"/>
      <w:sz w:val="24"/>
      <w:szCs w:val="24"/>
      <w:lang w:val="en-US" w:eastAsia="zh-CN" w:bidi="ar-SA"/>
    </w:rPr>
  </w:style>
  <w:style w:type="character" w:customStyle="1" w:styleId="965">
    <w:name w:val="edui-clickable2"/>
    <w:qFormat/>
    <w:uiPriority w:val="0"/>
    <w:rPr>
      <w:color w:val="0000FF"/>
      <w:u w:val="single"/>
    </w:rPr>
  </w:style>
  <w:style w:type="character" w:customStyle="1" w:styleId="966">
    <w:name w:val="style1"/>
    <w:qFormat/>
    <w:uiPriority w:val="0"/>
    <w:rPr>
      <w:rFonts w:ascii="Arial" w:hAnsi="Arial" w:eastAsia="黑体" w:cs="Arial"/>
      <w:snapToGrid w:val="0"/>
      <w:kern w:val="0"/>
      <w:szCs w:val="21"/>
    </w:rPr>
  </w:style>
  <w:style w:type="character" w:customStyle="1" w:styleId="967">
    <w:name w:val="zbggtop11 style5"/>
    <w:qFormat/>
    <w:uiPriority w:val="0"/>
    <w:rPr>
      <w:rFonts w:ascii="Arial" w:hAnsi="Arial" w:eastAsia="黑体" w:cs="Arial"/>
      <w:snapToGrid w:val="0"/>
      <w:kern w:val="0"/>
      <w:szCs w:val="21"/>
    </w:rPr>
  </w:style>
  <w:style w:type="character" w:customStyle="1" w:styleId="96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9">
    <w:name w:val="bulletintext1"/>
    <w:qFormat/>
    <w:uiPriority w:val="0"/>
    <w:rPr>
      <w:color w:val="000000"/>
      <w:sz w:val="18"/>
    </w:rPr>
  </w:style>
  <w:style w:type="character" w:customStyle="1" w:styleId="970">
    <w:name w:val="ksfind_class_select1"/>
    <w:basedOn w:val="71"/>
    <w:qFormat/>
    <w:uiPriority w:val="0"/>
    <w:rPr>
      <w:color w:val="000000"/>
      <w:shd w:val="clear" w:color="auto" w:fill="EFD200"/>
    </w:rPr>
  </w:style>
  <w:style w:type="character" w:customStyle="1" w:styleId="971">
    <w:name w:val="font71"/>
    <w:qFormat/>
    <w:uiPriority w:val="0"/>
    <w:rPr>
      <w:rFonts w:hint="eastAsia" w:ascii="宋体" w:hAnsi="宋体" w:eastAsia="宋体" w:cs="宋体"/>
      <w:color w:val="000000"/>
      <w:sz w:val="22"/>
      <w:szCs w:val="22"/>
      <w:u w:val="none"/>
    </w:rPr>
  </w:style>
  <w:style w:type="character" w:customStyle="1" w:styleId="972">
    <w:name w:val="font91"/>
    <w:qFormat/>
    <w:uiPriority w:val="0"/>
    <w:rPr>
      <w:rFonts w:hint="eastAsia" w:ascii="仿宋" w:hAnsi="仿宋" w:eastAsia="仿宋" w:cs="仿宋"/>
      <w:color w:val="000000"/>
      <w:sz w:val="22"/>
      <w:szCs w:val="22"/>
      <w:u w:val="none"/>
    </w:rPr>
  </w:style>
  <w:style w:type="character" w:customStyle="1" w:styleId="973">
    <w:name w:val="未处理的提及2"/>
    <w:basedOn w:val="71"/>
    <w:unhideWhenUsed/>
    <w:qFormat/>
    <w:uiPriority w:val="99"/>
    <w:rPr>
      <w:color w:val="605E5C"/>
      <w:shd w:val="clear" w:color="auto" w:fill="E1DFDD"/>
    </w:rPr>
  </w:style>
  <w:style w:type="character" w:customStyle="1" w:styleId="974">
    <w:name w:val="未处理的提及3"/>
    <w:basedOn w:val="71"/>
    <w:unhideWhenUsed/>
    <w:qFormat/>
    <w:uiPriority w:val="99"/>
    <w:rPr>
      <w:color w:val="605E5C"/>
      <w:shd w:val="clear" w:color="auto" w:fill="E1DFDD"/>
    </w:rPr>
  </w:style>
  <w:style w:type="character" w:customStyle="1" w:styleId="975">
    <w:name w:val="未处理的提及4"/>
    <w:basedOn w:val="71"/>
    <w:unhideWhenUsed/>
    <w:qFormat/>
    <w:uiPriority w:val="99"/>
    <w:rPr>
      <w:color w:val="605E5C"/>
      <w:shd w:val="clear" w:color="auto" w:fill="E1DFDD"/>
    </w:rPr>
  </w:style>
  <w:style w:type="character" w:customStyle="1" w:styleId="976">
    <w:name w:val="未处理的提及5"/>
    <w:basedOn w:val="71"/>
    <w:unhideWhenUsed/>
    <w:qFormat/>
    <w:uiPriority w:val="99"/>
    <w:rPr>
      <w:color w:val="605E5C"/>
      <w:shd w:val="clear" w:color="auto" w:fill="E1DFDD"/>
    </w:rPr>
  </w:style>
  <w:style w:type="character" w:customStyle="1" w:styleId="977">
    <w:name w:val="17"/>
    <w:basedOn w:val="71"/>
    <w:qFormat/>
    <w:uiPriority w:val="0"/>
    <w:rPr>
      <w:rFonts w:hint="default" w:ascii="Calibri" w:hAnsi="Calibri"/>
    </w:rPr>
  </w:style>
  <w:style w:type="character" w:customStyle="1" w:styleId="978">
    <w:name w:val="18"/>
    <w:basedOn w:val="71"/>
    <w:qFormat/>
    <w:uiPriority w:val="0"/>
    <w:rPr>
      <w:rFonts w:hint="default" w:ascii="Calibri" w:hAnsi="Calibri"/>
    </w:rPr>
  </w:style>
  <w:style w:type="character" w:customStyle="1" w:styleId="979">
    <w:name w:val="正文首行缩进 2 Char"/>
    <w:link w:val="18"/>
    <w:qFormat/>
    <w:uiPriority w:val="0"/>
    <w:rPr>
      <w:rFonts w:hint="default" w:ascii="Calibri" w:hAnsi="Calibri" w:eastAsia="宋体" w:cs="Times New Roman"/>
      <w:kern w:val="2"/>
      <w:sz w:val="21"/>
      <w:szCs w:val="22"/>
    </w:rPr>
  </w:style>
  <w:style w:type="table" w:customStyle="1" w:styleId="98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6">
    <w:name w:val="网格型7"/>
    <w:basedOn w:val="64"/>
    <w:unhideWhenUsed/>
    <w:qFormat/>
    <w:uiPriority w:val="0"/>
    <w:rPr>
      <w:rFonts w:ascii="MingLiU" w:hAnsi="MingLiU" w:cs="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7">
    <w:name w:val="网格型11"/>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8">
    <w:name w:val="网格型8"/>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9">
    <w:name w:val="网格型12"/>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0">
    <w:name w:val="网格型21"/>
    <w:basedOn w:val="6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1">
    <w:name w:val="网格型31"/>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2">
    <w:name w:val="网格型32"/>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93">
    <w:name w:val="Plain Text"/>
    <w:basedOn w:val="1"/>
    <w:qFormat/>
    <w:uiPriority w:val="0"/>
    <w:pPr>
      <w:spacing w:before="156" w:beforeLines="50" w:after="156" w:afterLines="50" w:line="400" w:lineRule="exact"/>
    </w:pPr>
    <w:rPr>
      <w:rFonts w:ascii="宋体" w:hAnsi="Courier New"/>
      <w:sz w:val="24"/>
    </w:rPr>
  </w:style>
  <w:style w:type="paragraph" w:customStyle="1" w:styleId="994">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2057" textRotate="1"/>
    <customShpInfo spid="_x0000_s2058" textRotate="1"/>
    <customShpInfo spid="_x0000_s2059" textRotate="1"/>
    <customShpInfo spid="_x0000_s2060" textRotate="1"/>
    <customShpInfo spid="_x0000_s2061" textRotate="1"/>
    <customShpInfo spid="_x0000_s2062" textRotate="1"/>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51</Pages>
  <Words>26155</Words>
  <Characters>27321</Characters>
  <Lines>211</Lines>
  <Paragraphs>59</Paragraphs>
  <TotalTime>26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2022-04-08T14:08:00Z</dcterms:created>
  <dc:creator>玥</dc:creator>
  <cp:lastModifiedBy>成燕</cp:lastModifiedBy>
  <cp:lastPrinted>2023-09-08T15:06:30Z</cp:lastPrinted>
  <dcterms:modified xsi:type="dcterms:W3CDTF">2023-09-08T15:26:38Z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6815014594674627AEF42D9AB662AA12</vt:lpwstr>
  </property>
</Properties>
</file>