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ascii="黑体" w:eastAsia="黑体"/>
          <w:color w:val="000000"/>
          <w:sz w:val="28"/>
          <w:szCs w:val="28"/>
        </w:rPr>
      </w:pPr>
      <w:bookmarkStart w:id="0" w:name="_bookmark2"/>
      <w:bookmarkEnd w:id="0"/>
      <w:bookmarkStart w:id="1" w:name="_Toc160"/>
      <w:bookmarkStart w:id="2" w:name="_Toc12492"/>
      <w:bookmarkStart w:id="3" w:name="_Toc26742"/>
      <w:bookmarkStart w:id="4" w:name="_Toc10816"/>
      <w:bookmarkStart w:id="5" w:name="_Toc62551529"/>
    </w:p>
    <w:p>
      <w:pPr>
        <w:adjustRightInd w:val="0"/>
        <w:snapToGrid w:val="0"/>
        <w:jc w:val="center"/>
        <w:rPr>
          <w:rFonts w:ascii="黑体" w:hAnsi="黑体" w:eastAsia="黑体" w:cs="黑体"/>
          <w:color w:val="FF0000"/>
          <w:sz w:val="30"/>
          <w:szCs w:val="30"/>
        </w:rPr>
      </w:pPr>
      <w:r>
        <w:rPr>
          <w:rFonts w:hint="eastAsia" w:ascii="黑体" w:hAnsi="黑体" w:eastAsia="黑体" w:cs="黑体"/>
          <w:color w:val="FF0000"/>
          <w:sz w:val="30"/>
          <w:szCs w:val="30"/>
          <w:lang w:eastAsia="zh-CN"/>
        </w:rPr>
        <w:t>国网辽宁电力2025年原集体企业、子公司及战新产业第二次服务区域（沈阳）联合授权公开招标框架采购</w:t>
      </w:r>
      <w:r>
        <w:rPr>
          <w:rFonts w:hint="eastAsia" w:ascii="黑体" w:hAnsi="黑体" w:eastAsia="黑体" w:cs="黑体"/>
          <w:color w:val="FF0000"/>
          <w:sz w:val="30"/>
          <w:szCs w:val="30"/>
        </w:rPr>
        <w:t>招标公告</w:t>
      </w:r>
      <w:bookmarkEnd w:id="1"/>
    </w:p>
    <w:p>
      <w:pPr>
        <w:adjustRightInd w:val="0"/>
        <w:snapToGrid w:val="0"/>
        <w:jc w:val="center"/>
        <w:rPr>
          <w:rFonts w:hint="eastAsia" w:ascii="黑体" w:hAnsi="黑体" w:eastAsia="黑体" w:cs="黑体"/>
          <w:b/>
          <w:color w:val="FF0000"/>
          <w:sz w:val="30"/>
          <w:szCs w:val="30"/>
          <w:lang w:eastAsia="zh-CN"/>
        </w:rPr>
      </w:pPr>
      <w:r>
        <w:rPr>
          <w:rFonts w:hint="eastAsia" w:ascii="黑体" w:hAnsi="黑体" w:eastAsia="黑体" w:cs="黑体"/>
          <w:color w:val="FF0000"/>
          <w:sz w:val="30"/>
          <w:szCs w:val="30"/>
        </w:rPr>
        <w:t>招标编号：</w:t>
      </w:r>
      <w:r>
        <w:rPr>
          <w:rFonts w:hint="eastAsia" w:ascii="黑体" w:hAnsi="黑体" w:eastAsia="黑体" w:cs="黑体"/>
          <w:color w:val="FF0000"/>
          <w:sz w:val="30"/>
          <w:szCs w:val="30"/>
          <w:lang w:eastAsia="zh-CN"/>
        </w:rPr>
        <w:t>CYLN25SSYF09K</w:t>
      </w:r>
    </w:p>
    <w:p>
      <w:pPr>
        <w:adjustRightInd w:val="0"/>
        <w:snapToGrid w:val="0"/>
        <w:spacing w:line="360" w:lineRule="auto"/>
        <w:ind w:firstLine="482" w:firstLineChars="200"/>
        <w:outlineLvl w:val="1"/>
        <w:rPr>
          <w:rFonts w:ascii="宋体" w:hAnsi="宋体" w:cs="宋体"/>
          <w:b/>
          <w:sz w:val="24"/>
        </w:rPr>
      </w:pPr>
      <w:r>
        <w:rPr>
          <w:rFonts w:hint="eastAsia" w:ascii="宋体" w:hAnsi="宋体" w:cs="宋体"/>
          <w:b/>
          <w:sz w:val="24"/>
        </w:rPr>
        <w:t>1.招标条件</w:t>
      </w:r>
      <w:bookmarkEnd w:id="2"/>
      <w:bookmarkEnd w:id="3"/>
      <w:bookmarkEnd w:id="4"/>
      <w:bookmarkEnd w:id="5"/>
    </w:p>
    <w:p>
      <w:pPr>
        <w:pStyle w:val="23"/>
        <w:tabs>
          <w:tab w:val="left" w:pos="0"/>
        </w:tabs>
        <w:spacing w:line="360" w:lineRule="auto"/>
        <w:ind w:firstLine="420" w:firstLineChars="200"/>
        <w:jc w:val="both"/>
        <w:rPr>
          <w:sz w:val="21"/>
        </w:rPr>
      </w:pPr>
      <w:bookmarkStart w:id="6" w:name="_bookmark3"/>
      <w:bookmarkEnd w:id="6"/>
      <w:bookmarkStart w:id="7" w:name="_bookmark4"/>
      <w:bookmarkEnd w:id="7"/>
      <w:bookmarkStart w:id="8" w:name="_Toc9444"/>
      <w:bookmarkStart w:id="9" w:name="_Toc21896"/>
      <w:bookmarkStart w:id="10" w:name="_Toc25148"/>
      <w:bookmarkStart w:id="11" w:name="_Toc62551530"/>
      <w:bookmarkStart w:id="12" w:name="_Toc62551531"/>
      <w:bookmarkStart w:id="13" w:name="_Toc10766"/>
      <w:bookmarkStart w:id="14" w:name="_Toc31535"/>
      <w:bookmarkStart w:id="15" w:name="_Toc11363"/>
      <w:r>
        <w:rPr>
          <w:rFonts w:hint="eastAsia"/>
          <w:sz w:val="21"/>
        </w:rPr>
        <w:t>项目建设单位为</w:t>
      </w:r>
      <w:r>
        <w:rPr>
          <w:rFonts w:hint="eastAsia"/>
          <w:sz w:val="21"/>
          <w:highlight w:val="yellow"/>
        </w:rPr>
        <w:t>国网辽宁省电力有限公司沈阳供电公司</w:t>
      </w:r>
      <w:r>
        <w:rPr>
          <w:rFonts w:hint="eastAsia"/>
          <w:sz w:val="21"/>
        </w:rPr>
        <w:t>（以下简称“项目单位”），项目资金来自企业自有资金，出资比例为100%，资金来源已落实，招标人为</w:t>
      </w:r>
      <w:r>
        <w:rPr>
          <w:rFonts w:hint="eastAsia"/>
          <w:sz w:val="21"/>
          <w:highlight w:val="yellow"/>
        </w:rPr>
        <w:t>国网辽宁省电力有限公司沈阳供电公司</w:t>
      </w:r>
      <w:r>
        <w:rPr>
          <w:rFonts w:hint="eastAsia"/>
          <w:sz w:val="21"/>
        </w:rPr>
        <w:t>，并委托辽宁电力能源发展集团有限公司沈阳招标分公司为招标代理机构。项目已具备招标条件，现对该项目进行公开招标。</w:t>
      </w:r>
    </w:p>
    <w:p>
      <w:pPr>
        <w:pStyle w:val="23"/>
        <w:tabs>
          <w:tab w:val="left" w:pos="0"/>
        </w:tabs>
        <w:spacing w:line="360" w:lineRule="auto"/>
        <w:ind w:firstLine="420" w:firstLineChars="200"/>
        <w:jc w:val="both"/>
        <w:rPr>
          <w:sz w:val="21"/>
        </w:rPr>
      </w:pPr>
      <w:r>
        <w:rPr>
          <w:rFonts w:hint="eastAsia"/>
          <w:sz w:val="21"/>
        </w:rPr>
        <w:t>本项目积极响应《中共中央国务院关于开展质量提升行动的指导意见》，倡导潜在投标人用先进标准引领服务质量提升，有效治理质量突出问题，推动形成优质优价的采购机制。</w:t>
      </w:r>
    </w:p>
    <w:p>
      <w:pPr>
        <w:pStyle w:val="23"/>
        <w:tabs>
          <w:tab w:val="left" w:pos="0"/>
        </w:tabs>
        <w:spacing w:line="360" w:lineRule="auto"/>
        <w:ind w:firstLine="482" w:firstLineChars="200"/>
        <w:jc w:val="both"/>
        <w:rPr>
          <w:rFonts w:cs="宋体"/>
          <w:b/>
          <w:sz w:val="24"/>
        </w:rPr>
      </w:pPr>
      <w:r>
        <w:rPr>
          <w:rFonts w:hint="eastAsia" w:cs="宋体"/>
          <w:b/>
          <w:sz w:val="24"/>
        </w:rPr>
        <w:t>2.项目概况与招标范围</w:t>
      </w:r>
      <w:bookmarkEnd w:id="8"/>
      <w:bookmarkEnd w:id="9"/>
      <w:bookmarkEnd w:id="10"/>
      <w:bookmarkEnd w:id="11"/>
    </w:p>
    <w:p>
      <w:pPr>
        <w:pStyle w:val="23"/>
        <w:tabs>
          <w:tab w:val="left" w:pos="0"/>
        </w:tabs>
        <w:spacing w:line="360" w:lineRule="auto"/>
        <w:ind w:firstLine="420" w:firstLineChars="200"/>
        <w:jc w:val="both"/>
        <w:rPr>
          <w:rFonts w:cs="宋体"/>
          <w:sz w:val="21"/>
        </w:rPr>
      </w:pPr>
      <w:r>
        <w:rPr>
          <w:rFonts w:hint="eastAsia" w:cs="宋体"/>
          <w:sz w:val="21"/>
        </w:rPr>
        <w:t>详见招标公告附件。</w:t>
      </w:r>
    </w:p>
    <w:p>
      <w:pPr>
        <w:adjustRightInd w:val="0"/>
        <w:snapToGrid w:val="0"/>
        <w:spacing w:line="360" w:lineRule="auto"/>
        <w:ind w:firstLine="482" w:firstLineChars="200"/>
        <w:outlineLvl w:val="1"/>
        <w:rPr>
          <w:rFonts w:ascii="宋体" w:hAnsi="宋体" w:cs="宋体"/>
          <w:b/>
          <w:sz w:val="24"/>
        </w:rPr>
      </w:pPr>
      <w:r>
        <w:rPr>
          <w:rFonts w:hint="eastAsia" w:ascii="宋体" w:hAnsi="宋体" w:cs="宋体"/>
          <w:b/>
          <w:sz w:val="24"/>
        </w:rPr>
        <w:t>3.投标人资格要求</w:t>
      </w:r>
      <w:bookmarkEnd w:id="12"/>
      <w:bookmarkEnd w:id="13"/>
      <w:bookmarkEnd w:id="14"/>
      <w:bookmarkEnd w:id="15"/>
    </w:p>
    <w:p>
      <w:pPr>
        <w:adjustRightInd w:val="0"/>
        <w:snapToGrid w:val="0"/>
        <w:spacing w:line="360" w:lineRule="auto"/>
        <w:ind w:firstLine="482" w:firstLineChars="200"/>
        <w:outlineLvl w:val="1"/>
        <w:rPr>
          <w:rFonts w:ascii="宋体" w:hAnsi="宋体" w:cs="宋体"/>
          <w:b/>
          <w:sz w:val="24"/>
        </w:rPr>
      </w:pPr>
      <w:r>
        <w:rPr>
          <w:rFonts w:hint="eastAsia" w:ascii="宋体" w:hAnsi="宋体" w:cs="宋体"/>
          <w:b/>
          <w:sz w:val="24"/>
        </w:rPr>
        <w:t>3.1 投标人须满足如下通用资格要求：</w:t>
      </w:r>
    </w:p>
    <w:p>
      <w:p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（1）本次招标要求投标人须为中华人民共和国境内依法注册的法人</w:t>
      </w:r>
      <w:r>
        <w:rPr>
          <w:rFonts w:hint="eastAsia"/>
        </w:rPr>
        <w:t>或其他组织，</w:t>
      </w:r>
      <w:r>
        <w:rPr>
          <w:rFonts w:hint="eastAsia"/>
          <w:color w:val="000000" w:themeColor="text1"/>
          <w14:textFill>
            <w14:solidFill>
              <w14:schemeClr w14:val="tx1"/>
            </w14:solidFill>
          </w14:textFill>
        </w:rPr>
        <w:t>须具备承担所投项目的资格条件；并在人员、设备、资金等方面具有保障如期完成中标项目的能力。</w:t>
      </w:r>
    </w:p>
    <w:p>
      <w:p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（2）法定代表人或单位负责人为同一人或者存在控股、管理关系的不同单位，不得参加同一标包投标或者未划分标包的同一招标项目投标。</w:t>
      </w:r>
    </w:p>
    <w:p>
      <w:pPr>
        <w:spacing w:line="360" w:lineRule="auto"/>
        <w:ind w:firstLine="420" w:firstLineChars="200"/>
      </w:pPr>
      <w:r>
        <w:rPr>
          <w:rFonts w:hint="eastAsia"/>
        </w:rPr>
        <w:t>（3）取得国家法律、法规、部门规章规定的有效许可证。取得招标文件要求的国家强制认证证书。</w:t>
      </w:r>
    </w:p>
    <w:p>
      <w:pPr>
        <w:spacing w:line="360" w:lineRule="auto"/>
        <w:ind w:firstLine="420" w:firstLineChars="200"/>
      </w:pPr>
      <w:r>
        <w:rPr>
          <w:rFonts w:hint="eastAsia"/>
        </w:rPr>
        <w:t>（4）应有良好的财务状况和商业信用。</w:t>
      </w:r>
    </w:p>
    <w:p>
      <w:pPr>
        <w:spacing w:line="360" w:lineRule="auto"/>
        <w:ind w:firstLine="420" w:firstLineChars="200"/>
        <w:rPr>
          <w:color w:val="000000" w:themeColor="text1"/>
          <w14:textFill>
            <w14:solidFill>
              <w14:schemeClr w14:val="tx1"/>
            </w14:solidFill>
          </w14:textFill>
        </w:rPr>
      </w:pPr>
      <w:r>
        <w:rPr>
          <w:rFonts w:hint="eastAsia"/>
        </w:rPr>
        <w:t>（5）根据《国家电网有限公司供应商关系管理办法》的规定，投标人存在导致其被暂停中标资格或取消中标资格的不良行为且在处理有效期内的，投标人在投标截止之日至中标通知书到达之日前，任一日在《国家电网有限公司关于供应商不良行为处理情况的通报》处理期内的均适用不良行为处理结果。或投标人存在触发《国家电网有限公司供应商关系管理办法》第六十三条安全及质量重大问题“熔断机制”情形的，其投标将被否决。即使投标人在投标截止日尚不存在上述情况，但在中标通知书到达之日前，出现上述情况的，招标人亦有权取消其中标资格。</w:t>
      </w:r>
    </w:p>
    <w:p>
      <w:pPr>
        <w:tabs>
          <w:tab w:val="left" w:pos="1134"/>
        </w:tabs>
        <w:adjustRightInd w:val="0"/>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6）根据最高人民法院、国家发展改革委、国家铁路局等九部门联合印发的《关于在招标投标活动中对失信被执行人实施联合惩戒的通知》（法〔2016〕285号），投标人不得被人民法院列为失信被执行人。投标人不得存在违法失信行为，不得被“信用中国”网站（www.creditchina.gov.cn）列入严重失信主体名单。即使投标人在开标当日未出现被列入失信被执行人或严重失信主体名单的情形，但在中标通知书到达之日前，存在上述情形的，招标人有权取消其中标资格。</w:t>
      </w:r>
    </w:p>
    <w:p>
      <w:pPr>
        <w:tabs>
          <w:tab w:val="left" w:pos="1134"/>
        </w:tabs>
        <w:adjustRightInd w:val="0"/>
        <w:snapToGrid w:val="0"/>
        <w:spacing w:line="360" w:lineRule="auto"/>
        <w:ind w:firstLine="420" w:firstLineChars="200"/>
      </w:pPr>
      <w:r>
        <w:rPr>
          <w:rFonts w:hint="eastAsia"/>
          <w:color w:val="000000" w:themeColor="text1"/>
          <w14:textFill>
            <w14:solidFill>
              <w14:schemeClr w14:val="tx1"/>
            </w14:solidFill>
          </w14:textFill>
        </w:rPr>
        <w:t>（7）投标人不得被市场监督管理机关在国家企业信用信息公示系统中列入严重违法失信企业名单或列入经营异常名录信息。投标人需同时在商务文件中提供在国家企业信用信息公示系统（www.gsxt.gov.cn）查询的，包含“营业执照信息”、“列入严重违法失信企业名单（黑名单）”、“列入经营异常名录信息”、“行政处罚信息”、“清算信息”的查询结果（查询日期应在投标截止日前20天内，查询结果应为网站自动生成的PDF文件的电子版）。如投标人未提供企业信用信息公示报告，或提供的报告不符合招标文件规定的格式与内容，或报告内容被评标委员会认定有异议的，投标人的“列入经营异常名录信息”和“列入严重违法失信企业名单（黑名单）信息”以评标委员会在国家企业信用信息公示系统（www.gsxt.gov.cn）查询的结果为准。投标人未提供或提供的企业信用信息公示报告不符合招标文件规定的格式与内容的，评标委员会将会对投标人进行不利评价。投标人提供虚假企业信用信息公示报告的，按照虚假投标进行否决，并根据《国家电网有限公司供应商关系管理办法》进行相应处理。即使投标人在开标当日未出现被市场监督管理机关列入经营异常名录或严重违法失信企业名单的情形，但在中标通知书到达之日前，存在上述情形的，招标人有权取消其中标资格。</w:t>
      </w:r>
    </w:p>
    <w:p>
      <w:pPr>
        <w:snapToGrid w:val="0"/>
        <w:spacing w:line="360" w:lineRule="auto"/>
        <w:ind w:firstLine="420" w:firstLineChars="200"/>
        <w:rPr>
          <w:rFonts w:ascii="宋体" w:hAnsi="宋体" w:cs="宋体"/>
        </w:rPr>
      </w:pPr>
      <w:r>
        <w:rPr>
          <w:rFonts w:hint="eastAsia" w:ascii="宋体" w:hAnsi="宋体" w:cs="宋体"/>
        </w:rPr>
        <w:t>（8）安全质量要求：</w:t>
      </w:r>
    </w:p>
    <w:p>
      <w:pPr>
        <w:snapToGrid w:val="0"/>
        <w:spacing w:line="360" w:lineRule="auto"/>
        <w:ind w:firstLine="420" w:firstLineChars="200"/>
        <w:rPr>
          <w:rFonts w:ascii="宋体" w:hAnsi="宋体" w:cs="宋体"/>
        </w:rPr>
      </w:pPr>
      <w:r>
        <w:rPr>
          <w:rFonts w:hint="eastAsia" w:ascii="宋体" w:hAnsi="宋体" w:cs="宋体"/>
        </w:rPr>
        <w:t>1）设计项目潜在投标人不得存在下列情形之一：</w:t>
      </w:r>
    </w:p>
    <w:p>
      <w:pPr>
        <w:snapToGrid w:val="0"/>
        <w:spacing w:line="360" w:lineRule="auto"/>
        <w:ind w:firstLine="420" w:firstLineChars="200"/>
        <w:rPr>
          <w:rFonts w:ascii="宋体" w:hAnsi="宋体" w:cs="宋体"/>
        </w:rPr>
      </w:pPr>
      <w:r>
        <w:rPr>
          <w:rFonts w:hint="eastAsia" w:ascii="宋体" w:hAnsi="宋体" w:cs="宋体"/>
        </w:rPr>
        <w:t>自开标日前三年内发生因投标人设计责任造成的重大质量事故（二级及以上质量事件）；一年内发生因投标人设计责任造成的较大及以上人身死亡事故（三级及以上人身安全事件）、较大及以上电网、设备事故（三级及以上电网、设备安全事件）；六个月内发生因投标人设计责任造成的一般人身死亡事故（四级人身安全事件）、一般电网、设备事故（四级电网、设备安全事件）或较大质量事故（三级质量事件）；三个月内发生因投标人设计责任造成的一般质量事故（四级质量事件）。</w:t>
      </w:r>
    </w:p>
    <w:p>
      <w:pPr>
        <w:snapToGrid w:val="0"/>
        <w:spacing w:line="360" w:lineRule="auto"/>
        <w:ind w:firstLine="420" w:firstLineChars="200"/>
        <w:rPr>
          <w:rFonts w:ascii="宋体" w:hAnsi="宋体" w:cs="宋体"/>
        </w:rPr>
      </w:pPr>
      <w:r>
        <w:rPr>
          <w:rFonts w:hint="eastAsia" w:ascii="宋体" w:hAnsi="宋体" w:cs="宋体"/>
        </w:rPr>
        <w:t>2）施工、监理及其他项目潜在投标人不得存在下列情形之一：</w:t>
      </w:r>
    </w:p>
    <w:p>
      <w:pPr>
        <w:snapToGrid w:val="0"/>
        <w:spacing w:line="360" w:lineRule="auto"/>
        <w:ind w:firstLine="420" w:firstLineChars="200"/>
        <w:rPr>
          <w:rFonts w:ascii="宋体" w:hAnsi="宋体" w:cs="宋体"/>
        </w:rPr>
      </w:pPr>
      <w:r>
        <w:rPr>
          <w:rFonts w:hint="eastAsia" w:ascii="宋体" w:hAnsi="宋体" w:cs="宋体"/>
        </w:rPr>
        <w:t>自开标日前三年内发生因投标人负同等及以上责任造成的重大质量事故（二级及以上质量事件）；一年内发生因投标人负同等及以上责任造成的较大及以上人身死亡事故（三级及以上人身安全事件）、较大及以上电网、设备事故（三级及以上电网、设备安全事件）；六个月内发生因投标人负同等及以上责任造成的一般人身死亡事故（四级人身安全事件）、一般电网、设备事故（四级电网、设备安全事件）或较大质量事故（三级质量事件）；三个月内发生因投标人负同等及以上责任造成的一般质量事故（四级质量事件）。</w:t>
      </w:r>
    </w:p>
    <w:p>
      <w:pPr>
        <w:pStyle w:val="2"/>
        <w:spacing w:line="360" w:lineRule="auto"/>
        <w:ind w:firstLine="210" w:firstLineChars="100"/>
      </w:pPr>
      <w:r>
        <w:rPr>
          <w:rFonts w:hint="eastAsia" w:ascii="宋体" w:hAnsi="宋体" w:cs="宋体"/>
          <w:color w:val="000000" w:themeColor="text1"/>
          <w14:textFill>
            <w14:solidFill>
              <w14:schemeClr w14:val="tx1"/>
            </w14:solidFill>
          </w14:textFill>
        </w:rPr>
        <w:t>（9）其他</w:t>
      </w:r>
      <w:r>
        <w:rPr>
          <w:rFonts w:hint="eastAsia" w:ascii="宋体" w:hAnsi="宋体"/>
          <w:bCs/>
          <w:color w:val="000000" w:themeColor="text1"/>
          <w14:textFill>
            <w14:solidFill>
              <w14:schemeClr w14:val="tx1"/>
            </w14:solidFill>
          </w14:textFill>
        </w:rPr>
        <w:t>：投标</w:t>
      </w:r>
      <w:r>
        <w:rPr>
          <w:rFonts w:hint="eastAsia" w:ascii="宋体" w:hAnsi="宋体" w:cs="宋体"/>
          <w:szCs w:val="21"/>
        </w:rPr>
        <w:t>人不得聘用从国家电网有限公司及其各级单位离职不足三年的人员</w:t>
      </w:r>
      <w:r>
        <w:rPr>
          <w:rFonts w:hint="eastAsia" w:ascii="宋体" w:hAnsi="宋体"/>
          <w:bCs/>
          <w:color w:val="000000" w:themeColor="text1"/>
          <w14:textFill>
            <w14:solidFill>
              <w14:schemeClr w14:val="tx1"/>
            </w14:solidFill>
          </w14:textFill>
        </w:rPr>
        <w:t>。</w:t>
      </w:r>
    </w:p>
    <w:p>
      <w:pPr>
        <w:tabs>
          <w:tab w:val="left" w:pos="1200"/>
          <w:tab w:val="left" w:pos="3112"/>
          <w:tab w:val="left" w:pos="4600"/>
        </w:tabs>
        <w:spacing w:line="360" w:lineRule="auto"/>
        <w:ind w:firstLine="450" w:firstLineChars="200"/>
        <w:rPr>
          <w:rFonts w:ascii="宋体" w:hAnsi="宋体" w:cs="宋体"/>
          <w:b/>
          <w:bCs/>
          <w:spacing w:val="7"/>
          <w:szCs w:val="21"/>
        </w:rPr>
      </w:pPr>
      <w:r>
        <w:rPr>
          <w:rFonts w:hint="eastAsia" w:ascii="宋体" w:hAnsi="宋体" w:cs="宋体"/>
          <w:b/>
          <w:bCs/>
          <w:spacing w:val="7"/>
          <w:szCs w:val="21"/>
        </w:rPr>
        <w:t>3.2 投标人须满足相应招标项目的专用资格要求:</w:t>
      </w:r>
    </w:p>
    <w:p>
      <w:pPr>
        <w:tabs>
          <w:tab w:val="left" w:pos="1200"/>
          <w:tab w:val="left" w:pos="3112"/>
          <w:tab w:val="left" w:pos="4600"/>
        </w:tabs>
        <w:spacing w:line="360" w:lineRule="auto"/>
        <w:ind w:firstLine="448" w:firstLineChars="200"/>
        <w:rPr>
          <w:rFonts w:ascii="宋体" w:hAnsi="宋体" w:cs="宋体"/>
          <w:spacing w:val="7"/>
          <w:szCs w:val="21"/>
        </w:rPr>
      </w:pPr>
      <w:r>
        <w:rPr>
          <w:rFonts w:hint="eastAsia" w:ascii="宋体" w:hAnsi="宋体" w:cs="宋体"/>
          <w:spacing w:val="7"/>
          <w:szCs w:val="21"/>
        </w:rPr>
        <w:t>详见招标公告附件。</w:t>
      </w:r>
    </w:p>
    <w:p>
      <w:pPr>
        <w:tabs>
          <w:tab w:val="left" w:pos="1200"/>
          <w:tab w:val="left" w:pos="3112"/>
          <w:tab w:val="left" w:pos="4600"/>
        </w:tabs>
        <w:spacing w:line="360" w:lineRule="auto"/>
        <w:ind w:firstLine="450" w:firstLineChars="200"/>
        <w:rPr>
          <w:rFonts w:ascii="宋体" w:hAnsi="宋体" w:cs="宋体"/>
          <w:b/>
          <w:bCs/>
          <w:spacing w:val="7"/>
          <w:szCs w:val="21"/>
        </w:rPr>
      </w:pPr>
      <w:r>
        <w:rPr>
          <w:rFonts w:hint="eastAsia" w:ascii="宋体" w:hAnsi="宋体" w:cs="宋体"/>
          <w:b/>
          <w:bCs/>
          <w:spacing w:val="7"/>
          <w:szCs w:val="21"/>
        </w:rPr>
        <w:t>3.3</w:t>
      </w:r>
      <w:r>
        <w:rPr>
          <w:rFonts w:hint="eastAsia" w:ascii="宋体" w:hAnsi="宋体" w:cs="宋体"/>
          <w:b/>
          <w:bCs/>
          <w:color w:val="000000" w:themeColor="text1"/>
          <w:spacing w:val="7"/>
          <w:szCs w:val="21"/>
          <w14:textFill>
            <w14:solidFill>
              <w14:schemeClr w14:val="tx1"/>
            </w14:solidFill>
          </w14:textFill>
        </w:rPr>
        <w:t>除专用资格要求中明确接受联合体投标的项目外，不接受联合体投标。</w:t>
      </w:r>
    </w:p>
    <w:p>
      <w:pPr>
        <w:tabs>
          <w:tab w:val="left" w:pos="1200"/>
          <w:tab w:val="left" w:pos="3112"/>
          <w:tab w:val="left" w:pos="4600"/>
        </w:tabs>
        <w:spacing w:line="360" w:lineRule="auto"/>
        <w:ind w:firstLine="450" w:firstLineChars="200"/>
        <w:rPr>
          <w:rFonts w:ascii="宋体" w:hAnsi="宋体" w:cs="宋体"/>
          <w:spacing w:val="7"/>
          <w:szCs w:val="21"/>
        </w:rPr>
      </w:pPr>
      <w:r>
        <w:rPr>
          <w:rFonts w:hint="eastAsia" w:ascii="宋体" w:hAnsi="宋体" w:cs="宋体"/>
          <w:b/>
          <w:bCs/>
          <w:spacing w:val="7"/>
          <w:szCs w:val="21"/>
        </w:rPr>
        <w:t>3.4如接受联合体投标的，投标人还应遵守以下规定：</w:t>
      </w:r>
    </w:p>
    <w:p>
      <w:pPr>
        <w:pStyle w:val="23"/>
        <w:tabs>
          <w:tab w:val="left" w:pos="0"/>
        </w:tabs>
        <w:spacing w:line="360" w:lineRule="auto"/>
        <w:ind w:firstLine="420" w:firstLineChars="200"/>
        <w:jc w:val="both"/>
        <w:rPr>
          <w:rFonts w:cs="宋体"/>
          <w:kern w:val="2"/>
          <w:sz w:val="21"/>
        </w:rPr>
      </w:pPr>
      <w:r>
        <w:rPr>
          <w:rFonts w:hint="eastAsia" w:cs="宋体"/>
          <w:kern w:val="2"/>
          <w:sz w:val="21"/>
        </w:rPr>
        <w:t>（1）联合体各方均应满足3.1款和3.2款的规定。</w:t>
      </w:r>
    </w:p>
    <w:p>
      <w:pPr>
        <w:pStyle w:val="23"/>
        <w:tabs>
          <w:tab w:val="left" w:pos="0"/>
        </w:tabs>
        <w:spacing w:line="360" w:lineRule="auto"/>
        <w:ind w:firstLine="420" w:firstLineChars="200"/>
        <w:jc w:val="both"/>
        <w:rPr>
          <w:rFonts w:cs="宋体"/>
          <w:kern w:val="2"/>
          <w:sz w:val="21"/>
        </w:rPr>
      </w:pPr>
      <w:r>
        <w:rPr>
          <w:rFonts w:hint="eastAsia" w:cs="宋体"/>
          <w:kern w:val="2"/>
          <w:sz w:val="21"/>
        </w:rPr>
        <w:t>（2）联合体各方应按照招标文件提供的格式签订联合体协议书，明确联合体牵头人和各方的权利义务。</w:t>
      </w:r>
    </w:p>
    <w:p>
      <w:pPr>
        <w:pStyle w:val="23"/>
        <w:tabs>
          <w:tab w:val="left" w:pos="0"/>
        </w:tabs>
        <w:spacing w:line="360" w:lineRule="auto"/>
        <w:ind w:firstLine="420" w:firstLineChars="200"/>
        <w:jc w:val="both"/>
        <w:rPr>
          <w:rFonts w:cs="宋体"/>
          <w:kern w:val="2"/>
          <w:sz w:val="21"/>
        </w:rPr>
      </w:pPr>
      <w:r>
        <w:rPr>
          <w:rFonts w:hint="eastAsia" w:cs="宋体"/>
          <w:kern w:val="2"/>
          <w:sz w:val="21"/>
        </w:rPr>
        <w:t>（3）联合体牵头人代表联合体各方负责获取本项目的招标文件及投标工作。</w:t>
      </w:r>
    </w:p>
    <w:p>
      <w:pPr>
        <w:pStyle w:val="23"/>
        <w:tabs>
          <w:tab w:val="left" w:pos="0"/>
        </w:tabs>
        <w:snapToGrid w:val="0"/>
        <w:spacing w:line="360" w:lineRule="auto"/>
        <w:ind w:firstLine="420" w:firstLineChars="200"/>
        <w:jc w:val="both"/>
        <w:rPr>
          <w:rFonts w:cs="宋体"/>
          <w:kern w:val="2"/>
          <w:sz w:val="21"/>
        </w:rPr>
      </w:pPr>
      <w:r>
        <w:rPr>
          <w:rFonts w:hint="eastAsia" w:cs="宋体"/>
          <w:kern w:val="2"/>
          <w:sz w:val="21"/>
        </w:rPr>
        <w:t>（4）由同一专业的单位组成的联合体，按照资质等级较低的单位确定资质等级；不同专业分工由不同单位分别承担的，按照各自的专业资质确定联合体的资质。</w:t>
      </w:r>
    </w:p>
    <w:p>
      <w:pPr>
        <w:pStyle w:val="23"/>
        <w:tabs>
          <w:tab w:val="left" w:pos="0"/>
        </w:tabs>
        <w:snapToGrid w:val="0"/>
        <w:spacing w:line="360" w:lineRule="auto"/>
        <w:ind w:firstLine="420" w:firstLineChars="200"/>
        <w:jc w:val="both"/>
        <w:rPr>
          <w:rFonts w:cs="宋体"/>
          <w:kern w:val="2"/>
          <w:sz w:val="21"/>
        </w:rPr>
      </w:pPr>
      <w:r>
        <w:rPr>
          <w:rFonts w:hint="eastAsia" w:cs="宋体"/>
          <w:kern w:val="2"/>
          <w:sz w:val="21"/>
        </w:rPr>
        <w:t>（5）联合体各方不得再以自己名义单独或参加其他联合体在同一标包中投标。</w:t>
      </w:r>
    </w:p>
    <w:p>
      <w:pPr>
        <w:tabs>
          <w:tab w:val="left" w:pos="1200"/>
          <w:tab w:val="left" w:pos="3112"/>
          <w:tab w:val="left" w:pos="4600"/>
        </w:tabs>
        <w:snapToGrid w:val="0"/>
        <w:spacing w:line="360" w:lineRule="auto"/>
        <w:ind w:firstLine="450" w:firstLineChars="200"/>
        <w:rPr>
          <w:rFonts w:ascii="宋体" w:hAnsi="宋体" w:cs="宋体"/>
          <w:b/>
          <w:bCs/>
          <w:spacing w:val="7"/>
          <w:szCs w:val="21"/>
        </w:rPr>
      </w:pPr>
      <w:r>
        <w:rPr>
          <w:rFonts w:hint="eastAsia" w:ascii="宋体" w:hAnsi="宋体" w:cs="宋体"/>
          <w:b/>
          <w:bCs/>
          <w:spacing w:val="7"/>
          <w:szCs w:val="21"/>
        </w:rPr>
        <w:t>3.5 除专用资格要求中明确接受代理商投标的项目外，不接受代理商投标。</w:t>
      </w:r>
    </w:p>
    <w:p>
      <w:pPr>
        <w:tabs>
          <w:tab w:val="left" w:pos="1200"/>
          <w:tab w:val="left" w:pos="3112"/>
          <w:tab w:val="left" w:pos="4600"/>
        </w:tabs>
        <w:spacing w:line="360" w:lineRule="auto"/>
        <w:ind w:firstLine="450" w:firstLineChars="200"/>
        <w:rPr>
          <w:rFonts w:ascii="宋体" w:hAnsi="宋体" w:cs="宋体"/>
          <w:b/>
          <w:bCs/>
          <w:color w:val="FF0000"/>
          <w:spacing w:val="7"/>
          <w:szCs w:val="21"/>
        </w:rPr>
      </w:pPr>
      <w:r>
        <w:rPr>
          <w:rFonts w:hint="eastAsia" w:ascii="宋体" w:hAnsi="宋体" w:cs="宋体"/>
          <w:b/>
          <w:bCs/>
          <w:spacing w:val="7"/>
          <w:szCs w:val="21"/>
        </w:rPr>
        <w:t>3.6 本次招标不接受投标人委托中介机构或者中间人编制投标文件或代行办理投标事宜。</w:t>
      </w:r>
    </w:p>
    <w:p>
      <w:pPr>
        <w:tabs>
          <w:tab w:val="left" w:pos="1200"/>
          <w:tab w:val="left" w:pos="3112"/>
          <w:tab w:val="left" w:pos="4600"/>
        </w:tabs>
        <w:snapToGrid w:val="0"/>
        <w:spacing w:line="360" w:lineRule="auto"/>
        <w:ind w:firstLine="450" w:firstLineChars="200"/>
        <w:rPr>
          <w:rFonts w:ascii="宋体" w:hAnsi="宋体" w:cs="宋体"/>
          <w:b/>
          <w:bCs/>
          <w:spacing w:val="7"/>
          <w:szCs w:val="21"/>
        </w:rPr>
      </w:pPr>
      <w:r>
        <w:rPr>
          <w:rFonts w:hint="eastAsia" w:ascii="宋体" w:hAnsi="宋体" w:cs="宋体"/>
          <w:b/>
          <w:bCs/>
          <w:spacing w:val="7"/>
          <w:szCs w:val="21"/>
        </w:rPr>
        <w:t>3.7 各投标人均可就本次招标的部分或全部标包投标。</w:t>
      </w:r>
    </w:p>
    <w:p>
      <w:pPr>
        <w:adjustRightInd w:val="0"/>
        <w:snapToGrid w:val="0"/>
        <w:spacing w:line="360" w:lineRule="auto"/>
        <w:ind w:firstLine="482" w:firstLineChars="200"/>
        <w:outlineLvl w:val="1"/>
        <w:rPr>
          <w:rFonts w:ascii="宋体" w:hAnsi="宋体" w:cs="宋体"/>
          <w:b/>
          <w:sz w:val="24"/>
        </w:rPr>
      </w:pPr>
      <w:bookmarkStart w:id="16" w:name="_bookmark5"/>
      <w:bookmarkEnd w:id="16"/>
      <w:bookmarkStart w:id="17" w:name="_Toc62551532"/>
      <w:bookmarkStart w:id="18" w:name="_Toc12413"/>
      <w:bookmarkStart w:id="19" w:name="_Toc19223"/>
      <w:bookmarkStart w:id="20" w:name="_Toc18436"/>
      <w:r>
        <w:rPr>
          <w:rFonts w:hint="eastAsia" w:ascii="宋体" w:hAnsi="宋体" w:cs="宋体"/>
          <w:b/>
          <w:sz w:val="24"/>
        </w:rPr>
        <w:t>4.招标文件的获取</w:t>
      </w:r>
      <w:bookmarkEnd w:id="17"/>
      <w:bookmarkEnd w:id="18"/>
      <w:bookmarkEnd w:id="19"/>
      <w:bookmarkEnd w:id="20"/>
    </w:p>
    <w:p>
      <w:pPr>
        <w:tabs>
          <w:tab w:val="left" w:pos="1200"/>
          <w:tab w:val="left" w:pos="3112"/>
          <w:tab w:val="left" w:pos="4600"/>
        </w:tabs>
        <w:snapToGrid w:val="0"/>
        <w:spacing w:line="360" w:lineRule="auto"/>
        <w:ind w:firstLine="450" w:firstLineChars="200"/>
        <w:rPr>
          <w:rFonts w:ascii="宋体" w:hAnsi="宋体" w:cs="宋体"/>
          <w:b/>
          <w:bCs/>
          <w:spacing w:val="7"/>
          <w:szCs w:val="21"/>
        </w:rPr>
      </w:pPr>
      <w:r>
        <w:rPr>
          <w:rFonts w:hint="eastAsia" w:ascii="宋体" w:hAnsi="宋体" w:cs="宋体"/>
          <w:b/>
          <w:bCs/>
          <w:spacing w:val="7"/>
          <w:szCs w:val="21"/>
        </w:rPr>
        <w:t>4.1 招标文件（电子文件）免费获取。</w:t>
      </w:r>
    </w:p>
    <w:p>
      <w:pPr>
        <w:snapToGrid w:val="0"/>
        <w:spacing w:line="360" w:lineRule="auto"/>
        <w:ind w:firstLine="448" w:firstLineChars="200"/>
        <w:rPr>
          <w:color w:val="000000" w:themeColor="text1"/>
          <w14:textFill>
            <w14:solidFill>
              <w14:schemeClr w14:val="tx1"/>
            </w14:solidFill>
          </w14:textFill>
        </w:rPr>
      </w:pPr>
      <w:r>
        <w:rPr>
          <w:rFonts w:hint="eastAsia" w:ascii="宋体" w:hAnsi="宋体" w:cs="宋体"/>
          <w:spacing w:val="7"/>
          <w:szCs w:val="21"/>
        </w:rPr>
        <w:t>4.2 凡有意参加投标者，</w:t>
      </w:r>
      <w:r>
        <w:rPr>
          <w:rFonts w:hint="eastAsia" w:cs="宋体"/>
          <w:highlight w:val="yellow"/>
        </w:rPr>
        <w:t>请于</w:t>
      </w:r>
      <w:r>
        <w:rPr>
          <w:rFonts w:hint="eastAsia"/>
          <w:highlight w:val="yellow"/>
        </w:rPr>
        <w:t>招标公告发布</w:t>
      </w:r>
      <w:r>
        <w:rPr>
          <w:rFonts w:hint="eastAsia" w:ascii="宋体" w:hAnsi="宋体" w:cs="宋体"/>
          <w:highlight w:val="yellow"/>
        </w:rPr>
        <w:t>日至</w:t>
      </w:r>
      <w:r>
        <w:rPr>
          <w:rFonts w:hint="eastAsia" w:ascii="宋体" w:hAnsi="宋体" w:cs="宋体"/>
          <w:b/>
          <w:bCs/>
          <w:color w:val="0000FF"/>
          <w:highlight w:val="yellow"/>
        </w:rPr>
        <w:t>2025年</w:t>
      </w:r>
      <w:r>
        <w:rPr>
          <w:rFonts w:hint="eastAsia" w:ascii="宋体" w:hAnsi="宋体" w:cs="宋体"/>
          <w:b/>
          <w:bCs/>
          <w:color w:val="0000FF"/>
          <w:highlight w:val="yellow"/>
          <w:lang w:val="en-US" w:eastAsia="zh-CN"/>
        </w:rPr>
        <w:t>6</w:t>
      </w:r>
      <w:r>
        <w:rPr>
          <w:rFonts w:hint="eastAsia" w:ascii="宋体" w:hAnsi="宋体" w:cs="宋体"/>
          <w:b/>
          <w:bCs/>
          <w:color w:val="0000FF"/>
          <w:highlight w:val="yellow"/>
        </w:rPr>
        <w:t>月</w:t>
      </w:r>
      <w:r>
        <w:rPr>
          <w:rFonts w:hint="eastAsia" w:ascii="宋体" w:hAnsi="宋体" w:cs="宋体"/>
          <w:b/>
          <w:bCs/>
          <w:color w:val="0000FF"/>
          <w:highlight w:val="yellow"/>
          <w:lang w:val="en-US" w:eastAsia="zh-CN"/>
        </w:rPr>
        <w:t>26</w:t>
      </w:r>
      <w:r>
        <w:rPr>
          <w:rFonts w:hint="eastAsia" w:ascii="宋体" w:hAnsi="宋体" w:cs="宋体"/>
          <w:b/>
          <w:bCs/>
          <w:color w:val="0000FF"/>
          <w:highlight w:val="yellow"/>
        </w:rPr>
        <w:t>日16：30时</w:t>
      </w:r>
      <w:r>
        <w:rPr>
          <w:rFonts w:hint="eastAsia" w:cs="宋体"/>
        </w:rPr>
        <w:t>（北京时间，下同），</w:t>
      </w:r>
      <w:bookmarkStart w:id="21" w:name="_Toc30381"/>
      <w:bookmarkStart w:id="22" w:name="_Toc31762"/>
      <w:bookmarkStart w:id="23" w:name="_Toc15733"/>
      <w:bookmarkStart w:id="24" w:name="_Toc62551533"/>
      <w:r>
        <w:rPr>
          <w:rFonts w:hint="eastAsia"/>
          <w:color w:val="000000" w:themeColor="text1"/>
          <w14:textFill>
            <w14:solidFill>
              <w14:schemeClr w14:val="tx1"/>
            </w14:solidFill>
          </w14:textFill>
        </w:rPr>
        <w:t>登录招标人招投标交易平台信息系统（</w:t>
      </w:r>
      <w:r>
        <w:rPr>
          <w:rFonts w:hint="eastAsia"/>
          <w:b/>
          <w:color w:val="000000" w:themeColor="text1"/>
          <w14:textFill>
            <w14:solidFill>
              <w14:schemeClr w14:val="tx1"/>
            </w14:solidFill>
          </w14:textFill>
        </w:rPr>
        <w:t>国家电网有限公司电子商务平台</w:t>
      </w:r>
      <w:r>
        <w:rPr>
          <w:rFonts w:hint="eastAsia"/>
          <w:color w:val="000000" w:themeColor="text1"/>
          <w:szCs w:val="21"/>
          <w14:textFill>
            <w14:solidFill>
              <w14:schemeClr w14:val="tx1"/>
            </w14:solidFill>
          </w14:textFill>
        </w:rPr>
        <w:t>□</w:t>
      </w:r>
      <w:r>
        <w:rPr>
          <w:rFonts w:hint="eastAsia" w:ascii="宋体" w:hAnsi="宋体"/>
          <w:b/>
          <w:color w:val="000000" w:themeColor="text1"/>
          <w14:textFill>
            <w14:solidFill>
              <w14:schemeClr w14:val="tx1"/>
            </w14:solidFill>
          </w14:textFill>
        </w:rPr>
        <w:t>https://ecp.sgcc.com.cn</w:t>
      </w:r>
      <w:r>
        <w:rPr>
          <w:rFonts w:hint="eastAsia"/>
          <w:b/>
          <w:color w:val="000000" w:themeColor="text1"/>
          <w14:textFill>
            <w14:solidFill>
              <w14:schemeClr w14:val="tx1"/>
            </w14:solidFill>
          </w14:textFill>
        </w:rPr>
        <w:t xml:space="preserve">  </w:t>
      </w:r>
      <w:r>
        <w:rPr>
          <w:rFonts w:hint="eastAsia"/>
          <w:color w:val="000000" w:themeColor="text1"/>
          <w:szCs w:val="21"/>
          <w14:textFill>
            <w14:solidFill>
              <w14:schemeClr w14:val="tx1"/>
            </w14:solidFill>
          </w14:textFill>
        </w:rPr>
        <w:sym w:font="Wingdings 2" w:char="0052"/>
      </w:r>
      <w:r>
        <w:rPr>
          <w:rFonts w:hint="eastAsia" w:ascii="宋体" w:hAnsi="宋体"/>
          <w:b/>
          <w:color w:val="000000" w:themeColor="text1"/>
          <w14:textFill>
            <w14:solidFill>
              <w14:schemeClr w14:val="tx1"/>
            </w14:solidFill>
          </w14:textFill>
        </w:rPr>
        <w:t>https://sgccetp.com.cn</w:t>
      </w:r>
      <w:r>
        <w:rPr>
          <w:rFonts w:hint="eastAsia"/>
          <w:color w:val="000000" w:themeColor="text1"/>
          <w14:textFill>
            <w14:solidFill>
              <w14:schemeClr w14:val="tx1"/>
            </w14:solidFill>
          </w14:textFill>
        </w:rPr>
        <w:t>）获取招标文件，并按《电子招标投标办法》等国家法律法规要求，到第三方认证机构办理CA证书电子钥匙。投标人应妥善保管招标人招投标交易平台信息系统账号和密码，以及CA数字证书和密码，因上述账号、数字证书或密码保管不当造成的损失，由投标人自行承担。</w:t>
      </w:r>
    </w:p>
    <w:p>
      <w:pPr>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投标人应在招标人招投标交易平台信息系统注册并办理CA证书电子钥匙方可获取招标文件，电子钥匙的办理流程请登录招标人招投标交易平台信息系统首页“新手指引”→“电子钥匙办理须知及电子钥匙安装包”下载所有文件仔细阅读。电子钥匙的办理需要一定的时间，请潜在投标人高度重视。由于没有及时办理电子钥匙导致获取招标文件失败，由投标人自行承担相关责任。支持电话为：4009915500。</w:t>
      </w:r>
    </w:p>
    <w:p>
      <w:pPr>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4.3投标人需利用投标工具进行电子投标文件编制。投标工具下载方式：请各投标人在招标人招投标交易平台信息系统首页“下载专区→供应商投标工具”下载并安装。操作手册及注意事项见首页“操作说明→ECP2.0招标采购流程供应商操作手册“或“演示视频→投标工具新U+操作指导视频”。投标工具操作问题联系招标人招投标交易平台信息系统运维支持电话：010-63411000。使用投标工具电脑配置要求：内存大于8GB，64位操作系统。</w:t>
      </w:r>
    </w:p>
    <w:p>
      <w:pPr>
        <w:adjustRightInd w:val="0"/>
        <w:snapToGrid w:val="0"/>
        <w:spacing w:line="360" w:lineRule="auto"/>
        <w:ind w:firstLine="482" w:firstLineChars="200"/>
        <w:outlineLvl w:val="1"/>
        <w:rPr>
          <w:rFonts w:ascii="宋体" w:hAnsi="宋体" w:cs="宋体"/>
          <w:b/>
          <w:sz w:val="24"/>
        </w:rPr>
      </w:pPr>
      <w:r>
        <w:rPr>
          <w:rFonts w:hint="eastAsia" w:ascii="宋体" w:hAnsi="宋体" w:cs="宋体"/>
          <w:b/>
          <w:sz w:val="24"/>
        </w:rPr>
        <w:t>5.投标文件的</w:t>
      </w:r>
      <w:bookmarkEnd w:id="21"/>
      <w:bookmarkEnd w:id="22"/>
      <w:bookmarkEnd w:id="23"/>
      <w:bookmarkEnd w:id="24"/>
      <w:r>
        <w:rPr>
          <w:rFonts w:hint="eastAsia" w:ascii="宋体" w:hAnsi="宋体" w:cs="宋体"/>
          <w:b/>
          <w:sz w:val="24"/>
        </w:rPr>
        <w:t>提交</w:t>
      </w:r>
    </w:p>
    <w:p>
      <w:pPr>
        <w:tabs>
          <w:tab w:val="left" w:pos="1200"/>
          <w:tab w:val="left" w:pos="3112"/>
          <w:tab w:val="left" w:pos="4600"/>
        </w:tabs>
        <w:snapToGrid w:val="0"/>
        <w:spacing w:line="360" w:lineRule="auto"/>
        <w:ind w:firstLine="420" w:firstLineChars="200"/>
        <w:rPr>
          <w:rFonts w:ascii="宋体" w:hAnsi="宋体" w:cs="宋体"/>
          <w:b/>
          <w:bCs/>
          <w:spacing w:val="7"/>
          <w:szCs w:val="21"/>
        </w:rPr>
      </w:pPr>
      <w:bookmarkStart w:id="25" w:name="_bookmark7"/>
      <w:bookmarkEnd w:id="25"/>
      <w:r>
        <w:rPr>
          <w:rFonts w:hint="eastAsia" w:ascii="宋体" w:hAnsi="宋体" w:cs="宋体"/>
          <w:szCs w:val="21"/>
        </w:rPr>
        <w:t>5.1 投标文件提交截止时间（投标截止时间，下同）为</w:t>
      </w:r>
      <w:r>
        <w:rPr>
          <w:rFonts w:hint="eastAsia" w:ascii="宋体" w:hAnsi="宋体" w:cs="宋体"/>
          <w:b/>
          <w:bCs/>
          <w:color w:val="0000FF"/>
          <w:highlight w:val="yellow"/>
        </w:rPr>
        <w:t>2025年</w:t>
      </w:r>
      <w:r>
        <w:rPr>
          <w:rFonts w:hint="eastAsia" w:ascii="宋体" w:hAnsi="宋体" w:cs="宋体"/>
          <w:b/>
          <w:bCs/>
          <w:color w:val="0000FF"/>
          <w:highlight w:val="yellow"/>
          <w:lang w:val="en-US" w:eastAsia="zh-CN"/>
        </w:rPr>
        <w:t>7</w:t>
      </w:r>
      <w:r>
        <w:rPr>
          <w:rFonts w:hint="eastAsia" w:ascii="宋体" w:hAnsi="宋体" w:cs="宋体"/>
          <w:b/>
          <w:bCs/>
          <w:color w:val="0000FF"/>
          <w:highlight w:val="yellow"/>
        </w:rPr>
        <w:t>月</w:t>
      </w:r>
      <w:r>
        <w:rPr>
          <w:rFonts w:hint="eastAsia" w:ascii="宋体" w:hAnsi="宋体" w:cs="宋体"/>
          <w:b/>
          <w:bCs/>
          <w:color w:val="0000FF"/>
          <w:highlight w:val="yellow"/>
          <w:lang w:val="en-US" w:eastAsia="zh-CN"/>
        </w:rPr>
        <w:t>11</w:t>
      </w:r>
      <w:r>
        <w:rPr>
          <w:rFonts w:hint="eastAsia" w:ascii="宋体" w:hAnsi="宋体" w:cs="宋体"/>
          <w:b/>
          <w:bCs/>
          <w:color w:val="0000FF"/>
          <w:highlight w:val="yellow"/>
        </w:rPr>
        <w:t>日</w:t>
      </w:r>
      <w:r>
        <w:rPr>
          <w:rFonts w:hint="eastAsia" w:ascii="宋体" w:hAnsi="宋体" w:cs="宋体"/>
          <w:b/>
          <w:bCs/>
          <w:color w:val="0000FF"/>
          <w:highlight w:val="yellow"/>
          <w:lang w:val="en-US" w:eastAsia="zh-CN"/>
        </w:rPr>
        <w:t>14</w:t>
      </w:r>
      <w:r>
        <w:rPr>
          <w:rFonts w:hint="eastAsia" w:ascii="宋体" w:hAnsi="宋体" w:cs="宋体"/>
          <w:b/>
          <w:bCs/>
          <w:color w:val="0000FF"/>
          <w:highlight w:val="yellow"/>
        </w:rPr>
        <w:t>：30时</w:t>
      </w:r>
      <w:r>
        <w:rPr>
          <w:rFonts w:hint="eastAsia" w:ascii="宋体" w:hAnsi="宋体" w:cs="宋体"/>
        </w:rPr>
        <w:t>（北京时间）</w:t>
      </w:r>
      <w:r>
        <w:rPr>
          <w:rFonts w:hint="eastAsia" w:ascii="宋体" w:hAnsi="宋体" w:cs="宋体"/>
          <w:b/>
          <w:bCs/>
          <w:spacing w:val="7"/>
          <w:szCs w:val="21"/>
        </w:rPr>
        <w:t>。</w:t>
      </w:r>
    </w:p>
    <w:p>
      <w:pPr>
        <w:snapToGrid w:val="0"/>
        <w:spacing w:line="360" w:lineRule="auto"/>
        <w:ind w:firstLine="422" w:firstLineChars="200"/>
        <w:rPr>
          <w:rFonts w:ascii="宋体" w:hAnsi="宋体" w:cs="宋体"/>
        </w:rPr>
      </w:pPr>
      <w:bookmarkStart w:id="26" w:name="_Hlk135209394"/>
      <w:r>
        <w:rPr>
          <w:rFonts w:hint="eastAsia" w:ascii="宋体" w:hAnsi="宋体" w:cs="宋体"/>
          <w:b/>
        </w:rPr>
        <w:t>投标文件提交时间：</w:t>
      </w:r>
      <w:r>
        <w:rPr>
          <w:rFonts w:hint="eastAsia" w:ascii="宋体" w:hAnsi="宋体" w:cs="宋体"/>
          <w:highlight w:val="yellow"/>
        </w:rPr>
        <w:t>所有投标文件应当在投标截止时间前递交（提交）招标人。</w:t>
      </w:r>
    </w:p>
    <w:p>
      <w:pPr>
        <w:snapToGrid w:val="0"/>
        <w:spacing w:line="360" w:lineRule="auto"/>
        <w:ind w:firstLine="422" w:firstLineChars="200"/>
        <w:rPr>
          <w:rFonts w:hAnsi="Tahoma"/>
          <w:szCs w:val="21"/>
        </w:rPr>
      </w:pPr>
      <w:r>
        <w:rPr>
          <w:rFonts w:hint="eastAsia" w:ascii="宋体" w:hAnsi="宋体" w:cs="宋体"/>
          <w:b/>
        </w:rPr>
        <w:t>投标文件提交地点：</w:t>
      </w:r>
      <w:r>
        <w:rPr>
          <w:rFonts w:hint="eastAsia"/>
          <w:szCs w:val="21"/>
        </w:rPr>
        <w:t>电子采购文件提交招标人招投标交易平台信息系统，同时通过“</w:t>
      </w:r>
      <w:r>
        <w:rPr>
          <w:rFonts w:hint="eastAsia"/>
          <w:b/>
          <w:szCs w:val="21"/>
        </w:rPr>
        <w:t>国网辽宁电力数字化采购辅</w:t>
      </w:r>
      <w:r>
        <w:rPr>
          <w:rFonts w:hint="eastAsia" w:hAnsi="Tahoma"/>
          <w:szCs w:val="21"/>
        </w:rPr>
        <w:t>助工具”上传至云盘（辅助工具下载地址：</w:t>
      </w:r>
      <w:r>
        <w:fldChar w:fldCharType="begin"/>
      </w:r>
      <w:r>
        <w:instrText xml:space="preserve"> HYPERLINK "http://47.100.70.249/ln-web/" </w:instrText>
      </w:r>
      <w:r>
        <w:fldChar w:fldCharType="separate"/>
      </w:r>
      <w:r>
        <w:rPr>
          <w:rStyle w:val="19"/>
          <w:rFonts w:hAnsi="Tahoma"/>
          <w:szCs w:val="21"/>
        </w:rPr>
        <w:t>http://47.100.70.249/ln-web/</w:t>
      </w:r>
      <w:r>
        <w:rPr>
          <w:rStyle w:val="19"/>
          <w:rFonts w:hAnsi="Tahoma"/>
          <w:szCs w:val="21"/>
        </w:rPr>
        <w:fldChar w:fldCharType="end"/>
      </w:r>
      <w:r>
        <w:rPr>
          <w:rFonts w:hint="eastAsia" w:hAnsi="Tahoma"/>
          <w:szCs w:val="21"/>
        </w:rPr>
        <w:t>）。</w:t>
      </w:r>
    </w:p>
    <w:p>
      <w:pPr>
        <w:snapToGrid w:val="0"/>
        <w:spacing w:line="360" w:lineRule="auto"/>
        <w:ind w:firstLine="420" w:firstLineChars="200"/>
        <w:rPr>
          <w:rFonts w:ascii="宋体" w:hAnsi="宋体" w:cs="宋体"/>
        </w:rPr>
      </w:pPr>
      <w:r>
        <w:rPr>
          <w:rFonts w:hint="eastAsia" w:ascii="宋体" w:hAnsi="宋体" w:cs="宋体"/>
        </w:rPr>
        <w:t xml:space="preserve">5.2 </w:t>
      </w:r>
      <w:bookmarkStart w:id="27" w:name="_MON_1697628392"/>
      <w:bookmarkEnd w:id="27"/>
      <w:r>
        <w:rPr>
          <w:rFonts w:hint="eastAsia" w:ascii="宋体" w:hAnsi="宋体" w:cs="宋体"/>
        </w:rPr>
        <w:t>投标截止时间之前未成功提交至招标人招投标交易平台信息系统的电子投标文件，招标人不予受理。不接受未按规定加密的投标文件及投标文件的修改文件。不接受邮寄、现场提交等电子提交方式以外的其他方式提交投标文件及投标文件的修改文件。</w:t>
      </w:r>
    </w:p>
    <w:p>
      <w:pPr>
        <w:spacing w:line="360" w:lineRule="auto"/>
        <w:ind w:firstLine="407" w:firstLineChars="194"/>
        <w:rPr>
          <w:szCs w:val="21"/>
        </w:rPr>
      </w:pPr>
      <w:r>
        <w:rPr>
          <w:szCs w:val="21"/>
        </w:rPr>
        <w:t>5.3</w:t>
      </w:r>
      <w:r>
        <w:rPr>
          <w:rFonts w:hint="eastAsia"/>
          <w:szCs w:val="21"/>
        </w:rPr>
        <w:t>未按招标公告规定的时间和方式获取并下载招标文件的投标，招标人将不予受理。</w:t>
      </w:r>
    </w:p>
    <w:p>
      <w:pPr>
        <w:spacing w:line="360" w:lineRule="auto"/>
        <w:ind w:firstLine="407" w:firstLineChars="194"/>
        <w:rPr>
          <w:szCs w:val="21"/>
        </w:rPr>
      </w:pPr>
      <w:r>
        <w:rPr>
          <w:szCs w:val="21"/>
        </w:rPr>
        <w:t>5.4</w:t>
      </w:r>
      <w:r>
        <w:rPr>
          <w:rFonts w:hint="eastAsia"/>
          <w:szCs w:val="21"/>
        </w:rPr>
        <w:t>投标人必须确保在</w:t>
      </w:r>
      <w:r>
        <w:rPr>
          <w:rFonts w:hint="eastAsia"/>
          <w:b/>
          <w:szCs w:val="21"/>
        </w:rPr>
        <w:t>“国家电网有限公司新一代电子商务平台”及“国网辽宁电力数字化采购辅助工具”上传的电子投标文件</w:t>
      </w:r>
      <w:r>
        <w:rPr>
          <w:rFonts w:hint="eastAsia"/>
          <w:szCs w:val="21"/>
        </w:rPr>
        <w:t>内容一致。</w:t>
      </w:r>
    </w:p>
    <w:p>
      <w:pPr>
        <w:tabs>
          <w:tab w:val="left" w:pos="405"/>
        </w:tabs>
        <w:snapToGrid w:val="0"/>
        <w:spacing w:line="360" w:lineRule="auto"/>
        <w:ind w:firstLine="420" w:firstLineChars="200"/>
        <w:rPr>
          <w:rFonts w:ascii="宋体" w:hAnsi="宋体" w:cs="宋体"/>
        </w:rPr>
      </w:pPr>
      <w:r>
        <w:rPr>
          <w:rFonts w:hint="eastAsia" w:ascii="宋体" w:hAnsi="宋体" w:cs="宋体"/>
          <w:szCs w:val="21"/>
        </w:rPr>
        <w:t>开标时间：同投标截止时间；</w:t>
      </w:r>
    </w:p>
    <w:p>
      <w:pPr>
        <w:pStyle w:val="9"/>
        <w:spacing w:line="360" w:lineRule="auto"/>
        <w:ind w:firstLine="420" w:firstLineChars="200"/>
        <w:jc w:val="both"/>
        <w:rPr>
          <w:rFonts w:ascii="宋体" w:hAnsi="宋体" w:cs="宋体"/>
          <w:sz w:val="21"/>
          <w:szCs w:val="21"/>
        </w:rPr>
      </w:pPr>
      <w:r>
        <w:rPr>
          <w:rFonts w:hint="eastAsia" w:ascii="宋体" w:hAnsi="宋体" w:cs="宋体"/>
          <w:sz w:val="21"/>
          <w:szCs w:val="21"/>
        </w:rPr>
        <w:t>开标地点：辽宁电力能源发展集团有限公司沈阳招标分公司（沈阳市铁西区云峰北街</w:t>
      </w:r>
      <w:r>
        <w:rPr>
          <w:rFonts w:ascii="宋体" w:hAnsi="宋体" w:cs="宋体"/>
          <w:sz w:val="21"/>
          <w:szCs w:val="21"/>
        </w:rPr>
        <w:t>5</w:t>
      </w:r>
      <w:r>
        <w:rPr>
          <w:rFonts w:hint="eastAsia" w:ascii="宋体" w:hAnsi="宋体" w:cs="宋体"/>
          <w:sz w:val="21"/>
          <w:szCs w:val="21"/>
        </w:rPr>
        <w:t>号）。</w:t>
      </w:r>
    </w:p>
    <w:p>
      <w:pPr>
        <w:pStyle w:val="9"/>
        <w:spacing w:line="360" w:lineRule="auto"/>
        <w:ind w:firstLine="420" w:firstLineChars="200"/>
        <w:jc w:val="both"/>
        <w:rPr>
          <w:rFonts w:ascii="宋体" w:hAnsi="宋体" w:cs="宋体"/>
          <w:sz w:val="21"/>
          <w:szCs w:val="22"/>
        </w:rPr>
      </w:pPr>
      <w:r>
        <w:rPr>
          <w:rFonts w:hint="eastAsia" w:ascii="宋体" w:hAnsi="宋体" w:cs="宋体"/>
          <w:sz w:val="21"/>
          <w:szCs w:val="21"/>
        </w:rPr>
        <w:t>5.3未按招标公告规定的</w:t>
      </w:r>
      <w:r>
        <w:rPr>
          <w:rFonts w:hint="eastAsia" w:ascii="宋体" w:hAnsi="宋体" w:cs="宋体"/>
          <w:sz w:val="21"/>
          <w:szCs w:val="22"/>
        </w:rPr>
        <w:t>时间和方式获取并下载招标文件的投标，招标人将不予受理。</w:t>
      </w:r>
    </w:p>
    <w:bookmarkEnd w:id="26"/>
    <w:p>
      <w:pPr>
        <w:adjustRightInd w:val="0"/>
        <w:snapToGrid w:val="0"/>
        <w:spacing w:line="360" w:lineRule="auto"/>
        <w:ind w:firstLine="482" w:firstLineChars="200"/>
        <w:outlineLvl w:val="1"/>
        <w:rPr>
          <w:rFonts w:ascii="宋体" w:hAnsi="宋体" w:cs="宋体"/>
          <w:b/>
          <w:sz w:val="24"/>
        </w:rPr>
      </w:pPr>
      <w:bookmarkStart w:id="28" w:name="_Toc62551534"/>
      <w:bookmarkStart w:id="29" w:name="_Toc13110"/>
      <w:bookmarkStart w:id="30" w:name="_Toc6640"/>
      <w:bookmarkStart w:id="31" w:name="_Toc8013"/>
      <w:r>
        <w:rPr>
          <w:rFonts w:hint="eastAsia" w:ascii="宋体" w:hAnsi="宋体" w:cs="宋体"/>
          <w:b/>
          <w:sz w:val="24"/>
        </w:rPr>
        <w:t>6.发布公告的媒介</w:t>
      </w:r>
      <w:bookmarkEnd w:id="28"/>
      <w:bookmarkEnd w:id="29"/>
      <w:bookmarkEnd w:id="30"/>
      <w:bookmarkEnd w:id="31"/>
    </w:p>
    <w:p>
      <w:pPr>
        <w:pStyle w:val="23"/>
        <w:tabs>
          <w:tab w:val="left" w:pos="0"/>
        </w:tabs>
        <w:snapToGrid w:val="0"/>
        <w:spacing w:line="360" w:lineRule="auto"/>
        <w:ind w:firstLine="420" w:firstLineChars="200"/>
        <w:jc w:val="both"/>
        <w:rPr>
          <w:rFonts w:cs="宋体"/>
          <w:b/>
          <w:sz w:val="24"/>
          <w:lang w:val="en-US"/>
        </w:rPr>
      </w:pPr>
      <w:r>
        <w:rPr>
          <w:rFonts w:hint="eastAsia" w:cs="宋体"/>
          <w:kern w:val="2"/>
          <w:sz w:val="21"/>
        </w:rPr>
        <w:t>本次招标公告在招标人招投标交易平台信息系统、中国招标投标公共服务平台</w:t>
      </w:r>
      <w:r>
        <w:rPr>
          <w:rFonts w:hint="eastAsia" w:cs="宋体"/>
          <w:kern w:val="2"/>
          <w:sz w:val="21"/>
          <w:lang w:val="en-US"/>
        </w:rPr>
        <w:t>（</w:t>
      </w:r>
      <w:bookmarkStart w:id="32" w:name="_Hlk511312026"/>
      <w:r>
        <w:rPr>
          <w:rFonts w:hint="eastAsia" w:cs="宋体"/>
          <w:kern w:val="2"/>
          <w:sz w:val="21"/>
          <w:lang w:val="en-US"/>
        </w:rPr>
        <w:t>http://www.cebpubservice.com</w:t>
      </w:r>
      <w:bookmarkEnd w:id="32"/>
      <w:r>
        <w:rPr>
          <w:rFonts w:hint="eastAsia" w:cs="宋体"/>
          <w:kern w:val="2"/>
          <w:sz w:val="21"/>
          <w:lang w:val="en-US"/>
        </w:rPr>
        <w:t>）</w:t>
      </w:r>
      <w:r>
        <w:rPr>
          <w:rFonts w:hint="eastAsia" w:cs="宋体"/>
          <w:kern w:val="2"/>
          <w:sz w:val="21"/>
        </w:rPr>
        <w:t>上发布。</w:t>
      </w:r>
      <w:bookmarkStart w:id="33" w:name="_bookmark8"/>
      <w:bookmarkEnd w:id="33"/>
      <w:bookmarkStart w:id="34" w:name="_Toc23797"/>
      <w:bookmarkStart w:id="35" w:name="_Toc9290"/>
      <w:bookmarkStart w:id="36" w:name="_Toc27414"/>
      <w:bookmarkStart w:id="37" w:name="_Toc62551535"/>
    </w:p>
    <w:p>
      <w:pPr>
        <w:adjustRightInd w:val="0"/>
        <w:snapToGrid w:val="0"/>
        <w:spacing w:line="360" w:lineRule="auto"/>
        <w:ind w:firstLine="482" w:firstLineChars="200"/>
        <w:outlineLvl w:val="1"/>
        <w:rPr>
          <w:rFonts w:ascii="宋体" w:hAnsi="宋体" w:cs="宋体"/>
          <w:b/>
          <w:sz w:val="24"/>
        </w:rPr>
      </w:pPr>
      <w:r>
        <w:rPr>
          <w:rFonts w:hint="eastAsia" w:ascii="宋体" w:hAnsi="宋体" w:cs="宋体"/>
          <w:b/>
          <w:sz w:val="24"/>
        </w:rPr>
        <w:t>7.联系方式</w:t>
      </w:r>
      <w:bookmarkEnd w:id="34"/>
      <w:bookmarkEnd w:id="35"/>
      <w:bookmarkEnd w:id="36"/>
      <w:bookmarkEnd w:id="37"/>
    </w:p>
    <w:p>
      <w:pPr>
        <w:pStyle w:val="23"/>
        <w:tabs>
          <w:tab w:val="left" w:pos="0"/>
        </w:tabs>
        <w:spacing w:line="360" w:lineRule="auto"/>
        <w:ind w:firstLine="420" w:firstLineChars="200"/>
        <w:jc w:val="both"/>
        <w:rPr>
          <w:color w:val="000000" w:themeColor="text1"/>
          <w:kern w:val="2"/>
          <w:sz w:val="21"/>
          <w14:textFill>
            <w14:solidFill>
              <w14:schemeClr w14:val="tx1"/>
            </w14:solidFill>
          </w14:textFill>
        </w:rPr>
      </w:pPr>
      <w:bookmarkStart w:id="38" w:name="_Toc26636"/>
      <w:bookmarkStart w:id="39" w:name="_Toc4180"/>
      <w:bookmarkStart w:id="40" w:name="_Toc62551536"/>
      <w:bookmarkStart w:id="41" w:name="_Toc26113"/>
      <w:r>
        <w:rPr>
          <w:rFonts w:hint="eastAsia"/>
          <w:color w:val="000000" w:themeColor="text1"/>
          <w:kern w:val="2"/>
          <w:sz w:val="21"/>
          <w14:textFill>
            <w14:solidFill>
              <w14:schemeClr w14:val="tx1"/>
            </w14:solidFill>
          </w14:textFill>
        </w:rPr>
        <w:t>招标人</w:t>
      </w:r>
      <w:r>
        <w:rPr>
          <w:color w:val="000000" w:themeColor="text1"/>
          <w:kern w:val="2"/>
          <w:sz w:val="21"/>
          <w14:textFill>
            <w14:solidFill>
              <w14:schemeClr w14:val="tx1"/>
            </w14:solidFill>
          </w14:textFill>
        </w:rPr>
        <w:t xml:space="preserve">: </w:t>
      </w:r>
      <w:r>
        <w:rPr>
          <w:rFonts w:hint="eastAsia"/>
          <w:highlight w:val="yellow"/>
        </w:rPr>
        <w:t>国网辽宁省电力有限公司沈阳供电公司</w:t>
      </w:r>
    </w:p>
    <w:p>
      <w:pPr>
        <w:pStyle w:val="23"/>
        <w:tabs>
          <w:tab w:val="left" w:pos="0"/>
        </w:tabs>
        <w:spacing w:line="360" w:lineRule="auto"/>
        <w:ind w:firstLine="420" w:firstLineChars="200"/>
        <w:jc w:val="both"/>
        <w:rPr>
          <w:color w:val="000000" w:themeColor="text1"/>
          <w:kern w:val="2"/>
          <w:sz w:val="21"/>
          <w14:textFill>
            <w14:solidFill>
              <w14:schemeClr w14:val="tx1"/>
            </w14:solidFill>
          </w14:textFill>
        </w:rPr>
      </w:pPr>
      <w:r>
        <w:rPr>
          <w:rFonts w:hint="eastAsia"/>
          <w:color w:val="000000" w:themeColor="text1"/>
          <w:kern w:val="2"/>
          <w:sz w:val="21"/>
          <w14:textFill>
            <w14:solidFill>
              <w14:schemeClr w14:val="tx1"/>
            </w14:solidFill>
          </w14:textFill>
        </w:rPr>
        <w:t>地址</w:t>
      </w:r>
      <w:r>
        <w:rPr>
          <w:color w:val="000000" w:themeColor="text1"/>
          <w:kern w:val="2"/>
          <w:sz w:val="21"/>
          <w14:textFill>
            <w14:solidFill>
              <w14:schemeClr w14:val="tx1"/>
            </w14:solidFill>
          </w14:textFill>
        </w:rPr>
        <w:t xml:space="preserve">: </w:t>
      </w:r>
      <w:r>
        <w:rPr>
          <w:rFonts w:hint="eastAsia"/>
          <w:color w:val="000000" w:themeColor="text1"/>
          <w14:textFill>
            <w14:solidFill>
              <w14:schemeClr w14:val="tx1"/>
            </w14:solidFill>
          </w14:textFill>
        </w:rPr>
        <w:t>沈阳市和平区八经街94号</w:t>
      </w:r>
    </w:p>
    <w:p>
      <w:pPr>
        <w:pStyle w:val="23"/>
        <w:tabs>
          <w:tab w:val="left" w:pos="0"/>
        </w:tabs>
        <w:spacing w:line="360" w:lineRule="auto"/>
        <w:ind w:firstLine="420" w:firstLineChars="200"/>
        <w:jc w:val="both"/>
        <w:rPr>
          <w:color w:val="000000" w:themeColor="text1"/>
          <w:kern w:val="2"/>
          <w:sz w:val="21"/>
          <w14:textFill>
            <w14:solidFill>
              <w14:schemeClr w14:val="tx1"/>
            </w14:solidFill>
          </w14:textFill>
        </w:rPr>
      </w:pPr>
      <w:r>
        <w:rPr>
          <w:rFonts w:hint="eastAsia"/>
          <w:color w:val="000000" w:themeColor="text1"/>
          <w:kern w:val="2"/>
          <w:sz w:val="21"/>
          <w14:textFill>
            <w14:solidFill>
              <w14:schemeClr w14:val="tx1"/>
            </w14:solidFill>
          </w14:textFill>
        </w:rPr>
        <w:t>邮编：110002</w:t>
      </w:r>
    </w:p>
    <w:p>
      <w:pPr>
        <w:pStyle w:val="23"/>
        <w:tabs>
          <w:tab w:val="left" w:pos="0"/>
        </w:tabs>
        <w:spacing w:line="360" w:lineRule="auto"/>
        <w:ind w:firstLine="420" w:firstLineChars="200"/>
        <w:jc w:val="both"/>
        <w:rPr>
          <w:color w:val="000000" w:themeColor="text1"/>
          <w:kern w:val="2"/>
          <w:sz w:val="21"/>
          <w14:textFill>
            <w14:solidFill>
              <w14:schemeClr w14:val="tx1"/>
            </w14:solidFill>
          </w14:textFill>
        </w:rPr>
      </w:pPr>
      <w:r>
        <w:rPr>
          <w:rFonts w:hint="eastAsia"/>
          <w:color w:val="000000" w:themeColor="text1"/>
          <w:kern w:val="2"/>
          <w:sz w:val="21"/>
          <w14:textFill>
            <w14:solidFill>
              <w14:schemeClr w14:val="tx1"/>
            </w14:solidFill>
          </w14:textFill>
        </w:rPr>
        <w:t>招标代理机构：</w:t>
      </w:r>
      <w:r>
        <w:rPr>
          <w:rFonts w:hint="eastAsia"/>
        </w:rPr>
        <w:t>辽宁电力能源发展集团有限公司沈阳招标分公司</w:t>
      </w:r>
    </w:p>
    <w:p>
      <w:pPr>
        <w:pStyle w:val="23"/>
        <w:tabs>
          <w:tab w:val="left" w:pos="0"/>
        </w:tabs>
        <w:spacing w:line="360" w:lineRule="auto"/>
        <w:ind w:firstLine="420" w:firstLineChars="200"/>
        <w:jc w:val="both"/>
        <w:rPr>
          <w:color w:val="000000" w:themeColor="text1"/>
          <w:kern w:val="2"/>
          <w:sz w:val="21"/>
          <w14:textFill>
            <w14:solidFill>
              <w14:schemeClr w14:val="tx1"/>
            </w14:solidFill>
          </w14:textFill>
        </w:rPr>
      </w:pPr>
      <w:r>
        <w:rPr>
          <w:rFonts w:hint="eastAsia"/>
          <w:color w:val="000000" w:themeColor="text1"/>
          <w:kern w:val="2"/>
          <w:sz w:val="21"/>
          <w14:textFill>
            <w14:solidFill>
              <w14:schemeClr w14:val="tx1"/>
            </w14:solidFill>
          </w14:textFill>
        </w:rPr>
        <w:t>地址：</w:t>
      </w:r>
      <w:r>
        <w:rPr>
          <w:rFonts w:hint="eastAsia"/>
        </w:rPr>
        <w:t>沈阳市铁西区云峰北街</w:t>
      </w:r>
      <w:r>
        <w:t>5</w:t>
      </w:r>
      <w:r>
        <w:rPr>
          <w:rFonts w:hint="eastAsia"/>
        </w:rPr>
        <w:t>号</w:t>
      </w:r>
    </w:p>
    <w:p>
      <w:pPr>
        <w:pStyle w:val="23"/>
        <w:tabs>
          <w:tab w:val="left" w:pos="0"/>
        </w:tabs>
        <w:spacing w:line="360" w:lineRule="auto"/>
        <w:ind w:firstLine="420" w:firstLineChars="200"/>
        <w:jc w:val="both"/>
        <w:rPr>
          <w:color w:val="000000" w:themeColor="text1"/>
          <w:kern w:val="2"/>
          <w:sz w:val="21"/>
          <w14:textFill>
            <w14:solidFill>
              <w14:schemeClr w14:val="tx1"/>
            </w14:solidFill>
          </w14:textFill>
        </w:rPr>
      </w:pPr>
      <w:r>
        <w:rPr>
          <w:rFonts w:hint="eastAsia"/>
          <w:color w:val="000000" w:themeColor="text1"/>
          <w:kern w:val="2"/>
          <w:sz w:val="21"/>
          <w14:textFill>
            <w14:solidFill>
              <w14:schemeClr w14:val="tx1"/>
            </w14:solidFill>
          </w14:textFill>
        </w:rPr>
        <w:t>邮编：</w:t>
      </w:r>
      <w:r>
        <w:rPr>
          <w:rFonts w:hint="eastAsia"/>
        </w:rPr>
        <w:t>110005</w:t>
      </w:r>
    </w:p>
    <w:p>
      <w:pPr>
        <w:tabs>
          <w:tab w:val="left" w:pos="1134"/>
        </w:tabs>
        <w:adjustRightInd w:val="0"/>
        <w:snapToGrid w:val="0"/>
        <w:spacing w:line="360" w:lineRule="auto"/>
        <w:ind w:firstLine="420" w:firstLineChars="200"/>
        <w:rPr>
          <w:color w:val="FF0000"/>
        </w:rPr>
      </w:pPr>
      <w:r>
        <w:rPr>
          <w:rFonts w:hint="eastAsia" w:ascii="宋体" w:hAnsi="宋体"/>
          <w:color w:val="000000" w:themeColor="text1"/>
          <w:szCs w:val="21"/>
          <w:lang w:val="zh-CN"/>
          <w14:textFill>
            <w14:solidFill>
              <w14:schemeClr w14:val="tx1"/>
            </w14:solidFill>
          </w14:textFill>
        </w:rPr>
        <w:t>联系人电话：</w:t>
      </w:r>
      <w:r>
        <w:rPr>
          <w:rFonts w:hint="eastAsia" w:ascii="宋体" w:hAnsi="宋体"/>
          <w:color w:val="000000" w:themeColor="text1"/>
          <w:szCs w:val="21"/>
          <w14:textFill>
            <w14:solidFill>
              <w14:schemeClr w14:val="tx1"/>
            </w14:solidFill>
          </w14:textFill>
        </w:rPr>
        <w:t>024-23158787、</w:t>
      </w:r>
      <w:r>
        <w:rPr>
          <w:rFonts w:hint="eastAsia" w:ascii="宋体" w:hAnsi="宋体"/>
          <w:szCs w:val="21"/>
        </w:rPr>
        <w:t>024-23158792、024-23158762、024-23158761</w:t>
      </w:r>
    </w:p>
    <w:p>
      <w:pPr>
        <w:tabs>
          <w:tab w:val="left" w:pos="1134"/>
        </w:tabs>
        <w:adjustRightInd w:val="0"/>
        <w:snapToGrid w:val="0"/>
        <w:spacing w:line="360" w:lineRule="auto"/>
        <w:ind w:firstLine="420" w:firstLineChars="200"/>
        <w:rPr>
          <w:rFonts w:ascii="宋体" w:hAnsi="宋体"/>
          <w:szCs w:val="21"/>
        </w:rPr>
      </w:pPr>
      <w:r>
        <w:rPr>
          <w:rFonts w:hint="eastAsia" w:ascii="宋体" w:hAnsi="宋体"/>
          <w:color w:val="000000" w:themeColor="text1"/>
          <w:szCs w:val="21"/>
          <w:lang w:val="zh-CN"/>
          <w14:textFill>
            <w14:solidFill>
              <w14:schemeClr w14:val="tx1"/>
            </w14:solidFill>
          </w14:textFill>
        </w:rPr>
        <w:t>电子邮件</w:t>
      </w:r>
      <w:r>
        <w:rPr>
          <w:rFonts w:hint="eastAsia" w:ascii="宋体" w:hAnsi="宋体"/>
          <w:color w:val="000000" w:themeColor="text1"/>
          <w:szCs w:val="21"/>
          <w14:textFill>
            <w14:solidFill>
              <w14:schemeClr w14:val="tx1"/>
            </w14:solidFill>
          </w14:textFill>
        </w:rPr>
        <w:t>：</w:t>
      </w:r>
      <w:r>
        <w:fldChar w:fldCharType="begin"/>
      </w:r>
      <w:r>
        <w:instrText xml:space="preserve"> HYPERLINK "mailto:cq@syyhzb.com" </w:instrText>
      </w:r>
      <w:r>
        <w:fldChar w:fldCharType="separate"/>
      </w:r>
      <w:r>
        <w:rPr>
          <w:rStyle w:val="19"/>
          <w:rFonts w:hint="eastAsia" w:ascii="宋体" w:hAnsi="宋体"/>
          <w:szCs w:val="21"/>
        </w:rPr>
        <w:t>cq@syyhzb.com</w:t>
      </w:r>
      <w:r>
        <w:rPr>
          <w:rStyle w:val="19"/>
          <w:rFonts w:hint="eastAsia" w:ascii="宋体" w:hAnsi="宋体"/>
          <w:szCs w:val="21"/>
        </w:rPr>
        <w:fldChar w:fldCharType="end"/>
      </w:r>
    </w:p>
    <w:p>
      <w:pPr>
        <w:adjustRightInd w:val="0"/>
        <w:snapToGrid w:val="0"/>
        <w:spacing w:line="360" w:lineRule="auto"/>
        <w:ind w:firstLine="422" w:firstLineChars="200"/>
        <w:rPr>
          <w:rFonts w:ascii="宋体" w:hAnsi="宋体"/>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招标人招投标交易平台信息系统（电子商务平台）网址：</w:t>
      </w:r>
      <w:r>
        <w:rPr>
          <w:rFonts w:hint="eastAsia" w:ascii="宋体" w:hAnsi="宋体"/>
          <w:color w:val="000000" w:themeColor="text1"/>
          <w14:textFill>
            <w14:solidFill>
              <w14:schemeClr w14:val="tx1"/>
            </w14:solidFill>
          </w14:textFill>
        </w:rPr>
        <w:t>https://</w:t>
      </w:r>
      <w:r>
        <w:rPr>
          <w:rFonts w:hint="eastAsia" w:ascii="宋体" w:hAnsi="宋体"/>
          <w:b/>
          <w:color w:val="000000" w:themeColor="text1"/>
          <w14:textFill>
            <w14:solidFill>
              <w14:schemeClr w14:val="tx1"/>
            </w14:solidFill>
          </w14:textFill>
        </w:rPr>
        <w:t xml:space="preserve"> sgccetp.com.cn（新手指引中提供的浏览器）</w:t>
      </w:r>
      <w:r>
        <w:rPr>
          <w:rFonts w:hint="eastAsia" w:ascii="宋体" w:hAnsi="宋体"/>
          <w:color w:val="000000" w:themeColor="text1"/>
          <w14:textFill>
            <w14:solidFill>
              <w14:schemeClr w14:val="tx1"/>
            </w14:solidFill>
          </w14:textFill>
        </w:rPr>
        <w:t>。</w:t>
      </w:r>
    </w:p>
    <w:p>
      <w:pPr>
        <w:adjustRightInd w:val="0"/>
        <w:snapToGrid w:val="0"/>
        <w:spacing w:line="360" w:lineRule="auto"/>
        <w:ind w:firstLine="482" w:firstLineChars="200"/>
        <w:outlineLvl w:val="1"/>
        <w:rPr>
          <w:rFonts w:ascii="宋体" w:hAnsi="宋体" w:cs="宋体"/>
          <w:b/>
          <w:sz w:val="24"/>
        </w:rPr>
      </w:pPr>
      <w:r>
        <w:rPr>
          <w:rFonts w:hint="eastAsia" w:ascii="宋体" w:hAnsi="宋体" w:cs="宋体"/>
          <w:b/>
          <w:sz w:val="24"/>
        </w:rPr>
        <w:t>8.合规声明</w:t>
      </w:r>
      <w:bookmarkEnd w:id="38"/>
      <w:bookmarkEnd w:id="39"/>
      <w:bookmarkEnd w:id="40"/>
      <w:bookmarkEnd w:id="41"/>
    </w:p>
    <w:p>
      <w:pPr>
        <w:pStyle w:val="23"/>
        <w:tabs>
          <w:tab w:val="left" w:pos="0"/>
        </w:tabs>
        <w:spacing w:line="360" w:lineRule="auto"/>
        <w:ind w:firstLine="420" w:firstLineChars="200"/>
        <w:jc w:val="both"/>
        <w:rPr>
          <w:rFonts w:cs="宋体"/>
          <w:kern w:val="2"/>
          <w:sz w:val="21"/>
        </w:rPr>
      </w:pPr>
      <w:r>
        <w:rPr>
          <w:rFonts w:hint="eastAsia" w:cs="宋体"/>
          <w:kern w:val="2"/>
          <w:sz w:val="21"/>
        </w:rPr>
        <w:t>本招标文件（包括商务部分和技术部分）符合国家现行法律法规规定，若国家颁布新的法律法规或对现有法律法规进行修订，以新施行实施的法律法规规定为准。</w:t>
      </w:r>
      <w:r>
        <w:rPr>
          <w:rFonts w:hint="eastAsia"/>
          <w:b/>
          <w:bCs/>
          <w:kern w:val="2"/>
          <w:sz w:val="21"/>
        </w:rPr>
        <w:t>本项目行政监督部门为项目所在地的发展和改革部门</w:t>
      </w:r>
      <w:r>
        <w:rPr>
          <w:rFonts w:hint="eastAsia"/>
          <w:kern w:val="2"/>
          <w:sz w:val="21"/>
        </w:rPr>
        <w:t>。</w:t>
      </w:r>
    </w:p>
    <w:p>
      <w:pPr>
        <w:adjustRightInd w:val="0"/>
        <w:snapToGrid w:val="0"/>
        <w:spacing w:line="360" w:lineRule="auto"/>
        <w:ind w:firstLine="482" w:firstLineChars="200"/>
        <w:outlineLvl w:val="1"/>
        <w:rPr>
          <w:rFonts w:ascii="宋体" w:hAnsi="宋体" w:cs="宋体"/>
          <w:b/>
          <w:sz w:val="24"/>
        </w:rPr>
      </w:pPr>
      <w:r>
        <w:rPr>
          <w:rFonts w:hint="eastAsia" w:ascii="宋体" w:hAnsi="宋体" w:cs="宋体"/>
          <w:b/>
          <w:sz w:val="24"/>
        </w:rPr>
        <w:t>9.权利声明</w:t>
      </w:r>
    </w:p>
    <w:p>
      <w:pPr>
        <w:pStyle w:val="23"/>
        <w:tabs>
          <w:tab w:val="left" w:pos="0"/>
        </w:tabs>
        <w:spacing w:line="360" w:lineRule="auto"/>
        <w:ind w:firstLine="420" w:firstLineChars="200"/>
        <w:jc w:val="both"/>
        <w:rPr>
          <w:color w:val="000000" w:themeColor="text1"/>
          <w:kern w:val="2"/>
          <w:sz w:val="21"/>
          <w14:textFill>
            <w14:solidFill>
              <w14:schemeClr w14:val="tx1"/>
            </w14:solidFill>
          </w14:textFill>
        </w:rPr>
      </w:pPr>
      <w:r>
        <w:rPr>
          <w:rFonts w:hint="eastAsia"/>
          <w:color w:val="000000" w:themeColor="text1"/>
          <w:kern w:val="2"/>
          <w:sz w:val="21"/>
          <w14:textFill>
            <w14:solidFill>
              <w14:schemeClr w14:val="tx1"/>
            </w14:solidFill>
          </w14:textFill>
        </w:rPr>
        <w:t>禁止对本招标文件或公示信息（依法必须招标项目的招标公告部分除外）进行任何形式的转载（包括但不限于部分或全文转载、修改后转载）或任何未经书面授权的使用。转载依法必须招标项目的招标公告或公示信息的，不得改变招标公告和公示信息的内容，须注明信息来源，不得用于非法用途。任何单位或个人不得违法转载（包括但不限于改变内容转载、转载不注明来源、遗漏或不及时转载修改或补充内容等）招标公告或公示信息、不得对招标公告或公示信息等内容进行不全面、不准确、不客观地分析或使用，任何单位或个人违法或违反本条规定转载、使用本招标文件或公示信息的，招标人将依法追究法律责任。</w:t>
      </w:r>
    </w:p>
    <w:p>
      <w:pPr>
        <w:adjustRightInd w:val="0"/>
        <w:snapToGrid w:val="0"/>
        <w:spacing w:line="360" w:lineRule="auto"/>
        <w:ind w:firstLine="482" w:firstLineChars="200"/>
        <w:outlineLvl w:val="1"/>
        <w:rPr>
          <w:rFonts w:ascii="宋体" w:hAnsi="宋体" w:cs="宋体"/>
          <w:b/>
          <w:sz w:val="24"/>
        </w:rPr>
      </w:pPr>
      <w:r>
        <w:rPr>
          <w:rFonts w:hint="eastAsia" w:ascii="宋体" w:hAnsi="宋体" w:cs="宋体"/>
          <w:b/>
          <w:sz w:val="24"/>
        </w:rPr>
        <w:t>10.特别说明</w:t>
      </w:r>
    </w:p>
    <w:p>
      <w:pPr>
        <w:pStyle w:val="2"/>
        <w:spacing w:after="0" w:line="360" w:lineRule="auto"/>
        <w:ind w:firstLine="420" w:firstLineChars="200"/>
        <w:rPr>
          <w:rFonts w:ascii="宋体" w:hAnsi="宋体" w:cs="宋体"/>
          <w:color w:val="000000"/>
        </w:rPr>
      </w:pPr>
      <w:r>
        <w:rPr>
          <w:rFonts w:hint="eastAsia" w:ascii="宋体" w:hAnsi="宋体" w:cs="宋体"/>
          <w:color w:val="000000"/>
        </w:rPr>
        <w:t>如招标文件中其他章节的相关要求与以下内容不一致时, 不一致部分以本要求为准:</w:t>
      </w:r>
    </w:p>
    <w:p>
      <w:pPr>
        <w:pStyle w:val="2"/>
        <w:numPr>
          <w:ilvl w:val="0"/>
          <w:numId w:val="1"/>
        </w:numPr>
        <w:spacing w:after="0" w:line="360" w:lineRule="auto"/>
        <w:ind w:firstLine="420" w:firstLineChars="200"/>
        <w:rPr>
          <w:rFonts w:ascii="宋体" w:hAnsi="宋体" w:cs="宋体"/>
          <w:color w:val="000000"/>
        </w:rPr>
      </w:pPr>
      <w:r>
        <w:rPr>
          <w:rFonts w:hint="eastAsia" w:cs="宋体"/>
          <w:color w:val="000000"/>
        </w:rPr>
        <w:t>本招标项目所有技术规范中要求的各类资质业绩等证明性材料，均为无效要求，严格按照招标文件中专用资质业绩要求表中为准，招标</w:t>
      </w:r>
      <w:r>
        <w:rPr>
          <w:rFonts w:hint="eastAsia" w:ascii="宋体" w:hAnsi="宋体" w:cs="宋体"/>
          <w:color w:val="000000"/>
        </w:rPr>
        <w:t>文件中出现的品牌型号，一律视为参考品牌。</w:t>
      </w:r>
    </w:p>
    <w:p>
      <w:pPr>
        <w:pStyle w:val="2"/>
        <w:numPr>
          <w:ilvl w:val="0"/>
          <w:numId w:val="1"/>
        </w:numPr>
        <w:spacing w:after="0" w:line="360" w:lineRule="auto"/>
        <w:ind w:firstLine="420" w:firstLineChars="200"/>
        <w:rPr>
          <w:rFonts w:ascii="宋体" w:hAnsi="宋体" w:cs="宋体"/>
          <w:color w:val="000000"/>
        </w:rPr>
      </w:pPr>
      <w:r>
        <w:rPr>
          <w:rFonts w:hint="eastAsia" w:ascii="宋体" w:hAnsi="宋体" w:cs="宋体"/>
          <w:color w:val="000000"/>
        </w:rPr>
        <w:t>增加了专用合同条款</w:t>
      </w:r>
      <w:r>
        <w:rPr>
          <w:rFonts w:hint="eastAsia" w:cs="宋体"/>
          <w:color w:val="000000"/>
        </w:rPr>
        <w:t>的</w:t>
      </w:r>
      <w:r>
        <w:rPr>
          <w:rFonts w:hint="eastAsia" w:ascii="宋体" w:hAnsi="宋体" w:cs="宋体"/>
          <w:color w:val="000000"/>
        </w:rPr>
        <w:t>，专用合同条款是对通用合同条款的修改或补充。</w:t>
      </w:r>
    </w:p>
    <w:p>
      <w:pPr>
        <w:pStyle w:val="2"/>
        <w:numPr>
          <w:ilvl w:val="0"/>
          <w:numId w:val="1"/>
        </w:numPr>
        <w:spacing w:after="0" w:line="360" w:lineRule="auto"/>
        <w:ind w:firstLine="420" w:firstLineChars="200"/>
        <w:rPr>
          <w:rFonts w:ascii="宋体" w:hAnsi="宋体" w:cs="宋体"/>
          <w:color w:val="000000"/>
        </w:rPr>
      </w:pPr>
      <w:r>
        <w:rPr>
          <w:rFonts w:hint="eastAsia" w:cs="宋体"/>
          <w:color w:val="000000"/>
        </w:rPr>
        <w:t>招标人</w:t>
      </w:r>
      <w:r>
        <w:rPr>
          <w:rFonts w:hint="eastAsia" w:ascii="宋体" w:hAnsi="宋体" w:cs="宋体"/>
          <w:color w:val="000000"/>
        </w:rPr>
        <w:t>在任何时间发现投标人及其投标文件有不满足招标文件要求的，有权取消其</w:t>
      </w:r>
      <w:r>
        <w:rPr>
          <w:rFonts w:hint="eastAsia" w:cs="宋体"/>
          <w:color w:val="000000"/>
        </w:rPr>
        <w:t>中标</w:t>
      </w:r>
      <w:r>
        <w:rPr>
          <w:rFonts w:hint="eastAsia" w:ascii="宋体" w:hAnsi="宋体" w:cs="宋体"/>
          <w:color w:val="000000"/>
        </w:rPr>
        <w:t>资格或解除合同。</w:t>
      </w:r>
    </w:p>
    <w:p>
      <w:pPr>
        <w:pStyle w:val="2"/>
        <w:spacing w:after="0" w:line="360" w:lineRule="auto"/>
        <w:ind w:firstLine="420" w:firstLineChars="200"/>
        <w:rPr>
          <w:rFonts w:cs="宋体"/>
          <w:color w:val="000000"/>
        </w:rPr>
      </w:pPr>
      <w:r>
        <w:rPr>
          <w:rFonts w:hint="eastAsia" w:cs="宋体"/>
          <w:color w:val="000000"/>
        </w:rPr>
        <w:t>5）中标服务费收取方式约定：</w:t>
      </w:r>
    </w:p>
    <w:p>
      <w:pPr>
        <w:pStyle w:val="2"/>
        <w:spacing w:after="0" w:line="360" w:lineRule="auto"/>
        <w:ind w:firstLine="420" w:firstLineChars="200"/>
        <w:rPr>
          <w:rFonts w:ascii="宋体" w:hAnsi="宋体" w:cs="宋体"/>
          <w:color w:val="000000"/>
        </w:rPr>
      </w:pPr>
      <w:r>
        <w:rPr>
          <w:rFonts w:hint="eastAsia" w:ascii="宋体" w:hAnsi="宋体" w:cs="宋体"/>
          <w:color w:val="000000"/>
        </w:rPr>
        <w:sym w:font="Wingdings" w:char="00A8"/>
      </w:r>
      <w:r>
        <w:rPr>
          <w:rFonts w:hint="eastAsia" w:ascii="宋体" w:hAnsi="宋体" w:cs="宋体"/>
          <w:color w:val="000000"/>
        </w:rPr>
        <w:t>投标人被确定为中标人后，一次性向招标代理机构交纳招标代理服务费，收费以包为单位收取，取费标准详见招标文件第二章《投标人须知前附表》；</w:t>
      </w:r>
      <w:r>
        <w:rPr>
          <w:rFonts w:ascii="宋体" w:hAnsi="宋体" w:cs="宋体"/>
          <w:color w:val="000000"/>
        </w:rPr>
        <w:t xml:space="preserve"> </w:t>
      </w:r>
    </w:p>
    <w:p>
      <w:pPr>
        <w:pStyle w:val="2"/>
        <w:spacing w:after="0" w:line="360" w:lineRule="auto"/>
        <w:ind w:firstLine="420" w:firstLineChars="200"/>
        <w:rPr>
          <w:rFonts w:ascii="宋体" w:hAnsi="宋体" w:cs="宋体"/>
          <w:color w:val="000000"/>
          <w:highlight w:val="yellow"/>
        </w:rPr>
      </w:pPr>
      <w:r>
        <w:rPr>
          <w:rFonts w:hint="eastAsia" w:ascii="宋体" w:hAnsi="宋体" w:cs="宋体"/>
          <w:color w:val="000000"/>
          <w:highlight w:val="yellow"/>
        </w:rPr>
        <w:sym w:font="Wingdings" w:char="00FE"/>
      </w:r>
      <w:r>
        <w:rPr>
          <w:rFonts w:hint="eastAsia" w:ascii="宋体" w:hAnsi="宋体" w:cs="宋体"/>
          <w:color w:val="000000"/>
          <w:highlight w:val="yellow"/>
        </w:rPr>
        <w:t>本项目签订框架协议后期电商进行履约，招标代理机构按单个项目进行中标服务费结算，中标人应在接到代理公司缴纳服务费的通知后5日内，一次性向招标代理机构交纳招标代理服务费，逾期不按时缴纳者，将按照相关程序处理，给投标人造成任何损失，自行承担。（签订框架协议线下履约的项目按预估金额收取）</w:t>
      </w:r>
    </w:p>
    <w:p>
      <w:pPr>
        <w:pStyle w:val="2"/>
        <w:spacing w:after="0" w:line="360" w:lineRule="auto"/>
        <w:ind w:firstLine="420" w:firstLineChars="200"/>
        <w:rPr>
          <w:rFonts w:cs="宋体"/>
          <w:color w:val="000000"/>
        </w:rPr>
      </w:pPr>
      <w:r>
        <w:rPr>
          <w:rFonts w:hint="eastAsia" w:cs="宋体"/>
          <w:color w:val="000000"/>
        </w:rPr>
        <w:t>6）各潜在投标人维护投标人基本信息时，必须填写真实有效的基本信息，如因信息造成投标失败的风险由投标人自行承担。</w:t>
      </w:r>
    </w:p>
    <w:p>
      <w:pPr>
        <w:pStyle w:val="2"/>
        <w:spacing w:after="0" w:line="360" w:lineRule="auto"/>
        <w:ind w:firstLine="420" w:firstLineChars="200"/>
        <w:rPr>
          <w:rFonts w:cs="宋体"/>
          <w:color w:val="000000"/>
        </w:rPr>
      </w:pPr>
      <w:r>
        <w:rPr>
          <w:rFonts w:hint="eastAsia" w:cs="宋体"/>
          <w:color w:val="000000"/>
        </w:rPr>
        <w:t>7）本次最高限价设置详见公告附件，最高限价为含税总价，投标人含税总价报价超过最高限价的，视为报价超限，其投标作否决处理。</w:t>
      </w:r>
    </w:p>
    <w:p>
      <w:pPr>
        <w:pStyle w:val="2"/>
        <w:spacing w:after="0" w:line="360" w:lineRule="auto"/>
        <w:ind w:firstLine="420" w:firstLineChars="200"/>
        <w:rPr>
          <w:rFonts w:cs="宋体"/>
          <w:color w:val="000000"/>
        </w:rPr>
      </w:pPr>
      <w:r>
        <w:rPr>
          <w:rFonts w:hint="eastAsia" w:cs="宋体"/>
          <w:color w:val="000000"/>
        </w:rPr>
        <w:t>8)招标文件（包括商务部分和技术部分）与国家法律法规规定不一致的，以国家法律法规规定为准。</w:t>
      </w:r>
    </w:p>
    <w:p>
      <w:pPr>
        <w:pStyle w:val="2"/>
        <w:spacing w:after="0" w:line="360" w:lineRule="auto"/>
        <w:ind w:firstLine="420" w:firstLineChars="200"/>
        <w:rPr>
          <w:rFonts w:cs="宋体"/>
          <w:color w:val="000000"/>
        </w:rPr>
      </w:pPr>
      <w:r>
        <w:rPr>
          <w:rFonts w:hint="eastAsia" w:cs="宋体"/>
          <w:color w:val="000000"/>
        </w:rPr>
        <w:t>9）.履约模式</w:t>
      </w:r>
    </w:p>
    <w:p>
      <w:pPr>
        <w:pStyle w:val="2"/>
        <w:spacing w:after="0" w:line="360" w:lineRule="auto"/>
        <w:ind w:firstLine="420" w:firstLineChars="200"/>
        <w:rPr>
          <w:rFonts w:cs="宋体"/>
          <w:color w:val="000000"/>
        </w:rPr>
      </w:pPr>
      <w:r>
        <w:rPr>
          <w:rFonts w:hint="eastAsia" w:cs="宋体"/>
          <w:color w:val="000000"/>
        </w:rPr>
        <w:t>（一）履约模式(直接请购模式) （适用电商平台项目）</w:t>
      </w:r>
      <w:r>
        <w:rPr>
          <w:rFonts w:cs="宋体"/>
          <w:color w:val="000000"/>
        </w:rPr>
        <w:t xml:space="preserve"> </w:t>
      </w:r>
    </w:p>
    <w:p>
      <w:pPr>
        <w:pStyle w:val="2"/>
        <w:spacing w:after="0" w:line="360" w:lineRule="auto"/>
        <w:ind w:firstLine="420" w:firstLineChars="200"/>
        <w:rPr>
          <w:rFonts w:cs="宋体"/>
          <w:color w:val="000000"/>
        </w:rPr>
      </w:pPr>
      <w:r>
        <w:rPr>
          <w:rFonts w:hint="eastAsia" w:cs="宋体"/>
          <w:color w:val="000000"/>
        </w:rPr>
        <w:t>1.本次中标结果的履约平台为国网智联电商（沈阳）有限公司运营的“国家电网公司省管产业单位交易专区”(以下简称“交易专区”)（http：//j.esgcc.com.cn），供应商中标后应按时在交易专区完成入驻及供货信息上架，并保证上架的供货信息与中标结果完全一致。</w:t>
      </w:r>
    </w:p>
    <w:p>
      <w:pPr>
        <w:pStyle w:val="2"/>
        <w:spacing w:after="0" w:line="360" w:lineRule="auto"/>
        <w:ind w:firstLine="420" w:firstLineChars="200"/>
        <w:rPr>
          <w:rFonts w:cs="宋体"/>
          <w:color w:val="000000"/>
        </w:rPr>
      </w:pPr>
      <w:r>
        <w:rPr>
          <w:rFonts w:hint="eastAsia" w:cs="宋体"/>
          <w:color w:val="000000"/>
        </w:rPr>
        <w:t>2.项目单位在交易专区中，省管产业单位发生招标需求时，在交易专区上依次向中标供应商下单、审批、订单确认。省管产业单位在交易专区向中标供应商下单后，中标供应商需向平台运营方支付平台服务费，支付平台服务费后可查看订单详情，并进行履约。</w:t>
      </w:r>
    </w:p>
    <w:p>
      <w:pPr>
        <w:pStyle w:val="2"/>
        <w:spacing w:after="0" w:line="360" w:lineRule="auto"/>
        <w:ind w:firstLine="420" w:firstLineChars="200"/>
        <w:rPr>
          <w:rFonts w:cs="宋体"/>
          <w:color w:val="000000"/>
        </w:rPr>
      </w:pPr>
      <w:r>
        <w:rPr>
          <w:rFonts w:hint="eastAsia" w:cs="宋体"/>
          <w:color w:val="000000"/>
        </w:rPr>
        <w:t>3.投标人参与本次招标即视为认可与国网智联电商（沈阳）有限公司依据本次中标结果进行的合作行为，中标供应商应与国网智联电商（沈阳）有限公司另行签订平台服务协议并按时支付平台服务费，服务费收取标准为：0.3%。例如：某</w:t>
      </w:r>
      <w:r>
        <w:rPr>
          <w:rFonts w:hint="eastAsia" w:cs="宋体"/>
          <w:color w:val="000000"/>
          <w:lang w:val="en-US" w:eastAsia="zh-CN"/>
        </w:rPr>
        <w:t>服务</w:t>
      </w:r>
      <w:r>
        <w:rPr>
          <w:rFonts w:hint="eastAsia" w:cs="宋体"/>
          <w:color w:val="000000"/>
        </w:rPr>
        <w:t>中标总价为100万元，平台服务费为0.3%，则：</w:t>
      </w:r>
    </w:p>
    <w:p>
      <w:pPr>
        <w:pStyle w:val="2"/>
        <w:spacing w:after="0" w:line="360" w:lineRule="auto"/>
        <w:ind w:firstLine="420" w:firstLineChars="200"/>
        <w:rPr>
          <w:rFonts w:cs="宋体"/>
          <w:color w:val="000000"/>
        </w:rPr>
      </w:pPr>
      <w:r>
        <w:rPr>
          <w:rFonts w:hint="eastAsia" w:cs="宋体"/>
          <w:color w:val="000000"/>
        </w:rPr>
        <w:t>中标供应商向国网智联电商（沈阳）有限公司缴纳平台服务费用为1000000*0.3%=3000元；</w:t>
      </w:r>
    </w:p>
    <w:p>
      <w:pPr>
        <w:pStyle w:val="2"/>
        <w:spacing w:after="0" w:line="360" w:lineRule="auto"/>
        <w:ind w:firstLine="420" w:firstLineChars="200"/>
        <w:rPr>
          <w:rFonts w:cs="宋体"/>
          <w:color w:val="000000"/>
        </w:rPr>
      </w:pPr>
      <w:r>
        <w:rPr>
          <w:rFonts w:hint="eastAsia" w:cs="宋体"/>
          <w:color w:val="000000"/>
        </w:rPr>
        <w:t>国网智联电商（沈阳）有限公司向中标供应商开具符合要求的发票。</w:t>
      </w:r>
    </w:p>
    <w:p>
      <w:pPr>
        <w:pStyle w:val="2"/>
        <w:spacing w:after="0" w:line="360" w:lineRule="auto"/>
        <w:ind w:firstLine="420" w:firstLineChars="200"/>
        <w:rPr>
          <w:rFonts w:cs="宋体"/>
          <w:color w:val="000000"/>
        </w:rPr>
      </w:pPr>
      <w:r>
        <w:rPr>
          <w:rFonts w:hint="eastAsia" w:cs="宋体"/>
          <w:color w:val="000000"/>
        </w:rPr>
        <w:t>（二）履约模式（二次竞价模式）（适用电商平台框架入围项目）</w:t>
      </w:r>
    </w:p>
    <w:p>
      <w:pPr>
        <w:pStyle w:val="2"/>
        <w:spacing w:after="0" w:line="360" w:lineRule="auto"/>
        <w:ind w:firstLine="420" w:firstLineChars="200"/>
        <w:rPr>
          <w:rFonts w:cs="宋体"/>
          <w:color w:val="000000"/>
        </w:rPr>
      </w:pPr>
      <w:r>
        <w:rPr>
          <w:rFonts w:hint="eastAsia" w:cs="宋体"/>
          <w:color w:val="000000"/>
        </w:rPr>
        <w:t>1.本次招标结果的履约平台为国网智联电商（沈阳）有限公司运营的“国家电网公司省管产业单位交易专区”(以下简称“交易专区”)（http：//j.esgcc.com.cn），供应商入围后应按时在交易专区完成供货信息上架，并保证上架的供货信息与招标结果完全一致。</w:t>
      </w:r>
    </w:p>
    <w:p>
      <w:pPr>
        <w:pStyle w:val="2"/>
        <w:spacing w:after="0" w:line="360" w:lineRule="auto"/>
        <w:ind w:firstLine="420" w:firstLineChars="200"/>
        <w:rPr>
          <w:rFonts w:cs="宋体"/>
          <w:color w:val="000000"/>
        </w:rPr>
      </w:pPr>
      <w:r>
        <w:rPr>
          <w:rFonts w:hint="eastAsia" w:cs="宋体"/>
          <w:color w:val="000000"/>
        </w:rPr>
        <w:t>2.项目单位在交易专区中，经平台公司审批后，通过线上邀请报价、机选供应商或公开报价（全选）等流程的可视化方式，具体项目向符合要求的框架入围供应商发起二次竞价。报价时间截止后，系统将对参与二次竞价的供应商的报价进行排名，排名方法有最低价法、平均价下浮法和综合评价法等。二次竞价结果上报平台公司审批同意后，向中选供应商出具《中选通知书》。</w:t>
      </w:r>
    </w:p>
    <w:p>
      <w:pPr>
        <w:pStyle w:val="2"/>
        <w:spacing w:after="0" w:line="360" w:lineRule="auto"/>
        <w:ind w:firstLine="420" w:firstLineChars="200"/>
        <w:rPr>
          <w:rFonts w:cs="宋体"/>
          <w:color w:val="000000"/>
        </w:rPr>
      </w:pPr>
      <w:r>
        <w:rPr>
          <w:rFonts w:hint="eastAsia" w:cs="宋体"/>
          <w:color w:val="000000"/>
        </w:rPr>
        <w:t>3.投标人参与本次招标即视为认可招标结果履约平台为交易专区。投标人同意在入围后与国网智联电商（沈阳）有限公司另行签订平台服务协议，同意在经二次竞价中选后，按时向国网电商科技有限公司支付平台服务费。服务费收取标准为：0.3%</w:t>
      </w:r>
    </w:p>
    <w:p>
      <w:pPr>
        <w:pStyle w:val="2"/>
        <w:spacing w:after="0" w:line="360" w:lineRule="auto"/>
        <w:ind w:firstLine="420" w:firstLineChars="200"/>
        <w:rPr>
          <w:rFonts w:cs="宋体"/>
          <w:color w:val="000000"/>
        </w:rPr>
      </w:pPr>
      <w:r>
        <w:rPr>
          <w:rFonts w:hint="eastAsia" w:cs="宋体"/>
          <w:color w:val="000000"/>
        </w:rPr>
        <w:t>例如：某</w:t>
      </w:r>
      <w:r>
        <w:rPr>
          <w:rFonts w:hint="eastAsia" w:cs="宋体"/>
          <w:color w:val="000000"/>
          <w:lang w:val="en-US" w:eastAsia="zh-CN"/>
        </w:rPr>
        <w:t>服务</w:t>
      </w:r>
      <w:r>
        <w:rPr>
          <w:rFonts w:hint="eastAsia" w:cs="宋体"/>
          <w:color w:val="000000"/>
        </w:rPr>
        <w:t>二次竞价中选总价为100万元，平台服务费为：0.3%，则：</w:t>
      </w:r>
    </w:p>
    <w:p>
      <w:pPr>
        <w:pStyle w:val="2"/>
        <w:spacing w:after="0" w:line="360" w:lineRule="auto"/>
        <w:ind w:firstLine="420" w:firstLineChars="200"/>
        <w:rPr>
          <w:rFonts w:cs="宋体"/>
          <w:color w:val="000000"/>
        </w:rPr>
      </w:pPr>
      <w:r>
        <w:rPr>
          <w:rFonts w:hint="eastAsia" w:cs="宋体"/>
          <w:color w:val="000000"/>
        </w:rPr>
        <w:t>中选供应商向国网智联电商（沈阳）有限公司缴纳平台服务费用为1000000*0.3%=3000元；</w:t>
      </w:r>
    </w:p>
    <w:p>
      <w:pPr>
        <w:pStyle w:val="2"/>
        <w:spacing w:after="0" w:line="360" w:lineRule="auto"/>
        <w:ind w:firstLine="420" w:firstLineChars="200"/>
        <w:rPr>
          <w:rFonts w:cs="宋体"/>
          <w:color w:val="000000"/>
        </w:rPr>
      </w:pPr>
      <w:r>
        <w:rPr>
          <w:rFonts w:hint="eastAsia" w:cs="宋体"/>
          <w:color w:val="000000"/>
        </w:rPr>
        <w:t>国网智联电商（沈阳）有限公司向中选供应商开具符合要求的发票。</w:t>
      </w:r>
    </w:p>
    <w:p>
      <w:pPr>
        <w:pStyle w:val="13"/>
        <w:spacing w:after="0" w:line="360" w:lineRule="auto"/>
        <w:ind w:firstLine="422" w:firstLineChars="200"/>
        <w:rPr>
          <w:rFonts w:ascii="宋体" w:hAnsi="宋体" w:cs="宋体"/>
          <w:b/>
          <w:bCs/>
          <w:color w:val="0000FF"/>
          <w:sz w:val="21"/>
        </w:rPr>
      </w:pPr>
    </w:p>
    <w:p>
      <w:pPr>
        <w:pStyle w:val="13"/>
        <w:spacing w:after="0" w:line="360" w:lineRule="auto"/>
        <w:ind w:firstLine="422" w:firstLineChars="200"/>
        <w:jc w:val="right"/>
        <w:rPr>
          <w:rFonts w:ascii="宋体" w:hAnsi="宋体" w:cs="宋体"/>
          <w:b/>
        </w:rPr>
      </w:pPr>
      <w:r>
        <w:rPr>
          <w:rFonts w:hint="eastAsia" w:ascii="宋体" w:hAnsi="宋体" w:cs="宋体"/>
          <w:b/>
          <w:bCs/>
          <w:color w:val="0000FF"/>
          <w:sz w:val="21"/>
        </w:rPr>
        <w:t>2025年</w:t>
      </w:r>
      <w:r>
        <w:rPr>
          <w:rFonts w:hint="eastAsia" w:ascii="宋体" w:hAnsi="宋体" w:cs="宋体"/>
          <w:b/>
          <w:bCs/>
          <w:color w:val="0000FF"/>
          <w:sz w:val="21"/>
          <w:lang w:val="en-US" w:eastAsia="zh-CN"/>
        </w:rPr>
        <w:t>6</w:t>
      </w:r>
      <w:r>
        <w:rPr>
          <w:rFonts w:hint="eastAsia" w:ascii="宋体" w:hAnsi="宋体" w:cs="宋体"/>
          <w:b/>
          <w:bCs/>
          <w:color w:val="0000FF"/>
          <w:sz w:val="21"/>
        </w:rPr>
        <w:t>月1</w:t>
      </w:r>
      <w:r>
        <w:rPr>
          <w:rFonts w:hint="eastAsia" w:ascii="宋体" w:hAnsi="宋体" w:cs="宋体"/>
          <w:b/>
          <w:bCs/>
          <w:color w:val="0000FF"/>
          <w:sz w:val="21"/>
          <w:lang w:val="en-US" w:eastAsia="zh-CN"/>
        </w:rPr>
        <w:t>8</w:t>
      </w:r>
      <w:r>
        <w:rPr>
          <w:rFonts w:hint="eastAsia" w:ascii="宋体" w:hAnsi="宋体" w:cs="宋体"/>
          <w:b/>
          <w:bCs/>
          <w:color w:val="0000FF"/>
          <w:sz w:val="21"/>
        </w:rPr>
        <w:t>日</w:t>
      </w:r>
    </w:p>
    <w:p>
      <w:pPr>
        <w:pStyle w:val="13"/>
        <w:spacing w:after="0" w:line="360" w:lineRule="auto"/>
        <w:ind w:firstLine="422" w:firstLineChars="200"/>
        <w:jc w:val="right"/>
        <w:rPr>
          <w:rFonts w:ascii="宋体" w:hAnsi="宋体" w:cs="宋体"/>
          <w:b/>
          <w:bCs/>
          <w:color w:val="0000FF"/>
          <w:sz w:val="21"/>
        </w:rPr>
        <w:sectPr>
          <w:footerReference r:id="rId3" w:type="default"/>
          <w:pgSz w:w="11907" w:h="16840"/>
          <w:pgMar w:top="1134" w:right="1803" w:bottom="1134" w:left="1803" w:header="720" w:footer="720" w:gutter="0"/>
          <w:cols w:space="720" w:num="1"/>
          <w:docGrid w:linePitch="286" w:charSpace="0"/>
        </w:sectPr>
      </w:pPr>
    </w:p>
    <w:p>
      <w:pPr>
        <w:rPr>
          <w:rFonts w:ascii="黑体" w:hAnsi="Times New Roman" w:eastAsia="黑体"/>
          <w:b/>
          <w:sz w:val="24"/>
          <w:szCs w:val="24"/>
        </w:rPr>
      </w:pPr>
      <w:r>
        <w:rPr>
          <w:rFonts w:hint="eastAsia" w:ascii="黑体" w:hAnsi="Times New Roman" w:eastAsia="黑体"/>
          <w:b/>
          <w:sz w:val="24"/>
          <w:szCs w:val="24"/>
        </w:rPr>
        <w:t>招标公告附件</w:t>
      </w:r>
    </w:p>
    <w:p>
      <w:pPr>
        <w:pStyle w:val="7"/>
      </w:pPr>
    </w:p>
    <w:tbl>
      <w:tblPr>
        <w:tblStyle w:val="15"/>
        <w:tblW w:w="15440" w:type="dxa"/>
        <w:tblInd w:w="550" w:type="dxa"/>
        <w:tblLayout w:type="fixed"/>
        <w:tblCellMar>
          <w:top w:w="0" w:type="dxa"/>
          <w:left w:w="108" w:type="dxa"/>
          <w:bottom w:w="0" w:type="dxa"/>
          <w:right w:w="108" w:type="dxa"/>
        </w:tblCellMar>
      </w:tblPr>
      <w:tblGrid>
        <w:gridCol w:w="14785"/>
        <w:gridCol w:w="415"/>
        <w:gridCol w:w="240"/>
      </w:tblGrid>
      <w:tr>
        <w:tblPrEx>
          <w:tblLayout w:type="fixed"/>
          <w:tblCellMar>
            <w:top w:w="0" w:type="dxa"/>
            <w:left w:w="108" w:type="dxa"/>
            <w:bottom w:w="0" w:type="dxa"/>
            <w:right w:w="108" w:type="dxa"/>
          </w:tblCellMar>
        </w:tblPrEx>
        <w:trPr>
          <w:trHeight w:val="251" w:hRule="atLeast"/>
        </w:trPr>
        <w:tc>
          <w:tcPr>
            <w:tcW w:w="14785" w:type="dxa"/>
            <w:tcBorders>
              <w:top w:val="nil"/>
              <w:left w:val="nil"/>
              <w:bottom w:val="nil"/>
              <w:right w:val="nil"/>
            </w:tcBorders>
            <w:shd w:val="clear" w:color="auto" w:fill="auto"/>
            <w:noWrap/>
            <w:vAlign w:val="center"/>
          </w:tcPr>
          <w:p>
            <w:pPr>
              <w:widowControl/>
              <w:jc w:val="left"/>
              <w:textAlignment w:val="center"/>
              <w:rPr>
                <w:rFonts w:ascii="宋体" w:hAnsi="宋体" w:cs="宋体"/>
                <w:color w:val="000000"/>
                <w:sz w:val="22"/>
              </w:rPr>
            </w:pPr>
            <w:r>
              <w:rPr>
                <w:rFonts w:hint="eastAsia" w:ascii="宋体" w:hAnsi="宋体" w:cs="宋体"/>
                <w:color w:val="000000"/>
                <w:kern w:val="0"/>
                <w:sz w:val="22"/>
                <w:lang w:bidi="ar"/>
              </w:rPr>
              <w:t>附件1：</w:t>
            </w:r>
          </w:p>
        </w:tc>
        <w:tc>
          <w:tcPr>
            <w:tcW w:w="415" w:type="dxa"/>
            <w:tcBorders>
              <w:top w:val="nil"/>
              <w:left w:val="nil"/>
              <w:bottom w:val="nil"/>
              <w:right w:val="nil"/>
            </w:tcBorders>
            <w:shd w:val="clear" w:color="auto" w:fill="auto"/>
            <w:noWrap/>
            <w:vAlign w:val="center"/>
          </w:tcPr>
          <w:p>
            <w:pPr>
              <w:rPr>
                <w:rFonts w:ascii="宋体" w:hAnsi="宋体" w:cs="宋体"/>
                <w:color w:val="000000"/>
                <w:sz w:val="18"/>
                <w:szCs w:val="18"/>
              </w:rPr>
            </w:pPr>
          </w:p>
        </w:tc>
        <w:tc>
          <w:tcPr>
            <w:tcW w:w="240" w:type="dxa"/>
            <w:tcBorders>
              <w:top w:val="nil"/>
              <w:left w:val="nil"/>
              <w:bottom w:val="nil"/>
              <w:right w:val="nil"/>
            </w:tcBorders>
            <w:shd w:val="clear" w:color="auto" w:fill="auto"/>
            <w:noWrap/>
            <w:vAlign w:val="center"/>
          </w:tcPr>
          <w:p>
            <w:pPr>
              <w:rPr>
                <w:rFonts w:ascii="宋体" w:hAnsi="宋体" w:cs="宋体"/>
                <w:color w:val="000000"/>
                <w:sz w:val="18"/>
                <w:szCs w:val="18"/>
              </w:rPr>
            </w:pPr>
          </w:p>
        </w:tc>
      </w:tr>
    </w:tbl>
    <w:p>
      <w:pPr>
        <w:jc w:val="center"/>
        <w:rPr>
          <w:rFonts w:hint="eastAsia" w:ascii="宋体" w:hAnsi="宋体" w:cs="宋体"/>
          <w:b/>
          <w:bCs/>
          <w:color w:val="000000"/>
          <w:kern w:val="0"/>
          <w:sz w:val="24"/>
          <w:szCs w:val="24"/>
          <w:lang w:bidi="ar"/>
        </w:rPr>
      </w:pPr>
      <w:r>
        <w:rPr>
          <w:rFonts w:hint="eastAsia" w:ascii="宋体" w:hAnsi="宋体" w:cs="宋体"/>
          <w:b/>
          <w:bCs/>
          <w:color w:val="000000"/>
          <w:kern w:val="0"/>
          <w:sz w:val="24"/>
          <w:szCs w:val="24"/>
          <w:lang w:bidi="ar"/>
        </w:rPr>
        <w:t>国网辽宁电力2025年原集体企业、子公司及战新产业第二次服务区域（沈阳）联合授权公开招标框架采购招标需求一览表</w:t>
      </w:r>
    </w:p>
    <w:tbl>
      <w:tblPr>
        <w:tblStyle w:val="15"/>
        <w:tblW w:w="16095" w:type="dxa"/>
        <w:tblInd w:w="-4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60"/>
        <w:gridCol w:w="675"/>
        <w:gridCol w:w="360"/>
        <w:gridCol w:w="1080"/>
        <w:gridCol w:w="1275"/>
        <w:gridCol w:w="510"/>
        <w:gridCol w:w="1245"/>
        <w:gridCol w:w="570"/>
        <w:gridCol w:w="540"/>
        <w:gridCol w:w="465"/>
        <w:gridCol w:w="555"/>
        <w:gridCol w:w="390"/>
        <w:gridCol w:w="510"/>
        <w:gridCol w:w="585"/>
        <w:gridCol w:w="1125"/>
        <w:gridCol w:w="1305"/>
        <w:gridCol w:w="570"/>
        <w:gridCol w:w="480"/>
        <w:gridCol w:w="1380"/>
        <w:gridCol w:w="435"/>
        <w:gridCol w:w="465"/>
        <w:gridCol w:w="300"/>
        <w:gridCol w:w="360"/>
        <w:gridCol w:w="2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lang w:val="en-US" w:eastAsia="zh-CN"/>
              </w:rPr>
              <w:t>分标编号</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lang w:val="en-US" w:eastAsia="zh-CN"/>
              </w:rPr>
              <w:t>分标名称</w:t>
            </w:r>
          </w:p>
        </w:tc>
        <w:tc>
          <w:tcPr>
            <w:tcW w:w="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lang w:val="en-US" w:eastAsia="zh-CN"/>
              </w:rPr>
              <w:t>包号</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lang w:val="en-US" w:eastAsia="zh-CN"/>
              </w:rPr>
              <w:t>包名</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lang w:val="en-US" w:eastAsia="zh-CN"/>
              </w:rPr>
              <w:t>工程名称</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lang w:val="en-US" w:eastAsia="zh-CN"/>
              </w:rPr>
              <w:t>物料编码</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lang w:val="en-US" w:eastAsia="zh-CN"/>
              </w:rPr>
              <w:t>工程规模</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lang w:val="en-US" w:eastAsia="zh-CN"/>
              </w:rPr>
              <w:t>开工日期</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lang w:val="en-US" w:eastAsia="zh-CN"/>
              </w:rPr>
              <w:t>完工日期</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lang w:val="en-US" w:eastAsia="zh-CN"/>
              </w:rPr>
              <w:t>分项估算金额（元）</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lang w:val="en-US" w:eastAsia="zh-CN"/>
              </w:rPr>
              <w:t>包估算金额（元）</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lang w:val="en-US" w:eastAsia="zh-CN"/>
              </w:rPr>
              <w:t>最高限价</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lang w:val="en-US" w:eastAsia="zh-CN"/>
              </w:rPr>
              <w:t>合同签订单位</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lang w:val="en-US" w:eastAsia="zh-CN"/>
              </w:rPr>
              <w:t>项目需求单位</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lang w:val="en-US" w:eastAsia="zh-CN"/>
              </w:rPr>
              <w:t>资质要求</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lang w:val="en-US" w:eastAsia="zh-CN"/>
              </w:rPr>
              <w:t>业绩要求</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lang w:val="en-US" w:eastAsia="zh-CN"/>
              </w:rPr>
              <w:t>人员要求</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lang w:val="en-US" w:eastAsia="zh-CN"/>
              </w:rPr>
              <w:t>其他要求</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lang w:val="en-US" w:eastAsia="zh-CN"/>
              </w:rPr>
              <w:t>合同备注</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lang w:val="en-US" w:eastAsia="zh-CN"/>
              </w:rPr>
              <w:t>入围家数</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lang w:val="en-US" w:eastAsia="zh-CN"/>
              </w:rPr>
              <w:t>权重比例</w:t>
            </w:r>
            <w:r>
              <w:rPr>
                <w:rFonts w:hint="eastAsia" w:asciiTheme="minorEastAsia" w:hAnsiTheme="minorEastAsia" w:eastAsiaTheme="minorEastAsia" w:cstheme="minorEastAsia"/>
                <w:b/>
                <w:bCs/>
                <w:sz w:val="20"/>
                <w:szCs w:val="20"/>
                <w:lang w:val="en-US" w:eastAsia="zh-CN"/>
              </w:rPr>
              <w:br w:type="textWrapping"/>
            </w:r>
            <w:r>
              <w:rPr>
                <w:rFonts w:hint="eastAsia" w:asciiTheme="minorEastAsia" w:hAnsiTheme="minorEastAsia" w:eastAsiaTheme="minorEastAsia" w:cstheme="minorEastAsia"/>
                <w:b/>
                <w:bCs/>
                <w:sz w:val="20"/>
                <w:szCs w:val="20"/>
                <w:lang w:val="en-US" w:eastAsia="zh-CN"/>
              </w:rPr>
              <w:t>（技：商：价）</w:t>
            </w: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lang w:val="en-US" w:eastAsia="zh-CN"/>
              </w:rPr>
              <w:t>是否限制中标</w:t>
            </w:r>
          </w:p>
        </w:tc>
        <w:tc>
          <w:tcPr>
            <w:tcW w:w="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lang w:val="en-US" w:eastAsia="zh-CN"/>
              </w:rPr>
              <w:t>报价方式</w:t>
            </w:r>
          </w:p>
        </w:tc>
        <w:tc>
          <w:tcPr>
            <w:tcW w:w="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是否走电商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6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CYLN25SSYF09K-01</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房屋安全检测</w:t>
            </w:r>
          </w:p>
        </w:tc>
        <w:tc>
          <w:tcPr>
            <w:tcW w:w="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沈阳电能建设集团有限公司办公楼宇维修改造工程可研设计一体化框架（结构安全性鉴定检测）</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沈阳电能建设集团有限公司2025年办公楼消防设备维修改造工程 可研设计一体化（结构安全鉴定检测）采购框架</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300013468</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沈阳电能建设集团有限公司2025年办公楼消防设备维修改造工程 可研设计一体化（结构安全鉴定检测）采购框架</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2025-08-15</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2025-09-30</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150000</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150000</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100%</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具有市场监督管理部门颁发的检验检测机构资质证书（CMA）。</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近5年，投标人具有结构鉴定专业工程检测业绩不少于1项。</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1、折扣报价</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2、定商、定价、不定量</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3、签订框架协议，协议期间不承诺最低执行金额。</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50：10：40</w:t>
            </w: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否</w:t>
            </w:r>
          </w:p>
        </w:tc>
        <w:tc>
          <w:tcPr>
            <w:tcW w:w="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折扣比例</w:t>
            </w:r>
          </w:p>
        </w:tc>
        <w:tc>
          <w:tcPr>
            <w:tcW w:w="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60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CYLN25SSYF09K-02</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房屋大修勘察设计</w:t>
            </w:r>
          </w:p>
        </w:tc>
        <w:tc>
          <w:tcPr>
            <w:tcW w:w="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沈阳电能建设集团有限公司2025年办公楼消防设备维修改造工程 可研设计一体化（设计）采购框架</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沈阳电能建设集团有限公司2025年办公楼消防设备维修改造工程 可研设计一体化（设计）采购框架</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300010562</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沈阳电能建设集团有限公司2025年办公楼消防设备维修改造工程 可研设计一体化（设计）采购框架</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2025-08-15</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2025-09-30</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129000</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129000</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100%</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（1）具有建设行政主管部门核发的工程设计综合资质，或建筑工程设计行业乙级及以上资质，或建筑工程设计专业乙级及以上资质；</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（2）具有建设行政主管部门核发的工程勘察综合甲级或工程勘察专业丙级（含岩土工程和工程测量专业）及以上资质。</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近5年内投标人具有消防工程可行性研究和设计业绩不少于1项。(如无可研，则不要求可行性研究业绩）</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项目负责人：具有注册建筑师或注册结构工程师资格</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1、折扣报价</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2、定商、定价、不定量</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3、签订框架协议，协议期间不承诺最低执行金额。</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50：10：40</w:t>
            </w: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否</w:t>
            </w:r>
          </w:p>
        </w:tc>
        <w:tc>
          <w:tcPr>
            <w:tcW w:w="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折扣比例</w:t>
            </w:r>
          </w:p>
        </w:tc>
        <w:tc>
          <w:tcPr>
            <w:tcW w:w="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440" w:hRule="atLeast"/>
        </w:trPr>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CYLN25SSYF09K-03</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劳务外包</w:t>
            </w:r>
          </w:p>
        </w:tc>
        <w:tc>
          <w:tcPr>
            <w:tcW w:w="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沈阳电能建设集团有限公司联发设计分公司2025年度工程施工辅助业务外包服务框架1</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沈阳电能建设集团有限公司联发设计分公司2025年度工程施工辅助业务外包服务框架1</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300013743</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沈阳电能建设集团有限公司联发设计分公司2025年度工程施工辅助业务外包服务框架1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2025-08-15</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2025-12-31</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1650000</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1650000</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100%</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沈阳电能建设集团有限公司联发设计分公司</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沈阳电能建设集团有限公司联发设计分公司</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具有人力资源和社会保障厅核实批准颁发的有效《劳务派遣经营许可证》</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近5年，投标人具有劳务派遣服务业绩。</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1、折扣报价</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2、定商、定价、不定量</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3、签订框架协议，协议期间不承诺最低执行金额。</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4、合同金额累计达到该协议限额的120%，则有效期提前终止。若协议有效期内未达到80%，延长三个月，延长后仍未达到，协议终止。</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60：10：30</w:t>
            </w: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否</w:t>
            </w:r>
          </w:p>
        </w:tc>
        <w:tc>
          <w:tcPr>
            <w:tcW w:w="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折扣比例</w:t>
            </w:r>
          </w:p>
        </w:tc>
        <w:tc>
          <w:tcPr>
            <w:tcW w:w="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4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p>
        </w:tc>
        <w:tc>
          <w:tcPr>
            <w:tcW w:w="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沈阳电能建设集团有限公司联发设计分公司2025年度工程施工辅助业务外包服务框架2</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沈阳电能建设集团有限公司联发设计分公司2025年度工程施工辅助业务外包服务框架2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300013743</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沈阳电能建设集团有限公司联发设计分公司2025年度工程施工辅助业务外包服务框架2</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2025-08-15</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2025-12-31</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3850000</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3850000</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100%</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沈阳电能建设集团有限公司联发设计分公司</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沈阳电能建设集团有限公司联发设计分公司</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具有人力资源和社会保障厅核实批准颁发的有效《劳务派遣经营许可证》</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近5年，投标人具有劳务派遣服务业绩。</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1、折扣报价</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2、定商、定价、不定量</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3、签订框架协议，协议期间不承诺最低执行金额。</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4、合同金额累计达到该协议限额的120%，则有效期提前终止。若协议有效期内未达到80%，延长三个月，延长后仍未达到，协议终止。</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60：10：30</w:t>
            </w: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否</w:t>
            </w:r>
          </w:p>
        </w:tc>
        <w:tc>
          <w:tcPr>
            <w:tcW w:w="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折扣比例</w:t>
            </w:r>
          </w:p>
        </w:tc>
        <w:tc>
          <w:tcPr>
            <w:tcW w:w="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930" w:hRule="atLeast"/>
        </w:trPr>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CYLN25SSYF09K-04</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审计服务</w:t>
            </w:r>
          </w:p>
        </w:tc>
        <w:tc>
          <w:tcPr>
            <w:tcW w:w="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沈阳电能建设集团有限公司2025年审计、咨询、财务支持等服务框架</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沈阳电能建设集团有限公司2025年审计、咨询、财务支持等服务框架</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300013473</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沈阳电能建设集团有限公司2025年审计、咨询、财务支持等服务框架</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2025-08-15</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2025-12-31</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3500000</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3500000</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100%</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具有国家行业主管部门颁发的有效会计师事务所执业证书；至本次招标审计服务末年，投标人应符合财政部、国资委关于印发《国有企业、上市公司选聘会计师事务所管理办法》的通知（财会〔2023〕4号）相关规定，即为招标人连续服务年限不超8年。</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近5年，投标人具有审计服务业绩。至本次招标审计服务末年，审计项目合伙人、签字注册会计师应符合财政部、国资委关于印发《国有企业、上市公司选聘会计师事务所管理办法》的通知（财会〔2023〕4号）相关规定，即为招标人连续服务年限不超5年。在不同会计师事务所为招标人提供审计服务的或在招标人重大资产重组、子公司分拆上市前后提供审计服务的，期限应当合并计算。</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项目负责人：具有注册会计师执业资格证书</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1、折扣报价</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2、定商、定价、不定量</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3、签订框架协议，协议期间不承诺最低执行金额。</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4、合同金额累计达到该协议限额的120%，则有效期提前终止。若协议有效期内未达到80%，延长三个月，延长后仍未达到，协议终止。</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75：10：15</w:t>
            </w: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否</w:t>
            </w:r>
          </w:p>
        </w:tc>
        <w:tc>
          <w:tcPr>
            <w:tcW w:w="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折扣比例</w:t>
            </w:r>
          </w:p>
        </w:tc>
        <w:tc>
          <w:tcPr>
            <w:tcW w:w="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505"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p>
        </w:tc>
        <w:tc>
          <w:tcPr>
            <w:tcW w:w="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沈阳电业电气安装有限公司本部2025年-2026年审计服务框架</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沈阳电业电气安装有限公司本部2025年-2026年审计服务框架</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300013473</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沈阳电业电气安装有限公司本部2025年-2026年审计服务框架</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2025-08-15</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2025-12-31</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1000000</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1000000</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100%</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val="en-US" w:eastAsia="zh-CN"/>
              </w:rPr>
              <w:t>沈阳电业电气安装有限公司</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val="en-US" w:eastAsia="zh-CN"/>
              </w:rPr>
              <w:t>沈阳电业电气安装有限公司</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具有国家行业主管部门颁发的有效会计师事务所执业证书；至本次招标审计服务末年，投标人应符合财政部、国资委关于印发《国有企业、上市公司选聘会计师事务所管理办法》的通知（财会〔2023〕4号）相关规定，即为招标人连续服务年限不超8年。</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近5年，投标人具有审计服务业绩。至本次招标审计服务末年，审计项目合伙人、签字注册会计师应符合财政部、国资委关于印发《国有企业、上市公司选聘会计师事务所管理办法》的通知（财会〔2023〕4号）相关规定，即为招标人连续服务年限不超5年。在不同会计师事务所为招标人提供审计服务的或在招标人重大资产重组、子公司分拆上市前后提供审计服务的，期限应当合并计算。</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项目负责人：具有注册会计师执业资格证书</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1、折扣报价</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2、定商、定价、不定量</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3、签订框架协议，协议期间不承诺最低执行金额。</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75：10：15</w:t>
            </w: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否</w:t>
            </w:r>
          </w:p>
        </w:tc>
        <w:tc>
          <w:tcPr>
            <w:tcW w:w="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折扣比例</w:t>
            </w:r>
          </w:p>
        </w:tc>
        <w:tc>
          <w:tcPr>
            <w:tcW w:w="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20" w:hRule="atLeast"/>
        </w:trPr>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CYLN25SSYF09K-05</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租赁服务</w:t>
            </w:r>
          </w:p>
        </w:tc>
        <w:tc>
          <w:tcPr>
            <w:tcW w:w="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沈阳电能建设集团有限公司2025年度发电设备租赁服务框架</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沈阳电能建设集团有限公司2025年度发电设备租赁服务框架</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300013487</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沈阳电能建设集团有限公司2025年度发电设备租赁服务框架</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2025-08-15</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2025-12-31</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5000000</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5000000</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100%</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highlight w:val="yellow"/>
              </w:rPr>
            </w:pPr>
            <w:r>
              <w:rPr>
                <w:rFonts w:hint="eastAsia" w:asciiTheme="minorEastAsia" w:hAnsiTheme="minorEastAsia" w:eastAsiaTheme="minorEastAsia" w:cstheme="minorEastAsia"/>
                <w:sz w:val="20"/>
                <w:szCs w:val="20"/>
                <w:lang w:val="en-US" w:eastAsia="zh-CN"/>
              </w:rPr>
              <w:t>沈阳电能建设集团有限公司和平能源服务分公司</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近5年，投标人具有设备租赁服务业绩。</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1、折扣报价</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2、定商、定价、不定量</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3、签订框架协议，协议期间不承诺最低执行金额。</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50：10：40</w:t>
            </w:r>
          </w:p>
        </w:tc>
        <w:tc>
          <w:tcPr>
            <w:tcW w:w="3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是</w:t>
            </w:r>
          </w:p>
        </w:tc>
        <w:tc>
          <w:tcPr>
            <w:tcW w:w="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折扣比例</w:t>
            </w:r>
          </w:p>
        </w:tc>
        <w:tc>
          <w:tcPr>
            <w:tcW w:w="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2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bookmarkStart w:id="42" w:name="_GoBack" w:colFirst="12" w:colLast="12"/>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p>
        </w:tc>
        <w:tc>
          <w:tcPr>
            <w:tcW w:w="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沈阳电能建设集团有限公司2025年度发电设备租赁服务框架（二）</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沈阳电能建设集团有限公司2025年度发电设备租赁服务框架（二）</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300013487</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沈阳电能建设集团有限公司2025年度发电设备租赁服务框架（二）</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2025-08-15</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2025-12-31</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5000000</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5000000</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100%</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highlight w:val="yellow"/>
              </w:rPr>
            </w:pPr>
            <w:r>
              <w:rPr>
                <w:rFonts w:hint="eastAsia" w:asciiTheme="minorEastAsia" w:hAnsiTheme="minorEastAsia" w:eastAsiaTheme="minorEastAsia" w:cstheme="minorEastAsia"/>
                <w:sz w:val="20"/>
                <w:szCs w:val="20"/>
                <w:lang w:val="en-US" w:eastAsia="zh-CN"/>
              </w:rPr>
              <w:t>沈阳电能建设集团有限公司和平能源服务分公司</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近5年，投标人具有设备租赁服务业绩。</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1、折扣报价</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2、定商、定价、不定量</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3、签订框架协议，协议期间不承诺最低执行金额。</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50：10：40</w:t>
            </w: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p>
        </w:tc>
        <w:tc>
          <w:tcPr>
            <w:tcW w:w="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折扣比例</w:t>
            </w:r>
          </w:p>
        </w:tc>
        <w:tc>
          <w:tcPr>
            <w:tcW w:w="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2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p>
        </w:tc>
        <w:tc>
          <w:tcPr>
            <w:tcW w:w="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沈阳电能建设集团有限公司2025年度发电设备租赁服务框架（三）</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沈阳电能建设集团有限公司2025年度发电设备租赁服务框架（三）</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300013487</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沈阳电能建设集团有限公司2025年度发电设备租赁服务框架（三）</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2025-08-15</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2025-12-31</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5000000</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5000000</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100%</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highlight w:val="yellow"/>
              </w:rPr>
            </w:pPr>
            <w:r>
              <w:rPr>
                <w:rFonts w:hint="eastAsia" w:asciiTheme="minorEastAsia" w:hAnsiTheme="minorEastAsia" w:eastAsiaTheme="minorEastAsia" w:cstheme="minorEastAsia"/>
                <w:sz w:val="20"/>
                <w:szCs w:val="20"/>
                <w:lang w:val="en-US" w:eastAsia="zh-CN"/>
              </w:rPr>
              <w:t>沈阳电能建设集团有限公司和平能源服务分公司</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近5年，投标人具有设备租赁服务业绩。</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1、折扣报价</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2、定商、定价、不定量</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3、签订框架协议，协议期间不承诺最低执行金额。</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50：10：40</w:t>
            </w: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p>
        </w:tc>
        <w:tc>
          <w:tcPr>
            <w:tcW w:w="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折扣比例</w:t>
            </w:r>
          </w:p>
        </w:tc>
        <w:tc>
          <w:tcPr>
            <w:tcW w:w="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是</w:t>
            </w:r>
          </w:p>
        </w:tc>
      </w:tr>
      <w:bookmarkEnd w:id="42"/>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440" w:hRule="atLeast"/>
        </w:trPr>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CYLN25SSYF09K-06</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劳务分包</w:t>
            </w:r>
          </w:p>
        </w:tc>
        <w:tc>
          <w:tcPr>
            <w:tcW w:w="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沈阳电能建设集团有限公司后勤管理服务分公司2025年非生产性房屋大修（技改）、零修工程劳务服务框架1</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沈阳电能建设集团有限公司后勤管理服务分公司2025年非生产性房屋大修（技改）、零修工程劳务服务框架1</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300014447</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沈阳电能建设集团有限公司后勤管理服务分公司2025年非生产性房屋大修（技改）、零修工程劳务服务框架1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2025-08-15</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2025-12-31</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1000000</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1000000</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100%</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沈阳电能建设集团有限公司后勤服务管理分公司</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沈阳电能建设集团有限公司后勤服务管理分公司</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（1）具有有效的安全生产许可证；（2）具有建设行政主管部门核发的施工劳务企业资质。</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近5年，投标人具有劳务业绩不少于1项。</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1、折扣报价</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2、定商、定价、不定量</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3、签订框架协议，协议期间不承诺最低执行金额。</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4、合同金额累计达到该协议限额的120%，则有效期提前终止。若协议有效期内未达到80%，延长三个月，延长后仍未达到，协议终止。</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30：10：60</w:t>
            </w:r>
          </w:p>
        </w:tc>
        <w:tc>
          <w:tcPr>
            <w:tcW w:w="3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是</w:t>
            </w:r>
          </w:p>
        </w:tc>
        <w:tc>
          <w:tcPr>
            <w:tcW w:w="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折扣比例</w:t>
            </w:r>
          </w:p>
        </w:tc>
        <w:tc>
          <w:tcPr>
            <w:tcW w:w="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4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p>
        </w:tc>
        <w:tc>
          <w:tcPr>
            <w:tcW w:w="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沈阳电能建设集团有限公司后勤管理服务分公司2025年非生产性房屋大修（技改）、零修工程劳务服务框架2</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沈阳电能建设集团有限公司后勤管理服务分公司2025年非生产性房屋大修（技改）、零修工程劳务服务框架2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300014447</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沈阳电能建设集团有限公司后勤管理服务分公司2025年非生产性房屋大修（技改）、零修工程劳务服务框架2</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2025-08-15</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2025-12-31</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1000000</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1000000</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100%</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沈阳电能建设集团有限公司后勤服务管理分公司</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沈阳电能建设集团有限公司后勤服务管理分公司</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（1）具有有效的安全生产许可证；（2）具有建设行政主管部门核发的施工劳务企业资质。</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近5年，投标人具有劳务业绩不少于1项。</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1、折扣报价</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2、定商、定价、不定量</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3、签订框架协议，协议期间不承诺最低执行金额。</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4、合同金额累计达到该协议限额的120%，则有效期提前终止。若协议有效期内未达到80%，延长三个月，延长后仍未达到，协议终止。</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30：10：60</w:t>
            </w: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p>
        </w:tc>
        <w:tc>
          <w:tcPr>
            <w:tcW w:w="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折扣比例</w:t>
            </w:r>
          </w:p>
        </w:tc>
        <w:tc>
          <w:tcPr>
            <w:tcW w:w="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4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p>
        </w:tc>
        <w:tc>
          <w:tcPr>
            <w:tcW w:w="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沈阳电能建设集团有限公司后勤管理服务分公司2025年非生产性房屋大修（技改）、零修工程劳务服务框架3</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沈阳电能建设集团有限公司后勤管理服务分公司2025年非生产性房屋大修（技改）、零修工程劳务服务框架3</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300014447</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沈阳电能建设集团有限公司后勤管理服务分公司2025年非生产性房屋大修（技改）、零修工程劳务服务框架3</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2025-08-15</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2025-12-31</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1000000</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1000000</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100%</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沈阳电能建设集团有限公司后勤服务管理分公司</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沈阳电能建设集团有限公司后勤服务管理分公司</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（1）具有有效的安全生产许可证；（2）具有建设行政主管部门核发的施工劳务企业资质。</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近5年，投标人具有劳务业绩不少于1项。</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1、折扣报价</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2、定商、定价、不定量</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3、签订框架协议，协议期间不承诺最低执行金额。</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4、合同金额累计达到该协议限额的120%，则有效期提前终止。若协议有效期内未达到80%，延长三个月，延长后仍未达到，协议终止。</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30：10：60</w:t>
            </w: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p>
        </w:tc>
        <w:tc>
          <w:tcPr>
            <w:tcW w:w="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折扣比例</w:t>
            </w:r>
          </w:p>
        </w:tc>
        <w:tc>
          <w:tcPr>
            <w:tcW w:w="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4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p>
        </w:tc>
        <w:tc>
          <w:tcPr>
            <w:tcW w:w="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沈阳电能建设集团有限公司后勤管理服务分公司2025年非生产性房屋大修（技改）、零修工程劳务服务框架4</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沈阳电能建设集团有限公司后勤管理服务分公司2025年非生产性房屋大修（技改）、零修工程劳务服务框架4</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300014447</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沈阳电能建设集团有限公司后勤管理服务分公司2025年非生产性房屋大修（技改）、零修工程劳务服务框架4</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2025-08-15</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2025-12-31</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1000000</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1000000</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100%</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沈阳电能建设集团有限公司后勤服务管理分公司</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沈阳电能建设集团有限公司后勤服务管理分公司</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（1）具有有效的安全生产许可证；（2）具有建设行政主管部门核发的施工劳务企业资质。</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近5年，投标人具有劳务业绩不少于1项。</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1、折扣报价</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2、定商、定价、不定量</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3、签订框架协议，协议期间不承诺最低执行金额。</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4、合同金额累计达到该协议限额的120%，则有效期提前终止。若协议有效期内未达到80%，延长三个月，延长后仍未达到，协议终止。</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30：10：60</w:t>
            </w: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p>
        </w:tc>
        <w:tc>
          <w:tcPr>
            <w:tcW w:w="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折扣比例</w:t>
            </w:r>
          </w:p>
        </w:tc>
        <w:tc>
          <w:tcPr>
            <w:tcW w:w="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4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p>
        </w:tc>
        <w:tc>
          <w:tcPr>
            <w:tcW w:w="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沈阳电能建设集团有限公司后勤管理服务分公司2025年非生产性房屋大修（技改）、零修工程劳务服务框架5</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沈阳电能建设集团有限公司后勤管理服务分公司2025年非生产性房屋大修（技改）、零修工程劳务服务框架5</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300014447</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沈阳电能建设集团有限公司后勤管理服务分公司2025年非生产性房屋大修（技改）、零修工程劳务服务框架5</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2025-08-15</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2025-12-31</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1000000</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1000000</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100%</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沈阳电能建设集团有限公司后勤服务管理分公司</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沈阳电能建设集团有限公司后勤服务管理分公司</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（1）具有有效的安全生产许可证；（2）具有建设行政主管部门核发的施工劳务企业资质。</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近5年，投标人具有劳务业绩不少于1项。</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1、折扣报价</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2、定商、定价、不定量</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3、签订框架协议，协议期间不承诺最低执行金额。</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4、合同金额累计达到该协议限额的120%，则有效期提前终止。若协议有效期内未达到80%，延长三个月，延长后仍未达到，协议终止。</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30：10：60</w:t>
            </w: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p>
        </w:tc>
        <w:tc>
          <w:tcPr>
            <w:tcW w:w="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折扣比例</w:t>
            </w:r>
          </w:p>
        </w:tc>
        <w:tc>
          <w:tcPr>
            <w:tcW w:w="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4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p>
        </w:tc>
        <w:tc>
          <w:tcPr>
            <w:tcW w:w="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沈阳电能建设集团有限公司后勤管理服务分公司2025年非生产性房屋大修（技改）、零修工程劳务服务框架6</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沈阳电能建设集团有限公司后勤管理服务分公司2025年非生产性房屋大修（技改）、零修工程劳务服务框架6</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300014447</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沈阳电能建设集团有限公司后勤管理服务分公司2025年非生产性房屋大修（技改）、零修工程劳务服务框架6</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2025-08-15</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2025-12-31</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1000000</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1000000</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100%</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沈阳电能建设集团有限公司后勤服务管理分公司</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沈阳电能建设集团有限公司后勤服务管理分公司</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（1）具有有效的安全生产许可证；（2）具有建设行政主管部门核发的施工劳务企业资质。</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近5年，投标人具有劳务业绩不少于1项。</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1、折扣报价</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2、定商、定价、不定量</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3、签订框架协议，协议期间不承诺最低执行金额。</w:t>
            </w:r>
            <w:r>
              <w:rPr>
                <w:rFonts w:hint="eastAsia" w:asciiTheme="minorEastAsia" w:hAnsiTheme="minorEastAsia" w:eastAsiaTheme="minorEastAsia" w:cstheme="minorEastAsia"/>
                <w:sz w:val="20"/>
                <w:szCs w:val="20"/>
                <w:lang w:val="en-US" w:eastAsia="zh-CN"/>
              </w:rPr>
              <w:br w:type="textWrapping"/>
            </w:r>
            <w:r>
              <w:rPr>
                <w:rFonts w:hint="eastAsia" w:asciiTheme="minorEastAsia" w:hAnsiTheme="minorEastAsia" w:eastAsiaTheme="minorEastAsia" w:cstheme="minorEastAsia"/>
                <w:sz w:val="20"/>
                <w:szCs w:val="20"/>
                <w:lang w:val="en-US" w:eastAsia="zh-CN"/>
              </w:rPr>
              <w:t>4、合同金额累计达到该协议限额的120%，则有效期提前终止。若协议有效期内未达到80%，延长三个月，延长后仍未达到，协议终止。</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30：10：60</w:t>
            </w: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p>
        </w:tc>
        <w:tc>
          <w:tcPr>
            <w:tcW w:w="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折扣比例</w:t>
            </w:r>
          </w:p>
        </w:tc>
        <w:tc>
          <w:tcPr>
            <w:tcW w:w="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是</w:t>
            </w:r>
          </w:p>
        </w:tc>
      </w:tr>
    </w:tbl>
    <w:p>
      <w:pPr>
        <w:pStyle w:val="2"/>
      </w:pPr>
    </w:p>
    <w:p>
      <w:pPr>
        <w:pStyle w:val="14"/>
        <w:jc w:val="both"/>
      </w:pPr>
    </w:p>
    <w:sectPr>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6979"/>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17780" b="12700"/>
              <wp:wrapNone/>
              <wp:docPr id="1" name="文本框 1"/>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a:noFill/>
                      </a:ln>
                      <a:effectLst/>
                    </wps:spPr>
                    <wps:txbx>
                      <w:txbxContent>
                        <w:p>
                          <w:pPr>
                            <w:pStyle w:val="9"/>
                          </w:pPr>
                          <w:r>
                            <w:fldChar w:fldCharType="begin"/>
                          </w:r>
                          <w:r>
                            <w:instrText xml:space="preserve"> PAGE  \* MERGEFORMAT </w:instrText>
                          </w:r>
                          <w:r>
                            <w:fldChar w:fldCharType="separate"/>
                          </w:r>
                          <w:r>
                            <w:t>2</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tbuXfQ&#10;AAAAAgEAAA8AAAAAAAAAAQAgAAAAIgAAAGRycy9kb3ducmV2LnhtbFBLAQIUABQAAAAIAIdO4kAI&#10;s7EPtgEAAFYDAAAOAAAAAAAAAAEAIAAAAB8BAABkcnMvZTJvRG9jLnhtbFBLBQYAAAAABgAGAFkB&#10;AABHBQAAAAA=&#10;">
              <v:fill on="f" focussize="0,0"/>
              <v:stroke on="f"/>
              <v:imagedata o:title=""/>
              <o:lock v:ext="edit" aspectratio="f"/>
              <v:textbox inset="0mm,0mm,0mm,0mm" style="mso-fit-shape-to-text:t;">
                <w:txbxContent>
                  <w:p>
                    <w:pPr>
                      <w:pStyle w:val="9"/>
                    </w:pPr>
                    <w:r>
                      <w:fldChar w:fldCharType="begin"/>
                    </w:r>
                    <w:r>
                      <w:instrText xml:space="preserve"> PAGE  \* MERGEFORMAT </w:instrText>
                    </w:r>
                    <w:r>
                      <w:fldChar w:fldCharType="separate"/>
                    </w:r>
                    <w:r>
                      <w:t>2</w:t>
                    </w:r>
                    <w:r>
                      <w:fldChar w:fldCharType="end"/>
                    </w:r>
                  </w:p>
                </w:txbxContent>
              </v:textbox>
            </v:shape>
          </w:pict>
        </mc:Fallback>
      </mc:AlternateContent>
    </w:r>
    <w:r>
      <w:tab/>
    </w:r>
    <w: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A2ABBD9"/>
    <w:multiLevelType w:val="singleLevel"/>
    <w:tmpl w:val="FA2ABBD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zMzc5ODU1MzBkNjkyZTg0NWExMWFmZDZmMjFlM2QifQ=="/>
  </w:docVars>
  <w:rsids>
    <w:rsidRoot w:val="00536170"/>
    <w:rsid w:val="00025895"/>
    <w:rsid w:val="00032AF8"/>
    <w:rsid w:val="00070715"/>
    <w:rsid w:val="00075A8D"/>
    <w:rsid w:val="0009136A"/>
    <w:rsid w:val="000A6DAE"/>
    <w:rsid w:val="000C51F5"/>
    <w:rsid w:val="000D231C"/>
    <w:rsid w:val="001276BF"/>
    <w:rsid w:val="00131B81"/>
    <w:rsid w:val="0013355D"/>
    <w:rsid w:val="00137041"/>
    <w:rsid w:val="0014012D"/>
    <w:rsid w:val="00150B76"/>
    <w:rsid w:val="00156378"/>
    <w:rsid w:val="0016776E"/>
    <w:rsid w:val="001773D4"/>
    <w:rsid w:val="00183B5F"/>
    <w:rsid w:val="00186094"/>
    <w:rsid w:val="00196209"/>
    <w:rsid w:val="001A6BF4"/>
    <w:rsid w:val="001A6C1F"/>
    <w:rsid w:val="001C1520"/>
    <w:rsid w:val="001D6722"/>
    <w:rsid w:val="001D67F9"/>
    <w:rsid w:val="00213DEA"/>
    <w:rsid w:val="0022101B"/>
    <w:rsid w:val="002214DD"/>
    <w:rsid w:val="00224029"/>
    <w:rsid w:val="00236867"/>
    <w:rsid w:val="00237BB9"/>
    <w:rsid w:val="00254313"/>
    <w:rsid w:val="002656E1"/>
    <w:rsid w:val="002748C3"/>
    <w:rsid w:val="0028415B"/>
    <w:rsid w:val="002A5763"/>
    <w:rsid w:val="002B539C"/>
    <w:rsid w:val="002D2CE1"/>
    <w:rsid w:val="002D6184"/>
    <w:rsid w:val="002E1639"/>
    <w:rsid w:val="002F320B"/>
    <w:rsid w:val="00300BA8"/>
    <w:rsid w:val="00313561"/>
    <w:rsid w:val="0034535D"/>
    <w:rsid w:val="003603FF"/>
    <w:rsid w:val="003778E2"/>
    <w:rsid w:val="003A079D"/>
    <w:rsid w:val="003D23E6"/>
    <w:rsid w:val="004128CC"/>
    <w:rsid w:val="0043553D"/>
    <w:rsid w:val="0047590C"/>
    <w:rsid w:val="0049008B"/>
    <w:rsid w:val="00490AC9"/>
    <w:rsid w:val="004B2456"/>
    <w:rsid w:val="004B64B3"/>
    <w:rsid w:val="004D6D0F"/>
    <w:rsid w:val="004D727F"/>
    <w:rsid w:val="004E471B"/>
    <w:rsid w:val="004F023C"/>
    <w:rsid w:val="004F11E4"/>
    <w:rsid w:val="004F398D"/>
    <w:rsid w:val="0050348A"/>
    <w:rsid w:val="005046B8"/>
    <w:rsid w:val="00506A1F"/>
    <w:rsid w:val="005173DB"/>
    <w:rsid w:val="00536170"/>
    <w:rsid w:val="00570A9A"/>
    <w:rsid w:val="005818FD"/>
    <w:rsid w:val="00584CFB"/>
    <w:rsid w:val="00585126"/>
    <w:rsid w:val="00590124"/>
    <w:rsid w:val="005A5F9D"/>
    <w:rsid w:val="005C5DF9"/>
    <w:rsid w:val="005C6297"/>
    <w:rsid w:val="005D1F48"/>
    <w:rsid w:val="005E1A18"/>
    <w:rsid w:val="005F060D"/>
    <w:rsid w:val="005F0B05"/>
    <w:rsid w:val="005F2371"/>
    <w:rsid w:val="006038D9"/>
    <w:rsid w:val="006133EC"/>
    <w:rsid w:val="0063052A"/>
    <w:rsid w:val="00636462"/>
    <w:rsid w:val="006469A3"/>
    <w:rsid w:val="00651252"/>
    <w:rsid w:val="00665533"/>
    <w:rsid w:val="0067260B"/>
    <w:rsid w:val="0068259E"/>
    <w:rsid w:val="00687A42"/>
    <w:rsid w:val="006907A9"/>
    <w:rsid w:val="00691E4D"/>
    <w:rsid w:val="006B002B"/>
    <w:rsid w:val="006C3176"/>
    <w:rsid w:val="006E11B2"/>
    <w:rsid w:val="006F4CEB"/>
    <w:rsid w:val="007017DC"/>
    <w:rsid w:val="00705FDD"/>
    <w:rsid w:val="00727EDA"/>
    <w:rsid w:val="00731437"/>
    <w:rsid w:val="00731697"/>
    <w:rsid w:val="007365D9"/>
    <w:rsid w:val="00742695"/>
    <w:rsid w:val="00760D07"/>
    <w:rsid w:val="007624FF"/>
    <w:rsid w:val="0076553C"/>
    <w:rsid w:val="00766AAB"/>
    <w:rsid w:val="00795C8A"/>
    <w:rsid w:val="007B5103"/>
    <w:rsid w:val="007C003C"/>
    <w:rsid w:val="007C6883"/>
    <w:rsid w:val="007D1FC5"/>
    <w:rsid w:val="007F3AD7"/>
    <w:rsid w:val="0083459A"/>
    <w:rsid w:val="00834749"/>
    <w:rsid w:val="00845F8D"/>
    <w:rsid w:val="00855D89"/>
    <w:rsid w:val="0085728E"/>
    <w:rsid w:val="008669C9"/>
    <w:rsid w:val="008771A3"/>
    <w:rsid w:val="0089589D"/>
    <w:rsid w:val="008D0AF1"/>
    <w:rsid w:val="009256CF"/>
    <w:rsid w:val="009309E4"/>
    <w:rsid w:val="00943E11"/>
    <w:rsid w:val="0095769B"/>
    <w:rsid w:val="00962412"/>
    <w:rsid w:val="00962DAD"/>
    <w:rsid w:val="009736F4"/>
    <w:rsid w:val="00976C7A"/>
    <w:rsid w:val="00976E7C"/>
    <w:rsid w:val="00981EE2"/>
    <w:rsid w:val="009C03B2"/>
    <w:rsid w:val="009C0842"/>
    <w:rsid w:val="009C1942"/>
    <w:rsid w:val="009D2E8E"/>
    <w:rsid w:val="009D3DBF"/>
    <w:rsid w:val="009E268F"/>
    <w:rsid w:val="009E5B5F"/>
    <w:rsid w:val="00A03BE8"/>
    <w:rsid w:val="00A23364"/>
    <w:rsid w:val="00A322F1"/>
    <w:rsid w:val="00A55401"/>
    <w:rsid w:val="00A6370B"/>
    <w:rsid w:val="00A70BC4"/>
    <w:rsid w:val="00A71F62"/>
    <w:rsid w:val="00A85596"/>
    <w:rsid w:val="00A919B6"/>
    <w:rsid w:val="00AB3FF4"/>
    <w:rsid w:val="00AC54AA"/>
    <w:rsid w:val="00AD294E"/>
    <w:rsid w:val="00AE62BA"/>
    <w:rsid w:val="00AF0C6E"/>
    <w:rsid w:val="00AF33BB"/>
    <w:rsid w:val="00B0043C"/>
    <w:rsid w:val="00B0470D"/>
    <w:rsid w:val="00B25598"/>
    <w:rsid w:val="00B3516F"/>
    <w:rsid w:val="00B409F1"/>
    <w:rsid w:val="00B417B4"/>
    <w:rsid w:val="00B46734"/>
    <w:rsid w:val="00B47DEA"/>
    <w:rsid w:val="00B70365"/>
    <w:rsid w:val="00B74270"/>
    <w:rsid w:val="00B8118B"/>
    <w:rsid w:val="00B852A4"/>
    <w:rsid w:val="00B863A1"/>
    <w:rsid w:val="00BD39A5"/>
    <w:rsid w:val="00BE4F4C"/>
    <w:rsid w:val="00BF2955"/>
    <w:rsid w:val="00BF5FDD"/>
    <w:rsid w:val="00C0643E"/>
    <w:rsid w:val="00C1547C"/>
    <w:rsid w:val="00C16E8E"/>
    <w:rsid w:val="00C314B3"/>
    <w:rsid w:val="00C44123"/>
    <w:rsid w:val="00C541A2"/>
    <w:rsid w:val="00C56DFE"/>
    <w:rsid w:val="00C66C63"/>
    <w:rsid w:val="00C67FAF"/>
    <w:rsid w:val="00C71CA6"/>
    <w:rsid w:val="00C754D0"/>
    <w:rsid w:val="00C80F00"/>
    <w:rsid w:val="00C84AC3"/>
    <w:rsid w:val="00CB0F44"/>
    <w:rsid w:val="00CC7F5C"/>
    <w:rsid w:val="00CF6C98"/>
    <w:rsid w:val="00D0237D"/>
    <w:rsid w:val="00D0454F"/>
    <w:rsid w:val="00D05279"/>
    <w:rsid w:val="00D05513"/>
    <w:rsid w:val="00D153DC"/>
    <w:rsid w:val="00D26E69"/>
    <w:rsid w:val="00D60244"/>
    <w:rsid w:val="00D65683"/>
    <w:rsid w:val="00D74785"/>
    <w:rsid w:val="00D76D23"/>
    <w:rsid w:val="00D878AA"/>
    <w:rsid w:val="00D902B0"/>
    <w:rsid w:val="00DB138B"/>
    <w:rsid w:val="00DB5E70"/>
    <w:rsid w:val="00DD567D"/>
    <w:rsid w:val="00DE105E"/>
    <w:rsid w:val="00DF645C"/>
    <w:rsid w:val="00E11151"/>
    <w:rsid w:val="00E22319"/>
    <w:rsid w:val="00E460DA"/>
    <w:rsid w:val="00E50E03"/>
    <w:rsid w:val="00E66D06"/>
    <w:rsid w:val="00E825A8"/>
    <w:rsid w:val="00EA0504"/>
    <w:rsid w:val="00ED7D4F"/>
    <w:rsid w:val="00EF0E4B"/>
    <w:rsid w:val="00EF75FB"/>
    <w:rsid w:val="00F0098A"/>
    <w:rsid w:val="00F07221"/>
    <w:rsid w:val="00F124BD"/>
    <w:rsid w:val="00F209AF"/>
    <w:rsid w:val="00F4624E"/>
    <w:rsid w:val="00F47E32"/>
    <w:rsid w:val="00F64F17"/>
    <w:rsid w:val="00F67474"/>
    <w:rsid w:val="00F74F32"/>
    <w:rsid w:val="00FA4780"/>
    <w:rsid w:val="00FB53F7"/>
    <w:rsid w:val="00FE2498"/>
    <w:rsid w:val="00FE5AB1"/>
    <w:rsid w:val="00FF37BF"/>
    <w:rsid w:val="014A0F1B"/>
    <w:rsid w:val="0314369E"/>
    <w:rsid w:val="03AC38D7"/>
    <w:rsid w:val="055B10F3"/>
    <w:rsid w:val="06B8241A"/>
    <w:rsid w:val="06C13E2D"/>
    <w:rsid w:val="08A92FC0"/>
    <w:rsid w:val="09940A35"/>
    <w:rsid w:val="0A303D0D"/>
    <w:rsid w:val="0B331AFD"/>
    <w:rsid w:val="0B754EF6"/>
    <w:rsid w:val="0E9B2EC6"/>
    <w:rsid w:val="0EBD2AA6"/>
    <w:rsid w:val="0F2A2B80"/>
    <w:rsid w:val="0F490692"/>
    <w:rsid w:val="0F5D461F"/>
    <w:rsid w:val="0FDC6702"/>
    <w:rsid w:val="101B1496"/>
    <w:rsid w:val="122E7E25"/>
    <w:rsid w:val="1303728B"/>
    <w:rsid w:val="14217D1C"/>
    <w:rsid w:val="150F6EE1"/>
    <w:rsid w:val="152F49EC"/>
    <w:rsid w:val="157961AD"/>
    <w:rsid w:val="15B512CB"/>
    <w:rsid w:val="15E16667"/>
    <w:rsid w:val="1654060C"/>
    <w:rsid w:val="16D84A78"/>
    <w:rsid w:val="17477887"/>
    <w:rsid w:val="186A4CC7"/>
    <w:rsid w:val="1A220BF3"/>
    <w:rsid w:val="1A3041FE"/>
    <w:rsid w:val="1C932E5D"/>
    <w:rsid w:val="1DC2016F"/>
    <w:rsid w:val="1DCC6295"/>
    <w:rsid w:val="1DF4614E"/>
    <w:rsid w:val="1E560CE8"/>
    <w:rsid w:val="1E8277F9"/>
    <w:rsid w:val="1EA151AB"/>
    <w:rsid w:val="1EA96F39"/>
    <w:rsid w:val="1F053F1A"/>
    <w:rsid w:val="20DF332C"/>
    <w:rsid w:val="22161978"/>
    <w:rsid w:val="22610092"/>
    <w:rsid w:val="2301190C"/>
    <w:rsid w:val="23B249BA"/>
    <w:rsid w:val="267047E0"/>
    <w:rsid w:val="27A900E8"/>
    <w:rsid w:val="27EC11D0"/>
    <w:rsid w:val="28281F9C"/>
    <w:rsid w:val="28A7798E"/>
    <w:rsid w:val="294A756A"/>
    <w:rsid w:val="29E42C98"/>
    <w:rsid w:val="2A17368F"/>
    <w:rsid w:val="2CBC2C4F"/>
    <w:rsid w:val="2CCB09C2"/>
    <w:rsid w:val="2D5B4B5E"/>
    <w:rsid w:val="2F012479"/>
    <w:rsid w:val="30E10C27"/>
    <w:rsid w:val="316878FE"/>
    <w:rsid w:val="316A07AA"/>
    <w:rsid w:val="3269210C"/>
    <w:rsid w:val="32971FC2"/>
    <w:rsid w:val="32A41A99"/>
    <w:rsid w:val="33DE6776"/>
    <w:rsid w:val="35181A87"/>
    <w:rsid w:val="3548010D"/>
    <w:rsid w:val="35E11AE9"/>
    <w:rsid w:val="36D2133B"/>
    <w:rsid w:val="37893954"/>
    <w:rsid w:val="39273424"/>
    <w:rsid w:val="39475874"/>
    <w:rsid w:val="394E7C91"/>
    <w:rsid w:val="3AC9418C"/>
    <w:rsid w:val="3BBE2161"/>
    <w:rsid w:val="3C445627"/>
    <w:rsid w:val="3D1E68EC"/>
    <w:rsid w:val="3DA97B8F"/>
    <w:rsid w:val="3DDA0A65"/>
    <w:rsid w:val="3E014244"/>
    <w:rsid w:val="3F1B1335"/>
    <w:rsid w:val="3F433F98"/>
    <w:rsid w:val="3FC03455"/>
    <w:rsid w:val="3FCD6E9A"/>
    <w:rsid w:val="403836CA"/>
    <w:rsid w:val="40A96A02"/>
    <w:rsid w:val="414E5224"/>
    <w:rsid w:val="41F06AA9"/>
    <w:rsid w:val="42A85F74"/>
    <w:rsid w:val="436533AE"/>
    <w:rsid w:val="438641AE"/>
    <w:rsid w:val="43B23B19"/>
    <w:rsid w:val="44022AC4"/>
    <w:rsid w:val="4413082D"/>
    <w:rsid w:val="44180E75"/>
    <w:rsid w:val="44692B43"/>
    <w:rsid w:val="44735770"/>
    <w:rsid w:val="4487705D"/>
    <w:rsid w:val="46775472"/>
    <w:rsid w:val="46A77952"/>
    <w:rsid w:val="46B63B7E"/>
    <w:rsid w:val="46E74C31"/>
    <w:rsid w:val="480E4026"/>
    <w:rsid w:val="484749E7"/>
    <w:rsid w:val="4872455D"/>
    <w:rsid w:val="48EF7FB4"/>
    <w:rsid w:val="4910262C"/>
    <w:rsid w:val="496A3AB4"/>
    <w:rsid w:val="49D01CF5"/>
    <w:rsid w:val="4A9E5677"/>
    <w:rsid w:val="4AF146A1"/>
    <w:rsid w:val="4C794C31"/>
    <w:rsid w:val="4CE71157"/>
    <w:rsid w:val="4DF10E7F"/>
    <w:rsid w:val="505A76C7"/>
    <w:rsid w:val="509C4BF9"/>
    <w:rsid w:val="50A078EC"/>
    <w:rsid w:val="519A7B96"/>
    <w:rsid w:val="520D5775"/>
    <w:rsid w:val="52374F91"/>
    <w:rsid w:val="52A874DF"/>
    <w:rsid w:val="534A24FF"/>
    <w:rsid w:val="53806982"/>
    <w:rsid w:val="547F562C"/>
    <w:rsid w:val="548B440F"/>
    <w:rsid w:val="54C6487A"/>
    <w:rsid w:val="54E71378"/>
    <w:rsid w:val="54FC530D"/>
    <w:rsid w:val="55703DC7"/>
    <w:rsid w:val="564B4CC8"/>
    <w:rsid w:val="56995769"/>
    <w:rsid w:val="58946625"/>
    <w:rsid w:val="58A3441E"/>
    <w:rsid w:val="598D3B2B"/>
    <w:rsid w:val="5A441205"/>
    <w:rsid w:val="5A8F3037"/>
    <w:rsid w:val="5AD17153"/>
    <w:rsid w:val="5AFE2668"/>
    <w:rsid w:val="5B95727B"/>
    <w:rsid w:val="5C2A75D8"/>
    <w:rsid w:val="5C4323B8"/>
    <w:rsid w:val="5D455DEB"/>
    <w:rsid w:val="5E3C77DA"/>
    <w:rsid w:val="5E9E768C"/>
    <w:rsid w:val="5F1E4505"/>
    <w:rsid w:val="5F267960"/>
    <w:rsid w:val="5F315D5E"/>
    <w:rsid w:val="61415F1B"/>
    <w:rsid w:val="6175058A"/>
    <w:rsid w:val="617F70AA"/>
    <w:rsid w:val="61D942E2"/>
    <w:rsid w:val="61E41603"/>
    <w:rsid w:val="62100F06"/>
    <w:rsid w:val="6267124D"/>
    <w:rsid w:val="63CB75BF"/>
    <w:rsid w:val="651552A1"/>
    <w:rsid w:val="686D4100"/>
    <w:rsid w:val="6A9B0184"/>
    <w:rsid w:val="6B0640E1"/>
    <w:rsid w:val="6B3912D3"/>
    <w:rsid w:val="6BA70A62"/>
    <w:rsid w:val="6BC00D58"/>
    <w:rsid w:val="6C060AF4"/>
    <w:rsid w:val="6C186A79"/>
    <w:rsid w:val="6D5851FA"/>
    <w:rsid w:val="6D9D6F09"/>
    <w:rsid w:val="6E2C0ED7"/>
    <w:rsid w:val="6F7044D6"/>
    <w:rsid w:val="6FD04B12"/>
    <w:rsid w:val="70194B6E"/>
    <w:rsid w:val="70494380"/>
    <w:rsid w:val="70571F20"/>
    <w:rsid w:val="70B76860"/>
    <w:rsid w:val="713F5E9F"/>
    <w:rsid w:val="72252EC6"/>
    <w:rsid w:val="726E005A"/>
    <w:rsid w:val="729B5D0E"/>
    <w:rsid w:val="72D059B7"/>
    <w:rsid w:val="749A2C87"/>
    <w:rsid w:val="74EE481B"/>
    <w:rsid w:val="750D71D4"/>
    <w:rsid w:val="75436915"/>
    <w:rsid w:val="776112D4"/>
    <w:rsid w:val="7791148D"/>
    <w:rsid w:val="77D112C5"/>
    <w:rsid w:val="78153E6C"/>
    <w:rsid w:val="786F5B86"/>
    <w:rsid w:val="79B34096"/>
    <w:rsid w:val="79E25FE3"/>
    <w:rsid w:val="79ED32F3"/>
    <w:rsid w:val="79F3157C"/>
    <w:rsid w:val="7A0871C8"/>
    <w:rsid w:val="7A7E219D"/>
    <w:rsid w:val="7BF53BEF"/>
    <w:rsid w:val="7DF02774"/>
    <w:rsid w:val="7F897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50"/>
    <w:qFormat/>
    <w:uiPriority w:val="99"/>
    <w:pPr>
      <w:autoSpaceDE w:val="0"/>
      <w:autoSpaceDN w:val="0"/>
      <w:adjustRightInd w:val="0"/>
      <w:jc w:val="left"/>
      <w:outlineLvl w:val="0"/>
    </w:pPr>
    <w:rPr>
      <w:rFonts w:ascii="Arial" w:hAnsi="Arial" w:cs="Arial" w:eastAsiaTheme="minorEastAsia"/>
      <w:b/>
      <w:bCs/>
      <w:color w:val="000000"/>
      <w:kern w:val="0"/>
      <w:sz w:val="32"/>
      <w:szCs w:val="32"/>
    </w:rPr>
  </w:style>
  <w:style w:type="paragraph" w:styleId="4">
    <w:name w:val="heading 2"/>
    <w:basedOn w:val="1"/>
    <w:next w:val="1"/>
    <w:link w:val="51"/>
    <w:qFormat/>
    <w:uiPriority w:val="99"/>
    <w:pPr>
      <w:autoSpaceDE w:val="0"/>
      <w:autoSpaceDN w:val="0"/>
      <w:adjustRightInd w:val="0"/>
      <w:jc w:val="left"/>
      <w:outlineLvl w:val="1"/>
    </w:pPr>
    <w:rPr>
      <w:rFonts w:ascii="Arial" w:hAnsi="Arial" w:cs="Arial" w:eastAsiaTheme="minorEastAsia"/>
      <w:b/>
      <w:bCs/>
      <w:i/>
      <w:iCs/>
      <w:color w:val="000000"/>
      <w:kern w:val="0"/>
      <w:sz w:val="28"/>
      <w:szCs w:val="28"/>
    </w:rPr>
  </w:style>
  <w:style w:type="paragraph" w:styleId="5">
    <w:name w:val="heading 3"/>
    <w:basedOn w:val="1"/>
    <w:next w:val="1"/>
    <w:link w:val="52"/>
    <w:qFormat/>
    <w:uiPriority w:val="99"/>
    <w:pPr>
      <w:autoSpaceDE w:val="0"/>
      <w:autoSpaceDN w:val="0"/>
      <w:adjustRightInd w:val="0"/>
      <w:jc w:val="left"/>
      <w:outlineLvl w:val="2"/>
    </w:pPr>
    <w:rPr>
      <w:rFonts w:ascii="Arial" w:hAnsi="Arial" w:cs="Arial" w:eastAsiaTheme="minorEastAsia"/>
      <w:b/>
      <w:bCs/>
      <w:color w:val="000000"/>
      <w:kern w:val="0"/>
      <w:sz w:val="26"/>
      <w:szCs w:val="26"/>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link w:val="25"/>
    <w:qFormat/>
    <w:uiPriority w:val="0"/>
    <w:pPr>
      <w:spacing w:after="120"/>
    </w:pPr>
    <w:rPr>
      <w:szCs w:val="24"/>
    </w:rPr>
  </w:style>
  <w:style w:type="paragraph" w:styleId="6">
    <w:name w:val="Normal Indent"/>
    <w:basedOn w:val="1"/>
    <w:next w:val="1"/>
    <w:qFormat/>
    <w:uiPriority w:val="99"/>
    <w:pPr>
      <w:ind w:firstLine="420"/>
    </w:pPr>
  </w:style>
  <w:style w:type="paragraph" w:styleId="7">
    <w:name w:val="Document Map"/>
    <w:qFormat/>
    <w:uiPriority w:val="99"/>
    <w:pPr>
      <w:widowControl w:val="0"/>
      <w:jc w:val="both"/>
    </w:pPr>
    <w:rPr>
      <w:rFonts w:ascii="Tahoma" w:hAnsi="Tahoma" w:eastAsia="宋体" w:cs="Times New Roman"/>
      <w:kern w:val="2"/>
      <w:sz w:val="16"/>
      <w:szCs w:val="16"/>
      <w:lang w:val="en-US" w:eastAsia="zh-CN" w:bidi="ar-SA"/>
    </w:rPr>
  </w:style>
  <w:style w:type="paragraph" w:styleId="8">
    <w:name w:val="Body Text Indent"/>
    <w:basedOn w:val="1"/>
    <w:link w:val="20"/>
    <w:semiHidden/>
    <w:unhideWhenUsed/>
    <w:qFormat/>
    <w:uiPriority w:val="99"/>
    <w:pPr>
      <w:spacing w:after="120"/>
      <w:ind w:left="420" w:leftChars="200"/>
    </w:p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List"/>
    <w:basedOn w:val="1"/>
    <w:semiHidden/>
    <w:unhideWhenUsed/>
    <w:qFormat/>
    <w:uiPriority w:val="99"/>
    <w:pPr>
      <w:ind w:left="200" w:hanging="200" w:hangingChars="200"/>
      <w:contextualSpacing/>
    </w:pPr>
  </w:style>
  <w:style w:type="paragraph" w:styleId="12">
    <w:name w:val="Body Text First Indent"/>
    <w:basedOn w:val="2"/>
    <w:qFormat/>
    <w:uiPriority w:val="99"/>
    <w:pPr>
      <w:ind w:firstLine="420" w:firstLineChars="100"/>
    </w:pPr>
    <w:rPr>
      <w:rFonts w:ascii="宋体" w:cs="宋体"/>
      <w:kern w:val="0"/>
      <w:sz w:val="20"/>
    </w:rPr>
  </w:style>
  <w:style w:type="paragraph" w:styleId="13">
    <w:name w:val="Body Text First Indent 2"/>
    <w:basedOn w:val="8"/>
    <w:next w:val="14"/>
    <w:link w:val="21"/>
    <w:qFormat/>
    <w:uiPriority w:val="0"/>
    <w:pPr>
      <w:ind w:left="0" w:leftChars="0" w:firstLine="420"/>
    </w:pPr>
    <w:rPr>
      <w:sz w:val="22"/>
    </w:rPr>
  </w:style>
  <w:style w:type="paragraph" w:customStyle="1" w:styleId="14">
    <w:name w:val="表格文字"/>
    <w:basedOn w:val="11"/>
    <w:next w:val="1"/>
    <w:qFormat/>
    <w:uiPriority w:val="0"/>
    <w:pPr>
      <w:ind w:firstLine="0" w:firstLineChars="0"/>
      <w:jc w:val="center"/>
    </w:pPr>
    <w:rPr>
      <w:szCs w:val="20"/>
    </w:rPr>
  </w:style>
  <w:style w:type="table" w:styleId="16">
    <w:name w:val="Table Grid"/>
    <w:basedOn w:val="1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8">
    <w:name w:val="FollowedHyperlink"/>
    <w:basedOn w:val="17"/>
    <w:semiHidden/>
    <w:unhideWhenUsed/>
    <w:qFormat/>
    <w:uiPriority w:val="99"/>
    <w:rPr>
      <w:color w:val="954F72"/>
      <w:u w:val="single"/>
    </w:rPr>
  </w:style>
  <w:style w:type="character" w:styleId="19">
    <w:name w:val="Hyperlink"/>
    <w:qFormat/>
    <w:uiPriority w:val="99"/>
    <w:rPr>
      <w:color w:val="0000FF"/>
      <w:u w:val="single"/>
    </w:rPr>
  </w:style>
  <w:style w:type="character" w:customStyle="1" w:styleId="20">
    <w:name w:val="正文文本缩进 Char"/>
    <w:basedOn w:val="17"/>
    <w:link w:val="8"/>
    <w:semiHidden/>
    <w:qFormat/>
    <w:uiPriority w:val="99"/>
    <w:rPr>
      <w:rFonts w:ascii="Calibri" w:hAnsi="Calibri" w:eastAsia="宋体" w:cs="Times New Roman"/>
    </w:rPr>
  </w:style>
  <w:style w:type="character" w:customStyle="1" w:styleId="21">
    <w:name w:val="正文首行缩进 2 Char"/>
    <w:basedOn w:val="20"/>
    <w:link w:val="13"/>
    <w:qFormat/>
    <w:uiPriority w:val="0"/>
    <w:rPr>
      <w:rFonts w:ascii="Calibri" w:hAnsi="Calibri" w:eastAsia="宋体" w:cs="Times New Roman"/>
      <w:sz w:val="22"/>
    </w:rPr>
  </w:style>
  <w:style w:type="character" w:customStyle="1" w:styleId="22">
    <w:name w:val="页脚 Char"/>
    <w:basedOn w:val="17"/>
    <w:link w:val="9"/>
    <w:qFormat/>
    <w:uiPriority w:val="99"/>
    <w:rPr>
      <w:rFonts w:ascii="Calibri" w:hAnsi="Calibri" w:eastAsia="宋体" w:cs="Times New Roman"/>
      <w:sz w:val="18"/>
      <w:szCs w:val="18"/>
    </w:rPr>
  </w:style>
  <w:style w:type="paragraph" w:customStyle="1" w:styleId="23">
    <w:name w:val="正文文本2"/>
    <w:basedOn w:val="1"/>
    <w:qFormat/>
    <w:uiPriority w:val="0"/>
    <w:pPr>
      <w:autoSpaceDE w:val="0"/>
      <w:autoSpaceDN w:val="0"/>
      <w:jc w:val="left"/>
    </w:pPr>
    <w:rPr>
      <w:rFonts w:ascii="宋体" w:hAnsi="宋体"/>
      <w:kern w:val="0"/>
      <w:sz w:val="20"/>
      <w:szCs w:val="21"/>
      <w:lang w:val="zh-CN"/>
    </w:rPr>
  </w:style>
  <w:style w:type="paragraph" w:customStyle="1" w:styleId="24">
    <w:name w:val="修订1"/>
    <w:hidden/>
    <w:semiHidden/>
    <w:qFormat/>
    <w:uiPriority w:val="99"/>
    <w:rPr>
      <w:rFonts w:ascii="Calibri" w:hAnsi="Calibri" w:eastAsia="宋体" w:cs="Times New Roman"/>
      <w:kern w:val="2"/>
      <w:sz w:val="21"/>
      <w:szCs w:val="22"/>
      <w:lang w:val="en-US" w:eastAsia="zh-CN" w:bidi="ar-SA"/>
    </w:rPr>
  </w:style>
  <w:style w:type="character" w:customStyle="1" w:styleId="25">
    <w:name w:val="正文文本 Char"/>
    <w:basedOn w:val="17"/>
    <w:link w:val="2"/>
    <w:qFormat/>
    <w:uiPriority w:val="0"/>
    <w:rPr>
      <w:rFonts w:ascii="Calibri" w:hAnsi="Calibri" w:eastAsia="宋体" w:cs="Times New Roman"/>
      <w:szCs w:val="24"/>
    </w:rPr>
  </w:style>
  <w:style w:type="paragraph" w:customStyle="1" w:styleId="26">
    <w:name w:val="普通(网站)3"/>
    <w:basedOn w:val="1"/>
    <w:qFormat/>
    <w:uiPriority w:val="0"/>
    <w:pPr>
      <w:widowControl/>
      <w:topLinePunct/>
      <w:spacing w:before="100" w:beforeAutospacing="1" w:after="100" w:afterAutospacing="1"/>
      <w:jc w:val="left"/>
    </w:pPr>
    <w:rPr>
      <w:rFonts w:ascii="宋体" w:hAnsi="宋体" w:cs="宋体"/>
      <w:kern w:val="0"/>
      <w:sz w:val="24"/>
      <w:szCs w:val="24"/>
    </w:rPr>
  </w:style>
  <w:style w:type="character" w:customStyle="1" w:styleId="27">
    <w:name w:val="页眉 Char"/>
    <w:basedOn w:val="17"/>
    <w:link w:val="10"/>
    <w:qFormat/>
    <w:uiPriority w:val="99"/>
    <w:rPr>
      <w:rFonts w:ascii="Calibri" w:hAnsi="Calibri" w:eastAsia="宋体" w:cs="Times New Roman"/>
      <w:sz w:val="18"/>
      <w:szCs w:val="18"/>
    </w:rPr>
  </w:style>
  <w:style w:type="character" w:customStyle="1" w:styleId="28">
    <w:name w:val="未处理的提及1"/>
    <w:basedOn w:val="17"/>
    <w:semiHidden/>
    <w:unhideWhenUsed/>
    <w:qFormat/>
    <w:uiPriority w:val="99"/>
    <w:rPr>
      <w:color w:val="605E5C"/>
      <w:shd w:val="clear" w:color="auto" w:fill="E1DFDD"/>
    </w:rPr>
  </w:style>
  <w:style w:type="character" w:customStyle="1" w:styleId="29">
    <w:name w:val="正文文本 字符120"/>
    <w:basedOn w:val="17"/>
    <w:unhideWhenUsed/>
    <w:qFormat/>
    <w:uiPriority w:val="99"/>
    <w:rPr>
      <w:rFonts w:ascii="Arial" w:cs="Arial"/>
      <w:color w:val="000000"/>
    </w:rPr>
  </w:style>
  <w:style w:type="paragraph" w:customStyle="1" w:styleId="30">
    <w:name w:val="列出段落1"/>
    <w:basedOn w:val="1"/>
    <w:unhideWhenUsed/>
    <w:qFormat/>
    <w:uiPriority w:val="0"/>
    <w:pPr>
      <w:topLinePunct/>
      <w:ind w:firstLine="420" w:firstLineChars="200"/>
    </w:pPr>
    <w:rPr>
      <w:rFonts w:ascii="Times New Roman" w:hAnsi="Times New Roman"/>
      <w:color w:val="000000"/>
      <w:szCs w:val="24"/>
    </w:rPr>
  </w:style>
  <w:style w:type="paragraph" w:customStyle="1" w:styleId="31">
    <w:name w:val="msonormal"/>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2">
    <w:name w:val="font5"/>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33">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4">
    <w:name w:val="xl6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b/>
      <w:bCs/>
      <w:kern w:val="0"/>
      <w:sz w:val="18"/>
      <w:szCs w:val="18"/>
    </w:rPr>
  </w:style>
  <w:style w:type="paragraph" w:customStyle="1" w:styleId="35">
    <w:name w:val="xl6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b/>
      <w:bCs/>
      <w:kern w:val="0"/>
      <w:sz w:val="18"/>
      <w:szCs w:val="18"/>
    </w:rPr>
  </w:style>
  <w:style w:type="paragraph" w:customStyle="1" w:styleId="36">
    <w:name w:val="xl7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kern w:val="0"/>
      <w:sz w:val="18"/>
      <w:szCs w:val="18"/>
    </w:rPr>
  </w:style>
  <w:style w:type="paragraph" w:customStyle="1" w:styleId="37">
    <w:name w:val="xl7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kern w:val="0"/>
      <w:sz w:val="18"/>
      <w:szCs w:val="18"/>
    </w:rPr>
  </w:style>
  <w:style w:type="paragraph" w:customStyle="1" w:styleId="38">
    <w:name w:val="xl7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kern w:val="0"/>
      <w:sz w:val="18"/>
      <w:szCs w:val="18"/>
    </w:rPr>
  </w:style>
  <w:style w:type="paragraph" w:customStyle="1" w:styleId="39">
    <w:name w:val="xl7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kern w:val="0"/>
      <w:sz w:val="18"/>
      <w:szCs w:val="18"/>
    </w:rPr>
  </w:style>
  <w:style w:type="paragraph" w:customStyle="1" w:styleId="40">
    <w:name w:val="xl7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b/>
      <w:bCs/>
      <w:kern w:val="0"/>
      <w:sz w:val="18"/>
      <w:szCs w:val="18"/>
    </w:rPr>
  </w:style>
  <w:style w:type="paragraph" w:customStyle="1" w:styleId="41">
    <w:name w:val="xl65"/>
    <w:basedOn w:val="1"/>
    <w:qFormat/>
    <w:uiPriority w:val="0"/>
    <w:pPr>
      <w:widowControl/>
      <w:spacing w:before="100" w:beforeAutospacing="1" w:after="100" w:afterAutospacing="1"/>
      <w:jc w:val="center"/>
    </w:pPr>
    <w:rPr>
      <w:rFonts w:ascii="宋体" w:hAnsi="宋体" w:cs="宋体"/>
      <w:b/>
      <w:bCs/>
      <w:kern w:val="0"/>
      <w:sz w:val="20"/>
      <w:szCs w:val="20"/>
    </w:rPr>
  </w:style>
  <w:style w:type="paragraph" w:customStyle="1" w:styleId="42">
    <w:name w:val="xl6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kern w:val="0"/>
      <w:sz w:val="20"/>
      <w:szCs w:val="20"/>
    </w:rPr>
  </w:style>
  <w:style w:type="paragraph" w:customStyle="1" w:styleId="43">
    <w:name w:val="xl67"/>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44">
    <w:name w:val="xl73"/>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b/>
      <w:bCs/>
      <w:kern w:val="0"/>
      <w:sz w:val="20"/>
      <w:szCs w:val="20"/>
    </w:rPr>
  </w:style>
  <w:style w:type="paragraph" w:customStyle="1" w:styleId="45">
    <w:name w:val="xl76"/>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宋体" w:hAnsi="宋体" w:cs="宋体"/>
      <w:color w:val="FF0000"/>
      <w:kern w:val="0"/>
      <w:sz w:val="20"/>
      <w:szCs w:val="20"/>
    </w:rPr>
  </w:style>
  <w:style w:type="paragraph" w:customStyle="1" w:styleId="46">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szCs w:val="20"/>
    </w:rPr>
  </w:style>
  <w:style w:type="paragraph" w:customStyle="1" w:styleId="47">
    <w:name w:val="xl7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kern w:val="0"/>
      <w:sz w:val="20"/>
      <w:szCs w:val="20"/>
    </w:rPr>
  </w:style>
  <w:style w:type="paragraph" w:styleId="48">
    <w:name w:val="List Paragraph"/>
    <w:basedOn w:val="1"/>
    <w:qFormat/>
    <w:uiPriority w:val="0"/>
    <w:pPr>
      <w:ind w:firstLine="420" w:firstLineChars="200"/>
    </w:pPr>
    <w:rPr>
      <w:rFonts w:ascii="Times New Roman" w:hAnsi="Times New Roman"/>
      <w:szCs w:val="20"/>
    </w:rPr>
  </w:style>
  <w:style w:type="paragraph" w:customStyle="1" w:styleId="49">
    <w:name w:val="Table Paragraph"/>
    <w:basedOn w:val="1"/>
    <w:unhideWhenUsed/>
    <w:qFormat/>
    <w:uiPriority w:val="1"/>
    <w:pPr>
      <w:autoSpaceDE w:val="0"/>
      <w:autoSpaceDN w:val="0"/>
      <w:jc w:val="left"/>
    </w:pPr>
    <w:rPr>
      <w:rFonts w:ascii="宋体" w:hAnsi="宋体"/>
      <w:color w:val="000000"/>
      <w:kern w:val="0"/>
      <w:sz w:val="22"/>
      <w:szCs w:val="24"/>
      <w:lang w:val="zh-CN"/>
    </w:rPr>
  </w:style>
  <w:style w:type="character" w:customStyle="1" w:styleId="50">
    <w:name w:val="标题 1 Char"/>
    <w:basedOn w:val="17"/>
    <w:link w:val="3"/>
    <w:qFormat/>
    <w:uiPriority w:val="99"/>
    <w:rPr>
      <w:rFonts w:ascii="Arial" w:hAnsi="Arial" w:cs="Arial" w:eastAsiaTheme="minorEastAsia"/>
      <w:b/>
      <w:bCs/>
      <w:color w:val="000000"/>
      <w:sz w:val="32"/>
      <w:szCs w:val="32"/>
    </w:rPr>
  </w:style>
  <w:style w:type="character" w:customStyle="1" w:styleId="51">
    <w:name w:val="标题 2 Char"/>
    <w:basedOn w:val="17"/>
    <w:link w:val="4"/>
    <w:qFormat/>
    <w:uiPriority w:val="99"/>
    <w:rPr>
      <w:rFonts w:ascii="Arial" w:hAnsi="Arial" w:cs="Arial" w:eastAsiaTheme="minorEastAsia"/>
      <w:b/>
      <w:bCs/>
      <w:i/>
      <w:iCs/>
      <w:color w:val="000000"/>
      <w:sz w:val="28"/>
      <w:szCs w:val="28"/>
    </w:rPr>
  </w:style>
  <w:style w:type="character" w:customStyle="1" w:styleId="52">
    <w:name w:val="标题 3 Char"/>
    <w:basedOn w:val="17"/>
    <w:link w:val="5"/>
    <w:qFormat/>
    <w:uiPriority w:val="99"/>
    <w:rPr>
      <w:rFonts w:ascii="Arial" w:hAnsi="Arial" w:cs="Arial" w:eastAsiaTheme="minorEastAsia"/>
      <w:b/>
      <w:bCs/>
      <w:color w:val="000000"/>
      <w:sz w:val="26"/>
      <w:szCs w:val="26"/>
    </w:rPr>
  </w:style>
  <w:style w:type="character" w:customStyle="1" w:styleId="53">
    <w:name w:val="font81"/>
    <w:basedOn w:val="17"/>
    <w:qFormat/>
    <w:uiPriority w:val="0"/>
    <w:rPr>
      <w:rFonts w:hint="eastAsia" w:ascii="宋体" w:hAnsi="宋体" w:eastAsia="宋体" w:cs="宋体"/>
      <w:color w:val="000000"/>
      <w:sz w:val="20"/>
      <w:szCs w:val="20"/>
      <w:u w:val="none"/>
      <w:vertAlign w:val="superscript"/>
    </w:rPr>
  </w:style>
  <w:style w:type="character" w:customStyle="1" w:styleId="54">
    <w:name w:val="font31"/>
    <w:basedOn w:val="17"/>
    <w:qFormat/>
    <w:uiPriority w:val="0"/>
    <w:rPr>
      <w:rFonts w:hint="eastAsia" w:ascii="宋体" w:hAnsi="宋体" w:eastAsia="宋体" w:cs="宋体"/>
      <w:color w:val="000000"/>
      <w:sz w:val="20"/>
      <w:szCs w:val="20"/>
      <w:u w:val="none"/>
    </w:rPr>
  </w:style>
  <w:style w:type="character" w:customStyle="1" w:styleId="55">
    <w:name w:val="font41"/>
    <w:basedOn w:val="17"/>
    <w:qFormat/>
    <w:uiPriority w:val="0"/>
    <w:rPr>
      <w:rFonts w:hint="eastAsia" w:ascii="宋体" w:hAnsi="宋体" w:eastAsia="宋体" w:cs="宋体"/>
      <w:color w:val="000000"/>
      <w:sz w:val="18"/>
      <w:szCs w:val="18"/>
      <w:u w:val="none"/>
    </w:rPr>
  </w:style>
  <w:style w:type="character" w:customStyle="1" w:styleId="56">
    <w:name w:val="font51"/>
    <w:basedOn w:val="17"/>
    <w:qFormat/>
    <w:uiPriority w:val="0"/>
    <w:rPr>
      <w:rFonts w:hint="eastAsia" w:ascii="宋体" w:hAnsi="宋体" w:eastAsia="宋体" w:cs="宋体"/>
      <w:color w:val="000000"/>
      <w:sz w:val="18"/>
      <w:szCs w:val="18"/>
      <w:u w:val="none"/>
      <w:vertAlign w:val="superscript"/>
    </w:rPr>
  </w:style>
  <w:style w:type="character" w:customStyle="1" w:styleId="57">
    <w:name w:val="font61"/>
    <w:basedOn w:val="17"/>
    <w:qFormat/>
    <w:uiPriority w:val="0"/>
    <w:rPr>
      <w:rFonts w:hint="eastAsia" w:ascii="宋体" w:hAnsi="宋体" w:eastAsia="宋体" w:cs="宋体"/>
      <w:color w:val="000000"/>
      <w:sz w:val="18"/>
      <w:szCs w:val="18"/>
      <w:u w:val="none"/>
      <w:vertAlign w:val="subscript"/>
    </w:rPr>
  </w:style>
  <w:style w:type="character" w:customStyle="1" w:styleId="58">
    <w:name w:val="未处理的提及2"/>
    <w:basedOn w:val="17"/>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2042</Words>
  <Characters>11640</Characters>
  <Lines>97</Lines>
  <Paragraphs>27</Paragraphs>
  <TotalTime>0</TotalTime>
  <ScaleCrop>false</ScaleCrop>
  <LinksUpToDate>false</LinksUpToDate>
  <CharactersWithSpaces>13655</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2025-02-25T10:31:00Z</dcterms:created>
  <dc:creator>lenovo</dc:creator>
  <cp:lastModifiedBy>Administrator</cp:lastModifiedBy>
  <dcterms:modified xsi:type="dcterms:W3CDTF">2025-06-18T08:01:15Z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167DDA9FC540409CB338793AE1F5E7E4</vt:lpwstr>
  </property>
  <property fmtid="{D5CDD505-2E9C-101B-9397-08002B2CF9AE}" pid="4" name="KSOTemplateDocerSaveRecord">
    <vt:lpwstr>eyJoZGlkIjoiN2I0NTcyZWFjYjZjOWY4NDZlODg3MGZiYzhlNjYyMjUiLCJ1c2VySWQiOiIxMTUxOTMzMjA2In0=</vt:lpwstr>
  </property>
</Properties>
</file>