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如有建议或意见，请以书面形式并加盖公章、注明联系人、联系方式，于202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rPr>
        <w:t>日17:00之前送至我单位，逾期不受理（如邮寄，202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rPr>
        <w:t>日17:00之后到达本公司的邮件将不再受理）。</w:t>
      </w:r>
    </w:p>
    <w:p>
      <w:pPr>
        <w:rPr>
          <w:rFonts w:hint="eastAsia" w:ascii="宋体" w:hAnsi="宋体" w:cs="宋体"/>
          <w:b/>
          <w:bCs/>
          <w:color w:val="000000" w:themeColor="text1"/>
          <w:sz w:val="30"/>
          <w:szCs w:val="44"/>
          <w14:textFill>
            <w14:solidFill>
              <w14:schemeClr w14:val="tx1"/>
            </w14:solidFill>
          </w14:textFill>
        </w:rPr>
      </w:pPr>
      <w:r>
        <w:rPr>
          <w:rFonts w:hint="eastAsia" w:ascii="宋体" w:hAnsi="宋体" w:cs="宋体"/>
          <w:b/>
          <w:bCs/>
          <w:color w:val="000000" w:themeColor="text1"/>
          <w:sz w:val="30"/>
          <w:szCs w:val="44"/>
          <w14:textFill>
            <w14:solidFill>
              <w14:schemeClr w14:val="tx1"/>
            </w14:solidFill>
          </w14:textFill>
        </w:rPr>
        <w:br w:type="page"/>
      </w:r>
      <w:bookmarkStart w:id="0" w:name="_GoBack"/>
      <w:bookmarkEnd w:id="0"/>
    </w:p>
    <w:p>
      <w:pPr>
        <w:spacing w:line="520" w:lineRule="exact"/>
        <w:ind w:firstLine="560"/>
        <w:jc w:val="center"/>
        <w:rPr>
          <w:rFonts w:hint="eastAsia" w:ascii="宋体" w:hAnsi="宋体" w:eastAsia="宋体" w:cs="宋体"/>
          <w:color w:val="auto"/>
        </w:rPr>
      </w:pPr>
      <w:r>
        <w:rPr>
          <w:rFonts w:hint="eastAsia" w:ascii="宋体" w:hAnsi="宋体" w:eastAsia="宋体" w:cs="宋体"/>
          <w:b/>
          <w:bCs/>
          <w:color w:val="auto"/>
          <w:sz w:val="30"/>
          <w:szCs w:val="44"/>
        </w:rPr>
        <w:t>第六章  采购需求</w:t>
      </w:r>
    </w:p>
    <w:p>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b/>
          <w:color w:val="auto"/>
          <w:sz w:val="28"/>
          <w:szCs w:val="28"/>
        </w:rPr>
        <w:t>一、采购标的</w:t>
      </w:r>
    </w:p>
    <w:p>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1、项目名称：</w:t>
      </w:r>
      <w:r>
        <w:rPr>
          <w:rFonts w:hint="eastAsia" w:ascii="宋体" w:hAnsi="宋体" w:eastAsia="宋体" w:cs="宋体"/>
          <w:color w:val="auto"/>
          <w:sz w:val="28"/>
          <w:szCs w:val="28"/>
          <w:lang w:eastAsia="zh-CN"/>
        </w:rPr>
        <w:t>睢宁县人民医院心血管病慢病筛查和管理平台建设</w:t>
      </w:r>
      <w:r>
        <w:rPr>
          <w:rFonts w:hint="eastAsia" w:ascii="宋体" w:hAnsi="宋体" w:eastAsia="宋体" w:cs="宋体"/>
          <w:color w:val="auto"/>
          <w:sz w:val="28"/>
          <w:szCs w:val="28"/>
        </w:rPr>
        <w:t>项目。</w:t>
      </w:r>
    </w:p>
    <w:p>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2、本次采购的为非进口产品</w:t>
      </w:r>
      <w:r>
        <w:rPr>
          <w:rFonts w:hint="eastAsia" w:ascii="宋体" w:hAnsi="宋体" w:eastAsia="宋体" w:cs="宋体"/>
          <w:color w:val="auto"/>
          <w:sz w:val="28"/>
          <w:szCs w:val="28"/>
          <w:lang w:eastAsia="zh-CN"/>
        </w:rPr>
        <w:t>。</w:t>
      </w:r>
    </w:p>
    <w:p>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b/>
          <w:color w:val="auto"/>
          <w:sz w:val="28"/>
          <w:szCs w:val="28"/>
        </w:rPr>
        <w:t>二、采购项目预算金额</w:t>
      </w:r>
    </w:p>
    <w:p>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b/>
          <w:color w:val="auto"/>
          <w:sz w:val="28"/>
          <w:szCs w:val="28"/>
        </w:rPr>
        <w:t>本项目不接受超过</w:t>
      </w:r>
      <w:r>
        <w:rPr>
          <w:rFonts w:hint="eastAsia" w:ascii="宋体" w:hAnsi="宋体" w:eastAsia="宋体" w:cs="宋体"/>
          <w:b/>
          <w:color w:val="auto"/>
          <w:sz w:val="28"/>
          <w:szCs w:val="28"/>
          <w:lang w:val="en-US" w:eastAsia="zh-CN"/>
        </w:rPr>
        <w:t>65</w:t>
      </w:r>
      <w:r>
        <w:rPr>
          <w:rFonts w:hint="eastAsia" w:ascii="宋体" w:hAnsi="宋体" w:eastAsia="宋体" w:cs="宋体"/>
          <w:b/>
          <w:color w:val="auto"/>
          <w:sz w:val="28"/>
          <w:szCs w:val="28"/>
        </w:rPr>
        <w:t>万元人民币（采购项目预算金额）的投标报价</w:t>
      </w:r>
      <w:r>
        <w:rPr>
          <w:rFonts w:hint="eastAsia" w:ascii="宋体" w:hAnsi="宋体" w:eastAsia="宋体" w:cs="宋体"/>
          <w:color w:val="auto"/>
          <w:sz w:val="28"/>
          <w:szCs w:val="28"/>
        </w:rPr>
        <w:t>。</w:t>
      </w:r>
    </w:p>
    <w:p>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报价包括产品价、税金、运费、安装调试、检验、保险、验收等全部费用。用户不再支付报价以外的任何费用。</w:t>
      </w:r>
    </w:p>
    <w:p>
      <w:pPr>
        <w:pBdr>
          <w:top w:val="none" w:color="000000" w:sz="0" w:space="0"/>
          <w:left w:val="none" w:color="000000" w:sz="0" w:space="0"/>
          <w:bottom w:val="none" w:color="000000" w:sz="0" w:space="0"/>
          <w:right w:val="none" w:color="000000" w:sz="0" w:space="0"/>
        </w:pBdr>
        <w:spacing w:line="520" w:lineRule="exact"/>
        <w:ind w:firstLine="562"/>
        <w:rPr>
          <w:rFonts w:hint="eastAsia" w:ascii="宋体" w:hAnsi="宋体" w:eastAsia="宋体" w:cs="宋体"/>
          <w:b/>
          <w:color w:val="000000"/>
          <w:sz w:val="28"/>
          <w:szCs w:val="28"/>
        </w:rPr>
      </w:pPr>
      <w:r>
        <w:rPr>
          <w:rFonts w:hint="eastAsia" w:ascii="宋体" w:hAnsi="宋体" w:eastAsia="宋体" w:cs="宋体"/>
          <w:b/>
          <w:color w:val="auto"/>
          <w:sz w:val="28"/>
          <w:szCs w:val="28"/>
        </w:rPr>
        <w:t>三、</w:t>
      </w:r>
      <w:r>
        <w:rPr>
          <w:rFonts w:hint="eastAsia" w:ascii="宋体" w:hAnsi="宋体" w:eastAsia="宋体" w:cs="宋体"/>
          <w:b/>
          <w:color w:val="000000"/>
          <w:sz w:val="28"/>
          <w:szCs w:val="28"/>
        </w:rPr>
        <w:t>总体要求</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lang w:val="en-US" w:eastAsia="zh-CN"/>
        </w:rPr>
        <w:t>（</w:t>
      </w:r>
      <w:r>
        <w:rPr>
          <w:rFonts w:hint="eastAsia" w:ascii="宋体" w:hAnsi="宋体" w:eastAsia="宋体" w:cs="宋体"/>
          <w:b/>
          <w:bCs/>
          <w:color w:val="000000"/>
          <w:sz w:val="28"/>
          <w:szCs w:val="28"/>
          <w:highlight w:val="none"/>
          <w:lang w:val="en-US" w:eastAsia="zh-CN"/>
        </w:rPr>
        <w:t>一）建设目标与范围：</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1.在“心电一张网”基础上，建设面向“睢宁县人民医院—镇卫生院—智慧化村卫生室（首批40个）”三级协同的心血管慢病平台，首期聚焦两大病种：</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（1）冠心病介入治疗术后随访与二级预防；</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（2）心房颤动（AF）全程管理（评估–抗栓–控率/控律）。</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2.覆盖建档、随访（化验、心电、心超等）、用药指导、上下转诊、远程会诊、统计报表与质量考核。</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3.完整接入物联网设备：蓝牙/有线12导联心电图机、PAD、电子血压计、血糖仪；采用居民身份证核验，实现一次建档，多点共享。</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（二）平台性能要求：</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1.先进性</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考虑到医院业务发展所带来的海量数据处理，基层心血管慢病信息化平台建设须确保未来5年内满足医院业务运作。支持大用户量并发访问，至少能够支持2000个客户端并发访问，支持大并发下的缓存技术，页面异步数据交换。平台应具备AI大模型技术在慢病管理中有效运用的能力。</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2.实时性</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临床信息系统业务处理频繁、信息交换量较大，业务处理的速度直接关系到医院正常运作和经济效益，以及客户对医院的评价。在正常情况下，平台必须保证在大量业务运行良好的同时，拥有实时的快速响应能力，确保整个业务系统的畅通。系统软件所使用的数据库应至少与Oracle 9i/10g或Microsoft SQL Server 2008/2012同等规模或更大，对于数据库复杂查询的响应时间能够达到秒级。</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3.安全性</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应用系统在安全架构设计上，要满足《信息安全技术网络安全等级保护基本要求》（GB/T22239-2019）中3级等保要求，整个系统具有有效安全防护以及物理保护措施，数据库服务器部署内网支持通过网络隔离设备与医院外网进行物理隔离。另外同时软件系统安全可靠，能够有效防止来自医院内部和外部的攻击，从而可以防止患者的数据泄露或者窃取；在网络层和应用层要保证各个关键业务独立，架构中各个角色只通过接口通信，进而保证数据安全性与模块独立性。接受医院及上级部门定期组织的漏洞扫描、渗透测试、攻击演练，需采取有效措施保障系统安全并限期整改安全问题及漏洞。</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支持用户操作权限分级管理，能够根据不同角色对用户进行权限配置和管理，保证系统数据安全；支持数据加密管理，包括数据存储加密、数据传输加密等，保证用户信息和系统业务数据的安全，互联网环境下信息系统所有数据须进行加密传输，对外仅保留必要的数据信息，核心及全量数据不对互联网暴露。涉及患者隐私的数据支持加密存储与传输，保证用户信息和系统业务数据的安全。加密必须采用国产加密算法；支持防盗链技术，防止院内资源被未经授权的第三方引用；支持与医院CA认证系统对接，集成数字签名和电子签章等功能；具备数据备份与恢复功能，提供数据库在线备份和故障恢复工具，保障数据库系统完全故障后能迅速恢复到故障前状态；具有完备的日志记录和管理功能，能及时准确地记录用户登录与退出、业务操作、数据同步等各类日志，支持根据时间、操作类型、关键字等进行日志内容检索，为系统故障排查和系统数据安全提供保障。</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4.兼容性</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系统使用服务器支持目前主流的操作系统（包括国产操作系统）环境；系统使用数据库支持在主流大型关系数据库（包括国产化数据库）；客户端支持主流操作系统，兼容当前主流浏览器。患者移动端支持HarmonyOS、Andriod、IOS等主流操作系统，支持嵌入医院微信小程序或微信服务号、APP，自适应移动设备在线浏览，实现良好的跨平台能力，便于与不同系统间的数据交互。</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5.可扩展性</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平台应具备良好的扩展性，开放性和移植性。支持根据医院业务进行功能拓展，支持通过多种方式与医院其他业务系统平台进行对接和数据交互。平台支持在区域医联体单位内拓展延伸。</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6.易维护性</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平台可支持自维护系统基础设置数据项。系统升级和日常维护只需要在服务器进行即可。支持系统设置和维护功能，包括用户和权限设置、字段维护、代码表维护、日志监控、数据批量处理、远程备份、数据同步等。</w:t>
      </w:r>
    </w:p>
    <w:p>
      <w:pPr>
        <w:pBdr>
          <w:top w:val="none" w:color="000000" w:sz="0" w:space="0"/>
          <w:left w:val="none" w:color="000000" w:sz="0" w:space="0"/>
          <w:bottom w:val="none" w:color="000000" w:sz="0" w:space="0"/>
          <w:right w:val="none" w:color="000000" w:sz="0" w:space="0"/>
        </w:pBdr>
        <w:spacing w:line="520" w:lineRule="exact"/>
        <w:ind w:firstLine="562"/>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四、</w:t>
      </w:r>
      <w:r>
        <w:rPr>
          <w:rFonts w:hint="eastAsia" w:ascii="宋体" w:hAnsi="宋体" w:eastAsia="宋体" w:cs="宋体"/>
          <w:b/>
          <w:color w:val="000000"/>
          <w:sz w:val="28"/>
          <w:szCs w:val="28"/>
          <w:highlight w:val="none"/>
        </w:rPr>
        <w:t>主要技术指标要求</w:t>
      </w:r>
    </w:p>
    <w:tbl>
      <w:tblPr>
        <w:tblStyle w:val="8"/>
        <w:tblW w:w="9620" w:type="dxa"/>
        <w:tblInd w:w="117"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
        <w:gridCol w:w="828"/>
        <w:gridCol w:w="1544"/>
        <w:gridCol w:w="2003"/>
        <w:gridCol w:w="1"/>
        <w:gridCol w:w="522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0" w:hRule="atLeast"/>
        </w:trPr>
        <w:tc>
          <w:tcPr>
            <w:tcW w:w="843" w:type="dxa"/>
            <w:gridSpan w:val="2"/>
            <w:tcBorders>
              <w:top w:val="single" w:color="auto" w:sz="8" w:space="0"/>
              <w:left w:val="single" w:color="auto" w:sz="8" w:space="0"/>
              <w:bottom w:val="single" w:color="auto" w:sz="8" w:space="0"/>
              <w:right w:val="single" w:color="auto" w:sz="8" w:space="0"/>
            </w:tcBorders>
            <w:vAlign w:val="center"/>
          </w:tcPr>
          <w:p>
            <w:pPr>
              <w:spacing w:before="5"/>
              <w:jc w:val="center"/>
              <w:rPr>
                <w:rFonts w:hint="eastAsia" w:ascii="宋体" w:hAnsi="宋体" w:eastAsia="宋体" w:cs="宋体"/>
                <w:b/>
                <w:bCs/>
                <w:sz w:val="28"/>
                <w:szCs w:val="28"/>
              </w:rPr>
            </w:pPr>
            <w:r>
              <w:rPr>
                <w:rFonts w:hint="eastAsia" w:ascii="宋体" w:hAnsi="宋体" w:eastAsia="宋体" w:cs="宋体"/>
                <w:sz w:val="28"/>
                <w:szCs w:val="28"/>
              </w:rPr>
              <w:t>序号</w:t>
            </w:r>
          </w:p>
        </w:tc>
        <w:tc>
          <w:tcPr>
            <w:tcW w:w="1544" w:type="dxa"/>
            <w:tcBorders>
              <w:top w:val="single" w:color="auto" w:sz="8" w:space="0"/>
              <w:left w:val="single" w:color="auto" w:sz="8" w:space="0"/>
              <w:bottom w:val="single" w:color="auto" w:sz="8" w:space="0"/>
              <w:right w:val="single" w:color="auto" w:sz="8" w:space="0"/>
            </w:tcBorders>
            <w:vAlign w:val="center"/>
          </w:tcPr>
          <w:p>
            <w:pPr>
              <w:spacing w:before="5"/>
              <w:jc w:val="center"/>
              <w:rPr>
                <w:rFonts w:hint="eastAsia" w:ascii="宋体" w:hAnsi="宋体" w:eastAsia="宋体" w:cs="宋体"/>
                <w:b/>
                <w:bCs/>
                <w:sz w:val="28"/>
                <w:szCs w:val="28"/>
              </w:rPr>
            </w:pPr>
            <w:r>
              <w:rPr>
                <w:rFonts w:hint="eastAsia" w:ascii="宋体" w:hAnsi="宋体" w:eastAsia="宋体" w:cs="宋体"/>
                <w:sz w:val="28"/>
                <w:szCs w:val="28"/>
              </w:rPr>
              <w:t>功能要求</w:t>
            </w:r>
          </w:p>
        </w:tc>
        <w:tc>
          <w:tcPr>
            <w:tcW w:w="2003" w:type="dxa"/>
            <w:tcBorders>
              <w:top w:val="single" w:color="auto" w:sz="8" w:space="0"/>
              <w:left w:val="single" w:color="auto" w:sz="8" w:space="0"/>
              <w:bottom w:val="single" w:color="auto" w:sz="8" w:space="0"/>
              <w:right w:val="single" w:color="auto" w:sz="8" w:space="0"/>
            </w:tcBorders>
            <w:vAlign w:val="center"/>
          </w:tcPr>
          <w:p>
            <w:pPr>
              <w:spacing w:before="5"/>
              <w:jc w:val="center"/>
              <w:rPr>
                <w:rFonts w:hint="eastAsia" w:ascii="宋体" w:hAnsi="宋体" w:eastAsia="宋体" w:cs="宋体"/>
                <w:sz w:val="28"/>
                <w:szCs w:val="28"/>
              </w:rPr>
            </w:pPr>
            <w:r>
              <w:rPr>
                <w:rFonts w:hint="eastAsia" w:ascii="宋体" w:hAnsi="宋体" w:eastAsia="宋体" w:cs="宋体"/>
                <w:sz w:val="28"/>
                <w:szCs w:val="28"/>
              </w:rPr>
              <w:t>功能模块</w:t>
            </w:r>
          </w:p>
        </w:tc>
        <w:tc>
          <w:tcPr>
            <w:tcW w:w="5230" w:type="dxa"/>
            <w:gridSpan w:val="2"/>
            <w:tcBorders>
              <w:top w:val="single" w:color="auto" w:sz="8" w:space="0"/>
              <w:left w:val="single" w:color="auto" w:sz="8" w:space="0"/>
              <w:bottom w:val="single" w:color="auto" w:sz="8" w:space="0"/>
              <w:right w:val="single" w:color="auto" w:sz="8" w:space="0"/>
            </w:tcBorders>
            <w:vAlign w:val="center"/>
          </w:tcPr>
          <w:p>
            <w:pPr>
              <w:spacing w:before="5"/>
              <w:jc w:val="center"/>
              <w:rPr>
                <w:rFonts w:hint="eastAsia" w:ascii="宋体" w:hAnsi="宋体" w:eastAsia="宋体" w:cs="宋体"/>
                <w:sz w:val="28"/>
                <w:szCs w:val="28"/>
              </w:rPr>
            </w:pPr>
            <w:r>
              <w:rPr>
                <w:rFonts w:hint="eastAsia" w:ascii="宋体" w:hAnsi="宋体" w:eastAsia="宋体" w:cs="宋体"/>
                <w:sz w:val="28"/>
                <w:szCs w:val="28"/>
              </w:rPr>
              <w:t>具体描述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10" w:hRule="atLeast"/>
        </w:trPr>
        <w:tc>
          <w:tcPr>
            <w:tcW w:w="843" w:type="dxa"/>
            <w:gridSpan w:val="2"/>
            <w:vMerge w:val="restart"/>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1</w:t>
            </w:r>
          </w:p>
        </w:tc>
        <w:tc>
          <w:tcPr>
            <w:tcW w:w="1544"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建档</w:t>
            </w:r>
          </w:p>
        </w:tc>
        <w:tc>
          <w:tcPr>
            <w:tcW w:w="7233" w:type="dxa"/>
            <w:gridSpan w:val="3"/>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医生PC工作站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0" w:hRule="atLeast"/>
        </w:trPr>
        <w:tc>
          <w:tcPr>
            <w:tcW w:w="843" w:type="dxa"/>
            <w:gridSpan w:val="2"/>
            <w:vMerge w:val="continue"/>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患者建档</w:t>
            </w:r>
          </w:p>
        </w:tc>
        <w:tc>
          <w:tcPr>
            <w:tcW w:w="5229" w:type="dxa"/>
            <w:tcBorders>
              <w:top w:val="single" w:color="auto" w:sz="8" w:space="0"/>
              <w:left w:val="single" w:color="auto" w:sz="8" w:space="0"/>
              <w:bottom w:val="single" w:color="auto" w:sz="8" w:space="0"/>
              <w:right w:val="single" w:color="auto" w:sz="8"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支持患者身份证号作为唯一身份识别信息，通过读卡器自动建档及手动等输入方式快速建档，建档同时支持现有慢病状态选择，并根据已配置的随访策略归类随访队列，建档信息需进行二次确认，建档信息完成后需支持便携式条码打印机打印身份识别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0" w:hRule="atLeast"/>
        </w:trPr>
        <w:tc>
          <w:tcPr>
            <w:tcW w:w="843" w:type="dxa"/>
            <w:gridSpan w:val="2"/>
            <w:vMerge w:val="restart"/>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2</w:t>
            </w:r>
          </w:p>
        </w:tc>
        <w:tc>
          <w:tcPr>
            <w:tcW w:w="1544"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居民档案</w:t>
            </w:r>
          </w:p>
        </w:tc>
        <w:tc>
          <w:tcPr>
            <w:tcW w:w="7233" w:type="dxa"/>
            <w:gridSpan w:val="3"/>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医生PC工作站-居民档案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0" w:hRule="atLeast"/>
        </w:trPr>
        <w:tc>
          <w:tcPr>
            <w:tcW w:w="843" w:type="dxa"/>
            <w:gridSpan w:val="2"/>
            <w:vMerge w:val="continue"/>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档案列表</w:t>
            </w:r>
          </w:p>
        </w:tc>
        <w:tc>
          <w:tcPr>
            <w:tcW w:w="5229" w:type="dxa"/>
            <w:tcBorders>
              <w:top w:val="single" w:color="auto" w:sz="8" w:space="0"/>
              <w:left w:val="single" w:color="auto" w:sz="8" w:space="0"/>
              <w:bottom w:val="single" w:color="auto" w:sz="8" w:space="0"/>
              <w:right w:val="single" w:color="auto" w:sz="8" w:space="0"/>
            </w:tcBorders>
            <w:vAlign w:val="center"/>
          </w:tcPr>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1.列表显示：需支持姓名、慢病病种（按国家慢病标准色标记）、身份证号码（需支持加密及脱敏显示）、年龄、性别、手机号码（需支持加密及脱敏显示）、性别、家庭住址、归属医疗机构、责任医生、建档日期、房颤、房颤管理、心衰、冠心病、慢阻肺、糖尿病、高血压、高血压管理、高血脂管理、糖尿病管理、慢阻肺管理、并发症已做项目、高血压靶器官已做项目、三高人群、三高达标、家庭团队、家庭医生、签约时间、服务开始时间、服务结束时间、总金额显示，列表需支持快速接诊、详情浏览及档案删除操作（根据权限配置）。</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2.列表统计：需支持全部居民档案统计与筛选，需支持按慢病病种统计与筛选，需支持死亡人员名单列表查看（支持姓名、慢病病种标记（按国家慢病标准色标记）、性别、年龄、手机号（需支持加密及脱敏显示），身份证号码（需支持加密及脱敏显示）、管理机构名称、死亡时间、死亡原因）显示。</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3.检索：需支持建档时间段选择检索，需支持冠心病状态检索、心衰状态检索、高血压状态检索、房颤状态检索。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0" w:hRule="atLeast"/>
        </w:trPr>
        <w:tc>
          <w:tcPr>
            <w:tcW w:w="843" w:type="dxa"/>
            <w:gridSpan w:val="2"/>
            <w:vMerge w:val="continue"/>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▲个人档案详情</w:t>
            </w:r>
          </w:p>
        </w:tc>
        <w:tc>
          <w:tcPr>
            <w:tcW w:w="5229" w:type="dxa"/>
            <w:tcBorders>
              <w:top w:val="single" w:color="auto" w:sz="8" w:space="0"/>
              <w:left w:val="single" w:color="auto" w:sz="8" w:space="0"/>
              <w:bottom w:val="single" w:color="auto" w:sz="8" w:space="0"/>
              <w:right w:val="single" w:color="auto" w:sz="8" w:space="0"/>
            </w:tcBorders>
            <w:vAlign w:val="center"/>
          </w:tcPr>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1.档案预览：支持个人姓名、年龄、性别和慢病病种展示，支持最近测量的血压展示、血脂展示、心电图展示，支持最近接诊记录展示、随访记录展示。</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2.居民档案：展示和可编辑居民人口学信息</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3.血压测量记录：根据时间线，列出全周期所有血压测量记录，异常血压值需进行标识。</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4.血糖测量记录：根据时间线，列出全周期所有血糖测量记录，异常血糖值需进行标识。</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5.慢阻肺测量记录：根据时间线，列出全周期慢阻肺测量记录，异常值需进行标识。</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6.BNP测量记录：根据时间线，列出全周期的所有BNP检测记录，异常BNP需进行标识。</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7.接诊记录：展示全周期所有的接诊记录，显示接诊日期、接诊医生、取消接诊原因、接诊状态和接诊详情查看。</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8.检查检验记录：展示全周期所有检查检验记录，显示检查检验日期、操作医生、取消原因、检查状态和详情。</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9.规范管理记录：展示全周期所有规范管理记录，显示规范管理日期、管理医生、取消管理原因、管理状态和详情。</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10.转诊记录：展示全周期转诊记录，显示申请时间、申请类型、转出单位、转入单位、转诊建议、转出原因、和转诊详情。</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11.会诊记录：展示全周期会诊记录，显示会诊编号、会诊时间、申请会诊医生、远程会诊专家和会诊回放。</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12.签约记录：展示病种的签约记录，展示家庭医生团队、家庭医生、签约服务包、签约金额、签约开始日期、签约结束日期、状态和详情查看。</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13.用药记录：展示建档后全周期用药记录，展示药品名称、每日次数、每日用量、开具单位和备注。</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14.不良事件：展示全周期不良事件，显示不良事件类型、机构名称、不良事件发生时间和不良事件详情查看。</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15.并发症AI预测：需支持慢阻肺急性加重、糖尿病视网膜病变、糖尿病肾病预测判别。</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16.筛查报告：展示管理筛查报告，并支持报告预览、打印。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40" w:hRule="atLeast"/>
        </w:trPr>
        <w:tc>
          <w:tcPr>
            <w:tcW w:w="843" w:type="dxa"/>
            <w:gridSpan w:val="2"/>
            <w:vMerge w:val="restart"/>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3</w:t>
            </w:r>
          </w:p>
        </w:tc>
        <w:tc>
          <w:tcPr>
            <w:tcW w:w="1544" w:type="dxa"/>
            <w:vMerge w:val="restart"/>
            <w:tcBorders>
              <w:top w:val="single" w:color="auto" w:sz="8" w:space="0"/>
              <w:left w:val="single" w:color="auto" w:sz="8" w:space="0"/>
              <w:bottom w:val="single" w:color="auto" w:sz="4"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人群筛查</w:t>
            </w:r>
          </w:p>
        </w:tc>
        <w:tc>
          <w:tcPr>
            <w:tcW w:w="7233" w:type="dxa"/>
            <w:gridSpan w:val="3"/>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医生PC工作站-人群筛查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0" w:hRule="atLeast"/>
        </w:trPr>
        <w:tc>
          <w:tcPr>
            <w:tcW w:w="843" w:type="dxa"/>
            <w:gridSpan w:val="2"/>
            <w:vMerge w:val="continue"/>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top w:val="single" w:color="auto" w:sz="8" w:space="0"/>
              <w:left w:val="single" w:color="auto" w:sz="8" w:space="0"/>
              <w:bottom w:val="single" w:color="auto" w:sz="4"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人群筛查列表</w:t>
            </w:r>
          </w:p>
        </w:tc>
        <w:tc>
          <w:tcPr>
            <w:tcW w:w="5229" w:type="dxa"/>
            <w:tcBorders>
              <w:top w:val="single" w:color="auto" w:sz="8" w:space="0"/>
              <w:left w:val="single" w:color="auto" w:sz="8" w:space="0"/>
              <w:bottom w:val="single" w:color="auto" w:sz="8" w:space="0"/>
              <w:right w:val="single" w:color="auto" w:sz="8" w:space="0"/>
            </w:tcBorders>
            <w:vAlign w:val="center"/>
          </w:tcPr>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1.来源：需支持来自PC工作站筛查和小程序客户端普查（支持按二维码绑定的医生自动导入）</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2.列表：需展示普查人姓名、慢病病种（按国家慢病标准色标记）、年龄、身份证号码、手机号码、危险值、高血压普查结果、房颤普查结果、糖尿病普查结果、普查状态、创建时间，支持将普查结果转为正式居民档案与接诊流程，支持普查详情查看，支持无效数据删除，支持转正式档案后操作栏操作按钮判断。</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3.病种大类统计与筛选：支持按照全部和相关病种进行分类统计与筛选，与人群筛查列表进行联动。</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4.检索：需支持按普查时间段进行筛选，需支持按危险值的最小值和最大值进行筛选、需按普查状态进行筛选，需支持条件重置。</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5.AI筛查：需支持房颤、心衰、慢阻肺筛查模型。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96" w:hRule="atLeast"/>
        </w:trPr>
        <w:tc>
          <w:tcPr>
            <w:tcW w:w="843" w:type="dxa"/>
            <w:gridSpan w:val="2"/>
            <w:vMerge w:val="restart"/>
            <w:tcBorders>
              <w:top w:val="single" w:color="auto" w:sz="8" w:space="0"/>
              <w:left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4</w:t>
            </w:r>
          </w:p>
        </w:tc>
        <w:tc>
          <w:tcPr>
            <w:tcW w:w="1544" w:type="dxa"/>
            <w:vMerge w:val="restart"/>
            <w:tcBorders>
              <w:top w:val="single" w:color="auto" w:sz="4" w:space="0"/>
              <w:left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接诊中心</w:t>
            </w:r>
          </w:p>
        </w:tc>
        <w:tc>
          <w:tcPr>
            <w:tcW w:w="7233" w:type="dxa"/>
            <w:gridSpan w:val="3"/>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PC工作站-接诊中心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0" w:hRule="atLeast"/>
        </w:trPr>
        <w:tc>
          <w:tcPr>
            <w:tcW w:w="843" w:type="dxa"/>
            <w:gridSpan w:val="2"/>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接诊工作台</w:t>
            </w:r>
          </w:p>
        </w:tc>
        <w:tc>
          <w:tcPr>
            <w:tcW w:w="5229" w:type="dxa"/>
            <w:tcBorders>
              <w:top w:val="single" w:color="auto" w:sz="8" w:space="0"/>
              <w:left w:val="single" w:color="auto" w:sz="8" w:space="0"/>
              <w:bottom w:val="single" w:color="auto" w:sz="8" w:space="0"/>
              <w:right w:val="single" w:color="auto" w:sz="8" w:space="0"/>
            </w:tcBorders>
            <w:vAlign w:val="center"/>
          </w:tcPr>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1.接诊列表:需支持按姓名、慢病种类（按国家慢病标准色标记）、性别、质控状态、年龄、身份证号码（需支持加密及脱敏显示）、手机号码（需支持加密及脱敏显示）、地址、接诊医生、创建时间、接诊日期、取消接诊原因、状态和操作显示。</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2.病种大类统计与筛选：支持按照全部和相关病种进行分类统计与筛选，与人群筛查列表进行联动。</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3.检索：需支持按接诊时间段进行筛选，需支持按接诊状态筛选、接诊医生筛选和患者姓名身份证号混合筛选，需支持条件重置。</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4.新增接诊：需支持权限分配的接诊名单种选择患者进行接诊，选择弹窗中需展示患者姓名、年龄、慢病病种和医疗机构，新增接诊后需立即增配到接诊列表中。</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5.取消接诊：需支持对添加接诊的患者进行取消接诊和取消接诊原因记录。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0" w:hRule="atLeast"/>
        </w:trPr>
        <w:tc>
          <w:tcPr>
            <w:tcW w:w="843" w:type="dxa"/>
            <w:gridSpan w:val="2"/>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▲患者接诊</w:t>
            </w:r>
          </w:p>
        </w:tc>
        <w:tc>
          <w:tcPr>
            <w:tcW w:w="5229" w:type="dxa"/>
            <w:tcBorders>
              <w:top w:val="single" w:color="auto" w:sz="8" w:space="0"/>
              <w:left w:val="single" w:color="auto" w:sz="8" w:space="0"/>
              <w:bottom w:val="single" w:color="auto" w:sz="8" w:space="0"/>
              <w:right w:val="single" w:color="auto" w:sz="8" w:space="0"/>
            </w:tcBorders>
            <w:vAlign w:val="center"/>
          </w:tcPr>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1.状态展示：展示接诊状态、支持取消接诊、支持完成接诊操作、支持规范管理操作。</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2.支持接诊流程展示，并标记接诊流程所在环节。</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3.支持不同病种的问卷问诊</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4.支持高危筛查体查和部分病种项目检查，体查和部分病种检查项需支持设备数据自动上传（如心动超声图、心电图）并在PC工作站自动填充或选择。</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5.需支持病情诊断、诊断结果、诊断说明、高危筛查列表和问诊阳性数据。</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6.需支持并发症筛查，可动态添加检查检验项目。</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7.需支持动态条形码生成。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0" w:hRule="atLeast"/>
        </w:trPr>
        <w:tc>
          <w:tcPr>
            <w:tcW w:w="843" w:type="dxa"/>
            <w:gridSpan w:val="2"/>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专病管理</w:t>
            </w:r>
          </w:p>
        </w:tc>
        <w:tc>
          <w:tcPr>
            <w:tcW w:w="5229" w:type="dxa"/>
            <w:tcBorders>
              <w:top w:val="single" w:color="auto" w:sz="8" w:space="0"/>
              <w:left w:val="single" w:color="auto" w:sz="8" w:space="0"/>
              <w:bottom w:val="single" w:color="auto" w:sz="8" w:space="0"/>
              <w:right w:val="single" w:color="auto" w:sz="8" w:space="0"/>
            </w:tcBorders>
            <w:vAlign w:val="center"/>
          </w:tcPr>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1.需支持管理即将过期的患者列表，表内需展示患者姓名、慢病病种、性别、年龄、手机号、身份证号、即将逾期天数展示和操作。</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2.需支持血压管理异常患者列表，表内需支持姓名、慢病病种、性别、年龄、手机号、身份证号、监测时间、收缩压和舒张压。</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3.病种大类统计与筛选：支持按照全部和相关病种进行分类统计与筛选，与人群筛查列表进行联动。</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4.检索：需支持按管理时间段进行列表用户筛选，需支持按照管理医生进行筛选，需支持用户姓名和身份证混合筛选。</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5.新增规范管理：需支持选择规范管理的患者，患者列表需展示姓名、年龄、慢病病种和医疗机构。</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6.患者规范管理：支持对患者的快捷规范管理取消操作、完成管理操作、检查检验操作和服务包签订操作。</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7.需支持在规范管理中的远程会诊操作。</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8.需遵循风险评估、目标管理、治疗动作、目标检验和效果评估流程。</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9.风险评估需根据不同患者病种展示不同病种问卷，根据不同病种需制定不同的管理目标（可多选慢病病种），需支持管理周期选择，根据不同病种支持基线值和目标值录入。</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10.需支持治疗动作，如医学营养、运动处方、血糖监测、血压监测、药物监测等，需支持动态添加治疗动作，需支持个性化模板定制。</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11.目标检验需支持基线值、目标值和检测值的横向录入对比。</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12.根据基线值、目标值和检测值计算效果评估结果。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0" w:hRule="atLeast"/>
        </w:trPr>
        <w:tc>
          <w:tcPr>
            <w:tcW w:w="843" w:type="dxa"/>
            <w:gridSpan w:val="2"/>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检查检验</w:t>
            </w:r>
          </w:p>
        </w:tc>
        <w:tc>
          <w:tcPr>
            <w:tcW w:w="5229" w:type="dxa"/>
            <w:tcBorders>
              <w:top w:val="single" w:color="auto" w:sz="8" w:space="0"/>
              <w:left w:val="single" w:color="auto" w:sz="8" w:space="0"/>
              <w:bottom w:val="single" w:color="auto" w:sz="8" w:space="0"/>
              <w:right w:val="single" w:color="auto" w:sz="8"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需要支持规范管理中检查检验项目人员列表，列表中需展现人名、慢病病种、性别、年龄、检查检验项、操作医生、操作时间和对检查检验的进度控制（继续检查、完成检查和取消检查）。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0" w:hRule="atLeast"/>
        </w:trPr>
        <w:tc>
          <w:tcPr>
            <w:tcW w:w="843" w:type="dxa"/>
            <w:gridSpan w:val="2"/>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高危筛查记录</w:t>
            </w:r>
          </w:p>
        </w:tc>
        <w:tc>
          <w:tcPr>
            <w:tcW w:w="5229" w:type="dxa"/>
            <w:tcBorders>
              <w:top w:val="single" w:color="auto" w:sz="8" w:space="0"/>
              <w:left w:val="single" w:color="auto" w:sz="8" w:space="0"/>
              <w:bottom w:val="single" w:color="auto" w:sz="8" w:space="0"/>
              <w:right w:val="single" w:color="auto" w:sz="8"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需支持单独列出有高危项的患者，列表需展示姓名、慢病病种、性别、年龄、高危筛查项目、高危值、筛查医生、筛查时间和详情查看。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0" w:hRule="atLeast"/>
        </w:trPr>
        <w:tc>
          <w:tcPr>
            <w:tcW w:w="843" w:type="dxa"/>
            <w:gridSpan w:val="2"/>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病情诊断记录</w:t>
            </w:r>
          </w:p>
        </w:tc>
        <w:tc>
          <w:tcPr>
            <w:tcW w:w="5229" w:type="dxa"/>
            <w:tcBorders>
              <w:top w:val="single" w:color="auto" w:sz="8" w:space="0"/>
              <w:left w:val="single" w:color="auto" w:sz="8" w:space="0"/>
              <w:bottom w:val="single" w:color="auto" w:sz="8" w:space="0"/>
              <w:right w:val="single" w:color="auto" w:sz="8"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需支持单独病情诊断查看，列表需展现姓名、性别、年龄、病情诊断结果、诊断医生诊断时间和诊断详情查看。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0" w:hRule="atLeast"/>
        </w:trPr>
        <w:tc>
          <w:tcPr>
            <w:tcW w:w="843" w:type="dxa"/>
            <w:gridSpan w:val="2"/>
            <w:vMerge w:val="continue"/>
            <w:tcBorders>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并发症筛查详情</w:t>
            </w:r>
          </w:p>
        </w:tc>
        <w:tc>
          <w:tcPr>
            <w:tcW w:w="5229" w:type="dxa"/>
            <w:tcBorders>
              <w:top w:val="single" w:color="auto" w:sz="8" w:space="0"/>
              <w:left w:val="single" w:color="auto" w:sz="8" w:space="0"/>
              <w:bottom w:val="single" w:color="auto" w:sz="8" w:space="0"/>
              <w:right w:val="single" w:color="auto" w:sz="8"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需支持并发症筛查记录单独查看，可以看到在筛查或规范管理过程中筛查过并发症项目的患者，列表需展现姓名、年龄、性别、并发症筛查项、筛查医生、筛查时间、详情操作和AI预测结果。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0" w:hRule="atLeast"/>
        </w:trPr>
        <w:tc>
          <w:tcPr>
            <w:tcW w:w="843" w:type="dxa"/>
            <w:gridSpan w:val="2"/>
            <w:vMerge w:val="restart"/>
            <w:tcBorders>
              <w:top w:val="single" w:color="auto" w:sz="8" w:space="0"/>
              <w:left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5</w:t>
            </w:r>
          </w:p>
        </w:tc>
        <w:tc>
          <w:tcPr>
            <w:tcW w:w="1544" w:type="dxa"/>
            <w:vMerge w:val="restart"/>
            <w:tcBorders>
              <w:top w:val="single" w:color="auto" w:sz="8" w:space="0"/>
              <w:left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采集项</w:t>
            </w: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血常规</w:t>
            </w:r>
          </w:p>
        </w:tc>
        <w:tc>
          <w:tcPr>
            <w:tcW w:w="5229" w:type="dxa"/>
            <w:tcBorders>
              <w:top w:val="single" w:color="auto" w:sz="8" w:space="0"/>
              <w:left w:val="single" w:color="auto" w:sz="8" w:space="0"/>
              <w:bottom w:val="single" w:color="auto" w:sz="8" w:space="0"/>
              <w:right w:val="single" w:color="auto" w:sz="8"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需支持血常规检验单高拍仪拍摄，OCR自动提取检验项目、项目单位、项目范围和项目结果值，要求提取准确率≥95%，需支持高拍仪拍摄后自动留存底图，需支持OCR模板配置，需支持手动录入配置。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0" w:hRule="atLeast"/>
        </w:trPr>
        <w:tc>
          <w:tcPr>
            <w:tcW w:w="843" w:type="dxa"/>
            <w:gridSpan w:val="2"/>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▲心电图检查</w:t>
            </w:r>
          </w:p>
        </w:tc>
        <w:tc>
          <w:tcPr>
            <w:tcW w:w="5229" w:type="dxa"/>
            <w:tcBorders>
              <w:top w:val="single" w:color="auto" w:sz="8" w:space="0"/>
              <w:left w:val="single" w:color="auto" w:sz="8" w:space="0"/>
              <w:bottom w:val="single" w:color="auto" w:sz="8" w:space="0"/>
              <w:right w:val="single" w:color="auto" w:sz="8"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1.支持区域内常规心电图、频谱心电、QT离散度、时间向量查看心电图。</w:t>
            </w:r>
            <w:r>
              <w:rPr>
                <w:rFonts w:hint="eastAsia" w:ascii="宋体" w:hAnsi="宋体" w:eastAsia="宋体" w:cs="宋体"/>
                <w:sz w:val="28"/>
                <w:szCs w:val="28"/>
              </w:rPr>
              <w:br w:type="textWrapping"/>
            </w:r>
            <w:r>
              <w:rPr>
                <w:rFonts w:hint="eastAsia" w:ascii="宋体" w:hAnsi="宋体" w:eastAsia="宋体" w:cs="宋体"/>
                <w:sz w:val="28"/>
                <w:szCs w:val="28"/>
              </w:rPr>
              <w:t>2.支持心电图原始数据自动上传，需支持心电图结果展现（需支持HR、PR、RV5、SV1、QRS、QT/QTC、P/QRS/T、危急值展示，支持走速（5mm/s、6.25mm/s、10mm/s、12.5mm/s、25mm/s、50mm/s）、增益（2.5mm/mv、5mm/mv、10mm/mv、20mm/mv、40mm/mv）、布局（3*4、3*4+1、3*4+3、6*2、6*2+1、12*1）、导联（I，II，III，AVR、AVL、AVF、V1、V2、V3、V4、V5、V6），支持1-5x倍波形放大，支持0-9s时间线拖拽，支持心电图结论填写；需支持常规心电图、频谱心电图、QT离散心电图和时间向量数据波形绘制，需支持ZQECG双向传输加解密，需支持对16万+心电图点位进行毫秒级绘制，需支持多次采集和时间线查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0" w:hRule="atLeast"/>
        </w:trPr>
        <w:tc>
          <w:tcPr>
            <w:tcW w:w="843" w:type="dxa"/>
            <w:gridSpan w:val="2"/>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BNP</w:t>
            </w:r>
          </w:p>
        </w:tc>
        <w:tc>
          <w:tcPr>
            <w:tcW w:w="5229" w:type="dxa"/>
            <w:tcBorders>
              <w:top w:val="single" w:color="auto" w:sz="8" w:space="0"/>
              <w:left w:val="single" w:color="auto" w:sz="8" w:space="0"/>
              <w:bottom w:val="single" w:color="auto" w:sz="8" w:space="0"/>
              <w:right w:val="single" w:color="auto" w:sz="8"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需支持BNP数值自动上传，需支持BNP、NT-proBNP手动填写。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0" w:hRule="atLeast"/>
        </w:trPr>
        <w:tc>
          <w:tcPr>
            <w:tcW w:w="843" w:type="dxa"/>
            <w:gridSpan w:val="2"/>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▲超声心动图</w:t>
            </w:r>
          </w:p>
        </w:tc>
        <w:tc>
          <w:tcPr>
            <w:tcW w:w="5229" w:type="dxa"/>
            <w:tcBorders>
              <w:top w:val="single" w:color="auto" w:sz="8" w:space="0"/>
              <w:left w:val="single" w:color="auto" w:sz="8" w:space="0"/>
              <w:bottom w:val="single" w:color="auto" w:sz="8" w:space="0"/>
              <w:right w:val="single" w:color="auto" w:sz="8"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需支持区域内超声心动图、超声视频自动和手动上传，需支持左心房及左心室结构评估、右心房及右心室结构评估、大动脉结构评估、心功能评估-收缩功能、心功能评估-舒张功能、二尖瓣、三尖瓣、主动脉瓣、肺动脉瓣和左室流出道评估。需支持AI判读，支持左室长轴和四腔心两切面指标测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0" w:hRule="atLeast"/>
        </w:trPr>
        <w:tc>
          <w:tcPr>
            <w:tcW w:w="843" w:type="dxa"/>
            <w:gridSpan w:val="2"/>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糖化血红蛋白</w:t>
            </w:r>
          </w:p>
        </w:tc>
        <w:tc>
          <w:tcPr>
            <w:tcW w:w="5229" w:type="dxa"/>
            <w:tcBorders>
              <w:top w:val="single" w:color="auto" w:sz="8" w:space="0"/>
              <w:left w:val="single" w:color="auto" w:sz="8" w:space="0"/>
              <w:bottom w:val="single" w:color="auto" w:sz="8" w:space="0"/>
              <w:right w:val="single" w:color="auto" w:sz="8"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支持HbA1C数据采集，并提供指标、参考范围和参考意义及来源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0" w:hRule="atLeast"/>
        </w:trPr>
        <w:tc>
          <w:tcPr>
            <w:tcW w:w="843" w:type="dxa"/>
            <w:gridSpan w:val="2"/>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指尖血糖</w:t>
            </w:r>
          </w:p>
        </w:tc>
        <w:tc>
          <w:tcPr>
            <w:tcW w:w="5229" w:type="dxa"/>
            <w:tcBorders>
              <w:top w:val="single" w:color="auto" w:sz="8" w:space="0"/>
              <w:left w:val="single" w:color="auto" w:sz="8" w:space="0"/>
              <w:bottom w:val="single" w:color="auto" w:sz="8" w:space="0"/>
              <w:right w:val="single" w:color="auto" w:sz="8"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提供空腹血糖、随机血糖、餐后2小时血糖和既往空腹血糖录入和自动上传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0" w:hRule="atLeast"/>
        </w:trPr>
        <w:tc>
          <w:tcPr>
            <w:tcW w:w="843" w:type="dxa"/>
            <w:gridSpan w:val="2"/>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动态心电图</w:t>
            </w:r>
          </w:p>
        </w:tc>
        <w:tc>
          <w:tcPr>
            <w:tcW w:w="5229" w:type="dxa"/>
            <w:tcBorders>
              <w:top w:val="single" w:color="auto" w:sz="8" w:space="0"/>
              <w:left w:val="single" w:color="auto" w:sz="8" w:space="0"/>
              <w:bottom w:val="single" w:color="auto" w:sz="8" w:space="0"/>
              <w:right w:val="single" w:color="auto" w:sz="8"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需支持心率、室性、房性、交界性、HRV、ST段分析、房颤/房扑、起搏评估，需支持动态心电图报告上传。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0" w:hRule="atLeast"/>
        </w:trPr>
        <w:tc>
          <w:tcPr>
            <w:tcW w:w="843" w:type="dxa"/>
            <w:gridSpan w:val="2"/>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24小时动态血压</w:t>
            </w:r>
          </w:p>
        </w:tc>
        <w:tc>
          <w:tcPr>
            <w:tcW w:w="5229" w:type="dxa"/>
            <w:tcBorders>
              <w:top w:val="single" w:color="auto" w:sz="8" w:space="0"/>
              <w:left w:val="single" w:color="auto" w:sz="8" w:space="0"/>
              <w:bottom w:val="single" w:color="auto" w:sz="8" w:space="0"/>
              <w:right w:val="single" w:color="auto" w:sz="8"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需支持24小时平均血压、日间平均血压、夜间平均血压、夜间血压下降率、晨峰血压和动态血压系数的数值填报。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0" w:hRule="atLeast"/>
        </w:trPr>
        <w:tc>
          <w:tcPr>
            <w:tcW w:w="843" w:type="dxa"/>
            <w:gridSpan w:val="2"/>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尿常规</w:t>
            </w:r>
          </w:p>
        </w:tc>
        <w:tc>
          <w:tcPr>
            <w:tcW w:w="5229" w:type="dxa"/>
            <w:tcBorders>
              <w:top w:val="single" w:color="auto" w:sz="8" w:space="0"/>
              <w:left w:val="single" w:color="auto" w:sz="8" w:space="0"/>
              <w:bottom w:val="single" w:color="auto" w:sz="8" w:space="0"/>
              <w:right w:val="single" w:color="auto" w:sz="8"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需支持尿常规检验单高拍仪拍摄，OCR自动提取检验项目、项目单位、项目范围和项目结果值，要求提取准确率≥95%，需支持高拍仪拍摄后自动留存底图，需支持OCR模板配置，需支持手动录入配置。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0" w:hRule="atLeast"/>
        </w:trPr>
        <w:tc>
          <w:tcPr>
            <w:tcW w:w="843" w:type="dxa"/>
            <w:gridSpan w:val="2"/>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肢体动脉硬化</w:t>
            </w:r>
          </w:p>
        </w:tc>
        <w:tc>
          <w:tcPr>
            <w:tcW w:w="5229" w:type="dxa"/>
            <w:tcBorders>
              <w:top w:val="single" w:color="auto" w:sz="8" w:space="0"/>
              <w:left w:val="single" w:color="auto" w:sz="8" w:space="0"/>
              <w:bottom w:val="single" w:color="auto" w:sz="8" w:space="0"/>
              <w:right w:val="single" w:color="auto" w:sz="8"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需支持上臂、脚裸的SBP、MBP、DBP和PP值项，需支持左右踝臂指数ABI、臂踝指数BAI和脉搏波传导速度PWV值项，需支持设备自动上传数据到系统中。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0" w:hRule="atLeast"/>
        </w:trPr>
        <w:tc>
          <w:tcPr>
            <w:tcW w:w="843" w:type="dxa"/>
            <w:gridSpan w:val="2"/>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生化</w:t>
            </w:r>
          </w:p>
        </w:tc>
        <w:tc>
          <w:tcPr>
            <w:tcW w:w="5229" w:type="dxa"/>
            <w:tcBorders>
              <w:top w:val="single" w:color="auto" w:sz="8" w:space="0"/>
              <w:left w:val="single" w:color="auto" w:sz="8" w:space="0"/>
              <w:bottom w:val="single" w:color="auto" w:sz="8" w:space="0"/>
              <w:right w:val="single" w:color="auto" w:sz="8"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需支持生化检验单高拍仪拍摄，OCR自动提取检验项目、项目单位、项目范围和项目结果值，要求提取准确率≥95%，需支持高拍仪拍摄后自动留存底图，需支持OCR模板配置，需支持手动录入配置。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0" w:hRule="atLeast"/>
        </w:trPr>
        <w:tc>
          <w:tcPr>
            <w:tcW w:w="843" w:type="dxa"/>
            <w:gridSpan w:val="2"/>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肌电图检查</w:t>
            </w:r>
          </w:p>
        </w:tc>
        <w:tc>
          <w:tcPr>
            <w:tcW w:w="5229" w:type="dxa"/>
            <w:tcBorders>
              <w:top w:val="single" w:color="auto" w:sz="8" w:space="0"/>
              <w:left w:val="single" w:color="auto" w:sz="8" w:space="0"/>
              <w:bottom w:val="single" w:color="auto" w:sz="8" w:space="0"/>
              <w:right w:val="single" w:color="auto" w:sz="8"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需支持左右正中神经、左右尺神经、左右桡神经、左右腓总神经、左右胫神经的MVC、和SVC检查，需支持设备自动上传数据到系统中。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0" w:hRule="atLeast"/>
        </w:trPr>
        <w:tc>
          <w:tcPr>
            <w:tcW w:w="843" w:type="dxa"/>
            <w:gridSpan w:val="2"/>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眼底照相</w:t>
            </w:r>
          </w:p>
        </w:tc>
        <w:tc>
          <w:tcPr>
            <w:tcW w:w="5229" w:type="dxa"/>
            <w:tcBorders>
              <w:top w:val="single" w:color="auto" w:sz="8" w:space="0"/>
              <w:left w:val="single" w:color="auto" w:sz="8" w:space="0"/>
              <w:bottom w:val="single" w:color="auto" w:sz="8" w:space="0"/>
              <w:right w:val="single" w:color="auto" w:sz="8"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需支持微血管瘤、棉絮斑、硬性渗出、视网膜内出血、视网膜内微血管异常、新生血管或增殖膜、视网膜前出血或玻璃体出血、激光斑、豹纹状眼底、近视弧形斑、玻璃膜疣、动静脉交叉压迹、动静脉比异常、银丝或铜丝证的检查，需支持设备自动上传数据到系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0" w:hRule="atLeast"/>
        </w:trPr>
        <w:tc>
          <w:tcPr>
            <w:tcW w:w="843" w:type="dxa"/>
            <w:gridSpan w:val="2"/>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ARC检查</w:t>
            </w:r>
          </w:p>
        </w:tc>
        <w:tc>
          <w:tcPr>
            <w:tcW w:w="5229" w:type="dxa"/>
            <w:tcBorders>
              <w:top w:val="single" w:color="auto" w:sz="8" w:space="0"/>
              <w:left w:val="single" w:color="auto" w:sz="8" w:space="0"/>
              <w:bottom w:val="single" w:color="auto" w:sz="8" w:space="0"/>
              <w:right w:val="single" w:color="auto" w:sz="8"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需支持尿微量白蛋白、肌酐、尿白蛋白/肌酐的数据填报，支持糖尿病ARC检查结果是否异常标记。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0" w:hRule="atLeast"/>
        </w:trPr>
        <w:tc>
          <w:tcPr>
            <w:tcW w:w="843" w:type="dxa"/>
            <w:gridSpan w:val="2"/>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颈动脉超声</w:t>
            </w:r>
          </w:p>
        </w:tc>
        <w:tc>
          <w:tcPr>
            <w:tcW w:w="5229" w:type="dxa"/>
            <w:tcBorders>
              <w:top w:val="single" w:color="auto" w:sz="8" w:space="0"/>
              <w:left w:val="single" w:color="auto" w:sz="8" w:space="0"/>
              <w:bottom w:val="single" w:color="auto" w:sz="8" w:space="0"/>
              <w:right w:val="single" w:color="auto" w:sz="8"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需要支持内-中膜厚度、检查印象、检查所见和检查记过标记，需支持超声图片与影像自动上传到系统。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0" w:hRule="atLeast"/>
        </w:trPr>
        <w:tc>
          <w:tcPr>
            <w:tcW w:w="843" w:type="dxa"/>
            <w:gridSpan w:val="2"/>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动态添加</w:t>
            </w:r>
          </w:p>
        </w:tc>
        <w:tc>
          <w:tcPr>
            <w:tcW w:w="5229" w:type="dxa"/>
            <w:tcBorders>
              <w:top w:val="single" w:color="auto" w:sz="8" w:space="0"/>
              <w:left w:val="single" w:color="auto" w:sz="8" w:space="0"/>
              <w:bottom w:val="single" w:color="auto" w:sz="8" w:space="0"/>
              <w:right w:val="single" w:color="auto" w:sz="8"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要求所有检查项在并发症筛查中在不中断当前业务的流程下可自由添加或删除。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0" w:hRule="atLeast"/>
        </w:trPr>
        <w:tc>
          <w:tcPr>
            <w:tcW w:w="843" w:type="dxa"/>
            <w:gridSpan w:val="2"/>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OGTT</w:t>
            </w:r>
          </w:p>
        </w:tc>
        <w:tc>
          <w:tcPr>
            <w:tcW w:w="5229" w:type="dxa"/>
            <w:tcBorders>
              <w:top w:val="single" w:color="auto" w:sz="8" w:space="0"/>
              <w:left w:val="single" w:color="auto" w:sz="8" w:space="0"/>
              <w:bottom w:val="single" w:color="auto" w:sz="8" w:space="0"/>
              <w:right w:val="single" w:color="auto" w:sz="8"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需支持空腹血糖、餐后0.5h血糖、餐后1h血糖、餐后2h血糖、餐后3h血糖的数据填报。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0" w:hRule="atLeast"/>
        </w:trPr>
        <w:tc>
          <w:tcPr>
            <w:tcW w:w="843" w:type="dxa"/>
            <w:gridSpan w:val="2"/>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空腹静脉血糖</w:t>
            </w:r>
          </w:p>
        </w:tc>
        <w:tc>
          <w:tcPr>
            <w:tcW w:w="5229" w:type="dxa"/>
            <w:tcBorders>
              <w:top w:val="single" w:color="auto" w:sz="8" w:space="0"/>
              <w:left w:val="single" w:color="auto" w:sz="8" w:space="0"/>
              <w:bottom w:val="single" w:color="auto" w:sz="8" w:space="0"/>
              <w:right w:val="single" w:color="auto" w:sz="8"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需支持空腹静脉血糖的数据填报。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0" w:hRule="atLeast"/>
        </w:trPr>
        <w:tc>
          <w:tcPr>
            <w:tcW w:w="843" w:type="dxa"/>
            <w:gridSpan w:val="2"/>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面部视诊</w:t>
            </w:r>
          </w:p>
        </w:tc>
        <w:tc>
          <w:tcPr>
            <w:tcW w:w="5229" w:type="dxa"/>
            <w:tcBorders>
              <w:top w:val="single" w:color="auto" w:sz="8" w:space="0"/>
              <w:left w:val="single" w:color="auto" w:sz="8" w:space="0"/>
              <w:bottom w:val="single" w:color="auto" w:sz="8" w:space="0"/>
              <w:right w:val="single" w:color="auto" w:sz="8"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支持多端互联面部视诊采集，含面部、头顶、左面、右面，采集后自动需使用图像无损压缩算法将体积减少至原片80%，算法计算时间小于10ms，上传后实时Web渲染。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0" w:hRule="atLeast"/>
        </w:trPr>
        <w:tc>
          <w:tcPr>
            <w:tcW w:w="843" w:type="dxa"/>
            <w:gridSpan w:val="2"/>
            <w:vMerge w:val="continue"/>
            <w:tcBorders>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心音采集</w:t>
            </w:r>
          </w:p>
        </w:tc>
        <w:tc>
          <w:tcPr>
            <w:tcW w:w="5229" w:type="dxa"/>
            <w:tcBorders>
              <w:top w:val="single" w:color="auto" w:sz="8" w:space="0"/>
              <w:left w:val="single" w:color="auto" w:sz="8" w:space="0"/>
              <w:bottom w:val="single" w:color="auto" w:sz="8" w:space="0"/>
              <w:right w:val="single" w:color="auto" w:sz="8"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心音采集音频信息后自动上传到服务端并分发在PC工作站和平板工作站，听诊要求需要标识心音、正面呼吸音、背面呼吸音。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40" w:hRule="atLeast"/>
        </w:trPr>
        <w:tc>
          <w:tcPr>
            <w:tcW w:w="843" w:type="dxa"/>
            <w:gridSpan w:val="2"/>
            <w:vMerge w:val="restart"/>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6</w:t>
            </w:r>
          </w:p>
        </w:tc>
        <w:tc>
          <w:tcPr>
            <w:tcW w:w="1544"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随访</w:t>
            </w: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▲随访中心</w:t>
            </w:r>
          </w:p>
        </w:tc>
        <w:tc>
          <w:tcPr>
            <w:tcW w:w="5229" w:type="dxa"/>
            <w:tcBorders>
              <w:top w:val="single" w:color="auto" w:sz="8" w:space="0"/>
              <w:left w:val="single" w:color="auto" w:sz="8" w:space="0"/>
              <w:bottom w:val="single" w:color="auto" w:sz="8" w:space="0"/>
              <w:right w:val="single" w:color="auto" w:sz="8" w:space="0"/>
            </w:tcBorders>
            <w:vAlign w:val="center"/>
          </w:tcPr>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1.人员添加：需支持对本账号下需随访的患者进行动态添加，添加时支持快速搜索，需显示姓名、年龄、慢病病种和所属医疗机构，需对重复添加患者进行确认，患者不可重复添加</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2.随访状态筛选与统计：需展现随访状态统计与筛选功能，支持全部随访、待随访、已完成、即将逾期和已逾期的随访状态，支持点击筛选，与随访列表联动。</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3.随访列表：列表需支持姓名、慢病病种、年龄、性别、身份证号（需支持加密及脱敏显示）、手机号（需支持加密及脱敏显示）、机构名称、随访方式、计划内外随访和计划下次随访日期，支持随访操作，支持查看和编辑操作。</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4.随访：支持房颤、心衰、冠心病等问卷随访、支持血压、支持发药管理、支持发药照片上传。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40" w:hRule="atLeast"/>
        </w:trPr>
        <w:tc>
          <w:tcPr>
            <w:tcW w:w="843" w:type="dxa"/>
            <w:gridSpan w:val="2"/>
            <w:vMerge w:val="continue"/>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随访分组</w:t>
            </w:r>
          </w:p>
        </w:tc>
        <w:tc>
          <w:tcPr>
            <w:tcW w:w="5229" w:type="dxa"/>
            <w:tcBorders>
              <w:top w:val="single" w:color="auto" w:sz="8" w:space="0"/>
              <w:left w:val="single" w:color="auto" w:sz="8" w:space="0"/>
              <w:bottom w:val="single" w:color="auto" w:sz="8" w:space="0"/>
              <w:right w:val="single" w:color="auto" w:sz="8"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需支持随访分组，支持组员添加与删除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40" w:hRule="atLeast"/>
        </w:trPr>
        <w:tc>
          <w:tcPr>
            <w:tcW w:w="843" w:type="dxa"/>
            <w:gridSpan w:val="2"/>
            <w:vMerge w:val="continue"/>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增访评估</w:t>
            </w:r>
          </w:p>
        </w:tc>
        <w:tc>
          <w:tcPr>
            <w:tcW w:w="5229" w:type="dxa"/>
            <w:tcBorders>
              <w:top w:val="single" w:color="auto" w:sz="8" w:space="0"/>
              <w:left w:val="single" w:color="auto" w:sz="8" w:space="0"/>
              <w:bottom w:val="single" w:color="auto" w:sz="8" w:space="0"/>
              <w:right w:val="single" w:color="auto" w:sz="8"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1.增访评估检索：需支持机构树筛选、姓名身份证号码混合筛选、处理状态筛选，联动增访评估列表内容展示。</w:t>
            </w:r>
          </w:p>
          <w:p>
            <w:pPr>
              <w:jc w:val="both"/>
              <w:rPr>
                <w:rFonts w:hint="eastAsia" w:ascii="宋体" w:hAnsi="宋体" w:eastAsia="宋体" w:cs="宋体"/>
                <w:sz w:val="28"/>
                <w:szCs w:val="28"/>
              </w:rPr>
            </w:pPr>
            <w:r>
              <w:rPr>
                <w:rFonts w:hint="eastAsia" w:ascii="宋体" w:hAnsi="宋体" w:eastAsia="宋体" w:cs="宋体"/>
                <w:sz w:val="28"/>
                <w:szCs w:val="28"/>
              </w:rPr>
              <w:t>2.增访评估列表：需支持患者姓名、慢病种类、年龄、性别、身份证号、手机号、机构名称、随访方式、随访日期、计划下次随访日期、随访医生、责任医生喝评估状态显示，支持评估操作，支持树形表单多次随访展现。</w:t>
            </w:r>
          </w:p>
          <w:p>
            <w:pPr>
              <w:jc w:val="both"/>
              <w:rPr>
                <w:rFonts w:hint="eastAsia" w:ascii="宋体" w:hAnsi="宋体" w:eastAsia="宋体" w:cs="宋体"/>
                <w:sz w:val="28"/>
                <w:szCs w:val="28"/>
              </w:rPr>
            </w:pPr>
            <w:r>
              <w:rPr>
                <w:rFonts w:hint="eastAsia" w:ascii="宋体" w:hAnsi="宋体" w:eastAsia="宋体" w:cs="宋体"/>
                <w:sz w:val="28"/>
                <w:szCs w:val="28"/>
              </w:rPr>
              <w:t>3.增访评估：需支持对问卷评估状态的稳定和异常标记。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497" w:hRule="atLeast"/>
        </w:trPr>
        <w:tc>
          <w:tcPr>
            <w:tcW w:w="843" w:type="dxa"/>
            <w:gridSpan w:val="2"/>
            <w:vMerge w:val="continue"/>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随访统计</w:t>
            </w:r>
          </w:p>
        </w:tc>
        <w:tc>
          <w:tcPr>
            <w:tcW w:w="5229" w:type="dxa"/>
            <w:tcBorders>
              <w:top w:val="single" w:color="auto" w:sz="8" w:space="0"/>
              <w:left w:val="single" w:color="auto" w:sz="8" w:space="0"/>
              <w:bottom w:val="single" w:color="auto" w:sz="8" w:space="0"/>
              <w:right w:val="single" w:color="auto" w:sz="8" w:space="0"/>
            </w:tcBorders>
            <w:vAlign w:val="center"/>
          </w:tcPr>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1.检索统计：需支持日期段查询、医疗机构树查询，查询联动统计列表进行展现。</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2.统计列表：需支持医生姓名、机构、随访总次数、计划内随访次数、计划外随访次数、诊室随访次数、电话随访次数和上门随访次数分别统计并合并总计。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20" w:hRule="atLeast"/>
        </w:trPr>
        <w:tc>
          <w:tcPr>
            <w:tcW w:w="843" w:type="dxa"/>
            <w:gridSpan w:val="2"/>
            <w:vMerge w:val="restart"/>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7</w:t>
            </w:r>
          </w:p>
        </w:tc>
        <w:tc>
          <w:tcPr>
            <w:tcW w:w="1544"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不良事件</w:t>
            </w: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不良事件</w:t>
            </w:r>
          </w:p>
        </w:tc>
        <w:tc>
          <w:tcPr>
            <w:tcW w:w="5229" w:type="dxa"/>
            <w:tcBorders>
              <w:top w:val="single" w:color="auto" w:sz="8" w:space="0"/>
              <w:left w:val="single" w:color="auto" w:sz="8" w:space="0"/>
              <w:bottom w:val="single" w:color="auto" w:sz="8" w:space="0"/>
              <w:right w:val="single" w:color="auto" w:sz="8" w:space="0"/>
            </w:tcBorders>
            <w:vAlign w:val="center"/>
          </w:tcPr>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1.不良事件新增：需支持医疗机构选择（默认为当前医疗机构，多机构账户根据权限需支持医疗机构选择），支持出血事件、心衰、TIA、周围血管闭塞、主动脉夹层等选项。</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2.不良事件列表：列表需支持姓名、性别、年龄、不良事件描述、发生日期和医疗机构展现，支持查看编辑和删除操作。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20" w:hRule="atLeast"/>
        </w:trPr>
        <w:tc>
          <w:tcPr>
            <w:tcW w:w="843" w:type="dxa"/>
            <w:gridSpan w:val="2"/>
            <w:vMerge w:val="continue"/>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p>
        </w:tc>
        <w:tc>
          <w:tcPr>
            <w:tcW w:w="1544" w:type="dxa"/>
            <w:vMerge w:val="continue"/>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不良事件统计</w:t>
            </w:r>
          </w:p>
        </w:tc>
        <w:tc>
          <w:tcPr>
            <w:tcW w:w="5229" w:type="dxa"/>
            <w:tcBorders>
              <w:top w:val="single" w:color="auto" w:sz="8" w:space="0"/>
              <w:left w:val="single" w:color="auto" w:sz="8" w:space="0"/>
              <w:bottom w:val="single" w:color="auto" w:sz="8" w:space="0"/>
              <w:right w:val="single" w:color="auto" w:sz="8" w:space="0"/>
            </w:tcBorders>
            <w:vAlign w:val="center"/>
          </w:tcPr>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1.机构统计选择：根据权限支持多层级机构筛选</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2.统计列表：支持按机构名称、出血总数、中等出血、大量出血或致命性出血、心衰、卒中、冠心病、肾功能不全等统计。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0" w:hRule="atLeast"/>
        </w:trPr>
        <w:tc>
          <w:tcPr>
            <w:tcW w:w="843" w:type="dxa"/>
            <w:gridSpan w:val="2"/>
            <w:vMerge w:val="restart"/>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8</w:t>
            </w:r>
          </w:p>
        </w:tc>
        <w:tc>
          <w:tcPr>
            <w:tcW w:w="1544" w:type="dxa"/>
            <w:vMerge w:val="restart"/>
            <w:tcBorders>
              <w:top w:val="single" w:color="auto" w:sz="8" w:space="0"/>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服务包管理</w:t>
            </w:r>
          </w:p>
        </w:tc>
        <w:tc>
          <w:tcPr>
            <w:tcW w:w="7233"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医生PC工作站-服务包管理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0" w:hRule="atLeast"/>
        </w:trPr>
        <w:tc>
          <w:tcPr>
            <w:tcW w:w="843" w:type="dxa"/>
            <w:gridSpan w:val="2"/>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个人签约</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1.筛选：根据权限支持多层级机构筛选，支持按事件范围筛选、支持按签约状态筛选</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2.个人签约：需支持签约团队选择，包含所属机构、家庭团队和家庭医生；需支持居民信息编辑核对，包含姓名、证件号码、联系电话、户籍地址和现居地址；需支持签约信息选择，包含服务包选择、签约金额、签约周期和签约协议模板选择，并可预览、打印签约模板；</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3.签约列表：列表展现需支持签约机构、签约人、签约状态、服务包名称、签约开始日期、签约结束日期、家庭医生名称、解约原因，支持查看详情、查看协议、和履约操作（履约需支持服务项名称、服务频次、计划服务时间、实际服务时间、履约状态操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0" w:hRule="atLeast"/>
        </w:trPr>
        <w:tc>
          <w:tcPr>
            <w:tcW w:w="843" w:type="dxa"/>
            <w:gridSpan w:val="2"/>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家医</w:t>
            </w:r>
            <w:r>
              <w:rPr>
                <w:rFonts w:hint="eastAsia" w:ascii="宋体" w:hAnsi="宋体" w:eastAsia="宋体" w:cs="宋体"/>
                <w:color w:val="auto"/>
                <w:sz w:val="28"/>
                <w:szCs w:val="28"/>
              </w:rPr>
              <w:t>团队</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2"/>
              <w:tabs>
                <w:tab w:val="left" w:pos="502"/>
              </w:tabs>
              <w:ind w:left="0"/>
              <w:jc w:val="both"/>
              <w:rPr>
                <w:rFonts w:hint="eastAsia" w:ascii="宋体" w:hAnsi="宋体" w:eastAsia="宋体" w:cs="宋体"/>
                <w:color w:val="auto"/>
                <w:sz w:val="28"/>
                <w:szCs w:val="28"/>
              </w:rPr>
            </w:pPr>
            <w:r>
              <w:rPr>
                <w:rFonts w:hint="eastAsia" w:ascii="宋体" w:hAnsi="宋体" w:eastAsia="宋体" w:cs="宋体"/>
                <w:color w:val="auto"/>
                <w:sz w:val="28"/>
                <w:szCs w:val="28"/>
              </w:rPr>
              <w:t>1.筛选：需根据权限支持多层级机构筛选，支持按事件范围筛选、支持按团队名称筛选。</w:t>
            </w:r>
          </w:p>
          <w:p>
            <w:pPr>
              <w:pStyle w:val="32"/>
              <w:tabs>
                <w:tab w:val="left" w:pos="502"/>
              </w:tabs>
              <w:ind w:left="0"/>
              <w:jc w:val="both"/>
              <w:rPr>
                <w:rFonts w:hint="eastAsia" w:ascii="宋体" w:hAnsi="宋体" w:eastAsia="宋体" w:cs="宋体"/>
                <w:color w:val="auto"/>
                <w:sz w:val="28"/>
                <w:szCs w:val="28"/>
              </w:rPr>
            </w:pPr>
            <w:r>
              <w:rPr>
                <w:rFonts w:hint="eastAsia" w:ascii="宋体" w:hAnsi="宋体" w:eastAsia="宋体" w:cs="宋体"/>
                <w:color w:val="auto"/>
                <w:sz w:val="28"/>
                <w:szCs w:val="28"/>
              </w:rPr>
              <w:t>2.新增</w:t>
            </w:r>
            <w:r>
              <w:rPr>
                <w:rFonts w:hint="eastAsia" w:ascii="宋体" w:hAnsi="宋体" w:eastAsia="宋体" w:cs="宋体"/>
                <w:color w:val="auto"/>
                <w:sz w:val="28"/>
                <w:szCs w:val="28"/>
                <w:lang w:val="en-US" w:eastAsia="zh-CN"/>
              </w:rPr>
              <w:t>家医</w:t>
            </w:r>
            <w:r>
              <w:rPr>
                <w:rFonts w:hint="eastAsia" w:ascii="宋体" w:hAnsi="宋体" w:eastAsia="宋体" w:cs="宋体"/>
                <w:color w:val="auto"/>
                <w:sz w:val="28"/>
                <w:szCs w:val="28"/>
              </w:rPr>
              <w:t>团队：需支持新增团队和团队医生。</w:t>
            </w:r>
          </w:p>
          <w:p>
            <w:pPr>
              <w:pStyle w:val="32"/>
              <w:tabs>
                <w:tab w:val="left" w:pos="502"/>
              </w:tabs>
              <w:ind w:left="0" w:leftChars="0"/>
              <w:jc w:val="both"/>
              <w:rPr>
                <w:rFonts w:hint="eastAsia" w:ascii="宋体" w:hAnsi="宋体" w:eastAsia="宋体" w:cs="宋体"/>
                <w:color w:val="auto"/>
                <w:sz w:val="28"/>
                <w:szCs w:val="28"/>
              </w:rPr>
            </w:pPr>
            <w:r>
              <w:rPr>
                <w:rFonts w:hint="eastAsia" w:ascii="宋体" w:hAnsi="宋体" w:eastAsia="宋体" w:cs="宋体"/>
                <w:color w:val="auto"/>
                <w:sz w:val="28"/>
                <w:szCs w:val="28"/>
              </w:rPr>
              <w:t>3.团队列表：需展现机构名称、团队名称、创建人、创建时间，需支持列表条目的查看、编辑和删除操作。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0" w:hRule="atLeast"/>
        </w:trPr>
        <w:tc>
          <w:tcPr>
            <w:tcW w:w="843" w:type="dxa"/>
            <w:gridSpan w:val="2"/>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签约服务包</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1.新增：需支持新增病种服务包操作，支持服务包名称、有效期、价格和服务包描述。</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2.服务包控制：需支持服务包的启用、禁用，支持服务包使用状态关联查询。</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3.服务包项：需支持服务包项的增删查改，支持项目名称、服务频次，频率数和服务项描述。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0" w:hRule="atLeast"/>
        </w:trPr>
        <w:tc>
          <w:tcPr>
            <w:tcW w:w="843" w:type="dxa"/>
            <w:gridSpan w:val="2"/>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协议模板</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1.筛选：需根据权限支持多层级机构筛选，支持按模板名称筛选</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2.新增模板：需支持富文本（需支持表格）协议内容录入，支持模板名称、所属机构、模板有效期和模板内容录入。</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3.模板列表：需按机构名称、模板名称、启用状态、创建人、创建时间、修改人、修改时间进行列表展现，需支持对列表条目进行查询、编辑和删除。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9</w:t>
            </w:r>
          </w:p>
        </w:tc>
        <w:tc>
          <w:tcPr>
            <w:tcW w:w="1544" w:type="dxa"/>
            <w:vMerge w:val="continue"/>
            <w:tcBorders>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服务提醒</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1.检索：需支持按姓名、服务包名称进行检索</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2.提醒列表：需根据即将随访和已经过期的状态对列表进行筛选，列表字段需展现姓名、性别、身份证号码、手机号码、家庭医生、签约服务包、服务包小项、计划服务时间和控制操作。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restart"/>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10</w:t>
            </w:r>
          </w:p>
        </w:tc>
        <w:tc>
          <w:tcPr>
            <w:tcW w:w="1544"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质控管理</w:t>
            </w:r>
          </w:p>
        </w:tc>
        <w:tc>
          <w:tcPr>
            <w:tcW w:w="7233"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医生PC工作站-质控管理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▲超声质控</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1.筛选：需支持医疗机构、质控项目、质控状态和姓名的筛选，联动列表显示</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2.列表展示：需支持按机构进行展现列表内容，需支持姓名、性别、年龄、质控状态、审核人、上传机构、上传人员、创建时间、审核时间、来源、项目、质控等待时间和审核查看操作。</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3.审核：支持权限下的审核操作，支持质控结果选择，支持质控结论选择，支持自动上传的图像和视频浏览和播放，支持数据信息查看（超声心动图）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▲影像和视频标记</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支持超声心动图在质控时的标记，需支持平移、缩放、长度测量、矩形测量、椭圆测量、箭头指向标记、亮度调节、超声心动图影像逐帧播放、清除标记和重置操作，需支持图片和视频分类，需支持视频按DICOM格式聚合解析，需支持动态标记与保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▲AI标记</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支持超声心动图AI检测算法，支持DICOM格式影像数据读取和交互，可自动识别胸骨旁左室长轴、心尖二腔、心尖四腔等关键测量切面类型，并自动测量10种以上的心脏结构参数和功能参数以及频谱参数，并对心脏测量参数所在切面进行自动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自动上传</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需支持各机构超声心动图的原始影像和视频自动上传到平台中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质控统计</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需支持质控柱状图形式统计，需支持按上传时间进行查询，需支持按机构、按质控员进行分类统计，需支持按机构名称、提交总数、待质控、已通过和未通过列表进行展现。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restart"/>
            <w:tcBorders>
              <w:top w:val="single" w:color="auto" w:sz="8" w:space="0"/>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11</w:t>
            </w:r>
          </w:p>
        </w:tc>
        <w:tc>
          <w:tcPr>
            <w:tcW w:w="1544" w:type="dxa"/>
            <w:vMerge w:val="restart"/>
            <w:tcBorders>
              <w:top w:val="single" w:color="auto" w:sz="8" w:space="0"/>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区域医疗</w:t>
            </w:r>
          </w:p>
        </w:tc>
        <w:tc>
          <w:tcPr>
            <w:tcW w:w="7233"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医生PC工作站-区域医疗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区域转诊-转诊申请</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2"/>
              <w:tabs>
                <w:tab w:val="left" w:pos="502"/>
              </w:tabs>
              <w:ind w:left="27"/>
              <w:jc w:val="both"/>
              <w:rPr>
                <w:rFonts w:hint="eastAsia" w:ascii="宋体" w:hAnsi="宋体" w:eastAsia="宋体" w:cs="宋体"/>
                <w:sz w:val="28"/>
                <w:szCs w:val="28"/>
              </w:rPr>
            </w:pPr>
            <w:r>
              <w:rPr>
                <w:rFonts w:hint="eastAsia" w:ascii="宋体" w:hAnsi="宋体" w:eastAsia="宋体" w:cs="宋体"/>
                <w:color w:val="000000"/>
                <w:sz w:val="28"/>
                <w:szCs w:val="28"/>
                <w:lang w:bidi="ar"/>
              </w:rPr>
              <w:t>1.支持区域内医疗机构选择上转医疗机构快速发起转诊申请，填写相关转诊信息和病情摘要，选择相应的转诊申请接收机构，保存并提交转诊申请单。</w:t>
            </w:r>
          </w:p>
          <w:p>
            <w:pPr>
              <w:pStyle w:val="32"/>
              <w:tabs>
                <w:tab w:val="left" w:pos="502"/>
              </w:tabs>
              <w:ind w:left="27"/>
              <w:jc w:val="both"/>
              <w:rPr>
                <w:rFonts w:hint="eastAsia" w:ascii="宋体" w:hAnsi="宋体" w:eastAsia="宋体" w:cs="宋体"/>
                <w:color w:val="000000"/>
                <w:sz w:val="28"/>
                <w:szCs w:val="28"/>
                <w:lang w:bidi="ar"/>
              </w:rPr>
            </w:pPr>
            <w:r>
              <w:rPr>
                <w:rFonts w:hint="eastAsia" w:ascii="宋体" w:hAnsi="宋体" w:eastAsia="宋体" w:cs="宋体"/>
                <w:color w:val="000000"/>
                <w:sz w:val="28"/>
                <w:szCs w:val="28"/>
                <w:lang w:bidi="ar"/>
              </w:rPr>
              <w:t>2.支持新增转诊患者包含患者姓名、电话、身份证号、性别、年龄、家庭住址、转诊申请类型上转下转、转入单位、接诊医生、转入时间、转出原因、住院病案号、诊断结果、转诊医生、医生电话、转出单位、主要检查结果、治疗经过、附件等信息。</w:t>
            </w:r>
          </w:p>
          <w:p>
            <w:pPr>
              <w:pStyle w:val="32"/>
              <w:tabs>
                <w:tab w:val="left" w:pos="502"/>
              </w:tabs>
              <w:ind w:left="27"/>
              <w:jc w:val="both"/>
              <w:rPr>
                <w:rFonts w:hint="eastAsia" w:ascii="宋体" w:hAnsi="宋体" w:eastAsia="宋体" w:cs="宋体"/>
                <w:color w:val="000000"/>
                <w:sz w:val="28"/>
                <w:szCs w:val="28"/>
                <w:lang w:bidi="ar"/>
              </w:rPr>
            </w:pPr>
            <w:r>
              <w:rPr>
                <w:rFonts w:hint="eastAsia" w:ascii="宋体" w:hAnsi="宋体" w:eastAsia="宋体" w:cs="宋体"/>
                <w:color w:val="000000"/>
                <w:sz w:val="28"/>
                <w:szCs w:val="28"/>
                <w:lang w:bidi="ar"/>
              </w:rPr>
              <w:t>3.支持查看患者转诊历史详情，包含患者基本信息、转诊信息、转诊建议、转入单位、转入科室、接诊医生、转入时间、转诊医生、医生电话、转出单位、初步印象、转出原因、既往史、治疗过程、转诊状态、拒绝原因等。</w:t>
            </w:r>
          </w:p>
          <w:p>
            <w:pPr>
              <w:pStyle w:val="32"/>
              <w:tabs>
                <w:tab w:val="left" w:pos="502"/>
              </w:tabs>
              <w:ind w:left="27"/>
              <w:jc w:val="both"/>
              <w:rPr>
                <w:rFonts w:hint="eastAsia" w:ascii="宋体" w:hAnsi="宋体" w:eastAsia="宋体" w:cs="宋体"/>
                <w:color w:val="000000"/>
                <w:sz w:val="28"/>
                <w:szCs w:val="28"/>
                <w:lang w:bidi="ar"/>
              </w:rPr>
            </w:pPr>
            <w:r>
              <w:rPr>
                <w:rFonts w:hint="eastAsia" w:ascii="宋体" w:hAnsi="宋体" w:eastAsia="宋体" w:cs="宋体"/>
                <w:color w:val="000000"/>
                <w:sz w:val="28"/>
                <w:szCs w:val="28"/>
                <w:lang w:bidi="ar"/>
              </w:rPr>
              <w:t>4.转诊时支持附件拍照上传。</w:t>
            </w:r>
          </w:p>
          <w:p>
            <w:pPr>
              <w:pStyle w:val="32"/>
              <w:tabs>
                <w:tab w:val="left" w:pos="502"/>
              </w:tabs>
              <w:ind w:left="27"/>
              <w:jc w:val="both"/>
              <w:rPr>
                <w:rFonts w:hint="eastAsia" w:ascii="宋体" w:hAnsi="宋体" w:eastAsia="宋体" w:cs="宋体"/>
                <w:sz w:val="28"/>
                <w:szCs w:val="28"/>
              </w:rPr>
            </w:pPr>
            <w:r>
              <w:rPr>
                <w:rFonts w:hint="eastAsia" w:ascii="宋体" w:hAnsi="宋体" w:eastAsia="宋体" w:cs="宋体"/>
                <w:color w:val="000000"/>
                <w:sz w:val="28"/>
                <w:szCs w:val="28"/>
                <w:lang w:bidi="ar"/>
              </w:rPr>
              <w:t>5.支持医生按转诊状态、申请时间查看转诊信息、查看详情等操作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区域转诊-接诊管理</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lang w:bidi="ar"/>
              </w:rPr>
            </w:pPr>
            <w:r>
              <w:rPr>
                <w:rFonts w:hint="eastAsia" w:ascii="宋体" w:hAnsi="宋体" w:eastAsia="宋体" w:cs="宋体"/>
                <w:sz w:val="28"/>
                <w:szCs w:val="28"/>
              </w:rPr>
              <w:t>1.支持医生接诊查看患者基本信息（应包含患者姓名、年龄、身份证号、就诊卡号、病情摘要等信息）、转诊必要信息（应包含申请医生信息、申请医院信息、初步印象、主要现病史等信息）、患者在转诊发起医院的诊疗信息以及区域健康档案等信息。</w:t>
            </w:r>
            <w:r>
              <w:rPr>
                <w:rFonts w:hint="eastAsia" w:ascii="宋体" w:hAnsi="宋体" w:eastAsia="宋体" w:cs="宋体"/>
                <w:sz w:val="28"/>
                <w:szCs w:val="28"/>
              </w:rPr>
              <w:br w:type="textWrapping"/>
            </w:r>
            <w:r>
              <w:rPr>
                <w:rFonts w:hint="eastAsia" w:ascii="宋体" w:hAnsi="宋体" w:eastAsia="宋体" w:cs="宋体"/>
                <w:sz w:val="28"/>
                <w:szCs w:val="28"/>
              </w:rPr>
              <w:t>2.支持转诊记录查询：医生查看自己的转诊申请列表；接诊列表应支持根据接诊类型分别查看申请至本机构、本科室、本医生的转诊数据。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区域会诊-会诊申请</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1.支持基层医生在患者就诊过程中对上级专家发起远程会诊申请。</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2.远程会诊应包含会诊患者姓名、或通过读取身份证识别患者信息、就诊来源、会诊时间、时段、主诉、病史摘要、初步诊断、检验、检查附件等信息；发起方医生信息应包含医生姓名、所属医疗机构；会诊数据字段应与健康档案自动关联。</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3.接诊医生可对自己接诊的会诊进行查询、搜索功能。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区域会诊-排班管理</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1.支持会诊科室、医生排班操作。</w:t>
            </w:r>
            <w:r>
              <w:rPr>
                <w:rFonts w:hint="eastAsia" w:ascii="宋体" w:hAnsi="宋体" w:eastAsia="宋体" w:cs="宋体"/>
                <w:sz w:val="28"/>
                <w:szCs w:val="28"/>
              </w:rPr>
              <w:br w:type="textWrapping"/>
            </w:r>
            <w:r>
              <w:rPr>
                <w:rFonts w:hint="eastAsia" w:ascii="宋体" w:hAnsi="宋体" w:eastAsia="宋体" w:cs="宋体"/>
                <w:sz w:val="28"/>
                <w:szCs w:val="28"/>
              </w:rPr>
              <w:t>2.支持新增、删除科室、医生。</w:t>
            </w:r>
            <w:r>
              <w:rPr>
                <w:rFonts w:hint="eastAsia" w:ascii="宋体" w:hAnsi="宋体" w:eastAsia="宋体" w:cs="宋体"/>
                <w:sz w:val="28"/>
                <w:szCs w:val="28"/>
              </w:rPr>
              <w:br w:type="textWrapping"/>
            </w:r>
            <w:r>
              <w:rPr>
                <w:rFonts w:hint="eastAsia" w:ascii="宋体" w:hAnsi="宋体" w:eastAsia="宋体" w:cs="宋体"/>
                <w:sz w:val="28"/>
                <w:szCs w:val="28"/>
              </w:rPr>
              <w:t>3.排班时间支持修改，区分冬令时和夏令时。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区域会诊-远程会诊</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支持单人、多人远程会诊，支持专家模式下个人健康档案查看，支持专家远程模式诊断书编辑，支持专家远程处方开具，支持专家和基层医生同一处方双向编辑、同步显示，支持会诊网络质量探测并展示，支持会诊视频录制，支持会诊音量调节、静音调节，支持会诊视频清晰度选择（480P、720P、1080P），支持视频上云、支持会诊视频回放点播操作，支持进行中的会议二次进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区域心电-心电图审核</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1.支持区域内常规心电图、频谱心电、QT离散度、时间向量查看心电图。</w:t>
            </w:r>
            <w:r>
              <w:rPr>
                <w:rFonts w:hint="eastAsia" w:ascii="宋体" w:hAnsi="宋体" w:eastAsia="宋体" w:cs="宋体"/>
                <w:sz w:val="28"/>
                <w:szCs w:val="28"/>
              </w:rPr>
              <w:br w:type="textWrapping"/>
            </w:r>
            <w:r>
              <w:rPr>
                <w:rFonts w:hint="eastAsia" w:ascii="宋体" w:hAnsi="宋体" w:eastAsia="宋体" w:cs="宋体"/>
                <w:sz w:val="28"/>
                <w:szCs w:val="28"/>
              </w:rPr>
              <w:t>2.支持心电图原始数据自动上传，需支持心电图结果展现（需支持HR、PR、RV5、SV1、QRS、QT/QTC、P/QRS/T、危急值展示，支持走速（5mm/s、6.25mm/s、10mm/s、12.5mm/s、25mm/s、50mm/s）、增益（2.5mm/mv、5mm/mv、10mm/mv、20mm/mv、40mm/mv）、布局（3*4、3*4+1、3*4+3、6*2、6*2+1、12*1）、导联（I，II，III，AVR、AVL、AVF、V1、V2、V3、V4、V5、V6），支持1-5x倍波形放大，支持0-9s时间线拖拽，支持心电图结论填写；需支持常规心电图、频谱心电图、QT离散心电图和时间向量数据波形绘制，需支持ZQECG双向传输加解密，需支持对12万+心电图点位进行毫秒级绘制，需支持多次采集和时间线查看。</w:t>
            </w:r>
            <w:r>
              <w:rPr>
                <w:rFonts w:hint="eastAsia" w:ascii="宋体" w:hAnsi="宋体" w:eastAsia="宋体" w:cs="宋体"/>
                <w:sz w:val="28"/>
                <w:szCs w:val="28"/>
              </w:rPr>
              <w:br w:type="textWrapping"/>
            </w:r>
            <w:r>
              <w:rPr>
                <w:rFonts w:hint="eastAsia" w:ascii="宋体" w:hAnsi="宋体" w:eastAsia="宋体" w:cs="宋体"/>
                <w:sz w:val="28"/>
                <w:szCs w:val="28"/>
              </w:rPr>
              <w:t>3.支持危急值预提醒：危急值审核后会自动以系统消息和平板推送到采集机构，并触发处理机制。</w:t>
            </w:r>
            <w:r>
              <w:rPr>
                <w:rFonts w:hint="eastAsia" w:ascii="宋体" w:hAnsi="宋体" w:eastAsia="宋体" w:cs="宋体"/>
                <w:sz w:val="28"/>
                <w:szCs w:val="28"/>
              </w:rPr>
              <w:br w:type="textWrapping"/>
            </w:r>
            <w:r>
              <w:rPr>
                <w:rFonts w:hint="eastAsia" w:ascii="宋体" w:hAnsi="宋体" w:eastAsia="宋体" w:cs="宋体"/>
                <w:sz w:val="28"/>
                <w:szCs w:val="28"/>
              </w:rPr>
              <w:t>4.支持心电图质量差，重做操作。</w:t>
            </w:r>
            <w:r>
              <w:rPr>
                <w:rFonts w:hint="eastAsia" w:ascii="宋体" w:hAnsi="宋体" w:eastAsia="宋体" w:cs="宋体"/>
                <w:sz w:val="28"/>
                <w:szCs w:val="28"/>
              </w:rPr>
              <w:br w:type="textWrapping"/>
            </w:r>
            <w:r>
              <w:rPr>
                <w:rFonts w:hint="eastAsia" w:ascii="宋体" w:hAnsi="宋体" w:eastAsia="宋体" w:cs="宋体"/>
                <w:sz w:val="28"/>
                <w:szCs w:val="28"/>
              </w:rPr>
              <w:t>5.支持心电图诊断词条，辅助医生快速进行报告编辑，在编辑过程中支持词条模糊查询。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区域心电-心电图列表</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1.支持按全部、未审核、已审核进行筛选。</w:t>
            </w:r>
            <w:r>
              <w:rPr>
                <w:rFonts w:hint="eastAsia" w:ascii="宋体" w:hAnsi="宋体" w:eastAsia="宋体" w:cs="宋体"/>
                <w:sz w:val="28"/>
                <w:szCs w:val="28"/>
              </w:rPr>
              <w:br w:type="textWrapping"/>
            </w:r>
            <w:r>
              <w:rPr>
                <w:rFonts w:hint="eastAsia" w:ascii="宋体" w:hAnsi="宋体" w:eastAsia="宋体" w:cs="宋体"/>
                <w:sz w:val="28"/>
                <w:szCs w:val="28"/>
              </w:rPr>
              <w:t>2.支持按上传时间、审核时间、审核医生、检查机构、审核报告关键字、姓名、性别、审核状态进行全库心电图数据检索。</w:t>
            </w:r>
            <w:r>
              <w:rPr>
                <w:rFonts w:hint="eastAsia" w:ascii="宋体" w:hAnsi="宋体" w:eastAsia="宋体" w:cs="宋体"/>
                <w:sz w:val="28"/>
                <w:szCs w:val="28"/>
              </w:rPr>
              <w:br w:type="textWrapping"/>
            </w:r>
            <w:r>
              <w:rPr>
                <w:rFonts w:hint="eastAsia" w:ascii="宋体" w:hAnsi="宋体" w:eastAsia="宋体" w:cs="宋体"/>
                <w:sz w:val="28"/>
                <w:szCs w:val="28"/>
              </w:rPr>
              <w:t>3.支持按患者姓名、年龄、性别、检查机构、数据来源、上传时间、审核时间、审核医生、审核报告内容、审核状态在列表中进行展现。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区域心电-智能诊断</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color w:val="000000"/>
                <w:sz w:val="28"/>
                <w:szCs w:val="28"/>
                <w:lang w:bidi="ar"/>
              </w:rPr>
            </w:pPr>
            <w:r>
              <w:rPr>
                <w:rFonts w:hint="eastAsia" w:ascii="宋体" w:hAnsi="宋体" w:eastAsia="宋体" w:cs="宋体"/>
                <w:color w:val="000000"/>
                <w:sz w:val="28"/>
                <w:szCs w:val="28"/>
                <w:lang w:bidi="ar"/>
              </w:rPr>
              <w:t>支持心电图自动诊断，心电图审核员人工审核和标识危急情况，标注危急后村医会接收到危急的消息提醒。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区域心电</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color w:val="000000"/>
                <w:sz w:val="28"/>
                <w:szCs w:val="28"/>
                <w:lang w:bidi="ar"/>
              </w:rPr>
            </w:pPr>
            <w:r>
              <w:rPr>
                <w:rFonts w:hint="eastAsia" w:ascii="宋体" w:hAnsi="宋体" w:eastAsia="宋体" w:cs="宋体"/>
                <w:color w:val="000000"/>
                <w:sz w:val="28"/>
                <w:szCs w:val="28"/>
                <w:lang w:bidi="ar"/>
              </w:rPr>
              <w:t>支持对应机构平台查询心电图相关报告、支持报告打印。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区域心电-工作量统计</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color w:val="000000"/>
                <w:sz w:val="28"/>
                <w:szCs w:val="28"/>
                <w:lang w:bidi="ar"/>
              </w:rPr>
            </w:pPr>
            <w:r>
              <w:rPr>
                <w:rFonts w:hint="eastAsia" w:ascii="宋体" w:hAnsi="宋体" w:eastAsia="宋体" w:cs="宋体"/>
                <w:color w:val="000000"/>
                <w:sz w:val="28"/>
                <w:szCs w:val="28"/>
                <w:lang w:bidi="ar"/>
              </w:rPr>
              <w:t>支持按全部、待审核、无效重做、危机、已审核心电图进行数据统计，支持实时计算心电图审核时间、平均等待时长；支持审核时间提醒。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restart"/>
            <w:tcBorders>
              <w:top w:val="single" w:color="auto" w:sz="8" w:space="0"/>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12</w:t>
            </w:r>
          </w:p>
        </w:tc>
        <w:tc>
          <w:tcPr>
            <w:tcW w:w="1544" w:type="dxa"/>
            <w:vMerge w:val="restart"/>
            <w:tcBorders>
              <w:top w:val="single" w:color="auto" w:sz="8" w:space="0"/>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报表统计</w:t>
            </w:r>
          </w:p>
        </w:tc>
        <w:tc>
          <w:tcPr>
            <w:tcW w:w="7233"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医生PC工作站-报表统计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6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筛查统计</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1.需支持按账户权限对一筛、二筛的数据进行统计，需展示总人数、无房颤、糖尿病、心衰、冠心病、高血压、房颤的人数，冠心病、心衰、糖尿病、高血压、房颤并发症筛查完成人数。</w:t>
            </w:r>
          </w:p>
          <w:p>
            <w:pPr>
              <w:jc w:val="both"/>
              <w:rPr>
                <w:rFonts w:hint="eastAsia" w:ascii="宋体" w:hAnsi="宋体" w:eastAsia="宋体" w:cs="宋体"/>
                <w:sz w:val="28"/>
                <w:szCs w:val="28"/>
              </w:rPr>
            </w:pPr>
            <w:r>
              <w:rPr>
                <w:rFonts w:hint="eastAsia" w:ascii="宋体" w:hAnsi="宋体" w:eastAsia="宋体" w:cs="宋体"/>
                <w:sz w:val="28"/>
                <w:szCs w:val="28"/>
              </w:rPr>
              <w:t>2.需支持按日期、按病种、按医疗机构进行统计。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规范管理统计</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1.需支持按日期、按慢病病种、医疗机构进行统计。</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2.需支持房颤、心衰、糖尿病、高血压、冠心病的管理总人数、已完成管理人数、进行中的管理人数、运动处方人数、医学营养人数、药物监测人数、手术治疗人数、达标人数、达标率、未达标人数和未达标率的统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人群普筛统计</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1.需支持按日期查询，按医疗机构查询统计。</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2.需支持普筛人数、普筛高血压人数、普筛冠心病人数、普筛心衰人数、普筛房颤人数和接诊人数数据统计。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人群普筛工作量</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1.需支持按日期查询、按医疗机构查询统计。</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2.需支持展示机构名称、医生、普筛人数、普筛高血压人数、普筛心衰人数、普筛冠心病人数、普筛糖尿病人数、普筛房颤人数统计。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服务包签订统计</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1.需支持按日期查询、按医疗机构查询统计。</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2.需展现机构名称、签约总人数和签约金额。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restart"/>
            <w:tcBorders>
              <w:top w:val="single" w:color="auto" w:sz="8" w:space="0"/>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13</w:t>
            </w:r>
          </w:p>
        </w:tc>
        <w:tc>
          <w:tcPr>
            <w:tcW w:w="1544" w:type="dxa"/>
            <w:vMerge w:val="restart"/>
            <w:tcBorders>
              <w:top w:val="single" w:color="auto" w:sz="8" w:space="0"/>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系统管理</w:t>
            </w:r>
          </w:p>
        </w:tc>
        <w:tc>
          <w:tcPr>
            <w:tcW w:w="7233"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医生PC工作站-系统管理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用户管理</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需支持系统用户的维护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组织架构管理</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需支持系统组织架构的维护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角色与权限管理</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需支持RBAC角色与权限的配置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药品管理</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需支持常用药品库的维护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字典管理</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需支持常用字典的维护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OCR模板配置</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需支持OCR识别模板的配置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restart"/>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14</w:t>
            </w:r>
          </w:p>
        </w:tc>
        <w:tc>
          <w:tcPr>
            <w:tcW w:w="1544" w:type="dxa"/>
            <w:vMerge w:val="restart"/>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▲医疗物联网</w:t>
            </w:r>
          </w:p>
        </w:tc>
        <w:tc>
          <w:tcPr>
            <w:tcW w:w="7233"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医疗物联网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设备注册、绑定</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支持设备注册、协议更新，包含设备ID、设备SN、设备MAC地址，医疗设备类型，需要内置常见血压计、血糖仪、身高体重秤、超声设备、穿戴设备、POCT检验设备通信协议。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设备列表</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支持已绑定的设备列表，支持设备的添加、删除和修改操作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设备与基层单元绑定</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需支持物联网关与当前基层单元进行绑定，支持物联网关绑定到基层单元医务人员账号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DICOM服务器</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需内置DICOM服务器，支持超声等影像设备通过DICOM服务器进行数据解析与上传，支持单个大于200M视频文件上传、支持大于50张DICOM原始文件上传，支持多机构上传队列控制。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无感上传</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需支持匹配蓝牙协议、HTTP协议、TCP/IP协议设备进行协议自动握手、自动配对，自动上传、数据断点续传，并与PC工作站同步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协议解析</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需支持 MQTT、COAP、TCP、UDP、HTTP物联网协议，需支持 HL7、DICOM等医学数据传输协议，协议传输需支持RSA签名算法、3DES对称性加密算法；需支持协议扩展；需支持插拔式协议解析，设备与平台的需支持双向加密数据通道。协议解析需引入节点准入机制、节点SSL连接、落盘数据加密和权限控制四种机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通信技术</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需支持RJ45、LTE及WIFI通信技术，支持双网通信流转，支持自动切换路由模式，支持HOTSPOT模式进行初始化通信。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restart"/>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15</w:t>
            </w:r>
          </w:p>
        </w:tc>
        <w:tc>
          <w:tcPr>
            <w:tcW w:w="1544" w:type="dxa"/>
            <w:vMerge w:val="restart"/>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数据可视化中心</w:t>
            </w: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慢病患者病种分布</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通过数据计算，分别展现高血压、冠心病、心力衰竭、房颤等病种人数比（含合并慢病）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不良事件监测</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展现不良事件，并以列表的方式在可视化大屏中进行滚动显示。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心电图检测分布</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需展现心电图检查数量，按月进行统计，支持至少6个月心电图曲线描绘。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基层心电图排行榜</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需按基层机构展现基层心电图检查数量，按照倒序进行排列，并统计总数量。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远程会诊数统计</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需展现远程会诊数量，按月进行统计，支持至少6个月的远程会诊柱状图描绘。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接入点统计</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需展现接入服务点（村卫生室、社区医院等）的基本信息，如接入点名称，接入点时间，点选接入点后支持跳转到详情页面进行接入点在地图上进行POI展示。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心脏超声检查分布</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需展现心脏超声的检查数量，按月进行统计，支持至少6个月心电图曲线描绘。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实时数据上传统计</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实时展现基层测量的物联网数据，并滚动显示。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服务包签约统计</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实时统计个性化服务包的签约统计，包含签约服务包名称、签约人数、续签人数等信息。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60" w:hRule="atLeast"/>
        </w:trPr>
        <w:tc>
          <w:tcPr>
            <w:tcW w:w="843" w:type="dxa"/>
            <w:gridSpan w:val="2"/>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16</w:t>
            </w:r>
          </w:p>
        </w:tc>
        <w:tc>
          <w:tcPr>
            <w:tcW w:w="1544" w:type="dxa"/>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消息中心</w:t>
            </w:r>
          </w:p>
        </w:tc>
        <w:tc>
          <w:tcPr>
            <w:tcW w:w="2004" w:type="dxa"/>
            <w:gridSpan w:val="2"/>
            <w:tcBorders>
              <w:top w:val="single" w:color="auto" w:sz="8" w:space="0"/>
              <w:left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消息中心</w:t>
            </w:r>
          </w:p>
        </w:tc>
        <w:tc>
          <w:tcPr>
            <w:tcW w:w="5229" w:type="dxa"/>
            <w:tcBorders>
              <w:top w:val="single" w:color="auto" w:sz="8" w:space="0"/>
              <w:left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1.支持按不同应用发送、阅读信息。</w:t>
            </w:r>
            <w:r>
              <w:rPr>
                <w:rFonts w:hint="eastAsia" w:ascii="宋体" w:hAnsi="宋体" w:eastAsia="宋体" w:cs="宋体"/>
                <w:sz w:val="28"/>
                <w:szCs w:val="28"/>
              </w:rPr>
              <w:br w:type="textWrapping"/>
            </w:r>
            <w:r>
              <w:rPr>
                <w:rFonts w:hint="eastAsia" w:ascii="宋体" w:hAnsi="宋体" w:eastAsia="宋体" w:cs="宋体"/>
                <w:sz w:val="28"/>
                <w:szCs w:val="28"/>
              </w:rPr>
              <w:t>2.支持消息折叠。</w:t>
            </w:r>
            <w:r>
              <w:rPr>
                <w:rFonts w:hint="eastAsia" w:ascii="宋体" w:hAnsi="宋体" w:eastAsia="宋体" w:cs="宋体"/>
                <w:sz w:val="28"/>
                <w:szCs w:val="28"/>
              </w:rPr>
              <w:br w:type="textWrapping"/>
            </w:r>
            <w:r>
              <w:rPr>
                <w:rFonts w:hint="eastAsia" w:ascii="宋体" w:hAnsi="宋体" w:eastAsia="宋体" w:cs="宋体"/>
                <w:sz w:val="28"/>
                <w:szCs w:val="28"/>
              </w:rPr>
              <w:t>3.支持单条消息清除、整体消息清除。</w:t>
            </w:r>
            <w:r>
              <w:rPr>
                <w:rFonts w:hint="eastAsia" w:ascii="宋体" w:hAnsi="宋体" w:eastAsia="宋体" w:cs="宋体"/>
                <w:sz w:val="28"/>
                <w:szCs w:val="28"/>
              </w:rPr>
              <w:br w:type="textWrapping"/>
            </w:r>
            <w:r>
              <w:rPr>
                <w:rFonts w:hint="eastAsia" w:ascii="宋体" w:hAnsi="宋体" w:eastAsia="宋体" w:cs="宋体"/>
                <w:sz w:val="28"/>
                <w:szCs w:val="28"/>
              </w:rPr>
              <w:t>4.支持已读、未读消息标记，支持消息提醒数量叠加。</w:t>
            </w:r>
            <w:r>
              <w:rPr>
                <w:rFonts w:hint="eastAsia" w:ascii="宋体" w:hAnsi="宋体" w:eastAsia="宋体" w:cs="宋体"/>
                <w:sz w:val="28"/>
                <w:szCs w:val="28"/>
              </w:rPr>
              <w:br w:type="textWrapping"/>
            </w:r>
            <w:r>
              <w:rPr>
                <w:rFonts w:hint="eastAsia" w:ascii="宋体" w:hAnsi="宋体" w:eastAsia="宋体" w:cs="宋体"/>
                <w:sz w:val="28"/>
                <w:szCs w:val="28"/>
              </w:rPr>
              <w:t>5.支持消息内应用链接跳转。</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60" w:hRule="atLeast"/>
        </w:trPr>
        <w:tc>
          <w:tcPr>
            <w:tcW w:w="843" w:type="dxa"/>
            <w:gridSpan w:val="2"/>
            <w:vMerge w:val="restart"/>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17</w:t>
            </w:r>
          </w:p>
        </w:tc>
        <w:tc>
          <w:tcPr>
            <w:tcW w:w="1544" w:type="dxa"/>
            <w:vMerge w:val="restart"/>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▲医生平板工作站</w:t>
            </w:r>
          </w:p>
        </w:tc>
        <w:tc>
          <w:tcPr>
            <w:tcW w:w="7233" w:type="dxa"/>
            <w:gridSpan w:val="3"/>
            <w:tcBorders>
              <w:top w:val="single" w:color="auto" w:sz="8" w:space="0"/>
              <w:left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医生平板工作站-随访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6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应用参数</w:t>
            </w:r>
          </w:p>
        </w:tc>
        <w:tc>
          <w:tcPr>
            <w:tcW w:w="5229" w:type="dxa"/>
            <w:tcBorders>
              <w:top w:val="single" w:color="auto" w:sz="8" w:space="0"/>
              <w:left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应用需支持Android 13或以上、鸿蒙3.1或以上操作系统手机或平板电脑，应用程序需满足原生Android或鸿蒙程序要求；手机分辨率最低支持720*1280分辨率，需自适应更高主流分辨率，平板电脑需支持分辨率为2560*1600、2880*1800的11、12寸平板电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6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随访</w:t>
            </w:r>
          </w:p>
        </w:tc>
        <w:tc>
          <w:tcPr>
            <w:tcW w:w="5229" w:type="dxa"/>
            <w:tcBorders>
              <w:top w:val="single" w:color="auto" w:sz="8" w:space="0"/>
              <w:left w:val="single" w:color="auto" w:sz="8" w:space="0"/>
              <w:right w:val="single" w:color="auto" w:sz="8" w:space="0"/>
            </w:tcBorders>
            <w:shd w:val="clear" w:color="auto" w:fill="FFFFFF"/>
            <w:vAlign w:val="center"/>
          </w:tcPr>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1.随访分组：根据区域权限展现当前账号下的随访分组信息。</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2.知情同意书签署：预览患者知情同意书的签署情况，不能对没有进行知情同意书签署的患者进行随访，引导患者进行已设定的知情同意书进行签署，支持知情同意书签署照片留档。</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3.随访面板：支持系统自定义日历展现随访任务日程，支持当前日期下带随访人员任务信息，支持随访周期内待随访、已随访、逾期随访信息展现和统计。</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4.随访操作：支持人口学特征、生活方式、疾病状况、特征问卷（如房颤、心衰、卒中等）问卷随访，支持体格检查、实验室检查、辅助检查、穿戴设备数据同步等操作。</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5.随访详情：支持查看随访用户的随访详情。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60"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设备信息</w:t>
            </w:r>
          </w:p>
        </w:tc>
        <w:tc>
          <w:tcPr>
            <w:tcW w:w="5229" w:type="dxa"/>
            <w:tcBorders>
              <w:top w:val="single" w:color="auto" w:sz="8" w:space="0"/>
              <w:left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显示所有与系统对接的硬件设备，需支持仿真硬件图示、连接状态类型、连接状态显示，点选设备后进入连接进程。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34" w:hRule="atLeast"/>
        </w:trPr>
        <w:tc>
          <w:tcPr>
            <w:tcW w:w="843" w:type="dxa"/>
            <w:gridSpan w:val="2"/>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配置项</w:t>
            </w:r>
          </w:p>
        </w:tc>
        <w:tc>
          <w:tcPr>
            <w:tcW w:w="5229" w:type="dxa"/>
            <w:tcBorders>
              <w:top w:val="single" w:color="auto" w:sz="8" w:space="0"/>
              <w:left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1.网络检测：需支持网络检测，根据网络检测数据提供网络是否达标。</w:t>
            </w:r>
          </w:p>
          <w:p>
            <w:pPr>
              <w:jc w:val="both"/>
              <w:rPr>
                <w:rFonts w:hint="eastAsia" w:ascii="宋体" w:hAnsi="宋体" w:eastAsia="宋体" w:cs="宋体"/>
                <w:sz w:val="28"/>
                <w:szCs w:val="28"/>
              </w:rPr>
            </w:pPr>
            <w:r>
              <w:rPr>
                <w:rFonts w:hint="eastAsia" w:ascii="宋体" w:hAnsi="宋体" w:eastAsia="宋体" w:cs="宋体"/>
                <w:sz w:val="28"/>
                <w:szCs w:val="28"/>
              </w:rPr>
              <w:t>2.连接配置：需支持需要开机自动连接的设备，通过开关项在此配置。</w:t>
            </w:r>
          </w:p>
          <w:p>
            <w:pPr>
              <w:jc w:val="both"/>
              <w:rPr>
                <w:rFonts w:hint="eastAsia" w:ascii="宋体" w:hAnsi="宋体" w:eastAsia="宋体" w:cs="宋体"/>
                <w:sz w:val="28"/>
                <w:szCs w:val="28"/>
              </w:rPr>
            </w:pPr>
            <w:r>
              <w:rPr>
                <w:rFonts w:hint="eastAsia" w:ascii="宋体" w:hAnsi="宋体" w:eastAsia="宋体" w:cs="宋体"/>
                <w:sz w:val="28"/>
                <w:szCs w:val="28"/>
              </w:rPr>
              <w:t>3.重连机制：需支持蓝牙设备断开连接后立即自动重连，重连3次失败发出设备连接断开提示。</w:t>
            </w:r>
          </w:p>
          <w:p>
            <w:pPr>
              <w:jc w:val="both"/>
              <w:rPr>
                <w:rFonts w:hint="eastAsia" w:ascii="宋体" w:hAnsi="宋体" w:eastAsia="宋体" w:cs="宋体"/>
                <w:sz w:val="28"/>
                <w:szCs w:val="28"/>
              </w:rPr>
            </w:pPr>
            <w:r>
              <w:rPr>
                <w:rFonts w:hint="eastAsia" w:ascii="宋体" w:hAnsi="宋体" w:eastAsia="宋体" w:cs="宋体"/>
                <w:sz w:val="28"/>
                <w:szCs w:val="28"/>
              </w:rPr>
              <w:t>4.蓝牙信号监测：需支持蓝牙信号监测，支持设备信号强度显示。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Before w:val="1"/>
          <w:wBefore w:w="15" w:type="dxa"/>
          <w:trHeight w:val="570" w:hRule="atLeast"/>
        </w:trPr>
        <w:tc>
          <w:tcPr>
            <w:tcW w:w="828" w:type="dxa"/>
            <w:vMerge w:val="restart"/>
            <w:tcBorders>
              <w:top w:val="single" w:color="auto" w:sz="8" w:space="0"/>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18</w:t>
            </w:r>
          </w:p>
        </w:tc>
        <w:tc>
          <w:tcPr>
            <w:tcW w:w="1544" w:type="dxa"/>
            <w:vMerge w:val="restart"/>
            <w:tcBorders>
              <w:top w:val="single" w:color="auto" w:sz="8" w:space="0"/>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用户移动端</w:t>
            </w:r>
          </w:p>
        </w:tc>
        <w:tc>
          <w:tcPr>
            <w:tcW w:w="7233"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用户移动端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Before w:val="1"/>
          <w:wBefore w:w="15" w:type="dxa"/>
          <w:trHeight w:val="570" w:hRule="atLeast"/>
        </w:trPr>
        <w:tc>
          <w:tcPr>
            <w:tcW w:w="828"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普筛</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1.需支持对患者扫描二维码可以定位到社区医生</w:t>
            </w:r>
          </w:p>
          <w:p>
            <w:pPr>
              <w:pStyle w:val="32"/>
              <w:tabs>
                <w:tab w:val="left" w:pos="502"/>
              </w:tabs>
              <w:ind w:left="0"/>
              <w:jc w:val="both"/>
              <w:rPr>
                <w:rFonts w:hint="eastAsia" w:ascii="宋体" w:hAnsi="宋体" w:eastAsia="宋体" w:cs="宋体"/>
                <w:sz w:val="28"/>
                <w:szCs w:val="28"/>
              </w:rPr>
            </w:pPr>
            <w:r>
              <w:rPr>
                <w:rFonts w:hint="eastAsia" w:ascii="宋体" w:hAnsi="宋体" w:eastAsia="宋体" w:cs="宋体"/>
                <w:sz w:val="28"/>
                <w:szCs w:val="28"/>
              </w:rPr>
              <w:t>2.需支持患者点选普筛问卷</w:t>
            </w:r>
          </w:p>
          <w:p>
            <w:pPr>
              <w:jc w:val="both"/>
              <w:rPr>
                <w:rFonts w:hint="eastAsia" w:ascii="宋体" w:hAnsi="宋体" w:eastAsia="宋体" w:cs="宋体"/>
                <w:sz w:val="28"/>
                <w:szCs w:val="28"/>
              </w:rPr>
            </w:pPr>
            <w:r>
              <w:rPr>
                <w:rFonts w:hint="eastAsia" w:ascii="宋体" w:hAnsi="宋体" w:eastAsia="宋体" w:cs="宋体"/>
                <w:sz w:val="28"/>
                <w:szCs w:val="28"/>
              </w:rPr>
              <w:t>3.需支持问卷提交至二维码绑定医生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Before w:val="1"/>
          <w:wBefore w:w="15" w:type="dxa"/>
          <w:trHeight w:val="570" w:hRule="atLeast"/>
        </w:trPr>
        <w:tc>
          <w:tcPr>
            <w:tcW w:w="828"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注册认证</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需支持微信绑定手机号进行身份认证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Before w:val="1"/>
          <w:wBefore w:w="15" w:type="dxa"/>
          <w:trHeight w:val="570" w:hRule="atLeast"/>
        </w:trPr>
        <w:tc>
          <w:tcPr>
            <w:tcW w:w="828"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穿戴设备-设备扫描</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需支持使用蓝牙或其他无线通信技术对穿戴设备或智能医疗设备进行扫描，支持服务端下发设备指令自动扫描，扫描超时后用户可手动扫描。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Before w:val="1"/>
          <w:wBefore w:w="15" w:type="dxa"/>
          <w:trHeight w:val="570" w:hRule="atLeast"/>
        </w:trPr>
        <w:tc>
          <w:tcPr>
            <w:tcW w:w="828"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设备连接</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根据设备扫描结果列表对设备进行配对连接，需支持根据服务端下发数据进行自动连接，自动连接超时后用户可进行手动连接，需支持穿戴设备和智能医疗设备直连。</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Before w:val="1"/>
          <w:wBefore w:w="15" w:type="dxa"/>
          <w:trHeight w:val="570" w:hRule="atLeast"/>
        </w:trPr>
        <w:tc>
          <w:tcPr>
            <w:tcW w:w="828"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穿戴设备-数据采集</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根据已连接的设备进行设备内数据同步，穿戴设备需支持心率传感器原始数据上传、ECG原始数据上传、支持血氧数据上传、支持体温数据上传、支持睡眠数据上传、支持运动数据上传，以上数据需满足同一设备和同一时间单位内同步采集；智能医疗设备需支持血压数据上传、脉率数据上传、血糖数据上传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Before w:val="1"/>
          <w:wBefore w:w="15" w:type="dxa"/>
          <w:trHeight w:val="570" w:hRule="atLeast"/>
        </w:trPr>
        <w:tc>
          <w:tcPr>
            <w:tcW w:w="828"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数据展现</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根据已同步的原始数据，通过对数据（7天数据）进行计算绘制心率曲线、血氧柱状图、计算睡眠时间、计算运动数据，需点击各类数据进行详细数据展现，日期可选，在个人主页上进行展现。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Before w:val="1"/>
          <w:wBefore w:w="15" w:type="dxa"/>
          <w:trHeight w:val="570" w:hRule="atLeast"/>
        </w:trPr>
        <w:tc>
          <w:tcPr>
            <w:tcW w:w="828"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1544" w:type="dxa"/>
            <w:vMerge w:val="continue"/>
            <w:tcBorders>
              <w:left w:val="single" w:color="auto" w:sz="8" w:space="0"/>
              <w:right w:val="single" w:color="auto" w:sz="8" w:space="0"/>
            </w:tcBorders>
            <w:shd w:val="clear" w:color="auto" w:fill="auto"/>
            <w:vAlign w:val="center"/>
          </w:tcPr>
          <w:p>
            <w:pPr>
              <w:jc w:val="center"/>
              <w:rPr>
                <w:rFonts w:hint="eastAsia" w:ascii="宋体" w:hAnsi="宋体" w:eastAsia="宋体" w:cs="宋体"/>
                <w:sz w:val="28"/>
                <w:szCs w:val="28"/>
              </w:rPr>
            </w:pPr>
          </w:p>
        </w:tc>
        <w:tc>
          <w:tcPr>
            <w:tcW w:w="20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8"/>
                <w:szCs w:val="28"/>
              </w:rPr>
            </w:pPr>
            <w:r>
              <w:rPr>
                <w:rFonts w:hint="eastAsia" w:ascii="宋体" w:hAnsi="宋体" w:eastAsia="宋体" w:cs="宋体"/>
                <w:sz w:val="28"/>
                <w:szCs w:val="28"/>
              </w:rPr>
              <w:t>我的</w:t>
            </w:r>
          </w:p>
        </w:tc>
        <w:tc>
          <w:tcPr>
            <w:tcW w:w="5229" w:type="dxa"/>
            <w:tcBorders>
              <w:top w:val="single" w:color="auto" w:sz="8" w:space="0"/>
              <w:left w:val="single" w:color="auto" w:sz="8" w:space="0"/>
              <w:bottom w:val="single" w:color="auto" w:sz="8" w:space="0"/>
              <w:right w:val="single" w:color="auto" w:sz="8" w:space="0"/>
            </w:tcBorders>
            <w:shd w:val="clear" w:color="auto" w:fill="FFFFFF"/>
            <w:vAlign w:val="center"/>
          </w:tcPr>
          <w:p>
            <w:pPr>
              <w:jc w:val="both"/>
              <w:rPr>
                <w:rFonts w:hint="eastAsia" w:ascii="宋体" w:hAnsi="宋体" w:eastAsia="宋体" w:cs="宋体"/>
                <w:sz w:val="28"/>
                <w:szCs w:val="28"/>
              </w:rPr>
            </w:pPr>
            <w:r>
              <w:rPr>
                <w:rFonts w:hint="eastAsia" w:ascii="宋体" w:hAnsi="宋体" w:eastAsia="宋体" w:cs="宋体"/>
                <w:sz w:val="28"/>
                <w:szCs w:val="28"/>
              </w:rPr>
              <w:t>需展现患者注册信息</w:t>
            </w:r>
          </w:p>
        </w:tc>
      </w:tr>
    </w:tbl>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五、项目实施要求</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项目团队要求：</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（1）项目经理1名：项目经理是以责任制的解决问题为主导，根据项目需要机动行事，全程负责项目推进工作。</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（2）项目实施成员≥</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名：负责平台的实施、培训、维保等工作。</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项目组所有人员必须为投标人正式员工，未经</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 xml:space="preserve">同意，人员不得更换。 </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实施地点：</w:t>
      </w:r>
      <w:r>
        <w:rPr>
          <w:rFonts w:hint="eastAsia" w:ascii="宋体" w:hAnsi="宋体" w:eastAsia="宋体" w:cs="宋体"/>
          <w:color w:val="auto"/>
          <w:sz w:val="28"/>
          <w:szCs w:val="28"/>
          <w:highlight w:val="none"/>
          <w:lang w:eastAsia="zh-CN"/>
        </w:rPr>
        <w:t>睢宁县人民医院</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合同履行期：合同签订之日起180</w:t>
      </w:r>
      <w:r>
        <w:rPr>
          <w:rFonts w:hint="eastAsia" w:ascii="宋体" w:hAnsi="宋体" w:eastAsia="宋体" w:cs="宋体"/>
          <w:color w:val="auto"/>
          <w:sz w:val="28"/>
          <w:szCs w:val="28"/>
          <w:highlight w:val="none"/>
          <w:lang w:val="en-US" w:eastAsia="zh-CN"/>
        </w:rPr>
        <w:t>个日历天</w:t>
      </w:r>
      <w:r>
        <w:rPr>
          <w:rFonts w:hint="eastAsia" w:ascii="宋体" w:hAnsi="宋体" w:eastAsia="宋体" w:cs="宋体"/>
          <w:color w:val="auto"/>
          <w:sz w:val="28"/>
          <w:szCs w:val="28"/>
          <w:highlight w:val="none"/>
        </w:rPr>
        <w:t>内（除不可抗力、非乙方原因）完成实施、调试、试运行等工作。</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总体设计方案</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结合医院实际情况，制定详细的总体设计方案，内容包括投标人对需求的理解以及总体设计全面性、整体技术和系统先进性、开放性；总体设计方案是否可行并具备可落地性、可扩展性等角度。</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实施方案</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结合医院实际情况，投标人需制定详细的系统</w:t>
      </w:r>
      <w:r>
        <w:rPr>
          <w:rFonts w:hint="eastAsia" w:ascii="宋体" w:hAnsi="宋体" w:eastAsia="宋体" w:cs="宋体"/>
          <w:color w:val="auto"/>
          <w:sz w:val="28"/>
          <w:szCs w:val="28"/>
          <w:highlight w:val="none"/>
          <w:lang w:val="en-US" w:eastAsia="zh-CN"/>
        </w:rPr>
        <w:t>实施</w:t>
      </w:r>
      <w:r>
        <w:rPr>
          <w:rFonts w:hint="eastAsia" w:ascii="宋体" w:hAnsi="宋体" w:eastAsia="宋体" w:cs="宋体"/>
          <w:color w:val="auto"/>
          <w:sz w:val="28"/>
          <w:szCs w:val="28"/>
          <w:highlight w:val="none"/>
        </w:rPr>
        <w:t>方案，内容包括组织机构、工作时间进度表、工作程序、安装调试、系统调试、试运行、验收等内容。</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6.验收要求</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实施完成后，将慢病管理平台建设完毕后,进行试运行阶段，并对招标人进行全面培训与实施维护培训。中标单位应按照医院验收管理规定，提供平台的相关验收文档，包括但不限于用户使用手册、接口文档、数据字典等相关资料</w:t>
      </w:r>
      <w:r>
        <w:rPr>
          <w:rFonts w:hint="eastAsia" w:ascii="宋体" w:hAnsi="宋体" w:eastAsia="宋体" w:cs="宋体"/>
          <w:color w:val="auto"/>
          <w:sz w:val="28"/>
          <w:szCs w:val="28"/>
          <w:highlight w:val="none"/>
        </w:rPr>
        <w:t>。</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、质保期及售后服务要求</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eastAsia="宋体" w:cs="宋体"/>
          <w:color w:val="auto"/>
          <w:sz w:val="28"/>
          <w:szCs w:val="28"/>
          <w:highlight w:val="none"/>
          <w:lang w:eastAsia="zh-CN"/>
        </w:rPr>
        <w:t>采购人</w:t>
      </w:r>
      <w:r>
        <w:rPr>
          <w:rFonts w:hint="eastAsia" w:ascii="宋体" w:hAnsi="宋体" w:eastAsia="宋体" w:cs="宋体"/>
          <w:color w:val="auto"/>
          <w:sz w:val="28"/>
          <w:szCs w:val="28"/>
          <w:highlight w:val="none"/>
        </w:rPr>
        <w:t>要求提供慢病管理平台售后服务方案，内容包括不限于售后服务计划、售后服务方案、应急技术处理、服务响应时间等。</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质保期</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运维期</w:t>
      </w:r>
      <w:r>
        <w:rPr>
          <w:rFonts w:hint="eastAsia" w:ascii="宋体" w:hAnsi="宋体" w:eastAsia="宋体" w:cs="宋体"/>
          <w:color w:val="auto"/>
          <w:sz w:val="28"/>
          <w:szCs w:val="28"/>
          <w:highlight w:val="none"/>
          <w:lang w:eastAsia="zh-CN"/>
        </w:rPr>
        <w:t>）</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本项目自验收合格之日起，投标人提供平台</w:t>
      </w:r>
      <w:r>
        <w:rPr>
          <w:rFonts w:hint="eastAsia" w:ascii="宋体" w:hAnsi="宋体" w:eastAsia="宋体" w:cs="宋体"/>
          <w:color w:val="auto"/>
          <w:sz w:val="28"/>
          <w:szCs w:val="28"/>
          <w:highlight w:val="none"/>
          <w:lang w:val="en-US" w:eastAsia="zh-CN"/>
        </w:rPr>
        <w:t>不少于2</w:t>
      </w:r>
      <w:r>
        <w:rPr>
          <w:rFonts w:hint="eastAsia" w:ascii="宋体" w:hAnsi="宋体" w:eastAsia="宋体" w:cs="宋体"/>
          <w:color w:val="auto"/>
          <w:sz w:val="28"/>
          <w:szCs w:val="28"/>
          <w:highlight w:val="none"/>
        </w:rPr>
        <w:t>年的免费功能增强性维护及免费技术维护服务。提供</w:t>
      </w:r>
      <w:r>
        <w:rPr>
          <w:rFonts w:hint="eastAsia" w:ascii="宋体" w:hAnsi="宋体" w:eastAsia="宋体" w:cs="宋体"/>
          <w:color w:val="auto"/>
          <w:sz w:val="28"/>
          <w:szCs w:val="28"/>
          <w:highlight w:val="none"/>
          <w:lang w:val="en-US" w:eastAsia="zh-CN"/>
        </w:rPr>
        <w:t>平台</w:t>
      </w:r>
      <w:r>
        <w:rPr>
          <w:rFonts w:hint="eastAsia" w:ascii="宋体" w:hAnsi="宋体" w:eastAsia="宋体" w:cs="宋体"/>
          <w:color w:val="auto"/>
          <w:sz w:val="28"/>
          <w:szCs w:val="28"/>
          <w:highlight w:val="none"/>
        </w:rPr>
        <w:t>保修服务，投标人提供如下保修范围内服务，费用包含在投标总价中：</w:t>
      </w:r>
      <w:r>
        <w:rPr>
          <w:rFonts w:hint="eastAsia" w:ascii="宋体" w:hAnsi="宋体" w:eastAsia="宋体" w:cs="宋体"/>
          <w:color w:val="auto"/>
          <w:sz w:val="28"/>
          <w:szCs w:val="28"/>
          <w:highlight w:val="none"/>
          <w:lang w:val="en-US" w:eastAsia="zh-CN"/>
        </w:rPr>
        <w:t>系统</w:t>
      </w:r>
      <w:r>
        <w:rPr>
          <w:rFonts w:hint="eastAsia" w:ascii="宋体" w:hAnsi="宋体" w:eastAsia="宋体" w:cs="宋体"/>
          <w:color w:val="auto"/>
          <w:sz w:val="28"/>
          <w:szCs w:val="28"/>
          <w:highlight w:val="none"/>
        </w:rPr>
        <w:t>的 bug 处理；系统运行过程中性能的优化调整；数据的正确性维护；控点定义、流程梳理和优化等。</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服务响应时间</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对于</w:t>
      </w:r>
      <w:r>
        <w:rPr>
          <w:rFonts w:hint="eastAsia" w:ascii="宋体" w:hAnsi="宋体" w:eastAsia="宋体" w:cs="宋体"/>
          <w:color w:val="auto"/>
          <w:sz w:val="28"/>
          <w:szCs w:val="28"/>
          <w:highlight w:val="none"/>
          <w:lang w:val="en-US" w:eastAsia="zh-CN"/>
        </w:rPr>
        <w:t>平台</w:t>
      </w:r>
      <w:r>
        <w:rPr>
          <w:rFonts w:hint="eastAsia" w:ascii="宋体" w:hAnsi="宋体" w:eastAsia="宋体" w:cs="宋体"/>
          <w:color w:val="auto"/>
          <w:sz w:val="28"/>
          <w:szCs w:val="28"/>
          <w:highlight w:val="none"/>
        </w:rPr>
        <w:t>发生故障或问题时，故障响应时间为1小时内，并在12小时内进行故障排查和处理</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提供</w:t>
      </w:r>
      <w:r>
        <w:rPr>
          <w:rFonts w:hint="eastAsia" w:ascii="宋体" w:hAnsi="宋体" w:eastAsia="宋体" w:cs="宋体"/>
          <w:color w:val="auto"/>
          <w:sz w:val="28"/>
          <w:szCs w:val="28"/>
          <w:highlight w:val="none"/>
        </w:rPr>
        <w:t>解决方案，‌确保软件系统的稳定运行</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服务方式可远程可现场。</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服务</w:t>
      </w:r>
      <w:r>
        <w:rPr>
          <w:rFonts w:hint="eastAsia" w:ascii="宋体" w:hAnsi="宋体" w:eastAsia="宋体" w:cs="宋体"/>
          <w:color w:val="auto"/>
          <w:sz w:val="28"/>
          <w:szCs w:val="28"/>
          <w:highlight w:val="none"/>
          <w:lang w:val="en-US" w:eastAsia="zh-CN"/>
        </w:rPr>
        <w:t>其他</w:t>
      </w:r>
      <w:r>
        <w:rPr>
          <w:rFonts w:hint="eastAsia" w:ascii="宋体" w:hAnsi="宋体" w:eastAsia="宋体" w:cs="宋体"/>
          <w:color w:val="auto"/>
          <w:sz w:val="28"/>
          <w:szCs w:val="28"/>
          <w:highlight w:val="none"/>
        </w:rPr>
        <w:t>内容</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投标人须配合</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根据实际运行环境和要求调整</w:t>
      </w:r>
      <w:r>
        <w:rPr>
          <w:rFonts w:hint="eastAsia" w:ascii="宋体" w:hAnsi="宋体" w:eastAsia="宋体" w:cs="宋体"/>
          <w:color w:val="auto"/>
          <w:sz w:val="28"/>
          <w:szCs w:val="28"/>
          <w:highlight w:val="none"/>
          <w:lang w:val="en-US" w:eastAsia="zh-CN"/>
        </w:rPr>
        <w:t>平台</w:t>
      </w:r>
      <w:r>
        <w:rPr>
          <w:rFonts w:hint="eastAsia" w:ascii="宋体" w:hAnsi="宋体" w:eastAsia="宋体" w:cs="宋体"/>
          <w:color w:val="auto"/>
          <w:sz w:val="28"/>
          <w:szCs w:val="28"/>
          <w:highlight w:val="none"/>
        </w:rPr>
        <w:t>的性能参数，定期上门检查整套</w:t>
      </w:r>
      <w:r>
        <w:rPr>
          <w:rFonts w:hint="eastAsia" w:ascii="宋体" w:hAnsi="宋体" w:eastAsia="宋体" w:cs="宋体"/>
          <w:color w:val="auto"/>
          <w:sz w:val="28"/>
          <w:szCs w:val="28"/>
          <w:highlight w:val="none"/>
          <w:lang w:val="en-US" w:eastAsia="zh-CN"/>
        </w:rPr>
        <w:t>平台</w:t>
      </w:r>
      <w:r>
        <w:rPr>
          <w:rFonts w:hint="eastAsia" w:ascii="宋体" w:hAnsi="宋体" w:eastAsia="宋体" w:cs="宋体"/>
          <w:color w:val="auto"/>
          <w:sz w:val="28"/>
          <w:szCs w:val="28"/>
          <w:highlight w:val="none"/>
        </w:rPr>
        <w:t>的运行情况，并能根据</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系统变化情况及时调整优化。</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投标人须为本项目建立售后服务体系，</w:t>
      </w:r>
      <w:r>
        <w:rPr>
          <w:rFonts w:hint="eastAsia" w:ascii="宋体" w:hAnsi="宋体" w:eastAsia="宋体" w:cs="宋体"/>
          <w:color w:val="auto"/>
          <w:sz w:val="28"/>
          <w:szCs w:val="28"/>
          <w:highlight w:val="none"/>
          <w:lang w:eastAsia="zh-CN"/>
        </w:rPr>
        <w:t>采购人</w:t>
      </w:r>
      <w:r>
        <w:rPr>
          <w:rFonts w:hint="eastAsia" w:ascii="宋体" w:hAnsi="宋体" w:eastAsia="宋体" w:cs="宋体"/>
          <w:color w:val="auto"/>
          <w:sz w:val="28"/>
          <w:szCs w:val="28"/>
          <w:highlight w:val="none"/>
          <w:lang w:val="en-US" w:eastAsia="zh-CN"/>
        </w:rPr>
        <w:t>在</w:t>
      </w:r>
      <w:r>
        <w:rPr>
          <w:rFonts w:hint="eastAsia" w:ascii="宋体" w:hAnsi="宋体" w:eastAsia="宋体" w:cs="宋体"/>
          <w:color w:val="auto"/>
          <w:sz w:val="28"/>
          <w:szCs w:val="28"/>
          <w:highlight w:val="none"/>
        </w:rPr>
        <w:t>质保期</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运维期</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有特殊要求的应不低于特殊要求，在质保期</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运维期</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内项目所有产品及其形成的系统性能如出现质量问题（人为除外），投标人负责无条件更换或修复。</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投标人应提供保质保量的服务，无论由于哪一方产生的问题而使系统发生不正常情况时，在得到</w:t>
      </w:r>
      <w:r>
        <w:rPr>
          <w:rFonts w:hint="eastAsia" w:ascii="宋体" w:hAnsi="宋体" w:eastAsia="宋体" w:cs="宋体"/>
          <w:color w:val="auto"/>
          <w:sz w:val="28"/>
          <w:szCs w:val="28"/>
          <w:highlight w:val="none"/>
          <w:lang w:eastAsia="zh-CN"/>
        </w:rPr>
        <w:t>采购人</w:t>
      </w:r>
      <w:r>
        <w:rPr>
          <w:rFonts w:hint="eastAsia" w:ascii="宋体" w:hAnsi="宋体" w:eastAsia="宋体" w:cs="宋体"/>
          <w:color w:val="auto"/>
          <w:sz w:val="28"/>
          <w:szCs w:val="28"/>
          <w:highlight w:val="none"/>
        </w:rPr>
        <w:t>通知后，应全力协助</w:t>
      </w:r>
      <w:r>
        <w:rPr>
          <w:rFonts w:hint="eastAsia" w:ascii="宋体" w:hAnsi="宋体" w:eastAsia="宋体" w:cs="宋体"/>
          <w:color w:val="auto"/>
          <w:sz w:val="28"/>
          <w:szCs w:val="28"/>
          <w:highlight w:val="none"/>
          <w:lang w:eastAsia="zh-CN"/>
        </w:rPr>
        <w:t>采购人</w:t>
      </w:r>
      <w:r>
        <w:rPr>
          <w:rFonts w:hint="eastAsia" w:ascii="宋体" w:hAnsi="宋体" w:eastAsia="宋体" w:cs="宋体"/>
          <w:color w:val="auto"/>
          <w:sz w:val="28"/>
          <w:szCs w:val="28"/>
          <w:highlight w:val="none"/>
        </w:rPr>
        <w:t>使系统尽快恢复正常。</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在</w:t>
      </w:r>
      <w:r>
        <w:rPr>
          <w:rFonts w:hint="eastAsia" w:ascii="宋体" w:hAnsi="宋体" w:eastAsia="宋体" w:cs="宋体"/>
          <w:color w:val="auto"/>
          <w:sz w:val="28"/>
          <w:szCs w:val="28"/>
          <w:highlight w:val="none"/>
        </w:rPr>
        <w:t>质保期</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运维期</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内</w:t>
      </w:r>
      <w:r>
        <w:rPr>
          <w:rFonts w:hint="eastAsia" w:ascii="宋体" w:hAnsi="宋体" w:eastAsia="宋体" w:cs="宋体"/>
          <w:color w:val="auto"/>
          <w:sz w:val="28"/>
          <w:szCs w:val="28"/>
          <w:highlight w:val="none"/>
        </w:rPr>
        <w:t>，中标人负责对其提供的硬件设备、软件系统进行现场维修服务，不收取额外费用。如不能提供同种规格型号的配件，应提供相当质量、档次的配件，不补差价。</w:t>
      </w:r>
      <w:r>
        <w:rPr>
          <w:rFonts w:hint="eastAsia" w:ascii="宋体" w:hAnsi="宋体" w:eastAsia="宋体" w:cs="宋体"/>
          <w:color w:val="auto"/>
          <w:sz w:val="28"/>
          <w:szCs w:val="28"/>
          <w:highlight w:val="none"/>
          <w:lang w:val="en-US" w:eastAsia="zh-CN"/>
        </w:rPr>
        <w:t>在</w:t>
      </w:r>
      <w:r>
        <w:rPr>
          <w:rFonts w:hint="eastAsia" w:ascii="宋体" w:hAnsi="宋体" w:eastAsia="宋体" w:cs="宋体"/>
          <w:color w:val="auto"/>
          <w:sz w:val="28"/>
          <w:szCs w:val="28"/>
          <w:highlight w:val="none"/>
        </w:rPr>
        <w:t>质保期</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运维期</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内</w:t>
      </w:r>
      <w:r>
        <w:rPr>
          <w:rFonts w:hint="eastAsia" w:ascii="宋体" w:hAnsi="宋体" w:eastAsia="宋体" w:cs="宋体"/>
          <w:color w:val="auto"/>
          <w:sz w:val="28"/>
          <w:szCs w:val="28"/>
          <w:highlight w:val="none"/>
        </w:rPr>
        <w:t>发生软、硬件故障，中标人应及时予以响应，免费上门服务。否则</w:t>
      </w:r>
      <w:r>
        <w:rPr>
          <w:rFonts w:hint="eastAsia" w:ascii="宋体" w:hAnsi="宋体" w:eastAsia="宋体" w:cs="宋体"/>
          <w:color w:val="auto"/>
          <w:sz w:val="28"/>
          <w:szCs w:val="28"/>
          <w:highlight w:val="none"/>
          <w:lang w:eastAsia="zh-CN"/>
        </w:rPr>
        <w:t>采购人</w:t>
      </w:r>
      <w:r>
        <w:rPr>
          <w:rFonts w:hint="eastAsia" w:ascii="宋体" w:hAnsi="宋体" w:eastAsia="宋体" w:cs="宋体"/>
          <w:color w:val="auto"/>
          <w:sz w:val="28"/>
          <w:szCs w:val="28"/>
          <w:highlight w:val="none"/>
        </w:rPr>
        <w:t>将自行采取必要的措施，由此产生风险和费用应由中标人承担。</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培训</w:t>
      </w:r>
      <w:r>
        <w:rPr>
          <w:rFonts w:hint="eastAsia" w:ascii="宋体" w:hAnsi="宋体" w:eastAsia="宋体" w:cs="宋体"/>
          <w:b/>
          <w:bCs/>
          <w:color w:val="auto"/>
          <w:sz w:val="28"/>
          <w:szCs w:val="28"/>
          <w:highlight w:val="none"/>
        </w:rPr>
        <w:t>要求</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要求提供慢病管理平台相关培训，制定详细的培训计划、培训方式、培训内容、培训人员安排等。</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培训人员应当具备相关信息系统工作的专业技能，有一定的教学经验。</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培训形式：对使用人进行集中和分散培训等多种形式。</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培训内容包含且不限于为慢病管理平台工作相关的实务、功能管理及功能日常维护、功能的日常操作及使用、平台管理服务系统其他等相关专业内容培训。</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rPr>
        <w:t>安全要求</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rPr>
        <w:t>须与</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签订有效的信息安全保密承诺书，遵守</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信息安全保密管理要求。</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rPr>
        <w:t>在</w:t>
      </w:r>
      <w:r>
        <w:rPr>
          <w:rFonts w:hint="eastAsia" w:ascii="宋体" w:hAnsi="宋体" w:eastAsia="宋体" w:cs="宋体"/>
          <w:color w:val="auto"/>
          <w:sz w:val="28"/>
          <w:szCs w:val="28"/>
          <w:highlight w:val="none"/>
          <w:lang w:val="en-US" w:eastAsia="zh-CN"/>
        </w:rPr>
        <w:t>平台实施</w:t>
      </w:r>
      <w:r>
        <w:rPr>
          <w:rFonts w:hint="eastAsia" w:ascii="宋体" w:hAnsi="宋体" w:eastAsia="宋体" w:cs="宋体"/>
          <w:color w:val="auto"/>
          <w:sz w:val="28"/>
          <w:szCs w:val="28"/>
          <w:highlight w:val="none"/>
        </w:rPr>
        <w:t>和质保期间如自身存在不符合网络安全等级保护标准第三级安全相关要求的内容，</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rPr>
        <w:t>负责及时免费整改，如因</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rPr>
        <w:t>技术漏洞、管理不当导致信息泄露、数据丢失或破坏以及受到黑客攻击，</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rPr>
        <w:t>承担相应责任并赔偿相关损失</w:t>
      </w:r>
      <w:r>
        <w:rPr>
          <w:rFonts w:hint="eastAsia" w:ascii="宋体" w:hAnsi="宋体" w:eastAsia="宋体" w:cs="宋体"/>
          <w:color w:val="auto"/>
          <w:sz w:val="28"/>
          <w:szCs w:val="28"/>
          <w:highlight w:val="none"/>
          <w:lang w:eastAsia="zh-CN"/>
        </w:rPr>
        <w:t>。</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九、</w:t>
      </w:r>
      <w:r>
        <w:rPr>
          <w:rFonts w:hint="eastAsia" w:ascii="宋体" w:hAnsi="宋体" w:eastAsia="宋体" w:cs="宋体"/>
          <w:b/>
          <w:bCs/>
          <w:color w:val="auto"/>
          <w:sz w:val="28"/>
          <w:szCs w:val="28"/>
        </w:rPr>
        <w:t>其他要求</w:t>
      </w:r>
    </w:p>
    <w:p>
      <w:pPr>
        <w:pBdr>
          <w:top w:val="none" w:color="000000" w:sz="0" w:space="0"/>
          <w:left w:val="none" w:color="000000" w:sz="0" w:space="0"/>
          <w:bottom w:val="none" w:color="000000" w:sz="0" w:space="0"/>
          <w:right w:val="none" w:color="000000" w:sz="0" w:space="0"/>
        </w:pBdr>
        <w:spacing w:line="520" w:lineRule="exact"/>
        <w:ind w:firstLine="560"/>
        <w:rPr>
          <w:rFonts w:hint="eastAsia" w:ascii="宋体" w:hAnsi="宋体" w:eastAsia="宋体" w:cs="宋体"/>
          <w:color w:val="auto"/>
          <w:sz w:val="28"/>
          <w:szCs w:val="28"/>
        </w:rPr>
      </w:pPr>
      <w:r>
        <w:rPr>
          <w:rFonts w:hint="eastAsia" w:ascii="宋体" w:hAnsi="宋体" w:eastAsia="宋体" w:cs="宋体"/>
          <w:color w:val="auto"/>
          <w:sz w:val="28"/>
          <w:szCs w:val="28"/>
        </w:rPr>
        <w:t>1.见招标文件第五章《拟签订的合同文本》。</w:t>
      </w:r>
    </w:p>
    <w:p>
      <w:pPr>
        <w:keepNext w:val="0"/>
        <w:keepLines w:val="0"/>
        <w:pageBreakBefore w:val="0"/>
        <w:widowControl w:val="0"/>
        <w:kinsoku/>
        <w:wordWrap/>
        <w:overflowPunct/>
        <w:topLinePunct w:val="0"/>
        <w:autoSpaceDE/>
        <w:autoSpaceDN/>
        <w:bidi w:val="0"/>
        <w:adjustRightInd/>
        <w:snapToGrid/>
        <w:spacing w:line="200" w:lineRule="atLeast"/>
        <w:textAlignment w:val="auto"/>
        <w:rPr>
          <w:color w:val="000000" w:themeColor="text1"/>
          <w14:textFill>
            <w14:solidFill>
              <w14:schemeClr w14:val="tx1"/>
            </w14:solidFill>
          </w14:textFill>
        </w:rPr>
      </w:pPr>
      <w:r>
        <w:rPr>
          <w:rFonts w:hint="eastAsia" w:ascii="宋体" w:hAnsi="宋体" w:eastAsia="宋体" w:cs="宋体"/>
          <w:color w:val="auto"/>
          <w:sz w:val="28"/>
          <w:szCs w:val="28"/>
        </w:rPr>
        <w:t>2.中标人在签订合同前应提供针对本项目所投产品的合法来源渠道证明文件，如无法提供将视为虚假应标。</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750EFB"/>
    <w:rsid w:val="1C2D4B1E"/>
    <w:rsid w:val="409E33DB"/>
    <w:rsid w:val="481E60AD"/>
    <w:rsid w:val="4B7B0F89"/>
    <w:rsid w:val="50DE5B7C"/>
    <w:rsid w:val="59FB5EC9"/>
    <w:rsid w:val="60636E92"/>
    <w:rsid w:val="700A50B3"/>
    <w:rsid w:val="73891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Date"/>
    <w:basedOn w:val="1"/>
    <w:next w:val="1"/>
    <w:qFormat/>
    <w:uiPriority w:val="0"/>
    <w:rPr>
      <w:rFonts w:ascii="Arial" w:hAnsi="Arial" w:eastAsia="仿宋_GB2312"/>
      <w:color w:val="000000"/>
      <w:sz w:val="32"/>
      <w:szCs w:val="20"/>
      <w:u w:val="none" w:color="000000"/>
    </w:rPr>
  </w:style>
  <w:style w:type="paragraph" w:styleId="5">
    <w:name w:val="Body Text Indent"/>
    <w:basedOn w:val="1"/>
    <w:unhideWhenUsed/>
    <w:qFormat/>
    <w:uiPriority w:val="99"/>
    <w:pPr>
      <w:spacing w:after="120"/>
      <w:ind w:left="420"/>
    </w:pPr>
  </w:style>
  <w:style w:type="paragraph" w:styleId="6">
    <w:name w:val="Body Text First Indent 2"/>
    <w:basedOn w:val="5"/>
    <w:qFormat/>
    <w:uiPriority w:val="0"/>
    <w:pPr>
      <w:ind w:firstLine="420"/>
    </w:pPr>
    <w:rPr>
      <w:rFonts w:ascii="Times New Roman" w:hAnsi="Times New Roman"/>
    </w:rPr>
  </w:style>
  <w:style w:type="table" w:styleId="9">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10">
    <w:name w:val="一级条标题"/>
    <w:basedOn w:val="11"/>
    <w:next w:val="12"/>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11">
    <w:name w:val="章标题"/>
    <w:next w:val="1"/>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12">
    <w:name w:val="段"/>
    <w:basedOn w:val="13"/>
    <w:next w:val="20"/>
    <w:qFormat/>
    <w:uiPriority w:val="0"/>
    <w:pPr>
      <w:widowControl/>
      <w:ind w:firstLine="200"/>
    </w:pPr>
    <w:rPr>
      <w:rFonts w:hint="eastAsia" w:ascii="宋体"/>
      <w:szCs w:val="20"/>
    </w:rPr>
  </w:style>
  <w:style w:type="paragraph" w:customStyle="1" w:styleId="13">
    <w:name w:val="正文11"/>
    <w:next w:val="14"/>
    <w:qFormat/>
    <w:uiPriority w:val="0"/>
    <w:pPr>
      <w:jc w:val="both"/>
    </w:pPr>
    <w:rPr>
      <w:rFonts w:hint="default" w:ascii="Times New Roman" w:hAnsi="Times New Roman" w:eastAsia="宋体" w:cs="Times New Roman"/>
      <w:lang w:val="en-US" w:eastAsia="zh-CN" w:bidi="ar-SA"/>
    </w:rPr>
  </w:style>
  <w:style w:type="paragraph" w:customStyle="1" w:styleId="14">
    <w:name w:val="正文首行缩进11"/>
    <w:basedOn w:val="15"/>
    <w:next w:val="16"/>
    <w:qFormat/>
    <w:uiPriority w:val="0"/>
    <w:pPr>
      <w:ind w:firstLine="420"/>
    </w:pPr>
    <w:rPr>
      <w:rFonts w:ascii="仿宋_GB2312" w:hAnsi="Times New Roman" w:eastAsia="仿宋_GB2312"/>
      <w:sz w:val="30"/>
      <w:szCs w:val="30"/>
    </w:rPr>
  </w:style>
  <w:style w:type="paragraph" w:customStyle="1" w:styleId="15">
    <w:name w:val="正文文本11"/>
    <w:basedOn w:val="1"/>
    <w:next w:val="13"/>
    <w:qFormat/>
    <w:uiPriority w:val="0"/>
    <w:pPr>
      <w:spacing w:after="120"/>
    </w:pPr>
  </w:style>
  <w:style w:type="paragraph" w:customStyle="1" w:styleId="16">
    <w:name w:val="正文首行缩进 211"/>
    <w:basedOn w:val="17"/>
    <w:qFormat/>
    <w:uiPriority w:val="0"/>
    <w:pPr>
      <w:ind w:firstLine="420"/>
    </w:pPr>
  </w:style>
  <w:style w:type="paragraph" w:customStyle="1" w:styleId="17">
    <w:name w:val="正文文本缩进11"/>
    <w:basedOn w:val="18"/>
    <w:next w:val="19"/>
    <w:qFormat/>
    <w:uiPriority w:val="0"/>
    <w:pPr>
      <w:spacing w:line="360" w:lineRule="auto"/>
      <w:ind w:firstLine="425"/>
    </w:pPr>
  </w:style>
  <w:style w:type="paragraph" w:customStyle="1" w:styleId="18">
    <w:name w:val="正文111"/>
    <w:next w:val="1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9">
    <w:name w:val="寄信人地址11"/>
    <w:basedOn w:val="13"/>
    <w:qFormat/>
    <w:uiPriority w:val="0"/>
    <w:rPr>
      <w:rFonts w:ascii="Arial" w:hAnsi="Arial"/>
    </w:rPr>
  </w:style>
  <w:style w:type="paragraph" w:customStyle="1" w:styleId="20">
    <w:name w:val="正文1"/>
    <w:basedOn w:val="18"/>
    <w:next w:val="2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1">
    <w:name w:val="目录 11"/>
    <w:basedOn w:val="22"/>
    <w:next w:val="20"/>
    <w:qFormat/>
    <w:uiPriority w:val="39"/>
  </w:style>
  <w:style w:type="paragraph" w:customStyle="1" w:styleId="22">
    <w:name w:val="正文12"/>
    <w:next w:val="23"/>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23">
    <w:name w:val="文本块11"/>
    <w:basedOn w:val="22"/>
    <w:qFormat/>
    <w:uiPriority w:val="0"/>
    <w:pPr>
      <w:ind w:left="256" w:right="6" w:firstLine="624"/>
    </w:pPr>
    <w:rPr>
      <w:rFonts w:ascii="Arial" w:hAnsi="Arial" w:eastAsia="仿宋"/>
      <w:sz w:val="28"/>
    </w:rPr>
  </w:style>
  <w:style w:type="paragraph" w:customStyle="1" w:styleId="24">
    <w:name w:val="标题 111"/>
    <w:basedOn w:val="1"/>
    <w:next w:val="1"/>
    <w:qFormat/>
    <w:uiPriority w:val="9"/>
    <w:pPr>
      <w:keepNext/>
      <w:keepLines/>
      <w:spacing w:line="578" w:lineRule="auto"/>
      <w:jc w:val="center"/>
      <w:outlineLvl w:val="0"/>
    </w:pPr>
    <w:rPr>
      <w:rFonts w:eastAsia="新宋体"/>
      <w:b/>
      <w:bCs/>
      <w:sz w:val="30"/>
      <w:szCs w:val="44"/>
    </w:rPr>
  </w:style>
  <w:style w:type="paragraph" w:customStyle="1" w:styleId="25">
    <w:name w:val="正文文本1"/>
    <w:basedOn w:val="1"/>
    <w:qFormat/>
    <w:uiPriority w:val="0"/>
    <w:pPr>
      <w:spacing w:after="120"/>
    </w:pPr>
    <w:rPr>
      <w:rFonts w:ascii="Calibri" w:hAnsi="Calibri"/>
    </w:rPr>
  </w:style>
  <w:style w:type="paragraph" w:customStyle="1" w:styleId="26">
    <w:name w:val="标题 11"/>
    <w:basedOn w:val="20"/>
    <w:next w:val="20"/>
    <w:qFormat/>
    <w:uiPriority w:val="0"/>
    <w:pPr>
      <w:keepNext/>
      <w:keepLines/>
      <w:spacing w:line="578" w:lineRule="auto"/>
      <w:jc w:val="center"/>
      <w:outlineLvl w:val="0"/>
    </w:pPr>
    <w:rPr>
      <w:rFonts w:eastAsia="新宋体"/>
      <w:b/>
      <w:bCs/>
      <w:sz w:val="30"/>
      <w:szCs w:val="44"/>
    </w:rPr>
  </w:style>
  <w:style w:type="paragraph" w:customStyle="1" w:styleId="27">
    <w:name w:val="正文首行缩进 21"/>
    <w:basedOn w:val="28"/>
    <w:next w:val="22"/>
    <w:qFormat/>
    <w:uiPriority w:val="0"/>
    <w:pPr>
      <w:ind w:firstLine="420"/>
    </w:pPr>
    <w:rPr>
      <w:rFonts w:ascii="Times New Roman" w:hAnsi="Times New Roman"/>
    </w:rPr>
  </w:style>
  <w:style w:type="paragraph" w:customStyle="1" w:styleId="28">
    <w:name w:val="正文文本缩进1"/>
    <w:basedOn w:val="13"/>
    <w:next w:val="29"/>
    <w:qFormat/>
    <w:uiPriority w:val="0"/>
    <w:pPr>
      <w:spacing w:after="120"/>
      <w:ind w:left="420"/>
    </w:pPr>
    <w:rPr>
      <w:rFonts w:ascii="Calibri" w:hAnsi="Calibri"/>
    </w:rPr>
  </w:style>
  <w:style w:type="paragraph" w:customStyle="1" w:styleId="29">
    <w:name w:val="寄信人地址1"/>
    <w:basedOn w:val="13"/>
    <w:qFormat/>
    <w:uiPriority w:val="0"/>
    <w:rPr>
      <w:rFonts w:ascii="Arial" w:hAnsi="Arial"/>
    </w:rPr>
  </w:style>
  <w:style w:type="table" w:customStyle="1" w:styleId="30">
    <w:name w:val="网格型1"/>
    <w:basedOn w:val="31"/>
    <w:qFormat/>
    <w:uiPriority w:val="0"/>
    <w:pPr>
      <w:widowControl w:val="0"/>
      <w:jc w:val="both"/>
    </w:pPr>
  </w:style>
  <w:style w:type="table" w:customStyle="1" w:styleId="31">
    <w:name w:val="普通表格1"/>
    <w:semiHidden/>
    <w:qFormat/>
    <w:uiPriority w:val="0"/>
    <w:tblPr>
      <w:tblLayout w:type="fixed"/>
      <w:tblCellMar>
        <w:top w:w="0" w:type="dxa"/>
        <w:left w:w="0" w:type="dxa"/>
        <w:bottom w:w="0" w:type="dxa"/>
        <w:right w:w="0" w:type="dxa"/>
      </w:tblCellMar>
    </w:tblPr>
  </w:style>
  <w:style w:type="paragraph" w:styleId="32">
    <w:name w:val="List Paragraph"/>
    <w:basedOn w:val="1"/>
    <w:qFormat/>
    <w:uiPriority w:val="34"/>
    <w:pPr>
      <w:ind w:left="720"/>
      <w:contextualSpacing/>
    </w:pPr>
    <w:rPr>
      <w:rFonts w:hint="default" w:ascii="Times New Roman" w:hAnsi="Times New Roman" w:eastAsia="宋体" w:cs="Times New Roman"/>
      <w:lang w:val="en-US" w:eastAsia="zh-CN" w:bidi="ar-SA"/>
    </w:rPr>
  </w:style>
  <w:style w:type="character" w:customStyle="1" w:styleId="33">
    <w:name w:val="font11"/>
    <w:basedOn w:val="7"/>
    <w:qFormat/>
    <w:uiPriority w:val="0"/>
    <w:rPr>
      <w:rFonts w:hint="eastAsia" w:ascii="方正仿宋_GBK" w:hAnsi="方正仿宋_GBK" w:eastAsia="方正仿宋_GBK" w:cs="方正仿宋_GBK"/>
      <w:color w:val="000000"/>
      <w:sz w:val="32"/>
      <w:szCs w:val="32"/>
      <w:u w:val="none"/>
    </w:rPr>
  </w:style>
  <w:style w:type="paragraph" w:customStyle="1" w:styleId="34">
    <w:name w:val="页眉1"/>
    <w:basedOn w:val="20"/>
    <w:qFormat/>
    <w:uiPriority w:val="0"/>
    <w:pPr>
      <w:pBdr>
        <w:bottom w:val="single" w:color="000000" w:sz="6" w:space="1"/>
      </w:pBdr>
      <w:tabs>
        <w:tab w:val="center" w:pos="4153"/>
        <w:tab w:val="right" w:pos="8306"/>
      </w:tabs>
      <w:jc w:val="center"/>
    </w:pPr>
    <w:rPr>
      <w:sz w:val="18"/>
      <w:szCs w:val="18"/>
    </w:rPr>
  </w:style>
  <w:style w:type="paragraph" w:customStyle="1" w:styleId="35">
    <w:name w:val="页脚1"/>
    <w:basedOn w:val="20"/>
    <w:qFormat/>
    <w:uiPriority w:val="0"/>
    <w:pPr>
      <w:tabs>
        <w:tab w:val="center" w:pos="4153"/>
        <w:tab w:val="right" w:pos="8306"/>
      </w:tabs>
      <w:jc w:val="left"/>
    </w:pPr>
    <w:rPr>
      <w:sz w:val="18"/>
      <w:szCs w:val="18"/>
    </w:rPr>
  </w:style>
  <w:style w:type="character" w:customStyle="1" w:styleId="36">
    <w:name w:val="页码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2025-01-09T01:45:00Z</dcterms:created>
  <dc:creator>Administrator</dc:creator>
  <cp:lastModifiedBy>Administrator</cp:lastModifiedBy>
  <dcterms:modified xsi:type="dcterms:W3CDTF">2025-11-07T07:08:57Z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598A79BA465A4E06BF0C32D99D92C58E</vt:lpwstr>
  </property>
</Properties>
</file>