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04EDE">
      <w:pPr>
        <w:pStyle w:val="5"/>
        <w:spacing w:line="500" w:lineRule="exact"/>
        <w:ind w:firstLine="0" w:firstLineChars="0"/>
        <w:jc w:val="center"/>
        <w:rPr>
          <w:rFonts w:hint="eastAsia" w:ascii="宋体" w:hAnsi="宋体"/>
          <w:b/>
          <w:sz w:val="32"/>
          <w:szCs w:val="32"/>
        </w:rPr>
      </w:pPr>
      <w:r>
        <w:rPr>
          <w:rFonts w:hint="eastAsia" w:ascii="宋体" w:hAnsi="宋体"/>
          <w:b/>
          <w:sz w:val="32"/>
          <w:szCs w:val="32"/>
        </w:rPr>
        <w:t>中铁大桥局集团有限公司新建CZ铁路CZSCZQ-1标段</w:t>
      </w:r>
      <w:r>
        <w:rPr>
          <w:rFonts w:hint="eastAsia" w:ascii="宋体" w:hAnsi="宋体"/>
          <w:b/>
          <w:sz w:val="32"/>
          <w:szCs w:val="32"/>
          <w:lang w:val="en-US" w:eastAsia="zh-CN"/>
        </w:rPr>
        <w:t>一</w:t>
      </w:r>
      <w:r>
        <w:rPr>
          <w:rFonts w:hint="eastAsia" w:ascii="宋体" w:hAnsi="宋体"/>
          <w:b/>
          <w:sz w:val="32"/>
          <w:szCs w:val="32"/>
        </w:rPr>
        <w:t>工区</w:t>
      </w:r>
      <w:r>
        <w:rPr>
          <w:rFonts w:hint="eastAsia" w:ascii="宋体" w:hAnsi="宋体"/>
          <w:b/>
          <w:sz w:val="32"/>
          <w:szCs w:val="32"/>
        </w:rPr>
        <w:t>废旧物资出售询价书</w:t>
      </w:r>
    </w:p>
    <w:p w14:paraId="516E4C2D">
      <w:pPr>
        <w:pStyle w:val="5"/>
        <w:spacing w:line="500" w:lineRule="exact"/>
        <w:ind w:firstLine="0" w:firstLineChars="0"/>
        <w:jc w:val="center"/>
        <w:rPr>
          <w:rFonts w:hint="eastAsia" w:ascii="宋体" w:hAnsi="宋体" w:eastAsia="宋体" w:cs="Times New Roman"/>
          <w:sz w:val="24"/>
          <w:szCs w:val="24"/>
          <w:lang w:val="en-US" w:eastAsia="zh-CN"/>
        </w:rPr>
      </w:pPr>
      <w:r>
        <w:rPr>
          <w:rFonts w:hint="eastAsia" w:ascii="华文仿宋" w:hAnsi="华文仿宋" w:eastAsia="华文仿宋"/>
          <w:sz w:val="32"/>
          <w:szCs w:val="32"/>
        </w:rPr>
        <w:t xml:space="preserve">                           </w:t>
      </w:r>
      <w:r>
        <w:rPr>
          <w:rFonts w:ascii="宋体" w:hAnsi="宋体"/>
          <w:sz w:val="24"/>
          <w:szCs w:val="24"/>
        </w:rPr>
        <w:t>编号</w:t>
      </w:r>
      <w:r>
        <w:rPr>
          <w:rFonts w:ascii="宋体" w:hAnsi="宋体" w:eastAsia="宋体" w:cs="Times New Roman"/>
          <w:sz w:val="24"/>
          <w:szCs w:val="24"/>
        </w:rPr>
        <w:t>：MBEC-</w:t>
      </w:r>
      <w:r>
        <w:rPr>
          <w:rFonts w:hint="eastAsia" w:ascii="宋体" w:hAnsi="宋体" w:eastAsia="宋体" w:cs="Times New Roman"/>
          <w:sz w:val="24"/>
          <w:szCs w:val="24"/>
          <w:lang w:val="en-US" w:eastAsia="zh-CN"/>
        </w:rPr>
        <w:t>CZ01-</w:t>
      </w:r>
      <w:r>
        <w:rPr>
          <w:rFonts w:hint="eastAsia" w:ascii="宋体" w:hAnsi="宋体" w:eastAsia="宋体" w:cs="Times New Roman"/>
          <w:sz w:val="24"/>
          <w:szCs w:val="24"/>
        </w:rPr>
        <w:t>FJWZ-</w:t>
      </w:r>
      <w:r>
        <w:rPr>
          <w:rFonts w:ascii="宋体" w:hAnsi="宋体" w:eastAsia="宋体" w:cs="Times New Roman"/>
          <w:sz w:val="24"/>
          <w:szCs w:val="24"/>
        </w:rPr>
        <w:t>202</w:t>
      </w:r>
      <w:r>
        <w:rPr>
          <w:rFonts w:hint="eastAsia" w:ascii="宋体" w:hAnsi="宋体" w:eastAsia="宋体" w:cs="Times New Roman"/>
          <w:sz w:val="24"/>
          <w:szCs w:val="24"/>
          <w:lang w:val="en-US" w:eastAsia="zh-CN"/>
        </w:rPr>
        <w:t>6</w:t>
      </w:r>
      <w:r>
        <w:rPr>
          <w:rFonts w:ascii="宋体" w:hAnsi="宋体" w:eastAsia="宋体" w:cs="Times New Roman"/>
          <w:sz w:val="24"/>
          <w:szCs w:val="24"/>
        </w:rPr>
        <w:t>-</w:t>
      </w:r>
      <w:r>
        <w:rPr>
          <w:rFonts w:hint="eastAsia" w:ascii="宋体" w:hAnsi="宋体" w:eastAsia="宋体" w:cs="Times New Roman"/>
          <w:sz w:val="24"/>
          <w:szCs w:val="24"/>
        </w:rPr>
        <w:t>01</w:t>
      </w:r>
    </w:p>
    <w:p w14:paraId="0F6D36AA">
      <w:pPr>
        <w:pStyle w:val="5"/>
        <w:spacing w:line="500" w:lineRule="exact"/>
        <w:ind w:firstLine="0" w:firstLineChars="0"/>
        <w:jc w:val="left"/>
        <w:rPr>
          <w:rFonts w:hint="eastAsia" w:ascii="宋体" w:hAnsi="宋体"/>
          <w:sz w:val="24"/>
          <w:szCs w:val="24"/>
        </w:rPr>
      </w:pPr>
      <w:r>
        <w:rPr>
          <w:rFonts w:hint="eastAsia" w:ascii="宋体" w:hAnsi="宋体"/>
          <w:sz w:val="24"/>
          <w:szCs w:val="24"/>
        </w:rPr>
        <w:t>各潜在报价人</w:t>
      </w:r>
      <w:r>
        <w:rPr>
          <w:rFonts w:ascii="宋体" w:hAnsi="宋体"/>
          <w:sz w:val="24"/>
          <w:szCs w:val="24"/>
        </w:rPr>
        <w:t>：</w:t>
      </w:r>
    </w:p>
    <w:p w14:paraId="6BD6C2D7">
      <w:pPr>
        <w:pStyle w:val="5"/>
        <w:spacing w:line="500" w:lineRule="exact"/>
        <w:ind w:firstLine="480"/>
        <w:jc w:val="left"/>
        <w:rPr>
          <w:rFonts w:hint="eastAsia" w:ascii="宋体" w:hAnsi="宋体"/>
          <w:sz w:val="24"/>
          <w:szCs w:val="24"/>
        </w:rPr>
      </w:pPr>
      <w:r>
        <w:rPr>
          <w:rFonts w:ascii="宋体" w:hAnsi="宋体"/>
          <w:sz w:val="24"/>
          <w:szCs w:val="24"/>
        </w:rPr>
        <w:t>本单位</w:t>
      </w:r>
      <w:r>
        <w:rPr>
          <w:rFonts w:hint="eastAsia" w:ascii="宋体" w:hAnsi="宋体"/>
          <w:sz w:val="24"/>
          <w:szCs w:val="24"/>
          <w:u w:val="single"/>
          <w:lang w:val="en-US" w:eastAsia="zh-CN"/>
        </w:rPr>
        <w:t>中铁大桥局集团有限公司新建CZ铁路CZSCZQ-1标段一工区</w:t>
      </w:r>
      <w:r>
        <w:rPr>
          <w:rFonts w:ascii="宋体" w:hAnsi="宋体"/>
          <w:sz w:val="24"/>
          <w:szCs w:val="24"/>
        </w:rPr>
        <w:t>拟</w:t>
      </w:r>
      <w:r>
        <w:rPr>
          <w:rFonts w:hint="eastAsia" w:ascii="宋体" w:hAnsi="宋体"/>
          <w:sz w:val="24"/>
          <w:szCs w:val="24"/>
        </w:rPr>
        <w:t>将以下废旧物资进行出售</w:t>
      </w:r>
      <w:r>
        <w:rPr>
          <w:rFonts w:ascii="宋体" w:hAnsi="宋体"/>
          <w:sz w:val="24"/>
          <w:szCs w:val="24"/>
        </w:rPr>
        <w:t>，</w:t>
      </w:r>
      <w:r>
        <w:rPr>
          <w:rFonts w:hint="eastAsia" w:ascii="宋体" w:hAnsi="宋体"/>
          <w:sz w:val="24"/>
          <w:szCs w:val="24"/>
        </w:rPr>
        <w:t>有意购买者</w:t>
      </w:r>
      <w:r>
        <w:rPr>
          <w:rFonts w:ascii="宋体" w:hAnsi="宋体"/>
          <w:sz w:val="24"/>
          <w:szCs w:val="24"/>
        </w:rPr>
        <w:t>请于</w:t>
      </w:r>
      <w:r>
        <w:rPr>
          <w:rFonts w:hint="eastAsia" w:ascii="宋体" w:hAnsi="宋体"/>
          <w:sz w:val="24"/>
          <w:szCs w:val="24"/>
        </w:rPr>
        <w:t>此询价单报价截止时间</w:t>
      </w:r>
      <w:r>
        <w:rPr>
          <w:rFonts w:ascii="宋体" w:hAnsi="宋体"/>
          <w:sz w:val="24"/>
          <w:szCs w:val="24"/>
        </w:rPr>
        <w:t>之前按本询价书的要求和响应文件格式予以报价。</w:t>
      </w:r>
    </w:p>
    <w:p w14:paraId="28FD9CF4">
      <w:pPr>
        <w:pStyle w:val="5"/>
        <w:tabs>
          <w:tab w:val="left" w:pos="709"/>
        </w:tabs>
        <w:spacing w:line="500" w:lineRule="exact"/>
        <w:ind w:firstLine="480"/>
        <w:rPr>
          <w:rFonts w:hint="eastAsia" w:ascii="宋体" w:hAnsi="宋体"/>
          <w:sz w:val="24"/>
          <w:szCs w:val="24"/>
        </w:rPr>
      </w:pPr>
      <w:r>
        <w:rPr>
          <w:rFonts w:ascii="宋体" w:hAnsi="宋体"/>
          <w:sz w:val="24"/>
          <w:szCs w:val="24"/>
        </w:rPr>
        <w:t>一、</w:t>
      </w:r>
      <w:r>
        <w:rPr>
          <w:rFonts w:hint="eastAsia" w:ascii="宋体" w:hAnsi="宋体"/>
          <w:sz w:val="24"/>
          <w:szCs w:val="24"/>
        </w:rPr>
        <w:t>出售</w:t>
      </w:r>
      <w:r>
        <w:rPr>
          <w:rFonts w:ascii="宋体" w:hAnsi="宋体"/>
          <w:sz w:val="24"/>
          <w:szCs w:val="24"/>
        </w:rPr>
        <w:t>单位信息</w:t>
      </w:r>
    </w:p>
    <w:p w14:paraId="247B1761">
      <w:pPr>
        <w:pStyle w:val="5"/>
        <w:tabs>
          <w:tab w:val="left" w:pos="709"/>
        </w:tabs>
        <w:spacing w:line="500" w:lineRule="exact"/>
        <w:ind w:firstLine="480"/>
        <w:rPr>
          <w:rFonts w:hint="eastAsia" w:ascii="宋体" w:hAnsi="宋体"/>
          <w:sz w:val="24"/>
          <w:szCs w:val="24"/>
          <w:u w:val="single"/>
        </w:rPr>
      </w:pPr>
      <w:r>
        <w:rPr>
          <w:rFonts w:ascii="宋体" w:hAnsi="宋体"/>
          <w:sz w:val="24"/>
          <w:szCs w:val="24"/>
        </w:rPr>
        <w:t>单位名称</w:t>
      </w:r>
      <w:r>
        <w:rPr>
          <w:rFonts w:hint="eastAsia" w:ascii="宋体" w:hAnsi="宋体"/>
          <w:sz w:val="24"/>
          <w:szCs w:val="24"/>
        </w:rPr>
        <w:t>：</w:t>
      </w:r>
      <w:r>
        <w:rPr>
          <w:rFonts w:hint="eastAsia" w:ascii="宋体" w:hAnsi="宋体"/>
          <w:sz w:val="24"/>
          <w:szCs w:val="24"/>
          <w:u w:val="single"/>
          <w:lang w:val="en-US" w:eastAsia="zh-CN"/>
        </w:rPr>
        <w:t>中铁大桥局集团有限公司新建CZ铁路CZSCZQ-1标段一工区</w:t>
      </w:r>
      <w:r>
        <w:rPr>
          <w:rFonts w:ascii="宋体" w:hAnsi="宋体"/>
          <w:sz w:val="24"/>
          <w:szCs w:val="24"/>
          <w:u w:val="single"/>
        </w:rPr>
        <w:t>；</w:t>
      </w:r>
    </w:p>
    <w:p w14:paraId="213CBCCE">
      <w:pPr>
        <w:pStyle w:val="5"/>
        <w:tabs>
          <w:tab w:val="left" w:pos="709"/>
        </w:tabs>
        <w:spacing w:line="500" w:lineRule="exact"/>
        <w:ind w:firstLine="480"/>
        <w:rPr>
          <w:rFonts w:hint="eastAsia" w:ascii="宋体" w:hAnsi="宋体"/>
          <w:sz w:val="24"/>
          <w:szCs w:val="24"/>
          <w:u w:val="single"/>
        </w:rPr>
      </w:pPr>
      <w:r>
        <w:rPr>
          <w:rFonts w:ascii="宋体" w:hAnsi="宋体"/>
          <w:sz w:val="24"/>
          <w:szCs w:val="24"/>
        </w:rPr>
        <w:t>地址：</w:t>
      </w:r>
      <w:r>
        <w:rPr>
          <w:rFonts w:hint="eastAsia" w:ascii="宋体" w:hAnsi="宋体"/>
          <w:sz w:val="24"/>
          <w:szCs w:val="24"/>
          <w:u w:val="single"/>
          <w:lang w:val="en-US" w:eastAsia="zh-CN"/>
        </w:rPr>
        <w:t>四川省甘孜藏族自治州泸定县泸桥镇新桥村四湾</w:t>
      </w:r>
      <w:r>
        <w:rPr>
          <w:rFonts w:ascii="宋体" w:hAnsi="宋体"/>
          <w:sz w:val="24"/>
          <w:szCs w:val="24"/>
        </w:rPr>
        <w:t>；</w:t>
      </w:r>
    </w:p>
    <w:p w14:paraId="3223F923">
      <w:pPr>
        <w:pStyle w:val="5"/>
        <w:tabs>
          <w:tab w:val="left" w:pos="709"/>
        </w:tabs>
        <w:spacing w:line="500" w:lineRule="exact"/>
        <w:ind w:firstLine="480"/>
        <w:rPr>
          <w:rFonts w:hint="eastAsia" w:ascii="宋体" w:hAnsi="宋体"/>
          <w:sz w:val="24"/>
          <w:szCs w:val="24"/>
        </w:rPr>
      </w:pPr>
      <w:r>
        <w:rPr>
          <w:rFonts w:ascii="宋体" w:hAnsi="宋体"/>
          <w:sz w:val="24"/>
          <w:szCs w:val="24"/>
        </w:rPr>
        <w:t>联系人：</w:t>
      </w:r>
      <w:r>
        <w:rPr>
          <w:rFonts w:hint="eastAsia" w:ascii="宋体" w:hAnsi="宋体"/>
          <w:sz w:val="24"/>
          <w:szCs w:val="24"/>
          <w:u w:val="single"/>
          <w:lang w:val="en-US" w:eastAsia="zh-CN"/>
        </w:rPr>
        <w:t>黄</w:t>
      </w:r>
      <w:r>
        <w:rPr>
          <w:rFonts w:hint="eastAsia" w:ascii="宋体" w:hAnsi="宋体"/>
          <w:sz w:val="24"/>
          <w:szCs w:val="24"/>
          <w:u w:val="single"/>
        </w:rPr>
        <w:t>先生</w:t>
      </w:r>
      <w:r>
        <w:rPr>
          <w:rFonts w:ascii="宋体" w:hAnsi="宋体"/>
          <w:sz w:val="24"/>
          <w:szCs w:val="24"/>
        </w:rPr>
        <w:t>；</w:t>
      </w:r>
    </w:p>
    <w:p w14:paraId="29198670">
      <w:pPr>
        <w:pStyle w:val="5"/>
        <w:tabs>
          <w:tab w:val="left" w:pos="709"/>
        </w:tabs>
        <w:spacing w:line="500" w:lineRule="exact"/>
        <w:ind w:firstLine="480"/>
        <w:rPr>
          <w:rFonts w:hint="eastAsia" w:ascii="宋体" w:hAnsi="宋体"/>
          <w:sz w:val="24"/>
          <w:szCs w:val="24"/>
          <w:u w:val="single"/>
        </w:rPr>
      </w:pPr>
      <w:r>
        <w:rPr>
          <w:rFonts w:ascii="宋体" w:hAnsi="宋体"/>
          <w:sz w:val="24"/>
          <w:szCs w:val="24"/>
        </w:rPr>
        <w:t>联系电话：</w:t>
      </w:r>
      <w:r>
        <w:rPr>
          <w:rFonts w:hint="eastAsia" w:ascii="宋体" w:hAnsi="宋体"/>
          <w:sz w:val="24"/>
          <w:szCs w:val="24"/>
          <w:u w:val="single"/>
          <w:lang w:val="en-US" w:eastAsia="zh-CN"/>
        </w:rPr>
        <w:t>15284150521</w:t>
      </w:r>
      <w:r>
        <w:rPr>
          <w:rFonts w:ascii="宋体" w:hAnsi="宋体"/>
          <w:sz w:val="24"/>
          <w:szCs w:val="24"/>
        </w:rPr>
        <w:t>；</w:t>
      </w:r>
    </w:p>
    <w:p w14:paraId="53473E8B">
      <w:pPr>
        <w:pStyle w:val="5"/>
        <w:spacing w:line="500" w:lineRule="exact"/>
        <w:ind w:firstLine="480"/>
        <w:jc w:val="left"/>
        <w:rPr>
          <w:rFonts w:hint="eastAsia" w:ascii="宋体" w:hAnsi="宋体"/>
          <w:sz w:val="24"/>
          <w:szCs w:val="24"/>
        </w:rPr>
      </w:pPr>
      <w:r>
        <w:rPr>
          <w:rFonts w:ascii="宋体" w:hAnsi="宋体"/>
          <w:sz w:val="24"/>
          <w:szCs w:val="24"/>
        </w:rPr>
        <w:t>电子信箱：</w:t>
      </w:r>
      <w:r>
        <w:rPr>
          <w:rFonts w:hint="eastAsia" w:ascii="宋体" w:hAnsi="宋体"/>
          <w:sz w:val="24"/>
          <w:szCs w:val="24"/>
          <w:u w:val="single"/>
          <w:lang w:val="en-US" w:eastAsia="zh-CN"/>
        </w:rPr>
        <w:t>2814464795</w:t>
      </w:r>
      <w:r>
        <w:rPr>
          <w:rFonts w:ascii="宋体" w:hAnsi="宋体"/>
          <w:sz w:val="24"/>
          <w:szCs w:val="24"/>
          <w:u w:val="single"/>
        </w:rPr>
        <w:t>@qq.com</w:t>
      </w:r>
      <w:r>
        <w:rPr>
          <w:rFonts w:ascii="宋体" w:hAnsi="宋体"/>
          <w:sz w:val="24"/>
          <w:szCs w:val="24"/>
        </w:rPr>
        <w:t>。</w:t>
      </w:r>
    </w:p>
    <w:p w14:paraId="6F373BC0">
      <w:pPr>
        <w:pStyle w:val="5"/>
        <w:tabs>
          <w:tab w:val="left" w:pos="709"/>
        </w:tabs>
        <w:spacing w:line="500" w:lineRule="exact"/>
        <w:ind w:firstLine="480"/>
        <w:rPr>
          <w:rFonts w:hint="eastAsia" w:ascii="宋体" w:hAnsi="宋体"/>
          <w:sz w:val="24"/>
          <w:szCs w:val="24"/>
        </w:rPr>
      </w:pPr>
      <w:r>
        <w:rPr>
          <w:rFonts w:ascii="宋体" w:hAnsi="宋体"/>
          <w:sz w:val="24"/>
          <w:szCs w:val="24"/>
        </w:rPr>
        <w:t>二、</w:t>
      </w:r>
      <w:r>
        <w:rPr>
          <w:rFonts w:hint="eastAsia" w:ascii="宋体" w:hAnsi="宋体"/>
          <w:sz w:val="24"/>
          <w:szCs w:val="24"/>
        </w:rPr>
        <w:t>拟出售</w:t>
      </w:r>
      <w:r>
        <w:rPr>
          <w:rFonts w:ascii="宋体" w:hAnsi="宋体"/>
          <w:sz w:val="24"/>
          <w:szCs w:val="24"/>
        </w:rPr>
        <w:t>的</w:t>
      </w:r>
      <w:r>
        <w:rPr>
          <w:rFonts w:hint="eastAsia" w:ascii="宋体" w:hAnsi="宋体"/>
          <w:sz w:val="24"/>
          <w:szCs w:val="24"/>
        </w:rPr>
        <w:t>废旧物资</w:t>
      </w:r>
      <w:r>
        <w:rPr>
          <w:rFonts w:ascii="宋体" w:hAnsi="宋体"/>
          <w:sz w:val="24"/>
          <w:szCs w:val="24"/>
        </w:rPr>
        <w:t>名称、规格、数量：</w:t>
      </w:r>
    </w:p>
    <w:tbl>
      <w:tblPr>
        <w:tblStyle w:val="3"/>
        <w:tblW w:w="5000" w:type="pct"/>
        <w:tblInd w:w="0" w:type="dxa"/>
        <w:tblLayout w:type="autofit"/>
        <w:tblCellMar>
          <w:top w:w="0" w:type="dxa"/>
          <w:left w:w="108" w:type="dxa"/>
          <w:bottom w:w="0" w:type="dxa"/>
          <w:right w:w="108" w:type="dxa"/>
        </w:tblCellMar>
      </w:tblPr>
      <w:tblGrid>
        <w:gridCol w:w="696"/>
        <w:gridCol w:w="4057"/>
        <w:gridCol w:w="1176"/>
        <w:gridCol w:w="1176"/>
        <w:gridCol w:w="696"/>
        <w:gridCol w:w="721"/>
      </w:tblGrid>
      <w:tr w14:paraId="431424C1">
        <w:tblPrEx>
          <w:tblCellMar>
            <w:top w:w="0" w:type="dxa"/>
            <w:left w:w="108" w:type="dxa"/>
            <w:bottom w:w="0" w:type="dxa"/>
            <w:right w:w="108" w:type="dxa"/>
          </w:tblCellMar>
        </w:tblPrEx>
        <w:trPr>
          <w:trHeight w:val="285" w:hRule="atLeast"/>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C2C1D">
            <w:pPr>
              <w:widowControl/>
              <w:spacing w:line="500" w:lineRule="exact"/>
              <w:jc w:val="center"/>
              <w:rPr>
                <w:rFonts w:hint="eastAsia" w:ascii="宋体" w:hAnsi="宋体"/>
                <w:color w:val="000000"/>
                <w:kern w:val="0"/>
                <w:sz w:val="24"/>
              </w:rPr>
            </w:pPr>
            <w:r>
              <w:rPr>
                <w:rFonts w:ascii="宋体" w:hAnsi="宋体"/>
                <w:color w:val="000000"/>
                <w:kern w:val="0"/>
                <w:sz w:val="24"/>
              </w:rPr>
              <w:t xml:space="preserve">序号 </w:t>
            </w:r>
          </w:p>
        </w:tc>
        <w:tc>
          <w:tcPr>
            <w:tcW w:w="2379" w:type="pct"/>
            <w:tcBorders>
              <w:top w:val="single" w:color="auto" w:sz="4" w:space="0"/>
              <w:left w:val="nil"/>
              <w:bottom w:val="single" w:color="auto" w:sz="4" w:space="0"/>
              <w:right w:val="single" w:color="auto" w:sz="4" w:space="0"/>
            </w:tcBorders>
            <w:shd w:val="clear" w:color="auto" w:fill="auto"/>
            <w:noWrap/>
            <w:vAlign w:val="center"/>
          </w:tcPr>
          <w:p w14:paraId="493515A6">
            <w:pPr>
              <w:widowControl/>
              <w:spacing w:line="500" w:lineRule="exact"/>
              <w:jc w:val="center"/>
              <w:rPr>
                <w:rFonts w:hint="eastAsia" w:ascii="宋体" w:hAnsi="宋体"/>
                <w:color w:val="000000"/>
                <w:kern w:val="0"/>
                <w:sz w:val="24"/>
              </w:rPr>
            </w:pPr>
            <w:r>
              <w:rPr>
                <w:rFonts w:ascii="宋体" w:hAnsi="宋体"/>
                <w:color w:val="000000"/>
                <w:kern w:val="0"/>
                <w:sz w:val="24"/>
              </w:rPr>
              <w:t>名称</w:t>
            </w:r>
          </w:p>
        </w:tc>
        <w:tc>
          <w:tcPr>
            <w:tcW w:w="689" w:type="pct"/>
            <w:tcBorders>
              <w:top w:val="single" w:color="auto" w:sz="4" w:space="0"/>
              <w:left w:val="nil"/>
              <w:bottom w:val="single" w:color="auto" w:sz="4" w:space="0"/>
              <w:right w:val="single" w:color="auto" w:sz="4" w:space="0"/>
            </w:tcBorders>
            <w:shd w:val="clear" w:color="auto" w:fill="auto"/>
            <w:noWrap/>
            <w:vAlign w:val="center"/>
          </w:tcPr>
          <w:p w14:paraId="148C553A">
            <w:pPr>
              <w:widowControl/>
              <w:spacing w:line="500" w:lineRule="exact"/>
              <w:jc w:val="center"/>
              <w:rPr>
                <w:rFonts w:hint="eastAsia" w:ascii="宋体" w:hAnsi="宋体"/>
                <w:color w:val="000000"/>
                <w:kern w:val="0"/>
                <w:sz w:val="24"/>
              </w:rPr>
            </w:pPr>
            <w:r>
              <w:rPr>
                <w:rFonts w:ascii="宋体" w:hAnsi="宋体"/>
                <w:color w:val="000000"/>
                <w:kern w:val="0"/>
                <w:sz w:val="24"/>
              </w:rPr>
              <w:t>规格型号</w:t>
            </w:r>
          </w:p>
        </w:tc>
        <w:tc>
          <w:tcPr>
            <w:tcW w:w="689" w:type="pct"/>
            <w:tcBorders>
              <w:top w:val="single" w:color="auto" w:sz="4" w:space="0"/>
              <w:left w:val="nil"/>
              <w:bottom w:val="single" w:color="auto" w:sz="4" w:space="0"/>
              <w:right w:val="single" w:color="auto" w:sz="4" w:space="0"/>
            </w:tcBorders>
            <w:shd w:val="clear" w:color="auto" w:fill="auto"/>
            <w:noWrap/>
            <w:vAlign w:val="center"/>
          </w:tcPr>
          <w:p w14:paraId="66AE5654">
            <w:pPr>
              <w:widowControl/>
              <w:spacing w:line="500" w:lineRule="exact"/>
              <w:jc w:val="center"/>
              <w:rPr>
                <w:rFonts w:hint="eastAsia" w:ascii="宋体" w:hAnsi="宋体"/>
                <w:color w:val="000000"/>
                <w:kern w:val="0"/>
                <w:sz w:val="24"/>
              </w:rPr>
            </w:pPr>
            <w:r>
              <w:rPr>
                <w:rFonts w:ascii="宋体" w:hAnsi="宋体"/>
                <w:color w:val="000000"/>
                <w:kern w:val="0"/>
                <w:sz w:val="24"/>
              </w:rPr>
              <w:t>计量单位</w:t>
            </w: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4932C090">
            <w:pPr>
              <w:widowControl/>
              <w:spacing w:line="500" w:lineRule="exact"/>
              <w:jc w:val="center"/>
              <w:rPr>
                <w:rFonts w:hint="eastAsia" w:ascii="宋体" w:hAnsi="宋体"/>
                <w:color w:val="000000"/>
                <w:kern w:val="0"/>
                <w:sz w:val="24"/>
              </w:rPr>
            </w:pPr>
            <w:r>
              <w:rPr>
                <w:rFonts w:ascii="宋体" w:hAnsi="宋体"/>
                <w:color w:val="000000"/>
                <w:kern w:val="0"/>
                <w:sz w:val="24"/>
              </w:rPr>
              <w:t>数量</w:t>
            </w:r>
          </w:p>
        </w:tc>
        <w:tc>
          <w:tcPr>
            <w:tcW w:w="423" w:type="pct"/>
            <w:tcBorders>
              <w:top w:val="single" w:color="auto" w:sz="4" w:space="0"/>
              <w:left w:val="nil"/>
              <w:bottom w:val="single" w:color="auto" w:sz="4" w:space="0"/>
              <w:right w:val="single" w:color="auto" w:sz="4" w:space="0"/>
            </w:tcBorders>
            <w:shd w:val="clear" w:color="auto" w:fill="auto"/>
            <w:noWrap/>
            <w:vAlign w:val="center"/>
          </w:tcPr>
          <w:p w14:paraId="3B122B4E">
            <w:pPr>
              <w:widowControl/>
              <w:spacing w:line="500" w:lineRule="exact"/>
              <w:jc w:val="center"/>
              <w:rPr>
                <w:rFonts w:hint="eastAsia" w:ascii="宋体" w:hAnsi="宋体"/>
                <w:color w:val="000000"/>
                <w:kern w:val="0"/>
                <w:sz w:val="24"/>
              </w:rPr>
            </w:pPr>
            <w:r>
              <w:rPr>
                <w:rFonts w:ascii="宋体" w:hAnsi="宋体"/>
                <w:color w:val="000000"/>
                <w:kern w:val="0"/>
                <w:sz w:val="24"/>
              </w:rPr>
              <w:t>备注</w:t>
            </w:r>
          </w:p>
        </w:tc>
      </w:tr>
      <w:tr w14:paraId="1F74253F">
        <w:tblPrEx>
          <w:tblCellMar>
            <w:top w:w="0" w:type="dxa"/>
            <w:left w:w="108" w:type="dxa"/>
            <w:bottom w:w="0" w:type="dxa"/>
            <w:right w:w="108" w:type="dxa"/>
          </w:tblCellMar>
        </w:tblPrEx>
        <w:trPr>
          <w:trHeight w:val="285"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14:paraId="76D2DCA6">
            <w:pPr>
              <w:widowControl/>
              <w:spacing w:line="500" w:lineRule="exact"/>
              <w:jc w:val="center"/>
              <w:rPr>
                <w:rFonts w:hint="eastAsia" w:ascii="宋体" w:hAnsi="宋体"/>
                <w:color w:val="000000"/>
                <w:kern w:val="0"/>
                <w:sz w:val="24"/>
              </w:rPr>
            </w:pPr>
            <w:r>
              <w:rPr>
                <w:rFonts w:hint="eastAsia" w:ascii="宋体" w:hAnsi="宋体"/>
                <w:color w:val="000000"/>
                <w:kern w:val="0"/>
                <w:sz w:val="24"/>
              </w:rPr>
              <w:t>1　</w:t>
            </w:r>
          </w:p>
        </w:tc>
        <w:tc>
          <w:tcPr>
            <w:tcW w:w="2379" w:type="pct"/>
            <w:tcBorders>
              <w:top w:val="nil"/>
              <w:left w:val="nil"/>
              <w:bottom w:val="single" w:color="auto" w:sz="4" w:space="0"/>
              <w:right w:val="single" w:color="auto" w:sz="4" w:space="0"/>
            </w:tcBorders>
            <w:shd w:val="clear" w:color="auto" w:fill="auto"/>
            <w:noWrap/>
            <w:vAlign w:val="center"/>
          </w:tcPr>
          <w:p w14:paraId="1267B2A9">
            <w:pPr>
              <w:widowControl/>
              <w:spacing w:line="500" w:lineRule="exact"/>
              <w:jc w:val="center"/>
              <w:rPr>
                <w:rFonts w:hint="default" w:ascii="宋体" w:hAnsi="宋体"/>
                <w:color w:val="000000"/>
                <w:kern w:val="0"/>
                <w:sz w:val="24"/>
                <w:lang w:val="en-US"/>
              </w:rPr>
            </w:pPr>
            <w:r>
              <w:rPr>
                <w:rFonts w:hint="eastAsia" w:ascii="宋体" w:hAnsi="宋体"/>
                <w:color w:val="000000"/>
                <w:kern w:val="0"/>
                <w:sz w:val="24"/>
                <w:lang w:val="en-US" w:eastAsia="zh-CN"/>
              </w:rPr>
              <w:t>废旧型材、钢模板、边角料</w:t>
            </w:r>
          </w:p>
        </w:tc>
        <w:tc>
          <w:tcPr>
            <w:tcW w:w="689" w:type="pct"/>
            <w:tcBorders>
              <w:top w:val="nil"/>
              <w:left w:val="nil"/>
              <w:bottom w:val="single" w:color="auto" w:sz="4" w:space="0"/>
              <w:right w:val="single" w:color="auto" w:sz="4" w:space="0"/>
            </w:tcBorders>
            <w:shd w:val="clear" w:color="auto" w:fill="auto"/>
            <w:noWrap/>
            <w:vAlign w:val="center"/>
          </w:tcPr>
          <w:p w14:paraId="2F3DB5AB">
            <w:pPr>
              <w:widowControl/>
              <w:spacing w:line="500" w:lineRule="exact"/>
              <w:jc w:val="center"/>
              <w:rPr>
                <w:rFonts w:hint="eastAsia" w:ascii="宋体" w:hAnsi="宋体"/>
                <w:color w:val="000000"/>
                <w:kern w:val="0"/>
                <w:sz w:val="24"/>
              </w:rPr>
            </w:pPr>
            <w:r>
              <w:rPr>
                <w:rFonts w:hint="eastAsia" w:ascii="宋体" w:hAnsi="宋体"/>
                <w:color w:val="000000"/>
                <w:kern w:val="0"/>
                <w:sz w:val="24"/>
              </w:rPr>
              <w:t>各型</w:t>
            </w:r>
            <w:r>
              <w:rPr>
                <w:rFonts w:ascii="宋体" w:hAnsi="宋体"/>
                <w:color w:val="000000"/>
                <w:kern w:val="0"/>
                <w:sz w:val="24"/>
              </w:rPr>
              <w:t>　</w:t>
            </w:r>
          </w:p>
        </w:tc>
        <w:tc>
          <w:tcPr>
            <w:tcW w:w="689" w:type="pct"/>
            <w:tcBorders>
              <w:top w:val="nil"/>
              <w:left w:val="nil"/>
              <w:bottom w:val="single" w:color="auto" w:sz="4" w:space="0"/>
              <w:right w:val="single" w:color="auto" w:sz="4" w:space="0"/>
            </w:tcBorders>
            <w:shd w:val="clear" w:color="auto" w:fill="auto"/>
            <w:noWrap/>
            <w:vAlign w:val="center"/>
          </w:tcPr>
          <w:p w14:paraId="6D6F2467">
            <w:pPr>
              <w:widowControl/>
              <w:spacing w:line="500" w:lineRule="exact"/>
              <w:jc w:val="center"/>
              <w:rPr>
                <w:rFonts w:hint="eastAsia" w:ascii="宋体" w:hAnsi="宋体"/>
                <w:color w:val="000000"/>
                <w:kern w:val="0"/>
                <w:sz w:val="24"/>
              </w:rPr>
            </w:pPr>
            <w:r>
              <w:rPr>
                <w:rFonts w:hint="eastAsia" w:ascii="宋体" w:hAnsi="宋体"/>
                <w:color w:val="000000"/>
                <w:kern w:val="0"/>
                <w:sz w:val="24"/>
              </w:rPr>
              <w:t>吨</w:t>
            </w:r>
            <w:r>
              <w:rPr>
                <w:rFonts w:ascii="宋体" w:hAnsi="宋体"/>
                <w:color w:val="000000"/>
                <w:kern w:val="0"/>
                <w:sz w:val="24"/>
              </w:rPr>
              <w:t>　</w:t>
            </w:r>
          </w:p>
        </w:tc>
        <w:tc>
          <w:tcPr>
            <w:tcW w:w="408" w:type="pct"/>
            <w:tcBorders>
              <w:top w:val="nil"/>
              <w:left w:val="nil"/>
              <w:bottom w:val="single" w:color="auto" w:sz="4" w:space="0"/>
              <w:right w:val="single" w:color="auto" w:sz="4" w:space="0"/>
            </w:tcBorders>
            <w:shd w:val="clear" w:color="auto" w:fill="auto"/>
            <w:noWrap/>
            <w:vAlign w:val="center"/>
          </w:tcPr>
          <w:p w14:paraId="5BD487F7">
            <w:pPr>
              <w:widowControl/>
              <w:spacing w:line="500" w:lineRule="exact"/>
              <w:jc w:val="center"/>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500</w:t>
            </w:r>
          </w:p>
        </w:tc>
        <w:tc>
          <w:tcPr>
            <w:tcW w:w="423" w:type="pct"/>
            <w:tcBorders>
              <w:top w:val="nil"/>
              <w:left w:val="nil"/>
              <w:bottom w:val="single" w:color="auto" w:sz="4" w:space="0"/>
              <w:right w:val="single" w:color="auto" w:sz="4" w:space="0"/>
            </w:tcBorders>
            <w:shd w:val="clear" w:color="auto" w:fill="auto"/>
            <w:noWrap/>
            <w:vAlign w:val="center"/>
          </w:tcPr>
          <w:p w14:paraId="0370F503">
            <w:pPr>
              <w:widowControl/>
              <w:spacing w:line="500" w:lineRule="exact"/>
              <w:jc w:val="center"/>
              <w:rPr>
                <w:rFonts w:hint="eastAsia" w:ascii="宋体" w:hAnsi="宋体"/>
                <w:color w:val="000000"/>
                <w:kern w:val="0"/>
                <w:sz w:val="24"/>
              </w:rPr>
            </w:pPr>
            <w:r>
              <w:rPr>
                <w:rFonts w:ascii="宋体" w:hAnsi="宋体"/>
                <w:color w:val="000000"/>
                <w:kern w:val="0"/>
                <w:sz w:val="24"/>
              </w:rPr>
              <w:t>　</w:t>
            </w:r>
          </w:p>
        </w:tc>
      </w:tr>
      <w:tr w14:paraId="3F249ADF">
        <w:tblPrEx>
          <w:tblCellMar>
            <w:top w:w="0" w:type="dxa"/>
            <w:left w:w="108" w:type="dxa"/>
            <w:bottom w:w="0" w:type="dxa"/>
            <w:right w:w="108" w:type="dxa"/>
          </w:tblCellMar>
        </w:tblPrEx>
        <w:trPr>
          <w:trHeight w:val="285"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14:paraId="14A32AE3">
            <w:pPr>
              <w:widowControl/>
              <w:spacing w:line="500" w:lineRule="exact"/>
              <w:jc w:val="center"/>
              <w:rPr>
                <w:rFonts w:hint="eastAsia" w:ascii="宋体" w:hAnsi="宋体"/>
                <w:color w:val="000000"/>
                <w:kern w:val="0"/>
                <w:sz w:val="24"/>
              </w:rPr>
            </w:pPr>
            <w:r>
              <w:rPr>
                <w:rFonts w:ascii="宋体" w:hAnsi="宋体"/>
                <w:color w:val="000000"/>
                <w:kern w:val="0"/>
                <w:sz w:val="24"/>
              </w:rPr>
              <w:t>　</w:t>
            </w:r>
          </w:p>
        </w:tc>
        <w:tc>
          <w:tcPr>
            <w:tcW w:w="2379" w:type="pct"/>
            <w:tcBorders>
              <w:top w:val="nil"/>
              <w:left w:val="nil"/>
              <w:bottom w:val="single" w:color="auto" w:sz="4" w:space="0"/>
              <w:right w:val="single" w:color="auto" w:sz="4" w:space="0"/>
            </w:tcBorders>
            <w:shd w:val="clear" w:color="auto" w:fill="auto"/>
            <w:noWrap/>
            <w:vAlign w:val="center"/>
          </w:tcPr>
          <w:p w14:paraId="52B0FBBD">
            <w:pPr>
              <w:widowControl/>
              <w:spacing w:line="500" w:lineRule="exact"/>
              <w:jc w:val="center"/>
              <w:rPr>
                <w:rFonts w:hint="eastAsia" w:ascii="宋体" w:hAnsi="宋体"/>
                <w:color w:val="000000"/>
                <w:kern w:val="0"/>
                <w:sz w:val="24"/>
              </w:rPr>
            </w:pPr>
            <w:r>
              <w:rPr>
                <w:rFonts w:ascii="宋体" w:hAnsi="宋体"/>
                <w:color w:val="000000"/>
                <w:kern w:val="0"/>
                <w:sz w:val="24"/>
              </w:rPr>
              <w:t>　</w:t>
            </w:r>
          </w:p>
        </w:tc>
        <w:tc>
          <w:tcPr>
            <w:tcW w:w="689" w:type="pct"/>
            <w:tcBorders>
              <w:top w:val="nil"/>
              <w:left w:val="nil"/>
              <w:bottom w:val="single" w:color="auto" w:sz="4" w:space="0"/>
              <w:right w:val="single" w:color="auto" w:sz="4" w:space="0"/>
            </w:tcBorders>
            <w:shd w:val="clear" w:color="auto" w:fill="auto"/>
            <w:noWrap/>
            <w:vAlign w:val="center"/>
          </w:tcPr>
          <w:p w14:paraId="6AB6611E">
            <w:pPr>
              <w:widowControl/>
              <w:spacing w:line="500" w:lineRule="exact"/>
              <w:jc w:val="center"/>
              <w:rPr>
                <w:rFonts w:hint="eastAsia" w:ascii="宋体" w:hAnsi="宋体"/>
                <w:color w:val="000000"/>
                <w:kern w:val="0"/>
                <w:sz w:val="24"/>
              </w:rPr>
            </w:pPr>
            <w:r>
              <w:rPr>
                <w:rFonts w:ascii="宋体" w:hAnsi="宋体"/>
                <w:color w:val="000000"/>
                <w:kern w:val="0"/>
                <w:sz w:val="24"/>
              </w:rPr>
              <w:t>　</w:t>
            </w:r>
          </w:p>
        </w:tc>
        <w:tc>
          <w:tcPr>
            <w:tcW w:w="689" w:type="pct"/>
            <w:tcBorders>
              <w:top w:val="nil"/>
              <w:left w:val="nil"/>
              <w:bottom w:val="single" w:color="auto" w:sz="4" w:space="0"/>
              <w:right w:val="single" w:color="auto" w:sz="4" w:space="0"/>
            </w:tcBorders>
            <w:shd w:val="clear" w:color="auto" w:fill="auto"/>
            <w:noWrap/>
            <w:vAlign w:val="center"/>
          </w:tcPr>
          <w:p w14:paraId="71B8A578">
            <w:pPr>
              <w:widowControl/>
              <w:spacing w:line="500" w:lineRule="exact"/>
              <w:jc w:val="center"/>
              <w:rPr>
                <w:rFonts w:hint="eastAsia" w:ascii="宋体" w:hAnsi="宋体"/>
                <w:color w:val="000000"/>
                <w:kern w:val="0"/>
                <w:sz w:val="24"/>
              </w:rPr>
            </w:pPr>
            <w:r>
              <w:rPr>
                <w:rFonts w:ascii="宋体" w:hAnsi="宋体"/>
                <w:color w:val="000000"/>
                <w:kern w:val="0"/>
                <w:sz w:val="24"/>
              </w:rPr>
              <w:t>　</w:t>
            </w:r>
          </w:p>
        </w:tc>
        <w:tc>
          <w:tcPr>
            <w:tcW w:w="408" w:type="pct"/>
            <w:tcBorders>
              <w:top w:val="nil"/>
              <w:left w:val="nil"/>
              <w:bottom w:val="single" w:color="auto" w:sz="4" w:space="0"/>
              <w:right w:val="single" w:color="auto" w:sz="4" w:space="0"/>
            </w:tcBorders>
            <w:shd w:val="clear" w:color="auto" w:fill="auto"/>
            <w:noWrap/>
            <w:vAlign w:val="center"/>
          </w:tcPr>
          <w:p w14:paraId="53B0EA2C">
            <w:pPr>
              <w:widowControl/>
              <w:spacing w:line="500" w:lineRule="exact"/>
              <w:jc w:val="center"/>
              <w:rPr>
                <w:rFonts w:hint="eastAsia" w:ascii="宋体" w:hAnsi="宋体"/>
                <w:color w:val="000000"/>
                <w:kern w:val="0"/>
                <w:sz w:val="24"/>
              </w:rPr>
            </w:pPr>
            <w:r>
              <w:rPr>
                <w:rFonts w:ascii="宋体" w:hAnsi="宋体"/>
                <w:color w:val="000000"/>
                <w:kern w:val="0"/>
                <w:sz w:val="24"/>
              </w:rPr>
              <w:t>　</w:t>
            </w:r>
          </w:p>
        </w:tc>
        <w:tc>
          <w:tcPr>
            <w:tcW w:w="423" w:type="pct"/>
            <w:tcBorders>
              <w:top w:val="nil"/>
              <w:left w:val="nil"/>
              <w:bottom w:val="single" w:color="auto" w:sz="4" w:space="0"/>
              <w:right w:val="single" w:color="auto" w:sz="4" w:space="0"/>
            </w:tcBorders>
            <w:shd w:val="clear" w:color="auto" w:fill="auto"/>
            <w:noWrap/>
            <w:vAlign w:val="center"/>
          </w:tcPr>
          <w:p w14:paraId="4514844F">
            <w:pPr>
              <w:widowControl/>
              <w:spacing w:line="500" w:lineRule="exact"/>
              <w:jc w:val="center"/>
              <w:rPr>
                <w:rFonts w:hint="eastAsia" w:ascii="宋体" w:hAnsi="宋体"/>
                <w:color w:val="000000"/>
                <w:kern w:val="0"/>
                <w:sz w:val="24"/>
              </w:rPr>
            </w:pPr>
            <w:r>
              <w:rPr>
                <w:rFonts w:ascii="宋体" w:hAnsi="宋体"/>
                <w:color w:val="000000"/>
                <w:kern w:val="0"/>
                <w:sz w:val="24"/>
              </w:rPr>
              <w:t>　</w:t>
            </w:r>
          </w:p>
        </w:tc>
      </w:tr>
      <w:tr w14:paraId="62D21FA5">
        <w:tblPrEx>
          <w:tblCellMar>
            <w:top w:w="0" w:type="dxa"/>
            <w:left w:w="108" w:type="dxa"/>
            <w:bottom w:w="0" w:type="dxa"/>
            <w:right w:w="108" w:type="dxa"/>
          </w:tblCellMar>
        </w:tblPrEx>
        <w:trPr>
          <w:trHeight w:val="285"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14:paraId="7A56447C">
            <w:pPr>
              <w:widowControl/>
              <w:spacing w:line="500" w:lineRule="exact"/>
              <w:jc w:val="center"/>
              <w:rPr>
                <w:rFonts w:hint="eastAsia" w:ascii="宋体" w:hAnsi="宋体"/>
                <w:color w:val="000000"/>
                <w:kern w:val="0"/>
                <w:sz w:val="24"/>
              </w:rPr>
            </w:pPr>
            <w:r>
              <w:rPr>
                <w:rFonts w:ascii="宋体" w:hAnsi="宋体"/>
                <w:color w:val="000000"/>
                <w:kern w:val="0"/>
                <w:sz w:val="24"/>
              </w:rPr>
              <w:t>　</w:t>
            </w:r>
          </w:p>
        </w:tc>
        <w:tc>
          <w:tcPr>
            <w:tcW w:w="2379" w:type="pct"/>
            <w:tcBorders>
              <w:top w:val="nil"/>
              <w:left w:val="nil"/>
              <w:bottom w:val="single" w:color="auto" w:sz="4" w:space="0"/>
              <w:right w:val="single" w:color="auto" w:sz="4" w:space="0"/>
            </w:tcBorders>
            <w:shd w:val="clear" w:color="auto" w:fill="auto"/>
            <w:noWrap/>
            <w:vAlign w:val="center"/>
          </w:tcPr>
          <w:p w14:paraId="5A8E4354">
            <w:pPr>
              <w:widowControl/>
              <w:spacing w:line="500" w:lineRule="exact"/>
              <w:jc w:val="center"/>
              <w:rPr>
                <w:rFonts w:hint="eastAsia" w:ascii="宋体" w:hAnsi="宋体"/>
                <w:color w:val="000000"/>
                <w:kern w:val="0"/>
                <w:sz w:val="24"/>
              </w:rPr>
            </w:pPr>
            <w:r>
              <w:rPr>
                <w:rFonts w:ascii="宋体" w:hAnsi="宋体"/>
                <w:color w:val="000000"/>
                <w:kern w:val="0"/>
                <w:sz w:val="24"/>
              </w:rPr>
              <w:t>　</w:t>
            </w:r>
          </w:p>
        </w:tc>
        <w:tc>
          <w:tcPr>
            <w:tcW w:w="689" w:type="pct"/>
            <w:tcBorders>
              <w:top w:val="nil"/>
              <w:left w:val="nil"/>
              <w:bottom w:val="single" w:color="auto" w:sz="4" w:space="0"/>
              <w:right w:val="single" w:color="auto" w:sz="4" w:space="0"/>
            </w:tcBorders>
            <w:shd w:val="clear" w:color="auto" w:fill="auto"/>
            <w:noWrap/>
            <w:vAlign w:val="center"/>
          </w:tcPr>
          <w:p w14:paraId="1EB9D824">
            <w:pPr>
              <w:widowControl/>
              <w:spacing w:line="500" w:lineRule="exact"/>
              <w:jc w:val="center"/>
              <w:rPr>
                <w:rFonts w:hint="eastAsia" w:ascii="宋体" w:hAnsi="宋体"/>
                <w:color w:val="000000"/>
                <w:kern w:val="0"/>
                <w:sz w:val="24"/>
              </w:rPr>
            </w:pPr>
            <w:r>
              <w:rPr>
                <w:rFonts w:ascii="宋体" w:hAnsi="宋体"/>
                <w:color w:val="000000"/>
                <w:kern w:val="0"/>
                <w:sz w:val="24"/>
              </w:rPr>
              <w:t>　</w:t>
            </w:r>
          </w:p>
        </w:tc>
        <w:tc>
          <w:tcPr>
            <w:tcW w:w="689" w:type="pct"/>
            <w:tcBorders>
              <w:top w:val="nil"/>
              <w:left w:val="nil"/>
              <w:bottom w:val="single" w:color="auto" w:sz="4" w:space="0"/>
              <w:right w:val="single" w:color="auto" w:sz="4" w:space="0"/>
            </w:tcBorders>
            <w:shd w:val="clear" w:color="auto" w:fill="auto"/>
            <w:noWrap/>
            <w:vAlign w:val="center"/>
          </w:tcPr>
          <w:p w14:paraId="5AA5A2C3">
            <w:pPr>
              <w:widowControl/>
              <w:spacing w:line="500" w:lineRule="exact"/>
              <w:jc w:val="center"/>
              <w:rPr>
                <w:rFonts w:hint="eastAsia" w:ascii="宋体" w:hAnsi="宋体"/>
                <w:color w:val="000000"/>
                <w:kern w:val="0"/>
                <w:sz w:val="24"/>
              </w:rPr>
            </w:pPr>
            <w:r>
              <w:rPr>
                <w:rFonts w:ascii="宋体" w:hAnsi="宋体"/>
                <w:color w:val="000000"/>
                <w:kern w:val="0"/>
                <w:sz w:val="24"/>
              </w:rPr>
              <w:t>　</w:t>
            </w:r>
          </w:p>
        </w:tc>
        <w:tc>
          <w:tcPr>
            <w:tcW w:w="408" w:type="pct"/>
            <w:tcBorders>
              <w:top w:val="nil"/>
              <w:left w:val="nil"/>
              <w:bottom w:val="single" w:color="auto" w:sz="4" w:space="0"/>
              <w:right w:val="single" w:color="auto" w:sz="4" w:space="0"/>
            </w:tcBorders>
            <w:shd w:val="clear" w:color="auto" w:fill="auto"/>
            <w:noWrap/>
            <w:vAlign w:val="center"/>
          </w:tcPr>
          <w:p w14:paraId="1F61E9D5">
            <w:pPr>
              <w:widowControl/>
              <w:spacing w:line="500" w:lineRule="exact"/>
              <w:jc w:val="center"/>
              <w:rPr>
                <w:rFonts w:hint="eastAsia" w:ascii="宋体" w:hAnsi="宋体"/>
                <w:color w:val="000000"/>
                <w:kern w:val="0"/>
                <w:sz w:val="24"/>
              </w:rPr>
            </w:pPr>
            <w:r>
              <w:rPr>
                <w:rFonts w:ascii="宋体" w:hAnsi="宋体"/>
                <w:color w:val="000000"/>
                <w:kern w:val="0"/>
                <w:sz w:val="24"/>
              </w:rPr>
              <w:t>　</w:t>
            </w:r>
          </w:p>
        </w:tc>
        <w:tc>
          <w:tcPr>
            <w:tcW w:w="423" w:type="pct"/>
            <w:tcBorders>
              <w:top w:val="nil"/>
              <w:left w:val="nil"/>
              <w:bottom w:val="single" w:color="auto" w:sz="4" w:space="0"/>
              <w:right w:val="single" w:color="auto" w:sz="4" w:space="0"/>
            </w:tcBorders>
            <w:shd w:val="clear" w:color="auto" w:fill="auto"/>
            <w:noWrap/>
            <w:vAlign w:val="center"/>
          </w:tcPr>
          <w:p w14:paraId="0A5465CD">
            <w:pPr>
              <w:widowControl/>
              <w:spacing w:line="500" w:lineRule="exact"/>
              <w:jc w:val="center"/>
              <w:rPr>
                <w:rFonts w:hint="eastAsia" w:ascii="宋体" w:hAnsi="宋体"/>
                <w:color w:val="000000"/>
                <w:kern w:val="0"/>
                <w:sz w:val="24"/>
              </w:rPr>
            </w:pPr>
            <w:r>
              <w:rPr>
                <w:rFonts w:ascii="宋体" w:hAnsi="宋体"/>
                <w:color w:val="000000"/>
                <w:kern w:val="0"/>
                <w:sz w:val="24"/>
              </w:rPr>
              <w:t>　</w:t>
            </w:r>
          </w:p>
        </w:tc>
      </w:tr>
    </w:tbl>
    <w:p w14:paraId="3214E34B">
      <w:pPr>
        <w:pStyle w:val="5"/>
        <w:tabs>
          <w:tab w:val="left" w:pos="709"/>
        </w:tabs>
        <w:spacing w:line="500" w:lineRule="exact"/>
        <w:ind w:firstLine="480"/>
        <w:rPr>
          <w:rFonts w:hint="eastAsia" w:ascii="宋体" w:hAnsi="宋体"/>
          <w:sz w:val="24"/>
          <w:szCs w:val="24"/>
          <w:highlight w:val="yellow"/>
        </w:rPr>
      </w:pPr>
      <w:r>
        <w:rPr>
          <w:rFonts w:hint="eastAsia" w:ascii="宋体" w:hAnsi="宋体"/>
          <w:sz w:val="24"/>
          <w:szCs w:val="24"/>
        </w:rPr>
        <w:t>以上数量为暂估数量，实际数量以过磅单为准。</w:t>
      </w:r>
    </w:p>
    <w:p w14:paraId="666092BB">
      <w:pPr>
        <w:pStyle w:val="5"/>
        <w:tabs>
          <w:tab w:val="left" w:pos="709"/>
        </w:tabs>
        <w:spacing w:line="500" w:lineRule="exact"/>
        <w:ind w:firstLine="480"/>
        <w:rPr>
          <w:rFonts w:hint="eastAsia" w:ascii="宋体" w:hAnsi="宋体"/>
          <w:sz w:val="24"/>
          <w:szCs w:val="24"/>
        </w:rPr>
      </w:pPr>
      <w:bookmarkStart w:id="0" w:name="_Hlk42463098"/>
      <w:r>
        <w:rPr>
          <w:rFonts w:hint="eastAsia" w:ascii="宋体" w:hAnsi="宋体"/>
          <w:sz w:val="24"/>
          <w:szCs w:val="24"/>
        </w:rPr>
        <w:t>三</w:t>
      </w:r>
      <w:r>
        <w:rPr>
          <w:rFonts w:ascii="宋体" w:hAnsi="宋体"/>
          <w:sz w:val="24"/>
          <w:szCs w:val="24"/>
        </w:rPr>
        <w:t>、</w:t>
      </w:r>
      <w:r>
        <w:rPr>
          <w:rFonts w:hint="eastAsia" w:ascii="宋体" w:hAnsi="宋体"/>
          <w:sz w:val="24"/>
          <w:szCs w:val="24"/>
        </w:rPr>
        <w:t>计量及乙方付款约定：</w:t>
      </w:r>
    </w:p>
    <w:p w14:paraId="21E9EBA6">
      <w:pPr>
        <w:pStyle w:val="5"/>
        <w:tabs>
          <w:tab w:val="left" w:pos="709"/>
        </w:tabs>
        <w:spacing w:line="500" w:lineRule="exact"/>
        <w:ind w:left="420" w:leftChars="200" w:firstLine="0" w:firstLineChars="0"/>
        <w:jc w:val="left"/>
        <w:rPr>
          <w:rFonts w:hint="eastAsia" w:ascii="宋体" w:hAnsi="宋体"/>
          <w:sz w:val="24"/>
          <w:szCs w:val="24"/>
          <w:u w:val="single"/>
        </w:rPr>
      </w:pPr>
      <w:r>
        <w:rPr>
          <w:rFonts w:hint="eastAsia" w:ascii="宋体" w:hAnsi="宋体"/>
          <w:sz w:val="24"/>
          <w:szCs w:val="24"/>
        </w:rPr>
        <w:t>见合同条款及格式。</w:t>
      </w:r>
      <w:bookmarkEnd w:id="0"/>
    </w:p>
    <w:p w14:paraId="2601FF5F">
      <w:pPr>
        <w:pStyle w:val="5"/>
        <w:tabs>
          <w:tab w:val="left" w:pos="709"/>
        </w:tabs>
        <w:spacing w:line="500" w:lineRule="exact"/>
        <w:ind w:left="420" w:leftChars="200" w:firstLine="120" w:firstLineChars="50"/>
        <w:jc w:val="left"/>
        <w:rPr>
          <w:rFonts w:hint="eastAsia" w:ascii="宋体" w:hAnsi="宋体"/>
          <w:sz w:val="24"/>
          <w:szCs w:val="24"/>
        </w:rPr>
      </w:pPr>
      <w:r>
        <w:rPr>
          <w:rFonts w:hint="eastAsia" w:ascii="宋体" w:hAnsi="宋体"/>
          <w:sz w:val="24"/>
          <w:szCs w:val="24"/>
        </w:rPr>
        <w:t>四</w:t>
      </w:r>
      <w:r>
        <w:rPr>
          <w:rFonts w:ascii="宋体" w:hAnsi="宋体"/>
          <w:sz w:val="24"/>
          <w:szCs w:val="24"/>
        </w:rPr>
        <w:t>、开票信息</w:t>
      </w:r>
    </w:p>
    <w:p w14:paraId="35AE9E9A">
      <w:pPr>
        <w:pStyle w:val="5"/>
        <w:tabs>
          <w:tab w:val="left" w:pos="709"/>
        </w:tabs>
        <w:spacing w:line="500" w:lineRule="exact"/>
        <w:ind w:firstLine="480"/>
        <w:jc w:val="left"/>
        <w:rPr>
          <w:rFonts w:hint="eastAsia" w:ascii="宋体" w:hAnsi="宋体"/>
          <w:sz w:val="24"/>
          <w:szCs w:val="24"/>
          <w:u w:val="single"/>
        </w:rPr>
      </w:pPr>
      <w:r>
        <w:rPr>
          <w:rFonts w:ascii="宋体" w:hAnsi="宋体"/>
          <w:sz w:val="24"/>
          <w:szCs w:val="24"/>
        </w:rPr>
        <w:t>发票种类：</w:t>
      </w:r>
      <w:r>
        <w:rPr>
          <w:rFonts w:hint="eastAsia" w:ascii="宋体" w:hAnsi="宋体"/>
          <w:sz w:val="24"/>
          <w:szCs w:val="24"/>
        </w:rPr>
        <w:t>买方报价为含增值税价格，由卖方财务开具增值税</w:t>
      </w:r>
      <w:r>
        <w:rPr>
          <w:rFonts w:hint="eastAsia" w:ascii="宋体" w:hAnsi="宋体"/>
          <w:sz w:val="24"/>
          <w:szCs w:val="24"/>
          <w:u w:val="single"/>
        </w:rPr>
        <w:t>专用</w:t>
      </w:r>
      <w:r>
        <w:rPr>
          <w:rFonts w:hint="eastAsia" w:ascii="宋体" w:hAnsi="宋体"/>
          <w:sz w:val="24"/>
          <w:szCs w:val="24"/>
        </w:rPr>
        <w:t>票，税率</w:t>
      </w:r>
      <w:r>
        <w:rPr>
          <w:rFonts w:hint="eastAsia" w:ascii="宋体" w:hAnsi="宋体"/>
          <w:sz w:val="24"/>
          <w:szCs w:val="24"/>
          <w:u w:val="single"/>
        </w:rPr>
        <w:t>1</w:t>
      </w:r>
      <w:r>
        <w:rPr>
          <w:rFonts w:ascii="宋体" w:hAnsi="宋体"/>
          <w:sz w:val="24"/>
          <w:szCs w:val="24"/>
          <w:u w:val="single"/>
        </w:rPr>
        <w:t>3</w:t>
      </w:r>
      <w:r>
        <w:rPr>
          <w:rFonts w:hint="eastAsia" w:ascii="宋体" w:hAnsi="宋体"/>
          <w:sz w:val="24"/>
          <w:szCs w:val="24"/>
          <w:u w:val="single"/>
        </w:rPr>
        <w:t>%</w:t>
      </w:r>
      <w:r>
        <w:rPr>
          <w:rFonts w:hint="eastAsia" w:ascii="宋体" w:hAnsi="宋体"/>
          <w:sz w:val="24"/>
          <w:szCs w:val="24"/>
        </w:rPr>
        <w:t>。</w:t>
      </w:r>
    </w:p>
    <w:p w14:paraId="0707518A">
      <w:pPr>
        <w:pStyle w:val="5"/>
        <w:tabs>
          <w:tab w:val="left" w:pos="709"/>
        </w:tabs>
        <w:spacing w:line="500" w:lineRule="exact"/>
        <w:ind w:firstLine="480"/>
        <w:rPr>
          <w:rFonts w:hint="eastAsia" w:ascii="宋体" w:hAnsi="宋体"/>
          <w:sz w:val="24"/>
          <w:szCs w:val="24"/>
        </w:rPr>
      </w:pPr>
      <w:r>
        <w:rPr>
          <w:rFonts w:hint="eastAsia" w:ascii="宋体" w:hAnsi="宋体"/>
          <w:sz w:val="24"/>
          <w:szCs w:val="24"/>
        </w:rPr>
        <w:t>五</w:t>
      </w:r>
      <w:r>
        <w:rPr>
          <w:rFonts w:ascii="宋体" w:hAnsi="宋体"/>
          <w:sz w:val="24"/>
          <w:szCs w:val="24"/>
        </w:rPr>
        <w:t>、</w:t>
      </w:r>
      <w:r>
        <w:rPr>
          <w:rFonts w:hint="eastAsia" w:ascii="宋体" w:hAnsi="宋体"/>
          <w:sz w:val="24"/>
          <w:szCs w:val="24"/>
        </w:rPr>
        <w:t>买方</w:t>
      </w:r>
      <w:r>
        <w:rPr>
          <w:rFonts w:ascii="宋体" w:hAnsi="宋体"/>
          <w:sz w:val="24"/>
          <w:szCs w:val="24"/>
        </w:rPr>
        <w:t>资格条件</w:t>
      </w:r>
    </w:p>
    <w:p w14:paraId="3ECFDB92">
      <w:pPr>
        <w:pStyle w:val="5"/>
        <w:tabs>
          <w:tab w:val="left" w:pos="709"/>
        </w:tabs>
        <w:spacing w:line="500" w:lineRule="exact"/>
        <w:ind w:firstLine="480"/>
        <w:rPr>
          <w:rFonts w:hint="eastAsia" w:ascii="宋体" w:hAnsi="宋体"/>
          <w:sz w:val="24"/>
          <w:szCs w:val="24"/>
          <w:u w:val="single"/>
        </w:rPr>
      </w:pPr>
      <w:bookmarkStart w:id="1" w:name="_Hlk42463122"/>
      <w:r>
        <w:rPr>
          <w:rFonts w:ascii="宋体" w:hAnsi="宋体"/>
          <w:sz w:val="24"/>
          <w:szCs w:val="24"/>
        </w:rPr>
        <w:t>资格要求：</w:t>
      </w:r>
      <w:r>
        <w:rPr>
          <w:rFonts w:hint="eastAsia" w:ascii="宋体" w:hAnsi="宋体"/>
          <w:sz w:val="24"/>
          <w:szCs w:val="24"/>
        </w:rPr>
        <w:t>（1）在中华人民共和国境内依法注册、具有法人资格、能独立承担民事责任、具有生产性废旧金属收购许可证；（2）注册资金不低于</w:t>
      </w:r>
      <w:r>
        <w:rPr>
          <w:rFonts w:hint="eastAsia" w:ascii="宋体" w:hAnsi="宋体"/>
          <w:color w:val="000000" w:themeColor="text1"/>
          <w:sz w:val="24"/>
          <w:szCs w:val="24"/>
          <w14:textFill>
            <w14:solidFill>
              <w14:schemeClr w14:val="tx1"/>
            </w14:solidFill>
          </w14:textFill>
        </w:rPr>
        <w:t>50</w:t>
      </w:r>
      <w:r>
        <w:rPr>
          <w:rFonts w:hint="eastAsia" w:ascii="宋体" w:hAnsi="宋体"/>
          <w:sz w:val="24"/>
          <w:szCs w:val="24"/>
        </w:rPr>
        <w:t>万元，具有良好的社会信誉和财务状况；（3）必须具备符合项目要求的回收能力；（4）有近三年类似项目的回收业绩，并提供相关业绩证明材料；（5）近三年内无任何违约诉讼案件发生；</w:t>
      </w: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rPr>
        <w:t>不在中国中铁股份有限公司及中铁大桥局集团有限公司公布的限制交易期内的“限制交易供应商名单”中；不在“不合格供应商名单”、“不良企业（个人）名录”或“供应商黑名单”中。</w:t>
      </w:r>
    </w:p>
    <w:p w14:paraId="472751F8">
      <w:pPr>
        <w:pStyle w:val="5"/>
        <w:tabs>
          <w:tab w:val="left" w:pos="709"/>
        </w:tabs>
        <w:spacing w:line="500" w:lineRule="exact"/>
        <w:ind w:firstLine="480"/>
        <w:rPr>
          <w:rFonts w:hint="eastAsia" w:ascii="宋体" w:hAnsi="宋体"/>
          <w:sz w:val="24"/>
          <w:szCs w:val="24"/>
          <w:u w:val="single"/>
        </w:rPr>
      </w:pPr>
      <w:r>
        <w:rPr>
          <w:rFonts w:ascii="宋体" w:hAnsi="宋体"/>
          <w:sz w:val="24"/>
          <w:szCs w:val="24"/>
        </w:rPr>
        <w:t>需提交的证明文件：</w:t>
      </w:r>
      <w:r>
        <w:rPr>
          <w:rFonts w:ascii="宋体" w:hAnsi="宋体"/>
          <w:sz w:val="24"/>
          <w:szCs w:val="24"/>
          <w:u w:val="single"/>
        </w:rPr>
        <w:t>1</w:t>
      </w:r>
      <w:r>
        <w:rPr>
          <w:rFonts w:hint="eastAsia" w:ascii="宋体" w:hAnsi="宋体"/>
          <w:sz w:val="24"/>
          <w:szCs w:val="24"/>
          <w:u w:val="single"/>
        </w:rPr>
        <w:t>、营业执照2、生产性废旧金属收购许可证3、开户许可证4、保证金电汇凭证等5、报价表等。</w:t>
      </w:r>
      <w:bookmarkEnd w:id="1"/>
    </w:p>
    <w:p w14:paraId="4A808071">
      <w:pPr>
        <w:pStyle w:val="5"/>
        <w:tabs>
          <w:tab w:val="left" w:pos="709"/>
        </w:tabs>
        <w:spacing w:line="500" w:lineRule="exact"/>
        <w:ind w:firstLine="480"/>
        <w:rPr>
          <w:rFonts w:hint="eastAsia" w:ascii="宋体" w:hAnsi="宋体"/>
          <w:sz w:val="24"/>
          <w:szCs w:val="24"/>
        </w:rPr>
      </w:pPr>
      <w:r>
        <w:rPr>
          <w:rFonts w:hint="eastAsia" w:ascii="宋体" w:hAnsi="宋体"/>
          <w:sz w:val="24"/>
          <w:szCs w:val="24"/>
        </w:rPr>
        <w:t>六</w:t>
      </w:r>
      <w:r>
        <w:rPr>
          <w:rFonts w:ascii="宋体" w:hAnsi="宋体"/>
          <w:sz w:val="24"/>
          <w:szCs w:val="24"/>
        </w:rPr>
        <w:t>、</w:t>
      </w:r>
      <w:r>
        <w:rPr>
          <w:rFonts w:hint="eastAsia" w:ascii="宋体" w:hAnsi="宋体"/>
          <w:sz w:val="24"/>
          <w:szCs w:val="24"/>
        </w:rPr>
        <w:t>报价</w:t>
      </w:r>
      <w:r>
        <w:rPr>
          <w:rFonts w:ascii="宋体" w:hAnsi="宋体"/>
          <w:sz w:val="24"/>
          <w:szCs w:val="24"/>
        </w:rPr>
        <w:t>文件递交</w:t>
      </w:r>
    </w:p>
    <w:p w14:paraId="3ECC57BA">
      <w:pPr>
        <w:pStyle w:val="5"/>
        <w:tabs>
          <w:tab w:val="left" w:pos="709"/>
        </w:tabs>
        <w:spacing w:line="500" w:lineRule="exact"/>
        <w:ind w:firstLine="480"/>
        <w:rPr>
          <w:rFonts w:hint="eastAsia" w:ascii="宋体" w:hAnsi="宋体"/>
          <w:sz w:val="24"/>
          <w:szCs w:val="24"/>
          <w:u w:val="single"/>
        </w:rPr>
      </w:pPr>
      <w:r>
        <w:rPr>
          <w:rFonts w:ascii="宋体" w:hAnsi="宋体"/>
          <w:sz w:val="24"/>
          <w:szCs w:val="24"/>
        </w:rPr>
        <w:t>递交方式：</w:t>
      </w:r>
      <w:r>
        <w:rPr>
          <w:rFonts w:hint="eastAsia" w:ascii="宋体" w:hAnsi="宋体"/>
          <w:sz w:val="24"/>
          <w:szCs w:val="24"/>
          <w:u w:val="single"/>
        </w:rPr>
        <w:t>报价截止时间前在此询价单中报价，并上传签字盖章版响应文件（响应文件格式见附件）</w:t>
      </w:r>
    </w:p>
    <w:p w14:paraId="404E4AE5">
      <w:pPr>
        <w:pStyle w:val="5"/>
        <w:tabs>
          <w:tab w:val="left" w:pos="709"/>
        </w:tabs>
        <w:spacing w:line="500" w:lineRule="exact"/>
        <w:ind w:firstLine="480"/>
        <w:rPr>
          <w:rFonts w:hint="eastAsia" w:ascii="宋体" w:hAnsi="宋体" w:eastAsia="宋体"/>
          <w:sz w:val="24"/>
          <w:szCs w:val="24"/>
          <w:u w:val="single"/>
          <w:lang w:val="en-US" w:eastAsia="zh-CN"/>
        </w:rPr>
      </w:pPr>
      <w:r>
        <w:rPr>
          <w:rFonts w:ascii="宋体" w:hAnsi="宋体"/>
          <w:sz w:val="24"/>
          <w:szCs w:val="24"/>
        </w:rPr>
        <w:t>递交地点：</w:t>
      </w:r>
      <w:r>
        <w:rPr>
          <w:rFonts w:hint="eastAsia" w:ascii="宋体" w:hAnsi="宋体"/>
          <w:sz w:val="24"/>
          <w:szCs w:val="24"/>
          <w:u w:val="single"/>
        </w:rPr>
        <w:t>中铁鲁班闲废资源交易平台在线报价</w:t>
      </w:r>
    </w:p>
    <w:p w14:paraId="169C023E">
      <w:pPr>
        <w:pStyle w:val="5"/>
        <w:tabs>
          <w:tab w:val="left" w:pos="709"/>
        </w:tabs>
        <w:spacing w:line="500" w:lineRule="exact"/>
        <w:ind w:firstLine="480"/>
        <w:rPr>
          <w:rFonts w:hint="eastAsia" w:ascii="宋体" w:hAnsi="宋体"/>
          <w:sz w:val="24"/>
          <w:szCs w:val="24"/>
        </w:rPr>
      </w:pPr>
      <w:r>
        <w:rPr>
          <w:rFonts w:hint="eastAsia" w:ascii="宋体" w:hAnsi="宋体"/>
          <w:sz w:val="24"/>
          <w:szCs w:val="24"/>
        </w:rPr>
        <w:t>七</w:t>
      </w:r>
      <w:r>
        <w:rPr>
          <w:rFonts w:ascii="宋体" w:hAnsi="宋体"/>
          <w:sz w:val="24"/>
          <w:szCs w:val="24"/>
        </w:rPr>
        <w:t>、保证金</w:t>
      </w:r>
    </w:p>
    <w:p w14:paraId="77BBDAA1">
      <w:pPr>
        <w:pStyle w:val="5"/>
        <w:tabs>
          <w:tab w:val="left" w:pos="709"/>
        </w:tabs>
        <w:spacing w:line="500" w:lineRule="exact"/>
        <w:ind w:firstLine="480"/>
        <w:rPr>
          <w:rFonts w:hint="eastAsia" w:ascii="宋体" w:hAnsi="宋体"/>
          <w:sz w:val="24"/>
          <w:szCs w:val="24"/>
        </w:rPr>
      </w:pPr>
      <w:bookmarkStart w:id="2" w:name="_Hlk42463166"/>
      <w:r>
        <w:rPr>
          <w:rFonts w:ascii="宋体" w:hAnsi="宋体"/>
          <w:sz w:val="24"/>
          <w:szCs w:val="24"/>
        </w:rPr>
        <w:t>保证金金额：</w:t>
      </w:r>
      <w:r>
        <w:rPr>
          <w:rFonts w:hint="eastAsia" w:ascii="宋体" w:hAnsi="宋体"/>
          <w:sz w:val="24"/>
          <w:szCs w:val="24"/>
          <w:lang w:val="en-US" w:eastAsia="zh-CN"/>
        </w:rPr>
        <w:t>2000元</w:t>
      </w:r>
      <w:r>
        <w:rPr>
          <w:rFonts w:hint="eastAsia" w:ascii="宋体" w:hAnsi="宋体"/>
          <w:sz w:val="24"/>
          <w:szCs w:val="24"/>
        </w:rPr>
        <w:t>。</w:t>
      </w:r>
    </w:p>
    <w:p w14:paraId="25561FE7">
      <w:pPr>
        <w:pStyle w:val="5"/>
        <w:tabs>
          <w:tab w:val="left" w:pos="709"/>
        </w:tabs>
        <w:spacing w:line="500" w:lineRule="exact"/>
        <w:ind w:firstLine="480"/>
        <w:rPr>
          <w:rFonts w:hint="eastAsia" w:ascii="宋体" w:hAnsi="宋体"/>
          <w:sz w:val="24"/>
          <w:szCs w:val="24"/>
        </w:rPr>
      </w:pPr>
      <w:r>
        <w:rPr>
          <w:rFonts w:hint="eastAsia" w:ascii="宋体" w:hAnsi="宋体"/>
          <w:sz w:val="24"/>
          <w:szCs w:val="24"/>
        </w:rPr>
        <w:t>提交</w:t>
      </w:r>
      <w:r>
        <w:rPr>
          <w:rFonts w:ascii="宋体" w:hAnsi="宋体"/>
          <w:sz w:val="24"/>
          <w:szCs w:val="24"/>
        </w:rPr>
        <w:t>方式：</w:t>
      </w:r>
      <w:r>
        <w:rPr>
          <w:rFonts w:hint="eastAsia" w:ascii="宋体" w:hAnsi="宋体"/>
          <w:sz w:val="24"/>
          <w:szCs w:val="24"/>
        </w:rPr>
        <w:t>请于开标日期前</w:t>
      </w:r>
      <w:r>
        <w:rPr>
          <w:rFonts w:ascii="宋体" w:hAnsi="宋体"/>
          <w:sz w:val="24"/>
          <w:szCs w:val="24"/>
        </w:rPr>
        <w:t>1</w:t>
      </w:r>
      <w:r>
        <w:rPr>
          <w:rFonts w:hint="eastAsia" w:ascii="宋体" w:hAnsi="宋体"/>
          <w:sz w:val="24"/>
          <w:szCs w:val="24"/>
        </w:rPr>
        <w:t>天全额汇达至以下账号，保证金应当从报价人基本账户汇出，否则视为保证金无效。报价人应在报价响应文件中附上电汇凭证复印件，作为对保证金评审的依据。保证金到账与否，将在开标后与报价一起公布。报价人不按上述要求提交保证金的，其报价无效。</w:t>
      </w:r>
    </w:p>
    <w:p w14:paraId="74129FA1">
      <w:pPr>
        <w:tabs>
          <w:tab w:val="left" w:pos="709"/>
        </w:tabs>
        <w:spacing w:line="500" w:lineRule="exact"/>
        <w:ind w:firstLine="480" w:firstLineChars="200"/>
        <w:rPr>
          <w:rFonts w:hint="eastAsia" w:ascii="宋体" w:hAnsi="宋体"/>
          <w:sz w:val="24"/>
        </w:rPr>
      </w:pPr>
      <w:r>
        <w:rPr>
          <w:rFonts w:hint="eastAsia" w:ascii="宋体" w:hAnsi="宋体"/>
          <w:sz w:val="24"/>
        </w:rPr>
        <w:t>单位：</w:t>
      </w:r>
      <w:r>
        <w:rPr>
          <w:rFonts w:hint="eastAsia" w:ascii="宋体" w:hAnsi="宋体"/>
          <w:sz w:val="24"/>
          <w:u w:val="single"/>
        </w:rPr>
        <w:t>鲁班（北京）电子商务科技有限公司</w:t>
      </w:r>
    </w:p>
    <w:p w14:paraId="0982E4F8">
      <w:pPr>
        <w:tabs>
          <w:tab w:val="left" w:pos="709"/>
        </w:tabs>
        <w:spacing w:line="500" w:lineRule="exact"/>
        <w:ind w:firstLine="480" w:firstLineChars="200"/>
        <w:rPr>
          <w:rFonts w:hint="eastAsia" w:ascii="宋体" w:hAnsi="宋体"/>
          <w:sz w:val="24"/>
        </w:rPr>
      </w:pPr>
      <w:r>
        <w:rPr>
          <w:rFonts w:hint="eastAsia" w:ascii="宋体" w:hAnsi="宋体"/>
          <w:sz w:val="24"/>
        </w:rPr>
        <w:t>开户行：</w:t>
      </w:r>
      <w:r>
        <w:rPr>
          <w:rFonts w:hint="eastAsia" w:ascii="宋体" w:hAnsi="宋体"/>
          <w:sz w:val="24"/>
          <w:u w:val="single"/>
        </w:rPr>
        <w:t>平安银行天津分行营业部</w:t>
      </w:r>
    </w:p>
    <w:p w14:paraId="7D96ACC5">
      <w:pPr>
        <w:tabs>
          <w:tab w:val="left" w:pos="709"/>
          <w:tab w:val="left" w:pos="6810"/>
        </w:tabs>
        <w:spacing w:line="500" w:lineRule="exact"/>
        <w:ind w:firstLine="480" w:firstLineChars="200"/>
        <w:rPr>
          <w:rFonts w:hint="eastAsia" w:ascii="宋体" w:hAnsi="宋体"/>
          <w:sz w:val="24"/>
        </w:rPr>
      </w:pPr>
      <w:r>
        <w:rPr>
          <w:rFonts w:hint="eastAsia" w:ascii="宋体" w:hAnsi="宋体"/>
          <w:sz w:val="24"/>
        </w:rPr>
        <w:t>账号：</w:t>
      </w:r>
      <w:r>
        <w:rPr>
          <w:rFonts w:hint="eastAsia" w:ascii="宋体" w:hAnsi="宋体"/>
          <w:sz w:val="24"/>
          <w:u w:val="single"/>
        </w:rPr>
        <w:t>11014561071009</w:t>
      </w:r>
    </w:p>
    <w:p w14:paraId="2148CB15">
      <w:pPr>
        <w:tabs>
          <w:tab w:val="left" w:pos="709"/>
        </w:tabs>
        <w:spacing w:line="500" w:lineRule="exact"/>
        <w:ind w:firstLine="480" w:firstLineChars="200"/>
        <w:rPr>
          <w:rFonts w:hint="eastAsia" w:ascii="宋体" w:hAnsi="宋体"/>
          <w:sz w:val="24"/>
          <w:u w:val="single"/>
        </w:rPr>
      </w:pPr>
      <w:r>
        <w:rPr>
          <w:rFonts w:hint="eastAsia" w:ascii="宋体" w:hAnsi="宋体"/>
          <w:sz w:val="24"/>
        </w:rPr>
        <w:t>行号：</w:t>
      </w:r>
      <w:r>
        <w:rPr>
          <w:rFonts w:hint="eastAsia" w:ascii="宋体" w:hAnsi="宋体"/>
          <w:sz w:val="24"/>
          <w:u w:val="single"/>
        </w:rPr>
        <w:t>/</w:t>
      </w:r>
    </w:p>
    <w:p w14:paraId="769249A7">
      <w:pPr>
        <w:tabs>
          <w:tab w:val="left" w:pos="709"/>
        </w:tabs>
        <w:spacing w:line="500" w:lineRule="exact"/>
        <w:ind w:firstLine="480" w:firstLineChars="200"/>
        <w:rPr>
          <w:rFonts w:hint="eastAsia" w:ascii="宋体" w:hAnsi="宋体"/>
          <w:sz w:val="24"/>
        </w:rPr>
      </w:pPr>
      <w:r>
        <w:rPr>
          <w:rFonts w:ascii="宋体" w:hAnsi="宋体"/>
          <w:sz w:val="24"/>
        </w:rPr>
        <w:t>不予退还的情况：</w:t>
      </w:r>
    </w:p>
    <w:p w14:paraId="65207637">
      <w:pPr>
        <w:spacing w:line="500" w:lineRule="exact"/>
        <w:ind w:firstLine="480" w:firstLineChars="200"/>
        <w:rPr>
          <w:rFonts w:hint="eastAsia" w:ascii="宋体" w:hAnsi="宋体"/>
          <w:sz w:val="24"/>
        </w:rPr>
      </w:pPr>
      <w:r>
        <w:rPr>
          <w:rFonts w:ascii="宋体" w:hAnsi="宋体"/>
          <w:sz w:val="24"/>
        </w:rPr>
        <w:t>（一）收到成交通知后放弃成交的；</w:t>
      </w:r>
    </w:p>
    <w:p w14:paraId="29640136">
      <w:pPr>
        <w:pStyle w:val="5"/>
        <w:tabs>
          <w:tab w:val="left" w:pos="709"/>
        </w:tabs>
        <w:spacing w:line="500" w:lineRule="exact"/>
        <w:ind w:firstLine="480"/>
        <w:rPr>
          <w:rFonts w:hint="eastAsia" w:ascii="宋体" w:hAnsi="宋体"/>
          <w:sz w:val="24"/>
          <w:szCs w:val="24"/>
          <w:u w:val="single"/>
        </w:rPr>
      </w:pPr>
      <w:r>
        <w:rPr>
          <w:rFonts w:ascii="宋体" w:hAnsi="宋体"/>
          <w:sz w:val="24"/>
          <w:szCs w:val="24"/>
        </w:rPr>
        <w:t>（</w:t>
      </w:r>
      <w:r>
        <w:rPr>
          <w:rFonts w:hint="eastAsia" w:ascii="宋体" w:hAnsi="宋体"/>
          <w:sz w:val="24"/>
          <w:szCs w:val="24"/>
        </w:rPr>
        <w:t>二</w:t>
      </w:r>
      <w:r>
        <w:rPr>
          <w:rFonts w:ascii="宋体" w:hAnsi="宋体"/>
          <w:sz w:val="24"/>
          <w:szCs w:val="24"/>
        </w:rPr>
        <w:t>）不按响应文件签订合同的。</w:t>
      </w:r>
    </w:p>
    <w:p w14:paraId="7C8F374D">
      <w:pPr>
        <w:pStyle w:val="5"/>
        <w:tabs>
          <w:tab w:val="left" w:pos="709"/>
        </w:tabs>
        <w:spacing w:line="500" w:lineRule="exact"/>
        <w:ind w:firstLine="480"/>
        <w:rPr>
          <w:rFonts w:hint="eastAsia" w:ascii="宋体" w:hAnsi="宋体"/>
          <w:sz w:val="24"/>
          <w:szCs w:val="24"/>
        </w:rPr>
      </w:pPr>
      <w:bookmarkStart w:id="3" w:name="_Hlk42463150"/>
      <w:r>
        <w:rPr>
          <w:rFonts w:ascii="宋体" w:hAnsi="宋体"/>
          <w:sz w:val="24"/>
          <w:szCs w:val="24"/>
        </w:rPr>
        <w:t>退还时间：</w:t>
      </w:r>
      <w:r>
        <w:rPr>
          <w:rFonts w:hint="eastAsia" w:ascii="宋体" w:hAnsi="宋体"/>
          <w:sz w:val="24"/>
          <w:szCs w:val="24"/>
        </w:rPr>
        <w:t>出售人与中标人签订合同后15个工作日内，向未中标的报价人退还询价保证金。中标人的询价保证金自动转为履约保证金，合同履行完毕后无息退还。</w:t>
      </w:r>
      <w:bookmarkEnd w:id="3"/>
    </w:p>
    <w:p w14:paraId="1D497824">
      <w:pPr>
        <w:pStyle w:val="5"/>
        <w:tabs>
          <w:tab w:val="left" w:pos="709"/>
        </w:tabs>
        <w:spacing w:line="500" w:lineRule="exact"/>
        <w:ind w:firstLine="480"/>
        <w:rPr>
          <w:rFonts w:hint="eastAsia" w:ascii="宋体" w:hAnsi="宋体"/>
          <w:sz w:val="24"/>
          <w:szCs w:val="24"/>
        </w:rPr>
      </w:pPr>
      <w:r>
        <w:rPr>
          <w:rFonts w:hint="eastAsia" w:ascii="宋体" w:hAnsi="宋体"/>
          <w:sz w:val="24"/>
          <w:szCs w:val="24"/>
        </w:rPr>
        <w:t>八</w:t>
      </w:r>
      <w:r>
        <w:rPr>
          <w:rFonts w:ascii="宋体" w:hAnsi="宋体"/>
          <w:sz w:val="24"/>
          <w:szCs w:val="24"/>
        </w:rPr>
        <w:t>、</w:t>
      </w:r>
      <w:r>
        <w:rPr>
          <w:rFonts w:hint="eastAsia" w:ascii="宋体" w:hAnsi="宋体"/>
          <w:sz w:val="24"/>
          <w:szCs w:val="24"/>
        </w:rPr>
        <w:t>装车要求</w:t>
      </w:r>
    </w:p>
    <w:p w14:paraId="2692B799">
      <w:pPr>
        <w:pStyle w:val="5"/>
        <w:tabs>
          <w:tab w:val="left" w:pos="709"/>
        </w:tabs>
        <w:spacing w:line="500" w:lineRule="exact"/>
        <w:ind w:firstLine="480"/>
        <w:rPr>
          <w:rFonts w:hint="eastAsia" w:ascii="宋体" w:hAnsi="宋体"/>
          <w:sz w:val="24"/>
          <w:szCs w:val="24"/>
          <w:u w:val="single"/>
        </w:rPr>
      </w:pPr>
      <w:r>
        <w:rPr>
          <w:rFonts w:hint="eastAsia" w:ascii="宋体" w:hAnsi="宋体"/>
          <w:sz w:val="24"/>
          <w:szCs w:val="24"/>
        </w:rPr>
        <w:t>见合同条款及格式。</w:t>
      </w:r>
    </w:p>
    <w:p w14:paraId="659A3D19">
      <w:pPr>
        <w:tabs>
          <w:tab w:val="left" w:pos="709"/>
        </w:tabs>
        <w:spacing w:line="500" w:lineRule="exact"/>
        <w:ind w:firstLine="480" w:firstLineChars="200"/>
        <w:rPr>
          <w:rFonts w:hint="eastAsia" w:ascii="宋体" w:hAnsi="宋体"/>
          <w:bCs/>
          <w:sz w:val="32"/>
        </w:rPr>
      </w:pPr>
      <w:r>
        <w:rPr>
          <w:rFonts w:hint="eastAsia" w:ascii="宋体" w:hAnsi="宋体"/>
          <w:sz w:val="24"/>
        </w:rPr>
        <w:t>九</w:t>
      </w:r>
      <w:r>
        <w:rPr>
          <w:rFonts w:ascii="宋体" w:hAnsi="宋体"/>
          <w:sz w:val="24"/>
        </w:rPr>
        <w:t>、</w:t>
      </w:r>
      <w:r>
        <w:rPr>
          <w:rFonts w:hint="eastAsia" w:ascii="宋体" w:hAnsi="宋体"/>
          <w:sz w:val="24"/>
        </w:rPr>
        <w:t>合同条款及格式：</w:t>
      </w:r>
      <w:bookmarkEnd w:id="2"/>
    </w:p>
    <w:p w14:paraId="6926E416">
      <w:pPr>
        <w:spacing w:line="780" w:lineRule="exact"/>
        <w:ind w:firstLine="720"/>
        <w:jc w:val="center"/>
        <w:rPr>
          <w:rFonts w:hint="eastAsia" w:ascii="微软雅黑" w:hAnsi="微软雅黑" w:eastAsia="微软雅黑"/>
          <w:sz w:val="24"/>
        </w:rPr>
      </w:pPr>
      <w:r>
        <w:rPr>
          <w:rFonts w:hint="eastAsia" w:ascii="微软雅黑" w:hAnsi="微软雅黑" w:eastAsia="微软雅黑"/>
          <w:sz w:val="24"/>
        </w:rPr>
        <w:t>废钢材处理合同</w:t>
      </w:r>
    </w:p>
    <w:p w14:paraId="14091170">
      <w:pPr>
        <w:spacing w:line="520" w:lineRule="exact"/>
        <w:ind w:firstLine="463" w:firstLineChars="193"/>
        <w:rPr>
          <w:rFonts w:hint="eastAsia" w:asciiTheme="minorEastAsia" w:hAnsiTheme="minorEastAsia" w:cstheme="minorEastAsia"/>
          <w:sz w:val="24"/>
        </w:rPr>
      </w:pPr>
    </w:p>
    <w:p w14:paraId="3AEEA950">
      <w:pPr>
        <w:spacing w:line="520" w:lineRule="exact"/>
        <w:ind w:firstLine="463" w:firstLineChars="193"/>
        <w:rPr>
          <w:rFonts w:hint="eastAsia" w:eastAsia="宋体" w:asciiTheme="minorEastAsia" w:hAnsiTheme="minorEastAsia" w:cstheme="minorEastAsia"/>
          <w:sz w:val="24"/>
          <w:lang w:val="en-US" w:eastAsia="zh-CN"/>
        </w:rPr>
      </w:pPr>
      <w:r>
        <w:rPr>
          <w:rFonts w:hint="eastAsia" w:asciiTheme="minorEastAsia" w:hAnsiTheme="minorEastAsia" w:cstheme="minorEastAsia"/>
          <w:sz w:val="24"/>
        </w:rPr>
        <w:t>合同编号：</w:t>
      </w:r>
    </w:p>
    <w:p w14:paraId="70E241AB">
      <w:pPr>
        <w:spacing w:line="52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甲   方：</w:t>
      </w:r>
    </w:p>
    <w:p w14:paraId="32FE34A2">
      <w:pPr>
        <w:widowControl/>
        <w:ind w:firstLine="480" w:firstLineChars="200"/>
        <w:rPr>
          <w:rFonts w:hint="eastAsia" w:ascii="宋体" w:hAnsi="宋体" w:cs="宋体"/>
          <w:sz w:val="24"/>
        </w:rPr>
      </w:pPr>
      <w:r>
        <w:rPr>
          <w:rFonts w:hint="eastAsia" w:asciiTheme="minorEastAsia" w:hAnsiTheme="minorEastAsia" w:cstheme="minorEastAsia"/>
          <w:sz w:val="24"/>
        </w:rPr>
        <w:t>乙   方：</w:t>
      </w:r>
    </w:p>
    <w:p w14:paraId="5D35F9E6">
      <w:pPr>
        <w:autoSpaceDE w:val="0"/>
        <w:autoSpaceDN w:val="0"/>
        <w:adjustRightInd w:val="0"/>
        <w:spacing w:line="520" w:lineRule="exact"/>
        <w:ind w:firstLine="463" w:firstLineChars="193"/>
        <w:rPr>
          <w:rFonts w:hint="eastAsia" w:asciiTheme="minorEastAsia" w:hAnsiTheme="minorEastAsia" w:cstheme="minorEastAsia"/>
          <w:sz w:val="24"/>
        </w:rPr>
      </w:pPr>
      <w:r>
        <w:rPr>
          <w:rFonts w:hint="eastAsia" w:asciiTheme="minorEastAsia" w:hAnsiTheme="minorEastAsia" w:cstheme="minorEastAsia"/>
          <w:sz w:val="24"/>
        </w:rPr>
        <w:t xml:space="preserve">签约地点： </w:t>
      </w:r>
      <w:r>
        <w:rPr>
          <w:rFonts w:hint="eastAsia" w:asciiTheme="minorEastAsia" w:hAnsiTheme="minorEastAsia" w:cstheme="minorEastAsia"/>
          <w:sz w:val="24"/>
          <w:u w:val="single"/>
        </w:rPr>
        <w:t xml:space="preserve">  重庆市江北区  </w:t>
      </w:r>
    </w:p>
    <w:p w14:paraId="7AC0DE98">
      <w:pPr>
        <w:autoSpaceDE w:val="0"/>
        <w:autoSpaceDN w:val="0"/>
        <w:adjustRightInd w:val="0"/>
        <w:spacing w:line="520" w:lineRule="exact"/>
        <w:ind w:firstLine="463" w:firstLineChars="193"/>
        <w:rPr>
          <w:rFonts w:hint="eastAsia" w:asciiTheme="minorEastAsia" w:hAnsiTheme="minorEastAsia" w:cstheme="minorEastAsia"/>
          <w:sz w:val="24"/>
        </w:rPr>
      </w:pPr>
      <w:r>
        <w:rPr>
          <w:rFonts w:hint="eastAsia" w:asciiTheme="minorEastAsia" w:hAnsiTheme="minorEastAsia" w:cstheme="minorEastAsia"/>
          <w:sz w:val="24"/>
        </w:rPr>
        <w:t xml:space="preserve">签约时间： </w:t>
      </w:r>
      <w:r>
        <w:rPr>
          <w:rFonts w:asciiTheme="minorEastAsia" w:hAnsiTheme="minorEastAsia" w:cstheme="minorEastAsia"/>
          <w:sz w:val="24"/>
        </w:rPr>
        <w:t xml:space="preserve"> </w:t>
      </w:r>
      <w:r>
        <w:rPr>
          <w:rFonts w:hint="eastAsia" w:asciiTheme="minorEastAsia" w:hAnsiTheme="minorEastAsia" w:cstheme="minorEastAsia"/>
          <w:sz w:val="24"/>
        </w:rPr>
        <w:t xml:space="preserve">年 </w:t>
      </w:r>
      <w:r>
        <w:rPr>
          <w:rFonts w:asciiTheme="minorEastAsia" w:hAnsiTheme="minorEastAsia" w:cstheme="minorEastAsia"/>
          <w:sz w:val="24"/>
        </w:rPr>
        <w:t xml:space="preserve"> </w:t>
      </w:r>
      <w:r>
        <w:rPr>
          <w:rFonts w:hint="eastAsia" w:asciiTheme="minorEastAsia" w:hAnsiTheme="minorEastAsia" w:cstheme="minorEastAsia"/>
          <w:sz w:val="24"/>
        </w:rPr>
        <w:t xml:space="preserve">月 </w:t>
      </w:r>
      <w:r>
        <w:rPr>
          <w:rFonts w:asciiTheme="minorEastAsia" w:hAnsiTheme="minorEastAsia" w:cstheme="minorEastAsia"/>
          <w:sz w:val="24"/>
        </w:rPr>
        <w:t xml:space="preserve">  </w:t>
      </w:r>
      <w:r>
        <w:rPr>
          <w:rFonts w:hint="eastAsia" w:asciiTheme="minorEastAsia" w:hAnsiTheme="minorEastAsia" w:cstheme="minorEastAsia"/>
          <w:sz w:val="24"/>
        </w:rPr>
        <w:t>日</w:t>
      </w:r>
    </w:p>
    <w:p w14:paraId="54285897">
      <w:pPr>
        <w:spacing w:line="520" w:lineRule="exact"/>
        <w:ind w:firstLine="440"/>
        <w:rPr>
          <w:rFonts w:hint="eastAsia" w:asciiTheme="minorEastAsia" w:hAnsiTheme="minorEastAsia" w:cstheme="minorEastAsia"/>
          <w:sz w:val="24"/>
        </w:rPr>
      </w:pPr>
      <w:r>
        <w:rPr>
          <w:rFonts w:hint="eastAsia" w:asciiTheme="minorEastAsia" w:hAnsiTheme="minorEastAsia" w:cstheme="minorEastAsia"/>
          <w:sz w:val="24"/>
        </w:rPr>
        <w:t>根据《中华人民共和国民法典》及有关法律规定，为明确甲方、乙方的权利和义务，遵循自愿、平等、公平和诚实守信原则，甲乙双方经友好协商就甲方施工现场废钢材收购事宜达成一致，签订本合同，共同遵守。</w:t>
      </w:r>
    </w:p>
    <w:p w14:paraId="2ADB7DEF">
      <w:pPr>
        <w:spacing w:line="520" w:lineRule="exact"/>
        <w:ind w:firstLine="482"/>
        <w:rPr>
          <w:rFonts w:hint="eastAsia" w:asciiTheme="minorEastAsia" w:hAnsiTheme="minorEastAsia" w:cstheme="minorEastAsia"/>
          <w:b/>
          <w:sz w:val="24"/>
        </w:rPr>
      </w:pPr>
      <w:r>
        <w:rPr>
          <w:rFonts w:hint="eastAsia" w:asciiTheme="minorEastAsia" w:hAnsiTheme="minorEastAsia" w:cstheme="minorEastAsia"/>
          <w:b/>
          <w:sz w:val="24"/>
        </w:rPr>
        <w:t>一、合同内容：</w:t>
      </w:r>
    </w:p>
    <w:p w14:paraId="417B14F0">
      <w:pPr>
        <w:spacing w:line="520" w:lineRule="exact"/>
        <w:ind w:firstLine="440"/>
        <w:rPr>
          <w:rFonts w:hint="eastAsia" w:asciiTheme="minorEastAsia" w:hAnsiTheme="minorEastAsia" w:cstheme="minorEastAsia"/>
          <w:sz w:val="24"/>
        </w:rPr>
      </w:pPr>
      <w:r>
        <w:rPr>
          <w:rFonts w:hint="eastAsia" w:asciiTheme="minorEastAsia" w:hAnsiTheme="minorEastAsia" w:cstheme="minorEastAsia"/>
          <w:sz w:val="24"/>
        </w:rPr>
        <w:t>乙方从</w:t>
      </w:r>
      <w:r>
        <w:rPr>
          <w:rFonts w:hint="eastAsia" w:ascii="宋体" w:hAnsi="宋体"/>
          <w:sz w:val="24"/>
          <w:szCs w:val="24"/>
          <w:u w:val="none"/>
          <w:lang w:val="en-US" w:eastAsia="zh-CN"/>
        </w:rPr>
        <w:t>中铁大桥局集团有限公司新建CZ铁路CZSCZQ-1标段一工区</w:t>
      </w:r>
      <w:r>
        <w:rPr>
          <w:rFonts w:hint="eastAsia" w:asciiTheme="minorEastAsia" w:hAnsiTheme="minorEastAsia" w:cstheme="minorEastAsia"/>
          <w:sz w:val="24"/>
        </w:rPr>
        <w:t>购买废旧废铁事宜。</w:t>
      </w:r>
    </w:p>
    <w:p w14:paraId="29DF103C">
      <w:pPr>
        <w:spacing w:line="520" w:lineRule="exact"/>
        <w:ind w:firstLine="482"/>
        <w:rPr>
          <w:rFonts w:hint="eastAsia" w:asciiTheme="minorEastAsia" w:hAnsiTheme="minorEastAsia" w:cstheme="minorEastAsia"/>
          <w:b/>
          <w:sz w:val="24"/>
        </w:rPr>
      </w:pPr>
      <w:r>
        <w:rPr>
          <w:rFonts w:hint="eastAsia" w:asciiTheme="minorEastAsia" w:hAnsiTheme="minorEastAsia" w:cstheme="minorEastAsia"/>
          <w:b/>
          <w:sz w:val="24"/>
        </w:rPr>
        <w:t>二、合同有效期</w:t>
      </w:r>
    </w:p>
    <w:p w14:paraId="6D7E877D">
      <w:pPr>
        <w:spacing w:line="52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年月日-年月日，合同有效期截止后根据甲方施工现场情况，确定是否续订合同，以续订合同内容为准。</w:t>
      </w:r>
    </w:p>
    <w:p w14:paraId="2A20C15F">
      <w:pPr>
        <w:pStyle w:val="7"/>
        <w:spacing w:line="520" w:lineRule="exact"/>
        <w:ind w:firstLine="482" w:firstLineChars="20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 xml:space="preserve">三、合同内容明细 </w:t>
      </w:r>
    </w:p>
    <w:p w14:paraId="6AB740BF">
      <w:pPr>
        <w:spacing w:line="520" w:lineRule="exact"/>
        <w:ind w:firstLine="480"/>
        <w:rPr>
          <w:rFonts w:hint="eastAsia" w:asciiTheme="minorEastAsia" w:hAnsiTheme="minorEastAsia" w:cstheme="minorEastAsia"/>
          <w:b/>
          <w:sz w:val="24"/>
        </w:rPr>
      </w:pPr>
      <w:r>
        <w:rPr>
          <w:rFonts w:hint="eastAsia" w:asciiTheme="minorEastAsia" w:hAnsiTheme="minorEastAsia" w:cstheme="minorEastAsia"/>
          <w:sz w:val="24"/>
        </w:rPr>
        <w:t>1.物资种类、规格型号、预估数量、不含税单价、增值税税额、含税单价、合价：</w:t>
      </w:r>
    </w:p>
    <w:tbl>
      <w:tblPr>
        <w:tblStyle w:val="3"/>
        <w:tblW w:w="10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198"/>
        <w:gridCol w:w="1087"/>
        <w:gridCol w:w="630"/>
        <w:gridCol w:w="667"/>
        <w:gridCol w:w="1245"/>
        <w:gridCol w:w="1209"/>
        <w:gridCol w:w="1275"/>
        <w:gridCol w:w="1134"/>
        <w:gridCol w:w="1544"/>
      </w:tblGrid>
      <w:tr w14:paraId="2494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8" w:type="dxa"/>
            <w:vMerge w:val="restart"/>
            <w:vAlign w:val="center"/>
          </w:tcPr>
          <w:p w14:paraId="351752AB">
            <w:pPr>
              <w:spacing w:line="280" w:lineRule="exact"/>
              <w:jc w:val="center"/>
              <w:rPr>
                <w:rFonts w:hint="eastAsia" w:asciiTheme="minorEastAsia" w:hAnsiTheme="minorEastAsia" w:cstheme="minorEastAsia"/>
                <w:sz w:val="24"/>
              </w:rPr>
            </w:pPr>
            <w:r>
              <w:rPr>
                <w:rFonts w:hint="eastAsia" w:asciiTheme="minorEastAsia" w:hAnsiTheme="minorEastAsia" w:cstheme="minorEastAsia"/>
                <w:sz w:val="24"/>
              </w:rPr>
              <w:t>序号</w:t>
            </w:r>
          </w:p>
        </w:tc>
        <w:tc>
          <w:tcPr>
            <w:tcW w:w="1198" w:type="dxa"/>
            <w:vMerge w:val="restart"/>
            <w:vAlign w:val="center"/>
          </w:tcPr>
          <w:p w14:paraId="5ACB405D">
            <w:pPr>
              <w:spacing w:line="280" w:lineRule="exact"/>
              <w:jc w:val="center"/>
              <w:rPr>
                <w:rFonts w:hint="eastAsia" w:asciiTheme="minorEastAsia" w:hAnsiTheme="minorEastAsia" w:cstheme="minorEastAsia"/>
                <w:sz w:val="24"/>
              </w:rPr>
            </w:pPr>
            <w:r>
              <w:rPr>
                <w:rFonts w:hint="eastAsia" w:asciiTheme="minorEastAsia" w:hAnsiTheme="minorEastAsia" w:cstheme="minorEastAsia"/>
                <w:sz w:val="24"/>
              </w:rPr>
              <w:t>物资种类</w:t>
            </w:r>
          </w:p>
        </w:tc>
        <w:tc>
          <w:tcPr>
            <w:tcW w:w="1087" w:type="dxa"/>
            <w:vMerge w:val="restart"/>
            <w:vAlign w:val="center"/>
          </w:tcPr>
          <w:p w14:paraId="42710C3F">
            <w:pPr>
              <w:spacing w:line="280" w:lineRule="exact"/>
              <w:jc w:val="center"/>
              <w:rPr>
                <w:rFonts w:hint="eastAsia" w:asciiTheme="minorEastAsia" w:hAnsiTheme="minorEastAsia" w:cstheme="minorEastAsia"/>
                <w:sz w:val="24"/>
              </w:rPr>
            </w:pPr>
            <w:r>
              <w:rPr>
                <w:rFonts w:hint="eastAsia" w:asciiTheme="minorEastAsia" w:hAnsiTheme="minorEastAsia" w:cstheme="minorEastAsia"/>
                <w:sz w:val="24"/>
              </w:rPr>
              <w:t>规格型号</w:t>
            </w:r>
          </w:p>
        </w:tc>
        <w:tc>
          <w:tcPr>
            <w:tcW w:w="630" w:type="dxa"/>
            <w:vMerge w:val="restart"/>
            <w:vAlign w:val="center"/>
          </w:tcPr>
          <w:p w14:paraId="05EFAC46">
            <w:pPr>
              <w:spacing w:line="280" w:lineRule="exact"/>
              <w:jc w:val="center"/>
              <w:rPr>
                <w:rFonts w:hint="eastAsia" w:asciiTheme="minorEastAsia" w:hAnsiTheme="minorEastAsia" w:cstheme="minorEastAsia"/>
                <w:sz w:val="24"/>
              </w:rPr>
            </w:pPr>
            <w:r>
              <w:rPr>
                <w:rFonts w:hint="eastAsia" w:asciiTheme="minorEastAsia" w:hAnsiTheme="minorEastAsia" w:cstheme="minorEastAsia"/>
                <w:sz w:val="24"/>
              </w:rPr>
              <w:t>单位</w:t>
            </w:r>
          </w:p>
        </w:tc>
        <w:tc>
          <w:tcPr>
            <w:tcW w:w="667" w:type="dxa"/>
            <w:vAlign w:val="center"/>
          </w:tcPr>
          <w:p w14:paraId="56B0B5AC">
            <w:pPr>
              <w:spacing w:line="280" w:lineRule="exact"/>
              <w:jc w:val="center"/>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预估数量</w:t>
            </w:r>
          </w:p>
        </w:tc>
        <w:tc>
          <w:tcPr>
            <w:tcW w:w="1245" w:type="dxa"/>
            <w:vAlign w:val="center"/>
          </w:tcPr>
          <w:p w14:paraId="543662D2">
            <w:pPr>
              <w:spacing w:line="280" w:lineRule="exact"/>
              <w:jc w:val="center"/>
              <w:rPr>
                <w:rFonts w:hint="default" w:eastAsia="宋体" w:asciiTheme="minorEastAsia" w:hAnsiTheme="minorEastAsia" w:cstheme="minorEastAsia"/>
                <w:b/>
                <w:sz w:val="24"/>
                <w:lang w:val="en-US" w:eastAsia="zh-CN"/>
              </w:rPr>
            </w:pPr>
            <w:r>
              <w:rPr>
                <w:rFonts w:hint="eastAsia" w:asciiTheme="minorEastAsia" w:hAnsiTheme="minorEastAsia" w:cstheme="minorEastAsia"/>
                <w:sz w:val="24"/>
                <w:lang w:val="en-US" w:eastAsia="zh-CN"/>
              </w:rPr>
              <w:t>不含税</w:t>
            </w:r>
            <w:r>
              <w:rPr>
                <w:rFonts w:hint="eastAsia" w:asciiTheme="minorEastAsia" w:hAnsiTheme="minorEastAsia" w:cstheme="minorEastAsia"/>
                <w:sz w:val="24"/>
              </w:rPr>
              <w:t>基准价</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元/吨）</w:t>
            </w:r>
          </w:p>
        </w:tc>
        <w:tc>
          <w:tcPr>
            <w:tcW w:w="1209" w:type="dxa"/>
            <w:vAlign w:val="center"/>
          </w:tcPr>
          <w:p w14:paraId="4579FC3D">
            <w:pPr>
              <w:spacing w:line="280" w:lineRule="exact"/>
              <w:jc w:val="center"/>
              <w:rPr>
                <w:rFonts w:hint="default" w:eastAsia="宋体" w:asciiTheme="minorEastAsia" w:hAnsiTheme="minorEastAsia" w:cstheme="minorEastAsia"/>
                <w:b/>
                <w:sz w:val="24"/>
                <w:lang w:val="en-US" w:eastAsia="zh-CN"/>
              </w:rPr>
            </w:pPr>
            <w:r>
              <w:rPr>
                <w:rFonts w:hint="eastAsia" w:asciiTheme="minorEastAsia" w:hAnsiTheme="minorEastAsia" w:cstheme="minorEastAsia"/>
                <w:sz w:val="24"/>
                <w:lang w:val="en-US" w:eastAsia="zh-CN"/>
              </w:rPr>
              <w:t>不含税</w:t>
            </w:r>
            <w:r>
              <w:rPr>
                <w:rFonts w:hint="eastAsia" w:asciiTheme="minorEastAsia" w:hAnsiTheme="minorEastAsia" w:cstheme="minorEastAsia"/>
                <w:sz w:val="24"/>
              </w:rPr>
              <w:t>综合</w:t>
            </w:r>
            <w:r>
              <w:rPr>
                <w:rFonts w:hint="eastAsia" w:asciiTheme="minorEastAsia" w:hAnsiTheme="minorEastAsia" w:cstheme="minorEastAsia"/>
                <w:sz w:val="24"/>
                <w:lang w:val="en-US" w:eastAsia="zh-CN"/>
              </w:rPr>
              <w:t>费用（元/吨)</w:t>
            </w:r>
          </w:p>
        </w:tc>
        <w:tc>
          <w:tcPr>
            <w:tcW w:w="1275" w:type="dxa"/>
            <w:vAlign w:val="center"/>
          </w:tcPr>
          <w:p w14:paraId="73CE83DA">
            <w:pPr>
              <w:spacing w:line="280" w:lineRule="exact"/>
              <w:jc w:val="both"/>
              <w:rPr>
                <w:rFonts w:hint="eastAsia" w:asciiTheme="minorEastAsia" w:hAnsiTheme="minorEastAsia" w:cstheme="minorEastAsia"/>
                <w:b/>
                <w:sz w:val="24"/>
              </w:rPr>
            </w:pPr>
            <w:r>
              <w:rPr>
                <w:rFonts w:hint="eastAsia" w:asciiTheme="minorEastAsia" w:hAnsiTheme="minorEastAsia" w:cstheme="minorEastAsia"/>
                <w:sz w:val="24"/>
                <w:lang w:val="en-US" w:eastAsia="zh-CN"/>
              </w:rPr>
              <w:t>不含税到站</w:t>
            </w:r>
            <w:r>
              <w:rPr>
                <w:rFonts w:hint="eastAsia" w:asciiTheme="minorEastAsia" w:hAnsiTheme="minorEastAsia" w:cstheme="minorEastAsia"/>
                <w:sz w:val="24"/>
              </w:rPr>
              <w:t>单价</w:t>
            </w:r>
            <w:r>
              <w:rPr>
                <w:rFonts w:hint="eastAsia" w:asciiTheme="minorEastAsia" w:hAnsiTheme="minorEastAsia" w:cstheme="minorEastAsia"/>
                <w:sz w:val="24"/>
                <w:lang w:val="en-US" w:eastAsia="zh-CN"/>
              </w:rPr>
              <w:t>（元/吨)</w:t>
            </w:r>
          </w:p>
        </w:tc>
        <w:tc>
          <w:tcPr>
            <w:tcW w:w="1134" w:type="dxa"/>
            <w:vAlign w:val="center"/>
          </w:tcPr>
          <w:p w14:paraId="54A53E47">
            <w:pPr>
              <w:spacing w:line="280" w:lineRule="exact"/>
              <w:jc w:val="center"/>
              <w:rPr>
                <w:rFonts w:hint="eastAsia" w:asciiTheme="minorEastAsia" w:hAnsiTheme="minorEastAsia" w:cstheme="minorEastAsia"/>
                <w:sz w:val="24"/>
              </w:rPr>
            </w:pPr>
            <w:r>
              <w:rPr>
                <w:rFonts w:hint="eastAsia" w:asciiTheme="minorEastAsia" w:hAnsiTheme="minorEastAsia" w:cstheme="minorEastAsia"/>
                <w:sz w:val="24"/>
              </w:rPr>
              <w:t>合价（元）</w:t>
            </w:r>
          </w:p>
        </w:tc>
        <w:tc>
          <w:tcPr>
            <w:tcW w:w="1544" w:type="dxa"/>
            <w:vAlign w:val="center"/>
          </w:tcPr>
          <w:p w14:paraId="6252FBD6">
            <w:pPr>
              <w:spacing w:line="280" w:lineRule="exact"/>
              <w:jc w:val="center"/>
              <w:rPr>
                <w:rFonts w:hint="eastAsia" w:asciiTheme="minorEastAsia" w:hAnsiTheme="minorEastAsia" w:cstheme="minorEastAsia"/>
                <w:sz w:val="24"/>
              </w:rPr>
            </w:pPr>
            <w:r>
              <w:rPr>
                <w:rFonts w:hint="eastAsia" w:asciiTheme="minorEastAsia" w:hAnsiTheme="minorEastAsia" w:cstheme="minorEastAsia"/>
                <w:sz w:val="24"/>
              </w:rPr>
              <w:t>备注</w:t>
            </w:r>
          </w:p>
        </w:tc>
      </w:tr>
      <w:tr w14:paraId="600F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8" w:type="dxa"/>
            <w:vMerge w:val="continue"/>
            <w:vAlign w:val="center"/>
          </w:tcPr>
          <w:p w14:paraId="65F3FC70">
            <w:pPr>
              <w:spacing w:line="280" w:lineRule="exact"/>
              <w:jc w:val="center"/>
              <w:rPr>
                <w:rFonts w:hint="eastAsia" w:asciiTheme="minorEastAsia" w:hAnsiTheme="minorEastAsia" w:cstheme="minorEastAsia"/>
                <w:sz w:val="24"/>
              </w:rPr>
            </w:pPr>
          </w:p>
        </w:tc>
        <w:tc>
          <w:tcPr>
            <w:tcW w:w="1198" w:type="dxa"/>
            <w:vMerge w:val="continue"/>
            <w:vAlign w:val="center"/>
          </w:tcPr>
          <w:p w14:paraId="5C2848AD">
            <w:pPr>
              <w:spacing w:line="280" w:lineRule="exact"/>
              <w:jc w:val="center"/>
              <w:rPr>
                <w:rFonts w:hint="eastAsia" w:asciiTheme="minorEastAsia" w:hAnsiTheme="minorEastAsia" w:cstheme="minorEastAsia"/>
                <w:b/>
                <w:sz w:val="24"/>
              </w:rPr>
            </w:pPr>
          </w:p>
        </w:tc>
        <w:tc>
          <w:tcPr>
            <w:tcW w:w="1087" w:type="dxa"/>
            <w:vMerge w:val="continue"/>
            <w:vAlign w:val="center"/>
          </w:tcPr>
          <w:p w14:paraId="1078F595">
            <w:pPr>
              <w:spacing w:line="280" w:lineRule="exact"/>
              <w:jc w:val="center"/>
              <w:rPr>
                <w:rFonts w:hint="eastAsia" w:asciiTheme="minorEastAsia" w:hAnsiTheme="minorEastAsia" w:cstheme="minorEastAsia"/>
                <w:b/>
                <w:sz w:val="24"/>
              </w:rPr>
            </w:pPr>
          </w:p>
        </w:tc>
        <w:tc>
          <w:tcPr>
            <w:tcW w:w="630" w:type="dxa"/>
            <w:vMerge w:val="continue"/>
            <w:vAlign w:val="center"/>
          </w:tcPr>
          <w:p w14:paraId="0B721BB7">
            <w:pPr>
              <w:spacing w:line="280" w:lineRule="exact"/>
              <w:jc w:val="center"/>
              <w:rPr>
                <w:rFonts w:hint="eastAsia" w:asciiTheme="minorEastAsia" w:hAnsiTheme="minorEastAsia" w:cstheme="minorEastAsia"/>
                <w:sz w:val="24"/>
              </w:rPr>
            </w:pPr>
          </w:p>
        </w:tc>
        <w:tc>
          <w:tcPr>
            <w:tcW w:w="667" w:type="dxa"/>
            <w:vAlign w:val="center"/>
          </w:tcPr>
          <w:p w14:paraId="339DF301">
            <w:pPr>
              <w:spacing w:line="280" w:lineRule="exact"/>
              <w:jc w:val="center"/>
              <w:rPr>
                <w:rFonts w:hint="eastAsia" w:asciiTheme="minorEastAsia" w:hAnsiTheme="minorEastAsia" w:cstheme="minorEastAsia"/>
                <w:bCs/>
                <w:sz w:val="24"/>
              </w:rPr>
            </w:pPr>
            <w:r>
              <w:rPr>
                <w:rFonts w:hint="eastAsia" w:asciiTheme="minorEastAsia" w:hAnsiTheme="minorEastAsia" w:cstheme="minorEastAsia"/>
                <w:sz w:val="24"/>
              </w:rPr>
              <w:t>（1）</w:t>
            </w:r>
          </w:p>
        </w:tc>
        <w:tc>
          <w:tcPr>
            <w:tcW w:w="1245" w:type="dxa"/>
            <w:vAlign w:val="center"/>
          </w:tcPr>
          <w:p w14:paraId="4D8037B1">
            <w:pPr>
              <w:spacing w:line="280" w:lineRule="exact"/>
              <w:jc w:val="center"/>
              <w:rPr>
                <w:rFonts w:hint="eastAsia" w:asciiTheme="minorEastAsia" w:hAnsiTheme="minorEastAsia" w:cstheme="minorEastAsia"/>
                <w:bCs/>
                <w:sz w:val="24"/>
              </w:rPr>
            </w:pPr>
            <w:r>
              <w:rPr>
                <w:rFonts w:hint="eastAsia" w:asciiTheme="minorEastAsia" w:hAnsiTheme="minorEastAsia" w:cstheme="minorEastAsia"/>
                <w:sz w:val="24"/>
              </w:rPr>
              <w:t>（2）</w:t>
            </w:r>
          </w:p>
        </w:tc>
        <w:tc>
          <w:tcPr>
            <w:tcW w:w="1209" w:type="dxa"/>
            <w:vAlign w:val="center"/>
          </w:tcPr>
          <w:p w14:paraId="4AE56255">
            <w:pPr>
              <w:spacing w:line="280" w:lineRule="exact"/>
              <w:jc w:val="center"/>
              <w:rPr>
                <w:rFonts w:hint="eastAsia" w:asciiTheme="minorEastAsia" w:hAnsiTheme="minorEastAsia" w:eastAsiaTheme="minorEastAsia" w:cstheme="minorEastAsia"/>
                <w:bCs/>
                <w:sz w:val="24"/>
              </w:rPr>
            </w:pPr>
            <w:r>
              <w:rPr>
                <w:rFonts w:hint="eastAsia" w:asciiTheme="minorEastAsia" w:hAnsiTheme="minorEastAsia" w:cstheme="minorEastAsia"/>
                <w:bCs/>
                <w:sz w:val="24"/>
              </w:rPr>
              <w:t>（3）</w:t>
            </w:r>
          </w:p>
        </w:tc>
        <w:tc>
          <w:tcPr>
            <w:tcW w:w="1275" w:type="dxa"/>
            <w:vAlign w:val="center"/>
          </w:tcPr>
          <w:p w14:paraId="5CFA3955">
            <w:pPr>
              <w:spacing w:line="280" w:lineRule="exact"/>
              <w:jc w:val="center"/>
              <w:rPr>
                <w:rFonts w:hint="eastAsia" w:asciiTheme="minorEastAsia" w:hAnsiTheme="minorEastAsia" w:cstheme="minorEastAsia"/>
                <w:bCs/>
                <w:sz w:val="24"/>
              </w:rPr>
            </w:pPr>
            <w:r>
              <w:rPr>
                <w:rFonts w:hint="eastAsia" w:asciiTheme="minorEastAsia" w:hAnsiTheme="minorEastAsia" w:cstheme="minorEastAsia"/>
                <w:sz w:val="24"/>
              </w:rPr>
              <w:t>(4)=(2)-(3)</w:t>
            </w:r>
          </w:p>
        </w:tc>
        <w:tc>
          <w:tcPr>
            <w:tcW w:w="1134" w:type="dxa"/>
            <w:vAlign w:val="center"/>
          </w:tcPr>
          <w:p w14:paraId="067665A6">
            <w:pPr>
              <w:spacing w:line="280" w:lineRule="exact"/>
              <w:jc w:val="center"/>
              <w:rPr>
                <w:rFonts w:hint="eastAsia" w:asciiTheme="minorEastAsia" w:hAnsiTheme="minorEastAsia" w:cstheme="minorEastAsia"/>
                <w:bCs/>
                <w:sz w:val="24"/>
              </w:rPr>
            </w:pPr>
            <w:r>
              <w:rPr>
                <w:rFonts w:hint="eastAsia" w:asciiTheme="minorEastAsia" w:hAnsiTheme="minorEastAsia" w:cstheme="minorEastAsia"/>
                <w:sz w:val="24"/>
              </w:rPr>
              <w:t>(5)=(1)×(4)</w:t>
            </w:r>
          </w:p>
        </w:tc>
        <w:tc>
          <w:tcPr>
            <w:tcW w:w="1544" w:type="dxa"/>
            <w:vAlign w:val="center"/>
          </w:tcPr>
          <w:p w14:paraId="072636C6">
            <w:pPr>
              <w:spacing w:line="280" w:lineRule="exact"/>
              <w:jc w:val="center"/>
              <w:rPr>
                <w:rFonts w:hint="eastAsia" w:asciiTheme="minorEastAsia" w:hAnsiTheme="minorEastAsia" w:eastAsiaTheme="minorEastAsia" w:cstheme="minorEastAsia"/>
                <w:bCs/>
                <w:sz w:val="24"/>
              </w:rPr>
            </w:pPr>
            <w:r>
              <w:rPr>
                <w:rFonts w:hint="eastAsia" w:asciiTheme="minorEastAsia" w:hAnsiTheme="minorEastAsia" w:cstheme="minorEastAsia"/>
                <w:bCs/>
                <w:sz w:val="24"/>
              </w:rPr>
              <w:t>价格均含13%增值税专票</w:t>
            </w:r>
          </w:p>
        </w:tc>
      </w:tr>
      <w:tr w14:paraId="5472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8" w:type="dxa"/>
            <w:vAlign w:val="center"/>
          </w:tcPr>
          <w:p w14:paraId="5F70DC59">
            <w:pPr>
              <w:spacing w:line="280" w:lineRule="exact"/>
              <w:jc w:val="center"/>
              <w:rPr>
                <w:rFonts w:hint="eastAsia" w:asciiTheme="minorEastAsia" w:hAnsiTheme="minorEastAsia" w:cstheme="minorEastAsia"/>
                <w:sz w:val="24"/>
              </w:rPr>
            </w:pPr>
            <w:bookmarkStart w:id="4" w:name="OLE_LINK2" w:colFirst="5" w:colLast="5"/>
            <w:r>
              <w:rPr>
                <w:rFonts w:hint="eastAsia" w:asciiTheme="minorEastAsia" w:hAnsiTheme="minorEastAsia" w:cstheme="minorEastAsia"/>
                <w:sz w:val="24"/>
              </w:rPr>
              <w:t>1</w:t>
            </w:r>
          </w:p>
        </w:tc>
        <w:tc>
          <w:tcPr>
            <w:tcW w:w="1198" w:type="dxa"/>
            <w:vAlign w:val="center"/>
          </w:tcPr>
          <w:p w14:paraId="07C23D98">
            <w:pPr>
              <w:spacing w:line="280" w:lineRule="exact"/>
              <w:jc w:val="center"/>
              <w:rPr>
                <w:rFonts w:hint="eastAsia" w:asciiTheme="minorEastAsia" w:hAnsiTheme="minorEastAsia" w:cstheme="minorEastAsia"/>
                <w:b/>
                <w:sz w:val="24"/>
              </w:rPr>
            </w:pPr>
            <w:r>
              <w:rPr>
                <w:rFonts w:hint="eastAsia" w:ascii="宋体" w:hAnsi="宋体"/>
                <w:color w:val="000000"/>
                <w:kern w:val="0"/>
                <w:sz w:val="24"/>
                <w:lang w:val="en-US" w:eastAsia="zh-CN"/>
              </w:rPr>
              <w:t>废旧型材、钢模板、边角料</w:t>
            </w:r>
            <w:r>
              <w:rPr>
                <w:rFonts w:ascii="宋体" w:hAnsi="宋体"/>
                <w:color w:val="000000"/>
                <w:kern w:val="0"/>
                <w:sz w:val="24"/>
              </w:rPr>
              <w:t>　</w:t>
            </w:r>
          </w:p>
        </w:tc>
        <w:tc>
          <w:tcPr>
            <w:tcW w:w="1087" w:type="dxa"/>
            <w:vAlign w:val="center"/>
          </w:tcPr>
          <w:p w14:paraId="41C19BFA">
            <w:pPr>
              <w:spacing w:line="280" w:lineRule="exact"/>
              <w:jc w:val="center"/>
              <w:rPr>
                <w:rFonts w:hint="eastAsia" w:asciiTheme="minorEastAsia" w:hAnsiTheme="minorEastAsia" w:cstheme="minorEastAsia"/>
                <w:b/>
                <w:sz w:val="24"/>
              </w:rPr>
            </w:pPr>
            <w:r>
              <w:rPr>
                <w:rFonts w:hint="eastAsia" w:asciiTheme="minorEastAsia" w:hAnsiTheme="minorEastAsia" w:cstheme="minorEastAsia"/>
                <w:b/>
                <w:sz w:val="24"/>
              </w:rPr>
              <w:t>各型</w:t>
            </w:r>
          </w:p>
        </w:tc>
        <w:tc>
          <w:tcPr>
            <w:tcW w:w="630" w:type="dxa"/>
            <w:vAlign w:val="center"/>
          </w:tcPr>
          <w:p w14:paraId="3B89A2A8">
            <w:pPr>
              <w:spacing w:line="280" w:lineRule="exact"/>
              <w:jc w:val="center"/>
              <w:rPr>
                <w:rFonts w:hint="eastAsia" w:asciiTheme="minorEastAsia" w:hAnsiTheme="minorEastAsia" w:cstheme="minorEastAsia"/>
                <w:sz w:val="24"/>
              </w:rPr>
            </w:pPr>
            <w:r>
              <w:rPr>
                <w:rFonts w:hint="eastAsia" w:asciiTheme="minorEastAsia" w:hAnsiTheme="minorEastAsia" w:cstheme="minorEastAsia"/>
                <w:sz w:val="24"/>
              </w:rPr>
              <w:t>吨</w:t>
            </w:r>
          </w:p>
        </w:tc>
        <w:tc>
          <w:tcPr>
            <w:tcW w:w="667" w:type="dxa"/>
            <w:vAlign w:val="center"/>
          </w:tcPr>
          <w:p w14:paraId="2A31E2E5">
            <w:pPr>
              <w:spacing w:line="280" w:lineRule="exact"/>
              <w:jc w:val="center"/>
              <w:rPr>
                <w:rFonts w:hint="default" w:eastAsia="宋体" w:asciiTheme="minorEastAsia" w:hAnsiTheme="minorEastAsia" w:cstheme="minorEastAsia"/>
                <w:sz w:val="24"/>
                <w:lang w:val="en-US" w:eastAsia="zh-CN"/>
              </w:rPr>
            </w:pPr>
            <w:r>
              <w:rPr>
                <w:rFonts w:hint="eastAsia" w:asciiTheme="minorEastAsia" w:hAnsiTheme="minorEastAsia" w:cstheme="minorEastAsia"/>
                <w:sz w:val="24"/>
                <w:lang w:val="en-US" w:eastAsia="zh-CN"/>
              </w:rPr>
              <w:t>500</w:t>
            </w:r>
          </w:p>
        </w:tc>
        <w:tc>
          <w:tcPr>
            <w:tcW w:w="1245" w:type="dxa"/>
            <w:vAlign w:val="center"/>
          </w:tcPr>
          <w:p w14:paraId="56DA3931">
            <w:pPr>
              <w:spacing w:line="2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2150</w:t>
            </w:r>
          </w:p>
        </w:tc>
        <w:tc>
          <w:tcPr>
            <w:tcW w:w="1209" w:type="dxa"/>
            <w:vAlign w:val="center"/>
          </w:tcPr>
          <w:p w14:paraId="0CD0EA04">
            <w:pPr>
              <w:spacing w:line="280" w:lineRule="exact"/>
              <w:jc w:val="center"/>
              <w:rPr>
                <w:rFonts w:hint="eastAsia" w:asciiTheme="minorEastAsia" w:hAnsiTheme="minorEastAsia" w:eastAsiaTheme="minorEastAsia" w:cstheme="minorEastAsia"/>
                <w:sz w:val="24"/>
              </w:rPr>
            </w:pPr>
          </w:p>
        </w:tc>
        <w:tc>
          <w:tcPr>
            <w:tcW w:w="1275" w:type="dxa"/>
            <w:vAlign w:val="center"/>
          </w:tcPr>
          <w:p w14:paraId="45AE4D6E">
            <w:pPr>
              <w:spacing w:line="280" w:lineRule="exact"/>
              <w:jc w:val="center"/>
              <w:rPr>
                <w:rFonts w:hint="eastAsia" w:asciiTheme="minorEastAsia" w:hAnsiTheme="minorEastAsia" w:cstheme="minorEastAsia"/>
                <w:sz w:val="24"/>
              </w:rPr>
            </w:pPr>
          </w:p>
        </w:tc>
        <w:tc>
          <w:tcPr>
            <w:tcW w:w="1134" w:type="dxa"/>
            <w:vAlign w:val="center"/>
          </w:tcPr>
          <w:p w14:paraId="4ADD54B8">
            <w:pPr>
              <w:spacing w:line="280" w:lineRule="exact"/>
              <w:jc w:val="center"/>
              <w:rPr>
                <w:rFonts w:hint="eastAsia" w:asciiTheme="minorEastAsia" w:hAnsiTheme="minorEastAsia" w:cstheme="minorEastAsia"/>
                <w:sz w:val="24"/>
              </w:rPr>
            </w:pPr>
          </w:p>
        </w:tc>
        <w:tc>
          <w:tcPr>
            <w:tcW w:w="1544" w:type="dxa"/>
            <w:vAlign w:val="center"/>
          </w:tcPr>
          <w:p w14:paraId="2807F5EE">
            <w:pPr>
              <w:spacing w:line="280" w:lineRule="exact"/>
              <w:jc w:val="center"/>
              <w:rPr>
                <w:rFonts w:hint="eastAsia" w:asciiTheme="minorEastAsia" w:hAnsiTheme="minorEastAsia" w:cstheme="minorEastAsia"/>
                <w:sz w:val="24"/>
              </w:rPr>
            </w:pPr>
            <w:r>
              <w:rPr>
                <w:rFonts w:hint="eastAsia" w:asciiTheme="minorEastAsia" w:hAnsiTheme="minorEastAsia" w:cstheme="minorEastAsia"/>
                <w:sz w:val="24"/>
              </w:rPr>
              <w:t>基准价为报价暂定价</w:t>
            </w:r>
          </w:p>
          <w:p w14:paraId="271D034D">
            <w:pPr>
              <w:spacing w:line="280" w:lineRule="exact"/>
              <w:jc w:val="center"/>
              <w:rPr>
                <w:rFonts w:hint="eastAsia" w:asciiTheme="minorEastAsia" w:hAnsiTheme="minorEastAsia" w:cstheme="minorEastAsia"/>
                <w:sz w:val="24"/>
              </w:rPr>
            </w:pPr>
          </w:p>
        </w:tc>
      </w:tr>
      <w:bookmarkEnd w:id="4"/>
      <w:tr w14:paraId="6BBA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8" w:type="dxa"/>
            <w:vAlign w:val="center"/>
          </w:tcPr>
          <w:p w14:paraId="780DAA5D">
            <w:pPr>
              <w:spacing w:line="280" w:lineRule="exact"/>
              <w:jc w:val="center"/>
              <w:rPr>
                <w:rFonts w:hint="eastAsia" w:asciiTheme="minorEastAsia" w:hAnsiTheme="minorEastAsia" w:cstheme="minorEastAsia"/>
                <w:sz w:val="24"/>
              </w:rPr>
            </w:pPr>
          </w:p>
        </w:tc>
        <w:tc>
          <w:tcPr>
            <w:tcW w:w="1198" w:type="dxa"/>
            <w:vAlign w:val="center"/>
          </w:tcPr>
          <w:p w14:paraId="4D789536">
            <w:pPr>
              <w:spacing w:line="280" w:lineRule="exact"/>
              <w:jc w:val="center"/>
              <w:rPr>
                <w:rFonts w:hint="eastAsia" w:asciiTheme="minorEastAsia" w:hAnsiTheme="minorEastAsia" w:cstheme="minorEastAsia"/>
                <w:b/>
                <w:sz w:val="24"/>
              </w:rPr>
            </w:pPr>
            <w:r>
              <w:rPr>
                <w:rFonts w:hint="eastAsia" w:asciiTheme="minorEastAsia" w:hAnsiTheme="minorEastAsia" w:cstheme="minorEastAsia"/>
                <w:b/>
                <w:sz w:val="24"/>
              </w:rPr>
              <w:t>小计</w:t>
            </w:r>
          </w:p>
        </w:tc>
        <w:tc>
          <w:tcPr>
            <w:tcW w:w="1087" w:type="dxa"/>
            <w:vAlign w:val="center"/>
          </w:tcPr>
          <w:p w14:paraId="26011A67">
            <w:pPr>
              <w:spacing w:line="280" w:lineRule="exact"/>
              <w:jc w:val="center"/>
              <w:rPr>
                <w:rFonts w:hint="eastAsia" w:asciiTheme="minorEastAsia" w:hAnsiTheme="minorEastAsia" w:cstheme="minorEastAsia"/>
                <w:b/>
                <w:sz w:val="24"/>
              </w:rPr>
            </w:pPr>
          </w:p>
        </w:tc>
        <w:tc>
          <w:tcPr>
            <w:tcW w:w="630" w:type="dxa"/>
            <w:vAlign w:val="center"/>
          </w:tcPr>
          <w:p w14:paraId="135E9678">
            <w:pPr>
              <w:spacing w:line="280" w:lineRule="exact"/>
              <w:jc w:val="center"/>
              <w:rPr>
                <w:rFonts w:hint="eastAsia" w:asciiTheme="minorEastAsia" w:hAnsiTheme="minorEastAsia" w:cstheme="minorEastAsia"/>
                <w:b/>
                <w:sz w:val="24"/>
              </w:rPr>
            </w:pPr>
          </w:p>
        </w:tc>
        <w:tc>
          <w:tcPr>
            <w:tcW w:w="667" w:type="dxa"/>
            <w:vAlign w:val="center"/>
          </w:tcPr>
          <w:p w14:paraId="2EBF4426">
            <w:pPr>
              <w:spacing w:line="280" w:lineRule="exact"/>
              <w:rPr>
                <w:rFonts w:hint="default" w:eastAsia="宋体" w:asciiTheme="minorEastAsia" w:hAnsiTheme="minorEastAsia" w:cstheme="minorEastAsia"/>
                <w:bCs/>
                <w:sz w:val="24"/>
                <w:lang w:val="en-US" w:eastAsia="zh-CN"/>
              </w:rPr>
            </w:pPr>
            <w:r>
              <w:rPr>
                <w:rFonts w:hint="eastAsia" w:asciiTheme="minorEastAsia" w:hAnsiTheme="minorEastAsia" w:cstheme="minorEastAsia"/>
                <w:bCs/>
                <w:sz w:val="24"/>
                <w:lang w:val="en-US" w:eastAsia="zh-CN"/>
              </w:rPr>
              <w:t>500</w:t>
            </w:r>
          </w:p>
        </w:tc>
        <w:tc>
          <w:tcPr>
            <w:tcW w:w="1245" w:type="dxa"/>
            <w:vAlign w:val="center"/>
          </w:tcPr>
          <w:p w14:paraId="7AA63560">
            <w:pPr>
              <w:spacing w:line="280" w:lineRule="exact"/>
              <w:jc w:val="center"/>
              <w:rPr>
                <w:rFonts w:hint="eastAsia" w:asciiTheme="minorEastAsia" w:hAnsiTheme="minorEastAsia" w:cstheme="minorEastAsia"/>
                <w:b/>
                <w:sz w:val="24"/>
              </w:rPr>
            </w:pPr>
          </w:p>
        </w:tc>
        <w:tc>
          <w:tcPr>
            <w:tcW w:w="1209" w:type="dxa"/>
            <w:vAlign w:val="center"/>
          </w:tcPr>
          <w:p w14:paraId="555AA054">
            <w:pPr>
              <w:spacing w:line="280" w:lineRule="exact"/>
              <w:jc w:val="center"/>
              <w:rPr>
                <w:rFonts w:hint="eastAsia" w:asciiTheme="minorEastAsia" w:hAnsiTheme="minorEastAsia" w:cstheme="minorEastAsia"/>
                <w:b/>
                <w:sz w:val="24"/>
              </w:rPr>
            </w:pPr>
          </w:p>
        </w:tc>
        <w:tc>
          <w:tcPr>
            <w:tcW w:w="1275" w:type="dxa"/>
            <w:vAlign w:val="center"/>
          </w:tcPr>
          <w:p w14:paraId="10C5AB7B">
            <w:pPr>
              <w:spacing w:line="280" w:lineRule="exact"/>
              <w:jc w:val="center"/>
              <w:rPr>
                <w:rFonts w:hint="eastAsia" w:asciiTheme="minorEastAsia" w:hAnsiTheme="minorEastAsia" w:cstheme="minorEastAsia"/>
                <w:b/>
                <w:sz w:val="24"/>
              </w:rPr>
            </w:pPr>
          </w:p>
        </w:tc>
        <w:tc>
          <w:tcPr>
            <w:tcW w:w="1134" w:type="dxa"/>
            <w:vAlign w:val="center"/>
          </w:tcPr>
          <w:p w14:paraId="0A5055EB">
            <w:pPr>
              <w:spacing w:line="280" w:lineRule="exact"/>
              <w:jc w:val="center"/>
              <w:rPr>
                <w:rFonts w:hint="eastAsia" w:asciiTheme="minorEastAsia" w:hAnsiTheme="minorEastAsia" w:cstheme="minorEastAsia"/>
                <w:b/>
                <w:sz w:val="24"/>
              </w:rPr>
            </w:pPr>
          </w:p>
        </w:tc>
        <w:tc>
          <w:tcPr>
            <w:tcW w:w="1544" w:type="dxa"/>
            <w:vAlign w:val="center"/>
          </w:tcPr>
          <w:p w14:paraId="46FCCFBE">
            <w:pPr>
              <w:spacing w:line="280" w:lineRule="exact"/>
              <w:jc w:val="center"/>
              <w:rPr>
                <w:rFonts w:hint="eastAsia" w:asciiTheme="minorEastAsia" w:hAnsiTheme="minorEastAsia" w:cstheme="minorEastAsia"/>
                <w:b/>
                <w:sz w:val="24"/>
              </w:rPr>
            </w:pPr>
          </w:p>
        </w:tc>
      </w:tr>
    </w:tbl>
    <w:p w14:paraId="6F045191">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2.废旧</w:t>
      </w:r>
    </w:p>
    <w:p w14:paraId="3B82D8E4">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2.1基准价：</w:t>
      </w:r>
      <w:r>
        <w:rPr>
          <w:rFonts w:hint="eastAsia" w:ascii="宋体" w:hAnsi="宋体" w:eastAsia="宋体" w:cs="宋体"/>
          <w:sz w:val="24"/>
          <w:szCs w:val="24"/>
          <w:lang w:eastAsia="zh-CN"/>
        </w:rPr>
        <w:t>基准价为处理</w:t>
      </w:r>
      <w:r>
        <w:rPr>
          <w:rFonts w:hint="eastAsia" w:ascii="宋体" w:hAnsi="宋体" w:cs="宋体"/>
          <w:sz w:val="24"/>
          <w:szCs w:val="24"/>
          <w:lang w:val="en-US" w:eastAsia="zh-CN"/>
        </w:rPr>
        <w:t>前一</w:t>
      </w:r>
      <w:r>
        <w:rPr>
          <w:rFonts w:hint="eastAsia" w:ascii="宋体" w:hAnsi="宋体" w:eastAsia="宋体" w:cs="宋体"/>
          <w:sz w:val="24"/>
          <w:szCs w:val="24"/>
          <w:lang w:eastAsia="zh-CN"/>
        </w:rPr>
        <w:t>日</w:t>
      </w:r>
      <w:r>
        <w:rPr>
          <w:rFonts w:hint="eastAsia" w:ascii="宋体" w:hAnsi="宋体" w:cs="宋体"/>
          <w:sz w:val="24"/>
          <w:szCs w:val="24"/>
          <w:lang w:val="en-US" w:eastAsia="zh-CN"/>
        </w:rPr>
        <w:t>成都</w:t>
      </w:r>
      <w:r>
        <w:rPr>
          <w:rFonts w:hint="eastAsia" w:ascii="宋体" w:hAnsi="宋体" w:eastAsia="宋体" w:cs="宋体"/>
          <w:sz w:val="24"/>
          <w:szCs w:val="24"/>
          <w:lang w:eastAsia="zh-CN"/>
        </w:rPr>
        <w:t>市场对应《我的钢铁网》上面市场公布</w:t>
      </w:r>
      <w:r>
        <w:rPr>
          <w:rFonts w:hint="eastAsia" w:ascii="宋体" w:hAnsi="宋体" w:cs="宋体"/>
          <w:sz w:val="24"/>
          <w:szCs w:val="24"/>
          <w:lang w:val="en-US" w:eastAsia="zh-CN"/>
        </w:rPr>
        <w:t>的废钢（重废，厚度≥6mm）中间价为不含税价</w:t>
      </w:r>
      <w:r>
        <w:rPr>
          <w:rFonts w:hint="eastAsia" w:ascii="宋体" w:hAnsi="宋体" w:eastAsia="宋体" w:cs="宋体"/>
          <w:sz w:val="24"/>
          <w:szCs w:val="24"/>
          <w:lang w:eastAsia="zh-CN"/>
        </w:rPr>
        <w:t>，</w:t>
      </w:r>
      <w:r>
        <w:rPr>
          <w:rFonts w:hint="eastAsia" w:ascii="宋体" w:hAnsi="宋体" w:cs="宋体"/>
          <w:sz w:val="24"/>
          <w:szCs w:val="24"/>
          <w:lang w:val="en-US" w:eastAsia="zh-CN"/>
        </w:rPr>
        <w:t>如遇节假日未公布则按前一工作日发布的价格计算，若一日内公布多个价格以第一次发布</w:t>
      </w:r>
      <w:r>
        <w:rPr>
          <w:rFonts w:hint="eastAsia" w:asciiTheme="minorEastAsia" w:hAnsiTheme="minorEastAsia" w:cstheme="minorEastAsia"/>
          <w:sz w:val="24"/>
        </w:rPr>
        <w:t>物资的结算单价由基准价和综合</w:t>
      </w:r>
      <w:r>
        <w:rPr>
          <w:rFonts w:hint="eastAsia" w:asciiTheme="minorEastAsia" w:hAnsiTheme="minorEastAsia" w:cstheme="minorEastAsia"/>
          <w:sz w:val="24"/>
          <w:lang w:val="en-US" w:eastAsia="zh-CN"/>
        </w:rPr>
        <w:t>费用</w:t>
      </w:r>
      <w:r>
        <w:rPr>
          <w:rFonts w:hint="eastAsia" w:asciiTheme="minorEastAsia" w:hAnsiTheme="minorEastAsia" w:cstheme="minorEastAsia"/>
          <w:sz w:val="24"/>
        </w:rPr>
        <w:t>组成。即结算单价=</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基准价</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综合单价</w:t>
      </w:r>
      <w:r>
        <w:rPr>
          <w:rFonts w:hint="eastAsia" w:asciiTheme="minorEastAsia" w:hAnsiTheme="minorEastAsia" w:cstheme="minorEastAsia"/>
          <w:sz w:val="24"/>
          <w:lang w:val="en-US" w:eastAsia="zh-CN"/>
        </w:rPr>
        <w:t>)*(1+增值税率）</w:t>
      </w:r>
      <w:r>
        <w:rPr>
          <w:rFonts w:hint="eastAsia" w:asciiTheme="minorEastAsia" w:hAnsiTheme="minorEastAsia" w:cstheme="minorEastAsia"/>
          <w:sz w:val="24"/>
        </w:rPr>
        <w:t>。基准价实行浮动单价结算，综合单价为固定价不做调整。结算单价包含装卸车费、运输费、拆解费等处理过程中所发生的一切费用及买受方的利润。</w:t>
      </w:r>
    </w:p>
    <w:p w14:paraId="2AC3C9C3">
      <w:pPr>
        <w:keepNext w:val="0"/>
        <w:keepLines w:val="0"/>
        <w:pageBreakBefore w:val="0"/>
        <w:numPr>
          <w:ilvl w:val="0"/>
          <w:numId w:val="0"/>
        </w:numPr>
        <w:kinsoku/>
        <w:wordWrap/>
        <w:overflowPunct/>
        <w:topLinePunct w:val="0"/>
        <w:bidi w:val="0"/>
        <w:spacing w:line="44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为便于报价本次</w:t>
      </w:r>
      <w:r>
        <w:rPr>
          <w:rFonts w:hint="eastAsia" w:ascii="宋体" w:hAnsi="宋体"/>
          <w:color w:val="000000"/>
          <w:kern w:val="0"/>
          <w:sz w:val="24"/>
          <w:lang w:val="en-US" w:eastAsia="zh-CN"/>
        </w:rPr>
        <w:t>废旧型材、钢模板、边角料</w:t>
      </w:r>
      <w:r>
        <w:rPr>
          <w:rFonts w:hint="eastAsia" w:ascii="宋体" w:hAnsi="宋体" w:eastAsia="宋体" w:cs="宋体"/>
          <w:sz w:val="24"/>
          <w:szCs w:val="24"/>
          <w:lang w:eastAsia="zh-CN"/>
        </w:rPr>
        <w:t>基准价统一设定为</w:t>
      </w:r>
      <w:r>
        <w:rPr>
          <w:rFonts w:hint="eastAsia" w:ascii="宋体" w:hAnsi="宋体" w:cs="宋体"/>
          <w:sz w:val="24"/>
          <w:szCs w:val="24"/>
          <w:lang w:val="en-US" w:eastAsia="zh-CN"/>
        </w:rPr>
        <w:t>2150</w:t>
      </w:r>
      <w:r>
        <w:rPr>
          <w:rFonts w:hint="eastAsia" w:ascii="宋体" w:hAnsi="宋体" w:eastAsia="宋体" w:cs="宋体"/>
          <w:sz w:val="24"/>
          <w:szCs w:val="24"/>
          <w:lang w:eastAsia="zh-CN"/>
        </w:rPr>
        <w:t>元/吨。</w:t>
      </w:r>
    </w:p>
    <w:p w14:paraId="35DE45FC">
      <w:pPr>
        <w:spacing w:line="500" w:lineRule="exact"/>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rPr>
        <w:t>2.2综合</w:t>
      </w:r>
      <w:r>
        <w:rPr>
          <w:rFonts w:hint="eastAsia" w:asciiTheme="minorEastAsia" w:hAnsiTheme="minorEastAsia" w:cstheme="minorEastAsia"/>
          <w:sz w:val="24"/>
          <w:lang w:val="en-US" w:eastAsia="zh-CN"/>
        </w:rPr>
        <w:t>费用</w:t>
      </w:r>
      <w:r>
        <w:rPr>
          <w:rFonts w:hint="eastAsia" w:asciiTheme="minorEastAsia" w:hAnsiTheme="minorEastAsia" w:cstheme="minorEastAsia"/>
          <w:sz w:val="24"/>
        </w:rPr>
        <w:t>：综合</w:t>
      </w:r>
      <w:r>
        <w:rPr>
          <w:rFonts w:hint="eastAsia" w:asciiTheme="minorEastAsia" w:hAnsiTheme="minorEastAsia" w:cstheme="minorEastAsia"/>
          <w:sz w:val="24"/>
          <w:lang w:val="en-US" w:eastAsia="zh-CN"/>
        </w:rPr>
        <w:t>费用</w:t>
      </w:r>
      <w:r>
        <w:rPr>
          <w:rFonts w:hint="eastAsia" w:asciiTheme="minorEastAsia" w:hAnsiTheme="minorEastAsia" w:cstheme="minorEastAsia"/>
          <w:sz w:val="24"/>
        </w:rPr>
        <w:t>为</w:t>
      </w:r>
      <w:r>
        <w:rPr>
          <w:rFonts w:hint="eastAsia" w:asciiTheme="minorEastAsia" w:hAnsiTheme="minorEastAsia" w:cstheme="minorEastAsia"/>
          <w:sz w:val="24"/>
          <w:lang w:val="en-US" w:eastAsia="zh-CN"/>
        </w:rPr>
        <w:t>不含税单价，可以为负值，本费用包含在甲方项目场地内外</w:t>
      </w:r>
      <w:r>
        <w:rPr>
          <w:rFonts w:hint="eastAsia" w:ascii="宋体" w:hAnsi="宋体"/>
          <w:color w:val="000000"/>
          <w:kern w:val="0"/>
          <w:sz w:val="24"/>
          <w:lang w:val="en-US" w:eastAsia="zh-CN"/>
        </w:rPr>
        <w:t>废钢模板、型钢（挂篮杆件）</w:t>
      </w:r>
      <w:r>
        <w:rPr>
          <w:rFonts w:hint="eastAsia" w:asciiTheme="minorEastAsia" w:hAnsiTheme="minorEastAsia" w:cstheme="minorEastAsia"/>
          <w:sz w:val="24"/>
          <w:lang w:val="en-US" w:eastAsia="zh-CN"/>
        </w:rPr>
        <w:t>等其他废旧物资的解体、切割、装车、运输、人工、利润等一切费用。</w:t>
      </w:r>
    </w:p>
    <w:p w14:paraId="04A4E9CD">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3.本合同数量为暂定数量，结算时以实际过磅签认数量为准，乙方不得依合同数量与实际签收数量有差距而起诉甲方或向甲方索赔。</w:t>
      </w:r>
    </w:p>
    <w:p w14:paraId="45AA0290">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4.结算完成后，双方确认无误由卖方财务开具增值税专用发票，税率13%</w:t>
      </w:r>
      <w:r>
        <w:rPr>
          <w:rFonts w:hint="eastAsia" w:ascii="宋体" w:hAnsi="宋体"/>
          <w:sz w:val="24"/>
        </w:rPr>
        <w:t>（税率根据实际税收政策调整）</w:t>
      </w:r>
      <w:r>
        <w:rPr>
          <w:rFonts w:hint="eastAsia" w:asciiTheme="minorEastAsia" w:hAnsiTheme="minorEastAsia" w:cstheme="minorEastAsia"/>
          <w:sz w:val="24"/>
        </w:rPr>
        <w:t>。</w:t>
      </w:r>
    </w:p>
    <w:p w14:paraId="263124C8">
      <w:pPr>
        <w:spacing w:line="500" w:lineRule="exact"/>
        <w:ind w:firstLine="482" w:firstLineChars="200"/>
        <w:rPr>
          <w:rFonts w:hint="eastAsia" w:asciiTheme="minorEastAsia" w:hAnsiTheme="minorEastAsia" w:cstheme="minorEastAsia"/>
          <w:b/>
          <w:sz w:val="24"/>
        </w:rPr>
      </w:pPr>
      <w:r>
        <w:rPr>
          <w:rFonts w:hint="eastAsia" w:asciiTheme="minorEastAsia" w:hAnsiTheme="minorEastAsia" w:cstheme="minorEastAsia"/>
          <w:b/>
          <w:sz w:val="24"/>
        </w:rPr>
        <w:t>四、履约承诺</w:t>
      </w:r>
    </w:p>
    <w:p w14:paraId="465CD7A9">
      <w:pPr>
        <w:pStyle w:val="5"/>
        <w:tabs>
          <w:tab w:val="left" w:pos="709"/>
        </w:tabs>
        <w:spacing w:line="500" w:lineRule="exact"/>
        <w:ind w:firstLine="480"/>
        <w:rPr>
          <w:rFonts w:hint="eastAsia" w:ascii="宋体" w:hAnsi="宋体"/>
          <w:sz w:val="24"/>
          <w:szCs w:val="24"/>
        </w:rPr>
      </w:pPr>
      <w:r>
        <w:rPr>
          <w:rFonts w:hint="eastAsia" w:asciiTheme="minorEastAsia" w:hAnsiTheme="minorEastAsia" w:cstheme="minorEastAsia"/>
          <w:sz w:val="24"/>
          <w:szCs w:val="24"/>
        </w:rPr>
        <w:t>1.签订合同后3日内，乙方向甲方缴纳履约保证金（拟处理废旧物资预估金额的10%），合同履行完毕后无息退还。</w:t>
      </w:r>
    </w:p>
    <w:p w14:paraId="72CA416A">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2.乙方对甲方现场废钢材实物了解并认真考虑，自主自愿报价购买甲方工地所有废钢材，不会反悔，否则自愿放弃回收履约保证金。</w:t>
      </w:r>
    </w:p>
    <w:p w14:paraId="543C633D">
      <w:pPr>
        <w:snapToGrid w:val="0"/>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3.废旧钢材需在装运前进行拆解的，乙方应按照有关规定进行拆解处理，并承担相关费用。</w:t>
      </w:r>
    </w:p>
    <w:p w14:paraId="2BB7EC02">
      <w:pPr>
        <w:snapToGrid w:val="0"/>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甲方不负责边角余料及废旧钢材的包装。必要时，乙方可在装运前对待处理废旧料进行适当包装，以满足运输、储存和保管的需要，因未进行包装或包装不当造成环境污染、边角余料及废旧钢材损毁、丢失或给第三方造成损失、损害的，乙方自行承担相关责任。</w:t>
      </w:r>
    </w:p>
    <w:p w14:paraId="49E5E231">
      <w:pPr>
        <w:snapToGrid w:val="0"/>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5.乙方在装车过程中遵守以下条件：装运的材料必须是处理单位指定处理的废钢材，装车不得装载其他可利用的材料，若发现装有非指定材料，按材料原价的10倍罚款，情节严重的扣留车辆并送司法部门处理。</w:t>
      </w:r>
    </w:p>
    <w:p w14:paraId="132346FF">
      <w:pPr>
        <w:snapToGrid w:val="0"/>
        <w:spacing w:line="50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sz w:val="24"/>
        </w:rPr>
        <w:t>6.</w:t>
      </w:r>
      <w:r>
        <w:rPr>
          <w:rFonts w:hint="eastAsia" w:asciiTheme="minorEastAsia" w:hAnsiTheme="minorEastAsia" w:cstheme="minorEastAsia"/>
          <w:color w:val="000000" w:themeColor="text1"/>
          <w:sz w:val="24"/>
          <w14:textFill>
            <w14:solidFill>
              <w14:schemeClr w14:val="tx1"/>
            </w14:solidFill>
          </w14:textFill>
        </w:rPr>
        <w:t>废旧钢材装运期间，</w:t>
      </w:r>
      <w:r>
        <w:rPr>
          <w:rFonts w:hint="eastAsia" w:asciiTheme="minorEastAsia" w:hAnsiTheme="minorEastAsia" w:cstheme="minorEastAsia"/>
          <w:sz w:val="24"/>
        </w:rPr>
        <w:t>乙方人员应遵守甲方的安全规则及要求，做好安全措施。乙方人员应在指定工作范围内工作，不得影响甲方的正常生产活动。如因乙方原因发生安全事故导致甲方遭受损失的，乙方应负责赔偿。</w:t>
      </w:r>
    </w:p>
    <w:p w14:paraId="4B676C45">
      <w:pPr>
        <w:snapToGrid w:val="0"/>
        <w:spacing w:line="50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7.乙方应做到文明装运，避免造成环境污染，每次装运结束后做好边角余料及其他废旧钢材堆放现场的清理工作。</w:t>
      </w:r>
    </w:p>
    <w:p w14:paraId="59B15F6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8.乙方在废钢材运输过程中出现的一切安全、违章、路政交警检查等产生的问题均与甲方无关。</w:t>
      </w:r>
    </w:p>
    <w:p w14:paraId="04A6693C">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9.废旧钢材回收过程中，乙方必须遵守以下承诺，若有违反，一经发现，并经甲方核实无误后，甲方有权扣除乙方的履约保证金，并立即取消乙方的回收资格。</w:t>
      </w:r>
    </w:p>
    <w:p w14:paraId="7F1FE2B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（1）乙方在成交有效期内服从甲方通知，</w:t>
      </w:r>
      <w:r>
        <w:rPr>
          <w:rFonts w:hint="eastAsia" w:asciiTheme="minorEastAsia" w:hAnsiTheme="minorEastAsia" w:cstheme="minorEastAsia"/>
          <w:b/>
          <w:sz w:val="24"/>
        </w:rPr>
        <w:t>两天之内</w:t>
      </w:r>
      <w:r>
        <w:rPr>
          <w:rFonts w:hint="eastAsia" w:asciiTheme="minorEastAsia" w:hAnsiTheme="minorEastAsia" w:cstheme="minorEastAsia"/>
          <w:sz w:val="24"/>
        </w:rPr>
        <w:t>到工地装运废钢材，不得故意拖延或以任何理由降低回收单价，如有类似情况发生，扣除5000元/次（天气、政府等不可抗力原因造成的延误除外）。</w:t>
      </w:r>
    </w:p>
    <w:p w14:paraId="054937A3">
      <w:pPr>
        <w:snapToGrid w:val="0"/>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乙方到甲方工地装运废旧钢材的车辆和人员必须无条件接受甲方的检查与监督，并遵从甲方工地现场管理人员的指挥安排，不得影响工地正常施工，乙方的车辆及人员在工地内外的一切安全问题，均由乙方负全责，甲方不承担任何责任。</w:t>
      </w:r>
    </w:p>
    <w:p w14:paraId="64E821AF">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（3）废旧钢材必须在甲方指定的地点过磅，不得在甲方规定的地点以外的地点过磅。</w:t>
      </w:r>
    </w:p>
    <w:p w14:paraId="38611CA1">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（4）乙方不得弄虚作假，在运输车辆、称重计量器具上作弊，不得向甲方相关人员行贿等违法违纪行为，甲方如有发现，取消其回收资格。</w:t>
      </w:r>
    </w:p>
    <w:p w14:paraId="00940F1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（5）甲方现场管理人员在处理废旧钢材的过程中将积极配合乙方完成装运过磅、单据签认等工作，保障工地内道路畅通。</w:t>
      </w:r>
    </w:p>
    <w:p w14:paraId="4B141E47">
      <w:pPr>
        <w:spacing w:line="50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（6）每次现场处理前，双方预估处理数量，乙方按照回收单价全额预缴回收款，最终处理完成后，多缴部分甲方足额退还给乙方。</w:t>
      </w:r>
    </w:p>
    <w:p w14:paraId="5DDA6EB9">
      <w:pPr>
        <w:spacing w:line="500" w:lineRule="exact"/>
        <w:ind w:firstLine="482" w:firstLineChars="200"/>
        <w:rPr>
          <w:rFonts w:hint="eastAsia" w:asciiTheme="minorEastAsia" w:hAnsiTheme="minorEastAsia" w:cstheme="minorEastAsia"/>
          <w:b/>
          <w:sz w:val="24"/>
        </w:rPr>
      </w:pPr>
      <w:r>
        <w:rPr>
          <w:rFonts w:hint="eastAsia" w:asciiTheme="minorEastAsia" w:hAnsiTheme="minorEastAsia" w:cstheme="minorEastAsia"/>
          <w:b/>
          <w:sz w:val="24"/>
        </w:rPr>
        <w:t>五、废钢材处理结算单价计算方法</w:t>
      </w:r>
    </w:p>
    <w:p w14:paraId="1FD687D9">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1.乙方接到甲方通知后，在甲方要求时间内到现场进行装车、过磅处理，废旧钢材处理价格</w:t>
      </w:r>
      <w:r>
        <w:rPr>
          <w:rFonts w:hint="eastAsia" w:asciiTheme="minorEastAsia" w:hAnsiTheme="minorEastAsia" w:cstheme="minorEastAsia"/>
          <w:b/>
          <w:sz w:val="24"/>
        </w:rPr>
        <w:t>以装车日价格</w:t>
      </w:r>
      <w:r>
        <w:rPr>
          <w:rFonts w:hint="eastAsia" w:asciiTheme="minorEastAsia" w:hAnsiTheme="minorEastAsia" w:cstheme="minorEastAsia"/>
          <w:sz w:val="24"/>
        </w:rPr>
        <w:t>进行结算，结算金额可四舍五入至元，废钢材处理款项由处理单位财务部收取。</w:t>
      </w:r>
    </w:p>
    <w:p w14:paraId="0426651B">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2.废钢材处理</w:t>
      </w:r>
      <w:r>
        <w:rPr>
          <w:rFonts w:hint="eastAsia" w:asciiTheme="minorEastAsia" w:hAnsiTheme="minorEastAsia" w:cstheme="minorEastAsia"/>
          <w:b/>
          <w:sz w:val="24"/>
        </w:rPr>
        <w:t>定价原则</w:t>
      </w:r>
      <w:r>
        <w:rPr>
          <w:rFonts w:hint="eastAsia" w:asciiTheme="minorEastAsia" w:hAnsiTheme="minorEastAsia" w:cstheme="minorEastAsia"/>
          <w:sz w:val="24"/>
        </w:rPr>
        <w:t>：</w:t>
      </w:r>
    </w:p>
    <w:p w14:paraId="5001650B">
      <w:pPr>
        <w:spacing w:line="500" w:lineRule="exact"/>
        <w:ind w:firstLine="480" w:firstLineChars="200"/>
        <w:rPr>
          <w:rFonts w:hint="eastAsia" w:asciiTheme="minorEastAsia" w:hAnsiTheme="minorEastAsia" w:cstheme="minorEastAsia"/>
          <w:bCs/>
          <w:sz w:val="24"/>
        </w:rPr>
      </w:pPr>
      <w:bookmarkStart w:id="5" w:name="_Hlk17444096"/>
      <w:r>
        <w:rPr>
          <w:rFonts w:hint="eastAsia" w:asciiTheme="minorEastAsia" w:hAnsiTheme="minorEastAsia" w:cstheme="minorEastAsia"/>
          <w:bCs/>
          <w:sz w:val="24"/>
        </w:rPr>
        <w:t>废旧物资出售价格实行浮动单价结算。</w:t>
      </w:r>
    </w:p>
    <w:p w14:paraId="64A6C012">
      <w:pPr>
        <w:keepNext w:val="0"/>
        <w:keepLines w:val="0"/>
        <w:pageBreakBefore w:val="0"/>
        <w:numPr>
          <w:ilvl w:val="0"/>
          <w:numId w:val="0"/>
        </w:numPr>
        <w:kinsoku/>
        <w:wordWrap/>
        <w:overflowPunct/>
        <w:topLinePunct w:val="0"/>
        <w:bidi w:val="0"/>
        <w:spacing w:line="440" w:lineRule="exact"/>
        <w:ind w:firstLine="480" w:firstLineChars="200"/>
        <w:textAlignment w:val="auto"/>
        <w:outlineLvl w:val="9"/>
        <w:rPr>
          <w:rFonts w:hint="default" w:asciiTheme="minorEastAsia" w:hAnsiTheme="minorEastAsia" w:cstheme="minorEastAsia"/>
          <w:bCs/>
          <w:color w:val="FF0000"/>
          <w:sz w:val="24"/>
          <w:lang w:val="en-US"/>
        </w:rPr>
      </w:pPr>
      <w:r>
        <w:rPr>
          <w:rFonts w:hint="eastAsia" w:asciiTheme="minorEastAsia" w:hAnsiTheme="minorEastAsia" w:cstheme="minorEastAsia"/>
          <w:bCs/>
          <w:sz w:val="24"/>
        </w:rPr>
        <w:t>（1）基准价：</w:t>
      </w:r>
      <w:r>
        <w:rPr>
          <w:rFonts w:hint="eastAsia" w:ascii="宋体" w:hAnsi="宋体" w:eastAsia="宋体" w:cs="宋体"/>
          <w:sz w:val="24"/>
          <w:szCs w:val="24"/>
          <w:lang w:eastAsia="zh-CN"/>
        </w:rPr>
        <w:t>基准价为处理</w:t>
      </w:r>
      <w:r>
        <w:rPr>
          <w:rFonts w:hint="eastAsia" w:ascii="宋体" w:hAnsi="宋体" w:cs="宋体"/>
          <w:sz w:val="24"/>
          <w:szCs w:val="24"/>
          <w:lang w:val="en-US" w:eastAsia="zh-CN"/>
        </w:rPr>
        <w:t>前一</w:t>
      </w:r>
      <w:r>
        <w:rPr>
          <w:rFonts w:hint="eastAsia" w:ascii="宋体" w:hAnsi="宋体" w:eastAsia="宋体" w:cs="宋体"/>
          <w:sz w:val="24"/>
          <w:szCs w:val="24"/>
          <w:lang w:eastAsia="zh-CN"/>
        </w:rPr>
        <w:t>日</w:t>
      </w:r>
      <w:r>
        <w:rPr>
          <w:rFonts w:hint="eastAsia" w:ascii="宋体" w:hAnsi="宋体" w:cs="宋体"/>
          <w:sz w:val="24"/>
          <w:szCs w:val="24"/>
          <w:lang w:val="en-US" w:eastAsia="zh-CN"/>
        </w:rPr>
        <w:t>成都</w:t>
      </w:r>
      <w:r>
        <w:rPr>
          <w:rFonts w:hint="eastAsia" w:ascii="宋体" w:hAnsi="宋体" w:eastAsia="宋体" w:cs="宋体"/>
          <w:sz w:val="24"/>
          <w:szCs w:val="24"/>
          <w:lang w:eastAsia="zh-CN"/>
        </w:rPr>
        <w:t>市场对应《我的钢铁网》上面市场公布</w:t>
      </w:r>
      <w:r>
        <w:rPr>
          <w:rFonts w:hint="eastAsia" w:ascii="宋体" w:hAnsi="宋体" w:cs="宋体"/>
          <w:sz w:val="24"/>
          <w:szCs w:val="24"/>
          <w:lang w:val="en-US" w:eastAsia="zh-CN"/>
        </w:rPr>
        <w:t>的废钢（重废，厚度≥6mm）中间价为不含税价</w:t>
      </w:r>
      <w:r>
        <w:rPr>
          <w:rFonts w:hint="eastAsia" w:ascii="宋体" w:hAnsi="宋体" w:eastAsia="宋体" w:cs="宋体"/>
          <w:sz w:val="24"/>
          <w:szCs w:val="24"/>
          <w:lang w:eastAsia="zh-CN"/>
        </w:rPr>
        <w:t>，</w:t>
      </w:r>
      <w:r>
        <w:rPr>
          <w:rFonts w:hint="eastAsia" w:ascii="宋体" w:hAnsi="宋体" w:cs="宋体"/>
          <w:sz w:val="24"/>
          <w:szCs w:val="24"/>
          <w:lang w:val="en-US" w:eastAsia="zh-CN"/>
        </w:rPr>
        <w:t>如遇节假日未公布则按前一工作日发布的价格计算，若一日内公布多个价格以第一次发布的价格为准。</w:t>
      </w:r>
      <w:r>
        <w:rPr>
          <w:rFonts w:hint="eastAsia" w:ascii="宋体" w:hAnsi="宋体" w:eastAsia="宋体" w:cs="宋体"/>
          <w:sz w:val="24"/>
          <w:szCs w:val="24"/>
          <w:lang w:eastAsia="zh-CN"/>
        </w:rPr>
        <w:t>为便于报价本次</w:t>
      </w:r>
      <w:r>
        <w:rPr>
          <w:rFonts w:hint="eastAsia" w:ascii="宋体" w:hAnsi="宋体"/>
          <w:color w:val="000000"/>
          <w:kern w:val="0"/>
          <w:sz w:val="24"/>
          <w:lang w:val="en-US" w:eastAsia="zh-CN"/>
        </w:rPr>
        <w:t>废钢筋及废钢板料、废钢材</w:t>
      </w:r>
      <w:r>
        <w:rPr>
          <w:rFonts w:hint="eastAsia" w:ascii="宋体" w:hAnsi="宋体" w:eastAsia="宋体" w:cs="宋体"/>
          <w:sz w:val="24"/>
          <w:szCs w:val="24"/>
          <w:lang w:eastAsia="zh-CN"/>
        </w:rPr>
        <w:t>基准价统一设定为</w:t>
      </w:r>
      <w:r>
        <w:rPr>
          <w:rFonts w:hint="eastAsia" w:ascii="宋体" w:hAnsi="宋体" w:cs="宋体"/>
          <w:sz w:val="24"/>
          <w:szCs w:val="24"/>
          <w:lang w:val="en-US" w:eastAsia="zh-CN"/>
        </w:rPr>
        <w:t>2150</w:t>
      </w:r>
      <w:r>
        <w:rPr>
          <w:rFonts w:hint="eastAsia" w:ascii="宋体" w:hAnsi="宋体" w:eastAsia="宋体" w:cs="宋体"/>
          <w:sz w:val="24"/>
          <w:szCs w:val="24"/>
          <w:lang w:eastAsia="zh-CN"/>
        </w:rPr>
        <w:t>元/吨</w:t>
      </w:r>
      <w:r>
        <w:rPr>
          <w:rFonts w:hint="eastAsia" w:ascii="宋体" w:hAnsi="宋体" w:cs="宋体"/>
          <w:sz w:val="24"/>
          <w:szCs w:val="24"/>
          <w:lang w:val="en-US" w:eastAsia="zh-CN"/>
        </w:rPr>
        <w:t>.</w:t>
      </w:r>
    </w:p>
    <w:p w14:paraId="4D108F97">
      <w:pPr>
        <w:spacing w:line="500" w:lineRule="exact"/>
        <w:ind w:firstLine="480" w:firstLineChars="200"/>
        <w:rPr>
          <w:rFonts w:hint="default" w:asciiTheme="minorEastAsia" w:hAnsiTheme="minorEastAsia" w:cstheme="minorEastAsia"/>
          <w:bCs/>
          <w:sz w:val="24"/>
          <w:lang w:val="en-US"/>
        </w:rPr>
      </w:pPr>
      <w:r>
        <w:rPr>
          <w:rFonts w:hint="eastAsia" w:asciiTheme="minorEastAsia" w:hAnsiTheme="minorEastAsia" w:cstheme="minorEastAsia"/>
          <w:bCs/>
          <w:sz w:val="24"/>
        </w:rPr>
        <w:t>（2）</w:t>
      </w:r>
      <w:r>
        <w:rPr>
          <w:rFonts w:hint="eastAsia" w:asciiTheme="minorEastAsia" w:hAnsiTheme="minorEastAsia" w:cstheme="minorEastAsia"/>
          <w:sz w:val="24"/>
        </w:rPr>
        <w:t>综合</w:t>
      </w:r>
      <w:r>
        <w:rPr>
          <w:rFonts w:hint="eastAsia" w:asciiTheme="minorEastAsia" w:hAnsiTheme="minorEastAsia" w:cstheme="minorEastAsia"/>
          <w:sz w:val="24"/>
          <w:lang w:val="en-US" w:eastAsia="zh-CN"/>
        </w:rPr>
        <w:t>费用</w:t>
      </w:r>
      <w:r>
        <w:rPr>
          <w:rFonts w:hint="eastAsia" w:asciiTheme="minorEastAsia" w:hAnsiTheme="minorEastAsia" w:cstheme="minorEastAsia"/>
          <w:sz w:val="24"/>
        </w:rPr>
        <w:t>：综合</w:t>
      </w:r>
      <w:r>
        <w:rPr>
          <w:rFonts w:hint="eastAsia" w:asciiTheme="minorEastAsia" w:hAnsiTheme="minorEastAsia" w:cstheme="minorEastAsia"/>
          <w:sz w:val="24"/>
          <w:lang w:val="en-US" w:eastAsia="zh-CN"/>
        </w:rPr>
        <w:t>费用</w:t>
      </w:r>
      <w:r>
        <w:rPr>
          <w:rFonts w:hint="eastAsia" w:asciiTheme="minorEastAsia" w:hAnsiTheme="minorEastAsia" w:cstheme="minorEastAsia"/>
          <w:sz w:val="24"/>
        </w:rPr>
        <w:t>为</w:t>
      </w:r>
      <w:r>
        <w:rPr>
          <w:rFonts w:hint="eastAsia" w:asciiTheme="minorEastAsia" w:hAnsiTheme="minorEastAsia" w:cstheme="minorEastAsia"/>
          <w:sz w:val="24"/>
          <w:lang w:val="en-US" w:eastAsia="zh-CN"/>
        </w:rPr>
        <w:t>不含税单价，可以为负值，本费用包含在甲方项目场地内外</w:t>
      </w:r>
      <w:r>
        <w:rPr>
          <w:rFonts w:hint="eastAsia" w:ascii="宋体" w:hAnsi="宋体"/>
          <w:color w:val="000000"/>
          <w:kern w:val="0"/>
          <w:sz w:val="24"/>
          <w:lang w:val="en-US" w:eastAsia="zh-CN"/>
        </w:rPr>
        <w:t>废旧型材、钢模板、边角料</w:t>
      </w:r>
      <w:r>
        <w:rPr>
          <w:rFonts w:hint="eastAsia" w:asciiTheme="minorEastAsia" w:hAnsiTheme="minorEastAsia" w:cstheme="minorEastAsia"/>
          <w:sz w:val="24"/>
          <w:lang w:val="en-US" w:eastAsia="zh-CN"/>
        </w:rPr>
        <w:t>等其他废旧物资的解体、切割、装车、运输、人工、利润等一切费用。在合同履行期间不作调整。</w:t>
      </w:r>
    </w:p>
    <w:p w14:paraId="0F61769D">
      <w:pPr>
        <w:spacing w:line="500" w:lineRule="exact"/>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（3）单价调整方法：结算单价=</w:t>
      </w:r>
      <w:r>
        <w:rPr>
          <w:rFonts w:hint="eastAsia" w:asciiTheme="minorEastAsia" w:hAnsiTheme="minorEastAsia" w:cstheme="minorEastAsia"/>
          <w:sz w:val="24"/>
        </w:rPr>
        <w:t>基准价</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综合单价。</w:t>
      </w:r>
    </w:p>
    <w:bookmarkEnd w:id="5"/>
    <w:p w14:paraId="0AF6B836">
      <w:pPr>
        <w:spacing w:line="500" w:lineRule="exact"/>
        <w:ind w:firstLine="482" w:firstLineChars="200"/>
        <w:rPr>
          <w:rFonts w:hint="eastAsia" w:asciiTheme="minorEastAsia" w:hAnsiTheme="minorEastAsia" w:cstheme="minorEastAsia"/>
          <w:b/>
          <w:sz w:val="24"/>
        </w:rPr>
      </w:pPr>
      <w:r>
        <w:rPr>
          <w:rFonts w:hint="eastAsia" w:asciiTheme="minorEastAsia" w:hAnsiTheme="minorEastAsia" w:cstheme="minorEastAsia"/>
          <w:b/>
          <w:sz w:val="24"/>
        </w:rPr>
        <w:t>六、结算及乙方付款约定</w:t>
      </w:r>
    </w:p>
    <w:p w14:paraId="36059801">
      <w:pPr>
        <w:widowControl/>
        <w:shd w:val="clear" w:color="auto" w:fill="FFFFFF"/>
        <w:spacing w:line="50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现场处理前，乙方按照合同金额全额预缴回收款，最终处理完成后，多缴部分甲方足额退还给乙方</w:t>
      </w:r>
      <w:r>
        <w:rPr>
          <w:rFonts w:hint="eastAsia" w:asciiTheme="minorEastAsia" w:hAnsiTheme="minorEastAsia" w:cstheme="minorEastAsia"/>
          <w:color w:val="000000" w:themeColor="text1"/>
          <w:sz w:val="24"/>
          <w14:textFill>
            <w14:solidFill>
              <w14:schemeClr w14:val="tx1"/>
            </w14:solidFill>
          </w14:textFill>
        </w:rPr>
        <w:t>。结算完成后，双方确认无误由卖方财务开具增值税专用发票，税率13%（税率根据实际税收政策调整）。</w:t>
      </w:r>
    </w:p>
    <w:p w14:paraId="0FA53489">
      <w:pPr>
        <w:spacing w:line="500" w:lineRule="exact"/>
        <w:ind w:firstLine="482" w:firstLineChars="200"/>
        <w:rPr>
          <w:rFonts w:hint="eastAsia" w:asciiTheme="minorEastAsia" w:hAnsiTheme="minorEastAsia" w:cstheme="minorEastAsia"/>
          <w:b/>
          <w:sz w:val="24"/>
        </w:rPr>
      </w:pPr>
      <w:r>
        <w:rPr>
          <w:rFonts w:hint="eastAsia" w:asciiTheme="minorEastAsia" w:hAnsiTheme="minorEastAsia" w:cstheme="minorEastAsia"/>
          <w:b/>
          <w:sz w:val="24"/>
        </w:rPr>
        <w:t>七、违约责任</w:t>
      </w:r>
    </w:p>
    <w:p w14:paraId="4FDD1AE6">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1.乙方不得以任何理由终止合作，否则结算时扣除全部履约保证金。</w:t>
      </w:r>
    </w:p>
    <w:p w14:paraId="705DCD0F">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2.双方按《民法典》的规定承担责任。</w:t>
      </w:r>
    </w:p>
    <w:p w14:paraId="59909AAE">
      <w:pPr>
        <w:spacing w:line="500" w:lineRule="exact"/>
        <w:ind w:firstLine="482" w:firstLineChars="200"/>
        <w:rPr>
          <w:rFonts w:hint="eastAsia" w:asciiTheme="minorEastAsia" w:hAnsiTheme="minorEastAsia" w:cstheme="minorEastAsia"/>
          <w:b/>
          <w:sz w:val="24"/>
        </w:rPr>
      </w:pPr>
      <w:r>
        <w:rPr>
          <w:rFonts w:hint="eastAsia" w:asciiTheme="minorEastAsia" w:hAnsiTheme="minorEastAsia" w:cstheme="minorEastAsia"/>
          <w:b/>
          <w:sz w:val="24"/>
        </w:rPr>
        <w:t>八、解决合同纠纷的方式</w:t>
      </w:r>
    </w:p>
    <w:p w14:paraId="1B8AE426">
      <w:pPr>
        <w:pStyle w:val="2"/>
        <w:spacing w:line="500" w:lineRule="exact"/>
        <w:ind w:firstLine="480"/>
        <w:rPr>
          <w:rFonts w:hint="eastAsia" w:eastAsia="宋体" w:asciiTheme="minorEastAsia" w:hAnsiTheme="minorEastAsia" w:cstheme="minorEastAsia"/>
          <w:sz w:val="24"/>
          <w:szCs w:val="24"/>
        </w:rPr>
      </w:pPr>
      <w:r>
        <w:rPr>
          <w:rFonts w:hint="eastAsia" w:eastAsia="宋体" w:asciiTheme="minorEastAsia" w:hAnsiTheme="minorEastAsia" w:cstheme="minorEastAsia"/>
          <w:sz w:val="24"/>
          <w:szCs w:val="24"/>
        </w:rPr>
        <w:t>甲乙双方同意，凡因本合同引起的或与本合同有关的任何争议，可通过协商解决争议，协商不成时，依法向重庆市江北区人民法院提起诉讼。</w:t>
      </w:r>
    </w:p>
    <w:p w14:paraId="3A5F3E9A">
      <w:pPr>
        <w:spacing w:line="500" w:lineRule="exact"/>
        <w:ind w:firstLine="482" w:firstLineChars="200"/>
        <w:rPr>
          <w:rFonts w:hint="eastAsia" w:asciiTheme="minorEastAsia" w:hAnsiTheme="minorEastAsia" w:cstheme="minorEastAsia"/>
          <w:b/>
          <w:sz w:val="24"/>
        </w:rPr>
      </w:pPr>
      <w:r>
        <w:rPr>
          <w:rFonts w:hint="eastAsia" w:asciiTheme="minorEastAsia" w:hAnsiTheme="minorEastAsia" w:cstheme="minorEastAsia"/>
          <w:b/>
          <w:sz w:val="24"/>
        </w:rPr>
        <w:t>九、其它约定事项</w:t>
      </w:r>
    </w:p>
    <w:p w14:paraId="72F167A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1.乙方在双方合作过程中需配合甲方完成资料的整理、收集及签字工作。</w:t>
      </w:r>
    </w:p>
    <w:p w14:paraId="32220CA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b/>
          <w:sz w:val="24"/>
        </w:rPr>
        <w:t>.</w:t>
      </w:r>
      <w:r>
        <w:rPr>
          <w:rFonts w:hint="eastAsia" w:asciiTheme="minorEastAsia" w:hAnsiTheme="minorEastAsia" w:cstheme="minorEastAsia"/>
          <w:sz w:val="24"/>
        </w:rPr>
        <w:t>未经甲方书面同意，乙方不得将本合同项下的权利全部或者部分转让给第三人，乙方所签署的债权转让协议对甲方不发生效力，不得委托第三方付款，如乙方违反本约定，视同乙方违约，乙方承担由此给甲方造成的全部损失，并承担本合同总价10%的违约金。</w:t>
      </w:r>
    </w:p>
    <w:p w14:paraId="5F4BD867">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甲方指定负责货物的出售、监督、签认；乙方指定（身份证号：）负责货物的装车、对账、结算。一方指定人员发生变化时，应当及时告知对方，并自书面通知到达对方时产生效力。装货清单（或相应票据）中事先印刷的相关备注文字（双方验收人员签署的备注内容除外）内容不构成合同文件的组成部分。</w:t>
      </w:r>
    </w:p>
    <w:p w14:paraId="7BB9C5AD">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4.乙方在废旧钢材处理过程中必须遵守国家的有关安全和环保规章制度以及双方签定的安全和环境管理协议。</w:t>
      </w:r>
    </w:p>
    <w:p w14:paraId="20E16B05">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5.乙方应对进入甲方工地装车的所有人员进行安全防范教育，如在甲方工地时发生的安全事故均由乙方自己承担。 </w:t>
      </w:r>
    </w:p>
    <w:p w14:paraId="02D36B52">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6.当乙方与第三方发生纠纷时，如因乙方未履行付款义务使第三方申请法院采取财产保全措施或强制执行，导致法院对甲方账号或其他财产进行查封、冻结、划拨、扣押、拍卖、折价、执行等强制措施时，乙方必须在法院下达裁定书或协助执行通知书之日向甲方支付与裁定书或协助通知书中确定金额20%的违约金并承担甲方的一切损失。同时如发生以上情况甲方有权单方面解除合同，一切后果由乙方自行承担。</w:t>
      </w:r>
    </w:p>
    <w:p w14:paraId="03C8EDBA">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7.乙方应当对本合同的内容、在履行期间获得的甲方商务、财务以及其他具有保密性的文件、资料与信息的内容保守秘密，且应仅为本合同目的而复制和使用相关资料。除非甲方事先书面同意，乙方不得向本合同以外的任何第三方披露或提供任何资料与文件，如乙方违反本约定，视同乙方违约，应承担由此给甲方造成的全部损失，并承担合同总价5%的违约金。保密义务在本合同期满、解除或终止后仍然有效。</w:t>
      </w:r>
    </w:p>
    <w:p w14:paraId="4E54B03E">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8.未尽事宜，另行协商。</w:t>
      </w:r>
    </w:p>
    <w:p w14:paraId="21FA29C9">
      <w:pPr>
        <w:pStyle w:val="7"/>
        <w:spacing w:line="500" w:lineRule="exact"/>
        <w:ind w:firstLine="482" w:firstLineChars="20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 xml:space="preserve">十、 合同生效 </w:t>
      </w:r>
    </w:p>
    <w:p w14:paraId="1521C476">
      <w:pPr>
        <w:spacing w:line="500" w:lineRule="exact"/>
        <w:ind w:firstLine="440"/>
        <w:rPr>
          <w:rFonts w:hint="eastAsia" w:asciiTheme="minorEastAsia" w:hAnsiTheme="minorEastAsia" w:cstheme="minorEastAsia"/>
          <w:sz w:val="24"/>
        </w:rPr>
      </w:pPr>
      <w:r>
        <w:rPr>
          <w:rFonts w:hint="eastAsia" w:asciiTheme="minorEastAsia" w:hAnsiTheme="minorEastAsia" w:cstheme="minorEastAsia"/>
          <w:sz w:val="24"/>
        </w:rPr>
        <w:t>本合同自甲乙双方签字盖章后生效。</w:t>
      </w:r>
    </w:p>
    <w:p w14:paraId="4B7A9E6F">
      <w:pPr>
        <w:spacing w:line="500" w:lineRule="exact"/>
        <w:ind w:firstLine="440"/>
        <w:rPr>
          <w:rFonts w:hint="eastAsia" w:asciiTheme="minorEastAsia" w:hAnsiTheme="minorEastAsia" w:cstheme="minorEastAsia"/>
          <w:sz w:val="24"/>
        </w:rPr>
      </w:pPr>
      <w:r>
        <w:rPr>
          <w:rFonts w:hint="eastAsia" w:asciiTheme="minorEastAsia" w:hAnsiTheme="minorEastAsia" w:cstheme="minorEastAsia"/>
          <w:sz w:val="24"/>
        </w:rPr>
        <w:t>本合同一式三份，甲方两份，乙方一份，具有同等法律效力。经双方签署的合同附件与本合同具有同等法律效力。</w:t>
      </w:r>
    </w:p>
    <w:p w14:paraId="3A1CF1AD">
      <w:pPr>
        <w:spacing w:line="500" w:lineRule="exact"/>
        <w:ind w:firstLine="560"/>
        <w:rPr>
          <w:rFonts w:hint="eastAsia" w:asciiTheme="minorEastAsia" w:hAnsiTheme="minorEastAsia" w:cstheme="minorEastAsia"/>
          <w:color w:val="000000"/>
          <w:sz w:val="24"/>
        </w:rPr>
      </w:pPr>
    </w:p>
    <w:p w14:paraId="03703C2A">
      <w:pPr>
        <w:spacing w:line="500" w:lineRule="exact"/>
        <w:rPr>
          <w:rFonts w:hint="eastAsia" w:asciiTheme="minorEastAsia" w:hAnsiTheme="minorEastAsia" w:cstheme="minorEastAsia"/>
          <w:sz w:val="24"/>
        </w:rPr>
      </w:pPr>
      <w:r>
        <w:rPr>
          <w:rFonts w:hint="eastAsia" w:asciiTheme="minorEastAsia" w:hAnsiTheme="minorEastAsia" w:cstheme="minorEastAsia"/>
          <w:sz w:val="24"/>
        </w:rPr>
        <w:t xml:space="preserve">甲      方： </w:t>
      </w:r>
      <w:r>
        <w:rPr>
          <w:rFonts w:asciiTheme="minorEastAsia" w:hAnsiTheme="minorEastAsia" w:cstheme="minorEastAsia"/>
          <w:sz w:val="24"/>
        </w:rPr>
        <w:t xml:space="preserve">                            </w:t>
      </w:r>
      <w:r>
        <w:rPr>
          <w:rFonts w:hint="eastAsia" w:asciiTheme="minorEastAsia" w:hAnsiTheme="minorEastAsia" w:cstheme="minorEastAsia"/>
          <w:sz w:val="24"/>
        </w:rPr>
        <w:t xml:space="preserve">    乙      方： </w:t>
      </w:r>
    </w:p>
    <w:p w14:paraId="03C0C139">
      <w:pPr>
        <w:spacing w:line="500" w:lineRule="exact"/>
        <w:rPr>
          <w:rFonts w:hint="eastAsia" w:asciiTheme="minorEastAsia" w:hAnsiTheme="minorEastAsia" w:cstheme="minorEastAsia"/>
          <w:sz w:val="24"/>
        </w:rPr>
      </w:pPr>
      <w:r>
        <w:rPr>
          <w:rFonts w:hint="eastAsia" w:asciiTheme="minorEastAsia" w:hAnsiTheme="minorEastAsia" w:cstheme="minorEastAsia"/>
          <w:sz w:val="24"/>
        </w:rPr>
        <w:t xml:space="preserve">住      所：                                 住      所：          </w:t>
      </w:r>
    </w:p>
    <w:p w14:paraId="14C15065">
      <w:pPr>
        <w:spacing w:line="500" w:lineRule="exact"/>
        <w:rPr>
          <w:rFonts w:hint="eastAsia" w:asciiTheme="minorEastAsia" w:hAnsiTheme="minorEastAsia" w:cstheme="minorEastAsia"/>
          <w:sz w:val="24"/>
        </w:rPr>
      </w:pPr>
      <w:r>
        <w:rPr>
          <w:rFonts w:hint="eastAsia" w:asciiTheme="minorEastAsia" w:hAnsiTheme="minorEastAsia" w:cstheme="minorEastAsia"/>
          <w:sz w:val="24"/>
        </w:rPr>
        <w:t xml:space="preserve">法定代表人：                                 法定代表人：          </w:t>
      </w:r>
    </w:p>
    <w:p w14:paraId="5735FE5E">
      <w:pPr>
        <w:spacing w:line="500" w:lineRule="exact"/>
        <w:rPr>
          <w:rFonts w:hint="eastAsia" w:asciiTheme="minorEastAsia" w:hAnsiTheme="minorEastAsia" w:cstheme="minorEastAsia"/>
          <w:sz w:val="24"/>
        </w:rPr>
      </w:pPr>
      <w:r>
        <w:rPr>
          <w:rFonts w:hint="eastAsia" w:asciiTheme="minorEastAsia" w:hAnsiTheme="minorEastAsia" w:cstheme="minorEastAsia"/>
          <w:sz w:val="24"/>
        </w:rPr>
        <w:t xml:space="preserve">委托代理人：                                 委托代理人：          </w:t>
      </w:r>
      <w:r>
        <w:rPr>
          <w:rFonts w:asciiTheme="minorEastAsia" w:hAnsiTheme="minorEastAsia" w:cstheme="minorEastAsia"/>
          <w:sz w:val="24"/>
        </w:rPr>
        <w:t xml:space="preserve">     </w:t>
      </w:r>
    </w:p>
    <w:p w14:paraId="4D6C4785">
      <w:pPr>
        <w:spacing w:line="500" w:lineRule="exact"/>
        <w:rPr>
          <w:rFonts w:hint="eastAsia" w:asciiTheme="minorEastAsia" w:hAnsiTheme="minorEastAsia" w:cstheme="minorEastAsia"/>
          <w:sz w:val="24"/>
        </w:rPr>
      </w:pPr>
      <w:r>
        <w:rPr>
          <w:rFonts w:hint="eastAsia" w:asciiTheme="minorEastAsia" w:hAnsiTheme="minorEastAsia" w:cstheme="minorEastAsia"/>
          <w:sz w:val="24"/>
        </w:rPr>
        <w:t>电      话：　　　　　　　　                 电      话：</w:t>
      </w:r>
    </w:p>
    <w:p w14:paraId="4E009E52">
      <w:pPr>
        <w:spacing w:line="500" w:lineRule="exact"/>
        <w:rPr>
          <w:rFonts w:hint="eastAsia" w:asciiTheme="minorEastAsia" w:hAnsiTheme="minorEastAsia" w:cstheme="minorEastAsia"/>
          <w:sz w:val="24"/>
        </w:rPr>
      </w:pPr>
      <w:r>
        <w:rPr>
          <w:rFonts w:hint="eastAsia" w:asciiTheme="minorEastAsia" w:hAnsiTheme="minorEastAsia" w:cstheme="minorEastAsia"/>
          <w:sz w:val="24"/>
        </w:rPr>
        <w:t xml:space="preserve">开 户 银 行：                                开 户 银 行：   </w:t>
      </w:r>
    </w:p>
    <w:p w14:paraId="08C683F0">
      <w:pPr>
        <w:pStyle w:val="5"/>
        <w:tabs>
          <w:tab w:val="left" w:pos="709"/>
        </w:tabs>
        <w:spacing w:line="500" w:lineRule="exact"/>
        <w:ind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帐       号：                                帐       号：</w:t>
      </w:r>
    </w:p>
    <w:p w14:paraId="42C040FD">
      <w:pPr>
        <w:pStyle w:val="5"/>
        <w:tabs>
          <w:tab w:val="left" w:pos="709"/>
        </w:tabs>
        <w:spacing w:line="500" w:lineRule="exact"/>
        <w:ind w:firstLine="0" w:firstLineChars="0"/>
        <w:rPr>
          <w:rFonts w:hint="eastAsia" w:asciiTheme="minorEastAsia" w:hAnsiTheme="minorEastAsia" w:cstheme="minorEastAsia"/>
          <w:sz w:val="24"/>
          <w:szCs w:val="24"/>
        </w:rPr>
      </w:pPr>
    </w:p>
    <w:p w14:paraId="648A0997">
      <w:pPr>
        <w:pStyle w:val="6"/>
        <w:spacing w:line="500" w:lineRule="exact"/>
        <w:ind w:firstLine="480"/>
        <w:rPr>
          <w:rFonts w:hint="eastAsia" w:asciiTheme="minorEastAsia" w:hAnsiTheme="minorEastAsia" w:cstheme="minorEastAsia"/>
          <w:sz w:val="24"/>
        </w:rPr>
      </w:pPr>
    </w:p>
    <w:p w14:paraId="1E9EE456">
      <w:pPr>
        <w:pStyle w:val="5"/>
        <w:tabs>
          <w:tab w:val="left" w:pos="709"/>
        </w:tabs>
        <w:spacing w:line="500" w:lineRule="exact"/>
        <w:ind w:firstLine="5040" w:firstLineChars="2100"/>
        <w:rPr>
          <w:rFonts w:hint="eastAsia" w:asciiTheme="minorEastAsia" w:hAnsiTheme="minorEastAsia" w:cstheme="minorEastAsia"/>
          <w:sz w:val="24"/>
          <w:szCs w:val="24"/>
        </w:rPr>
      </w:pPr>
      <w:r>
        <w:rPr>
          <w:rFonts w:hint="eastAsia" w:asciiTheme="minorEastAsia" w:hAnsiTheme="minorEastAsia" w:cstheme="minorEastAsia"/>
          <w:sz w:val="24"/>
          <w:szCs w:val="24"/>
        </w:rPr>
        <w:t>年  月  日</w:t>
      </w:r>
    </w:p>
    <w:p w14:paraId="50AA8218">
      <w:pPr>
        <w:pStyle w:val="6"/>
      </w:pPr>
    </w:p>
    <w:p w14:paraId="384DBE2B">
      <w:pPr>
        <w:pStyle w:val="6"/>
      </w:pPr>
    </w:p>
    <w:p w14:paraId="19853D3B">
      <w:pPr>
        <w:pStyle w:val="6"/>
      </w:pPr>
    </w:p>
    <w:p w14:paraId="015112F8">
      <w:pPr>
        <w:pStyle w:val="6"/>
        <w:sectPr>
          <w:pgSz w:w="11906" w:h="16838"/>
          <w:pgMar w:top="1440" w:right="1800" w:bottom="1440" w:left="1800" w:header="851" w:footer="992" w:gutter="0"/>
          <w:cols w:space="425" w:num="1"/>
          <w:docGrid w:type="lines" w:linePitch="312" w:charSpace="0"/>
        </w:sectPr>
      </w:pPr>
    </w:p>
    <w:p w14:paraId="136BF20C">
      <w:pPr>
        <w:pStyle w:val="6"/>
      </w:pPr>
      <w:bookmarkStart w:id="6" w:name="_Hlk42463314"/>
    </w:p>
    <w:p w14:paraId="2F316C29">
      <w:pPr>
        <w:pStyle w:val="5"/>
        <w:spacing w:line="560" w:lineRule="exact"/>
        <w:ind w:firstLine="0" w:firstLineChars="0"/>
        <w:jc w:val="center"/>
        <w:rPr>
          <w:rFonts w:hint="eastAsia" w:ascii="宋体" w:hAnsi="宋体"/>
          <w:b/>
          <w:sz w:val="28"/>
          <w:szCs w:val="28"/>
        </w:rPr>
      </w:pPr>
      <w:r>
        <w:rPr>
          <w:rFonts w:hint="eastAsia" w:ascii="宋体" w:hAnsi="宋体"/>
          <w:b/>
          <w:sz w:val="28"/>
          <w:szCs w:val="28"/>
          <w:lang w:val="en-US" w:eastAsia="zh-CN"/>
        </w:rPr>
        <w:t>中铁大桥局集团有限公司新建CZ铁路CZSCZQ-1标段一工区</w:t>
      </w:r>
      <w:r>
        <w:rPr>
          <w:rFonts w:hint="eastAsia" w:ascii="宋体" w:hAnsi="宋体"/>
          <w:b/>
          <w:sz w:val="28"/>
          <w:szCs w:val="28"/>
        </w:rPr>
        <w:t>废旧物资回收报价响应文件</w:t>
      </w:r>
    </w:p>
    <w:p w14:paraId="160F2468">
      <w:pPr>
        <w:spacing w:line="440" w:lineRule="exact"/>
        <w:jc w:val="center"/>
        <w:rPr>
          <w:rFonts w:hint="eastAsia" w:ascii="宋体" w:hAnsi="宋体" w:cs="Arial"/>
          <w:b/>
          <w:sz w:val="44"/>
          <w:szCs w:val="32"/>
        </w:rPr>
      </w:pPr>
      <w:r>
        <w:rPr>
          <w:rFonts w:ascii="宋体" w:hAnsi="宋体" w:cs="Arial"/>
          <w:b/>
          <w:sz w:val="44"/>
          <w:szCs w:val="32"/>
        </w:rPr>
        <w:t>报</w:t>
      </w:r>
      <w:r>
        <w:rPr>
          <w:rFonts w:hint="eastAsia" w:ascii="宋体" w:hAnsi="宋体" w:cs="Arial"/>
          <w:b/>
          <w:sz w:val="44"/>
          <w:szCs w:val="32"/>
        </w:rPr>
        <w:t xml:space="preserve">  </w:t>
      </w:r>
      <w:r>
        <w:rPr>
          <w:rFonts w:ascii="宋体" w:hAnsi="宋体" w:cs="Arial"/>
          <w:b/>
          <w:sz w:val="44"/>
          <w:szCs w:val="32"/>
        </w:rPr>
        <w:t>价</w:t>
      </w:r>
      <w:r>
        <w:rPr>
          <w:rFonts w:hint="eastAsia" w:ascii="宋体" w:hAnsi="宋体" w:cs="Arial"/>
          <w:b/>
          <w:sz w:val="44"/>
          <w:szCs w:val="32"/>
        </w:rPr>
        <w:t xml:space="preserve">  </w:t>
      </w:r>
      <w:r>
        <w:rPr>
          <w:rFonts w:ascii="宋体" w:hAnsi="宋体" w:cs="Arial"/>
          <w:b/>
          <w:sz w:val="44"/>
          <w:szCs w:val="32"/>
        </w:rPr>
        <w:t>函</w:t>
      </w:r>
    </w:p>
    <w:p w14:paraId="5DF47682">
      <w:pPr>
        <w:spacing w:line="440" w:lineRule="exact"/>
        <w:ind w:firstLine="640"/>
        <w:jc w:val="center"/>
        <w:rPr>
          <w:rFonts w:ascii="Arial" w:hAnsi="Arial" w:cs="Arial"/>
          <w:sz w:val="32"/>
          <w:szCs w:val="32"/>
        </w:rPr>
      </w:pPr>
    </w:p>
    <w:p w14:paraId="06733312">
      <w:pPr>
        <w:pStyle w:val="2"/>
        <w:snapToGrid w:val="0"/>
        <w:spacing w:line="460" w:lineRule="exact"/>
        <w:ind w:firstLine="0" w:firstLineChars="0"/>
        <w:rPr>
          <w:rFonts w:hint="default" w:ascii="Arial" w:hAnsi="Arial" w:eastAsia="仿宋_GB2312" w:cs="Arial"/>
          <w:sz w:val="24"/>
          <w:lang w:val="en-US" w:eastAsia="zh-CN"/>
        </w:rPr>
      </w:pPr>
      <w:r>
        <w:rPr>
          <w:rFonts w:ascii="Arial" w:hAnsi="宋体" w:cs="Arial"/>
          <w:sz w:val="24"/>
        </w:rPr>
        <w:t>致：</w:t>
      </w:r>
      <w:r>
        <w:rPr>
          <w:rFonts w:hint="eastAsia" w:ascii="Arial" w:hAnsi="Arial" w:cs="Arial"/>
          <w:sz w:val="24"/>
          <w:u w:val="single"/>
          <w:lang w:val="en-US" w:eastAsia="zh-CN"/>
        </w:rPr>
        <w:t>中铁大桥局集团有限公司新建CZ铁路CZSCZQ-1标段一工区</w:t>
      </w:r>
    </w:p>
    <w:p w14:paraId="0C7AE4DA">
      <w:pPr>
        <w:pStyle w:val="2"/>
        <w:snapToGrid w:val="0"/>
        <w:spacing w:line="460" w:lineRule="exact"/>
        <w:ind w:firstLine="480"/>
        <w:rPr>
          <w:rFonts w:ascii="Arial" w:hAnsi="Arial" w:cs="Arial"/>
          <w:sz w:val="24"/>
        </w:rPr>
      </w:pPr>
      <w:r>
        <w:rPr>
          <w:rFonts w:ascii="Arial" w:hAnsi="宋体" w:cs="Arial"/>
          <w:sz w:val="24"/>
        </w:rPr>
        <w:t>我方已经仔细阅读</w:t>
      </w:r>
      <w:r>
        <w:rPr>
          <w:rFonts w:hint="eastAsia" w:ascii="Arial" w:hAnsi="Arial" w:cs="Arial"/>
          <w:sz w:val="24"/>
          <w:u w:val="single"/>
          <w:lang w:val="en-US" w:eastAsia="zh-CN"/>
        </w:rPr>
        <w:t>中铁大桥局集团有限公司新建CZ铁路CZSCZQ-1标段一工区</w:t>
      </w:r>
      <w:r>
        <w:rPr>
          <w:rFonts w:ascii="Arial" w:hAnsi="宋体" w:cs="Arial"/>
          <w:sz w:val="24"/>
        </w:rPr>
        <w:t>（</w:t>
      </w:r>
      <w:r>
        <w:rPr>
          <w:rFonts w:hint="eastAsia" w:ascii="Arial" w:hAnsi="宋体" w:cs="Arial"/>
          <w:sz w:val="24"/>
        </w:rPr>
        <w:t>询价</w:t>
      </w:r>
      <w:r>
        <w:rPr>
          <w:rFonts w:ascii="Arial" w:hAnsi="宋体" w:cs="Arial"/>
          <w:sz w:val="24"/>
        </w:rPr>
        <w:t>编号</w:t>
      </w:r>
      <w:r>
        <w:rPr>
          <w:rFonts w:hint="eastAsia" w:ascii="Arial" w:hAnsi="宋体" w:cs="Arial"/>
          <w:sz w:val="24"/>
          <w:lang w:eastAsia="zh-CN"/>
        </w:rPr>
        <w:t>：</w:t>
      </w:r>
      <w:r>
        <w:rPr>
          <w:rFonts w:hint="eastAsia" w:ascii="Arial" w:hAnsi="宋体" w:cs="Arial"/>
          <w:sz w:val="24"/>
          <w:szCs w:val="24"/>
          <w:u w:val="single"/>
        </w:rPr>
        <w:t>MBEC-CZ01-FJWZ-2026-01</w:t>
      </w:r>
      <w:r>
        <w:rPr>
          <w:rFonts w:ascii="Arial" w:hAnsi="宋体" w:cs="Arial"/>
          <w:sz w:val="24"/>
        </w:rPr>
        <w:t>）</w:t>
      </w:r>
      <w:r>
        <w:rPr>
          <w:rFonts w:hint="eastAsia" w:ascii="Arial" w:hAnsi="宋体" w:cs="Arial"/>
          <w:sz w:val="24"/>
        </w:rPr>
        <w:t>询价书</w:t>
      </w:r>
      <w:r>
        <w:rPr>
          <w:rFonts w:ascii="Arial" w:hAnsi="宋体" w:cs="Arial"/>
          <w:sz w:val="24"/>
        </w:rPr>
        <w:t>，我方同意处理单位在</w:t>
      </w:r>
      <w:r>
        <w:rPr>
          <w:rFonts w:hint="eastAsia" w:ascii="Arial" w:hAnsi="宋体" w:cs="Arial"/>
          <w:sz w:val="24"/>
        </w:rPr>
        <w:t>询价</w:t>
      </w:r>
      <w:r>
        <w:rPr>
          <w:rFonts w:ascii="Arial" w:hAnsi="宋体" w:cs="Arial"/>
          <w:sz w:val="24"/>
        </w:rPr>
        <w:t>文件中对</w:t>
      </w:r>
      <w:r>
        <w:rPr>
          <w:rFonts w:hint="eastAsia" w:ascii="Arial" w:hAnsi="宋体" w:cs="Arial"/>
          <w:sz w:val="24"/>
        </w:rPr>
        <w:t>报价</w:t>
      </w:r>
      <w:r>
        <w:rPr>
          <w:rFonts w:ascii="Arial" w:hAnsi="宋体" w:cs="Arial"/>
          <w:sz w:val="24"/>
        </w:rPr>
        <w:t>人的约束。我方愿意参加</w:t>
      </w:r>
      <w:r>
        <w:rPr>
          <w:rFonts w:hint="eastAsia" w:ascii="Arial" w:hAnsi="Arial" w:cs="Arial"/>
          <w:sz w:val="24"/>
          <w:u w:val="single"/>
        </w:rPr>
        <w:t>废旧物资回收</w:t>
      </w:r>
      <w:r>
        <w:rPr>
          <w:rFonts w:ascii="Arial" w:hAnsi="宋体" w:cs="Arial"/>
          <w:sz w:val="24"/>
        </w:rPr>
        <w:t>的报价，并已按照</w:t>
      </w:r>
      <w:r>
        <w:rPr>
          <w:rFonts w:hint="eastAsia" w:ascii="Arial" w:hAnsi="宋体" w:cs="Arial"/>
          <w:sz w:val="24"/>
        </w:rPr>
        <w:t>询价</w:t>
      </w:r>
      <w:r>
        <w:rPr>
          <w:rFonts w:ascii="Arial" w:hAnsi="宋体" w:cs="Arial"/>
          <w:sz w:val="24"/>
        </w:rPr>
        <w:t>文件中要求的内容和格式充分、如实、准确地向贵方递交</w:t>
      </w:r>
      <w:r>
        <w:rPr>
          <w:rFonts w:hint="eastAsia" w:ascii="Arial" w:hAnsi="宋体" w:cs="Arial"/>
          <w:sz w:val="24"/>
        </w:rPr>
        <w:t>响应性</w:t>
      </w:r>
      <w:r>
        <w:rPr>
          <w:rFonts w:ascii="Arial" w:hAnsi="宋体" w:cs="Arial"/>
          <w:sz w:val="24"/>
        </w:rPr>
        <w:t>文件，若成交我方将以此作为</w:t>
      </w:r>
      <w:r>
        <w:rPr>
          <w:rFonts w:hint="eastAsia" w:ascii="Arial" w:hAnsi="宋体" w:cs="Arial"/>
          <w:sz w:val="24"/>
        </w:rPr>
        <w:t>收购废钢材</w:t>
      </w:r>
      <w:r>
        <w:rPr>
          <w:rFonts w:ascii="Arial" w:hAnsi="宋体" w:cs="Arial"/>
          <w:sz w:val="24"/>
        </w:rPr>
        <w:t>及服务必须严格遵循的合同条件的组成部分</w:t>
      </w:r>
      <w:r>
        <w:rPr>
          <w:rFonts w:ascii="Arial" w:hAnsi="Arial" w:cs="Arial"/>
          <w:sz w:val="24"/>
        </w:rPr>
        <w:t>,</w:t>
      </w:r>
      <w:r>
        <w:rPr>
          <w:rFonts w:ascii="Arial" w:hAnsi="宋体" w:cs="Arial"/>
          <w:sz w:val="24"/>
        </w:rPr>
        <w:t>并</w:t>
      </w:r>
      <w:r>
        <w:rPr>
          <w:rFonts w:hint="eastAsia" w:ascii="Arial" w:hAnsi="宋体" w:cs="Arial"/>
          <w:sz w:val="24"/>
        </w:rPr>
        <w:t>同意按处理单位的定价原则定价</w:t>
      </w:r>
      <w:r>
        <w:rPr>
          <w:rFonts w:ascii="Arial" w:hAnsi="宋体" w:cs="Arial"/>
          <w:sz w:val="24"/>
        </w:rPr>
        <w:t>。</w:t>
      </w:r>
    </w:p>
    <w:p w14:paraId="61AA3238">
      <w:pPr>
        <w:pStyle w:val="2"/>
        <w:snapToGrid w:val="0"/>
        <w:spacing w:line="460" w:lineRule="exact"/>
        <w:ind w:firstLine="480"/>
        <w:rPr>
          <w:rFonts w:ascii="Arial" w:hAnsi="Arial" w:cs="Arial"/>
          <w:sz w:val="24"/>
        </w:rPr>
      </w:pPr>
      <w:r>
        <w:rPr>
          <w:rFonts w:ascii="Arial" w:hAnsi="宋体" w:cs="Arial"/>
          <w:sz w:val="24"/>
        </w:rPr>
        <w:t>我方将按照</w:t>
      </w:r>
      <w:r>
        <w:rPr>
          <w:rFonts w:hint="eastAsia" w:ascii="Arial" w:hAnsi="宋体" w:cs="Arial"/>
          <w:sz w:val="24"/>
        </w:rPr>
        <w:t>询价</w:t>
      </w:r>
      <w:r>
        <w:rPr>
          <w:rFonts w:ascii="Arial" w:hAnsi="宋体" w:cs="Arial"/>
          <w:sz w:val="24"/>
        </w:rPr>
        <w:t>文件的要求，提供与其相一致的</w:t>
      </w:r>
      <w:r>
        <w:rPr>
          <w:rFonts w:hint="eastAsia" w:ascii="Arial" w:hAnsi="宋体" w:cs="Arial"/>
          <w:sz w:val="24"/>
        </w:rPr>
        <w:t>废钢材收购</w:t>
      </w:r>
      <w:r>
        <w:rPr>
          <w:rFonts w:ascii="Arial" w:hAnsi="宋体" w:cs="Arial"/>
          <w:sz w:val="24"/>
        </w:rPr>
        <w:t>服务。</w:t>
      </w:r>
    </w:p>
    <w:p w14:paraId="595582EE">
      <w:pPr>
        <w:pStyle w:val="2"/>
        <w:snapToGrid w:val="0"/>
        <w:spacing w:line="460" w:lineRule="exact"/>
        <w:ind w:firstLine="480"/>
        <w:rPr>
          <w:rFonts w:ascii="Arial" w:hAnsi="Arial" w:cs="Arial"/>
          <w:sz w:val="24"/>
        </w:rPr>
      </w:pPr>
      <w:r>
        <w:rPr>
          <w:rFonts w:ascii="Arial" w:hAnsi="宋体" w:cs="Arial"/>
          <w:sz w:val="24"/>
        </w:rPr>
        <w:t>我方保证，如果我方的报价被接受，将严格执行</w:t>
      </w:r>
      <w:r>
        <w:rPr>
          <w:rFonts w:hint="eastAsia" w:ascii="Arial" w:hAnsi="宋体" w:cs="Arial"/>
          <w:sz w:val="24"/>
        </w:rPr>
        <w:t>询价</w:t>
      </w:r>
      <w:r>
        <w:rPr>
          <w:rFonts w:ascii="Arial" w:hAnsi="宋体" w:cs="Arial"/>
          <w:sz w:val="24"/>
        </w:rPr>
        <w:t>文件中的各项条款，认真履行</w:t>
      </w:r>
      <w:r>
        <w:rPr>
          <w:rFonts w:hint="eastAsia" w:ascii="Arial" w:hAnsi="宋体" w:cs="Arial"/>
          <w:sz w:val="24"/>
        </w:rPr>
        <w:t>收购</w:t>
      </w:r>
      <w:r>
        <w:rPr>
          <w:rFonts w:ascii="Arial" w:hAnsi="宋体" w:cs="Arial"/>
          <w:sz w:val="24"/>
        </w:rPr>
        <w:t>方的责任及义务，兑现我方</w:t>
      </w:r>
      <w:r>
        <w:rPr>
          <w:rFonts w:hint="eastAsia" w:ascii="Arial" w:hAnsi="宋体" w:cs="Arial"/>
          <w:sz w:val="24"/>
        </w:rPr>
        <w:t>响应文件</w:t>
      </w:r>
      <w:r>
        <w:rPr>
          <w:rFonts w:ascii="Arial" w:hAnsi="宋体" w:cs="Arial"/>
          <w:sz w:val="24"/>
        </w:rPr>
        <w:t>中提出的各项承诺。</w:t>
      </w:r>
    </w:p>
    <w:p w14:paraId="408CD694">
      <w:pPr>
        <w:pStyle w:val="2"/>
        <w:snapToGrid w:val="0"/>
        <w:spacing w:line="460" w:lineRule="exact"/>
        <w:ind w:firstLine="480"/>
        <w:rPr>
          <w:rFonts w:ascii="Arial" w:hAnsi="Arial" w:cs="Arial"/>
          <w:sz w:val="24"/>
        </w:rPr>
      </w:pPr>
      <w:r>
        <w:rPr>
          <w:rFonts w:ascii="Arial" w:hAnsi="宋体" w:cs="Arial"/>
          <w:sz w:val="24"/>
          <w:szCs w:val="28"/>
        </w:rPr>
        <w:t>我方同意</w:t>
      </w:r>
      <w:r>
        <w:rPr>
          <w:rFonts w:hint="eastAsia" w:ascii="Arial" w:hAnsi="宋体" w:cs="Arial"/>
          <w:sz w:val="24"/>
          <w:szCs w:val="28"/>
        </w:rPr>
        <w:t>响应</w:t>
      </w:r>
      <w:r>
        <w:rPr>
          <w:rFonts w:ascii="Arial" w:hAnsi="宋体" w:cs="Arial"/>
          <w:sz w:val="24"/>
          <w:szCs w:val="28"/>
        </w:rPr>
        <w:t>文件在</w:t>
      </w:r>
      <w:r>
        <w:rPr>
          <w:rFonts w:hint="eastAsia" w:ascii="Arial" w:hAnsi="宋体" w:cs="Arial"/>
          <w:sz w:val="24"/>
          <w:szCs w:val="28"/>
        </w:rPr>
        <w:t>询价</w:t>
      </w:r>
      <w:r>
        <w:rPr>
          <w:rFonts w:ascii="Arial" w:hAnsi="宋体" w:cs="Arial"/>
          <w:sz w:val="24"/>
          <w:szCs w:val="28"/>
        </w:rPr>
        <w:t>截止日期</w:t>
      </w:r>
      <w:r>
        <w:rPr>
          <w:rFonts w:hint="eastAsia" w:ascii="Arial" w:hAnsi="宋体" w:cs="Arial"/>
          <w:sz w:val="24"/>
          <w:szCs w:val="28"/>
        </w:rPr>
        <w:t>9</w:t>
      </w:r>
      <w:r>
        <w:rPr>
          <w:rFonts w:hint="eastAsia" w:ascii="Arial" w:hAnsi="Arial" w:cs="Arial"/>
          <w:sz w:val="24"/>
          <w:szCs w:val="28"/>
        </w:rPr>
        <w:t>0</w:t>
      </w:r>
      <w:r>
        <w:rPr>
          <w:rFonts w:ascii="Arial" w:hAnsi="宋体" w:cs="Arial"/>
          <w:sz w:val="24"/>
          <w:szCs w:val="28"/>
        </w:rPr>
        <w:t>天内有效，对我方具有约束力，并可随时接受成交。我方慎重保证，</w:t>
      </w:r>
      <w:r>
        <w:rPr>
          <w:rFonts w:hint="eastAsia" w:ascii="Arial" w:hAnsi="宋体" w:cs="Arial"/>
          <w:sz w:val="24"/>
          <w:szCs w:val="28"/>
        </w:rPr>
        <w:t>响应性</w:t>
      </w:r>
      <w:r>
        <w:rPr>
          <w:rFonts w:ascii="Arial" w:hAnsi="宋体" w:cs="Arial"/>
          <w:sz w:val="24"/>
          <w:szCs w:val="28"/>
        </w:rPr>
        <w:t>文件的所有内容及提供给处理单位的所有证明文件和资料是真实的、准确的，一旦发现上述资料和信息的失实和错误，贵方将有权宣布本单位报价作废。</w:t>
      </w:r>
    </w:p>
    <w:p w14:paraId="7610B7BD">
      <w:pPr>
        <w:pStyle w:val="2"/>
        <w:snapToGrid w:val="0"/>
        <w:spacing w:line="460" w:lineRule="exact"/>
        <w:ind w:firstLine="480"/>
        <w:rPr>
          <w:rFonts w:ascii="Arial" w:hAnsi="Arial" w:cs="Arial"/>
          <w:sz w:val="24"/>
        </w:rPr>
      </w:pPr>
      <w:r>
        <w:rPr>
          <w:rFonts w:ascii="Arial" w:hAnsi="宋体" w:cs="Arial"/>
          <w:sz w:val="24"/>
        </w:rPr>
        <w:t>在正式合同准备签订或执行之前，本报价函、处理单位的书面通知及成交通知书将构成约束我们双方的合同。我方理解处理单位不一定</w:t>
      </w:r>
      <w:r>
        <w:rPr>
          <w:rFonts w:ascii="Arial" w:hAnsi="宋体" w:cs="Arial"/>
          <w:sz w:val="24"/>
          <w:szCs w:val="28"/>
        </w:rPr>
        <w:t>接受最</w:t>
      </w:r>
      <w:r>
        <w:rPr>
          <w:rFonts w:hint="eastAsia" w:ascii="Arial" w:hAnsi="宋体" w:cs="Arial"/>
          <w:sz w:val="24"/>
          <w:szCs w:val="28"/>
        </w:rPr>
        <w:t>高</w:t>
      </w:r>
      <w:r>
        <w:rPr>
          <w:rFonts w:ascii="Arial" w:hAnsi="宋体" w:cs="Arial"/>
          <w:sz w:val="24"/>
          <w:szCs w:val="28"/>
        </w:rPr>
        <w:t>价或收</w:t>
      </w:r>
      <w:r>
        <w:rPr>
          <w:rFonts w:ascii="Arial" w:hAnsi="宋体" w:cs="Arial"/>
          <w:sz w:val="24"/>
        </w:rPr>
        <w:t>到的任何</w:t>
      </w:r>
      <w:r>
        <w:rPr>
          <w:rFonts w:hint="eastAsia" w:ascii="Arial" w:hAnsi="宋体" w:cs="Arial"/>
          <w:sz w:val="24"/>
        </w:rPr>
        <w:t>报价</w:t>
      </w:r>
      <w:r>
        <w:rPr>
          <w:rFonts w:ascii="Arial" w:hAnsi="宋体" w:cs="Arial"/>
          <w:sz w:val="24"/>
        </w:rPr>
        <w:t>文件。</w:t>
      </w:r>
    </w:p>
    <w:p w14:paraId="7A65D4E7">
      <w:pPr>
        <w:pStyle w:val="2"/>
        <w:snapToGrid w:val="0"/>
        <w:spacing w:line="360" w:lineRule="auto"/>
        <w:ind w:firstLine="480"/>
        <w:rPr>
          <w:rFonts w:ascii="Arial" w:hAnsi="Arial" w:cs="Arial"/>
          <w:sz w:val="24"/>
        </w:rPr>
      </w:pPr>
    </w:p>
    <w:p w14:paraId="2FA59CE0">
      <w:pPr>
        <w:pStyle w:val="2"/>
        <w:wordWrap w:val="0"/>
        <w:snapToGrid w:val="0"/>
        <w:spacing w:line="360" w:lineRule="auto"/>
        <w:ind w:firstLine="480"/>
        <w:jc w:val="right"/>
        <w:rPr>
          <w:rFonts w:ascii="Arial" w:hAnsi="Arial" w:cs="Arial"/>
          <w:sz w:val="24"/>
        </w:rPr>
      </w:pPr>
    </w:p>
    <w:p w14:paraId="7F801A0F">
      <w:pPr>
        <w:pStyle w:val="2"/>
        <w:snapToGrid w:val="0"/>
        <w:spacing w:line="360" w:lineRule="auto"/>
        <w:ind w:right="420" w:firstLine="3600" w:firstLineChars="1500"/>
        <w:rPr>
          <w:rFonts w:ascii="Arial" w:hAnsi="Arial" w:cs="Arial"/>
          <w:sz w:val="24"/>
          <w:u w:val="single"/>
        </w:rPr>
      </w:pPr>
      <w:r>
        <w:rPr>
          <w:rFonts w:hint="eastAsia" w:ascii="Arial" w:hAnsi="宋体" w:cs="Arial"/>
          <w:sz w:val="24"/>
        </w:rPr>
        <w:t>报</w:t>
      </w:r>
      <w:r>
        <w:rPr>
          <w:rFonts w:ascii="Arial" w:hAnsi="宋体" w:cs="Arial"/>
          <w:sz w:val="24"/>
        </w:rPr>
        <w:t>价人名称（公章）：</w:t>
      </w:r>
      <w:r>
        <w:rPr>
          <w:rFonts w:ascii="Arial" w:hAnsi="Arial" w:cs="Arial"/>
          <w:sz w:val="24"/>
          <w:u w:val="single"/>
        </w:rPr>
        <w:t xml:space="preserve">       </w:t>
      </w:r>
      <w:r>
        <w:rPr>
          <w:rFonts w:hint="eastAsia" w:ascii="Arial" w:hAnsi="Arial" w:cs="Arial"/>
          <w:sz w:val="24"/>
          <w:u w:val="single"/>
        </w:rPr>
        <w:t xml:space="preserve">        </w:t>
      </w:r>
    </w:p>
    <w:p w14:paraId="7074A5BC">
      <w:pPr>
        <w:pStyle w:val="2"/>
        <w:snapToGrid w:val="0"/>
        <w:spacing w:line="360" w:lineRule="auto"/>
        <w:ind w:right="420" w:firstLine="5880" w:firstLineChars="2450"/>
        <w:rPr>
          <w:rFonts w:ascii="Arial" w:hAnsi="Arial" w:cs="Arial"/>
          <w:sz w:val="24"/>
        </w:rPr>
      </w:pPr>
    </w:p>
    <w:p w14:paraId="460719E7">
      <w:pPr>
        <w:pStyle w:val="2"/>
        <w:wordWrap w:val="0"/>
        <w:snapToGrid w:val="0"/>
        <w:spacing w:line="360" w:lineRule="auto"/>
        <w:ind w:right="650" w:firstLine="3120" w:firstLineChars="1300"/>
        <w:rPr>
          <w:rFonts w:ascii="Arial" w:hAnsi="Arial" w:cs="Arial"/>
          <w:sz w:val="24"/>
        </w:rPr>
      </w:pPr>
      <w:r>
        <w:rPr>
          <w:rFonts w:ascii="Arial" w:hAnsi="宋体" w:cs="Arial"/>
          <w:sz w:val="24"/>
        </w:rPr>
        <w:t>法定代表人或其授权代理人签字：</w:t>
      </w:r>
      <w:r>
        <w:rPr>
          <w:rFonts w:ascii="Arial" w:hAnsi="Arial" w:cs="Arial"/>
          <w:sz w:val="24"/>
          <w:u w:val="single"/>
        </w:rPr>
        <w:t xml:space="preserve">   </w:t>
      </w:r>
      <w:r>
        <w:rPr>
          <w:rFonts w:hint="eastAsia" w:ascii="Arial" w:hAnsi="Arial" w:cs="Arial"/>
          <w:sz w:val="24"/>
          <w:u w:val="single"/>
        </w:rPr>
        <w:t xml:space="preserve">    </w:t>
      </w:r>
      <w:r>
        <w:rPr>
          <w:rFonts w:ascii="Arial" w:hAnsi="Arial" w:cs="Arial"/>
          <w:sz w:val="24"/>
          <w:u w:val="single"/>
        </w:rPr>
        <w:t xml:space="preserve"> </w:t>
      </w:r>
    </w:p>
    <w:p w14:paraId="4DA8E16A">
      <w:pPr>
        <w:pStyle w:val="5"/>
        <w:spacing w:line="560" w:lineRule="exact"/>
        <w:ind w:right="440" w:firstLine="480"/>
        <w:jc w:val="left"/>
        <w:rPr>
          <w:rFonts w:hint="eastAsia" w:ascii="宋体" w:hAnsi="宋体"/>
          <w:sz w:val="24"/>
          <w:szCs w:val="24"/>
        </w:rPr>
        <w:sectPr>
          <w:pgSz w:w="11906" w:h="16838"/>
          <w:pgMar w:top="1440" w:right="1800" w:bottom="1440" w:left="1800" w:header="851" w:footer="992" w:gutter="0"/>
          <w:cols w:space="425" w:num="1"/>
          <w:docGrid w:type="lines" w:linePitch="312" w:charSpace="0"/>
        </w:sectPr>
      </w:pPr>
      <w:r>
        <w:rPr>
          <w:rFonts w:ascii="Arial" w:hAnsi="Arial" w:cs="Arial"/>
          <w:sz w:val="24"/>
        </w:rPr>
        <w:t xml:space="preserve">                    </w:t>
      </w:r>
      <w:r>
        <w:rPr>
          <w:rFonts w:hint="eastAsia" w:ascii="Arial" w:hAnsi="Arial" w:cs="Arial"/>
          <w:sz w:val="24"/>
        </w:rPr>
        <w:t xml:space="preserve">      </w:t>
      </w:r>
      <w:r>
        <w:rPr>
          <w:rFonts w:ascii="Arial" w:hAnsi="Arial" w:cs="Arial"/>
          <w:sz w:val="24"/>
        </w:rPr>
        <w:t xml:space="preserve"> </w:t>
      </w:r>
      <w:r>
        <w:rPr>
          <w:rFonts w:ascii="Arial" w:hAnsi="Arial" w:cs="Arial"/>
          <w:sz w:val="24"/>
          <w:u w:val="single"/>
        </w:rPr>
        <w:t xml:space="preserve">        </w:t>
      </w:r>
      <w:r>
        <w:rPr>
          <w:rFonts w:ascii="Arial" w:hAnsi="Arial" w:cs="Arial"/>
          <w:sz w:val="24"/>
        </w:rPr>
        <w:t xml:space="preserve"> </w:t>
      </w:r>
      <w:r>
        <w:rPr>
          <w:rFonts w:ascii="Arial" w:hAnsi="宋体" w:cs="Arial"/>
          <w:sz w:val="24"/>
        </w:rPr>
        <w:t>年</w:t>
      </w:r>
      <w:r>
        <w:rPr>
          <w:rFonts w:ascii="Arial" w:hAnsi="Arial" w:cs="Arial"/>
          <w:sz w:val="24"/>
          <w:u w:val="single"/>
        </w:rPr>
        <w:t xml:space="preserve">    </w:t>
      </w:r>
      <w:r>
        <w:rPr>
          <w:rFonts w:ascii="Arial" w:hAnsi="宋体" w:cs="Arial"/>
          <w:sz w:val="24"/>
        </w:rPr>
        <w:t>月</w:t>
      </w:r>
      <w:r>
        <w:rPr>
          <w:rFonts w:ascii="Arial" w:hAnsi="Arial" w:cs="Arial"/>
          <w:sz w:val="24"/>
          <w:u w:val="single"/>
        </w:rPr>
        <w:t xml:space="preserve">   </w:t>
      </w:r>
      <w:r>
        <w:rPr>
          <w:rFonts w:ascii="Arial" w:hAnsi="宋体" w:cs="Arial"/>
          <w:sz w:val="24"/>
        </w:rPr>
        <w:t>日</w:t>
      </w:r>
    </w:p>
    <w:p w14:paraId="67813B7E">
      <w:pPr>
        <w:jc w:val="left"/>
        <w:rPr>
          <w:rFonts w:hint="eastAsia" w:ascii="宋体" w:hAnsi="宋体"/>
          <w:b/>
          <w:kern w:val="0"/>
          <w:sz w:val="32"/>
        </w:rPr>
      </w:pPr>
      <w:r>
        <w:rPr>
          <w:rFonts w:hint="eastAsia" w:ascii="Arial" w:hAnsi="宋体" w:cs="Arial"/>
          <w:b/>
          <w:kern w:val="0"/>
        </w:rPr>
        <w:t>报价表</w:t>
      </w:r>
    </w:p>
    <w:p w14:paraId="63D42F42">
      <w:pPr>
        <w:jc w:val="center"/>
        <w:rPr>
          <w:rFonts w:hint="eastAsia" w:ascii="宋体" w:hAnsi="宋体"/>
          <w:b/>
          <w:kern w:val="0"/>
          <w:sz w:val="32"/>
        </w:rPr>
      </w:pPr>
      <w:r>
        <w:rPr>
          <w:rFonts w:hint="eastAsia" w:ascii="宋体" w:hAnsi="宋体" w:eastAsia="宋体" w:cs="Times New Roman"/>
          <w:b/>
          <w:kern w:val="0"/>
          <w:sz w:val="32"/>
          <w:lang w:val="en-US" w:eastAsia="zh-CN"/>
        </w:rPr>
        <w:t>中铁大桥局集团有限公司新建CZ铁路CZSCZQ-1标段一工区</w:t>
      </w:r>
      <w:r>
        <w:rPr>
          <w:rFonts w:hint="eastAsia" w:ascii="宋体" w:hAnsi="宋体"/>
          <w:b/>
          <w:kern w:val="0"/>
          <w:sz w:val="32"/>
        </w:rPr>
        <w:t>废钢材处理报价表</w:t>
      </w:r>
    </w:p>
    <w:tbl>
      <w:tblPr>
        <w:tblStyle w:val="3"/>
        <w:tblpPr w:leftFromText="180" w:rightFromText="180" w:vertAnchor="text" w:horzAnchor="margin" w:tblpXSpec="center" w:tblpY="85"/>
        <w:tblOverlap w:val="never"/>
        <w:tblW w:w="13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336"/>
        <w:gridCol w:w="996"/>
        <w:gridCol w:w="709"/>
        <w:gridCol w:w="1903"/>
        <w:gridCol w:w="2268"/>
        <w:gridCol w:w="1842"/>
        <w:gridCol w:w="1701"/>
        <w:gridCol w:w="1701"/>
      </w:tblGrid>
      <w:tr w14:paraId="407A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E25D2B0">
            <w:pPr>
              <w:spacing w:line="260" w:lineRule="exact"/>
              <w:jc w:val="center"/>
              <w:rPr>
                <w:rFonts w:ascii="Arial" w:hAnsi="Arial"/>
              </w:rPr>
            </w:pPr>
            <w:r>
              <w:rPr>
                <w:rFonts w:hint="eastAsia" w:ascii="Arial" w:hAnsi="宋体"/>
              </w:rPr>
              <w:t>序号</w:t>
            </w:r>
          </w:p>
        </w:tc>
        <w:tc>
          <w:tcPr>
            <w:tcW w:w="133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C10905D">
            <w:pPr>
              <w:spacing w:line="260" w:lineRule="exact"/>
              <w:jc w:val="center"/>
              <w:rPr>
                <w:rFonts w:ascii="Arial" w:hAnsi="Arial"/>
              </w:rPr>
            </w:pPr>
            <w:r>
              <w:rPr>
                <w:rFonts w:hint="eastAsia" w:ascii="Arial" w:hAnsi="宋体"/>
              </w:rPr>
              <w:t>物资种类</w:t>
            </w:r>
          </w:p>
        </w:tc>
        <w:tc>
          <w:tcPr>
            <w:tcW w:w="99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27F253D">
            <w:pPr>
              <w:spacing w:line="260" w:lineRule="exact"/>
              <w:jc w:val="center"/>
              <w:rPr>
                <w:rFonts w:ascii="Arial" w:hAnsi="Arial"/>
              </w:rPr>
            </w:pPr>
            <w:r>
              <w:rPr>
                <w:rFonts w:hint="eastAsia" w:ascii="Arial" w:hAnsi="宋体"/>
              </w:rPr>
              <w:t>规格型号</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2C46CE6">
            <w:pPr>
              <w:spacing w:line="260" w:lineRule="exact"/>
              <w:jc w:val="center"/>
              <w:rPr>
                <w:rFonts w:ascii="Arial" w:hAnsi="Arial"/>
              </w:rPr>
            </w:pPr>
            <w:r>
              <w:rPr>
                <w:rFonts w:hint="eastAsia" w:ascii="Arial" w:hAnsi="宋体"/>
              </w:rPr>
              <w:t>单位</w:t>
            </w:r>
          </w:p>
        </w:tc>
        <w:tc>
          <w:tcPr>
            <w:tcW w:w="1903" w:type="dxa"/>
            <w:tcBorders>
              <w:top w:val="single" w:color="auto" w:sz="4" w:space="0"/>
              <w:left w:val="single" w:color="auto" w:sz="4" w:space="0"/>
              <w:bottom w:val="single" w:color="auto" w:sz="4" w:space="0"/>
              <w:right w:val="single" w:color="auto" w:sz="4" w:space="0"/>
              <w:tl2br w:val="nil"/>
              <w:tr2bl w:val="nil"/>
            </w:tcBorders>
            <w:vAlign w:val="center"/>
          </w:tcPr>
          <w:p w14:paraId="7492A84A">
            <w:pPr>
              <w:jc w:val="center"/>
              <w:rPr>
                <w:rFonts w:hint="eastAsia" w:ascii="宋体" w:hAnsi="宋体"/>
                <w:color w:val="000000"/>
              </w:rPr>
            </w:pPr>
            <w:r>
              <w:rPr>
                <w:rFonts w:hint="eastAsia" w:ascii="宋体" w:hAnsi="宋体"/>
                <w:color w:val="000000"/>
              </w:rPr>
              <w:t>预估数量</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14:paraId="394F1F16">
            <w:pPr>
              <w:jc w:val="center"/>
              <w:rPr>
                <w:rFonts w:hint="eastAsia" w:ascii="宋体" w:hAnsi="宋体"/>
                <w:b/>
              </w:rPr>
            </w:pPr>
            <w:r>
              <w:rPr>
                <w:rFonts w:hint="eastAsia" w:ascii="宋体" w:hAnsi="宋体"/>
                <w:color w:val="000000"/>
                <w:lang w:val="en-US" w:eastAsia="zh-CN"/>
              </w:rPr>
              <w:t>不含税</w:t>
            </w:r>
            <w:r>
              <w:rPr>
                <w:rFonts w:hint="eastAsia" w:ascii="宋体" w:hAnsi="宋体"/>
                <w:color w:val="000000"/>
              </w:rPr>
              <w:t>基准价（元</w:t>
            </w:r>
            <w:r>
              <w:rPr>
                <w:rFonts w:hint="eastAsia" w:ascii="宋体" w:hAnsi="宋体"/>
                <w:color w:val="000000"/>
                <w:lang w:val="en-US" w:eastAsia="zh-CN"/>
              </w:rPr>
              <w:t>/吨</w:t>
            </w:r>
            <w:r>
              <w:rPr>
                <w:rFonts w:hint="eastAsia" w:ascii="宋体" w:hAnsi="宋体"/>
                <w:color w:val="000000"/>
              </w:rPr>
              <w:t>）</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14:paraId="2B6860BE">
            <w:pPr>
              <w:jc w:val="center"/>
              <w:rPr>
                <w:rFonts w:hint="eastAsia" w:ascii="宋体" w:hAnsi="宋体"/>
              </w:rPr>
            </w:pPr>
            <w:r>
              <w:rPr>
                <w:rFonts w:hint="eastAsia" w:ascii="宋体" w:hAnsi="宋体"/>
                <w:color w:val="000000"/>
                <w:lang w:val="en-US" w:eastAsia="zh-CN"/>
              </w:rPr>
              <w:t>不含税</w:t>
            </w:r>
            <w:r>
              <w:rPr>
                <w:rFonts w:hint="eastAsia" w:ascii="宋体" w:hAnsi="宋体"/>
              </w:rPr>
              <w:t>综合</w:t>
            </w:r>
            <w:r>
              <w:rPr>
                <w:rFonts w:hint="eastAsia" w:ascii="宋体" w:hAnsi="宋体"/>
                <w:lang w:val="en-US" w:eastAsia="zh-CN"/>
              </w:rPr>
              <w:t>费用</w:t>
            </w:r>
            <w:r>
              <w:rPr>
                <w:rFonts w:hint="eastAsia" w:ascii="宋体" w:hAnsi="宋体"/>
              </w:rPr>
              <w:t>（</w:t>
            </w:r>
            <w:r>
              <w:rPr>
                <w:rFonts w:hint="eastAsia" w:ascii="宋体" w:hAnsi="宋体"/>
                <w:color w:val="000000"/>
              </w:rPr>
              <w:t>元</w:t>
            </w:r>
            <w:r>
              <w:rPr>
                <w:rFonts w:hint="eastAsia" w:ascii="宋体" w:hAnsi="宋体"/>
                <w:color w:val="000000"/>
                <w:lang w:val="en-US" w:eastAsia="zh-CN"/>
              </w:rPr>
              <w:t>/吨</w:t>
            </w:r>
            <w:r>
              <w:rPr>
                <w:rFonts w:hint="eastAsia" w:ascii="宋体" w:hAnsi="宋体"/>
              </w:rPr>
              <w:t>）</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E541304">
            <w:pPr>
              <w:spacing w:line="260" w:lineRule="exact"/>
              <w:jc w:val="center"/>
              <w:rPr>
                <w:rFonts w:ascii="Arial" w:hAnsi="Arial"/>
              </w:rPr>
            </w:pPr>
            <w:r>
              <w:rPr>
                <w:rFonts w:hint="eastAsia" w:ascii="Arial" w:hAnsi="Arial"/>
                <w:lang w:val="en-US" w:eastAsia="zh-CN"/>
              </w:rPr>
              <w:t>不含税</w:t>
            </w:r>
            <w:r>
              <w:rPr>
                <w:rFonts w:hint="eastAsia" w:ascii="Arial" w:hAnsi="Arial"/>
              </w:rPr>
              <w:t>结算价（</w:t>
            </w:r>
            <w:r>
              <w:rPr>
                <w:rFonts w:hint="eastAsia" w:ascii="宋体" w:hAnsi="宋体"/>
                <w:color w:val="000000"/>
              </w:rPr>
              <w:t>元</w:t>
            </w:r>
            <w:r>
              <w:rPr>
                <w:rFonts w:hint="eastAsia" w:ascii="宋体" w:hAnsi="宋体"/>
                <w:color w:val="000000"/>
                <w:lang w:val="en-US" w:eastAsia="zh-CN"/>
              </w:rPr>
              <w:t>/吨</w:t>
            </w:r>
            <w:r>
              <w:rPr>
                <w:rFonts w:hint="eastAsia" w:ascii="Arial" w:hAnsi="Arial"/>
              </w:rPr>
              <w:t>）</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A6A70EB">
            <w:pPr>
              <w:spacing w:line="260" w:lineRule="exact"/>
              <w:jc w:val="center"/>
              <w:rPr>
                <w:rFonts w:ascii="Arial" w:hAnsi="Arial"/>
              </w:rPr>
            </w:pPr>
            <w:r>
              <w:rPr>
                <w:rFonts w:hint="eastAsia" w:ascii="Arial" w:hAnsi="Arial"/>
                <w:lang w:val="en-US" w:eastAsia="zh-CN"/>
              </w:rPr>
              <w:t>不含税</w:t>
            </w:r>
            <w:r>
              <w:rPr>
                <w:rFonts w:hint="eastAsia" w:ascii="Arial" w:hAnsi="Arial"/>
              </w:rPr>
              <w:t>合计（元）</w:t>
            </w:r>
          </w:p>
        </w:tc>
      </w:tr>
      <w:tr w14:paraId="0E11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404BBBE">
            <w:pPr>
              <w:spacing w:line="260" w:lineRule="exact"/>
              <w:jc w:val="center"/>
              <w:rPr>
                <w:rFonts w:ascii="Arial" w:hAnsi="Arial"/>
              </w:rPr>
            </w:pPr>
          </w:p>
        </w:tc>
        <w:tc>
          <w:tcPr>
            <w:tcW w:w="13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4A3344E">
            <w:pPr>
              <w:spacing w:line="260" w:lineRule="exact"/>
              <w:jc w:val="center"/>
              <w:rPr>
                <w:rFonts w:hint="eastAsia" w:ascii="Arial" w:hAnsi="宋体"/>
                <w:b/>
                <w:sz w:val="22"/>
              </w:rPr>
            </w:pPr>
          </w:p>
        </w:tc>
        <w:tc>
          <w:tcPr>
            <w:tcW w:w="9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41A445E">
            <w:pPr>
              <w:autoSpaceDN w:val="0"/>
              <w:spacing w:line="260" w:lineRule="exact"/>
              <w:jc w:val="center"/>
              <w:textAlignment w:val="center"/>
              <w:rPr>
                <w:rFonts w:ascii="Arial" w:hAnsi="Arial"/>
                <w:b/>
                <w:sz w:val="22"/>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EBD8E2E">
            <w:pPr>
              <w:spacing w:line="260" w:lineRule="exact"/>
              <w:jc w:val="center"/>
              <w:rPr>
                <w:rFonts w:hint="eastAsia" w:ascii="Arial" w:hAnsi="宋体"/>
                <w:sz w:val="24"/>
              </w:rPr>
            </w:pPr>
          </w:p>
        </w:tc>
        <w:tc>
          <w:tcPr>
            <w:tcW w:w="1903" w:type="dxa"/>
            <w:tcBorders>
              <w:top w:val="single" w:color="auto" w:sz="4" w:space="0"/>
              <w:left w:val="single" w:color="auto" w:sz="4" w:space="0"/>
              <w:bottom w:val="single" w:color="auto" w:sz="4" w:space="0"/>
              <w:right w:val="single" w:color="auto" w:sz="4" w:space="0"/>
              <w:tl2br w:val="nil"/>
              <w:tr2bl w:val="nil"/>
            </w:tcBorders>
            <w:vAlign w:val="center"/>
          </w:tcPr>
          <w:p w14:paraId="49047837">
            <w:pPr>
              <w:autoSpaceDN w:val="0"/>
              <w:jc w:val="center"/>
              <w:textAlignment w:val="center"/>
              <w:rPr>
                <w:rFonts w:hint="eastAsia" w:ascii="宋体" w:hAnsi="宋体"/>
              </w:rPr>
            </w:pPr>
            <w:r>
              <w:rPr>
                <w:rFonts w:hint="eastAsia" w:ascii="宋体" w:hAnsi="宋体"/>
              </w:rPr>
              <w:t>（1）</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14:paraId="4B84B969">
            <w:pPr>
              <w:jc w:val="center"/>
              <w:rPr>
                <w:rFonts w:hint="eastAsia" w:ascii="宋体" w:hAnsi="宋体"/>
              </w:rPr>
            </w:pPr>
            <w:r>
              <w:rPr>
                <w:rFonts w:hint="eastAsia" w:ascii="宋体" w:hAnsi="宋体"/>
              </w:rPr>
              <w:t>(2)</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14:paraId="3DC9CC68">
            <w:pPr>
              <w:jc w:val="center"/>
              <w:rPr>
                <w:rFonts w:hint="eastAsia" w:ascii="宋体" w:hAnsi="宋体"/>
              </w:rPr>
            </w:pPr>
            <w:r>
              <w:rPr>
                <w:rFonts w:hint="eastAsia" w:ascii="宋体" w:hAnsi="宋体"/>
              </w:rPr>
              <w:t>(3)</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01B394C4">
            <w:pPr>
              <w:jc w:val="center"/>
              <w:rPr>
                <w:rFonts w:hint="eastAsia" w:ascii="宋体" w:hAnsi="宋体"/>
              </w:rPr>
            </w:pPr>
            <w:r>
              <w:rPr>
                <w:rFonts w:hint="eastAsia" w:ascii="宋体" w:hAnsi="宋体"/>
              </w:rPr>
              <w:t>（4）=（2）-（3）</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15ED4A7">
            <w:pPr>
              <w:jc w:val="center"/>
              <w:rPr>
                <w:rFonts w:hint="eastAsia" w:ascii="宋体" w:hAnsi="宋体"/>
              </w:rPr>
            </w:pPr>
            <w:r>
              <w:rPr>
                <w:rFonts w:hint="eastAsia" w:ascii="宋体" w:hAnsi="宋体"/>
              </w:rPr>
              <w:t>（5）=（1）*（4）</w:t>
            </w:r>
          </w:p>
        </w:tc>
      </w:tr>
      <w:tr w14:paraId="7CED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93" w:type="dxa"/>
            <w:tcBorders>
              <w:top w:val="single" w:color="auto" w:sz="4" w:space="0"/>
              <w:left w:val="single" w:color="auto" w:sz="4" w:space="0"/>
              <w:bottom w:val="single" w:color="auto" w:sz="4" w:space="0"/>
              <w:right w:val="single" w:color="auto" w:sz="4" w:space="0"/>
              <w:tl2br w:val="nil"/>
              <w:tr2bl w:val="nil"/>
            </w:tcBorders>
            <w:vAlign w:val="center"/>
          </w:tcPr>
          <w:p w14:paraId="3E2E7D72">
            <w:pPr>
              <w:spacing w:line="260" w:lineRule="exact"/>
              <w:jc w:val="center"/>
              <w:rPr>
                <w:rFonts w:ascii="Arial" w:hAnsi="Arial"/>
              </w:rPr>
            </w:pPr>
            <w:r>
              <w:rPr>
                <w:rFonts w:ascii="Arial" w:hAnsi="Arial"/>
              </w:rPr>
              <w:t>1</w:t>
            </w:r>
          </w:p>
        </w:tc>
        <w:tc>
          <w:tcPr>
            <w:tcW w:w="1336" w:type="dxa"/>
            <w:tcBorders>
              <w:top w:val="single" w:color="auto" w:sz="4" w:space="0"/>
              <w:left w:val="single" w:color="auto" w:sz="4" w:space="0"/>
              <w:bottom w:val="single" w:color="auto" w:sz="4" w:space="0"/>
              <w:right w:val="single" w:color="auto" w:sz="4" w:space="0"/>
              <w:tl2br w:val="nil"/>
              <w:tr2bl w:val="nil"/>
            </w:tcBorders>
            <w:vAlign w:val="center"/>
          </w:tcPr>
          <w:p w14:paraId="188F5FD3">
            <w:pPr>
              <w:spacing w:line="280" w:lineRule="exact"/>
              <w:jc w:val="center"/>
              <w:rPr>
                <w:rFonts w:ascii="Arial" w:hAnsi="Arial"/>
              </w:rPr>
            </w:pPr>
            <w:r>
              <w:rPr>
                <w:rFonts w:hint="eastAsia" w:ascii="宋体" w:hAnsi="宋体"/>
                <w:color w:val="000000"/>
                <w:kern w:val="0"/>
                <w:sz w:val="24"/>
                <w:lang w:val="en-US" w:eastAsia="zh-CN"/>
              </w:rPr>
              <w:t>废旧型材、钢模板、边角料</w:t>
            </w:r>
            <w:r>
              <w:rPr>
                <w:rFonts w:ascii="宋体" w:hAnsi="宋体"/>
                <w:color w:val="000000"/>
                <w:kern w:val="0"/>
                <w:sz w:val="24"/>
              </w:rPr>
              <w:t>　</w:t>
            </w:r>
          </w:p>
        </w:tc>
        <w:tc>
          <w:tcPr>
            <w:tcW w:w="996" w:type="dxa"/>
            <w:tcBorders>
              <w:top w:val="single" w:color="auto" w:sz="4" w:space="0"/>
              <w:left w:val="single" w:color="auto" w:sz="4" w:space="0"/>
              <w:bottom w:val="single" w:color="auto" w:sz="4" w:space="0"/>
              <w:right w:val="single" w:color="auto" w:sz="4" w:space="0"/>
              <w:tl2br w:val="nil"/>
              <w:tr2bl w:val="nil"/>
            </w:tcBorders>
            <w:vAlign w:val="center"/>
          </w:tcPr>
          <w:p w14:paraId="4F5BDA39">
            <w:pPr>
              <w:spacing w:line="260" w:lineRule="exact"/>
              <w:jc w:val="center"/>
              <w:rPr>
                <w:rFonts w:ascii="Arial" w:hAnsi="Arial"/>
              </w:rPr>
            </w:pPr>
            <w:r>
              <w:rPr>
                <w:rFonts w:hint="eastAsia" w:ascii="Arial" w:hAnsi="Arial"/>
              </w:rPr>
              <w:t>各型号</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11CF9BDE">
            <w:pPr>
              <w:spacing w:line="260" w:lineRule="exact"/>
              <w:jc w:val="center"/>
              <w:rPr>
                <w:rFonts w:ascii="Arial" w:hAnsi="Arial"/>
              </w:rPr>
            </w:pPr>
            <w:r>
              <w:rPr>
                <w:rFonts w:hint="eastAsia" w:ascii="Arial" w:hAnsi="Arial"/>
              </w:rPr>
              <w:t>吨</w:t>
            </w:r>
          </w:p>
        </w:tc>
        <w:tc>
          <w:tcPr>
            <w:tcW w:w="1903" w:type="dxa"/>
            <w:tcBorders>
              <w:top w:val="single" w:color="auto" w:sz="4" w:space="0"/>
              <w:left w:val="single" w:color="auto" w:sz="4" w:space="0"/>
              <w:bottom w:val="single" w:color="auto" w:sz="4" w:space="0"/>
              <w:right w:val="single" w:color="auto" w:sz="4" w:space="0"/>
              <w:tl2br w:val="nil"/>
              <w:tr2bl w:val="nil"/>
            </w:tcBorders>
            <w:vAlign w:val="center"/>
          </w:tcPr>
          <w:p w14:paraId="649B6159">
            <w:pPr>
              <w:spacing w:line="260" w:lineRule="exact"/>
              <w:jc w:val="center"/>
              <w:rPr>
                <w:rFonts w:hint="default" w:ascii="Arial" w:hAnsi="Arial" w:eastAsia="宋体"/>
                <w:lang w:val="en-US" w:eastAsia="zh-CN"/>
              </w:rPr>
            </w:pPr>
            <w:r>
              <w:rPr>
                <w:rFonts w:hint="eastAsia" w:ascii="Arial" w:hAnsi="Arial"/>
                <w:lang w:val="en-US" w:eastAsia="zh-CN"/>
              </w:rPr>
              <w:t>500</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14:paraId="37F27B09">
            <w:pPr>
              <w:spacing w:line="260" w:lineRule="exact"/>
              <w:jc w:val="center"/>
              <w:rPr>
                <w:rFonts w:hint="default" w:ascii="Arial" w:hAnsi="Arial" w:eastAsia="宋体"/>
                <w:lang w:val="en-US" w:eastAsia="zh-CN"/>
              </w:rPr>
            </w:pPr>
            <w:r>
              <w:rPr>
                <w:rFonts w:hint="eastAsia" w:ascii="Arial" w:hAnsi="Arial"/>
                <w:lang w:val="en-US" w:eastAsia="zh-CN"/>
              </w:rPr>
              <w:t>2150</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14:paraId="6C66CABB">
            <w:pPr>
              <w:spacing w:line="260" w:lineRule="exact"/>
              <w:jc w:val="center"/>
              <w:rPr>
                <w:rFonts w:ascii="Arial" w:hAnsi="Arial"/>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E7C4632">
            <w:pPr>
              <w:spacing w:line="260" w:lineRule="exact"/>
              <w:jc w:val="center"/>
              <w:rPr>
                <w:rFonts w:ascii="Arial" w:hAnsi="Arial"/>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409DB31F">
            <w:pPr>
              <w:spacing w:line="260" w:lineRule="exact"/>
              <w:jc w:val="center"/>
              <w:rPr>
                <w:rFonts w:ascii="Arial" w:hAnsi="Arial"/>
              </w:rPr>
            </w:pPr>
          </w:p>
        </w:tc>
      </w:tr>
    </w:tbl>
    <w:p w14:paraId="3F528436">
      <w:pPr>
        <w:shd w:val="clear" w:color="auto" w:fill="FFFFFF"/>
        <w:ind w:firstLine="1200" w:firstLineChars="500"/>
        <w:jc w:val="left"/>
        <w:rPr>
          <w:rFonts w:hint="eastAsia" w:ascii="宋体" w:hAnsi="宋体"/>
          <w:kern w:val="0"/>
          <w:sz w:val="24"/>
        </w:rPr>
      </w:pPr>
      <w:r>
        <w:rPr>
          <w:rFonts w:hint="eastAsia" w:ascii="宋体" w:hAnsi="宋体"/>
          <w:kern w:val="0"/>
          <w:sz w:val="24"/>
        </w:rPr>
        <w:t>1、以上报价为</w:t>
      </w:r>
      <w:r>
        <w:rPr>
          <w:rFonts w:hint="eastAsia" w:ascii="宋体" w:hAnsi="宋体"/>
          <w:kern w:val="0"/>
          <w:sz w:val="24"/>
          <w:lang w:val="en-US" w:eastAsia="zh-CN"/>
        </w:rPr>
        <w:t>不</w:t>
      </w:r>
      <w:r>
        <w:rPr>
          <w:rFonts w:hint="eastAsia" w:ascii="宋体" w:hAnsi="宋体"/>
          <w:kern w:val="0"/>
          <w:sz w:val="24"/>
        </w:rPr>
        <w:t>含增值税价格；</w:t>
      </w:r>
    </w:p>
    <w:p w14:paraId="5BA6EE99">
      <w:pPr>
        <w:shd w:val="clear" w:color="auto" w:fill="FFFFFF"/>
        <w:ind w:firstLine="1200" w:firstLineChars="500"/>
        <w:jc w:val="left"/>
        <w:rPr>
          <w:rFonts w:hint="eastAsia" w:ascii="宋体" w:hAnsi="宋体"/>
          <w:kern w:val="0"/>
          <w:sz w:val="24"/>
        </w:rPr>
      </w:pPr>
      <w:r>
        <w:rPr>
          <w:rFonts w:hint="eastAsia" w:ascii="宋体" w:hAnsi="宋体"/>
          <w:kern w:val="0"/>
          <w:sz w:val="24"/>
        </w:rPr>
        <w:t>2、以上物资数量为预估数量，废钢材数量以实际处理数量为准，出售方有权根据工程实际情况调整供应物资的品种、规格和数量。</w:t>
      </w:r>
    </w:p>
    <w:p w14:paraId="2E1C3B66">
      <w:pPr>
        <w:shd w:val="clear" w:color="auto" w:fill="FFFFFF"/>
        <w:ind w:firstLine="1200" w:firstLineChars="500"/>
        <w:jc w:val="left"/>
        <w:rPr>
          <w:rFonts w:hint="eastAsia" w:ascii="宋体" w:hAnsi="宋体"/>
          <w:kern w:val="0"/>
          <w:sz w:val="24"/>
        </w:rPr>
      </w:pPr>
      <w:r>
        <w:rPr>
          <w:rFonts w:hint="eastAsia" w:ascii="宋体" w:hAnsi="宋体"/>
          <w:kern w:val="0"/>
          <w:sz w:val="24"/>
        </w:rPr>
        <w:t>3、废旧物资出售价格实行浮动单价结算，单价调整方法：</w:t>
      </w:r>
      <w:r>
        <w:rPr>
          <w:rFonts w:hint="eastAsia" w:ascii="宋体" w:hAnsi="宋体"/>
          <w:kern w:val="0"/>
          <w:sz w:val="24"/>
          <w:lang w:val="en-US" w:eastAsia="zh-CN"/>
        </w:rPr>
        <w:t>不含税</w:t>
      </w:r>
      <w:r>
        <w:rPr>
          <w:rFonts w:hint="eastAsia" w:ascii="宋体" w:hAnsi="宋体"/>
          <w:kern w:val="0"/>
          <w:sz w:val="24"/>
        </w:rPr>
        <w:t>结算单价=</w:t>
      </w:r>
      <w:r>
        <w:rPr>
          <w:rFonts w:hint="eastAsia" w:ascii="宋体" w:hAnsi="宋体"/>
          <w:kern w:val="0"/>
          <w:sz w:val="24"/>
          <w:lang w:val="en-US" w:eastAsia="zh-CN"/>
        </w:rPr>
        <w:t>不含税</w:t>
      </w:r>
      <w:r>
        <w:rPr>
          <w:rFonts w:hint="eastAsia" w:asciiTheme="minorEastAsia" w:hAnsiTheme="minorEastAsia" w:cstheme="minorEastAsia"/>
          <w:sz w:val="24"/>
        </w:rPr>
        <w:t>基准价</w:t>
      </w:r>
      <w:r>
        <w:rPr>
          <w:rFonts w:hint="eastAsia" w:asciiTheme="minorEastAsia" w:hAnsiTheme="minorEastAsia" w:cstheme="minorEastAsia"/>
          <w:sz w:val="24"/>
          <w:lang w:val="en-US" w:eastAsia="zh-CN"/>
        </w:rPr>
        <w:t>+</w:t>
      </w:r>
      <w:r>
        <w:rPr>
          <w:rFonts w:hint="eastAsia" w:ascii="宋体" w:hAnsi="宋体"/>
          <w:kern w:val="0"/>
          <w:sz w:val="24"/>
          <w:lang w:val="en-US" w:eastAsia="zh-CN"/>
        </w:rPr>
        <w:t>不含税</w:t>
      </w:r>
      <w:r>
        <w:rPr>
          <w:rFonts w:hint="eastAsia" w:asciiTheme="minorEastAsia" w:hAnsiTheme="minorEastAsia" w:cstheme="minorEastAsia"/>
          <w:sz w:val="24"/>
        </w:rPr>
        <w:t>综合单价。</w:t>
      </w:r>
    </w:p>
    <w:p w14:paraId="5A42E5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Theme="minorEastAsia" w:hAnsiTheme="minorEastAsia" w:cstheme="minorEastAsia"/>
          <w:bCs/>
          <w:color w:val="FF0000"/>
          <w:sz w:val="24"/>
        </w:rPr>
      </w:pPr>
      <w:r>
        <w:rPr>
          <w:rFonts w:hint="eastAsia" w:ascii="宋体" w:hAnsi="宋体"/>
          <w:kern w:val="0"/>
          <w:sz w:val="24"/>
        </w:rPr>
        <w:t>（1）基准价：</w:t>
      </w:r>
      <w:r>
        <w:rPr>
          <w:rFonts w:hint="eastAsia" w:asciiTheme="minorEastAsia" w:hAnsiTheme="minorEastAsia" w:cstheme="minorEastAsia"/>
          <w:sz w:val="24"/>
          <w:lang w:eastAsia="zh-CN"/>
        </w:rPr>
        <w:t>基准价为处理</w:t>
      </w:r>
      <w:r>
        <w:rPr>
          <w:rFonts w:hint="eastAsia" w:asciiTheme="minorEastAsia" w:hAnsiTheme="minorEastAsia" w:cstheme="minorEastAsia"/>
          <w:sz w:val="24"/>
          <w:lang w:val="en-US" w:eastAsia="zh-CN"/>
        </w:rPr>
        <w:t>前一</w:t>
      </w:r>
      <w:r>
        <w:rPr>
          <w:rFonts w:hint="eastAsia" w:asciiTheme="minorEastAsia" w:hAnsiTheme="minorEastAsia" w:cstheme="minorEastAsia"/>
          <w:sz w:val="24"/>
          <w:lang w:eastAsia="zh-CN"/>
        </w:rPr>
        <w:t>日</w:t>
      </w:r>
      <w:r>
        <w:rPr>
          <w:rFonts w:hint="eastAsia" w:asciiTheme="minorEastAsia" w:hAnsiTheme="minorEastAsia" w:cstheme="minorEastAsia"/>
          <w:sz w:val="24"/>
          <w:lang w:val="en-US" w:eastAsia="zh-CN"/>
        </w:rPr>
        <w:t>成都</w:t>
      </w:r>
      <w:r>
        <w:rPr>
          <w:rFonts w:hint="eastAsia" w:asciiTheme="minorEastAsia" w:hAnsiTheme="minorEastAsia" w:cstheme="minorEastAsia"/>
          <w:sz w:val="24"/>
          <w:lang w:eastAsia="zh-CN"/>
        </w:rPr>
        <w:t>市场对应《我的钢铁网》上面市场公布</w:t>
      </w:r>
      <w:r>
        <w:rPr>
          <w:rFonts w:hint="eastAsia" w:asciiTheme="minorEastAsia" w:hAnsiTheme="minorEastAsia" w:cstheme="minorEastAsia"/>
          <w:sz w:val="24"/>
          <w:lang w:val="en-US" w:eastAsia="zh-CN"/>
        </w:rPr>
        <w:t>的废钢（重废，厚度≥6mm）中间价为不含税价</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如遇节假日未公布则按前一工作日发布的价格计算，若一日内公布多个价格以第一次发布的价格为准。</w:t>
      </w:r>
      <w:r>
        <w:rPr>
          <w:rFonts w:hint="eastAsia" w:asciiTheme="minorEastAsia" w:hAnsiTheme="minorEastAsia" w:cstheme="minorEastAsia"/>
          <w:sz w:val="24"/>
          <w:lang w:eastAsia="zh-CN"/>
        </w:rPr>
        <w:t>为便于报价本次</w:t>
      </w:r>
      <w:r>
        <w:rPr>
          <w:rFonts w:hint="eastAsia" w:asciiTheme="minorEastAsia" w:hAnsiTheme="minorEastAsia" w:cstheme="minorEastAsia"/>
          <w:sz w:val="24"/>
          <w:lang w:val="en-US" w:eastAsia="zh-CN"/>
        </w:rPr>
        <w:t>废旧型材、钢模板、边角料</w:t>
      </w:r>
      <w:r>
        <w:rPr>
          <w:rFonts w:hint="eastAsia" w:asciiTheme="minorEastAsia" w:hAnsiTheme="minorEastAsia" w:cstheme="minorEastAsia"/>
          <w:sz w:val="24"/>
          <w:lang w:eastAsia="zh-CN"/>
        </w:rPr>
        <w:t>基准价统一设定为</w:t>
      </w:r>
      <w:r>
        <w:rPr>
          <w:rFonts w:hint="eastAsia" w:asciiTheme="minorEastAsia" w:hAnsiTheme="minorEastAsia" w:cstheme="minorEastAsia"/>
          <w:sz w:val="24"/>
          <w:lang w:val="en-US" w:eastAsia="zh-CN"/>
        </w:rPr>
        <w:t>2150</w:t>
      </w:r>
      <w:r>
        <w:rPr>
          <w:rFonts w:hint="eastAsia" w:asciiTheme="minorEastAsia" w:hAnsiTheme="minorEastAsia" w:cstheme="minorEastAsia"/>
          <w:sz w:val="24"/>
          <w:lang w:eastAsia="zh-CN"/>
        </w:rPr>
        <w:t>元/吨。</w:t>
      </w:r>
    </w:p>
    <w:p w14:paraId="318057A0">
      <w:pPr>
        <w:shd w:val="clear" w:color="auto" w:fill="FFFFFF"/>
        <w:ind w:firstLine="1200" w:firstLineChars="500"/>
        <w:jc w:val="left"/>
        <w:rPr>
          <w:rFonts w:hint="eastAsia" w:ascii="宋体" w:hAnsi="宋体"/>
          <w:kern w:val="0"/>
          <w:sz w:val="24"/>
        </w:rPr>
      </w:pPr>
      <w:r>
        <w:rPr>
          <w:rFonts w:hint="eastAsia" w:ascii="宋体" w:hAnsi="宋体"/>
          <w:kern w:val="0"/>
          <w:sz w:val="24"/>
        </w:rPr>
        <w:t>（2）</w:t>
      </w:r>
      <w:r>
        <w:rPr>
          <w:rFonts w:hint="eastAsia" w:asciiTheme="minorEastAsia" w:hAnsiTheme="minorEastAsia" w:cstheme="minorEastAsia"/>
          <w:sz w:val="24"/>
        </w:rPr>
        <w:t>综合</w:t>
      </w:r>
      <w:r>
        <w:rPr>
          <w:rFonts w:hint="eastAsia" w:asciiTheme="minorEastAsia" w:hAnsiTheme="minorEastAsia" w:cstheme="minorEastAsia"/>
          <w:sz w:val="24"/>
          <w:lang w:val="en-US" w:eastAsia="zh-CN"/>
        </w:rPr>
        <w:t>费用</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综合费用为不含税单价，可以为负值，本费用包含在甲方项目场地内外</w:t>
      </w:r>
      <w:r>
        <w:rPr>
          <w:rFonts w:hint="eastAsia" w:ascii="宋体" w:hAnsi="宋体"/>
          <w:color w:val="000000"/>
          <w:kern w:val="0"/>
          <w:sz w:val="24"/>
          <w:lang w:val="en-US" w:eastAsia="zh-CN"/>
        </w:rPr>
        <w:t>废钢模板、型钢（挂篮杆件）</w:t>
      </w:r>
      <w:r>
        <w:rPr>
          <w:rFonts w:hint="eastAsia" w:asciiTheme="minorEastAsia" w:hAnsiTheme="minorEastAsia" w:cstheme="minorEastAsia"/>
          <w:sz w:val="24"/>
          <w:lang w:val="en-US" w:eastAsia="zh-CN"/>
        </w:rPr>
        <w:t>等其他废旧物资的解体、切割、装车、运输、人工、利润等一切费用。在合同履行期间不作调整。</w:t>
      </w:r>
    </w:p>
    <w:p w14:paraId="23AE593D">
      <w:pPr>
        <w:shd w:val="clear" w:color="auto" w:fill="FFFFFF"/>
        <w:ind w:firstLine="1200" w:firstLineChars="500"/>
        <w:jc w:val="left"/>
        <w:rPr>
          <w:rFonts w:hint="eastAsia" w:ascii="宋体" w:hAnsi="宋体"/>
          <w:kern w:val="0"/>
          <w:sz w:val="22"/>
        </w:rPr>
      </w:pPr>
      <w:r>
        <w:rPr>
          <w:rFonts w:hint="eastAsia" w:ascii="宋体" w:hAnsi="宋体"/>
          <w:kern w:val="0"/>
          <w:sz w:val="24"/>
        </w:rPr>
        <w:t>（3）我的钢铁网未公布的典型料型价格的确定：我的钢铁网未公布典型料型的基准价比照该网已公布最接近的典型料型的基准价进行确定。</w:t>
      </w:r>
    </w:p>
    <w:p w14:paraId="72A230E7">
      <w:pPr>
        <w:wordWrap w:val="0"/>
        <w:spacing w:line="360" w:lineRule="auto"/>
        <w:ind w:right="1281"/>
        <w:jc w:val="right"/>
        <w:rPr>
          <w:rFonts w:hint="eastAsia" w:ascii="宋体" w:hAnsi="宋体"/>
          <w:color w:val="000000"/>
          <w:kern w:val="0"/>
          <w:sz w:val="40"/>
        </w:rPr>
      </w:pPr>
      <w:r>
        <w:rPr>
          <w:rFonts w:hint="eastAsia" w:ascii="宋体" w:hAnsi="宋体"/>
          <w:sz w:val="24"/>
        </w:rPr>
        <w:t xml:space="preserve">报价单位：（盖章）                </w:t>
      </w:r>
    </w:p>
    <w:p w14:paraId="65F0E3EA">
      <w:pPr>
        <w:wordWrap w:val="0"/>
        <w:spacing w:line="360" w:lineRule="auto"/>
        <w:ind w:right="1281"/>
        <w:jc w:val="right"/>
        <w:rPr>
          <w:rFonts w:hint="eastAsia" w:ascii="宋体" w:hAnsi="宋体"/>
          <w:color w:val="000000"/>
          <w:kern w:val="0"/>
          <w:sz w:val="40"/>
        </w:rPr>
      </w:pPr>
      <w:r>
        <w:rPr>
          <w:rFonts w:hint="eastAsia" w:ascii="宋体" w:hAnsi="宋体"/>
          <w:sz w:val="24"/>
        </w:rPr>
        <w:t>法定代表人或被授权代理人签字：</w:t>
      </w:r>
      <w:r>
        <w:rPr>
          <w:rFonts w:hint="eastAsia" w:ascii="宋体" w:hAnsi="宋体"/>
          <w:color w:val="000000"/>
          <w:kern w:val="0"/>
          <w:sz w:val="40"/>
        </w:rPr>
        <w:t xml:space="preserve">    </w:t>
      </w:r>
    </w:p>
    <w:p w14:paraId="24FBF8C0">
      <w:pPr>
        <w:wordWrap w:val="0"/>
        <w:spacing w:line="360" w:lineRule="auto"/>
        <w:ind w:right="1281"/>
        <w:jc w:val="center"/>
        <w:rPr>
          <w:rFonts w:hint="eastAsia" w:ascii="宋体" w:hAnsi="宋体"/>
          <w:sz w:val="24"/>
          <w:szCs w:val="24"/>
        </w:rPr>
        <w:sectPr>
          <w:pgSz w:w="16838" w:h="11906" w:orient="landscape"/>
          <w:pgMar w:top="1701" w:right="1440" w:bottom="1701" w:left="1440" w:header="851" w:footer="992" w:gutter="0"/>
          <w:cols w:space="425" w:num="1"/>
          <w:docGrid w:type="lines" w:linePitch="312" w:charSpace="0"/>
        </w:sectPr>
      </w:pPr>
      <w:r>
        <w:rPr>
          <w:rFonts w:hint="eastAsia" w:ascii="宋体" w:hAnsi="宋体"/>
          <w:color w:val="000000"/>
          <w:kern w:val="0"/>
          <w:sz w:val="40"/>
          <w:lang w:val="en-US" w:eastAsia="zh-CN"/>
        </w:rPr>
        <w:t xml:space="preserve">                               </w:t>
      </w:r>
      <w:r>
        <w:rPr>
          <w:rFonts w:hint="eastAsia" w:ascii="宋体" w:hAnsi="宋体"/>
          <w:sz w:val="24"/>
        </w:rPr>
        <w:t xml:space="preserve"> 报价时间：  </w:t>
      </w:r>
      <w:bookmarkEnd w:id="6"/>
    </w:p>
    <w:p w14:paraId="70912E36">
      <w:pPr>
        <w:jc w:val="center"/>
        <w:rPr>
          <w:sz w:val="36"/>
        </w:rPr>
      </w:pPr>
      <w:r>
        <w:rPr>
          <w:rFonts w:hint="eastAsia"/>
          <w:sz w:val="36"/>
        </w:rPr>
        <w:t>营业执照复印件</w:t>
      </w:r>
      <w:r>
        <w:rPr>
          <w:sz w:val="36"/>
        </w:rPr>
        <w:br w:type="page"/>
      </w:r>
    </w:p>
    <w:p w14:paraId="0CA6B2B3">
      <w:pPr>
        <w:jc w:val="center"/>
        <w:rPr>
          <w:sz w:val="36"/>
        </w:rPr>
      </w:pPr>
      <w:r>
        <w:rPr>
          <w:rFonts w:hint="eastAsia"/>
          <w:sz w:val="36"/>
        </w:rPr>
        <w:t>生产性废旧金属收购许可证复印件/再生资源回收经营者备案登记证明复印件</w:t>
      </w:r>
      <w:r>
        <w:rPr>
          <w:sz w:val="36"/>
        </w:rPr>
        <w:br w:type="page"/>
      </w:r>
      <w:bookmarkStart w:id="7" w:name="_GoBack"/>
      <w:bookmarkEnd w:id="7"/>
    </w:p>
    <w:p w14:paraId="722231D9">
      <w:pPr>
        <w:jc w:val="center"/>
        <w:rPr>
          <w:sz w:val="36"/>
        </w:rPr>
      </w:pPr>
      <w:r>
        <w:rPr>
          <w:rFonts w:hint="eastAsia"/>
          <w:sz w:val="36"/>
        </w:rPr>
        <w:t>开户许可证复印件</w:t>
      </w:r>
      <w:r>
        <w:rPr>
          <w:sz w:val="36"/>
        </w:rPr>
        <w:br w:type="page"/>
      </w:r>
    </w:p>
    <w:p w14:paraId="24DF5436">
      <w:pPr>
        <w:jc w:val="center"/>
        <w:rPr>
          <w:sz w:val="36"/>
        </w:rPr>
      </w:pPr>
      <w:r>
        <w:rPr>
          <w:rFonts w:hint="eastAsia"/>
          <w:sz w:val="36"/>
        </w:rPr>
        <w:t>保证金电汇凭证</w:t>
      </w:r>
    </w:p>
    <w:p w14:paraId="55516838"/>
    <w:sectPr>
      <w:pgSz w:w="11906" w:h="16838"/>
      <w:pgMar w:top="1440" w:right="1800" w:bottom="1440" w:left="1800" w:header="851" w:footer="992" w:gutter="0"/>
      <w:pgBorders w:offsetFrom="page">
        <w:top w:val="single" w:color="auto" w:sz="4" w:space="24"/>
        <w:left w:val="single" w:color="auto" w:sz="4" w:space="24"/>
        <w:bottom w:val="single" w:color="auto" w:sz="4" w:space="24"/>
        <w:right w:val="single" w:color="auto" w:sz="4" w:space="2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KSOF0B7949D1">
    <w:panose1 w:val="0201060004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1MzhmNjY3NzA5YWY3ZTUzNGM3ZmE1OTc3NjMyMWIifQ=="/>
  </w:docVars>
  <w:rsids>
    <w:rsidRoot w:val="00000000"/>
    <w:rsid w:val="06925F37"/>
    <w:rsid w:val="07D02862"/>
    <w:rsid w:val="0C7B7D3F"/>
    <w:rsid w:val="11AE1B2A"/>
    <w:rsid w:val="16997CDE"/>
    <w:rsid w:val="195465DC"/>
    <w:rsid w:val="1C68296D"/>
    <w:rsid w:val="337A35EA"/>
    <w:rsid w:val="352F7357"/>
    <w:rsid w:val="36D17581"/>
    <w:rsid w:val="3B27145C"/>
    <w:rsid w:val="452F2DED"/>
    <w:rsid w:val="4CB616C7"/>
    <w:rsid w:val="4DA65BAF"/>
    <w:rsid w:val="52524FBC"/>
    <w:rsid w:val="58226039"/>
    <w:rsid w:val="68F37421"/>
    <w:rsid w:val="73BD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ind w:firstLine="200" w:firstLineChars="200"/>
    </w:pPr>
    <w:rPr>
      <w:rFonts w:ascii="宋体" w:hAnsi="Courier New" w:eastAsia="仿宋_GB2312"/>
      <w:szCs w:val="21"/>
    </w:rPr>
  </w:style>
  <w:style w:type="paragraph" w:customStyle="1" w:styleId="5">
    <w:name w:val="_Style 11"/>
    <w:basedOn w:val="1"/>
    <w:next w:val="6"/>
    <w:qFormat/>
    <w:uiPriority w:val="34"/>
    <w:pPr>
      <w:ind w:firstLine="420" w:firstLineChars="200"/>
    </w:pPr>
    <w:rPr>
      <w:rFonts w:ascii="Calibri" w:hAnsi="Calibri"/>
      <w:szCs w:val="22"/>
    </w:rPr>
  </w:style>
  <w:style w:type="paragraph" w:styleId="6">
    <w:name w:val="List Paragraph"/>
    <w:basedOn w:val="1"/>
    <w:qFormat/>
    <w:uiPriority w:val="99"/>
    <w:pPr>
      <w:ind w:firstLine="420" w:firstLineChars="200"/>
    </w:pPr>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5622</Words>
  <Characters>5844</Characters>
  <Lines>0</Lines>
  <Paragraphs>0</Paragraphs>
  <TotalTime>1</TotalTime>
  <ScaleCrop>false</ScaleCrop>
  <LinksUpToDate>false</LinksUpToDate>
  <CharactersWithSpaces>6358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2024-10-19T01:26:00Z</dcterms:created>
  <dc:creator>Administrator</dc:creator>
  <cp:lastModifiedBy>一</cp:lastModifiedBy>
  <cp:lastPrinted>2024-10-19T03:08:00Z</cp:lastPrinted>
  <dcterms:modified xsi:type="dcterms:W3CDTF">2026-01-02T09:36:09Z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2793C661885045EBB4393156D02325FD_13</vt:lpwstr>
  </property>
  <property fmtid="{D5CDD505-2E9C-101B-9397-08002B2CF9AE}" pid="4" name="KSOTemplateDocerSaveRecord">
    <vt:lpwstr>eyJoZGlkIjoiY2RlY2E2NjdlNWY4NzY1NzA0ZDY4ZGQ1MzU5NWRjMDAiLCJ1c2VySWQiOiIyMDExMTkwNDcifQ==</vt:lpwstr>
  </property>
</Properties>
</file>