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C47BF0">
      <w:pPr>
        <w:spacing w:line="360" w:lineRule="auto"/>
        <w:jc w:val="center"/>
        <w:rPr>
          <w:rFonts w:hint="eastAsia" w:ascii="宋体" w:hAnsi="宋体" w:cs="宋体"/>
          <w:b/>
          <w:color w:val="auto"/>
          <w:sz w:val="36"/>
          <w:szCs w:val="36"/>
          <w:highlight w:val="none"/>
        </w:rPr>
      </w:pPr>
    </w:p>
    <w:p w14:paraId="3E3A20CC">
      <w:pPr>
        <w:spacing w:line="360" w:lineRule="auto"/>
        <w:jc w:val="center"/>
        <w:rPr>
          <w:rFonts w:hint="eastAsia" w:ascii="宋体" w:hAnsi="宋体" w:eastAsia="宋体"/>
          <w:b/>
          <w:bCs/>
          <w:color w:val="auto"/>
          <w:sz w:val="52"/>
          <w:szCs w:val="52"/>
          <w:lang w:eastAsia="zh-CN"/>
        </w:rPr>
      </w:pPr>
      <w:bookmarkStart w:id="0" w:name="_Toc4616"/>
      <w:r>
        <w:rPr>
          <w:rFonts w:hint="eastAsia" w:ascii="宋体" w:hAnsi="宋体" w:cs="宋体"/>
          <w:b/>
          <w:color w:val="auto"/>
          <w:sz w:val="48"/>
          <w:szCs w:val="48"/>
          <w:lang w:eastAsia="zh-CN"/>
        </w:rPr>
        <w:t>广州市番禺区市桥街先锋小学旧址装修工程设计施工总承包</w:t>
      </w:r>
    </w:p>
    <w:p w14:paraId="34A3FC63">
      <w:pPr>
        <w:rPr>
          <w:rFonts w:ascii="宋体" w:hAnsi="宋体" w:cs="新宋体"/>
          <w:color w:val="auto"/>
          <w:sz w:val="28"/>
          <w:szCs w:val="28"/>
        </w:rPr>
      </w:pPr>
    </w:p>
    <w:p w14:paraId="2EABE2E0">
      <w:pPr>
        <w:pStyle w:val="11"/>
        <w:rPr>
          <w:rFonts w:ascii="宋体" w:hAnsi="宋体" w:eastAsia="宋体"/>
          <w:color w:val="auto"/>
        </w:rPr>
      </w:pPr>
    </w:p>
    <w:p w14:paraId="3740A23A">
      <w:pPr>
        <w:rPr>
          <w:rFonts w:ascii="宋体" w:hAnsi="宋体"/>
          <w:color w:val="auto"/>
        </w:rPr>
      </w:pPr>
    </w:p>
    <w:p w14:paraId="10C99D52">
      <w:pPr>
        <w:pStyle w:val="11"/>
        <w:rPr>
          <w:rFonts w:hint="eastAsia"/>
          <w:color w:val="auto"/>
        </w:rPr>
      </w:pPr>
    </w:p>
    <w:p w14:paraId="0E41D823">
      <w:pPr>
        <w:pStyle w:val="11"/>
        <w:rPr>
          <w:rFonts w:hint="eastAsia" w:ascii="宋体" w:hAnsi="宋体" w:eastAsia="宋体"/>
          <w:color w:val="auto"/>
        </w:rPr>
      </w:pPr>
    </w:p>
    <w:p w14:paraId="7B148535">
      <w:pPr>
        <w:rPr>
          <w:rFonts w:ascii="宋体" w:hAnsi="宋体" w:cs="新宋体"/>
          <w:color w:val="auto"/>
          <w:sz w:val="28"/>
          <w:szCs w:val="28"/>
        </w:rPr>
      </w:pPr>
    </w:p>
    <w:p w14:paraId="5F6CAF09">
      <w:pPr>
        <w:pStyle w:val="11"/>
        <w:rPr>
          <w:rFonts w:hint="eastAsia" w:ascii="宋体" w:hAnsi="宋体" w:eastAsia="宋体"/>
          <w:color w:val="auto"/>
        </w:rPr>
      </w:pPr>
    </w:p>
    <w:p w14:paraId="4D197788">
      <w:pPr>
        <w:jc w:val="center"/>
        <w:rPr>
          <w:rFonts w:hint="eastAsia" w:ascii="宋体" w:hAnsi="宋体" w:cs="新宋体"/>
          <w:b/>
          <w:bCs/>
          <w:color w:val="auto"/>
          <w:sz w:val="84"/>
          <w:szCs w:val="84"/>
        </w:rPr>
      </w:pPr>
      <w:r>
        <w:rPr>
          <w:rFonts w:hint="eastAsia" w:ascii="宋体" w:hAnsi="宋体" w:cs="新宋体"/>
          <w:b/>
          <w:bCs/>
          <w:color w:val="auto"/>
          <w:sz w:val="84"/>
          <w:szCs w:val="84"/>
        </w:rPr>
        <w:t>招标文件</w:t>
      </w:r>
    </w:p>
    <w:p w14:paraId="4A28C385">
      <w:pPr>
        <w:spacing w:line="400" w:lineRule="exact"/>
        <w:rPr>
          <w:rFonts w:hint="eastAsia" w:ascii="宋体" w:hAnsi="宋体" w:cs="新宋体"/>
          <w:color w:val="auto"/>
        </w:rPr>
      </w:pPr>
      <w:bookmarkStart w:id="1136" w:name="_GoBack"/>
      <w:bookmarkEnd w:id="1136"/>
    </w:p>
    <w:p w14:paraId="5E27380F">
      <w:pPr>
        <w:spacing w:line="400" w:lineRule="exact"/>
        <w:rPr>
          <w:rFonts w:hint="eastAsia" w:ascii="宋体" w:hAnsi="宋体" w:cs="新宋体"/>
          <w:color w:val="auto"/>
        </w:rPr>
      </w:pPr>
    </w:p>
    <w:p w14:paraId="31ADD0CF">
      <w:pPr>
        <w:spacing w:line="400" w:lineRule="exact"/>
        <w:rPr>
          <w:rFonts w:hint="eastAsia" w:ascii="宋体" w:hAnsi="宋体" w:cs="新宋体"/>
          <w:color w:val="auto"/>
        </w:rPr>
      </w:pPr>
    </w:p>
    <w:p w14:paraId="0780D59B">
      <w:pPr>
        <w:spacing w:line="400" w:lineRule="exact"/>
        <w:rPr>
          <w:rFonts w:hint="eastAsia" w:ascii="宋体" w:hAnsi="宋体" w:cs="新宋体"/>
          <w:color w:val="auto"/>
        </w:rPr>
      </w:pPr>
    </w:p>
    <w:p w14:paraId="1DCDE575">
      <w:pPr>
        <w:spacing w:line="400" w:lineRule="exact"/>
        <w:rPr>
          <w:rFonts w:hint="eastAsia" w:ascii="宋体" w:hAnsi="宋体" w:cs="新宋体"/>
          <w:color w:val="auto"/>
        </w:rPr>
      </w:pPr>
      <w:r>
        <w:rPr>
          <w:rFonts w:hint="eastAsia" w:ascii="宋体" w:hAnsi="宋体" w:cs="新宋体"/>
          <w:color w:val="auto"/>
        </w:rPr>
        <w:t xml:space="preserve"> </w:t>
      </w:r>
    </w:p>
    <w:p w14:paraId="50D4D9BC">
      <w:pPr>
        <w:spacing w:line="400" w:lineRule="exact"/>
        <w:rPr>
          <w:rFonts w:hint="eastAsia" w:ascii="宋体" w:hAnsi="宋体" w:cs="新宋体"/>
          <w:color w:val="auto"/>
        </w:rPr>
      </w:pPr>
    </w:p>
    <w:p w14:paraId="34C5E0C0">
      <w:pPr>
        <w:spacing w:line="400" w:lineRule="exact"/>
        <w:rPr>
          <w:rFonts w:hint="eastAsia" w:ascii="宋体" w:hAnsi="宋体" w:cs="新宋体"/>
          <w:color w:val="auto"/>
        </w:rPr>
      </w:pPr>
    </w:p>
    <w:p w14:paraId="50C806C9">
      <w:pPr>
        <w:spacing w:line="400" w:lineRule="exact"/>
        <w:rPr>
          <w:rFonts w:hint="eastAsia" w:ascii="宋体" w:hAnsi="宋体" w:cs="新宋体"/>
          <w:color w:val="auto"/>
        </w:rPr>
      </w:pPr>
    </w:p>
    <w:p w14:paraId="0E1C536A">
      <w:pPr>
        <w:spacing w:line="400" w:lineRule="exact"/>
        <w:rPr>
          <w:rFonts w:hint="eastAsia" w:ascii="宋体" w:hAnsi="宋体" w:cs="新宋体"/>
          <w:color w:val="auto"/>
        </w:rPr>
      </w:pPr>
    </w:p>
    <w:p w14:paraId="03822BEB">
      <w:pPr>
        <w:adjustRightInd w:val="0"/>
        <w:snapToGrid w:val="0"/>
        <w:spacing w:line="480" w:lineRule="auto"/>
        <w:ind w:firstLine="904" w:firstLineChars="300"/>
        <w:jc w:val="left"/>
        <w:rPr>
          <w:rFonts w:hint="eastAsia" w:ascii="宋体" w:hAnsi="宋体" w:eastAsia="宋体" w:cs="宋体"/>
          <w:b/>
          <w:bCs/>
          <w:color w:val="auto"/>
          <w:sz w:val="30"/>
          <w:szCs w:val="30"/>
          <w:u w:val="single"/>
          <w:lang w:eastAsia="zh-CN"/>
        </w:rPr>
      </w:pPr>
      <w:r>
        <w:rPr>
          <w:rFonts w:hint="eastAsia" w:ascii="宋体" w:hAnsi="宋体" w:cs="宋体"/>
          <w:b/>
          <w:bCs/>
          <w:color w:val="auto"/>
          <w:sz w:val="30"/>
          <w:szCs w:val="30"/>
        </w:rPr>
        <w:t>招  标 单 位：</w:t>
      </w:r>
      <w:r>
        <w:rPr>
          <w:rFonts w:hint="eastAsia" w:ascii="宋体" w:hAnsi="宋体" w:cs="宋体"/>
          <w:b/>
          <w:bCs/>
          <w:color w:val="auto"/>
          <w:sz w:val="30"/>
          <w:szCs w:val="30"/>
          <w:u w:val="single"/>
          <w:lang w:eastAsia="zh-CN"/>
        </w:rPr>
        <w:t>中建四局城市发展投资有限公司</w:t>
      </w:r>
    </w:p>
    <w:p w14:paraId="21CD6B32">
      <w:pPr>
        <w:adjustRightInd w:val="0"/>
        <w:snapToGrid w:val="0"/>
        <w:spacing w:line="480" w:lineRule="auto"/>
        <w:ind w:firstLine="904" w:firstLineChars="300"/>
        <w:jc w:val="left"/>
        <w:rPr>
          <w:rFonts w:hint="eastAsia" w:ascii="宋体" w:hAnsi="宋体" w:eastAsia="宋体" w:cs="宋体"/>
          <w:b/>
          <w:bCs/>
          <w:color w:val="auto"/>
          <w:sz w:val="30"/>
          <w:szCs w:val="30"/>
          <w:u w:val="single"/>
          <w:lang w:eastAsia="zh-CN"/>
        </w:rPr>
      </w:pPr>
      <w:r>
        <w:rPr>
          <w:rFonts w:hint="eastAsia" w:ascii="宋体" w:hAnsi="宋体" w:cs="宋体"/>
          <w:b/>
          <w:bCs/>
          <w:color w:val="auto"/>
          <w:sz w:val="30"/>
          <w:szCs w:val="30"/>
        </w:rPr>
        <w:t>招标代理单位：</w:t>
      </w:r>
      <w:r>
        <w:rPr>
          <w:rFonts w:hint="eastAsia" w:ascii="宋体" w:hAnsi="宋体" w:cs="宋体"/>
          <w:b/>
          <w:bCs/>
          <w:color w:val="auto"/>
          <w:sz w:val="30"/>
          <w:szCs w:val="30"/>
          <w:u w:val="single"/>
          <w:lang w:eastAsia="zh-CN"/>
        </w:rPr>
        <w:t>广东粤能工程管理有限公司</w:t>
      </w:r>
    </w:p>
    <w:p w14:paraId="106F467E">
      <w:pPr>
        <w:ind w:firstLine="904" w:firstLineChars="300"/>
        <w:rPr>
          <w:rFonts w:hint="eastAsia" w:ascii="宋体" w:hAnsi="宋体" w:cs="新宋体"/>
          <w:b/>
          <w:bCs/>
          <w:color w:val="auto"/>
          <w:sz w:val="30"/>
          <w:szCs w:val="30"/>
        </w:rPr>
      </w:pPr>
      <w:r>
        <w:rPr>
          <w:rFonts w:hint="eastAsia" w:ascii="宋体" w:hAnsi="宋体" w:cs="宋体"/>
          <w:b/>
          <w:bCs/>
          <w:color w:val="auto"/>
          <w:sz w:val="30"/>
          <w:szCs w:val="30"/>
        </w:rPr>
        <w:t>日        期：</w:t>
      </w:r>
      <w:r>
        <w:rPr>
          <w:rFonts w:hint="eastAsia" w:ascii="宋体" w:hAnsi="宋体" w:cs="宋体"/>
          <w:b/>
          <w:bCs/>
          <w:color w:val="auto"/>
          <w:sz w:val="30"/>
          <w:szCs w:val="30"/>
          <w:u w:val="single"/>
          <w:lang w:eastAsia="zh-CN"/>
        </w:rPr>
        <w:t>2026</w:t>
      </w:r>
      <w:r>
        <w:rPr>
          <w:rFonts w:hint="eastAsia" w:ascii="宋体" w:hAnsi="宋体" w:cs="宋体"/>
          <w:b/>
          <w:bCs/>
          <w:color w:val="auto"/>
          <w:sz w:val="30"/>
          <w:szCs w:val="30"/>
          <w:u w:val="single"/>
        </w:rPr>
        <w:t>年</w:t>
      </w:r>
      <w:r>
        <w:rPr>
          <w:rFonts w:hint="eastAsia" w:ascii="宋体" w:hAnsi="宋体" w:cs="宋体"/>
          <w:b/>
          <w:bCs/>
          <w:color w:val="auto"/>
          <w:sz w:val="30"/>
          <w:szCs w:val="30"/>
          <w:u w:val="single"/>
          <w:lang w:val="en-US" w:eastAsia="zh-CN"/>
        </w:rPr>
        <w:t>3</w:t>
      </w:r>
      <w:r>
        <w:rPr>
          <w:rFonts w:hint="eastAsia" w:ascii="宋体" w:hAnsi="宋体" w:cs="宋体"/>
          <w:b/>
          <w:bCs/>
          <w:color w:val="auto"/>
          <w:sz w:val="30"/>
          <w:szCs w:val="30"/>
          <w:u w:val="single"/>
        </w:rPr>
        <w:t>月</w:t>
      </w:r>
    </w:p>
    <w:p w14:paraId="07EE29B7">
      <w:pPr>
        <w:spacing w:line="400" w:lineRule="exact"/>
        <w:rPr>
          <w:rFonts w:hint="eastAsia" w:ascii="宋体" w:hAnsi="宋体" w:cs="新宋体"/>
          <w:color w:val="auto"/>
        </w:rPr>
        <w:sectPr>
          <w:footerReference r:id="rId3" w:type="default"/>
          <w:pgSz w:w="11906" w:h="16838"/>
          <w:pgMar w:top="1440" w:right="1800" w:bottom="1440" w:left="1800" w:header="851" w:footer="992" w:gutter="0"/>
          <w:cols w:space="720" w:num="1"/>
          <w:docGrid w:type="lines" w:linePitch="312" w:charSpace="0"/>
        </w:sectPr>
      </w:pPr>
    </w:p>
    <w:p w14:paraId="24DA7D58">
      <w:pPr>
        <w:spacing w:line="360" w:lineRule="auto"/>
        <w:jc w:val="center"/>
        <w:outlineLvl w:val="0"/>
        <w:rPr>
          <w:rFonts w:hint="eastAsia" w:ascii="宋体" w:hAnsi="宋体" w:cs="宋体"/>
          <w:b/>
          <w:color w:val="auto"/>
          <w:sz w:val="28"/>
          <w:szCs w:val="28"/>
          <w:highlight w:val="none"/>
        </w:rPr>
      </w:pPr>
    </w:p>
    <w:p w14:paraId="3DDB6D5C">
      <w:pPr>
        <w:spacing w:line="360" w:lineRule="auto"/>
        <w:jc w:val="center"/>
        <w:outlineLvl w:val="0"/>
        <w:rPr>
          <w:rFonts w:hint="eastAsia" w:ascii="宋体" w:hAnsi="宋体" w:cs="宋体"/>
          <w:b/>
          <w:color w:val="auto"/>
          <w:sz w:val="44"/>
          <w:szCs w:val="44"/>
          <w:highlight w:val="none"/>
          <w:shd w:val="clear" w:color="FFFFFF" w:fill="D9D9D9"/>
        </w:rPr>
      </w:pPr>
      <w:r>
        <w:rPr>
          <w:rFonts w:hint="eastAsia" w:ascii="宋体" w:hAnsi="宋体" w:cs="宋体"/>
          <w:b/>
          <w:color w:val="auto"/>
          <w:sz w:val="28"/>
          <w:szCs w:val="28"/>
          <w:highlight w:val="none"/>
        </w:rPr>
        <w:t>目录</w:t>
      </w:r>
      <w:bookmarkEnd w:id="0"/>
    </w:p>
    <w:p w14:paraId="7B952EFC">
      <w:pPr>
        <w:pStyle w:val="14"/>
        <w:tabs>
          <w:tab w:val="right" w:leader="dot" w:pos="8222"/>
        </w:tabs>
        <w:spacing w:before="0" w:after="0" w:line="360" w:lineRule="auto"/>
        <w:rPr>
          <w:rFonts w:hint="eastAsia" w:ascii="宋体" w:hAnsi="宋体" w:cs="宋体"/>
          <w:color w:val="auto"/>
          <w:sz w:val="24"/>
          <w:szCs w:val="24"/>
          <w:highlight w:val="none"/>
        </w:rPr>
      </w:pPr>
      <w:r>
        <w:rPr>
          <w:rFonts w:hint="eastAsia" w:ascii="宋体" w:hAnsi="宋体" w:cs="宋体"/>
          <w:b w:val="0"/>
          <w:bCs w:val="0"/>
          <w:caps w:val="0"/>
          <w:color w:val="auto"/>
          <w:sz w:val="24"/>
          <w:szCs w:val="24"/>
          <w:highlight w:val="none"/>
          <w:shd w:val="clear" w:color="FFFFFF" w:fill="D9D9D9"/>
        </w:rPr>
        <w:fldChar w:fldCharType="begin"/>
      </w:r>
      <w:r>
        <w:rPr>
          <w:rFonts w:hint="eastAsia" w:ascii="宋体" w:hAnsi="宋体" w:cs="宋体"/>
          <w:b w:val="0"/>
          <w:bCs w:val="0"/>
          <w:caps w:val="0"/>
          <w:color w:val="auto"/>
          <w:sz w:val="24"/>
          <w:szCs w:val="24"/>
          <w:highlight w:val="none"/>
          <w:shd w:val="clear" w:color="FFFFFF" w:fill="D9D9D9"/>
        </w:rPr>
        <w:instrText xml:space="preserve">TOC \o "1-3" \h \u </w:instrText>
      </w:r>
      <w:r>
        <w:rPr>
          <w:rFonts w:hint="eastAsia" w:ascii="宋体" w:hAnsi="宋体" w:cs="宋体"/>
          <w:b w:val="0"/>
          <w:bCs w:val="0"/>
          <w:caps w:val="0"/>
          <w:color w:val="auto"/>
          <w:sz w:val="24"/>
          <w:szCs w:val="24"/>
          <w:highlight w:val="none"/>
          <w:shd w:val="clear" w:color="FFFFFF" w:fill="D9D9D9"/>
        </w:rPr>
        <w:fldChar w:fldCharType="separate"/>
      </w:r>
      <w:r>
        <w:rPr>
          <w:color w:val="auto"/>
          <w:highlight w:val="none"/>
        </w:rPr>
        <w:fldChar w:fldCharType="begin"/>
      </w:r>
      <w:r>
        <w:rPr>
          <w:color w:val="auto"/>
          <w:highlight w:val="none"/>
        </w:rPr>
        <w:instrText xml:space="preserve"> HYPERLINK \l "_Toc1198" </w:instrText>
      </w:r>
      <w:r>
        <w:rPr>
          <w:color w:val="auto"/>
          <w:highlight w:val="none"/>
        </w:rPr>
        <w:fldChar w:fldCharType="separate"/>
      </w:r>
      <w:r>
        <w:rPr>
          <w:rFonts w:hint="eastAsia" w:ascii="宋体" w:hAnsi="宋体" w:cs="宋体"/>
          <w:color w:val="auto"/>
          <w:sz w:val="24"/>
          <w:szCs w:val="24"/>
          <w:highlight w:val="none"/>
        </w:rPr>
        <w:t>第一章 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_Toc1198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DDC7ABB">
      <w:pPr>
        <w:pStyle w:val="14"/>
        <w:tabs>
          <w:tab w:val="right" w:leader="dot" w:pos="8222"/>
        </w:tabs>
        <w:spacing w:before="0" w:after="0"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"_Toc16297" </w:instrText>
      </w:r>
      <w:r>
        <w:rPr>
          <w:color w:val="auto"/>
          <w:highlight w:val="none"/>
        </w:rPr>
        <w:fldChar w:fldCharType="separate"/>
      </w:r>
      <w:r>
        <w:rPr>
          <w:rFonts w:hint="eastAsia" w:ascii="宋体" w:hAnsi="宋体" w:cs="宋体"/>
          <w:color w:val="auto"/>
          <w:sz w:val="24"/>
          <w:szCs w:val="24"/>
          <w:highlight w:val="none"/>
        </w:rPr>
        <w:t>第二章 评标</w:t>
      </w:r>
      <w:bookmarkStart w:id="1" w:name="_Hlt105140026"/>
      <w:bookmarkStart w:id="2" w:name="_Hlt105140025"/>
      <w:r>
        <w:rPr>
          <w:rFonts w:hint="eastAsia" w:ascii="宋体" w:hAnsi="宋体" w:cs="宋体"/>
          <w:color w:val="auto"/>
          <w:sz w:val="24"/>
          <w:szCs w:val="24"/>
          <w:highlight w:val="none"/>
        </w:rPr>
        <w:t>办</w:t>
      </w:r>
      <w:bookmarkEnd w:id="1"/>
      <w:bookmarkEnd w:id="2"/>
      <w:r>
        <w:rPr>
          <w:rFonts w:hint="eastAsia" w:ascii="宋体" w:hAnsi="宋体" w:cs="宋体"/>
          <w:color w:val="auto"/>
          <w:sz w:val="24"/>
          <w:szCs w:val="24"/>
          <w:highlight w:val="none"/>
        </w:rPr>
        <w:t>法（评定分离）</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_Toc16297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29</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B52B1B4">
      <w:pPr>
        <w:pStyle w:val="14"/>
        <w:tabs>
          <w:tab w:val="right" w:leader="dot" w:pos="8222"/>
        </w:tabs>
        <w:spacing w:before="0" w:after="0"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"_Toc20372" </w:instrText>
      </w:r>
      <w:r>
        <w:rPr>
          <w:color w:val="auto"/>
          <w:highlight w:val="none"/>
        </w:rPr>
        <w:fldChar w:fldCharType="separate"/>
      </w:r>
      <w:r>
        <w:rPr>
          <w:rFonts w:hint="eastAsia" w:ascii="宋体" w:hAnsi="宋体" w:cs="宋体"/>
          <w:color w:val="auto"/>
          <w:sz w:val="24"/>
          <w:szCs w:val="24"/>
          <w:highlight w:val="none"/>
        </w:rPr>
        <w:t>第三章 合同条款及格式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t>4</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9</w:t>
      </w:r>
    </w:p>
    <w:p w14:paraId="452754B3">
      <w:pPr>
        <w:pStyle w:val="14"/>
        <w:tabs>
          <w:tab w:val="right" w:leader="dot" w:pos="8222"/>
        </w:tabs>
        <w:spacing w:before="0" w:after="0"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"_Toc8204" </w:instrText>
      </w:r>
      <w:r>
        <w:rPr>
          <w:color w:val="auto"/>
          <w:highlight w:val="none"/>
        </w:rPr>
        <w:fldChar w:fldCharType="separate"/>
      </w:r>
      <w:r>
        <w:rPr>
          <w:rFonts w:hint="eastAsia" w:ascii="宋体" w:hAnsi="宋体" w:cs="宋体"/>
          <w:color w:val="auto"/>
          <w:sz w:val="24"/>
          <w:szCs w:val="24"/>
          <w:highlight w:val="none"/>
        </w:rPr>
        <w:t>第四章 发包人要求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50</w:t>
      </w:r>
    </w:p>
    <w:p w14:paraId="61DACAF2">
      <w:pPr>
        <w:pStyle w:val="14"/>
        <w:tabs>
          <w:tab w:val="right" w:leader="dot" w:pos="8222"/>
        </w:tabs>
        <w:spacing w:before="0" w:after="0"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"_Toc3543" </w:instrText>
      </w:r>
      <w:r>
        <w:rPr>
          <w:color w:val="auto"/>
          <w:highlight w:val="none"/>
        </w:rPr>
        <w:fldChar w:fldCharType="separate"/>
      </w:r>
      <w:r>
        <w:rPr>
          <w:rFonts w:hint="eastAsia" w:ascii="宋体" w:hAnsi="宋体" w:cs="宋体"/>
          <w:color w:val="auto"/>
          <w:sz w:val="24"/>
          <w:szCs w:val="24"/>
          <w:highlight w:val="none"/>
        </w:rPr>
        <w:t>第五章 工程量清单</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51</w:t>
      </w:r>
    </w:p>
    <w:p w14:paraId="53743195">
      <w:pPr>
        <w:pStyle w:val="14"/>
        <w:tabs>
          <w:tab w:val="right" w:leader="dot" w:pos="8222"/>
        </w:tabs>
        <w:spacing w:before="0" w:after="0" w:line="360" w:lineRule="auto"/>
        <w:rPr>
          <w:rFonts w:hint="eastAsia" w:ascii="宋体" w:hAnsi="宋体" w:cs="宋体"/>
          <w:color w:val="auto"/>
          <w:sz w:val="24"/>
          <w:szCs w:val="24"/>
          <w:highlight w:val="none"/>
        </w:rPr>
      </w:pPr>
      <w:r>
        <w:rPr>
          <w:color w:val="auto"/>
          <w:highlight w:val="none"/>
        </w:rPr>
        <w:fldChar w:fldCharType="begin"/>
      </w:r>
      <w:r>
        <w:rPr>
          <w:color w:val="auto"/>
          <w:highlight w:val="none"/>
        </w:rPr>
        <w:instrText xml:space="preserve"> HYPERLINK \l "_Toc4298" </w:instrText>
      </w:r>
      <w:r>
        <w:rPr>
          <w:color w:val="auto"/>
          <w:highlight w:val="none"/>
        </w:rPr>
        <w:fldChar w:fldCharType="separate"/>
      </w:r>
      <w:r>
        <w:rPr>
          <w:rFonts w:hint="eastAsia" w:ascii="宋体" w:hAnsi="宋体" w:cs="宋体"/>
          <w:color w:val="auto"/>
          <w:sz w:val="24"/>
          <w:szCs w:val="24"/>
          <w:highlight w:val="none"/>
        </w:rPr>
        <w:t>第六章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52</w:t>
      </w:r>
    </w:p>
    <w:p w14:paraId="28B93C63">
      <w:pPr>
        <w:spacing w:line="360" w:lineRule="auto"/>
        <w:jc w:val="center"/>
        <w:rPr>
          <w:rFonts w:hint="eastAsia" w:ascii="宋体" w:hAnsi="宋体" w:cs="宋体"/>
          <w:b/>
          <w:bCs/>
          <w:color w:val="auto"/>
          <w:highlight w:val="none"/>
        </w:rPr>
      </w:pPr>
      <w:r>
        <w:rPr>
          <w:rFonts w:hint="eastAsia" w:ascii="宋体" w:hAnsi="宋体" w:cs="宋体"/>
          <w:color w:val="auto"/>
          <w:sz w:val="24"/>
          <w:szCs w:val="24"/>
          <w:highlight w:val="none"/>
          <w:shd w:val="clear" w:color="FFFFFF" w:fill="D9D9D9"/>
        </w:rPr>
        <w:fldChar w:fldCharType="end"/>
      </w:r>
      <w:r>
        <w:rPr>
          <w:rFonts w:hint="eastAsia" w:ascii="宋体" w:hAnsi="宋体" w:cs="宋体"/>
          <w:b/>
          <w:bCs/>
          <w:color w:val="auto"/>
          <w:szCs w:val="28"/>
          <w:highlight w:val="none"/>
          <w:shd w:val="clear" w:color="FFFFFF" w:fill="D9D9D9"/>
        </w:rPr>
        <w:br w:type="page"/>
      </w:r>
      <w:bookmarkStart w:id="3" w:name="_Toc4910"/>
      <w:bookmarkStart w:id="4" w:name="_Toc485211037"/>
      <w:bookmarkStart w:id="5" w:name="_Toc21337"/>
      <w:bookmarkStart w:id="6" w:name="_Toc1198"/>
      <w:bookmarkStart w:id="7" w:name="_Toc25868"/>
      <w:bookmarkStart w:id="8" w:name="_Toc1080"/>
      <w:bookmarkStart w:id="9" w:name="_Toc29410"/>
      <w:bookmarkStart w:id="10" w:name="_Toc8601"/>
      <w:r>
        <w:rPr>
          <w:rFonts w:hint="eastAsia" w:ascii="宋体" w:hAnsi="宋体" w:cs="宋体"/>
          <w:color w:val="auto"/>
          <w:sz w:val="36"/>
          <w:szCs w:val="36"/>
          <w:highlight w:val="none"/>
        </w:rPr>
        <w:t>第一章 投标人须知</w:t>
      </w:r>
      <w:bookmarkEnd w:id="3"/>
      <w:bookmarkEnd w:id="4"/>
      <w:bookmarkEnd w:id="5"/>
      <w:bookmarkEnd w:id="6"/>
      <w:bookmarkEnd w:id="7"/>
      <w:bookmarkEnd w:id="8"/>
      <w:bookmarkEnd w:id="9"/>
      <w:bookmarkEnd w:id="10"/>
    </w:p>
    <w:p w14:paraId="0ABA1268">
      <w:pPr>
        <w:keepNext/>
        <w:keepLines/>
        <w:spacing w:line="360" w:lineRule="auto"/>
        <w:jc w:val="center"/>
        <w:outlineLvl w:val="0"/>
        <w:rPr>
          <w:rFonts w:hint="eastAsia" w:ascii="宋体" w:hAnsi="宋体" w:cs="宋体"/>
          <w:b/>
          <w:bCs/>
          <w:color w:val="auto"/>
          <w:kern w:val="44"/>
          <w:sz w:val="28"/>
          <w:szCs w:val="28"/>
          <w:highlight w:val="none"/>
        </w:rPr>
      </w:pPr>
      <w:bookmarkStart w:id="11" w:name="_Toc16747"/>
      <w:bookmarkStart w:id="12" w:name="_Toc31358"/>
      <w:bookmarkStart w:id="13" w:name="_Toc14702"/>
      <w:r>
        <w:rPr>
          <w:rFonts w:hint="eastAsia" w:ascii="宋体" w:hAnsi="宋体" w:cs="宋体"/>
          <w:b/>
          <w:bCs/>
          <w:color w:val="auto"/>
          <w:sz w:val="28"/>
          <w:szCs w:val="28"/>
          <w:highlight w:val="none"/>
        </w:rPr>
        <w:t>《投标人须知前附表》</w:t>
      </w:r>
      <w:bookmarkEnd w:id="11"/>
      <w:bookmarkEnd w:id="12"/>
      <w:bookmarkEnd w:id="13"/>
    </w:p>
    <w:tbl>
      <w:tblPr>
        <w:tblStyle w:val="17"/>
        <w:tblW w:w="9959" w:type="dxa"/>
        <w:jc w:val="center"/>
        <w:tblLayout w:type="fixed"/>
        <w:tblCellMar>
          <w:top w:w="0" w:type="dxa"/>
          <w:left w:w="108" w:type="dxa"/>
          <w:bottom w:w="0" w:type="dxa"/>
          <w:right w:w="108" w:type="dxa"/>
        </w:tblCellMar>
      </w:tblPr>
      <w:tblGrid>
        <w:gridCol w:w="946"/>
        <w:gridCol w:w="1994"/>
        <w:gridCol w:w="7019"/>
      </w:tblGrid>
      <w:tr w14:paraId="06046806">
        <w:tblPrEx>
          <w:tblCellMar>
            <w:top w:w="0" w:type="dxa"/>
            <w:left w:w="108" w:type="dxa"/>
            <w:bottom w:w="0" w:type="dxa"/>
            <w:right w:w="108" w:type="dxa"/>
          </w:tblCellMar>
        </w:tblPrEx>
        <w:trPr>
          <w:trHeight w:val="567" w:hRule="atLeast"/>
          <w:tblHeader/>
          <w:jc w:val="center"/>
        </w:trPr>
        <w:tc>
          <w:tcPr>
            <w:tcW w:w="946" w:type="dxa"/>
            <w:tcBorders>
              <w:top w:val="single" w:color="auto" w:sz="4" w:space="0"/>
              <w:left w:val="single" w:color="auto" w:sz="4" w:space="0"/>
              <w:bottom w:val="single" w:color="auto" w:sz="4" w:space="0"/>
              <w:right w:val="single" w:color="auto" w:sz="4" w:space="0"/>
            </w:tcBorders>
            <w:vAlign w:val="center"/>
          </w:tcPr>
          <w:p w14:paraId="26AC3AC8">
            <w:pPr>
              <w:snapToGrid w:val="0"/>
              <w:spacing w:beforeLines="0" w:afterLines="0" w:line="3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1994" w:type="dxa"/>
            <w:tcBorders>
              <w:top w:val="single" w:color="auto" w:sz="4" w:space="0"/>
              <w:left w:val="single" w:color="auto" w:sz="4" w:space="0"/>
              <w:bottom w:val="single" w:color="auto" w:sz="4" w:space="0"/>
              <w:right w:val="single" w:color="auto" w:sz="4" w:space="0"/>
            </w:tcBorders>
            <w:vAlign w:val="center"/>
          </w:tcPr>
          <w:p w14:paraId="76AACA41">
            <w:pPr>
              <w:snapToGrid w:val="0"/>
              <w:spacing w:beforeLines="0" w:afterLines="0" w:line="3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7019" w:type="dxa"/>
            <w:tcBorders>
              <w:top w:val="single" w:color="auto" w:sz="4" w:space="0"/>
              <w:left w:val="single" w:color="auto" w:sz="4" w:space="0"/>
              <w:bottom w:val="single" w:color="auto" w:sz="4" w:space="0"/>
              <w:right w:val="single" w:color="auto" w:sz="4" w:space="0"/>
            </w:tcBorders>
            <w:vAlign w:val="center"/>
          </w:tcPr>
          <w:p w14:paraId="77DE22B8">
            <w:pPr>
              <w:snapToGrid w:val="0"/>
              <w:spacing w:beforeLines="0" w:afterLines="0" w:line="3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w:t>
            </w:r>
          </w:p>
        </w:tc>
      </w:tr>
      <w:tr w14:paraId="03F9A012">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2D72BF49">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1994" w:type="dxa"/>
            <w:tcBorders>
              <w:top w:val="single" w:color="auto" w:sz="4" w:space="0"/>
              <w:left w:val="single" w:color="auto" w:sz="4" w:space="0"/>
              <w:bottom w:val="single" w:color="auto" w:sz="4" w:space="0"/>
              <w:right w:val="single" w:color="auto" w:sz="4" w:space="0"/>
            </w:tcBorders>
            <w:vAlign w:val="center"/>
          </w:tcPr>
          <w:p w14:paraId="1516BA24">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w:t>
            </w:r>
          </w:p>
        </w:tc>
        <w:tc>
          <w:tcPr>
            <w:tcW w:w="7019" w:type="dxa"/>
            <w:tcBorders>
              <w:top w:val="single" w:color="auto" w:sz="4" w:space="0"/>
              <w:left w:val="single" w:color="auto" w:sz="4" w:space="0"/>
              <w:bottom w:val="single" w:color="auto" w:sz="4" w:space="0"/>
              <w:right w:val="single" w:color="auto" w:sz="4" w:space="0"/>
            </w:tcBorders>
            <w:vAlign w:val="center"/>
          </w:tcPr>
          <w:p w14:paraId="13225824">
            <w:pPr>
              <w:spacing w:line="440" w:lineRule="exact"/>
              <w:rPr>
                <w:rFonts w:hint="eastAsia" w:ascii="宋体" w:hAnsi="宋体" w:eastAsia="宋体" w:cs="新宋体"/>
                <w:color w:val="auto"/>
                <w:szCs w:val="21"/>
                <w:lang w:eastAsia="zh-CN"/>
              </w:rPr>
            </w:pPr>
            <w:r>
              <w:rPr>
                <w:rFonts w:hint="eastAsia" w:ascii="宋体" w:hAnsi="宋体" w:cs="新宋体"/>
                <w:color w:val="auto"/>
                <w:szCs w:val="21"/>
              </w:rPr>
              <w:t>名称：</w:t>
            </w:r>
            <w:r>
              <w:rPr>
                <w:rFonts w:hint="eastAsia" w:ascii="宋体" w:hAnsi="宋体" w:cs="宋体"/>
                <w:color w:val="auto"/>
                <w:szCs w:val="21"/>
                <w:lang w:eastAsia="zh-CN"/>
              </w:rPr>
              <w:t>中建四局城市发展投资有限公司</w:t>
            </w:r>
          </w:p>
          <w:p w14:paraId="3F7A9A3B">
            <w:pPr>
              <w:spacing w:line="440" w:lineRule="exact"/>
              <w:rPr>
                <w:rFonts w:hint="eastAsia" w:ascii="宋体" w:hAnsi="宋体" w:cs="新宋体"/>
                <w:color w:val="auto"/>
                <w:szCs w:val="21"/>
              </w:rPr>
            </w:pPr>
            <w:r>
              <w:rPr>
                <w:rFonts w:hint="eastAsia" w:ascii="宋体" w:hAnsi="宋体" w:cs="新宋体"/>
                <w:color w:val="auto"/>
                <w:szCs w:val="21"/>
              </w:rPr>
              <w:t>地址：广州市天河区临江大道807号之一中建四局科创大厦16楼</w:t>
            </w:r>
          </w:p>
          <w:p w14:paraId="3F785585">
            <w:pPr>
              <w:spacing w:line="440" w:lineRule="exact"/>
              <w:rPr>
                <w:rFonts w:hint="eastAsia" w:ascii="宋体" w:hAnsi="宋体" w:cs="新宋体"/>
                <w:color w:val="auto"/>
                <w:szCs w:val="21"/>
              </w:rPr>
            </w:pPr>
            <w:r>
              <w:rPr>
                <w:rFonts w:hint="eastAsia" w:ascii="宋体" w:hAnsi="宋体" w:cs="新宋体"/>
                <w:color w:val="auto"/>
                <w:szCs w:val="21"/>
              </w:rPr>
              <w:t>联系人：胥工</w:t>
            </w:r>
          </w:p>
          <w:p w14:paraId="4FA3323D">
            <w:pPr>
              <w:spacing w:line="440" w:lineRule="exact"/>
              <w:rPr>
                <w:rFonts w:hint="eastAsia" w:ascii="宋体" w:hAnsi="宋体" w:eastAsia="宋体" w:cs="宋体"/>
                <w:color w:val="auto"/>
                <w:szCs w:val="21"/>
                <w:highlight w:val="none"/>
                <w:lang w:val="en-US" w:eastAsia="zh-CN"/>
              </w:rPr>
            </w:pPr>
            <w:r>
              <w:rPr>
                <w:rFonts w:hint="eastAsia" w:ascii="宋体" w:hAnsi="宋体" w:cs="新宋体"/>
                <w:color w:val="auto"/>
                <w:szCs w:val="21"/>
              </w:rPr>
              <w:t>电话：020-32668399</w:t>
            </w:r>
          </w:p>
        </w:tc>
      </w:tr>
      <w:tr w14:paraId="0BECD601">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7A45BBCD">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1.1.3</w:t>
            </w:r>
          </w:p>
        </w:tc>
        <w:tc>
          <w:tcPr>
            <w:tcW w:w="1994" w:type="dxa"/>
            <w:tcBorders>
              <w:top w:val="single" w:color="auto" w:sz="4" w:space="0"/>
              <w:left w:val="single" w:color="auto" w:sz="4" w:space="0"/>
              <w:bottom w:val="single" w:color="auto" w:sz="4" w:space="0"/>
              <w:right w:val="single" w:color="auto" w:sz="4" w:space="0"/>
            </w:tcBorders>
            <w:vAlign w:val="center"/>
          </w:tcPr>
          <w:p w14:paraId="2CFCE937">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p>
        </w:tc>
        <w:tc>
          <w:tcPr>
            <w:tcW w:w="7019" w:type="dxa"/>
            <w:tcBorders>
              <w:top w:val="single" w:color="auto" w:sz="4" w:space="0"/>
              <w:left w:val="single" w:color="auto" w:sz="4" w:space="0"/>
              <w:bottom w:val="single" w:color="auto" w:sz="4" w:space="0"/>
              <w:right w:val="single" w:color="auto" w:sz="4" w:space="0"/>
            </w:tcBorders>
            <w:vAlign w:val="center"/>
          </w:tcPr>
          <w:p w14:paraId="21DA1ABC">
            <w:pPr>
              <w:adjustRightInd w:val="0"/>
              <w:snapToGrid w:val="0"/>
              <w:spacing w:line="380" w:lineRule="exact"/>
              <w:rPr>
                <w:rFonts w:hint="eastAsia" w:ascii="宋体" w:hAnsi="宋体" w:eastAsia="宋体" w:cs="宋体"/>
                <w:color w:val="auto"/>
                <w:szCs w:val="21"/>
                <w:lang w:eastAsia="zh-CN"/>
              </w:rPr>
            </w:pPr>
            <w:r>
              <w:rPr>
                <w:rFonts w:hint="eastAsia" w:ascii="宋体" w:hAnsi="宋体" w:cs="宋体"/>
                <w:color w:val="auto"/>
                <w:szCs w:val="21"/>
              </w:rPr>
              <w:t>招标代理机构：</w:t>
            </w:r>
            <w:r>
              <w:rPr>
                <w:rFonts w:hint="eastAsia" w:ascii="宋体" w:hAnsi="宋体" w:cs="宋体"/>
                <w:color w:val="auto"/>
                <w:szCs w:val="21"/>
                <w:lang w:eastAsia="zh-CN"/>
              </w:rPr>
              <w:t>广东粤能工程管理有限公司</w:t>
            </w:r>
          </w:p>
          <w:p w14:paraId="0729B2B8">
            <w:pPr>
              <w:adjustRightInd w:val="0"/>
              <w:snapToGrid w:val="0"/>
              <w:spacing w:line="380" w:lineRule="exact"/>
              <w:rPr>
                <w:rFonts w:hint="eastAsia" w:ascii="宋体" w:hAnsi="宋体" w:cs="宋体"/>
                <w:color w:val="auto"/>
                <w:szCs w:val="21"/>
              </w:rPr>
            </w:pPr>
            <w:r>
              <w:rPr>
                <w:rFonts w:hint="eastAsia" w:ascii="宋体" w:hAnsi="宋体" w:cs="宋体"/>
                <w:color w:val="auto"/>
                <w:szCs w:val="21"/>
              </w:rPr>
              <w:t>地址：广州市天河区华观路明旭街1号万科智慧商业广场B1-2栋4楼402室</w:t>
            </w:r>
          </w:p>
          <w:p w14:paraId="648C3B77">
            <w:pPr>
              <w:adjustRightInd w:val="0"/>
              <w:snapToGrid w:val="0"/>
              <w:spacing w:line="380" w:lineRule="exact"/>
              <w:rPr>
                <w:rFonts w:hint="eastAsia" w:ascii="宋体" w:hAnsi="宋体" w:cs="宋体"/>
                <w:color w:val="auto"/>
                <w:szCs w:val="21"/>
              </w:rPr>
            </w:pPr>
            <w:r>
              <w:rPr>
                <w:rFonts w:hint="eastAsia" w:ascii="宋体" w:hAnsi="宋体" w:cs="宋体"/>
                <w:color w:val="auto"/>
                <w:szCs w:val="21"/>
              </w:rPr>
              <w:t>联系人：任工</w:t>
            </w:r>
          </w:p>
          <w:p w14:paraId="6E58BA04">
            <w:pPr>
              <w:adjustRightInd w:val="0"/>
              <w:snapToGrid w:val="0"/>
              <w:spacing w:line="380" w:lineRule="exact"/>
              <w:rPr>
                <w:rFonts w:hint="eastAsia" w:ascii="宋体" w:hAnsi="宋体" w:eastAsia="宋体" w:cs="宋体"/>
                <w:color w:val="auto"/>
                <w:szCs w:val="21"/>
                <w:highlight w:val="none"/>
              </w:rPr>
            </w:pPr>
            <w:r>
              <w:rPr>
                <w:rFonts w:hint="eastAsia" w:ascii="宋体" w:hAnsi="宋体" w:cs="宋体"/>
                <w:color w:val="auto"/>
                <w:szCs w:val="21"/>
              </w:rPr>
              <w:t>电话：020-38730932-8008</w:t>
            </w:r>
          </w:p>
        </w:tc>
      </w:tr>
      <w:tr w14:paraId="33C2CF25">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22D0788C">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w:t>
            </w:r>
          </w:p>
        </w:tc>
        <w:tc>
          <w:tcPr>
            <w:tcW w:w="1994" w:type="dxa"/>
            <w:tcBorders>
              <w:top w:val="single" w:color="auto" w:sz="4" w:space="0"/>
              <w:left w:val="single" w:color="auto" w:sz="4" w:space="0"/>
              <w:bottom w:val="single" w:color="auto" w:sz="4" w:space="0"/>
              <w:right w:val="single" w:color="auto" w:sz="4" w:space="0"/>
            </w:tcBorders>
            <w:vAlign w:val="center"/>
          </w:tcPr>
          <w:p w14:paraId="31F9D763">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7019" w:type="dxa"/>
            <w:tcBorders>
              <w:top w:val="single" w:color="auto" w:sz="4" w:space="0"/>
              <w:left w:val="single" w:color="auto" w:sz="4" w:space="0"/>
              <w:bottom w:val="single" w:color="auto" w:sz="4" w:space="0"/>
              <w:right w:val="single" w:color="auto" w:sz="4" w:space="0"/>
            </w:tcBorders>
            <w:vAlign w:val="center"/>
          </w:tcPr>
          <w:p w14:paraId="7E79F1E9">
            <w:pPr>
              <w:spacing w:line="440" w:lineRule="exact"/>
              <w:rPr>
                <w:rFonts w:hint="eastAsia" w:ascii="宋体" w:hAnsi="宋体" w:eastAsia="宋体" w:cs="宋体"/>
                <w:color w:val="auto"/>
                <w:szCs w:val="21"/>
                <w:highlight w:val="none"/>
                <w:u w:val="single"/>
                <w:lang w:eastAsia="zh-CN"/>
              </w:rPr>
            </w:pPr>
            <w:r>
              <w:rPr>
                <w:rFonts w:hint="eastAsia" w:ascii="宋体" w:hAnsi="宋体" w:cs="宋体"/>
                <w:color w:val="auto"/>
                <w:szCs w:val="21"/>
                <w:lang w:eastAsia="zh-CN"/>
              </w:rPr>
              <w:t>广州市番禺区市桥街先锋小学旧址装修工程设计施工总承包</w:t>
            </w:r>
          </w:p>
        </w:tc>
      </w:tr>
      <w:tr w14:paraId="6E1984F2">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041D399C">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1.1.5</w:t>
            </w:r>
          </w:p>
        </w:tc>
        <w:tc>
          <w:tcPr>
            <w:tcW w:w="1994" w:type="dxa"/>
            <w:tcBorders>
              <w:top w:val="single" w:color="auto" w:sz="4" w:space="0"/>
              <w:left w:val="single" w:color="auto" w:sz="4" w:space="0"/>
              <w:bottom w:val="single" w:color="auto" w:sz="4" w:space="0"/>
              <w:right w:val="single" w:color="auto" w:sz="4" w:space="0"/>
            </w:tcBorders>
            <w:vAlign w:val="center"/>
          </w:tcPr>
          <w:p w14:paraId="0DE63AB6">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建设地点</w:t>
            </w:r>
          </w:p>
        </w:tc>
        <w:tc>
          <w:tcPr>
            <w:tcW w:w="7019" w:type="dxa"/>
            <w:tcBorders>
              <w:top w:val="single" w:color="auto" w:sz="4" w:space="0"/>
              <w:left w:val="single" w:color="auto" w:sz="4" w:space="0"/>
              <w:bottom w:val="single" w:color="auto" w:sz="4" w:space="0"/>
              <w:right w:val="single" w:color="auto" w:sz="4" w:space="0"/>
            </w:tcBorders>
            <w:vAlign w:val="center"/>
          </w:tcPr>
          <w:p w14:paraId="02F33DC9">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详见本项目招标公告</w:t>
            </w:r>
            <w:r>
              <w:rPr>
                <w:rFonts w:hint="eastAsia" w:ascii="宋体" w:hAnsi="宋体" w:eastAsia="宋体" w:cs="宋体"/>
                <w:color w:val="auto"/>
                <w:szCs w:val="21"/>
                <w:highlight w:val="none"/>
              </w:rPr>
              <w:t>。</w:t>
            </w:r>
          </w:p>
        </w:tc>
      </w:tr>
      <w:tr w14:paraId="3FEB7494">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4203F7F1">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p>
        </w:tc>
        <w:tc>
          <w:tcPr>
            <w:tcW w:w="1994" w:type="dxa"/>
            <w:tcBorders>
              <w:top w:val="single" w:color="auto" w:sz="4" w:space="0"/>
              <w:left w:val="single" w:color="auto" w:sz="4" w:space="0"/>
              <w:bottom w:val="single" w:color="auto" w:sz="4" w:space="0"/>
              <w:right w:val="single" w:color="auto" w:sz="4" w:space="0"/>
            </w:tcBorders>
            <w:vAlign w:val="center"/>
          </w:tcPr>
          <w:p w14:paraId="60B076AE">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资金来源及比例</w:t>
            </w:r>
          </w:p>
        </w:tc>
        <w:tc>
          <w:tcPr>
            <w:tcW w:w="7019" w:type="dxa"/>
            <w:tcBorders>
              <w:top w:val="single" w:color="auto" w:sz="4" w:space="0"/>
              <w:left w:val="single" w:color="auto" w:sz="4" w:space="0"/>
              <w:bottom w:val="single" w:color="auto" w:sz="4" w:space="0"/>
              <w:right w:val="single" w:color="auto" w:sz="4" w:space="0"/>
            </w:tcBorders>
            <w:vAlign w:val="center"/>
          </w:tcPr>
          <w:p w14:paraId="3D64356F">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详见本项目招标公告</w:t>
            </w:r>
            <w:r>
              <w:rPr>
                <w:rFonts w:hint="eastAsia" w:ascii="宋体" w:hAnsi="宋体" w:eastAsia="宋体" w:cs="宋体"/>
                <w:color w:val="auto"/>
                <w:szCs w:val="21"/>
                <w:highlight w:val="none"/>
              </w:rPr>
              <w:t>。</w:t>
            </w:r>
          </w:p>
        </w:tc>
      </w:tr>
      <w:tr w14:paraId="023DE626">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43F921FD">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1994" w:type="dxa"/>
            <w:tcBorders>
              <w:top w:val="single" w:color="auto" w:sz="4" w:space="0"/>
              <w:left w:val="single" w:color="auto" w:sz="4" w:space="0"/>
              <w:bottom w:val="single" w:color="auto" w:sz="4" w:space="0"/>
              <w:right w:val="single" w:color="auto" w:sz="4" w:space="0"/>
            </w:tcBorders>
            <w:vAlign w:val="center"/>
          </w:tcPr>
          <w:p w14:paraId="7F713720">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资金落实情况</w:t>
            </w:r>
          </w:p>
        </w:tc>
        <w:tc>
          <w:tcPr>
            <w:tcW w:w="7019" w:type="dxa"/>
            <w:tcBorders>
              <w:top w:val="single" w:color="auto" w:sz="4" w:space="0"/>
              <w:left w:val="single" w:color="auto" w:sz="4" w:space="0"/>
              <w:bottom w:val="single" w:color="auto" w:sz="4" w:space="0"/>
              <w:right w:val="single" w:color="auto" w:sz="4" w:space="0"/>
            </w:tcBorders>
            <w:vAlign w:val="center"/>
          </w:tcPr>
          <w:p w14:paraId="087D86B8">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资金已经落实</w:t>
            </w:r>
            <w:r>
              <w:rPr>
                <w:rFonts w:hint="eastAsia" w:ascii="宋体" w:hAnsi="宋体" w:eastAsia="宋体" w:cs="宋体"/>
                <w:color w:val="auto"/>
                <w:szCs w:val="21"/>
                <w:highlight w:val="none"/>
              </w:rPr>
              <w:t>。</w:t>
            </w:r>
          </w:p>
        </w:tc>
      </w:tr>
      <w:tr w14:paraId="4AB1ACBB">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74B0F952">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1.3.1</w:t>
            </w:r>
          </w:p>
        </w:tc>
        <w:tc>
          <w:tcPr>
            <w:tcW w:w="1994" w:type="dxa"/>
            <w:tcBorders>
              <w:top w:val="single" w:color="auto" w:sz="4" w:space="0"/>
              <w:left w:val="single" w:color="auto" w:sz="4" w:space="0"/>
              <w:bottom w:val="single" w:color="auto" w:sz="4" w:space="0"/>
              <w:right w:val="single" w:color="auto" w:sz="4" w:space="0"/>
            </w:tcBorders>
            <w:vAlign w:val="center"/>
          </w:tcPr>
          <w:p w14:paraId="2E1FA64E">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招标范围</w:t>
            </w:r>
          </w:p>
        </w:tc>
        <w:tc>
          <w:tcPr>
            <w:tcW w:w="7019" w:type="dxa"/>
            <w:tcBorders>
              <w:top w:val="single" w:color="auto" w:sz="4" w:space="0"/>
              <w:left w:val="single" w:color="auto" w:sz="4" w:space="0"/>
              <w:bottom w:val="single" w:color="auto" w:sz="4" w:space="0"/>
              <w:right w:val="single" w:color="auto" w:sz="4" w:space="0"/>
            </w:tcBorders>
            <w:vAlign w:val="center"/>
          </w:tcPr>
          <w:p w14:paraId="12B37C48">
            <w:pPr>
              <w:widowControl/>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详见招标公告</w:t>
            </w:r>
            <w:r>
              <w:rPr>
                <w:rFonts w:hint="eastAsia" w:ascii="宋体" w:hAnsi="宋体" w:eastAsia="宋体" w:cs="宋体"/>
                <w:color w:val="auto"/>
                <w:szCs w:val="21"/>
                <w:highlight w:val="none"/>
              </w:rPr>
              <w:t>。</w:t>
            </w:r>
          </w:p>
          <w:p w14:paraId="694CAAE7">
            <w:pPr>
              <w:widowControl/>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备注：招标人有权根据项目的实际情况增加和减少工作内容。</w:t>
            </w:r>
          </w:p>
        </w:tc>
      </w:tr>
      <w:tr w14:paraId="3D05E2C5">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44AA0869">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1.3.2</w:t>
            </w:r>
          </w:p>
        </w:tc>
        <w:tc>
          <w:tcPr>
            <w:tcW w:w="1994" w:type="dxa"/>
            <w:tcBorders>
              <w:top w:val="single" w:color="auto" w:sz="4" w:space="0"/>
              <w:left w:val="single" w:color="auto" w:sz="4" w:space="0"/>
              <w:bottom w:val="single" w:color="auto" w:sz="4" w:space="0"/>
              <w:right w:val="single" w:color="auto" w:sz="4" w:space="0"/>
            </w:tcBorders>
            <w:vAlign w:val="center"/>
          </w:tcPr>
          <w:p w14:paraId="23737B24">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计划工期</w:t>
            </w:r>
          </w:p>
        </w:tc>
        <w:tc>
          <w:tcPr>
            <w:tcW w:w="7019" w:type="dxa"/>
            <w:tcBorders>
              <w:top w:val="single" w:color="auto" w:sz="4" w:space="0"/>
              <w:left w:val="single" w:color="auto" w:sz="4" w:space="0"/>
              <w:bottom w:val="single" w:color="auto" w:sz="4" w:space="0"/>
              <w:right w:val="single" w:color="auto" w:sz="4" w:space="0"/>
            </w:tcBorders>
            <w:vAlign w:val="center"/>
          </w:tcPr>
          <w:p w14:paraId="5997AD9E">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详见招标公告</w:t>
            </w:r>
            <w:r>
              <w:rPr>
                <w:rFonts w:hint="eastAsia" w:ascii="宋体" w:hAnsi="宋体" w:eastAsia="宋体" w:cs="宋体"/>
                <w:color w:val="auto"/>
                <w:szCs w:val="21"/>
                <w:highlight w:val="none"/>
              </w:rPr>
              <w:t>。</w:t>
            </w:r>
          </w:p>
        </w:tc>
      </w:tr>
      <w:tr w14:paraId="68828D13">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3020725D">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1.3.3</w:t>
            </w:r>
          </w:p>
        </w:tc>
        <w:tc>
          <w:tcPr>
            <w:tcW w:w="1994" w:type="dxa"/>
            <w:tcBorders>
              <w:top w:val="single" w:color="auto" w:sz="4" w:space="0"/>
              <w:left w:val="single" w:color="auto" w:sz="4" w:space="0"/>
              <w:bottom w:val="single" w:color="auto" w:sz="4" w:space="0"/>
              <w:right w:val="single" w:color="auto" w:sz="4" w:space="0"/>
            </w:tcBorders>
            <w:vAlign w:val="center"/>
          </w:tcPr>
          <w:p w14:paraId="326FFF87">
            <w:pPr>
              <w:widowControl/>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019" w:type="dxa"/>
            <w:tcBorders>
              <w:top w:val="single" w:color="auto" w:sz="4" w:space="0"/>
              <w:left w:val="single" w:color="auto" w:sz="4" w:space="0"/>
              <w:bottom w:val="single" w:color="auto" w:sz="4" w:space="0"/>
              <w:right w:val="single" w:color="auto" w:sz="4" w:space="0"/>
            </w:tcBorders>
            <w:vAlign w:val="center"/>
          </w:tcPr>
          <w:p w14:paraId="63737AEC">
            <w:pPr>
              <w:widowControl/>
              <w:snapToGrid w:val="0"/>
              <w:spacing w:beforeLines="0" w:afterLines="0" w:line="320" w:lineRule="exact"/>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u w:val="single"/>
              </w:rPr>
              <w:t>设计要求的质量标准：符合《建设工程质量管理条例》、《建设工程勘察设计管理条例》、《建筑工程设计文件编制深度规定（2016年版）》等国家及地方有关工程设计管理法规和规章，达到行业相关规范技术标准等要求；</w:t>
            </w:r>
            <w:r>
              <w:rPr>
                <w:rFonts w:hint="eastAsia" w:ascii="宋体" w:hAnsi="宋体" w:eastAsia="宋体" w:cs="宋体"/>
                <w:color w:val="auto"/>
                <w:szCs w:val="21"/>
                <w:highlight w:val="none"/>
                <w:u w:val="single"/>
                <w:lang w:eastAsia="zh-CN"/>
              </w:rPr>
              <w:t>并</w:t>
            </w:r>
            <w:r>
              <w:rPr>
                <w:rFonts w:hint="eastAsia" w:ascii="宋体" w:hAnsi="宋体" w:eastAsia="宋体" w:cs="宋体"/>
                <w:color w:val="auto"/>
                <w:szCs w:val="21"/>
                <w:highlight w:val="none"/>
                <w:u w:val="single"/>
              </w:rPr>
              <w:t>符合本项目设计任务书</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另册</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的要求。</w:t>
            </w:r>
          </w:p>
          <w:p w14:paraId="3FB1C770">
            <w:pPr>
              <w:widowControl/>
              <w:snapToGrid w:val="0"/>
              <w:spacing w:beforeLines="0" w:afterLines="0" w:line="32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u w:val="single"/>
              </w:rPr>
              <w:t>施工质量标准：工程质量达到国家建筑工程施工质量验收规范要求，并一次性验收合格</w:t>
            </w:r>
            <w:r>
              <w:rPr>
                <w:rFonts w:hint="eastAsia" w:ascii="宋体" w:hAnsi="宋体" w:eastAsia="宋体" w:cs="宋体"/>
                <w:color w:val="auto"/>
                <w:szCs w:val="21"/>
                <w:highlight w:val="none"/>
                <w:u w:val="single"/>
                <w:lang w:eastAsia="zh-CN"/>
              </w:rPr>
              <w:t>。</w:t>
            </w:r>
          </w:p>
        </w:tc>
      </w:tr>
      <w:tr w14:paraId="323D417C">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4EA76C96">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1.4.1</w:t>
            </w:r>
          </w:p>
        </w:tc>
        <w:tc>
          <w:tcPr>
            <w:tcW w:w="1994" w:type="dxa"/>
            <w:tcBorders>
              <w:top w:val="single" w:color="auto" w:sz="4" w:space="0"/>
              <w:left w:val="single" w:color="auto" w:sz="4" w:space="0"/>
              <w:bottom w:val="single" w:color="auto" w:sz="4" w:space="0"/>
              <w:right w:val="single" w:color="auto" w:sz="4" w:space="0"/>
            </w:tcBorders>
            <w:vAlign w:val="center"/>
          </w:tcPr>
          <w:p w14:paraId="5ACBF9A6">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投标人资质条件、能力和信誉</w:t>
            </w:r>
          </w:p>
        </w:tc>
        <w:tc>
          <w:tcPr>
            <w:tcW w:w="7019" w:type="dxa"/>
            <w:tcBorders>
              <w:top w:val="single" w:color="auto" w:sz="4" w:space="0"/>
              <w:left w:val="single" w:color="auto" w:sz="4" w:space="0"/>
              <w:bottom w:val="single" w:color="auto" w:sz="4" w:space="0"/>
              <w:right w:val="single" w:color="auto" w:sz="4" w:space="0"/>
            </w:tcBorders>
            <w:vAlign w:val="center"/>
          </w:tcPr>
          <w:p w14:paraId="21E51043">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详见本项目招标公告</w:t>
            </w:r>
            <w:r>
              <w:rPr>
                <w:rFonts w:hint="eastAsia" w:ascii="宋体" w:hAnsi="宋体" w:eastAsia="宋体" w:cs="宋体"/>
                <w:color w:val="auto"/>
                <w:szCs w:val="21"/>
                <w:highlight w:val="none"/>
              </w:rPr>
              <w:t>。</w:t>
            </w:r>
          </w:p>
        </w:tc>
      </w:tr>
      <w:tr w14:paraId="765C8DCF">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445E1BAC">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1.4.2</w:t>
            </w:r>
          </w:p>
        </w:tc>
        <w:tc>
          <w:tcPr>
            <w:tcW w:w="1994" w:type="dxa"/>
            <w:tcBorders>
              <w:top w:val="single" w:color="auto" w:sz="4" w:space="0"/>
              <w:left w:val="single" w:color="auto" w:sz="4" w:space="0"/>
              <w:bottom w:val="single" w:color="auto" w:sz="4" w:space="0"/>
              <w:right w:val="single" w:color="auto" w:sz="4" w:space="0"/>
            </w:tcBorders>
            <w:vAlign w:val="center"/>
          </w:tcPr>
          <w:p w14:paraId="325FF2A5">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是否接受联合体投标</w:t>
            </w:r>
          </w:p>
        </w:tc>
        <w:tc>
          <w:tcPr>
            <w:tcW w:w="7019" w:type="dxa"/>
            <w:tcBorders>
              <w:top w:val="single" w:color="auto" w:sz="4" w:space="0"/>
              <w:left w:val="single" w:color="auto" w:sz="4" w:space="0"/>
              <w:bottom w:val="single" w:color="auto" w:sz="4" w:space="0"/>
              <w:right w:val="single" w:color="auto" w:sz="4" w:space="0"/>
            </w:tcBorders>
            <w:vAlign w:val="center"/>
          </w:tcPr>
          <w:p w14:paraId="3237BD63">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□不接受</w:t>
            </w:r>
          </w:p>
          <w:p w14:paraId="7C973F7F">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■接受，应满足下列要求：</w:t>
            </w:r>
            <w:r>
              <w:rPr>
                <w:rFonts w:hint="eastAsia" w:ascii="宋体" w:hAnsi="宋体" w:eastAsia="宋体" w:cs="宋体"/>
                <w:color w:val="auto"/>
                <w:szCs w:val="21"/>
                <w:highlight w:val="none"/>
                <w:u w:val="single"/>
              </w:rPr>
              <w:t>详见本项目招标公告</w:t>
            </w:r>
            <w:r>
              <w:rPr>
                <w:rFonts w:hint="eastAsia" w:ascii="宋体" w:hAnsi="宋体" w:eastAsia="宋体" w:cs="宋体"/>
                <w:color w:val="auto"/>
                <w:szCs w:val="21"/>
                <w:highlight w:val="none"/>
              </w:rPr>
              <w:t>。</w:t>
            </w:r>
          </w:p>
        </w:tc>
      </w:tr>
      <w:tr w14:paraId="236AEC33">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079368AB">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994" w:type="dxa"/>
            <w:tcBorders>
              <w:top w:val="single" w:color="auto" w:sz="4" w:space="0"/>
              <w:left w:val="single" w:color="auto" w:sz="4" w:space="0"/>
              <w:bottom w:val="single" w:color="auto" w:sz="4" w:space="0"/>
              <w:right w:val="single" w:color="auto" w:sz="4" w:space="0"/>
            </w:tcBorders>
            <w:vAlign w:val="center"/>
          </w:tcPr>
          <w:p w14:paraId="536CA9C2">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费用承担和设计成果补偿</w:t>
            </w:r>
          </w:p>
        </w:tc>
        <w:tc>
          <w:tcPr>
            <w:tcW w:w="7019" w:type="dxa"/>
            <w:tcBorders>
              <w:top w:val="single" w:color="auto" w:sz="4" w:space="0"/>
              <w:left w:val="single" w:color="auto" w:sz="4" w:space="0"/>
              <w:bottom w:val="single" w:color="auto" w:sz="4" w:space="0"/>
              <w:right w:val="single" w:color="auto" w:sz="4" w:space="0"/>
            </w:tcBorders>
            <w:vAlign w:val="center"/>
          </w:tcPr>
          <w:p w14:paraId="28581D7A">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■不补偿</w:t>
            </w:r>
          </w:p>
          <w:p w14:paraId="006B85AA">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□补偿，补偿标准：</w:t>
            </w:r>
            <w:r>
              <w:rPr>
                <w:rFonts w:hint="eastAsia" w:ascii="宋体" w:hAnsi="宋体" w:eastAsia="宋体" w:cs="宋体"/>
                <w:color w:val="auto"/>
                <w:szCs w:val="21"/>
                <w:highlight w:val="none"/>
                <w:u w:val="single"/>
              </w:rPr>
              <w:t xml:space="preserve"> / </w:t>
            </w:r>
          </w:p>
        </w:tc>
      </w:tr>
      <w:tr w14:paraId="5C293A38">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4BBEA9FF">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w:t>
            </w:r>
          </w:p>
        </w:tc>
        <w:tc>
          <w:tcPr>
            <w:tcW w:w="1994" w:type="dxa"/>
            <w:tcBorders>
              <w:top w:val="single" w:color="auto" w:sz="4" w:space="0"/>
              <w:left w:val="single" w:color="auto" w:sz="4" w:space="0"/>
              <w:bottom w:val="single" w:color="auto" w:sz="4" w:space="0"/>
              <w:right w:val="single" w:color="auto" w:sz="4" w:space="0"/>
            </w:tcBorders>
            <w:vAlign w:val="center"/>
          </w:tcPr>
          <w:p w14:paraId="650EB159">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w:t>
            </w:r>
          </w:p>
        </w:tc>
        <w:tc>
          <w:tcPr>
            <w:tcW w:w="7019" w:type="dxa"/>
            <w:tcBorders>
              <w:top w:val="single" w:color="auto" w:sz="4" w:space="0"/>
              <w:left w:val="single" w:color="auto" w:sz="4" w:space="0"/>
              <w:bottom w:val="single" w:color="auto" w:sz="4" w:space="0"/>
              <w:right w:val="single" w:color="auto" w:sz="4" w:space="0"/>
            </w:tcBorders>
            <w:vAlign w:val="center"/>
          </w:tcPr>
          <w:p w14:paraId="6E38E69E">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u w:val="single"/>
              </w:rPr>
              <w:t>自行踏勘</w:t>
            </w:r>
            <w:r>
              <w:rPr>
                <w:rFonts w:hint="eastAsia" w:ascii="宋体" w:hAnsi="宋体" w:eastAsia="宋体" w:cs="宋体"/>
                <w:color w:val="auto"/>
                <w:szCs w:val="21"/>
                <w:highlight w:val="none"/>
              </w:rPr>
              <w:t>。</w:t>
            </w:r>
          </w:p>
          <w:p w14:paraId="7AF1CBA7">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□组织，踏勘时间：</w:t>
            </w:r>
            <w:r>
              <w:rPr>
                <w:rFonts w:hint="eastAsia" w:ascii="宋体" w:hAnsi="宋体" w:eastAsia="宋体" w:cs="宋体"/>
                <w:color w:val="auto"/>
                <w:szCs w:val="21"/>
                <w:highlight w:val="none"/>
                <w:u w:val="single"/>
              </w:rPr>
              <w:t xml:space="preserve"> / </w:t>
            </w:r>
          </w:p>
          <w:p w14:paraId="4079A718">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踏勘集中地点：</w:t>
            </w:r>
            <w:r>
              <w:rPr>
                <w:rFonts w:hint="eastAsia" w:ascii="宋体" w:hAnsi="宋体" w:eastAsia="宋体" w:cs="宋体"/>
                <w:color w:val="auto"/>
                <w:szCs w:val="21"/>
                <w:highlight w:val="none"/>
                <w:u w:val="single"/>
              </w:rPr>
              <w:t xml:space="preserve"> / </w:t>
            </w:r>
          </w:p>
        </w:tc>
      </w:tr>
      <w:tr w14:paraId="6241675B">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4EAA4C40">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1.10.1</w:t>
            </w:r>
          </w:p>
        </w:tc>
        <w:tc>
          <w:tcPr>
            <w:tcW w:w="1994" w:type="dxa"/>
            <w:tcBorders>
              <w:top w:val="single" w:color="auto" w:sz="4" w:space="0"/>
              <w:left w:val="single" w:color="auto" w:sz="4" w:space="0"/>
              <w:bottom w:val="single" w:color="auto" w:sz="4" w:space="0"/>
              <w:right w:val="single" w:color="auto" w:sz="4" w:space="0"/>
            </w:tcBorders>
            <w:vAlign w:val="center"/>
          </w:tcPr>
          <w:p w14:paraId="576B4554">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投标预备会</w:t>
            </w:r>
          </w:p>
        </w:tc>
        <w:tc>
          <w:tcPr>
            <w:tcW w:w="7019" w:type="dxa"/>
            <w:tcBorders>
              <w:top w:val="single" w:color="auto" w:sz="4" w:space="0"/>
              <w:left w:val="single" w:color="auto" w:sz="4" w:space="0"/>
              <w:bottom w:val="single" w:color="auto" w:sz="4" w:space="0"/>
              <w:right w:val="single" w:color="auto" w:sz="4" w:space="0"/>
            </w:tcBorders>
            <w:vAlign w:val="center"/>
          </w:tcPr>
          <w:p w14:paraId="19644B30">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■不召开</w:t>
            </w:r>
          </w:p>
          <w:p w14:paraId="5C656E5C">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□召开，召开时间：</w:t>
            </w:r>
            <w:r>
              <w:rPr>
                <w:rFonts w:hint="eastAsia" w:ascii="宋体" w:hAnsi="宋体" w:eastAsia="宋体" w:cs="宋体"/>
                <w:color w:val="auto"/>
                <w:szCs w:val="21"/>
                <w:highlight w:val="none"/>
                <w:u w:val="single"/>
              </w:rPr>
              <w:t xml:space="preserve"> / </w:t>
            </w:r>
          </w:p>
          <w:p w14:paraId="00659DB6">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召开地点：</w:t>
            </w:r>
            <w:r>
              <w:rPr>
                <w:rFonts w:hint="eastAsia" w:ascii="宋体" w:hAnsi="宋体" w:eastAsia="宋体" w:cs="宋体"/>
                <w:color w:val="auto"/>
                <w:szCs w:val="21"/>
                <w:highlight w:val="none"/>
                <w:u w:val="single"/>
              </w:rPr>
              <w:t xml:space="preserve"> / </w:t>
            </w:r>
          </w:p>
        </w:tc>
      </w:tr>
      <w:tr w14:paraId="7D7844B3">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096DD728">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1.10.2</w:t>
            </w:r>
          </w:p>
        </w:tc>
        <w:tc>
          <w:tcPr>
            <w:tcW w:w="1994" w:type="dxa"/>
            <w:tcBorders>
              <w:top w:val="single" w:color="auto" w:sz="4" w:space="0"/>
              <w:left w:val="single" w:color="auto" w:sz="4" w:space="0"/>
              <w:bottom w:val="single" w:color="auto" w:sz="4" w:space="0"/>
              <w:right w:val="single" w:color="auto" w:sz="4" w:space="0"/>
            </w:tcBorders>
            <w:vAlign w:val="center"/>
          </w:tcPr>
          <w:p w14:paraId="44D8D151">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投标人提出问题的截止时间</w:t>
            </w:r>
          </w:p>
        </w:tc>
        <w:tc>
          <w:tcPr>
            <w:tcW w:w="7019" w:type="dxa"/>
            <w:tcBorders>
              <w:top w:val="single" w:color="auto" w:sz="4" w:space="0"/>
              <w:left w:val="single" w:color="auto" w:sz="4" w:space="0"/>
              <w:bottom w:val="single" w:color="auto" w:sz="4" w:space="0"/>
              <w:right w:val="single" w:color="auto" w:sz="4" w:space="0"/>
            </w:tcBorders>
            <w:vAlign w:val="center"/>
          </w:tcPr>
          <w:p w14:paraId="39FE27E7">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1.截止时间：</w:t>
            </w:r>
            <w:r>
              <w:rPr>
                <w:rFonts w:hint="eastAsia" w:ascii="宋体" w:hAnsi="宋体" w:eastAsia="宋体" w:cs="宋体"/>
                <w:color w:val="auto"/>
                <w:szCs w:val="21"/>
                <w:highlight w:val="none"/>
                <w:u w:val="single"/>
              </w:rPr>
              <w:t>以</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网站发布的时间为准。</w:t>
            </w:r>
          </w:p>
          <w:p w14:paraId="415E63F9">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2.提出问题的方式：</w:t>
            </w:r>
            <w:r>
              <w:rPr>
                <w:rFonts w:hint="eastAsia" w:ascii="宋体" w:hAnsi="宋体" w:eastAsia="宋体" w:cs="宋体"/>
                <w:color w:val="auto"/>
                <w:szCs w:val="21"/>
                <w:highlight w:val="none"/>
                <w:u w:val="single"/>
              </w:rPr>
              <w:t>项目答疑纪要采用网上答疑方式进行。投标人若对招标文件有疑问的，可在规定的时间内通过</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网站进入提问区域将问题提交给招标人或招标代理人，提交问题时一律不得署名。</w:t>
            </w:r>
          </w:p>
          <w:p w14:paraId="048CB690">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 网上答疑的操作指南为：</w:t>
            </w:r>
            <w:r>
              <w:rPr>
                <w:rFonts w:hint="eastAsia" w:ascii="宋体" w:hAnsi="宋体" w:eastAsia="宋体" w:cs="宋体"/>
                <w:color w:val="auto"/>
                <w:szCs w:val="21"/>
                <w:highlight w:val="none"/>
                <w:u w:val="single"/>
                <w:lang w:eastAsia="zh-CN"/>
              </w:rPr>
              <w:t>登录广州交易集团有限公司（广州公共资源交易中心）</w:t>
            </w:r>
            <w:r>
              <w:rPr>
                <w:rFonts w:hint="eastAsia" w:ascii="宋体" w:hAnsi="宋体" w:eastAsia="宋体" w:cs="宋体"/>
                <w:color w:val="auto"/>
                <w:szCs w:val="21"/>
                <w:highlight w:val="none"/>
                <w:u w:val="single"/>
              </w:rPr>
              <w:t>网站→进入“我是投标人”→进入“新建设工程交易平台”→进入“我的投标”→进入“招标答疑提问”→通过项目编号或名称找到所需的项目→在上述的答疑时间内点击“答疑提问”进入到提问区域→无记名或匿名提出问题。</w:t>
            </w:r>
          </w:p>
        </w:tc>
      </w:tr>
      <w:tr w14:paraId="08B86D3C">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333D96DE">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1.10.3</w:t>
            </w:r>
          </w:p>
        </w:tc>
        <w:tc>
          <w:tcPr>
            <w:tcW w:w="1994" w:type="dxa"/>
            <w:tcBorders>
              <w:top w:val="single" w:color="auto" w:sz="4" w:space="0"/>
              <w:left w:val="single" w:color="auto" w:sz="4" w:space="0"/>
              <w:bottom w:val="single" w:color="auto" w:sz="4" w:space="0"/>
              <w:right w:val="single" w:color="auto" w:sz="4" w:space="0"/>
            </w:tcBorders>
            <w:vAlign w:val="center"/>
          </w:tcPr>
          <w:p w14:paraId="137E8BB8">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招标人书面澄清的时间</w:t>
            </w:r>
          </w:p>
        </w:tc>
        <w:tc>
          <w:tcPr>
            <w:tcW w:w="7019" w:type="dxa"/>
            <w:tcBorders>
              <w:top w:val="single" w:color="auto" w:sz="4" w:space="0"/>
              <w:left w:val="single" w:color="auto" w:sz="4" w:space="0"/>
              <w:bottom w:val="single" w:color="auto" w:sz="4" w:space="0"/>
              <w:right w:val="single" w:color="auto" w:sz="4" w:space="0"/>
            </w:tcBorders>
            <w:vAlign w:val="center"/>
          </w:tcPr>
          <w:p w14:paraId="7CCC4FFB">
            <w:pPr>
              <w:widowControl/>
              <w:wordWrap w:val="0"/>
              <w:snapToGrid w:val="0"/>
              <w:spacing w:beforeLines="0" w:afterLines="0" w:line="320" w:lineRule="exac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时间：</w:t>
            </w:r>
            <w:r>
              <w:rPr>
                <w:rFonts w:hint="eastAsia" w:ascii="宋体" w:hAnsi="宋体" w:eastAsia="宋体" w:cs="宋体"/>
                <w:color w:val="auto"/>
                <w:kern w:val="0"/>
                <w:szCs w:val="21"/>
                <w:highlight w:val="none"/>
                <w:u w:val="single"/>
              </w:rPr>
              <w:t>在递交投标文件截止日期前15日</w:t>
            </w:r>
          </w:p>
          <w:p w14:paraId="4218CD3E">
            <w:pPr>
              <w:widowControl/>
              <w:wordWrap w:val="0"/>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形式：</w:t>
            </w:r>
            <w:r>
              <w:rPr>
                <w:rFonts w:hint="eastAsia" w:ascii="宋体" w:hAnsi="宋体" w:eastAsia="宋体" w:cs="宋体"/>
                <w:color w:val="auto"/>
                <w:kern w:val="0"/>
                <w:szCs w:val="21"/>
                <w:highlight w:val="none"/>
                <w:u w:val="single"/>
              </w:rPr>
              <w:t>投标人疑问通过网上提交。具体操作方法详见</w:t>
            </w:r>
            <w:r>
              <w:rPr>
                <w:rFonts w:hint="eastAsia" w:ascii="宋体" w:hAnsi="宋体" w:eastAsia="宋体" w:cs="宋体"/>
                <w:color w:val="auto"/>
                <w:kern w:val="0"/>
                <w:szCs w:val="21"/>
                <w:highlight w:val="none"/>
                <w:u w:val="single"/>
                <w:lang w:eastAsia="zh-CN"/>
              </w:rPr>
              <w:t>广州交易集团有限公司（广州公共资源交易中心）</w:t>
            </w:r>
            <w:r>
              <w:rPr>
                <w:rFonts w:hint="eastAsia" w:ascii="宋体" w:hAnsi="宋体" w:eastAsia="宋体" w:cs="宋体"/>
                <w:color w:val="auto"/>
                <w:kern w:val="0"/>
                <w:szCs w:val="21"/>
                <w:highlight w:val="none"/>
                <w:u w:val="single"/>
              </w:rPr>
              <w:t>网站有关服务指南。</w:t>
            </w:r>
          </w:p>
        </w:tc>
      </w:tr>
      <w:tr w14:paraId="4D70E852">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5881E3DE">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1.11.1</w:t>
            </w:r>
          </w:p>
        </w:tc>
        <w:tc>
          <w:tcPr>
            <w:tcW w:w="1994" w:type="dxa"/>
            <w:tcBorders>
              <w:top w:val="single" w:color="auto" w:sz="4" w:space="0"/>
              <w:left w:val="single" w:color="auto" w:sz="4" w:space="0"/>
              <w:bottom w:val="single" w:color="auto" w:sz="4" w:space="0"/>
              <w:right w:val="single" w:color="auto" w:sz="4" w:space="0"/>
            </w:tcBorders>
            <w:vAlign w:val="center"/>
          </w:tcPr>
          <w:p w14:paraId="0BFF0EEE">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招标人规定由分包人承担的工作</w:t>
            </w:r>
          </w:p>
        </w:tc>
        <w:tc>
          <w:tcPr>
            <w:tcW w:w="7019" w:type="dxa"/>
            <w:tcBorders>
              <w:top w:val="single" w:color="auto" w:sz="4" w:space="0"/>
              <w:left w:val="single" w:color="auto" w:sz="4" w:space="0"/>
              <w:bottom w:val="single" w:color="auto" w:sz="4" w:space="0"/>
              <w:right w:val="single" w:color="auto" w:sz="4" w:space="0"/>
            </w:tcBorders>
            <w:vAlign w:val="center"/>
          </w:tcPr>
          <w:p w14:paraId="4195776C">
            <w:pPr>
              <w:snapToGrid w:val="0"/>
              <w:spacing w:beforeLines="0" w:afterLines="0"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详见合同条款</w:t>
            </w:r>
          </w:p>
        </w:tc>
      </w:tr>
      <w:tr w14:paraId="4616FE0A">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49CE25B8">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1.11.2</w:t>
            </w:r>
          </w:p>
        </w:tc>
        <w:tc>
          <w:tcPr>
            <w:tcW w:w="1994" w:type="dxa"/>
            <w:tcBorders>
              <w:top w:val="single" w:color="auto" w:sz="4" w:space="0"/>
              <w:left w:val="single" w:color="auto" w:sz="4" w:space="0"/>
              <w:bottom w:val="single" w:color="auto" w:sz="4" w:space="0"/>
              <w:right w:val="single" w:color="auto" w:sz="4" w:space="0"/>
            </w:tcBorders>
            <w:vAlign w:val="center"/>
          </w:tcPr>
          <w:p w14:paraId="58DE4983">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投标人拟分包的工作</w:t>
            </w:r>
          </w:p>
        </w:tc>
        <w:tc>
          <w:tcPr>
            <w:tcW w:w="7019" w:type="dxa"/>
            <w:tcBorders>
              <w:top w:val="single" w:color="auto" w:sz="4" w:space="0"/>
              <w:left w:val="single" w:color="auto" w:sz="4" w:space="0"/>
              <w:bottom w:val="single" w:color="auto" w:sz="4" w:space="0"/>
              <w:right w:val="single" w:color="auto" w:sz="4" w:space="0"/>
            </w:tcBorders>
            <w:vAlign w:val="center"/>
          </w:tcPr>
          <w:p w14:paraId="5394AD61">
            <w:pPr>
              <w:snapToGrid w:val="0"/>
              <w:spacing w:beforeLines="0" w:afterLines="0" w:line="320" w:lineRule="exact"/>
              <w:rPr>
                <w:rFonts w:hint="eastAsia" w:ascii="宋体" w:hAnsi="宋体" w:eastAsia="宋体" w:cs="宋体"/>
                <w:color w:val="auto"/>
                <w:szCs w:val="21"/>
                <w:highlight w:val="none"/>
              </w:rPr>
            </w:pPr>
            <w:bookmarkStart w:id="14" w:name="OLE_LINK15"/>
            <w:r>
              <w:rPr>
                <w:rFonts w:hint="eastAsia" w:ascii="宋体" w:hAnsi="宋体" w:eastAsia="宋体" w:cs="宋体"/>
                <w:color w:val="auto"/>
                <w:szCs w:val="21"/>
                <w:highlight w:val="none"/>
              </w:rPr>
              <w:t>□</w:t>
            </w:r>
            <w:bookmarkEnd w:id="14"/>
            <w:r>
              <w:rPr>
                <w:rFonts w:hint="eastAsia" w:ascii="宋体" w:hAnsi="宋体" w:eastAsia="宋体" w:cs="宋体"/>
                <w:color w:val="auto"/>
                <w:szCs w:val="21"/>
                <w:highlight w:val="none"/>
              </w:rPr>
              <w:t>不允许</w:t>
            </w:r>
          </w:p>
          <w:p w14:paraId="7CA63CFF">
            <w:pPr>
              <w:snapToGrid w:val="0"/>
              <w:spacing w:beforeLines="0" w:afterLines="0" w:line="32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■允许，</w:t>
            </w:r>
            <w:r>
              <w:rPr>
                <w:rFonts w:hint="eastAsia" w:ascii="宋体" w:hAnsi="宋体" w:eastAsia="宋体" w:cs="宋体"/>
                <w:color w:val="auto"/>
                <w:szCs w:val="21"/>
                <w:highlight w:val="none"/>
                <w:u w:val="single"/>
              </w:rPr>
              <w:t>经招标人同意，中标人可以把中标项目的部分非主体、非关键性工作分包给具有相应资质和能力的专业单位实施，但不得再次分包。</w:t>
            </w:r>
          </w:p>
        </w:tc>
      </w:tr>
      <w:tr w14:paraId="4162FD0F">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6235C2C0">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w:t>
            </w:r>
          </w:p>
        </w:tc>
        <w:tc>
          <w:tcPr>
            <w:tcW w:w="1994" w:type="dxa"/>
            <w:tcBorders>
              <w:top w:val="single" w:color="auto" w:sz="4" w:space="0"/>
              <w:left w:val="single" w:color="auto" w:sz="4" w:space="0"/>
              <w:bottom w:val="single" w:color="auto" w:sz="4" w:space="0"/>
              <w:right w:val="single" w:color="auto" w:sz="4" w:space="0"/>
            </w:tcBorders>
            <w:vAlign w:val="center"/>
          </w:tcPr>
          <w:p w14:paraId="26A1E111">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w:t>
            </w:r>
          </w:p>
        </w:tc>
        <w:tc>
          <w:tcPr>
            <w:tcW w:w="7019" w:type="dxa"/>
            <w:tcBorders>
              <w:top w:val="single" w:color="auto" w:sz="4" w:space="0"/>
              <w:left w:val="single" w:color="auto" w:sz="4" w:space="0"/>
              <w:bottom w:val="single" w:color="auto" w:sz="4" w:space="0"/>
              <w:right w:val="single" w:color="auto" w:sz="4" w:space="0"/>
            </w:tcBorders>
            <w:vAlign w:val="center"/>
          </w:tcPr>
          <w:p w14:paraId="6556274E">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w:t>
            </w:r>
          </w:p>
          <w:p w14:paraId="4B1703CB">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□允许，允许偏离的内容、偏离范围和幅度：</w:t>
            </w:r>
            <w:r>
              <w:rPr>
                <w:rFonts w:hint="eastAsia" w:ascii="宋体" w:hAnsi="宋体" w:eastAsia="宋体" w:cs="宋体"/>
                <w:color w:val="auto"/>
                <w:szCs w:val="21"/>
                <w:highlight w:val="none"/>
                <w:u w:val="single"/>
              </w:rPr>
              <w:t xml:space="preserve"> / </w:t>
            </w:r>
          </w:p>
        </w:tc>
      </w:tr>
      <w:tr w14:paraId="38D10DE6">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692CC5CD">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994" w:type="dxa"/>
            <w:tcBorders>
              <w:top w:val="single" w:color="auto" w:sz="4" w:space="0"/>
              <w:left w:val="single" w:color="auto" w:sz="4" w:space="0"/>
              <w:bottom w:val="single" w:color="auto" w:sz="4" w:space="0"/>
              <w:right w:val="single" w:color="auto" w:sz="4" w:space="0"/>
            </w:tcBorders>
            <w:vAlign w:val="center"/>
          </w:tcPr>
          <w:p w14:paraId="5A614526">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构成招标文件的其他资料</w:t>
            </w:r>
          </w:p>
        </w:tc>
        <w:tc>
          <w:tcPr>
            <w:tcW w:w="7019" w:type="dxa"/>
            <w:tcBorders>
              <w:top w:val="single" w:color="auto" w:sz="4" w:space="0"/>
              <w:left w:val="single" w:color="auto" w:sz="4" w:space="0"/>
              <w:bottom w:val="single" w:color="auto" w:sz="4" w:space="0"/>
              <w:right w:val="single" w:color="auto" w:sz="4" w:space="0"/>
            </w:tcBorders>
            <w:vAlign w:val="center"/>
          </w:tcPr>
          <w:p w14:paraId="025595E5">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补充公告、答疑纪要、澄清文件等（如有）。</w:t>
            </w:r>
          </w:p>
        </w:tc>
      </w:tr>
      <w:tr w14:paraId="54A787B4">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7A2C246B">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1994" w:type="dxa"/>
            <w:tcBorders>
              <w:top w:val="single" w:color="auto" w:sz="4" w:space="0"/>
              <w:left w:val="single" w:color="auto" w:sz="4" w:space="0"/>
              <w:bottom w:val="single" w:color="auto" w:sz="4" w:space="0"/>
              <w:right w:val="single" w:color="auto" w:sz="4" w:space="0"/>
            </w:tcBorders>
            <w:vAlign w:val="center"/>
          </w:tcPr>
          <w:p w14:paraId="4D305BB9">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投标人要求澄清招标文件的截止时间</w:t>
            </w:r>
          </w:p>
        </w:tc>
        <w:tc>
          <w:tcPr>
            <w:tcW w:w="7019" w:type="dxa"/>
            <w:tcBorders>
              <w:top w:val="single" w:color="auto" w:sz="4" w:space="0"/>
              <w:left w:val="single" w:color="auto" w:sz="4" w:space="0"/>
              <w:bottom w:val="single" w:color="auto" w:sz="4" w:space="0"/>
              <w:right w:val="single" w:color="auto" w:sz="4" w:space="0"/>
            </w:tcBorders>
            <w:vAlign w:val="center"/>
          </w:tcPr>
          <w:p w14:paraId="0D927938">
            <w:pPr>
              <w:wordWrap w:val="0"/>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rPr>
              <w:t>同投标人提出问题的截止时间。</w:t>
            </w:r>
          </w:p>
        </w:tc>
      </w:tr>
      <w:tr w14:paraId="3BDA0BD5">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270D3F26">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w:t>
            </w:r>
          </w:p>
        </w:tc>
        <w:tc>
          <w:tcPr>
            <w:tcW w:w="1994" w:type="dxa"/>
            <w:tcBorders>
              <w:top w:val="single" w:color="auto" w:sz="4" w:space="0"/>
              <w:left w:val="single" w:color="auto" w:sz="4" w:space="0"/>
              <w:bottom w:val="single" w:color="auto" w:sz="4" w:space="0"/>
              <w:right w:val="single" w:color="auto" w:sz="4" w:space="0"/>
            </w:tcBorders>
            <w:vAlign w:val="center"/>
          </w:tcPr>
          <w:p w14:paraId="2C0033D5">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7019" w:type="dxa"/>
            <w:tcBorders>
              <w:top w:val="single" w:color="auto" w:sz="4" w:space="0"/>
              <w:left w:val="single" w:color="auto" w:sz="4" w:space="0"/>
              <w:bottom w:val="single" w:color="auto" w:sz="4" w:space="0"/>
              <w:right w:val="single" w:color="auto" w:sz="4" w:space="0"/>
            </w:tcBorders>
            <w:vAlign w:val="center"/>
          </w:tcPr>
          <w:p w14:paraId="0B865F59">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详见本项目招标公告</w:t>
            </w:r>
            <w:r>
              <w:rPr>
                <w:rFonts w:hint="eastAsia" w:ascii="宋体" w:hAnsi="宋体" w:eastAsia="宋体" w:cs="宋体"/>
                <w:color w:val="auto"/>
                <w:szCs w:val="21"/>
                <w:highlight w:val="none"/>
              </w:rPr>
              <w:t>。</w:t>
            </w:r>
          </w:p>
        </w:tc>
      </w:tr>
      <w:tr w14:paraId="0CC5A897">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3A338B65">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w:t>
            </w:r>
          </w:p>
        </w:tc>
        <w:tc>
          <w:tcPr>
            <w:tcW w:w="1994" w:type="dxa"/>
            <w:tcBorders>
              <w:top w:val="single" w:color="auto" w:sz="4" w:space="0"/>
              <w:left w:val="single" w:color="auto" w:sz="4" w:space="0"/>
              <w:bottom w:val="single" w:color="auto" w:sz="4" w:space="0"/>
              <w:right w:val="single" w:color="auto" w:sz="4" w:space="0"/>
            </w:tcBorders>
            <w:vAlign w:val="center"/>
          </w:tcPr>
          <w:p w14:paraId="665B10D9">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投标人确认收到招标文件澄清的时间</w:t>
            </w:r>
          </w:p>
        </w:tc>
        <w:tc>
          <w:tcPr>
            <w:tcW w:w="7019" w:type="dxa"/>
            <w:tcBorders>
              <w:top w:val="single" w:color="auto" w:sz="4" w:space="0"/>
              <w:left w:val="single" w:color="auto" w:sz="4" w:space="0"/>
              <w:bottom w:val="single" w:color="auto" w:sz="4" w:space="0"/>
              <w:right w:val="single" w:color="auto" w:sz="4" w:space="0"/>
            </w:tcBorders>
            <w:vAlign w:val="center"/>
          </w:tcPr>
          <w:p w14:paraId="741ECEAA">
            <w:pPr>
              <w:widowControl/>
              <w:wordWrap w:val="0"/>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rPr>
              <w:t>招标答疑纪要一经在</w:t>
            </w:r>
            <w:r>
              <w:rPr>
                <w:rFonts w:hint="eastAsia" w:ascii="宋体" w:hAnsi="宋体" w:eastAsia="宋体" w:cs="宋体"/>
                <w:color w:val="auto"/>
                <w:kern w:val="0"/>
                <w:szCs w:val="21"/>
                <w:highlight w:val="none"/>
                <w:u w:val="single"/>
                <w:lang w:eastAsia="zh-CN"/>
              </w:rPr>
              <w:t>广州交易集团有限公司（广州公共资源交易中心）</w:t>
            </w:r>
            <w:r>
              <w:rPr>
                <w:rFonts w:hint="eastAsia" w:ascii="宋体" w:hAnsi="宋体" w:eastAsia="宋体" w:cs="宋体"/>
                <w:color w:val="auto"/>
                <w:kern w:val="0"/>
                <w:szCs w:val="21"/>
                <w:highlight w:val="none"/>
                <w:u w:val="single"/>
              </w:rPr>
              <w:t>网站发布，视作已发放给所有投标人。</w:t>
            </w:r>
          </w:p>
        </w:tc>
      </w:tr>
      <w:tr w14:paraId="45A60055">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05F6F74A">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w:t>
            </w:r>
          </w:p>
        </w:tc>
        <w:tc>
          <w:tcPr>
            <w:tcW w:w="1994" w:type="dxa"/>
            <w:tcBorders>
              <w:top w:val="single" w:color="auto" w:sz="4" w:space="0"/>
              <w:left w:val="single" w:color="auto" w:sz="4" w:space="0"/>
              <w:bottom w:val="single" w:color="auto" w:sz="4" w:space="0"/>
              <w:right w:val="single" w:color="auto" w:sz="4" w:space="0"/>
            </w:tcBorders>
            <w:vAlign w:val="center"/>
          </w:tcPr>
          <w:p w14:paraId="2AC9272A">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投标人确认收到招标文件修改的时间</w:t>
            </w:r>
          </w:p>
        </w:tc>
        <w:tc>
          <w:tcPr>
            <w:tcW w:w="7019" w:type="dxa"/>
            <w:tcBorders>
              <w:top w:val="single" w:color="auto" w:sz="4" w:space="0"/>
              <w:left w:val="single" w:color="auto" w:sz="4" w:space="0"/>
              <w:bottom w:val="single" w:color="auto" w:sz="4" w:space="0"/>
              <w:right w:val="single" w:color="auto" w:sz="4" w:space="0"/>
            </w:tcBorders>
            <w:vAlign w:val="center"/>
          </w:tcPr>
          <w:p w14:paraId="3C868431">
            <w:pPr>
              <w:widowControl/>
              <w:wordWrap w:val="0"/>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u w:val="single"/>
              </w:rPr>
              <w:t>在</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kern w:val="0"/>
                <w:szCs w:val="21"/>
                <w:highlight w:val="none"/>
                <w:u w:val="single"/>
              </w:rPr>
              <w:t>网站“项目查询（日程安排、答疑纪要）”专区发布时视为投标人收到。</w:t>
            </w:r>
          </w:p>
        </w:tc>
      </w:tr>
      <w:tr w14:paraId="2DC6E23E">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41745383">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w:t>
            </w:r>
          </w:p>
        </w:tc>
        <w:tc>
          <w:tcPr>
            <w:tcW w:w="1994" w:type="dxa"/>
            <w:tcBorders>
              <w:top w:val="single" w:color="auto" w:sz="4" w:space="0"/>
              <w:left w:val="single" w:color="auto" w:sz="4" w:space="0"/>
              <w:bottom w:val="single" w:color="auto" w:sz="4" w:space="0"/>
              <w:right w:val="single" w:color="auto" w:sz="4" w:space="0"/>
            </w:tcBorders>
            <w:vAlign w:val="center"/>
          </w:tcPr>
          <w:p w14:paraId="7F310D26">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构成投标文件的其他资料</w:t>
            </w:r>
          </w:p>
        </w:tc>
        <w:tc>
          <w:tcPr>
            <w:tcW w:w="7019" w:type="dxa"/>
            <w:tcBorders>
              <w:top w:val="single" w:color="auto" w:sz="4" w:space="0"/>
              <w:left w:val="single" w:color="auto" w:sz="4" w:space="0"/>
              <w:bottom w:val="single" w:color="auto" w:sz="4" w:space="0"/>
              <w:right w:val="single" w:color="auto" w:sz="4" w:space="0"/>
            </w:tcBorders>
            <w:vAlign w:val="center"/>
          </w:tcPr>
          <w:p w14:paraId="672518AB">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投标文件、定标文件的组成详见“3.1投标文件及定标文件的组成”。</w:t>
            </w:r>
          </w:p>
        </w:tc>
      </w:tr>
      <w:tr w14:paraId="3320AEB4">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725ADF27">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3.2.4</w:t>
            </w:r>
          </w:p>
        </w:tc>
        <w:tc>
          <w:tcPr>
            <w:tcW w:w="1994" w:type="dxa"/>
            <w:tcBorders>
              <w:top w:val="single" w:color="auto" w:sz="4" w:space="0"/>
              <w:left w:val="single" w:color="auto" w:sz="4" w:space="0"/>
              <w:bottom w:val="single" w:color="auto" w:sz="4" w:space="0"/>
              <w:right w:val="single" w:color="auto" w:sz="4" w:space="0"/>
            </w:tcBorders>
            <w:vAlign w:val="center"/>
          </w:tcPr>
          <w:p w14:paraId="0ED38982">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最高投标限价</w:t>
            </w:r>
          </w:p>
        </w:tc>
        <w:tc>
          <w:tcPr>
            <w:tcW w:w="7019" w:type="dxa"/>
            <w:tcBorders>
              <w:top w:val="single" w:color="auto" w:sz="4" w:space="0"/>
              <w:left w:val="single" w:color="auto" w:sz="4" w:space="0"/>
              <w:bottom w:val="single" w:color="auto" w:sz="4" w:space="0"/>
              <w:right w:val="single" w:color="auto" w:sz="4" w:space="0"/>
            </w:tcBorders>
            <w:vAlign w:val="center"/>
          </w:tcPr>
          <w:p w14:paraId="6087C889">
            <w:pPr>
              <w:wordWrap w:val="0"/>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本项目招标控制价（最高投标限价）为：人民币</w:t>
            </w:r>
            <w:r>
              <w:rPr>
                <w:rFonts w:hint="eastAsia" w:ascii="宋体" w:hAnsi="宋体" w:cs="宋体"/>
                <w:color w:val="auto"/>
                <w:szCs w:val="21"/>
                <w:highlight w:val="none"/>
                <w:lang w:val="en-US" w:eastAsia="zh-CN"/>
              </w:rPr>
              <w:t>9700000.00</w:t>
            </w:r>
            <w:r>
              <w:rPr>
                <w:rFonts w:hint="eastAsia" w:ascii="宋体" w:hAnsi="宋体" w:eastAsia="宋体" w:cs="宋体"/>
                <w:color w:val="auto"/>
                <w:szCs w:val="21"/>
                <w:highlight w:val="none"/>
              </w:rPr>
              <w:t>元，其中设计费最高投标限价为：人民币</w:t>
            </w:r>
            <w:r>
              <w:rPr>
                <w:rFonts w:hint="eastAsia" w:ascii="宋体" w:hAnsi="宋体" w:cs="宋体"/>
                <w:color w:val="auto"/>
                <w:szCs w:val="21"/>
                <w:highlight w:val="none"/>
                <w:lang w:val="en-US" w:eastAsia="zh-CN"/>
              </w:rPr>
              <w:t>700000.00</w:t>
            </w:r>
            <w:r>
              <w:rPr>
                <w:rFonts w:hint="eastAsia" w:ascii="宋体" w:hAnsi="宋体" w:eastAsia="宋体" w:cs="宋体"/>
                <w:color w:val="auto"/>
                <w:szCs w:val="21"/>
                <w:highlight w:val="none"/>
              </w:rPr>
              <w:t>元，建安工程费最高投标限价为：人民币</w:t>
            </w:r>
            <w:r>
              <w:rPr>
                <w:rFonts w:hint="eastAsia" w:ascii="宋体" w:hAnsi="宋体" w:cs="宋体"/>
                <w:color w:val="auto"/>
                <w:szCs w:val="21"/>
                <w:highlight w:val="none"/>
                <w:lang w:val="en-US" w:eastAsia="zh-CN"/>
              </w:rPr>
              <w:t>9000000.00</w:t>
            </w:r>
            <w:r>
              <w:rPr>
                <w:rFonts w:hint="eastAsia" w:ascii="宋体" w:hAnsi="宋体" w:eastAsia="宋体" w:cs="宋体"/>
                <w:color w:val="auto"/>
                <w:szCs w:val="21"/>
                <w:highlight w:val="none"/>
              </w:rPr>
              <w:t>元。投标总报价及各分项投标报价均不得高于最高投标限价及各分项的最高投标限价。</w:t>
            </w:r>
          </w:p>
        </w:tc>
      </w:tr>
      <w:tr w14:paraId="2D1084AF">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2937AF86">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3.2.5</w:t>
            </w:r>
          </w:p>
        </w:tc>
        <w:tc>
          <w:tcPr>
            <w:tcW w:w="1994" w:type="dxa"/>
            <w:tcBorders>
              <w:top w:val="single" w:color="auto" w:sz="4" w:space="0"/>
              <w:left w:val="single" w:color="auto" w:sz="4" w:space="0"/>
              <w:bottom w:val="single" w:color="auto" w:sz="4" w:space="0"/>
              <w:right w:val="single" w:color="auto" w:sz="4" w:space="0"/>
            </w:tcBorders>
            <w:vAlign w:val="center"/>
          </w:tcPr>
          <w:p w14:paraId="379D927C">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投标报价的其他要求</w:t>
            </w:r>
          </w:p>
        </w:tc>
        <w:tc>
          <w:tcPr>
            <w:tcW w:w="7019" w:type="dxa"/>
            <w:tcBorders>
              <w:top w:val="single" w:color="auto" w:sz="4" w:space="0"/>
              <w:left w:val="single" w:color="auto" w:sz="4" w:space="0"/>
              <w:bottom w:val="single" w:color="auto" w:sz="4" w:space="0"/>
              <w:right w:val="single" w:color="auto" w:sz="4" w:space="0"/>
            </w:tcBorders>
            <w:vAlign w:val="center"/>
          </w:tcPr>
          <w:p w14:paraId="3ED568F1">
            <w:pPr>
              <w:pStyle w:val="23"/>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投标人必须详细审阅全部招标文件，充分考虑职责和义务,全面地理解招标文件对投标报价的要求，并按招标人提出的条件及内容进行报价。</w:t>
            </w:r>
          </w:p>
          <w:p w14:paraId="07743F92">
            <w:pPr>
              <w:pStyle w:val="23"/>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（1）设计费：由投标人根据招标文件要求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第六章投标文件格式中格式七</w:t>
            </w:r>
            <w:r>
              <w:rPr>
                <w:rFonts w:hint="eastAsia" w:ascii="宋体" w:hAnsi="宋体" w:eastAsia="宋体" w:cs="宋体"/>
                <w:color w:val="auto"/>
                <w:szCs w:val="21"/>
                <w:highlight w:val="none"/>
              </w:rPr>
              <w:t>以及企业自身情况自行报价。结算方式按照合同约定的相应条款执行。</w:t>
            </w:r>
          </w:p>
          <w:p w14:paraId="53CA6CEB">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建安工程费</w:t>
            </w:r>
            <w:r>
              <w:rPr>
                <w:rFonts w:hint="eastAsia" w:ascii="宋体" w:hAnsi="宋体" w:eastAsia="宋体" w:cs="宋体"/>
                <w:color w:val="auto"/>
                <w:szCs w:val="21"/>
                <w:highlight w:val="none"/>
              </w:rPr>
              <w:t>：由投标人根据招标文件要求</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第六章投标文件格式中格式七以及</w:t>
            </w:r>
            <w:r>
              <w:rPr>
                <w:rFonts w:hint="eastAsia" w:ascii="宋体" w:hAnsi="宋体" w:eastAsia="宋体" w:cs="宋体"/>
                <w:color w:val="auto"/>
                <w:szCs w:val="21"/>
                <w:highlight w:val="none"/>
              </w:rPr>
              <w:t>企业自身情况自行报价</w:t>
            </w:r>
            <w:r>
              <w:rPr>
                <w:rFonts w:hint="eastAsia" w:ascii="宋体" w:hAnsi="宋体" w:eastAsia="宋体" w:cs="宋体"/>
                <w:color w:val="auto"/>
                <w:szCs w:val="21"/>
                <w:highlight w:val="none"/>
                <w:lang w:val="en-US" w:eastAsia="zh-CN"/>
              </w:rPr>
              <w:t>和填报投标下浮率</w:t>
            </w:r>
            <w:r>
              <w:rPr>
                <w:rFonts w:hint="eastAsia" w:ascii="宋体" w:hAnsi="宋体" w:eastAsia="宋体" w:cs="宋体"/>
                <w:color w:val="auto"/>
                <w:szCs w:val="21"/>
                <w:highlight w:val="none"/>
              </w:rPr>
              <w:t>。结算方式按照合同约定的相应条款执行。</w:t>
            </w:r>
          </w:p>
          <w:p w14:paraId="298D4B98">
            <w:pPr>
              <w:snapToGrid w:val="0"/>
              <w:spacing w:beforeLines="0" w:afterLines="0" w:line="320" w:lineRule="exact"/>
              <w:rPr>
                <w:rFonts w:hint="eastAsia" w:ascii="宋体" w:hAnsi="宋体" w:eastAsia="宋体" w:cs="宋体"/>
                <w:color w:val="auto"/>
                <w:szCs w:val="21"/>
                <w:highlight w:val="none"/>
              </w:rPr>
            </w:pPr>
          </w:p>
          <w:p w14:paraId="76685741">
            <w:pPr>
              <w:pStyle w:val="23"/>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本项目投标报价以元为单位，</w:t>
            </w:r>
            <w:r>
              <w:rPr>
                <w:rFonts w:hint="eastAsia" w:ascii="宋体" w:hAnsi="宋体" w:cs="宋体"/>
                <w:color w:val="auto"/>
                <w:szCs w:val="21"/>
                <w:highlight w:val="none"/>
              </w:rPr>
              <w:t>建安工程费</w:t>
            </w:r>
            <w:r>
              <w:rPr>
                <w:rFonts w:hint="eastAsia" w:ascii="宋体" w:hAnsi="宋体" w:eastAsia="宋体" w:cs="宋体"/>
                <w:color w:val="auto"/>
                <w:szCs w:val="21"/>
                <w:highlight w:val="none"/>
                <w:lang w:val="en-US" w:eastAsia="zh-CN"/>
              </w:rPr>
              <w:t>投标下浮率以百分比计，均保留</w:t>
            </w:r>
            <w:r>
              <w:rPr>
                <w:rFonts w:hint="eastAsia" w:ascii="宋体" w:hAnsi="宋体" w:eastAsia="宋体" w:cs="宋体"/>
                <w:color w:val="auto"/>
                <w:szCs w:val="21"/>
                <w:highlight w:val="none"/>
              </w:rPr>
              <w:t>小数点后二位小数，第三位小数四舍五入。本工程不设未中标单位设计投标经济补偿。</w:t>
            </w:r>
          </w:p>
        </w:tc>
      </w:tr>
      <w:tr w14:paraId="52B5B604">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75B08786">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1994" w:type="dxa"/>
            <w:tcBorders>
              <w:top w:val="single" w:color="auto" w:sz="4" w:space="0"/>
              <w:left w:val="single" w:color="auto" w:sz="4" w:space="0"/>
              <w:bottom w:val="single" w:color="auto" w:sz="4" w:space="0"/>
              <w:right w:val="single" w:color="auto" w:sz="4" w:space="0"/>
            </w:tcBorders>
            <w:vAlign w:val="center"/>
          </w:tcPr>
          <w:p w14:paraId="6E78A010">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7019" w:type="dxa"/>
            <w:tcBorders>
              <w:top w:val="single" w:color="auto" w:sz="4" w:space="0"/>
              <w:left w:val="single" w:color="auto" w:sz="4" w:space="0"/>
              <w:bottom w:val="single" w:color="auto" w:sz="4" w:space="0"/>
              <w:right w:val="single" w:color="auto" w:sz="4" w:space="0"/>
            </w:tcBorders>
            <w:vAlign w:val="center"/>
          </w:tcPr>
          <w:p w14:paraId="6A039E1D">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90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w:t>
            </w:r>
            <w:r>
              <w:rPr>
                <w:rFonts w:hint="eastAsia" w:cs="宋体" w:asciiTheme="minorEastAsia" w:hAnsiTheme="minorEastAsia" w:eastAsiaTheme="minorEastAsia"/>
                <w:color w:val="auto"/>
                <w:szCs w:val="21"/>
                <w:highlight w:val="none"/>
                <w:u w:val="single"/>
              </w:rPr>
              <w:t>（从递交投标文件截止之日计起）</w:t>
            </w:r>
          </w:p>
        </w:tc>
      </w:tr>
      <w:tr w14:paraId="58BCA112">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3EA5B1D7">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1994" w:type="dxa"/>
            <w:tcBorders>
              <w:top w:val="single" w:color="auto" w:sz="4" w:space="0"/>
              <w:left w:val="single" w:color="auto" w:sz="4" w:space="0"/>
              <w:bottom w:val="single" w:color="auto" w:sz="4" w:space="0"/>
              <w:right w:val="single" w:color="auto" w:sz="4" w:space="0"/>
            </w:tcBorders>
            <w:vAlign w:val="center"/>
          </w:tcPr>
          <w:p w14:paraId="74E840AE">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投标担保</w:t>
            </w:r>
          </w:p>
        </w:tc>
        <w:tc>
          <w:tcPr>
            <w:tcW w:w="7019" w:type="dxa"/>
            <w:tcBorders>
              <w:top w:val="single" w:color="auto" w:sz="4" w:space="0"/>
              <w:left w:val="single" w:color="auto" w:sz="4" w:space="0"/>
              <w:bottom w:val="single" w:color="auto" w:sz="4" w:space="0"/>
              <w:right w:val="single" w:color="auto" w:sz="4" w:space="0"/>
            </w:tcBorders>
            <w:vAlign w:val="center"/>
          </w:tcPr>
          <w:p w14:paraId="46877970">
            <w:pPr>
              <w:wordWrap w:val="0"/>
              <w:snapToGrid w:val="0"/>
              <w:spacing w:beforeLines="0" w:afterLines="0"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是否要求投标人递交投标保证金：</w:t>
            </w:r>
          </w:p>
          <w:p w14:paraId="76601A14">
            <w:pPr>
              <w:wordWrap w:val="0"/>
              <w:snapToGrid w:val="0"/>
              <w:spacing w:beforeLines="0" w:afterLines="0" w:line="320" w:lineRule="exact"/>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□要求</w:t>
            </w:r>
          </w:p>
          <w:p w14:paraId="0E19AB79">
            <w:pPr>
              <w:wordWrap w:val="0"/>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不要求，本项目在投标时免交投标保证金是为企业减负的举措，并未免除投标人的投标义务，投标人一旦发生招标文件不予退还投标保证金情形的，将按照招标人的要求在规定的时间内向招标人足额补交投标保证金,否则将按相关规定进行信用记录。</w:t>
            </w:r>
          </w:p>
        </w:tc>
      </w:tr>
      <w:tr w14:paraId="0878D931">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13D3E3DA">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3.5.2</w:t>
            </w:r>
          </w:p>
        </w:tc>
        <w:tc>
          <w:tcPr>
            <w:tcW w:w="1994" w:type="dxa"/>
            <w:tcBorders>
              <w:top w:val="single" w:color="auto" w:sz="4" w:space="0"/>
              <w:left w:val="single" w:color="auto" w:sz="4" w:space="0"/>
              <w:bottom w:val="single" w:color="auto" w:sz="4" w:space="0"/>
              <w:right w:val="single" w:color="auto" w:sz="4" w:space="0"/>
            </w:tcBorders>
            <w:vAlign w:val="center"/>
          </w:tcPr>
          <w:p w14:paraId="5681F3E2">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近年财务状况</w:t>
            </w:r>
          </w:p>
        </w:tc>
        <w:tc>
          <w:tcPr>
            <w:tcW w:w="7019" w:type="dxa"/>
            <w:tcBorders>
              <w:top w:val="single" w:color="auto" w:sz="4" w:space="0"/>
              <w:left w:val="single" w:color="auto" w:sz="4" w:space="0"/>
              <w:bottom w:val="single" w:color="auto" w:sz="4" w:space="0"/>
              <w:right w:val="single" w:color="auto" w:sz="4" w:space="0"/>
            </w:tcBorders>
            <w:vAlign w:val="center"/>
          </w:tcPr>
          <w:p w14:paraId="7997076D">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 </w:t>
            </w:r>
          </w:p>
        </w:tc>
      </w:tr>
      <w:tr w14:paraId="6471BAC9">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572FB9F9">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3.5.3</w:t>
            </w:r>
          </w:p>
        </w:tc>
        <w:tc>
          <w:tcPr>
            <w:tcW w:w="1994" w:type="dxa"/>
            <w:tcBorders>
              <w:top w:val="single" w:color="auto" w:sz="4" w:space="0"/>
              <w:left w:val="single" w:color="auto" w:sz="4" w:space="0"/>
              <w:bottom w:val="single" w:color="auto" w:sz="4" w:space="0"/>
              <w:right w:val="single" w:color="auto" w:sz="4" w:space="0"/>
            </w:tcBorders>
            <w:vAlign w:val="center"/>
          </w:tcPr>
          <w:p w14:paraId="2FD1A26A">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近年完成的类似项目</w:t>
            </w:r>
          </w:p>
        </w:tc>
        <w:tc>
          <w:tcPr>
            <w:tcW w:w="7019" w:type="dxa"/>
            <w:tcBorders>
              <w:top w:val="single" w:color="auto" w:sz="4" w:space="0"/>
              <w:left w:val="single" w:color="auto" w:sz="4" w:space="0"/>
              <w:bottom w:val="single" w:color="auto" w:sz="4" w:space="0"/>
              <w:right w:val="single" w:color="auto" w:sz="4" w:space="0"/>
            </w:tcBorders>
            <w:vAlign w:val="center"/>
          </w:tcPr>
          <w:p w14:paraId="06A74C86">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 </w:t>
            </w:r>
          </w:p>
        </w:tc>
      </w:tr>
      <w:tr w14:paraId="76585609">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3D9EA8DF">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3.5.5</w:t>
            </w:r>
          </w:p>
        </w:tc>
        <w:tc>
          <w:tcPr>
            <w:tcW w:w="1994" w:type="dxa"/>
            <w:tcBorders>
              <w:top w:val="single" w:color="auto" w:sz="4" w:space="0"/>
              <w:left w:val="single" w:color="auto" w:sz="4" w:space="0"/>
              <w:bottom w:val="single" w:color="auto" w:sz="4" w:space="0"/>
              <w:right w:val="single" w:color="auto" w:sz="4" w:space="0"/>
            </w:tcBorders>
            <w:vAlign w:val="center"/>
          </w:tcPr>
          <w:p w14:paraId="08B1FB38">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近年发生的重大诉讼及仲裁情况</w:t>
            </w:r>
          </w:p>
        </w:tc>
        <w:tc>
          <w:tcPr>
            <w:tcW w:w="7019" w:type="dxa"/>
            <w:tcBorders>
              <w:top w:val="single" w:color="auto" w:sz="4" w:space="0"/>
              <w:left w:val="single" w:color="auto" w:sz="4" w:space="0"/>
              <w:bottom w:val="single" w:color="auto" w:sz="4" w:space="0"/>
              <w:right w:val="single" w:color="auto" w:sz="4" w:space="0"/>
            </w:tcBorders>
            <w:vAlign w:val="center"/>
          </w:tcPr>
          <w:p w14:paraId="34A10E77">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 </w:t>
            </w:r>
          </w:p>
        </w:tc>
      </w:tr>
      <w:tr w14:paraId="03B65349">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0B78931A">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1994" w:type="dxa"/>
            <w:tcBorders>
              <w:top w:val="single" w:color="auto" w:sz="4" w:space="0"/>
              <w:left w:val="single" w:color="auto" w:sz="4" w:space="0"/>
              <w:bottom w:val="single" w:color="auto" w:sz="4" w:space="0"/>
              <w:right w:val="single" w:color="auto" w:sz="4" w:space="0"/>
            </w:tcBorders>
            <w:vAlign w:val="center"/>
          </w:tcPr>
          <w:p w14:paraId="1ADE4C10">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是否允许递交备选投标方案</w:t>
            </w:r>
          </w:p>
        </w:tc>
        <w:tc>
          <w:tcPr>
            <w:tcW w:w="7019" w:type="dxa"/>
            <w:tcBorders>
              <w:top w:val="single" w:color="auto" w:sz="4" w:space="0"/>
              <w:left w:val="single" w:color="auto" w:sz="4" w:space="0"/>
              <w:bottom w:val="single" w:color="auto" w:sz="4" w:space="0"/>
              <w:right w:val="single" w:color="auto" w:sz="4" w:space="0"/>
            </w:tcBorders>
            <w:vAlign w:val="center"/>
          </w:tcPr>
          <w:p w14:paraId="3F96D8B6">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■不允许</w:t>
            </w:r>
          </w:p>
          <w:p w14:paraId="4F60E902">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□允许</w:t>
            </w:r>
          </w:p>
        </w:tc>
      </w:tr>
      <w:tr w14:paraId="39473E6B">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319E70F8">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3.7.3</w:t>
            </w:r>
          </w:p>
        </w:tc>
        <w:tc>
          <w:tcPr>
            <w:tcW w:w="1994" w:type="dxa"/>
            <w:tcBorders>
              <w:top w:val="single" w:color="auto" w:sz="4" w:space="0"/>
              <w:left w:val="single" w:color="auto" w:sz="4" w:space="0"/>
              <w:bottom w:val="single" w:color="auto" w:sz="4" w:space="0"/>
              <w:right w:val="single" w:color="auto" w:sz="4" w:space="0"/>
            </w:tcBorders>
            <w:vAlign w:val="center"/>
          </w:tcPr>
          <w:p w14:paraId="6538F36B">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签字或盖章要求</w:t>
            </w:r>
          </w:p>
        </w:tc>
        <w:tc>
          <w:tcPr>
            <w:tcW w:w="7019" w:type="dxa"/>
            <w:tcBorders>
              <w:top w:val="single" w:color="auto" w:sz="4" w:space="0"/>
              <w:left w:val="single" w:color="auto" w:sz="4" w:space="0"/>
              <w:bottom w:val="single" w:color="auto" w:sz="4" w:space="0"/>
              <w:right w:val="single" w:color="auto" w:sz="4" w:space="0"/>
            </w:tcBorders>
            <w:vAlign w:val="center"/>
          </w:tcPr>
          <w:p w14:paraId="3E9A9A0E">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投标人采用单位数字证书，按招标文件要求在相应位置加盖电子印章。投标文件中需个人签字或盖章的，应加盖个人电子印章或在线下完成后扫描上传。按照交易平台关于全流程电子化项目的相关指南进行操作；</w:t>
            </w:r>
          </w:p>
          <w:p w14:paraId="61E23A6C">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联合体投标时，除《联合体共同投标协议》必须由联合体各方分别按要求进行签字、盖</w:t>
            </w:r>
            <w:r>
              <w:rPr>
                <w:rFonts w:hint="eastAsia" w:ascii="宋体" w:hAnsi="宋体" w:eastAsia="宋体" w:cs="宋体"/>
                <w:bCs/>
                <w:color w:val="auto"/>
                <w:szCs w:val="21"/>
                <w:highlight w:val="none"/>
              </w:rPr>
              <w:t>章</w:t>
            </w:r>
            <w:r>
              <w:rPr>
                <w:rFonts w:hint="eastAsia" w:ascii="宋体" w:hAnsi="宋体" w:eastAsia="宋体" w:cs="宋体"/>
                <w:b/>
                <w:color w:val="auto"/>
                <w:szCs w:val="21"/>
                <w:highlight w:val="none"/>
                <w:u w:val="single"/>
              </w:rPr>
              <w:t>[法定代表人证明书及授权委托书可由联合体</w:t>
            </w:r>
            <w:r>
              <w:rPr>
                <w:rFonts w:hint="eastAsia" w:ascii="宋体" w:hAnsi="宋体" w:eastAsia="宋体" w:cs="宋体"/>
                <w:b/>
                <w:color w:val="auto"/>
                <w:szCs w:val="21"/>
                <w:highlight w:val="none"/>
                <w:u w:val="single"/>
                <w:lang w:eastAsia="zh-CN"/>
              </w:rPr>
              <w:t>牵头单位</w:t>
            </w:r>
            <w:r>
              <w:rPr>
                <w:rFonts w:hint="eastAsia" w:ascii="宋体" w:hAnsi="宋体" w:eastAsia="宋体" w:cs="宋体"/>
                <w:b/>
                <w:color w:val="auto"/>
                <w:szCs w:val="21"/>
                <w:highlight w:val="none"/>
                <w:u w:val="single"/>
              </w:rPr>
              <w:t>出具（其中“单位”一栏可只填写联合体</w:t>
            </w:r>
            <w:r>
              <w:rPr>
                <w:rFonts w:hint="eastAsia" w:ascii="宋体" w:hAnsi="宋体" w:eastAsia="宋体" w:cs="宋体"/>
                <w:b/>
                <w:color w:val="auto"/>
                <w:szCs w:val="21"/>
                <w:highlight w:val="none"/>
                <w:u w:val="single"/>
                <w:lang w:eastAsia="zh-CN"/>
              </w:rPr>
              <w:t>牵头单位</w:t>
            </w:r>
            <w:r>
              <w:rPr>
                <w:rFonts w:hint="eastAsia" w:ascii="宋体" w:hAnsi="宋体" w:eastAsia="宋体" w:cs="宋体"/>
                <w:b/>
                <w:color w:val="auto"/>
                <w:szCs w:val="21"/>
                <w:highlight w:val="none"/>
                <w:u w:val="single"/>
              </w:rPr>
              <w:t>名称）]</w:t>
            </w:r>
            <w:r>
              <w:rPr>
                <w:rFonts w:hint="eastAsia" w:ascii="宋体" w:hAnsi="宋体" w:eastAsia="宋体" w:cs="宋体"/>
                <w:color w:val="auto"/>
                <w:szCs w:val="21"/>
                <w:highlight w:val="none"/>
              </w:rPr>
              <w:t>外，其他资料若需要签字或盖章的均可由联合体</w:t>
            </w:r>
            <w:r>
              <w:rPr>
                <w:rFonts w:hint="eastAsia" w:ascii="宋体" w:hAnsi="宋体" w:eastAsia="宋体" w:cs="宋体"/>
                <w:color w:val="auto"/>
                <w:szCs w:val="21"/>
                <w:highlight w:val="none"/>
                <w:lang w:eastAsia="zh-CN"/>
              </w:rPr>
              <w:t>牵头单位</w:t>
            </w:r>
            <w:r>
              <w:rPr>
                <w:rFonts w:hint="eastAsia" w:ascii="宋体" w:hAnsi="宋体" w:eastAsia="宋体" w:cs="宋体"/>
                <w:color w:val="auto"/>
                <w:szCs w:val="21"/>
                <w:highlight w:val="none"/>
              </w:rPr>
              <w:t>签字或盖章；其他内容及落款中的“投标人”、“声明企业”应填写联合体各方的单位全称【格式示例：(主)单位全称(成)单位全称】，由联合体</w:t>
            </w:r>
            <w:r>
              <w:rPr>
                <w:rFonts w:hint="eastAsia" w:ascii="宋体" w:hAnsi="宋体" w:eastAsia="宋体" w:cs="宋体"/>
                <w:color w:val="auto"/>
                <w:szCs w:val="21"/>
                <w:highlight w:val="none"/>
                <w:lang w:eastAsia="zh-CN"/>
              </w:rPr>
              <w:t>牵头单位</w:t>
            </w:r>
            <w:r>
              <w:rPr>
                <w:rFonts w:hint="eastAsia" w:ascii="宋体" w:hAnsi="宋体" w:eastAsia="宋体" w:cs="宋体"/>
                <w:b/>
                <w:color w:val="auto"/>
                <w:szCs w:val="21"/>
                <w:highlight w:val="none"/>
              </w:rPr>
              <w:t>按格式要求</w:t>
            </w:r>
            <w:r>
              <w:rPr>
                <w:rFonts w:hint="eastAsia" w:ascii="宋体" w:hAnsi="宋体" w:eastAsia="宋体" w:cs="宋体"/>
                <w:color w:val="auto"/>
                <w:szCs w:val="21"/>
                <w:highlight w:val="none"/>
              </w:rPr>
              <w:t>签字或盖章即可。</w:t>
            </w:r>
          </w:p>
        </w:tc>
      </w:tr>
      <w:tr w14:paraId="4C4B0EAF">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1A807A0E">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3.7.4</w:t>
            </w:r>
          </w:p>
        </w:tc>
        <w:tc>
          <w:tcPr>
            <w:tcW w:w="1994" w:type="dxa"/>
            <w:tcBorders>
              <w:top w:val="single" w:color="auto" w:sz="4" w:space="0"/>
              <w:left w:val="single" w:color="auto" w:sz="4" w:space="0"/>
              <w:bottom w:val="single" w:color="auto" w:sz="4" w:space="0"/>
              <w:right w:val="single" w:color="auto" w:sz="4" w:space="0"/>
            </w:tcBorders>
            <w:vAlign w:val="center"/>
          </w:tcPr>
          <w:p w14:paraId="65DBE78A">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w:t>
            </w:r>
            <w:r>
              <w:rPr>
                <w:rFonts w:hint="eastAsia" w:ascii="宋体" w:hAnsi="宋体" w:eastAsia="宋体" w:cs="宋体"/>
                <w:color w:val="auto"/>
                <w:szCs w:val="21"/>
                <w:highlight w:val="none"/>
                <w:u w:val="single"/>
              </w:rPr>
              <w:t>（含定标文件）</w:t>
            </w:r>
            <w:r>
              <w:rPr>
                <w:rFonts w:hint="eastAsia" w:ascii="宋体" w:hAnsi="宋体" w:eastAsia="宋体" w:cs="宋体"/>
                <w:color w:val="auto"/>
                <w:szCs w:val="21"/>
                <w:highlight w:val="none"/>
              </w:rPr>
              <w:t>份数</w:t>
            </w:r>
          </w:p>
        </w:tc>
        <w:tc>
          <w:tcPr>
            <w:tcW w:w="7019" w:type="dxa"/>
            <w:tcBorders>
              <w:top w:val="single" w:color="auto" w:sz="4" w:space="0"/>
              <w:left w:val="single" w:color="auto" w:sz="4" w:space="0"/>
              <w:bottom w:val="single" w:color="auto" w:sz="4" w:space="0"/>
              <w:right w:val="single" w:color="auto" w:sz="4" w:space="0"/>
            </w:tcBorders>
            <w:vAlign w:val="center"/>
          </w:tcPr>
          <w:p w14:paraId="3D69FE76">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 xml:space="preserve"> / </w:t>
            </w:r>
          </w:p>
        </w:tc>
      </w:tr>
      <w:tr w14:paraId="7E1D21F1">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68EB26B9">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3.7.5</w:t>
            </w:r>
          </w:p>
        </w:tc>
        <w:tc>
          <w:tcPr>
            <w:tcW w:w="1994" w:type="dxa"/>
            <w:tcBorders>
              <w:top w:val="single" w:color="auto" w:sz="4" w:space="0"/>
              <w:left w:val="single" w:color="auto" w:sz="4" w:space="0"/>
              <w:bottom w:val="single" w:color="auto" w:sz="4" w:space="0"/>
              <w:right w:val="single" w:color="auto" w:sz="4" w:space="0"/>
            </w:tcBorders>
            <w:vAlign w:val="center"/>
          </w:tcPr>
          <w:p w14:paraId="3FB61DA6">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装订要求</w:t>
            </w:r>
          </w:p>
        </w:tc>
        <w:tc>
          <w:tcPr>
            <w:tcW w:w="7019" w:type="dxa"/>
            <w:tcBorders>
              <w:top w:val="single" w:color="auto" w:sz="4" w:space="0"/>
              <w:left w:val="single" w:color="auto" w:sz="4" w:space="0"/>
              <w:bottom w:val="single" w:color="auto" w:sz="4" w:space="0"/>
              <w:right w:val="single" w:color="auto" w:sz="4" w:space="0"/>
            </w:tcBorders>
            <w:vAlign w:val="center"/>
          </w:tcPr>
          <w:p w14:paraId="5DCB8E77">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 </w:t>
            </w:r>
          </w:p>
        </w:tc>
      </w:tr>
      <w:tr w14:paraId="3257FDCD">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5603036B">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w:t>
            </w:r>
          </w:p>
        </w:tc>
        <w:tc>
          <w:tcPr>
            <w:tcW w:w="1994" w:type="dxa"/>
            <w:tcBorders>
              <w:top w:val="single" w:color="auto" w:sz="4" w:space="0"/>
              <w:left w:val="single" w:color="auto" w:sz="4" w:space="0"/>
              <w:bottom w:val="single" w:color="auto" w:sz="4" w:space="0"/>
              <w:right w:val="single" w:color="auto" w:sz="4" w:space="0"/>
            </w:tcBorders>
            <w:vAlign w:val="center"/>
          </w:tcPr>
          <w:p w14:paraId="312B5138">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封套上应载明的信息</w:t>
            </w:r>
            <w:r>
              <w:rPr>
                <w:rFonts w:hint="eastAsia" w:ascii="宋体" w:hAnsi="宋体" w:eastAsia="宋体" w:cs="宋体"/>
                <w:color w:val="auto"/>
                <w:szCs w:val="21"/>
                <w:highlight w:val="none"/>
                <w:u w:val="single"/>
              </w:rPr>
              <w:t>（适用于提交备用光盘或U盘的情况）</w:t>
            </w:r>
          </w:p>
        </w:tc>
        <w:tc>
          <w:tcPr>
            <w:tcW w:w="7019" w:type="dxa"/>
            <w:tcBorders>
              <w:top w:val="single" w:color="auto" w:sz="4" w:space="0"/>
              <w:left w:val="single" w:color="auto" w:sz="4" w:space="0"/>
              <w:bottom w:val="single" w:color="auto" w:sz="4" w:space="0"/>
              <w:right w:val="single" w:color="auto" w:sz="4" w:space="0"/>
            </w:tcBorders>
            <w:vAlign w:val="center"/>
          </w:tcPr>
          <w:p w14:paraId="22F8B26A">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招标人名称：中建四局城市发展投资有限公司</w:t>
            </w:r>
          </w:p>
          <w:p w14:paraId="7EC61223">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招标人地址：广州市天河区临江大道807号之一中建四局科创大厦16楼</w:t>
            </w:r>
          </w:p>
          <w:p w14:paraId="6C1670A2">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（项目名称）        </w:t>
            </w:r>
            <w:r>
              <w:rPr>
                <w:rFonts w:hint="eastAsia" w:ascii="宋体" w:hAnsi="宋体" w:eastAsia="宋体" w:cs="宋体"/>
                <w:color w:val="auto"/>
                <w:szCs w:val="21"/>
                <w:highlight w:val="none"/>
              </w:rPr>
              <w:t>投标文件</w:t>
            </w:r>
            <w:r>
              <w:rPr>
                <w:rFonts w:hint="eastAsia" w:ascii="宋体" w:hAnsi="宋体" w:eastAsia="宋体" w:cs="宋体"/>
                <w:color w:val="auto"/>
                <w:szCs w:val="21"/>
                <w:highlight w:val="none"/>
                <w:u w:val="single"/>
              </w:rPr>
              <w:t>（含定标文件）</w:t>
            </w:r>
          </w:p>
          <w:p w14:paraId="5B73215B">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招标编号： </w:t>
            </w:r>
            <w:r>
              <w:rPr>
                <w:rFonts w:hint="eastAsia" w:ascii="宋体" w:hAnsi="宋体" w:eastAsia="宋体" w:cs="宋体"/>
                <w:color w:val="auto"/>
                <w:szCs w:val="21"/>
                <w:highlight w:val="none"/>
                <w:u w:val="single"/>
              </w:rPr>
              <w:t xml:space="preserve">              </w:t>
            </w:r>
          </w:p>
          <w:p w14:paraId="3A0FBED8">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投标人名称：</w:t>
            </w:r>
          </w:p>
          <w:p w14:paraId="2FE5CDF6">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投标人地址：</w:t>
            </w:r>
          </w:p>
          <w:p w14:paraId="5BA18798">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分前不得开启</w:t>
            </w:r>
          </w:p>
        </w:tc>
      </w:tr>
      <w:tr w14:paraId="4FE8B861">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028B877C">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4.2.2</w:t>
            </w:r>
          </w:p>
        </w:tc>
        <w:tc>
          <w:tcPr>
            <w:tcW w:w="1994" w:type="dxa"/>
            <w:tcBorders>
              <w:top w:val="single" w:color="auto" w:sz="4" w:space="0"/>
              <w:left w:val="single" w:color="auto" w:sz="4" w:space="0"/>
              <w:bottom w:val="single" w:color="auto" w:sz="4" w:space="0"/>
              <w:right w:val="single" w:color="auto" w:sz="4" w:space="0"/>
            </w:tcBorders>
            <w:vAlign w:val="center"/>
          </w:tcPr>
          <w:p w14:paraId="3E179898">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递交投标文件</w:t>
            </w:r>
            <w:r>
              <w:rPr>
                <w:rFonts w:hint="eastAsia" w:ascii="宋体" w:hAnsi="宋体" w:eastAsia="宋体" w:cs="宋体"/>
                <w:color w:val="auto"/>
                <w:szCs w:val="21"/>
                <w:highlight w:val="none"/>
                <w:u w:val="single"/>
              </w:rPr>
              <w:t>（含定标文件）</w:t>
            </w:r>
            <w:r>
              <w:rPr>
                <w:rFonts w:hint="eastAsia" w:ascii="宋体" w:hAnsi="宋体" w:eastAsia="宋体" w:cs="宋体"/>
                <w:color w:val="auto"/>
                <w:szCs w:val="21"/>
                <w:highlight w:val="none"/>
              </w:rPr>
              <w:t>地点</w:t>
            </w:r>
          </w:p>
        </w:tc>
        <w:tc>
          <w:tcPr>
            <w:tcW w:w="7019" w:type="dxa"/>
            <w:tcBorders>
              <w:top w:val="single" w:color="auto" w:sz="4" w:space="0"/>
              <w:left w:val="single" w:color="auto" w:sz="4" w:space="0"/>
              <w:bottom w:val="single" w:color="auto" w:sz="4" w:space="0"/>
              <w:right w:val="single" w:color="auto" w:sz="4" w:space="0"/>
            </w:tcBorders>
            <w:vAlign w:val="center"/>
          </w:tcPr>
          <w:p w14:paraId="7B54D6C8">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递交投标文件（含定标文件）开始时间：   年  月  日  时  分；</w:t>
            </w:r>
          </w:p>
          <w:p w14:paraId="318E17A3">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递交投标文件（含定标文件）截止时间：   年  月  日  时  分；</w:t>
            </w:r>
          </w:p>
          <w:p w14:paraId="265511E0">
            <w:pPr>
              <w:snapToGrid w:val="0"/>
              <w:spacing w:beforeLines="0" w:afterLines="0" w:line="320" w:lineRule="exac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投标人应在投标文件（含定标文件）递交截止时间前通过</w:t>
            </w:r>
            <w:r>
              <w:rPr>
                <w:rFonts w:hint="eastAsia" w:ascii="宋体" w:hAnsi="宋体" w:eastAsia="宋体" w:cs="宋体"/>
                <w:b/>
                <w:color w:val="auto"/>
                <w:szCs w:val="21"/>
                <w:highlight w:val="none"/>
                <w:u w:val="single"/>
                <w:lang w:eastAsia="zh-CN"/>
              </w:rPr>
              <w:t>广州交易集团有限公司（广州公共资源交易中心）</w:t>
            </w:r>
            <w:r>
              <w:rPr>
                <w:rFonts w:hint="eastAsia" w:ascii="宋体" w:hAnsi="宋体" w:eastAsia="宋体" w:cs="宋体"/>
                <w:b/>
                <w:color w:val="auto"/>
                <w:szCs w:val="21"/>
                <w:highlight w:val="none"/>
                <w:u w:val="single"/>
              </w:rPr>
              <w:t>电子招标投标交易平台递交电子投标文件（含定标文件）。</w:t>
            </w:r>
          </w:p>
          <w:p w14:paraId="293A418C">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本项目日程安排及地点信息可在</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eastAsia="宋体" w:cs="宋体"/>
                <w:color w:val="auto"/>
                <w:szCs w:val="21"/>
                <w:highlight w:val="none"/>
                <w:u w:val="single"/>
              </w:rPr>
              <w:t>网站进行查询。</w:t>
            </w:r>
          </w:p>
        </w:tc>
      </w:tr>
      <w:tr w14:paraId="4D752E8A">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4D771370">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4.2.3</w:t>
            </w:r>
          </w:p>
        </w:tc>
        <w:tc>
          <w:tcPr>
            <w:tcW w:w="1994" w:type="dxa"/>
            <w:tcBorders>
              <w:top w:val="single" w:color="auto" w:sz="4" w:space="0"/>
              <w:left w:val="single" w:color="auto" w:sz="4" w:space="0"/>
              <w:bottom w:val="single" w:color="auto" w:sz="4" w:space="0"/>
              <w:right w:val="single" w:color="auto" w:sz="4" w:space="0"/>
            </w:tcBorders>
            <w:vAlign w:val="center"/>
          </w:tcPr>
          <w:p w14:paraId="426AB904">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是否退还投标文件</w:t>
            </w:r>
          </w:p>
        </w:tc>
        <w:tc>
          <w:tcPr>
            <w:tcW w:w="7019" w:type="dxa"/>
            <w:tcBorders>
              <w:top w:val="single" w:color="auto" w:sz="4" w:space="0"/>
              <w:left w:val="single" w:color="auto" w:sz="4" w:space="0"/>
              <w:bottom w:val="single" w:color="auto" w:sz="4" w:space="0"/>
              <w:right w:val="single" w:color="auto" w:sz="4" w:space="0"/>
            </w:tcBorders>
            <w:vAlign w:val="center"/>
          </w:tcPr>
          <w:p w14:paraId="275663CA">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p w14:paraId="66872E9A">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□是</w:t>
            </w:r>
          </w:p>
        </w:tc>
      </w:tr>
      <w:tr w14:paraId="5DD53568">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6CDF4875">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994" w:type="dxa"/>
            <w:tcBorders>
              <w:top w:val="single" w:color="auto" w:sz="4" w:space="0"/>
              <w:left w:val="single" w:color="auto" w:sz="4" w:space="0"/>
              <w:bottom w:val="single" w:color="auto" w:sz="4" w:space="0"/>
              <w:right w:val="single" w:color="auto" w:sz="4" w:space="0"/>
            </w:tcBorders>
            <w:vAlign w:val="center"/>
          </w:tcPr>
          <w:p w14:paraId="42C16436">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开标开始时间和地点</w:t>
            </w:r>
          </w:p>
        </w:tc>
        <w:tc>
          <w:tcPr>
            <w:tcW w:w="7019" w:type="dxa"/>
            <w:tcBorders>
              <w:top w:val="single" w:color="auto" w:sz="4" w:space="0"/>
              <w:left w:val="single" w:color="auto" w:sz="4" w:space="0"/>
              <w:bottom w:val="single" w:color="auto" w:sz="4" w:space="0"/>
              <w:right w:val="single" w:color="auto" w:sz="4" w:space="0"/>
            </w:tcBorders>
            <w:vAlign w:val="center"/>
          </w:tcPr>
          <w:p w14:paraId="4E367789">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开标开始时间：</w:t>
            </w:r>
            <w:r>
              <w:rPr>
                <w:rFonts w:hint="eastAsia" w:ascii="宋体" w:hAnsi="宋体" w:eastAsia="宋体" w:cs="宋体"/>
                <w:color w:val="auto"/>
                <w:szCs w:val="21"/>
                <w:highlight w:val="none"/>
                <w:u w:val="single"/>
              </w:rPr>
              <w:t xml:space="preserve">   年    月   日   时   分</w:t>
            </w:r>
            <w:r>
              <w:rPr>
                <w:rFonts w:hint="eastAsia" w:ascii="宋体" w:hAnsi="宋体" w:eastAsia="宋体" w:cs="宋体"/>
                <w:color w:val="auto"/>
                <w:szCs w:val="21"/>
                <w:highlight w:val="none"/>
              </w:rPr>
              <w:t>；</w:t>
            </w:r>
          </w:p>
          <w:p w14:paraId="101845CF">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lang w:eastAsia="zh-CN"/>
              </w:rPr>
              <w:t>广州交易集团有限公司（广州公共资源交易中心）</w:t>
            </w:r>
            <w:r>
              <w:rPr>
                <w:rFonts w:hint="eastAsia" w:ascii="宋体" w:hAnsi="宋体" w:cs="宋体"/>
                <w:color w:val="auto"/>
                <w:szCs w:val="21"/>
                <w:highlight w:val="none"/>
                <w:u w:val="single"/>
                <w:lang w:val="en-US" w:eastAsia="zh-CN"/>
              </w:rPr>
              <w:t>番禺交易部</w:t>
            </w:r>
            <w:r>
              <w:rPr>
                <w:rFonts w:hint="eastAsia" w:ascii="宋体" w:hAnsi="宋体" w:eastAsia="宋体" w:cs="宋体"/>
                <w:color w:val="auto"/>
                <w:szCs w:val="21"/>
                <w:highlight w:val="none"/>
                <w:u w:val="single"/>
                <w:lang w:val="en-US" w:eastAsia="zh-CN"/>
              </w:rPr>
              <w:t>指定</w:t>
            </w:r>
            <w:r>
              <w:rPr>
                <w:rFonts w:hint="eastAsia" w:ascii="宋体" w:hAnsi="宋体" w:eastAsia="宋体" w:cs="宋体"/>
                <w:color w:val="auto"/>
                <w:szCs w:val="21"/>
                <w:highlight w:val="none"/>
                <w:u w:val="single"/>
              </w:rPr>
              <w:t>开标室</w:t>
            </w:r>
            <w:r>
              <w:rPr>
                <w:rFonts w:hint="eastAsia" w:ascii="宋体" w:hAnsi="宋体" w:eastAsia="宋体" w:cs="宋体"/>
                <w:color w:val="auto"/>
                <w:szCs w:val="21"/>
                <w:highlight w:val="none"/>
              </w:rPr>
              <w:t>；</w:t>
            </w:r>
          </w:p>
          <w:p w14:paraId="6F216C01">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投标人也可选择参加在线开标，具体按照交易平台相关指南进行操作。详见：</w:t>
            </w:r>
            <w:r>
              <w:rPr>
                <w:rFonts w:hint="eastAsia" w:ascii="宋体" w:hAnsi="宋体" w:eastAsia="宋体" w:cs="宋体"/>
                <w:color w:val="auto"/>
                <w:szCs w:val="21"/>
                <w:highlight w:val="none"/>
                <w:u w:val="single"/>
              </w:rPr>
              <w:t>《房屋建筑和市政基础设施工程全流程电子化项目专章》</w:t>
            </w:r>
            <w:r>
              <w:rPr>
                <w:rFonts w:hint="eastAsia" w:ascii="宋体" w:hAnsi="宋体" w:eastAsia="宋体" w:cs="宋体"/>
                <w:color w:val="auto"/>
                <w:szCs w:val="21"/>
                <w:highlight w:val="none"/>
              </w:rPr>
              <w:t>。</w:t>
            </w:r>
          </w:p>
          <w:p w14:paraId="0250928D">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本项目日程安排及地点信息可在</w:t>
            </w:r>
            <w:r>
              <w:rPr>
                <w:rFonts w:hint="eastAsia" w:ascii="宋体" w:hAnsi="宋体" w:eastAsia="宋体" w:cs="宋体"/>
                <w:color w:val="auto"/>
                <w:szCs w:val="21"/>
                <w:highlight w:val="none"/>
                <w:lang w:eastAsia="zh-CN"/>
              </w:rPr>
              <w:t>广州交易集团有限公司（广州公共资源交易中心）</w:t>
            </w:r>
            <w:r>
              <w:rPr>
                <w:rFonts w:hint="eastAsia" w:ascii="宋体" w:hAnsi="宋体" w:eastAsia="宋体" w:cs="宋体"/>
                <w:color w:val="auto"/>
                <w:szCs w:val="21"/>
                <w:highlight w:val="none"/>
              </w:rPr>
              <w:t>网站进行查询。</w:t>
            </w:r>
          </w:p>
        </w:tc>
      </w:tr>
      <w:tr w14:paraId="1B7F4531">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61B0703A">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994" w:type="dxa"/>
            <w:tcBorders>
              <w:top w:val="single" w:color="auto" w:sz="4" w:space="0"/>
              <w:left w:val="single" w:color="auto" w:sz="4" w:space="0"/>
              <w:bottom w:val="single" w:color="auto" w:sz="4" w:space="0"/>
              <w:right w:val="single" w:color="auto" w:sz="4" w:space="0"/>
            </w:tcBorders>
            <w:vAlign w:val="center"/>
          </w:tcPr>
          <w:p w14:paraId="5DED4889">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tc>
        <w:tc>
          <w:tcPr>
            <w:tcW w:w="7019" w:type="dxa"/>
            <w:tcBorders>
              <w:top w:val="single" w:color="auto" w:sz="4" w:space="0"/>
              <w:left w:val="single" w:color="auto" w:sz="4" w:space="0"/>
              <w:bottom w:val="single" w:color="auto" w:sz="4" w:space="0"/>
              <w:right w:val="single" w:color="auto" w:sz="4" w:space="0"/>
            </w:tcBorders>
            <w:vAlign w:val="center"/>
          </w:tcPr>
          <w:p w14:paraId="7502F86A">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主持人按下列程序进行开标：</w:t>
            </w:r>
          </w:p>
          <w:p w14:paraId="7D684447">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（1）宣布开标纪律；</w:t>
            </w:r>
          </w:p>
          <w:p w14:paraId="239828A0">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（2）在投标截止时间后</w:t>
            </w:r>
            <w:r>
              <w:rPr>
                <w:rFonts w:hint="eastAsia" w:ascii="宋体" w:hAnsi="宋体" w:eastAsia="宋体" w:cs="宋体"/>
                <w:b/>
                <w:bCs/>
                <w:color w:val="auto"/>
                <w:szCs w:val="21"/>
                <w:highlight w:val="none"/>
                <w:lang w:val="en-US" w:eastAsia="zh-CN"/>
              </w:rPr>
              <w:t>一</w:t>
            </w:r>
            <w:r>
              <w:rPr>
                <w:rFonts w:hint="eastAsia" w:ascii="宋体" w:hAnsi="宋体" w:eastAsia="宋体" w:cs="宋体"/>
                <w:b/>
                <w:bCs/>
                <w:color w:val="auto"/>
                <w:szCs w:val="21"/>
                <w:highlight w:val="none"/>
              </w:rPr>
              <w:t>小时</w:t>
            </w:r>
            <w:r>
              <w:rPr>
                <w:rFonts w:hint="eastAsia" w:ascii="宋体" w:hAnsi="宋体" w:eastAsia="宋体" w:cs="宋体"/>
                <w:b/>
                <w:color w:val="auto"/>
                <w:szCs w:val="21"/>
                <w:highlight w:val="none"/>
              </w:rPr>
              <w:t>内</w:t>
            </w:r>
            <w:r>
              <w:rPr>
                <w:rFonts w:hint="eastAsia" w:ascii="宋体" w:hAnsi="宋体" w:eastAsia="宋体" w:cs="宋体"/>
                <w:color w:val="auto"/>
                <w:szCs w:val="21"/>
                <w:highlight w:val="none"/>
              </w:rPr>
              <w:t>，投标人通过递交投标文件</w:t>
            </w:r>
            <w:r>
              <w:rPr>
                <w:rFonts w:hint="eastAsia" w:ascii="宋体" w:hAnsi="宋体" w:eastAsia="宋体" w:cs="宋体"/>
                <w:color w:val="auto"/>
                <w:szCs w:val="21"/>
                <w:highlight w:val="none"/>
                <w:u w:val="single"/>
              </w:rPr>
              <w:t>（含定标文件）</w:t>
            </w:r>
            <w:r>
              <w:rPr>
                <w:rFonts w:hint="eastAsia" w:ascii="宋体" w:hAnsi="宋体" w:eastAsia="宋体" w:cs="宋体"/>
                <w:color w:val="auto"/>
                <w:szCs w:val="21"/>
                <w:highlight w:val="none"/>
              </w:rPr>
              <w:t>的交易平台对已递交的电子投标文件进行解密。投标人完成解密后，再由招标人进行解密（投标人只用执行一次解密，招标人执行解密次数根据招标文件开标次数确定）。</w:t>
            </w:r>
          </w:p>
          <w:p w14:paraId="02D39668">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解密完成后，公布：a投标人名称；b投标文件递交情况；c投标文件解密情况；d项目负责人（兼施工负责人)、设计负责人、专职安全人员；e投标报价；f工期；g质量标准等主要内容，并记录在案。未在规定时间内解密的投标文件不参与开标、评标。</w:t>
            </w:r>
          </w:p>
          <w:p w14:paraId="44BEC835">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（4）截标后，开标开始时间因故推迟的，相关评标信息仍以原定的开标开始时间的信息为准。</w:t>
            </w:r>
          </w:p>
          <w:p w14:paraId="58281831">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（5）备用光盘的读取按“10 电子招标投标”第6点的规定执行。</w:t>
            </w:r>
          </w:p>
          <w:p w14:paraId="61EFC2BA">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6）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1292EF88">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7）参加现场开标的投标人对开标结果有异议的，应当在开标现场提出，同时出示本人身份证原件，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191F5708">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（8）投标人未参加开标或在规定的时间内未提出异议的，视为对开标无异议。</w:t>
            </w:r>
          </w:p>
          <w:p w14:paraId="55BD260D">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（9）开标时，两个（含两个）以上的投标人加密打包投标文件电脑机器特征码一致的，不参与下一程序，并由评标委员会否决其投标。</w:t>
            </w:r>
          </w:p>
          <w:p w14:paraId="11993B7B">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（10）投标人代表、招标人代表、监标人、记录人等有关人员在开标记录上签字确认；若有关人员不签字的，不影响开标程序；</w:t>
            </w:r>
          </w:p>
          <w:p w14:paraId="158DB32A">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（11）开标结束。</w:t>
            </w:r>
          </w:p>
        </w:tc>
      </w:tr>
      <w:tr w14:paraId="3EACA6AA">
        <w:tblPrEx>
          <w:tblCellMar>
            <w:top w:w="0" w:type="dxa"/>
            <w:left w:w="108" w:type="dxa"/>
            <w:bottom w:w="0" w:type="dxa"/>
            <w:right w:w="108" w:type="dxa"/>
          </w:tblCellMar>
        </w:tblPrEx>
        <w:trPr>
          <w:trHeight w:val="567" w:hRule="atLeast"/>
          <w:jc w:val="center"/>
        </w:trPr>
        <w:tc>
          <w:tcPr>
            <w:tcW w:w="946" w:type="dxa"/>
            <w:vMerge w:val="restart"/>
            <w:tcBorders>
              <w:top w:val="single" w:color="auto" w:sz="4" w:space="0"/>
              <w:left w:val="single" w:color="auto" w:sz="4" w:space="0"/>
              <w:bottom w:val="single" w:color="auto" w:sz="4" w:space="0"/>
              <w:right w:val="single" w:color="auto" w:sz="4" w:space="0"/>
            </w:tcBorders>
            <w:vAlign w:val="center"/>
          </w:tcPr>
          <w:p w14:paraId="00CC3F69">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p>
        </w:tc>
        <w:tc>
          <w:tcPr>
            <w:tcW w:w="1994" w:type="dxa"/>
            <w:vMerge w:val="restart"/>
            <w:tcBorders>
              <w:top w:val="single" w:color="auto" w:sz="4" w:space="0"/>
              <w:left w:val="single" w:color="auto" w:sz="4" w:space="0"/>
              <w:right w:val="single" w:color="auto" w:sz="4" w:space="0"/>
            </w:tcBorders>
            <w:vAlign w:val="center"/>
          </w:tcPr>
          <w:p w14:paraId="7AB03EE7">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采用评定分离定标办法</w:t>
            </w:r>
          </w:p>
        </w:tc>
        <w:tc>
          <w:tcPr>
            <w:tcW w:w="7019" w:type="dxa"/>
            <w:tcBorders>
              <w:top w:val="single" w:color="auto" w:sz="4" w:space="0"/>
              <w:left w:val="single" w:color="auto" w:sz="4" w:space="0"/>
              <w:bottom w:val="single" w:color="auto" w:sz="4" w:space="0"/>
              <w:right w:val="single" w:color="auto" w:sz="4" w:space="0"/>
            </w:tcBorders>
            <w:vAlign w:val="center"/>
          </w:tcPr>
          <w:p w14:paraId="2DBF26D3">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b/>
                <w:bCs/>
                <w:color w:val="auto"/>
                <w:szCs w:val="21"/>
                <w:highlight w:val="none"/>
                <w:u w:val="single"/>
              </w:rPr>
              <w:t>本项目采用“评定分离”办法。</w:t>
            </w:r>
          </w:p>
          <w:p w14:paraId="0314345F">
            <w:pPr>
              <w:snapToGrid w:val="0"/>
              <w:spacing w:beforeLines="0" w:afterLines="0" w:line="320" w:lineRule="exac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评标办法：通过制评审法</w:t>
            </w:r>
          </w:p>
          <w:p w14:paraId="26DD8012">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评标委员会对投标文件进行初步评审，评出合格的投标人。若通过初步评审的合格投标人大于等于3家的，则全部通过初步评审的合格投标人进入定标阶段。</w:t>
            </w:r>
          </w:p>
        </w:tc>
      </w:tr>
      <w:tr w14:paraId="4A82CF2D">
        <w:tblPrEx>
          <w:tblCellMar>
            <w:top w:w="0" w:type="dxa"/>
            <w:left w:w="108" w:type="dxa"/>
            <w:bottom w:w="0" w:type="dxa"/>
            <w:right w:w="108" w:type="dxa"/>
          </w:tblCellMar>
        </w:tblPrEx>
        <w:trPr>
          <w:trHeight w:val="567" w:hRule="atLeast"/>
          <w:jc w:val="center"/>
        </w:trPr>
        <w:tc>
          <w:tcPr>
            <w:tcW w:w="946" w:type="dxa"/>
            <w:vMerge w:val="continue"/>
            <w:tcBorders>
              <w:left w:val="single" w:color="auto" w:sz="4" w:space="0"/>
              <w:right w:val="single" w:color="auto" w:sz="4" w:space="0"/>
            </w:tcBorders>
            <w:vAlign w:val="center"/>
          </w:tcPr>
          <w:p w14:paraId="5F9C5794">
            <w:pPr>
              <w:snapToGrid w:val="0"/>
              <w:spacing w:beforeLines="0" w:afterLines="0" w:line="320" w:lineRule="exact"/>
              <w:jc w:val="center"/>
              <w:rPr>
                <w:rFonts w:hint="eastAsia" w:ascii="宋体" w:hAnsi="宋体" w:eastAsia="宋体" w:cs="宋体"/>
                <w:color w:val="auto"/>
                <w:szCs w:val="21"/>
                <w:highlight w:val="none"/>
              </w:rPr>
            </w:pPr>
          </w:p>
        </w:tc>
        <w:tc>
          <w:tcPr>
            <w:tcW w:w="1994" w:type="dxa"/>
            <w:vMerge w:val="continue"/>
            <w:tcBorders>
              <w:left w:val="single" w:color="auto" w:sz="4" w:space="0"/>
              <w:right w:val="single" w:color="auto" w:sz="4" w:space="0"/>
            </w:tcBorders>
            <w:vAlign w:val="center"/>
          </w:tcPr>
          <w:p w14:paraId="4A4DD6CD">
            <w:pPr>
              <w:snapToGrid w:val="0"/>
              <w:spacing w:beforeLines="0" w:afterLines="0" w:line="320" w:lineRule="exact"/>
              <w:jc w:val="center"/>
              <w:rPr>
                <w:rFonts w:hint="eastAsia" w:ascii="宋体" w:hAnsi="宋体" w:eastAsia="宋体" w:cs="宋体"/>
                <w:color w:val="auto"/>
                <w:szCs w:val="21"/>
                <w:highlight w:val="none"/>
                <w:u w:val="single"/>
              </w:rPr>
            </w:pPr>
          </w:p>
        </w:tc>
        <w:tc>
          <w:tcPr>
            <w:tcW w:w="7019" w:type="dxa"/>
            <w:tcBorders>
              <w:top w:val="single" w:color="auto" w:sz="4" w:space="0"/>
              <w:left w:val="single" w:color="auto" w:sz="4" w:space="0"/>
              <w:bottom w:val="single" w:color="auto" w:sz="4" w:space="0"/>
              <w:right w:val="single" w:color="auto" w:sz="4" w:space="0"/>
            </w:tcBorders>
            <w:vAlign w:val="center"/>
          </w:tcPr>
          <w:p w14:paraId="1C97E737">
            <w:pPr>
              <w:snapToGrid w:val="0"/>
              <w:spacing w:beforeLines="0" w:afterLines="0" w:line="320" w:lineRule="exact"/>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定标办法：</w:t>
            </w:r>
            <w:r>
              <w:rPr>
                <w:rFonts w:hint="eastAsia" w:ascii="宋体" w:hAnsi="宋体" w:eastAsia="宋体" w:cs="宋体"/>
                <w:b/>
                <w:bCs/>
                <w:color w:val="auto"/>
                <w:szCs w:val="21"/>
                <w:highlight w:val="none"/>
                <w:u w:val="single"/>
                <w:lang w:val="en-US" w:eastAsia="zh-CN"/>
              </w:rPr>
              <w:t>采用评分法</w:t>
            </w:r>
            <w:r>
              <w:rPr>
                <w:rFonts w:hint="eastAsia" w:ascii="宋体" w:hAnsi="宋体" w:eastAsia="宋体" w:cs="宋体"/>
                <w:b/>
                <w:bCs/>
                <w:color w:val="auto"/>
                <w:szCs w:val="21"/>
                <w:highlight w:val="none"/>
                <w:u w:val="single"/>
              </w:rPr>
              <w:t>。</w:t>
            </w:r>
          </w:p>
          <w:p w14:paraId="04B2CEF7">
            <w:pPr>
              <w:snapToGrid w:val="0"/>
              <w:spacing w:beforeLines="0" w:afterLines="0" w:line="320" w:lineRule="exact"/>
              <w:rPr>
                <w:rFonts w:hint="eastAsia" w:ascii="宋体" w:hAnsi="宋体" w:eastAsia="宋体" w:cs="宋体"/>
                <w:b/>
                <w:bCs/>
                <w:color w:val="auto"/>
                <w:szCs w:val="21"/>
                <w:highlight w:val="none"/>
                <w:u w:val="single"/>
              </w:rPr>
            </w:pPr>
            <w:r>
              <w:rPr>
                <w:rFonts w:hint="eastAsia" w:ascii="宋体" w:hAnsi="宋体" w:eastAsia="宋体" w:cs="宋体"/>
                <w:b w:val="0"/>
                <w:bCs w:val="0"/>
                <w:color w:val="auto"/>
                <w:szCs w:val="21"/>
                <w:highlight w:val="none"/>
                <w:u w:val="single"/>
              </w:rPr>
              <w:t>总得分</w:t>
            </w:r>
            <w:r>
              <w:rPr>
                <w:rFonts w:hint="eastAsia" w:ascii="宋体" w:hAnsi="宋体" w:eastAsia="宋体" w:cs="宋体"/>
                <w:b w:val="0"/>
                <w:bCs w:val="0"/>
                <w:color w:val="auto"/>
                <w:szCs w:val="21"/>
                <w:highlight w:val="none"/>
                <w:u w:val="single"/>
                <w:lang w:eastAsia="zh-CN"/>
              </w:rPr>
              <w:t>（</w:t>
            </w:r>
            <w:r>
              <w:rPr>
                <w:rFonts w:hint="eastAsia" w:ascii="宋体" w:hAnsi="宋体" w:eastAsia="宋体" w:cs="宋体"/>
                <w:b w:val="0"/>
                <w:bCs w:val="0"/>
                <w:color w:val="auto"/>
                <w:szCs w:val="21"/>
                <w:highlight w:val="none"/>
                <w:u w:val="single"/>
                <w:lang w:val="en-US" w:eastAsia="zh-CN"/>
              </w:rPr>
              <w:t>满分100分</w:t>
            </w:r>
            <w:r>
              <w:rPr>
                <w:rFonts w:hint="eastAsia" w:ascii="宋体" w:hAnsi="宋体" w:eastAsia="宋体" w:cs="宋体"/>
                <w:b w:val="0"/>
                <w:bCs w:val="0"/>
                <w:color w:val="auto"/>
                <w:szCs w:val="21"/>
                <w:highlight w:val="none"/>
                <w:u w:val="single"/>
                <w:lang w:eastAsia="zh-CN"/>
              </w:rPr>
              <w:t>）</w:t>
            </w:r>
            <w:r>
              <w:rPr>
                <w:rFonts w:hint="eastAsia" w:ascii="宋体" w:hAnsi="宋体" w:eastAsia="宋体" w:cs="宋体"/>
                <w:b w:val="0"/>
                <w:bCs w:val="0"/>
                <w:color w:val="auto"/>
                <w:szCs w:val="21"/>
                <w:highlight w:val="none"/>
                <w:u w:val="single"/>
              </w:rPr>
              <w:t>=方案因素（</w:t>
            </w:r>
            <w:r>
              <w:rPr>
                <w:rFonts w:hint="eastAsia" w:ascii="宋体" w:hAnsi="宋体" w:eastAsia="宋体" w:cs="宋体"/>
                <w:b w:val="0"/>
                <w:bCs w:val="0"/>
                <w:color w:val="auto"/>
                <w:szCs w:val="21"/>
                <w:highlight w:val="none"/>
                <w:u w:val="single"/>
                <w:lang w:val="en-US" w:eastAsia="zh-CN"/>
              </w:rPr>
              <w:t>60</w:t>
            </w:r>
            <w:r>
              <w:rPr>
                <w:rFonts w:hint="eastAsia" w:ascii="宋体" w:hAnsi="宋体" w:eastAsia="宋体" w:cs="宋体"/>
                <w:b w:val="0"/>
                <w:bCs w:val="0"/>
                <w:color w:val="auto"/>
                <w:szCs w:val="21"/>
                <w:highlight w:val="none"/>
                <w:u w:val="single"/>
              </w:rPr>
              <w:t>分）</w:t>
            </w:r>
            <w:r>
              <w:rPr>
                <w:rFonts w:hint="eastAsia" w:ascii="宋体" w:hAnsi="宋体" w:eastAsia="宋体" w:cs="宋体"/>
                <w:b w:val="0"/>
                <w:bCs w:val="0"/>
                <w:color w:val="auto"/>
                <w:szCs w:val="21"/>
                <w:highlight w:val="none"/>
                <w:u w:val="single"/>
                <w:lang w:val="en-US" w:eastAsia="zh-CN"/>
              </w:rPr>
              <w:t>+</w:t>
            </w:r>
            <w:r>
              <w:rPr>
                <w:rFonts w:hint="eastAsia" w:ascii="宋体" w:hAnsi="宋体" w:eastAsia="宋体" w:cs="宋体"/>
                <w:b w:val="0"/>
                <w:bCs w:val="0"/>
                <w:color w:val="auto"/>
                <w:szCs w:val="21"/>
                <w:highlight w:val="none"/>
                <w:u w:val="single"/>
              </w:rPr>
              <w:t>价格因素得分（</w:t>
            </w:r>
            <w:r>
              <w:rPr>
                <w:rFonts w:hint="eastAsia" w:ascii="宋体" w:hAnsi="宋体" w:cs="宋体"/>
                <w:b w:val="0"/>
                <w:bCs w:val="0"/>
                <w:color w:val="auto"/>
                <w:szCs w:val="21"/>
                <w:highlight w:val="none"/>
                <w:u w:val="single"/>
                <w:lang w:val="en-US" w:eastAsia="zh-CN"/>
              </w:rPr>
              <w:t>2</w:t>
            </w:r>
            <w:r>
              <w:rPr>
                <w:rFonts w:hint="eastAsia" w:ascii="宋体" w:hAnsi="宋体" w:eastAsia="宋体" w:cs="宋体"/>
                <w:b w:val="0"/>
                <w:bCs w:val="0"/>
                <w:color w:val="auto"/>
                <w:szCs w:val="21"/>
                <w:highlight w:val="none"/>
                <w:u w:val="single"/>
              </w:rPr>
              <w:t>0分）+答辩因素（</w:t>
            </w:r>
            <w:r>
              <w:rPr>
                <w:rFonts w:hint="eastAsia" w:ascii="宋体" w:hAnsi="宋体" w:eastAsia="宋体" w:cs="宋体"/>
                <w:b w:val="0"/>
                <w:bCs w:val="0"/>
                <w:color w:val="auto"/>
                <w:szCs w:val="21"/>
                <w:highlight w:val="none"/>
                <w:u w:val="single"/>
                <w:lang w:val="en-US" w:eastAsia="zh-CN"/>
              </w:rPr>
              <w:t>20</w:t>
            </w:r>
            <w:r>
              <w:rPr>
                <w:rFonts w:hint="eastAsia" w:ascii="宋体" w:hAnsi="宋体" w:eastAsia="宋体" w:cs="宋体"/>
                <w:b w:val="0"/>
                <w:bCs w:val="0"/>
                <w:color w:val="auto"/>
                <w:szCs w:val="21"/>
                <w:highlight w:val="none"/>
                <w:u w:val="single"/>
              </w:rPr>
              <w:t>分）</w:t>
            </w:r>
          </w:p>
        </w:tc>
      </w:tr>
      <w:tr w14:paraId="05E597ED">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6F75F2E1">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5.4</w:t>
            </w:r>
          </w:p>
        </w:tc>
        <w:tc>
          <w:tcPr>
            <w:tcW w:w="1994" w:type="dxa"/>
            <w:tcBorders>
              <w:top w:val="single" w:color="auto" w:sz="4" w:space="0"/>
              <w:left w:val="single" w:color="auto" w:sz="4" w:space="0"/>
              <w:bottom w:val="single" w:color="auto" w:sz="4" w:space="0"/>
              <w:right w:val="single" w:color="auto" w:sz="4" w:space="0"/>
            </w:tcBorders>
            <w:vAlign w:val="center"/>
          </w:tcPr>
          <w:p w14:paraId="3E69284A">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进入</w:t>
            </w:r>
            <w:r>
              <w:rPr>
                <w:rFonts w:hint="eastAsia" w:ascii="宋体" w:hAnsi="宋体" w:eastAsia="宋体" w:cs="宋体"/>
                <w:color w:val="auto"/>
                <w:szCs w:val="21"/>
                <w:highlight w:val="none"/>
                <w:u w:val="single"/>
              </w:rPr>
              <w:t>定标阶段合格的中标候选人</w:t>
            </w:r>
          </w:p>
        </w:tc>
        <w:tc>
          <w:tcPr>
            <w:tcW w:w="7019" w:type="dxa"/>
            <w:tcBorders>
              <w:top w:val="single" w:color="auto" w:sz="4" w:space="0"/>
              <w:left w:val="single" w:color="auto" w:sz="4" w:space="0"/>
              <w:bottom w:val="single" w:color="auto" w:sz="4" w:space="0"/>
              <w:right w:val="single" w:color="auto" w:sz="4" w:space="0"/>
            </w:tcBorders>
            <w:vAlign w:val="center"/>
          </w:tcPr>
          <w:p w14:paraId="3086BB29">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除投标文件出现无效投标情形外，所有投标人均推荐为定标阶段合格候选人【合格的中标候选人不排序，按统一社会信用代码后4位（除校验码外）大小排位，如统一社会信用代码后4位（除校验码外）出现字母情况的，字母以“0”进行代替大小排位；如出现后4位（除校验码外）大小一致的，则随机排位】。</w:t>
            </w:r>
          </w:p>
        </w:tc>
      </w:tr>
      <w:tr w14:paraId="27AEF1E2">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40257A6A">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w:t>
            </w:r>
          </w:p>
        </w:tc>
        <w:tc>
          <w:tcPr>
            <w:tcW w:w="1994" w:type="dxa"/>
            <w:tcBorders>
              <w:top w:val="single" w:color="auto" w:sz="4" w:space="0"/>
              <w:left w:val="single" w:color="auto" w:sz="4" w:space="0"/>
              <w:bottom w:val="single" w:color="auto" w:sz="4" w:space="0"/>
              <w:right w:val="single" w:color="auto" w:sz="4" w:space="0"/>
            </w:tcBorders>
            <w:vAlign w:val="center"/>
          </w:tcPr>
          <w:p w14:paraId="1E0611A7">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评标委员会的组建</w:t>
            </w:r>
          </w:p>
        </w:tc>
        <w:tc>
          <w:tcPr>
            <w:tcW w:w="7019" w:type="dxa"/>
            <w:tcBorders>
              <w:top w:val="single" w:color="auto" w:sz="4" w:space="0"/>
              <w:left w:val="single" w:color="auto" w:sz="4" w:space="0"/>
              <w:bottom w:val="single" w:color="auto" w:sz="4" w:space="0"/>
              <w:right w:val="single" w:color="auto" w:sz="4" w:space="0"/>
            </w:tcBorders>
            <w:vAlign w:val="center"/>
          </w:tcPr>
          <w:p w14:paraId="6BC6594A">
            <w:pPr>
              <w:snapToGrid w:val="0"/>
              <w:spacing w:beforeLines="0" w:afterLines="0" w:line="320" w:lineRule="exact"/>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u w:val="single"/>
              </w:rPr>
              <w:t>评标委员会由招标人依法组建</w:t>
            </w:r>
            <w:r>
              <w:rPr>
                <w:rFonts w:hint="eastAsia" w:ascii="宋体" w:hAnsi="宋体" w:eastAsia="宋体" w:cs="宋体"/>
                <w:color w:val="auto"/>
                <w:kern w:val="0"/>
                <w:szCs w:val="21"/>
                <w:highlight w:val="none"/>
              </w:rPr>
              <w:t>。</w:t>
            </w:r>
          </w:p>
        </w:tc>
      </w:tr>
      <w:tr w14:paraId="3B03C0EB">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391C58ED">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6.1.2</w:t>
            </w:r>
          </w:p>
        </w:tc>
        <w:tc>
          <w:tcPr>
            <w:tcW w:w="1994" w:type="dxa"/>
            <w:tcBorders>
              <w:top w:val="single" w:color="auto" w:sz="4" w:space="0"/>
              <w:left w:val="single" w:color="auto" w:sz="4" w:space="0"/>
              <w:bottom w:val="single" w:color="auto" w:sz="4" w:space="0"/>
              <w:right w:val="single" w:color="auto" w:sz="4" w:space="0"/>
            </w:tcBorders>
            <w:vAlign w:val="center"/>
          </w:tcPr>
          <w:p w14:paraId="7FFC3E1D">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定标委员会的组建</w:t>
            </w:r>
          </w:p>
        </w:tc>
        <w:tc>
          <w:tcPr>
            <w:tcW w:w="7019" w:type="dxa"/>
            <w:tcBorders>
              <w:top w:val="single" w:color="auto" w:sz="4" w:space="0"/>
              <w:left w:val="single" w:color="auto" w:sz="4" w:space="0"/>
              <w:bottom w:val="single" w:color="auto" w:sz="4" w:space="0"/>
              <w:right w:val="single" w:color="auto" w:sz="4" w:space="0"/>
            </w:tcBorders>
            <w:vAlign w:val="center"/>
          </w:tcPr>
          <w:p w14:paraId="44440766">
            <w:pPr>
              <w:pStyle w:val="15"/>
              <w:snapToGrid w:val="0"/>
              <w:spacing w:beforeLines="0" w:after="0" w:afterLines="0" w:line="32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定标委员会由招标人依法依规组建</w:t>
            </w:r>
            <w:r>
              <w:rPr>
                <w:rFonts w:hint="eastAsia" w:ascii="宋体" w:hAnsi="宋体" w:eastAsia="宋体" w:cs="宋体"/>
                <w:color w:val="auto"/>
                <w:szCs w:val="21"/>
                <w:highlight w:val="none"/>
              </w:rPr>
              <w:t>。</w:t>
            </w:r>
          </w:p>
        </w:tc>
      </w:tr>
      <w:tr w14:paraId="2720F628">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3DEC65A0">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7.1</w:t>
            </w:r>
          </w:p>
        </w:tc>
        <w:tc>
          <w:tcPr>
            <w:tcW w:w="1994" w:type="dxa"/>
            <w:tcBorders>
              <w:top w:val="single" w:color="auto" w:sz="4" w:space="0"/>
              <w:left w:val="single" w:color="auto" w:sz="4" w:space="0"/>
              <w:bottom w:val="single" w:color="auto" w:sz="4" w:space="0"/>
              <w:right w:val="single" w:color="auto" w:sz="4" w:space="0"/>
            </w:tcBorders>
            <w:vAlign w:val="center"/>
          </w:tcPr>
          <w:p w14:paraId="6ABAB7B1">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是否授权评标委员会确定中标人</w:t>
            </w:r>
          </w:p>
        </w:tc>
        <w:tc>
          <w:tcPr>
            <w:tcW w:w="7019" w:type="dxa"/>
            <w:tcBorders>
              <w:top w:val="single" w:color="auto" w:sz="4" w:space="0"/>
              <w:left w:val="single" w:color="auto" w:sz="4" w:space="0"/>
              <w:bottom w:val="single" w:color="auto" w:sz="4" w:space="0"/>
              <w:right w:val="single" w:color="auto" w:sz="4" w:space="0"/>
            </w:tcBorders>
            <w:vAlign w:val="center"/>
          </w:tcPr>
          <w:p w14:paraId="5A0D4646">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w:t>
            </w:r>
          </w:p>
          <w:p w14:paraId="4BDEB848">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■否，推荐</w:t>
            </w:r>
            <w:r>
              <w:rPr>
                <w:rFonts w:hint="eastAsia" w:ascii="宋体" w:hAnsi="宋体" w:eastAsia="宋体" w:cs="宋体"/>
                <w:color w:val="auto"/>
                <w:szCs w:val="21"/>
                <w:highlight w:val="none"/>
                <w:lang w:val="en-US" w:eastAsia="zh-CN"/>
              </w:rPr>
              <w:t>合格</w:t>
            </w:r>
            <w:r>
              <w:rPr>
                <w:rFonts w:hint="eastAsia" w:ascii="宋体" w:hAnsi="宋体" w:eastAsia="宋体" w:cs="宋体"/>
                <w:color w:val="auto"/>
                <w:szCs w:val="21"/>
                <w:highlight w:val="none"/>
              </w:rPr>
              <w:t>的中标候选人数：</w:t>
            </w:r>
            <w:r>
              <w:rPr>
                <w:rFonts w:hint="eastAsia" w:ascii="宋体" w:hAnsi="宋体" w:eastAsia="宋体" w:cs="宋体"/>
                <w:color w:val="auto"/>
                <w:szCs w:val="21"/>
                <w:highlight w:val="none"/>
                <w:u w:val="single"/>
              </w:rPr>
              <w:t>通过初步评审的投标人均进入定标阶段</w:t>
            </w:r>
            <w:r>
              <w:rPr>
                <w:rFonts w:hint="eastAsia" w:ascii="宋体" w:hAnsi="宋体" w:eastAsia="宋体" w:cs="宋体"/>
                <w:color w:val="auto"/>
                <w:szCs w:val="21"/>
                <w:highlight w:val="none"/>
              </w:rPr>
              <w:t>。</w:t>
            </w:r>
          </w:p>
        </w:tc>
      </w:tr>
      <w:tr w14:paraId="2A2B21A9">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0CDB6C0B">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7.2</w:t>
            </w:r>
          </w:p>
        </w:tc>
        <w:tc>
          <w:tcPr>
            <w:tcW w:w="1994" w:type="dxa"/>
            <w:tcBorders>
              <w:top w:val="single" w:color="auto" w:sz="4" w:space="0"/>
              <w:left w:val="single" w:color="auto" w:sz="4" w:space="0"/>
              <w:bottom w:val="single" w:color="auto" w:sz="4" w:space="0"/>
              <w:right w:val="single" w:color="auto" w:sz="4" w:space="0"/>
            </w:tcBorders>
            <w:vAlign w:val="center"/>
          </w:tcPr>
          <w:p w14:paraId="2A9E58CC">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合格的</w:t>
            </w:r>
            <w:r>
              <w:rPr>
                <w:rFonts w:hint="eastAsia" w:ascii="宋体" w:hAnsi="宋体" w:eastAsia="宋体" w:cs="宋体"/>
                <w:color w:val="auto"/>
                <w:szCs w:val="21"/>
                <w:highlight w:val="none"/>
              </w:rPr>
              <w:t>中标候选人公示媒介</w:t>
            </w:r>
          </w:p>
        </w:tc>
        <w:tc>
          <w:tcPr>
            <w:tcW w:w="7019" w:type="dxa"/>
            <w:tcBorders>
              <w:top w:val="single" w:color="auto" w:sz="4" w:space="0"/>
              <w:left w:val="single" w:color="auto" w:sz="4" w:space="0"/>
              <w:bottom w:val="single" w:color="auto" w:sz="4" w:space="0"/>
              <w:right w:val="single" w:color="auto" w:sz="4" w:space="0"/>
            </w:tcBorders>
            <w:vAlign w:val="center"/>
          </w:tcPr>
          <w:p w14:paraId="5508E127">
            <w:pPr>
              <w:snapToGrid w:val="0"/>
              <w:spacing w:beforeLines="0" w:afterLines="0" w:line="320" w:lineRule="exact"/>
              <w:rPr>
                <w:rFonts w:hint="eastAsia" w:ascii="宋体" w:hAnsi="宋体" w:eastAsia="宋体" w:cs="宋体"/>
                <w:color w:val="auto"/>
                <w:kern w:val="0"/>
                <w:szCs w:val="21"/>
                <w:highlight w:val="none"/>
                <w:u w:val="none"/>
              </w:rPr>
            </w:pPr>
            <w:r>
              <w:rPr>
                <w:rFonts w:hint="eastAsia" w:ascii="宋体" w:hAnsi="宋体" w:cs="宋体"/>
                <w:color w:val="auto"/>
                <w:szCs w:val="21"/>
                <w:highlight w:val="none"/>
                <w:lang w:eastAsia="zh-CN"/>
              </w:rPr>
              <w:t>广州交易集团有限公司（广州公共资源交易中心）</w:t>
            </w:r>
            <w:r>
              <w:rPr>
                <w:rFonts w:hint="eastAsia" w:ascii="宋体" w:hAnsi="宋体" w:eastAsia="宋体" w:cs="宋体"/>
                <w:color w:val="auto"/>
                <w:kern w:val="0"/>
                <w:szCs w:val="21"/>
                <w:highlight w:val="none"/>
                <w:u w:val="none"/>
              </w:rPr>
              <w:t>网站、中国招标投标公共服务平台、广东省招标投标监管网。</w:t>
            </w:r>
          </w:p>
          <w:p w14:paraId="7F4110B9">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投标人或其他利害关系人对评标结果有异议的，应当在</w:t>
            </w:r>
            <w:r>
              <w:rPr>
                <w:rFonts w:hint="eastAsia" w:ascii="宋体" w:hAnsi="宋体" w:eastAsia="宋体" w:cs="宋体"/>
                <w:color w:val="auto"/>
                <w:kern w:val="0"/>
                <w:szCs w:val="21"/>
                <w:highlight w:val="none"/>
                <w:lang w:val="en-US" w:eastAsia="zh-CN"/>
              </w:rPr>
              <w:t>合格的</w:t>
            </w:r>
            <w:r>
              <w:rPr>
                <w:rFonts w:hint="eastAsia" w:ascii="宋体" w:hAnsi="宋体" w:eastAsia="宋体" w:cs="宋体"/>
                <w:color w:val="auto"/>
                <w:kern w:val="0"/>
                <w:szCs w:val="21"/>
                <w:highlight w:val="none"/>
              </w:rPr>
              <w:t>中标候选人公示期间提出，可以通过线下或线上的形式提出异议。线上提交的，应通过交易平台进行，招标人也应通过交易平台答复线上提交的异议。作出答复前，应当暂停招标投标活动。</w:t>
            </w:r>
          </w:p>
        </w:tc>
      </w:tr>
      <w:tr w14:paraId="63AE219F">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687CC0F1">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7.4.1</w:t>
            </w:r>
          </w:p>
        </w:tc>
        <w:tc>
          <w:tcPr>
            <w:tcW w:w="1994" w:type="dxa"/>
            <w:tcBorders>
              <w:top w:val="single" w:color="auto" w:sz="4" w:space="0"/>
              <w:left w:val="single" w:color="auto" w:sz="4" w:space="0"/>
              <w:bottom w:val="single" w:color="auto" w:sz="4" w:space="0"/>
              <w:right w:val="single" w:color="auto" w:sz="4" w:space="0"/>
            </w:tcBorders>
            <w:vAlign w:val="center"/>
          </w:tcPr>
          <w:p w14:paraId="55CBBF3B">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w:t>
            </w:r>
          </w:p>
        </w:tc>
        <w:tc>
          <w:tcPr>
            <w:tcW w:w="7019" w:type="dxa"/>
            <w:tcBorders>
              <w:top w:val="single" w:color="auto" w:sz="4" w:space="0"/>
              <w:left w:val="single" w:color="auto" w:sz="4" w:space="0"/>
              <w:bottom w:val="single" w:color="auto" w:sz="4" w:space="0"/>
              <w:right w:val="single" w:color="auto" w:sz="4" w:space="0"/>
            </w:tcBorders>
            <w:vAlign w:val="center"/>
          </w:tcPr>
          <w:p w14:paraId="2C5494C2">
            <w:pPr>
              <w:snapToGrid w:val="0"/>
              <w:spacing w:beforeLines="0" w:afterLines="0"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履约担保的形式：</w:t>
            </w:r>
            <w:r>
              <w:rPr>
                <w:rFonts w:hint="eastAsia" w:ascii="宋体" w:hAnsi="宋体" w:eastAsia="宋体" w:cs="宋体"/>
                <w:color w:val="auto"/>
                <w:szCs w:val="21"/>
                <w:highlight w:val="none"/>
                <w:u w:val="single"/>
              </w:rPr>
              <w:t>以合同约定为准</w:t>
            </w:r>
            <w:r>
              <w:rPr>
                <w:rFonts w:hint="eastAsia" w:ascii="宋体" w:hAnsi="宋体" w:eastAsia="宋体" w:cs="宋体"/>
                <w:color w:val="auto"/>
                <w:szCs w:val="21"/>
                <w:highlight w:val="none"/>
              </w:rPr>
              <w:t>。</w:t>
            </w:r>
          </w:p>
          <w:p w14:paraId="0B1589C2">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履约担保的金额：</w:t>
            </w:r>
            <w:r>
              <w:rPr>
                <w:rFonts w:hint="eastAsia" w:ascii="宋体" w:hAnsi="宋体" w:eastAsia="宋体" w:cs="宋体"/>
                <w:color w:val="auto"/>
                <w:szCs w:val="21"/>
                <w:highlight w:val="none"/>
                <w:u w:val="single"/>
              </w:rPr>
              <w:t>中标总价的10%</w:t>
            </w:r>
            <w:r>
              <w:rPr>
                <w:rFonts w:hint="eastAsia" w:ascii="宋体" w:hAnsi="宋体" w:eastAsia="宋体" w:cs="宋体"/>
                <w:color w:val="auto"/>
                <w:szCs w:val="21"/>
                <w:highlight w:val="none"/>
              </w:rPr>
              <w:t>。</w:t>
            </w:r>
          </w:p>
        </w:tc>
      </w:tr>
      <w:tr w14:paraId="1557C9A0">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58675CA9">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994" w:type="dxa"/>
            <w:tcBorders>
              <w:top w:val="single" w:color="auto" w:sz="4" w:space="0"/>
              <w:left w:val="single" w:color="auto" w:sz="4" w:space="0"/>
              <w:bottom w:val="single" w:color="auto" w:sz="4" w:space="0"/>
              <w:right w:val="single" w:color="auto" w:sz="4" w:space="0"/>
            </w:tcBorders>
            <w:vAlign w:val="center"/>
          </w:tcPr>
          <w:p w14:paraId="598B9DEF">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建安工程费</w:t>
            </w:r>
            <w:r>
              <w:rPr>
                <w:rFonts w:hint="eastAsia" w:ascii="宋体" w:hAnsi="宋体" w:eastAsia="宋体" w:cs="宋体"/>
                <w:color w:val="auto"/>
                <w:szCs w:val="21"/>
                <w:highlight w:val="none"/>
              </w:rPr>
              <w:t>成本警戒价</w:t>
            </w:r>
          </w:p>
        </w:tc>
        <w:tc>
          <w:tcPr>
            <w:tcW w:w="7019" w:type="dxa"/>
            <w:tcBorders>
              <w:top w:val="single" w:color="auto" w:sz="4" w:space="0"/>
              <w:left w:val="single" w:color="auto" w:sz="4" w:space="0"/>
              <w:bottom w:val="single" w:color="auto" w:sz="4" w:space="0"/>
              <w:right w:val="single" w:color="auto" w:sz="4" w:space="0"/>
            </w:tcBorders>
            <w:vAlign w:val="center"/>
          </w:tcPr>
          <w:p w14:paraId="48F6AB74">
            <w:pPr>
              <w:pStyle w:val="11"/>
              <w:wordWrap w:val="0"/>
              <w:snapToGrid w:val="0"/>
              <w:spacing w:beforeLines="0" w:afterLines="0" w:line="320" w:lineRule="exact"/>
              <w:ind w:left="2" w:leftChars="-3" w:hanging="8" w:hangingChars="4"/>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建安工程费</w:t>
            </w:r>
            <w:r>
              <w:rPr>
                <w:rFonts w:hint="eastAsia" w:ascii="宋体" w:hAnsi="宋体" w:eastAsia="宋体" w:cs="宋体"/>
                <w:color w:val="auto"/>
                <w:szCs w:val="21"/>
                <w:highlight w:val="none"/>
              </w:rPr>
              <w:t>成本警戒价按</w:t>
            </w:r>
            <w:r>
              <w:rPr>
                <w:rFonts w:hint="eastAsia" w:ascii="宋体" w:hAnsi="宋体" w:eastAsia="宋体" w:cs="宋体"/>
                <w:color w:val="auto"/>
                <w:szCs w:val="21"/>
                <w:highlight w:val="none"/>
                <w:lang w:eastAsia="zh-CN"/>
              </w:rPr>
              <w:t>建安工程费</w:t>
            </w:r>
            <w:r>
              <w:rPr>
                <w:rFonts w:hint="eastAsia" w:ascii="宋体" w:hAnsi="宋体" w:eastAsia="宋体" w:cs="宋体"/>
                <w:color w:val="auto"/>
                <w:szCs w:val="21"/>
                <w:highlight w:val="none"/>
              </w:rPr>
              <w:t>最高投标限价的</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设置，为</w:t>
            </w:r>
            <w:r>
              <w:rPr>
                <w:rFonts w:hint="eastAsia" w:ascii="宋体" w:hAnsi="宋体" w:eastAsia="宋体" w:cs="宋体"/>
                <w:color w:val="auto"/>
                <w:szCs w:val="21"/>
                <w:highlight w:val="none"/>
                <w:lang w:val="en-US" w:eastAsia="zh-CN"/>
              </w:rPr>
              <w:t>人民币</w:t>
            </w:r>
            <w:r>
              <w:rPr>
                <w:rFonts w:hint="eastAsia" w:hAnsi="宋体" w:cs="宋体"/>
                <w:color w:val="auto"/>
                <w:szCs w:val="21"/>
                <w:highlight w:val="none"/>
                <w:lang w:val="en-US" w:eastAsia="zh-CN"/>
              </w:rPr>
              <w:t xml:space="preserve"> 8100000.00</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rPr>
              <w:t>。</w:t>
            </w:r>
          </w:p>
          <w:p w14:paraId="590F0E3A">
            <w:pPr>
              <w:pStyle w:val="11"/>
              <w:wordWrap w:val="0"/>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对低于该警戒价的</w:t>
            </w:r>
            <w:r>
              <w:rPr>
                <w:rFonts w:hint="eastAsia" w:ascii="宋体" w:hAnsi="宋体" w:eastAsia="宋体" w:cs="宋体"/>
                <w:color w:val="auto"/>
                <w:szCs w:val="21"/>
                <w:highlight w:val="none"/>
                <w:lang w:eastAsia="zh-CN"/>
              </w:rPr>
              <w:t>建安工程费</w:t>
            </w:r>
            <w:r>
              <w:rPr>
                <w:rFonts w:hint="eastAsia" w:ascii="宋体" w:hAnsi="宋体" w:eastAsia="宋体" w:cs="宋体"/>
                <w:color w:val="auto"/>
                <w:szCs w:val="21"/>
                <w:highlight w:val="none"/>
              </w:rPr>
              <w:t>报价，投标人必须提供详细的施工组织设计、单价、措施性费用、单价分析表、主要材料价格表、投标人成本分析供评标委员会评审，由评标委员会判定其是否低于企业自身成本。在评标过程中，评标委员会发现投标人的</w:t>
            </w:r>
            <w:r>
              <w:rPr>
                <w:rFonts w:hint="eastAsia" w:ascii="宋体" w:hAnsi="宋体" w:eastAsia="宋体" w:cs="宋体"/>
                <w:color w:val="auto"/>
                <w:szCs w:val="21"/>
                <w:highlight w:val="none"/>
                <w:lang w:eastAsia="zh-CN"/>
              </w:rPr>
              <w:t>建安工程费</w:t>
            </w:r>
            <w:r>
              <w:rPr>
                <w:rFonts w:hint="eastAsia" w:ascii="宋体" w:hAnsi="宋体" w:eastAsia="宋体" w:cs="宋体"/>
                <w:color w:val="auto"/>
                <w:szCs w:val="21"/>
                <w:highlight w:val="none"/>
              </w:rPr>
              <w:t>报价明显低于其他投标</w:t>
            </w:r>
            <w:r>
              <w:rPr>
                <w:rFonts w:hint="eastAsia" w:ascii="宋体" w:hAnsi="宋体" w:eastAsia="宋体" w:cs="宋体"/>
                <w:color w:val="auto"/>
                <w:szCs w:val="21"/>
                <w:highlight w:val="none"/>
                <w:lang w:val="en-US" w:eastAsia="zh-CN"/>
              </w:rPr>
              <w:t>人的</w:t>
            </w:r>
            <w:r>
              <w:rPr>
                <w:rFonts w:hint="eastAsia" w:ascii="宋体" w:hAnsi="宋体" w:eastAsia="宋体" w:cs="宋体"/>
                <w:color w:val="auto"/>
                <w:szCs w:val="21"/>
                <w:highlight w:val="none"/>
                <w:lang w:eastAsia="zh-CN"/>
              </w:rPr>
              <w:t>建安工程费</w:t>
            </w:r>
            <w:r>
              <w:rPr>
                <w:rFonts w:hint="eastAsia" w:ascii="宋体" w:hAnsi="宋体" w:eastAsia="宋体" w:cs="宋体"/>
                <w:color w:val="auto"/>
                <w:szCs w:val="21"/>
                <w:highlight w:val="none"/>
              </w:rPr>
              <w:t>报价或者低于</w:t>
            </w:r>
            <w:r>
              <w:rPr>
                <w:rFonts w:hint="eastAsia" w:ascii="宋体" w:hAnsi="宋体" w:eastAsia="宋体" w:cs="宋体"/>
                <w:color w:val="auto"/>
                <w:szCs w:val="21"/>
                <w:highlight w:val="none"/>
                <w:lang w:eastAsia="zh-CN"/>
              </w:rPr>
              <w:t>建安工程费</w:t>
            </w:r>
            <w:r>
              <w:rPr>
                <w:rFonts w:hint="eastAsia" w:ascii="宋体" w:hAnsi="宋体" w:eastAsia="宋体" w:cs="宋体"/>
                <w:color w:val="auto"/>
                <w:szCs w:val="21"/>
                <w:highlight w:val="none"/>
              </w:rPr>
              <w:t>成本警戒价，使得其</w:t>
            </w:r>
            <w:r>
              <w:rPr>
                <w:rFonts w:hint="eastAsia" w:ascii="宋体" w:hAnsi="宋体" w:eastAsia="宋体" w:cs="宋体"/>
                <w:color w:val="auto"/>
                <w:szCs w:val="21"/>
                <w:highlight w:val="none"/>
                <w:lang w:eastAsia="zh-CN"/>
              </w:rPr>
              <w:t>建安工程费</w:t>
            </w:r>
            <w:r>
              <w:rPr>
                <w:rFonts w:hint="eastAsia" w:ascii="宋体" w:hAnsi="宋体" w:eastAsia="宋体" w:cs="宋体"/>
                <w:color w:val="auto"/>
                <w:szCs w:val="21"/>
                <w:highlight w:val="none"/>
              </w:rPr>
              <w:t>报价可能低于其个别成本的，应当要求该投标人作出书面说明并提供相关证明材料。投标人不能合理说明或者不能提供相关证明材料的，由评标委员会认定该投标人以低于成本报价竞标，应当否决其投标。</w:t>
            </w:r>
          </w:p>
        </w:tc>
      </w:tr>
      <w:tr w14:paraId="6C3FA7B3">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18D8A8DB">
            <w:pPr>
              <w:snapToGrid w:val="0"/>
              <w:spacing w:beforeLines="0" w:afterLines="0" w:line="3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9</w:t>
            </w:r>
          </w:p>
        </w:tc>
        <w:tc>
          <w:tcPr>
            <w:tcW w:w="9013" w:type="dxa"/>
            <w:gridSpan w:val="2"/>
            <w:tcBorders>
              <w:top w:val="single" w:color="auto" w:sz="4" w:space="0"/>
              <w:left w:val="single" w:color="auto" w:sz="4" w:space="0"/>
              <w:bottom w:val="single" w:color="auto" w:sz="4" w:space="0"/>
              <w:right w:val="single" w:color="auto" w:sz="4" w:space="0"/>
            </w:tcBorders>
            <w:vAlign w:val="center"/>
          </w:tcPr>
          <w:p w14:paraId="07AE9CAE">
            <w:pPr>
              <w:snapToGrid w:val="0"/>
              <w:spacing w:beforeLines="0" w:afterLines="0" w:line="3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需要补充的其他内容</w:t>
            </w:r>
          </w:p>
        </w:tc>
      </w:tr>
      <w:tr w14:paraId="3201BBEC">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5F8428D7">
            <w:pPr>
              <w:snapToGrid w:val="0"/>
              <w:spacing w:beforeLines="0" w:afterLines="0" w:line="320" w:lineRule="exact"/>
              <w:jc w:val="center"/>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9.1</w:t>
            </w:r>
          </w:p>
        </w:tc>
        <w:tc>
          <w:tcPr>
            <w:tcW w:w="9013" w:type="dxa"/>
            <w:gridSpan w:val="2"/>
            <w:tcBorders>
              <w:top w:val="single" w:color="auto" w:sz="4" w:space="0"/>
              <w:left w:val="single" w:color="auto" w:sz="4" w:space="0"/>
              <w:bottom w:val="single" w:color="auto" w:sz="4" w:space="0"/>
              <w:right w:val="single" w:color="auto" w:sz="4" w:space="0"/>
            </w:tcBorders>
            <w:vAlign w:val="center"/>
          </w:tcPr>
          <w:p w14:paraId="2AE96071">
            <w:pPr>
              <w:widowControl/>
              <w:snapToGrid w:val="0"/>
              <w:spacing w:beforeLines="0" w:afterLines="0" w:line="32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建设工程质量检测单位：</w:t>
            </w:r>
          </w:p>
          <w:p w14:paraId="16D06F99">
            <w:pPr>
              <w:snapToGrid w:val="0"/>
              <w:spacing w:beforeLines="0" w:afterLines="0" w:line="320" w:lineRule="exact"/>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6C8DFB48">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578EBE03">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9.2</w:t>
            </w:r>
          </w:p>
        </w:tc>
        <w:tc>
          <w:tcPr>
            <w:tcW w:w="9013" w:type="dxa"/>
            <w:gridSpan w:val="2"/>
            <w:tcBorders>
              <w:top w:val="single" w:color="auto" w:sz="4" w:space="0"/>
              <w:left w:val="single" w:color="auto" w:sz="4" w:space="0"/>
              <w:bottom w:val="single" w:color="auto" w:sz="4" w:space="0"/>
              <w:right w:val="single" w:color="auto" w:sz="4" w:space="0"/>
            </w:tcBorders>
            <w:vAlign w:val="center"/>
          </w:tcPr>
          <w:p w14:paraId="58A19FB3">
            <w:pPr>
              <w:snapToGrid w:val="0"/>
              <w:spacing w:beforeLines="0" w:afterLines="0"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保修期限：按照《建设工程质量管理条例》规定。</w:t>
            </w:r>
          </w:p>
        </w:tc>
      </w:tr>
      <w:tr w14:paraId="4C83F54D">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5B463BF1">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9.3</w:t>
            </w:r>
          </w:p>
        </w:tc>
        <w:tc>
          <w:tcPr>
            <w:tcW w:w="9013" w:type="dxa"/>
            <w:gridSpan w:val="2"/>
            <w:tcBorders>
              <w:top w:val="single" w:color="auto" w:sz="4" w:space="0"/>
              <w:left w:val="single" w:color="auto" w:sz="4" w:space="0"/>
              <w:bottom w:val="single" w:color="auto" w:sz="4" w:space="0"/>
              <w:right w:val="single" w:color="auto" w:sz="4" w:space="0"/>
            </w:tcBorders>
            <w:vAlign w:val="center"/>
          </w:tcPr>
          <w:p w14:paraId="36926DF9">
            <w:pPr>
              <w:snapToGrid w:val="0"/>
              <w:spacing w:beforeLines="0" w:afterLines="0"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方式：包设计(含深化设计)、包工程施工、包工、包料、包设备、包工期、包质量、包造价控制、包安全、包文明施工、包验收通过、包保修、包工程概、预算编制、包变更预算及结算编制、包项目协调管理、包验收移交、包竣工资料收集整理。</w:t>
            </w:r>
          </w:p>
          <w:p w14:paraId="42F024C2">
            <w:pPr>
              <w:snapToGrid w:val="0"/>
              <w:spacing w:beforeLines="0" w:afterLines="0"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结算方式具体按合同条款规定。</w:t>
            </w:r>
          </w:p>
          <w:p w14:paraId="27C00377">
            <w:pPr>
              <w:snapToGrid w:val="0"/>
              <w:spacing w:beforeLines="0" w:afterLines="0"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本工程实行全过程限额设计施工，限额投资。工程变更需经过建设单位审定后方可实施</w:t>
            </w:r>
            <w:r>
              <w:rPr>
                <w:rFonts w:hint="eastAsia" w:ascii="宋体" w:hAnsi="宋体" w:eastAsia="宋体" w:cs="宋体"/>
                <w:color w:val="auto"/>
                <w:szCs w:val="21"/>
                <w:highlight w:val="none"/>
                <w:lang w:eastAsia="zh-CN"/>
              </w:rPr>
              <w:t>，但不论因</w:t>
            </w:r>
            <w:r>
              <w:rPr>
                <w:rFonts w:hint="eastAsia" w:ascii="宋体" w:hAnsi="宋体" w:eastAsia="宋体" w:cs="宋体"/>
                <w:color w:val="auto"/>
                <w:szCs w:val="21"/>
                <w:highlight w:val="none"/>
              </w:rPr>
              <w:t>任何</w:t>
            </w:r>
            <w:r>
              <w:rPr>
                <w:rFonts w:hint="eastAsia" w:ascii="宋体" w:hAnsi="宋体" w:eastAsia="宋体" w:cs="宋体"/>
                <w:color w:val="auto"/>
                <w:szCs w:val="21"/>
                <w:highlight w:val="none"/>
                <w:lang w:eastAsia="zh-CN"/>
              </w:rPr>
              <w:t>原因</w:t>
            </w:r>
            <w:r>
              <w:rPr>
                <w:rFonts w:hint="eastAsia" w:ascii="宋体" w:hAnsi="宋体" w:eastAsia="宋体" w:cs="宋体"/>
                <w:color w:val="auto"/>
                <w:szCs w:val="21"/>
                <w:highlight w:val="none"/>
              </w:rPr>
              <w:t>引起的设计和施工调整</w:t>
            </w:r>
            <w:r>
              <w:rPr>
                <w:rFonts w:hint="eastAsia" w:ascii="宋体" w:hAnsi="宋体" w:eastAsia="宋体" w:cs="宋体"/>
                <w:color w:val="auto"/>
                <w:szCs w:val="21"/>
                <w:highlight w:val="none"/>
                <w:lang w:eastAsia="zh-CN"/>
              </w:rPr>
              <w:t>，本工程</w:t>
            </w:r>
            <w:r>
              <w:rPr>
                <w:rFonts w:hint="eastAsia" w:ascii="宋体" w:hAnsi="宋体" w:eastAsia="宋体" w:cs="宋体"/>
                <w:color w:val="auto"/>
                <w:szCs w:val="21"/>
                <w:highlight w:val="none"/>
              </w:rPr>
              <w:t>最终造价不得超过最高投标限价。</w:t>
            </w:r>
          </w:p>
        </w:tc>
      </w:tr>
      <w:tr w14:paraId="1734F029">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244AD739">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994" w:type="dxa"/>
            <w:tcBorders>
              <w:top w:val="single" w:color="auto" w:sz="4" w:space="0"/>
              <w:left w:val="single" w:color="auto" w:sz="4" w:space="0"/>
              <w:bottom w:val="single" w:color="auto" w:sz="4" w:space="0"/>
              <w:right w:val="single" w:color="auto" w:sz="4" w:space="0"/>
            </w:tcBorders>
            <w:vAlign w:val="center"/>
          </w:tcPr>
          <w:p w14:paraId="61D811FA">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电子招标投标</w:t>
            </w:r>
          </w:p>
        </w:tc>
        <w:tc>
          <w:tcPr>
            <w:tcW w:w="7019" w:type="dxa"/>
            <w:tcBorders>
              <w:top w:val="single" w:color="auto" w:sz="4" w:space="0"/>
              <w:left w:val="single" w:color="auto" w:sz="4" w:space="0"/>
              <w:bottom w:val="single" w:color="auto" w:sz="4" w:space="0"/>
              <w:right w:val="single" w:color="auto" w:sz="4" w:space="0"/>
            </w:tcBorders>
            <w:vAlign w:val="center"/>
          </w:tcPr>
          <w:p w14:paraId="1CC0332C">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p w14:paraId="6B83529B">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■是，具体要求：</w:t>
            </w:r>
          </w:p>
          <w:p w14:paraId="5D30140A">
            <w:pPr>
              <w:pStyle w:val="14"/>
              <w:numPr>
                <w:ilvl w:val="0"/>
                <w:numId w:val="1"/>
              </w:numPr>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投标文件形式：投标文件全部采用电子文档，投标文件应按</w:t>
            </w:r>
            <w:r>
              <w:rPr>
                <w:rFonts w:hint="eastAsia" w:ascii="宋体" w:hAnsi="宋体" w:eastAsia="宋体" w:cs="宋体"/>
                <w:b w:val="0"/>
                <w:color w:val="auto"/>
                <w:sz w:val="21"/>
                <w:szCs w:val="21"/>
                <w:highlight w:val="none"/>
                <w:lang w:eastAsia="zh-CN"/>
              </w:rPr>
              <w:t>广州交易集团有限公司（广州公共资源交易中心）</w:t>
            </w:r>
            <w:r>
              <w:rPr>
                <w:rFonts w:hint="eastAsia" w:ascii="宋体" w:hAnsi="宋体" w:eastAsia="宋体" w:cs="宋体"/>
                <w:b w:val="0"/>
                <w:color w:val="auto"/>
                <w:sz w:val="21"/>
                <w:szCs w:val="21"/>
                <w:highlight w:val="none"/>
              </w:rPr>
              <w:t>数字交易平台相关操作指南编制。如不按上述要求编制引起系统无法检索、读取相关信息的，其后果由投标人承担。投标文件所附证书证件均为清晰扫描件，并采用单位数字证书，按招标文件要求在相应位置加盖电子印章。投标文件中需个人签字或盖章的，应加盖个人电子印章或在线下完成后扫描上传。具体操作详见</w:t>
            </w:r>
            <w:r>
              <w:rPr>
                <w:rFonts w:hint="eastAsia" w:ascii="宋体" w:hAnsi="宋体" w:eastAsia="宋体" w:cs="宋体"/>
                <w:b w:val="0"/>
                <w:color w:val="auto"/>
                <w:sz w:val="21"/>
                <w:szCs w:val="21"/>
                <w:highlight w:val="none"/>
                <w:lang w:eastAsia="zh-CN"/>
              </w:rPr>
              <w:t>广州交易集团有限公司（广州公共资源交易中心）</w:t>
            </w:r>
            <w:r>
              <w:rPr>
                <w:rFonts w:hint="eastAsia" w:ascii="宋体" w:hAnsi="宋体" w:eastAsia="宋体" w:cs="宋体"/>
                <w:b w:val="0"/>
                <w:color w:val="auto"/>
                <w:sz w:val="21"/>
                <w:szCs w:val="21"/>
                <w:highlight w:val="none"/>
              </w:rPr>
              <w:t>数字交易平台相关操作指南。</w:t>
            </w:r>
          </w:p>
          <w:p w14:paraId="53F6D1D8">
            <w:pPr>
              <w:numPr>
                <w:ilvl w:val="0"/>
                <w:numId w:val="0"/>
              </w:numPr>
              <w:snapToGrid w:val="0"/>
              <w:spacing w:beforeLines="0" w:afterLines="0" w:line="320" w:lineRule="exac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注释：投标文件电子文档需要投标人单位盖章的材料，投标人加盖电子印章即可，不得将投标人未对电子文档加盖实物印章作为否决投标的情形。</w:t>
            </w:r>
          </w:p>
          <w:p w14:paraId="30D65944">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2、投标文件的修改与撤回：投标人修改或撤回已递交的投标文件，需在</w:t>
            </w:r>
            <w:r>
              <w:rPr>
                <w:rFonts w:hint="eastAsia" w:ascii="宋体" w:hAnsi="宋体" w:eastAsia="宋体" w:cs="宋体"/>
                <w:b w:val="0"/>
                <w:color w:val="auto"/>
                <w:sz w:val="21"/>
                <w:szCs w:val="21"/>
                <w:highlight w:val="none"/>
                <w:lang w:eastAsia="zh-CN"/>
              </w:rPr>
              <w:t>广州交易集团有限公司（广州公共资源交易中心）</w:t>
            </w:r>
            <w:r>
              <w:rPr>
                <w:rFonts w:hint="eastAsia" w:ascii="宋体" w:hAnsi="宋体" w:eastAsia="宋体" w:cs="宋体"/>
                <w:b w:val="0"/>
                <w:color w:val="auto"/>
                <w:sz w:val="21"/>
                <w:szCs w:val="21"/>
                <w:highlight w:val="none"/>
              </w:rPr>
              <w:t>数字交易平台发出撤回通知，并按要求加盖电子印章。电子招标投标数字交易平台收到通知后，即时向投标人发出确认回执通知。</w:t>
            </w:r>
          </w:p>
          <w:p w14:paraId="7BDF3700">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重要风险提示）备用光盘或u盘。投标人可使用投标文件制作工具生成非加密的电子投标文件载入光盘或u盘（1份，载体形式由投标人自选），在规定的时间、地点提交备用。(刻录好的投标文件光盘或u盘密封在密封袋中，并在封口处加盖投标人单位公章。密封袋上应写明项目名称和招标人名称。递交的投标文件光盘或u盘(备用)不得加密。投标文件备用光盘或u盘无法读取或导入的，则视为未提交投标文件备用光盘或u盘。如果投标人没有按规定通过</w:t>
            </w:r>
            <w:r>
              <w:rPr>
                <w:rFonts w:hint="eastAsia" w:ascii="宋体" w:hAnsi="宋体" w:eastAsia="宋体" w:cs="宋体"/>
                <w:b w:val="0"/>
                <w:color w:val="auto"/>
                <w:sz w:val="21"/>
                <w:szCs w:val="21"/>
                <w:highlight w:val="none"/>
                <w:lang w:eastAsia="zh-CN"/>
              </w:rPr>
              <w:t>广州交易集团有限公司（广州公共资源交易中心）</w:t>
            </w:r>
            <w:r>
              <w:rPr>
                <w:rFonts w:hint="eastAsia" w:ascii="宋体" w:hAnsi="宋体" w:eastAsia="宋体" w:cs="宋体"/>
                <w:b w:val="0"/>
                <w:color w:val="auto"/>
                <w:sz w:val="21"/>
                <w:szCs w:val="21"/>
                <w:highlight w:val="none"/>
              </w:rPr>
              <w:t>数字交易平台网上递交电子投标文件的，不再读取提交的备用光盘或u盘。投标人也可不提交投标文件备用光盘或u盘。</w:t>
            </w:r>
          </w:p>
          <w:p w14:paraId="1E9C8389">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4、投标文件</w:t>
            </w:r>
            <w:r>
              <w:rPr>
                <w:rFonts w:hint="eastAsia" w:ascii="宋体" w:hAnsi="宋体" w:eastAsia="宋体" w:cs="宋体"/>
                <w:b w:val="0"/>
                <w:color w:val="auto"/>
                <w:sz w:val="21"/>
                <w:szCs w:val="21"/>
                <w:highlight w:val="none"/>
                <w:u w:val="single"/>
              </w:rPr>
              <w:t>（含定标文件）</w:t>
            </w:r>
            <w:r>
              <w:rPr>
                <w:rFonts w:hint="eastAsia" w:ascii="宋体" w:hAnsi="宋体" w:eastAsia="宋体" w:cs="宋体"/>
                <w:b w:val="0"/>
                <w:color w:val="auto"/>
                <w:sz w:val="21"/>
                <w:szCs w:val="21"/>
                <w:highlight w:val="none"/>
              </w:rPr>
              <w:t>的递交：</w:t>
            </w:r>
          </w:p>
          <w:p w14:paraId="4675B2A9">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①投标文件</w:t>
            </w:r>
            <w:r>
              <w:rPr>
                <w:rFonts w:hint="eastAsia" w:ascii="宋体" w:hAnsi="宋体" w:eastAsia="宋体" w:cs="宋体"/>
                <w:b w:val="0"/>
                <w:color w:val="auto"/>
                <w:sz w:val="21"/>
                <w:szCs w:val="21"/>
                <w:highlight w:val="none"/>
                <w:u w:val="single"/>
              </w:rPr>
              <w:t>（含定标文件）</w:t>
            </w:r>
            <w:r>
              <w:rPr>
                <w:rFonts w:hint="eastAsia" w:ascii="宋体" w:hAnsi="宋体" w:eastAsia="宋体" w:cs="宋体"/>
                <w:b w:val="0"/>
                <w:color w:val="auto"/>
                <w:sz w:val="21"/>
                <w:szCs w:val="21"/>
                <w:highlight w:val="none"/>
              </w:rPr>
              <w:t>递交的截止时间（投标截止时间，下同）为</w:t>
            </w:r>
            <w:r>
              <w:rPr>
                <w:rFonts w:hint="eastAsia" w:ascii="宋体" w:hAnsi="宋体" w:eastAsia="宋体" w:cs="宋体"/>
                <w:b w:val="0"/>
                <w:color w:val="auto"/>
                <w:sz w:val="21"/>
                <w:szCs w:val="21"/>
                <w:highlight w:val="none"/>
                <w:u w:val="single"/>
              </w:rPr>
              <w:t xml:space="preserve">     年  月  日  时  分</w:t>
            </w:r>
            <w:r>
              <w:rPr>
                <w:rFonts w:hint="eastAsia" w:ascii="宋体" w:hAnsi="宋体" w:eastAsia="宋体" w:cs="宋体"/>
                <w:b w:val="0"/>
                <w:color w:val="auto"/>
                <w:sz w:val="21"/>
                <w:szCs w:val="21"/>
                <w:highlight w:val="none"/>
              </w:rPr>
              <w:t>，投标人应在截止时间前通过电子招标投标交易平台递交电子投标文件。</w:t>
            </w:r>
          </w:p>
          <w:p w14:paraId="244E9DE9">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②提交投标文件</w:t>
            </w:r>
            <w:r>
              <w:rPr>
                <w:rFonts w:hint="eastAsia" w:ascii="宋体" w:hAnsi="宋体" w:eastAsia="宋体" w:cs="宋体"/>
                <w:b w:val="0"/>
                <w:color w:val="auto"/>
                <w:sz w:val="21"/>
                <w:szCs w:val="21"/>
                <w:highlight w:val="none"/>
                <w:u w:val="single"/>
              </w:rPr>
              <w:t>（含定标文件）</w:t>
            </w:r>
            <w:r>
              <w:rPr>
                <w:rFonts w:hint="eastAsia" w:ascii="宋体" w:hAnsi="宋体" w:eastAsia="宋体" w:cs="宋体"/>
                <w:b w:val="0"/>
                <w:color w:val="auto"/>
                <w:sz w:val="21"/>
                <w:szCs w:val="21"/>
                <w:highlight w:val="none"/>
              </w:rPr>
              <w:t>备用光盘或u盘。</w:t>
            </w:r>
          </w:p>
          <w:p w14:paraId="6E47C17B">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投标文件</w:t>
            </w:r>
            <w:r>
              <w:rPr>
                <w:rFonts w:hint="eastAsia" w:ascii="宋体" w:hAnsi="宋体" w:eastAsia="宋体" w:cs="宋体"/>
                <w:b w:val="0"/>
                <w:color w:val="auto"/>
                <w:sz w:val="21"/>
                <w:szCs w:val="21"/>
                <w:highlight w:val="none"/>
                <w:u w:val="single"/>
              </w:rPr>
              <w:t>（含定标文件）</w:t>
            </w:r>
            <w:r>
              <w:rPr>
                <w:rFonts w:hint="eastAsia" w:ascii="宋体" w:hAnsi="宋体" w:eastAsia="宋体" w:cs="宋体"/>
                <w:b w:val="0"/>
                <w:color w:val="auto"/>
                <w:sz w:val="21"/>
                <w:szCs w:val="21"/>
                <w:highlight w:val="none"/>
              </w:rPr>
              <w:t>光盘或u盘(备用)递交时间：</w:t>
            </w:r>
            <w:r>
              <w:rPr>
                <w:rFonts w:hint="eastAsia" w:ascii="宋体" w:hAnsi="宋体" w:eastAsia="宋体" w:cs="宋体"/>
                <w:b w:val="0"/>
                <w:color w:val="auto"/>
                <w:sz w:val="21"/>
                <w:szCs w:val="21"/>
                <w:highlight w:val="none"/>
                <w:u w:val="single"/>
              </w:rPr>
              <w:t xml:space="preserve">    年  月  日  时  分至    年  月  日  时  分</w:t>
            </w:r>
            <w:r>
              <w:rPr>
                <w:rFonts w:hint="eastAsia" w:ascii="宋体" w:hAnsi="宋体" w:eastAsia="宋体" w:cs="宋体"/>
                <w:b w:val="0"/>
                <w:color w:val="auto"/>
                <w:sz w:val="21"/>
                <w:szCs w:val="21"/>
                <w:highlight w:val="none"/>
              </w:rPr>
              <w:t>，地点：</w:t>
            </w:r>
            <w:r>
              <w:rPr>
                <w:rFonts w:hint="eastAsia" w:ascii="宋体" w:hAnsi="宋体" w:eastAsia="宋体" w:cs="宋体"/>
                <w:b w:val="0"/>
                <w:color w:val="auto"/>
                <w:sz w:val="21"/>
                <w:szCs w:val="21"/>
                <w:highlight w:val="none"/>
                <w:u w:val="single"/>
                <w:lang w:eastAsia="zh-CN"/>
              </w:rPr>
              <w:t>广州交易集团有限公司（广州公共资源交易中心）</w:t>
            </w:r>
            <w:r>
              <w:rPr>
                <w:rFonts w:hint="eastAsia" w:ascii="宋体" w:hAnsi="宋体" w:cs="宋体"/>
                <w:b w:val="0"/>
                <w:color w:val="auto"/>
                <w:sz w:val="21"/>
                <w:szCs w:val="21"/>
                <w:highlight w:val="none"/>
                <w:u w:val="single"/>
                <w:lang w:val="en-US" w:eastAsia="zh-CN"/>
              </w:rPr>
              <w:t>番禺交易部</w:t>
            </w:r>
            <w:r>
              <w:rPr>
                <w:rFonts w:hint="eastAsia" w:ascii="宋体" w:hAnsi="宋体" w:eastAsia="宋体" w:cs="宋体"/>
                <w:b w:val="0"/>
                <w:color w:val="auto"/>
                <w:sz w:val="21"/>
                <w:szCs w:val="21"/>
                <w:highlight w:val="none"/>
                <w:u w:val="single"/>
                <w:lang w:val="en-US" w:eastAsia="zh-CN"/>
              </w:rPr>
              <w:t>指定</w:t>
            </w:r>
            <w:r>
              <w:rPr>
                <w:rFonts w:hint="eastAsia" w:ascii="宋体" w:hAnsi="宋体" w:eastAsia="宋体" w:cs="宋体"/>
                <w:b w:val="0"/>
                <w:color w:val="auto"/>
                <w:sz w:val="21"/>
                <w:szCs w:val="21"/>
                <w:highlight w:val="none"/>
                <w:u w:val="single"/>
              </w:rPr>
              <w:t>开标室</w:t>
            </w:r>
            <w:r>
              <w:rPr>
                <w:rFonts w:hint="eastAsia" w:ascii="宋体" w:hAnsi="宋体" w:eastAsia="宋体" w:cs="宋体"/>
                <w:b w:val="0"/>
                <w:color w:val="auto"/>
                <w:sz w:val="21"/>
                <w:szCs w:val="21"/>
                <w:highlight w:val="none"/>
              </w:rPr>
              <w:t>。</w:t>
            </w:r>
          </w:p>
          <w:p w14:paraId="598C1558">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③投标人完成电子投标上传后，电子招标投标交易平台即时向投标人发出递交回执通知。递交时间以递交回执通知载明的传输时间为准。</w:t>
            </w:r>
          </w:p>
          <w:p w14:paraId="47B8EDA8">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④逾期送达的投标文件，电子招标投标交易平台将予以拒收。</w:t>
            </w:r>
          </w:p>
          <w:p w14:paraId="0D26C232">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⑤上述时间及地点是否有改变，请密切留意补充公告和招标答疑纪要的相关信息。</w:t>
            </w:r>
          </w:p>
          <w:p w14:paraId="1310E297">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5、投标文件加密要求：</w:t>
            </w:r>
          </w:p>
          <w:p w14:paraId="1EEF132E">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①网上递交的电子投标文件须进行加密。具体操作详见</w:t>
            </w:r>
            <w:r>
              <w:rPr>
                <w:rFonts w:hint="eastAsia" w:ascii="宋体" w:hAnsi="宋体" w:eastAsia="宋体" w:cs="宋体"/>
                <w:b w:val="0"/>
                <w:color w:val="auto"/>
                <w:sz w:val="21"/>
                <w:szCs w:val="21"/>
                <w:highlight w:val="none"/>
                <w:lang w:eastAsia="zh-CN"/>
              </w:rPr>
              <w:t>广州交易集团有限公司（广州公共资源交易中心）</w:t>
            </w:r>
            <w:r>
              <w:rPr>
                <w:rFonts w:hint="eastAsia" w:ascii="宋体" w:hAnsi="宋体" w:eastAsia="宋体" w:cs="宋体"/>
                <w:b w:val="0"/>
                <w:color w:val="auto"/>
                <w:sz w:val="21"/>
                <w:szCs w:val="21"/>
                <w:highlight w:val="none"/>
              </w:rPr>
              <w:t>数字交易平台相关操作指南。</w:t>
            </w:r>
          </w:p>
          <w:p w14:paraId="5F73454A">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②未按要求加密的投标文件，招标人将予以拒收。</w:t>
            </w:r>
          </w:p>
          <w:p w14:paraId="21BC2BCA">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6、投标文件解密失败的补救方案：</w:t>
            </w:r>
          </w:p>
          <w:p w14:paraId="1529781C">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在规定时间内，因投标人之外原因(指网络瘫痪、服务器损坏、交易系统故障短期无法恢复)导致的电子投标文件解密失败，在开标现场读取光盘或u盘内容，继续开标程序。若出现招标人无法正常解密或导入开标系统的情况，在开标现场读取已成功解密以及因投标人之外的原因导致电子投标文件解密失败的投标人递交的电子光盘或u盘内容。出现上述情况的，评标委员会对其投标文件的评审以光盘或u盘内容为准。因投标人之外原因解密失败且未递交电子光盘或u盘的，视为撤回投标文件。</w:t>
            </w:r>
          </w:p>
          <w:p w14:paraId="43B86A25">
            <w:pPr>
              <w:pStyle w:val="14"/>
              <w:snapToGrid w:val="0"/>
              <w:spacing w:before="0" w:beforeLines="0" w:after="0" w:afterLines="0" w:line="320" w:lineRule="exact"/>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除发生上述情况外，开标评标均以投标人通过</w:t>
            </w:r>
            <w:r>
              <w:rPr>
                <w:rFonts w:hint="eastAsia" w:ascii="宋体" w:hAnsi="宋体" w:eastAsia="宋体" w:cs="宋体"/>
                <w:b w:val="0"/>
                <w:color w:val="auto"/>
                <w:sz w:val="21"/>
                <w:szCs w:val="21"/>
                <w:highlight w:val="none"/>
                <w:lang w:eastAsia="zh-CN"/>
              </w:rPr>
              <w:t>广州交易集团有限公司（广州公共资源交易中心）</w:t>
            </w:r>
            <w:r>
              <w:rPr>
                <w:rFonts w:hint="eastAsia" w:ascii="宋体" w:hAnsi="宋体" w:eastAsia="宋体" w:cs="宋体"/>
                <w:b w:val="0"/>
                <w:color w:val="auto"/>
                <w:sz w:val="21"/>
                <w:szCs w:val="21"/>
                <w:highlight w:val="none"/>
              </w:rPr>
              <w:t>数字交易平台网上递交的电子投标文件为准。</w:t>
            </w:r>
          </w:p>
        </w:tc>
      </w:tr>
      <w:tr w14:paraId="534B6A05">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0F01173E">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w:t>
            </w:r>
          </w:p>
        </w:tc>
        <w:tc>
          <w:tcPr>
            <w:tcW w:w="1994" w:type="dxa"/>
            <w:tcBorders>
              <w:top w:val="single" w:color="auto" w:sz="4" w:space="0"/>
              <w:left w:val="single" w:color="auto" w:sz="4" w:space="0"/>
              <w:bottom w:val="single" w:color="auto" w:sz="4" w:space="0"/>
              <w:right w:val="single" w:color="auto" w:sz="4" w:space="0"/>
            </w:tcBorders>
            <w:vAlign w:val="center"/>
          </w:tcPr>
          <w:p w14:paraId="0D900D83">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投标人不得存在的情形</w:t>
            </w:r>
          </w:p>
        </w:tc>
        <w:tc>
          <w:tcPr>
            <w:tcW w:w="7019" w:type="dxa"/>
            <w:tcBorders>
              <w:top w:val="single" w:color="auto" w:sz="4" w:space="0"/>
              <w:left w:val="single" w:color="auto" w:sz="4" w:space="0"/>
              <w:bottom w:val="single" w:color="auto" w:sz="4" w:space="0"/>
              <w:right w:val="single" w:color="auto" w:sz="4" w:space="0"/>
            </w:tcBorders>
            <w:vAlign w:val="center"/>
          </w:tcPr>
          <w:p w14:paraId="0A7BD5C1">
            <w:pPr>
              <w:snapToGrid w:val="0"/>
              <w:spacing w:beforeLines="0" w:afterLines="0" w:line="3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删除“1.4.3 投标人不得存在下列情形之一”，投标人不得存在的情形以《投标人声明》第三点的规定为准。</w:t>
            </w:r>
          </w:p>
        </w:tc>
      </w:tr>
      <w:tr w14:paraId="6CBCA1B1">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5D65DB60">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10.2</w:t>
            </w:r>
          </w:p>
        </w:tc>
        <w:tc>
          <w:tcPr>
            <w:tcW w:w="1994" w:type="dxa"/>
            <w:tcBorders>
              <w:top w:val="single" w:color="auto" w:sz="4" w:space="0"/>
              <w:left w:val="single" w:color="auto" w:sz="4" w:space="0"/>
              <w:bottom w:val="single" w:color="auto" w:sz="4" w:space="0"/>
              <w:right w:val="single" w:color="auto" w:sz="4" w:space="0"/>
            </w:tcBorders>
            <w:vAlign w:val="center"/>
          </w:tcPr>
          <w:p w14:paraId="41971175">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招标失败的情形</w:t>
            </w:r>
          </w:p>
        </w:tc>
        <w:tc>
          <w:tcPr>
            <w:tcW w:w="7019" w:type="dxa"/>
            <w:tcBorders>
              <w:top w:val="single" w:color="auto" w:sz="4" w:space="0"/>
              <w:left w:val="single" w:color="auto" w:sz="4" w:space="0"/>
              <w:bottom w:val="single" w:color="auto" w:sz="4" w:space="0"/>
              <w:right w:val="single" w:color="auto" w:sz="4" w:space="0"/>
            </w:tcBorders>
            <w:vAlign w:val="center"/>
          </w:tcPr>
          <w:p w14:paraId="7201C412">
            <w:pPr>
              <w:adjustRightInd w:val="0"/>
              <w:snapToGrid w:val="0"/>
              <w:spacing w:beforeLines="0" w:afterLines="0" w:line="320" w:lineRule="exact"/>
              <w:rPr>
                <w:rFonts w:hint="eastAsia" w:ascii="宋体" w:hAnsi="宋体" w:eastAsia="宋体" w:cs="宋体"/>
                <w:color w:val="auto"/>
                <w:sz w:val="21"/>
                <w:szCs w:val="21"/>
                <w:highlight w:val="none"/>
              </w:rPr>
            </w:pPr>
            <w:r>
              <w:rPr>
                <w:rFonts w:hint="eastAsia" w:cs="宋体" w:asciiTheme="minorEastAsia" w:hAnsiTheme="minorEastAsia" w:eastAsiaTheme="minorEastAsia"/>
                <w:color w:val="auto"/>
                <w:szCs w:val="21"/>
                <w:highlight w:val="none"/>
              </w:rPr>
              <w:t>若递交投标文件或</w:t>
            </w:r>
            <w:r>
              <w:rPr>
                <w:rFonts w:hint="eastAsia" w:ascii="宋体" w:hAnsi="宋体" w:eastAsia="宋体" w:cs="宋体"/>
                <w:color w:val="auto"/>
                <w:szCs w:val="21"/>
                <w:highlight w:val="none"/>
              </w:rPr>
              <w:t>满足资格审查合格条件或通过初步评审的投标申请人不足3名时为招标失败。招标人分析招标失败原因，修正招标方案，报有关管理部门核准后，重新组织招标。</w:t>
            </w:r>
          </w:p>
        </w:tc>
      </w:tr>
      <w:tr w14:paraId="55296C59">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48FD9714">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994" w:type="dxa"/>
            <w:tcBorders>
              <w:top w:val="single" w:color="auto" w:sz="4" w:space="0"/>
              <w:left w:val="single" w:color="auto" w:sz="4" w:space="0"/>
              <w:bottom w:val="single" w:color="auto" w:sz="4" w:space="0"/>
              <w:right w:val="single" w:color="auto" w:sz="4" w:space="0"/>
            </w:tcBorders>
            <w:vAlign w:val="center"/>
          </w:tcPr>
          <w:p w14:paraId="06FFDE6A">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施工实名制</w:t>
            </w:r>
          </w:p>
        </w:tc>
        <w:tc>
          <w:tcPr>
            <w:tcW w:w="7019" w:type="dxa"/>
            <w:tcBorders>
              <w:top w:val="single" w:color="auto" w:sz="4" w:space="0"/>
              <w:left w:val="single" w:color="auto" w:sz="4" w:space="0"/>
              <w:bottom w:val="single" w:color="auto" w:sz="4" w:space="0"/>
              <w:right w:val="single" w:color="auto" w:sz="4" w:space="0"/>
            </w:tcBorders>
            <w:vAlign w:val="center"/>
          </w:tcPr>
          <w:p w14:paraId="276B67B5">
            <w:pPr>
              <w:snapToGrid w:val="0"/>
              <w:spacing w:beforeLines="0" w:afterLines="0"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按相关部门最新文件执行。</w:t>
            </w:r>
          </w:p>
        </w:tc>
      </w:tr>
      <w:tr w14:paraId="1A3C7DDE">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50ED1B98">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994" w:type="dxa"/>
            <w:tcBorders>
              <w:top w:val="single" w:color="auto" w:sz="4" w:space="0"/>
              <w:left w:val="single" w:color="auto" w:sz="4" w:space="0"/>
              <w:bottom w:val="single" w:color="auto" w:sz="4" w:space="0"/>
              <w:right w:val="single" w:color="auto" w:sz="4" w:space="0"/>
            </w:tcBorders>
            <w:vAlign w:val="center"/>
          </w:tcPr>
          <w:p w14:paraId="38CEE2E4">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工人工资分账管理</w:t>
            </w:r>
          </w:p>
        </w:tc>
        <w:tc>
          <w:tcPr>
            <w:tcW w:w="7019" w:type="dxa"/>
            <w:tcBorders>
              <w:top w:val="single" w:color="auto" w:sz="4" w:space="0"/>
              <w:left w:val="single" w:color="auto" w:sz="4" w:space="0"/>
              <w:bottom w:val="single" w:color="auto" w:sz="4" w:space="0"/>
              <w:right w:val="single" w:color="auto" w:sz="4" w:space="0"/>
            </w:tcBorders>
            <w:vAlign w:val="center"/>
          </w:tcPr>
          <w:p w14:paraId="38F0E1BF">
            <w:pPr>
              <w:snapToGrid w:val="0"/>
              <w:spacing w:beforeLines="0" w:afterLines="0"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按相关部门最新文件执行。</w:t>
            </w:r>
          </w:p>
        </w:tc>
      </w:tr>
      <w:tr w14:paraId="5C8F674C">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2BF6D93F">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994" w:type="dxa"/>
            <w:tcBorders>
              <w:top w:val="single" w:color="auto" w:sz="4" w:space="0"/>
              <w:left w:val="single" w:color="auto" w:sz="4" w:space="0"/>
              <w:bottom w:val="single" w:color="auto" w:sz="4" w:space="0"/>
              <w:right w:val="single" w:color="auto" w:sz="4" w:space="0"/>
            </w:tcBorders>
            <w:vAlign w:val="center"/>
          </w:tcPr>
          <w:p w14:paraId="04AEFB00">
            <w:pPr>
              <w:snapToGrid w:val="0"/>
              <w:spacing w:beforeLines="0" w:afterLines="0" w:line="320" w:lineRule="exact"/>
              <w:jc w:val="center"/>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中标人提交纸质投标文件要求</w:t>
            </w:r>
          </w:p>
        </w:tc>
        <w:tc>
          <w:tcPr>
            <w:tcW w:w="7019" w:type="dxa"/>
            <w:tcBorders>
              <w:top w:val="single" w:color="auto" w:sz="4" w:space="0"/>
              <w:left w:val="single" w:color="auto" w:sz="4" w:space="0"/>
              <w:bottom w:val="single" w:color="auto" w:sz="4" w:space="0"/>
              <w:right w:val="single" w:color="auto" w:sz="4" w:space="0"/>
            </w:tcBorders>
            <w:vAlign w:val="center"/>
          </w:tcPr>
          <w:p w14:paraId="54C2FF0E">
            <w:pPr>
              <w:snapToGrid w:val="0"/>
              <w:spacing w:beforeLines="0" w:afterLines="0" w:line="32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不需要</w:t>
            </w:r>
            <w:r>
              <w:rPr>
                <w:rFonts w:hint="eastAsia" w:ascii="宋体" w:hAnsi="宋体" w:eastAsia="宋体" w:cs="宋体"/>
                <w:color w:val="auto"/>
                <w:szCs w:val="21"/>
                <w:highlight w:val="none"/>
              </w:rPr>
              <w:t>。</w:t>
            </w:r>
          </w:p>
        </w:tc>
      </w:tr>
      <w:tr w14:paraId="0845A4D8">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409C2968">
            <w:pPr>
              <w:snapToGrid w:val="0"/>
              <w:spacing w:beforeLines="0" w:afterLines="0" w:line="320" w:lineRule="exact"/>
              <w:jc w:val="center"/>
              <w:rPr>
                <w:rFonts w:hint="eastAsia" w:ascii="宋体" w:hAnsi="宋体" w:eastAsia="宋体" w:cs="宋体"/>
                <w:color w:val="auto"/>
                <w:szCs w:val="21"/>
                <w:highlight w:val="none"/>
                <w:lang w:val="en-US" w:eastAsia="zh-CN"/>
              </w:rPr>
            </w:pPr>
            <w:bookmarkStart w:id="15" w:name="_Toc14359"/>
            <w:bookmarkStart w:id="16" w:name="_Toc1831"/>
            <w:bookmarkStart w:id="17" w:name="_Toc152042305"/>
            <w:bookmarkStart w:id="18" w:name="_Toc17566"/>
            <w:bookmarkStart w:id="19" w:name="_Toc8989"/>
            <w:bookmarkStart w:id="20" w:name="_Toc1156"/>
            <w:bookmarkStart w:id="21" w:name="_Toc247513952"/>
            <w:bookmarkStart w:id="22" w:name="_Toc2958"/>
            <w:bookmarkStart w:id="23" w:name="_Toc485211038"/>
            <w:bookmarkStart w:id="24" w:name="_Toc247527553"/>
            <w:bookmarkStart w:id="25" w:name="_Toc152045529"/>
            <w:bookmarkStart w:id="26" w:name="_Toc16820"/>
            <w:bookmarkStart w:id="27" w:name="_Toc144974497"/>
            <w:r>
              <w:rPr>
                <w:rFonts w:hint="eastAsia" w:ascii="宋体" w:hAnsi="宋体" w:eastAsia="宋体" w:cs="宋体"/>
                <w:color w:val="auto"/>
                <w:szCs w:val="21"/>
                <w:highlight w:val="none"/>
                <w:lang w:val="en-US" w:eastAsia="zh-CN"/>
              </w:rPr>
              <w:t>14</w:t>
            </w:r>
          </w:p>
        </w:tc>
        <w:tc>
          <w:tcPr>
            <w:tcW w:w="1994" w:type="dxa"/>
            <w:tcBorders>
              <w:top w:val="single" w:color="auto" w:sz="4" w:space="0"/>
              <w:left w:val="single" w:color="auto" w:sz="4" w:space="0"/>
              <w:bottom w:val="single" w:color="auto" w:sz="4" w:space="0"/>
              <w:right w:val="single" w:color="auto" w:sz="4" w:space="0"/>
            </w:tcBorders>
            <w:vAlign w:val="center"/>
          </w:tcPr>
          <w:p w14:paraId="75501C27">
            <w:pPr>
              <w:snapToGrid w:val="0"/>
              <w:spacing w:beforeLines="0" w:afterLines="0" w:line="320" w:lineRule="exact"/>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否决投标条款</w:t>
            </w:r>
          </w:p>
        </w:tc>
        <w:tc>
          <w:tcPr>
            <w:tcW w:w="7019" w:type="dxa"/>
            <w:tcBorders>
              <w:top w:val="single" w:color="auto" w:sz="4" w:space="0"/>
              <w:left w:val="single" w:color="auto" w:sz="4" w:space="0"/>
              <w:bottom w:val="single" w:color="auto" w:sz="4" w:space="0"/>
              <w:right w:val="single" w:color="auto" w:sz="4" w:space="0"/>
            </w:tcBorders>
            <w:vAlign w:val="center"/>
          </w:tcPr>
          <w:p w14:paraId="414E9399">
            <w:pPr>
              <w:widowControl/>
              <w:snapToGrid w:val="0"/>
              <w:spacing w:before="0" w:beforeLines="0" w:after="0" w:afterLines="0"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否决投标条款：</w:t>
            </w:r>
          </w:p>
          <w:p w14:paraId="1A6B3D03">
            <w:pPr>
              <w:widowControl/>
              <w:snapToGrid w:val="0"/>
              <w:spacing w:before="0" w:beforeLines="0" w:after="0" w:afterLines="0" w:line="3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1、投标人未按招标文件要求提供附件或未按要求加盖电子印章及签名的，经评标委员会认定后，其投标文件将被否决。</w:t>
            </w:r>
          </w:p>
          <w:p w14:paraId="60C2E06F">
            <w:pPr>
              <w:snapToGrid w:val="0"/>
              <w:spacing w:beforeLines="0" w:afterLines="0" w:line="320" w:lineRule="exact"/>
              <w:jc w:val="left"/>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rPr>
              <w:t>2、投标文件符合列于《评标</w:t>
            </w:r>
            <w:r>
              <w:rPr>
                <w:rFonts w:hint="eastAsia" w:ascii="宋体" w:hAnsi="宋体" w:eastAsia="宋体" w:cs="宋体"/>
                <w:color w:val="auto"/>
                <w:szCs w:val="21"/>
                <w:highlight w:val="none"/>
                <w:lang w:val="en-US" w:eastAsia="zh-CN"/>
              </w:rPr>
              <w:t>和定标</w:t>
            </w:r>
            <w:r>
              <w:rPr>
                <w:rFonts w:hint="eastAsia" w:ascii="宋体" w:hAnsi="宋体" w:eastAsia="宋体" w:cs="宋体"/>
                <w:color w:val="auto"/>
                <w:szCs w:val="21"/>
                <w:highlight w:val="none"/>
              </w:rPr>
              <w:t>办法前附表》“形式评审标准”“</w:t>
            </w:r>
            <w:r>
              <w:rPr>
                <w:rFonts w:hint="eastAsia" w:ascii="宋体" w:hAnsi="宋体" w:eastAsia="宋体" w:cs="宋体"/>
                <w:color w:val="auto"/>
                <w:szCs w:val="21"/>
                <w:highlight w:val="none"/>
                <w:lang w:eastAsia="zh-CN"/>
              </w:rPr>
              <w:t>资格审查</w:t>
            </w:r>
            <w:r>
              <w:rPr>
                <w:rFonts w:hint="eastAsia" w:ascii="宋体" w:hAnsi="宋体" w:eastAsia="宋体" w:cs="宋体"/>
                <w:color w:val="auto"/>
                <w:szCs w:val="21"/>
                <w:highlight w:val="none"/>
              </w:rPr>
              <w:t>标准”“工程总承包实施方案响应性评审标准”中所有情形的，为有效投标文件。任一情形不符合均为无效投标文件，经评标委员会认定后，其投标文件将被否决。</w:t>
            </w:r>
          </w:p>
        </w:tc>
      </w:tr>
      <w:tr w14:paraId="19E4C817">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0D63A625">
            <w:pPr>
              <w:snapToGrid w:val="0"/>
              <w:spacing w:beforeLines="0" w:afterLines="0" w:line="3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15</w:t>
            </w:r>
          </w:p>
        </w:tc>
        <w:tc>
          <w:tcPr>
            <w:tcW w:w="1994" w:type="dxa"/>
            <w:tcBorders>
              <w:top w:val="single" w:color="auto" w:sz="4" w:space="0"/>
              <w:left w:val="single" w:color="auto" w:sz="4" w:space="0"/>
              <w:bottom w:val="single" w:color="auto" w:sz="4" w:space="0"/>
              <w:right w:val="single" w:color="auto" w:sz="4" w:space="0"/>
            </w:tcBorders>
            <w:vAlign w:val="center"/>
          </w:tcPr>
          <w:p w14:paraId="7B90AE87">
            <w:pPr>
              <w:snapToGrid w:val="0"/>
              <w:spacing w:beforeLines="0" w:afterLines="0" w:line="320" w:lineRule="exact"/>
              <w:jc w:val="center"/>
              <w:rPr>
                <w:rFonts w:hint="eastAsia" w:ascii="宋体" w:hAnsi="宋体" w:eastAsia="宋体" w:cs="宋体"/>
                <w:color w:val="auto"/>
                <w:szCs w:val="21"/>
                <w:highlight w:val="none"/>
              </w:rPr>
            </w:pPr>
          </w:p>
        </w:tc>
        <w:tc>
          <w:tcPr>
            <w:tcW w:w="7019" w:type="dxa"/>
            <w:tcBorders>
              <w:top w:val="single" w:color="auto" w:sz="4" w:space="0"/>
              <w:left w:val="single" w:color="auto" w:sz="4" w:space="0"/>
              <w:bottom w:val="single" w:color="auto" w:sz="4" w:space="0"/>
              <w:right w:val="single" w:color="auto" w:sz="4" w:space="0"/>
            </w:tcBorders>
            <w:shd w:val="clear" w:color="auto" w:fill="auto"/>
            <w:vAlign w:val="center"/>
          </w:tcPr>
          <w:p w14:paraId="3AD1672C">
            <w:pPr>
              <w:pStyle w:val="15"/>
              <w:tabs>
                <w:tab w:val="left" w:pos="7380"/>
              </w:tabs>
              <w:snapToGrid w:val="0"/>
              <w:spacing w:beforeLines="0" w:after="0" w:afterLines="0" w:line="320" w:lineRule="exact"/>
              <w:ind w:left="0" w:leftChars="0" w:firstLine="0" w:firstLineChars="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内容：招标人对中标人参与“百千万工程”的具体要求</w:t>
            </w:r>
          </w:p>
          <w:p w14:paraId="135B1750">
            <w:pPr>
              <w:pStyle w:val="15"/>
              <w:tabs>
                <w:tab w:val="left" w:pos="7380"/>
              </w:tabs>
              <w:snapToGrid w:val="0"/>
              <w:spacing w:beforeLines="0" w:after="0" w:afterLines="0" w:line="320" w:lineRule="exact"/>
              <w:ind w:left="0" w:leftChars="0" w:firstLine="0" w:firstLineChars="0"/>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说明与要求：</w:t>
            </w:r>
          </w:p>
          <w:p w14:paraId="35EF8689">
            <w:pPr>
              <w:snapToGrid w:val="0"/>
              <w:spacing w:beforeLines="0" w:afterLines="0" w:line="320" w:lineRule="exact"/>
              <w:rPr>
                <w:rFonts w:hint="eastAsia" w:ascii="宋体" w:hAnsi="宋体" w:eastAsia="宋体" w:cs="宋体"/>
                <w:b/>
                <w:bCs/>
                <w:color w:val="auto"/>
                <w:kern w:val="0"/>
                <w:sz w:val="21"/>
                <w:szCs w:val="21"/>
                <w:highlight w:val="none"/>
                <w:lang w:val="zh-CN"/>
              </w:rPr>
            </w:pPr>
            <w:r>
              <w:rPr>
                <w:rFonts w:hint="eastAsia" w:ascii="宋体" w:hAnsi="宋体" w:eastAsia="宋体" w:cs="宋体"/>
                <w:b/>
                <w:bCs/>
                <w:color w:val="auto"/>
                <w:kern w:val="0"/>
                <w:sz w:val="21"/>
                <w:szCs w:val="21"/>
                <w:highlight w:val="none"/>
                <w:lang w:val="zh-CN"/>
              </w:rPr>
              <w:t>☑具体要求在中标后按照投标承诺和招标人的要求执行。</w:t>
            </w:r>
          </w:p>
          <w:p w14:paraId="709CAA71">
            <w:pPr>
              <w:pStyle w:val="15"/>
              <w:tabs>
                <w:tab w:val="left" w:pos="7380"/>
              </w:tabs>
              <w:snapToGrid w:val="0"/>
              <w:spacing w:beforeLines="0" w:after="0" w:afterLines="0" w:line="320" w:lineRule="exact"/>
              <w:ind w:left="0" w:leftChars="0" w:firstLine="0" w:firstLineChars="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zh-CN"/>
              </w:rPr>
              <w:t>□具体要求：（由招标人填写）</w:t>
            </w:r>
          </w:p>
        </w:tc>
      </w:tr>
      <w:tr w14:paraId="472A8528">
        <w:tblPrEx>
          <w:tblCellMar>
            <w:top w:w="0" w:type="dxa"/>
            <w:left w:w="108" w:type="dxa"/>
            <w:bottom w:w="0" w:type="dxa"/>
            <w:right w:w="108" w:type="dxa"/>
          </w:tblCellMar>
        </w:tblPrEx>
        <w:trPr>
          <w:trHeight w:val="567" w:hRule="atLeast"/>
          <w:jc w:val="center"/>
        </w:trPr>
        <w:tc>
          <w:tcPr>
            <w:tcW w:w="946" w:type="dxa"/>
            <w:tcBorders>
              <w:top w:val="single" w:color="auto" w:sz="4" w:space="0"/>
              <w:left w:val="single" w:color="auto" w:sz="4" w:space="0"/>
              <w:bottom w:val="single" w:color="auto" w:sz="4" w:space="0"/>
              <w:right w:val="single" w:color="auto" w:sz="4" w:space="0"/>
            </w:tcBorders>
            <w:vAlign w:val="center"/>
          </w:tcPr>
          <w:p w14:paraId="741FAED1">
            <w:pPr>
              <w:snapToGrid w:val="0"/>
              <w:spacing w:beforeLines="0" w:afterLines="0" w:line="32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16</w:t>
            </w:r>
          </w:p>
        </w:tc>
        <w:tc>
          <w:tcPr>
            <w:tcW w:w="1994" w:type="dxa"/>
            <w:tcBorders>
              <w:top w:val="single" w:color="auto" w:sz="4" w:space="0"/>
              <w:left w:val="single" w:color="auto" w:sz="4" w:space="0"/>
              <w:bottom w:val="single" w:color="auto" w:sz="4" w:space="0"/>
              <w:right w:val="single" w:color="auto" w:sz="4" w:space="0"/>
            </w:tcBorders>
            <w:shd w:val="clear" w:color="auto" w:fill="auto"/>
            <w:vAlign w:val="center"/>
          </w:tcPr>
          <w:p w14:paraId="3BEAA937">
            <w:pPr>
              <w:keepNext w:val="0"/>
              <w:keepLines w:val="0"/>
              <w:pageBreakBefore w:val="0"/>
              <w:suppressLineNumbers w:val="0"/>
              <w:kinsoku/>
              <w:wordWrap/>
              <w:overflowPunct/>
              <w:topLinePunct w:val="0"/>
              <w:autoSpaceDE/>
              <w:autoSpaceDN/>
              <w:bidi w:val="0"/>
              <w:adjustRightInd/>
              <w:snapToGrid w:val="0"/>
              <w:spacing w:before="0" w:beforeLines="0" w:beforeAutospacing="0" w:after="0" w:afterLines="0" w:afterAutospacing="0" w:line="32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zh-CN" w:eastAsia="zh-CN"/>
              </w:rPr>
              <w:t>在线签订合同</w:t>
            </w:r>
          </w:p>
        </w:tc>
        <w:tc>
          <w:tcPr>
            <w:tcW w:w="7019" w:type="dxa"/>
            <w:tcBorders>
              <w:top w:val="single" w:color="auto" w:sz="4" w:space="0"/>
              <w:left w:val="single" w:color="auto" w:sz="4" w:space="0"/>
              <w:bottom w:val="single" w:color="auto" w:sz="4" w:space="0"/>
              <w:right w:val="single" w:color="auto" w:sz="4" w:space="0"/>
            </w:tcBorders>
            <w:shd w:val="clear" w:color="auto" w:fill="auto"/>
            <w:vAlign w:val="center"/>
          </w:tcPr>
          <w:p w14:paraId="2D835DCD">
            <w:pPr>
              <w:keepNext w:val="0"/>
              <w:keepLines w:val="0"/>
              <w:pageBreakBefore w:val="0"/>
              <w:suppressLineNumbers w:val="0"/>
              <w:kinsoku/>
              <w:wordWrap/>
              <w:overflowPunct/>
              <w:topLinePunct w:val="0"/>
              <w:autoSpaceDE/>
              <w:autoSpaceDN/>
              <w:bidi w:val="0"/>
              <w:adjustRightInd/>
              <w:snapToGrid w:val="0"/>
              <w:spacing w:before="0" w:beforeLines="0" w:beforeAutospacing="0" w:after="0" w:afterLines="0" w:afterAutospacing="0" w:line="320" w:lineRule="exact"/>
              <w:ind w:left="0" w:leftChars="0" w:right="0" w:rightChars="0" w:firstLine="0" w:firstLineChars="0"/>
              <w:jc w:val="left"/>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rPr>
              <w:t>根据《广州市住房和城乡建设局关于进一步推动房屋建筑工程项目合同在线签订的通知》（穗建筑〔2023〕699号）的要求，招标人和中标人应当自中标通知书发出之日起三十日内通过电子招标投标交易平台在线签订合同。</w:t>
            </w:r>
          </w:p>
        </w:tc>
      </w:tr>
    </w:tbl>
    <w:p w14:paraId="04A39755">
      <w:pPr>
        <w:spacing w:line="360" w:lineRule="auto"/>
        <w:rPr>
          <w:rFonts w:hint="eastAsia" w:ascii="宋体" w:hAnsi="宋体" w:cs="宋体"/>
          <w:color w:val="auto"/>
          <w:highlight w:val="none"/>
        </w:rPr>
      </w:pPr>
    </w:p>
    <w:p w14:paraId="69271742">
      <w:pPr>
        <w:keepNext/>
        <w:keepLines/>
        <w:spacing w:line="360" w:lineRule="auto"/>
        <w:outlineLvl w:val="1"/>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bookmarkStart w:id="28" w:name="_Toc3625"/>
      <w:bookmarkStart w:id="29" w:name="_Toc25841"/>
      <w:bookmarkStart w:id="30" w:name="_Toc13397"/>
      <w:r>
        <w:rPr>
          <w:rFonts w:hint="eastAsia" w:ascii="宋体" w:hAnsi="宋体" w:cs="宋体"/>
          <w:b/>
          <w:bCs/>
          <w:color w:val="auto"/>
          <w:sz w:val="28"/>
          <w:szCs w:val="28"/>
          <w:highlight w:val="none"/>
        </w:rPr>
        <w:t>1. 总则</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1EB4D661">
      <w:pPr>
        <w:keepNext/>
        <w:keepLines/>
        <w:spacing w:line="360" w:lineRule="auto"/>
        <w:outlineLvl w:val="2"/>
        <w:rPr>
          <w:rFonts w:hint="eastAsia" w:ascii="宋体" w:hAnsi="宋体" w:cs="宋体"/>
          <w:bCs/>
          <w:color w:val="auto"/>
          <w:sz w:val="24"/>
          <w:szCs w:val="24"/>
          <w:highlight w:val="none"/>
        </w:rPr>
      </w:pPr>
      <w:bookmarkStart w:id="31" w:name="_Toc152042306"/>
      <w:bookmarkStart w:id="32" w:name="_Toc144974498"/>
      <w:bookmarkStart w:id="33" w:name="_Toc247513953"/>
      <w:bookmarkStart w:id="34" w:name="_Toc9922"/>
      <w:bookmarkStart w:id="35" w:name="_Toc27304"/>
      <w:bookmarkStart w:id="36" w:name="_Toc485211039"/>
      <w:bookmarkStart w:id="37" w:name="_Toc152045530"/>
      <w:bookmarkStart w:id="38" w:name="_Toc17811"/>
      <w:bookmarkStart w:id="39" w:name="_Toc590"/>
      <w:bookmarkStart w:id="40" w:name="_Toc1880"/>
      <w:bookmarkStart w:id="41" w:name="_Toc30357"/>
      <w:bookmarkStart w:id="42" w:name="_Toc7922"/>
      <w:bookmarkStart w:id="43" w:name="_Toc247527554"/>
      <w:bookmarkStart w:id="44" w:name="_Toc8691"/>
      <w:bookmarkStart w:id="45" w:name="_Toc1934"/>
      <w:bookmarkStart w:id="46" w:name="_Toc16373"/>
      <w:r>
        <w:rPr>
          <w:rFonts w:hint="eastAsia" w:ascii="宋体" w:hAnsi="宋体" w:cs="宋体"/>
          <w:bCs/>
          <w:color w:val="auto"/>
          <w:sz w:val="24"/>
          <w:szCs w:val="24"/>
          <w:highlight w:val="none"/>
        </w:rPr>
        <w:t>1.1 项目概况</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7058F4C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1.1.1根据《中华人民共和国招标投标法》等有关法律、法规和规章的规定，本招标项目已具备招标条件，现对该项目</w:t>
      </w:r>
      <w:r>
        <w:rPr>
          <w:rFonts w:hint="eastAsia" w:ascii="宋体" w:hAnsi="宋体" w:cs="宋体"/>
          <w:color w:val="auto"/>
          <w:sz w:val="24"/>
          <w:szCs w:val="24"/>
          <w:highlight w:val="none"/>
          <w:u w:val="single"/>
        </w:rPr>
        <w:t>设计施工总承包</w:t>
      </w:r>
      <w:r>
        <w:rPr>
          <w:rFonts w:hint="eastAsia" w:ascii="宋体" w:hAnsi="宋体" w:cs="宋体"/>
          <w:color w:val="auto"/>
          <w:sz w:val="24"/>
          <w:szCs w:val="24"/>
          <w:highlight w:val="none"/>
        </w:rPr>
        <w:t>进行招标。</w:t>
      </w:r>
    </w:p>
    <w:p w14:paraId="546D516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 招标人：见《投标人须知前附表》。</w:t>
      </w:r>
    </w:p>
    <w:p w14:paraId="5C16433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 招标代理机构：见《投标人须知前附表》。</w:t>
      </w:r>
    </w:p>
    <w:p w14:paraId="15F3468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1.1.4 招标项目名称：见《投标人须知前附表》。</w:t>
      </w:r>
    </w:p>
    <w:p w14:paraId="76F9F2B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1.1.5 项目建设地点：见《投标人须知前附表》。</w:t>
      </w:r>
    </w:p>
    <w:p w14:paraId="34C0D7D4">
      <w:pPr>
        <w:keepNext/>
        <w:keepLines/>
        <w:spacing w:line="360" w:lineRule="auto"/>
        <w:outlineLvl w:val="2"/>
        <w:rPr>
          <w:rFonts w:hint="eastAsia" w:ascii="宋体" w:hAnsi="宋体" w:cs="宋体"/>
          <w:bCs/>
          <w:color w:val="auto"/>
          <w:sz w:val="24"/>
          <w:szCs w:val="24"/>
          <w:highlight w:val="none"/>
        </w:rPr>
      </w:pPr>
      <w:bookmarkStart w:id="47" w:name="_Toc8082"/>
      <w:bookmarkStart w:id="48" w:name="_Toc144974499"/>
      <w:bookmarkStart w:id="49" w:name="_Toc485211040"/>
      <w:bookmarkStart w:id="50" w:name="_Toc15282"/>
      <w:bookmarkStart w:id="51" w:name="_Toc6642"/>
      <w:bookmarkStart w:id="52" w:name="_Toc10532"/>
      <w:bookmarkStart w:id="53" w:name="_Toc2254"/>
      <w:bookmarkStart w:id="54" w:name="_Toc152042307"/>
      <w:bookmarkStart w:id="55" w:name="_Toc15150"/>
      <w:bookmarkStart w:id="56" w:name="_Toc152045531"/>
      <w:bookmarkStart w:id="57" w:name="_Toc247513954"/>
      <w:bookmarkStart w:id="58" w:name="_Toc15709"/>
      <w:bookmarkStart w:id="59" w:name="_Toc11827"/>
      <w:bookmarkStart w:id="60" w:name="_Toc30105"/>
      <w:bookmarkStart w:id="61" w:name="_Toc247527555"/>
      <w:bookmarkStart w:id="62" w:name="_Toc18211"/>
      <w:r>
        <w:rPr>
          <w:rFonts w:hint="eastAsia" w:ascii="宋体" w:hAnsi="宋体" w:cs="宋体"/>
          <w:bCs/>
          <w:color w:val="auto"/>
          <w:sz w:val="24"/>
          <w:szCs w:val="24"/>
          <w:highlight w:val="none"/>
        </w:rPr>
        <w:t>1.2 项目的资金来源和落实情况</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662C1F6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1.2.1 资金来源及比例：见《投标人须知前附表》。</w:t>
      </w:r>
    </w:p>
    <w:p w14:paraId="14281C6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1.2.2 资金落实情况：见《投标人须知前附表》。</w:t>
      </w:r>
    </w:p>
    <w:p w14:paraId="713615D7">
      <w:pPr>
        <w:keepNext/>
        <w:keepLines/>
        <w:spacing w:line="360" w:lineRule="auto"/>
        <w:outlineLvl w:val="2"/>
        <w:rPr>
          <w:rFonts w:hint="eastAsia" w:ascii="宋体" w:hAnsi="宋体" w:cs="宋体"/>
          <w:bCs/>
          <w:color w:val="auto"/>
          <w:sz w:val="24"/>
          <w:szCs w:val="24"/>
          <w:highlight w:val="none"/>
        </w:rPr>
      </w:pPr>
      <w:bookmarkStart w:id="63" w:name="_Toc152042308"/>
      <w:bookmarkStart w:id="64" w:name="_Toc247513955"/>
      <w:bookmarkStart w:id="65" w:name="_Toc247527556"/>
      <w:bookmarkStart w:id="66" w:name="_Toc152045532"/>
      <w:bookmarkStart w:id="67" w:name="_Toc144974500"/>
      <w:bookmarkStart w:id="68" w:name="_Toc32288"/>
      <w:bookmarkStart w:id="69" w:name="_Toc2671"/>
      <w:bookmarkStart w:id="70" w:name="_Toc60"/>
      <w:bookmarkStart w:id="71" w:name="_Toc7244"/>
      <w:bookmarkStart w:id="72" w:name="_Toc19728"/>
      <w:bookmarkStart w:id="73" w:name="_Toc21761"/>
      <w:bookmarkStart w:id="74" w:name="_Toc15932"/>
      <w:bookmarkStart w:id="75" w:name="_Toc248"/>
      <w:bookmarkStart w:id="76" w:name="_Toc18073"/>
      <w:bookmarkStart w:id="77" w:name="_Toc485211041"/>
      <w:bookmarkStart w:id="78" w:name="_Toc6068"/>
      <w:r>
        <w:rPr>
          <w:rFonts w:hint="eastAsia" w:ascii="宋体" w:hAnsi="宋体" w:cs="宋体"/>
          <w:bCs/>
          <w:color w:val="auto"/>
          <w:sz w:val="24"/>
          <w:szCs w:val="24"/>
          <w:highlight w:val="none"/>
        </w:rPr>
        <w:t>1.3 招标范围、计划工期和</w:t>
      </w:r>
      <w:bookmarkEnd w:id="63"/>
      <w:bookmarkEnd w:id="64"/>
      <w:bookmarkEnd w:id="65"/>
      <w:bookmarkEnd w:id="66"/>
      <w:bookmarkEnd w:id="67"/>
      <w:r>
        <w:rPr>
          <w:rFonts w:hint="eastAsia" w:ascii="宋体" w:hAnsi="宋体" w:cs="宋体"/>
          <w:bCs/>
          <w:color w:val="auto"/>
          <w:sz w:val="24"/>
          <w:szCs w:val="24"/>
          <w:highlight w:val="none"/>
        </w:rPr>
        <w:t>质量标准</w:t>
      </w:r>
      <w:bookmarkEnd w:id="68"/>
      <w:bookmarkEnd w:id="69"/>
      <w:bookmarkEnd w:id="70"/>
      <w:bookmarkEnd w:id="71"/>
      <w:bookmarkEnd w:id="72"/>
      <w:bookmarkEnd w:id="73"/>
      <w:bookmarkEnd w:id="74"/>
      <w:bookmarkEnd w:id="75"/>
      <w:bookmarkEnd w:id="76"/>
      <w:bookmarkEnd w:id="77"/>
      <w:bookmarkEnd w:id="78"/>
    </w:p>
    <w:p w14:paraId="4868467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 招标范围：见《投标人须知前附表》。</w:t>
      </w:r>
    </w:p>
    <w:p w14:paraId="39FE8DD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1.3.2 计划工期：见《投标人须知前附表》。</w:t>
      </w:r>
    </w:p>
    <w:p w14:paraId="03CABE6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1.3.3 质量标准：见《投标人须知前附表》。</w:t>
      </w:r>
    </w:p>
    <w:p w14:paraId="2B968B01">
      <w:pPr>
        <w:keepNext/>
        <w:keepLines/>
        <w:spacing w:line="360" w:lineRule="auto"/>
        <w:outlineLvl w:val="2"/>
        <w:rPr>
          <w:rFonts w:hint="eastAsia" w:ascii="宋体" w:hAnsi="宋体" w:cs="宋体"/>
          <w:bCs/>
          <w:color w:val="auto"/>
          <w:sz w:val="24"/>
          <w:szCs w:val="24"/>
          <w:highlight w:val="none"/>
        </w:rPr>
      </w:pPr>
      <w:bookmarkStart w:id="79" w:name="_Toc14801"/>
      <w:bookmarkStart w:id="80" w:name="_Toc7576"/>
      <w:bookmarkStart w:id="81" w:name="_Toc247513956"/>
      <w:bookmarkStart w:id="82" w:name="_Toc26295"/>
      <w:bookmarkStart w:id="83" w:name="_Toc10229"/>
      <w:bookmarkStart w:id="84" w:name="_Toc152042309"/>
      <w:bookmarkStart w:id="85" w:name="_Toc247527557"/>
      <w:bookmarkStart w:id="86" w:name="_Toc13118"/>
      <w:bookmarkStart w:id="87" w:name="_Toc32210"/>
      <w:bookmarkStart w:id="88" w:name="_Toc485211042"/>
      <w:bookmarkStart w:id="89" w:name="_Toc9204"/>
      <w:bookmarkStart w:id="90" w:name="_Toc152045533"/>
      <w:bookmarkStart w:id="91" w:name="_Toc4031"/>
      <w:bookmarkStart w:id="92" w:name="_Toc12328"/>
      <w:bookmarkStart w:id="93" w:name="_Toc144974501"/>
      <w:bookmarkStart w:id="94" w:name="_Toc26989"/>
      <w:r>
        <w:rPr>
          <w:rFonts w:hint="eastAsia" w:ascii="宋体" w:hAnsi="宋体" w:cs="宋体"/>
          <w:bCs/>
          <w:color w:val="auto"/>
          <w:sz w:val="24"/>
          <w:szCs w:val="24"/>
          <w:highlight w:val="none"/>
        </w:rPr>
        <w:t>1.4 投标人资格要求</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5F18B682">
      <w:pPr>
        <w:spacing w:line="360" w:lineRule="auto"/>
        <w:ind w:firstLine="480" w:firstLineChars="200"/>
        <w:rPr>
          <w:rFonts w:ascii="宋体" w:hAnsi="宋体" w:cs="宋体"/>
          <w:color w:val="auto"/>
          <w:sz w:val="24"/>
          <w:szCs w:val="24"/>
          <w:highlight w:val="none"/>
        </w:rPr>
      </w:pPr>
      <w:bookmarkStart w:id="95" w:name="_Toc152042311"/>
      <w:bookmarkStart w:id="96" w:name="_Toc144974503"/>
      <w:bookmarkStart w:id="97" w:name="_Toc247513958"/>
      <w:bookmarkStart w:id="98" w:name="_Toc247527559"/>
      <w:bookmarkStart w:id="99" w:name="_Toc152045535"/>
      <w:bookmarkStart w:id="100" w:name="_Toc23867"/>
      <w:bookmarkStart w:id="101" w:name="_Toc11929"/>
      <w:bookmarkStart w:id="102" w:name="_Toc22812"/>
      <w:bookmarkStart w:id="103" w:name="_Toc31399"/>
      <w:bookmarkStart w:id="104" w:name="_Toc485211043"/>
      <w:bookmarkStart w:id="105" w:name="_Toc8400"/>
      <w:bookmarkStart w:id="106" w:name="_Toc9057"/>
      <w:bookmarkStart w:id="107" w:name="_Toc2101"/>
      <w:bookmarkStart w:id="108" w:name="_Toc29601"/>
      <w:bookmarkStart w:id="109" w:name="_Toc29899"/>
      <w:bookmarkStart w:id="110" w:name="_Toc27154"/>
      <w:r>
        <w:rPr>
          <w:rFonts w:hint="eastAsia" w:ascii="宋体" w:hAnsi="宋体" w:cs="宋体"/>
          <w:color w:val="auto"/>
          <w:sz w:val="24"/>
          <w:szCs w:val="24"/>
          <w:highlight w:val="none"/>
        </w:rPr>
        <w:t>1.4.1 投标人应具备承担本招标项目资质条件、能力和信誉：见招标公告投标人资格要求。</w:t>
      </w:r>
    </w:p>
    <w:p w14:paraId="0D755E7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1.4.2 投标人须知前附表规定接受联合体投标的，除应符合本章第1.4.1项和投标人须知前附表的要求外，还应遵守以下规定： </w:t>
      </w:r>
    </w:p>
    <w:p w14:paraId="77B1C0A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（1）联合体各方应按招标文件提供的格式签订《</w:t>
      </w:r>
      <w:r>
        <w:rPr>
          <w:rFonts w:hint="eastAsia" w:ascii="宋体" w:hAnsi="宋体" w:cs="宋体"/>
          <w:color w:val="auto"/>
          <w:sz w:val="24"/>
          <w:szCs w:val="24"/>
          <w:highlight w:val="none"/>
          <w:lang w:eastAsia="zh-CN"/>
        </w:rPr>
        <w:t>联合体共同投标协议</w:t>
      </w:r>
      <w:r>
        <w:rPr>
          <w:rFonts w:hint="eastAsia" w:ascii="宋体" w:hAnsi="宋体" w:cs="宋体"/>
          <w:color w:val="auto"/>
          <w:sz w:val="24"/>
          <w:szCs w:val="24"/>
          <w:highlight w:val="none"/>
        </w:rPr>
        <w:t>》；</w:t>
      </w:r>
    </w:p>
    <w:p w14:paraId="1183F05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（2）由同一专业的单位组成的联合体，按照资质等级较低的单位确定资质等级；</w:t>
      </w:r>
    </w:p>
    <w:p w14:paraId="46B8B99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（3）联合体各方不得再以自己名义单独或参加其他联合体在本招标项目中投标。</w:t>
      </w:r>
    </w:p>
    <w:p w14:paraId="3AC3A42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1.4.3 投标人不得存在下列情形之一：</w:t>
      </w:r>
      <w:r>
        <w:rPr>
          <w:rFonts w:hint="eastAsia" w:ascii="宋体" w:hAnsi="宋体" w:cs="宋体"/>
          <w:color w:val="auto"/>
          <w:sz w:val="24"/>
          <w:szCs w:val="24"/>
          <w:highlight w:val="none"/>
          <w:u w:val="single"/>
        </w:rPr>
        <w:t>以《投标人声明》第三点的规定为准。</w:t>
      </w:r>
    </w:p>
    <w:p w14:paraId="5E9B8CC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1.4.4 单位负责人为同一人或者存在控股、管理关系的不同单位，不得同时参加本招标项目投标。</w:t>
      </w:r>
    </w:p>
    <w:p w14:paraId="755BDFEA">
      <w:pPr>
        <w:keepNext/>
        <w:keepLines/>
        <w:spacing w:line="360" w:lineRule="auto"/>
        <w:outlineLvl w:val="2"/>
        <w:rPr>
          <w:rFonts w:hint="eastAsia" w:ascii="宋体" w:hAnsi="宋体" w:cs="宋体"/>
          <w:bCs/>
          <w:color w:val="auto"/>
          <w:sz w:val="24"/>
          <w:szCs w:val="24"/>
          <w:highlight w:val="none"/>
        </w:rPr>
      </w:pPr>
      <w:r>
        <w:rPr>
          <w:rFonts w:hint="eastAsia" w:ascii="宋体" w:hAnsi="宋体" w:cs="宋体"/>
          <w:bCs/>
          <w:color w:val="auto"/>
          <w:sz w:val="24"/>
          <w:szCs w:val="24"/>
          <w:highlight w:val="none"/>
        </w:rPr>
        <w:t>1.5 费用承担</w:t>
      </w:r>
      <w:bookmarkEnd w:id="95"/>
      <w:bookmarkEnd w:id="96"/>
      <w:bookmarkEnd w:id="97"/>
      <w:bookmarkEnd w:id="98"/>
      <w:bookmarkEnd w:id="99"/>
      <w:r>
        <w:rPr>
          <w:rFonts w:hint="eastAsia" w:ascii="宋体" w:hAnsi="宋体" w:cs="宋体"/>
          <w:bCs/>
          <w:color w:val="auto"/>
          <w:sz w:val="24"/>
          <w:szCs w:val="24"/>
          <w:highlight w:val="none"/>
        </w:rPr>
        <w:t>和设计成果补偿</w:t>
      </w:r>
      <w:bookmarkEnd w:id="100"/>
      <w:bookmarkEnd w:id="101"/>
      <w:bookmarkEnd w:id="102"/>
      <w:bookmarkEnd w:id="103"/>
      <w:bookmarkEnd w:id="104"/>
      <w:bookmarkEnd w:id="105"/>
      <w:bookmarkEnd w:id="106"/>
      <w:bookmarkEnd w:id="107"/>
      <w:bookmarkEnd w:id="108"/>
      <w:bookmarkEnd w:id="109"/>
      <w:bookmarkEnd w:id="110"/>
    </w:p>
    <w:p w14:paraId="2A60A29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1.5.1 投标人准备和参加投标活动发生的费用自理。</w:t>
      </w:r>
    </w:p>
    <w:p w14:paraId="4BE0C093">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1.5.2 </w:t>
      </w:r>
      <w:r>
        <w:rPr>
          <w:rFonts w:hint="eastAsia" w:ascii="宋体" w:hAnsi="宋体"/>
          <w:color w:val="auto"/>
          <w:sz w:val="24"/>
          <w:szCs w:val="24"/>
          <w:highlight w:val="none"/>
          <w:u w:val="single"/>
        </w:rPr>
        <w:t>本项目不设设计方案成果补偿。</w:t>
      </w:r>
    </w:p>
    <w:p w14:paraId="61A74283">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1.5.3</w:t>
      </w:r>
      <w:r>
        <w:rPr>
          <w:rFonts w:hint="eastAsia" w:ascii="宋体" w:hAnsi="宋体" w:cs="宋体"/>
          <w:color w:val="auto"/>
          <w:sz w:val="24"/>
          <w:szCs w:val="24"/>
          <w:highlight w:val="none"/>
          <w:u w:val="single"/>
        </w:rPr>
        <w:t>中标人应根据有关规定，向</w:t>
      </w:r>
      <w:r>
        <w:rPr>
          <w:rFonts w:hint="eastAsia" w:ascii="宋体" w:hAnsi="宋体" w:cs="宋体"/>
          <w:bCs/>
          <w:color w:val="auto"/>
          <w:sz w:val="24"/>
          <w:highlight w:val="none"/>
          <w:u w:val="single"/>
        </w:rPr>
        <w:t>广州交易集团有限公司</w:t>
      </w:r>
      <w:r>
        <w:rPr>
          <w:rFonts w:hint="eastAsia" w:ascii="宋体" w:hAnsi="宋体" w:cs="宋体"/>
          <w:color w:val="auto"/>
          <w:sz w:val="24"/>
          <w:szCs w:val="24"/>
          <w:highlight w:val="none"/>
          <w:u w:val="single"/>
        </w:rPr>
        <w:t>缴纳交易服务费，该部分费用由投标人综合考虑在投标报价中，招标人不另行支付。</w:t>
      </w:r>
    </w:p>
    <w:p w14:paraId="3544F919">
      <w:pPr>
        <w:spacing w:line="360" w:lineRule="auto"/>
        <w:ind w:firstLine="480" w:firstLineChars="200"/>
        <w:rPr>
          <w:rFonts w:hint="eastAsia" w:ascii="宋体" w:hAnsi="宋体" w:cs="宋体"/>
          <w:color w:val="auto"/>
          <w:sz w:val="24"/>
          <w:szCs w:val="24"/>
          <w:highlight w:val="none"/>
        </w:rPr>
      </w:pPr>
    </w:p>
    <w:p w14:paraId="63046A8F">
      <w:pPr>
        <w:keepNext/>
        <w:keepLines/>
        <w:spacing w:line="360" w:lineRule="auto"/>
        <w:outlineLvl w:val="2"/>
        <w:rPr>
          <w:rFonts w:hint="eastAsia" w:ascii="宋体" w:hAnsi="宋体" w:cs="宋体"/>
          <w:bCs/>
          <w:color w:val="auto"/>
          <w:sz w:val="24"/>
          <w:szCs w:val="24"/>
          <w:highlight w:val="none"/>
        </w:rPr>
      </w:pPr>
      <w:bookmarkStart w:id="111" w:name="_Toc11167"/>
      <w:bookmarkStart w:id="112" w:name="_Toc144974504"/>
      <w:bookmarkStart w:id="113" w:name="_Toc485211044"/>
      <w:bookmarkStart w:id="114" w:name="_Toc247527560"/>
      <w:bookmarkStart w:id="115" w:name="_Toc3652"/>
      <w:bookmarkStart w:id="116" w:name="_Toc7692"/>
      <w:bookmarkStart w:id="117" w:name="_Toc10056"/>
      <w:bookmarkStart w:id="118" w:name="_Toc32691"/>
      <w:bookmarkStart w:id="119" w:name="_Toc23498"/>
      <w:bookmarkStart w:id="120" w:name="_Toc14164"/>
      <w:bookmarkStart w:id="121" w:name="_Toc29613"/>
      <w:bookmarkStart w:id="122" w:name="_Toc247513959"/>
      <w:bookmarkStart w:id="123" w:name="_Toc152042312"/>
      <w:bookmarkStart w:id="124" w:name="_Toc9296"/>
      <w:bookmarkStart w:id="125" w:name="_Toc152045536"/>
      <w:bookmarkStart w:id="126" w:name="_Toc17963"/>
      <w:r>
        <w:rPr>
          <w:rFonts w:hint="eastAsia" w:ascii="宋体" w:hAnsi="宋体" w:cs="宋体"/>
          <w:bCs/>
          <w:color w:val="auto"/>
          <w:sz w:val="24"/>
          <w:szCs w:val="24"/>
          <w:highlight w:val="none"/>
        </w:rPr>
        <w:t>1.6 保密</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1190126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参与招标投标活动的各方应对招标文件和投标文件中的商业和技术等秘密保密，否则应承担相应的法律责任。</w:t>
      </w:r>
    </w:p>
    <w:p w14:paraId="3E2606E2">
      <w:pPr>
        <w:keepNext/>
        <w:keepLines/>
        <w:spacing w:line="360" w:lineRule="auto"/>
        <w:outlineLvl w:val="2"/>
        <w:rPr>
          <w:rFonts w:hint="eastAsia" w:ascii="宋体" w:hAnsi="宋体" w:cs="宋体"/>
          <w:bCs/>
          <w:color w:val="auto"/>
          <w:sz w:val="24"/>
          <w:szCs w:val="24"/>
          <w:highlight w:val="none"/>
        </w:rPr>
      </w:pPr>
      <w:bookmarkStart w:id="127" w:name="_Toc144974505"/>
      <w:bookmarkStart w:id="128" w:name="_Toc6741"/>
      <w:bookmarkStart w:id="129" w:name="_Toc20175"/>
      <w:bookmarkStart w:id="130" w:name="_Toc247513960"/>
      <w:bookmarkStart w:id="131" w:name="_Toc247527561"/>
      <w:bookmarkStart w:id="132" w:name="_Toc134"/>
      <w:bookmarkStart w:id="133" w:name="_Toc32400"/>
      <w:bookmarkStart w:id="134" w:name="_Toc23891"/>
      <w:bookmarkStart w:id="135" w:name="_Toc10329"/>
      <w:bookmarkStart w:id="136" w:name="_Toc152045537"/>
      <w:bookmarkStart w:id="137" w:name="_Toc3909"/>
      <w:bookmarkStart w:id="138" w:name="_Toc152042313"/>
      <w:bookmarkStart w:id="139" w:name="_Toc28067"/>
      <w:bookmarkStart w:id="140" w:name="_Toc15287"/>
      <w:bookmarkStart w:id="141" w:name="_Toc30812"/>
      <w:bookmarkStart w:id="142" w:name="_Toc485211045"/>
      <w:r>
        <w:rPr>
          <w:rFonts w:hint="eastAsia" w:ascii="宋体" w:hAnsi="宋体" w:cs="宋体"/>
          <w:bCs/>
          <w:color w:val="auto"/>
          <w:sz w:val="24"/>
          <w:szCs w:val="24"/>
          <w:highlight w:val="none"/>
        </w:rPr>
        <w:t>1.7 语言</w:t>
      </w:r>
      <w:bookmarkEnd w:id="127"/>
      <w:r>
        <w:rPr>
          <w:rFonts w:hint="eastAsia" w:ascii="宋体" w:hAnsi="宋体" w:cs="宋体"/>
          <w:bCs/>
          <w:color w:val="auto"/>
          <w:sz w:val="24"/>
          <w:szCs w:val="24"/>
          <w:highlight w:val="none"/>
        </w:rPr>
        <w:t>文字</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66481C1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招标投标文件使用的语言文字为中文。专用术语使用外文的，应附有中文注释。</w:t>
      </w:r>
    </w:p>
    <w:p w14:paraId="0F1A3A26">
      <w:pPr>
        <w:keepNext/>
        <w:keepLines/>
        <w:spacing w:line="360" w:lineRule="auto"/>
        <w:outlineLvl w:val="2"/>
        <w:rPr>
          <w:rFonts w:hint="eastAsia" w:ascii="宋体" w:hAnsi="宋体" w:cs="宋体"/>
          <w:bCs/>
          <w:color w:val="auto"/>
          <w:sz w:val="24"/>
          <w:szCs w:val="24"/>
          <w:highlight w:val="none"/>
        </w:rPr>
      </w:pPr>
      <w:bookmarkStart w:id="143" w:name="_Toc6180"/>
      <w:bookmarkStart w:id="144" w:name="_Toc144974506"/>
      <w:bookmarkStart w:id="145" w:name="_Toc152042314"/>
      <w:bookmarkStart w:id="146" w:name="_Toc19816"/>
      <w:bookmarkStart w:id="147" w:name="_Toc12340"/>
      <w:bookmarkStart w:id="148" w:name="_Toc26081"/>
      <w:bookmarkStart w:id="149" w:name="_Toc13564"/>
      <w:bookmarkStart w:id="150" w:name="_Toc18319"/>
      <w:bookmarkStart w:id="151" w:name="_Toc485211046"/>
      <w:bookmarkStart w:id="152" w:name="_Toc3359"/>
      <w:bookmarkStart w:id="153" w:name="_Toc247527562"/>
      <w:bookmarkStart w:id="154" w:name="_Toc7341"/>
      <w:bookmarkStart w:id="155" w:name="_Toc247513961"/>
      <w:bookmarkStart w:id="156" w:name="_Toc2398"/>
      <w:bookmarkStart w:id="157" w:name="_Toc152045538"/>
      <w:bookmarkStart w:id="158" w:name="_Toc4572"/>
      <w:r>
        <w:rPr>
          <w:rFonts w:hint="eastAsia" w:ascii="宋体" w:hAnsi="宋体" w:cs="宋体"/>
          <w:bCs/>
          <w:color w:val="auto"/>
          <w:sz w:val="24"/>
          <w:szCs w:val="24"/>
          <w:highlight w:val="none"/>
        </w:rPr>
        <w:t>1.8 计量单位</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6432FA1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所有计量均采用中华人民共和国法定计量单位。</w:t>
      </w:r>
    </w:p>
    <w:p w14:paraId="3ABFED34">
      <w:pPr>
        <w:keepNext/>
        <w:keepLines/>
        <w:spacing w:line="360" w:lineRule="auto"/>
        <w:outlineLvl w:val="2"/>
        <w:rPr>
          <w:rFonts w:hint="eastAsia" w:ascii="宋体" w:hAnsi="宋体" w:cs="宋体"/>
          <w:bCs/>
          <w:color w:val="auto"/>
          <w:sz w:val="24"/>
          <w:szCs w:val="24"/>
          <w:highlight w:val="none"/>
        </w:rPr>
      </w:pPr>
      <w:bookmarkStart w:id="159" w:name="_Toc152045539"/>
      <w:bookmarkStart w:id="160" w:name="_Toc8361"/>
      <w:bookmarkStart w:id="161" w:name="_Toc9062"/>
      <w:bookmarkStart w:id="162" w:name="_Toc30094"/>
      <w:bookmarkStart w:id="163" w:name="_Toc29796"/>
      <w:bookmarkStart w:id="164" w:name="_Toc9990"/>
      <w:bookmarkStart w:id="165" w:name="_Toc8310"/>
      <w:bookmarkStart w:id="166" w:name="_Toc247527563"/>
      <w:bookmarkStart w:id="167" w:name="_Toc23228"/>
      <w:bookmarkStart w:id="168" w:name="_Toc23741"/>
      <w:bookmarkStart w:id="169" w:name="_Toc144974507"/>
      <w:bookmarkStart w:id="170" w:name="_Toc152042315"/>
      <w:bookmarkStart w:id="171" w:name="_Toc9837"/>
      <w:bookmarkStart w:id="172" w:name="_Toc28179"/>
      <w:bookmarkStart w:id="173" w:name="_Toc485211047"/>
      <w:bookmarkStart w:id="174" w:name="_Toc247513962"/>
      <w:r>
        <w:rPr>
          <w:rFonts w:hint="eastAsia" w:ascii="宋体" w:hAnsi="宋体" w:cs="宋体"/>
          <w:bCs/>
          <w:color w:val="auto"/>
          <w:sz w:val="24"/>
          <w:szCs w:val="24"/>
          <w:highlight w:val="none"/>
        </w:rPr>
        <w:t>1.9 踏勘现场</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2CDB084A">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1.9.1 投标人须知前附表规定组织踏勘现场的，招标人按投标人须知前附表规定的时间、地点组织投标人踏勘项目现场。 </w:t>
      </w:r>
    </w:p>
    <w:p w14:paraId="0790ABC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1.9.2 投标人踏勘现场发生的费用自理。</w:t>
      </w:r>
    </w:p>
    <w:p w14:paraId="4030A238">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1.9.3 除招标人的原因外，投标人自行负责在踏勘现场中所发生的人员伤亡和财产损失。</w:t>
      </w:r>
    </w:p>
    <w:p w14:paraId="5CD6506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 xml:space="preserve">1.9.4 </w:t>
      </w:r>
      <w:r>
        <w:rPr>
          <w:rFonts w:hint="eastAsia" w:ascii="宋体" w:hAnsi="宋体"/>
          <w:color w:val="auto"/>
          <w:sz w:val="24"/>
          <w:szCs w:val="24"/>
          <w:highlight w:val="none"/>
          <w:u w:val="single"/>
        </w:rPr>
        <w:t>现场由投标人自行踏勘，投标人不进行踏勘的，视为已熟知现场条件，自行承担相关风险。招标人不对投标人自行踏勘现场作出的判断和决策负责。</w:t>
      </w:r>
    </w:p>
    <w:p w14:paraId="19B135C3">
      <w:pPr>
        <w:keepNext/>
        <w:keepLines/>
        <w:spacing w:line="360" w:lineRule="auto"/>
        <w:outlineLvl w:val="2"/>
        <w:rPr>
          <w:rFonts w:hint="eastAsia" w:ascii="宋体" w:hAnsi="宋体" w:cs="宋体"/>
          <w:bCs/>
          <w:color w:val="auto"/>
          <w:sz w:val="24"/>
          <w:szCs w:val="24"/>
          <w:highlight w:val="none"/>
        </w:rPr>
      </w:pPr>
      <w:bookmarkStart w:id="175" w:name="_Toc152042316"/>
      <w:bookmarkStart w:id="176" w:name="_Toc11636"/>
      <w:bookmarkStart w:id="177" w:name="_Toc5838"/>
      <w:bookmarkStart w:id="178" w:name="_Toc152045540"/>
      <w:bookmarkStart w:id="179" w:name="_Toc11038"/>
      <w:bookmarkStart w:id="180" w:name="_Toc3400"/>
      <w:bookmarkStart w:id="181" w:name="_Toc11403"/>
      <w:bookmarkStart w:id="182" w:name="_Toc27158"/>
      <w:bookmarkStart w:id="183" w:name="_Toc485211048"/>
      <w:bookmarkStart w:id="184" w:name="_Toc9067"/>
      <w:bookmarkStart w:id="185" w:name="_Toc247513963"/>
      <w:bookmarkStart w:id="186" w:name="_Toc144974508"/>
      <w:bookmarkStart w:id="187" w:name="_Toc21953"/>
      <w:bookmarkStart w:id="188" w:name="_Toc11545"/>
      <w:bookmarkStart w:id="189" w:name="_Toc247527564"/>
      <w:bookmarkStart w:id="190" w:name="_Toc16992"/>
      <w:r>
        <w:rPr>
          <w:rFonts w:hint="eastAsia" w:ascii="宋体" w:hAnsi="宋体" w:cs="宋体"/>
          <w:bCs/>
          <w:color w:val="auto"/>
          <w:sz w:val="24"/>
          <w:szCs w:val="24"/>
          <w:highlight w:val="none"/>
        </w:rPr>
        <w:t xml:space="preserve">1.10 </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hint="eastAsia" w:ascii="宋体" w:hAnsi="宋体" w:cs="宋体"/>
          <w:bCs/>
          <w:color w:val="auto"/>
          <w:sz w:val="24"/>
          <w:szCs w:val="24"/>
          <w:highlight w:val="none"/>
        </w:rPr>
        <w:t>招标答疑</w:t>
      </w:r>
      <w:bookmarkEnd w:id="190"/>
    </w:p>
    <w:p w14:paraId="77DC3C0D">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1.10.1 招标答疑采用网上答疑方式进行。投标人若对招标文件（包括招标图纸、清单、最高投标限价、合同等）有疑问的，可在规定的时间内通过</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网站进入提问区域将问题提交给招标人或招标代理人，提交问题时一律不得署名。</w:t>
      </w:r>
    </w:p>
    <w:p w14:paraId="614E25A7">
      <w:pPr>
        <w:spacing w:line="360" w:lineRule="auto"/>
        <w:ind w:firstLine="480" w:firstLineChars="200"/>
        <w:rPr>
          <w:rFonts w:hint="eastAsia" w:ascii="宋体" w:hAnsi="宋体" w:cs="宋体"/>
          <w:color w:val="auto"/>
          <w:sz w:val="24"/>
          <w:szCs w:val="24"/>
          <w:highlight w:val="none"/>
          <w:u w:val="single"/>
        </w:rPr>
      </w:pPr>
      <w:bookmarkStart w:id="191" w:name="_Toc14422"/>
      <w:bookmarkStart w:id="192" w:name="_Toc16844"/>
      <w:bookmarkStart w:id="193" w:name="_Toc9507"/>
      <w:bookmarkStart w:id="194" w:name="_Toc21882"/>
      <w:r>
        <w:rPr>
          <w:rFonts w:hint="eastAsia" w:ascii="宋体" w:hAnsi="宋体" w:cs="宋体"/>
          <w:color w:val="auto"/>
          <w:sz w:val="24"/>
          <w:szCs w:val="24"/>
          <w:highlight w:val="none"/>
          <w:u w:val="single"/>
        </w:rPr>
        <w:t>网上答疑的操作指南为：</w:t>
      </w:r>
      <w:r>
        <w:rPr>
          <w:rFonts w:hint="eastAsia" w:ascii="宋体" w:hAnsi="宋体" w:cs="宋体"/>
          <w:color w:val="auto"/>
          <w:sz w:val="24"/>
          <w:szCs w:val="24"/>
          <w:highlight w:val="none"/>
          <w:u w:val="single"/>
          <w:lang w:eastAsia="zh-CN"/>
        </w:rPr>
        <w:t>登录广州交易集团有限公司（广州公共资源交易中心）</w:t>
      </w:r>
      <w:r>
        <w:rPr>
          <w:rFonts w:hint="eastAsia" w:ascii="宋体" w:hAnsi="宋体" w:cs="宋体"/>
          <w:color w:val="auto"/>
          <w:sz w:val="24"/>
          <w:szCs w:val="24"/>
          <w:highlight w:val="none"/>
          <w:u w:val="single"/>
        </w:rPr>
        <w:t>网站→进入“我是投标人”→进入“新建设工程交易平台”→进入“我的投标”→进入“招标答疑提问”→通过项目编号或名称找到所需的项目→在上述的答疑时间内点击“答疑提问”进入到提问区域→无记名或匿名提出问题</w:t>
      </w:r>
      <w:bookmarkEnd w:id="191"/>
      <w:bookmarkEnd w:id="192"/>
      <w:bookmarkEnd w:id="193"/>
      <w:bookmarkEnd w:id="194"/>
      <w:r>
        <w:rPr>
          <w:rFonts w:hint="eastAsia" w:ascii="宋体" w:hAnsi="宋体" w:cs="宋体"/>
          <w:color w:val="auto"/>
          <w:sz w:val="24"/>
          <w:szCs w:val="24"/>
          <w:highlight w:val="none"/>
          <w:u w:val="single"/>
        </w:rPr>
        <w:t>。</w:t>
      </w:r>
    </w:p>
    <w:p w14:paraId="17B45F7F">
      <w:pPr>
        <w:spacing w:line="360" w:lineRule="auto"/>
        <w:ind w:firstLine="480" w:firstLineChars="200"/>
        <w:rPr>
          <w:rFonts w:hint="eastAsia" w:ascii="宋体" w:hAnsi="宋体" w:cs="宋体"/>
          <w:color w:val="auto"/>
          <w:sz w:val="24"/>
          <w:szCs w:val="24"/>
          <w:highlight w:val="none"/>
          <w:u w:val="single"/>
        </w:rPr>
      </w:pPr>
      <w:bookmarkStart w:id="195" w:name="_Toc17089"/>
      <w:bookmarkStart w:id="196" w:name="_Toc31603"/>
      <w:bookmarkStart w:id="197" w:name="_Toc22325"/>
      <w:bookmarkStart w:id="198" w:name="_Toc19746"/>
      <w:r>
        <w:rPr>
          <w:rFonts w:hint="eastAsia" w:ascii="宋体" w:hAnsi="宋体" w:cs="宋体"/>
          <w:color w:val="auto"/>
          <w:sz w:val="24"/>
          <w:szCs w:val="24"/>
          <w:highlight w:val="none"/>
          <w:u w:val="single"/>
        </w:rPr>
        <w:t>1.10.2投标人应在投标人须知前附表规定的时间前，按前附表载明的方式提出问题。招标人应在递交投标文件截止时间15日前解答投标人对招标文件提出的疑问，形成答疑纪要，在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网站“项目查询(日程安排、答疑纪要)”专区上发布。</w:t>
      </w:r>
      <w:bookmarkEnd w:id="195"/>
      <w:bookmarkEnd w:id="196"/>
      <w:bookmarkEnd w:id="197"/>
      <w:bookmarkEnd w:id="198"/>
    </w:p>
    <w:p w14:paraId="4A1827F3">
      <w:pPr>
        <w:spacing w:line="360" w:lineRule="auto"/>
        <w:ind w:firstLine="480" w:firstLineChars="200"/>
        <w:rPr>
          <w:rFonts w:hint="eastAsia" w:ascii="宋体" w:hAnsi="宋体" w:cs="宋体"/>
          <w:color w:val="auto"/>
          <w:sz w:val="24"/>
          <w:szCs w:val="24"/>
          <w:highlight w:val="none"/>
          <w:u w:val="single"/>
        </w:rPr>
      </w:pPr>
      <w:bookmarkStart w:id="199" w:name="_Toc23655"/>
      <w:bookmarkStart w:id="200" w:name="_Toc14003"/>
      <w:bookmarkStart w:id="201" w:name="_Toc12054"/>
      <w:bookmarkStart w:id="202" w:name="_Toc17542"/>
      <w:r>
        <w:rPr>
          <w:rFonts w:hint="eastAsia" w:ascii="宋体" w:hAnsi="宋体" w:cs="宋体"/>
          <w:color w:val="auto"/>
          <w:sz w:val="24"/>
          <w:szCs w:val="24"/>
          <w:highlight w:val="none"/>
          <w:u w:val="single"/>
        </w:rPr>
        <w:t>1.10.3招标答疑纪要一经在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网站发布，视作已发放给所有投标人。</w:t>
      </w:r>
      <w:bookmarkEnd w:id="199"/>
      <w:bookmarkEnd w:id="200"/>
      <w:bookmarkEnd w:id="201"/>
      <w:bookmarkEnd w:id="202"/>
    </w:p>
    <w:p w14:paraId="70212B9F">
      <w:pPr>
        <w:spacing w:line="360" w:lineRule="auto"/>
        <w:ind w:firstLine="480" w:firstLineChars="200"/>
        <w:rPr>
          <w:rFonts w:hint="eastAsia" w:ascii="宋体" w:hAnsi="宋体" w:cs="宋体"/>
          <w:color w:val="auto"/>
          <w:sz w:val="24"/>
          <w:szCs w:val="24"/>
          <w:highlight w:val="none"/>
          <w:u w:val="single"/>
        </w:rPr>
      </w:pPr>
      <w:bookmarkStart w:id="203" w:name="_Toc11460"/>
      <w:bookmarkStart w:id="204" w:name="_Toc2020"/>
      <w:bookmarkStart w:id="205" w:name="_Toc22640"/>
      <w:bookmarkStart w:id="206" w:name="_Toc23270"/>
      <w:r>
        <w:rPr>
          <w:rFonts w:hint="eastAsia" w:ascii="宋体" w:hAnsi="宋体" w:cs="宋体"/>
          <w:color w:val="auto"/>
          <w:sz w:val="24"/>
          <w:szCs w:val="24"/>
          <w:highlight w:val="none"/>
          <w:u w:val="single"/>
        </w:rPr>
        <w:t>1.10.4招标答疑纪要为招标文件的一部分。投标人可在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网站浏览、下载招标答疑纪要。</w:t>
      </w:r>
      <w:bookmarkEnd w:id="203"/>
      <w:bookmarkEnd w:id="204"/>
      <w:bookmarkEnd w:id="205"/>
      <w:bookmarkEnd w:id="206"/>
    </w:p>
    <w:p w14:paraId="6B4F6E29">
      <w:pPr>
        <w:pStyle w:val="14"/>
        <w:spacing w:before="0" w:after="0" w:line="360" w:lineRule="auto"/>
        <w:ind w:firstLine="480" w:firstLineChars="200"/>
        <w:rPr>
          <w:rFonts w:hint="eastAsia" w:ascii="宋体" w:hAnsi="宋体"/>
          <w:color w:val="auto"/>
          <w:sz w:val="24"/>
          <w:szCs w:val="24"/>
          <w:highlight w:val="none"/>
        </w:rPr>
      </w:pPr>
      <w:bookmarkStart w:id="207" w:name="_Toc279"/>
      <w:bookmarkStart w:id="208" w:name="_Toc8182"/>
      <w:bookmarkStart w:id="209" w:name="_Toc27641"/>
      <w:bookmarkStart w:id="210" w:name="_Toc2639"/>
      <w:r>
        <w:rPr>
          <w:rFonts w:hint="eastAsia" w:ascii="宋体" w:hAnsi="宋体" w:cs="宋体"/>
          <w:b w:val="0"/>
          <w:bCs w:val="0"/>
          <w:caps w:val="0"/>
          <w:color w:val="auto"/>
          <w:sz w:val="24"/>
          <w:szCs w:val="24"/>
          <w:highlight w:val="none"/>
          <w:u w:val="single"/>
        </w:rPr>
        <w:t>1.10.5若招标答疑纪要与招标文件有矛盾时，以</w:t>
      </w:r>
      <w:r>
        <w:rPr>
          <w:rFonts w:hint="eastAsia" w:ascii="宋体" w:hAnsi="宋体" w:cs="宋体"/>
          <w:b w:val="0"/>
          <w:bCs w:val="0"/>
          <w:caps w:val="0"/>
          <w:color w:val="auto"/>
          <w:sz w:val="24"/>
          <w:szCs w:val="24"/>
          <w:highlight w:val="none"/>
          <w:u w:val="single"/>
          <w:lang w:eastAsia="zh-CN"/>
        </w:rPr>
        <w:t>广州交易集团有限公司（广州公共资源交易中心）</w:t>
      </w:r>
      <w:r>
        <w:rPr>
          <w:rFonts w:hint="eastAsia" w:ascii="宋体" w:hAnsi="宋体" w:cs="宋体"/>
          <w:b w:val="0"/>
          <w:bCs w:val="0"/>
          <w:caps w:val="0"/>
          <w:color w:val="auto"/>
          <w:sz w:val="24"/>
          <w:szCs w:val="24"/>
          <w:highlight w:val="none"/>
          <w:u w:val="single"/>
        </w:rPr>
        <w:t>网站最后发布的答疑纪要为准。</w:t>
      </w:r>
      <w:bookmarkEnd w:id="207"/>
      <w:bookmarkEnd w:id="208"/>
      <w:bookmarkEnd w:id="209"/>
      <w:bookmarkEnd w:id="210"/>
    </w:p>
    <w:p w14:paraId="03411F12">
      <w:pPr>
        <w:keepNext/>
        <w:keepLines/>
        <w:spacing w:line="360" w:lineRule="auto"/>
        <w:outlineLvl w:val="2"/>
        <w:rPr>
          <w:rFonts w:hint="eastAsia" w:ascii="宋体" w:hAnsi="宋体" w:cs="宋体"/>
          <w:bCs/>
          <w:color w:val="auto"/>
          <w:sz w:val="24"/>
          <w:szCs w:val="24"/>
          <w:highlight w:val="none"/>
        </w:rPr>
      </w:pPr>
      <w:bookmarkStart w:id="211" w:name="_Toc14099"/>
      <w:bookmarkStart w:id="212" w:name="_Toc4698"/>
      <w:bookmarkStart w:id="213" w:name="_Toc152045541"/>
      <w:bookmarkStart w:id="214" w:name="_Toc4319"/>
      <w:bookmarkStart w:id="215" w:name="_Toc152042317"/>
      <w:bookmarkStart w:id="216" w:name="_Toc25557"/>
      <w:bookmarkStart w:id="217" w:name="_Toc14541"/>
      <w:bookmarkStart w:id="218" w:name="_Toc16758"/>
      <w:bookmarkStart w:id="219" w:name="_Toc247527565"/>
      <w:bookmarkStart w:id="220" w:name="_Toc30953"/>
      <w:bookmarkStart w:id="221" w:name="_Toc144974509"/>
      <w:bookmarkStart w:id="222" w:name="_Toc32689"/>
      <w:bookmarkStart w:id="223" w:name="_Toc247513964"/>
      <w:bookmarkStart w:id="224" w:name="_Toc6742"/>
      <w:bookmarkStart w:id="225" w:name="_Toc485211049"/>
      <w:bookmarkStart w:id="226" w:name="_Toc31934"/>
      <w:r>
        <w:rPr>
          <w:rFonts w:hint="eastAsia" w:ascii="宋体" w:hAnsi="宋体" w:cs="宋体"/>
          <w:bCs/>
          <w:color w:val="auto"/>
          <w:sz w:val="24"/>
          <w:szCs w:val="24"/>
          <w:highlight w:val="none"/>
        </w:rPr>
        <w:t>1.11 分包</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5AA81CA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1.11.1《投标人须知前附表》规定应当由分包人实施的非主体、非关键性工作，投标人应当按照第三章 合同条款及格式 第五部分专用合同条款4.1.10（11）</w:t>
      </w:r>
      <w:r>
        <w:rPr>
          <w:rFonts w:hint="eastAsia" w:ascii="宋体" w:hAnsi="宋体" w:cs="宋体"/>
          <w:color w:val="auto"/>
          <w:sz w:val="24"/>
          <w:szCs w:val="24"/>
          <w:highlight w:val="none"/>
          <w:lang w:val="en-US" w:eastAsia="zh-CN"/>
        </w:rPr>
        <w:t>执行</w:t>
      </w:r>
      <w:r>
        <w:rPr>
          <w:rFonts w:hint="eastAsia" w:ascii="宋体" w:hAnsi="宋体" w:cs="宋体"/>
          <w:color w:val="auto"/>
          <w:sz w:val="24"/>
          <w:szCs w:val="24"/>
          <w:highlight w:val="none"/>
        </w:rPr>
        <w:t>。</w:t>
      </w:r>
    </w:p>
    <w:p w14:paraId="757482C5">
      <w:pPr>
        <w:keepNext/>
        <w:keepLines/>
        <w:spacing w:line="360" w:lineRule="auto"/>
        <w:outlineLvl w:val="2"/>
        <w:rPr>
          <w:rFonts w:hint="eastAsia" w:ascii="宋体" w:hAnsi="宋体" w:cs="宋体"/>
          <w:bCs/>
          <w:color w:val="auto"/>
          <w:sz w:val="24"/>
          <w:szCs w:val="24"/>
          <w:highlight w:val="none"/>
        </w:rPr>
      </w:pPr>
      <w:bookmarkStart w:id="227" w:name="_Toc11568"/>
      <w:bookmarkStart w:id="228" w:name="_Toc247527566"/>
      <w:bookmarkStart w:id="229" w:name="_Toc485211050"/>
      <w:bookmarkStart w:id="230" w:name="_Toc29868"/>
      <w:bookmarkStart w:id="231" w:name="_Toc27670"/>
      <w:bookmarkStart w:id="232" w:name="_Toc20842"/>
      <w:bookmarkStart w:id="233" w:name="_Toc22035"/>
      <w:bookmarkStart w:id="234" w:name="_Toc13443"/>
      <w:bookmarkStart w:id="235" w:name="_Toc247513965"/>
      <w:bookmarkStart w:id="236" w:name="_Toc32073"/>
      <w:bookmarkStart w:id="237" w:name="_Toc18430"/>
      <w:bookmarkStart w:id="238" w:name="_Toc6602"/>
      <w:bookmarkStart w:id="239" w:name="_Toc13266"/>
      <w:r>
        <w:rPr>
          <w:rFonts w:hint="eastAsia" w:ascii="宋体" w:hAnsi="宋体" w:cs="宋体"/>
          <w:bCs/>
          <w:color w:val="auto"/>
          <w:sz w:val="24"/>
          <w:szCs w:val="24"/>
          <w:highlight w:val="none"/>
        </w:rPr>
        <w:t>1.12 偏离</w:t>
      </w:r>
      <w:bookmarkEnd w:id="227"/>
      <w:bookmarkEnd w:id="228"/>
      <w:bookmarkEnd w:id="229"/>
      <w:bookmarkEnd w:id="230"/>
      <w:bookmarkEnd w:id="231"/>
      <w:bookmarkEnd w:id="232"/>
      <w:bookmarkEnd w:id="233"/>
      <w:bookmarkEnd w:id="234"/>
      <w:bookmarkEnd w:id="235"/>
      <w:bookmarkEnd w:id="236"/>
      <w:bookmarkEnd w:id="237"/>
      <w:bookmarkEnd w:id="238"/>
      <w:bookmarkEnd w:id="239"/>
    </w:p>
    <w:p w14:paraId="3979B38C">
      <w:pPr>
        <w:spacing w:line="360" w:lineRule="auto"/>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《投标人须知前附表》允许投标文件偏离招标文件某些要求的，偏离应当符合招标文件规定的偏离范围和幅度。</w:t>
      </w:r>
    </w:p>
    <w:p w14:paraId="619C004D">
      <w:pPr>
        <w:keepNext/>
        <w:keepLines/>
        <w:spacing w:line="360" w:lineRule="auto"/>
        <w:outlineLvl w:val="1"/>
        <w:rPr>
          <w:rFonts w:hint="eastAsia" w:ascii="宋体" w:hAnsi="宋体" w:cs="宋体"/>
          <w:b/>
          <w:bCs/>
          <w:color w:val="auto"/>
          <w:sz w:val="28"/>
          <w:szCs w:val="28"/>
          <w:highlight w:val="none"/>
        </w:rPr>
      </w:pPr>
      <w:bookmarkStart w:id="240" w:name="_Toc29050"/>
      <w:bookmarkStart w:id="241" w:name="_Toc152042318"/>
      <w:bookmarkStart w:id="242" w:name="_Toc2209"/>
      <w:bookmarkStart w:id="243" w:name="_Toc247513966"/>
      <w:bookmarkStart w:id="244" w:name="_Toc6093"/>
      <w:bookmarkStart w:id="245" w:name="_Toc247527567"/>
      <w:bookmarkStart w:id="246" w:name="_Toc29206"/>
      <w:bookmarkStart w:id="247" w:name="_Toc12882"/>
      <w:bookmarkStart w:id="248" w:name="_Toc485211051"/>
      <w:bookmarkStart w:id="249" w:name="_Toc144974510"/>
      <w:bookmarkStart w:id="250" w:name="_Toc3075"/>
      <w:bookmarkStart w:id="251" w:name="_Toc25604"/>
      <w:bookmarkStart w:id="252" w:name="_Toc3403"/>
      <w:bookmarkStart w:id="253" w:name="_Toc152045542"/>
      <w:bookmarkStart w:id="254" w:name="_Toc18141"/>
      <w:bookmarkStart w:id="255" w:name="_Toc29934"/>
      <w:r>
        <w:rPr>
          <w:rFonts w:hint="eastAsia" w:ascii="宋体" w:hAnsi="宋体" w:cs="宋体"/>
          <w:b/>
          <w:bCs/>
          <w:color w:val="auto"/>
          <w:sz w:val="28"/>
          <w:szCs w:val="28"/>
          <w:highlight w:val="none"/>
        </w:rPr>
        <w:t>2. 招标文件</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61DE0E2A">
      <w:pPr>
        <w:keepNext/>
        <w:keepLines/>
        <w:spacing w:line="360" w:lineRule="auto"/>
        <w:outlineLvl w:val="2"/>
        <w:rPr>
          <w:rFonts w:hint="eastAsia" w:ascii="宋体" w:hAnsi="宋体" w:cs="宋体"/>
          <w:bCs/>
          <w:color w:val="auto"/>
          <w:sz w:val="24"/>
          <w:szCs w:val="24"/>
          <w:highlight w:val="none"/>
        </w:rPr>
      </w:pPr>
      <w:bookmarkStart w:id="256" w:name="_Toc247513967"/>
      <w:bookmarkStart w:id="257" w:name="_Toc15061"/>
      <w:bookmarkStart w:id="258" w:name="_Toc21925"/>
      <w:bookmarkStart w:id="259" w:name="_Toc23401"/>
      <w:bookmarkStart w:id="260" w:name="_Toc12359"/>
      <w:bookmarkStart w:id="261" w:name="_Toc23492"/>
      <w:bookmarkStart w:id="262" w:name="_Toc4736"/>
      <w:bookmarkStart w:id="263" w:name="_Toc21592"/>
      <w:bookmarkStart w:id="264" w:name="_Toc3440"/>
      <w:bookmarkStart w:id="265" w:name="_Toc152042319"/>
      <w:bookmarkStart w:id="266" w:name="_Toc485211052"/>
      <w:bookmarkStart w:id="267" w:name="_Toc247527568"/>
      <w:bookmarkStart w:id="268" w:name="_Toc13776"/>
      <w:bookmarkStart w:id="269" w:name="_Toc152045543"/>
      <w:bookmarkStart w:id="270" w:name="_Toc144974511"/>
      <w:bookmarkStart w:id="271" w:name="_Toc11748"/>
      <w:r>
        <w:rPr>
          <w:rFonts w:hint="eastAsia" w:ascii="宋体" w:hAnsi="宋体" w:cs="宋体"/>
          <w:bCs/>
          <w:color w:val="auto"/>
          <w:sz w:val="24"/>
          <w:szCs w:val="24"/>
          <w:highlight w:val="none"/>
        </w:rPr>
        <w:t>2.1 招标文件的组成</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4DEAFF0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2.1.1本招标文件包括：</w:t>
      </w:r>
    </w:p>
    <w:p w14:paraId="0F41C34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（1）投标人须知；</w:t>
      </w:r>
    </w:p>
    <w:p w14:paraId="011297F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（2）评标办法；</w:t>
      </w:r>
    </w:p>
    <w:p w14:paraId="6F09504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（3）合同条款及格式(另册)；</w:t>
      </w:r>
    </w:p>
    <w:p w14:paraId="40B05F0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（4）发包人要求；</w:t>
      </w:r>
    </w:p>
    <w:p w14:paraId="657CEA5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（5）发包人提供的资料和条件(另册)；</w:t>
      </w:r>
    </w:p>
    <w:p w14:paraId="16DA0C7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（6）投标文件格式；</w:t>
      </w:r>
    </w:p>
    <w:p w14:paraId="4B7FF40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（7）《投标人须知前附表》规定的其他资料。</w:t>
      </w:r>
    </w:p>
    <w:p w14:paraId="1AF191F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2.1.2根据本章第2.2款和第2.3款对招标文件所作的澄清、修改，构成招标文件的组成部分。</w:t>
      </w:r>
      <w:r>
        <w:rPr>
          <w:rFonts w:hint="eastAsia" w:ascii="宋体" w:hAnsi="宋体" w:cs="宋体"/>
          <w:color w:val="auto"/>
          <w:sz w:val="24"/>
          <w:szCs w:val="24"/>
          <w:highlight w:val="none"/>
          <w:u w:val="single"/>
        </w:rPr>
        <w:t>当招标文件的澄清、修改等在同一内容的表述不一致时，以最后发出的书面文件为准</w:t>
      </w:r>
      <w:r>
        <w:rPr>
          <w:rFonts w:hint="eastAsia" w:ascii="宋体" w:hAnsi="宋体" w:cs="宋体"/>
          <w:color w:val="auto"/>
          <w:sz w:val="24"/>
          <w:szCs w:val="24"/>
          <w:highlight w:val="none"/>
        </w:rPr>
        <w:t>。</w:t>
      </w:r>
    </w:p>
    <w:p w14:paraId="05E26790">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2.1.3投标人获取招标文件后，应仔细检查招标文件的所有内容，认真审阅招标文件中所有的事项、格式、条款和规范要求等，若投标人的投标文件没有按招标文件要求递交全部资料，或投标文件实质上没有响应招标文件的要求，招标人将按评标办法的规定予以拒绝，并且不允许投标人通过修改或撤消其不符合要求的差异或保留使之成为具有响应性的投标文件。</w:t>
      </w:r>
    </w:p>
    <w:p w14:paraId="199041E6">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2.1.4投标人一旦中标，招标文件的内容对招标人和中标人双方均有约束力。</w:t>
      </w:r>
    </w:p>
    <w:p w14:paraId="03C30841">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2.1.5发布招标公告的同时，通过</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网站发布招标文件。</w:t>
      </w:r>
    </w:p>
    <w:p w14:paraId="63E30906">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2.1.6招标文件一经在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网站发布，视作已发放给所有投标人。</w:t>
      </w:r>
    </w:p>
    <w:p w14:paraId="1DC9BAD4">
      <w:pPr>
        <w:spacing w:line="360" w:lineRule="auto"/>
        <w:ind w:firstLine="482" w:firstLineChars="200"/>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注：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p>
    <w:p w14:paraId="27B1361A">
      <w:pPr>
        <w:keepNext/>
        <w:keepLines/>
        <w:spacing w:line="360" w:lineRule="auto"/>
        <w:outlineLvl w:val="2"/>
        <w:rPr>
          <w:rFonts w:hint="eastAsia" w:ascii="宋体" w:hAnsi="宋体" w:cs="宋体"/>
          <w:bCs/>
          <w:color w:val="auto"/>
          <w:sz w:val="24"/>
          <w:szCs w:val="24"/>
          <w:highlight w:val="none"/>
        </w:rPr>
      </w:pPr>
      <w:bookmarkStart w:id="272" w:name="_Toc21381"/>
      <w:bookmarkStart w:id="273" w:name="_Toc144974512"/>
      <w:bookmarkStart w:id="274" w:name="_Toc25303"/>
      <w:bookmarkStart w:id="275" w:name="_Toc22464"/>
      <w:bookmarkStart w:id="276" w:name="_Toc152045544"/>
      <w:bookmarkStart w:id="277" w:name="_Toc247527569"/>
      <w:bookmarkStart w:id="278" w:name="_Toc24492"/>
      <w:bookmarkStart w:id="279" w:name="_Toc152042320"/>
      <w:bookmarkStart w:id="280" w:name="_Toc13002"/>
      <w:bookmarkStart w:id="281" w:name="_Toc23964"/>
      <w:bookmarkStart w:id="282" w:name="_Toc30001"/>
      <w:bookmarkStart w:id="283" w:name="_Toc485211053"/>
      <w:bookmarkStart w:id="284" w:name="_Toc247513968"/>
      <w:bookmarkStart w:id="285" w:name="_Toc18331"/>
      <w:bookmarkStart w:id="286" w:name="_Toc8575"/>
      <w:bookmarkStart w:id="287" w:name="_Toc26751"/>
      <w:r>
        <w:rPr>
          <w:rFonts w:hint="eastAsia" w:ascii="宋体" w:hAnsi="宋体" w:cs="宋体"/>
          <w:bCs/>
          <w:color w:val="auto"/>
          <w:sz w:val="24"/>
          <w:szCs w:val="24"/>
          <w:highlight w:val="none"/>
        </w:rPr>
        <w:t>2.2 招标文件的澄清</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2CA84EFE">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2.2.1 投标人应仔细阅读和检查招标文件的全部内容。如发现缺页或附件不全，应及时向招标人提出，以便补齐。如有疑问，</w:t>
      </w:r>
      <w:r>
        <w:rPr>
          <w:rFonts w:hint="eastAsia" w:ascii="宋体" w:hAnsi="宋体" w:cs="宋体"/>
          <w:color w:val="auto"/>
          <w:sz w:val="24"/>
          <w:szCs w:val="24"/>
          <w:highlight w:val="none"/>
          <w:u w:val="single"/>
        </w:rPr>
        <w:t>可在规定的时间内通过</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网站进入提问区域将问题提交给招标人或招标代理人，提交问题时一律不得署名。</w:t>
      </w:r>
    </w:p>
    <w:p w14:paraId="6883CD90">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2.2.2招标人应在投标截止时间15日前解答投标人对招标文件提出的疑问，形成答疑纪要，方可在交易中心网站“项目查询(日程安排、答疑纪要)”专区发布。</w:t>
      </w:r>
    </w:p>
    <w:p w14:paraId="10597DC0">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2.2.3招标答疑纪要一经在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网站发布，视作已发放给所有投标人。</w:t>
      </w:r>
    </w:p>
    <w:p w14:paraId="15DED940">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2.2.4招标答疑纪要为招标文件的一部分。投标人可在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网站浏览、下载招标答疑纪要。</w:t>
      </w:r>
    </w:p>
    <w:p w14:paraId="213A8BC6">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2.2.5若招标答疑纪要与招标文件有矛盾时，以</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网站最后发布的答疑纪要为准。</w:t>
      </w:r>
    </w:p>
    <w:p w14:paraId="672CC007">
      <w:pPr>
        <w:keepNext/>
        <w:keepLines/>
        <w:spacing w:line="360" w:lineRule="auto"/>
        <w:outlineLvl w:val="2"/>
        <w:rPr>
          <w:rFonts w:hint="eastAsia" w:ascii="宋体" w:hAnsi="宋体" w:cs="宋体"/>
          <w:bCs/>
          <w:color w:val="auto"/>
          <w:sz w:val="24"/>
          <w:szCs w:val="24"/>
          <w:highlight w:val="none"/>
        </w:rPr>
      </w:pPr>
      <w:bookmarkStart w:id="288" w:name="_Toc20025"/>
      <w:bookmarkStart w:id="289" w:name="_Toc30706"/>
      <w:bookmarkStart w:id="290" w:name="_Toc22060"/>
      <w:bookmarkStart w:id="291" w:name="_Toc152042321"/>
      <w:bookmarkStart w:id="292" w:name="_Toc144974513"/>
      <w:bookmarkStart w:id="293" w:name="_Toc20966"/>
      <w:bookmarkStart w:id="294" w:name="_Toc485211054"/>
      <w:bookmarkStart w:id="295" w:name="_Toc247527570"/>
      <w:bookmarkStart w:id="296" w:name="_Toc15828"/>
      <w:bookmarkStart w:id="297" w:name="_Toc9598"/>
      <w:bookmarkStart w:id="298" w:name="_Toc22980"/>
      <w:bookmarkStart w:id="299" w:name="_Toc152045545"/>
      <w:bookmarkStart w:id="300" w:name="_Toc13082"/>
      <w:bookmarkStart w:id="301" w:name="_Toc247513969"/>
      <w:bookmarkStart w:id="302" w:name="_Toc6379"/>
      <w:bookmarkStart w:id="303" w:name="_Toc27838"/>
      <w:r>
        <w:rPr>
          <w:rFonts w:hint="eastAsia" w:ascii="宋体" w:hAnsi="宋体" w:cs="宋体"/>
          <w:bCs/>
          <w:color w:val="auto"/>
          <w:sz w:val="24"/>
          <w:szCs w:val="24"/>
          <w:highlight w:val="none"/>
        </w:rPr>
        <w:t>2.3 招标文件的修改</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486FF86D">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2.3.1招标文件发出后,在提交投标文件截止时间15日前，招标人可对招标文件进行必要的澄清或修改。</w:t>
      </w:r>
    </w:p>
    <w:p w14:paraId="0ED83F1F">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2.3.2招标文件的澄清或修改在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网站上发布。招标文件的澄清或修改一经在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网站发布，视作已发放给所有投标人，招标文件的修改内容作为招标文件的组成部分，具有约束作用。</w:t>
      </w:r>
    </w:p>
    <w:p w14:paraId="0DA8AE3A">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2.3.3招标文件的澄清、修改均以</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网站发布的内容为准。当招标文件的澄清、修改在同一内容的表述不一致时，以</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网站最后发布的内容为准。</w:t>
      </w:r>
    </w:p>
    <w:p w14:paraId="0DC8DD6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2.3.4为使投标人在编制投标文件时有充分的时间对招标文件的澄清、修改、补充等内容考虑进去，招标人将酌情延长提交投标文件的截止时间，具体时间将在招标文件的修改、补充通知中予以明确。若通知中没有明确延长时间，即表示投标时间不延长。</w:t>
      </w:r>
    </w:p>
    <w:p w14:paraId="1AEDA9EE">
      <w:pPr>
        <w:keepNext/>
        <w:keepLines/>
        <w:spacing w:line="360" w:lineRule="auto"/>
        <w:outlineLvl w:val="1"/>
        <w:rPr>
          <w:rFonts w:hint="eastAsia" w:ascii="宋体" w:hAnsi="宋体" w:cs="宋体"/>
          <w:b/>
          <w:bCs/>
          <w:color w:val="auto"/>
          <w:sz w:val="28"/>
          <w:szCs w:val="28"/>
          <w:highlight w:val="none"/>
        </w:rPr>
      </w:pPr>
      <w:bookmarkStart w:id="304" w:name="_Toc20660"/>
      <w:bookmarkStart w:id="305" w:name="_Toc27747"/>
      <w:bookmarkStart w:id="306" w:name="_Toc18287"/>
      <w:bookmarkStart w:id="307" w:name="_Toc30688"/>
      <w:bookmarkStart w:id="308" w:name="_Toc13105"/>
      <w:bookmarkStart w:id="309" w:name="_Toc247527571"/>
      <w:bookmarkStart w:id="310" w:name="_Toc22993"/>
      <w:bookmarkStart w:id="311" w:name="_Toc485211055"/>
      <w:bookmarkStart w:id="312" w:name="_Toc152042322"/>
      <w:bookmarkStart w:id="313" w:name="_Toc11716"/>
      <w:bookmarkStart w:id="314" w:name="_Toc152045546"/>
      <w:bookmarkStart w:id="315" w:name="_Toc247513970"/>
      <w:bookmarkStart w:id="316" w:name="_Toc144974514"/>
      <w:bookmarkStart w:id="317" w:name="_Toc2293"/>
      <w:bookmarkStart w:id="318" w:name="_Toc11146"/>
      <w:r>
        <w:rPr>
          <w:rFonts w:hint="eastAsia" w:ascii="宋体" w:hAnsi="宋体" w:cs="宋体"/>
          <w:b/>
          <w:bCs/>
          <w:color w:val="auto"/>
          <w:sz w:val="28"/>
          <w:szCs w:val="28"/>
          <w:highlight w:val="none"/>
        </w:rPr>
        <w:t>3. 投标文件</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0C524BEA">
      <w:pPr>
        <w:keepNext/>
        <w:keepLines/>
        <w:spacing w:line="360" w:lineRule="auto"/>
        <w:outlineLvl w:val="2"/>
        <w:rPr>
          <w:rFonts w:hint="eastAsia" w:ascii="宋体" w:hAnsi="宋体" w:cs="宋体"/>
          <w:b/>
          <w:color w:val="auto"/>
          <w:sz w:val="24"/>
          <w:szCs w:val="24"/>
          <w:highlight w:val="none"/>
        </w:rPr>
      </w:pPr>
      <w:bookmarkStart w:id="319" w:name="_Toc485211056"/>
      <w:bookmarkStart w:id="320" w:name="_Toc384759593"/>
      <w:bookmarkStart w:id="321" w:name="_Toc152042323"/>
      <w:bookmarkStart w:id="322" w:name="_Toc247527572"/>
      <w:bookmarkStart w:id="323" w:name="_Toc10609"/>
      <w:bookmarkStart w:id="324" w:name="_Toc10975"/>
      <w:bookmarkStart w:id="325" w:name="_Toc152045547"/>
      <w:bookmarkStart w:id="326" w:name="_Toc247513971"/>
      <w:bookmarkStart w:id="327" w:name="_Toc31828"/>
      <w:bookmarkStart w:id="328" w:name="_Toc13959"/>
      <w:bookmarkStart w:id="329" w:name="_Toc18043"/>
      <w:bookmarkStart w:id="330" w:name="_Toc3746"/>
      <w:bookmarkStart w:id="331" w:name="_Toc436834149"/>
      <w:bookmarkStart w:id="332" w:name="_Toc144974515"/>
      <w:bookmarkStart w:id="333" w:name="_Toc19073"/>
      <w:bookmarkStart w:id="334" w:name="_Toc18769"/>
      <w:bookmarkStart w:id="335" w:name="_Toc678"/>
      <w:bookmarkStart w:id="336" w:name="_Toc436834742"/>
      <w:bookmarkStart w:id="337" w:name="_Toc16238"/>
      <w:r>
        <w:rPr>
          <w:rFonts w:hint="eastAsia" w:ascii="宋体" w:hAnsi="宋体" w:cs="宋体"/>
          <w:b/>
          <w:color w:val="auto"/>
          <w:sz w:val="24"/>
          <w:szCs w:val="24"/>
          <w:highlight w:val="none"/>
        </w:rPr>
        <w:t>3.1 投标文件的组成</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3AB8217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3.1.1 </w:t>
      </w:r>
      <w:r>
        <w:rPr>
          <w:rFonts w:hint="eastAsia" w:ascii="宋体" w:hAnsi="宋体" w:cs="宋体"/>
          <w:b/>
          <w:bCs/>
          <w:color w:val="auto"/>
          <w:sz w:val="24"/>
          <w:szCs w:val="24"/>
          <w:highlight w:val="none"/>
          <w:u w:val="single"/>
        </w:rPr>
        <w:t>投标文件由资格审查文件、形式评审文件、工程总承包实施方案响应性评审</w:t>
      </w:r>
      <w:r>
        <w:rPr>
          <w:rFonts w:hint="eastAsia" w:ascii="宋体" w:hAnsi="宋体" w:cs="宋体"/>
          <w:b/>
          <w:bCs/>
          <w:color w:val="auto"/>
          <w:sz w:val="24"/>
          <w:szCs w:val="24"/>
          <w:highlight w:val="none"/>
          <w:u w:val="single"/>
          <w:lang w:val="en-US" w:eastAsia="zh-CN"/>
        </w:rPr>
        <w:t>文件</w:t>
      </w:r>
      <w:r>
        <w:rPr>
          <w:rFonts w:hint="eastAsia" w:ascii="宋体" w:hAnsi="宋体" w:cs="宋体"/>
          <w:b/>
          <w:bCs/>
          <w:color w:val="auto"/>
          <w:sz w:val="24"/>
          <w:szCs w:val="24"/>
          <w:highlight w:val="none"/>
          <w:u w:val="single"/>
        </w:rPr>
        <w:t>、定标文件组成</w:t>
      </w:r>
      <w:r>
        <w:rPr>
          <w:rFonts w:hint="eastAsia" w:ascii="宋体" w:hAnsi="宋体" w:cs="宋体"/>
          <w:color w:val="auto"/>
          <w:sz w:val="24"/>
          <w:szCs w:val="24"/>
          <w:highlight w:val="none"/>
        </w:rPr>
        <w:t>。如招标文件没有格式规定的，由投标人自行编制。</w:t>
      </w:r>
    </w:p>
    <w:p w14:paraId="743368F1">
      <w:pPr>
        <w:spacing w:line="360" w:lineRule="auto"/>
        <w:ind w:firstLine="482" w:firstLineChars="200"/>
        <w:rPr>
          <w:rFonts w:hint="eastAsia" w:ascii="宋体" w:hAnsi="宋体" w:cs="宋体"/>
          <w:b/>
          <w:bCs/>
          <w:color w:val="auto"/>
          <w:sz w:val="24"/>
          <w:szCs w:val="24"/>
          <w:highlight w:val="none"/>
          <w:u w:val="single"/>
        </w:rPr>
      </w:pPr>
      <w:r>
        <w:rPr>
          <w:rFonts w:hint="eastAsia" w:ascii="宋体" w:hAnsi="宋体" w:cs="宋体"/>
          <w:b/>
          <w:bCs/>
          <w:color w:val="auto"/>
          <w:sz w:val="24"/>
          <w:szCs w:val="24"/>
          <w:highlight w:val="none"/>
          <w:u w:val="single"/>
        </w:rPr>
        <w:t>3.1.2资格审查文件包括但不限于下列内容：</w:t>
      </w:r>
    </w:p>
    <w:p w14:paraId="46144BA6">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（1）</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法定代表人证明书</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法定代表人授权委托书</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（联合体投标的，由联合体</w:t>
      </w:r>
      <w:r>
        <w:rPr>
          <w:rFonts w:hint="eastAsia" w:ascii="宋体" w:hAnsi="宋体" w:cs="宋体"/>
          <w:color w:val="auto"/>
          <w:kern w:val="0"/>
          <w:sz w:val="24"/>
          <w:szCs w:val="24"/>
          <w:highlight w:val="none"/>
          <w:u w:val="single"/>
          <w:lang w:eastAsia="zh-CN"/>
        </w:rPr>
        <w:t>牵头单位</w:t>
      </w:r>
      <w:r>
        <w:rPr>
          <w:rFonts w:hint="eastAsia" w:ascii="宋体" w:hAnsi="宋体" w:cs="宋体"/>
          <w:color w:val="auto"/>
          <w:kern w:val="0"/>
          <w:sz w:val="24"/>
          <w:szCs w:val="24"/>
          <w:highlight w:val="none"/>
          <w:u w:val="single"/>
        </w:rPr>
        <w:t>出具）；</w:t>
      </w:r>
    </w:p>
    <w:p w14:paraId="0387F0DB">
      <w:pPr>
        <w:spacing w:line="360" w:lineRule="auto"/>
        <w:ind w:firstLine="480" w:firstLineChars="200"/>
        <w:rPr>
          <w:rFonts w:hint="eastAsia" w:ascii="宋体" w:hAnsi="宋体" w:cs="宋体"/>
          <w:color w:val="auto"/>
          <w:kern w:val="0"/>
          <w:sz w:val="24"/>
          <w:szCs w:val="24"/>
          <w:highlight w:val="none"/>
          <w:u w:val="single"/>
          <w:lang w:eastAsia="zh-CN"/>
        </w:rPr>
      </w:pPr>
      <w:r>
        <w:rPr>
          <w:rFonts w:hint="eastAsia" w:ascii="宋体" w:hAnsi="宋体" w:cs="宋体"/>
          <w:color w:val="auto"/>
          <w:kern w:val="0"/>
          <w:sz w:val="24"/>
          <w:szCs w:val="24"/>
          <w:highlight w:val="none"/>
          <w:u w:val="single"/>
          <w:lang w:eastAsia="zh-CN"/>
        </w:rPr>
        <w:t>（3）企业营业执照扫描件或电子证照</w:t>
      </w:r>
      <w:r>
        <w:rPr>
          <w:rFonts w:hint="eastAsia" w:ascii="宋体" w:hAnsi="宋体" w:cs="宋体"/>
          <w:color w:val="auto"/>
          <w:kern w:val="0"/>
          <w:sz w:val="24"/>
          <w:szCs w:val="24"/>
          <w:highlight w:val="none"/>
          <w:u w:val="single"/>
        </w:rPr>
        <w:t>（联合体投标的，联合体各方均提供）；</w:t>
      </w:r>
    </w:p>
    <w:p w14:paraId="4BDB5B29">
      <w:pPr>
        <w:spacing w:line="360" w:lineRule="auto"/>
        <w:ind w:firstLine="480" w:firstLineChars="200"/>
        <w:rPr>
          <w:rFonts w:hint="eastAsia" w:ascii="宋体" w:hAnsi="宋体" w:cs="宋体"/>
          <w:color w:val="auto"/>
          <w:kern w:val="0"/>
          <w:sz w:val="24"/>
          <w:szCs w:val="24"/>
          <w:highlight w:val="none"/>
          <w:u w:val="single"/>
          <w:lang w:eastAsia="zh-CN"/>
        </w:rPr>
      </w:pPr>
      <w:r>
        <w:rPr>
          <w:rFonts w:hint="eastAsia" w:ascii="宋体" w:hAnsi="宋体" w:cs="宋体"/>
          <w:color w:val="auto"/>
          <w:kern w:val="0"/>
          <w:sz w:val="24"/>
          <w:szCs w:val="24"/>
          <w:highlight w:val="none"/>
          <w:u w:val="single"/>
          <w:lang w:eastAsia="zh-CN"/>
        </w:rPr>
        <w:t>（4）企业资质证书扫描件或电子证照；</w:t>
      </w:r>
      <w:r>
        <w:rPr>
          <w:rFonts w:hint="eastAsia" w:ascii="宋体" w:hAnsi="宋体" w:cs="宋体"/>
          <w:color w:val="auto"/>
          <w:kern w:val="0"/>
          <w:sz w:val="24"/>
          <w:szCs w:val="24"/>
          <w:highlight w:val="none"/>
          <w:u w:val="single"/>
        </w:rPr>
        <w:t>（联合体投标的，联合体各方均提供）</w:t>
      </w:r>
    </w:p>
    <w:p w14:paraId="21562644">
      <w:pPr>
        <w:spacing w:line="360" w:lineRule="auto"/>
        <w:ind w:firstLine="480" w:firstLineChars="200"/>
        <w:rPr>
          <w:rFonts w:hint="eastAsia" w:ascii="宋体" w:hAnsi="宋体" w:cs="宋体"/>
          <w:color w:val="auto"/>
          <w:kern w:val="0"/>
          <w:sz w:val="24"/>
          <w:szCs w:val="24"/>
          <w:highlight w:val="none"/>
          <w:u w:val="single"/>
          <w:lang w:eastAsia="zh-CN"/>
        </w:rPr>
      </w:pPr>
      <w:r>
        <w:rPr>
          <w:rFonts w:hint="eastAsia" w:ascii="宋体" w:hAnsi="宋体" w:cs="宋体"/>
          <w:color w:val="auto"/>
          <w:kern w:val="0"/>
          <w:sz w:val="24"/>
          <w:szCs w:val="24"/>
          <w:highlight w:val="none"/>
          <w:u w:val="single"/>
          <w:lang w:eastAsia="zh-CN"/>
        </w:rPr>
        <w:t>（5）建筑施工企业安全生产许可证扫描件或电子证照</w:t>
      </w:r>
      <w:r>
        <w:rPr>
          <w:rFonts w:hint="eastAsia" w:ascii="宋体" w:hAnsi="宋体" w:cs="宋体"/>
          <w:color w:val="auto"/>
          <w:kern w:val="0"/>
          <w:sz w:val="24"/>
          <w:szCs w:val="24"/>
          <w:highlight w:val="none"/>
          <w:u w:val="single"/>
        </w:rPr>
        <w:t>（联合体投标的，由</w:t>
      </w:r>
      <w:r>
        <w:rPr>
          <w:rFonts w:hint="eastAsia" w:ascii="宋体" w:hAnsi="宋体" w:cs="宋体"/>
          <w:color w:val="auto"/>
          <w:kern w:val="0"/>
          <w:sz w:val="24"/>
          <w:szCs w:val="24"/>
          <w:highlight w:val="none"/>
          <w:u w:val="single"/>
          <w:lang w:val="en-US" w:eastAsia="zh-CN"/>
        </w:rPr>
        <w:t>联合体牵头单位</w:t>
      </w:r>
      <w:r>
        <w:rPr>
          <w:rFonts w:hint="eastAsia" w:ascii="宋体" w:hAnsi="宋体" w:cs="宋体"/>
          <w:color w:val="auto"/>
          <w:kern w:val="0"/>
          <w:sz w:val="24"/>
          <w:szCs w:val="24"/>
          <w:highlight w:val="none"/>
          <w:u w:val="single"/>
        </w:rPr>
        <w:t>提供）</w:t>
      </w:r>
      <w:r>
        <w:rPr>
          <w:rFonts w:hint="eastAsia" w:ascii="宋体" w:hAnsi="宋体" w:cs="宋体"/>
          <w:color w:val="auto"/>
          <w:kern w:val="0"/>
          <w:sz w:val="24"/>
          <w:szCs w:val="24"/>
          <w:highlight w:val="none"/>
          <w:u w:val="single"/>
          <w:lang w:eastAsia="zh-CN"/>
        </w:rPr>
        <w:t>；</w:t>
      </w:r>
    </w:p>
    <w:p w14:paraId="0329C70A">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拟派项目负责人【（兼施工负责人，下同）联合体投标的，由联合体</w:t>
      </w:r>
      <w:r>
        <w:rPr>
          <w:rFonts w:hint="eastAsia" w:ascii="宋体" w:hAnsi="宋体" w:cs="宋体"/>
          <w:color w:val="auto"/>
          <w:kern w:val="0"/>
          <w:sz w:val="24"/>
          <w:szCs w:val="24"/>
          <w:highlight w:val="none"/>
          <w:u w:val="single"/>
          <w:lang w:eastAsia="zh-CN"/>
        </w:rPr>
        <w:t>牵头单位</w:t>
      </w:r>
      <w:r>
        <w:rPr>
          <w:rFonts w:hint="eastAsia" w:ascii="宋体" w:hAnsi="宋体" w:cs="宋体"/>
          <w:color w:val="auto"/>
          <w:kern w:val="0"/>
          <w:sz w:val="24"/>
          <w:szCs w:val="24"/>
          <w:highlight w:val="none"/>
          <w:u w:val="single"/>
        </w:rPr>
        <w:t>提供】的有效期内的建造师注册证书扫描件或电子证书；</w:t>
      </w:r>
    </w:p>
    <w:p w14:paraId="59CBDED3">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7</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拟派</w:t>
      </w:r>
      <w:r>
        <w:rPr>
          <w:rFonts w:hint="eastAsia" w:ascii="宋体" w:hAnsi="宋体" w:cs="宋体"/>
          <w:color w:val="auto"/>
          <w:kern w:val="0"/>
          <w:sz w:val="24"/>
          <w:szCs w:val="24"/>
          <w:highlight w:val="none"/>
          <w:u w:val="single"/>
          <w:lang w:eastAsia="zh-CN"/>
        </w:rPr>
        <w:t>项目负责人</w:t>
      </w:r>
      <w:r>
        <w:rPr>
          <w:rFonts w:hint="eastAsia" w:ascii="宋体" w:hAnsi="宋体" w:cs="宋体"/>
          <w:color w:val="auto"/>
          <w:kern w:val="0"/>
          <w:sz w:val="24"/>
          <w:szCs w:val="24"/>
          <w:highlight w:val="none"/>
          <w:u w:val="single"/>
        </w:rPr>
        <w:t>【（兼施工负责人，下同）联合体投标的，由联合体</w:t>
      </w:r>
      <w:r>
        <w:rPr>
          <w:rFonts w:hint="eastAsia" w:ascii="宋体" w:hAnsi="宋体" w:cs="宋体"/>
          <w:color w:val="auto"/>
          <w:kern w:val="0"/>
          <w:sz w:val="24"/>
          <w:szCs w:val="24"/>
          <w:highlight w:val="none"/>
          <w:u w:val="single"/>
          <w:lang w:eastAsia="zh-CN"/>
        </w:rPr>
        <w:t>牵头单位</w:t>
      </w:r>
      <w:r>
        <w:rPr>
          <w:rFonts w:hint="eastAsia" w:ascii="宋体" w:hAnsi="宋体" w:cs="宋体"/>
          <w:color w:val="auto"/>
          <w:kern w:val="0"/>
          <w:sz w:val="24"/>
          <w:szCs w:val="24"/>
          <w:highlight w:val="none"/>
          <w:u w:val="single"/>
        </w:rPr>
        <w:t>提供】</w:t>
      </w:r>
      <w:r>
        <w:rPr>
          <w:rFonts w:hint="eastAsia" w:ascii="宋体" w:hAnsi="宋体" w:cs="宋体"/>
          <w:color w:val="auto"/>
          <w:kern w:val="0"/>
          <w:sz w:val="24"/>
          <w:szCs w:val="24"/>
          <w:highlight w:val="none"/>
          <w:u w:val="single"/>
          <w:lang w:eastAsia="zh-CN"/>
        </w:rPr>
        <w:t>在有效期内的安全生产考核合格证书（B类）或建筑施工企业项目负责人安全生产考核合格证书</w:t>
      </w:r>
      <w:r>
        <w:rPr>
          <w:rFonts w:hint="eastAsia" w:ascii="宋体" w:hAnsi="宋体" w:cs="宋体"/>
          <w:b w:val="0"/>
          <w:bCs w:val="0"/>
          <w:color w:val="auto"/>
          <w:kern w:val="0"/>
          <w:sz w:val="24"/>
          <w:szCs w:val="24"/>
          <w:highlight w:val="none"/>
          <w:u w:val="single"/>
          <w:lang w:eastAsia="zh-CN"/>
        </w:rPr>
        <w:t>扫描件或电子证书</w:t>
      </w:r>
      <w:r>
        <w:rPr>
          <w:rFonts w:hint="eastAsia" w:ascii="宋体" w:hAnsi="宋体" w:cs="宋体"/>
          <w:color w:val="auto"/>
          <w:kern w:val="0"/>
          <w:sz w:val="24"/>
          <w:szCs w:val="24"/>
          <w:highlight w:val="none"/>
          <w:u w:val="single"/>
        </w:rPr>
        <w:t>；</w:t>
      </w:r>
    </w:p>
    <w:p w14:paraId="416CA5E0">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8</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拟派设计负责人（联合体投标的，由承担设计任务方提供）注册证书；香港专业人士参与投标的，须提供在广东省住房和城乡建设主管部门备案且备案的业务范围符合本招标项目对设计负责人要求的证明材料；</w:t>
      </w:r>
    </w:p>
    <w:p w14:paraId="1ED4257A">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9</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拟派施工技术负责人（联合体投标的，由联合体</w:t>
      </w:r>
      <w:r>
        <w:rPr>
          <w:rFonts w:hint="eastAsia" w:ascii="宋体" w:hAnsi="宋体" w:cs="宋体"/>
          <w:color w:val="auto"/>
          <w:kern w:val="0"/>
          <w:sz w:val="24"/>
          <w:szCs w:val="24"/>
          <w:highlight w:val="none"/>
          <w:u w:val="single"/>
          <w:lang w:eastAsia="zh-CN"/>
        </w:rPr>
        <w:t>牵头单位</w:t>
      </w:r>
      <w:r>
        <w:rPr>
          <w:rFonts w:hint="eastAsia" w:ascii="宋体" w:hAnsi="宋体" w:cs="宋体"/>
          <w:color w:val="auto"/>
          <w:kern w:val="0"/>
          <w:sz w:val="24"/>
          <w:szCs w:val="24"/>
          <w:highlight w:val="none"/>
          <w:u w:val="single"/>
        </w:rPr>
        <w:t>提供）职称证书；</w:t>
      </w:r>
    </w:p>
    <w:p w14:paraId="10109B07">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10</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拟派专职安全员（按网上投标登记时选择拟投标的专职安全员，联合体投标的，由联合体</w:t>
      </w:r>
      <w:r>
        <w:rPr>
          <w:rFonts w:hint="eastAsia" w:ascii="宋体" w:hAnsi="宋体" w:cs="宋体"/>
          <w:color w:val="auto"/>
          <w:kern w:val="0"/>
          <w:sz w:val="24"/>
          <w:szCs w:val="24"/>
          <w:highlight w:val="none"/>
          <w:u w:val="single"/>
          <w:lang w:eastAsia="zh-CN"/>
        </w:rPr>
        <w:t>牵头单位</w:t>
      </w:r>
      <w:r>
        <w:rPr>
          <w:rFonts w:hint="eastAsia" w:ascii="宋体" w:hAnsi="宋体" w:cs="宋体"/>
          <w:color w:val="auto"/>
          <w:kern w:val="0"/>
          <w:sz w:val="24"/>
          <w:szCs w:val="24"/>
          <w:highlight w:val="none"/>
          <w:u w:val="single"/>
        </w:rPr>
        <w:t>提供）在有效期内的安全考核合格证书（C类）或建筑施工企业专职安全生产管理人员安全生产考核合格证书（C3）</w:t>
      </w:r>
      <w:r>
        <w:rPr>
          <w:rFonts w:hint="eastAsia" w:ascii="宋体" w:hAnsi="宋体" w:cs="宋体"/>
          <w:b w:val="0"/>
          <w:bCs w:val="0"/>
          <w:color w:val="auto"/>
          <w:kern w:val="0"/>
          <w:sz w:val="24"/>
          <w:szCs w:val="24"/>
          <w:highlight w:val="none"/>
          <w:u w:val="single"/>
        </w:rPr>
        <w:t>扫描件或电子证书</w:t>
      </w:r>
      <w:r>
        <w:rPr>
          <w:rFonts w:hint="eastAsia" w:ascii="宋体" w:hAnsi="宋体" w:cs="宋体"/>
          <w:color w:val="auto"/>
          <w:kern w:val="0"/>
          <w:sz w:val="24"/>
          <w:szCs w:val="24"/>
          <w:highlight w:val="none"/>
          <w:u w:val="single"/>
        </w:rPr>
        <w:t>；</w:t>
      </w:r>
    </w:p>
    <w:p w14:paraId="5940C04A">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11</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投标人拟</w:t>
      </w:r>
      <w:r>
        <w:rPr>
          <w:rFonts w:hint="eastAsia" w:ascii="宋体" w:hAnsi="宋体" w:cs="宋体"/>
          <w:color w:val="auto"/>
          <w:kern w:val="0"/>
          <w:sz w:val="24"/>
          <w:szCs w:val="24"/>
          <w:highlight w:val="none"/>
          <w:u w:val="single"/>
          <w:lang w:val="en-US" w:eastAsia="zh-CN"/>
        </w:rPr>
        <w:t>派</w:t>
      </w:r>
      <w:r>
        <w:rPr>
          <w:rFonts w:hint="eastAsia" w:ascii="宋体" w:hAnsi="宋体" w:cs="宋体"/>
          <w:color w:val="auto"/>
          <w:kern w:val="0"/>
          <w:sz w:val="24"/>
          <w:szCs w:val="24"/>
          <w:highlight w:val="none"/>
          <w:u w:val="single"/>
        </w:rPr>
        <w:t>本工程</w:t>
      </w:r>
      <w:r>
        <w:rPr>
          <w:rFonts w:hint="eastAsia" w:ascii="宋体" w:hAnsi="宋体" w:cs="宋体"/>
          <w:color w:val="auto"/>
          <w:kern w:val="0"/>
          <w:sz w:val="24"/>
          <w:szCs w:val="24"/>
          <w:highlight w:val="none"/>
          <w:u w:val="single"/>
          <w:lang w:val="en-US" w:eastAsia="zh-CN"/>
        </w:rPr>
        <w:t>的</w:t>
      </w:r>
      <w:r>
        <w:rPr>
          <w:rFonts w:hint="eastAsia" w:ascii="宋体" w:hAnsi="宋体" w:cs="宋体"/>
          <w:color w:val="auto"/>
          <w:kern w:val="0"/>
          <w:sz w:val="24"/>
          <w:szCs w:val="24"/>
          <w:highlight w:val="none"/>
          <w:u w:val="single"/>
        </w:rPr>
        <w:t>项目负责人</w:t>
      </w:r>
      <w:r>
        <w:rPr>
          <w:rFonts w:hint="eastAsia" w:ascii="宋体" w:hAnsi="宋体" w:cs="宋体"/>
          <w:color w:val="auto"/>
          <w:sz w:val="24"/>
          <w:szCs w:val="24"/>
          <w:highlight w:val="none"/>
          <w:u w:val="single"/>
        </w:rPr>
        <w:t>（兼施工负责人）</w:t>
      </w:r>
      <w:r>
        <w:rPr>
          <w:rFonts w:hint="eastAsia" w:ascii="宋体" w:hAnsi="宋体" w:cs="宋体"/>
          <w:color w:val="auto"/>
          <w:kern w:val="0"/>
          <w:sz w:val="24"/>
          <w:szCs w:val="24"/>
          <w:highlight w:val="none"/>
          <w:u w:val="single"/>
        </w:rPr>
        <w:t>、设计负责人、施工技术负责人和专职安全员近一个月（202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u w:val="single"/>
        </w:rPr>
        <w:t>年</w:t>
      </w:r>
      <w:r>
        <w:rPr>
          <w:rFonts w:hint="eastAsia" w:ascii="宋体" w:hAnsi="宋体" w:cs="宋体"/>
          <w:color w:val="auto"/>
          <w:kern w:val="0"/>
          <w:sz w:val="24"/>
          <w:szCs w:val="24"/>
          <w:highlight w:val="none"/>
          <w:u w:val="single"/>
          <w:lang w:val="en-US" w:eastAsia="zh-CN"/>
        </w:rPr>
        <w:t>2</w:t>
      </w:r>
      <w:r>
        <w:rPr>
          <w:rFonts w:hint="eastAsia" w:ascii="宋体" w:hAnsi="宋体" w:cs="宋体"/>
          <w:color w:val="auto"/>
          <w:kern w:val="0"/>
          <w:sz w:val="24"/>
          <w:szCs w:val="24"/>
          <w:highlight w:val="none"/>
          <w:u w:val="single"/>
        </w:rPr>
        <w:t>月）的社保证明材料，社保证明需能反映参保人在相应单位（含分公司等分支机构）缴纳</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若当地政策</w:t>
      </w:r>
      <w:r>
        <w:rPr>
          <w:rFonts w:hint="eastAsia" w:ascii="宋体" w:hAnsi="宋体" w:cs="宋体"/>
          <w:color w:val="auto"/>
          <w:kern w:val="0"/>
          <w:sz w:val="24"/>
          <w:szCs w:val="24"/>
          <w:highlight w:val="none"/>
          <w:u w:val="single"/>
          <w:lang w:val="en-US" w:eastAsia="zh-CN"/>
        </w:rPr>
        <w:t>对</w:t>
      </w:r>
      <w:r>
        <w:rPr>
          <w:rFonts w:hint="eastAsia" w:ascii="宋体" w:hAnsi="宋体" w:cs="宋体"/>
          <w:color w:val="auto"/>
          <w:kern w:val="0"/>
          <w:sz w:val="24"/>
          <w:szCs w:val="24"/>
          <w:highlight w:val="none"/>
          <w:u w:val="single"/>
        </w:rPr>
        <w:t>缴纳社保</w:t>
      </w:r>
      <w:r>
        <w:rPr>
          <w:rFonts w:hint="eastAsia" w:ascii="宋体" w:hAnsi="宋体" w:cs="宋体"/>
          <w:color w:val="auto"/>
          <w:kern w:val="0"/>
          <w:sz w:val="24"/>
          <w:szCs w:val="24"/>
          <w:highlight w:val="none"/>
          <w:u w:val="single"/>
          <w:lang w:val="en-US" w:eastAsia="zh-CN"/>
        </w:rPr>
        <w:t>有不同的规定</w:t>
      </w:r>
      <w:r>
        <w:rPr>
          <w:rFonts w:hint="eastAsia" w:ascii="宋体" w:hAnsi="宋体" w:cs="宋体"/>
          <w:color w:val="auto"/>
          <w:kern w:val="0"/>
          <w:sz w:val="24"/>
          <w:szCs w:val="24"/>
          <w:highlight w:val="none"/>
          <w:u w:val="single"/>
        </w:rPr>
        <w:t>，可提供202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u w:val="single"/>
        </w:rPr>
        <w:t>年</w:t>
      </w:r>
      <w:r>
        <w:rPr>
          <w:rFonts w:hint="eastAsia" w:ascii="宋体" w:hAnsi="宋体" w:cs="宋体"/>
          <w:color w:val="auto"/>
          <w:kern w:val="0"/>
          <w:sz w:val="24"/>
          <w:szCs w:val="24"/>
          <w:highlight w:val="none"/>
          <w:u w:val="single"/>
          <w:lang w:val="en-US" w:eastAsia="zh-CN"/>
        </w:rPr>
        <w:t>1</w:t>
      </w:r>
      <w:r>
        <w:rPr>
          <w:rFonts w:hint="eastAsia" w:ascii="宋体" w:hAnsi="宋体" w:cs="宋体"/>
          <w:color w:val="auto"/>
          <w:kern w:val="0"/>
          <w:sz w:val="24"/>
          <w:szCs w:val="24"/>
          <w:highlight w:val="none"/>
          <w:u w:val="single"/>
        </w:rPr>
        <w:t>月在投标单位购买社保缴纳证明材料，须同时提供允许隔月缴纳社保的相关证明文件；若当地政府部门允许企业缓缴社会保险费且投标人未缴纳的，投标人可提供当地政府部门允许缓缴社保的相关文件作为缴纳社保的证明。</w:t>
      </w:r>
    </w:p>
    <w:p w14:paraId="498E3F14">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12</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《投标人声明》【按招标公告附件一要求编制（联合体投标的，由联合体</w:t>
      </w:r>
      <w:r>
        <w:rPr>
          <w:rFonts w:hint="eastAsia" w:ascii="宋体" w:hAnsi="宋体" w:cs="宋体"/>
          <w:color w:val="auto"/>
          <w:kern w:val="0"/>
          <w:sz w:val="24"/>
          <w:szCs w:val="24"/>
          <w:highlight w:val="none"/>
          <w:u w:val="single"/>
          <w:lang w:eastAsia="zh-CN"/>
        </w:rPr>
        <w:t>牵头单位</w:t>
      </w:r>
      <w:r>
        <w:rPr>
          <w:rFonts w:hint="eastAsia" w:ascii="宋体" w:hAnsi="宋体" w:cs="宋体"/>
          <w:color w:val="auto"/>
          <w:kern w:val="0"/>
          <w:sz w:val="24"/>
          <w:szCs w:val="24"/>
          <w:highlight w:val="none"/>
          <w:u w:val="single"/>
        </w:rPr>
        <w:t>出具）】；</w:t>
      </w:r>
    </w:p>
    <w:p w14:paraId="490FE8AD">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13</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《联合体共同投标协议》（如有，</w:t>
      </w:r>
      <w:r>
        <w:rPr>
          <w:rFonts w:hint="eastAsia" w:ascii="宋体" w:hAnsi="宋体" w:cs="宋体"/>
          <w:color w:val="auto"/>
          <w:kern w:val="0"/>
          <w:sz w:val="24"/>
          <w:szCs w:val="24"/>
          <w:highlight w:val="none"/>
          <w:u w:val="single"/>
          <w:lang w:val="en-US" w:eastAsia="zh-CN"/>
        </w:rPr>
        <w:t>可参考</w:t>
      </w:r>
      <w:r>
        <w:rPr>
          <w:rFonts w:hint="eastAsia" w:ascii="宋体" w:hAnsi="宋体" w:cs="宋体"/>
          <w:color w:val="auto"/>
          <w:kern w:val="0"/>
          <w:sz w:val="24"/>
          <w:szCs w:val="24"/>
          <w:highlight w:val="none"/>
          <w:u w:val="single"/>
        </w:rPr>
        <w:t>招标公告附件二编制，联合体投标的需提供）；</w:t>
      </w:r>
    </w:p>
    <w:p w14:paraId="75B696C7">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14</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资格审查前（若为联合体投标，指联合体各方），投标人在广州市住房和城乡建设局建立企业信用档案，且拟担任本项目的项目负责人（兼施工项目负责人）、专职安全员、设计负责人是本企业信用档案中的在册人员（联合体投标的，信用档案信息和人员在册情况为联合体共同投标协议书中分工对应广州市住建行业信用管理平台信息）。企业信用档案取自投标截止时间投标人在信用管理平台的信息，投标人无需提交相关资料，若招标人延长递交投标文件截止时间的，信用档案信息的评审时点也相应延长。（信用档案办理详见《广州市住建行业信用管理平台设计企业信息录入指引》、《广州市住建行业信用管理平台施工企业信息录入指引》）。</w:t>
      </w:r>
    </w:p>
    <w:p w14:paraId="0B9AE45F">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lang w:val="en-US" w:eastAsia="zh-CN"/>
        </w:rPr>
        <w:t>15</w:t>
      </w:r>
      <w:r>
        <w:rPr>
          <w:rFonts w:hint="eastAsia" w:ascii="宋体" w:hAnsi="宋体" w:cs="宋体"/>
          <w:color w:val="auto"/>
          <w:kern w:val="0"/>
          <w:sz w:val="24"/>
          <w:szCs w:val="24"/>
          <w:highlight w:val="none"/>
          <w:u w:val="single"/>
          <w:lang w:eastAsia="zh-CN"/>
        </w:rPr>
        <w:t>）</w:t>
      </w:r>
      <w:r>
        <w:rPr>
          <w:rFonts w:hint="eastAsia" w:ascii="宋体" w:hAnsi="宋体" w:cs="宋体"/>
          <w:color w:val="auto"/>
          <w:kern w:val="0"/>
          <w:sz w:val="24"/>
          <w:szCs w:val="24"/>
          <w:highlight w:val="none"/>
          <w:u w:val="single"/>
        </w:rPr>
        <w:t>投标人（联合体投标的，指联合体各方）未被列入拖欠农民工工资失信联合惩戒对象名单。</w:t>
      </w:r>
      <w:r>
        <w:rPr>
          <w:rFonts w:hint="eastAsia" w:ascii="宋体" w:hAnsi="宋体"/>
          <w:color w:val="auto"/>
          <w:sz w:val="24"/>
          <w:szCs w:val="24"/>
          <w:highlight w:val="none"/>
          <w:u w:val="single"/>
        </w:rPr>
        <w:t>（本项评审投标人无需提供资料，按</w:t>
      </w:r>
      <w:r>
        <w:rPr>
          <w:rFonts w:hint="eastAsia" w:ascii="宋体" w:hAnsi="宋体"/>
          <w:color w:val="auto"/>
          <w:sz w:val="24"/>
          <w:szCs w:val="24"/>
          <w:highlight w:val="none"/>
          <w:u w:val="single"/>
          <w:lang w:val="en-US" w:eastAsia="zh-CN"/>
        </w:rPr>
        <w:t>投标截止时间</w:t>
      </w:r>
      <w:r>
        <w:rPr>
          <w:rFonts w:hint="eastAsia" w:ascii="宋体" w:hAnsi="宋体"/>
          <w:color w:val="auto"/>
          <w:sz w:val="24"/>
          <w:szCs w:val="24"/>
          <w:highlight w:val="none"/>
          <w:u w:val="single"/>
          <w:lang w:eastAsia="zh-CN"/>
        </w:rPr>
        <w:t>广州交易集团有限公司（广州公共资源交易中心）</w:t>
      </w:r>
      <w:r>
        <w:rPr>
          <w:rFonts w:hint="eastAsia" w:ascii="宋体" w:hAnsi="宋体"/>
          <w:color w:val="auto"/>
          <w:sz w:val="24"/>
          <w:szCs w:val="24"/>
          <w:highlight w:val="none"/>
          <w:u w:val="single"/>
        </w:rPr>
        <w:t>交易系统比对的结果进行评审）</w:t>
      </w:r>
    </w:p>
    <w:p w14:paraId="5CE5643D">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w:t>
      </w:r>
      <w:r>
        <w:rPr>
          <w:rFonts w:hint="eastAsia" w:ascii="宋体" w:hAnsi="宋体" w:cs="宋体"/>
          <w:color w:val="auto"/>
          <w:kern w:val="0"/>
          <w:sz w:val="24"/>
          <w:szCs w:val="24"/>
          <w:highlight w:val="none"/>
          <w:u w:val="single"/>
          <w:lang w:val="en-US" w:eastAsia="zh-CN"/>
        </w:rPr>
        <w:t>16</w:t>
      </w:r>
      <w:r>
        <w:rPr>
          <w:rFonts w:hint="eastAsia" w:ascii="宋体" w:hAnsi="宋体" w:cs="宋体"/>
          <w:color w:val="auto"/>
          <w:kern w:val="0"/>
          <w:sz w:val="24"/>
          <w:szCs w:val="24"/>
          <w:highlight w:val="none"/>
          <w:u w:val="single"/>
        </w:rPr>
        <w:t>）投标人认为需要提交的其他资料。</w:t>
      </w:r>
    </w:p>
    <w:p w14:paraId="46B1D567">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注：</w:t>
      </w:r>
      <w:r>
        <w:rPr>
          <w:rFonts w:hint="eastAsia" w:ascii="宋体" w:hAnsi="宋体" w:cs="宋体"/>
          <w:color w:val="auto"/>
          <w:kern w:val="0"/>
          <w:sz w:val="24"/>
          <w:szCs w:val="24"/>
          <w:highlight w:val="none"/>
          <w:u w:val="single"/>
          <w:lang w:val="en-US" w:eastAsia="zh-CN"/>
        </w:rPr>
        <w:t>1.</w:t>
      </w:r>
      <w:r>
        <w:rPr>
          <w:rFonts w:hint="eastAsia" w:ascii="宋体" w:hAnsi="宋体" w:cs="宋体"/>
          <w:color w:val="auto"/>
          <w:kern w:val="0"/>
          <w:sz w:val="24"/>
          <w:szCs w:val="24"/>
          <w:highlight w:val="none"/>
          <w:u w:val="single"/>
        </w:rPr>
        <w:t>根据《建筑施工企业主要负责人、项目负责人和专职安全生产管理人员安全生产管理规定》（住房城乡建设部令第17号）《关于印发建筑施工企业主要负责人、项目负责人和专职安全生产管理人员安全生产管理规定实施意见的通知》（建质〔2015〕206号），若投标人所属地区建设行政主管部门已对专职安全生产管理人员实施机械、土建、综合分类管理的，本项目要求安全生产考核合格证（C类）或建筑施工企业专职安全生产管理人员安全生产考核合格证书须为综合类（C3）。其中，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p w14:paraId="00DD9F43">
      <w:pPr>
        <w:spacing w:line="360" w:lineRule="auto"/>
        <w:ind w:firstLine="482" w:firstLineChars="200"/>
        <w:rPr>
          <w:rFonts w:hint="eastAsia" w:ascii="宋体" w:hAnsi="宋体" w:cs="宋体"/>
          <w:b/>
          <w:bCs/>
          <w:color w:val="auto"/>
          <w:kern w:val="0"/>
          <w:sz w:val="24"/>
          <w:szCs w:val="24"/>
          <w:highlight w:val="none"/>
          <w:u w:val="single"/>
        </w:rPr>
      </w:pPr>
      <w:r>
        <w:rPr>
          <w:rFonts w:hint="eastAsia" w:ascii="宋体" w:hAnsi="宋体" w:cs="宋体"/>
          <w:b/>
          <w:bCs/>
          <w:color w:val="auto"/>
          <w:kern w:val="0"/>
          <w:sz w:val="24"/>
          <w:szCs w:val="24"/>
          <w:highlight w:val="none"/>
          <w:u w:val="single"/>
          <w:lang w:val="en-US" w:eastAsia="zh-CN"/>
        </w:rPr>
        <w:t>2</w:t>
      </w:r>
      <w:r>
        <w:rPr>
          <w:rFonts w:hint="eastAsia" w:ascii="宋体" w:hAnsi="宋体" w:cs="宋体"/>
          <w:b/>
          <w:bCs/>
          <w:color w:val="auto"/>
          <w:kern w:val="0"/>
          <w:sz w:val="24"/>
          <w:szCs w:val="24"/>
          <w:highlight w:val="none"/>
          <w:u w:val="single"/>
        </w:rPr>
        <w:t>.相关电子证书按规定需打印后手写本人签名的，应按照规定手写本人签名后再扫描提交。</w:t>
      </w:r>
    </w:p>
    <w:p w14:paraId="56C66367">
      <w:pPr>
        <w:spacing w:line="360" w:lineRule="auto"/>
        <w:ind w:firstLine="482" w:firstLineChars="200"/>
        <w:rPr>
          <w:rFonts w:hint="eastAsia"/>
          <w:color w:val="auto"/>
          <w:highlight w:val="none"/>
        </w:rPr>
      </w:pPr>
      <w:r>
        <w:rPr>
          <w:rFonts w:hint="eastAsia" w:ascii="宋体" w:hAnsi="宋体" w:cs="宋体"/>
          <w:b/>
          <w:bCs/>
          <w:color w:val="auto"/>
          <w:kern w:val="0"/>
          <w:sz w:val="24"/>
          <w:szCs w:val="24"/>
          <w:highlight w:val="none"/>
          <w:u w:val="single"/>
          <w:lang w:val="en-US" w:eastAsia="zh-CN"/>
        </w:rPr>
        <w:t>3</w:t>
      </w:r>
      <w:r>
        <w:rPr>
          <w:rFonts w:hint="eastAsia" w:ascii="宋体" w:hAnsi="宋体" w:cs="宋体"/>
          <w:b/>
          <w:bCs/>
          <w:color w:val="auto"/>
          <w:kern w:val="0"/>
          <w:sz w:val="24"/>
          <w:szCs w:val="24"/>
          <w:highlight w:val="none"/>
          <w:u w:val="single"/>
        </w:rPr>
        <w:t>.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4989AB3D">
      <w:pPr>
        <w:wordWrap w:val="0"/>
        <w:snapToGrid w:val="0"/>
        <w:spacing w:line="360" w:lineRule="auto"/>
        <w:ind w:firstLine="482" w:firstLineChars="200"/>
        <w:rPr>
          <w:rFonts w:hint="eastAsia" w:ascii="宋体" w:hAnsi="宋体" w:cs="宋体"/>
          <w:b/>
          <w:bCs/>
          <w:color w:val="auto"/>
          <w:sz w:val="24"/>
          <w:highlight w:val="none"/>
          <w:u w:val="single"/>
        </w:rPr>
      </w:pPr>
      <w:r>
        <w:rPr>
          <w:rFonts w:hint="eastAsia" w:ascii="宋体" w:hAnsi="宋体" w:cs="宋体"/>
          <w:b/>
          <w:bCs/>
          <w:color w:val="auto"/>
          <w:sz w:val="24"/>
          <w:highlight w:val="none"/>
          <w:u w:val="single"/>
        </w:rPr>
        <w:t>3.1.3形式评审文件和响应性评审文件</w:t>
      </w:r>
      <w:r>
        <w:rPr>
          <w:rFonts w:hint="eastAsia" w:ascii="宋体" w:hAnsi="宋体" w:cs="宋体"/>
          <w:b/>
          <w:bCs/>
          <w:color w:val="auto"/>
          <w:sz w:val="24"/>
          <w:szCs w:val="24"/>
          <w:highlight w:val="none"/>
          <w:u w:val="single"/>
        </w:rPr>
        <w:t>包括但不限于下列内容：</w:t>
      </w:r>
    </w:p>
    <w:p w14:paraId="37E4D64F">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（1）投标承诺书（见招标文件第六章 格式二）；</w:t>
      </w:r>
    </w:p>
    <w:p w14:paraId="031BE987">
      <w:pPr>
        <w:pStyle w:val="23"/>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（2）投标书</w:t>
      </w:r>
      <w:r>
        <w:rPr>
          <w:rFonts w:hint="eastAsia" w:ascii="宋体" w:hAnsi="宋体" w:cs="宋体"/>
          <w:color w:val="auto"/>
          <w:kern w:val="0"/>
          <w:sz w:val="24"/>
          <w:szCs w:val="24"/>
          <w:highlight w:val="none"/>
          <w:u w:val="single"/>
        </w:rPr>
        <w:t>（见招标文件第六章 格式三）；</w:t>
      </w:r>
    </w:p>
    <w:p w14:paraId="7D47087B">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（3）合同承诺书</w:t>
      </w:r>
      <w:r>
        <w:rPr>
          <w:rFonts w:hint="eastAsia" w:ascii="宋体" w:hAnsi="宋体" w:cs="宋体"/>
          <w:color w:val="auto"/>
          <w:kern w:val="0"/>
          <w:sz w:val="24"/>
          <w:szCs w:val="24"/>
          <w:highlight w:val="none"/>
          <w:u w:val="single"/>
        </w:rPr>
        <w:t>（见招标文件第六章 格式五）；</w:t>
      </w:r>
    </w:p>
    <w:p w14:paraId="1EBB51AC">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（4）危险性较大的分部分项工程清单及超过一定规模的危险性较大的分部分项工程清单</w:t>
      </w:r>
      <w:r>
        <w:rPr>
          <w:rFonts w:hint="eastAsia" w:ascii="宋体" w:hAnsi="宋体" w:cs="宋体"/>
          <w:color w:val="auto"/>
          <w:kern w:val="0"/>
          <w:sz w:val="24"/>
          <w:szCs w:val="24"/>
          <w:highlight w:val="none"/>
          <w:u w:val="single"/>
        </w:rPr>
        <w:t>（见招标文件第六章 格式六）；</w:t>
      </w:r>
    </w:p>
    <w:p w14:paraId="2F34E41E">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（5）投标报价（见招标文件第六章 格式七）；</w:t>
      </w:r>
    </w:p>
    <w:p w14:paraId="573566BD">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（6）工程总承包项目管理团队人员信息表（见招标文件第六章 格式八）；</w:t>
      </w:r>
    </w:p>
    <w:p w14:paraId="56408161">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（7）</w:t>
      </w:r>
      <w:r>
        <w:rPr>
          <w:rFonts w:hint="eastAsia" w:ascii="宋体" w:hAnsi="宋体" w:cs="宋体"/>
          <w:color w:val="auto"/>
          <w:sz w:val="24"/>
          <w:szCs w:val="24"/>
          <w:highlight w:val="none"/>
          <w:u w:val="single"/>
        </w:rPr>
        <w:t>参与编制投标文件人员名单</w:t>
      </w:r>
      <w:r>
        <w:rPr>
          <w:rFonts w:hint="eastAsia" w:ascii="宋体" w:hAnsi="宋体" w:cs="宋体"/>
          <w:color w:val="auto"/>
          <w:kern w:val="0"/>
          <w:sz w:val="24"/>
          <w:szCs w:val="24"/>
          <w:highlight w:val="none"/>
          <w:u w:val="single"/>
        </w:rPr>
        <w:t>（见招标文件第六章 格式四）；</w:t>
      </w:r>
    </w:p>
    <w:p w14:paraId="6A7B62E0">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kern w:val="0"/>
          <w:sz w:val="24"/>
          <w:szCs w:val="24"/>
          <w:highlight w:val="none"/>
          <w:u w:val="single"/>
        </w:rPr>
        <w:t>（8）投标人根据招标文件要求认为需要提交的其它文件。</w:t>
      </w:r>
    </w:p>
    <w:p w14:paraId="62A9C278">
      <w:pPr>
        <w:spacing w:line="360" w:lineRule="auto"/>
        <w:ind w:firstLine="482" w:firstLineChars="200"/>
        <w:rPr>
          <w:rFonts w:hint="eastAsia" w:ascii="宋体" w:hAnsi="宋体" w:cs="宋体"/>
          <w:b/>
          <w:color w:val="auto"/>
          <w:sz w:val="24"/>
          <w:szCs w:val="24"/>
          <w:highlight w:val="none"/>
          <w:u w:val="single"/>
        </w:rPr>
      </w:pPr>
      <w:r>
        <w:rPr>
          <w:rFonts w:hint="eastAsia" w:ascii="宋体" w:hAnsi="宋体" w:cs="宋体"/>
          <w:b/>
          <w:color w:val="auto"/>
          <w:sz w:val="24"/>
          <w:szCs w:val="24"/>
          <w:highlight w:val="none"/>
          <w:u w:val="single"/>
        </w:rPr>
        <w:t>3.1.4定标文件包括但不限于下列内容：</w:t>
      </w:r>
    </w:p>
    <w:p w14:paraId="1A8B7D85">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（1）投标报价；</w:t>
      </w:r>
    </w:p>
    <w:p w14:paraId="0FA533AA">
      <w:pPr>
        <w:pStyle w:val="8"/>
        <w:spacing w:after="0"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）工程总承包方案</w:t>
      </w:r>
      <w:r>
        <w:rPr>
          <w:rFonts w:hint="eastAsia" w:ascii="宋体" w:hAnsi="宋体" w:cs="宋体"/>
          <w:color w:val="auto"/>
          <w:sz w:val="24"/>
          <w:szCs w:val="24"/>
          <w:highlight w:val="none"/>
          <w:u w:val="single"/>
          <w:lang w:eastAsia="zh-CN"/>
        </w:rPr>
        <w:t>：</w:t>
      </w:r>
      <w:r>
        <w:rPr>
          <w:rFonts w:hint="eastAsia" w:ascii="宋体" w:hAnsi="宋体" w:cs="宋体"/>
          <w:b/>
          <w:bCs/>
          <w:color w:val="auto"/>
          <w:sz w:val="24"/>
          <w:szCs w:val="24"/>
          <w:highlight w:val="none"/>
          <w:u w:val="single"/>
        </w:rPr>
        <w:t>投标人在编制方案时应按照招标文件</w:t>
      </w:r>
      <w:r>
        <w:rPr>
          <w:rFonts w:hint="eastAsia" w:ascii="宋体" w:hAnsi="宋体" w:cs="宋体"/>
          <w:b/>
          <w:bCs/>
          <w:color w:val="auto"/>
          <w:sz w:val="24"/>
          <w:szCs w:val="24"/>
          <w:highlight w:val="none"/>
          <w:u w:val="single"/>
          <w:lang w:val="en-US" w:eastAsia="zh-CN"/>
        </w:rPr>
        <w:t>的定标因素表</w:t>
      </w:r>
      <w:r>
        <w:rPr>
          <w:rFonts w:hint="eastAsia" w:ascii="宋体" w:hAnsi="宋体" w:cs="宋体"/>
          <w:b/>
          <w:bCs/>
          <w:color w:val="auto"/>
          <w:sz w:val="24"/>
          <w:szCs w:val="24"/>
          <w:highlight w:val="none"/>
          <w:u w:val="single"/>
        </w:rPr>
        <w:t>要求，并针对本项目的关键技术、工艺、重点、难点</w:t>
      </w:r>
      <w:r>
        <w:rPr>
          <w:rFonts w:hint="eastAsia" w:ascii="宋体" w:hAnsi="宋体" w:cs="宋体"/>
          <w:b/>
          <w:bCs/>
          <w:color w:val="auto"/>
          <w:sz w:val="24"/>
          <w:szCs w:val="24"/>
          <w:highlight w:val="none"/>
          <w:u w:val="single"/>
          <w:lang w:eastAsia="zh-CN"/>
        </w:rPr>
        <w:t>、设计服务方案</w:t>
      </w:r>
      <w:r>
        <w:rPr>
          <w:rFonts w:hint="eastAsia" w:ascii="宋体" w:hAnsi="宋体" w:cs="宋体"/>
          <w:b/>
          <w:bCs/>
          <w:color w:val="auto"/>
          <w:sz w:val="24"/>
          <w:szCs w:val="24"/>
          <w:highlight w:val="none"/>
          <w:u w:val="single"/>
        </w:rPr>
        <w:t>以及拟在本项目采用的新工艺、新技术、新材料编制，应突出重点，标准、规范中已有的内容无需赘述，一般篇幅不宜超过150页；对于技术特别复杂，施工工艺超出国家标准的项目，方案的篇幅要求可适当放宽，但不宜超过200页。超过部分不予评审。</w:t>
      </w:r>
    </w:p>
    <w:p w14:paraId="60361948">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按照《定标因素表》的要求或</w:t>
      </w:r>
      <w:r>
        <w:rPr>
          <w:rFonts w:hint="eastAsia" w:ascii="宋体" w:hAnsi="宋体" w:cs="宋体"/>
          <w:color w:val="auto"/>
          <w:sz w:val="24"/>
          <w:szCs w:val="24"/>
          <w:highlight w:val="none"/>
          <w:u w:val="single"/>
        </w:rPr>
        <w:t>投标人</w:t>
      </w:r>
      <w:r>
        <w:rPr>
          <w:rFonts w:hint="eastAsia" w:ascii="宋体" w:hAnsi="宋体" w:cs="宋体"/>
          <w:color w:val="auto"/>
          <w:kern w:val="0"/>
          <w:sz w:val="24"/>
          <w:szCs w:val="24"/>
          <w:highlight w:val="none"/>
          <w:u w:val="single"/>
        </w:rPr>
        <w:t>实施本项目的其他优势证明资料。</w:t>
      </w:r>
    </w:p>
    <w:p w14:paraId="67729613">
      <w:pPr>
        <w:spacing w:line="360" w:lineRule="auto"/>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注：投标人应根据电子招标文件中“定标文件”各模块对应上传定标因素资料。</w:t>
      </w:r>
    </w:p>
    <w:p w14:paraId="768F70D1">
      <w:pPr>
        <w:keepNext/>
        <w:keepLines/>
        <w:spacing w:line="360" w:lineRule="auto"/>
        <w:outlineLvl w:val="2"/>
        <w:rPr>
          <w:rFonts w:hint="eastAsia" w:ascii="宋体" w:hAnsi="宋体" w:cs="宋体"/>
          <w:bCs/>
          <w:color w:val="auto"/>
          <w:sz w:val="24"/>
          <w:szCs w:val="24"/>
          <w:highlight w:val="none"/>
        </w:rPr>
      </w:pPr>
      <w:bookmarkStart w:id="338" w:name="_Toc19364"/>
      <w:bookmarkStart w:id="339" w:name="_Toc152045548"/>
      <w:bookmarkStart w:id="340" w:name="_Toc29223"/>
      <w:bookmarkStart w:id="341" w:name="_Toc144974516"/>
      <w:bookmarkStart w:id="342" w:name="_Toc152042324"/>
      <w:bookmarkStart w:id="343" w:name="_Toc8042"/>
      <w:bookmarkStart w:id="344" w:name="_Toc399165392"/>
      <w:bookmarkStart w:id="345" w:name="_Toc6661"/>
      <w:bookmarkStart w:id="346" w:name="_Toc8600"/>
      <w:bookmarkStart w:id="347" w:name="_Toc92"/>
      <w:bookmarkStart w:id="348" w:name="_Toc300834969"/>
      <w:bookmarkStart w:id="349" w:name="_Toc436834150"/>
      <w:bookmarkStart w:id="350" w:name="_Toc485211057"/>
      <w:bookmarkStart w:id="351" w:name="_Toc247513972"/>
      <w:bookmarkStart w:id="352" w:name="_Toc247527573"/>
      <w:bookmarkStart w:id="353" w:name="_Toc3423"/>
      <w:bookmarkStart w:id="354" w:name="_Toc12966"/>
      <w:bookmarkStart w:id="355" w:name="_Toc32164"/>
      <w:bookmarkStart w:id="356" w:name="_Toc436834743"/>
      <w:bookmarkStart w:id="357" w:name="_Toc24837"/>
      <w:r>
        <w:rPr>
          <w:rFonts w:hint="eastAsia" w:ascii="宋体" w:hAnsi="宋体" w:cs="宋体"/>
          <w:bCs/>
          <w:color w:val="auto"/>
          <w:sz w:val="24"/>
          <w:szCs w:val="24"/>
          <w:highlight w:val="none"/>
        </w:rPr>
        <w:t>3.2 投标报价</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4E1A514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3.2.1投标人应充分了解施工场地的位置、周边环境、道路、装卸、保管、安装限制以及影响投标报价的其他要素。投标人根据投标设计，结合市场情况进行投标报价。</w:t>
      </w:r>
    </w:p>
    <w:p w14:paraId="611F6F2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3.2.2招标人设有最高投标限价的，投标人的投标报价不得超过最高投标限价，最高投标限价或其计算方法在《投标人须知前附表》中载明。</w:t>
      </w:r>
    </w:p>
    <w:p w14:paraId="63EA4E7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3.2.3 投标报价的其他要求见《投标人须知前附表》。</w:t>
      </w:r>
    </w:p>
    <w:p w14:paraId="1EE27D9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3.2.4 本工程的投标报价采用投标须知前附表第3.2.5条所规定的方式。</w:t>
      </w:r>
    </w:p>
    <w:p w14:paraId="775F2C4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3.2.5投标人的投标报价，应是按照投标须知前附表第1.3.2条的工期要求，在投标须知前附表第1.1.5条的建设地点，完成投标须知前附表第1.3.1条的招标范围内列明工作的全部费用，包括但不限于完成工作的成本、利润、税金、技术措施费、大型机械进出场费、风险费以及政策性文件规定费用等，不得以任何理由予以重复计算。</w:t>
      </w:r>
    </w:p>
    <w:p w14:paraId="0D72A67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3.2.6造价承包和变更结算方式详见合同条款。</w:t>
      </w:r>
    </w:p>
    <w:p w14:paraId="46EA35F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3.2.7投标人可先到工地踏勘以充分了解工地位置、情况、道路、储存空间、装卸限制及任何其他足以影响承包价的情况，任何因忽视或误解工地情况而导致的索赔或工期延长申请将不被批准。</w:t>
      </w:r>
    </w:p>
    <w:p w14:paraId="49A2AA37">
      <w:pPr>
        <w:keepNext/>
        <w:keepLines/>
        <w:spacing w:line="360" w:lineRule="auto"/>
        <w:outlineLvl w:val="2"/>
        <w:rPr>
          <w:rFonts w:hint="eastAsia" w:ascii="宋体" w:hAnsi="宋体" w:cs="宋体"/>
          <w:b/>
          <w:color w:val="auto"/>
          <w:sz w:val="24"/>
          <w:szCs w:val="24"/>
          <w:highlight w:val="none"/>
        </w:rPr>
      </w:pPr>
      <w:bookmarkStart w:id="358" w:name="_Toc19098"/>
      <w:bookmarkStart w:id="359" w:name="_Toc144974517"/>
      <w:bookmarkStart w:id="360" w:name="_Toc247513973"/>
      <w:bookmarkStart w:id="361" w:name="_Toc30468"/>
      <w:bookmarkStart w:id="362" w:name="_Toc9600"/>
      <w:bookmarkStart w:id="363" w:name="_Toc13045"/>
      <w:bookmarkStart w:id="364" w:name="_Toc152045549"/>
      <w:bookmarkStart w:id="365" w:name="_Toc9785"/>
      <w:bookmarkStart w:id="366" w:name="_Toc31054"/>
      <w:bookmarkStart w:id="367" w:name="_Toc13869"/>
      <w:bookmarkStart w:id="368" w:name="_Toc10475"/>
      <w:bookmarkStart w:id="369" w:name="_Toc247527574"/>
      <w:bookmarkStart w:id="370" w:name="_Toc4826"/>
      <w:bookmarkStart w:id="371" w:name="_Toc436834151"/>
      <w:bookmarkStart w:id="372" w:name="_Toc152042325"/>
      <w:bookmarkStart w:id="373" w:name="_Toc399165393"/>
      <w:bookmarkStart w:id="374" w:name="_Toc436834744"/>
      <w:bookmarkStart w:id="375" w:name="_Toc485211058"/>
      <w:bookmarkStart w:id="376" w:name="_Toc300834970"/>
      <w:bookmarkStart w:id="377" w:name="_Toc22871"/>
      <w:r>
        <w:rPr>
          <w:rFonts w:hint="eastAsia" w:ascii="宋体" w:hAnsi="宋体" w:cs="宋体"/>
          <w:b/>
          <w:color w:val="auto"/>
          <w:sz w:val="24"/>
          <w:szCs w:val="24"/>
          <w:highlight w:val="none"/>
        </w:rPr>
        <w:t>3.3 投标有效期</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2994364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3.3.1投标有效期按须知前附表的规定。</w:t>
      </w:r>
    </w:p>
    <w:p w14:paraId="69C30BD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3.3.2 在投标有效期内，投标人撤销或修改其投标文件的，应承担招标文件和法律规定的责任。</w:t>
      </w:r>
    </w:p>
    <w:p w14:paraId="2E0AED5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3.3.3 出现特殊情况需要延长投标有效期的，招标人以书面形式通知所有投标人延长投标有效期。投标人同意延长的，不得要求或被允许修改或撤销其投标文件；投标人拒绝延长的，其投标失效。</w:t>
      </w:r>
    </w:p>
    <w:p w14:paraId="6B2AE162">
      <w:pPr>
        <w:keepNext/>
        <w:keepLines/>
        <w:spacing w:line="360" w:lineRule="auto"/>
        <w:outlineLvl w:val="2"/>
        <w:rPr>
          <w:rFonts w:hint="eastAsia" w:ascii="宋体" w:hAnsi="宋体" w:cs="宋体"/>
          <w:b/>
          <w:color w:val="auto"/>
          <w:sz w:val="24"/>
          <w:szCs w:val="24"/>
          <w:highlight w:val="none"/>
        </w:rPr>
      </w:pPr>
      <w:bookmarkStart w:id="378" w:name="_Toc31634"/>
      <w:bookmarkStart w:id="379" w:name="_Toc680"/>
      <w:bookmarkStart w:id="380" w:name="_Toc13638"/>
      <w:bookmarkStart w:id="381" w:name="_Toc26267"/>
      <w:bookmarkStart w:id="382" w:name="_Toc247513974"/>
      <w:bookmarkStart w:id="383" w:name="_Toc247527575"/>
      <w:bookmarkStart w:id="384" w:name="_Toc152045550"/>
      <w:bookmarkStart w:id="385" w:name="_Toc436834152"/>
      <w:bookmarkStart w:id="386" w:name="_Toc399165394"/>
      <w:bookmarkStart w:id="387" w:name="_Toc26430"/>
      <w:bookmarkStart w:id="388" w:name="_Toc152042326"/>
      <w:bookmarkStart w:id="389" w:name="_Toc436834745"/>
      <w:bookmarkStart w:id="390" w:name="_Toc21972"/>
      <w:bookmarkStart w:id="391" w:name="_Toc29105"/>
      <w:bookmarkStart w:id="392" w:name="_Toc6160"/>
      <w:bookmarkStart w:id="393" w:name="_Toc13048"/>
      <w:bookmarkStart w:id="394" w:name="_Toc11120"/>
      <w:bookmarkStart w:id="395" w:name="_Toc485211059"/>
      <w:bookmarkStart w:id="396" w:name="_Toc144974518"/>
      <w:bookmarkStart w:id="397" w:name="_Toc300834971"/>
      <w:r>
        <w:rPr>
          <w:rFonts w:hint="eastAsia" w:ascii="宋体" w:hAnsi="宋体" w:cs="宋体"/>
          <w:b/>
          <w:color w:val="auto"/>
          <w:sz w:val="24"/>
          <w:szCs w:val="24"/>
          <w:highlight w:val="none"/>
        </w:rPr>
        <w:t>3.4 投标担保</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14:paraId="0E41E791">
      <w:pPr>
        <w:wordWrap w:val="0"/>
        <w:spacing w:line="360" w:lineRule="auto"/>
        <w:ind w:firstLine="480" w:firstLineChars="200"/>
        <w:rPr>
          <w:rFonts w:hint="eastAsia" w:ascii="宋体" w:hAnsi="宋体" w:cs="宋体"/>
          <w:strike/>
          <w:color w:val="auto"/>
          <w:sz w:val="24"/>
          <w:highlight w:val="none"/>
        </w:rPr>
      </w:pPr>
      <w:r>
        <w:rPr>
          <w:rFonts w:ascii="宋体" w:hAnsi="宋体" w:cs="宋体"/>
          <w:strike/>
          <w:color w:val="auto"/>
          <w:sz w:val="24"/>
          <w:highlight w:val="none"/>
        </w:rPr>
        <w:t>3.4.1 投标人在递交投标文件的同时，应按投标人须知前附表规定的金额、担保形式递交投标担保，并作为其投标文件的组成部分。联合体投标的，其投标担保可由投标人(联合体</w:t>
      </w:r>
      <w:r>
        <w:rPr>
          <w:rFonts w:hint="eastAsia" w:ascii="宋体" w:hAnsi="宋体" w:cs="宋体"/>
          <w:strike/>
          <w:color w:val="auto"/>
          <w:sz w:val="24"/>
          <w:highlight w:val="none"/>
          <w:lang w:eastAsia="zh-CN"/>
        </w:rPr>
        <w:t>牵头单位</w:t>
      </w:r>
      <w:r>
        <w:rPr>
          <w:rFonts w:ascii="宋体" w:hAnsi="宋体" w:cs="宋体"/>
          <w:strike/>
          <w:color w:val="auto"/>
          <w:sz w:val="24"/>
          <w:highlight w:val="none"/>
        </w:rPr>
        <w:t>)递交，并应符合投标人须知前附表的规定。</w:t>
      </w:r>
    </w:p>
    <w:p w14:paraId="3C5D404E">
      <w:pPr>
        <w:wordWrap w:val="0"/>
        <w:spacing w:line="360" w:lineRule="auto"/>
        <w:ind w:firstLine="480" w:firstLineChars="200"/>
        <w:rPr>
          <w:rFonts w:hint="eastAsia" w:ascii="宋体" w:hAnsi="宋体" w:cs="宋体"/>
          <w:strike/>
          <w:color w:val="auto"/>
          <w:sz w:val="24"/>
          <w:highlight w:val="none"/>
        </w:rPr>
      </w:pPr>
      <w:r>
        <w:rPr>
          <w:rFonts w:ascii="宋体" w:hAnsi="宋体" w:cs="宋体"/>
          <w:strike/>
          <w:color w:val="auto"/>
          <w:sz w:val="24"/>
          <w:highlight w:val="none"/>
        </w:rPr>
        <w:t>3.4.2 投标人不按本章第3.4.1项要求提交投标担保的，将否决其投标。</w:t>
      </w:r>
    </w:p>
    <w:p w14:paraId="533710D0">
      <w:pPr>
        <w:wordWrap w:val="0"/>
        <w:spacing w:line="360" w:lineRule="auto"/>
        <w:ind w:firstLine="480" w:firstLineChars="200"/>
        <w:rPr>
          <w:rFonts w:hint="eastAsia" w:ascii="宋体" w:hAnsi="宋体" w:cs="宋体"/>
          <w:strike/>
          <w:color w:val="auto"/>
          <w:sz w:val="24"/>
          <w:highlight w:val="none"/>
        </w:rPr>
      </w:pPr>
      <w:r>
        <w:rPr>
          <w:rFonts w:ascii="宋体" w:hAnsi="宋体" w:cs="宋体"/>
          <w:strike/>
          <w:color w:val="auto"/>
          <w:sz w:val="24"/>
          <w:highlight w:val="none"/>
        </w:rPr>
        <w:t>3.4.3中标候选人以外的投标人的投标保证金将尽快退还，最迟不超过中标通知书发出之日起五日内。</w:t>
      </w:r>
    </w:p>
    <w:p w14:paraId="394173FE">
      <w:pPr>
        <w:wordWrap w:val="0"/>
        <w:spacing w:line="360" w:lineRule="auto"/>
        <w:ind w:firstLine="480" w:firstLineChars="200"/>
        <w:rPr>
          <w:rFonts w:hint="eastAsia" w:ascii="宋体" w:hAnsi="宋体" w:cs="宋体"/>
          <w:strike/>
          <w:color w:val="auto"/>
          <w:sz w:val="24"/>
          <w:highlight w:val="none"/>
        </w:rPr>
      </w:pPr>
      <w:r>
        <w:rPr>
          <w:rFonts w:ascii="宋体" w:hAnsi="宋体" w:cs="宋体"/>
          <w:strike/>
          <w:color w:val="auto"/>
          <w:sz w:val="24"/>
          <w:highlight w:val="none"/>
        </w:rPr>
        <w:t>3.4.4中标人和其他中标候选人的投标保证金，在书面合同订立之日起五日内予以退还。</w:t>
      </w:r>
    </w:p>
    <w:p w14:paraId="07556FA7">
      <w:pPr>
        <w:wordWrap w:val="0"/>
        <w:spacing w:line="360" w:lineRule="auto"/>
        <w:ind w:firstLine="480" w:firstLineChars="200"/>
        <w:rPr>
          <w:rFonts w:hint="eastAsia" w:ascii="宋体" w:hAnsi="宋体" w:cs="宋体"/>
          <w:strike/>
          <w:color w:val="auto"/>
          <w:sz w:val="24"/>
          <w:highlight w:val="none"/>
        </w:rPr>
      </w:pPr>
      <w:r>
        <w:rPr>
          <w:rFonts w:ascii="宋体" w:hAnsi="宋体" w:cs="宋体"/>
          <w:strike/>
          <w:color w:val="auto"/>
          <w:sz w:val="24"/>
          <w:highlight w:val="none"/>
        </w:rPr>
        <w:t xml:space="preserve">3.4.5有下列情形之一的，投标担保将不予退还： </w:t>
      </w:r>
    </w:p>
    <w:p w14:paraId="39015F10">
      <w:pPr>
        <w:wordWrap w:val="0"/>
        <w:spacing w:line="360" w:lineRule="auto"/>
        <w:ind w:firstLine="480" w:firstLineChars="200"/>
        <w:rPr>
          <w:rFonts w:hint="eastAsia" w:ascii="宋体" w:hAnsi="宋体" w:cs="宋体"/>
          <w:strike/>
          <w:color w:val="auto"/>
          <w:sz w:val="24"/>
          <w:highlight w:val="none"/>
        </w:rPr>
      </w:pPr>
      <w:r>
        <w:rPr>
          <w:rFonts w:ascii="宋体" w:hAnsi="宋体" w:cs="宋体"/>
          <w:strike/>
          <w:color w:val="auto"/>
          <w:sz w:val="24"/>
          <w:highlight w:val="none"/>
        </w:rPr>
        <w:t>（1）投标人在规定的投标有效期内撤销或修改其投标文件；</w:t>
      </w:r>
    </w:p>
    <w:p w14:paraId="7B429CF9">
      <w:pPr>
        <w:wordWrap w:val="0"/>
        <w:spacing w:line="360" w:lineRule="auto"/>
        <w:ind w:firstLine="480" w:firstLineChars="200"/>
        <w:rPr>
          <w:rFonts w:hint="eastAsia" w:ascii="宋体" w:hAnsi="宋体" w:cs="宋体"/>
          <w:strike/>
          <w:color w:val="auto"/>
          <w:sz w:val="24"/>
          <w:highlight w:val="none"/>
        </w:rPr>
      </w:pPr>
      <w:r>
        <w:rPr>
          <w:rFonts w:ascii="宋体" w:hAnsi="宋体" w:cs="宋体"/>
          <w:strike/>
          <w:color w:val="auto"/>
          <w:sz w:val="24"/>
          <w:highlight w:val="none"/>
        </w:rPr>
        <w:t>（2）中标人在收到中标通知书后，无正当理由拒签合同或未按招标文件规定提交履约担保。</w:t>
      </w:r>
    </w:p>
    <w:p w14:paraId="58E079AF">
      <w:pPr>
        <w:keepNext/>
        <w:keepLines/>
        <w:spacing w:line="360" w:lineRule="auto"/>
        <w:outlineLvl w:val="2"/>
        <w:rPr>
          <w:rFonts w:hint="eastAsia" w:ascii="宋体" w:hAnsi="宋体" w:cs="宋体"/>
          <w:b/>
          <w:color w:val="auto"/>
          <w:szCs w:val="21"/>
          <w:highlight w:val="none"/>
        </w:rPr>
      </w:pPr>
      <w:bookmarkStart w:id="398" w:name="_Toc399165395"/>
      <w:bookmarkStart w:id="399" w:name="_Toc3053"/>
      <w:bookmarkStart w:id="400" w:name="_Toc16018"/>
      <w:bookmarkStart w:id="401" w:name="_Toc5399"/>
      <w:bookmarkStart w:id="402" w:name="_Toc247527576"/>
      <w:bookmarkStart w:id="403" w:name="_Toc436834153"/>
      <w:bookmarkStart w:id="404" w:name="_Toc152042327"/>
      <w:bookmarkStart w:id="405" w:name="_Toc144974519"/>
      <w:bookmarkStart w:id="406" w:name="_Toc432"/>
      <w:bookmarkStart w:id="407" w:name="_Toc300834972"/>
      <w:bookmarkStart w:id="408" w:name="_Toc485211060"/>
      <w:bookmarkStart w:id="409" w:name="_Toc247513975"/>
      <w:bookmarkStart w:id="410" w:name="_Toc152045551"/>
      <w:bookmarkStart w:id="411" w:name="_Toc10212"/>
      <w:bookmarkStart w:id="412" w:name="_Toc24641"/>
      <w:bookmarkStart w:id="413" w:name="_Toc32455"/>
      <w:bookmarkStart w:id="414" w:name="_Toc29352"/>
      <w:bookmarkStart w:id="415" w:name="_Toc26980"/>
      <w:bookmarkStart w:id="416" w:name="_Toc436834746"/>
      <w:bookmarkStart w:id="417" w:name="_Toc22700"/>
      <w:r>
        <w:rPr>
          <w:rFonts w:hint="eastAsia" w:ascii="宋体" w:hAnsi="宋体" w:cs="宋体"/>
          <w:b/>
          <w:color w:val="auto"/>
          <w:szCs w:val="21"/>
          <w:highlight w:val="none"/>
        </w:rPr>
        <w:t>3.5 资格审查资料</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p w14:paraId="2AD22262">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kern w:val="0"/>
          <w:sz w:val="24"/>
          <w:szCs w:val="24"/>
          <w:highlight w:val="none"/>
          <w:u w:val="single"/>
        </w:rPr>
        <w:t>根据招标公告第3点投标人资格要求内容提供资料和投标人认为需要提交的其他资料。</w:t>
      </w:r>
    </w:p>
    <w:p w14:paraId="169D82BE">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采用电子化资格后审</w:t>
      </w:r>
      <w:bookmarkStart w:id="418" w:name="_Toc356469198"/>
      <w:bookmarkStart w:id="419" w:name="_Toc357089532"/>
      <w:bookmarkStart w:id="420" w:name="_Toc439246018"/>
      <w:bookmarkStart w:id="421" w:name="_Toc439240619"/>
      <w:r>
        <w:rPr>
          <w:rFonts w:hint="eastAsia" w:ascii="宋体" w:hAnsi="宋体" w:cs="宋体"/>
          <w:color w:val="auto"/>
          <w:sz w:val="24"/>
          <w:szCs w:val="24"/>
          <w:highlight w:val="none"/>
          <w:u w:val="single"/>
        </w:rPr>
        <w:t>，由综合评标委员会负</w:t>
      </w:r>
      <w:bookmarkEnd w:id="418"/>
      <w:bookmarkEnd w:id="419"/>
      <w:bookmarkEnd w:id="420"/>
      <w:bookmarkEnd w:id="421"/>
      <w:r>
        <w:rPr>
          <w:rFonts w:hint="eastAsia" w:ascii="宋体" w:hAnsi="宋体" w:cs="宋体"/>
          <w:color w:val="auto"/>
          <w:sz w:val="24"/>
          <w:szCs w:val="24"/>
          <w:highlight w:val="none"/>
          <w:u w:val="single"/>
        </w:rPr>
        <w:t>责对投标人的资格进行审查，评标时只对通过资格审查的投标人进行下一阶段的评审。</w:t>
      </w:r>
    </w:p>
    <w:p w14:paraId="0E40E9CF">
      <w:pPr>
        <w:keepNext/>
        <w:keepLines/>
        <w:spacing w:line="360" w:lineRule="auto"/>
        <w:outlineLvl w:val="2"/>
        <w:rPr>
          <w:rFonts w:hint="eastAsia" w:ascii="宋体" w:hAnsi="宋体" w:cs="宋体"/>
          <w:b/>
          <w:color w:val="auto"/>
          <w:sz w:val="24"/>
          <w:szCs w:val="24"/>
          <w:highlight w:val="none"/>
        </w:rPr>
      </w:pPr>
      <w:bookmarkStart w:id="422" w:name="_Toc436834154"/>
      <w:bookmarkStart w:id="423" w:name="_Toc247513977"/>
      <w:bookmarkStart w:id="424" w:name="_Toc14964"/>
      <w:bookmarkStart w:id="425" w:name="_Toc436834747"/>
      <w:bookmarkStart w:id="426" w:name="_Toc144974521"/>
      <w:bookmarkStart w:id="427" w:name="_Toc399165396"/>
      <w:bookmarkStart w:id="428" w:name="_Toc20485"/>
      <w:bookmarkStart w:id="429" w:name="_Toc21856"/>
      <w:bookmarkStart w:id="430" w:name="_Toc21267"/>
      <w:bookmarkStart w:id="431" w:name="_Toc27106"/>
      <w:bookmarkStart w:id="432" w:name="_Toc300834974"/>
      <w:bookmarkStart w:id="433" w:name="_Toc16473"/>
      <w:bookmarkStart w:id="434" w:name="_Toc19123"/>
      <w:bookmarkStart w:id="435" w:name="_Toc30313"/>
      <w:bookmarkStart w:id="436" w:name="_Toc485211061"/>
      <w:bookmarkStart w:id="437" w:name="_Toc247527578"/>
      <w:bookmarkStart w:id="438" w:name="_Toc152045553"/>
      <w:bookmarkStart w:id="439" w:name="_Toc19287"/>
      <w:bookmarkStart w:id="440" w:name="_Toc152042329"/>
      <w:bookmarkStart w:id="441" w:name="_Toc7912"/>
      <w:r>
        <w:rPr>
          <w:rFonts w:hint="eastAsia" w:ascii="宋体" w:hAnsi="宋体" w:cs="宋体"/>
          <w:b/>
          <w:color w:val="auto"/>
          <w:sz w:val="24"/>
          <w:szCs w:val="24"/>
          <w:highlight w:val="none"/>
        </w:rPr>
        <w:t>3.6 备选投标方案</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0DFA6E8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除《投标人须知前附表》另有规定外，投标人不得递交备选投标方案。</w:t>
      </w:r>
    </w:p>
    <w:p w14:paraId="196DADB1">
      <w:pPr>
        <w:keepNext/>
        <w:keepLines/>
        <w:spacing w:line="360" w:lineRule="auto"/>
        <w:outlineLvl w:val="2"/>
        <w:rPr>
          <w:rFonts w:hint="eastAsia" w:ascii="宋体" w:hAnsi="宋体" w:cs="宋体"/>
          <w:b/>
          <w:color w:val="auto"/>
          <w:sz w:val="24"/>
          <w:szCs w:val="24"/>
          <w:highlight w:val="none"/>
        </w:rPr>
      </w:pPr>
      <w:bookmarkStart w:id="442" w:name="_Toc891"/>
      <w:bookmarkStart w:id="443" w:name="_Toc19858"/>
      <w:bookmarkStart w:id="444" w:name="_Toc247527579"/>
      <w:bookmarkStart w:id="445" w:name="_Toc18853"/>
      <w:bookmarkStart w:id="446" w:name="_Toc12905"/>
      <w:bookmarkStart w:id="447" w:name="_Toc2357"/>
      <w:bookmarkStart w:id="448" w:name="_Toc300834975"/>
      <w:bookmarkStart w:id="449" w:name="_Toc9691"/>
      <w:bookmarkStart w:id="450" w:name="_Toc28735"/>
      <w:bookmarkStart w:id="451" w:name="_Toc436834748"/>
      <w:bookmarkStart w:id="452" w:name="_Toc19573"/>
      <w:bookmarkStart w:id="453" w:name="_Toc399165397"/>
      <w:bookmarkStart w:id="454" w:name="_Toc485211062"/>
      <w:bookmarkStart w:id="455" w:name="_Toc247513978"/>
      <w:bookmarkStart w:id="456" w:name="_Toc21558"/>
      <w:bookmarkStart w:id="457" w:name="_Toc152045554"/>
      <w:bookmarkStart w:id="458" w:name="_Toc152042330"/>
      <w:bookmarkStart w:id="459" w:name="_Toc144974522"/>
      <w:bookmarkStart w:id="460" w:name="_Toc436834155"/>
      <w:bookmarkStart w:id="461" w:name="_Toc10840"/>
      <w:r>
        <w:rPr>
          <w:rFonts w:hint="eastAsia" w:ascii="宋体" w:hAnsi="宋体" w:cs="宋体"/>
          <w:b/>
          <w:color w:val="auto"/>
          <w:sz w:val="24"/>
          <w:szCs w:val="24"/>
          <w:highlight w:val="none"/>
        </w:rPr>
        <w:t>3.7 投标文件</w:t>
      </w:r>
      <w:r>
        <w:rPr>
          <w:rFonts w:hint="eastAsia" w:ascii="宋体" w:hAnsi="宋体" w:cs="宋体"/>
          <w:b/>
          <w:color w:val="auto"/>
          <w:sz w:val="24"/>
          <w:szCs w:val="24"/>
          <w:highlight w:val="none"/>
          <w:u w:val="single"/>
        </w:rPr>
        <w:t>及定标文件</w:t>
      </w:r>
      <w:r>
        <w:rPr>
          <w:rFonts w:hint="eastAsia" w:ascii="宋体" w:hAnsi="宋体" w:cs="宋体"/>
          <w:b/>
          <w:color w:val="auto"/>
          <w:sz w:val="24"/>
          <w:szCs w:val="24"/>
          <w:highlight w:val="none"/>
        </w:rPr>
        <w:t>的编制</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56C54A4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3.7.1 </w:t>
      </w:r>
      <w:r>
        <w:rPr>
          <w:rFonts w:hint="eastAsia" w:ascii="宋体" w:hAnsi="宋体" w:cs="宋体"/>
          <w:color w:val="auto"/>
          <w:sz w:val="24"/>
          <w:szCs w:val="24"/>
          <w:highlight w:val="none"/>
          <w:u w:val="single"/>
        </w:rPr>
        <w:t>招标文件第六章“投标文件格式”有提供格式要求的投标文件应按其进行编写盖章</w:t>
      </w:r>
      <w:r>
        <w:rPr>
          <w:rFonts w:hint="eastAsia" w:ascii="宋体" w:hAnsi="宋体" w:cs="宋体"/>
          <w:color w:val="auto"/>
          <w:sz w:val="24"/>
          <w:szCs w:val="24"/>
          <w:highlight w:val="none"/>
        </w:rPr>
        <w:t>，如有必要，可以增加附页，作为投标文件的组成部分。其中，投标书在满足招标文件实质性要求的基础上，可以提出比招标文件要求更有利于招标人的承诺。</w:t>
      </w:r>
    </w:p>
    <w:p w14:paraId="6C09255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3.7.2 投标文件应当对招标文件有关招标范围、投标有效期、工期、质量标准、发包人要求等实质性内容作出响应。</w:t>
      </w:r>
    </w:p>
    <w:p w14:paraId="5ED33A9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3.7.3投标人采用单位数字证书，按招标文件要求在相应位置加盖电子印章。投标文件中需个人签字或盖章的，应加盖个人电子印章或在线下完成后扫描上传。按照交易平台关于全流程电子化项目的相关指南进行操作；</w:t>
      </w:r>
    </w:p>
    <w:p w14:paraId="62BFA18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联合体投标时，除《联合体共同投标协议》必须由联合体各方分别按要求进行签字、盖章[法定代表人证明书及授权委托书可由联合体</w:t>
      </w:r>
      <w:r>
        <w:rPr>
          <w:rFonts w:hint="eastAsia" w:ascii="宋体" w:hAnsi="宋体" w:cs="宋体"/>
          <w:color w:val="auto"/>
          <w:sz w:val="24"/>
          <w:szCs w:val="24"/>
          <w:highlight w:val="none"/>
          <w:lang w:eastAsia="zh-CN"/>
        </w:rPr>
        <w:t>牵头单位</w:t>
      </w:r>
      <w:r>
        <w:rPr>
          <w:rFonts w:hint="eastAsia" w:ascii="宋体" w:hAnsi="宋体" w:cs="宋体"/>
          <w:color w:val="auto"/>
          <w:sz w:val="24"/>
          <w:szCs w:val="24"/>
          <w:highlight w:val="none"/>
        </w:rPr>
        <w:t>出具（其中“单位”一栏可只填写联合体</w:t>
      </w:r>
      <w:r>
        <w:rPr>
          <w:rFonts w:hint="eastAsia" w:ascii="宋体" w:hAnsi="宋体" w:cs="宋体"/>
          <w:color w:val="auto"/>
          <w:sz w:val="24"/>
          <w:szCs w:val="24"/>
          <w:highlight w:val="none"/>
          <w:lang w:eastAsia="zh-CN"/>
        </w:rPr>
        <w:t>牵头单位</w:t>
      </w:r>
      <w:r>
        <w:rPr>
          <w:rFonts w:hint="eastAsia" w:ascii="宋体" w:hAnsi="宋体" w:cs="宋体"/>
          <w:color w:val="auto"/>
          <w:sz w:val="24"/>
          <w:szCs w:val="24"/>
          <w:highlight w:val="none"/>
        </w:rPr>
        <w:t>名称）]外，其他资料若需要签字或盖章的均可由联合体</w:t>
      </w:r>
      <w:r>
        <w:rPr>
          <w:rFonts w:hint="eastAsia" w:ascii="宋体" w:hAnsi="宋体" w:cs="宋体"/>
          <w:color w:val="auto"/>
          <w:sz w:val="24"/>
          <w:szCs w:val="24"/>
          <w:highlight w:val="none"/>
          <w:lang w:eastAsia="zh-CN"/>
        </w:rPr>
        <w:t>牵头单位</w:t>
      </w:r>
      <w:r>
        <w:rPr>
          <w:rFonts w:hint="eastAsia" w:ascii="宋体" w:hAnsi="宋体" w:cs="宋体"/>
          <w:color w:val="auto"/>
          <w:sz w:val="24"/>
          <w:szCs w:val="24"/>
          <w:highlight w:val="none"/>
        </w:rPr>
        <w:t>签字或盖章；其他内容及落款中的“投标人”、“声明企业”应填写联合体各方的单位全称【格式示例：(主)单位全称(成)单位全称】，由联合体</w:t>
      </w:r>
      <w:r>
        <w:rPr>
          <w:rFonts w:hint="eastAsia" w:ascii="宋体" w:hAnsi="宋体" w:cs="宋体"/>
          <w:color w:val="auto"/>
          <w:sz w:val="24"/>
          <w:szCs w:val="24"/>
          <w:highlight w:val="none"/>
          <w:lang w:eastAsia="zh-CN"/>
        </w:rPr>
        <w:t>牵头单位</w:t>
      </w:r>
      <w:r>
        <w:rPr>
          <w:rFonts w:hint="eastAsia" w:ascii="宋体" w:hAnsi="宋体" w:cs="宋体"/>
          <w:color w:val="auto"/>
          <w:sz w:val="24"/>
          <w:szCs w:val="24"/>
          <w:highlight w:val="none"/>
        </w:rPr>
        <w:t>按格式要求签字或盖章即可。</w:t>
      </w:r>
    </w:p>
    <w:p w14:paraId="2BD01B33">
      <w:pPr>
        <w:keepNext/>
        <w:keepLines/>
        <w:spacing w:line="360" w:lineRule="auto"/>
        <w:outlineLvl w:val="1"/>
        <w:rPr>
          <w:rFonts w:hint="eastAsia" w:ascii="宋体" w:hAnsi="宋体" w:cs="宋体"/>
          <w:b/>
          <w:bCs/>
          <w:color w:val="auto"/>
          <w:sz w:val="28"/>
          <w:szCs w:val="28"/>
          <w:highlight w:val="none"/>
        </w:rPr>
      </w:pPr>
      <w:bookmarkStart w:id="462" w:name="_Toc436834749"/>
      <w:bookmarkStart w:id="463" w:name="_Toc8014"/>
      <w:bookmarkStart w:id="464" w:name="_Toc22778"/>
      <w:bookmarkStart w:id="465" w:name="_Toc384759600"/>
      <w:bookmarkStart w:id="466" w:name="_Toc4201"/>
      <w:bookmarkStart w:id="467" w:name="_Toc8135"/>
      <w:bookmarkStart w:id="468" w:name="_Toc18915"/>
      <w:bookmarkStart w:id="469" w:name="_Toc29511"/>
      <w:bookmarkStart w:id="470" w:name="_Toc247513979"/>
      <w:bookmarkStart w:id="471" w:name="_Toc19013"/>
      <w:bookmarkStart w:id="472" w:name="_Toc144974523"/>
      <w:bookmarkStart w:id="473" w:name="_Toc5356"/>
      <w:bookmarkStart w:id="474" w:name="_Toc18477"/>
      <w:bookmarkStart w:id="475" w:name="_Toc152042331"/>
      <w:bookmarkStart w:id="476" w:name="_Toc152045555"/>
      <w:bookmarkStart w:id="477" w:name="_Toc485211063"/>
      <w:bookmarkStart w:id="478" w:name="_Toc436834156"/>
      <w:bookmarkStart w:id="479" w:name="_Toc19642"/>
      <w:bookmarkStart w:id="480" w:name="_Toc247527580"/>
      <w:bookmarkStart w:id="481" w:name="_Toc247513981"/>
      <w:bookmarkStart w:id="482" w:name="_Toc300834978"/>
      <w:bookmarkStart w:id="483" w:name="_Toc399165400"/>
      <w:bookmarkStart w:id="484" w:name="_Toc152045557"/>
      <w:bookmarkStart w:id="485" w:name="_Toc144974525"/>
      <w:bookmarkStart w:id="486" w:name="_Toc152042333"/>
      <w:bookmarkStart w:id="487" w:name="_Toc247527582"/>
      <w:r>
        <w:rPr>
          <w:rFonts w:hint="eastAsia" w:ascii="宋体" w:hAnsi="宋体" w:cs="宋体"/>
          <w:b/>
          <w:bCs/>
          <w:color w:val="auto"/>
          <w:sz w:val="28"/>
          <w:szCs w:val="28"/>
          <w:highlight w:val="none"/>
        </w:rPr>
        <w:t>4. 投标</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p>
    <w:p w14:paraId="06A4ECDB">
      <w:pPr>
        <w:keepNext/>
        <w:keepLines/>
        <w:spacing w:line="360" w:lineRule="auto"/>
        <w:outlineLvl w:val="2"/>
        <w:rPr>
          <w:rFonts w:hint="eastAsia" w:ascii="宋体" w:hAnsi="宋体" w:cs="宋体"/>
          <w:bCs/>
          <w:color w:val="auto"/>
          <w:sz w:val="24"/>
          <w:szCs w:val="24"/>
          <w:highlight w:val="none"/>
        </w:rPr>
      </w:pPr>
      <w:bookmarkStart w:id="488" w:name="_Toc21175"/>
      <w:bookmarkStart w:id="489" w:name="_Toc28266"/>
      <w:bookmarkStart w:id="490" w:name="_Toc436834750"/>
      <w:bookmarkStart w:id="491" w:name="_Toc152042332"/>
      <w:bookmarkStart w:id="492" w:name="_Toc25808"/>
      <w:bookmarkStart w:id="493" w:name="_Toc24340"/>
      <w:bookmarkStart w:id="494" w:name="_Toc144974524"/>
      <w:bookmarkStart w:id="495" w:name="_Toc12356"/>
      <w:bookmarkStart w:id="496" w:name="_Toc26252"/>
      <w:bookmarkStart w:id="497" w:name="_Toc384759601"/>
      <w:bookmarkStart w:id="498" w:name="_Toc32403"/>
      <w:bookmarkStart w:id="499" w:name="_Toc14380"/>
      <w:bookmarkStart w:id="500" w:name="_Toc152045556"/>
      <w:bookmarkStart w:id="501" w:name="_Toc8390"/>
      <w:bookmarkStart w:id="502" w:name="_Toc247513980"/>
      <w:bookmarkStart w:id="503" w:name="_Toc26110"/>
      <w:bookmarkStart w:id="504" w:name="_Toc436834157"/>
      <w:bookmarkStart w:id="505" w:name="_Toc247527581"/>
      <w:bookmarkStart w:id="506" w:name="_Toc485211064"/>
      <w:r>
        <w:rPr>
          <w:rFonts w:hint="eastAsia" w:ascii="宋体" w:hAnsi="宋体" w:cs="宋体"/>
          <w:bCs/>
          <w:color w:val="auto"/>
          <w:sz w:val="24"/>
          <w:szCs w:val="24"/>
          <w:highlight w:val="none"/>
        </w:rPr>
        <w:t>4.1 投标文件及定标文件的密封和标记</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3761291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4.1.1投标人应当按照招标文件和电子招标投标交易平台的要求加密投标文件，具体操作详见《房屋建筑和市政基础设施工程全流程电子化项目专章》。</w:t>
      </w:r>
    </w:p>
    <w:p w14:paraId="344B5F7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 投标文件封套上应写明的内容见投标人须知前附表。</w:t>
      </w:r>
    </w:p>
    <w:p w14:paraId="50CF9E7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4.1.3 未按本章第4.1.1项或第4.1.2项要求密封和加写标记的投标文件，招标人不予受理。</w:t>
      </w:r>
    </w:p>
    <w:p w14:paraId="58F2A261">
      <w:pPr>
        <w:keepNext/>
        <w:keepLines/>
        <w:spacing w:line="360" w:lineRule="auto"/>
        <w:outlineLvl w:val="2"/>
        <w:rPr>
          <w:rFonts w:hint="eastAsia" w:ascii="宋体" w:hAnsi="宋体" w:cs="宋体"/>
          <w:bCs/>
          <w:color w:val="auto"/>
          <w:sz w:val="24"/>
          <w:szCs w:val="24"/>
          <w:highlight w:val="none"/>
        </w:rPr>
      </w:pPr>
      <w:bookmarkStart w:id="507" w:name="_Toc8844"/>
      <w:bookmarkStart w:id="508" w:name="_Toc29781"/>
      <w:bookmarkStart w:id="509" w:name="_Toc11665"/>
      <w:bookmarkStart w:id="510" w:name="_Toc20862"/>
      <w:bookmarkStart w:id="511" w:name="_Toc20463"/>
      <w:bookmarkStart w:id="512" w:name="_Toc13525"/>
      <w:bookmarkStart w:id="513" w:name="_Toc10998"/>
      <w:bookmarkStart w:id="514" w:name="_Toc485211065"/>
      <w:bookmarkStart w:id="515" w:name="_Toc26573"/>
      <w:bookmarkStart w:id="516" w:name="_Toc436834158"/>
      <w:bookmarkStart w:id="517" w:name="_Toc18437"/>
      <w:bookmarkStart w:id="518" w:name="_Toc22154"/>
      <w:bookmarkStart w:id="519" w:name="_Toc436834751"/>
      <w:r>
        <w:rPr>
          <w:rFonts w:hint="eastAsia" w:ascii="宋体" w:hAnsi="宋体" w:cs="宋体"/>
          <w:bCs/>
          <w:color w:val="auto"/>
          <w:sz w:val="24"/>
          <w:szCs w:val="24"/>
          <w:highlight w:val="none"/>
        </w:rPr>
        <w:t>4.2 投标文件</w:t>
      </w:r>
      <w:r>
        <w:rPr>
          <w:rFonts w:hint="eastAsia" w:ascii="宋体" w:hAnsi="宋体" w:cs="宋体"/>
          <w:bCs/>
          <w:color w:val="auto"/>
          <w:sz w:val="24"/>
          <w:szCs w:val="24"/>
          <w:highlight w:val="none"/>
          <w:u w:val="single"/>
        </w:rPr>
        <w:t>及定标文件</w:t>
      </w:r>
      <w:r>
        <w:rPr>
          <w:rFonts w:hint="eastAsia" w:ascii="宋体" w:hAnsi="宋体" w:cs="宋体"/>
          <w:bCs/>
          <w:color w:val="auto"/>
          <w:sz w:val="24"/>
          <w:szCs w:val="24"/>
          <w:highlight w:val="none"/>
        </w:rPr>
        <w:t>的递交</w:t>
      </w:r>
      <w:bookmarkEnd w:id="481"/>
      <w:bookmarkEnd w:id="482"/>
      <w:bookmarkEnd w:id="483"/>
      <w:bookmarkEnd w:id="484"/>
      <w:bookmarkEnd w:id="485"/>
      <w:bookmarkEnd w:id="486"/>
      <w:bookmarkEnd w:id="487"/>
      <w:bookmarkEnd w:id="507"/>
      <w:bookmarkEnd w:id="508"/>
      <w:bookmarkEnd w:id="509"/>
      <w:bookmarkEnd w:id="510"/>
      <w:bookmarkEnd w:id="511"/>
      <w:bookmarkEnd w:id="512"/>
      <w:bookmarkEnd w:id="513"/>
      <w:bookmarkEnd w:id="514"/>
      <w:bookmarkEnd w:id="515"/>
      <w:bookmarkEnd w:id="516"/>
      <w:bookmarkEnd w:id="517"/>
      <w:bookmarkEnd w:id="518"/>
      <w:bookmarkEnd w:id="519"/>
    </w:p>
    <w:p w14:paraId="16180E08">
      <w:pPr>
        <w:spacing w:line="360" w:lineRule="auto"/>
        <w:ind w:firstLine="480" w:firstLineChars="200"/>
        <w:rPr>
          <w:rFonts w:hint="eastAsia" w:ascii="宋体" w:hAnsi="宋体" w:cs="宋体"/>
          <w:color w:val="auto"/>
          <w:sz w:val="24"/>
          <w:szCs w:val="24"/>
          <w:highlight w:val="none"/>
        </w:rPr>
      </w:pPr>
      <w:bookmarkStart w:id="520" w:name="_Toc247527583"/>
      <w:bookmarkStart w:id="521" w:name="_Toc247513982"/>
      <w:bookmarkStart w:id="522" w:name="_Toc152042334"/>
      <w:bookmarkStart w:id="523" w:name="_Toc300834979"/>
      <w:bookmarkStart w:id="524" w:name="_Toc399165401"/>
      <w:bookmarkStart w:id="525" w:name="_Toc152045558"/>
      <w:bookmarkStart w:id="526" w:name="_Toc144974526"/>
      <w:r>
        <w:rPr>
          <w:rFonts w:hint="eastAsia" w:ascii="宋体" w:hAnsi="宋体" w:cs="宋体"/>
          <w:color w:val="auto"/>
          <w:sz w:val="24"/>
          <w:szCs w:val="24"/>
          <w:highlight w:val="none"/>
        </w:rPr>
        <w:t>4.2.1 投标人应在第2.2.2项规定的投标截止时间前递交投标文件。</w:t>
      </w:r>
    </w:p>
    <w:p w14:paraId="09D7890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4.2.2 投标人递交投标文件的地点：见投标人须知前附表。</w:t>
      </w:r>
    </w:p>
    <w:p w14:paraId="0377E56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4.2.3 除投标人须知前附表另有规定外，投标人所递交的投标文件不予退还。</w:t>
      </w:r>
    </w:p>
    <w:p w14:paraId="1EF73685">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4.2.4 投</w:t>
      </w:r>
      <w:r>
        <w:rPr>
          <w:rFonts w:hint="eastAsia" w:ascii="宋体" w:hAnsi="宋体" w:cs="宋体"/>
          <w:color w:val="auto"/>
          <w:spacing w:val="-2"/>
          <w:sz w:val="24"/>
          <w:szCs w:val="24"/>
          <w:highlight w:val="none"/>
          <w:u w:val="single"/>
        </w:rPr>
        <w:t>标</w:t>
      </w:r>
      <w:r>
        <w:rPr>
          <w:rFonts w:hint="eastAsia" w:ascii="宋体" w:hAnsi="宋体" w:cs="宋体"/>
          <w:color w:val="auto"/>
          <w:sz w:val="24"/>
          <w:szCs w:val="24"/>
          <w:highlight w:val="none"/>
          <w:u w:val="single"/>
        </w:rPr>
        <w:t>人</w:t>
      </w:r>
      <w:r>
        <w:rPr>
          <w:rFonts w:hint="eastAsia" w:ascii="宋体" w:hAnsi="宋体" w:cs="宋体"/>
          <w:color w:val="auto"/>
          <w:spacing w:val="-2"/>
          <w:sz w:val="24"/>
          <w:szCs w:val="24"/>
          <w:highlight w:val="none"/>
          <w:u w:val="single"/>
        </w:rPr>
        <w:t>完</w:t>
      </w:r>
      <w:r>
        <w:rPr>
          <w:rFonts w:hint="eastAsia" w:ascii="宋体" w:hAnsi="宋体" w:cs="宋体"/>
          <w:color w:val="auto"/>
          <w:sz w:val="24"/>
          <w:szCs w:val="24"/>
          <w:highlight w:val="none"/>
          <w:u w:val="single"/>
        </w:rPr>
        <w:t>成</w:t>
      </w:r>
      <w:r>
        <w:rPr>
          <w:rFonts w:hint="eastAsia" w:ascii="宋体" w:hAnsi="宋体" w:cs="宋体"/>
          <w:color w:val="auto"/>
          <w:spacing w:val="-2"/>
          <w:sz w:val="24"/>
          <w:szCs w:val="24"/>
          <w:highlight w:val="none"/>
          <w:u w:val="single"/>
        </w:rPr>
        <w:t>电</w:t>
      </w:r>
      <w:r>
        <w:rPr>
          <w:rFonts w:hint="eastAsia" w:ascii="宋体" w:hAnsi="宋体" w:cs="宋体"/>
          <w:color w:val="auto"/>
          <w:sz w:val="24"/>
          <w:szCs w:val="24"/>
          <w:highlight w:val="none"/>
          <w:u w:val="single"/>
        </w:rPr>
        <w:t>子投</w:t>
      </w:r>
      <w:r>
        <w:rPr>
          <w:rFonts w:hint="eastAsia" w:ascii="宋体" w:hAnsi="宋体" w:cs="宋体"/>
          <w:color w:val="auto"/>
          <w:spacing w:val="-2"/>
          <w:sz w:val="24"/>
          <w:szCs w:val="24"/>
          <w:highlight w:val="none"/>
          <w:u w:val="single"/>
        </w:rPr>
        <w:t>标</w:t>
      </w:r>
      <w:r>
        <w:rPr>
          <w:rFonts w:hint="eastAsia" w:ascii="宋体" w:hAnsi="宋体" w:cs="宋体"/>
          <w:color w:val="auto"/>
          <w:sz w:val="24"/>
          <w:szCs w:val="24"/>
          <w:highlight w:val="none"/>
          <w:u w:val="single"/>
        </w:rPr>
        <w:t>文</w:t>
      </w:r>
      <w:r>
        <w:rPr>
          <w:rFonts w:hint="eastAsia" w:ascii="宋体" w:hAnsi="宋体" w:cs="宋体"/>
          <w:color w:val="auto"/>
          <w:spacing w:val="-2"/>
          <w:sz w:val="24"/>
          <w:szCs w:val="24"/>
          <w:highlight w:val="none"/>
          <w:u w:val="single"/>
        </w:rPr>
        <w:t>件及定标文件</w:t>
      </w:r>
      <w:r>
        <w:rPr>
          <w:rFonts w:hint="eastAsia" w:ascii="宋体" w:hAnsi="宋体" w:cs="宋体"/>
          <w:color w:val="auto"/>
          <w:sz w:val="24"/>
          <w:szCs w:val="24"/>
          <w:highlight w:val="none"/>
          <w:u w:val="single"/>
        </w:rPr>
        <w:t>上</w:t>
      </w:r>
      <w:r>
        <w:rPr>
          <w:rFonts w:hint="eastAsia" w:ascii="宋体" w:hAnsi="宋体" w:cs="宋体"/>
          <w:color w:val="auto"/>
          <w:spacing w:val="-2"/>
          <w:sz w:val="24"/>
          <w:szCs w:val="24"/>
          <w:highlight w:val="none"/>
          <w:u w:val="single"/>
        </w:rPr>
        <w:t>传</w:t>
      </w:r>
      <w:r>
        <w:rPr>
          <w:rFonts w:hint="eastAsia" w:ascii="宋体" w:hAnsi="宋体" w:cs="宋体"/>
          <w:color w:val="auto"/>
          <w:sz w:val="24"/>
          <w:szCs w:val="24"/>
          <w:highlight w:val="none"/>
          <w:u w:val="single"/>
        </w:rPr>
        <w:t>后</w:t>
      </w:r>
      <w:r>
        <w:rPr>
          <w:rFonts w:hint="eastAsia" w:ascii="宋体" w:hAnsi="宋体" w:cs="宋体"/>
          <w:color w:val="auto"/>
          <w:spacing w:val="-5"/>
          <w:sz w:val="24"/>
          <w:szCs w:val="24"/>
          <w:highlight w:val="none"/>
          <w:u w:val="single"/>
        </w:rPr>
        <w:t>，</w:t>
      </w:r>
      <w:r>
        <w:rPr>
          <w:rFonts w:hint="eastAsia" w:ascii="宋体" w:hAnsi="宋体" w:cs="宋体"/>
          <w:color w:val="auto"/>
          <w:sz w:val="24"/>
          <w:szCs w:val="24"/>
          <w:highlight w:val="none"/>
          <w:u w:val="single"/>
        </w:rPr>
        <w:t>电</w:t>
      </w:r>
      <w:r>
        <w:rPr>
          <w:rFonts w:hint="eastAsia" w:ascii="宋体" w:hAnsi="宋体" w:cs="宋体"/>
          <w:color w:val="auto"/>
          <w:spacing w:val="-2"/>
          <w:sz w:val="24"/>
          <w:szCs w:val="24"/>
          <w:highlight w:val="none"/>
          <w:u w:val="single"/>
        </w:rPr>
        <w:t>子</w:t>
      </w:r>
      <w:r>
        <w:rPr>
          <w:rFonts w:hint="eastAsia" w:ascii="宋体" w:hAnsi="宋体" w:cs="宋体"/>
          <w:color w:val="auto"/>
          <w:sz w:val="24"/>
          <w:szCs w:val="24"/>
          <w:highlight w:val="none"/>
          <w:u w:val="single"/>
        </w:rPr>
        <w:t>招标</w:t>
      </w:r>
      <w:r>
        <w:rPr>
          <w:rFonts w:hint="eastAsia" w:ascii="宋体" w:hAnsi="宋体" w:cs="宋体"/>
          <w:color w:val="auto"/>
          <w:spacing w:val="-2"/>
          <w:sz w:val="24"/>
          <w:szCs w:val="24"/>
          <w:highlight w:val="none"/>
          <w:u w:val="single"/>
        </w:rPr>
        <w:t>投</w:t>
      </w:r>
      <w:r>
        <w:rPr>
          <w:rFonts w:hint="eastAsia" w:ascii="宋体" w:hAnsi="宋体" w:cs="宋体"/>
          <w:color w:val="auto"/>
          <w:sz w:val="24"/>
          <w:szCs w:val="24"/>
          <w:highlight w:val="none"/>
          <w:u w:val="single"/>
        </w:rPr>
        <w:t>标</w:t>
      </w:r>
      <w:r>
        <w:rPr>
          <w:rFonts w:hint="eastAsia" w:ascii="宋体" w:hAnsi="宋体" w:cs="宋体"/>
          <w:color w:val="auto"/>
          <w:spacing w:val="-2"/>
          <w:sz w:val="24"/>
          <w:szCs w:val="24"/>
          <w:highlight w:val="none"/>
          <w:u w:val="single"/>
        </w:rPr>
        <w:t>交</w:t>
      </w:r>
      <w:r>
        <w:rPr>
          <w:rFonts w:hint="eastAsia" w:ascii="宋体" w:hAnsi="宋体" w:cs="宋体"/>
          <w:color w:val="auto"/>
          <w:sz w:val="24"/>
          <w:szCs w:val="24"/>
          <w:highlight w:val="none"/>
          <w:u w:val="single"/>
        </w:rPr>
        <w:t>易</w:t>
      </w:r>
      <w:r>
        <w:rPr>
          <w:rFonts w:hint="eastAsia" w:ascii="宋体" w:hAnsi="宋体" w:cs="宋体"/>
          <w:color w:val="auto"/>
          <w:spacing w:val="-2"/>
          <w:sz w:val="24"/>
          <w:szCs w:val="24"/>
          <w:highlight w:val="none"/>
          <w:u w:val="single"/>
        </w:rPr>
        <w:t>平</w:t>
      </w:r>
      <w:r>
        <w:rPr>
          <w:rFonts w:hint="eastAsia" w:ascii="宋体" w:hAnsi="宋体" w:cs="宋体"/>
          <w:color w:val="auto"/>
          <w:sz w:val="24"/>
          <w:szCs w:val="24"/>
          <w:highlight w:val="none"/>
          <w:u w:val="single"/>
        </w:rPr>
        <w:t>台</w:t>
      </w:r>
      <w:r>
        <w:rPr>
          <w:rFonts w:hint="eastAsia" w:ascii="宋体" w:hAnsi="宋体" w:cs="宋体"/>
          <w:color w:val="auto"/>
          <w:spacing w:val="-2"/>
          <w:sz w:val="24"/>
          <w:szCs w:val="24"/>
          <w:highlight w:val="none"/>
          <w:u w:val="single"/>
        </w:rPr>
        <w:t>即</w:t>
      </w:r>
      <w:r>
        <w:rPr>
          <w:rFonts w:hint="eastAsia" w:ascii="宋体" w:hAnsi="宋体" w:cs="宋体"/>
          <w:color w:val="auto"/>
          <w:sz w:val="24"/>
          <w:szCs w:val="24"/>
          <w:highlight w:val="none"/>
          <w:u w:val="single"/>
        </w:rPr>
        <w:t>时</w:t>
      </w:r>
      <w:r>
        <w:rPr>
          <w:rFonts w:hint="eastAsia" w:ascii="宋体" w:hAnsi="宋体" w:cs="宋体"/>
          <w:color w:val="auto"/>
          <w:spacing w:val="-2"/>
          <w:sz w:val="24"/>
          <w:szCs w:val="24"/>
          <w:highlight w:val="none"/>
          <w:u w:val="single"/>
        </w:rPr>
        <w:t>向</w:t>
      </w:r>
      <w:r>
        <w:rPr>
          <w:rFonts w:hint="eastAsia" w:ascii="宋体" w:hAnsi="宋体" w:cs="宋体"/>
          <w:color w:val="auto"/>
          <w:sz w:val="24"/>
          <w:szCs w:val="24"/>
          <w:highlight w:val="none"/>
          <w:u w:val="single"/>
        </w:rPr>
        <w:t>投标</w:t>
      </w:r>
      <w:r>
        <w:rPr>
          <w:rFonts w:hint="eastAsia" w:ascii="宋体" w:hAnsi="宋体" w:cs="宋体"/>
          <w:color w:val="auto"/>
          <w:spacing w:val="-2"/>
          <w:sz w:val="24"/>
          <w:szCs w:val="24"/>
          <w:highlight w:val="none"/>
          <w:u w:val="single"/>
        </w:rPr>
        <w:t>人</w:t>
      </w:r>
      <w:r>
        <w:rPr>
          <w:rFonts w:hint="eastAsia" w:ascii="宋体" w:hAnsi="宋体" w:cs="宋体"/>
          <w:color w:val="auto"/>
          <w:sz w:val="24"/>
          <w:szCs w:val="24"/>
          <w:highlight w:val="none"/>
          <w:u w:val="single"/>
        </w:rPr>
        <w:t>发</w:t>
      </w:r>
      <w:r>
        <w:rPr>
          <w:rFonts w:hint="eastAsia" w:ascii="宋体" w:hAnsi="宋体" w:cs="宋体"/>
          <w:color w:val="auto"/>
          <w:spacing w:val="-2"/>
          <w:sz w:val="24"/>
          <w:szCs w:val="24"/>
          <w:highlight w:val="none"/>
          <w:u w:val="single"/>
        </w:rPr>
        <w:t>出</w:t>
      </w:r>
      <w:r>
        <w:rPr>
          <w:rFonts w:hint="eastAsia" w:ascii="宋体" w:hAnsi="宋体" w:cs="宋体"/>
          <w:color w:val="auto"/>
          <w:sz w:val="24"/>
          <w:szCs w:val="24"/>
          <w:highlight w:val="none"/>
          <w:u w:val="single"/>
        </w:rPr>
        <w:t>递交回</w:t>
      </w:r>
      <w:r>
        <w:rPr>
          <w:rFonts w:hint="eastAsia" w:ascii="宋体" w:hAnsi="宋体" w:cs="宋体"/>
          <w:color w:val="auto"/>
          <w:spacing w:val="-2"/>
          <w:sz w:val="24"/>
          <w:szCs w:val="24"/>
          <w:highlight w:val="none"/>
          <w:u w:val="single"/>
        </w:rPr>
        <w:t>执</w:t>
      </w:r>
      <w:r>
        <w:rPr>
          <w:rFonts w:hint="eastAsia" w:ascii="宋体" w:hAnsi="宋体" w:cs="宋体"/>
          <w:color w:val="auto"/>
          <w:sz w:val="24"/>
          <w:szCs w:val="24"/>
          <w:highlight w:val="none"/>
          <w:u w:val="single"/>
        </w:rPr>
        <w:t>通</w:t>
      </w:r>
      <w:r>
        <w:rPr>
          <w:rFonts w:hint="eastAsia" w:ascii="宋体" w:hAnsi="宋体" w:cs="宋体"/>
          <w:color w:val="auto"/>
          <w:spacing w:val="-3"/>
          <w:sz w:val="24"/>
          <w:szCs w:val="24"/>
          <w:highlight w:val="none"/>
          <w:u w:val="single"/>
        </w:rPr>
        <w:t>知</w:t>
      </w:r>
      <w:r>
        <w:rPr>
          <w:rFonts w:hint="eastAsia" w:ascii="宋体" w:hAnsi="宋体" w:cs="宋体"/>
          <w:color w:val="auto"/>
          <w:sz w:val="24"/>
          <w:szCs w:val="24"/>
          <w:highlight w:val="none"/>
          <w:u w:val="single"/>
        </w:rPr>
        <w:t>。</w:t>
      </w:r>
      <w:r>
        <w:rPr>
          <w:rFonts w:hint="eastAsia" w:ascii="宋体" w:hAnsi="宋体" w:cs="宋体"/>
          <w:color w:val="auto"/>
          <w:spacing w:val="-2"/>
          <w:sz w:val="24"/>
          <w:szCs w:val="24"/>
          <w:highlight w:val="none"/>
          <w:u w:val="single"/>
        </w:rPr>
        <w:t>递</w:t>
      </w:r>
      <w:r>
        <w:rPr>
          <w:rFonts w:hint="eastAsia" w:ascii="宋体" w:hAnsi="宋体" w:cs="宋体"/>
          <w:color w:val="auto"/>
          <w:sz w:val="24"/>
          <w:szCs w:val="24"/>
          <w:highlight w:val="none"/>
          <w:u w:val="single"/>
        </w:rPr>
        <w:t>交</w:t>
      </w:r>
      <w:r>
        <w:rPr>
          <w:rFonts w:hint="eastAsia" w:ascii="宋体" w:hAnsi="宋体" w:cs="宋体"/>
          <w:color w:val="auto"/>
          <w:spacing w:val="-2"/>
          <w:sz w:val="24"/>
          <w:szCs w:val="24"/>
          <w:highlight w:val="none"/>
          <w:u w:val="single"/>
        </w:rPr>
        <w:t>时</w:t>
      </w:r>
      <w:r>
        <w:rPr>
          <w:rFonts w:hint="eastAsia" w:ascii="宋体" w:hAnsi="宋体" w:cs="宋体"/>
          <w:color w:val="auto"/>
          <w:sz w:val="24"/>
          <w:szCs w:val="24"/>
          <w:highlight w:val="none"/>
          <w:u w:val="single"/>
        </w:rPr>
        <w:t>间</w:t>
      </w:r>
      <w:r>
        <w:rPr>
          <w:rFonts w:hint="eastAsia" w:ascii="宋体" w:hAnsi="宋体" w:cs="宋体"/>
          <w:color w:val="auto"/>
          <w:spacing w:val="-2"/>
          <w:sz w:val="24"/>
          <w:szCs w:val="24"/>
          <w:highlight w:val="none"/>
          <w:u w:val="single"/>
        </w:rPr>
        <w:t>以</w:t>
      </w:r>
      <w:r>
        <w:rPr>
          <w:rFonts w:hint="eastAsia" w:ascii="宋体" w:hAnsi="宋体" w:cs="宋体"/>
          <w:color w:val="auto"/>
          <w:sz w:val="24"/>
          <w:szCs w:val="24"/>
          <w:highlight w:val="none"/>
          <w:u w:val="single"/>
        </w:rPr>
        <w:t>递交</w:t>
      </w:r>
      <w:r>
        <w:rPr>
          <w:rFonts w:hint="eastAsia" w:ascii="宋体" w:hAnsi="宋体" w:cs="宋体"/>
          <w:color w:val="auto"/>
          <w:spacing w:val="-2"/>
          <w:sz w:val="24"/>
          <w:szCs w:val="24"/>
          <w:highlight w:val="none"/>
          <w:u w:val="single"/>
        </w:rPr>
        <w:t>回</w:t>
      </w:r>
      <w:r>
        <w:rPr>
          <w:rFonts w:hint="eastAsia" w:ascii="宋体" w:hAnsi="宋体" w:cs="宋体"/>
          <w:color w:val="auto"/>
          <w:sz w:val="24"/>
          <w:szCs w:val="24"/>
          <w:highlight w:val="none"/>
          <w:u w:val="single"/>
        </w:rPr>
        <w:t>执</w:t>
      </w:r>
      <w:r>
        <w:rPr>
          <w:rFonts w:hint="eastAsia" w:ascii="宋体" w:hAnsi="宋体" w:cs="宋体"/>
          <w:color w:val="auto"/>
          <w:spacing w:val="-2"/>
          <w:sz w:val="24"/>
          <w:szCs w:val="24"/>
          <w:highlight w:val="none"/>
          <w:u w:val="single"/>
        </w:rPr>
        <w:t>通</w:t>
      </w:r>
      <w:r>
        <w:rPr>
          <w:rFonts w:hint="eastAsia" w:ascii="宋体" w:hAnsi="宋体" w:cs="宋体"/>
          <w:color w:val="auto"/>
          <w:sz w:val="24"/>
          <w:szCs w:val="24"/>
          <w:highlight w:val="none"/>
          <w:u w:val="single"/>
        </w:rPr>
        <w:t>知</w:t>
      </w:r>
      <w:r>
        <w:rPr>
          <w:rFonts w:hint="eastAsia" w:ascii="宋体" w:hAnsi="宋体" w:cs="宋体"/>
          <w:color w:val="auto"/>
          <w:spacing w:val="-2"/>
          <w:sz w:val="24"/>
          <w:szCs w:val="24"/>
          <w:highlight w:val="none"/>
          <w:u w:val="single"/>
        </w:rPr>
        <w:t>载</w:t>
      </w:r>
      <w:r>
        <w:rPr>
          <w:rFonts w:hint="eastAsia" w:ascii="宋体" w:hAnsi="宋体" w:cs="宋体"/>
          <w:color w:val="auto"/>
          <w:sz w:val="24"/>
          <w:szCs w:val="24"/>
          <w:highlight w:val="none"/>
          <w:u w:val="single"/>
        </w:rPr>
        <w:t>明</w:t>
      </w:r>
      <w:r>
        <w:rPr>
          <w:rFonts w:hint="eastAsia" w:ascii="宋体" w:hAnsi="宋体" w:cs="宋体"/>
          <w:color w:val="auto"/>
          <w:spacing w:val="-2"/>
          <w:sz w:val="24"/>
          <w:szCs w:val="24"/>
          <w:highlight w:val="none"/>
          <w:u w:val="single"/>
        </w:rPr>
        <w:t>的</w:t>
      </w:r>
      <w:r>
        <w:rPr>
          <w:rFonts w:hint="eastAsia" w:ascii="宋体" w:hAnsi="宋体" w:cs="宋体"/>
          <w:color w:val="auto"/>
          <w:sz w:val="24"/>
          <w:szCs w:val="24"/>
          <w:highlight w:val="none"/>
          <w:u w:val="single"/>
        </w:rPr>
        <w:t>传</w:t>
      </w:r>
      <w:r>
        <w:rPr>
          <w:rFonts w:hint="eastAsia" w:ascii="宋体" w:hAnsi="宋体" w:cs="宋体"/>
          <w:color w:val="auto"/>
          <w:spacing w:val="-2"/>
          <w:sz w:val="24"/>
          <w:szCs w:val="24"/>
          <w:highlight w:val="none"/>
          <w:u w:val="single"/>
        </w:rPr>
        <w:t>输</w:t>
      </w:r>
      <w:r>
        <w:rPr>
          <w:rFonts w:hint="eastAsia" w:ascii="宋体" w:hAnsi="宋体" w:cs="宋体"/>
          <w:color w:val="auto"/>
          <w:sz w:val="24"/>
          <w:szCs w:val="24"/>
          <w:highlight w:val="none"/>
          <w:u w:val="single"/>
        </w:rPr>
        <w:t>完成</w:t>
      </w:r>
      <w:r>
        <w:rPr>
          <w:rFonts w:hint="eastAsia" w:ascii="宋体" w:hAnsi="宋体" w:cs="宋体"/>
          <w:color w:val="auto"/>
          <w:spacing w:val="-2"/>
          <w:sz w:val="24"/>
          <w:szCs w:val="24"/>
          <w:highlight w:val="none"/>
          <w:u w:val="single"/>
        </w:rPr>
        <w:t>时</w:t>
      </w:r>
      <w:r>
        <w:rPr>
          <w:rFonts w:hint="eastAsia" w:ascii="宋体" w:hAnsi="宋体" w:cs="宋体"/>
          <w:color w:val="auto"/>
          <w:sz w:val="24"/>
          <w:szCs w:val="24"/>
          <w:highlight w:val="none"/>
          <w:u w:val="single"/>
        </w:rPr>
        <w:t>间</w:t>
      </w:r>
      <w:r>
        <w:rPr>
          <w:rFonts w:hint="eastAsia" w:ascii="宋体" w:hAnsi="宋体" w:cs="宋体"/>
          <w:color w:val="auto"/>
          <w:spacing w:val="-2"/>
          <w:sz w:val="24"/>
          <w:szCs w:val="24"/>
          <w:highlight w:val="none"/>
          <w:u w:val="single"/>
        </w:rPr>
        <w:t>为</w:t>
      </w:r>
      <w:r>
        <w:rPr>
          <w:rFonts w:hint="eastAsia" w:ascii="宋体" w:hAnsi="宋体" w:cs="宋体"/>
          <w:color w:val="auto"/>
          <w:sz w:val="24"/>
          <w:szCs w:val="24"/>
          <w:highlight w:val="none"/>
          <w:u w:val="single"/>
        </w:rPr>
        <w:t>准。</w:t>
      </w:r>
    </w:p>
    <w:p w14:paraId="27192C48">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4.2.5 </w:t>
      </w:r>
      <w:r>
        <w:rPr>
          <w:rFonts w:hint="eastAsia" w:ascii="宋体" w:hAnsi="宋体" w:cs="宋体"/>
          <w:color w:val="auto"/>
          <w:spacing w:val="-2"/>
          <w:sz w:val="24"/>
          <w:szCs w:val="24"/>
          <w:highlight w:val="none"/>
          <w:u w:val="single"/>
        </w:rPr>
        <w:t>逾</w:t>
      </w:r>
      <w:r>
        <w:rPr>
          <w:rFonts w:hint="eastAsia" w:ascii="宋体" w:hAnsi="宋体" w:cs="宋体"/>
          <w:color w:val="auto"/>
          <w:sz w:val="24"/>
          <w:szCs w:val="24"/>
          <w:highlight w:val="none"/>
          <w:u w:val="single"/>
          <w:lang w:val="en-US" w:eastAsia="zh-CN"/>
        </w:rPr>
        <w:t>期</w:t>
      </w:r>
      <w:r>
        <w:rPr>
          <w:rFonts w:hint="eastAsia" w:ascii="宋体" w:hAnsi="宋体" w:cs="宋体"/>
          <w:color w:val="auto"/>
          <w:spacing w:val="-2"/>
          <w:sz w:val="24"/>
          <w:szCs w:val="24"/>
          <w:highlight w:val="none"/>
          <w:u w:val="single"/>
        </w:rPr>
        <w:t>送</w:t>
      </w:r>
      <w:r>
        <w:rPr>
          <w:rFonts w:hint="eastAsia" w:ascii="宋体" w:hAnsi="宋体" w:cs="宋体"/>
          <w:color w:val="auto"/>
          <w:sz w:val="24"/>
          <w:szCs w:val="24"/>
          <w:highlight w:val="none"/>
          <w:u w:val="single"/>
        </w:rPr>
        <w:t>达</w:t>
      </w:r>
      <w:r>
        <w:rPr>
          <w:rFonts w:hint="eastAsia" w:ascii="宋体" w:hAnsi="宋体" w:cs="宋体"/>
          <w:color w:val="auto"/>
          <w:spacing w:val="-2"/>
          <w:sz w:val="24"/>
          <w:szCs w:val="24"/>
          <w:highlight w:val="none"/>
          <w:u w:val="single"/>
        </w:rPr>
        <w:t>的投</w:t>
      </w:r>
      <w:r>
        <w:rPr>
          <w:rFonts w:hint="eastAsia" w:ascii="宋体" w:hAnsi="宋体" w:cs="宋体"/>
          <w:color w:val="auto"/>
          <w:sz w:val="24"/>
          <w:szCs w:val="24"/>
          <w:highlight w:val="none"/>
          <w:u w:val="single"/>
        </w:rPr>
        <w:t>标文</w:t>
      </w:r>
      <w:r>
        <w:rPr>
          <w:rFonts w:hint="eastAsia" w:ascii="宋体" w:hAnsi="宋体" w:cs="宋体"/>
          <w:color w:val="auto"/>
          <w:spacing w:val="-2"/>
          <w:sz w:val="24"/>
          <w:szCs w:val="24"/>
          <w:highlight w:val="none"/>
          <w:u w:val="single"/>
        </w:rPr>
        <w:t>件及定标文件</w:t>
      </w:r>
      <w:r>
        <w:rPr>
          <w:rFonts w:hint="eastAsia" w:ascii="宋体" w:hAnsi="宋体" w:cs="宋体"/>
          <w:color w:val="auto"/>
          <w:sz w:val="24"/>
          <w:szCs w:val="24"/>
          <w:highlight w:val="none"/>
          <w:u w:val="single"/>
        </w:rPr>
        <w:t>，</w:t>
      </w:r>
      <w:r>
        <w:rPr>
          <w:rFonts w:hint="eastAsia" w:ascii="宋体" w:hAnsi="宋体" w:cs="宋体"/>
          <w:color w:val="auto"/>
          <w:spacing w:val="-2"/>
          <w:sz w:val="24"/>
          <w:szCs w:val="24"/>
          <w:highlight w:val="none"/>
          <w:u w:val="single"/>
        </w:rPr>
        <w:t>电</w:t>
      </w:r>
      <w:r>
        <w:rPr>
          <w:rFonts w:hint="eastAsia" w:ascii="宋体" w:hAnsi="宋体" w:cs="宋体"/>
          <w:color w:val="auto"/>
          <w:sz w:val="24"/>
          <w:szCs w:val="24"/>
          <w:highlight w:val="none"/>
          <w:u w:val="single"/>
        </w:rPr>
        <w:t>子</w:t>
      </w:r>
      <w:r>
        <w:rPr>
          <w:rFonts w:hint="eastAsia" w:ascii="宋体" w:hAnsi="宋体" w:cs="宋体"/>
          <w:color w:val="auto"/>
          <w:spacing w:val="-2"/>
          <w:sz w:val="24"/>
          <w:szCs w:val="24"/>
          <w:highlight w:val="none"/>
          <w:u w:val="single"/>
        </w:rPr>
        <w:t>招</w:t>
      </w:r>
      <w:r>
        <w:rPr>
          <w:rFonts w:hint="eastAsia" w:ascii="宋体" w:hAnsi="宋体" w:cs="宋体"/>
          <w:color w:val="auto"/>
          <w:sz w:val="24"/>
          <w:szCs w:val="24"/>
          <w:highlight w:val="none"/>
          <w:u w:val="single"/>
        </w:rPr>
        <w:t>标</w:t>
      </w:r>
      <w:r>
        <w:rPr>
          <w:rFonts w:hint="eastAsia" w:ascii="宋体" w:hAnsi="宋体" w:cs="宋体"/>
          <w:color w:val="auto"/>
          <w:spacing w:val="-2"/>
          <w:sz w:val="24"/>
          <w:szCs w:val="24"/>
          <w:highlight w:val="none"/>
          <w:u w:val="single"/>
        </w:rPr>
        <w:t>投</w:t>
      </w:r>
      <w:r>
        <w:rPr>
          <w:rFonts w:hint="eastAsia" w:ascii="宋体" w:hAnsi="宋体" w:cs="宋体"/>
          <w:color w:val="auto"/>
          <w:sz w:val="24"/>
          <w:szCs w:val="24"/>
          <w:highlight w:val="none"/>
          <w:u w:val="single"/>
        </w:rPr>
        <w:t>标</w:t>
      </w:r>
      <w:r>
        <w:rPr>
          <w:rFonts w:hint="eastAsia" w:ascii="宋体" w:hAnsi="宋体" w:cs="宋体"/>
          <w:color w:val="auto"/>
          <w:spacing w:val="-2"/>
          <w:sz w:val="24"/>
          <w:szCs w:val="24"/>
          <w:highlight w:val="none"/>
          <w:u w:val="single"/>
        </w:rPr>
        <w:t>交</w:t>
      </w:r>
      <w:r>
        <w:rPr>
          <w:rFonts w:hint="eastAsia" w:ascii="宋体" w:hAnsi="宋体" w:cs="宋体"/>
          <w:color w:val="auto"/>
          <w:sz w:val="24"/>
          <w:szCs w:val="24"/>
          <w:highlight w:val="none"/>
          <w:u w:val="single"/>
        </w:rPr>
        <w:t>易平</w:t>
      </w:r>
      <w:r>
        <w:rPr>
          <w:rFonts w:hint="eastAsia" w:ascii="宋体" w:hAnsi="宋体" w:cs="宋体"/>
          <w:color w:val="auto"/>
          <w:spacing w:val="-2"/>
          <w:sz w:val="24"/>
          <w:szCs w:val="24"/>
          <w:highlight w:val="none"/>
          <w:u w:val="single"/>
        </w:rPr>
        <w:t>台</w:t>
      </w:r>
      <w:r>
        <w:rPr>
          <w:rFonts w:hint="eastAsia" w:ascii="宋体" w:hAnsi="宋体" w:cs="宋体"/>
          <w:color w:val="auto"/>
          <w:sz w:val="24"/>
          <w:szCs w:val="24"/>
          <w:highlight w:val="none"/>
          <w:u w:val="single"/>
        </w:rPr>
        <w:t>将</w:t>
      </w:r>
      <w:r>
        <w:rPr>
          <w:rFonts w:hint="eastAsia" w:ascii="宋体" w:hAnsi="宋体" w:cs="宋体"/>
          <w:color w:val="auto"/>
          <w:spacing w:val="-2"/>
          <w:sz w:val="24"/>
          <w:szCs w:val="24"/>
          <w:highlight w:val="none"/>
          <w:u w:val="single"/>
        </w:rPr>
        <w:t>予</w:t>
      </w:r>
      <w:r>
        <w:rPr>
          <w:rFonts w:hint="eastAsia" w:ascii="宋体" w:hAnsi="宋体" w:cs="宋体"/>
          <w:color w:val="auto"/>
          <w:sz w:val="24"/>
          <w:szCs w:val="24"/>
          <w:highlight w:val="none"/>
          <w:u w:val="single"/>
        </w:rPr>
        <w:t>以</w:t>
      </w:r>
      <w:r>
        <w:rPr>
          <w:rFonts w:hint="eastAsia" w:ascii="宋体" w:hAnsi="宋体" w:cs="宋体"/>
          <w:color w:val="auto"/>
          <w:spacing w:val="-2"/>
          <w:sz w:val="24"/>
          <w:szCs w:val="24"/>
          <w:highlight w:val="none"/>
          <w:u w:val="single"/>
        </w:rPr>
        <w:t>拒</w:t>
      </w:r>
      <w:r>
        <w:rPr>
          <w:rFonts w:hint="eastAsia" w:ascii="宋体" w:hAnsi="宋体" w:cs="宋体"/>
          <w:color w:val="auto"/>
          <w:sz w:val="24"/>
          <w:szCs w:val="24"/>
          <w:highlight w:val="none"/>
          <w:u w:val="single"/>
        </w:rPr>
        <w:t>收。</w:t>
      </w:r>
    </w:p>
    <w:p w14:paraId="533CD0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4.2.6到投标截止时间止，若收到的投标文件少于3</w:t>
      </w:r>
      <w:r>
        <w:rPr>
          <w:rFonts w:hint="eastAsia" w:ascii="宋体" w:hAnsi="宋体" w:cs="宋体"/>
          <w:b/>
          <w:bCs/>
          <w:color w:val="auto"/>
          <w:sz w:val="24"/>
          <w:szCs w:val="24"/>
          <w:highlight w:val="none"/>
        </w:rPr>
        <w:t>家</w:t>
      </w:r>
      <w:r>
        <w:rPr>
          <w:rFonts w:hint="eastAsia" w:ascii="宋体" w:hAnsi="宋体" w:cs="宋体"/>
          <w:color w:val="auto"/>
          <w:sz w:val="24"/>
          <w:szCs w:val="24"/>
          <w:highlight w:val="none"/>
        </w:rPr>
        <w:t>的，则招标失败，将依法重新招标。</w:t>
      </w:r>
    </w:p>
    <w:p w14:paraId="284479F8">
      <w:pPr>
        <w:keepNext/>
        <w:keepLines/>
        <w:spacing w:line="360" w:lineRule="auto"/>
        <w:outlineLvl w:val="2"/>
        <w:rPr>
          <w:rFonts w:hint="eastAsia" w:ascii="宋体" w:hAnsi="宋体" w:cs="宋体"/>
          <w:bCs/>
          <w:color w:val="auto"/>
          <w:sz w:val="24"/>
          <w:szCs w:val="24"/>
          <w:highlight w:val="none"/>
        </w:rPr>
      </w:pPr>
      <w:bookmarkStart w:id="527" w:name="_Toc7320"/>
      <w:bookmarkStart w:id="528" w:name="_Toc14142"/>
      <w:bookmarkStart w:id="529" w:name="_Toc436834752"/>
      <w:bookmarkStart w:id="530" w:name="_Toc29112"/>
      <w:bookmarkStart w:id="531" w:name="_Toc485211066"/>
      <w:bookmarkStart w:id="532" w:name="_Toc436834159"/>
      <w:bookmarkStart w:id="533" w:name="_Toc13787"/>
      <w:bookmarkStart w:id="534" w:name="_Toc27403"/>
      <w:bookmarkStart w:id="535" w:name="_Toc2195"/>
      <w:bookmarkStart w:id="536" w:name="_Toc1087"/>
      <w:bookmarkStart w:id="537" w:name="_Toc8164"/>
      <w:bookmarkStart w:id="538" w:name="_Toc27723"/>
      <w:bookmarkStart w:id="539" w:name="_Toc12422"/>
      <w:r>
        <w:rPr>
          <w:rFonts w:hint="eastAsia" w:ascii="宋体" w:hAnsi="宋体" w:cs="宋体"/>
          <w:bCs/>
          <w:color w:val="auto"/>
          <w:sz w:val="24"/>
          <w:szCs w:val="24"/>
          <w:highlight w:val="none"/>
        </w:rPr>
        <w:t>4.3 投标文件的修改与撤回</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p w14:paraId="24744D6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4.3.1 在本章第4.2.1项规定的投标截止时间前，投标人可以修改或撤回已递交的投标文件，但应以书面形式通知招标人。</w:t>
      </w:r>
    </w:p>
    <w:p w14:paraId="0DCD2C6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4.3.2 </w:t>
      </w:r>
      <w:r>
        <w:rPr>
          <w:rFonts w:hint="eastAsia" w:ascii="宋体" w:hAnsi="宋体" w:cs="宋体"/>
          <w:color w:val="auto"/>
          <w:sz w:val="24"/>
          <w:szCs w:val="24"/>
          <w:highlight w:val="none"/>
          <w:u w:val="single"/>
        </w:rPr>
        <w:t>投标人修改或撤回已递交投标文件的通知，应按照本章第3.7.3项的要求加盖电子印章。电子招标投标交易平台收到通知后，即时向投标人发出确认回执通知。</w:t>
      </w:r>
    </w:p>
    <w:p w14:paraId="1D60B1B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4.3.3 修改的内容为投标文件的组成部分。修改的投标文件应按照本章第3条、第4条规定进行编制、密封、标记和递交，并标明“修改”字样。</w:t>
      </w:r>
    </w:p>
    <w:p w14:paraId="1373FD3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4.3.4 在投标截止时间之后，投标人不得补充、修改和更换投标文件。</w:t>
      </w:r>
    </w:p>
    <w:p w14:paraId="68B7D64E">
      <w:pPr>
        <w:keepNext/>
        <w:keepLines/>
        <w:spacing w:line="360" w:lineRule="auto"/>
        <w:outlineLvl w:val="1"/>
        <w:rPr>
          <w:rFonts w:hint="eastAsia" w:ascii="宋体" w:hAnsi="宋体" w:cs="宋体"/>
          <w:b/>
          <w:bCs/>
          <w:color w:val="auto"/>
          <w:sz w:val="28"/>
          <w:szCs w:val="28"/>
          <w:highlight w:val="none"/>
        </w:rPr>
      </w:pPr>
      <w:bookmarkStart w:id="540" w:name="_Toc12170"/>
      <w:bookmarkStart w:id="541" w:name="_Toc247527584"/>
      <w:bookmarkStart w:id="542" w:name="_Toc485211067"/>
      <w:bookmarkStart w:id="543" w:name="_Toc31450"/>
      <w:bookmarkStart w:id="544" w:name="_Toc152045559"/>
      <w:bookmarkStart w:id="545" w:name="_Toc16642"/>
      <w:bookmarkStart w:id="546" w:name="_Toc436834160"/>
      <w:bookmarkStart w:id="547" w:name="_Toc300834980"/>
      <w:bookmarkStart w:id="548" w:name="_Toc5421"/>
      <w:bookmarkStart w:id="549" w:name="_Toc4459"/>
      <w:bookmarkStart w:id="550" w:name="_Toc144974527"/>
      <w:bookmarkStart w:id="551" w:name="_Toc399165402"/>
      <w:bookmarkStart w:id="552" w:name="_Toc152042335"/>
      <w:bookmarkStart w:id="553" w:name="_Toc436834753"/>
      <w:bookmarkStart w:id="554" w:name="_Toc247513983"/>
      <w:bookmarkStart w:id="555" w:name="_Toc17608"/>
      <w:bookmarkStart w:id="556" w:name="_Toc26618"/>
      <w:bookmarkStart w:id="557" w:name="_Toc20349"/>
      <w:bookmarkStart w:id="558" w:name="_Toc6364"/>
      <w:bookmarkStart w:id="559" w:name="_Toc30507"/>
      <w:r>
        <w:rPr>
          <w:rFonts w:hint="eastAsia" w:ascii="宋体" w:hAnsi="宋体" w:cs="宋体"/>
          <w:b/>
          <w:bCs/>
          <w:color w:val="auto"/>
          <w:sz w:val="28"/>
          <w:szCs w:val="28"/>
          <w:highlight w:val="none"/>
        </w:rPr>
        <w:t>5. 开标</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Start w:id="560" w:name="_Toc29641"/>
      <w:bookmarkStart w:id="561" w:name="_Toc152042336"/>
      <w:bookmarkStart w:id="562" w:name="_Toc22565"/>
      <w:bookmarkStart w:id="563" w:name="_Toc24693"/>
      <w:bookmarkStart w:id="564" w:name="_Toc247527585"/>
      <w:bookmarkStart w:id="565" w:name="_Toc4802"/>
      <w:bookmarkStart w:id="566" w:name="_Toc485211068"/>
      <w:bookmarkStart w:id="567" w:name="_Toc18579"/>
      <w:bookmarkStart w:id="568" w:name="_Toc436834754"/>
      <w:bookmarkStart w:id="569" w:name="_Toc300834981"/>
      <w:bookmarkStart w:id="570" w:name="_Toc24982"/>
      <w:bookmarkStart w:id="571" w:name="_Toc6981"/>
      <w:bookmarkStart w:id="572" w:name="_Toc247513984"/>
      <w:bookmarkStart w:id="573" w:name="_Toc19541"/>
      <w:bookmarkStart w:id="574" w:name="_Toc399165403"/>
      <w:bookmarkStart w:id="575" w:name="_Toc152045560"/>
      <w:bookmarkStart w:id="576" w:name="_Toc10949"/>
      <w:bookmarkStart w:id="577" w:name="_Toc7901"/>
      <w:bookmarkStart w:id="578" w:name="_Toc436834161"/>
      <w:bookmarkStart w:id="579" w:name="_Toc144974528"/>
    </w:p>
    <w:p w14:paraId="11CD3434">
      <w:pPr>
        <w:keepNext/>
        <w:keepLines/>
        <w:spacing w:line="360" w:lineRule="auto"/>
        <w:outlineLvl w:val="2"/>
        <w:rPr>
          <w:rFonts w:hint="eastAsia" w:ascii="宋体" w:hAnsi="宋体" w:cs="宋体"/>
          <w:bCs/>
          <w:color w:val="auto"/>
          <w:sz w:val="24"/>
          <w:szCs w:val="24"/>
          <w:highlight w:val="none"/>
        </w:rPr>
      </w:pPr>
      <w:r>
        <w:rPr>
          <w:rFonts w:hint="eastAsia" w:ascii="宋体" w:hAnsi="宋体" w:cs="宋体"/>
          <w:bCs/>
          <w:color w:val="auto"/>
          <w:sz w:val="24"/>
          <w:szCs w:val="24"/>
          <w:highlight w:val="none"/>
        </w:rPr>
        <w:t>5.1 开标时间和地点</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p w14:paraId="325FC3E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招标人在本章第4.2.1项规定的投标截止时间（开标时间）和《投标人须知前附表》规定的地点公开开标。</w:t>
      </w:r>
      <w:r>
        <w:rPr>
          <w:rFonts w:hint="eastAsia" w:ascii="宋体" w:hAnsi="宋体" w:cs="宋体"/>
          <w:color w:val="auto"/>
          <w:sz w:val="24"/>
          <w:szCs w:val="24"/>
          <w:highlight w:val="none"/>
          <w:u w:val="single"/>
        </w:rPr>
        <w:t>投标人（法定代表人或其委托代理人）可自行决定是否参加开标。投标人不参加的，视为认可开标过程及结果</w:t>
      </w:r>
      <w:r>
        <w:rPr>
          <w:rFonts w:hint="eastAsia" w:ascii="宋体" w:hAnsi="宋体" w:cs="宋体"/>
          <w:color w:val="auto"/>
          <w:sz w:val="24"/>
          <w:szCs w:val="24"/>
          <w:highlight w:val="none"/>
        </w:rPr>
        <w:t>。</w:t>
      </w:r>
      <w:bookmarkStart w:id="580" w:name="_Toc247513985"/>
      <w:bookmarkStart w:id="581" w:name="_Toc22128"/>
      <w:bookmarkStart w:id="582" w:name="_Toc11280"/>
      <w:bookmarkStart w:id="583" w:name="_Toc485211069"/>
      <w:bookmarkStart w:id="584" w:name="_Toc152042337"/>
      <w:bookmarkStart w:id="585" w:name="_Toc300834982"/>
      <w:bookmarkStart w:id="586" w:name="_Toc436834162"/>
      <w:bookmarkStart w:id="587" w:name="_Toc149"/>
      <w:bookmarkStart w:id="588" w:name="_Toc399165404"/>
      <w:bookmarkStart w:id="589" w:name="_Toc1228"/>
      <w:bookmarkStart w:id="590" w:name="_Toc436834755"/>
      <w:bookmarkStart w:id="591" w:name="_Toc2356"/>
      <w:bookmarkStart w:id="592" w:name="_Toc1215"/>
      <w:bookmarkStart w:id="593" w:name="_Toc152045561"/>
      <w:bookmarkStart w:id="594" w:name="_Toc144974529"/>
      <w:bookmarkStart w:id="595" w:name="_Toc247527586"/>
      <w:bookmarkStart w:id="596" w:name="_Toc13039"/>
      <w:bookmarkStart w:id="597" w:name="_Toc32550"/>
      <w:bookmarkStart w:id="598" w:name="_Toc21731"/>
      <w:bookmarkStart w:id="599" w:name="_Toc29350"/>
      <w:bookmarkStart w:id="600" w:name="_Toc300834983"/>
      <w:bookmarkStart w:id="601" w:name="_Toc399165405"/>
    </w:p>
    <w:p w14:paraId="58A48E4A">
      <w:pPr>
        <w:keepNext/>
        <w:keepLines/>
        <w:spacing w:line="360" w:lineRule="auto"/>
        <w:outlineLvl w:val="2"/>
        <w:rPr>
          <w:rFonts w:hint="eastAsia" w:ascii="宋体" w:hAnsi="宋体" w:cs="宋体"/>
          <w:bCs/>
          <w:color w:val="auto"/>
          <w:sz w:val="24"/>
          <w:szCs w:val="24"/>
          <w:highlight w:val="none"/>
        </w:rPr>
      </w:pPr>
      <w:r>
        <w:rPr>
          <w:rFonts w:hint="eastAsia" w:ascii="宋体" w:hAnsi="宋体" w:cs="宋体"/>
          <w:bCs/>
          <w:color w:val="auto"/>
          <w:sz w:val="24"/>
          <w:szCs w:val="24"/>
          <w:highlight w:val="none"/>
        </w:rPr>
        <w:t>5.2 开标程序</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1521C310">
      <w:pPr>
        <w:spacing w:line="360" w:lineRule="auto"/>
        <w:ind w:firstLine="480" w:firstLineChars="200"/>
        <w:rPr>
          <w:rFonts w:hint="eastAsia" w:ascii="宋体" w:hAnsi="宋体" w:cs="宋体"/>
          <w:color w:val="auto"/>
          <w:sz w:val="24"/>
          <w:szCs w:val="24"/>
          <w:highlight w:val="none"/>
          <w:u w:val="single"/>
        </w:rPr>
      </w:pPr>
      <w:bookmarkStart w:id="602" w:name="_Toc4656"/>
      <w:r>
        <w:rPr>
          <w:rFonts w:hint="eastAsia" w:ascii="宋体" w:hAnsi="宋体" w:cs="宋体"/>
          <w:color w:val="auto"/>
          <w:sz w:val="24"/>
          <w:szCs w:val="24"/>
          <w:highlight w:val="none"/>
          <w:u w:val="single"/>
        </w:rPr>
        <w:t>主持人按下列程序进行开标：</w:t>
      </w:r>
      <w:bookmarkEnd w:id="602"/>
    </w:p>
    <w:p w14:paraId="172301A8">
      <w:pPr>
        <w:spacing w:line="360" w:lineRule="auto"/>
        <w:ind w:firstLine="480" w:firstLineChars="200"/>
        <w:rPr>
          <w:rFonts w:hint="eastAsia" w:ascii="宋体" w:hAnsi="宋体" w:cs="宋体"/>
          <w:color w:val="auto"/>
          <w:sz w:val="24"/>
          <w:szCs w:val="24"/>
          <w:highlight w:val="none"/>
          <w:u w:val="single"/>
        </w:rPr>
      </w:pPr>
      <w:bookmarkStart w:id="603" w:name="_Toc31709"/>
      <w:r>
        <w:rPr>
          <w:rFonts w:hint="eastAsia" w:ascii="宋体" w:hAnsi="宋体" w:cs="宋体"/>
          <w:color w:val="auto"/>
          <w:sz w:val="24"/>
          <w:szCs w:val="24"/>
          <w:highlight w:val="none"/>
          <w:u w:val="single"/>
        </w:rPr>
        <w:t>（1）宣布开标纪律；</w:t>
      </w:r>
      <w:bookmarkEnd w:id="603"/>
    </w:p>
    <w:p w14:paraId="69793695">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（2）在投标截止时间后</w:t>
      </w:r>
      <w:r>
        <w:rPr>
          <w:rFonts w:hint="eastAsia" w:ascii="宋体" w:hAnsi="宋体" w:cs="宋体"/>
          <w:b/>
          <w:bCs/>
          <w:color w:val="auto"/>
          <w:sz w:val="24"/>
          <w:szCs w:val="24"/>
          <w:highlight w:val="none"/>
          <w:u w:val="single"/>
          <w:lang w:val="en-US" w:eastAsia="zh-CN"/>
        </w:rPr>
        <w:t>一</w:t>
      </w:r>
      <w:r>
        <w:rPr>
          <w:rFonts w:hint="eastAsia" w:ascii="宋体" w:hAnsi="宋体" w:cs="宋体"/>
          <w:b/>
          <w:bCs/>
          <w:color w:val="auto"/>
          <w:sz w:val="24"/>
          <w:szCs w:val="24"/>
          <w:highlight w:val="none"/>
          <w:u w:val="single"/>
        </w:rPr>
        <w:t>小时</w:t>
      </w:r>
      <w:r>
        <w:rPr>
          <w:rFonts w:hint="eastAsia" w:ascii="宋体" w:hAnsi="宋体" w:cs="宋体"/>
          <w:color w:val="auto"/>
          <w:sz w:val="24"/>
          <w:szCs w:val="24"/>
          <w:highlight w:val="none"/>
          <w:u w:val="single"/>
        </w:rPr>
        <w:t>内，投标人通过递交投标文件及定标文件的交易平台对已递交的电子投标文件及定标文件进行解密。投标人完成解密后，再由招标人进行解密（投标人只用执行一次解密，招标人执行解密次数根据招标文件开标次数确定）。</w:t>
      </w:r>
    </w:p>
    <w:p w14:paraId="1B166739">
      <w:pPr>
        <w:spacing w:line="360" w:lineRule="auto"/>
        <w:ind w:firstLine="480" w:firstLineChars="200"/>
        <w:rPr>
          <w:rFonts w:hint="eastAsia" w:ascii="宋体" w:hAnsi="宋体" w:cs="宋体"/>
          <w:color w:val="auto"/>
          <w:sz w:val="24"/>
          <w:szCs w:val="24"/>
          <w:highlight w:val="none"/>
          <w:u w:val="single"/>
        </w:rPr>
      </w:pPr>
      <w:bookmarkStart w:id="604" w:name="_Toc5578"/>
      <w:r>
        <w:rPr>
          <w:rFonts w:hint="eastAsia" w:ascii="宋体" w:hAnsi="宋体" w:cs="宋体"/>
          <w:color w:val="auto"/>
          <w:sz w:val="24"/>
          <w:szCs w:val="24"/>
          <w:highlight w:val="none"/>
          <w:u w:val="single"/>
        </w:rPr>
        <w:t>（3）解密完成后，公布：a投标人名称；b投标文件递交情况；c投标文件解密情况；d项目负责人(</w:t>
      </w:r>
      <w:r>
        <w:rPr>
          <w:rFonts w:hint="eastAsia" w:ascii="宋体" w:hAnsi="宋体" w:cs="宋体"/>
          <w:color w:val="auto"/>
          <w:sz w:val="24"/>
          <w:highlight w:val="none"/>
          <w:u w:val="single"/>
        </w:rPr>
        <w:t>兼施工负责人</w:t>
      </w:r>
      <w:r>
        <w:rPr>
          <w:rFonts w:hint="eastAsia" w:ascii="宋体" w:hAnsi="宋体" w:cs="宋体"/>
          <w:color w:val="auto"/>
          <w:sz w:val="24"/>
          <w:szCs w:val="24"/>
          <w:highlight w:val="none"/>
          <w:u w:val="single"/>
        </w:rPr>
        <w:t>)、设计负责人、专职安全员；e投标报价；f工期；g质量标准等主要内容，并记录在案。未在规定时间内解密的投标文件不参与开标、评标。</w:t>
      </w:r>
      <w:bookmarkEnd w:id="604"/>
    </w:p>
    <w:p w14:paraId="4B659DAB">
      <w:pPr>
        <w:spacing w:line="360" w:lineRule="auto"/>
        <w:ind w:firstLine="480" w:firstLineChars="200"/>
        <w:rPr>
          <w:rFonts w:hint="eastAsia" w:ascii="宋体" w:hAnsi="宋体" w:cs="宋体"/>
          <w:color w:val="auto"/>
          <w:sz w:val="24"/>
          <w:szCs w:val="24"/>
          <w:highlight w:val="none"/>
          <w:u w:val="single"/>
        </w:rPr>
      </w:pPr>
      <w:bookmarkStart w:id="605" w:name="_Toc25551"/>
      <w:r>
        <w:rPr>
          <w:rFonts w:hint="eastAsia" w:ascii="宋体" w:hAnsi="宋体" w:cs="宋体"/>
          <w:color w:val="auto"/>
          <w:sz w:val="24"/>
          <w:szCs w:val="24"/>
          <w:highlight w:val="none"/>
          <w:u w:val="single"/>
        </w:rPr>
        <w:t>（4）截标后，开标开始时间因故推迟的，相关评标信息仍以原定的开标开始时间的信息为准。</w:t>
      </w:r>
      <w:bookmarkEnd w:id="605"/>
    </w:p>
    <w:p w14:paraId="102B206A">
      <w:pPr>
        <w:spacing w:line="360" w:lineRule="auto"/>
        <w:ind w:firstLine="480" w:firstLineChars="200"/>
        <w:rPr>
          <w:rFonts w:hint="eastAsia" w:ascii="宋体" w:hAnsi="宋体" w:cs="宋体"/>
          <w:color w:val="auto"/>
          <w:sz w:val="24"/>
          <w:szCs w:val="24"/>
          <w:highlight w:val="none"/>
          <w:u w:val="single"/>
        </w:rPr>
      </w:pPr>
      <w:bookmarkStart w:id="606" w:name="_Toc31329"/>
      <w:r>
        <w:rPr>
          <w:rFonts w:hint="eastAsia" w:ascii="宋体" w:hAnsi="宋体" w:cs="宋体"/>
          <w:color w:val="auto"/>
          <w:sz w:val="24"/>
          <w:szCs w:val="24"/>
          <w:highlight w:val="none"/>
          <w:u w:val="single"/>
        </w:rPr>
        <w:t>（5）备用光盘的读取按“10 电子招标投标”第6点的规定执行。</w:t>
      </w:r>
      <w:bookmarkEnd w:id="606"/>
    </w:p>
    <w:p w14:paraId="5184BDC1">
      <w:pPr>
        <w:spacing w:line="360" w:lineRule="auto"/>
        <w:ind w:firstLine="480" w:firstLineChars="200"/>
        <w:rPr>
          <w:rFonts w:hint="eastAsia" w:ascii="宋体" w:hAnsi="宋体" w:cs="宋体"/>
          <w:color w:val="auto"/>
          <w:sz w:val="24"/>
          <w:szCs w:val="24"/>
          <w:highlight w:val="none"/>
          <w:u w:val="single"/>
        </w:rPr>
      </w:pPr>
      <w:bookmarkStart w:id="607" w:name="_Toc1467"/>
      <w:r>
        <w:rPr>
          <w:rFonts w:hint="eastAsia" w:ascii="宋体" w:hAnsi="宋体" w:cs="宋体"/>
          <w:color w:val="auto"/>
          <w:sz w:val="24"/>
          <w:szCs w:val="24"/>
          <w:highlight w:val="none"/>
          <w:u w:val="single"/>
        </w:rPr>
        <w:t>（6）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bookmarkEnd w:id="607"/>
    </w:p>
    <w:p w14:paraId="77631247">
      <w:pPr>
        <w:spacing w:line="360" w:lineRule="auto"/>
        <w:ind w:firstLine="480" w:firstLineChars="200"/>
        <w:rPr>
          <w:rFonts w:hint="eastAsia" w:ascii="宋体" w:hAnsi="宋体" w:cs="宋体"/>
          <w:color w:val="auto"/>
          <w:sz w:val="24"/>
          <w:szCs w:val="24"/>
          <w:highlight w:val="none"/>
          <w:u w:val="single"/>
        </w:rPr>
      </w:pPr>
      <w:bookmarkStart w:id="608" w:name="_Toc17321"/>
      <w:r>
        <w:rPr>
          <w:rFonts w:hint="eastAsia" w:ascii="宋体" w:hAnsi="宋体" w:cs="宋体"/>
          <w:color w:val="auto"/>
          <w:sz w:val="24"/>
          <w:szCs w:val="24"/>
          <w:highlight w:val="none"/>
          <w:u w:val="single"/>
        </w:rPr>
        <w:t>（7）参加现场开标的投标人对开标结果有异议的，应当在开标现场提出，同时出示本人身份证原件，招标人应当当场作出答复，并制作记录。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bookmarkEnd w:id="608"/>
    </w:p>
    <w:p w14:paraId="58845E02">
      <w:pPr>
        <w:spacing w:line="360" w:lineRule="auto"/>
        <w:ind w:firstLine="480" w:firstLineChars="200"/>
        <w:rPr>
          <w:rFonts w:hint="eastAsia" w:ascii="宋体" w:hAnsi="宋体" w:cs="宋体"/>
          <w:color w:val="auto"/>
          <w:sz w:val="24"/>
          <w:szCs w:val="24"/>
          <w:highlight w:val="none"/>
          <w:u w:val="single"/>
        </w:rPr>
      </w:pPr>
      <w:bookmarkStart w:id="609" w:name="_Toc16988"/>
      <w:r>
        <w:rPr>
          <w:rFonts w:hint="eastAsia" w:ascii="宋体" w:hAnsi="宋体" w:cs="宋体"/>
          <w:color w:val="auto"/>
          <w:sz w:val="24"/>
          <w:szCs w:val="24"/>
          <w:highlight w:val="none"/>
          <w:u w:val="single"/>
        </w:rPr>
        <w:t>（8）投标人未参加开标或在规定的时间内未提出异议的，视为对开标无异议。</w:t>
      </w:r>
      <w:bookmarkEnd w:id="609"/>
    </w:p>
    <w:p w14:paraId="132805A1">
      <w:pPr>
        <w:spacing w:line="360" w:lineRule="auto"/>
        <w:ind w:firstLine="480" w:firstLineChars="200"/>
        <w:rPr>
          <w:rFonts w:hint="eastAsia" w:ascii="宋体" w:hAnsi="宋体" w:cs="宋体"/>
          <w:color w:val="auto"/>
          <w:sz w:val="24"/>
          <w:szCs w:val="24"/>
          <w:highlight w:val="none"/>
          <w:u w:val="single"/>
        </w:rPr>
      </w:pPr>
      <w:bookmarkStart w:id="610" w:name="_Toc21370"/>
      <w:r>
        <w:rPr>
          <w:rFonts w:hint="eastAsia" w:ascii="宋体" w:hAnsi="宋体" w:cs="宋体"/>
          <w:color w:val="auto"/>
          <w:sz w:val="24"/>
          <w:szCs w:val="24"/>
          <w:highlight w:val="none"/>
          <w:u w:val="single"/>
        </w:rPr>
        <w:t>（9）开标时，两个（含两个）以上的投标人加密打包投标文件电脑机器特征码一致的，不参与下一程序，并由评标委员会否决其投标。</w:t>
      </w:r>
      <w:bookmarkEnd w:id="610"/>
    </w:p>
    <w:p w14:paraId="258EA1AA">
      <w:pPr>
        <w:spacing w:line="360" w:lineRule="auto"/>
        <w:ind w:firstLine="480" w:firstLineChars="200"/>
        <w:rPr>
          <w:rFonts w:hint="eastAsia" w:ascii="宋体" w:hAnsi="宋体" w:cs="宋体"/>
          <w:color w:val="auto"/>
          <w:sz w:val="24"/>
          <w:szCs w:val="24"/>
          <w:highlight w:val="none"/>
          <w:u w:val="single"/>
        </w:rPr>
      </w:pPr>
      <w:bookmarkStart w:id="611" w:name="_Toc5231"/>
      <w:r>
        <w:rPr>
          <w:rFonts w:hint="eastAsia" w:ascii="宋体" w:hAnsi="宋体" w:cs="宋体"/>
          <w:color w:val="auto"/>
          <w:sz w:val="24"/>
          <w:szCs w:val="24"/>
          <w:highlight w:val="none"/>
          <w:u w:val="single"/>
        </w:rPr>
        <w:t>（10）</w:t>
      </w:r>
      <w:bookmarkEnd w:id="611"/>
      <w:bookmarkStart w:id="612" w:name="_Toc24790"/>
      <w:r>
        <w:rPr>
          <w:rFonts w:hint="eastAsia" w:ascii="宋体" w:hAnsi="宋体" w:cs="宋体"/>
          <w:color w:val="auto"/>
          <w:sz w:val="24"/>
          <w:szCs w:val="24"/>
          <w:highlight w:val="none"/>
          <w:u w:val="single"/>
        </w:rPr>
        <w:t>投标人代表、招标人代表、监标人、记录人等有关人员在开标记录上签字确认；若有关人员不签字的，不影响开标程序</w:t>
      </w:r>
      <w:bookmarkEnd w:id="612"/>
      <w:r>
        <w:rPr>
          <w:rFonts w:hint="eastAsia" w:ascii="宋体" w:hAnsi="宋体" w:cs="宋体"/>
          <w:color w:val="auto"/>
          <w:sz w:val="24"/>
          <w:szCs w:val="24"/>
          <w:highlight w:val="none"/>
          <w:u w:val="single"/>
        </w:rPr>
        <w:t>。</w:t>
      </w:r>
    </w:p>
    <w:p w14:paraId="073057F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（11）开标结束</w:t>
      </w:r>
      <w:r>
        <w:rPr>
          <w:rFonts w:hint="eastAsia" w:ascii="宋体" w:hAnsi="宋体" w:cs="宋体"/>
          <w:color w:val="auto"/>
          <w:sz w:val="24"/>
          <w:szCs w:val="24"/>
          <w:highlight w:val="none"/>
        </w:rPr>
        <w:t>。</w:t>
      </w:r>
      <w:bookmarkStart w:id="613" w:name="_Toc1755"/>
      <w:bookmarkStart w:id="614" w:name="_Toc436834756"/>
      <w:bookmarkStart w:id="615" w:name="_Toc28564"/>
      <w:bookmarkStart w:id="616" w:name="_Toc30580"/>
      <w:bookmarkStart w:id="617" w:name="_Toc485211070"/>
      <w:bookmarkStart w:id="618" w:name="_Toc3636"/>
      <w:bookmarkStart w:id="619" w:name="_Toc20459"/>
      <w:bookmarkStart w:id="620" w:name="_Toc19375"/>
      <w:bookmarkStart w:id="621" w:name="_Toc11445"/>
      <w:bookmarkStart w:id="622" w:name="_Toc436834163"/>
      <w:bookmarkStart w:id="623" w:name="_Toc27243"/>
    </w:p>
    <w:p w14:paraId="6D5AD834">
      <w:pPr>
        <w:keepNext/>
        <w:keepLines/>
        <w:spacing w:line="360" w:lineRule="auto"/>
        <w:outlineLvl w:val="2"/>
        <w:rPr>
          <w:rFonts w:hint="eastAsia" w:ascii="宋体" w:hAnsi="宋体" w:cs="宋体"/>
          <w:bCs/>
          <w:color w:val="auto"/>
          <w:sz w:val="24"/>
          <w:szCs w:val="24"/>
          <w:highlight w:val="none"/>
        </w:rPr>
      </w:pPr>
      <w:bookmarkStart w:id="624" w:name="_Toc30018"/>
      <w:bookmarkStart w:id="625" w:name="_Toc18744"/>
      <w:r>
        <w:rPr>
          <w:rFonts w:hint="eastAsia" w:ascii="宋体" w:hAnsi="宋体" w:cs="宋体"/>
          <w:bCs/>
          <w:color w:val="auto"/>
          <w:sz w:val="24"/>
          <w:szCs w:val="24"/>
          <w:highlight w:val="none"/>
        </w:rPr>
        <w:t>5.3 开标异议</w:t>
      </w:r>
      <w:bookmarkEnd w:id="600"/>
      <w:bookmarkEnd w:id="601"/>
      <w:bookmarkEnd w:id="613"/>
      <w:bookmarkEnd w:id="614"/>
      <w:bookmarkEnd w:id="615"/>
      <w:bookmarkEnd w:id="616"/>
      <w:bookmarkEnd w:id="617"/>
      <w:bookmarkEnd w:id="618"/>
      <w:bookmarkEnd w:id="619"/>
      <w:bookmarkEnd w:id="620"/>
      <w:bookmarkEnd w:id="621"/>
      <w:bookmarkEnd w:id="622"/>
      <w:bookmarkEnd w:id="623"/>
      <w:bookmarkEnd w:id="624"/>
      <w:bookmarkEnd w:id="625"/>
    </w:p>
    <w:p w14:paraId="74CFF8C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投标人对开标有异议的，应当在</w:t>
      </w:r>
      <w:r>
        <w:rPr>
          <w:rFonts w:hint="eastAsia" w:ascii="宋体" w:hAnsi="宋体" w:cs="宋体"/>
          <w:color w:val="auto"/>
          <w:sz w:val="24"/>
          <w:szCs w:val="24"/>
          <w:highlight w:val="none"/>
          <w:u w:val="single"/>
        </w:rPr>
        <w:t>交易平台规定的时间内</w:t>
      </w:r>
      <w:r>
        <w:rPr>
          <w:rFonts w:hint="eastAsia" w:ascii="宋体" w:hAnsi="宋体" w:cs="宋体"/>
          <w:color w:val="auto"/>
          <w:sz w:val="24"/>
          <w:szCs w:val="24"/>
          <w:highlight w:val="none"/>
        </w:rPr>
        <w:t>提出，招标人当场作出答复，并制作记录。</w:t>
      </w:r>
    </w:p>
    <w:p w14:paraId="623C65F6">
      <w:pPr>
        <w:keepNext/>
        <w:keepLines/>
        <w:spacing w:line="360" w:lineRule="auto"/>
        <w:outlineLvl w:val="1"/>
        <w:rPr>
          <w:rFonts w:hint="eastAsia" w:ascii="宋体" w:hAnsi="宋体" w:cs="宋体"/>
          <w:b/>
          <w:bCs/>
          <w:color w:val="auto"/>
          <w:sz w:val="28"/>
          <w:szCs w:val="28"/>
          <w:highlight w:val="none"/>
        </w:rPr>
      </w:pPr>
      <w:bookmarkStart w:id="626" w:name="_Toc144974530"/>
      <w:bookmarkStart w:id="627" w:name="_Toc436834757"/>
      <w:bookmarkStart w:id="628" w:name="_Toc29948"/>
      <w:bookmarkStart w:id="629" w:name="_Toc16899"/>
      <w:bookmarkStart w:id="630" w:name="_Toc29634"/>
      <w:bookmarkStart w:id="631" w:name="_Toc436834164"/>
      <w:bookmarkStart w:id="632" w:name="_Toc300834984"/>
      <w:bookmarkStart w:id="633" w:name="_Toc247513986"/>
      <w:bookmarkStart w:id="634" w:name="_Toc17424"/>
      <w:bookmarkStart w:id="635" w:name="_Toc399165406"/>
      <w:bookmarkStart w:id="636" w:name="_Toc2702"/>
      <w:bookmarkStart w:id="637" w:name="_Toc247527587"/>
      <w:bookmarkStart w:id="638" w:name="_Toc3138"/>
      <w:bookmarkStart w:id="639" w:name="_Toc6781"/>
      <w:bookmarkStart w:id="640" w:name="_Toc791"/>
      <w:bookmarkStart w:id="641" w:name="_Toc485211071"/>
      <w:bookmarkStart w:id="642" w:name="_Toc21872"/>
      <w:bookmarkStart w:id="643" w:name="_Toc152042338"/>
      <w:bookmarkStart w:id="644" w:name="_Toc152045562"/>
      <w:bookmarkStart w:id="645" w:name="_Toc27065"/>
      <w:r>
        <w:rPr>
          <w:rFonts w:hint="eastAsia" w:ascii="宋体" w:hAnsi="宋体" w:cs="宋体"/>
          <w:b/>
          <w:bCs/>
          <w:color w:val="auto"/>
          <w:sz w:val="28"/>
          <w:szCs w:val="28"/>
          <w:highlight w:val="none"/>
        </w:rPr>
        <w:t>6. 评标</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2CECD142">
      <w:pPr>
        <w:keepNext/>
        <w:keepLines/>
        <w:spacing w:line="360" w:lineRule="auto"/>
        <w:outlineLvl w:val="2"/>
        <w:rPr>
          <w:rFonts w:hint="eastAsia" w:ascii="宋体" w:hAnsi="宋体" w:cs="宋体"/>
          <w:bCs/>
          <w:color w:val="auto"/>
          <w:sz w:val="24"/>
          <w:szCs w:val="24"/>
          <w:highlight w:val="none"/>
        </w:rPr>
      </w:pPr>
      <w:bookmarkStart w:id="646" w:name="_Toc26166"/>
      <w:bookmarkStart w:id="647" w:name="_Toc399165407"/>
      <w:bookmarkStart w:id="648" w:name="_Toc9770"/>
      <w:bookmarkStart w:id="649" w:name="_Toc29291"/>
      <w:bookmarkStart w:id="650" w:name="_Toc436834758"/>
      <w:bookmarkStart w:id="651" w:name="_Toc300834985"/>
      <w:bookmarkStart w:id="652" w:name="_Toc247527588"/>
      <w:bookmarkStart w:id="653" w:name="_Toc144974531"/>
      <w:bookmarkStart w:id="654" w:name="_Toc152042339"/>
      <w:bookmarkStart w:id="655" w:name="_Toc485211072"/>
      <w:bookmarkStart w:id="656" w:name="_Toc1432"/>
      <w:bookmarkStart w:id="657" w:name="_Toc16779"/>
      <w:bookmarkStart w:id="658" w:name="_Toc152045563"/>
      <w:bookmarkStart w:id="659" w:name="_Toc247513987"/>
      <w:bookmarkStart w:id="660" w:name="_Toc16102"/>
      <w:bookmarkStart w:id="661" w:name="_Toc6630"/>
      <w:bookmarkStart w:id="662" w:name="_Toc436834165"/>
      <w:bookmarkStart w:id="663" w:name="_Toc25490"/>
      <w:bookmarkStart w:id="664" w:name="_Toc12762"/>
      <w:bookmarkStart w:id="665" w:name="_Toc22048"/>
      <w:r>
        <w:rPr>
          <w:rFonts w:hint="eastAsia" w:ascii="宋体" w:hAnsi="宋体" w:cs="宋体"/>
          <w:bCs/>
          <w:color w:val="auto"/>
          <w:sz w:val="24"/>
          <w:szCs w:val="24"/>
          <w:highlight w:val="none"/>
        </w:rPr>
        <w:t>6.1 评标委员会</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3E72B97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6.1.1评标由招标人依法组建的评标委员会负责，评标委员会</w:t>
      </w:r>
      <w:r>
        <w:rPr>
          <w:rFonts w:hint="eastAsia" w:ascii="宋体" w:hAnsi="宋体" w:cs="宋体"/>
          <w:color w:val="auto"/>
          <w:sz w:val="24"/>
          <w:szCs w:val="24"/>
          <w:highlight w:val="none"/>
          <w:u w:val="single"/>
        </w:rPr>
        <w:t>由招标人依法组建</w:t>
      </w:r>
      <w:r>
        <w:rPr>
          <w:rFonts w:hint="eastAsia" w:ascii="宋体" w:hAnsi="宋体" w:cs="宋体"/>
          <w:color w:val="auto"/>
          <w:sz w:val="24"/>
          <w:szCs w:val="24"/>
          <w:highlight w:val="none"/>
        </w:rPr>
        <w:t>。</w:t>
      </w:r>
      <w:bookmarkStart w:id="666" w:name="_Toc247527589"/>
      <w:bookmarkStart w:id="667" w:name="_Toc247513988"/>
      <w:bookmarkStart w:id="668" w:name="_Toc399165408"/>
      <w:bookmarkStart w:id="669" w:name="_Toc144974532"/>
      <w:bookmarkStart w:id="670" w:name="_Toc300834986"/>
      <w:bookmarkStart w:id="671" w:name="_Toc152045564"/>
      <w:bookmarkStart w:id="672" w:name="_Toc152042340"/>
    </w:p>
    <w:p w14:paraId="24C25C9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6.1.2 评标委员会成员有下列情形之一的，应当回避：</w:t>
      </w:r>
    </w:p>
    <w:p w14:paraId="75C70E1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（1）投标人或投标人主要负责人的近亲属；</w:t>
      </w:r>
    </w:p>
    <w:p w14:paraId="3988908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（2）项目主管部门或者行政监督部门的人员；</w:t>
      </w:r>
    </w:p>
    <w:p w14:paraId="3F225F0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（3）与投标人有经济利益关系，可能影响对投标公正评审的；</w:t>
      </w:r>
    </w:p>
    <w:p w14:paraId="2AAF619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（4）曾因在招标、评标以及其他与招标投标有关活动中从事违法行为而受过行政处罚或刑事处罚的；</w:t>
      </w:r>
    </w:p>
    <w:p w14:paraId="23F121B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（5）与投标人有其他利害关系。</w:t>
      </w:r>
    </w:p>
    <w:p w14:paraId="6DD46352">
      <w:pPr>
        <w:pStyle w:val="19"/>
        <w:rPr>
          <w:rFonts w:hint="eastAsia"/>
          <w:color w:val="auto"/>
          <w:highlight w:val="none"/>
        </w:rPr>
      </w:pPr>
      <w:r>
        <w:rPr>
          <w:rFonts w:hint="eastAsia" w:ascii="宋体" w:hAnsi="宋体" w:cs="宋体"/>
          <w:b/>
          <w:bCs/>
          <w:color w:val="auto"/>
          <w:highlight w:val="none"/>
        </w:rPr>
        <w:t>6.1.3 评标委员会在开始评标前，应了解评标专家的职责及守则，认真阅读附件</w:t>
      </w:r>
      <w:r>
        <w:rPr>
          <w:rFonts w:hint="eastAsia" w:ascii="宋体" w:hAnsi="宋体" w:cs="宋体"/>
          <w:b/>
          <w:bCs/>
          <w:color w:val="auto"/>
          <w:highlight w:val="none"/>
          <w:lang w:val="en-US" w:eastAsia="zh-CN"/>
        </w:rPr>
        <w:t>五</w:t>
      </w:r>
      <w:r>
        <w:rPr>
          <w:rFonts w:hint="eastAsia" w:ascii="宋体" w:hAnsi="宋体" w:cs="宋体"/>
          <w:b/>
          <w:bCs/>
          <w:color w:val="auto"/>
          <w:highlight w:val="none"/>
        </w:rPr>
        <w:t>《评标委员会成员声明》的内容并签名，签字后方可进行评标；</w:t>
      </w:r>
    </w:p>
    <w:p w14:paraId="2759E9CB">
      <w:pPr>
        <w:keepNext/>
        <w:keepLines/>
        <w:spacing w:line="360" w:lineRule="auto"/>
        <w:outlineLvl w:val="2"/>
        <w:rPr>
          <w:rFonts w:hint="eastAsia" w:ascii="宋体" w:hAnsi="宋体" w:cs="宋体"/>
          <w:bCs/>
          <w:color w:val="auto"/>
          <w:sz w:val="24"/>
          <w:szCs w:val="24"/>
          <w:highlight w:val="none"/>
        </w:rPr>
      </w:pPr>
      <w:bookmarkStart w:id="673" w:name="_Toc23158"/>
      <w:bookmarkStart w:id="674" w:name="_Toc485211073"/>
      <w:bookmarkStart w:id="675" w:name="_Toc7385"/>
      <w:bookmarkStart w:id="676" w:name="_Toc28088"/>
      <w:bookmarkStart w:id="677" w:name="_Toc10755"/>
      <w:bookmarkStart w:id="678" w:name="_Toc436834759"/>
      <w:bookmarkStart w:id="679" w:name="_Toc1675"/>
      <w:bookmarkStart w:id="680" w:name="_Toc22045"/>
      <w:bookmarkStart w:id="681" w:name="_Toc30304"/>
      <w:bookmarkStart w:id="682" w:name="_Toc436834166"/>
      <w:bookmarkStart w:id="683" w:name="_Toc12018"/>
      <w:bookmarkStart w:id="684" w:name="_Toc29188"/>
      <w:bookmarkStart w:id="685" w:name="_Toc14481"/>
      <w:r>
        <w:rPr>
          <w:rFonts w:hint="eastAsia" w:ascii="宋体" w:hAnsi="宋体" w:cs="宋体"/>
          <w:bCs/>
          <w:color w:val="auto"/>
          <w:sz w:val="24"/>
          <w:szCs w:val="24"/>
          <w:highlight w:val="none"/>
        </w:rPr>
        <w:t>6.2 评标原则</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p w14:paraId="1A22499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评标活动遵循公平、公正、科学和择优的原则。</w:t>
      </w:r>
    </w:p>
    <w:p w14:paraId="3018AEA9">
      <w:pPr>
        <w:keepNext/>
        <w:keepLines/>
        <w:spacing w:line="360" w:lineRule="auto"/>
        <w:outlineLvl w:val="2"/>
        <w:rPr>
          <w:rFonts w:hint="eastAsia" w:ascii="宋体" w:hAnsi="宋体" w:cs="宋体"/>
          <w:bCs/>
          <w:color w:val="auto"/>
          <w:sz w:val="24"/>
          <w:szCs w:val="24"/>
          <w:highlight w:val="none"/>
        </w:rPr>
      </w:pPr>
      <w:bookmarkStart w:id="686" w:name="_Toc18962"/>
      <w:bookmarkStart w:id="687" w:name="_Toc247527590"/>
      <w:bookmarkStart w:id="688" w:name="_Toc247513989"/>
      <w:bookmarkStart w:id="689" w:name="_Toc152042341"/>
      <w:bookmarkStart w:id="690" w:name="_Toc24080"/>
      <w:bookmarkStart w:id="691" w:name="_Toc300834987"/>
      <w:bookmarkStart w:id="692" w:name="_Toc485211074"/>
      <w:bookmarkStart w:id="693" w:name="_Toc144974533"/>
      <w:bookmarkStart w:id="694" w:name="_Toc436834760"/>
      <w:bookmarkStart w:id="695" w:name="_Toc22925"/>
      <w:bookmarkStart w:id="696" w:name="_Toc436834167"/>
      <w:bookmarkStart w:id="697" w:name="_Toc152045565"/>
      <w:bookmarkStart w:id="698" w:name="_Toc23921"/>
      <w:bookmarkStart w:id="699" w:name="_Toc21087"/>
      <w:bookmarkStart w:id="700" w:name="_Toc14592"/>
      <w:bookmarkStart w:id="701" w:name="_Toc18940"/>
      <w:bookmarkStart w:id="702" w:name="_Toc19074"/>
      <w:bookmarkStart w:id="703" w:name="_Toc6398"/>
      <w:bookmarkStart w:id="704" w:name="_Toc22884"/>
      <w:bookmarkStart w:id="705" w:name="_Toc399165409"/>
      <w:r>
        <w:rPr>
          <w:rFonts w:hint="eastAsia" w:ascii="宋体" w:hAnsi="宋体" w:cs="宋体"/>
          <w:bCs/>
          <w:color w:val="auto"/>
          <w:sz w:val="24"/>
          <w:szCs w:val="24"/>
          <w:highlight w:val="none"/>
        </w:rPr>
        <w:t>6.3 评标</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p>
    <w:p w14:paraId="5851473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评标委员会按照第二章“评标和定标办法”规定的方法、评审因素、标准和程序对投标文件进行评审。第二章“评标和定标办法”没有规定的方法、评审因素和标准，不作为评标依据。</w:t>
      </w:r>
      <w:bookmarkStart w:id="706" w:name="_Toc26489"/>
      <w:bookmarkStart w:id="707" w:name="_Toc27113"/>
      <w:bookmarkStart w:id="708" w:name="_Toc436834168"/>
      <w:bookmarkStart w:id="709" w:name="_Toc30169"/>
      <w:bookmarkStart w:id="710" w:name="_Toc247513990"/>
      <w:bookmarkStart w:id="711" w:name="_Toc16775"/>
      <w:bookmarkStart w:id="712" w:name="_Toc9325"/>
      <w:bookmarkStart w:id="713" w:name="_Toc300834988"/>
      <w:bookmarkStart w:id="714" w:name="_Toc19417"/>
      <w:bookmarkStart w:id="715" w:name="_Toc399165410"/>
      <w:bookmarkStart w:id="716" w:name="_Toc247527591"/>
      <w:bookmarkStart w:id="717" w:name="_Toc152045566"/>
      <w:bookmarkStart w:id="718" w:name="_Toc15814"/>
      <w:bookmarkStart w:id="719" w:name="_Toc1457"/>
      <w:bookmarkStart w:id="720" w:name="_Toc144974534"/>
      <w:bookmarkStart w:id="721" w:name="_Toc152042342"/>
      <w:bookmarkStart w:id="722" w:name="_Toc20501"/>
      <w:bookmarkStart w:id="723" w:name="_Toc485211075"/>
      <w:bookmarkStart w:id="724" w:name="_Toc436834761"/>
      <w:bookmarkStart w:id="725" w:name="_Toc6048"/>
    </w:p>
    <w:p w14:paraId="3EABF0E3">
      <w:pPr>
        <w:keepNext/>
        <w:keepLines/>
        <w:spacing w:line="360" w:lineRule="auto"/>
        <w:outlineLvl w:val="1"/>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7. 合同授予</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Start w:id="726" w:name="_Toc32320"/>
      <w:bookmarkStart w:id="727" w:name="_Toc15433"/>
      <w:bookmarkStart w:id="728" w:name="_Toc23658"/>
      <w:bookmarkStart w:id="729" w:name="_Toc14648"/>
      <w:bookmarkStart w:id="730" w:name="_Toc152045567"/>
      <w:bookmarkStart w:id="731" w:name="_Toc152042343"/>
      <w:bookmarkStart w:id="732" w:name="_Toc399165411"/>
      <w:bookmarkStart w:id="733" w:name="_Toc3151"/>
      <w:bookmarkStart w:id="734" w:name="_Toc17516"/>
      <w:bookmarkStart w:id="735" w:name="_Toc144974535"/>
      <w:bookmarkStart w:id="736" w:name="_Toc4558"/>
      <w:bookmarkStart w:id="737" w:name="_Toc247527592"/>
      <w:bookmarkStart w:id="738" w:name="_Toc485211076"/>
      <w:bookmarkStart w:id="739" w:name="_Toc247513991"/>
      <w:bookmarkStart w:id="740" w:name="_Toc126"/>
      <w:bookmarkStart w:id="741" w:name="_Toc436834762"/>
      <w:bookmarkStart w:id="742" w:name="_Toc300834989"/>
      <w:bookmarkStart w:id="743" w:name="_Toc436834169"/>
      <w:bookmarkStart w:id="744" w:name="_Toc26639"/>
      <w:bookmarkStart w:id="745" w:name="_Toc24540"/>
    </w:p>
    <w:p w14:paraId="2AC45D4E">
      <w:pPr>
        <w:keepNext/>
        <w:keepLines/>
        <w:spacing w:line="360" w:lineRule="auto"/>
        <w:outlineLvl w:val="2"/>
        <w:rPr>
          <w:rFonts w:hint="eastAsia" w:ascii="宋体" w:hAnsi="宋体" w:cs="宋体"/>
          <w:b/>
          <w:color w:val="auto"/>
          <w:sz w:val="24"/>
          <w:szCs w:val="24"/>
          <w:highlight w:val="none"/>
        </w:rPr>
      </w:pPr>
      <w:r>
        <w:rPr>
          <w:rFonts w:hint="eastAsia" w:ascii="宋体" w:hAnsi="宋体" w:cs="宋体"/>
          <w:b/>
          <w:color w:val="auto"/>
          <w:sz w:val="24"/>
          <w:szCs w:val="24"/>
          <w:highlight w:val="none"/>
        </w:rPr>
        <w:t>7.1 定标方式</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14:paraId="1B84F5A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7.1.1合格的中标候选人公示结束后10个工作日内在</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cs="宋体"/>
          <w:color w:val="auto"/>
          <w:sz w:val="24"/>
          <w:szCs w:val="24"/>
          <w:highlight w:val="none"/>
        </w:rPr>
        <w:t>开展定标工作，在定标委员会完成定标工作后，招标人将在</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cs="宋体"/>
          <w:color w:val="auto"/>
          <w:sz w:val="24"/>
          <w:szCs w:val="24"/>
          <w:highlight w:val="none"/>
        </w:rPr>
        <w:t>交易平台、广东省招标投标监管网和中国招标投标公共服务平台公示中标结果公示。</w:t>
      </w:r>
    </w:p>
    <w:p w14:paraId="3D3B515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7.1.2定标后出现中标人不符合法定情形的，招标人可从其他合格的中标候选人中采用原定标办法，由原定标委员会确定中标人，也可以重新招标</w:t>
      </w:r>
      <w:r>
        <w:rPr>
          <w:rFonts w:hint="eastAsia" w:ascii="宋体" w:hAnsi="宋体" w:cs="宋体"/>
          <w:color w:val="auto"/>
          <w:sz w:val="24"/>
          <w:szCs w:val="24"/>
          <w:highlight w:val="none"/>
        </w:rPr>
        <w:t>。</w:t>
      </w:r>
    </w:p>
    <w:p w14:paraId="503F2B67">
      <w:pPr>
        <w:keepNext/>
        <w:keepLines/>
        <w:spacing w:line="360" w:lineRule="auto"/>
        <w:outlineLvl w:val="2"/>
        <w:rPr>
          <w:rFonts w:hint="eastAsia" w:ascii="宋体" w:hAnsi="宋体" w:cs="宋体"/>
          <w:b/>
          <w:color w:val="auto"/>
          <w:sz w:val="24"/>
          <w:szCs w:val="24"/>
          <w:highlight w:val="none"/>
        </w:rPr>
      </w:pPr>
      <w:bookmarkStart w:id="746" w:name="_Toc30794"/>
      <w:bookmarkStart w:id="747" w:name="_Toc1391"/>
      <w:bookmarkStart w:id="748" w:name="_Toc436834170"/>
      <w:bookmarkStart w:id="749" w:name="_Toc8769"/>
      <w:bookmarkStart w:id="750" w:name="_Toc399165412"/>
      <w:bookmarkStart w:id="751" w:name="_Toc18148"/>
      <w:bookmarkStart w:id="752" w:name="_Toc455"/>
      <w:bookmarkStart w:id="753" w:name="_Toc11008"/>
      <w:bookmarkStart w:id="754" w:name="_Toc1089"/>
      <w:bookmarkStart w:id="755" w:name="_Toc23065"/>
      <w:bookmarkStart w:id="756" w:name="_Toc300834990"/>
      <w:bookmarkStart w:id="757" w:name="_Toc20879"/>
      <w:bookmarkStart w:id="758" w:name="_Toc8456"/>
      <w:bookmarkStart w:id="759" w:name="_Toc485211077"/>
      <w:bookmarkStart w:id="760" w:name="_Toc436834763"/>
      <w:r>
        <w:rPr>
          <w:rFonts w:hint="eastAsia" w:ascii="宋体" w:hAnsi="宋体" w:cs="宋体"/>
          <w:b/>
          <w:color w:val="auto"/>
          <w:sz w:val="24"/>
          <w:szCs w:val="24"/>
          <w:highlight w:val="none"/>
        </w:rPr>
        <w:t xml:space="preserve">7.2 </w:t>
      </w:r>
      <w:r>
        <w:rPr>
          <w:rFonts w:hint="eastAsia" w:ascii="宋体" w:hAnsi="宋体" w:cs="宋体"/>
          <w:b/>
          <w:color w:val="auto"/>
          <w:sz w:val="24"/>
          <w:szCs w:val="24"/>
          <w:highlight w:val="none"/>
          <w:lang w:val="en-US" w:eastAsia="zh-CN"/>
        </w:rPr>
        <w:t>合格的</w:t>
      </w:r>
      <w:r>
        <w:rPr>
          <w:rFonts w:hint="eastAsia" w:ascii="宋体" w:hAnsi="宋体" w:cs="宋体"/>
          <w:b/>
          <w:color w:val="auto"/>
          <w:sz w:val="24"/>
          <w:szCs w:val="24"/>
          <w:highlight w:val="none"/>
        </w:rPr>
        <w:t>中标候选人公示</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r>
        <w:rPr>
          <w:rFonts w:hint="eastAsia" w:ascii="宋体" w:hAnsi="宋体" w:cs="宋体"/>
          <w:b/>
          <w:color w:val="auto"/>
          <w:sz w:val="24"/>
          <w:szCs w:val="24"/>
          <w:highlight w:val="none"/>
        </w:rPr>
        <w:t>及中标结果公示</w:t>
      </w:r>
    </w:p>
    <w:p w14:paraId="289F5BD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7.2.1招标人在投标人须知前附表规定的媒介公示合格的中标候选人【不排序，按统一社会信用代码后4位（除校验码外）大小排位，如统一社会信用代码后4位出现字母情况的，字母以“0”进行代替大小排位；如出现后4位（除校验码外）大小一致的，则随机排位】。投标人或其他利害关系人对评标结果有异议的，应当在合格的中标候选人公示期间提出，可以通过线下或线上的形式提出异议。线上提交的，应通过交易平台进行，招标人也应通过交易平台答复线上提交的异议。作出答复前，应当暂停招标投标活动。</w:t>
      </w:r>
    </w:p>
    <w:p w14:paraId="0A0EF239">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7.2.2在产生合格的中标候选人后，招标人将合格的中标候选人的投标文件商务部分文件的所有内容（包括人员、业绩、奖项等资料）在</w:t>
      </w:r>
      <w:r>
        <w:rPr>
          <w:rFonts w:hint="eastAsia" w:ascii="宋体" w:hAnsi="宋体"/>
          <w:color w:val="auto"/>
          <w:sz w:val="24"/>
          <w:szCs w:val="24"/>
          <w:highlight w:val="none"/>
          <w:lang w:eastAsia="zh-CN"/>
        </w:rPr>
        <w:t>广州交易集团有限公司（广州公共资源交易中心）</w:t>
      </w:r>
      <w:r>
        <w:rPr>
          <w:rFonts w:hint="eastAsia" w:ascii="宋体" w:hAnsi="宋体"/>
          <w:color w:val="auto"/>
          <w:sz w:val="24"/>
          <w:szCs w:val="24"/>
          <w:highlight w:val="none"/>
        </w:rPr>
        <w:t>、广东省招标投标监管网公开。</w:t>
      </w:r>
    </w:p>
    <w:p w14:paraId="4C72AEBA">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7.2.3完成定标工作后，招标人将在</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cs="宋体"/>
          <w:color w:val="auto"/>
          <w:sz w:val="24"/>
          <w:szCs w:val="24"/>
          <w:highlight w:val="none"/>
        </w:rPr>
        <w:t>交易平台、广东省招标投标监管网和中国招标投标公共服务平台公示中标结果，定标后出现中标人不符合法定情形被取消中标资格的，招标人有权组织重新进行</w:t>
      </w:r>
      <w:r>
        <w:rPr>
          <w:rFonts w:hint="eastAsia" w:ascii="宋体" w:hAnsi="宋体" w:cs="宋体"/>
          <w:color w:val="auto"/>
          <w:sz w:val="24"/>
          <w:szCs w:val="24"/>
          <w:highlight w:val="none"/>
          <w:lang w:val="en-US" w:eastAsia="zh-CN"/>
        </w:rPr>
        <w:t>评分</w:t>
      </w:r>
      <w:r>
        <w:rPr>
          <w:rFonts w:hint="eastAsia" w:ascii="宋体" w:hAnsi="宋体" w:cs="宋体"/>
          <w:color w:val="auto"/>
          <w:sz w:val="24"/>
          <w:szCs w:val="24"/>
          <w:highlight w:val="none"/>
        </w:rPr>
        <w:t>确定中标人，也有权重新招标。</w:t>
      </w:r>
    </w:p>
    <w:p w14:paraId="4BC34571">
      <w:pPr>
        <w:keepNext/>
        <w:keepLines/>
        <w:spacing w:line="360" w:lineRule="auto"/>
        <w:outlineLvl w:val="2"/>
        <w:rPr>
          <w:rFonts w:hint="eastAsia" w:ascii="宋体" w:hAnsi="宋体" w:cs="宋体"/>
          <w:b/>
          <w:color w:val="auto"/>
          <w:sz w:val="24"/>
          <w:szCs w:val="24"/>
          <w:highlight w:val="none"/>
        </w:rPr>
      </w:pPr>
      <w:bookmarkStart w:id="761" w:name="_Toc31317"/>
      <w:bookmarkStart w:id="762" w:name="_Toc20160"/>
      <w:bookmarkStart w:id="763" w:name="_Toc28986"/>
      <w:bookmarkStart w:id="764" w:name="_Toc399165413"/>
      <w:bookmarkStart w:id="765" w:name="_Toc152042344"/>
      <w:bookmarkStart w:id="766" w:name="_Toc27933"/>
      <w:bookmarkStart w:id="767" w:name="_Toc15766"/>
      <w:bookmarkStart w:id="768" w:name="_Toc8002"/>
      <w:bookmarkStart w:id="769" w:name="_Toc485211078"/>
      <w:bookmarkStart w:id="770" w:name="_Toc247527593"/>
      <w:bookmarkStart w:id="771" w:name="_Toc19952"/>
      <w:bookmarkStart w:id="772" w:name="_Toc152045568"/>
      <w:bookmarkStart w:id="773" w:name="_Toc144974536"/>
      <w:bookmarkStart w:id="774" w:name="_Toc247513992"/>
      <w:bookmarkStart w:id="775" w:name="_Toc300834991"/>
      <w:bookmarkStart w:id="776" w:name="_Toc17946"/>
      <w:bookmarkStart w:id="777" w:name="_Toc3310"/>
      <w:bookmarkStart w:id="778" w:name="_Toc436834764"/>
      <w:bookmarkStart w:id="779" w:name="_Toc5132"/>
      <w:bookmarkStart w:id="780" w:name="_Toc436834171"/>
      <w:r>
        <w:rPr>
          <w:rFonts w:hint="eastAsia" w:ascii="宋体" w:hAnsi="宋体" w:cs="宋体"/>
          <w:b/>
          <w:color w:val="auto"/>
          <w:sz w:val="24"/>
          <w:szCs w:val="24"/>
          <w:highlight w:val="none"/>
        </w:rPr>
        <w:t>7.3 中标通知</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5E0C972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7.3.1在本章第3.3.1款规定的投标有效期内，招标人以书面形式向中标人发出中标通知书。中标通知书按本章附表格式填写。</w:t>
      </w:r>
    </w:p>
    <w:p w14:paraId="49D8632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7.3.2招标人应当自确定中标人后，向招投标监管机构提交招标投标情况的书面报告；经招投标监管机构备案后，方可发出中标通知书。中标通知书由招标人颁发，并经</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cs="宋体"/>
          <w:color w:val="auto"/>
          <w:sz w:val="24"/>
          <w:szCs w:val="24"/>
          <w:highlight w:val="none"/>
        </w:rPr>
        <w:t>确认。</w:t>
      </w:r>
    </w:p>
    <w:p w14:paraId="56D20A9D">
      <w:pPr>
        <w:keepNext/>
        <w:keepLines/>
        <w:spacing w:line="360" w:lineRule="auto"/>
        <w:outlineLvl w:val="2"/>
        <w:rPr>
          <w:rFonts w:hint="eastAsia" w:ascii="宋体" w:hAnsi="宋体" w:cs="宋体"/>
          <w:b/>
          <w:color w:val="auto"/>
          <w:sz w:val="24"/>
          <w:szCs w:val="24"/>
          <w:highlight w:val="none"/>
        </w:rPr>
      </w:pPr>
      <w:bookmarkStart w:id="781" w:name="_Toc29469"/>
      <w:bookmarkStart w:id="782" w:name="_Toc144974537"/>
      <w:bookmarkStart w:id="783" w:name="_Toc485211079"/>
      <w:bookmarkStart w:id="784" w:name="_Toc32175"/>
      <w:bookmarkStart w:id="785" w:name="_Toc15332"/>
      <w:bookmarkStart w:id="786" w:name="_Toc436834172"/>
      <w:bookmarkStart w:id="787" w:name="_Toc7052"/>
      <w:bookmarkStart w:id="788" w:name="_Toc20415"/>
      <w:bookmarkStart w:id="789" w:name="_Toc16658"/>
      <w:bookmarkStart w:id="790" w:name="_Toc152045569"/>
      <w:bookmarkStart w:id="791" w:name="_Toc14040"/>
      <w:bookmarkStart w:id="792" w:name="_Toc399165414"/>
      <w:bookmarkStart w:id="793" w:name="_Toc300834992"/>
      <w:bookmarkStart w:id="794" w:name="_Toc152042345"/>
      <w:bookmarkStart w:id="795" w:name="_Toc11792"/>
      <w:bookmarkStart w:id="796" w:name="_Toc436834765"/>
      <w:bookmarkStart w:id="797" w:name="_Toc247527594"/>
      <w:bookmarkStart w:id="798" w:name="_Toc19408"/>
      <w:bookmarkStart w:id="799" w:name="_Toc28701"/>
      <w:bookmarkStart w:id="800" w:name="_Toc247513993"/>
      <w:r>
        <w:rPr>
          <w:rFonts w:hint="eastAsia" w:ascii="宋体" w:hAnsi="宋体" w:cs="宋体"/>
          <w:b/>
          <w:color w:val="auto"/>
          <w:sz w:val="24"/>
          <w:szCs w:val="24"/>
          <w:highlight w:val="none"/>
        </w:rPr>
        <w:t>7.4 履约担保</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09DB0F0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7.4.1 在签订合同前，中标人应按《投标人须知前附表》规定的担保形式和招标文件第三章“合同条款及格式”规定的或者事先经过招标人书面认可的履约担保格式向招标人提交履约担保（如有约定）。</w:t>
      </w:r>
    </w:p>
    <w:p w14:paraId="338BA82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7.4.2 中标人不能按本章第7.4.1项要求提交履约担保的，视为放弃中标，给招标人造成的损失的，中标人还应当予以赔偿。</w:t>
      </w:r>
      <w:bookmarkStart w:id="801" w:name="_Toc436834766"/>
      <w:bookmarkStart w:id="802" w:name="_Toc16750"/>
      <w:bookmarkStart w:id="803" w:name="_Toc29811"/>
      <w:bookmarkStart w:id="804" w:name="_Toc13654"/>
      <w:bookmarkStart w:id="805" w:name="_Toc13224"/>
      <w:bookmarkStart w:id="806" w:name="_Toc399165415"/>
      <w:bookmarkStart w:id="807" w:name="_Toc436834173"/>
      <w:bookmarkStart w:id="808" w:name="_Toc247513994"/>
      <w:bookmarkStart w:id="809" w:name="_Toc152042346"/>
      <w:bookmarkStart w:id="810" w:name="_Toc300834993"/>
      <w:bookmarkStart w:id="811" w:name="_Toc30893"/>
      <w:bookmarkStart w:id="812" w:name="_Toc24472"/>
      <w:bookmarkStart w:id="813" w:name="_Toc152045570"/>
      <w:bookmarkStart w:id="814" w:name="_Toc26297"/>
      <w:bookmarkStart w:id="815" w:name="_Toc5465"/>
      <w:bookmarkStart w:id="816" w:name="_Toc247527595"/>
      <w:bookmarkStart w:id="817" w:name="_Toc144974538"/>
      <w:bookmarkStart w:id="818" w:name="_Toc485211080"/>
      <w:bookmarkStart w:id="819" w:name="_Toc10427"/>
      <w:bookmarkStart w:id="820" w:name="_Toc1426"/>
    </w:p>
    <w:p w14:paraId="528ABA14">
      <w:pPr>
        <w:keepNext/>
        <w:keepLines/>
        <w:spacing w:line="360" w:lineRule="auto"/>
        <w:outlineLvl w:val="2"/>
        <w:rPr>
          <w:rFonts w:hint="eastAsia" w:ascii="宋体" w:hAnsi="宋体" w:cs="宋体"/>
          <w:b/>
          <w:color w:val="auto"/>
          <w:sz w:val="24"/>
          <w:szCs w:val="24"/>
          <w:highlight w:val="none"/>
        </w:rPr>
      </w:pPr>
      <w:r>
        <w:rPr>
          <w:rFonts w:hint="eastAsia" w:ascii="宋体" w:hAnsi="宋体" w:cs="宋体"/>
          <w:b/>
          <w:color w:val="auto"/>
          <w:sz w:val="24"/>
          <w:szCs w:val="24"/>
          <w:highlight w:val="none"/>
        </w:rPr>
        <w:t>7.5 签订合同</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3B851A7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7.5.1 招标人和中标人应当自中标通知书发出之日起30天内，根据招标文件和中标人的投标文件及定标文件订立书面合同。中标人无正当理由拒签合同的，招标人取消其中标资格；给招标人造成损失的，中标人还应当对损失部分予以赔偿。</w:t>
      </w:r>
    </w:p>
    <w:p w14:paraId="2E717A2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7.5.2 发出中标通知书后，招标人无正当理由拒签合同的，给中标人造成损失的，还应当赔偿损失。</w:t>
      </w:r>
    </w:p>
    <w:p w14:paraId="3871726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7.5.3 非经招标人同意，中标人在投标过程中使用的银行名称及</w:t>
      </w:r>
      <w:r>
        <w:rPr>
          <w:rFonts w:hint="eastAsia" w:ascii="宋体" w:hAnsi="宋体" w:cs="宋体"/>
          <w:color w:val="auto"/>
          <w:sz w:val="24"/>
          <w:szCs w:val="24"/>
          <w:highlight w:val="none"/>
          <w:lang w:eastAsia="zh-CN"/>
        </w:rPr>
        <w:t>账号</w:t>
      </w:r>
      <w:r>
        <w:rPr>
          <w:rFonts w:hint="eastAsia" w:ascii="宋体" w:hAnsi="宋体" w:cs="宋体"/>
          <w:color w:val="auto"/>
          <w:sz w:val="24"/>
          <w:szCs w:val="24"/>
          <w:highlight w:val="none"/>
        </w:rPr>
        <w:t>至完成竣工结算不得变更，否则招标人有权停止工程款项的</w:t>
      </w:r>
      <w:r>
        <w:rPr>
          <w:rFonts w:hint="eastAsia" w:ascii="宋体" w:hAnsi="宋体" w:cs="宋体"/>
          <w:color w:val="auto"/>
          <w:sz w:val="24"/>
          <w:szCs w:val="24"/>
          <w:highlight w:val="none"/>
          <w:lang w:eastAsia="zh-CN"/>
        </w:rPr>
        <w:t>拨</w:t>
      </w:r>
      <w:r>
        <w:rPr>
          <w:rFonts w:hint="eastAsia" w:ascii="宋体" w:hAnsi="宋体" w:cs="宋体"/>
          <w:color w:val="auto"/>
          <w:sz w:val="24"/>
          <w:szCs w:val="24"/>
          <w:highlight w:val="none"/>
        </w:rPr>
        <w:t>付及至解除合同，由此造成的一切责任由中标人承担。</w:t>
      </w:r>
    </w:p>
    <w:p w14:paraId="3C55BEC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7.5.4 招标人支付工程款时，中标人应</w:t>
      </w:r>
      <w:r>
        <w:rPr>
          <w:rFonts w:hint="eastAsia" w:ascii="宋体" w:hAnsi="宋体" w:cs="宋体"/>
          <w:color w:val="auto"/>
          <w:sz w:val="24"/>
          <w:szCs w:val="24"/>
          <w:highlight w:val="none"/>
          <w:u w:val="single"/>
        </w:rPr>
        <w:t>按规定开具发票</w:t>
      </w:r>
      <w:r>
        <w:rPr>
          <w:rFonts w:hint="eastAsia" w:ascii="宋体" w:hAnsi="宋体" w:cs="宋体"/>
          <w:color w:val="auto"/>
          <w:sz w:val="24"/>
          <w:szCs w:val="24"/>
          <w:highlight w:val="none"/>
        </w:rPr>
        <w:t>。</w:t>
      </w:r>
    </w:p>
    <w:p w14:paraId="01300295">
      <w:pPr>
        <w:keepNext/>
        <w:keepLines/>
        <w:spacing w:line="360" w:lineRule="auto"/>
        <w:outlineLvl w:val="1"/>
        <w:rPr>
          <w:rFonts w:hint="eastAsia" w:ascii="宋体" w:hAnsi="宋体" w:cs="宋体"/>
          <w:b/>
          <w:bCs/>
          <w:color w:val="auto"/>
          <w:sz w:val="28"/>
          <w:szCs w:val="28"/>
          <w:highlight w:val="none"/>
        </w:rPr>
      </w:pPr>
      <w:bookmarkStart w:id="821" w:name="_Toc144974539"/>
      <w:bookmarkStart w:id="822" w:name="_Toc247513995"/>
      <w:bookmarkStart w:id="823" w:name="_Toc247527596"/>
      <w:bookmarkStart w:id="824" w:name="_Toc152045571"/>
      <w:bookmarkStart w:id="825" w:name="_Toc152042347"/>
      <w:bookmarkStart w:id="826" w:name="_Toc18486"/>
      <w:bookmarkStart w:id="827" w:name="_Toc7834"/>
      <w:bookmarkStart w:id="828" w:name="_Toc18789"/>
      <w:bookmarkStart w:id="829" w:name="_Toc436834174"/>
      <w:bookmarkStart w:id="830" w:name="_Toc11110"/>
      <w:bookmarkStart w:id="831" w:name="_Toc29250"/>
      <w:bookmarkStart w:id="832" w:name="_Toc23073"/>
      <w:bookmarkStart w:id="833" w:name="_Toc300834994"/>
      <w:bookmarkStart w:id="834" w:name="_Toc436834767"/>
      <w:bookmarkStart w:id="835" w:name="_Toc28927"/>
      <w:bookmarkStart w:id="836" w:name="_Toc6337"/>
      <w:bookmarkStart w:id="837" w:name="_Toc399165416"/>
      <w:bookmarkStart w:id="838" w:name="_Toc485211081"/>
      <w:bookmarkStart w:id="839" w:name="_Toc25566"/>
      <w:bookmarkStart w:id="840" w:name="_Toc5708"/>
      <w:r>
        <w:rPr>
          <w:rFonts w:hint="eastAsia" w:ascii="宋体" w:hAnsi="宋体" w:cs="宋体"/>
          <w:b/>
          <w:bCs/>
          <w:color w:val="auto"/>
          <w:sz w:val="28"/>
          <w:szCs w:val="28"/>
          <w:highlight w:val="none"/>
        </w:rPr>
        <w:t>8.</w:t>
      </w:r>
      <w:bookmarkEnd w:id="821"/>
      <w:bookmarkEnd w:id="822"/>
      <w:bookmarkEnd w:id="823"/>
      <w:bookmarkEnd w:id="824"/>
      <w:bookmarkEnd w:id="825"/>
      <w:bookmarkStart w:id="841" w:name="_Toc144974542"/>
      <w:bookmarkStart w:id="842" w:name="_Toc152045574"/>
      <w:bookmarkStart w:id="843" w:name="_Toc247513998"/>
      <w:bookmarkStart w:id="844" w:name="_Toc152042350"/>
      <w:bookmarkStart w:id="845" w:name="_Toc247527599"/>
      <w:r>
        <w:rPr>
          <w:rFonts w:hint="eastAsia" w:ascii="宋体" w:hAnsi="宋体" w:cs="宋体"/>
          <w:b/>
          <w:bCs/>
          <w:color w:val="auto"/>
          <w:sz w:val="28"/>
          <w:szCs w:val="28"/>
          <w:highlight w:val="none"/>
        </w:rPr>
        <w:t xml:space="preserve"> 纪律和监督</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71F4E7A2">
      <w:pPr>
        <w:keepNext/>
        <w:keepLines/>
        <w:spacing w:line="360" w:lineRule="auto"/>
        <w:outlineLvl w:val="2"/>
        <w:rPr>
          <w:rFonts w:hint="eastAsia" w:ascii="宋体" w:hAnsi="宋体" w:cs="宋体"/>
          <w:bCs/>
          <w:color w:val="auto"/>
          <w:sz w:val="24"/>
          <w:szCs w:val="24"/>
          <w:highlight w:val="none"/>
        </w:rPr>
      </w:pPr>
      <w:bookmarkStart w:id="846" w:name="_Toc5172"/>
      <w:bookmarkStart w:id="847" w:name="_Toc3121"/>
      <w:bookmarkStart w:id="848" w:name="_Toc152045575"/>
      <w:bookmarkStart w:id="849" w:name="_Toc436834175"/>
      <w:bookmarkStart w:id="850" w:name="_Toc10936"/>
      <w:bookmarkStart w:id="851" w:name="_Toc8648"/>
      <w:bookmarkStart w:id="852" w:name="_Toc24913"/>
      <w:bookmarkStart w:id="853" w:name="_Toc152042351"/>
      <w:bookmarkStart w:id="854" w:name="_Toc247527600"/>
      <w:bookmarkStart w:id="855" w:name="_Toc144974543"/>
      <w:bookmarkStart w:id="856" w:name="_Toc25574"/>
      <w:bookmarkStart w:id="857" w:name="_Toc25919"/>
      <w:bookmarkStart w:id="858" w:name="_Toc247513999"/>
      <w:bookmarkStart w:id="859" w:name="_Toc1360"/>
      <w:bookmarkStart w:id="860" w:name="_Toc1452"/>
      <w:bookmarkStart w:id="861" w:name="_Toc300834995"/>
      <w:bookmarkStart w:id="862" w:name="_Toc26815"/>
      <w:bookmarkStart w:id="863" w:name="_Toc485211082"/>
      <w:bookmarkStart w:id="864" w:name="_Toc399165417"/>
      <w:bookmarkStart w:id="865" w:name="_Toc436834768"/>
      <w:r>
        <w:rPr>
          <w:rFonts w:hint="eastAsia" w:ascii="宋体" w:hAnsi="宋体" w:cs="宋体"/>
          <w:bCs/>
          <w:color w:val="auto"/>
          <w:sz w:val="24"/>
          <w:szCs w:val="24"/>
          <w:highlight w:val="none"/>
        </w:rPr>
        <w:t>8.1 对招标人的纪律要求</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p>
    <w:p w14:paraId="3496F85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工作开始前，招标人应当向评标委员会提供评标所需的信息，包括招标项目的范围、性质、特殊性、需求目标和实施要点，以及招标文件规定的评标方法、评标因素及标准等，但不得明示或者暗示其倾向或者排斥特定投标人，招标人不得泄漏招标投标活动中应当保密的情况和资料，不得与投标人串通损害国家利益、社会公共利益或者他人合法权益。</w:t>
      </w:r>
    </w:p>
    <w:p w14:paraId="410ACB3F">
      <w:pPr>
        <w:keepNext/>
        <w:keepLines/>
        <w:spacing w:line="360" w:lineRule="auto"/>
        <w:outlineLvl w:val="2"/>
        <w:rPr>
          <w:rFonts w:hint="eastAsia" w:ascii="宋体" w:hAnsi="宋体" w:cs="宋体"/>
          <w:bCs/>
          <w:color w:val="auto"/>
          <w:sz w:val="24"/>
          <w:szCs w:val="24"/>
          <w:highlight w:val="none"/>
        </w:rPr>
      </w:pPr>
      <w:bookmarkStart w:id="866" w:name="_Toc485211083"/>
      <w:bookmarkStart w:id="867" w:name="_Toc436834769"/>
      <w:bookmarkStart w:id="868" w:name="_Toc399165418"/>
      <w:bookmarkStart w:id="869" w:name="_Toc247527601"/>
      <w:bookmarkStart w:id="870" w:name="_Toc7734"/>
      <w:bookmarkStart w:id="871" w:name="_Toc152042352"/>
      <w:bookmarkStart w:id="872" w:name="_Toc21966"/>
      <w:bookmarkStart w:id="873" w:name="_Toc436834176"/>
      <w:bookmarkStart w:id="874" w:name="_Toc300834996"/>
      <w:bookmarkStart w:id="875" w:name="_Toc11497"/>
      <w:bookmarkStart w:id="876" w:name="_Toc10085"/>
      <w:bookmarkStart w:id="877" w:name="_Toc24737"/>
      <w:bookmarkStart w:id="878" w:name="_Toc144974544"/>
      <w:bookmarkStart w:id="879" w:name="_Toc9604"/>
      <w:bookmarkStart w:id="880" w:name="_Toc152045576"/>
      <w:bookmarkStart w:id="881" w:name="_Toc247514000"/>
      <w:bookmarkStart w:id="882" w:name="_Toc21852"/>
      <w:bookmarkStart w:id="883" w:name="_Toc25854"/>
      <w:bookmarkStart w:id="884" w:name="_Toc3971"/>
      <w:bookmarkStart w:id="885" w:name="_Toc28773"/>
      <w:r>
        <w:rPr>
          <w:rFonts w:hint="eastAsia" w:ascii="宋体" w:hAnsi="宋体" w:cs="宋体"/>
          <w:bCs/>
          <w:color w:val="auto"/>
          <w:sz w:val="24"/>
          <w:szCs w:val="24"/>
          <w:highlight w:val="none"/>
        </w:rPr>
        <w:t>8.2 对投标人的纪律要求</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14:paraId="6004E89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613F648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投标人如在本项目中存在串通投标、弄虚作假骗取中标、行贿情形的，中标无效，行政监督部门将对其违法行为进行政处罚。该投标人将被招标人列入黑名单并限制其参与招标人后续项目的投标。</w:t>
      </w:r>
    </w:p>
    <w:p w14:paraId="4DB353BB">
      <w:pPr>
        <w:keepNext/>
        <w:keepLines/>
        <w:spacing w:line="360" w:lineRule="auto"/>
        <w:outlineLvl w:val="2"/>
        <w:rPr>
          <w:rFonts w:hint="eastAsia" w:ascii="宋体" w:hAnsi="宋体" w:cs="宋体"/>
          <w:bCs/>
          <w:color w:val="auto"/>
          <w:sz w:val="24"/>
          <w:szCs w:val="24"/>
          <w:highlight w:val="none"/>
        </w:rPr>
      </w:pPr>
      <w:bookmarkStart w:id="886" w:name="_Toc18726"/>
      <w:bookmarkStart w:id="887" w:name="_Toc436834770"/>
      <w:bookmarkStart w:id="888" w:name="_Toc399165419"/>
      <w:bookmarkStart w:id="889" w:name="_Toc14578"/>
      <w:bookmarkStart w:id="890" w:name="_Toc144974545"/>
      <w:bookmarkStart w:id="891" w:name="_Toc436834177"/>
      <w:bookmarkStart w:id="892" w:name="_Toc300834997"/>
      <w:bookmarkStart w:id="893" w:name="_Toc485211084"/>
      <w:bookmarkStart w:id="894" w:name="_Toc247527602"/>
      <w:bookmarkStart w:id="895" w:name="_Toc20671"/>
      <w:bookmarkStart w:id="896" w:name="_Toc12847"/>
      <w:bookmarkStart w:id="897" w:name="_Toc7942"/>
      <w:bookmarkStart w:id="898" w:name="_Toc16502"/>
      <w:bookmarkStart w:id="899" w:name="_Toc9452"/>
      <w:bookmarkStart w:id="900" w:name="_Toc152042353"/>
      <w:bookmarkStart w:id="901" w:name="_Toc13115"/>
      <w:bookmarkStart w:id="902" w:name="_Toc1764"/>
      <w:bookmarkStart w:id="903" w:name="_Toc152045577"/>
      <w:bookmarkStart w:id="904" w:name="_Toc247514001"/>
      <w:bookmarkStart w:id="905" w:name="_Toc9436"/>
      <w:r>
        <w:rPr>
          <w:rFonts w:hint="eastAsia" w:ascii="宋体" w:hAnsi="宋体" w:cs="宋体"/>
          <w:bCs/>
          <w:color w:val="auto"/>
          <w:sz w:val="24"/>
          <w:szCs w:val="24"/>
          <w:highlight w:val="none"/>
        </w:rPr>
        <w:t>8.3 对评标委员会及定标委员会成员的纪律要求</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14:paraId="53EDBF9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w:t>
      </w:r>
      <w:r>
        <w:rPr>
          <w:rFonts w:hint="eastAsia" w:ascii="宋体" w:hAnsi="宋体" w:cs="宋体"/>
          <w:bCs/>
          <w:color w:val="auto"/>
          <w:sz w:val="24"/>
          <w:szCs w:val="24"/>
          <w:highlight w:val="none"/>
          <w:u w:val="single"/>
        </w:rPr>
        <w:t>及定标委员会</w:t>
      </w:r>
      <w:r>
        <w:rPr>
          <w:rFonts w:hint="eastAsia" w:ascii="宋体" w:hAnsi="宋体" w:cs="宋体"/>
          <w:color w:val="auto"/>
          <w:sz w:val="24"/>
          <w:szCs w:val="24"/>
          <w:highlight w:val="none"/>
        </w:rPr>
        <w:t>成员不得收受他人的财物或者其他好处，不得向他人透漏对投标文件</w:t>
      </w:r>
      <w:r>
        <w:rPr>
          <w:rFonts w:hint="eastAsia" w:ascii="宋体" w:hAnsi="宋体" w:cs="宋体"/>
          <w:color w:val="auto"/>
          <w:sz w:val="24"/>
          <w:szCs w:val="24"/>
          <w:highlight w:val="none"/>
          <w:u w:val="single"/>
        </w:rPr>
        <w:t>及定标文件</w:t>
      </w:r>
      <w:r>
        <w:rPr>
          <w:rFonts w:hint="eastAsia" w:ascii="宋体" w:hAnsi="宋体" w:cs="宋体"/>
          <w:color w:val="auto"/>
          <w:sz w:val="24"/>
          <w:szCs w:val="24"/>
          <w:highlight w:val="none"/>
        </w:rPr>
        <w:t>的评审和比较、</w:t>
      </w:r>
      <w:r>
        <w:rPr>
          <w:rFonts w:hint="eastAsia" w:ascii="宋体" w:hAnsi="宋体" w:cs="宋体"/>
          <w:color w:val="auto"/>
          <w:sz w:val="24"/>
          <w:szCs w:val="24"/>
          <w:highlight w:val="none"/>
          <w:u w:val="single"/>
        </w:rPr>
        <w:t>合格的</w:t>
      </w:r>
      <w:r>
        <w:rPr>
          <w:rFonts w:hint="eastAsia" w:ascii="宋体" w:hAnsi="宋体" w:cs="宋体"/>
          <w:color w:val="auto"/>
          <w:sz w:val="24"/>
          <w:szCs w:val="24"/>
          <w:highlight w:val="none"/>
        </w:rPr>
        <w:t>中标候选人的推荐情况以及评标</w:t>
      </w:r>
      <w:r>
        <w:rPr>
          <w:rFonts w:hint="eastAsia" w:ascii="宋体" w:hAnsi="宋体" w:cs="宋体"/>
          <w:color w:val="auto"/>
          <w:sz w:val="24"/>
          <w:szCs w:val="24"/>
          <w:highlight w:val="none"/>
          <w:u w:val="single"/>
        </w:rPr>
        <w:t>及定标</w:t>
      </w:r>
      <w:r>
        <w:rPr>
          <w:rFonts w:hint="eastAsia" w:ascii="宋体" w:hAnsi="宋体" w:cs="宋体"/>
          <w:color w:val="auto"/>
          <w:sz w:val="24"/>
          <w:szCs w:val="24"/>
          <w:highlight w:val="none"/>
        </w:rPr>
        <w:t>有关的其他情况。在评标活动中，评标委员会成员应当客观、公正地履行职责，遵守职业道德，不得擅离职守，影响评标程序正常进行，不得使用第二章“评标和定标办法”没有规定的评审因素和标准进行评标。</w:t>
      </w:r>
    </w:p>
    <w:p w14:paraId="5B9ABD79">
      <w:pPr>
        <w:keepNext/>
        <w:keepLines/>
        <w:spacing w:line="360" w:lineRule="auto"/>
        <w:outlineLvl w:val="2"/>
        <w:rPr>
          <w:rFonts w:hint="eastAsia" w:ascii="宋体" w:hAnsi="宋体" w:cs="宋体"/>
          <w:bCs/>
          <w:color w:val="auto"/>
          <w:sz w:val="24"/>
          <w:szCs w:val="24"/>
          <w:highlight w:val="none"/>
        </w:rPr>
      </w:pPr>
      <w:bookmarkStart w:id="906" w:name="_Toc436834178"/>
      <w:bookmarkStart w:id="907" w:name="_Toc23424"/>
      <w:bookmarkStart w:id="908" w:name="_Toc9582"/>
      <w:bookmarkStart w:id="909" w:name="_Toc247527603"/>
      <w:bookmarkStart w:id="910" w:name="_Toc28465"/>
      <w:bookmarkStart w:id="911" w:name="_Toc24670"/>
      <w:bookmarkStart w:id="912" w:name="_Toc300834998"/>
      <w:bookmarkStart w:id="913" w:name="_Toc13534"/>
      <w:bookmarkStart w:id="914" w:name="_Toc13233"/>
      <w:bookmarkStart w:id="915" w:name="_Toc485211085"/>
      <w:bookmarkStart w:id="916" w:name="_Toc152042354"/>
      <w:bookmarkStart w:id="917" w:name="_Toc436834771"/>
      <w:bookmarkStart w:id="918" w:name="_Toc6372"/>
      <w:bookmarkStart w:id="919" w:name="_Toc15426"/>
      <w:bookmarkStart w:id="920" w:name="_Toc247514002"/>
      <w:bookmarkStart w:id="921" w:name="_Toc399165420"/>
      <w:bookmarkStart w:id="922" w:name="_Toc152045578"/>
      <w:bookmarkStart w:id="923" w:name="_Toc2073"/>
      <w:bookmarkStart w:id="924" w:name="_Toc9761"/>
      <w:bookmarkStart w:id="925" w:name="_Toc144974546"/>
      <w:r>
        <w:rPr>
          <w:rFonts w:hint="eastAsia" w:ascii="宋体" w:hAnsi="宋体" w:cs="宋体"/>
          <w:bCs/>
          <w:color w:val="auto"/>
          <w:sz w:val="24"/>
          <w:szCs w:val="24"/>
          <w:highlight w:val="none"/>
        </w:rPr>
        <w:t>8.4 对与评标活动有关的工作人员的纪律要求</w:t>
      </w:r>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p>
    <w:p w14:paraId="1F2EE183">
      <w:pPr>
        <w:spacing w:line="360" w:lineRule="auto"/>
        <w:ind w:firstLine="480" w:firstLineChars="200"/>
        <w:rPr>
          <w:rFonts w:hint="eastAsia" w:ascii="宋体" w:hAnsi="宋体" w:cs="宋体"/>
          <w:color w:val="auto"/>
          <w:sz w:val="24"/>
          <w:szCs w:val="24"/>
          <w:highlight w:val="none"/>
        </w:rPr>
      </w:pPr>
      <w:bookmarkStart w:id="926" w:name="_Toc152042355"/>
      <w:r>
        <w:rPr>
          <w:rFonts w:hint="eastAsia" w:ascii="宋体" w:hAnsi="宋体" w:cs="宋体"/>
          <w:color w:val="auto"/>
          <w:sz w:val="24"/>
          <w:szCs w:val="24"/>
          <w:highlight w:val="none"/>
        </w:rPr>
        <w:t>与评标活动有关的工作人员不得收受他人的财物或者其他好处，不得向他人透漏对投标文件的评审和比较、</w:t>
      </w:r>
      <w:r>
        <w:rPr>
          <w:rFonts w:hint="eastAsia" w:ascii="宋体" w:hAnsi="宋体" w:cs="宋体"/>
          <w:color w:val="auto"/>
          <w:sz w:val="24"/>
          <w:szCs w:val="24"/>
          <w:highlight w:val="none"/>
          <w:lang w:val="en-US" w:eastAsia="zh-CN"/>
        </w:rPr>
        <w:t>合格的</w:t>
      </w:r>
      <w:r>
        <w:rPr>
          <w:rFonts w:hint="eastAsia" w:ascii="宋体" w:hAnsi="宋体" w:cs="宋体"/>
          <w:color w:val="auto"/>
          <w:sz w:val="24"/>
          <w:szCs w:val="24"/>
          <w:highlight w:val="none"/>
        </w:rPr>
        <w:t>中标候选人的推荐情况以及评标有关的其他情况。在评标活动中，与评标活动有关的工作人员不得擅离职守，影响评标程序正常进行。</w:t>
      </w:r>
      <w:bookmarkEnd w:id="926"/>
    </w:p>
    <w:p w14:paraId="53114E9B">
      <w:pPr>
        <w:keepNext/>
        <w:keepLines/>
        <w:spacing w:line="360" w:lineRule="auto"/>
        <w:outlineLvl w:val="2"/>
        <w:rPr>
          <w:rFonts w:hint="eastAsia" w:ascii="宋体" w:hAnsi="宋体" w:cs="宋体"/>
          <w:bCs/>
          <w:color w:val="auto"/>
          <w:sz w:val="24"/>
          <w:szCs w:val="24"/>
          <w:highlight w:val="none"/>
        </w:rPr>
      </w:pPr>
      <w:bookmarkStart w:id="927" w:name="_Toc152045579"/>
      <w:bookmarkStart w:id="928" w:name="_Toc5216"/>
      <w:bookmarkStart w:id="929" w:name="_Toc436834179"/>
      <w:bookmarkStart w:id="930" w:name="_Toc247514003"/>
      <w:bookmarkStart w:id="931" w:name="_Toc2374"/>
      <w:bookmarkStart w:id="932" w:name="_Toc28353"/>
      <w:bookmarkStart w:id="933" w:name="_Toc247527604"/>
      <w:bookmarkStart w:id="934" w:name="_Toc436834772"/>
      <w:bookmarkStart w:id="935" w:name="_Toc485211086"/>
      <w:bookmarkStart w:id="936" w:name="_Toc15882"/>
      <w:bookmarkStart w:id="937" w:name="_Toc8527"/>
      <w:bookmarkStart w:id="938" w:name="_Toc300834999"/>
      <w:bookmarkStart w:id="939" w:name="_Toc22999"/>
      <w:bookmarkStart w:id="940" w:name="_Toc738"/>
      <w:bookmarkStart w:id="941" w:name="_Toc399165421"/>
      <w:bookmarkStart w:id="942" w:name="_Toc27663"/>
      <w:bookmarkStart w:id="943" w:name="_Toc5305"/>
      <w:bookmarkStart w:id="944" w:name="_Toc10059"/>
      <w:bookmarkStart w:id="945" w:name="_Toc152042356"/>
      <w:r>
        <w:rPr>
          <w:rFonts w:hint="eastAsia" w:ascii="宋体" w:hAnsi="宋体" w:cs="宋体"/>
          <w:bCs/>
          <w:color w:val="auto"/>
          <w:sz w:val="24"/>
          <w:szCs w:val="24"/>
          <w:highlight w:val="none"/>
        </w:rPr>
        <w:t>8.5 投诉</w:t>
      </w:r>
      <w:bookmarkEnd w:id="925"/>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p>
    <w:p w14:paraId="582B840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投标人和其他利害关系人认为本次招标活动违反法律、法规和规章规定的，有权向有关行政监督部门投诉。</w:t>
      </w:r>
    </w:p>
    <w:p w14:paraId="17928B98">
      <w:pPr>
        <w:keepNext/>
        <w:keepLines/>
        <w:spacing w:line="360" w:lineRule="auto"/>
        <w:outlineLvl w:val="1"/>
        <w:rPr>
          <w:rFonts w:hint="eastAsia" w:ascii="宋体" w:hAnsi="宋体" w:cs="宋体"/>
          <w:b/>
          <w:bCs/>
          <w:color w:val="auto"/>
          <w:sz w:val="28"/>
          <w:szCs w:val="28"/>
          <w:highlight w:val="none"/>
        </w:rPr>
      </w:pPr>
      <w:bookmarkStart w:id="946" w:name="_Toc28528"/>
      <w:bookmarkStart w:id="947" w:name="_Toc436834180"/>
      <w:bookmarkStart w:id="948" w:name="_Toc6670"/>
      <w:bookmarkStart w:id="949" w:name="_Toc18590"/>
      <w:bookmarkStart w:id="950" w:name="_Toc22770"/>
      <w:bookmarkStart w:id="951" w:name="_Toc152042357"/>
      <w:bookmarkStart w:id="952" w:name="_Toc13569"/>
      <w:bookmarkStart w:id="953" w:name="_Toc144974547"/>
      <w:bookmarkStart w:id="954" w:name="_Toc485211087"/>
      <w:bookmarkStart w:id="955" w:name="_Toc300835000"/>
      <w:bookmarkStart w:id="956" w:name="_Toc436834773"/>
      <w:bookmarkStart w:id="957" w:name="_Toc247527605"/>
      <w:bookmarkStart w:id="958" w:name="_Toc9615"/>
      <w:bookmarkStart w:id="959" w:name="_Toc22539"/>
      <w:bookmarkStart w:id="960" w:name="_Toc1548"/>
      <w:bookmarkStart w:id="961" w:name="_Toc152045580"/>
      <w:bookmarkStart w:id="962" w:name="_Toc11995"/>
      <w:bookmarkStart w:id="963" w:name="_Toc247514004"/>
      <w:bookmarkStart w:id="964" w:name="_Toc5380"/>
      <w:bookmarkStart w:id="965" w:name="_Toc399165422"/>
      <w:r>
        <w:rPr>
          <w:rFonts w:hint="eastAsia" w:ascii="宋体" w:hAnsi="宋体" w:cs="宋体"/>
          <w:b/>
          <w:bCs/>
          <w:color w:val="auto"/>
          <w:sz w:val="28"/>
          <w:szCs w:val="28"/>
          <w:highlight w:val="none"/>
        </w:rPr>
        <w:t>9. 需要补充的其他内容</w:t>
      </w:r>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p w14:paraId="6FE75EC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需要补充的其他内容：见《投标人须知前附表》。</w:t>
      </w:r>
    </w:p>
    <w:p w14:paraId="779B41B3">
      <w:pPr>
        <w:keepNext/>
        <w:keepLines/>
        <w:spacing w:line="360" w:lineRule="auto"/>
        <w:outlineLvl w:val="1"/>
        <w:rPr>
          <w:rFonts w:hint="eastAsia" w:ascii="宋体" w:hAnsi="宋体" w:cs="宋体"/>
          <w:b/>
          <w:bCs/>
          <w:color w:val="auto"/>
          <w:sz w:val="28"/>
          <w:szCs w:val="28"/>
          <w:highlight w:val="none"/>
        </w:rPr>
      </w:pPr>
      <w:bookmarkStart w:id="966" w:name="_Toc10015"/>
      <w:bookmarkStart w:id="967" w:name="_Toc300835001"/>
      <w:bookmarkStart w:id="968" w:name="_Toc29749"/>
      <w:bookmarkStart w:id="969" w:name="_Toc436834774"/>
      <w:bookmarkStart w:id="970" w:name="_Toc29306"/>
      <w:bookmarkStart w:id="971" w:name="_Toc15755"/>
      <w:bookmarkStart w:id="972" w:name="_Toc5960"/>
      <w:bookmarkStart w:id="973" w:name="_Toc21545"/>
      <w:bookmarkStart w:id="974" w:name="_Toc4044"/>
      <w:bookmarkStart w:id="975" w:name="_Toc144"/>
      <w:bookmarkStart w:id="976" w:name="_Toc19525"/>
      <w:bookmarkStart w:id="977" w:name="_Toc436834181"/>
      <w:bookmarkStart w:id="978" w:name="_Toc485211088"/>
      <w:bookmarkStart w:id="979" w:name="_Toc18743"/>
      <w:bookmarkStart w:id="980" w:name="_Toc399165423"/>
      <w:r>
        <w:rPr>
          <w:rFonts w:hint="eastAsia" w:ascii="宋体" w:hAnsi="宋体" w:cs="宋体"/>
          <w:b/>
          <w:bCs/>
          <w:color w:val="auto"/>
          <w:sz w:val="28"/>
          <w:szCs w:val="28"/>
          <w:highlight w:val="none"/>
        </w:rPr>
        <w:t>10. 电子招标投标</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28D6E3FE">
      <w:pPr>
        <w:spacing w:line="360" w:lineRule="auto"/>
        <w:ind w:firstLine="480" w:firstLineChars="200"/>
        <w:rPr>
          <w:rFonts w:hint="eastAsia" w:ascii="宋体" w:hAnsi="宋体" w:cs="宋体"/>
          <w:color w:val="auto"/>
          <w:szCs w:val="24"/>
          <w:highlight w:val="none"/>
        </w:rPr>
      </w:pPr>
      <w:r>
        <w:rPr>
          <w:rFonts w:hint="eastAsia" w:ascii="宋体" w:hAnsi="宋体" w:cs="宋体"/>
          <w:color w:val="auto"/>
          <w:sz w:val="24"/>
          <w:szCs w:val="24"/>
          <w:highlight w:val="none"/>
        </w:rPr>
        <w:t>如采用电子招标投标，对投标文件的编制、密封和标记、递交、开标、评标等具体要求，见《投标人须知前附表》。</w:t>
      </w:r>
    </w:p>
    <w:p w14:paraId="63E31AD0">
      <w:pPr>
        <w:spacing w:line="360" w:lineRule="auto"/>
        <w:ind w:firstLine="420" w:firstLineChars="200"/>
        <w:rPr>
          <w:rFonts w:hint="eastAsia" w:ascii="宋体" w:hAnsi="宋体" w:cs="宋体"/>
          <w:color w:val="auto"/>
          <w:szCs w:val="24"/>
          <w:highlight w:val="none"/>
        </w:rPr>
        <w:sectPr>
          <w:headerReference r:id="rId4" w:type="default"/>
          <w:footerReference r:id="rId5" w:type="default"/>
          <w:pgSz w:w="11905" w:h="16838"/>
          <w:pgMar w:top="1440" w:right="1080" w:bottom="1440" w:left="1080" w:header="850" w:footer="850" w:gutter="0"/>
          <w:pgNumType w:start="1"/>
          <w:cols w:space="720" w:num="1"/>
          <w:docGrid w:linePitch="312" w:charSpace="0"/>
        </w:sectPr>
      </w:pPr>
    </w:p>
    <w:p w14:paraId="2B7119BE">
      <w:pPr>
        <w:keepNext/>
        <w:keepLines/>
        <w:spacing w:line="360" w:lineRule="auto"/>
        <w:outlineLvl w:val="1"/>
        <w:rPr>
          <w:rFonts w:hint="eastAsia" w:ascii="宋体" w:hAnsi="宋体" w:cs="宋体"/>
          <w:b/>
          <w:bCs/>
          <w:color w:val="auto"/>
          <w:sz w:val="28"/>
          <w:szCs w:val="28"/>
          <w:highlight w:val="none"/>
        </w:rPr>
      </w:pPr>
      <w:bookmarkStart w:id="981" w:name="_Toc3212"/>
      <w:bookmarkStart w:id="982" w:name="_Toc3477"/>
      <w:bookmarkStart w:id="983" w:name="_Toc247527606"/>
      <w:bookmarkStart w:id="984" w:name="_Toc485211089"/>
      <w:bookmarkStart w:id="985" w:name="_Toc152045581"/>
      <w:bookmarkStart w:id="986" w:name="_Toc1292"/>
      <w:bookmarkStart w:id="987" w:name="_Toc28995"/>
      <w:bookmarkStart w:id="988" w:name="_Toc14581"/>
      <w:bookmarkStart w:id="989" w:name="_Toc247514005"/>
      <w:bookmarkStart w:id="990" w:name="_Toc152042358"/>
      <w:bookmarkStart w:id="991" w:name="_Toc12839"/>
      <w:bookmarkStart w:id="992" w:name="_Toc16275"/>
      <w:bookmarkStart w:id="993" w:name="_Toc32530"/>
      <w:bookmarkStart w:id="994" w:name="_Toc13480"/>
      <w:bookmarkStart w:id="995" w:name="_Toc144974548"/>
      <w:bookmarkStart w:id="996" w:name="_Toc17173"/>
      <w:r>
        <w:rPr>
          <w:rFonts w:hint="eastAsia" w:ascii="宋体" w:hAnsi="宋体" w:cs="宋体"/>
          <w:b/>
          <w:bCs/>
          <w:color w:val="auto"/>
          <w:sz w:val="28"/>
          <w:szCs w:val="28"/>
          <w:highlight w:val="none"/>
        </w:rPr>
        <w:t>附件一：开标记录表</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p>
    <w:p w14:paraId="6F73B146">
      <w:pPr>
        <w:spacing w:line="360" w:lineRule="auto"/>
        <w:ind w:firstLine="480" w:firstLineChars="200"/>
        <w:rPr>
          <w:rFonts w:hint="eastAsia" w:ascii="宋体" w:hAnsi="宋体" w:cs="宋体"/>
          <w:color w:val="auto"/>
          <w:szCs w:val="21"/>
          <w:highlight w:val="none"/>
        </w:rPr>
      </w:pPr>
      <w:r>
        <w:rPr>
          <w:rFonts w:hint="eastAsia" w:ascii="宋体" w:hAnsi="宋体" w:cs="宋体"/>
          <w:color w:val="auto"/>
          <w:sz w:val="24"/>
          <w:szCs w:val="24"/>
          <w:highlight w:val="none"/>
        </w:rPr>
        <w:t>开标记录表采用</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cs="宋体"/>
          <w:color w:val="auto"/>
          <w:sz w:val="24"/>
          <w:szCs w:val="24"/>
          <w:highlight w:val="none"/>
        </w:rPr>
        <w:t>系统生成格式。</w:t>
      </w:r>
    </w:p>
    <w:p w14:paraId="45A7170E">
      <w:pPr>
        <w:spacing w:line="360" w:lineRule="auto"/>
        <w:rPr>
          <w:rFonts w:hint="eastAsia" w:ascii="宋体" w:hAnsi="宋体" w:cs="宋体"/>
          <w:b/>
          <w:bCs/>
          <w:color w:val="auto"/>
          <w:sz w:val="28"/>
          <w:szCs w:val="28"/>
          <w:highlight w:val="none"/>
        </w:rPr>
      </w:pPr>
      <w:r>
        <w:rPr>
          <w:rFonts w:hint="eastAsia" w:ascii="宋体" w:hAnsi="宋体" w:cs="宋体"/>
          <w:color w:val="auto"/>
          <w:szCs w:val="21"/>
          <w:highlight w:val="none"/>
        </w:rPr>
        <w:br w:type="page"/>
      </w:r>
      <w:bookmarkStart w:id="997" w:name="_Toc26951"/>
      <w:bookmarkStart w:id="998" w:name="_Toc247527607"/>
      <w:bookmarkStart w:id="999" w:name="_Toc247514006"/>
      <w:bookmarkStart w:id="1000" w:name="_Toc144974549"/>
      <w:bookmarkStart w:id="1001" w:name="_Toc22250"/>
      <w:bookmarkStart w:id="1002" w:name="_Toc22367"/>
      <w:bookmarkStart w:id="1003" w:name="_Toc22267"/>
      <w:bookmarkStart w:id="1004" w:name="_Toc20609"/>
      <w:bookmarkStart w:id="1005" w:name="_Toc152042359"/>
      <w:bookmarkStart w:id="1006" w:name="_Toc152045582"/>
      <w:bookmarkStart w:id="1007" w:name="_Toc485211090"/>
      <w:bookmarkStart w:id="1008" w:name="_Toc23946"/>
      <w:bookmarkStart w:id="1009" w:name="_Toc8530"/>
      <w:bookmarkStart w:id="1010" w:name="_Toc12992"/>
      <w:bookmarkStart w:id="1011" w:name="_Toc7096"/>
      <w:r>
        <w:rPr>
          <w:rFonts w:hint="eastAsia" w:ascii="宋体" w:hAnsi="宋体" w:cs="宋体"/>
          <w:b/>
          <w:bCs/>
          <w:color w:val="auto"/>
          <w:sz w:val="28"/>
          <w:szCs w:val="28"/>
          <w:highlight w:val="none"/>
        </w:rPr>
        <w:t>附件二：问题澄清通知</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14:paraId="52FE29E4">
      <w:pPr>
        <w:spacing w:line="360" w:lineRule="auto"/>
        <w:jc w:val="center"/>
        <w:rPr>
          <w:rFonts w:hint="eastAsia" w:ascii="宋体" w:hAnsi="宋体" w:cs="宋体"/>
          <w:color w:val="auto"/>
          <w:szCs w:val="21"/>
          <w:highlight w:val="none"/>
        </w:rPr>
      </w:pPr>
    </w:p>
    <w:p w14:paraId="782AEBAB">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问题澄清通知</w:t>
      </w:r>
    </w:p>
    <w:p w14:paraId="11346A1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编号：</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 xml:space="preserve">         </w:t>
      </w:r>
    </w:p>
    <w:p w14:paraId="4C601AC6">
      <w:pPr>
        <w:spacing w:line="360" w:lineRule="auto"/>
        <w:rPr>
          <w:rFonts w:hint="eastAsia" w:ascii="宋体" w:hAnsi="宋体" w:cs="宋体"/>
          <w:color w:val="auto"/>
          <w:sz w:val="24"/>
          <w:szCs w:val="24"/>
          <w:highlight w:val="none"/>
        </w:rPr>
      </w:pPr>
    </w:p>
    <w:p w14:paraId="186D72C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w:t>
      </w:r>
    </w:p>
    <w:p w14:paraId="18B4BD4A">
      <w:pPr>
        <w:spacing w:line="360" w:lineRule="auto"/>
        <w:rPr>
          <w:rFonts w:hint="eastAsia" w:ascii="宋体" w:hAnsi="宋体" w:cs="宋体"/>
          <w:color w:val="auto"/>
          <w:sz w:val="24"/>
          <w:szCs w:val="24"/>
          <w:highlight w:val="none"/>
        </w:rPr>
      </w:pPr>
    </w:p>
    <w:p w14:paraId="7D2A049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招标的评标委员会，对你方的投标文件进行了仔细的审查，现需你方对下列问题以书面形式予以澄清：</w:t>
      </w:r>
    </w:p>
    <w:p w14:paraId="282DD7A3">
      <w:pPr>
        <w:spacing w:line="360" w:lineRule="auto"/>
        <w:rPr>
          <w:rFonts w:hint="eastAsia" w:ascii="宋体" w:hAnsi="宋体" w:cs="宋体"/>
          <w:color w:val="auto"/>
          <w:sz w:val="24"/>
          <w:szCs w:val="24"/>
          <w:highlight w:val="none"/>
        </w:rPr>
      </w:pPr>
    </w:p>
    <w:p w14:paraId="17DC9E5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w:t>
      </w:r>
    </w:p>
    <w:p w14:paraId="5B4B05C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2.</w:t>
      </w:r>
    </w:p>
    <w:p w14:paraId="2A42F03A">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03C30103">
      <w:pPr>
        <w:spacing w:line="360" w:lineRule="auto"/>
        <w:rPr>
          <w:rFonts w:hint="eastAsia" w:ascii="宋体" w:hAnsi="宋体" w:cs="宋体"/>
          <w:color w:val="auto"/>
          <w:sz w:val="24"/>
          <w:szCs w:val="24"/>
          <w:highlight w:val="none"/>
        </w:rPr>
      </w:pPr>
    </w:p>
    <w:p w14:paraId="17F8127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请将上述问题的澄清于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时前递交至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（详细地址）或传真至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（传真号码）。采用传真方式的，应在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时前将原件递交至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（详细地址）。</w:t>
      </w:r>
    </w:p>
    <w:p w14:paraId="46B4A9AE">
      <w:pPr>
        <w:spacing w:line="360" w:lineRule="auto"/>
        <w:rPr>
          <w:rFonts w:hint="eastAsia" w:ascii="宋体" w:hAnsi="宋体" w:cs="宋体"/>
          <w:color w:val="auto"/>
          <w:sz w:val="24"/>
          <w:szCs w:val="24"/>
          <w:highlight w:val="none"/>
        </w:rPr>
      </w:pPr>
    </w:p>
    <w:p w14:paraId="2A535904">
      <w:pPr>
        <w:spacing w:line="360" w:lineRule="auto"/>
        <w:rPr>
          <w:rFonts w:hint="eastAsia" w:ascii="宋体" w:hAnsi="宋体" w:cs="宋体"/>
          <w:color w:val="auto"/>
          <w:sz w:val="24"/>
          <w:szCs w:val="24"/>
          <w:highlight w:val="none"/>
        </w:rPr>
      </w:pPr>
    </w:p>
    <w:p w14:paraId="6895492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评标委员会授权的招标人或招标代理机构：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5C6E5891">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92F4C6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58A52E29">
      <w:pPr>
        <w:spacing w:line="360" w:lineRule="auto"/>
        <w:rPr>
          <w:rFonts w:hint="eastAsia" w:ascii="宋体" w:hAnsi="宋体" w:cs="宋体"/>
          <w:bCs/>
          <w:color w:val="auto"/>
          <w:sz w:val="28"/>
          <w:szCs w:val="28"/>
          <w:highlight w:val="none"/>
        </w:rPr>
      </w:pPr>
      <w:r>
        <w:rPr>
          <w:rFonts w:hint="eastAsia" w:ascii="宋体" w:hAnsi="宋体" w:cs="宋体"/>
          <w:color w:val="auto"/>
          <w:szCs w:val="24"/>
          <w:highlight w:val="none"/>
        </w:rPr>
        <w:br w:type="page"/>
      </w:r>
      <w:bookmarkStart w:id="1012" w:name="_Toc18238"/>
      <w:bookmarkStart w:id="1013" w:name="_Toc29892"/>
      <w:bookmarkStart w:id="1014" w:name="_Toc247527608"/>
      <w:bookmarkStart w:id="1015" w:name="_Toc485211091"/>
      <w:bookmarkStart w:id="1016" w:name="_Toc152042360"/>
      <w:bookmarkStart w:id="1017" w:name="_Toc144974550"/>
      <w:bookmarkStart w:id="1018" w:name="_Toc2612"/>
      <w:bookmarkStart w:id="1019" w:name="_Toc26015"/>
      <w:bookmarkStart w:id="1020" w:name="_Toc5410"/>
      <w:bookmarkStart w:id="1021" w:name="_Toc247514007"/>
      <w:bookmarkStart w:id="1022" w:name="_Toc4085"/>
      <w:bookmarkStart w:id="1023" w:name="_Toc21221"/>
      <w:bookmarkStart w:id="1024" w:name="_Toc152045583"/>
      <w:bookmarkStart w:id="1025" w:name="_Toc20542"/>
      <w:bookmarkStart w:id="1026" w:name="_Toc18642"/>
      <w:r>
        <w:rPr>
          <w:rFonts w:hint="eastAsia" w:ascii="宋体" w:hAnsi="宋体" w:cs="宋体"/>
          <w:b/>
          <w:bCs/>
          <w:color w:val="auto"/>
          <w:sz w:val="28"/>
          <w:szCs w:val="28"/>
          <w:highlight w:val="none"/>
        </w:rPr>
        <w:t>附件三：问题的澄清</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14:paraId="350DBDF0">
      <w:pPr>
        <w:spacing w:line="360" w:lineRule="auto"/>
        <w:jc w:val="center"/>
        <w:rPr>
          <w:rFonts w:hint="eastAsia" w:ascii="宋体" w:hAnsi="宋体" w:cs="宋体"/>
          <w:color w:val="auto"/>
          <w:sz w:val="28"/>
          <w:szCs w:val="28"/>
          <w:highlight w:val="none"/>
        </w:rPr>
      </w:pPr>
    </w:p>
    <w:p w14:paraId="6CFAD53A">
      <w:pPr>
        <w:spacing w:line="360" w:lineRule="auto"/>
        <w:jc w:val="center"/>
        <w:rPr>
          <w:rFonts w:hint="eastAsia" w:ascii="宋体" w:hAnsi="宋体" w:cs="宋体"/>
          <w:color w:val="auto"/>
          <w:sz w:val="28"/>
          <w:szCs w:val="28"/>
          <w:highlight w:val="none"/>
        </w:rPr>
      </w:pPr>
    </w:p>
    <w:p w14:paraId="79A990D6">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问题的澄清</w:t>
      </w:r>
    </w:p>
    <w:p w14:paraId="79E8DE9A">
      <w:pPr>
        <w:spacing w:line="360" w:lineRule="auto"/>
        <w:jc w:val="center"/>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编号：</w:t>
      </w:r>
      <w:r>
        <w:rPr>
          <w:rFonts w:hint="eastAsia" w:ascii="宋体" w:hAnsi="宋体" w:cs="宋体"/>
          <w:color w:val="auto"/>
          <w:sz w:val="24"/>
          <w:szCs w:val="24"/>
          <w:highlight w:val="none"/>
          <w:u w:val="single"/>
        </w:rPr>
        <w:t xml:space="preserve">                </w:t>
      </w:r>
    </w:p>
    <w:p w14:paraId="687FFCA0">
      <w:pPr>
        <w:spacing w:line="360" w:lineRule="auto"/>
        <w:rPr>
          <w:rFonts w:hint="eastAsia" w:ascii="宋体" w:hAnsi="宋体" w:cs="宋体"/>
          <w:color w:val="auto"/>
          <w:sz w:val="24"/>
          <w:szCs w:val="24"/>
          <w:highlight w:val="none"/>
          <w:u w:val="single"/>
        </w:rPr>
      </w:pPr>
    </w:p>
    <w:p w14:paraId="46BB1C35">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（项目名称）招标评标委员会：</w:t>
      </w:r>
    </w:p>
    <w:p w14:paraId="23E9E311">
      <w:pPr>
        <w:spacing w:line="360" w:lineRule="auto"/>
        <w:rPr>
          <w:rFonts w:hint="eastAsia" w:ascii="宋体" w:hAnsi="宋体" w:cs="宋体"/>
          <w:color w:val="auto"/>
          <w:sz w:val="24"/>
          <w:szCs w:val="24"/>
          <w:highlight w:val="none"/>
        </w:rPr>
      </w:pPr>
    </w:p>
    <w:p w14:paraId="26BF965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问题澄清通知（编号：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）已收悉，现澄清如下：</w:t>
      </w:r>
    </w:p>
    <w:p w14:paraId="30659B5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1.</w:t>
      </w:r>
    </w:p>
    <w:p w14:paraId="702CCBC2">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2.</w:t>
      </w:r>
    </w:p>
    <w:p w14:paraId="476744D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14:paraId="16688EE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14:paraId="31A6616B">
      <w:pPr>
        <w:spacing w:line="360" w:lineRule="auto"/>
        <w:rPr>
          <w:rFonts w:hint="eastAsia" w:ascii="宋体" w:hAnsi="宋体" w:cs="宋体"/>
          <w:color w:val="auto"/>
          <w:sz w:val="24"/>
          <w:szCs w:val="24"/>
          <w:highlight w:val="none"/>
        </w:rPr>
      </w:pPr>
    </w:p>
    <w:p w14:paraId="7CC3F596">
      <w:pPr>
        <w:spacing w:line="360" w:lineRule="auto"/>
        <w:rPr>
          <w:rFonts w:hint="eastAsia" w:ascii="宋体" w:hAnsi="宋体" w:cs="宋体"/>
          <w:color w:val="auto"/>
          <w:sz w:val="24"/>
          <w:szCs w:val="24"/>
          <w:highlight w:val="none"/>
        </w:rPr>
      </w:pPr>
    </w:p>
    <w:p w14:paraId="5D952F68">
      <w:pPr>
        <w:spacing w:line="360" w:lineRule="auto"/>
        <w:rPr>
          <w:rFonts w:hint="eastAsia" w:ascii="宋体" w:hAnsi="宋体" w:cs="宋体"/>
          <w:color w:val="auto"/>
          <w:sz w:val="24"/>
          <w:szCs w:val="24"/>
          <w:highlight w:val="none"/>
        </w:rPr>
      </w:pPr>
    </w:p>
    <w:p w14:paraId="77EEEC0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投标人：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14:paraId="22B406AE">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14:paraId="7F7B8814">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法定代表人或其委托代理人：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14:paraId="0E6C7F3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w:t>
      </w:r>
    </w:p>
    <w:p w14:paraId="23CAD913">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3550A0D5">
      <w:pPr>
        <w:spacing w:line="360" w:lineRule="auto"/>
        <w:rPr>
          <w:rFonts w:hint="eastAsia" w:ascii="宋体" w:hAnsi="宋体" w:cs="宋体"/>
          <w:bCs/>
          <w:color w:val="auto"/>
          <w:sz w:val="28"/>
          <w:szCs w:val="28"/>
          <w:highlight w:val="none"/>
        </w:rPr>
      </w:pPr>
      <w:r>
        <w:rPr>
          <w:rFonts w:hint="eastAsia" w:ascii="宋体" w:hAnsi="宋体" w:cs="宋体"/>
          <w:color w:val="auto"/>
          <w:szCs w:val="24"/>
          <w:highlight w:val="none"/>
        </w:rPr>
        <w:br w:type="page"/>
      </w:r>
      <w:bookmarkStart w:id="1027" w:name="_Toc144974551"/>
      <w:bookmarkStart w:id="1028" w:name="_Toc947"/>
      <w:bookmarkStart w:id="1029" w:name="_Toc152045584"/>
      <w:bookmarkStart w:id="1030" w:name="_Toc22580"/>
      <w:bookmarkStart w:id="1031" w:name="_Toc247527609"/>
      <w:bookmarkStart w:id="1032" w:name="_Toc26426"/>
      <w:bookmarkStart w:id="1033" w:name="_Toc15621"/>
      <w:bookmarkStart w:id="1034" w:name="_Toc247514008"/>
      <w:bookmarkStart w:id="1035" w:name="_Toc2111"/>
      <w:bookmarkStart w:id="1036" w:name="_Toc14178"/>
      <w:bookmarkStart w:id="1037" w:name="_Toc30679"/>
      <w:bookmarkStart w:id="1038" w:name="_Toc23717"/>
      <w:bookmarkStart w:id="1039" w:name="_Toc152042361"/>
      <w:bookmarkStart w:id="1040" w:name="_Toc485211092"/>
      <w:bookmarkStart w:id="1041" w:name="_Toc172"/>
      <w:r>
        <w:rPr>
          <w:rFonts w:hint="eastAsia" w:ascii="宋体" w:hAnsi="宋体" w:cs="宋体"/>
          <w:b/>
          <w:bCs/>
          <w:color w:val="auto"/>
          <w:sz w:val="28"/>
          <w:szCs w:val="28"/>
          <w:highlight w:val="none"/>
        </w:rPr>
        <w:t>附件四：中标通知书</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p>
    <w:p w14:paraId="582ED250">
      <w:pPr>
        <w:spacing w:line="360" w:lineRule="auto"/>
        <w:rPr>
          <w:rFonts w:hint="eastAsia" w:ascii="宋体" w:hAnsi="宋体" w:cs="宋体"/>
          <w:color w:val="auto"/>
          <w:szCs w:val="24"/>
          <w:highlight w:val="none"/>
        </w:rPr>
      </w:pPr>
    </w:p>
    <w:p w14:paraId="188EFF22">
      <w:pPr>
        <w:spacing w:line="360" w:lineRule="auto"/>
        <w:jc w:val="center"/>
        <w:rPr>
          <w:rFonts w:hint="eastAsia" w:ascii="宋体" w:hAnsi="宋体" w:cs="宋体"/>
          <w:color w:val="auto"/>
          <w:szCs w:val="21"/>
          <w:highlight w:val="none"/>
        </w:rPr>
      </w:pPr>
      <w:r>
        <w:rPr>
          <w:rFonts w:hint="eastAsia" w:ascii="宋体" w:hAnsi="宋体" w:cs="宋体"/>
          <w:color w:val="auto"/>
          <w:sz w:val="24"/>
          <w:szCs w:val="24"/>
          <w:highlight w:val="none"/>
        </w:rPr>
        <w:t>中标通知书采用</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cs="宋体"/>
          <w:color w:val="auto"/>
          <w:sz w:val="24"/>
          <w:szCs w:val="24"/>
          <w:highlight w:val="none"/>
        </w:rPr>
        <w:t>格式</w:t>
      </w:r>
    </w:p>
    <w:p w14:paraId="02FD2205">
      <w:pPr>
        <w:rPr>
          <w:rFonts w:hint="eastAsia" w:ascii="宋体" w:hAnsi="宋体" w:cs="宋体"/>
          <w:color w:val="auto"/>
          <w:szCs w:val="24"/>
          <w:highlight w:val="none"/>
        </w:rPr>
      </w:pPr>
      <w:r>
        <w:rPr>
          <w:rFonts w:hint="eastAsia" w:ascii="宋体" w:hAnsi="宋体" w:cs="宋体"/>
          <w:color w:val="auto"/>
          <w:szCs w:val="24"/>
          <w:highlight w:val="none"/>
        </w:rPr>
        <w:br w:type="page"/>
      </w:r>
    </w:p>
    <w:p w14:paraId="27358EFB">
      <w:pPr>
        <w:spacing w:line="360" w:lineRule="auto"/>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附件五</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rPr>
        <w:t>评标委员会成员声明</w:t>
      </w:r>
    </w:p>
    <w:p w14:paraId="6C88E29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本项目招标人  </w:t>
      </w:r>
      <w:r>
        <w:rPr>
          <w:rFonts w:hint="eastAsia" w:ascii="宋体" w:hAnsi="宋体" w:eastAsia="宋体" w:cs="宋体"/>
          <w:color w:val="auto"/>
          <w:sz w:val="24"/>
          <w:szCs w:val="24"/>
          <w:highlight w:val="none"/>
        </w:rPr>
        <w:t>：</w:t>
      </w:r>
    </w:p>
    <w:p w14:paraId="23C7CB2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本人就参与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项目的评标工作，作出郑重声明：</w:t>
      </w:r>
    </w:p>
    <w:p w14:paraId="50C2BDF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4D5E6CA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80293D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w:t>
      </w:r>
      <w:r>
        <w:rPr>
          <w:rFonts w:hint="eastAsia" w:ascii="宋体" w:hAnsi="宋体" w:cs="宋体"/>
          <w:color w:val="auto"/>
          <w:sz w:val="24"/>
          <w:szCs w:val="24"/>
          <w:highlight w:val="none"/>
          <w:lang w:val="en-US" w:eastAsia="zh-CN"/>
        </w:rPr>
        <w:t>合格的</w:t>
      </w:r>
      <w:r>
        <w:rPr>
          <w:rFonts w:hint="eastAsia" w:ascii="宋体" w:hAnsi="宋体" w:eastAsia="宋体" w:cs="宋体"/>
          <w:color w:val="auto"/>
          <w:sz w:val="24"/>
          <w:szCs w:val="24"/>
          <w:highlight w:val="none"/>
        </w:rPr>
        <w:t>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CAC98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BD4B72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5D0707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如果本人违反上述声明内容，造成的后果由本人自行承担。</w:t>
      </w:r>
    </w:p>
    <w:p w14:paraId="1955D6B3">
      <w:pPr>
        <w:spacing w:line="360" w:lineRule="auto"/>
        <w:ind w:firstLine="480" w:firstLineChars="200"/>
        <w:rPr>
          <w:rFonts w:hint="eastAsia" w:ascii="宋体" w:hAnsi="宋体" w:eastAsia="宋体" w:cs="宋体"/>
          <w:color w:val="auto"/>
          <w:sz w:val="24"/>
          <w:szCs w:val="24"/>
          <w:highlight w:val="none"/>
        </w:rPr>
      </w:pPr>
    </w:p>
    <w:p w14:paraId="297187AB">
      <w:pPr>
        <w:spacing w:line="360" w:lineRule="auto"/>
        <w:ind w:firstLine="480" w:firstLineChars="200"/>
        <w:rPr>
          <w:rFonts w:hint="eastAsia"/>
          <w:color w:val="auto"/>
          <w:highlight w:val="none"/>
        </w:rPr>
      </w:pPr>
      <w:r>
        <w:rPr>
          <w:rFonts w:hint="eastAsia" w:ascii="宋体" w:hAnsi="宋体" w:eastAsia="宋体" w:cs="宋体"/>
          <w:color w:val="auto"/>
          <w:sz w:val="24"/>
          <w:szCs w:val="24"/>
          <w:highlight w:val="none"/>
        </w:rPr>
        <w:t xml:space="preserve">                             声明人：</w:t>
      </w:r>
      <w:r>
        <w:rPr>
          <w:rFonts w:hint="eastAsia" w:ascii="宋体" w:hAnsi="宋体" w:eastAsia="宋体" w:cs="宋体"/>
          <w:color w:val="auto"/>
          <w:sz w:val="24"/>
          <w:szCs w:val="24"/>
          <w:highlight w:val="none"/>
          <w:u w:val="single"/>
        </w:rPr>
        <w:t xml:space="preserve">（签名）  </w:t>
      </w:r>
      <w:r>
        <w:rPr>
          <w:rFonts w:hint="eastAsia"/>
          <w:color w:val="auto"/>
          <w:highlight w:val="none"/>
        </w:rPr>
        <w:br w:type="page"/>
      </w:r>
    </w:p>
    <w:p w14:paraId="5C23D1E0">
      <w:pPr>
        <w:pStyle w:val="10"/>
        <w:rPr>
          <w:rFonts w:hint="eastAsia"/>
          <w:color w:val="auto"/>
          <w:highlight w:val="none"/>
        </w:rPr>
        <w:sectPr>
          <w:pgSz w:w="11905" w:h="16838"/>
          <w:pgMar w:top="1440" w:right="1080" w:bottom="1440" w:left="1080" w:header="567" w:footer="850" w:gutter="0"/>
          <w:cols w:space="720" w:num="1"/>
          <w:docGrid w:linePitch="312" w:charSpace="0"/>
        </w:sectPr>
      </w:pPr>
    </w:p>
    <w:p w14:paraId="6DC0956C">
      <w:pPr>
        <w:pStyle w:val="2"/>
        <w:spacing w:before="0" w:after="0" w:line="360" w:lineRule="auto"/>
        <w:rPr>
          <w:rFonts w:hint="eastAsia" w:ascii="宋体" w:hAnsi="宋体" w:cs="宋体"/>
          <w:b/>
          <w:bCs w:val="0"/>
          <w:color w:val="auto"/>
          <w:sz w:val="32"/>
          <w:szCs w:val="32"/>
          <w:highlight w:val="none"/>
        </w:rPr>
      </w:pPr>
      <w:bookmarkStart w:id="1042" w:name="_Toc152045598"/>
      <w:bookmarkStart w:id="1043" w:name="_Toc16297"/>
      <w:bookmarkStart w:id="1044" w:name="_Toc247514022"/>
      <w:bookmarkStart w:id="1045" w:name="_Toc152042375"/>
      <w:bookmarkStart w:id="1046" w:name="_Toc5899"/>
      <w:bookmarkStart w:id="1047" w:name="_Toc14000"/>
      <w:bookmarkStart w:id="1048" w:name="_Toc5053"/>
      <w:bookmarkStart w:id="1049" w:name="_Toc247527623"/>
      <w:bookmarkStart w:id="1050" w:name="_Toc485211093"/>
      <w:bookmarkStart w:id="1051" w:name="_Toc32048"/>
      <w:bookmarkStart w:id="1052" w:name="_Toc24996"/>
      <w:bookmarkStart w:id="1053" w:name="_Toc144974565"/>
      <w:bookmarkStart w:id="1054" w:name="_Toc13679"/>
      <w:bookmarkStart w:id="1055" w:name="_Toc354847399"/>
      <w:r>
        <w:rPr>
          <w:rFonts w:hint="eastAsia" w:ascii="宋体" w:hAnsi="宋体" w:cs="宋体"/>
          <w:b/>
          <w:bCs w:val="0"/>
          <w:color w:val="auto"/>
          <w:sz w:val="32"/>
          <w:szCs w:val="32"/>
          <w:highlight w:val="none"/>
        </w:rPr>
        <w:t>第二章 评标和定标办法</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Start w:id="1056" w:name="_Toc152042376"/>
      <w:bookmarkStart w:id="1057" w:name="_Toc144974566"/>
      <w:bookmarkStart w:id="1058" w:name="_Toc247527624"/>
      <w:bookmarkStart w:id="1059" w:name="_Toc247514023"/>
      <w:bookmarkStart w:id="1060" w:name="_Toc152045599"/>
      <w:r>
        <w:rPr>
          <w:rFonts w:hint="eastAsia" w:ascii="宋体" w:hAnsi="宋体" w:cs="宋体"/>
          <w:b/>
          <w:bCs w:val="0"/>
          <w:color w:val="auto"/>
          <w:sz w:val="32"/>
          <w:szCs w:val="32"/>
          <w:highlight w:val="none"/>
        </w:rPr>
        <w:t>（通过制评审法）</w:t>
      </w:r>
    </w:p>
    <w:bookmarkEnd w:id="1056"/>
    <w:bookmarkEnd w:id="1057"/>
    <w:bookmarkEnd w:id="1058"/>
    <w:bookmarkEnd w:id="1059"/>
    <w:bookmarkEnd w:id="1060"/>
    <w:p w14:paraId="1B8417FC">
      <w:pPr>
        <w:keepNext/>
        <w:keepLines/>
        <w:spacing w:line="360" w:lineRule="auto"/>
        <w:jc w:val="center"/>
        <w:outlineLvl w:val="1"/>
        <w:rPr>
          <w:rFonts w:hint="eastAsia" w:ascii="宋体" w:hAnsi="宋体" w:cs="宋体"/>
          <w:b/>
          <w:bCs/>
          <w:color w:val="auto"/>
          <w:sz w:val="28"/>
          <w:szCs w:val="28"/>
          <w:highlight w:val="none"/>
        </w:rPr>
      </w:pPr>
      <w:bookmarkStart w:id="1061" w:name="_Toc436834184"/>
      <w:bookmarkStart w:id="1062" w:name="_Toc24145"/>
      <w:bookmarkStart w:id="1063" w:name="_Toc3267"/>
      <w:bookmarkStart w:id="1064" w:name="_Toc485211094"/>
      <w:bookmarkStart w:id="1065" w:name="_Toc29441"/>
      <w:bookmarkStart w:id="1066" w:name="_Toc25722"/>
      <w:bookmarkStart w:id="1067" w:name="_Toc26731"/>
      <w:bookmarkStart w:id="1068" w:name="_Toc300835009"/>
      <w:bookmarkStart w:id="1069" w:name="_Toc30443"/>
      <w:bookmarkStart w:id="1070" w:name="_Toc19639"/>
      <w:bookmarkStart w:id="1071" w:name="_Toc436834777"/>
      <w:bookmarkStart w:id="1072" w:name="_Toc26598"/>
      <w:bookmarkStart w:id="1073" w:name="_Toc399165430"/>
      <w:bookmarkStart w:id="1074" w:name="_Toc17809"/>
      <w:bookmarkStart w:id="1075" w:name="_Toc28730"/>
      <w:r>
        <w:rPr>
          <w:rFonts w:hint="eastAsia" w:ascii="宋体" w:hAnsi="宋体" w:cs="宋体"/>
          <w:b/>
          <w:bCs/>
          <w:color w:val="auto"/>
          <w:sz w:val="24"/>
          <w:szCs w:val="24"/>
          <w:highlight w:val="none"/>
        </w:rPr>
        <w:t>评标和定标办法前附表</w:t>
      </w:r>
    </w:p>
    <w:tbl>
      <w:tblPr>
        <w:tblStyle w:val="17"/>
        <w:tblW w:w="893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074"/>
        <w:gridCol w:w="1779"/>
        <w:gridCol w:w="27"/>
        <w:gridCol w:w="5228"/>
      </w:tblGrid>
      <w:tr w14:paraId="2500A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1902" w:type="dxa"/>
            <w:gridSpan w:val="2"/>
            <w:tcBorders>
              <w:top w:val="single" w:color="auto" w:sz="4" w:space="0"/>
              <w:left w:val="single" w:color="auto" w:sz="4" w:space="0"/>
              <w:bottom w:val="single" w:color="auto" w:sz="4" w:space="0"/>
              <w:right w:val="single" w:color="auto" w:sz="4" w:space="0"/>
            </w:tcBorders>
            <w:vAlign w:val="center"/>
          </w:tcPr>
          <w:p w14:paraId="0CF8B39A">
            <w:pPr>
              <w:widowControl/>
              <w:spacing w:line="360" w:lineRule="auto"/>
              <w:jc w:val="left"/>
              <w:rPr>
                <w:rFonts w:hint="eastAsia" w:ascii="宋体" w:hAnsi="宋体" w:cs="宋体"/>
                <w:b/>
                <w:color w:val="auto"/>
                <w:szCs w:val="24"/>
                <w:highlight w:val="none"/>
              </w:rPr>
            </w:pPr>
            <w:r>
              <w:rPr>
                <w:rFonts w:hint="eastAsia" w:ascii="宋体" w:hAnsi="宋体" w:cs="宋体"/>
                <w:b/>
                <w:color w:val="auto"/>
                <w:szCs w:val="24"/>
                <w:highlight w:val="none"/>
              </w:rPr>
              <w:t>条款号</w:t>
            </w: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47938F41">
            <w:pPr>
              <w:widowControl/>
              <w:spacing w:line="360" w:lineRule="auto"/>
              <w:jc w:val="left"/>
              <w:rPr>
                <w:rFonts w:hint="eastAsia" w:ascii="宋体" w:hAnsi="宋体" w:cs="宋体"/>
                <w:b/>
                <w:color w:val="auto"/>
                <w:szCs w:val="24"/>
                <w:highlight w:val="none"/>
              </w:rPr>
            </w:pPr>
            <w:r>
              <w:rPr>
                <w:rFonts w:hint="eastAsia" w:ascii="宋体" w:hAnsi="宋体" w:cs="宋体"/>
                <w:b/>
                <w:color w:val="auto"/>
                <w:szCs w:val="24"/>
                <w:highlight w:val="none"/>
              </w:rPr>
              <w:t>评审因素</w:t>
            </w:r>
          </w:p>
        </w:tc>
        <w:tc>
          <w:tcPr>
            <w:tcW w:w="5228" w:type="dxa"/>
            <w:tcBorders>
              <w:top w:val="single" w:color="auto" w:sz="4" w:space="0"/>
              <w:left w:val="single" w:color="auto" w:sz="4" w:space="0"/>
              <w:bottom w:val="single" w:color="auto" w:sz="4" w:space="0"/>
              <w:right w:val="single" w:color="auto" w:sz="4" w:space="0"/>
            </w:tcBorders>
            <w:vAlign w:val="center"/>
          </w:tcPr>
          <w:p w14:paraId="1216611A">
            <w:pPr>
              <w:widowControl/>
              <w:spacing w:line="360" w:lineRule="auto"/>
              <w:jc w:val="left"/>
              <w:rPr>
                <w:rFonts w:hint="eastAsia" w:ascii="宋体" w:hAnsi="宋体" w:cs="宋体"/>
                <w:b/>
                <w:color w:val="auto"/>
                <w:szCs w:val="24"/>
                <w:highlight w:val="none"/>
              </w:rPr>
            </w:pPr>
            <w:r>
              <w:rPr>
                <w:rFonts w:hint="eastAsia" w:ascii="宋体" w:hAnsi="宋体" w:cs="宋体"/>
                <w:b/>
                <w:color w:val="auto"/>
                <w:szCs w:val="24"/>
                <w:highlight w:val="none"/>
              </w:rPr>
              <w:t>评审标准</w:t>
            </w:r>
          </w:p>
        </w:tc>
      </w:tr>
      <w:tr w14:paraId="0338A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restart"/>
            <w:tcBorders>
              <w:top w:val="single" w:color="auto" w:sz="4" w:space="0"/>
              <w:left w:val="single" w:color="auto" w:sz="4" w:space="0"/>
              <w:bottom w:val="single" w:color="auto" w:sz="4" w:space="0"/>
              <w:right w:val="single" w:color="auto" w:sz="4" w:space="0"/>
            </w:tcBorders>
            <w:vAlign w:val="center"/>
          </w:tcPr>
          <w:p w14:paraId="4A686F4C">
            <w:pPr>
              <w:widowControl/>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2.1.1</w:t>
            </w:r>
          </w:p>
        </w:tc>
        <w:tc>
          <w:tcPr>
            <w:tcW w:w="1074" w:type="dxa"/>
            <w:vMerge w:val="restart"/>
            <w:tcBorders>
              <w:top w:val="single" w:color="auto" w:sz="4" w:space="0"/>
              <w:left w:val="nil"/>
              <w:bottom w:val="single" w:color="auto" w:sz="4" w:space="0"/>
              <w:right w:val="single" w:color="auto" w:sz="4" w:space="0"/>
            </w:tcBorders>
            <w:vAlign w:val="center"/>
          </w:tcPr>
          <w:p w14:paraId="4FF52CC1">
            <w:pPr>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形式评审标准</w:t>
            </w: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7CC2CD22">
            <w:pPr>
              <w:widowControl/>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投标人名称</w:t>
            </w:r>
          </w:p>
        </w:tc>
        <w:tc>
          <w:tcPr>
            <w:tcW w:w="5228" w:type="dxa"/>
            <w:tcBorders>
              <w:top w:val="single" w:color="auto" w:sz="4" w:space="0"/>
              <w:left w:val="single" w:color="auto" w:sz="4" w:space="0"/>
              <w:bottom w:val="single" w:color="auto" w:sz="4" w:space="0"/>
              <w:right w:val="single" w:color="auto" w:sz="4" w:space="0"/>
            </w:tcBorders>
            <w:vAlign w:val="center"/>
          </w:tcPr>
          <w:p w14:paraId="58B3C8C4">
            <w:pPr>
              <w:widowControl/>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与营业执照</w:t>
            </w:r>
            <w:r>
              <w:rPr>
                <w:rFonts w:hint="eastAsia" w:ascii="宋体" w:hAnsi="宋体" w:cs="宋体"/>
                <w:color w:val="auto"/>
                <w:szCs w:val="24"/>
                <w:highlight w:val="none"/>
                <w:u w:val="single"/>
              </w:rPr>
              <w:t>或各级政府事业单位登记管理机关颁发的事业单位法人证书</w:t>
            </w:r>
            <w:r>
              <w:rPr>
                <w:rFonts w:hint="eastAsia" w:ascii="宋体" w:hAnsi="宋体" w:cs="宋体"/>
                <w:color w:val="auto"/>
                <w:szCs w:val="24"/>
                <w:highlight w:val="none"/>
              </w:rPr>
              <w:t>、资质证书一致</w:t>
            </w:r>
          </w:p>
        </w:tc>
      </w:tr>
      <w:tr w14:paraId="0A7392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06317348">
            <w:pPr>
              <w:widowControl/>
              <w:spacing w:line="360" w:lineRule="auto"/>
              <w:jc w:val="left"/>
              <w:rPr>
                <w:rFonts w:ascii="宋体" w:hAnsi="宋体" w:cs="宋体"/>
                <w:color w:val="auto"/>
                <w:szCs w:val="24"/>
                <w:highlight w:val="none"/>
              </w:rPr>
            </w:pPr>
          </w:p>
        </w:tc>
        <w:tc>
          <w:tcPr>
            <w:tcW w:w="1074" w:type="dxa"/>
            <w:vMerge w:val="continue"/>
            <w:tcBorders>
              <w:top w:val="single" w:color="auto" w:sz="4" w:space="0"/>
              <w:left w:val="nil"/>
              <w:bottom w:val="single" w:color="auto" w:sz="4" w:space="0"/>
              <w:right w:val="single" w:color="auto" w:sz="4" w:space="0"/>
            </w:tcBorders>
            <w:vAlign w:val="center"/>
          </w:tcPr>
          <w:p w14:paraId="74D5394E">
            <w:pPr>
              <w:widowControl/>
              <w:spacing w:line="360" w:lineRule="auto"/>
              <w:jc w:val="center"/>
              <w:rPr>
                <w:rFonts w:ascii="宋体" w:hAnsi="宋体" w:cs="宋体"/>
                <w:color w:val="auto"/>
                <w:szCs w:val="24"/>
                <w:highlight w:val="none"/>
              </w:rPr>
            </w:pP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474F332B">
            <w:pPr>
              <w:widowControl/>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法定代表人证明及授权</w:t>
            </w:r>
          </w:p>
        </w:tc>
        <w:tc>
          <w:tcPr>
            <w:tcW w:w="5228" w:type="dxa"/>
            <w:tcBorders>
              <w:top w:val="single" w:color="auto" w:sz="4" w:space="0"/>
              <w:left w:val="single" w:color="auto" w:sz="4" w:space="0"/>
              <w:bottom w:val="single" w:color="auto" w:sz="4" w:space="0"/>
              <w:right w:val="single" w:color="auto" w:sz="4" w:space="0"/>
            </w:tcBorders>
            <w:vAlign w:val="center"/>
          </w:tcPr>
          <w:p w14:paraId="72C0F905">
            <w:pPr>
              <w:widowControl/>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投标文件中有有效的法定代表人证明书，或由委托代理人签字或盖章的投标文件中有法定代表人证明书和授权委托证明书</w:t>
            </w:r>
          </w:p>
        </w:tc>
      </w:tr>
      <w:tr w14:paraId="434EB0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8"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7C51232B">
            <w:pPr>
              <w:widowControl/>
              <w:spacing w:line="360" w:lineRule="auto"/>
              <w:jc w:val="left"/>
              <w:rPr>
                <w:rFonts w:ascii="宋体" w:hAnsi="宋体" w:cs="宋体"/>
                <w:color w:val="auto"/>
                <w:szCs w:val="24"/>
                <w:highlight w:val="none"/>
              </w:rPr>
            </w:pPr>
          </w:p>
        </w:tc>
        <w:tc>
          <w:tcPr>
            <w:tcW w:w="1074" w:type="dxa"/>
            <w:vMerge w:val="continue"/>
            <w:tcBorders>
              <w:top w:val="single" w:color="auto" w:sz="4" w:space="0"/>
              <w:left w:val="nil"/>
              <w:bottom w:val="single" w:color="auto" w:sz="4" w:space="0"/>
              <w:right w:val="single" w:color="auto" w:sz="4" w:space="0"/>
            </w:tcBorders>
            <w:vAlign w:val="center"/>
          </w:tcPr>
          <w:p w14:paraId="38972E97">
            <w:pPr>
              <w:widowControl/>
              <w:spacing w:line="360" w:lineRule="auto"/>
              <w:jc w:val="center"/>
              <w:rPr>
                <w:rFonts w:ascii="宋体" w:hAnsi="宋体" w:cs="宋体"/>
                <w:color w:val="auto"/>
                <w:szCs w:val="24"/>
                <w:highlight w:val="none"/>
              </w:rPr>
            </w:pP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6C4F1776">
            <w:pPr>
              <w:widowControl/>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投标文件格式</w:t>
            </w:r>
          </w:p>
        </w:tc>
        <w:tc>
          <w:tcPr>
            <w:tcW w:w="5228" w:type="dxa"/>
            <w:tcBorders>
              <w:top w:val="single" w:color="auto" w:sz="4" w:space="0"/>
              <w:left w:val="single" w:color="auto" w:sz="4" w:space="0"/>
              <w:bottom w:val="single" w:color="auto" w:sz="4" w:space="0"/>
              <w:right w:val="single" w:color="auto" w:sz="4" w:space="0"/>
            </w:tcBorders>
            <w:vAlign w:val="center"/>
          </w:tcPr>
          <w:p w14:paraId="4E447CF5">
            <w:pPr>
              <w:widowControl/>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符合第六章“投标文件格式”的要求</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格式二、格式三、格式五、格式六、格式八</w:t>
            </w:r>
            <w:r>
              <w:rPr>
                <w:rFonts w:hint="eastAsia" w:ascii="宋体" w:hAnsi="宋体" w:cs="宋体"/>
                <w:color w:val="auto"/>
                <w:szCs w:val="24"/>
                <w:highlight w:val="none"/>
                <w:lang w:eastAsia="zh-CN"/>
              </w:rPr>
              <w:t>）</w:t>
            </w:r>
          </w:p>
        </w:tc>
      </w:tr>
      <w:tr w14:paraId="7A51D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76B8ED02">
            <w:pPr>
              <w:widowControl/>
              <w:spacing w:line="360" w:lineRule="auto"/>
              <w:jc w:val="left"/>
              <w:rPr>
                <w:rFonts w:ascii="宋体" w:hAnsi="宋体" w:cs="宋体"/>
                <w:color w:val="auto"/>
                <w:szCs w:val="24"/>
                <w:highlight w:val="none"/>
              </w:rPr>
            </w:pPr>
          </w:p>
        </w:tc>
        <w:tc>
          <w:tcPr>
            <w:tcW w:w="1074" w:type="dxa"/>
            <w:vMerge w:val="continue"/>
            <w:tcBorders>
              <w:top w:val="single" w:color="auto" w:sz="4" w:space="0"/>
              <w:left w:val="nil"/>
              <w:bottom w:val="single" w:color="auto" w:sz="4" w:space="0"/>
              <w:right w:val="single" w:color="auto" w:sz="4" w:space="0"/>
            </w:tcBorders>
            <w:vAlign w:val="center"/>
          </w:tcPr>
          <w:p w14:paraId="0553146E">
            <w:pPr>
              <w:widowControl/>
              <w:spacing w:line="360" w:lineRule="auto"/>
              <w:jc w:val="center"/>
              <w:rPr>
                <w:rFonts w:ascii="宋体" w:hAnsi="宋体" w:cs="宋体"/>
                <w:color w:val="auto"/>
                <w:szCs w:val="24"/>
                <w:highlight w:val="none"/>
              </w:rPr>
            </w:pP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3E67D0E2">
            <w:pPr>
              <w:widowControl/>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机器特征码</w:t>
            </w:r>
          </w:p>
        </w:tc>
        <w:tc>
          <w:tcPr>
            <w:tcW w:w="5228" w:type="dxa"/>
            <w:tcBorders>
              <w:top w:val="single" w:color="auto" w:sz="4" w:space="0"/>
              <w:left w:val="single" w:color="auto" w:sz="4" w:space="0"/>
              <w:bottom w:val="single" w:color="auto" w:sz="4" w:space="0"/>
              <w:right w:val="single" w:color="auto" w:sz="4" w:space="0"/>
            </w:tcBorders>
            <w:vAlign w:val="center"/>
          </w:tcPr>
          <w:p w14:paraId="02C27DA5">
            <w:pPr>
              <w:widowControl/>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不存在投标人与本项目其他投标人加密打包投标文件电脑机器特征码一致的(以</w:t>
            </w:r>
            <w:r>
              <w:rPr>
                <w:rFonts w:hint="eastAsia" w:ascii="宋体" w:hAnsi="宋体" w:cs="宋体"/>
                <w:color w:val="auto"/>
                <w:szCs w:val="24"/>
                <w:highlight w:val="none"/>
                <w:lang w:eastAsia="zh-CN"/>
              </w:rPr>
              <w:t>广州交易集团有限公司（广州公共资源交易中心）</w:t>
            </w:r>
            <w:r>
              <w:rPr>
                <w:rFonts w:hint="eastAsia" w:ascii="宋体" w:hAnsi="宋体" w:cs="宋体"/>
                <w:color w:val="auto"/>
                <w:szCs w:val="24"/>
                <w:highlight w:val="none"/>
              </w:rPr>
              <w:t>交易平台评标系统的检索信息为准)</w:t>
            </w:r>
          </w:p>
        </w:tc>
      </w:tr>
      <w:tr w14:paraId="79D9C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14:paraId="0E3FDCB7">
            <w:pPr>
              <w:widowControl/>
              <w:spacing w:line="360" w:lineRule="auto"/>
              <w:jc w:val="left"/>
              <w:rPr>
                <w:rFonts w:ascii="宋体" w:hAnsi="宋体" w:cs="宋体"/>
                <w:color w:val="auto"/>
                <w:szCs w:val="24"/>
                <w:highlight w:val="none"/>
              </w:rPr>
            </w:pPr>
          </w:p>
        </w:tc>
        <w:tc>
          <w:tcPr>
            <w:tcW w:w="1074" w:type="dxa"/>
            <w:vMerge w:val="continue"/>
            <w:tcBorders>
              <w:top w:val="single" w:color="auto" w:sz="4" w:space="0"/>
              <w:left w:val="nil"/>
              <w:bottom w:val="single" w:color="auto" w:sz="4" w:space="0"/>
              <w:right w:val="single" w:color="auto" w:sz="4" w:space="0"/>
            </w:tcBorders>
            <w:vAlign w:val="center"/>
          </w:tcPr>
          <w:p w14:paraId="6A3C1569">
            <w:pPr>
              <w:widowControl/>
              <w:spacing w:line="360" w:lineRule="auto"/>
              <w:jc w:val="center"/>
              <w:rPr>
                <w:rFonts w:ascii="宋体" w:hAnsi="宋体" w:cs="宋体"/>
                <w:color w:val="auto"/>
                <w:szCs w:val="24"/>
                <w:highlight w:val="none"/>
              </w:rPr>
            </w:pPr>
          </w:p>
        </w:tc>
        <w:tc>
          <w:tcPr>
            <w:tcW w:w="1806" w:type="dxa"/>
            <w:gridSpan w:val="2"/>
            <w:tcBorders>
              <w:top w:val="single" w:color="auto" w:sz="4" w:space="0"/>
              <w:left w:val="single" w:color="auto" w:sz="4" w:space="0"/>
              <w:bottom w:val="single" w:color="auto" w:sz="4" w:space="0"/>
              <w:right w:val="single" w:color="auto" w:sz="4" w:space="0"/>
            </w:tcBorders>
            <w:vAlign w:val="center"/>
          </w:tcPr>
          <w:p w14:paraId="3E36851C">
            <w:pPr>
              <w:widowControl/>
              <w:spacing w:line="360" w:lineRule="auto"/>
              <w:jc w:val="left"/>
              <w:rPr>
                <w:rFonts w:hint="eastAsia" w:ascii="宋体" w:hAnsi="宋体" w:cs="宋体"/>
                <w:color w:val="auto"/>
                <w:szCs w:val="24"/>
                <w:highlight w:val="none"/>
                <w:u w:val="single"/>
              </w:rPr>
            </w:pPr>
            <w:r>
              <w:rPr>
                <w:rFonts w:hint="eastAsia" w:ascii="宋体" w:hAnsi="宋体" w:cs="宋体"/>
                <w:color w:val="auto"/>
                <w:szCs w:val="24"/>
                <w:highlight w:val="none"/>
                <w:u w:val="single"/>
              </w:rPr>
              <w:t>备选投标方案</w:t>
            </w:r>
          </w:p>
        </w:tc>
        <w:tc>
          <w:tcPr>
            <w:tcW w:w="5228" w:type="dxa"/>
            <w:tcBorders>
              <w:top w:val="single" w:color="auto" w:sz="4" w:space="0"/>
              <w:left w:val="single" w:color="auto" w:sz="4" w:space="0"/>
              <w:bottom w:val="single" w:color="auto" w:sz="4" w:space="0"/>
              <w:right w:val="single" w:color="auto" w:sz="4" w:space="0"/>
            </w:tcBorders>
            <w:vAlign w:val="center"/>
          </w:tcPr>
          <w:p w14:paraId="725F67E6">
            <w:pPr>
              <w:widowControl/>
              <w:spacing w:line="360" w:lineRule="auto"/>
              <w:jc w:val="left"/>
              <w:rPr>
                <w:rFonts w:hint="eastAsia" w:ascii="宋体" w:hAnsi="宋体" w:cs="宋体"/>
                <w:color w:val="auto"/>
                <w:szCs w:val="24"/>
                <w:highlight w:val="none"/>
                <w:u w:val="single"/>
              </w:rPr>
            </w:pPr>
            <w:r>
              <w:rPr>
                <w:rFonts w:hint="eastAsia" w:ascii="宋体" w:hAnsi="宋体" w:cs="宋体"/>
                <w:color w:val="auto"/>
                <w:szCs w:val="24"/>
                <w:highlight w:val="none"/>
                <w:u w:val="single"/>
              </w:rPr>
              <w:t>不允许</w:t>
            </w:r>
          </w:p>
        </w:tc>
      </w:tr>
      <w:tr w14:paraId="23B37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828" w:type="dxa"/>
            <w:tcBorders>
              <w:top w:val="single" w:color="auto" w:sz="4" w:space="0"/>
              <w:left w:val="single" w:color="auto" w:sz="4" w:space="0"/>
              <w:bottom w:val="single" w:color="auto" w:sz="4" w:space="0"/>
              <w:right w:val="single" w:color="auto" w:sz="4" w:space="0"/>
            </w:tcBorders>
            <w:vAlign w:val="center"/>
          </w:tcPr>
          <w:p w14:paraId="0A72BB03">
            <w:pPr>
              <w:widowControl/>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2.1.2</w:t>
            </w:r>
          </w:p>
        </w:tc>
        <w:tc>
          <w:tcPr>
            <w:tcW w:w="1074" w:type="dxa"/>
            <w:tcBorders>
              <w:top w:val="single" w:color="auto" w:sz="4" w:space="0"/>
              <w:left w:val="nil"/>
              <w:bottom w:val="single" w:color="auto" w:sz="4" w:space="0"/>
              <w:right w:val="single" w:color="auto" w:sz="4" w:space="0"/>
            </w:tcBorders>
            <w:vAlign w:val="center"/>
          </w:tcPr>
          <w:p w14:paraId="663F7462">
            <w:pPr>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lang w:eastAsia="zh-CN"/>
              </w:rPr>
              <w:t>资格审查</w:t>
            </w:r>
            <w:r>
              <w:rPr>
                <w:rFonts w:hint="eastAsia" w:ascii="宋体" w:hAnsi="宋体" w:cs="宋体"/>
                <w:color w:val="auto"/>
                <w:szCs w:val="24"/>
                <w:highlight w:val="none"/>
              </w:rPr>
              <w:t>标准</w:t>
            </w:r>
          </w:p>
        </w:tc>
        <w:tc>
          <w:tcPr>
            <w:tcW w:w="7034" w:type="dxa"/>
            <w:gridSpan w:val="3"/>
            <w:tcBorders>
              <w:top w:val="single" w:color="auto" w:sz="4" w:space="0"/>
              <w:left w:val="single" w:color="auto" w:sz="4" w:space="0"/>
              <w:bottom w:val="single" w:color="auto" w:sz="4" w:space="0"/>
              <w:right w:val="single" w:color="auto" w:sz="4" w:space="0"/>
            </w:tcBorders>
            <w:vAlign w:val="center"/>
          </w:tcPr>
          <w:p w14:paraId="63D0E3D0">
            <w:pPr>
              <w:widowControl/>
              <w:spacing w:line="360" w:lineRule="auto"/>
              <w:jc w:val="left"/>
              <w:rPr>
                <w:rFonts w:hint="eastAsia" w:ascii="宋体" w:hAnsi="宋体" w:cs="宋体"/>
                <w:color w:val="auto"/>
                <w:szCs w:val="24"/>
                <w:highlight w:val="none"/>
                <w:u w:val="single"/>
              </w:rPr>
            </w:pPr>
            <w:r>
              <w:rPr>
                <w:rFonts w:hint="eastAsia" w:ascii="宋体" w:hAnsi="宋体" w:cs="宋体"/>
                <w:color w:val="auto"/>
                <w:szCs w:val="24"/>
                <w:highlight w:val="none"/>
              </w:rPr>
              <w:t>详见附表1《资格审查评审表》</w:t>
            </w:r>
          </w:p>
        </w:tc>
      </w:tr>
      <w:tr w14:paraId="3873A7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8" w:type="dxa"/>
            <w:vMerge w:val="restart"/>
            <w:tcBorders>
              <w:top w:val="single" w:color="auto" w:sz="4" w:space="0"/>
              <w:left w:val="single" w:color="auto" w:sz="4" w:space="0"/>
              <w:right w:val="single" w:color="auto" w:sz="4" w:space="0"/>
            </w:tcBorders>
            <w:vAlign w:val="center"/>
          </w:tcPr>
          <w:p w14:paraId="06007575">
            <w:pPr>
              <w:widowControl/>
              <w:spacing w:line="360" w:lineRule="auto"/>
              <w:jc w:val="left"/>
              <w:rPr>
                <w:rFonts w:hint="eastAsia" w:ascii="宋体" w:hAnsi="宋体" w:cs="宋体"/>
                <w:color w:val="auto"/>
                <w:szCs w:val="24"/>
                <w:highlight w:val="none"/>
              </w:rPr>
            </w:pPr>
            <w:r>
              <w:rPr>
                <w:rFonts w:hint="eastAsia" w:ascii="宋体" w:hAnsi="宋体" w:cs="宋体"/>
                <w:color w:val="auto"/>
                <w:szCs w:val="24"/>
                <w:highlight w:val="none"/>
              </w:rPr>
              <w:t>2.1.3</w:t>
            </w:r>
          </w:p>
        </w:tc>
        <w:tc>
          <w:tcPr>
            <w:tcW w:w="1074" w:type="dxa"/>
            <w:vMerge w:val="restart"/>
            <w:tcBorders>
              <w:top w:val="single" w:color="auto" w:sz="4" w:space="0"/>
              <w:left w:val="single" w:color="auto" w:sz="4" w:space="0"/>
              <w:right w:val="single" w:color="auto" w:sz="4" w:space="0"/>
            </w:tcBorders>
            <w:vAlign w:val="center"/>
          </w:tcPr>
          <w:p w14:paraId="0E9AAEEC">
            <w:pPr>
              <w:widowControl/>
              <w:spacing w:line="360" w:lineRule="auto"/>
              <w:jc w:val="center"/>
              <w:rPr>
                <w:rFonts w:hint="eastAsia" w:ascii="宋体" w:hAnsi="宋体" w:cs="宋体"/>
                <w:color w:val="auto"/>
                <w:szCs w:val="24"/>
                <w:highlight w:val="none"/>
              </w:rPr>
            </w:pPr>
            <w:r>
              <w:rPr>
                <w:rFonts w:hint="eastAsia" w:ascii="宋体" w:hAnsi="宋体" w:cs="宋体"/>
                <w:color w:val="auto"/>
                <w:szCs w:val="24"/>
                <w:highlight w:val="none"/>
              </w:rPr>
              <w:t>工程总承包实施方案响应性评审标准</w:t>
            </w:r>
          </w:p>
        </w:tc>
        <w:tc>
          <w:tcPr>
            <w:tcW w:w="1779" w:type="dxa"/>
            <w:tcBorders>
              <w:top w:val="single" w:color="auto" w:sz="4" w:space="0"/>
              <w:left w:val="single" w:color="auto" w:sz="4" w:space="0"/>
              <w:bottom w:val="single" w:color="auto" w:sz="4" w:space="0"/>
              <w:right w:val="single" w:color="auto" w:sz="4" w:space="0"/>
            </w:tcBorders>
            <w:vAlign w:val="center"/>
          </w:tcPr>
          <w:p w14:paraId="2B380A07">
            <w:pPr>
              <w:spacing w:line="360" w:lineRule="auto"/>
              <w:jc w:val="center"/>
              <w:rPr>
                <w:rFonts w:hint="eastAsia" w:ascii="宋体" w:hAnsi="宋体" w:cs="宋体"/>
                <w:color w:val="auto"/>
                <w:szCs w:val="24"/>
                <w:highlight w:val="none"/>
              </w:rPr>
            </w:pPr>
            <w:r>
              <w:rPr>
                <w:rFonts w:hint="eastAsia" w:ascii="宋体" w:hAnsi="宋体" w:cs="宋体"/>
                <w:bCs/>
                <w:color w:val="auto"/>
                <w:szCs w:val="21"/>
                <w:highlight w:val="none"/>
              </w:rPr>
              <w:t>投标报价</w:t>
            </w:r>
          </w:p>
        </w:tc>
        <w:tc>
          <w:tcPr>
            <w:tcW w:w="52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BAB0AB">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cs="宋体"/>
                <w:color w:val="auto"/>
                <w:szCs w:val="24"/>
                <w:highlight w:val="none"/>
              </w:rPr>
              <w:t>只能有一个有效报价</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且</w:t>
            </w:r>
            <w:r>
              <w:rPr>
                <w:rFonts w:hint="eastAsia" w:ascii="宋体" w:hAnsi="宋体" w:cs="宋体"/>
                <w:bCs/>
                <w:color w:val="auto"/>
                <w:szCs w:val="21"/>
                <w:highlight w:val="none"/>
              </w:rPr>
              <w:t>投标总报价不高于最高投标限价总价的，或</w:t>
            </w:r>
            <w:r>
              <w:rPr>
                <w:rFonts w:hint="eastAsia" w:ascii="宋体" w:hAnsi="宋体" w:cs="宋体"/>
                <w:bCs/>
                <w:color w:val="auto"/>
                <w:szCs w:val="21"/>
                <w:highlight w:val="none"/>
                <w:lang w:val="en-US" w:eastAsia="zh-CN"/>
              </w:rPr>
              <w:t>各分项投标</w:t>
            </w:r>
            <w:r>
              <w:rPr>
                <w:rFonts w:hint="eastAsia" w:ascii="宋体" w:hAnsi="宋体" w:cs="宋体"/>
                <w:bCs/>
                <w:color w:val="auto"/>
                <w:szCs w:val="21"/>
                <w:highlight w:val="none"/>
              </w:rPr>
              <w:t>报价不高于</w:t>
            </w:r>
            <w:r>
              <w:rPr>
                <w:rFonts w:hint="eastAsia" w:ascii="宋体" w:hAnsi="宋体" w:cs="宋体"/>
                <w:bCs/>
                <w:color w:val="auto"/>
                <w:szCs w:val="21"/>
                <w:highlight w:val="none"/>
                <w:lang w:val="en-US" w:eastAsia="zh-CN"/>
              </w:rPr>
              <w:t>对应的各分项</w:t>
            </w:r>
            <w:r>
              <w:rPr>
                <w:rFonts w:hint="eastAsia" w:ascii="宋体" w:hAnsi="宋体" w:cs="宋体"/>
                <w:bCs/>
                <w:color w:val="auto"/>
                <w:szCs w:val="21"/>
                <w:highlight w:val="none"/>
              </w:rPr>
              <w:t>最高投标限价，并按招标文件第二章“投标人须知”第3.2.4项要求报价且不低于企业成本的</w:t>
            </w:r>
            <w:r>
              <w:rPr>
                <w:rFonts w:hint="eastAsia" w:cs="宋体" w:asciiTheme="minorEastAsia" w:hAnsiTheme="minorEastAsia" w:eastAsiaTheme="minorEastAsia"/>
                <w:color w:val="auto"/>
                <w:szCs w:val="21"/>
                <w:highlight w:val="none"/>
              </w:rPr>
              <w:t>（投标人的</w:t>
            </w:r>
            <w:r>
              <w:rPr>
                <w:rFonts w:hint="eastAsia" w:cs="宋体" w:asciiTheme="minorEastAsia" w:hAnsiTheme="minorEastAsia" w:eastAsiaTheme="minorEastAsia"/>
                <w:color w:val="auto"/>
                <w:szCs w:val="21"/>
                <w:highlight w:val="none"/>
                <w:lang w:val="en-US" w:eastAsia="zh-CN"/>
              </w:rPr>
              <w:t>建安工程费</w:t>
            </w:r>
            <w:r>
              <w:rPr>
                <w:rFonts w:hint="eastAsia" w:cs="宋体" w:asciiTheme="minorEastAsia" w:hAnsiTheme="minorEastAsia" w:eastAsiaTheme="minorEastAsia"/>
                <w:color w:val="auto"/>
                <w:szCs w:val="21"/>
                <w:highlight w:val="none"/>
              </w:rPr>
              <w:t>报价低于</w:t>
            </w:r>
            <w:r>
              <w:rPr>
                <w:rFonts w:hint="eastAsia" w:cs="宋体" w:asciiTheme="minorEastAsia" w:hAnsiTheme="minorEastAsia" w:eastAsiaTheme="minorEastAsia"/>
                <w:color w:val="auto"/>
                <w:szCs w:val="21"/>
                <w:highlight w:val="none"/>
                <w:lang w:val="en-US" w:eastAsia="zh-CN"/>
              </w:rPr>
              <w:t>建安工程</w:t>
            </w:r>
            <w:r>
              <w:rPr>
                <w:rFonts w:hint="eastAsia" w:cs="宋体" w:asciiTheme="minorEastAsia" w:hAnsiTheme="minorEastAsia" w:eastAsiaTheme="minorEastAsia"/>
                <w:color w:val="auto"/>
                <w:szCs w:val="21"/>
                <w:highlight w:val="none"/>
              </w:rPr>
              <w:t>成本警戒价，或明显低于其他投标</w:t>
            </w:r>
            <w:r>
              <w:rPr>
                <w:rFonts w:hint="eastAsia" w:cs="宋体" w:asciiTheme="minorEastAsia" w:hAnsiTheme="minorEastAsia" w:eastAsiaTheme="minorEastAsia"/>
                <w:color w:val="auto"/>
                <w:szCs w:val="21"/>
                <w:highlight w:val="none"/>
                <w:lang w:val="en-US" w:eastAsia="zh-CN"/>
              </w:rPr>
              <w:t>人的建安工程费</w:t>
            </w:r>
            <w:r>
              <w:rPr>
                <w:rFonts w:hint="eastAsia" w:cs="宋体" w:asciiTheme="minorEastAsia" w:hAnsiTheme="minorEastAsia" w:eastAsiaTheme="minorEastAsia"/>
                <w:color w:val="auto"/>
                <w:szCs w:val="21"/>
                <w:highlight w:val="none"/>
              </w:rPr>
              <w:t>报价，使得其</w:t>
            </w:r>
            <w:r>
              <w:rPr>
                <w:rFonts w:hint="eastAsia" w:cs="宋体" w:asciiTheme="minorEastAsia" w:hAnsiTheme="minorEastAsia" w:eastAsiaTheme="minorEastAsia"/>
                <w:color w:val="auto"/>
                <w:szCs w:val="21"/>
                <w:highlight w:val="none"/>
                <w:lang w:val="en-US" w:eastAsia="zh-CN"/>
              </w:rPr>
              <w:t>建安工程费</w:t>
            </w:r>
            <w:r>
              <w:rPr>
                <w:rFonts w:hint="eastAsia" w:cs="宋体" w:asciiTheme="minorEastAsia" w:hAnsiTheme="minorEastAsia" w:eastAsiaTheme="minorEastAsia"/>
                <w:color w:val="auto"/>
                <w:szCs w:val="21"/>
                <w:highlight w:val="none"/>
              </w:rPr>
              <w:t>报价可能低于其个别成本，又不能合理说明或者不能提供相关证明材料，评标委员会认定该投标人低于成本报价的）</w:t>
            </w:r>
            <w:r>
              <w:rPr>
                <w:rFonts w:hint="eastAsia" w:ascii="宋体" w:hAnsi="宋体" w:cs="宋体"/>
                <w:bCs/>
                <w:color w:val="auto"/>
                <w:szCs w:val="21"/>
                <w:highlight w:val="none"/>
              </w:rPr>
              <w:t>。</w:t>
            </w:r>
          </w:p>
        </w:tc>
      </w:tr>
      <w:tr w14:paraId="769941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8" w:type="dxa"/>
            <w:vMerge w:val="continue"/>
            <w:tcBorders>
              <w:left w:val="single" w:color="auto" w:sz="4" w:space="0"/>
              <w:right w:val="single" w:color="auto" w:sz="4" w:space="0"/>
            </w:tcBorders>
            <w:vAlign w:val="center"/>
          </w:tcPr>
          <w:p w14:paraId="36757520">
            <w:pPr>
              <w:widowControl/>
              <w:spacing w:line="360" w:lineRule="auto"/>
              <w:jc w:val="left"/>
              <w:rPr>
                <w:rFonts w:hint="eastAsia" w:ascii="宋体" w:hAnsi="宋体" w:cs="宋体"/>
                <w:color w:val="auto"/>
                <w:szCs w:val="24"/>
                <w:highlight w:val="none"/>
              </w:rPr>
            </w:pPr>
          </w:p>
        </w:tc>
        <w:tc>
          <w:tcPr>
            <w:tcW w:w="1074" w:type="dxa"/>
            <w:vMerge w:val="continue"/>
            <w:tcBorders>
              <w:left w:val="single" w:color="auto" w:sz="4" w:space="0"/>
              <w:right w:val="single" w:color="auto" w:sz="4" w:space="0"/>
            </w:tcBorders>
            <w:vAlign w:val="center"/>
          </w:tcPr>
          <w:p w14:paraId="0590B0AA">
            <w:pPr>
              <w:widowControl/>
              <w:spacing w:line="360" w:lineRule="auto"/>
              <w:jc w:val="left"/>
              <w:rPr>
                <w:rFonts w:hint="eastAsia" w:ascii="宋体" w:hAnsi="宋体" w:cs="宋体"/>
                <w:color w:val="auto"/>
                <w:szCs w:val="24"/>
                <w:highlight w:val="none"/>
              </w:rPr>
            </w:pPr>
          </w:p>
        </w:tc>
        <w:tc>
          <w:tcPr>
            <w:tcW w:w="1779" w:type="dxa"/>
            <w:tcBorders>
              <w:top w:val="single" w:color="auto" w:sz="4" w:space="0"/>
              <w:left w:val="single" w:color="auto" w:sz="4" w:space="0"/>
              <w:bottom w:val="single" w:color="auto" w:sz="4" w:space="0"/>
              <w:right w:val="single" w:color="auto" w:sz="4" w:space="0"/>
            </w:tcBorders>
            <w:vAlign w:val="center"/>
          </w:tcPr>
          <w:p w14:paraId="6FE4CFE2">
            <w:pPr>
              <w:spacing w:line="360" w:lineRule="auto"/>
              <w:jc w:val="center"/>
              <w:rPr>
                <w:rFonts w:hint="eastAsia" w:ascii="宋体" w:hAnsi="宋体" w:cs="宋体"/>
                <w:color w:val="auto"/>
                <w:szCs w:val="24"/>
                <w:highlight w:val="none"/>
              </w:rPr>
            </w:pPr>
            <w:r>
              <w:rPr>
                <w:rFonts w:hint="eastAsia" w:ascii="宋体" w:hAnsi="宋体" w:cs="宋体"/>
                <w:bCs/>
                <w:color w:val="auto"/>
                <w:szCs w:val="21"/>
                <w:highlight w:val="none"/>
              </w:rPr>
              <w:t>投标内容</w:t>
            </w:r>
          </w:p>
        </w:tc>
        <w:tc>
          <w:tcPr>
            <w:tcW w:w="52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F677D4">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投标内容满足本项目所有招标内容（按投标人提供的投标承诺</w:t>
            </w:r>
            <w:r>
              <w:rPr>
                <w:rFonts w:hint="eastAsia" w:ascii="宋体" w:hAnsi="宋体" w:cs="宋体"/>
                <w:bCs/>
                <w:color w:val="auto"/>
                <w:szCs w:val="21"/>
                <w:highlight w:val="none"/>
                <w:lang w:val="en-US" w:eastAsia="zh-CN"/>
              </w:rPr>
              <w:t>书</w:t>
            </w:r>
            <w:r>
              <w:rPr>
                <w:rFonts w:hint="eastAsia" w:ascii="宋体" w:hAnsi="宋体" w:cs="宋体"/>
                <w:bCs/>
                <w:color w:val="auto"/>
                <w:szCs w:val="21"/>
                <w:highlight w:val="none"/>
              </w:rPr>
              <w:t>进行评审）。</w:t>
            </w:r>
          </w:p>
        </w:tc>
      </w:tr>
      <w:tr w14:paraId="10B159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8" w:type="dxa"/>
            <w:vMerge w:val="continue"/>
            <w:tcBorders>
              <w:left w:val="single" w:color="auto" w:sz="4" w:space="0"/>
              <w:right w:val="single" w:color="auto" w:sz="4" w:space="0"/>
            </w:tcBorders>
            <w:vAlign w:val="center"/>
          </w:tcPr>
          <w:p w14:paraId="710778AC">
            <w:pPr>
              <w:widowControl/>
              <w:spacing w:line="360" w:lineRule="auto"/>
              <w:jc w:val="left"/>
              <w:rPr>
                <w:rFonts w:hint="eastAsia" w:ascii="宋体" w:hAnsi="宋体" w:cs="宋体"/>
                <w:color w:val="auto"/>
                <w:szCs w:val="24"/>
                <w:highlight w:val="none"/>
              </w:rPr>
            </w:pPr>
          </w:p>
        </w:tc>
        <w:tc>
          <w:tcPr>
            <w:tcW w:w="1074" w:type="dxa"/>
            <w:vMerge w:val="continue"/>
            <w:tcBorders>
              <w:left w:val="single" w:color="auto" w:sz="4" w:space="0"/>
              <w:right w:val="single" w:color="auto" w:sz="4" w:space="0"/>
            </w:tcBorders>
            <w:vAlign w:val="center"/>
          </w:tcPr>
          <w:p w14:paraId="6E5A85A9">
            <w:pPr>
              <w:widowControl/>
              <w:spacing w:line="360" w:lineRule="auto"/>
              <w:jc w:val="left"/>
              <w:rPr>
                <w:rFonts w:hint="eastAsia" w:ascii="宋体" w:hAnsi="宋体" w:cs="宋体"/>
                <w:color w:val="auto"/>
                <w:szCs w:val="24"/>
                <w:highlight w:val="none"/>
              </w:rPr>
            </w:pPr>
          </w:p>
        </w:tc>
        <w:tc>
          <w:tcPr>
            <w:tcW w:w="1779" w:type="dxa"/>
            <w:tcBorders>
              <w:top w:val="single" w:color="auto" w:sz="4" w:space="0"/>
              <w:left w:val="single" w:color="auto" w:sz="4" w:space="0"/>
              <w:bottom w:val="single" w:color="auto" w:sz="4" w:space="0"/>
              <w:right w:val="single" w:color="auto" w:sz="4" w:space="0"/>
            </w:tcBorders>
            <w:vAlign w:val="center"/>
          </w:tcPr>
          <w:p w14:paraId="0CC6F059">
            <w:pPr>
              <w:spacing w:line="360" w:lineRule="auto"/>
              <w:jc w:val="center"/>
              <w:rPr>
                <w:rFonts w:hint="eastAsia" w:ascii="宋体" w:hAnsi="宋体" w:cs="宋体"/>
                <w:color w:val="auto"/>
                <w:szCs w:val="24"/>
                <w:highlight w:val="none"/>
              </w:rPr>
            </w:pPr>
            <w:r>
              <w:rPr>
                <w:rFonts w:hint="eastAsia" w:ascii="宋体" w:hAnsi="宋体" w:cs="宋体"/>
                <w:bCs/>
                <w:color w:val="auto"/>
                <w:szCs w:val="21"/>
                <w:highlight w:val="none"/>
              </w:rPr>
              <w:t>工期</w:t>
            </w:r>
          </w:p>
        </w:tc>
        <w:tc>
          <w:tcPr>
            <w:tcW w:w="52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816BDC">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能满足完成投标项目工期的。</w:t>
            </w:r>
          </w:p>
        </w:tc>
      </w:tr>
      <w:tr w14:paraId="4588AC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8" w:type="dxa"/>
            <w:vMerge w:val="continue"/>
            <w:tcBorders>
              <w:left w:val="single" w:color="auto" w:sz="4" w:space="0"/>
              <w:right w:val="single" w:color="auto" w:sz="4" w:space="0"/>
            </w:tcBorders>
            <w:vAlign w:val="center"/>
          </w:tcPr>
          <w:p w14:paraId="470CE2BA">
            <w:pPr>
              <w:widowControl/>
              <w:spacing w:line="360" w:lineRule="auto"/>
              <w:jc w:val="left"/>
              <w:rPr>
                <w:rFonts w:hint="eastAsia" w:ascii="宋体" w:hAnsi="宋体" w:cs="宋体"/>
                <w:color w:val="auto"/>
                <w:szCs w:val="24"/>
                <w:highlight w:val="none"/>
              </w:rPr>
            </w:pPr>
          </w:p>
        </w:tc>
        <w:tc>
          <w:tcPr>
            <w:tcW w:w="1074" w:type="dxa"/>
            <w:vMerge w:val="continue"/>
            <w:tcBorders>
              <w:left w:val="single" w:color="auto" w:sz="4" w:space="0"/>
              <w:right w:val="single" w:color="auto" w:sz="4" w:space="0"/>
            </w:tcBorders>
            <w:vAlign w:val="center"/>
          </w:tcPr>
          <w:p w14:paraId="37C0F780">
            <w:pPr>
              <w:widowControl/>
              <w:spacing w:line="360" w:lineRule="auto"/>
              <w:jc w:val="left"/>
              <w:rPr>
                <w:rFonts w:hint="eastAsia" w:ascii="宋体" w:hAnsi="宋体" w:cs="宋体"/>
                <w:color w:val="auto"/>
                <w:szCs w:val="24"/>
                <w:highlight w:val="none"/>
              </w:rPr>
            </w:pPr>
          </w:p>
        </w:tc>
        <w:tc>
          <w:tcPr>
            <w:tcW w:w="1779" w:type="dxa"/>
            <w:tcBorders>
              <w:top w:val="single" w:color="auto" w:sz="4" w:space="0"/>
              <w:left w:val="single" w:color="auto" w:sz="4" w:space="0"/>
              <w:bottom w:val="single" w:color="auto" w:sz="4" w:space="0"/>
              <w:right w:val="single" w:color="auto" w:sz="4" w:space="0"/>
            </w:tcBorders>
            <w:vAlign w:val="center"/>
          </w:tcPr>
          <w:p w14:paraId="16915729">
            <w:pPr>
              <w:spacing w:line="360" w:lineRule="auto"/>
              <w:jc w:val="center"/>
              <w:rPr>
                <w:rFonts w:hint="eastAsia" w:ascii="宋体" w:hAnsi="宋体" w:cs="宋体"/>
                <w:color w:val="auto"/>
                <w:szCs w:val="24"/>
                <w:highlight w:val="none"/>
              </w:rPr>
            </w:pPr>
            <w:r>
              <w:rPr>
                <w:rFonts w:hint="eastAsia" w:ascii="宋体" w:hAnsi="宋体" w:cs="宋体"/>
                <w:bCs/>
                <w:color w:val="auto"/>
                <w:szCs w:val="21"/>
                <w:highlight w:val="none"/>
              </w:rPr>
              <w:t>质量标准</w:t>
            </w:r>
          </w:p>
        </w:tc>
        <w:tc>
          <w:tcPr>
            <w:tcW w:w="52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37723B">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符合招标文件第二章“投标人须知”第1.3.3款要求。</w:t>
            </w:r>
          </w:p>
        </w:tc>
      </w:tr>
      <w:tr w14:paraId="64F6D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8" w:type="dxa"/>
            <w:vMerge w:val="continue"/>
            <w:tcBorders>
              <w:left w:val="single" w:color="auto" w:sz="4" w:space="0"/>
              <w:right w:val="single" w:color="auto" w:sz="4" w:space="0"/>
            </w:tcBorders>
            <w:vAlign w:val="center"/>
          </w:tcPr>
          <w:p w14:paraId="595FD81E">
            <w:pPr>
              <w:widowControl/>
              <w:spacing w:line="360" w:lineRule="auto"/>
              <w:jc w:val="left"/>
              <w:rPr>
                <w:rFonts w:hint="eastAsia" w:ascii="宋体" w:hAnsi="宋体" w:cs="宋体"/>
                <w:color w:val="auto"/>
                <w:szCs w:val="24"/>
                <w:highlight w:val="none"/>
              </w:rPr>
            </w:pPr>
          </w:p>
        </w:tc>
        <w:tc>
          <w:tcPr>
            <w:tcW w:w="1074" w:type="dxa"/>
            <w:vMerge w:val="continue"/>
            <w:tcBorders>
              <w:left w:val="single" w:color="auto" w:sz="4" w:space="0"/>
              <w:right w:val="single" w:color="auto" w:sz="4" w:space="0"/>
            </w:tcBorders>
            <w:vAlign w:val="center"/>
          </w:tcPr>
          <w:p w14:paraId="1EEBA713">
            <w:pPr>
              <w:widowControl/>
              <w:spacing w:line="360" w:lineRule="auto"/>
              <w:jc w:val="left"/>
              <w:rPr>
                <w:rFonts w:hint="eastAsia" w:ascii="宋体" w:hAnsi="宋体" w:cs="宋体"/>
                <w:color w:val="auto"/>
                <w:szCs w:val="24"/>
                <w:highlight w:val="none"/>
              </w:rPr>
            </w:pPr>
          </w:p>
        </w:tc>
        <w:tc>
          <w:tcPr>
            <w:tcW w:w="1779" w:type="dxa"/>
            <w:tcBorders>
              <w:top w:val="single" w:color="auto" w:sz="4" w:space="0"/>
              <w:left w:val="single" w:color="auto" w:sz="4" w:space="0"/>
              <w:bottom w:val="single" w:color="auto" w:sz="4" w:space="0"/>
              <w:right w:val="single" w:color="auto" w:sz="4" w:space="0"/>
            </w:tcBorders>
            <w:vAlign w:val="center"/>
          </w:tcPr>
          <w:p w14:paraId="04CE7445">
            <w:pPr>
              <w:spacing w:line="360" w:lineRule="auto"/>
              <w:jc w:val="center"/>
              <w:rPr>
                <w:rFonts w:hint="eastAsia" w:ascii="宋体" w:hAnsi="宋体" w:cs="宋体"/>
                <w:color w:val="auto"/>
                <w:szCs w:val="24"/>
                <w:highlight w:val="none"/>
              </w:rPr>
            </w:pPr>
            <w:r>
              <w:rPr>
                <w:rFonts w:hint="eastAsia" w:ascii="宋体" w:hAnsi="宋体" w:cs="宋体"/>
                <w:bCs/>
                <w:color w:val="auto"/>
                <w:szCs w:val="21"/>
                <w:highlight w:val="none"/>
              </w:rPr>
              <w:t>投标有效期</w:t>
            </w:r>
          </w:p>
        </w:tc>
        <w:tc>
          <w:tcPr>
            <w:tcW w:w="52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5D725">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符合第二章“投标人须知”第3.3.1项规定。</w:t>
            </w:r>
          </w:p>
        </w:tc>
      </w:tr>
      <w:tr w14:paraId="24D53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8" w:type="dxa"/>
            <w:vMerge w:val="continue"/>
            <w:tcBorders>
              <w:left w:val="single" w:color="auto" w:sz="4" w:space="0"/>
              <w:right w:val="single" w:color="auto" w:sz="4" w:space="0"/>
            </w:tcBorders>
            <w:vAlign w:val="center"/>
          </w:tcPr>
          <w:p w14:paraId="2C3F7EA7">
            <w:pPr>
              <w:widowControl/>
              <w:spacing w:line="360" w:lineRule="auto"/>
              <w:jc w:val="left"/>
              <w:rPr>
                <w:rFonts w:hint="eastAsia" w:ascii="宋体" w:hAnsi="宋体" w:cs="宋体"/>
                <w:color w:val="auto"/>
                <w:szCs w:val="24"/>
                <w:highlight w:val="none"/>
              </w:rPr>
            </w:pPr>
          </w:p>
        </w:tc>
        <w:tc>
          <w:tcPr>
            <w:tcW w:w="1074" w:type="dxa"/>
            <w:vMerge w:val="continue"/>
            <w:tcBorders>
              <w:left w:val="single" w:color="auto" w:sz="4" w:space="0"/>
              <w:right w:val="single" w:color="auto" w:sz="4" w:space="0"/>
            </w:tcBorders>
            <w:vAlign w:val="center"/>
          </w:tcPr>
          <w:p w14:paraId="5DE41CFF">
            <w:pPr>
              <w:widowControl/>
              <w:spacing w:line="360" w:lineRule="auto"/>
              <w:jc w:val="left"/>
              <w:rPr>
                <w:rFonts w:hint="eastAsia" w:ascii="宋体" w:hAnsi="宋体" w:cs="宋体"/>
                <w:color w:val="auto"/>
                <w:szCs w:val="24"/>
                <w:highlight w:val="none"/>
              </w:rPr>
            </w:pPr>
          </w:p>
        </w:tc>
        <w:tc>
          <w:tcPr>
            <w:tcW w:w="1779" w:type="dxa"/>
            <w:tcBorders>
              <w:top w:val="single" w:color="auto" w:sz="4" w:space="0"/>
              <w:left w:val="single" w:color="auto" w:sz="4" w:space="0"/>
              <w:bottom w:val="single" w:color="auto" w:sz="4" w:space="0"/>
              <w:right w:val="single" w:color="auto" w:sz="4" w:space="0"/>
            </w:tcBorders>
            <w:vAlign w:val="center"/>
          </w:tcPr>
          <w:p w14:paraId="7FCE5F9F">
            <w:pPr>
              <w:spacing w:line="360" w:lineRule="auto"/>
              <w:jc w:val="center"/>
              <w:rPr>
                <w:rFonts w:hint="eastAsia" w:ascii="宋体" w:hAnsi="宋体" w:cs="宋体"/>
                <w:color w:val="auto"/>
                <w:szCs w:val="24"/>
                <w:highlight w:val="none"/>
              </w:rPr>
            </w:pPr>
            <w:r>
              <w:rPr>
                <w:rFonts w:hint="eastAsia" w:ascii="宋体" w:hAnsi="宋体" w:cs="宋体"/>
                <w:bCs/>
                <w:color w:val="auto"/>
                <w:szCs w:val="21"/>
                <w:highlight w:val="none"/>
              </w:rPr>
              <w:t>拟投入项目团队人员配备及技术水平</w:t>
            </w:r>
          </w:p>
        </w:tc>
        <w:tc>
          <w:tcPr>
            <w:tcW w:w="52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039A748">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提供投标承诺函，承诺中标后按照招标人的要求配备人员（按投标人提供的投标承诺</w:t>
            </w:r>
            <w:r>
              <w:rPr>
                <w:rFonts w:hint="eastAsia" w:ascii="宋体" w:hAnsi="宋体" w:cs="宋体"/>
                <w:bCs/>
                <w:color w:val="auto"/>
                <w:szCs w:val="21"/>
                <w:highlight w:val="none"/>
                <w:lang w:val="en-US" w:eastAsia="zh-CN"/>
              </w:rPr>
              <w:t>书</w:t>
            </w:r>
            <w:r>
              <w:rPr>
                <w:rFonts w:hint="eastAsia" w:ascii="宋体" w:hAnsi="宋体" w:cs="宋体"/>
                <w:bCs/>
                <w:color w:val="auto"/>
                <w:szCs w:val="21"/>
                <w:highlight w:val="none"/>
              </w:rPr>
              <w:t>进行评审）。</w:t>
            </w:r>
          </w:p>
        </w:tc>
      </w:tr>
      <w:tr w14:paraId="06A97C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28" w:type="dxa"/>
            <w:vMerge w:val="continue"/>
            <w:tcBorders>
              <w:left w:val="single" w:color="auto" w:sz="4" w:space="0"/>
              <w:right w:val="single" w:color="auto" w:sz="4" w:space="0"/>
            </w:tcBorders>
            <w:vAlign w:val="center"/>
          </w:tcPr>
          <w:p w14:paraId="5B3DC04C">
            <w:pPr>
              <w:widowControl/>
              <w:spacing w:line="360" w:lineRule="auto"/>
              <w:jc w:val="left"/>
              <w:rPr>
                <w:rFonts w:hint="eastAsia" w:ascii="宋体" w:hAnsi="宋体" w:cs="宋体"/>
                <w:color w:val="auto"/>
                <w:szCs w:val="24"/>
                <w:highlight w:val="none"/>
              </w:rPr>
            </w:pPr>
          </w:p>
        </w:tc>
        <w:tc>
          <w:tcPr>
            <w:tcW w:w="1074" w:type="dxa"/>
            <w:vMerge w:val="continue"/>
            <w:tcBorders>
              <w:left w:val="single" w:color="auto" w:sz="4" w:space="0"/>
              <w:right w:val="single" w:color="auto" w:sz="4" w:space="0"/>
            </w:tcBorders>
            <w:vAlign w:val="center"/>
          </w:tcPr>
          <w:p w14:paraId="6961AEAB">
            <w:pPr>
              <w:widowControl/>
              <w:spacing w:line="360" w:lineRule="auto"/>
              <w:jc w:val="left"/>
              <w:rPr>
                <w:rFonts w:hint="eastAsia" w:ascii="宋体" w:hAnsi="宋体" w:cs="宋体"/>
                <w:color w:val="auto"/>
                <w:szCs w:val="24"/>
                <w:highlight w:val="none"/>
              </w:rPr>
            </w:pPr>
          </w:p>
        </w:tc>
        <w:tc>
          <w:tcPr>
            <w:tcW w:w="1779" w:type="dxa"/>
            <w:tcBorders>
              <w:top w:val="single" w:color="auto" w:sz="4" w:space="0"/>
              <w:left w:val="single" w:color="auto" w:sz="4" w:space="0"/>
              <w:bottom w:val="single" w:color="auto" w:sz="4" w:space="0"/>
              <w:right w:val="single" w:color="auto" w:sz="4" w:space="0"/>
            </w:tcBorders>
            <w:vAlign w:val="center"/>
          </w:tcPr>
          <w:p w14:paraId="36088E9E">
            <w:pPr>
              <w:spacing w:line="360" w:lineRule="auto"/>
              <w:jc w:val="center"/>
              <w:rPr>
                <w:rFonts w:hint="eastAsia" w:ascii="宋体" w:hAnsi="宋体" w:cs="宋体"/>
                <w:color w:val="auto"/>
                <w:szCs w:val="24"/>
                <w:highlight w:val="none"/>
              </w:rPr>
            </w:pPr>
            <w:r>
              <w:rPr>
                <w:rFonts w:hint="eastAsia" w:ascii="宋体" w:hAnsi="宋体" w:cs="宋体"/>
                <w:bCs/>
                <w:color w:val="auto"/>
                <w:szCs w:val="21"/>
                <w:highlight w:val="none"/>
              </w:rPr>
              <w:t>合法合规性</w:t>
            </w:r>
          </w:p>
        </w:tc>
        <w:tc>
          <w:tcPr>
            <w:tcW w:w="525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A8A065">
            <w:pPr>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投标人之间不存在《广东省实施&lt;中华人民共和国招标投标法&gt;办法》第十六条所禁止的情形的。有《参与编制投标文件人员名单》的；</w:t>
            </w:r>
          </w:p>
        </w:tc>
      </w:tr>
      <w:tr w14:paraId="41065B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72"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7E8524E8">
            <w:pPr>
              <w:widowControl/>
              <w:spacing w:line="360" w:lineRule="auto"/>
              <w:jc w:val="left"/>
              <w:rPr>
                <w:rFonts w:hint="eastAsia" w:ascii="宋体" w:hAnsi="宋体" w:cs="宋体"/>
                <w:b/>
                <w:color w:val="auto"/>
                <w:szCs w:val="24"/>
                <w:highlight w:val="none"/>
              </w:rPr>
            </w:pPr>
            <w:r>
              <w:rPr>
                <w:rFonts w:hint="eastAsia" w:ascii="宋体" w:hAnsi="宋体" w:cs="宋体"/>
                <w:b/>
                <w:color w:val="auto"/>
                <w:szCs w:val="24"/>
                <w:highlight w:val="none"/>
              </w:rPr>
              <w:t>3.6</w:t>
            </w:r>
          </w:p>
        </w:tc>
        <w:tc>
          <w:tcPr>
            <w:tcW w:w="1074" w:type="dxa"/>
            <w:tcBorders>
              <w:top w:val="single" w:color="auto" w:sz="4" w:space="0"/>
              <w:left w:val="nil"/>
              <w:bottom w:val="single" w:color="auto" w:sz="4" w:space="0"/>
              <w:right w:val="single" w:color="auto" w:sz="4" w:space="0"/>
            </w:tcBorders>
            <w:vAlign w:val="center"/>
          </w:tcPr>
          <w:p w14:paraId="0748C63D">
            <w:pPr>
              <w:widowControl/>
              <w:spacing w:line="360" w:lineRule="auto"/>
              <w:jc w:val="left"/>
              <w:rPr>
                <w:rFonts w:hint="eastAsia" w:ascii="宋体" w:hAnsi="宋体" w:cs="宋体"/>
                <w:b/>
                <w:color w:val="auto"/>
                <w:szCs w:val="24"/>
                <w:highlight w:val="none"/>
              </w:rPr>
            </w:pPr>
            <w:r>
              <w:rPr>
                <w:rFonts w:hint="eastAsia" w:ascii="宋体" w:hAnsi="宋体" w:cs="宋体"/>
                <w:b/>
                <w:color w:val="auto"/>
                <w:szCs w:val="24"/>
                <w:highlight w:val="none"/>
              </w:rPr>
              <w:t>定标</w:t>
            </w:r>
          </w:p>
        </w:tc>
        <w:tc>
          <w:tcPr>
            <w:tcW w:w="7034" w:type="dxa"/>
            <w:gridSpan w:val="3"/>
            <w:tcBorders>
              <w:top w:val="single" w:color="auto" w:sz="4" w:space="0"/>
              <w:left w:val="single" w:color="auto" w:sz="4" w:space="0"/>
              <w:bottom w:val="single" w:color="auto" w:sz="4" w:space="0"/>
              <w:right w:val="single" w:color="auto" w:sz="4" w:space="0"/>
            </w:tcBorders>
            <w:vAlign w:val="center"/>
          </w:tcPr>
          <w:p w14:paraId="0D60C02D">
            <w:pPr>
              <w:spacing w:line="360" w:lineRule="auto"/>
              <w:rPr>
                <w:rFonts w:hint="eastAsia" w:ascii="宋体" w:hAnsi="宋体" w:cs="宋体"/>
                <w:b/>
                <w:bCs/>
                <w:color w:val="auto"/>
                <w:szCs w:val="21"/>
                <w:highlight w:val="none"/>
                <w:u w:val="single"/>
              </w:rPr>
            </w:pPr>
            <w:r>
              <w:rPr>
                <w:rFonts w:hint="eastAsia" w:ascii="宋体" w:hAnsi="宋体" w:cs="宋体"/>
                <w:b/>
                <w:bCs/>
                <w:color w:val="auto"/>
                <w:szCs w:val="24"/>
                <w:highlight w:val="none"/>
              </w:rPr>
              <w:t>定标规则：</w:t>
            </w:r>
            <w:r>
              <w:rPr>
                <w:rFonts w:hint="eastAsia" w:ascii="宋体" w:hAnsi="宋体" w:cs="宋体"/>
                <w:b/>
                <w:bCs/>
                <w:color w:val="auto"/>
                <w:szCs w:val="21"/>
                <w:highlight w:val="none"/>
                <w:u w:val="single"/>
                <w:lang w:val="en-US" w:eastAsia="zh-CN"/>
              </w:rPr>
              <w:t>采用评分法</w:t>
            </w:r>
            <w:r>
              <w:rPr>
                <w:rFonts w:hint="eastAsia" w:ascii="宋体" w:hAnsi="宋体" w:cs="宋体"/>
                <w:b/>
                <w:bCs/>
                <w:color w:val="auto"/>
                <w:szCs w:val="21"/>
                <w:highlight w:val="none"/>
                <w:u w:val="single"/>
              </w:rPr>
              <w:t>。</w:t>
            </w:r>
          </w:p>
          <w:p w14:paraId="6AE6A4DC">
            <w:pPr>
              <w:widowControl/>
              <w:spacing w:line="360" w:lineRule="auto"/>
              <w:jc w:val="left"/>
              <w:rPr>
                <w:rFonts w:hint="eastAsia" w:ascii="宋体" w:hAnsi="宋体" w:cs="宋体"/>
                <w:b/>
                <w:color w:val="auto"/>
                <w:szCs w:val="24"/>
                <w:highlight w:val="none"/>
              </w:rPr>
            </w:pPr>
            <w:r>
              <w:rPr>
                <w:rFonts w:hint="eastAsia" w:ascii="宋体" w:hAnsi="宋体" w:cs="宋体"/>
                <w:b w:val="0"/>
                <w:bCs w:val="0"/>
                <w:color w:val="auto"/>
                <w:szCs w:val="21"/>
                <w:highlight w:val="none"/>
                <w:u w:val="single"/>
              </w:rPr>
              <w:t>总得分</w:t>
            </w:r>
            <w:r>
              <w:rPr>
                <w:rFonts w:hint="eastAsia" w:ascii="宋体" w:hAnsi="宋体" w:cs="宋体"/>
                <w:b w:val="0"/>
                <w:bCs w:val="0"/>
                <w:color w:val="auto"/>
                <w:szCs w:val="21"/>
                <w:highlight w:val="none"/>
                <w:u w:val="single"/>
                <w:lang w:eastAsia="zh-CN"/>
              </w:rPr>
              <w:t>（</w:t>
            </w:r>
            <w:r>
              <w:rPr>
                <w:rFonts w:hint="eastAsia" w:ascii="宋体" w:hAnsi="宋体" w:cs="宋体"/>
                <w:b w:val="0"/>
                <w:bCs w:val="0"/>
                <w:color w:val="auto"/>
                <w:szCs w:val="21"/>
                <w:highlight w:val="none"/>
                <w:u w:val="single"/>
                <w:lang w:val="en-US" w:eastAsia="zh-CN"/>
              </w:rPr>
              <w:t>满分100分</w:t>
            </w:r>
            <w:r>
              <w:rPr>
                <w:rFonts w:hint="eastAsia" w:ascii="宋体" w:hAnsi="宋体" w:cs="宋体"/>
                <w:b w:val="0"/>
                <w:bCs w:val="0"/>
                <w:color w:val="auto"/>
                <w:szCs w:val="21"/>
                <w:highlight w:val="none"/>
                <w:u w:val="single"/>
                <w:lang w:eastAsia="zh-CN"/>
              </w:rPr>
              <w:t>）</w:t>
            </w:r>
            <w:r>
              <w:rPr>
                <w:rFonts w:hint="eastAsia" w:ascii="宋体" w:hAnsi="宋体" w:cs="宋体"/>
                <w:b w:val="0"/>
                <w:bCs w:val="0"/>
                <w:color w:val="auto"/>
                <w:szCs w:val="21"/>
                <w:highlight w:val="none"/>
                <w:u w:val="single"/>
              </w:rPr>
              <w:t>=方案因素（</w:t>
            </w:r>
            <w:r>
              <w:rPr>
                <w:rFonts w:hint="eastAsia" w:ascii="宋体" w:hAnsi="宋体" w:cs="宋体"/>
                <w:b w:val="0"/>
                <w:bCs w:val="0"/>
                <w:color w:val="auto"/>
                <w:szCs w:val="21"/>
                <w:highlight w:val="none"/>
                <w:u w:val="single"/>
                <w:lang w:val="en-US" w:eastAsia="zh-CN"/>
              </w:rPr>
              <w:t>60</w:t>
            </w:r>
            <w:r>
              <w:rPr>
                <w:rFonts w:hint="eastAsia" w:ascii="宋体" w:hAnsi="宋体" w:cs="宋体"/>
                <w:b w:val="0"/>
                <w:bCs w:val="0"/>
                <w:color w:val="auto"/>
                <w:szCs w:val="21"/>
                <w:highlight w:val="none"/>
                <w:u w:val="single"/>
              </w:rPr>
              <w:t>分）+价格因素得分（</w:t>
            </w:r>
            <w:r>
              <w:rPr>
                <w:rFonts w:hint="eastAsia" w:ascii="宋体" w:hAnsi="宋体" w:cs="宋体"/>
                <w:b w:val="0"/>
                <w:bCs w:val="0"/>
                <w:color w:val="auto"/>
                <w:szCs w:val="21"/>
                <w:highlight w:val="none"/>
                <w:u w:val="single"/>
                <w:lang w:val="en-US" w:eastAsia="zh-CN"/>
              </w:rPr>
              <w:t>2</w:t>
            </w:r>
            <w:r>
              <w:rPr>
                <w:rFonts w:hint="eastAsia" w:ascii="宋体" w:hAnsi="宋体" w:cs="宋体"/>
                <w:b w:val="0"/>
                <w:bCs w:val="0"/>
                <w:color w:val="auto"/>
                <w:szCs w:val="21"/>
                <w:highlight w:val="none"/>
                <w:u w:val="single"/>
              </w:rPr>
              <w:t>0分）+答辩因素（</w:t>
            </w:r>
            <w:r>
              <w:rPr>
                <w:rFonts w:hint="eastAsia" w:ascii="宋体" w:hAnsi="宋体" w:cs="宋体"/>
                <w:b w:val="0"/>
                <w:bCs w:val="0"/>
                <w:color w:val="auto"/>
                <w:szCs w:val="21"/>
                <w:highlight w:val="none"/>
                <w:u w:val="single"/>
                <w:lang w:val="en-US" w:eastAsia="zh-CN"/>
              </w:rPr>
              <w:t>20</w:t>
            </w:r>
            <w:r>
              <w:rPr>
                <w:rFonts w:hint="eastAsia" w:ascii="宋体" w:hAnsi="宋体" w:cs="宋体"/>
                <w:b w:val="0"/>
                <w:bCs w:val="0"/>
                <w:color w:val="auto"/>
                <w:szCs w:val="21"/>
                <w:highlight w:val="none"/>
                <w:u w:val="single"/>
              </w:rPr>
              <w:t>分）</w:t>
            </w:r>
          </w:p>
        </w:tc>
      </w:tr>
    </w:tbl>
    <w:p w14:paraId="072B3384">
      <w:pPr>
        <w:widowControl/>
        <w:spacing w:line="360" w:lineRule="auto"/>
        <w:jc w:val="left"/>
        <w:rPr>
          <w:rFonts w:hint="eastAsia" w:ascii="宋体" w:hAnsi="宋体" w:cs="宋体"/>
          <w:color w:val="auto"/>
          <w:szCs w:val="24"/>
          <w:highlight w:val="none"/>
        </w:rPr>
      </w:pPr>
    </w:p>
    <w:p w14:paraId="2197C400">
      <w:pPr>
        <w:widowControl/>
        <w:spacing w:line="360" w:lineRule="auto"/>
        <w:jc w:val="left"/>
        <w:rPr>
          <w:rFonts w:ascii="宋体" w:hAnsi="宋体" w:cs="宋体"/>
          <w:color w:val="auto"/>
          <w:szCs w:val="24"/>
          <w:highlight w:val="none"/>
        </w:rPr>
      </w:pPr>
    </w:p>
    <w:p w14:paraId="5EB9AFE0">
      <w:pPr>
        <w:widowControl/>
        <w:spacing w:line="360" w:lineRule="auto"/>
        <w:jc w:val="left"/>
        <w:rPr>
          <w:rFonts w:hint="eastAsia" w:ascii="宋体" w:hAnsi="宋体" w:cs="宋体"/>
          <w:color w:val="auto"/>
          <w:szCs w:val="24"/>
          <w:highlight w:val="none"/>
        </w:rPr>
      </w:pPr>
    </w:p>
    <w:p w14:paraId="140244C8">
      <w:pPr>
        <w:spacing w:line="360" w:lineRule="auto"/>
        <w:rPr>
          <w:rFonts w:hint="eastAsia" w:ascii="宋体" w:hAnsi="宋体" w:cs="宋体"/>
          <w:color w:val="auto"/>
          <w:szCs w:val="24"/>
          <w:highlight w:val="none"/>
        </w:rPr>
        <w:sectPr>
          <w:headerReference r:id="rId6" w:type="default"/>
          <w:footerReference r:id="rId7" w:type="default"/>
          <w:pgSz w:w="11905" w:h="16838"/>
          <w:pgMar w:top="1440" w:right="1080" w:bottom="1440" w:left="1080" w:header="567" w:footer="850" w:gutter="0"/>
          <w:cols w:space="720" w:num="1"/>
          <w:docGrid w:linePitch="312" w:charSpace="0"/>
        </w:sectPr>
      </w:pPr>
    </w:p>
    <w:p w14:paraId="515B68A5">
      <w:pPr>
        <w:keepNext/>
        <w:keepLines/>
        <w:spacing w:line="360" w:lineRule="auto"/>
        <w:outlineLvl w:val="1"/>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1. 评标和定标方法</w:t>
      </w:r>
    </w:p>
    <w:p w14:paraId="3ACB8367">
      <w:pPr>
        <w:spacing w:line="360" w:lineRule="auto"/>
        <w:ind w:firstLine="482" w:firstLineChars="200"/>
        <w:rPr>
          <w:rFonts w:hint="eastAsia" w:ascii="宋体" w:hAnsi="宋体" w:cs="宋体"/>
          <w:color w:val="auto"/>
          <w:sz w:val="24"/>
          <w:szCs w:val="24"/>
          <w:highlight w:val="none"/>
        </w:rPr>
      </w:pPr>
      <w:r>
        <w:rPr>
          <w:rFonts w:hint="eastAsia" w:ascii="宋体" w:hAnsi="宋体"/>
          <w:b/>
          <w:bCs/>
          <w:color w:val="auto"/>
          <w:sz w:val="24"/>
          <w:szCs w:val="24"/>
          <w:highlight w:val="none"/>
          <w:u w:val="single"/>
        </w:rPr>
        <w:t>本项目采用评定分离办法，评标采用“通过制评审法”的评标办法，定标采用</w:t>
      </w:r>
      <w:r>
        <w:rPr>
          <w:rFonts w:hint="eastAsia" w:ascii="宋体" w:hAnsi="宋体"/>
          <w:b/>
          <w:bCs/>
          <w:color w:val="auto"/>
          <w:sz w:val="24"/>
          <w:szCs w:val="24"/>
          <w:highlight w:val="none"/>
          <w:u w:val="single"/>
          <w:lang w:val="en-US" w:eastAsia="zh-CN"/>
        </w:rPr>
        <w:t>评分法</w:t>
      </w:r>
      <w:r>
        <w:rPr>
          <w:rFonts w:hint="eastAsia" w:ascii="宋体" w:hAnsi="宋体"/>
          <w:b/>
          <w:bCs/>
          <w:color w:val="auto"/>
          <w:sz w:val="24"/>
          <w:szCs w:val="24"/>
          <w:highlight w:val="none"/>
          <w:u w:val="single"/>
        </w:rPr>
        <w:t>的方式择优确定中标人</w:t>
      </w:r>
      <w:r>
        <w:rPr>
          <w:rFonts w:hint="eastAsia" w:ascii="宋体" w:hAnsi="宋体"/>
          <w:color w:val="auto"/>
          <w:sz w:val="24"/>
          <w:szCs w:val="24"/>
          <w:highlight w:val="none"/>
          <w:u w:val="single"/>
        </w:rPr>
        <w:t>。</w:t>
      </w:r>
      <w:r>
        <w:rPr>
          <w:rFonts w:hint="eastAsia" w:ascii="宋体" w:hAnsi="宋体" w:cs="宋体"/>
          <w:color w:val="auto"/>
          <w:sz w:val="24"/>
          <w:szCs w:val="24"/>
          <w:highlight w:val="none"/>
          <w:u w:val="single"/>
        </w:rPr>
        <w:t>评标委员会负责对投标文件的形式</w:t>
      </w:r>
      <w:r>
        <w:rPr>
          <w:rFonts w:hint="eastAsia" w:ascii="宋体" w:hAnsi="宋体" w:cs="宋体"/>
          <w:color w:val="auto"/>
          <w:sz w:val="24"/>
          <w:szCs w:val="24"/>
          <w:highlight w:val="none"/>
          <w:u w:val="single"/>
          <w:lang w:val="en-US" w:eastAsia="zh-CN"/>
        </w:rPr>
        <w:t>评审</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资格审查</w:t>
      </w:r>
      <w:r>
        <w:rPr>
          <w:rFonts w:hint="eastAsia" w:ascii="宋体" w:hAnsi="宋体" w:cs="宋体"/>
          <w:color w:val="auto"/>
          <w:sz w:val="24"/>
          <w:szCs w:val="24"/>
          <w:highlight w:val="none"/>
          <w:u w:val="single"/>
        </w:rPr>
        <w:t>、工程总承包实施方案响应性评审</w:t>
      </w:r>
      <w:r>
        <w:rPr>
          <w:rFonts w:hint="eastAsia" w:ascii="宋体" w:hAnsi="宋体" w:cs="宋体"/>
          <w:color w:val="auto"/>
          <w:sz w:val="24"/>
          <w:szCs w:val="24"/>
          <w:highlight w:val="none"/>
        </w:rPr>
        <w:t>，定标委员会负责对通过评标阶段的</w:t>
      </w:r>
      <w:r>
        <w:rPr>
          <w:rFonts w:hint="eastAsia" w:ascii="宋体" w:hAnsi="宋体" w:cs="宋体"/>
          <w:color w:val="auto"/>
          <w:sz w:val="24"/>
          <w:szCs w:val="24"/>
          <w:highlight w:val="none"/>
          <w:lang w:val="en-US" w:eastAsia="zh-CN"/>
        </w:rPr>
        <w:t>合格的</w:t>
      </w:r>
      <w:r>
        <w:rPr>
          <w:rFonts w:hint="eastAsia" w:ascii="宋体" w:hAnsi="宋体" w:cs="宋体"/>
          <w:color w:val="auto"/>
          <w:sz w:val="24"/>
          <w:szCs w:val="24"/>
          <w:highlight w:val="none"/>
        </w:rPr>
        <w:t>中标候选人进行</w:t>
      </w:r>
      <w:r>
        <w:rPr>
          <w:rFonts w:hint="eastAsia" w:ascii="宋体" w:hAnsi="宋体" w:cs="宋体"/>
          <w:color w:val="auto"/>
          <w:sz w:val="24"/>
          <w:szCs w:val="24"/>
          <w:highlight w:val="none"/>
          <w:lang w:val="en-US" w:eastAsia="zh-CN"/>
        </w:rPr>
        <w:t>评分</w:t>
      </w:r>
      <w:r>
        <w:rPr>
          <w:rFonts w:hint="eastAsia" w:ascii="宋体" w:hAnsi="宋体" w:cs="宋体"/>
          <w:color w:val="auto"/>
          <w:sz w:val="24"/>
          <w:szCs w:val="24"/>
          <w:highlight w:val="none"/>
        </w:rPr>
        <w:t>决定中标人，但投标报价低于其成本的除外。</w:t>
      </w:r>
    </w:p>
    <w:p w14:paraId="175FD9A2">
      <w:pPr>
        <w:spacing w:line="360" w:lineRule="auto"/>
        <w:ind w:firstLine="420" w:firstLineChars="200"/>
        <w:rPr>
          <w:rFonts w:hint="eastAsia" w:ascii="宋体" w:hAnsi="宋体" w:cs="宋体"/>
          <w:color w:val="auto"/>
          <w:szCs w:val="24"/>
          <w:highlight w:val="none"/>
        </w:rPr>
      </w:pPr>
    </w:p>
    <w:p w14:paraId="50C7DE8F">
      <w:pPr>
        <w:keepNext/>
        <w:keepLines/>
        <w:spacing w:line="360" w:lineRule="auto"/>
        <w:outlineLvl w:val="1"/>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2. 评审标准</w:t>
      </w:r>
    </w:p>
    <w:p w14:paraId="4B60DBC3">
      <w:pPr>
        <w:keepNext/>
        <w:keepLines/>
        <w:spacing w:line="360" w:lineRule="auto"/>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2.1 初步评审标准</w:t>
      </w:r>
    </w:p>
    <w:p w14:paraId="78E1D7A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2.1.1 形式评审标准：</w:t>
      </w:r>
      <w:r>
        <w:rPr>
          <w:rFonts w:hint="eastAsia" w:ascii="宋体" w:hAnsi="宋体" w:cs="宋体"/>
          <w:color w:val="auto"/>
          <w:sz w:val="24"/>
          <w:szCs w:val="24"/>
          <w:highlight w:val="none"/>
          <w:u w:val="single"/>
        </w:rPr>
        <w:t>见评标和定标办法前附表</w:t>
      </w:r>
      <w:r>
        <w:rPr>
          <w:rFonts w:hint="eastAsia" w:ascii="宋体" w:hAnsi="宋体" w:cs="宋体"/>
          <w:color w:val="auto"/>
          <w:sz w:val="24"/>
          <w:szCs w:val="24"/>
          <w:highlight w:val="none"/>
        </w:rPr>
        <w:t>。</w:t>
      </w:r>
    </w:p>
    <w:p w14:paraId="29BFBE7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2.1.2 </w:t>
      </w:r>
      <w:r>
        <w:rPr>
          <w:rFonts w:hint="eastAsia" w:ascii="宋体" w:hAnsi="宋体" w:cs="宋体"/>
          <w:color w:val="auto"/>
          <w:sz w:val="24"/>
          <w:szCs w:val="24"/>
          <w:highlight w:val="none"/>
          <w:lang w:eastAsia="zh-CN"/>
        </w:rPr>
        <w:t>资格审查</w:t>
      </w:r>
      <w:r>
        <w:rPr>
          <w:rFonts w:hint="eastAsia" w:ascii="宋体" w:hAnsi="宋体" w:cs="宋体"/>
          <w:color w:val="auto"/>
          <w:sz w:val="24"/>
          <w:szCs w:val="24"/>
          <w:highlight w:val="none"/>
        </w:rPr>
        <w:t>标准：</w:t>
      </w:r>
      <w:r>
        <w:rPr>
          <w:rFonts w:hint="eastAsia" w:ascii="宋体" w:hAnsi="宋体" w:cs="宋体"/>
          <w:color w:val="auto"/>
          <w:sz w:val="24"/>
          <w:szCs w:val="24"/>
          <w:highlight w:val="none"/>
          <w:u w:val="single"/>
        </w:rPr>
        <w:t>见评标和定标办法前附表</w:t>
      </w:r>
      <w:r>
        <w:rPr>
          <w:rFonts w:hint="eastAsia" w:ascii="宋体" w:hAnsi="宋体" w:cs="宋体"/>
          <w:color w:val="auto"/>
          <w:sz w:val="24"/>
          <w:szCs w:val="24"/>
          <w:highlight w:val="none"/>
        </w:rPr>
        <w:t>。</w:t>
      </w:r>
    </w:p>
    <w:p w14:paraId="6D3E61F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 工程总承包实施方案响应性评审标准：</w:t>
      </w:r>
      <w:r>
        <w:rPr>
          <w:rFonts w:hint="eastAsia" w:ascii="宋体" w:hAnsi="宋体" w:cs="宋体"/>
          <w:color w:val="auto"/>
          <w:sz w:val="24"/>
          <w:szCs w:val="24"/>
          <w:highlight w:val="none"/>
          <w:u w:val="single"/>
        </w:rPr>
        <w:t>见评标和定标办法前附表</w:t>
      </w:r>
      <w:r>
        <w:rPr>
          <w:rFonts w:hint="eastAsia" w:ascii="宋体" w:hAnsi="宋体" w:cs="宋体"/>
          <w:color w:val="auto"/>
          <w:sz w:val="24"/>
          <w:szCs w:val="24"/>
          <w:highlight w:val="none"/>
        </w:rPr>
        <w:t>。</w:t>
      </w:r>
    </w:p>
    <w:p w14:paraId="64AE13FF">
      <w:pPr>
        <w:spacing w:line="360" w:lineRule="auto"/>
        <w:ind w:firstLine="480" w:firstLineChars="200"/>
        <w:rPr>
          <w:rFonts w:hint="eastAsia" w:ascii="宋体" w:hAnsi="宋体" w:cs="宋体"/>
          <w:color w:val="auto"/>
          <w:sz w:val="24"/>
          <w:szCs w:val="24"/>
          <w:highlight w:val="none"/>
        </w:rPr>
      </w:pPr>
    </w:p>
    <w:p w14:paraId="3AF6101B">
      <w:pPr>
        <w:keepNext/>
        <w:keepLines/>
        <w:spacing w:line="360" w:lineRule="auto"/>
        <w:outlineLvl w:val="1"/>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3. 评标、定标程序</w:t>
      </w:r>
    </w:p>
    <w:p w14:paraId="28F16091">
      <w:pPr>
        <w:tabs>
          <w:tab w:val="left" w:pos="7380"/>
        </w:tabs>
        <w:spacing w:line="360" w:lineRule="auto"/>
        <w:ind w:firstLine="482" w:firstLineChars="200"/>
        <w:rPr>
          <w:rFonts w:hint="eastAsia" w:ascii="宋体" w:hAnsi="宋体" w:cs="宋体"/>
          <w:b/>
          <w:bCs/>
          <w:color w:val="auto"/>
          <w:sz w:val="24"/>
          <w:szCs w:val="24"/>
          <w:highlight w:val="none"/>
          <w:u w:val="single"/>
        </w:rPr>
      </w:pPr>
      <w:r>
        <w:rPr>
          <w:rFonts w:hint="eastAsia" w:ascii="宋体" w:hAnsi="宋体" w:cs="宋体"/>
          <w:b/>
          <w:bCs/>
          <w:color w:val="auto"/>
          <w:sz w:val="24"/>
          <w:szCs w:val="24"/>
          <w:highlight w:val="none"/>
          <w:u w:val="single"/>
          <w:lang w:val="en-US" w:eastAsia="zh-CN"/>
        </w:rPr>
        <w:t>评标委员会在开始评标前，应了解评标专家的职责及守则，认真阅读《评标委员会成员声明》的内容并签名，签字后方可进行评标。</w:t>
      </w:r>
    </w:p>
    <w:p w14:paraId="151EE2C5">
      <w:pPr>
        <w:spacing w:line="360" w:lineRule="auto"/>
        <w:ind w:firstLine="480" w:firstLineChars="200"/>
        <w:rPr>
          <w:rFonts w:ascii="宋体" w:hAnsi="宋体" w:cs="宋体"/>
          <w:bCs/>
          <w:color w:val="auto"/>
          <w:sz w:val="24"/>
          <w:szCs w:val="24"/>
          <w:highlight w:val="none"/>
          <w:u w:val="single"/>
        </w:rPr>
      </w:pPr>
      <w:r>
        <w:rPr>
          <w:rFonts w:hint="eastAsia" w:ascii="宋体" w:hAnsi="宋体" w:cs="宋体"/>
          <w:color w:val="auto"/>
          <w:sz w:val="24"/>
          <w:szCs w:val="24"/>
          <w:highlight w:val="none"/>
          <w:u w:val="single"/>
        </w:rPr>
        <w:t>评标委员会依据本章第2.1款规定的标准对投标文件进行初步评审。有一项不符合评审标准的，评标委员会应当否决其投标。未通过审查的，不得进入下一阶段评审。</w:t>
      </w:r>
    </w:p>
    <w:p w14:paraId="61AA217D">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3.1初步评审</w:t>
      </w:r>
      <w:r>
        <w:rPr>
          <w:rFonts w:hint="eastAsia" w:ascii="宋体" w:hAnsi="宋体" w:cs="宋体"/>
          <w:color w:val="auto"/>
          <w:sz w:val="24"/>
          <w:szCs w:val="24"/>
          <w:highlight w:val="none"/>
          <w:u w:val="single"/>
        </w:rPr>
        <w:t>标准：见评标和定标办法前附表</w:t>
      </w:r>
    </w:p>
    <w:p w14:paraId="0C809BF5">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3.1.1初步评审</w:t>
      </w:r>
      <w:r>
        <w:rPr>
          <w:rFonts w:hint="eastAsia" w:ascii="宋体" w:hAnsi="宋体" w:cs="宋体"/>
          <w:bCs/>
          <w:color w:val="auto"/>
          <w:sz w:val="24"/>
          <w:szCs w:val="24"/>
          <w:highlight w:val="none"/>
          <w:u w:val="single"/>
          <w:lang w:eastAsia="zh-CN"/>
        </w:rPr>
        <w:t>（形式评审、资格审查</w:t>
      </w:r>
      <w:r>
        <w:rPr>
          <w:rFonts w:hint="eastAsia" w:ascii="宋体" w:hAnsi="宋体" w:cs="宋体"/>
          <w:bCs/>
          <w:color w:val="auto"/>
          <w:sz w:val="24"/>
          <w:szCs w:val="24"/>
          <w:highlight w:val="none"/>
          <w:u w:val="single"/>
          <w:lang w:val="en-US" w:eastAsia="zh-CN"/>
        </w:rPr>
        <w:t>和工程总承包实施方案响应性评审</w:t>
      </w:r>
      <w:r>
        <w:rPr>
          <w:rFonts w:hint="eastAsia" w:ascii="宋体" w:hAnsi="宋体" w:cs="宋体"/>
          <w:bCs/>
          <w:color w:val="auto"/>
          <w:sz w:val="24"/>
          <w:szCs w:val="24"/>
          <w:highlight w:val="none"/>
          <w:u w:val="single"/>
          <w:lang w:eastAsia="zh-CN"/>
        </w:rPr>
        <w:t>）</w:t>
      </w:r>
      <w:r>
        <w:rPr>
          <w:rFonts w:hint="eastAsia" w:ascii="宋体" w:hAnsi="宋体" w:cs="宋体"/>
          <w:bCs/>
          <w:color w:val="auto"/>
          <w:sz w:val="24"/>
          <w:szCs w:val="24"/>
          <w:highlight w:val="none"/>
          <w:u w:val="single"/>
        </w:rPr>
        <w:t>及评标均由招标人依法组建的评标委员会负责。</w:t>
      </w:r>
    </w:p>
    <w:p w14:paraId="5AD381E7">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3.1.2评标委员会的组成：由招标人依法组建。</w:t>
      </w:r>
    </w:p>
    <w:p w14:paraId="0505E4C4">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3.2</w:t>
      </w:r>
      <w:r>
        <w:rPr>
          <w:rFonts w:hint="eastAsia" w:ascii="宋体" w:hAnsi="宋体" w:cs="宋体"/>
          <w:bCs/>
          <w:color w:val="auto"/>
          <w:sz w:val="24"/>
          <w:szCs w:val="24"/>
          <w:highlight w:val="none"/>
          <w:u w:val="single"/>
          <w:lang w:eastAsia="zh-CN"/>
        </w:rPr>
        <w:t>资格审查</w:t>
      </w:r>
      <w:r>
        <w:rPr>
          <w:rFonts w:hint="eastAsia" w:ascii="宋体" w:hAnsi="宋体" w:cs="宋体"/>
          <w:bCs/>
          <w:color w:val="auto"/>
          <w:sz w:val="24"/>
          <w:szCs w:val="24"/>
          <w:highlight w:val="none"/>
          <w:u w:val="single"/>
        </w:rPr>
        <w:t>及评标细则</w:t>
      </w:r>
    </w:p>
    <w:p w14:paraId="5B4DB92E">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3.2.1</w:t>
      </w:r>
      <w:r>
        <w:rPr>
          <w:rFonts w:hint="eastAsia" w:ascii="宋体" w:hAnsi="宋体" w:cs="宋体"/>
          <w:bCs/>
          <w:color w:val="auto"/>
          <w:sz w:val="24"/>
          <w:szCs w:val="24"/>
          <w:highlight w:val="none"/>
          <w:u w:val="single"/>
          <w:lang w:eastAsia="zh-CN"/>
        </w:rPr>
        <w:t>资格审查</w:t>
      </w:r>
      <w:r>
        <w:rPr>
          <w:rFonts w:hint="eastAsia" w:ascii="宋体" w:hAnsi="宋体" w:cs="宋体"/>
          <w:bCs/>
          <w:color w:val="auto"/>
          <w:sz w:val="24"/>
          <w:szCs w:val="24"/>
          <w:highlight w:val="none"/>
          <w:u w:val="single"/>
        </w:rPr>
        <w:t>流程</w:t>
      </w:r>
    </w:p>
    <w:p w14:paraId="5C3E8D6C">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评标委员会按</w:t>
      </w:r>
      <w:r>
        <w:rPr>
          <w:rFonts w:hint="eastAsia" w:ascii="宋体" w:hAnsi="宋体" w:cs="宋体"/>
          <w:bCs/>
          <w:color w:val="auto"/>
          <w:sz w:val="24"/>
          <w:szCs w:val="24"/>
          <w:highlight w:val="none"/>
          <w:u w:val="single"/>
          <w:lang w:eastAsia="zh-CN"/>
        </w:rPr>
        <w:t>资格审查</w:t>
      </w:r>
      <w:r>
        <w:rPr>
          <w:rFonts w:hint="eastAsia" w:ascii="宋体" w:hAnsi="宋体" w:cs="宋体"/>
          <w:bCs/>
          <w:color w:val="auto"/>
          <w:sz w:val="24"/>
          <w:szCs w:val="24"/>
          <w:highlight w:val="none"/>
          <w:u w:val="single"/>
        </w:rPr>
        <w:t>标准对所有递交投标文件的投标人进行</w:t>
      </w:r>
      <w:r>
        <w:rPr>
          <w:rFonts w:hint="eastAsia" w:ascii="宋体" w:hAnsi="宋体" w:cs="宋体"/>
          <w:bCs/>
          <w:color w:val="auto"/>
          <w:sz w:val="24"/>
          <w:szCs w:val="24"/>
          <w:highlight w:val="none"/>
          <w:u w:val="single"/>
          <w:lang w:val="en-US" w:eastAsia="zh-CN"/>
        </w:rPr>
        <w:t>资格</w:t>
      </w:r>
      <w:r>
        <w:rPr>
          <w:rFonts w:hint="eastAsia" w:ascii="宋体" w:hAnsi="宋体" w:cs="宋体"/>
          <w:bCs/>
          <w:color w:val="auto"/>
          <w:sz w:val="24"/>
          <w:szCs w:val="24"/>
          <w:highlight w:val="none"/>
          <w:u w:val="single"/>
        </w:rPr>
        <w:t>审查，如资格审查合格的投标人不足3名时，应重新招标。</w:t>
      </w:r>
    </w:p>
    <w:p w14:paraId="7C3E3C9A">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3.2.2投标人资格审查</w:t>
      </w:r>
    </w:p>
    <w:p w14:paraId="74C70721">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3.2.3资格审查文件中全部符合《资格审查评审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00567811">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3.2.4.汇总资格审查情况，编写资格审查报告。</w:t>
      </w:r>
    </w:p>
    <w:p w14:paraId="2C5A39CB">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3.2.5资格审查时，投标企业名称已经工商变更的，但企业及个人的资质证书未完成企业名称变更，仍然承认其有效；投标企业未及时办理变更手续的，招标人或招标代理机构应通报发证部门。资质证书、安全生产许可证之间登记的信息不一致，应当允许投标人澄清，不得直接否决其投标。</w:t>
      </w:r>
    </w:p>
    <w:p w14:paraId="138C7A60">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特别声明：资审合格后，投标人的资格发生变化而不满足投标人合格条件，在发出中标通知书前，资格问题仍未解决的，招标人将取消其中标资格。</w:t>
      </w:r>
    </w:p>
    <w:p w14:paraId="48CC677E">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3.3工程总承包实施方案响应性评审：</w:t>
      </w:r>
      <w:r>
        <w:rPr>
          <w:rFonts w:hint="eastAsia" w:ascii="宋体" w:hAnsi="宋体" w:cs="宋体"/>
          <w:color w:val="auto"/>
          <w:sz w:val="24"/>
          <w:szCs w:val="24"/>
          <w:highlight w:val="none"/>
          <w:u w:val="single"/>
        </w:rPr>
        <w:t>见评标和定标办法前附表。</w:t>
      </w:r>
    </w:p>
    <w:p w14:paraId="65A77F96">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评标委员会按照招标文件规定完成初步评审，向招标人推荐合格的中标候选人，合格的中标候选人不排序。如评标委员会成员的评审意见不一致时，以评标委员会过半数成员的意见作为评标委员会对该情形的认定结论。</w:t>
      </w:r>
    </w:p>
    <w:p w14:paraId="560A950F">
      <w:pPr>
        <w:spacing w:line="360" w:lineRule="auto"/>
        <w:ind w:firstLine="480" w:firstLineChars="200"/>
        <w:rPr>
          <w:rFonts w:hint="eastAsia" w:ascii="宋体" w:hAnsi="宋体" w:cs="宋体"/>
          <w:b/>
          <w:color w:val="auto"/>
          <w:sz w:val="24"/>
          <w:szCs w:val="24"/>
          <w:highlight w:val="none"/>
          <w:u w:val="single"/>
        </w:rPr>
      </w:pPr>
      <w:r>
        <w:rPr>
          <w:rFonts w:hint="eastAsia" w:ascii="宋体" w:hAnsi="宋体" w:cs="宋体"/>
          <w:bCs/>
          <w:color w:val="auto"/>
          <w:sz w:val="24"/>
          <w:szCs w:val="24"/>
          <w:highlight w:val="none"/>
          <w:u w:val="single"/>
        </w:rPr>
        <w:t>3.4评审汇总</w:t>
      </w:r>
    </w:p>
    <w:p w14:paraId="4E2B2BE7">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3.4.1 评标委员会评出合格的投标人全部进入定标阶段；</w:t>
      </w:r>
      <w:r>
        <w:rPr>
          <w:rFonts w:hint="eastAsia" w:ascii="宋体" w:hAnsi="宋体" w:cs="宋体"/>
          <w:bCs/>
          <w:color w:val="auto"/>
          <w:sz w:val="24"/>
          <w:szCs w:val="24"/>
          <w:highlight w:val="none"/>
          <w:u w:val="single"/>
        </w:rPr>
        <w:t>按统一</w:t>
      </w:r>
      <w:r>
        <w:rPr>
          <w:rFonts w:hint="eastAsia" w:ascii="宋体" w:hAnsi="宋体" w:cs="宋体"/>
          <w:bCs/>
          <w:color w:val="auto"/>
          <w:sz w:val="24"/>
          <w:szCs w:val="24"/>
          <w:highlight w:val="none"/>
          <w:u w:val="single"/>
          <w:lang w:val="en-US" w:eastAsia="zh-CN"/>
        </w:rPr>
        <w:t>社会</w:t>
      </w:r>
      <w:r>
        <w:rPr>
          <w:rFonts w:hint="eastAsia" w:ascii="宋体" w:hAnsi="宋体" w:cs="宋体"/>
          <w:bCs/>
          <w:color w:val="auto"/>
          <w:sz w:val="24"/>
          <w:szCs w:val="24"/>
          <w:highlight w:val="none"/>
          <w:u w:val="single"/>
        </w:rPr>
        <w:t>信用代码（联合体投标人，则以</w:t>
      </w:r>
      <w:r>
        <w:rPr>
          <w:rFonts w:hint="eastAsia" w:ascii="宋体" w:hAnsi="宋体" w:cs="宋体"/>
          <w:bCs/>
          <w:color w:val="auto"/>
          <w:sz w:val="24"/>
          <w:szCs w:val="24"/>
          <w:highlight w:val="none"/>
          <w:u w:val="single"/>
          <w:lang w:eastAsia="zh-CN"/>
        </w:rPr>
        <w:t>牵头单位</w:t>
      </w:r>
      <w:r>
        <w:rPr>
          <w:rFonts w:hint="eastAsia" w:ascii="宋体" w:hAnsi="宋体" w:cs="宋体"/>
          <w:bCs/>
          <w:color w:val="auto"/>
          <w:sz w:val="24"/>
          <w:szCs w:val="24"/>
          <w:highlight w:val="none"/>
          <w:u w:val="single"/>
        </w:rPr>
        <w:t>为准）后四位大小排位向招标人推荐不排序的合格的中标候选人</w:t>
      </w:r>
      <w:r>
        <w:rPr>
          <w:rFonts w:hint="eastAsia" w:ascii="宋体" w:hAnsi="宋体" w:cs="宋体"/>
          <w:color w:val="auto"/>
          <w:sz w:val="24"/>
          <w:szCs w:val="24"/>
          <w:highlight w:val="none"/>
          <w:u w:val="single"/>
        </w:rPr>
        <w:t>，并递交资格审查报告及评标报告。</w:t>
      </w:r>
    </w:p>
    <w:p w14:paraId="3B797001">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3.4.2</w:t>
      </w:r>
      <w:r>
        <w:rPr>
          <w:rFonts w:hint="eastAsia" w:ascii="宋体" w:hAnsi="宋体" w:cs="宋体"/>
          <w:bCs/>
          <w:color w:val="auto"/>
          <w:sz w:val="24"/>
          <w:szCs w:val="24"/>
          <w:highlight w:val="none"/>
          <w:u w:val="single"/>
        </w:rPr>
        <w:t xml:space="preserve"> 通过初步评审的投标单位不</w:t>
      </w:r>
      <w:r>
        <w:rPr>
          <w:rFonts w:hint="eastAsia" w:ascii="宋体" w:hAnsi="宋体" w:cs="宋体"/>
          <w:color w:val="auto"/>
          <w:sz w:val="24"/>
          <w:szCs w:val="24"/>
          <w:highlight w:val="none"/>
          <w:u w:val="single"/>
        </w:rPr>
        <w:t>足3家，应当依法重新招标。</w:t>
      </w:r>
    </w:p>
    <w:p w14:paraId="0B63FC8E">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3.5投标文件的澄清和补正</w:t>
      </w:r>
    </w:p>
    <w:p w14:paraId="6DCBBE8D">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3.5.1 为有助于投标文件的审查、评价和比较，评标期间，经评标委员会中超过2人（含2人）的成员以书面形式提出动议，评标委员会应当书面发出澄清通知，要求投标人对投标文件含义不明确的内容作出澄清。</w:t>
      </w:r>
    </w:p>
    <w:p w14:paraId="7A7EA4B6">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3.5.2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相应评审的依据。</w:t>
      </w:r>
    </w:p>
    <w:p w14:paraId="2AC88323">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3.5.3 评标委员会成员均应当阅读投标人的澄清，但应独立参考澄清对投标文件进行评审。</w:t>
      </w:r>
    </w:p>
    <w:p w14:paraId="7319E52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3.5.4 如果投标文件实质上不响应招标文件的各项要求，评标委员会相应评审将按照初步评审标准予以拒绝，不接受投标人通过修改或撤销其不符合要求的差异或保留，使之成为具有响应性的投标</w:t>
      </w:r>
      <w:r>
        <w:rPr>
          <w:rFonts w:hint="eastAsia" w:ascii="宋体" w:hAnsi="宋体" w:cs="宋体"/>
          <w:color w:val="auto"/>
          <w:sz w:val="24"/>
          <w:szCs w:val="24"/>
          <w:highlight w:val="none"/>
        </w:rPr>
        <w:t>。</w:t>
      </w:r>
    </w:p>
    <w:p w14:paraId="29877AA2">
      <w:pPr>
        <w:keepNext/>
        <w:keepLines/>
        <w:spacing w:line="360" w:lineRule="auto"/>
        <w:outlineLvl w:val="2"/>
        <w:rPr>
          <w:rFonts w:hint="eastAsia" w:ascii="宋体" w:hAnsi="宋体" w:cs="宋体"/>
          <w:b/>
          <w:color w:val="auto"/>
          <w:sz w:val="24"/>
          <w:szCs w:val="24"/>
          <w:highlight w:val="none"/>
        </w:rPr>
      </w:pPr>
      <w:r>
        <w:rPr>
          <w:rFonts w:hint="eastAsia" w:ascii="宋体" w:hAnsi="宋体" w:cs="宋体"/>
          <w:b/>
          <w:color w:val="auto"/>
          <w:sz w:val="24"/>
          <w:szCs w:val="24"/>
          <w:highlight w:val="none"/>
        </w:rPr>
        <w:t>3.6定标</w:t>
      </w:r>
    </w:p>
    <w:p w14:paraId="79A56578">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3.6.1</w:t>
      </w:r>
      <w:r>
        <w:rPr>
          <w:rFonts w:hint="eastAsia" w:ascii="宋体" w:hAnsi="宋体" w:cs="宋体"/>
          <w:color w:val="auto"/>
          <w:sz w:val="24"/>
          <w:szCs w:val="24"/>
          <w:highlight w:val="none"/>
          <w:u w:val="single"/>
          <w:lang w:val="en-US" w:eastAsia="zh-CN"/>
        </w:rPr>
        <w:t>合格的</w:t>
      </w:r>
      <w:r>
        <w:rPr>
          <w:rFonts w:hint="eastAsia" w:ascii="宋体" w:hAnsi="宋体" w:cs="宋体"/>
          <w:color w:val="auto"/>
          <w:sz w:val="24"/>
          <w:szCs w:val="24"/>
          <w:highlight w:val="none"/>
          <w:u w:val="single"/>
        </w:rPr>
        <w:t>中标候选人公示结束后，招标人按以下规定组建定标委员会，在评标委员会推荐的合格</w:t>
      </w:r>
      <w:r>
        <w:rPr>
          <w:rFonts w:hint="eastAsia" w:ascii="宋体" w:hAnsi="宋体" w:cs="宋体"/>
          <w:color w:val="auto"/>
          <w:sz w:val="24"/>
          <w:szCs w:val="24"/>
          <w:highlight w:val="none"/>
          <w:u w:val="single"/>
          <w:lang w:val="en-US" w:eastAsia="zh-CN"/>
        </w:rPr>
        <w:t>的</w:t>
      </w:r>
      <w:r>
        <w:rPr>
          <w:rFonts w:hint="eastAsia" w:ascii="宋体" w:hAnsi="宋体" w:cs="宋体"/>
          <w:color w:val="auto"/>
          <w:sz w:val="24"/>
          <w:szCs w:val="24"/>
          <w:highlight w:val="none"/>
          <w:u w:val="single"/>
        </w:rPr>
        <w:t>中标候选人</w:t>
      </w:r>
      <w:r>
        <w:rPr>
          <w:rFonts w:hint="eastAsia" w:ascii="宋体" w:hAnsi="宋体" w:cs="宋体"/>
          <w:color w:val="auto"/>
          <w:sz w:val="24"/>
          <w:szCs w:val="24"/>
          <w:highlight w:val="none"/>
          <w:u w:val="single"/>
          <w:lang w:val="en-US" w:eastAsia="zh-CN"/>
        </w:rPr>
        <w:t>中</w:t>
      </w:r>
      <w:r>
        <w:rPr>
          <w:rFonts w:hint="eastAsia" w:ascii="宋体" w:hAnsi="宋体" w:cs="宋体"/>
          <w:color w:val="auto"/>
          <w:sz w:val="24"/>
          <w:szCs w:val="24"/>
          <w:highlight w:val="none"/>
          <w:u w:val="single"/>
        </w:rPr>
        <w:t>确定中标人：</w:t>
      </w:r>
    </w:p>
    <w:p w14:paraId="4253AB28">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（1）定标由招标人依法组建的定标委员会负责，成员数量为5人或以上单数，定标委员会成员不得参与定标前期准备工作。</w:t>
      </w:r>
    </w:p>
    <w:p w14:paraId="539B7558">
      <w:pPr>
        <w:spacing w:line="360" w:lineRule="auto"/>
        <w:ind w:firstLine="480" w:firstLineChars="200"/>
        <w:rPr>
          <w:rFonts w:hint="eastAsia" w:ascii="宋体" w:hAnsi="宋体"/>
          <w:b/>
          <w:bCs/>
          <w:color w:val="auto"/>
          <w:sz w:val="24"/>
          <w:szCs w:val="24"/>
          <w:highlight w:val="none"/>
          <w:u w:val="single"/>
        </w:rPr>
      </w:pPr>
      <w:r>
        <w:rPr>
          <w:rFonts w:hint="eastAsia" w:ascii="宋体" w:hAnsi="宋体" w:cs="宋体"/>
          <w:color w:val="auto"/>
          <w:sz w:val="24"/>
          <w:szCs w:val="24"/>
          <w:highlight w:val="none"/>
          <w:u w:val="single"/>
        </w:rPr>
        <w:t>（2）</w:t>
      </w:r>
      <w:r>
        <w:rPr>
          <w:rFonts w:hint="eastAsia" w:ascii="宋体" w:hAnsi="宋体" w:cs="宋体"/>
          <w:b/>
          <w:bCs/>
          <w:color w:val="auto"/>
          <w:sz w:val="24"/>
          <w:szCs w:val="24"/>
          <w:highlight w:val="none"/>
          <w:u w:val="single"/>
        </w:rPr>
        <w:t>招标人应当组建监督小组对定标过程进行见证监督。</w:t>
      </w:r>
    </w:p>
    <w:p w14:paraId="7D643A55">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3.6.2 定标时间和地点：</w:t>
      </w:r>
    </w:p>
    <w:p w14:paraId="2452DEC9">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招标人在</w:t>
      </w:r>
      <w:r>
        <w:rPr>
          <w:rFonts w:hint="eastAsia" w:ascii="宋体" w:hAnsi="宋体" w:cs="宋体"/>
          <w:color w:val="auto"/>
          <w:sz w:val="24"/>
          <w:szCs w:val="24"/>
          <w:highlight w:val="none"/>
          <w:u w:val="single"/>
          <w:lang w:val="en-US" w:eastAsia="zh-CN"/>
        </w:rPr>
        <w:t>合格的</w:t>
      </w:r>
      <w:r>
        <w:rPr>
          <w:rFonts w:hint="eastAsia" w:ascii="宋体" w:hAnsi="宋体" w:cs="宋体"/>
          <w:color w:val="auto"/>
          <w:sz w:val="24"/>
          <w:szCs w:val="24"/>
          <w:highlight w:val="none"/>
          <w:u w:val="single"/>
        </w:rPr>
        <w:t>中标候选人公示结束后10个工作日内在</w:t>
      </w:r>
      <w:r>
        <w:rPr>
          <w:rFonts w:hint="eastAsia" w:ascii="宋体" w:hAnsi="宋体" w:cs="宋体"/>
          <w:color w:val="auto"/>
          <w:sz w:val="24"/>
          <w:szCs w:val="24"/>
          <w:highlight w:val="none"/>
          <w:u w:val="single"/>
          <w:lang w:eastAsia="zh-CN"/>
        </w:rPr>
        <w:t>广州交易集团有限公司（广州公共资源交易中心）</w:t>
      </w:r>
      <w:r>
        <w:rPr>
          <w:rFonts w:hint="eastAsia" w:ascii="宋体" w:hAnsi="宋体" w:cs="宋体"/>
          <w:color w:val="auto"/>
          <w:sz w:val="24"/>
          <w:szCs w:val="24"/>
          <w:highlight w:val="none"/>
          <w:u w:val="single"/>
        </w:rPr>
        <w:t>举行定标会议，具体定标时间另行通知。</w:t>
      </w:r>
    </w:p>
    <w:p w14:paraId="3B3D9BE9">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3.6.3定标规则</w:t>
      </w:r>
    </w:p>
    <w:p w14:paraId="7A82AE24">
      <w:pPr>
        <w:spacing w:line="360" w:lineRule="auto"/>
        <w:ind w:firstLine="482" w:firstLineChars="200"/>
        <w:rPr>
          <w:rFonts w:hint="eastAsia" w:ascii="宋体" w:hAnsi="宋体" w:cs="宋体"/>
          <w:color w:val="auto"/>
          <w:sz w:val="24"/>
          <w:szCs w:val="24"/>
          <w:highlight w:val="none"/>
          <w:u w:val="single"/>
        </w:rPr>
      </w:pPr>
      <w:r>
        <w:rPr>
          <w:rFonts w:hint="eastAsia" w:ascii="宋体" w:hAnsi="宋体"/>
          <w:b/>
          <w:bCs/>
          <w:color w:val="auto"/>
          <w:sz w:val="24"/>
          <w:szCs w:val="24"/>
          <w:highlight w:val="none"/>
          <w:u w:val="single"/>
          <w:lang w:val="en-US" w:eastAsia="zh-CN"/>
        </w:rPr>
        <w:t>定标采用评分法。</w:t>
      </w:r>
      <w:r>
        <w:rPr>
          <w:rFonts w:hint="eastAsia" w:ascii="宋体" w:hAnsi="宋体"/>
          <w:color w:val="auto"/>
          <w:sz w:val="24"/>
          <w:szCs w:val="24"/>
          <w:highlight w:val="none"/>
          <w:u w:val="single"/>
          <w:lang w:val="en-US" w:eastAsia="zh-CN"/>
        </w:rPr>
        <w:t>具体</w:t>
      </w:r>
      <w:r>
        <w:rPr>
          <w:rFonts w:hint="eastAsia" w:ascii="宋体" w:hAnsi="宋体"/>
          <w:color w:val="auto"/>
          <w:sz w:val="24"/>
          <w:szCs w:val="24"/>
          <w:highlight w:val="none"/>
          <w:u w:val="single"/>
        </w:rPr>
        <w:t>定标方法如下：</w:t>
      </w:r>
    </w:p>
    <w:p w14:paraId="7C3C4059">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3.6.4定标因素，包含：</w:t>
      </w:r>
    </w:p>
    <w:p w14:paraId="5D1AD74C">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（1）方案因素；</w:t>
      </w:r>
    </w:p>
    <w:p w14:paraId="5D6591EC">
      <w:pPr>
        <w:spacing w:line="360" w:lineRule="auto"/>
        <w:ind w:firstLine="480" w:firstLineChars="200"/>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价格因素</w:t>
      </w:r>
      <w:r>
        <w:rPr>
          <w:rFonts w:hint="eastAsia" w:ascii="宋体" w:hAnsi="宋体" w:cs="宋体"/>
          <w:color w:val="auto"/>
          <w:sz w:val="24"/>
          <w:szCs w:val="24"/>
          <w:highlight w:val="none"/>
          <w:u w:val="single"/>
          <w:lang w:val="en-US" w:eastAsia="zh-CN"/>
        </w:rPr>
        <w:t>；</w:t>
      </w:r>
    </w:p>
    <w:p w14:paraId="75ED6553">
      <w:pPr>
        <w:spacing w:line="360" w:lineRule="auto"/>
        <w:ind w:firstLine="480" w:firstLineChars="200"/>
        <w:rPr>
          <w:rFonts w:hint="default"/>
          <w:color w:val="auto"/>
          <w:highlight w:val="none"/>
          <w:lang w:val="en-US" w:eastAsia="zh-CN"/>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eastAsia="zh-CN"/>
        </w:rPr>
        <w:t>）</w:t>
      </w:r>
      <w:r>
        <w:rPr>
          <w:rFonts w:hint="eastAsia" w:ascii="宋体" w:hAnsi="宋体"/>
          <w:color w:val="auto"/>
          <w:sz w:val="24"/>
          <w:szCs w:val="24"/>
          <w:highlight w:val="none"/>
          <w:u w:val="single"/>
          <w:lang w:val="en-US" w:eastAsia="zh-CN"/>
        </w:rPr>
        <w:t>答辩因素。</w:t>
      </w:r>
    </w:p>
    <w:p w14:paraId="4B000385">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3.6.5定标程序</w:t>
      </w:r>
    </w:p>
    <w:p w14:paraId="24E3B54B">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3.6.5.1定标工作开始后，定标委员会应推荐一人为定标委员会组长，主持当次定标会议。</w:t>
      </w:r>
    </w:p>
    <w:p w14:paraId="2D6A03E5">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3.6.5.2 发放定标文件：评标阶段的评标报告、合格</w:t>
      </w:r>
      <w:r>
        <w:rPr>
          <w:rFonts w:hint="eastAsia" w:ascii="宋体" w:hAnsi="宋体" w:cs="宋体"/>
          <w:color w:val="auto"/>
          <w:sz w:val="24"/>
          <w:szCs w:val="24"/>
          <w:highlight w:val="none"/>
          <w:u w:val="single"/>
          <w:lang w:val="en-US" w:eastAsia="zh-CN"/>
        </w:rPr>
        <w:t>的</w:t>
      </w:r>
      <w:r>
        <w:rPr>
          <w:rFonts w:hint="eastAsia" w:ascii="宋体" w:hAnsi="宋体" w:cs="宋体"/>
          <w:color w:val="auto"/>
          <w:sz w:val="24"/>
          <w:szCs w:val="24"/>
          <w:highlight w:val="none"/>
          <w:u w:val="single"/>
        </w:rPr>
        <w:t>中标候选人提交的投标文件（含定标文件）。</w:t>
      </w:r>
    </w:p>
    <w:p w14:paraId="211023C0">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3.6.5.3 定标委员会根据</w:t>
      </w:r>
      <w:r>
        <w:rPr>
          <w:rFonts w:hint="eastAsia" w:ascii="宋体" w:hAnsi="宋体" w:cs="宋体"/>
          <w:color w:val="auto"/>
          <w:sz w:val="24"/>
          <w:szCs w:val="24"/>
          <w:highlight w:val="none"/>
          <w:u w:val="single"/>
          <w:lang w:eastAsia="zh-CN"/>
        </w:rPr>
        <w:t>定标文件</w:t>
      </w:r>
      <w:r>
        <w:rPr>
          <w:rFonts w:hint="eastAsia" w:ascii="宋体" w:hAnsi="宋体" w:cs="宋体"/>
          <w:color w:val="auto"/>
          <w:sz w:val="24"/>
          <w:szCs w:val="24"/>
          <w:highlight w:val="none"/>
          <w:u w:val="single"/>
        </w:rPr>
        <w:t>，在同等条件下，根据定标因素及投标人提供的定标部分的投标文件，对进入定标阶段的全部合格的中标候选人的方案因素</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价格因素</w:t>
      </w:r>
      <w:r>
        <w:rPr>
          <w:rFonts w:hint="eastAsia" w:ascii="宋体" w:hAnsi="宋体" w:cs="宋体"/>
          <w:color w:val="auto"/>
          <w:sz w:val="24"/>
          <w:szCs w:val="24"/>
          <w:highlight w:val="none"/>
          <w:u w:val="single"/>
          <w:lang w:val="en-US" w:eastAsia="zh-CN"/>
        </w:rPr>
        <w:t>和</w:t>
      </w:r>
      <w:r>
        <w:rPr>
          <w:rFonts w:hint="eastAsia" w:ascii="宋体" w:hAnsi="宋体"/>
          <w:color w:val="auto"/>
          <w:sz w:val="24"/>
          <w:szCs w:val="24"/>
          <w:highlight w:val="none"/>
          <w:u w:val="single"/>
          <w:lang w:val="en-US" w:eastAsia="zh-CN"/>
        </w:rPr>
        <w:t>答辩因素</w:t>
      </w:r>
      <w:r>
        <w:rPr>
          <w:rFonts w:hint="eastAsia" w:ascii="宋体" w:hAnsi="宋体" w:cs="宋体"/>
          <w:color w:val="auto"/>
          <w:sz w:val="24"/>
          <w:szCs w:val="24"/>
          <w:highlight w:val="none"/>
          <w:u w:val="single"/>
        </w:rPr>
        <w:t>进行</w:t>
      </w:r>
      <w:r>
        <w:rPr>
          <w:rFonts w:hint="eastAsia" w:ascii="宋体" w:hAnsi="宋体" w:cs="宋体"/>
          <w:color w:val="auto"/>
          <w:sz w:val="24"/>
          <w:szCs w:val="24"/>
          <w:highlight w:val="none"/>
          <w:u w:val="single"/>
          <w:lang w:val="en-US" w:eastAsia="zh-CN"/>
        </w:rPr>
        <w:t>评分</w:t>
      </w:r>
      <w:r>
        <w:rPr>
          <w:rFonts w:hint="eastAsia" w:ascii="宋体" w:hAnsi="宋体" w:cs="宋体"/>
          <w:color w:val="auto"/>
          <w:sz w:val="24"/>
          <w:szCs w:val="24"/>
          <w:highlight w:val="none"/>
          <w:u w:val="single"/>
        </w:rPr>
        <w:t>。详见《定标因素评审表》。</w:t>
      </w:r>
    </w:p>
    <w:p w14:paraId="486671A8">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3.6.5.4 定标委员会计算</w:t>
      </w:r>
      <w:r>
        <w:rPr>
          <w:rFonts w:hint="eastAsia" w:ascii="宋体" w:hAnsi="宋体" w:cs="宋体"/>
          <w:color w:val="auto"/>
          <w:sz w:val="24"/>
          <w:szCs w:val="24"/>
          <w:highlight w:val="none"/>
          <w:u w:val="single"/>
          <w:lang w:val="en-US" w:eastAsia="zh-CN"/>
        </w:rPr>
        <w:t>汇总各合格的</w:t>
      </w:r>
      <w:r>
        <w:rPr>
          <w:rFonts w:hint="eastAsia" w:ascii="宋体" w:hAnsi="宋体" w:cs="宋体"/>
          <w:color w:val="auto"/>
          <w:sz w:val="24"/>
          <w:szCs w:val="24"/>
          <w:highlight w:val="none"/>
          <w:u w:val="single"/>
        </w:rPr>
        <w:t>中标候选人总得分。总得分</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满分100分</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=方案因素（</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0分）+价格因素（</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0分</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答辩</w:t>
      </w:r>
      <w:r>
        <w:rPr>
          <w:rFonts w:hint="eastAsia" w:ascii="宋体" w:hAnsi="宋体" w:cs="宋体"/>
          <w:color w:val="auto"/>
          <w:sz w:val="24"/>
          <w:szCs w:val="24"/>
          <w:highlight w:val="none"/>
          <w:u w:val="single"/>
        </w:rPr>
        <w:t>因素（20分）。总得分四舍五入保留两位小数。</w:t>
      </w:r>
    </w:p>
    <w:p w14:paraId="11F547FE">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注：总得分相同的，以投标报价低的排前；若投标报价相同的，以答辩因素得分高的排前；若答辩因素得分相同的，以方案因素得分高的排前，若方案因素得分仍相同的，则对具有相同情况的合格的中标候选人，由定标委员会采用记名投票以得票多优先，确定合格的中标候选人的排序，推荐第一的合格的中标候选人为中标人。</w:t>
      </w:r>
    </w:p>
    <w:p w14:paraId="0B58D41B">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3.6.5.</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定标委员会确定总得分最高合格的中标候选人为中标人。</w:t>
      </w:r>
    </w:p>
    <w:p w14:paraId="0AB8D253">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3.6.5.</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rPr>
        <w:t>编写定标报告，定标委员会全体确认后签署定标报告。定标报告由定标委员会全体成员签字，对定标结论持有异议的成员应以书面方式阐述其不同意见和理由。</w:t>
      </w:r>
    </w:p>
    <w:p w14:paraId="37784CD0">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3.6.6 如在合格中标候选人公示期间或在中标结果公示前出现合格中标候选人放弃其中标候选人资格的情形，招标人有权从其他合格中标候选人中继续采用定标办法，由定标委员会确定中标人，招标人也可以重新招标。如所有的合格中标候选人均放弃其中标候选人资格的，为招标失败，招标人依法重新招标。</w:t>
      </w:r>
    </w:p>
    <w:p w14:paraId="07493621">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3.6.7 如中标人放弃中标、或因不可抗力提出不能履行合同，或者招标文件规定应当提交履约担保而在规定的期限内未能提交的，或经核查发现委派的项目负责人已在其他在建项目中担任本职务的，招标人有权取消其中标人资格或解除合同，从其他合格</w:t>
      </w:r>
      <w:r>
        <w:rPr>
          <w:rFonts w:hint="eastAsia" w:ascii="宋体" w:hAnsi="宋体" w:cs="宋体"/>
          <w:color w:val="auto"/>
          <w:sz w:val="24"/>
          <w:szCs w:val="24"/>
          <w:highlight w:val="none"/>
          <w:u w:val="single"/>
          <w:lang w:val="en-US" w:eastAsia="zh-CN"/>
        </w:rPr>
        <w:t>的</w:t>
      </w:r>
      <w:r>
        <w:rPr>
          <w:rFonts w:hint="eastAsia" w:ascii="宋体" w:hAnsi="宋体" w:cs="宋体"/>
          <w:color w:val="auto"/>
          <w:sz w:val="24"/>
          <w:szCs w:val="24"/>
          <w:highlight w:val="none"/>
          <w:u w:val="single"/>
        </w:rPr>
        <w:t>中标候选人中采用原定标办法，由原定标委员会确定中标人，招标人也可以重新招标。</w:t>
      </w:r>
    </w:p>
    <w:p w14:paraId="6C176221">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3.6.8 因投诉生效，需要重新评标或定标的，评标、定标信息仍以投标截止时投标人的信息为准。在评标阶段因特殊原因需要延长投标有效期，投标人拒绝延长投标有效期的，仍参与评标，但不被推荐为合格</w:t>
      </w:r>
      <w:r>
        <w:rPr>
          <w:rFonts w:hint="eastAsia" w:ascii="宋体" w:hAnsi="宋体" w:cs="宋体"/>
          <w:color w:val="auto"/>
          <w:sz w:val="24"/>
          <w:szCs w:val="24"/>
          <w:highlight w:val="none"/>
          <w:u w:val="single"/>
          <w:lang w:val="en-US" w:eastAsia="zh-CN"/>
        </w:rPr>
        <w:t>的</w:t>
      </w:r>
      <w:r>
        <w:rPr>
          <w:rFonts w:hint="eastAsia" w:ascii="宋体" w:hAnsi="宋体" w:cs="宋体"/>
          <w:color w:val="auto"/>
          <w:sz w:val="24"/>
          <w:szCs w:val="24"/>
          <w:highlight w:val="none"/>
          <w:u w:val="single"/>
        </w:rPr>
        <w:t>中标候选人；在定标阶段，因特殊原因需要延长投标有效期，合格候选人拒绝延长投标有效期的，该候选人不得参与定标。</w:t>
      </w:r>
    </w:p>
    <w:p w14:paraId="6E68CCEF">
      <w:pPr>
        <w:spacing w:line="360" w:lineRule="auto"/>
        <w:ind w:firstLine="480" w:firstLineChars="200"/>
        <w:rPr>
          <w:rFonts w:hint="eastAsia" w:ascii="宋体" w:hAnsi="宋体" w:cs="宋体"/>
          <w:color w:val="auto"/>
          <w:sz w:val="24"/>
          <w:szCs w:val="24"/>
          <w:highlight w:val="none"/>
        </w:rPr>
      </w:pPr>
    </w:p>
    <w:p w14:paraId="5006F79B">
      <w:pPr>
        <w:keepNext/>
        <w:keepLines/>
        <w:spacing w:line="360" w:lineRule="auto"/>
        <w:outlineLvl w:val="1"/>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4. 评标、定标表格</w:t>
      </w:r>
    </w:p>
    <w:p w14:paraId="4F69322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见后附。</w:t>
      </w:r>
    </w:p>
    <w:p w14:paraId="22EBC316">
      <w:pPr>
        <w:spacing w:line="360" w:lineRule="auto"/>
        <w:ind w:firstLine="420" w:firstLineChars="200"/>
        <w:rPr>
          <w:rFonts w:hint="eastAsia" w:ascii="宋体" w:hAnsi="宋体" w:cs="宋体"/>
          <w:color w:val="auto"/>
          <w:szCs w:val="24"/>
          <w:highlight w:val="none"/>
        </w:rPr>
        <w:sectPr>
          <w:pgSz w:w="11905" w:h="16838"/>
          <w:pgMar w:top="1440" w:right="1080" w:bottom="1440" w:left="1080" w:header="567" w:footer="850" w:gutter="0"/>
          <w:cols w:space="720" w:num="1"/>
          <w:docGrid w:linePitch="312" w:charSpace="0"/>
        </w:sectPr>
      </w:pPr>
    </w:p>
    <w:p w14:paraId="2C778C52">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附表一：</w:t>
      </w:r>
    </w:p>
    <w:p w14:paraId="19A13A7A">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资格审查评审表</w:t>
      </w:r>
    </w:p>
    <w:tbl>
      <w:tblPr>
        <w:tblStyle w:val="17"/>
        <w:tblW w:w="137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709"/>
        <w:gridCol w:w="11624"/>
        <w:gridCol w:w="425"/>
        <w:gridCol w:w="567"/>
        <w:gridCol w:w="425"/>
      </w:tblGrid>
      <w:tr w14:paraId="428BB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75"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3B37045A">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序号</w:t>
            </w:r>
          </w:p>
        </w:tc>
        <w:tc>
          <w:tcPr>
            <w:tcW w:w="11624" w:type="dxa"/>
            <w:tcBorders>
              <w:top w:val="single" w:color="000000" w:sz="4" w:space="0"/>
              <w:left w:val="single" w:color="000000" w:sz="4" w:space="0"/>
              <w:bottom w:val="single" w:color="000000" w:sz="4" w:space="0"/>
              <w:right w:val="single" w:color="000000" w:sz="4" w:space="0"/>
            </w:tcBorders>
          </w:tcPr>
          <w:p w14:paraId="3B8E5D6A">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评审内容</w:t>
            </w:r>
          </w:p>
        </w:tc>
        <w:tc>
          <w:tcPr>
            <w:tcW w:w="425" w:type="dxa"/>
            <w:tcBorders>
              <w:top w:val="single" w:color="000000" w:sz="4" w:space="0"/>
              <w:left w:val="single" w:color="000000" w:sz="4" w:space="0"/>
              <w:bottom w:val="single" w:color="000000" w:sz="4" w:space="0"/>
              <w:right w:val="single" w:color="000000" w:sz="4" w:space="0"/>
            </w:tcBorders>
          </w:tcPr>
          <w:p w14:paraId="337A14ED">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tcPr>
          <w:p w14:paraId="030817C1">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tcPr>
          <w:p w14:paraId="5AD636C4">
            <w:pPr>
              <w:spacing w:line="360" w:lineRule="auto"/>
              <w:rPr>
                <w:rFonts w:hint="eastAsia" w:ascii="宋体" w:hAnsi="宋体" w:cs="宋体"/>
                <w:bCs/>
                <w:color w:val="auto"/>
                <w:szCs w:val="21"/>
                <w:highlight w:val="none"/>
              </w:rPr>
            </w:pPr>
          </w:p>
        </w:tc>
      </w:tr>
      <w:tr w14:paraId="322A20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223"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11E676C">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w:t>
            </w:r>
          </w:p>
        </w:tc>
        <w:tc>
          <w:tcPr>
            <w:tcW w:w="11624" w:type="dxa"/>
            <w:tcBorders>
              <w:top w:val="single" w:color="000000" w:sz="4" w:space="0"/>
              <w:left w:val="single" w:color="000000" w:sz="4" w:space="0"/>
              <w:bottom w:val="single" w:color="000000" w:sz="4" w:space="0"/>
              <w:right w:val="single" w:color="000000" w:sz="4" w:space="0"/>
            </w:tcBorders>
            <w:vAlign w:val="center"/>
          </w:tcPr>
          <w:p w14:paraId="1C25455C">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u w:val="single"/>
              </w:rPr>
              <w:t>投标人参加投标的意思表达清楚，投标人代表被授权有效。投标文件中有法定代表人证明书，如投标文件为委托代理人签署应同时附上法定代表人证明书和法定代表人授权书。（若为联合体投标，由</w:t>
            </w:r>
            <w:r>
              <w:rPr>
                <w:rFonts w:hint="eastAsia" w:ascii="宋体" w:hAnsi="宋体" w:cs="宋体"/>
                <w:bCs/>
                <w:color w:val="auto"/>
                <w:szCs w:val="21"/>
                <w:highlight w:val="none"/>
                <w:u w:val="single"/>
                <w:lang w:eastAsia="zh-CN"/>
              </w:rPr>
              <w:t>牵头单位</w:t>
            </w:r>
            <w:r>
              <w:rPr>
                <w:rFonts w:hint="eastAsia" w:ascii="宋体" w:hAnsi="宋体" w:cs="宋体"/>
                <w:bCs/>
                <w:color w:val="auto"/>
                <w:szCs w:val="21"/>
                <w:highlight w:val="none"/>
                <w:u w:val="single"/>
              </w:rPr>
              <w:t>出具即可）。</w:t>
            </w:r>
          </w:p>
        </w:tc>
        <w:tc>
          <w:tcPr>
            <w:tcW w:w="425" w:type="dxa"/>
            <w:tcBorders>
              <w:top w:val="single" w:color="000000" w:sz="4" w:space="0"/>
              <w:left w:val="single" w:color="000000" w:sz="4" w:space="0"/>
              <w:bottom w:val="single" w:color="000000" w:sz="4" w:space="0"/>
              <w:right w:val="single" w:color="000000" w:sz="4" w:space="0"/>
            </w:tcBorders>
          </w:tcPr>
          <w:p w14:paraId="5B97F331">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tcPr>
          <w:p w14:paraId="59EDFEF1">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tcPr>
          <w:p w14:paraId="6442723B">
            <w:pPr>
              <w:spacing w:line="360" w:lineRule="auto"/>
              <w:rPr>
                <w:rFonts w:hint="eastAsia" w:ascii="宋体" w:hAnsi="宋体" w:cs="宋体"/>
                <w:bCs/>
                <w:color w:val="auto"/>
                <w:szCs w:val="21"/>
                <w:highlight w:val="none"/>
              </w:rPr>
            </w:pPr>
          </w:p>
        </w:tc>
      </w:tr>
      <w:tr w14:paraId="418B6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7"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3C217B9">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2</w:t>
            </w:r>
          </w:p>
        </w:tc>
        <w:tc>
          <w:tcPr>
            <w:tcW w:w="11624" w:type="dxa"/>
            <w:tcBorders>
              <w:top w:val="single" w:color="000000" w:sz="4" w:space="0"/>
              <w:left w:val="single" w:color="000000" w:sz="4" w:space="0"/>
              <w:bottom w:val="single" w:color="000000" w:sz="4" w:space="0"/>
              <w:right w:val="single" w:color="000000" w:sz="4" w:space="0"/>
            </w:tcBorders>
            <w:vAlign w:val="center"/>
          </w:tcPr>
          <w:p w14:paraId="007A5537">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投标人（联合体各成员）均具有独立法人资格</w:t>
            </w:r>
            <w:r>
              <w:rPr>
                <w:rFonts w:hint="eastAsia" w:ascii="宋体" w:hAnsi="宋体" w:cs="宋体"/>
                <w:color w:val="auto"/>
                <w:szCs w:val="21"/>
                <w:highlight w:val="none"/>
              </w:rPr>
              <w:t>持有工商行政</w:t>
            </w:r>
            <w:r>
              <w:rPr>
                <w:rFonts w:hint="eastAsia" w:ascii="宋体" w:hAnsi="宋体" w:cs="宋体"/>
                <w:color w:val="auto"/>
                <w:szCs w:val="21"/>
                <w:highlight w:val="none"/>
                <w:u w:val="single"/>
              </w:rPr>
              <w:t>（市场监督）</w:t>
            </w:r>
            <w:r>
              <w:rPr>
                <w:rFonts w:hint="eastAsia" w:ascii="宋体" w:hAnsi="宋体" w:cs="宋体"/>
                <w:color w:val="auto"/>
                <w:szCs w:val="21"/>
                <w:highlight w:val="none"/>
              </w:rPr>
              <w:t>管理部门核发的法人营业执照</w:t>
            </w:r>
            <w:r>
              <w:rPr>
                <w:rFonts w:hint="eastAsia" w:ascii="宋体" w:hAnsi="宋体" w:cs="宋体"/>
                <w:color w:val="auto"/>
                <w:szCs w:val="21"/>
                <w:highlight w:val="none"/>
                <w:u w:val="single"/>
              </w:rPr>
              <w:t>或各级政府事业单位登记管理机关颁发的事业单位法人证书</w:t>
            </w:r>
            <w:r>
              <w:rPr>
                <w:rFonts w:hint="eastAsia" w:ascii="宋体" w:hAnsi="宋体" w:cs="宋体"/>
                <w:bCs/>
                <w:color w:val="auto"/>
                <w:szCs w:val="21"/>
                <w:highlight w:val="none"/>
              </w:rPr>
              <w:t>；</w:t>
            </w:r>
            <w:r>
              <w:rPr>
                <w:rFonts w:hint="eastAsia" w:ascii="宋体" w:hAnsi="宋体" w:cs="宋体"/>
                <w:color w:val="auto"/>
                <w:szCs w:val="21"/>
                <w:highlight w:val="none"/>
              </w:rPr>
              <w:t>按国家法律经营</w:t>
            </w:r>
            <w:r>
              <w:rPr>
                <w:rFonts w:hint="eastAsia" w:ascii="宋体" w:hAnsi="宋体" w:cs="宋体"/>
                <w:bCs/>
                <w:color w:val="auto"/>
                <w:szCs w:val="21"/>
                <w:highlight w:val="none"/>
              </w:rPr>
              <w:t>。</w:t>
            </w:r>
          </w:p>
        </w:tc>
        <w:tc>
          <w:tcPr>
            <w:tcW w:w="425" w:type="dxa"/>
            <w:tcBorders>
              <w:top w:val="single" w:color="000000" w:sz="4" w:space="0"/>
              <w:left w:val="single" w:color="000000" w:sz="4" w:space="0"/>
              <w:bottom w:val="single" w:color="000000" w:sz="4" w:space="0"/>
              <w:right w:val="single" w:color="000000" w:sz="4" w:space="0"/>
            </w:tcBorders>
          </w:tcPr>
          <w:p w14:paraId="623931B1">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tcPr>
          <w:p w14:paraId="32DD24E2">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tcPr>
          <w:p w14:paraId="6024562F">
            <w:pPr>
              <w:spacing w:line="360" w:lineRule="auto"/>
              <w:rPr>
                <w:rFonts w:hint="eastAsia" w:ascii="宋体" w:hAnsi="宋体" w:cs="宋体"/>
                <w:bCs/>
                <w:color w:val="auto"/>
                <w:szCs w:val="21"/>
                <w:highlight w:val="none"/>
              </w:rPr>
            </w:pPr>
          </w:p>
        </w:tc>
      </w:tr>
      <w:tr w14:paraId="6C444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3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46EBFB4">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3</w:t>
            </w:r>
          </w:p>
        </w:tc>
        <w:tc>
          <w:tcPr>
            <w:tcW w:w="11624" w:type="dxa"/>
            <w:tcBorders>
              <w:top w:val="single" w:color="000000" w:sz="4" w:space="0"/>
              <w:left w:val="single" w:color="000000" w:sz="4" w:space="0"/>
              <w:bottom w:val="single" w:color="000000" w:sz="4" w:space="0"/>
              <w:right w:val="single" w:color="000000" w:sz="4" w:space="0"/>
            </w:tcBorders>
            <w:vAlign w:val="center"/>
          </w:tcPr>
          <w:p w14:paraId="25766B30">
            <w:pPr>
              <w:spacing w:line="360" w:lineRule="auto"/>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投标人（或联合体各成员）企业资质符合招标公告要求</w:t>
            </w:r>
            <w:r>
              <w:rPr>
                <w:rFonts w:hint="eastAsia" w:ascii="宋体" w:hAnsi="宋体" w:cs="宋体"/>
                <w:bCs/>
                <w:color w:val="auto"/>
                <w:szCs w:val="21"/>
                <w:highlight w:val="none"/>
                <w:lang w:eastAsia="zh-CN"/>
              </w:rPr>
              <w:t>。</w:t>
            </w:r>
          </w:p>
        </w:tc>
        <w:tc>
          <w:tcPr>
            <w:tcW w:w="425" w:type="dxa"/>
            <w:tcBorders>
              <w:top w:val="single" w:color="000000" w:sz="4" w:space="0"/>
              <w:left w:val="single" w:color="000000" w:sz="4" w:space="0"/>
              <w:bottom w:val="single" w:color="000000" w:sz="4" w:space="0"/>
              <w:right w:val="single" w:color="000000" w:sz="4" w:space="0"/>
            </w:tcBorders>
          </w:tcPr>
          <w:p w14:paraId="676B0BE0">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tcPr>
          <w:p w14:paraId="38E8E484">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tcPr>
          <w:p w14:paraId="79AED667">
            <w:pPr>
              <w:spacing w:line="360" w:lineRule="auto"/>
              <w:rPr>
                <w:rFonts w:hint="eastAsia" w:ascii="宋体" w:hAnsi="宋体" w:cs="宋体"/>
                <w:bCs/>
                <w:color w:val="auto"/>
                <w:szCs w:val="21"/>
                <w:highlight w:val="none"/>
              </w:rPr>
            </w:pPr>
          </w:p>
        </w:tc>
      </w:tr>
      <w:tr w14:paraId="6BE562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3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A172">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4</w:t>
            </w:r>
          </w:p>
        </w:tc>
        <w:tc>
          <w:tcPr>
            <w:tcW w:w="11624" w:type="dxa"/>
            <w:tcBorders>
              <w:top w:val="single" w:color="000000" w:sz="4" w:space="0"/>
              <w:left w:val="single" w:color="000000" w:sz="4" w:space="0"/>
              <w:bottom w:val="single" w:color="000000" w:sz="4" w:space="0"/>
              <w:right w:val="single" w:color="000000" w:sz="4" w:space="0"/>
            </w:tcBorders>
            <w:vAlign w:val="center"/>
          </w:tcPr>
          <w:p w14:paraId="2183F77E">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u w:val="single"/>
              </w:rPr>
              <w:t>投标人（若为联合体投标，由施工单位提供）并具有建设行政主管部门颁发的安全生产许可证。</w:t>
            </w:r>
          </w:p>
        </w:tc>
        <w:tc>
          <w:tcPr>
            <w:tcW w:w="425" w:type="dxa"/>
            <w:tcBorders>
              <w:top w:val="single" w:color="000000" w:sz="4" w:space="0"/>
              <w:left w:val="single" w:color="000000" w:sz="4" w:space="0"/>
              <w:bottom w:val="single" w:color="000000" w:sz="4" w:space="0"/>
              <w:right w:val="single" w:color="000000" w:sz="4" w:space="0"/>
            </w:tcBorders>
          </w:tcPr>
          <w:p w14:paraId="72074369">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tcPr>
          <w:p w14:paraId="2025A8FF">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tcPr>
          <w:p w14:paraId="4F6D17D4">
            <w:pPr>
              <w:spacing w:line="360" w:lineRule="auto"/>
              <w:rPr>
                <w:rFonts w:hint="eastAsia" w:ascii="宋体" w:hAnsi="宋体" w:cs="宋体"/>
                <w:bCs/>
                <w:color w:val="auto"/>
                <w:szCs w:val="21"/>
                <w:highlight w:val="none"/>
              </w:rPr>
            </w:pPr>
          </w:p>
        </w:tc>
      </w:tr>
      <w:tr w14:paraId="41E60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3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2CC46">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5</w:t>
            </w:r>
          </w:p>
        </w:tc>
        <w:tc>
          <w:tcPr>
            <w:tcW w:w="11624" w:type="dxa"/>
            <w:tcBorders>
              <w:top w:val="single" w:color="000000" w:sz="4" w:space="0"/>
              <w:left w:val="single" w:color="000000" w:sz="4" w:space="0"/>
              <w:bottom w:val="single" w:color="000000" w:sz="4" w:space="0"/>
              <w:right w:val="single" w:color="000000" w:sz="4" w:space="0"/>
            </w:tcBorders>
            <w:vAlign w:val="center"/>
          </w:tcPr>
          <w:p w14:paraId="1F771678">
            <w:pPr>
              <w:spacing w:line="360" w:lineRule="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拟派项目负责人（兼施工负责人）（若为联合体投标，由</w:t>
            </w:r>
            <w:r>
              <w:rPr>
                <w:rFonts w:hint="eastAsia" w:ascii="宋体" w:hAnsi="宋体" w:cs="宋体"/>
                <w:bCs/>
                <w:color w:val="auto"/>
                <w:szCs w:val="21"/>
                <w:highlight w:val="none"/>
                <w:u w:val="single"/>
                <w:lang w:eastAsia="zh-CN"/>
              </w:rPr>
              <w:t>牵头单位</w:t>
            </w:r>
            <w:r>
              <w:rPr>
                <w:rFonts w:hint="eastAsia" w:ascii="宋体" w:hAnsi="宋体" w:cs="宋体"/>
                <w:bCs/>
                <w:color w:val="auto"/>
                <w:szCs w:val="21"/>
                <w:highlight w:val="none"/>
                <w:u w:val="single"/>
              </w:rPr>
              <w:t>提供）满足招标公告要求。</w:t>
            </w:r>
          </w:p>
        </w:tc>
        <w:tc>
          <w:tcPr>
            <w:tcW w:w="425" w:type="dxa"/>
            <w:tcBorders>
              <w:top w:val="single" w:color="000000" w:sz="4" w:space="0"/>
              <w:left w:val="single" w:color="000000" w:sz="4" w:space="0"/>
              <w:bottom w:val="single" w:color="000000" w:sz="4" w:space="0"/>
              <w:right w:val="single" w:color="000000" w:sz="4" w:space="0"/>
            </w:tcBorders>
          </w:tcPr>
          <w:p w14:paraId="19B52DF3">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tcPr>
          <w:p w14:paraId="1870668D">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tcPr>
          <w:p w14:paraId="0463A9B5">
            <w:pPr>
              <w:spacing w:line="360" w:lineRule="auto"/>
              <w:rPr>
                <w:rFonts w:hint="eastAsia" w:ascii="宋体" w:hAnsi="宋体" w:cs="宋体"/>
                <w:bCs/>
                <w:color w:val="auto"/>
                <w:szCs w:val="21"/>
                <w:highlight w:val="none"/>
              </w:rPr>
            </w:pPr>
          </w:p>
        </w:tc>
      </w:tr>
      <w:tr w14:paraId="38F97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3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43DA">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szCs w:val="21"/>
                <w:highlight w:val="none"/>
              </w:rPr>
              <w:t>6</w:t>
            </w:r>
          </w:p>
        </w:tc>
        <w:tc>
          <w:tcPr>
            <w:tcW w:w="11624" w:type="dxa"/>
            <w:tcBorders>
              <w:top w:val="single" w:color="000000" w:sz="4" w:space="0"/>
              <w:left w:val="single" w:color="000000" w:sz="4" w:space="0"/>
              <w:bottom w:val="single" w:color="000000" w:sz="4" w:space="0"/>
              <w:right w:val="single" w:color="000000" w:sz="4" w:space="0"/>
            </w:tcBorders>
            <w:vAlign w:val="center"/>
          </w:tcPr>
          <w:p w14:paraId="2071372E">
            <w:pPr>
              <w:spacing w:line="360" w:lineRule="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拟派施工技术负责人（若为联合体投标，由</w:t>
            </w:r>
            <w:r>
              <w:rPr>
                <w:rFonts w:hint="eastAsia" w:ascii="宋体" w:hAnsi="宋体" w:cs="宋体"/>
                <w:bCs/>
                <w:color w:val="auto"/>
                <w:szCs w:val="21"/>
                <w:highlight w:val="none"/>
                <w:u w:val="single"/>
                <w:lang w:eastAsia="zh-CN"/>
              </w:rPr>
              <w:t>牵头单位</w:t>
            </w:r>
            <w:r>
              <w:rPr>
                <w:rFonts w:hint="eastAsia" w:ascii="宋体" w:hAnsi="宋体" w:cs="宋体"/>
                <w:bCs/>
                <w:color w:val="auto"/>
                <w:szCs w:val="21"/>
                <w:highlight w:val="none"/>
                <w:u w:val="single"/>
              </w:rPr>
              <w:t>提供）满足招标公告要求。</w:t>
            </w:r>
          </w:p>
        </w:tc>
        <w:tc>
          <w:tcPr>
            <w:tcW w:w="425" w:type="dxa"/>
            <w:tcBorders>
              <w:top w:val="single" w:color="000000" w:sz="4" w:space="0"/>
              <w:left w:val="single" w:color="000000" w:sz="4" w:space="0"/>
              <w:bottom w:val="single" w:color="000000" w:sz="4" w:space="0"/>
              <w:right w:val="single" w:color="000000" w:sz="4" w:space="0"/>
            </w:tcBorders>
          </w:tcPr>
          <w:p w14:paraId="0E9A3616">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tcPr>
          <w:p w14:paraId="2F4D20A9">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tcPr>
          <w:p w14:paraId="545B538C">
            <w:pPr>
              <w:spacing w:line="360" w:lineRule="auto"/>
              <w:rPr>
                <w:rFonts w:hint="eastAsia" w:ascii="宋体" w:hAnsi="宋体" w:cs="宋体"/>
                <w:bCs/>
                <w:color w:val="auto"/>
                <w:szCs w:val="21"/>
                <w:highlight w:val="none"/>
              </w:rPr>
            </w:pPr>
          </w:p>
        </w:tc>
      </w:tr>
      <w:tr w14:paraId="196A1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1"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C55179E">
            <w:pPr>
              <w:spacing w:line="360" w:lineRule="auto"/>
              <w:jc w:val="center"/>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7</w:t>
            </w:r>
          </w:p>
        </w:tc>
        <w:tc>
          <w:tcPr>
            <w:tcW w:w="11624" w:type="dxa"/>
            <w:tcBorders>
              <w:top w:val="single" w:color="000000" w:sz="4" w:space="0"/>
              <w:left w:val="single" w:color="000000" w:sz="4" w:space="0"/>
              <w:bottom w:val="single" w:color="000000" w:sz="4" w:space="0"/>
              <w:right w:val="single" w:color="000000" w:sz="4" w:space="0"/>
            </w:tcBorders>
            <w:vAlign w:val="center"/>
          </w:tcPr>
          <w:p w14:paraId="436365FD">
            <w:pPr>
              <w:spacing w:line="360" w:lineRule="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拟派设计负责人（若为联合体投标，由</w:t>
            </w:r>
            <w:r>
              <w:rPr>
                <w:rFonts w:hint="eastAsia" w:ascii="宋体" w:hAnsi="宋体" w:cs="宋体"/>
                <w:bCs/>
                <w:color w:val="auto"/>
                <w:szCs w:val="21"/>
                <w:highlight w:val="none"/>
                <w:u w:val="single"/>
                <w:lang w:val="en-US" w:eastAsia="zh-CN"/>
              </w:rPr>
              <w:t>承接设计任务的成员</w:t>
            </w:r>
            <w:r>
              <w:rPr>
                <w:rFonts w:hint="eastAsia" w:ascii="宋体" w:hAnsi="宋体" w:cs="宋体"/>
                <w:bCs/>
                <w:color w:val="auto"/>
                <w:szCs w:val="21"/>
                <w:highlight w:val="none"/>
                <w:u w:val="single"/>
              </w:rPr>
              <w:t>方提供）满足招标公告要求。</w:t>
            </w:r>
          </w:p>
        </w:tc>
        <w:tc>
          <w:tcPr>
            <w:tcW w:w="425" w:type="dxa"/>
            <w:tcBorders>
              <w:top w:val="single" w:color="000000" w:sz="4" w:space="0"/>
              <w:left w:val="single" w:color="000000" w:sz="4" w:space="0"/>
              <w:bottom w:val="single" w:color="000000" w:sz="4" w:space="0"/>
              <w:right w:val="single" w:color="000000" w:sz="4" w:space="0"/>
            </w:tcBorders>
          </w:tcPr>
          <w:p w14:paraId="18BFEFF6">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tcPr>
          <w:p w14:paraId="4009916A">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tcPr>
          <w:p w14:paraId="4A97D62B">
            <w:pPr>
              <w:spacing w:line="360" w:lineRule="auto"/>
              <w:rPr>
                <w:rFonts w:hint="eastAsia" w:ascii="宋体" w:hAnsi="宋体" w:cs="宋体"/>
                <w:bCs/>
                <w:color w:val="auto"/>
                <w:szCs w:val="21"/>
                <w:highlight w:val="none"/>
              </w:rPr>
            </w:pPr>
          </w:p>
        </w:tc>
      </w:tr>
      <w:tr w14:paraId="0D2E7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25"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D2E7824">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8</w:t>
            </w:r>
          </w:p>
        </w:tc>
        <w:tc>
          <w:tcPr>
            <w:tcW w:w="11624" w:type="dxa"/>
            <w:tcBorders>
              <w:top w:val="single" w:color="000000" w:sz="4" w:space="0"/>
              <w:left w:val="single" w:color="000000" w:sz="4" w:space="0"/>
              <w:bottom w:val="single" w:color="000000" w:sz="4" w:space="0"/>
              <w:right w:val="single" w:color="000000" w:sz="4" w:space="0"/>
            </w:tcBorders>
            <w:vAlign w:val="center"/>
          </w:tcPr>
          <w:p w14:paraId="36154EA1">
            <w:pPr>
              <w:spacing w:line="360" w:lineRule="auto"/>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拟派专职安全人员（若为联合体投标，由</w:t>
            </w:r>
            <w:r>
              <w:rPr>
                <w:rFonts w:hint="eastAsia" w:ascii="宋体" w:hAnsi="宋体" w:cs="宋体"/>
                <w:bCs/>
                <w:color w:val="auto"/>
                <w:szCs w:val="21"/>
                <w:highlight w:val="none"/>
                <w:u w:val="single"/>
                <w:lang w:eastAsia="zh-CN"/>
              </w:rPr>
              <w:t>牵头单位</w:t>
            </w:r>
            <w:r>
              <w:rPr>
                <w:rFonts w:hint="eastAsia" w:ascii="宋体" w:hAnsi="宋体" w:cs="宋体"/>
                <w:bCs/>
                <w:color w:val="auto"/>
                <w:szCs w:val="21"/>
                <w:highlight w:val="none"/>
                <w:u w:val="single"/>
              </w:rPr>
              <w:t>提供）须持有在有效期内的安全生产考核合格证书（C类）或建筑施工企业专职安全生产管理人员安全生产考核合格证书（C3）。</w:t>
            </w:r>
          </w:p>
        </w:tc>
        <w:tc>
          <w:tcPr>
            <w:tcW w:w="425" w:type="dxa"/>
            <w:tcBorders>
              <w:top w:val="single" w:color="000000" w:sz="4" w:space="0"/>
              <w:left w:val="single" w:color="000000" w:sz="4" w:space="0"/>
              <w:bottom w:val="single" w:color="000000" w:sz="4" w:space="0"/>
              <w:right w:val="single" w:color="000000" w:sz="4" w:space="0"/>
            </w:tcBorders>
          </w:tcPr>
          <w:p w14:paraId="47BAF26C">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tcPr>
          <w:p w14:paraId="4B118DFA">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tcPr>
          <w:p w14:paraId="5A83A0C5">
            <w:pPr>
              <w:spacing w:line="360" w:lineRule="auto"/>
              <w:rPr>
                <w:rFonts w:hint="eastAsia" w:ascii="宋体" w:hAnsi="宋体" w:cs="宋体"/>
                <w:bCs/>
                <w:color w:val="auto"/>
                <w:szCs w:val="21"/>
                <w:highlight w:val="none"/>
              </w:rPr>
            </w:pPr>
          </w:p>
        </w:tc>
      </w:tr>
      <w:tr w14:paraId="38F0D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47F42ED0">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9</w:t>
            </w:r>
          </w:p>
        </w:tc>
        <w:tc>
          <w:tcPr>
            <w:tcW w:w="11624" w:type="dxa"/>
            <w:tcBorders>
              <w:top w:val="single" w:color="000000" w:sz="4" w:space="0"/>
              <w:left w:val="single" w:color="000000" w:sz="4" w:space="0"/>
              <w:bottom w:val="single" w:color="000000" w:sz="4" w:space="0"/>
              <w:right w:val="single" w:color="000000" w:sz="4" w:space="0"/>
            </w:tcBorders>
            <w:vAlign w:val="center"/>
          </w:tcPr>
          <w:p w14:paraId="71CFC0EF">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u w:val="single"/>
              </w:rPr>
              <w:t>联合体投标的提交《</w:t>
            </w:r>
            <w:bookmarkStart w:id="1076" w:name="_Toc12111"/>
            <w:bookmarkStart w:id="1077" w:name="_Toc22643"/>
            <w:r>
              <w:rPr>
                <w:rFonts w:hint="eastAsia" w:ascii="宋体" w:hAnsi="宋体" w:cs="宋体"/>
                <w:bCs/>
                <w:color w:val="auto"/>
                <w:szCs w:val="21"/>
                <w:highlight w:val="none"/>
                <w:u w:val="single"/>
              </w:rPr>
              <w:t>联合体共同投标协议</w:t>
            </w:r>
            <w:bookmarkEnd w:id="1076"/>
            <w:bookmarkEnd w:id="1077"/>
            <w:r>
              <w:rPr>
                <w:rFonts w:hint="eastAsia" w:ascii="宋体" w:hAnsi="宋体" w:cs="宋体"/>
                <w:bCs/>
                <w:color w:val="auto"/>
                <w:szCs w:val="21"/>
                <w:highlight w:val="none"/>
                <w:u w:val="single"/>
              </w:rPr>
              <w:t>》，联合体组成符合招标公告要求。</w:t>
            </w:r>
          </w:p>
        </w:tc>
        <w:tc>
          <w:tcPr>
            <w:tcW w:w="425" w:type="dxa"/>
            <w:tcBorders>
              <w:top w:val="single" w:color="000000" w:sz="4" w:space="0"/>
              <w:left w:val="single" w:color="000000" w:sz="4" w:space="0"/>
              <w:bottom w:val="single" w:color="000000" w:sz="4" w:space="0"/>
              <w:right w:val="single" w:color="000000" w:sz="4" w:space="0"/>
            </w:tcBorders>
          </w:tcPr>
          <w:p w14:paraId="79D37BE3">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tcPr>
          <w:p w14:paraId="7047D635">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tcPr>
          <w:p w14:paraId="6C2BC71C">
            <w:pPr>
              <w:spacing w:line="360" w:lineRule="auto"/>
              <w:rPr>
                <w:rFonts w:hint="eastAsia" w:ascii="宋体" w:hAnsi="宋体" w:cs="宋体"/>
                <w:bCs/>
                <w:color w:val="auto"/>
                <w:szCs w:val="21"/>
                <w:highlight w:val="none"/>
              </w:rPr>
            </w:pPr>
          </w:p>
        </w:tc>
      </w:tr>
      <w:tr w14:paraId="27D1B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3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04A53861">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10</w:t>
            </w:r>
          </w:p>
        </w:tc>
        <w:tc>
          <w:tcPr>
            <w:tcW w:w="11624" w:type="dxa"/>
            <w:tcBorders>
              <w:top w:val="single" w:color="000000" w:sz="4" w:space="0"/>
              <w:left w:val="single" w:color="000000" w:sz="4" w:space="0"/>
              <w:bottom w:val="single" w:color="000000" w:sz="4" w:space="0"/>
              <w:right w:val="single" w:color="000000" w:sz="4" w:space="0"/>
            </w:tcBorders>
            <w:vAlign w:val="center"/>
          </w:tcPr>
          <w:p w14:paraId="52E1635B">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投标人提供的投标人声明符合招标公告要求。</w:t>
            </w:r>
          </w:p>
        </w:tc>
        <w:tc>
          <w:tcPr>
            <w:tcW w:w="425" w:type="dxa"/>
            <w:tcBorders>
              <w:top w:val="single" w:color="000000" w:sz="4" w:space="0"/>
              <w:left w:val="single" w:color="000000" w:sz="4" w:space="0"/>
              <w:bottom w:val="single" w:color="000000" w:sz="4" w:space="0"/>
              <w:right w:val="single" w:color="000000" w:sz="4" w:space="0"/>
            </w:tcBorders>
          </w:tcPr>
          <w:p w14:paraId="00BDA4EA">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tcPr>
          <w:p w14:paraId="6E18DB8F">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tcPr>
          <w:p w14:paraId="590477FB">
            <w:pPr>
              <w:spacing w:line="360" w:lineRule="auto"/>
              <w:rPr>
                <w:rFonts w:hint="eastAsia" w:ascii="宋体" w:hAnsi="宋体" w:cs="宋体"/>
                <w:bCs/>
                <w:color w:val="auto"/>
                <w:szCs w:val="21"/>
                <w:highlight w:val="none"/>
              </w:rPr>
            </w:pPr>
          </w:p>
        </w:tc>
      </w:tr>
      <w:tr w14:paraId="5E054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64"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233A2CEC">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11</w:t>
            </w:r>
          </w:p>
        </w:tc>
        <w:tc>
          <w:tcPr>
            <w:tcW w:w="11624" w:type="dxa"/>
            <w:tcBorders>
              <w:top w:val="single" w:color="000000" w:sz="4" w:space="0"/>
              <w:left w:val="single" w:color="000000" w:sz="4" w:space="0"/>
              <w:bottom w:val="single" w:color="000000" w:sz="4" w:space="0"/>
              <w:right w:val="single" w:color="000000" w:sz="4" w:space="0"/>
            </w:tcBorders>
            <w:vAlign w:val="center"/>
          </w:tcPr>
          <w:p w14:paraId="70ACF6FA">
            <w:pPr>
              <w:spacing w:line="360" w:lineRule="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u w:val="single"/>
                <w:lang w:eastAsia="zh-CN"/>
              </w:rPr>
              <w:t>资格审查前（若为联合体投标，指联合体各方），投标人在广州市住房和城乡建设局建立企业信用档案，且拟担任本项目的项目负责人（兼施工项目负责人）、专职安全员、设计负责人是本企业信用档案中的在册人员（联合体投标的，信用档案信息和人员在册情况为联合体共同投标协议书中分工对应广州市住建行业信用管理平台信息）。</w:t>
            </w:r>
          </w:p>
        </w:tc>
        <w:tc>
          <w:tcPr>
            <w:tcW w:w="425" w:type="dxa"/>
            <w:tcBorders>
              <w:top w:val="single" w:color="000000" w:sz="4" w:space="0"/>
              <w:left w:val="single" w:color="000000" w:sz="4" w:space="0"/>
              <w:bottom w:val="single" w:color="000000" w:sz="4" w:space="0"/>
              <w:right w:val="single" w:color="000000" w:sz="4" w:space="0"/>
            </w:tcBorders>
          </w:tcPr>
          <w:p w14:paraId="20F061DA">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tcPr>
          <w:p w14:paraId="2D7718BE">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tcPr>
          <w:p w14:paraId="6A0BC276">
            <w:pPr>
              <w:spacing w:line="360" w:lineRule="auto"/>
              <w:rPr>
                <w:rFonts w:hint="eastAsia" w:ascii="宋体" w:hAnsi="宋体" w:cs="宋体"/>
                <w:bCs/>
                <w:color w:val="auto"/>
                <w:szCs w:val="21"/>
                <w:highlight w:val="none"/>
              </w:rPr>
            </w:pPr>
          </w:p>
        </w:tc>
      </w:tr>
      <w:tr w14:paraId="67F7C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713502ED">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12</w:t>
            </w:r>
          </w:p>
        </w:tc>
        <w:tc>
          <w:tcPr>
            <w:tcW w:w="11624" w:type="dxa"/>
            <w:tcBorders>
              <w:top w:val="single" w:color="000000" w:sz="4" w:space="0"/>
              <w:left w:val="single" w:color="000000" w:sz="4" w:space="0"/>
              <w:bottom w:val="single" w:color="000000" w:sz="4" w:space="0"/>
              <w:right w:val="single" w:color="000000" w:sz="4" w:space="0"/>
            </w:tcBorders>
            <w:vAlign w:val="center"/>
          </w:tcPr>
          <w:p w14:paraId="2D506B0B">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投标人</w:t>
            </w:r>
            <w:r>
              <w:rPr>
                <w:rFonts w:hint="eastAsia" w:ascii="宋体" w:hAnsi="宋体" w:cs="宋体"/>
                <w:bCs/>
                <w:color w:val="auto"/>
                <w:szCs w:val="21"/>
                <w:highlight w:val="none"/>
                <w:u w:val="single"/>
              </w:rPr>
              <w:t>（联合体各成员）</w:t>
            </w:r>
            <w:r>
              <w:rPr>
                <w:rFonts w:hint="eastAsia" w:ascii="宋体" w:hAnsi="宋体" w:cs="宋体"/>
                <w:bCs/>
                <w:color w:val="auto"/>
                <w:szCs w:val="21"/>
                <w:highlight w:val="none"/>
              </w:rPr>
              <w:t>未出现以下情形：</w:t>
            </w:r>
            <w:r>
              <w:rPr>
                <w:rFonts w:hint="eastAsia" w:ascii="宋体" w:hAnsi="宋体" w:cs="宋体"/>
                <w:bCs/>
                <w:color w:val="auto"/>
                <w:szCs w:val="21"/>
                <w:highlight w:val="none"/>
                <w:u w:val="single"/>
              </w:rPr>
              <w:t>与其它投标人（联合体各成员）的单位负责人为同一人或者存在控股、管理关系的（按投标人提供的《投标人声明》第</w:t>
            </w:r>
            <w:r>
              <w:rPr>
                <w:rFonts w:hint="eastAsia" w:ascii="宋体" w:hAnsi="宋体" w:cs="宋体"/>
                <w:bCs/>
                <w:color w:val="auto"/>
                <w:szCs w:val="21"/>
                <w:highlight w:val="none"/>
                <w:u w:val="single"/>
                <w:lang w:val="en-US" w:eastAsia="zh-CN"/>
              </w:rPr>
              <w:t>九</w:t>
            </w:r>
            <w:r>
              <w:rPr>
                <w:rFonts w:hint="eastAsia" w:ascii="宋体" w:hAnsi="宋体" w:cs="宋体"/>
                <w:bCs/>
                <w:color w:val="auto"/>
                <w:szCs w:val="21"/>
                <w:highlight w:val="none"/>
                <w:u w:val="single"/>
              </w:rPr>
              <w:t>条内容进行评审）</w:t>
            </w:r>
            <w:r>
              <w:rPr>
                <w:rFonts w:hint="eastAsia" w:ascii="宋体" w:hAnsi="宋体" w:cs="宋体"/>
                <w:bCs/>
                <w:color w:val="auto"/>
                <w:szCs w:val="21"/>
                <w:highlight w:val="none"/>
              </w:rPr>
              <w:t>。</w:t>
            </w:r>
          </w:p>
        </w:tc>
        <w:tc>
          <w:tcPr>
            <w:tcW w:w="425" w:type="dxa"/>
            <w:tcBorders>
              <w:top w:val="single" w:color="000000" w:sz="4" w:space="0"/>
              <w:left w:val="single" w:color="000000" w:sz="4" w:space="0"/>
              <w:bottom w:val="single" w:color="000000" w:sz="4" w:space="0"/>
              <w:right w:val="single" w:color="000000" w:sz="4" w:space="0"/>
            </w:tcBorders>
          </w:tcPr>
          <w:p w14:paraId="63A86AE8">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tcPr>
          <w:p w14:paraId="4DFB998B">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tcPr>
          <w:p w14:paraId="5A941FC7">
            <w:pPr>
              <w:spacing w:line="360" w:lineRule="auto"/>
              <w:rPr>
                <w:rFonts w:hint="eastAsia" w:ascii="宋体" w:hAnsi="宋体" w:cs="宋体"/>
                <w:bCs/>
                <w:color w:val="auto"/>
                <w:szCs w:val="21"/>
                <w:highlight w:val="none"/>
              </w:rPr>
            </w:pPr>
          </w:p>
        </w:tc>
      </w:tr>
      <w:tr w14:paraId="283AE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479" w:hRule="atLeast"/>
        </w:trPr>
        <w:tc>
          <w:tcPr>
            <w:tcW w:w="709" w:type="dxa"/>
            <w:tcBorders>
              <w:top w:val="single" w:color="000000" w:sz="4" w:space="0"/>
              <w:left w:val="single" w:color="000000" w:sz="4" w:space="0"/>
              <w:bottom w:val="single" w:color="000000" w:sz="4" w:space="0"/>
              <w:right w:val="single" w:color="000000" w:sz="4" w:space="0"/>
            </w:tcBorders>
            <w:vAlign w:val="center"/>
          </w:tcPr>
          <w:p w14:paraId="1198DA35">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13</w:t>
            </w:r>
          </w:p>
        </w:tc>
        <w:tc>
          <w:tcPr>
            <w:tcW w:w="11624" w:type="dxa"/>
            <w:tcBorders>
              <w:top w:val="single" w:color="000000" w:sz="4" w:space="0"/>
              <w:left w:val="single" w:color="000000" w:sz="4" w:space="0"/>
              <w:bottom w:val="single" w:color="000000" w:sz="4" w:space="0"/>
              <w:right w:val="single" w:color="000000" w:sz="4" w:space="0"/>
            </w:tcBorders>
            <w:vAlign w:val="center"/>
          </w:tcPr>
          <w:p w14:paraId="126970A1">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投标人</w:t>
            </w:r>
            <w:r>
              <w:rPr>
                <w:rFonts w:hint="eastAsia" w:ascii="宋体" w:hAnsi="宋体" w:cs="宋体"/>
                <w:bCs/>
                <w:color w:val="auto"/>
                <w:szCs w:val="21"/>
                <w:highlight w:val="none"/>
                <w:u w:val="single"/>
              </w:rPr>
              <w:t>（联合体各成员）未被列入拖欠农民工工资失信联合惩戒对象名单。本项投标人无需提供资料，按交易系统比对结果进行评审</w:t>
            </w:r>
            <w:r>
              <w:rPr>
                <w:rFonts w:hint="eastAsia" w:ascii="宋体" w:hAnsi="宋体" w:cs="宋体"/>
                <w:bCs/>
                <w:color w:val="auto"/>
                <w:szCs w:val="21"/>
                <w:highlight w:val="none"/>
              </w:rPr>
              <w:t>。</w:t>
            </w:r>
          </w:p>
        </w:tc>
        <w:tc>
          <w:tcPr>
            <w:tcW w:w="425" w:type="dxa"/>
            <w:tcBorders>
              <w:top w:val="single" w:color="000000" w:sz="4" w:space="0"/>
              <w:left w:val="single" w:color="000000" w:sz="4" w:space="0"/>
              <w:bottom w:val="single" w:color="000000" w:sz="4" w:space="0"/>
              <w:right w:val="single" w:color="000000" w:sz="4" w:space="0"/>
            </w:tcBorders>
          </w:tcPr>
          <w:p w14:paraId="4AEC3161">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tcPr>
          <w:p w14:paraId="57FB5823">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tcPr>
          <w:p w14:paraId="7C53ECF4">
            <w:pPr>
              <w:spacing w:line="360" w:lineRule="auto"/>
              <w:rPr>
                <w:rFonts w:hint="eastAsia" w:ascii="宋体" w:hAnsi="宋体" w:cs="宋体"/>
                <w:bCs/>
                <w:color w:val="auto"/>
                <w:szCs w:val="21"/>
                <w:highlight w:val="none"/>
              </w:rPr>
            </w:pPr>
          </w:p>
        </w:tc>
      </w:tr>
      <w:tr w14:paraId="5D919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1" w:hRule="atLeast"/>
        </w:trPr>
        <w:tc>
          <w:tcPr>
            <w:tcW w:w="12333" w:type="dxa"/>
            <w:gridSpan w:val="2"/>
            <w:tcBorders>
              <w:top w:val="single" w:color="000000" w:sz="4" w:space="0"/>
              <w:left w:val="single" w:color="000000" w:sz="4" w:space="0"/>
              <w:bottom w:val="single" w:color="000000" w:sz="4" w:space="0"/>
              <w:right w:val="single" w:color="000000" w:sz="4" w:space="0"/>
            </w:tcBorders>
            <w:vAlign w:val="center"/>
          </w:tcPr>
          <w:p w14:paraId="779DC173">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结论</w:t>
            </w:r>
          </w:p>
        </w:tc>
        <w:tc>
          <w:tcPr>
            <w:tcW w:w="425" w:type="dxa"/>
            <w:tcBorders>
              <w:top w:val="single" w:color="000000" w:sz="4" w:space="0"/>
              <w:left w:val="single" w:color="000000" w:sz="4" w:space="0"/>
              <w:bottom w:val="single" w:color="000000" w:sz="4" w:space="0"/>
              <w:right w:val="single" w:color="000000" w:sz="4" w:space="0"/>
            </w:tcBorders>
          </w:tcPr>
          <w:p w14:paraId="71A7DFA8">
            <w:pPr>
              <w:spacing w:line="360" w:lineRule="auto"/>
              <w:rPr>
                <w:rFonts w:hint="eastAsia" w:ascii="宋体" w:hAnsi="宋体" w:cs="宋体"/>
                <w:bCs/>
                <w:color w:val="auto"/>
                <w:szCs w:val="21"/>
                <w:highlight w:val="none"/>
              </w:rPr>
            </w:pPr>
          </w:p>
        </w:tc>
        <w:tc>
          <w:tcPr>
            <w:tcW w:w="567" w:type="dxa"/>
            <w:tcBorders>
              <w:top w:val="single" w:color="000000" w:sz="4" w:space="0"/>
              <w:left w:val="single" w:color="000000" w:sz="4" w:space="0"/>
              <w:bottom w:val="single" w:color="000000" w:sz="4" w:space="0"/>
              <w:right w:val="single" w:color="000000" w:sz="4" w:space="0"/>
            </w:tcBorders>
          </w:tcPr>
          <w:p w14:paraId="1DD56897">
            <w:pPr>
              <w:spacing w:line="360" w:lineRule="auto"/>
              <w:rPr>
                <w:rFonts w:hint="eastAsia" w:ascii="宋体" w:hAnsi="宋体" w:cs="宋体"/>
                <w:bCs/>
                <w:color w:val="auto"/>
                <w:szCs w:val="21"/>
                <w:highlight w:val="none"/>
              </w:rPr>
            </w:pPr>
          </w:p>
        </w:tc>
        <w:tc>
          <w:tcPr>
            <w:tcW w:w="425" w:type="dxa"/>
            <w:tcBorders>
              <w:top w:val="single" w:color="000000" w:sz="4" w:space="0"/>
              <w:left w:val="single" w:color="000000" w:sz="4" w:space="0"/>
              <w:bottom w:val="single" w:color="000000" w:sz="4" w:space="0"/>
              <w:right w:val="single" w:color="000000" w:sz="4" w:space="0"/>
            </w:tcBorders>
          </w:tcPr>
          <w:p w14:paraId="0F491F82">
            <w:pPr>
              <w:spacing w:line="360" w:lineRule="auto"/>
              <w:rPr>
                <w:rFonts w:hint="eastAsia" w:ascii="宋体" w:hAnsi="宋体" w:cs="宋体"/>
                <w:bCs/>
                <w:color w:val="auto"/>
                <w:szCs w:val="21"/>
                <w:highlight w:val="none"/>
              </w:rPr>
            </w:pPr>
          </w:p>
        </w:tc>
      </w:tr>
    </w:tbl>
    <w:p w14:paraId="5684E6CD">
      <w:pPr>
        <w:rPr>
          <w:rFonts w:hint="eastAsia" w:ascii="宋体" w:hAnsi="宋体" w:cs="宋体"/>
          <w:bCs/>
          <w:color w:val="auto"/>
          <w:szCs w:val="21"/>
          <w:highlight w:val="none"/>
          <w:u w:val="single"/>
        </w:rPr>
      </w:pPr>
      <w:r>
        <w:rPr>
          <w:rFonts w:hint="eastAsia" w:ascii="宋体" w:hAnsi="宋体" w:cs="宋体"/>
          <w:bCs/>
          <w:color w:val="auto"/>
          <w:szCs w:val="21"/>
          <w:highlight w:val="none"/>
        </w:rPr>
        <w:t>注：</w:t>
      </w:r>
      <w:r>
        <w:rPr>
          <w:rFonts w:hint="eastAsia" w:ascii="宋体" w:hAnsi="宋体" w:cs="宋体"/>
          <w:bCs/>
          <w:color w:val="auto"/>
          <w:szCs w:val="21"/>
          <w:highlight w:val="none"/>
          <w:u w:val="single"/>
        </w:rPr>
        <w:t>1.凡不满足以上任何一项情形，结论均为无效，否则就为有效。有效的记“○”无效的记“×”，全部审查项目均为有效的，结论为“通过”，否则为“不通过”。</w:t>
      </w:r>
    </w:p>
    <w:p w14:paraId="12984E34">
      <w:pPr>
        <w:rPr>
          <w:rFonts w:hint="eastAsia" w:ascii="宋体" w:hAnsi="宋体" w:cs="宋体"/>
          <w:bCs/>
          <w:color w:val="auto"/>
          <w:szCs w:val="21"/>
          <w:highlight w:val="none"/>
        </w:rPr>
      </w:pPr>
      <w:r>
        <w:rPr>
          <w:rFonts w:hint="eastAsia" w:ascii="宋体" w:hAnsi="宋体" w:cs="宋体"/>
          <w:bCs/>
          <w:color w:val="auto"/>
          <w:szCs w:val="21"/>
          <w:highlight w:val="none"/>
        </w:rPr>
        <w:t>2.如对本表中某种情形的评审意见不一致时，以评审组过半数成员的意见作为评审组对该情形的认定结论。</w:t>
      </w:r>
    </w:p>
    <w:p w14:paraId="42333D59">
      <w:pPr>
        <w:rPr>
          <w:rFonts w:hint="eastAsia" w:ascii="宋体" w:hAnsi="宋体" w:cs="宋体"/>
          <w:bCs/>
          <w:color w:val="auto"/>
          <w:szCs w:val="21"/>
          <w:highlight w:val="none"/>
          <w:u w:val="single"/>
        </w:rPr>
      </w:pPr>
      <w:r>
        <w:rPr>
          <w:rFonts w:hint="eastAsia" w:ascii="宋体" w:hAnsi="宋体" w:cs="宋体"/>
          <w:bCs/>
          <w:color w:val="auto"/>
          <w:szCs w:val="21"/>
          <w:highlight w:val="none"/>
          <w:u w:val="single"/>
        </w:rPr>
        <w:t>3.不得将文件顺序、明显的文字错误等列为否决投标的情形。评委发现投标文件中含义不明确、对同类问题表述不一致、有明显文字和计算错误的，应当要求投标人作必要的澄清、说明后再判定投标人是否通过形式审查，不得直接否决投标，若出现评标委员会否决投标的，应在评标报告中载明否决投标的具体情形、原因。</w:t>
      </w:r>
    </w:p>
    <w:p w14:paraId="4C985ED9">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评委签名：                   日期：</w:t>
      </w:r>
    </w:p>
    <w:p w14:paraId="42F625B6">
      <w:pPr>
        <w:spacing w:line="360" w:lineRule="auto"/>
        <w:rPr>
          <w:rFonts w:ascii="宋体" w:hAnsi="宋体" w:cs="宋体"/>
          <w:b/>
          <w:bCs/>
          <w:color w:val="auto"/>
          <w:sz w:val="24"/>
          <w:szCs w:val="24"/>
          <w:highlight w:val="none"/>
        </w:rPr>
      </w:pPr>
    </w:p>
    <w:p w14:paraId="3E76FBF6">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5BBD6D3B">
      <w:pPr>
        <w:spacing w:line="360" w:lineRule="auto"/>
        <w:rPr>
          <w:rFonts w:ascii="宋体" w:hAnsi="宋体" w:cs="宋体"/>
          <w:b/>
          <w:color w:val="auto"/>
          <w:sz w:val="24"/>
          <w:szCs w:val="24"/>
          <w:highlight w:val="none"/>
        </w:rPr>
      </w:pPr>
      <w:r>
        <w:rPr>
          <w:rFonts w:hint="eastAsia" w:ascii="宋体" w:hAnsi="宋体" w:cs="宋体"/>
          <w:b/>
          <w:color w:val="auto"/>
          <w:sz w:val="24"/>
          <w:szCs w:val="24"/>
          <w:highlight w:val="none"/>
        </w:rPr>
        <w:t>附表</w:t>
      </w:r>
      <w:r>
        <w:rPr>
          <w:rFonts w:hint="eastAsia" w:ascii="宋体" w:hAnsi="宋体" w:cs="宋体"/>
          <w:b/>
          <w:color w:val="auto"/>
          <w:sz w:val="24"/>
          <w:szCs w:val="24"/>
          <w:highlight w:val="none"/>
          <w:lang w:val="en-US" w:eastAsia="zh-CN"/>
        </w:rPr>
        <w:t>二</w:t>
      </w:r>
      <w:r>
        <w:rPr>
          <w:rFonts w:hint="eastAsia" w:ascii="宋体" w:hAnsi="宋体" w:cs="宋体"/>
          <w:b/>
          <w:color w:val="auto"/>
          <w:sz w:val="24"/>
          <w:szCs w:val="24"/>
          <w:highlight w:val="none"/>
        </w:rPr>
        <w:t xml:space="preserve">： </w:t>
      </w:r>
    </w:p>
    <w:p w14:paraId="4F09659F">
      <w:pPr>
        <w:spacing w:line="360" w:lineRule="auto"/>
        <w:rPr>
          <w:rFonts w:hint="eastAsia" w:ascii="宋体" w:hAnsi="宋体" w:cs="宋体"/>
          <w:b/>
          <w:color w:val="auto"/>
          <w:sz w:val="24"/>
          <w:szCs w:val="24"/>
          <w:highlight w:val="none"/>
        </w:rPr>
      </w:pPr>
    </w:p>
    <w:p w14:paraId="5DF84BA9">
      <w:pPr>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算术复核表</w:t>
      </w:r>
    </w:p>
    <w:p w14:paraId="44061F10">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工程名称：</w:t>
      </w:r>
    </w:p>
    <w:tbl>
      <w:tblPr>
        <w:tblStyle w:val="17"/>
        <w:tblW w:w="1417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4"/>
        <w:gridCol w:w="4297"/>
        <w:gridCol w:w="2330"/>
        <w:gridCol w:w="3101"/>
        <w:gridCol w:w="3423"/>
      </w:tblGrid>
      <w:tr w14:paraId="52BD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14:paraId="3929E1BF">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编号</w:t>
            </w:r>
          </w:p>
        </w:tc>
        <w:tc>
          <w:tcPr>
            <w:tcW w:w="4297" w:type="dxa"/>
            <w:tcBorders>
              <w:top w:val="single" w:color="auto" w:sz="4" w:space="0"/>
              <w:left w:val="nil"/>
              <w:bottom w:val="single" w:color="auto" w:sz="4" w:space="0"/>
              <w:right w:val="single" w:color="auto" w:sz="4" w:space="0"/>
            </w:tcBorders>
          </w:tcPr>
          <w:p w14:paraId="6652716F">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tc>
        <w:tc>
          <w:tcPr>
            <w:tcW w:w="2330" w:type="dxa"/>
            <w:tcBorders>
              <w:top w:val="single" w:color="auto" w:sz="4" w:space="0"/>
              <w:left w:val="nil"/>
              <w:bottom w:val="single" w:color="auto" w:sz="4" w:space="0"/>
              <w:right w:val="single" w:color="auto" w:sz="4" w:space="0"/>
            </w:tcBorders>
          </w:tcPr>
          <w:p w14:paraId="5AFC6605">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原投标报价（A）</w:t>
            </w:r>
          </w:p>
        </w:tc>
        <w:tc>
          <w:tcPr>
            <w:tcW w:w="3101" w:type="dxa"/>
            <w:tcBorders>
              <w:top w:val="single" w:color="auto" w:sz="4" w:space="0"/>
              <w:left w:val="nil"/>
              <w:bottom w:val="single" w:color="auto" w:sz="4" w:space="0"/>
              <w:right w:val="single" w:color="auto" w:sz="4" w:space="0"/>
            </w:tcBorders>
          </w:tcPr>
          <w:p w14:paraId="50D6C17C">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算术</w:t>
            </w:r>
            <w:r>
              <w:rPr>
                <w:rFonts w:hint="eastAsia" w:ascii="宋体" w:hAnsi="宋体" w:cs="宋体"/>
                <w:bCs/>
                <w:color w:val="auto"/>
                <w:sz w:val="24"/>
                <w:szCs w:val="24"/>
                <w:highlight w:val="none"/>
              </w:rPr>
              <w:t>复核后投标报价（B）</w:t>
            </w:r>
          </w:p>
        </w:tc>
        <w:tc>
          <w:tcPr>
            <w:tcW w:w="3423" w:type="dxa"/>
            <w:tcBorders>
              <w:top w:val="single" w:color="auto" w:sz="4" w:space="0"/>
              <w:left w:val="nil"/>
              <w:bottom w:val="single" w:color="auto" w:sz="4" w:space="0"/>
              <w:right w:val="single" w:color="auto" w:sz="4" w:space="0"/>
            </w:tcBorders>
          </w:tcPr>
          <w:p w14:paraId="3E6FD196">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误差率（r=|A-B|/A*100%）</w:t>
            </w:r>
          </w:p>
        </w:tc>
      </w:tr>
      <w:tr w14:paraId="61CC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14:paraId="7EC05DD1">
            <w:pPr>
              <w:spacing w:line="360" w:lineRule="auto"/>
              <w:rPr>
                <w:rFonts w:hint="eastAsia" w:ascii="宋体" w:hAnsi="宋体" w:cs="宋体"/>
                <w:bCs/>
                <w:color w:val="auto"/>
                <w:sz w:val="24"/>
                <w:szCs w:val="24"/>
                <w:highlight w:val="none"/>
              </w:rPr>
            </w:pPr>
          </w:p>
        </w:tc>
        <w:tc>
          <w:tcPr>
            <w:tcW w:w="4297" w:type="dxa"/>
            <w:tcBorders>
              <w:top w:val="single" w:color="auto" w:sz="4" w:space="0"/>
              <w:left w:val="nil"/>
              <w:bottom w:val="single" w:color="auto" w:sz="4" w:space="0"/>
              <w:right w:val="single" w:color="auto" w:sz="4" w:space="0"/>
            </w:tcBorders>
          </w:tcPr>
          <w:p w14:paraId="6F7937CB">
            <w:pPr>
              <w:spacing w:line="360" w:lineRule="auto"/>
              <w:rPr>
                <w:rFonts w:hint="eastAsia" w:ascii="宋体" w:hAnsi="宋体" w:cs="宋体"/>
                <w:bCs/>
                <w:color w:val="auto"/>
                <w:sz w:val="24"/>
                <w:szCs w:val="24"/>
                <w:highlight w:val="none"/>
              </w:rPr>
            </w:pPr>
          </w:p>
        </w:tc>
        <w:tc>
          <w:tcPr>
            <w:tcW w:w="2330" w:type="dxa"/>
            <w:tcBorders>
              <w:top w:val="single" w:color="auto" w:sz="4" w:space="0"/>
              <w:left w:val="nil"/>
              <w:bottom w:val="single" w:color="auto" w:sz="4" w:space="0"/>
              <w:right w:val="single" w:color="auto" w:sz="4" w:space="0"/>
            </w:tcBorders>
          </w:tcPr>
          <w:p w14:paraId="3180DA64">
            <w:pPr>
              <w:spacing w:line="360" w:lineRule="auto"/>
              <w:rPr>
                <w:rFonts w:hint="eastAsia" w:ascii="宋体" w:hAnsi="宋体" w:cs="宋体"/>
                <w:bCs/>
                <w:color w:val="auto"/>
                <w:sz w:val="24"/>
                <w:szCs w:val="24"/>
                <w:highlight w:val="none"/>
              </w:rPr>
            </w:pPr>
          </w:p>
        </w:tc>
        <w:tc>
          <w:tcPr>
            <w:tcW w:w="3101" w:type="dxa"/>
            <w:tcBorders>
              <w:top w:val="single" w:color="auto" w:sz="4" w:space="0"/>
              <w:left w:val="nil"/>
              <w:bottom w:val="single" w:color="auto" w:sz="4" w:space="0"/>
              <w:right w:val="single" w:color="auto" w:sz="4" w:space="0"/>
            </w:tcBorders>
          </w:tcPr>
          <w:p w14:paraId="48ECBF9A">
            <w:pPr>
              <w:spacing w:line="360" w:lineRule="auto"/>
              <w:rPr>
                <w:rFonts w:hint="eastAsia" w:ascii="宋体" w:hAnsi="宋体" w:cs="宋体"/>
                <w:bCs/>
                <w:color w:val="auto"/>
                <w:sz w:val="24"/>
                <w:szCs w:val="24"/>
                <w:highlight w:val="none"/>
              </w:rPr>
            </w:pPr>
          </w:p>
        </w:tc>
        <w:tc>
          <w:tcPr>
            <w:tcW w:w="3423" w:type="dxa"/>
            <w:tcBorders>
              <w:top w:val="single" w:color="auto" w:sz="4" w:space="0"/>
              <w:left w:val="nil"/>
              <w:bottom w:val="single" w:color="auto" w:sz="4" w:space="0"/>
              <w:right w:val="single" w:color="auto" w:sz="4" w:space="0"/>
            </w:tcBorders>
          </w:tcPr>
          <w:p w14:paraId="577B1AD2">
            <w:pPr>
              <w:spacing w:line="360" w:lineRule="auto"/>
              <w:rPr>
                <w:rFonts w:hint="eastAsia" w:ascii="宋体" w:hAnsi="宋体" w:cs="宋体"/>
                <w:bCs/>
                <w:color w:val="auto"/>
                <w:sz w:val="24"/>
                <w:szCs w:val="24"/>
                <w:highlight w:val="none"/>
              </w:rPr>
            </w:pPr>
          </w:p>
        </w:tc>
      </w:tr>
      <w:tr w14:paraId="0A076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14:paraId="613C096B">
            <w:pPr>
              <w:spacing w:line="360" w:lineRule="auto"/>
              <w:rPr>
                <w:rFonts w:hint="eastAsia" w:ascii="宋体" w:hAnsi="宋体" w:cs="宋体"/>
                <w:bCs/>
                <w:color w:val="auto"/>
                <w:sz w:val="24"/>
                <w:szCs w:val="24"/>
                <w:highlight w:val="none"/>
              </w:rPr>
            </w:pPr>
          </w:p>
        </w:tc>
        <w:tc>
          <w:tcPr>
            <w:tcW w:w="4297" w:type="dxa"/>
            <w:tcBorders>
              <w:top w:val="single" w:color="auto" w:sz="4" w:space="0"/>
              <w:left w:val="nil"/>
              <w:bottom w:val="single" w:color="auto" w:sz="4" w:space="0"/>
              <w:right w:val="single" w:color="auto" w:sz="4" w:space="0"/>
            </w:tcBorders>
          </w:tcPr>
          <w:p w14:paraId="27A8DB52">
            <w:pPr>
              <w:spacing w:line="360" w:lineRule="auto"/>
              <w:rPr>
                <w:rFonts w:hint="eastAsia" w:ascii="宋体" w:hAnsi="宋体" w:cs="宋体"/>
                <w:bCs/>
                <w:color w:val="auto"/>
                <w:sz w:val="24"/>
                <w:szCs w:val="24"/>
                <w:highlight w:val="none"/>
              </w:rPr>
            </w:pPr>
          </w:p>
        </w:tc>
        <w:tc>
          <w:tcPr>
            <w:tcW w:w="2330" w:type="dxa"/>
            <w:tcBorders>
              <w:top w:val="single" w:color="auto" w:sz="4" w:space="0"/>
              <w:left w:val="nil"/>
              <w:bottom w:val="single" w:color="auto" w:sz="4" w:space="0"/>
              <w:right w:val="single" w:color="auto" w:sz="4" w:space="0"/>
            </w:tcBorders>
          </w:tcPr>
          <w:p w14:paraId="672B6C2E">
            <w:pPr>
              <w:spacing w:line="360" w:lineRule="auto"/>
              <w:rPr>
                <w:rFonts w:hint="eastAsia" w:ascii="宋体" w:hAnsi="宋体" w:cs="宋体"/>
                <w:bCs/>
                <w:color w:val="auto"/>
                <w:sz w:val="24"/>
                <w:szCs w:val="24"/>
                <w:highlight w:val="none"/>
              </w:rPr>
            </w:pPr>
          </w:p>
        </w:tc>
        <w:tc>
          <w:tcPr>
            <w:tcW w:w="3101" w:type="dxa"/>
            <w:tcBorders>
              <w:top w:val="single" w:color="auto" w:sz="4" w:space="0"/>
              <w:left w:val="nil"/>
              <w:bottom w:val="single" w:color="auto" w:sz="4" w:space="0"/>
              <w:right w:val="single" w:color="auto" w:sz="4" w:space="0"/>
            </w:tcBorders>
          </w:tcPr>
          <w:p w14:paraId="4376CB36">
            <w:pPr>
              <w:spacing w:line="360" w:lineRule="auto"/>
              <w:rPr>
                <w:rFonts w:hint="eastAsia" w:ascii="宋体" w:hAnsi="宋体" w:cs="宋体"/>
                <w:bCs/>
                <w:color w:val="auto"/>
                <w:sz w:val="24"/>
                <w:szCs w:val="24"/>
                <w:highlight w:val="none"/>
              </w:rPr>
            </w:pPr>
          </w:p>
        </w:tc>
        <w:tc>
          <w:tcPr>
            <w:tcW w:w="3423" w:type="dxa"/>
            <w:tcBorders>
              <w:top w:val="single" w:color="auto" w:sz="4" w:space="0"/>
              <w:left w:val="nil"/>
              <w:bottom w:val="single" w:color="auto" w:sz="4" w:space="0"/>
              <w:right w:val="single" w:color="auto" w:sz="4" w:space="0"/>
            </w:tcBorders>
          </w:tcPr>
          <w:p w14:paraId="5D757B2C">
            <w:pPr>
              <w:spacing w:line="360" w:lineRule="auto"/>
              <w:rPr>
                <w:rFonts w:hint="eastAsia" w:ascii="宋体" w:hAnsi="宋体" w:cs="宋体"/>
                <w:bCs/>
                <w:color w:val="auto"/>
                <w:sz w:val="24"/>
                <w:szCs w:val="24"/>
                <w:highlight w:val="none"/>
              </w:rPr>
            </w:pPr>
          </w:p>
        </w:tc>
      </w:tr>
      <w:tr w14:paraId="0328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14:paraId="6CEC5591">
            <w:pPr>
              <w:spacing w:line="360" w:lineRule="auto"/>
              <w:rPr>
                <w:rFonts w:hint="eastAsia" w:ascii="宋体" w:hAnsi="宋体" w:cs="宋体"/>
                <w:b/>
                <w:color w:val="auto"/>
                <w:sz w:val="24"/>
                <w:szCs w:val="24"/>
                <w:highlight w:val="none"/>
              </w:rPr>
            </w:pPr>
          </w:p>
        </w:tc>
        <w:tc>
          <w:tcPr>
            <w:tcW w:w="4297" w:type="dxa"/>
            <w:tcBorders>
              <w:top w:val="single" w:color="auto" w:sz="4" w:space="0"/>
              <w:left w:val="nil"/>
              <w:bottom w:val="single" w:color="auto" w:sz="4" w:space="0"/>
              <w:right w:val="single" w:color="auto" w:sz="4" w:space="0"/>
            </w:tcBorders>
          </w:tcPr>
          <w:p w14:paraId="1E91D5EA">
            <w:pPr>
              <w:spacing w:line="360" w:lineRule="auto"/>
              <w:rPr>
                <w:rFonts w:hint="eastAsia" w:ascii="宋体" w:hAnsi="宋体" w:cs="宋体"/>
                <w:b/>
                <w:color w:val="auto"/>
                <w:sz w:val="24"/>
                <w:szCs w:val="24"/>
                <w:highlight w:val="none"/>
              </w:rPr>
            </w:pPr>
          </w:p>
        </w:tc>
        <w:tc>
          <w:tcPr>
            <w:tcW w:w="2330" w:type="dxa"/>
            <w:tcBorders>
              <w:top w:val="single" w:color="auto" w:sz="4" w:space="0"/>
              <w:left w:val="nil"/>
              <w:bottom w:val="single" w:color="auto" w:sz="4" w:space="0"/>
              <w:right w:val="single" w:color="auto" w:sz="4" w:space="0"/>
            </w:tcBorders>
          </w:tcPr>
          <w:p w14:paraId="1E6617B2">
            <w:pPr>
              <w:spacing w:line="360" w:lineRule="auto"/>
              <w:rPr>
                <w:rFonts w:hint="eastAsia" w:ascii="宋体" w:hAnsi="宋体" w:cs="宋体"/>
                <w:b/>
                <w:color w:val="auto"/>
                <w:sz w:val="24"/>
                <w:szCs w:val="24"/>
                <w:highlight w:val="none"/>
              </w:rPr>
            </w:pPr>
          </w:p>
        </w:tc>
        <w:tc>
          <w:tcPr>
            <w:tcW w:w="3101" w:type="dxa"/>
            <w:tcBorders>
              <w:top w:val="single" w:color="auto" w:sz="4" w:space="0"/>
              <w:left w:val="nil"/>
              <w:bottom w:val="single" w:color="auto" w:sz="4" w:space="0"/>
              <w:right w:val="single" w:color="auto" w:sz="4" w:space="0"/>
            </w:tcBorders>
          </w:tcPr>
          <w:p w14:paraId="6AE68DCB">
            <w:pPr>
              <w:spacing w:line="360" w:lineRule="auto"/>
              <w:rPr>
                <w:rFonts w:hint="eastAsia" w:ascii="宋体" w:hAnsi="宋体" w:cs="宋体"/>
                <w:b/>
                <w:color w:val="auto"/>
                <w:sz w:val="24"/>
                <w:szCs w:val="24"/>
                <w:highlight w:val="none"/>
              </w:rPr>
            </w:pPr>
          </w:p>
        </w:tc>
        <w:tc>
          <w:tcPr>
            <w:tcW w:w="3423" w:type="dxa"/>
            <w:tcBorders>
              <w:top w:val="single" w:color="auto" w:sz="4" w:space="0"/>
              <w:left w:val="nil"/>
              <w:bottom w:val="single" w:color="auto" w:sz="4" w:space="0"/>
              <w:right w:val="single" w:color="auto" w:sz="4" w:space="0"/>
            </w:tcBorders>
          </w:tcPr>
          <w:p w14:paraId="4F51D143">
            <w:pPr>
              <w:spacing w:line="360" w:lineRule="auto"/>
              <w:rPr>
                <w:rFonts w:hint="eastAsia" w:ascii="宋体" w:hAnsi="宋体" w:cs="宋体"/>
                <w:b/>
                <w:color w:val="auto"/>
                <w:sz w:val="24"/>
                <w:szCs w:val="24"/>
                <w:highlight w:val="none"/>
              </w:rPr>
            </w:pPr>
          </w:p>
        </w:tc>
      </w:tr>
      <w:tr w14:paraId="73538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4" w:type="dxa"/>
            <w:tcBorders>
              <w:top w:val="single" w:color="auto" w:sz="4" w:space="0"/>
              <w:left w:val="single" w:color="auto" w:sz="4" w:space="0"/>
              <w:bottom w:val="single" w:color="auto" w:sz="4" w:space="0"/>
              <w:right w:val="single" w:color="auto" w:sz="4" w:space="0"/>
            </w:tcBorders>
          </w:tcPr>
          <w:p w14:paraId="56EBEBD7">
            <w:pPr>
              <w:spacing w:line="360" w:lineRule="auto"/>
              <w:rPr>
                <w:rFonts w:hint="eastAsia" w:ascii="宋体" w:hAnsi="宋体" w:cs="宋体"/>
                <w:b/>
                <w:color w:val="auto"/>
                <w:sz w:val="24"/>
                <w:szCs w:val="24"/>
                <w:highlight w:val="none"/>
              </w:rPr>
            </w:pPr>
          </w:p>
        </w:tc>
        <w:tc>
          <w:tcPr>
            <w:tcW w:w="4297" w:type="dxa"/>
            <w:tcBorders>
              <w:top w:val="single" w:color="auto" w:sz="4" w:space="0"/>
              <w:left w:val="nil"/>
              <w:bottom w:val="single" w:color="auto" w:sz="4" w:space="0"/>
              <w:right w:val="single" w:color="auto" w:sz="4" w:space="0"/>
            </w:tcBorders>
          </w:tcPr>
          <w:p w14:paraId="26AD7A86">
            <w:pPr>
              <w:spacing w:line="360" w:lineRule="auto"/>
              <w:rPr>
                <w:rFonts w:hint="eastAsia" w:ascii="宋体" w:hAnsi="宋体" w:cs="宋体"/>
                <w:b/>
                <w:color w:val="auto"/>
                <w:sz w:val="24"/>
                <w:szCs w:val="24"/>
                <w:highlight w:val="none"/>
              </w:rPr>
            </w:pPr>
          </w:p>
        </w:tc>
        <w:tc>
          <w:tcPr>
            <w:tcW w:w="2330" w:type="dxa"/>
            <w:tcBorders>
              <w:top w:val="single" w:color="auto" w:sz="4" w:space="0"/>
              <w:left w:val="nil"/>
              <w:bottom w:val="single" w:color="auto" w:sz="4" w:space="0"/>
              <w:right w:val="single" w:color="auto" w:sz="4" w:space="0"/>
            </w:tcBorders>
          </w:tcPr>
          <w:p w14:paraId="1950597A">
            <w:pPr>
              <w:spacing w:line="360" w:lineRule="auto"/>
              <w:rPr>
                <w:rFonts w:hint="eastAsia" w:ascii="宋体" w:hAnsi="宋体" w:cs="宋体"/>
                <w:b/>
                <w:color w:val="auto"/>
                <w:sz w:val="24"/>
                <w:szCs w:val="24"/>
                <w:highlight w:val="none"/>
              </w:rPr>
            </w:pPr>
          </w:p>
        </w:tc>
        <w:tc>
          <w:tcPr>
            <w:tcW w:w="3101" w:type="dxa"/>
            <w:tcBorders>
              <w:top w:val="single" w:color="auto" w:sz="4" w:space="0"/>
              <w:left w:val="nil"/>
              <w:bottom w:val="single" w:color="auto" w:sz="4" w:space="0"/>
              <w:right w:val="single" w:color="auto" w:sz="4" w:space="0"/>
            </w:tcBorders>
          </w:tcPr>
          <w:p w14:paraId="07CCC6D5">
            <w:pPr>
              <w:spacing w:line="360" w:lineRule="auto"/>
              <w:rPr>
                <w:rFonts w:hint="eastAsia" w:ascii="宋体" w:hAnsi="宋体" w:cs="宋体"/>
                <w:b/>
                <w:color w:val="auto"/>
                <w:sz w:val="24"/>
                <w:szCs w:val="24"/>
                <w:highlight w:val="none"/>
              </w:rPr>
            </w:pPr>
          </w:p>
        </w:tc>
        <w:tc>
          <w:tcPr>
            <w:tcW w:w="3423" w:type="dxa"/>
            <w:tcBorders>
              <w:top w:val="single" w:color="auto" w:sz="4" w:space="0"/>
              <w:left w:val="nil"/>
              <w:bottom w:val="single" w:color="auto" w:sz="4" w:space="0"/>
              <w:right w:val="single" w:color="auto" w:sz="4" w:space="0"/>
            </w:tcBorders>
          </w:tcPr>
          <w:p w14:paraId="57F7F613">
            <w:pPr>
              <w:spacing w:line="360" w:lineRule="auto"/>
              <w:rPr>
                <w:rFonts w:hint="eastAsia" w:ascii="宋体" w:hAnsi="宋体" w:cs="宋体"/>
                <w:b/>
                <w:color w:val="auto"/>
                <w:sz w:val="24"/>
                <w:szCs w:val="24"/>
                <w:highlight w:val="none"/>
              </w:rPr>
            </w:pPr>
          </w:p>
        </w:tc>
      </w:tr>
    </w:tbl>
    <w:p w14:paraId="20427B25">
      <w:pPr>
        <w:spacing w:line="360" w:lineRule="auto"/>
        <w:rPr>
          <w:rFonts w:hint="eastAsia" w:ascii="宋体" w:hAnsi="宋体" w:cs="宋体"/>
          <w:b/>
          <w:color w:val="auto"/>
          <w:sz w:val="24"/>
          <w:szCs w:val="24"/>
          <w:highlight w:val="none"/>
        </w:rPr>
      </w:pPr>
    </w:p>
    <w:p w14:paraId="2B00476D">
      <w:pPr>
        <w:spacing w:line="360" w:lineRule="auto"/>
        <w:rPr>
          <w:rFonts w:hint="eastAsia" w:ascii="宋体" w:hAnsi="宋体" w:cs="宋体"/>
          <w:b/>
          <w:color w:val="auto"/>
          <w:sz w:val="24"/>
          <w:szCs w:val="24"/>
          <w:highlight w:val="none"/>
        </w:rPr>
      </w:pPr>
    </w:p>
    <w:p w14:paraId="6D955C62">
      <w:pPr>
        <w:spacing w:line="360" w:lineRule="auto"/>
        <w:rPr>
          <w:rFonts w:hint="eastAsia" w:ascii="宋体" w:hAnsi="宋体" w:cs="宋体"/>
          <w:bCs/>
          <w:color w:val="auto"/>
          <w:sz w:val="24"/>
          <w:szCs w:val="24"/>
          <w:highlight w:val="none"/>
        </w:rPr>
        <w:sectPr>
          <w:pgSz w:w="16838" w:h="11905" w:orient="landscape"/>
          <w:pgMar w:top="1440" w:right="1080" w:bottom="1440" w:left="1080" w:header="851" w:footer="992" w:gutter="0"/>
          <w:cols w:space="720" w:num="1"/>
          <w:docGrid w:type="lines" w:linePitch="319" w:charSpace="0"/>
        </w:sectPr>
      </w:pPr>
      <w:r>
        <w:rPr>
          <w:rFonts w:hint="eastAsia" w:ascii="宋体" w:hAnsi="宋体" w:cs="宋体"/>
          <w:bCs/>
          <w:color w:val="auto"/>
          <w:sz w:val="24"/>
          <w:szCs w:val="24"/>
          <w:highlight w:val="none"/>
        </w:rPr>
        <w:t>评委签名：                              日期</w:t>
      </w:r>
    </w:p>
    <w:p w14:paraId="5A842501">
      <w:pPr>
        <w:spacing w:line="360" w:lineRule="auto"/>
        <w:jc w:val="left"/>
        <w:rPr>
          <w:rFonts w:hint="eastAsia" w:ascii="宋体" w:hAnsi="宋体" w:eastAsia="宋体" w:cs="宋体"/>
          <w:b/>
          <w:bCs/>
          <w:color w:val="auto"/>
          <w:highlight w:val="none"/>
          <w:lang w:eastAsia="zh-CN"/>
        </w:rPr>
      </w:pPr>
      <w:r>
        <w:rPr>
          <w:rFonts w:hint="eastAsia" w:ascii="宋体" w:hAnsi="宋体" w:cs="宋体"/>
          <w:b/>
          <w:bCs/>
          <w:color w:val="auto"/>
          <w:sz w:val="24"/>
          <w:szCs w:val="24"/>
          <w:highlight w:val="none"/>
        </w:rPr>
        <w:t>附表</w:t>
      </w:r>
      <w:r>
        <w:rPr>
          <w:rFonts w:hint="eastAsia" w:ascii="宋体" w:hAnsi="宋体" w:cs="宋体"/>
          <w:b/>
          <w:bCs/>
          <w:color w:val="auto"/>
          <w:sz w:val="24"/>
          <w:szCs w:val="24"/>
          <w:highlight w:val="none"/>
          <w:lang w:val="en-US" w:eastAsia="zh-CN"/>
        </w:rPr>
        <w:t>三</w:t>
      </w:r>
    </w:p>
    <w:p w14:paraId="60457463">
      <w:pPr>
        <w:pStyle w:val="11"/>
        <w:spacing w:line="360" w:lineRule="auto"/>
        <w:jc w:val="center"/>
        <w:rPr>
          <w:rFonts w:hint="eastAsia" w:hAnsi="宋体"/>
          <w:b/>
          <w:color w:val="auto"/>
          <w:sz w:val="36"/>
          <w:szCs w:val="36"/>
          <w:highlight w:val="none"/>
        </w:rPr>
      </w:pPr>
      <w:r>
        <w:rPr>
          <w:rFonts w:hint="eastAsia" w:hAnsi="宋体"/>
          <w:b/>
          <w:color w:val="auto"/>
          <w:sz w:val="36"/>
          <w:szCs w:val="36"/>
          <w:highlight w:val="none"/>
        </w:rPr>
        <w:t>定标因素评审表</w:t>
      </w:r>
    </w:p>
    <w:tbl>
      <w:tblPr>
        <w:tblStyle w:val="1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5"/>
        <w:gridCol w:w="954"/>
        <w:gridCol w:w="1289"/>
        <w:gridCol w:w="7596"/>
      </w:tblGrid>
      <w:tr w14:paraId="0384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14:paraId="6CCDFB7E">
            <w:pPr>
              <w:jc w:val="center"/>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序号</w:t>
            </w:r>
          </w:p>
        </w:tc>
        <w:tc>
          <w:tcPr>
            <w:tcW w:w="1089" w:type="pct"/>
            <w:gridSpan w:val="2"/>
            <w:tcBorders>
              <w:top w:val="single" w:color="auto" w:sz="4" w:space="0"/>
              <w:left w:val="single" w:color="auto" w:sz="4" w:space="0"/>
              <w:bottom w:val="single" w:color="auto" w:sz="4" w:space="0"/>
              <w:right w:val="single" w:color="auto" w:sz="4" w:space="0"/>
            </w:tcBorders>
            <w:noWrap w:val="0"/>
            <w:vAlign w:val="center"/>
          </w:tcPr>
          <w:p w14:paraId="6A4C486D">
            <w:pPr>
              <w:jc w:val="center"/>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定标因素</w:t>
            </w:r>
          </w:p>
        </w:tc>
        <w:tc>
          <w:tcPr>
            <w:tcW w:w="3688" w:type="pct"/>
            <w:tcBorders>
              <w:top w:val="single" w:color="auto" w:sz="4" w:space="0"/>
              <w:left w:val="single" w:color="auto" w:sz="4" w:space="0"/>
              <w:bottom w:val="single" w:color="auto" w:sz="4" w:space="0"/>
              <w:right w:val="single" w:color="auto" w:sz="4" w:space="0"/>
            </w:tcBorders>
            <w:noWrap w:val="0"/>
            <w:vAlign w:val="center"/>
          </w:tcPr>
          <w:p w14:paraId="0901567B">
            <w:pPr>
              <w:jc w:val="center"/>
              <w:rPr>
                <w:rFonts w:hint="eastAsia" w:ascii="宋体" w:hAnsi="宋体" w:eastAsia="宋体" w:cs="宋体"/>
                <w:b/>
                <w:bCs/>
                <w:color w:val="auto"/>
                <w:sz w:val="21"/>
                <w:szCs w:val="21"/>
                <w:highlight w:val="none"/>
                <w:u w:val="none"/>
              </w:rPr>
            </w:pPr>
            <w:r>
              <w:rPr>
                <w:rFonts w:hint="eastAsia" w:ascii="宋体" w:hAnsi="宋体" w:eastAsia="宋体" w:cs="宋体"/>
                <w:b/>
                <w:bCs/>
                <w:color w:val="auto"/>
                <w:sz w:val="21"/>
                <w:szCs w:val="21"/>
                <w:highlight w:val="none"/>
                <w:u w:val="none"/>
              </w:rPr>
              <w:t>定标评价的内容</w:t>
            </w:r>
          </w:p>
        </w:tc>
      </w:tr>
      <w:tr w14:paraId="6A97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trPr>
        <w:tc>
          <w:tcPr>
            <w:tcW w:w="221" w:type="pct"/>
            <w:vMerge w:val="restart"/>
            <w:tcBorders>
              <w:top w:val="single" w:color="auto" w:sz="4" w:space="0"/>
              <w:left w:val="single" w:color="auto" w:sz="4" w:space="0"/>
              <w:right w:val="single" w:color="auto" w:sz="4" w:space="0"/>
            </w:tcBorders>
            <w:noWrap w:val="0"/>
            <w:vAlign w:val="center"/>
          </w:tcPr>
          <w:p w14:paraId="5D18711A">
            <w:pPr>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w:t>
            </w:r>
          </w:p>
        </w:tc>
        <w:tc>
          <w:tcPr>
            <w:tcW w:w="463" w:type="pct"/>
            <w:vMerge w:val="restart"/>
            <w:tcBorders>
              <w:top w:val="single" w:color="auto" w:sz="4" w:space="0"/>
              <w:left w:val="single" w:color="auto" w:sz="4" w:space="0"/>
              <w:right w:val="single" w:color="auto" w:sz="4" w:space="0"/>
            </w:tcBorders>
            <w:noWrap w:val="0"/>
            <w:vAlign w:val="center"/>
          </w:tcPr>
          <w:p w14:paraId="4B7CF935">
            <w:pPr>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方案因素（60分）</w:t>
            </w:r>
          </w:p>
        </w:tc>
        <w:tc>
          <w:tcPr>
            <w:tcW w:w="626" w:type="pct"/>
            <w:tcBorders>
              <w:top w:val="single" w:color="auto" w:sz="4" w:space="0"/>
              <w:left w:val="single" w:color="auto" w:sz="4" w:space="0"/>
              <w:right w:val="single" w:color="auto" w:sz="4" w:space="0"/>
            </w:tcBorders>
            <w:noWrap w:val="0"/>
            <w:vAlign w:val="center"/>
          </w:tcPr>
          <w:p w14:paraId="6275CF4B">
            <w:pPr>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安全控制措施（</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分）</w:t>
            </w:r>
          </w:p>
        </w:tc>
        <w:tc>
          <w:tcPr>
            <w:tcW w:w="3688" w:type="pct"/>
            <w:tcBorders>
              <w:top w:val="single" w:color="auto" w:sz="4" w:space="0"/>
              <w:left w:val="single" w:color="auto" w:sz="4" w:space="0"/>
              <w:bottom w:val="single" w:color="auto" w:sz="4" w:space="0"/>
              <w:right w:val="single" w:color="auto" w:sz="4" w:space="0"/>
            </w:tcBorders>
            <w:noWrap w:val="0"/>
            <w:vAlign w:val="center"/>
          </w:tcPr>
          <w:p w14:paraId="13B94A78">
            <w:pPr>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定标委员会对合格的中标候选人的安全控制措施进行评审：</w:t>
            </w:r>
          </w:p>
          <w:p w14:paraId="7637B1C5">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（1）针对本项目特点及危险性较大的分部分项工程制定安全控制措施，各项措施具体、可行、针对性强，措施完善的，得（7，10]分；</w:t>
            </w:r>
          </w:p>
          <w:p w14:paraId="368EA8F7">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（2）针对本项目特点及危险性较大的分部分项工程制定安全控制措施，措施较具体、较可行，得（4，7]分；</w:t>
            </w:r>
          </w:p>
          <w:p w14:paraId="51BDA5E7">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（3）制定的安全控制措施不够具体、针对性一般，得（2，4]分。</w:t>
            </w:r>
          </w:p>
          <w:p w14:paraId="3CD42ADD">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（4）不满足前述要求者或不提供内容的，得[0，2]分。</w:t>
            </w:r>
          </w:p>
        </w:tc>
      </w:tr>
      <w:tr w14:paraId="633D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2" w:hRule="atLeast"/>
        </w:trPr>
        <w:tc>
          <w:tcPr>
            <w:tcW w:w="221" w:type="pct"/>
            <w:vMerge w:val="continue"/>
            <w:tcBorders>
              <w:left w:val="single" w:color="auto" w:sz="4" w:space="0"/>
              <w:right w:val="single" w:color="auto" w:sz="4" w:space="0"/>
            </w:tcBorders>
            <w:noWrap w:val="0"/>
            <w:vAlign w:val="center"/>
          </w:tcPr>
          <w:p w14:paraId="4E22AADE">
            <w:pPr>
              <w:jc w:val="center"/>
              <w:rPr>
                <w:rFonts w:hint="eastAsia" w:ascii="宋体" w:hAnsi="宋体" w:eastAsia="宋体" w:cs="宋体"/>
                <w:color w:val="auto"/>
                <w:sz w:val="21"/>
                <w:szCs w:val="21"/>
                <w:highlight w:val="none"/>
                <w:u w:val="single"/>
              </w:rPr>
            </w:pPr>
          </w:p>
        </w:tc>
        <w:tc>
          <w:tcPr>
            <w:tcW w:w="463" w:type="pct"/>
            <w:vMerge w:val="continue"/>
            <w:tcBorders>
              <w:left w:val="single" w:color="auto" w:sz="4" w:space="0"/>
              <w:right w:val="single" w:color="auto" w:sz="4" w:space="0"/>
            </w:tcBorders>
            <w:noWrap w:val="0"/>
            <w:vAlign w:val="center"/>
          </w:tcPr>
          <w:p w14:paraId="1E93CBDC">
            <w:pPr>
              <w:jc w:val="left"/>
              <w:rPr>
                <w:rFonts w:hint="eastAsia" w:ascii="宋体" w:hAnsi="宋体" w:eastAsia="宋体" w:cs="宋体"/>
                <w:color w:val="auto"/>
                <w:sz w:val="21"/>
                <w:szCs w:val="21"/>
                <w:highlight w:val="none"/>
                <w:u w:val="single"/>
              </w:rPr>
            </w:pPr>
          </w:p>
        </w:tc>
        <w:tc>
          <w:tcPr>
            <w:tcW w:w="626" w:type="pct"/>
            <w:tcBorders>
              <w:left w:val="single" w:color="auto" w:sz="4" w:space="0"/>
              <w:right w:val="single" w:color="auto" w:sz="4" w:space="0"/>
            </w:tcBorders>
            <w:noWrap w:val="0"/>
            <w:vAlign w:val="center"/>
          </w:tcPr>
          <w:p w14:paraId="726ED448">
            <w:pPr>
              <w:pStyle w:val="23"/>
              <w:ind w:left="0" w:leftChars="0" w:firstLine="0" w:firstLineChars="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质量控制措施（10分）</w:t>
            </w:r>
          </w:p>
        </w:tc>
        <w:tc>
          <w:tcPr>
            <w:tcW w:w="3688" w:type="pct"/>
            <w:tcBorders>
              <w:top w:val="single" w:color="auto" w:sz="4" w:space="0"/>
              <w:left w:val="single" w:color="auto" w:sz="4" w:space="0"/>
              <w:bottom w:val="single" w:color="auto" w:sz="4" w:space="0"/>
              <w:right w:val="single" w:color="auto" w:sz="4" w:space="0"/>
            </w:tcBorders>
            <w:noWrap w:val="0"/>
            <w:vAlign w:val="center"/>
          </w:tcPr>
          <w:p w14:paraId="1CBA5B39">
            <w:pPr>
              <w:pStyle w:val="23"/>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定标委员会对合格的中标候选人的质量控制措施进行评审：</w:t>
            </w:r>
          </w:p>
          <w:p w14:paraId="2A7BBD19">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（1）针对本项目的特点及质量要求，结合自身技术及资源情况，制定质量控制措施，具备详细且完善的设计质量</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施工质量</w:t>
            </w:r>
            <w:r>
              <w:rPr>
                <w:rFonts w:hint="eastAsia" w:ascii="宋体" w:hAnsi="宋体" w:eastAsia="宋体" w:cs="宋体"/>
                <w:color w:val="auto"/>
                <w:sz w:val="21"/>
                <w:szCs w:val="21"/>
                <w:highlight w:val="none"/>
                <w:u w:val="single"/>
              </w:rPr>
              <w:t>控制流程，施工图设计各个阶段均有明确的质量把控环节和标准，且有过往项目执行记录可查，各项措施具体、可行、针对性强，措施完善的，得（7，10]分；</w:t>
            </w:r>
          </w:p>
          <w:p w14:paraId="0ACBDFF5">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（2）针对本项目的特点及质量要求，结合自身技术及资源情况，制定质量控制措施，措施较具体、较可行，得（4，7]分；</w:t>
            </w:r>
          </w:p>
          <w:p w14:paraId="4F21CF32">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（3）针对本项目制定的质量控制措施，不够具体、针对性一般，得（2，4]分。</w:t>
            </w:r>
          </w:p>
          <w:p w14:paraId="1E945F66">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（4）不满足前述要求者或不提供内容的，得[0，2]分。</w:t>
            </w:r>
          </w:p>
        </w:tc>
      </w:tr>
      <w:tr w14:paraId="717CD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2" w:hRule="atLeast"/>
        </w:trPr>
        <w:tc>
          <w:tcPr>
            <w:tcW w:w="221" w:type="pct"/>
            <w:vMerge w:val="continue"/>
            <w:tcBorders>
              <w:left w:val="single" w:color="auto" w:sz="4" w:space="0"/>
              <w:right w:val="single" w:color="auto" w:sz="4" w:space="0"/>
            </w:tcBorders>
            <w:noWrap w:val="0"/>
            <w:vAlign w:val="center"/>
          </w:tcPr>
          <w:p w14:paraId="5A00A25A">
            <w:pPr>
              <w:jc w:val="center"/>
              <w:rPr>
                <w:rFonts w:hint="eastAsia" w:ascii="宋体" w:hAnsi="宋体" w:eastAsia="宋体" w:cs="宋体"/>
                <w:color w:val="auto"/>
                <w:sz w:val="21"/>
                <w:szCs w:val="21"/>
                <w:highlight w:val="none"/>
                <w:u w:val="single"/>
              </w:rPr>
            </w:pPr>
          </w:p>
        </w:tc>
        <w:tc>
          <w:tcPr>
            <w:tcW w:w="463" w:type="pct"/>
            <w:vMerge w:val="continue"/>
            <w:tcBorders>
              <w:left w:val="single" w:color="auto" w:sz="4" w:space="0"/>
              <w:right w:val="single" w:color="auto" w:sz="4" w:space="0"/>
            </w:tcBorders>
            <w:noWrap w:val="0"/>
            <w:vAlign w:val="center"/>
          </w:tcPr>
          <w:p w14:paraId="178036BA">
            <w:pPr>
              <w:jc w:val="left"/>
              <w:rPr>
                <w:rFonts w:hint="eastAsia" w:ascii="宋体" w:hAnsi="宋体" w:eastAsia="宋体" w:cs="宋体"/>
                <w:color w:val="auto"/>
                <w:sz w:val="21"/>
                <w:szCs w:val="21"/>
                <w:highlight w:val="none"/>
                <w:u w:val="single"/>
              </w:rPr>
            </w:pPr>
          </w:p>
        </w:tc>
        <w:tc>
          <w:tcPr>
            <w:tcW w:w="626" w:type="pct"/>
            <w:tcBorders>
              <w:left w:val="single" w:color="auto" w:sz="4" w:space="0"/>
              <w:right w:val="single" w:color="auto" w:sz="4" w:space="0"/>
            </w:tcBorders>
            <w:noWrap w:val="0"/>
            <w:vAlign w:val="center"/>
          </w:tcPr>
          <w:p w14:paraId="07FB4B84">
            <w:pPr>
              <w:pStyle w:val="23"/>
              <w:ind w:left="0" w:leftChars="0" w:firstLine="0" w:firstLineChars="0"/>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进度控制措施（10分）</w:t>
            </w:r>
          </w:p>
        </w:tc>
        <w:tc>
          <w:tcPr>
            <w:tcW w:w="3688" w:type="pct"/>
            <w:tcBorders>
              <w:top w:val="single" w:color="auto" w:sz="4" w:space="0"/>
              <w:left w:val="single" w:color="auto" w:sz="4" w:space="0"/>
              <w:bottom w:val="single" w:color="auto" w:sz="4" w:space="0"/>
              <w:right w:val="single" w:color="auto" w:sz="4" w:space="0"/>
            </w:tcBorders>
            <w:noWrap w:val="0"/>
            <w:vAlign w:val="center"/>
          </w:tcPr>
          <w:p w14:paraId="3F9A4084">
            <w:pPr>
              <w:pStyle w:val="23"/>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定标委员会对合格的中标候选人的进度控制措施进行评审：</w:t>
            </w:r>
          </w:p>
          <w:p w14:paraId="274778E2">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（1）针对本项目的特点，从</w:t>
            </w:r>
            <w:r>
              <w:rPr>
                <w:rFonts w:hint="eastAsia" w:ascii="宋体" w:hAnsi="宋体" w:eastAsia="宋体" w:cs="宋体"/>
                <w:color w:val="auto"/>
                <w:sz w:val="21"/>
                <w:szCs w:val="21"/>
                <w:highlight w:val="none"/>
                <w:u w:val="single"/>
                <w:lang w:val="en-US" w:eastAsia="zh-CN"/>
              </w:rPr>
              <w:t>设计进度、施工进度等各环节</w:t>
            </w:r>
            <w:r>
              <w:rPr>
                <w:rFonts w:hint="eastAsia" w:ascii="宋体" w:hAnsi="宋体" w:eastAsia="宋体" w:cs="宋体"/>
                <w:color w:val="auto"/>
                <w:sz w:val="21"/>
                <w:szCs w:val="21"/>
                <w:highlight w:val="none"/>
                <w:u w:val="single"/>
              </w:rPr>
              <w:t>提出进度控制措施，各项措施具体、可行、针对性强，措施完善的，得（7，10]分；</w:t>
            </w:r>
          </w:p>
          <w:p w14:paraId="1592FD2F">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（2）针对本项目的特点，制定进度控制措施，措施较具体、较可行，得（4，7]分；</w:t>
            </w:r>
          </w:p>
          <w:p w14:paraId="39850F0F">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（3）针对本项目制定的进度控制措施，不够具体、针对性一般，得（2，4]分。</w:t>
            </w:r>
          </w:p>
          <w:p w14:paraId="063276B5">
            <w:pP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（4）不满足前述要求者或不提供内容的，得[0，2]分。</w:t>
            </w:r>
          </w:p>
        </w:tc>
      </w:tr>
      <w:tr w14:paraId="44F0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221" w:type="pct"/>
            <w:vMerge w:val="continue"/>
            <w:tcBorders>
              <w:left w:val="single" w:color="auto" w:sz="4" w:space="0"/>
              <w:bottom w:val="single" w:color="auto" w:sz="4" w:space="0"/>
              <w:right w:val="single" w:color="auto" w:sz="4" w:space="0"/>
            </w:tcBorders>
            <w:noWrap w:val="0"/>
            <w:vAlign w:val="center"/>
          </w:tcPr>
          <w:p w14:paraId="5AD123A1">
            <w:pPr>
              <w:jc w:val="center"/>
              <w:rPr>
                <w:rFonts w:hint="eastAsia" w:ascii="宋体" w:hAnsi="宋体" w:eastAsia="宋体" w:cs="宋体"/>
                <w:color w:val="auto"/>
                <w:sz w:val="21"/>
                <w:szCs w:val="21"/>
                <w:highlight w:val="none"/>
                <w:u w:val="single"/>
              </w:rPr>
            </w:pPr>
          </w:p>
        </w:tc>
        <w:tc>
          <w:tcPr>
            <w:tcW w:w="463" w:type="pct"/>
            <w:vMerge w:val="continue"/>
            <w:tcBorders>
              <w:left w:val="single" w:color="auto" w:sz="4" w:space="0"/>
              <w:bottom w:val="single" w:color="auto" w:sz="4" w:space="0"/>
              <w:right w:val="single" w:color="auto" w:sz="4" w:space="0"/>
            </w:tcBorders>
            <w:noWrap w:val="0"/>
            <w:vAlign w:val="center"/>
          </w:tcPr>
          <w:p w14:paraId="426D5FB4">
            <w:pPr>
              <w:jc w:val="left"/>
              <w:rPr>
                <w:rFonts w:hint="eastAsia" w:ascii="宋体" w:hAnsi="宋体" w:eastAsia="宋体" w:cs="宋体"/>
                <w:color w:val="auto"/>
                <w:sz w:val="21"/>
                <w:szCs w:val="21"/>
                <w:highlight w:val="none"/>
                <w:u w:val="single"/>
              </w:rPr>
            </w:pPr>
          </w:p>
        </w:tc>
        <w:tc>
          <w:tcPr>
            <w:tcW w:w="626" w:type="pct"/>
            <w:tcBorders>
              <w:left w:val="single" w:color="auto" w:sz="4" w:space="0"/>
              <w:bottom w:val="single" w:color="auto" w:sz="4" w:space="0"/>
              <w:right w:val="single" w:color="auto" w:sz="4" w:space="0"/>
            </w:tcBorders>
            <w:noWrap w:val="0"/>
            <w:vAlign w:val="center"/>
          </w:tcPr>
          <w:p w14:paraId="3B66630B">
            <w:pPr>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设计服务</w:t>
            </w:r>
            <w:r>
              <w:rPr>
                <w:rFonts w:hint="eastAsia" w:ascii="宋体" w:hAnsi="宋体" w:eastAsia="宋体" w:cs="宋体"/>
                <w:color w:val="auto"/>
                <w:sz w:val="21"/>
                <w:szCs w:val="21"/>
                <w:highlight w:val="none"/>
                <w:u w:val="single"/>
                <w:lang w:val="en-US" w:eastAsia="zh-CN"/>
              </w:rPr>
              <w:t>方案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分）</w:t>
            </w:r>
          </w:p>
        </w:tc>
        <w:tc>
          <w:tcPr>
            <w:tcW w:w="3688" w:type="pct"/>
            <w:tcBorders>
              <w:top w:val="single" w:color="auto" w:sz="4" w:space="0"/>
              <w:left w:val="single" w:color="auto" w:sz="4" w:space="0"/>
              <w:bottom w:val="single" w:color="auto" w:sz="4" w:space="0"/>
              <w:right w:val="single" w:color="auto" w:sz="4" w:space="0"/>
            </w:tcBorders>
            <w:noWrap w:val="0"/>
            <w:vAlign w:val="center"/>
          </w:tcPr>
          <w:p w14:paraId="1AD85AF3">
            <w:pPr>
              <w:pStyle w:val="23"/>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定标委员会对合格的中标候选人的设计服务</w:t>
            </w:r>
            <w:r>
              <w:rPr>
                <w:rFonts w:hint="eastAsia" w:ascii="宋体" w:hAnsi="宋体" w:eastAsia="宋体" w:cs="宋体"/>
                <w:b/>
                <w:bCs/>
                <w:color w:val="auto"/>
                <w:sz w:val="21"/>
                <w:szCs w:val="21"/>
                <w:highlight w:val="none"/>
                <w:u w:val="single"/>
                <w:lang w:val="en-US" w:eastAsia="zh-CN"/>
              </w:rPr>
              <w:t>方案</w:t>
            </w:r>
            <w:r>
              <w:rPr>
                <w:rFonts w:hint="eastAsia" w:ascii="宋体" w:hAnsi="宋体" w:eastAsia="宋体" w:cs="宋体"/>
                <w:b/>
                <w:bCs/>
                <w:color w:val="auto"/>
                <w:sz w:val="21"/>
                <w:szCs w:val="21"/>
                <w:highlight w:val="none"/>
                <w:u w:val="single"/>
              </w:rPr>
              <w:t>进行评审：</w:t>
            </w:r>
          </w:p>
          <w:p w14:paraId="14242971">
            <w:pPr>
              <w:pStyle w:val="2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（1）针对项目特点编制设计服务</w:t>
            </w:r>
            <w:r>
              <w:rPr>
                <w:rFonts w:hint="eastAsia" w:ascii="宋体" w:hAnsi="宋体" w:eastAsia="宋体" w:cs="宋体"/>
                <w:color w:val="auto"/>
                <w:sz w:val="21"/>
                <w:szCs w:val="21"/>
                <w:highlight w:val="none"/>
                <w:u w:val="single"/>
                <w:lang w:val="en-US" w:eastAsia="zh-CN"/>
              </w:rPr>
              <w:t>方案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对项目设计定位及理解深刻，总体设计思路清晰，设计方案合理可行，设计具有亮点，设计方案效果图合理，对设计重点、难点分析准确的</w:t>
            </w:r>
            <w:r>
              <w:rPr>
                <w:rFonts w:hint="eastAsia" w:ascii="宋体" w:hAnsi="宋体" w:eastAsia="宋体" w:cs="宋体"/>
                <w:color w:val="auto"/>
                <w:sz w:val="21"/>
                <w:szCs w:val="21"/>
                <w:highlight w:val="none"/>
                <w:u w:val="single"/>
              </w:rPr>
              <w:t>，得（</w:t>
            </w:r>
            <w:r>
              <w:rPr>
                <w:rFonts w:hint="eastAsia" w:ascii="宋体" w:hAnsi="宋体" w:eastAsia="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30</w:t>
            </w:r>
            <w:r>
              <w:rPr>
                <w:rFonts w:hint="eastAsia" w:ascii="宋体" w:hAnsi="宋体" w:eastAsia="宋体" w:cs="宋体"/>
                <w:color w:val="auto"/>
                <w:sz w:val="21"/>
                <w:szCs w:val="21"/>
                <w:highlight w:val="none"/>
                <w:u w:val="single"/>
              </w:rPr>
              <w:t>]分；</w:t>
            </w:r>
          </w:p>
          <w:p w14:paraId="12AB8F48">
            <w:pPr>
              <w:pStyle w:val="2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（2）针对本项目特点编制设计服务</w:t>
            </w:r>
            <w:r>
              <w:rPr>
                <w:rFonts w:hint="eastAsia" w:ascii="宋体" w:hAnsi="宋体" w:eastAsia="宋体" w:cs="宋体"/>
                <w:color w:val="auto"/>
                <w:sz w:val="21"/>
                <w:szCs w:val="21"/>
                <w:highlight w:val="none"/>
                <w:u w:val="single"/>
                <w:lang w:val="en-US" w:eastAsia="zh-CN"/>
              </w:rPr>
              <w:t>方案</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对项目设计定位及理解较好，总体设计思路较清晰，设计方案较合理，设计方案效果图较为合理，对设计重点、难点分析基本准确的</w:t>
            </w:r>
            <w:r>
              <w:rPr>
                <w:rFonts w:hint="eastAsia" w:ascii="宋体" w:hAnsi="宋体" w:eastAsia="宋体" w:cs="宋体"/>
                <w:color w:val="auto"/>
                <w:sz w:val="21"/>
                <w:szCs w:val="21"/>
                <w:highlight w:val="none"/>
                <w:u w:val="single"/>
              </w:rPr>
              <w:t>得（</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rPr>
              <w:t>]分；</w:t>
            </w:r>
          </w:p>
          <w:p w14:paraId="23698E3A">
            <w:pPr>
              <w:pStyle w:val="2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（3）编制设计服务</w:t>
            </w:r>
            <w:r>
              <w:rPr>
                <w:rFonts w:hint="eastAsia" w:ascii="宋体" w:hAnsi="宋体" w:eastAsia="宋体" w:cs="宋体"/>
                <w:color w:val="auto"/>
                <w:sz w:val="21"/>
                <w:szCs w:val="21"/>
                <w:highlight w:val="none"/>
                <w:u w:val="single"/>
                <w:lang w:val="en-US" w:eastAsia="zh-CN"/>
              </w:rPr>
              <w:t>方案，对项目设计定位及理解一般，总体设计思路一般，设计方案一般，只提供设计意向图未提供设计效果图，对设计重点、难点分析</w:t>
            </w:r>
            <w:r>
              <w:rPr>
                <w:rFonts w:hint="eastAsia" w:ascii="宋体" w:hAnsi="宋体" w:eastAsia="宋体" w:cs="宋体"/>
                <w:color w:val="auto"/>
                <w:sz w:val="21"/>
                <w:szCs w:val="21"/>
                <w:highlight w:val="none"/>
                <w:u w:val="single"/>
              </w:rPr>
              <w:t>一般、</w:t>
            </w:r>
            <w:r>
              <w:rPr>
                <w:rFonts w:hint="eastAsia" w:ascii="宋体" w:hAnsi="宋体" w:eastAsia="宋体" w:cs="宋体"/>
                <w:color w:val="auto"/>
                <w:sz w:val="21"/>
                <w:szCs w:val="21"/>
                <w:highlight w:val="none"/>
                <w:u w:val="single"/>
                <w:lang w:val="en-US" w:eastAsia="zh-CN"/>
              </w:rPr>
              <w:t>整体服务方案</w:t>
            </w:r>
            <w:r>
              <w:rPr>
                <w:rFonts w:hint="eastAsia" w:ascii="宋体" w:hAnsi="宋体" w:eastAsia="宋体" w:cs="宋体"/>
                <w:color w:val="auto"/>
                <w:sz w:val="21"/>
                <w:szCs w:val="21"/>
                <w:highlight w:val="none"/>
                <w:u w:val="single"/>
              </w:rPr>
              <w:t>针对性一般的，得（</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10</w:t>
            </w:r>
            <w:r>
              <w:rPr>
                <w:rFonts w:hint="eastAsia" w:ascii="宋体" w:hAnsi="宋体" w:eastAsia="宋体" w:cs="宋体"/>
                <w:color w:val="auto"/>
                <w:sz w:val="21"/>
                <w:szCs w:val="21"/>
                <w:highlight w:val="none"/>
                <w:u w:val="single"/>
              </w:rPr>
              <w:t>]分。</w:t>
            </w:r>
          </w:p>
          <w:p w14:paraId="271DB0CD">
            <w:pPr>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（4）不满足前述要求者或不提供内容的，得[0，</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]分。</w:t>
            </w:r>
          </w:p>
        </w:tc>
      </w:tr>
      <w:tr w14:paraId="72D22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221" w:type="pct"/>
            <w:tcBorders>
              <w:top w:val="single" w:color="auto" w:sz="4" w:space="0"/>
              <w:left w:val="single" w:color="auto" w:sz="4" w:space="0"/>
              <w:bottom w:val="single" w:color="auto" w:sz="4" w:space="0"/>
              <w:right w:val="single" w:color="auto" w:sz="4" w:space="0"/>
            </w:tcBorders>
            <w:noWrap w:val="0"/>
            <w:vAlign w:val="center"/>
          </w:tcPr>
          <w:p w14:paraId="583B892B">
            <w:pPr>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2</w:t>
            </w:r>
          </w:p>
        </w:tc>
        <w:tc>
          <w:tcPr>
            <w:tcW w:w="1089" w:type="pct"/>
            <w:gridSpan w:val="2"/>
            <w:tcBorders>
              <w:top w:val="single" w:color="auto" w:sz="4" w:space="0"/>
              <w:left w:val="single" w:color="auto" w:sz="4" w:space="0"/>
              <w:bottom w:val="single" w:color="auto" w:sz="4" w:space="0"/>
              <w:right w:val="single" w:color="auto" w:sz="4" w:space="0"/>
            </w:tcBorders>
            <w:noWrap w:val="0"/>
            <w:vAlign w:val="center"/>
          </w:tcPr>
          <w:p w14:paraId="5B791EC7">
            <w:pPr>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价格因素（20分）</w:t>
            </w:r>
          </w:p>
        </w:tc>
        <w:tc>
          <w:tcPr>
            <w:tcW w:w="3688" w:type="pct"/>
            <w:tcBorders>
              <w:top w:val="single" w:color="auto" w:sz="4" w:space="0"/>
              <w:left w:val="single" w:color="auto" w:sz="4" w:space="0"/>
              <w:bottom w:val="single" w:color="auto" w:sz="4" w:space="0"/>
              <w:right w:val="single" w:color="auto" w:sz="4" w:space="0"/>
            </w:tcBorders>
            <w:noWrap w:val="0"/>
            <w:vAlign w:val="center"/>
          </w:tcPr>
          <w:p w14:paraId="30B9DFEC">
            <w:pPr>
              <w:jc w:val="left"/>
              <w:rPr>
                <w:rFonts w:hint="eastAsia" w:ascii="宋体" w:hAnsi="宋体" w:eastAsia="宋体" w:cs="宋体"/>
                <w:b/>
                <w:bCs/>
                <w:color w:val="auto"/>
                <w:sz w:val="21"/>
                <w:szCs w:val="21"/>
                <w:highlight w:val="none"/>
                <w:u w:val="single"/>
              </w:rPr>
            </w:pPr>
            <w:r>
              <w:rPr>
                <w:rFonts w:hint="eastAsia" w:ascii="宋体" w:hAnsi="宋体" w:eastAsia="宋体" w:cs="宋体"/>
                <w:b/>
                <w:bCs/>
                <w:color w:val="auto"/>
                <w:sz w:val="21"/>
                <w:szCs w:val="21"/>
                <w:highlight w:val="none"/>
                <w:u w:val="single"/>
              </w:rPr>
              <w:t>定标委员会对合格的中标候选人建安工程费投标总报价（含税）进行评审：</w:t>
            </w:r>
          </w:p>
          <w:p w14:paraId="5EDC6548">
            <w:pPr>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当通过初步评审的有效投标人大于5名且投标报价为有效投标价时，去掉一个最高价和一个最低价，取余下有效投标价的算术平均值的作为评标基准价。当通过初步评审的有效投标人小于或等于5名时，取所有入围的有效投标价的算术平均值的作为评标基准价。低于最高投标限价9</w:t>
            </w:r>
            <w:r>
              <w:rPr>
                <w:rFonts w:hint="eastAsia" w:ascii="宋体" w:hAnsi="宋体" w:eastAsia="宋体" w:cs="宋体"/>
                <w:color w:val="auto"/>
                <w:sz w:val="21"/>
                <w:szCs w:val="21"/>
                <w:highlight w:val="none"/>
                <w:u w:val="single"/>
                <w:lang w:val="en-US" w:eastAsia="zh-CN"/>
              </w:rPr>
              <w:t>5</w:t>
            </w:r>
            <w:r>
              <w:rPr>
                <w:rFonts w:hint="eastAsia" w:ascii="宋体" w:hAnsi="宋体" w:eastAsia="宋体" w:cs="宋体"/>
                <w:color w:val="auto"/>
                <w:sz w:val="21"/>
                <w:szCs w:val="21"/>
                <w:highlight w:val="none"/>
                <w:u w:val="single"/>
              </w:rPr>
              <w:t>%的有效投标价不参与计算评标基准价。</w:t>
            </w:r>
          </w:p>
          <w:p w14:paraId="68A0E2B8">
            <w:pPr>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当</w:t>
            </w:r>
            <w:r>
              <w:rPr>
                <w:rFonts w:hint="eastAsia" w:ascii="宋体" w:hAnsi="宋体" w:eastAsia="宋体" w:cs="宋体"/>
                <w:color w:val="auto"/>
                <w:kern w:val="0"/>
                <w:sz w:val="21"/>
                <w:szCs w:val="21"/>
                <w:highlight w:val="none"/>
                <w:u w:val="single"/>
                <w:lang w:val="en-US" w:eastAsia="zh-CN"/>
              </w:rPr>
              <w:t>建安工程费投标报价</w:t>
            </w:r>
            <w:r>
              <w:rPr>
                <w:rFonts w:hint="eastAsia" w:ascii="宋体" w:hAnsi="宋体" w:eastAsia="宋体" w:cs="宋体"/>
                <w:color w:val="auto"/>
                <w:kern w:val="0"/>
                <w:sz w:val="21"/>
                <w:szCs w:val="21"/>
                <w:highlight w:val="none"/>
                <w:u w:val="single"/>
              </w:rPr>
              <w:t>等于评标参考价时得</w:t>
            </w:r>
            <w:r>
              <w:rPr>
                <w:rFonts w:hint="eastAsia" w:ascii="宋体" w:hAnsi="宋体" w:eastAsia="宋体" w:cs="宋体"/>
                <w:color w:val="auto"/>
                <w:kern w:val="0"/>
                <w:sz w:val="21"/>
                <w:szCs w:val="21"/>
                <w:highlight w:val="none"/>
                <w:u w:val="single"/>
                <w:lang w:val="en-US" w:eastAsia="zh-CN"/>
              </w:rPr>
              <w:t>20</w:t>
            </w:r>
            <w:r>
              <w:rPr>
                <w:rFonts w:hint="eastAsia" w:ascii="宋体" w:hAnsi="宋体" w:eastAsia="宋体" w:cs="宋体"/>
                <w:color w:val="auto"/>
                <w:kern w:val="0"/>
                <w:sz w:val="21"/>
                <w:szCs w:val="21"/>
                <w:highlight w:val="none"/>
                <w:u w:val="single"/>
              </w:rPr>
              <w:t>分，</w:t>
            </w:r>
            <w:r>
              <w:rPr>
                <w:rFonts w:hint="eastAsia" w:ascii="宋体" w:hAnsi="宋体" w:eastAsia="宋体" w:cs="宋体"/>
                <w:color w:val="auto"/>
                <w:kern w:val="0"/>
                <w:sz w:val="21"/>
                <w:szCs w:val="21"/>
                <w:highlight w:val="none"/>
                <w:u w:val="single"/>
                <w:lang w:val="en-US" w:eastAsia="zh-CN"/>
              </w:rPr>
              <w:t>建安工程费投标报价</w:t>
            </w:r>
            <w:r>
              <w:rPr>
                <w:rFonts w:hint="eastAsia" w:ascii="宋体" w:hAnsi="宋体" w:eastAsia="宋体" w:cs="宋体"/>
                <w:color w:val="auto"/>
                <w:kern w:val="0"/>
                <w:sz w:val="21"/>
                <w:szCs w:val="21"/>
                <w:highlight w:val="none"/>
                <w:u w:val="single"/>
              </w:rPr>
              <w:t>每高于评标参考价1%，扣</w:t>
            </w:r>
            <w:r>
              <w:rPr>
                <w:rFonts w:hint="eastAsia" w:ascii="宋体" w:hAnsi="宋体" w:eastAsia="宋体" w:cs="宋体"/>
                <w:color w:val="auto"/>
                <w:kern w:val="0"/>
                <w:sz w:val="21"/>
                <w:szCs w:val="21"/>
                <w:highlight w:val="none"/>
                <w:u w:val="single"/>
                <w:lang w:val="en-US" w:eastAsia="zh-CN"/>
              </w:rPr>
              <w:t>1.5</w:t>
            </w:r>
            <w:r>
              <w:rPr>
                <w:rFonts w:hint="eastAsia" w:ascii="宋体" w:hAnsi="宋体" w:eastAsia="宋体" w:cs="宋体"/>
                <w:color w:val="auto"/>
                <w:kern w:val="0"/>
                <w:sz w:val="21"/>
                <w:szCs w:val="21"/>
                <w:highlight w:val="none"/>
                <w:u w:val="single"/>
              </w:rPr>
              <w:t>分，每低于评标参考价1%，扣</w:t>
            </w:r>
            <w:r>
              <w:rPr>
                <w:rFonts w:hint="eastAsia" w:ascii="宋体" w:hAnsi="宋体" w:eastAsia="宋体" w:cs="宋体"/>
                <w:color w:val="auto"/>
                <w:kern w:val="0"/>
                <w:sz w:val="21"/>
                <w:szCs w:val="21"/>
                <w:highlight w:val="none"/>
                <w:u w:val="single"/>
                <w:lang w:val="en-US" w:eastAsia="zh-CN"/>
              </w:rPr>
              <w:t>1</w:t>
            </w:r>
            <w:r>
              <w:rPr>
                <w:rFonts w:hint="eastAsia" w:ascii="宋体" w:hAnsi="宋体" w:eastAsia="宋体" w:cs="宋体"/>
                <w:color w:val="auto"/>
                <w:kern w:val="0"/>
                <w:sz w:val="21"/>
                <w:szCs w:val="21"/>
                <w:highlight w:val="none"/>
                <w:u w:val="single"/>
              </w:rPr>
              <w:t>分，扣至0分为止，得出经济分，精确到小数点后两位。</w:t>
            </w:r>
          </w:p>
          <w:p w14:paraId="70ED0563">
            <w:pPr>
              <w:pStyle w:val="11"/>
              <w:rPr>
                <w:rFonts w:hint="eastAsia" w:ascii="宋体" w:hAnsi="宋体" w:eastAsia="宋体" w:cs="宋体"/>
                <w:color w:val="auto"/>
                <w:sz w:val="21"/>
                <w:szCs w:val="21"/>
                <w:highlight w:val="none"/>
                <w:u w:val="single"/>
                <w:lang w:val="en-US" w:eastAsia="zh-CN"/>
              </w:rPr>
            </w:pPr>
          </w:p>
        </w:tc>
      </w:tr>
      <w:tr w14:paraId="4813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3" w:hRule="atLeast"/>
        </w:trPr>
        <w:tc>
          <w:tcPr>
            <w:tcW w:w="221" w:type="pct"/>
            <w:tcBorders>
              <w:top w:val="single" w:color="auto" w:sz="4" w:space="0"/>
              <w:left w:val="single" w:color="auto" w:sz="4" w:space="0"/>
              <w:right w:val="single" w:color="auto" w:sz="4" w:space="0"/>
            </w:tcBorders>
            <w:noWrap w:val="0"/>
            <w:vAlign w:val="center"/>
          </w:tcPr>
          <w:p w14:paraId="73401686">
            <w:pPr>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3</w:t>
            </w:r>
          </w:p>
        </w:tc>
        <w:tc>
          <w:tcPr>
            <w:tcW w:w="1089" w:type="pct"/>
            <w:gridSpan w:val="2"/>
            <w:tcBorders>
              <w:top w:val="single" w:color="auto" w:sz="4" w:space="0"/>
              <w:left w:val="single" w:color="auto" w:sz="4" w:space="0"/>
              <w:right w:val="single" w:color="auto" w:sz="4" w:space="0"/>
            </w:tcBorders>
            <w:noWrap w:val="0"/>
            <w:vAlign w:val="center"/>
          </w:tcPr>
          <w:p w14:paraId="52BAB52E">
            <w:pPr>
              <w:jc w:val="center"/>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u w:val="single"/>
              </w:rPr>
              <w:t>答辩因素（20分）</w:t>
            </w:r>
          </w:p>
        </w:tc>
        <w:tc>
          <w:tcPr>
            <w:tcW w:w="3688" w:type="pct"/>
            <w:tcBorders>
              <w:top w:val="single" w:color="auto" w:sz="4" w:space="0"/>
              <w:left w:val="single" w:color="auto" w:sz="4" w:space="0"/>
              <w:bottom w:val="single" w:color="auto" w:sz="4" w:space="0"/>
              <w:right w:val="single" w:color="auto" w:sz="4" w:space="0"/>
            </w:tcBorders>
            <w:noWrap w:val="0"/>
            <w:vAlign w:val="center"/>
          </w:tcPr>
          <w:p w14:paraId="075A083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trike w:val="0"/>
                <w:dstrike w:val="0"/>
                <w:color w:val="auto"/>
                <w:kern w:val="0"/>
                <w:sz w:val="21"/>
                <w:szCs w:val="21"/>
                <w:highlight w:val="none"/>
                <w:u w:val="single"/>
              </w:rPr>
            </w:pPr>
            <w:r>
              <w:rPr>
                <w:rFonts w:hint="eastAsia" w:ascii="宋体" w:hAnsi="宋体" w:eastAsia="宋体" w:cs="宋体"/>
                <w:strike w:val="0"/>
                <w:dstrike w:val="0"/>
                <w:color w:val="auto"/>
                <w:kern w:val="0"/>
                <w:sz w:val="21"/>
                <w:szCs w:val="21"/>
                <w:highlight w:val="none"/>
                <w:u w:val="single"/>
                <w:lang w:val="en-US" w:eastAsia="zh-CN"/>
              </w:rPr>
              <w:t>投</w:t>
            </w:r>
            <w:r>
              <w:rPr>
                <w:rFonts w:hint="eastAsia" w:ascii="宋体" w:hAnsi="宋体" w:eastAsia="宋体" w:cs="宋体"/>
                <w:strike w:val="0"/>
                <w:dstrike w:val="0"/>
                <w:color w:val="auto"/>
                <w:kern w:val="0"/>
                <w:sz w:val="21"/>
                <w:szCs w:val="21"/>
                <w:highlight w:val="none"/>
                <w:u w:val="single"/>
              </w:rPr>
              <w:t>标人委派本项目拟投入</w:t>
            </w:r>
            <w:r>
              <w:rPr>
                <w:rFonts w:hint="eastAsia" w:ascii="宋体" w:hAnsi="宋体" w:eastAsia="宋体" w:cs="宋体"/>
                <w:color w:val="auto"/>
                <w:sz w:val="21"/>
                <w:szCs w:val="21"/>
                <w:highlight w:val="none"/>
                <w:u w:val="single"/>
              </w:rPr>
              <w:t>项目负责人（兼任施工负责人）</w:t>
            </w:r>
            <w:r>
              <w:rPr>
                <w:rFonts w:hint="eastAsia" w:ascii="宋体" w:hAnsi="宋体" w:eastAsia="宋体" w:cs="宋体"/>
                <w:strike w:val="0"/>
                <w:dstrike w:val="0"/>
                <w:color w:val="auto"/>
                <w:kern w:val="0"/>
                <w:sz w:val="21"/>
                <w:szCs w:val="21"/>
                <w:highlight w:val="none"/>
                <w:u w:val="single"/>
                <w:lang w:val="en-US" w:eastAsia="zh-CN"/>
              </w:rPr>
              <w:t>和设计</w:t>
            </w:r>
            <w:r>
              <w:rPr>
                <w:rFonts w:hint="eastAsia" w:ascii="宋体" w:hAnsi="宋体" w:eastAsia="宋体" w:cs="宋体"/>
                <w:strike w:val="0"/>
                <w:dstrike w:val="0"/>
                <w:color w:val="auto"/>
                <w:kern w:val="0"/>
                <w:sz w:val="21"/>
                <w:szCs w:val="21"/>
                <w:highlight w:val="none"/>
                <w:u w:val="single"/>
              </w:rPr>
              <w:t>负责人</w:t>
            </w:r>
            <w:r>
              <w:rPr>
                <w:rFonts w:hint="eastAsia" w:ascii="宋体" w:hAnsi="宋体" w:eastAsia="宋体" w:cs="宋体"/>
                <w:strike w:val="0"/>
                <w:dstrike w:val="0"/>
                <w:color w:val="auto"/>
                <w:kern w:val="0"/>
                <w:sz w:val="21"/>
                <w:szCs w:val="21"/>
                <w:highlight w:val="none"/>
                <w:u w:val="single"/>
                <w:lang w:val="en-US" w:eastAsia="zh-CN"/>
              </w:rPr>
              <w:t>为答辩人员</w:t>
            </w:r>
            <w:r>
              <w:rPr>
                <w:rFonts w:hint="eastAsia" w:ascii="宋体" w:hAnsi="宋体" w:eastAsia="宋体" w:cs="宋体"/>
                <w:strike w:val="0"/>
                <w:dstrike w:val="0"/>
                <w:color w:val="auto"/>
                <w:kern w:val="0"/>
                <w:sz w:val="21"/>
                <w:szCs w:val="21"/>
                <w:highlight w:val="none"/>
                <w:u w:val="single"/>
              </w:rPr>
              <w:t>进行现场答辩：</w:t>
            </w:r>
          </w:p>
          <w:p w14:paraId="7143930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trike w:val="0"/>
                <w:dstrike w:val="0"/>
                <w:color w:val="auto"/>
                <w:kern w:val="0"/>
                <w:sz w:val="21"/>
                <w:szCs w:val="21"/>
                <w:highlight w:val="none"/>
                <w:u w:val="single"/>
              </w:rPr>
            </w:pPr>
            <w:r>
              <w:rPr>
                <w:rFonts w:hint="eastAsia" w:ascii="宋体" w:hAnsi="宋体" w:eastAsia="宋体" w:cs="宋体"/>
                <w:strike w:val="0"/>
                <w:dstrike w:val="0"/>
                <w:color w:val="auto"/>
                <w:kern w:val="0"/>
                <w:sz w:val="21"/>
                <w:szCs w:val="21"/>
                <w:highlight w:val="none"/>
                <w:u w:val="single"/>
              </w:rPr>
              <w:t>1、答辩</w:t>
            </w:r>
            <w:r>
              <w:rPr>
                <w:rFonts w:hint="eastAsia" w:ascii="宋体" w:hAnsi="宋体" w:eastAsia="宋体" w:cs="宋体"/>
                <w:strike w:val="0"/>
                <w:dstrike w:val="0"/>
                <w:color w:val="auto"/>
                <w:kern w:val="0"/>
                <w:sz w:val="21"/>
                <w:szCs w:val="21"/>
                <w:highlight w:val="none"/>
                <w:u w:val="single"/>
                <w:lang w:val="en-US" w:eastAsia="zh-CN"/>
              </w:rPr>
              <w:t>人员</w:t>
            </w:r>
            <w:r>
              <w:rPr>
                <w:rFonts w:hint="eastAsia" w:ascii="宋体" w:hAnsi="宋体" w:eastAsia="宋体" w:cs="宋体"/>
                <w:strike w:val="0"/>
                <w:dstrike w:val="0"/>
                <w:color w:val="auto"/>
                <w:kern w:val="0"/>
                <w:sz w:val="21"/>
                <w:szCs w:val="21"/>
                <w:highlight w:val="none"/>
                <w:u w:val="single"/>
              </w:rPr>
              <w:t>对本项目履约能力与履约水平的介绍，介绍时间不超过10分钟；介绍内容包括但不限于：项目管理人员配备，施工安全、工期及质量管理，对本项目施工重点和难点的分析和应对措施。</w:t>
            </w:r>
          </w:p>
          <w:p w14:paraId="401B39EC">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trike w:val="0"/>
                <w:dstrike w:val="0"/>
                <w:color w:val="auto"/>
                <w:kern w:val="0"/>
                <w:sz w:val="21"/>
                <w:szCs w:val="21"/>
                <w:highlight w:val="none"/>
                <w:u w:val="single"/>
              </w:rPr>
            </w:pPr>
            <w:r>
              <w:rPr>
                <w:rFonts w:hint="eastAsia" w:ascii="宋体" w:hAnsi="宋体" w:eastAsia="宋体" w:cs="宋体"/>
                <w:strike w:val="0"/>
                <w:dstrike w:val="0"/>
                <w:color w:val="auto"/>
                <w:kern w:val="0"/>
                <w:sz w:val="21"/>
                <w:szCs w:val="21"/>
                <w:highlight w:val="none"/>
                <w:u w:val="single"/>
              </w:rPr>
              <w:t>表现优秀得[</w:t>
            </w:r>
            <w:r>
              <w:rPr>
                <w:rFonts w:hint="eastAsia" w:ascii="宋体" w:hAnsi="宋体" w:eastAsia="宋体" w:cs="宋体"/>
                <w:strike w:val="0"/>
                <w:dstrike w:val="0"/>
                <w:color w:val="auto"/>
                <w:kern w:val="0"/>
                <w:sz w:val="21"/>
                <w:szCs w:val="21"/>
                <w:highlight w:val="none"/>
                <w:u w:val="single"/>
                <w:lang w:val="en-US" w:eastAsia="zh-CN"/>
              </w:rPr>
              <w:t>7</w:t>
            </w:r>
            <w:r>
              <w:rPr>
                <w:rFonts w:hint="eastAsia" w:ascii="宋体" w:hAnsi="宋体" w:eastAsia="宋体" w:cs="宋体"/>
                <w:strike w:val="0"/>
                <w:dstrike w:val="0"/>
                <w:color w:val="auto"/>
                <w:spacing w:val="0"/>
                <w:kern w:val="0"/>
                <w:sz w:val="21"/>
                <w:szCs w:val="21"/>
                <w:highlight w:val="none"/>
                <w:u w:val="single"/>
              </w:rPr>
              <w:t>，</w:t>
            </w:r>
            <w:r>
              <w:rPr>
                <w:rFonts w:hint="eastAsia" w:ascii="宋体" w:hAnsi="宋体" w:eastAsia="宋体" w:cs="宋体"/>
                <w:strike w:val="0"/>
                <w:dstrike w:val="0"/>
                <w:color w:val="auto"/>
                <w:spacing w:val="0"/>
                <w:kern w:val="0"/>
                <w:sz w:val="21"/>
                <w:szCs w:val="21"/>
                <w:highlight w:val="none"/>
                <w:u w:val="single"/>
                <w:lang w:val="en-US" w:eastAsia="zh-CN"/>
              </w:rPr>
              <w:t>10</w:t>
            </w:r>
            <w:r>
              <w:rPr>
                <w:rFonts w:hint="eastAsia" w:ascii="宋体" w:hAnsi="宋体" w:eastAsia="宋体" w:cs="宋体"/>
                <w:strike w:val="0"/>
                <w:dstrike w:val="0"/>
                <w:color w:val="auto"/>
                <w:spacing w:val="0"/>
                <w:kern w:val="0"/>
                <w:sz w:val="21"/>
                <w:szCs w:val="21"/>
                <w:highlight w:val="none"/>
                <w:u w:val="single"/>
              </w:rPr>
              <w:t>]</w:t>
            </w:r>
            <w:r>
              <w:rPr>
                <w:rFonts w:hint="eastAsia" w:ascii="宋体" w:hAnsi="宋体" w:eastAsia="宋体" w:cs="宋体"/>
                <w:strike w:val="0"/>
                <w:dstrike w:val="0"/>
                <w:color w:val="auto"/>
                <w:kern w:val="0"/>
                <w:sz w:val="21"/>
                <w:szCs w:val="21"/>
                <w:highlight w:val="none"/>
                <w:u w:val="single"/>
              </w:rPr>
              <w:t>分，良好得</w:t>
            </w:r>
            <w:r>
              <w:rPr>
                <w:rFonts w:hint="eastAsia" w:ascii="宋体" w:hAnsi="宋体" w:eastAsia="宋体" w:cs="宋体"/>
                <w:strike w:val="0"/>
                <w:dstrike w:val="0"/>
                <w:color w:val="auto"/>
                <w:spacing w:val="0"/>
                <w:kern w:val="0"/>
                <w:sz w:val="21"/>
                <w:szCs w:val="21"/>
                <w:highlight w:val="none"/>
                <w:u w:val="single"/>
              </w:rPr>
              <w:t>(</w:t>
            </w:r>
            <w:r>
              <w:rPr>
                <w:rFonts w:hint="eastAsia" w:ascii="宋体" w:hAnsi="宋体" w:eastAsia="宋体" w:cs="宋体"/>
                <w:strike w:val="0"/>
                <w:dstrike w:val="0"/>
                <w:color w:val="auto"/>
                <w:spacing w:val="0"/>
                <w:kern w:val="0"/>
                <w:sz w:val="21"/>
                <w:szCs w:val="21"/>
                <w:highlight w:val="none"/>
                <w:u w:val="single"/>
                <w:lang w:val="en-US" w:eastAsia="zh-CN"/>
              </w:rPr>
              <w:t>4</w:t>
            </w:r>
            <w:r>
              <w:rPr>
                <w:rFonts w:hint="eastAsia" w:ascii="宋体" w:hAnsi="宋体" w:eastAsia="宋体" w:cs="宋体"/>
                <w:strike w:val="0"/>
                <w:dstrike w:val="0"/>
                <w:color w:val="auto"/>
                <w:spacing w:val="0"/>
                <w:kern w:val="0"/>
                <w:sz w:val="21"/>
                <w:szCs w:val="21"/>
                <w:highlight w:val="none"/>
                <w:u w:val="single"/>
              </w:rPr>
              <w:t>，</w:t>
            </w:r>
            <w:r>
              <w:rPr>
                <w:rFonts w:hint="eastAsia" w:ascii="宋体" w:hAnsi="宋体" w:eastAsia="宋体" w:cs="宋体"/>
                <w:strike w:val="0"/>
                <w:dstrike w:val="0"/>
                <w:color w:val="auto"/>
                <w:spacing w:val="0"/>
                <w:kern w:val="0"/>
                <w:sz w:val="21"/>
                <w:szCs w:val="21"/>
                <w:highlight w:val="none"/>
                <w:u w:val="single"/>
                <w:lang w:val="en-US" w:eastAsia="zh-CN"/>
              </w:rPr>
              <w:t>7</w:t>
            </w:r>
            <w:r>
              <w:rPr>
                <w:rFonts w:hint="eastAsia" w:ascii="宋体" w:hAnsi="宋体" w:eastAsia="宋体" w:cs="宋体"/>
                <w:strike w:val="0"/>
                <w:dstrike w:val="0"/>
                <w:color w:val="auto"/>
                <w:spacing w:val="0"/>
                <w:kern w:val="0"/>
                <w:sz w:val="21"/>
                <w:szCs w:val="21"/>
                <w:highlight w:val="none"/>
                <w:u w:val="single"/>
              </w:rPr>
              <w:t>)</w:t>
            </w:r>
            <w:r>
              <w:rPr>
                <w:rFonts w:hint="eastAsia" w:ascii="宋体" w:hAnsi="宋体" w:eastAsia="宋体" w:cs="宋体"/>
                <w:strike w:val="0"/>
                <w:dstrike w:val="0"/>
                <w:color w:val="auto"/>
                <w:kern w:val="0"/>
                <w:sz w:val="21"/>
                <w:szCs w:val="21"/>
                <w:highlight w:val="none"/>
                <w:u w:val="single"/>
              </w:rPr>
              <w:t>分，一般得[0，</w:t>
            </w:r>
            <w:r>
              <w:rPr>
                <w:rFonts w:hint="eastAsia" w:ascii="宋体" w:hAnsi="宋体" w:eastAsia="宋体" w:cs="宋体"/>
                <w:strike w:val="0"/>
                <w:dstrike w:val="0"/>
                <w:color w:val="auto"/>
                <w:spacing w:val="0"/>
                <w:kern w:val="0"/>
                <w:sz w:val="21"/>
                <w:szCs w:val="21"/>
                <w:highlight w:val="none"/>
                <w:u w:val="single"/>
                <w:lang w:val="en-US" w:eastAsia="zh-CN"/>
              </w:rPr>
              <w:t>4</w:t>
            </w:r>
            <w:r>
              <w:rPr>
                <w:rFonts w:hint="eastAsia" w:ascii="宋体" w:hAnsi="宋体" w:eastAsia="宋体" w:cs="宋体"/>
                <w:strike w:val="0"/>
                <w:dstrike w:val="0"/>
                <w:color w:val="auto"/>
                <w:spacing w:val="0"/>
                <w:kern w:val="0"/>
                <w:sz w:val="21"/>
                <w:szCs w:val="21"/>
                <w:highlight w:val="none"/>
                <w:u w:val="single"/>
              </w:rPr>
              <w:t>]</w:t>
            </w:r>
            <w:r>
              <w:rPr>
                <w:rFonts w:hint="eastAsia" w:ascii="宋体" w:hAnsi="宋体" w:eastAsia="宋体" w:cs="宋体"/>
                <w:strike w:val="0"/>
                <w:dstrike w:val="0"/>
                <w:color w:val="auto"/>
                <w:kern w:val="0"/>
                <w:sz w:val="21"/>
                <w:szCs w:val="21"/>
                <w:highlight w:val="none"/>
                <w:u w:val="single"/>
              </w:rPr>
              <w:t>分。本小项最高得</w:t>
            </w:r>
            <w:r>
              <w:rPr>
                <w:rFonts w:hint="eastAsia" w:ascii="宋体" w:hAnsi="宋体" w:eastAsia="宋体" w:cs="宋体"/>
                <w:strike w:val="0"/>
                <w:dstrike w:val="0"/>
                <w:color w:val="auto"/>
                <w:kern w:val="0"/>
                <w:sz w:val="21"/>
                <w:szCs w:val="21"/>
                <w:highlight w:val="none"/>
                <w:u w:val="single"/>
                <w:lang w:eastAsia="zh-CN"/>
              </w:rPr>
              <w:t>1</w:t>
            </w:r>
            <w:r>
              <w:rPr>
                <w:rFonts w:hint="eastAsia" w:ascii="宋体" w:hAnsi="宋体" w:eastAsia="宋体" w:cs="宋体"/>
                <w:strike w:val="0"/>
                <w:dstrike w:val="0"/>
                <w:color w:val="auto"/>
                <w:kern w:val="0"/>
                <w:sz w:val="21"/>
                <w:szCs w:val="21"/>
                <w:highlight w:val="none"/>
                <w:u w:val="single"/>
                <w:lang w:val="en-US" w:eastAsia="zh-CN"/>
              </w:rPr>
              <w:t>0</w:t>
            </w:r>
            <w:r>
              <w:rPr>
                <w:rFonts w:hint="eastAsia" w:ascii="宋体" w:hAnsi="宋体" w:eastAsia="宋体" w:cs="宋体"/>
                <w:strike w:val="0"/>
                <w:dstrike w:val="0"/>
                <w:color w:val="auto"/>
                <w:kern w:val="0"/>
                <w:sz w:val="21"/>
                <w:szCs w:val="21"/>
                <w:highlight w:val="none"/>
                <w:u w:val="single"/>
              </w:rPr>
              <w:t>分。</w:t>
            </w:r>
          </w:p>
          <w:p w14:paraId="7534A8D8">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trike w:val="0"/>
                <w:dstrike w:val="0"/>
                <w:color w:val="auto"/>
                <w:kern w:val="0"/>
                <w:sz w:val="21"/>
                <w:szCs w:val="21"/>
                <w:highlight w:val="none"/>
                <w:u w:val="single"/>
              </w:rPr>
            </w:pPr>
            <w:r>
              <w:rPr>
                <w:rFonts w:hint="eastAsia" w:ascii="宋体" w:hAnsi="宋体" w:eastAsia="宋体" w:cs="宋体"/>
                <w:strike w:val="0"/>
                <w:dstrike w:val="0"/>
                <w:color w:val="auto"/>
                <w:kern w:val="0"/>
                <w:sz w:val="21"/>
                <w:szCs w:val="21"/>
                <w:highlight w:val="none"/>
                <w:u w:val="single"/>
                <w:lang w:val="en-US" w:eastAsia="zh-CN"/>
              </w:rPr>
              <w:t>2、</w:t>
            </w:r>
            <w:r>
              <w:rPr>
                <w:rFonts w:hint="eastAsia" w:ascii="宋体" w:hAnsi="宋体" w:eastAsia="宋体" w:cs="宋体"/>
                <w:strike w:val="0"/>
                <w:dstrike w:val="0"/>
                <w:color w:val="auto"/>
                <w:kern w:val="0"/>
                <w:sz w:val="21"/>
                <w:szCs w:val="21"/>
                <w:highlight w:val="none"/>
                <w:u w:val="single"/>
              </w:rPr>
              <w:t>答辩</w:t>
            </w:r>
            <w:r>
              <w:rPr>
                <w:rFonts w:hint="eastAsia" w:ascii="宋体" w:hAnsi="宋体" w:eastAsia="宋体" w:cs="宋体"/>
                <w:strike w:val="0"/>
                <w:dstrike w:val="0"/>
                <w:color w:val="auto"/>
                <w:kern w:val="0"/>
                <w:sz w:val="21"/>
                <w:szCs w:val="21"/>
                <w:highlight w:val="none"/>
                <w:u w:val="single"/>
                <w:lang w:val="en-US" w:eastAsia="zh-CN"/>
              </w:rPr>
              <w:t>人员</w:t>
            </w:r>
            <w:r>
              <w:rPr>
                <w:rFonts w:hint="eastAsia" w:ascii="宋体" w:hAnsi="宋体" w:eastAsia="宋体" w:cs="宋体"/>
                <w:strike w:val="0"/>
                <w:dstrike w:val="0"/>
                <w:color w:val="auto"/>
                <w:kern w:val="0"/>
                <w:sz w:val="21"/>
                <w:szCs w:val="21"/>
                <w:highlight w:val="none"/>
                <w:u w:val="single"/>
              </w:rPr>
              <w:t>就本项目接受评标委员会提问并进行回答：表现优秀得[</w:t>
            </w:r>
            <w:r>
              <w:rPr>
                <w:rFonts w:hint="eastAsia" w:ascii="宋体" w:hAnsi="宋体" w:eastAsia="宋体" w:cs="宋体"/>
                <w:strike w:val="0"/>
                <w:dstrike w:val="0"/>
                <w:color w:val="auto"/>
                <w:kern w:val="0"/>
                <w:sz w:val="21"/>
                <w:szCs w:val="21"/>
                <w:highlight w:val="none"/>
                <w:u w:val="single"/>
                <w:lang w:val="en-US" w:eastAsia="zh-CN"/>
              </w:rPr>
              <w:t>7</w:t>
            </w:r>
            <w:r>
              <w:rPr>
                <w:rFonts w:hint="eastAsia" w:ascii="宋体" w:hAnsi="宋体" w:eastAsia="宋体" w:cs="宋体"/>
                <w:strike w:val="0"/>
                <w:dstrike w:val="0"/>
                <w:color w:val="auto"/>
                <w:spacing w:val="0"/>
                <w:kern w:val="0"/>
                <w:sz w:val="21"/>
                <w:szCs w:val="21"/>
                <w:highlight w:val="none"/>
                <w:u w:val="single"/>
              </w:rPr>
              <w:t>，</w:t>
            </w:r>
            <w:r>
              <w:rPr>
                <w:rFonts w:hint="eastAsia" w:ascii="宋体" w:hAnsi="宋体" w:eastAsia="宋体" w:cs="宋体"/>
                <w:strike w:val="0"/>
                <w:dstrike w:val="0"/>
                <w:color w:val="auto"/>
                <w:spacing w:val="0"/>
                <w:kern w:val="0"/>
                <w:sz w:val="21"/>
                <w:szCs w:val="21"/>
                <w:highlight w:val="none"/>
                <w:u w:val="single"/>
                <w:lang w:val="en-US" w:eastAsia="zh-CN"/>
              </w:rPr>
              <w:t>10</w:t>
            </w:r>
            <w:r>
              <w:rPr>
                <w:rFonts w:hint="eastAsia" w:ascii="宋体" w:hAnsi="宋体" w:eastAsia="宋体" w:cs="宋体"/>
                <w:strike w:val="0"/>
                <w:dstrike w:val="0"/>
                <w:color w:val="auto"/>
                <w:spacing w:val="0"/>
                <w:kern w:val="0"/>
                <w:sz w:val="21"/>
                <w:szCs w:val="21"/>
                <w:highlight w:val="none"/>
                <w:u w:val="single"/>
              </w:rPr>
              <w:t>]</w:t>
            </w:r>
            <w:r>
              <w:rPr>
                <w:rFonts w:hint="eastAsia" w:ascii="宋体" w:hAnsi="宋体" w:eastAsia="宋体" w:cs="宋体"/>
                <w:strike w:val="0"/>
                <w:dstrike w:val="0"/>
                <w:color w:val="auto"/>
                <w:kern w:val="0"/>
                <w:sz w:val="21"/>
                <w:szCs w:val="21"/>
                <w:highlight w:val="none"/>
                <w:u w:val="single"/>
              </w:rPr>
              <w:t>分，良好得</w:t>
            </w:r>
            <w:r>
              <w:rPr>
                <w:rFonts w:hint="eastAsia" w:ascii="宋体" w:hAnsi="宋体" w:eastAsia="宋体" w:cs="宋体"/>
                <w:strike w:val="0"/>
                <w:dstrike w:val="0"/>
                <w:color w:val="auto"/>
                <w:spacing w:val="0"/>
                <w:kern w:val="0"/>
                <w:sz w:val="21"/>
                <w:szCs w:val="21"/>
                <w:highlight w:val="none"/>
                <w:u w:val="single"/>
              </w:rPr>
              <w:t>(</w:t>
            </w:r>
            <w:r>
              <w:rPr>
                <w:rFonts w:hint="eastAsia" w:ascii="宋体" w:hAnsi="宋体" w:eastAsia="宋体" w:cs="宋体"/>
                <w:strike w:val="0"/>
                <w:dstrike w:val="0"/>
                <w:color w:val="auto"/>
                <w:spacing w:val="0"/>
                <w:kern w:val="0"/>
                <w:sz w:val="21"/>
                <w:szCs w:val="21"/>
                <w:highlight w:val="none"/>
                <w:u w:val="single"/>
                <w:lang w:val="en-US" w:eastAsia="zh-CN"/>
              </w:rPr>
              <w:t>4</w:t>
            </w:r>
            <w:r>
              <w:rPr>
                <w:rFonts w:hint="eastAsia" w:ascii="宋体" w:hAnsi="宋体" w:eastAsia="宋体" w:cs="宋体"/>
                <w:strike w:val="0"/>
                <w:dstrike w:val="0"/>
                <w:color w:val="auto"/>
                <w:spacing w:val="0"/>
                <w:kern w:val="0"/>
                <w:sz w:val="21"/>
                <w:szCs w:val="21"/>
                <w:highlight w:val="none"/>
                <w:u w:val="single"/>
              </w:rPr>
              <w:t>，</w:t>
            </w:r>
            <w:r>
              <w:rPr>
                <w:rFonts w:hint="eastAsia" w:ascii="宋体" w:hAnsi="宋体" w:eastAsia="宋体" w:cs="宋体"/>
                <w:strike w:val="0"/>
                <w:dstrike w:val="0"/>
                <w:color w:val="auto"/>
                <w:spacing w:val="0"/>
                <w:kern w:val="0"/>
                <w:sz w:val="21"/>
                <w:szCs w:val="21"/>
                <w:highlight w:val="none"/>
                <w:u w:val="single"/>
                <w:lang w:val="en-US" w:eastAsia="zh-CN"/>
              </w:rPr>
              <w:t>7</w:t>
            </w:r>
            <w:r>
              <w:rPr>
                <w:rFonts w:hint="eastAsia" w:ascii="宋体" w:hAnsi="宋体" w:eastAsia="宋体" w:cs="宋体"/>
                <w:strike w:val="0"/>
                <w:dstrike w:val="0"/>
                <w:color w:val="auto"/>
                <w:spacing w:val="0"/>
                <w:kern w:val="0"/>
                <w:sz w:val="21"/>
                <w:szCs w:val="21"/>
                <w:highlight w:val="none"/>
                <w:u w:val="single"/>
              </w:rPr>
              <w:t>)</w:t>
            </w:r>
            <w:r>
              <w:rPr>
                <w:rFonts w:hint="eastAsia" w:ascii="宋体" w:hAnsi="宋体" w:eastAsia="宋体" w:cs="宋体"/>
                <w:strike w:val="0"/>
                <w:dstrike w:val="0"/>
                <w:color w:val="auto"/>
                <w:kern w:val="0"/>
                <w:sz w:val="21"/>
                <w:szCs w:val="21"/>
                <w:highlight w:val="none"/>
                <w:u w:val="single"/>
              </w:rPr>
              <w:t>分，一般得[0，</w:t>
            </w:r>
            <w:r>
              <w:rPr>
                <w:rFonts w:hint="eastAsia" w:ascii="宋体" w:hAnsi="宋体" w:eastAsia="宋体" w:cs="宋体"/>
                <w:strike w:val="0"/>
                <w:dstrike w:val="0"/>
                <w:color w:val="auto"/>
                <w:spacing w:val="0"/>
                <w:kern w:val="0"/>
                <w:sz w:val="21"/>
                <w:szCs w:val="21"/>
                <w:highlight w:val="none"/>
                <w:u w:val="single"/>
                <w:lang w:val="en-US" w:eastAsia="zh-CN"/>
              </w:rPr>
              <w:t>4</w:t>
            </w:r>
            <w:r>
              <w:rPr>
                <w:rFonts w:hint="eastAsia" w:ascii="宋体" w:hAnsi="宋体" w:eastAsia="宋体" w:cs="宋体"/>
                <w:strike w:val="0"/>
                <w:dstrike w:val="0"/>
                <w:color w:val="auto"/>
                <w:spacing w:val="0"/>
                <w:kern w:val="0"/>
                <w:sz w:val="21"/>
                <w:szCs w:val="21"/>
                <w:highlight w:val="none"/>
                <w:u w:val="single"/>
              </w:rPr>
              <w:t>]</w:t>
            </w:r>
            <w:r>
              <w:rPr>
                <w:rFonts w:hint="eastAsia" w:ascii="宋体" w:hAnsi="宋体" w:eastAsia="宋体" w:cs="宋体"/>
                <w:strike w:val="0"/>
                <w:dstrike w:val="0"/>
                <w:color w:val="auto"/>
                <w:kern w:val="0"/>
                <w:sz w:val="21"/>
                <w:szCs w:val="21"/>
                <w:highlight w:val="none"/>
                <w:u w:val="single"/>
              </w:rPr>
              <w:t>分。本小项最高得</w:t>
            </w:r>
            <w:r>
              <w:rPr>
                <w:rFonts w:hint="eastAsia" w:ascii="宋体" w:hAnsi="宋体" w:eastAsia="宋体" w:cs="宋体"/>
                <w:strike w:val="0"/>
                <w:dstrike w:val="0"/>
                <w:color w:val="auto"/>
                <w:kern w:val="0"/>
                <w:sz w:val="21"/>
                <w:szCs w:val="21"/>
                <w:highlight w:val="none"/>
                <w:u w:val="single"/>
                <w:lang w:eastAsia="zh-CN"/>
              </w:rPr>
              <w:t>1</w:t>
            </w:r>
            <w:r>
              <w:rPr>
                <w:rFonts w:hint="eastAsia" w:ascii="宋体" w:hAnsi="宋体" w:eastAsia="宋体" w:cs="宋体"/>
                <w:strike w:val="0"/>
                <w:dstrike w:val="0"/>
                <w:color w:val="auto"/>
                <w:kern w:val="0"/>
                <w:sz w:val="21"/>
                <w:szCs w:val="21"/>
                <w:highlight w:val="none"/>
                <w:u w:val="single"/>
                <w:lang w:val="en-US" w:eastAsia="zh-CN"/>
              </w:rPr>
              <w:t>0</w:t>
            </w:r>
            <w:r>
              <w:rPr>
                <w:rFonts w:hint="eastAsia" w:ascii="宋体" w:hAnsi="宋体" w:eastAsia="宋体" w:cs="宋体"/>
                <w:strike w:val="0"/>
                <w:dstrike w:val="0"/>
                <w:color w:val="auto"/>
                <w:kern w:val="0"/>
                <w:sz w:val="21"/>
                <w:szCs w:val="21"/>
                <w:highlight w:val="none"/>
                <w:u w:val="single"/>
              </w:rPr>
              <w:t>分。</w:t>
            </w:r>
          </w:p>
          <w:p w14:paraId="720E88CE">
            <w:pPr>
              <w:jc w:val="left"/>
              <w:rPr>
                <w:rFonts w:hint="eastAsia" w:ascii="宋体" w:hAnsi="宋体" w:eastAsia="宋体" w:cs="宋体"/>
                <w:strike w:val="0"/>
                <w:dstrike w:val="0"/>
                <w:color w:val="auto"/>
                <w:kern w:val="0"/>
                <w:sz w:val="21"/>
                <w:szCs w:val="21"/>
                <w:highlight w:val="none"/>
                <w:u w:val="single"/>
              </w:rPr>
            </w:pPr>
            <w:r>
              <w:rPr>
                <w:rFonts w:hint="eastAsia" w:ascii="宋体" w:hAnsi="宋体" w:eastAsia="宋体" w:cs="宋体"/>
                <w:strike w:val="0"/>
                <w:dstrike w:val="0"/>
                <w:color w:val="auto"/>
                <w:kern w:val="0"/>
                <w:sz w:val="21"/>
                <w:szCs w:val="21"/>
                <w:highlight w:val="none"/>
                <w:u w:val="single"/>
              </w:rPr>
              <w:t>3、投标人答辩</w:t>
            </w:r>
            <w:r>
              <w:rPr>
                <w:rFonts w:hint="eastAsia" w:ascii="宋体" w:hAnsi="宋体" w:eastAsia="宋体" w:cs="宋体"/>
                <w:strike w:val="0"/>
                <w:dstrike w:val="0"/>
                <w:color w:val="auto"/>
                <w:kern w:val="0"/>
                <w:sz w:val="21"/>
                <w:szCs w:val="21"/>
                <w:highlight w:val="none"/>
                <w:u w:val="single"/>
                <w:lang w:val="en-US" w:eastAsia="zh-CN"/>
              </w:rPr>
              <w:t>人员</w:t>
            </w:r>
            <w:r>
              <w:rPr>
                <w:rFonts w:hint="eastAsia" w:ascii="宋体" w:hAnsi="宋体" w:eastAsia="宋体" w:cs="宋体"/>
                <w:strike w:val="0"/>
                <w:dstrike w:val="0"/>
                <w:color w:val="auto"/>
                <w:kern w:val="0"/>
                <w:sz w:val="21"/>
                <w:szCs w:val="21"/>
                <w:highlight w:val="none"/>
                <w:u w:val="single"/>
              </w:rPr>
              <w:t>未参加现场答辩，以上两项均为0分。</w:t>
            </w:r>
          </w:p>
          <w:p w14:paraId="5AA33E71">
            <w:pPr>
              <w:widowControl/>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注：</w:t>
            </w:r>
          </w:p>
          <w:p w14:paraId="4C8183C4">
            <w:pPr>
              <w:widowControl/>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（1）答辩人员组成：</w:t>
            </w:r>
            <w:r>
              <w:rPr>
                <w:rFonts w:hint="eastAsia" w:ascii="宋体" w:hAnsi="宋体" w:eastAsia="宋体" w:cs="宋体"/>
                <w:color w:val="auto"/>
                <w:sz w:val="21"/>
                <w:szCs w:val="21"/>
                <w:highlight w:val="none"/>
                <w:u w:val="single"/>
              </w:rPr>
              <w:t>项目负责人（兼任施工负责人）</w:t>
            </w:r>
            <w:r>
              <w:rPr>
                <w:rFonts w:hint="eastAsia" w:ascii="宋体" w:hAnsi="宋体" w:eastAsia="宋体" w:cs="宋体"/>
                <w:color w:val="auto"/>
                <w:kern w:val="0"/>
                <w:sz w:val="21"/>
                <w:szCs w:val="21"/>
                <w:highlight w:val="none"/>
                <w:u w:val="single"/>
              </w:rPr>
              <w:t>和</w:t>
            </w:r>
            <w:r>
              <w:rPr>
                <w:rFonts w:hint="eastAsia" w:ascii="宋体" w:hAnsi="宋体" w:eastAsia="宋体" w:cs="宋体"/>
                <w:color w:val="auto"/>
                <w:kern w:val="0"/>
                <w:sz w:val="21"/>
                <w:szCs w:val="21"/>
                <w:highlight w:val="none"/>
                <w:u w:val="single"/>
                <w:lang w:val="en-US" w:eastAsia="zh-CN"/>
              </w:rPr>
              <w:t>设计</w:t>
            </w:r>
            <w:r>
              <w:rPr>
                <w:rFonts w:hint="eastAsia" w:ascii="宋体" w:hAnsi="宋体" w:eastAsia="宋体" w:cs="宋体"/>
                <w:color w:val="auto"/>
                <w:kern w:val="0"/>
                <w:sz w:val="21"/>
                <w:szCs w:val="21"/>
                <w:highlight w:val="none"/>
                <w:u w:val="single"/>
              </w:rPr>
              <w:t>负责人未参加现场答辩，以上两项均为0分。</w:t>
            </w:r>
          </w:p>
          <w:p w14:paraId="2E8EE18E">
            <w:pPr>
              <w:widowControl/>
              <w:numPr>
                <w:ilvl w:val="-1"/>
                <w:numId w:val="0"/>
              </w:numPr>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答辩人员的到场要求：参与答辩的人员出示身份证原件，核对确认身份后签到。未能提供身份证原件核对的不予参加答辩环节。</w:t>
            </w:r>
          </w:p>
          <w:p w14:paraId="08651296">
            <w:pPr>
              <w:widowControl/>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2</w:t>
            </w:r>
            <w:r>
              <w:rPr>
                <w:rFonts w:hint="eastAsia" w:ascii="宋体" w:hAnsi="宋体" w:eastAsia="宋体" w:cs="宋体"/>
                <w:color w:val="auto"/>
                <w:kern w:val="0"/>
                <w:sz w:val="21"/>
                <w:szCs w:val="21"/>
                <w:highlight w:val="none"/>
                <w:u w:val="single"/>
              </w:rPr>
              <w:t>）评分区间中，“[”指包含本数，“）”指不包含本数。</w:t>
            </w:r>
          </w:p>
          <w:p w14:paraId="04D6CD35">
            <w:pPr>
              <w:widowControl/>
              <w:jc w:val="left"/>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3</w:t>
            </w:r>
            <w:r>
              <w:rPr>
                <w:rFonts w:hint="eastAsia" w:ascii="宋体" w:hAnsi="宋体" w:eastAsia="宋体" w:cs="宋体"/>
                <w:color w:val="auto"/>
                <w:kern w:val="0"/>
                <w:sz w:val="21"/>
                <w:szCs w:val="21"/>
                <w:highlight w:val="none"/>
                <w:u w:val="single"/>
              </w:rPr>
              <w:t>）答辩顺序的确定：按照开标时交易系统自动生成的本招标项目《开标记录表》中的序号，由小到大依次排序进行答辩。</w:t>
            </w:r>
          </w:p>
          <w:p w14:paraId="35493826">
            <w:pPr>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u w:val="single"/>
              </w:rPr>
              <w:t>（</w:t>
            </w:r>
            <w:r>
              <w:rPr>
                <w:rFonts w:hint="eastAsia" w:ascii="宋体" w:hAnsi="宋体" w:eastAsia="宋体" w:cs="宋体"/>
                <w:color w:val="auto"/>
                <w:kern w:val="0"/>
                <w:sz w:val="21"/>
                <w:szCs w:val="21"/>
                <w:highlight w:val="none"/>
                <w:u w:val="single"/>
                <w:lang w:val="en-US" w:eastAsia="zh-CN"/>
              </w:rPr>
              <w:t>4</w:t>
            </w:r>
            <w:r>
              <w:rPr>
                <w:rFonts w:hint="eastAsia" w:ascii="宋体" w:hAnsi="宋体" w:eastAsia="宋体" w:cs="宋体"/>
                <w:color w:val="auto"/>
                <w:kern w:val="0"/>
                <w:sz w:val="21"/>
                <w:szCs w:val="21"/>
                <w:highlight w:val="none"/>
                <w:u w:val="single"/>
              </w:rPr>
              <w:t>）评标委员会在完成形式评审、资格评审、工程总承包实施方案响应性评审后方可启动答辩，具体答辩开始时间以招标代理通知为准</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迟到视为放弃答辩</w:t>
            </w:r>
            <w:r>
              <w:rPr>
                <w:rFonts w:hint="eastAsia" w:ascii="宋体" w:hAnsi="宋体" w:eastAsia="宋体" w:cs="宋体"/>
                <w:color w:val="auto"/>
                <w:kern w:val="0"/>
                <w:sz w:val="21"/>
                <w:szCs w:val="21"/>
                <w:highlight w:val="none"/>
                <w:u w:val="single"/>
              </w:rPr>
              <w:t>。未通过形式评审、资格评审、工程总承包实施方案响应性评审的投标人不参与现场答辩。</w:t>
            </w:r>
          </w:p>
        </w:tc>
      </w:tr>
    </w:tbl>
    <w:p w14:paraId="14B8528A">
      <w:pPr>
        <w:spacing w:line="360" w:lineRule="auto"/>
        <w:ind w:firstLine="420" w:firstLineChars="200"/>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注：</w:t>
      </w:r>
    </w:p>
    <w:p w14:paraId="467B905B">
      <w:pPr>
        <w:spacing w:line="360" w:lineRule="auto"/>
        <w:ind w:firstLine="420" w:firstLineChars="200"/>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1、答辩人员组成：由合格的中标候选人的项目负责人（兼任施工负责人）</w:t>
      </w:r>
      <w:r>
        <w:rPr>
          <w:rFonts w:hint="eastAsia" w:ascii="宋体" w:hAnsi="宋体" w:eastAsia="宋体" w:cs="宋体"/>
          <w:color w:val="auto"/>
          <w:szCs w:val="21"/>
          <w:highlight w:val="none"/>
          <w:lang w:val="en-US" w:eastAsia="zh-CN"/>
        </w:rPr>
        <w:t>和设计</w:t>
      </w:r>
      <w:r>
        <w:rPr>
          <w:rFonts w:hint="eastAsia" w:ascii="宋体" w:hAnsi="宋体" w:eastAsia="Times New Roman" w:cs="宋体"/>
          <w:color w:val="auto"/>
          <w:szCs w:val="21"/>
          <w:highlight w:val="none"/>
        </w:rPr>
        <w:t>负责人为答辩人员(参与人员须是本单位的在职人员）；</w:t>
      </w:r>
    </w:p>
    <w:p w14:paraId="5D3124D4">
      <w:pPr>
        <w:spacing w:line="360" w:lineRule="auto"/>
        <w:ind w:firstLine="420" w:firstLineChars="200"/>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2、答辩人员的到场要求：合格的中标候选人在参加答辩时，</w:t>
      </w:r>
      <w:r>
        <w:rPr>
          <w:rFonts w:hint="eastAsia" w:ascii="宋体" w:hAnsi="宋体" w:eastAsia="Times New Roman" w:cs="宋体"/>
          <w:b/>
          <w:bCs/>
          <w:color w:val="auto"/>
          <w:szCs w:val="21"/>
          <w:highlight w:val="none"/>
          <w:u w:val="single"/>
        </w:rPr>
        <w:t>应向招标人（招标代理）出示一份加盖公章的法定代表人证明书原件、法定代表人授权委托证明书原件，本人身份证原件</w:t>
      </w:r>
      <w:r>
        <w:rPr>
          <w:rFonts w:hint="eastAsia" w:ascii="宋体" w:hAnsi="宋体" w:eastAsia="Times New Roman" w:cs="宋体"/>
          <w:color w:val="auto"/>
          <w:szCs w:val="21"/>
          <w:highlight w:val="none"/>
        </w:rPr>
        <w:t>。由参与答辩的人员出示身份证原件，核对确认身份后签到。未能出示前述证明文件的单位不予参加答辩环节；</w:t>
      </w:r>
    </w:p>
    <w:p w14:paraId="7234AFB2">
      <w:pPr>
        <w:spacing w:line="360" w:lineRule="auto"/>
        <w:ind w:firstLine="420" w:firstLineChars="200"/>
        <w:rPr>
          <w:rFonts w:ascii="宋体" w:hAnsi="宋体" w:eastAsia="Times New Roman" w:cs="宋体"/>
          <w:color w:val="auto"/>
          <w:szCs w:val="21"/>
          <w:highlight w:val="none"/>
        </w:rPr>
      </w:pPr>
      <w:r>
        <w:rPr>
          <w:rFonts w:hint="eastAsia" w:ascii="宋体" w:hAnsi="宋体" w:eastAsia="Times New Roman" w:cs="宋体"/>
          <w:color w:val="auto"/>
          <w:szCs w:val="21"/>
          <w:highlight w:val="none"/>
        </w:rPr>
        <w:t>3、答辩进场顺序：按本项目中标候选人公示信息中合格的中标候选人的顺序依次排序进行答辩；如因合格的中标候选人原因造成逾期到达广州交易集团有限公司（广州公共资源交易中心）指定区域的，视为自动放弃答辩资格，则答辩顺序由后面的序号依次替补而顺延。答辩形式为答辩人员先陈述，评委针对答辩内容提问，由答辩人员进行解答；答辩环节为口头答辩方式，投标人可以自愿为原则。</w:t>
      </w:r>
    </w:p>
    <w:p w14:paraId="32BAB25C">
      <w:pPr>
        <w:spacing w:line="360" w:lineRule="auto"/>
        <w:ind w:firstLine="420" w:firstLineChars="200"/>
        <w:rPr>
          <w:rFonts w:hint="eastAsia" w:ascii="宋体" w:hAnsi="宋体" w:eastAsia="Times New Roman" w:cs="宋体"/>
          <w:color w:val="auto"/>
          <w:szCs w:val="21"/>
          <w:highlight w:val="none"/>
        </w:rPr>
      </w:pPr>
      <w:r>
        <w:rPr>
          <w:rFonts w:hint="eastAsia" w:ascii="宋体" w:hAnsi="宋体" w:eastAsia="Times New Roman" w:cs="宋体"/>
          <w:color w:val="auto"/>
          <w:szCs w:val="21"/>
          <w:highlight w:val="none"/>
        </w:rPr>
        <w:t>4、通知答辩的方式：通过电话和短信通知投标人参加答辩。招标人或招标代理另行通知答辩时间、地点，合格的中标候选人应在定标当天按通知时间到达广州交易集团有限公司（广州公共资源交易中心）指定区域等候。</w:t>
      </w:r>
    </w:p>
    <w:p w14:paraId="37A458F1">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5、各合格中标候选人总得分为各评委评分的算术平均值，得分四舍五入保留两位小数。</w:t>
      </w:r>
    </w:p>
    <w:p w14:paraId="35395567">
      <w:pPr>
        <w:spacing w:line="360" w:lineRule="auto"/>
        <w:ind w:right="-325" w:rightChars="-155" w:firstLine="420" w:firstLineChars="200"/>
        <w:jc w:val="center"/>
        <w:rPr>
          <w:rFonts w:hint="eastAsia" w:ascii="宋体" w:hAnsi="宋体"/>
          <w:color w:val="auto"/>
          <w:highlight w:val="none"/>
        </w:rPr>
      </w:pPr>
    </w:p>
    <w:p w14:paraId="2042C986">
      <w:pPr>
        <w:spacing w:line="360" w:lineRule="auto"/>
        <w:ind w:right="-325" w:rightChars="-155" w:firstLine="420" w:firstLineChars="200"/>
        <w:rPr>
          <w:rFonts w:hint="eastAsia" w:ascii="宋体" w:hAnsi="宋体"/>
          <w:color w:val="auto"/>
          <w:highlight w:val="none"/>
        </w:rPr>
      </w:pPr>
    </w:p>
    <w:p w14:paraId="7D582ED5">
      <w:pPr>
        <w:spacing w:line="360" w:lineRule="auto"/>
        <w:ind w:right="-325" w:rightChars="-155" w:firstLine="420" w:firstLineChars="200"/>
        <w:rPr>
          <w:rFonts w:hint="eastAsia" w:ascii="宋体" w:hAnsi="宋体"/>
          <w:color w:val="auto"/>
          <w:highlight w:val="none"/>
        </w:rPr>
      </w:pPr>
    </w:p>
    <w:p w14:paraId="5E74EDA6">
      <w:pPr>
        <w:spacing w:line="360" w:lineRule="auto"/>
        <w:ind w:right="-325" w:rightChars="-155" w:firstLine="420" w:firstLineChars="200"/>
        <w:rPr>
          <w:rFonts w:hint="eastAsia" w:ascii="宋体" w:hAnsi="宋体"/>
          <w:color w:val="auto"/>
          <w:highlight w:val="none"/>
        </w:rPr>
      </w:pPr>
      <w:r>
        <w:rPr>
          <w:rFonts w:hint="eastAsia" w:ascii="宋体" w:hAnsi="宋体"/>
          <w:color w:val="auto"/>
          <w:highlight w:val="none"/>
        </w:rPr>
        <w:br w:type="page"/>
      </w:r>
    </w:p>
    <w:p w14:paraId="21EFBE5A">
      <w:pPr>
        <w:spacing w:line="360" w:lineRule="auto"/>
        <w:jc w:val="left"/>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附表</w:t>
      </w:r>
      <w:r>
        <w:rPr>
          <w:rFonts w:hint="eastAsia" w:ascii="宋体" w:hAnsi="宋体" w:cs="宋体"/>
          <w:b/>
          <w:bCs/>
          <w:color w:val="auto"/>
          <w:sz w:val="24"/>
          <w:szCs w:val="24"/>
          <w:highlight w:val="none"/>
          <w:lang w:val="en-US" w:eastAsia="zh-CN"/>
        </w:rPr>
        <w:t>四</w:t>
      </w:r>
    </w:p>
    <w:p w14:paraId="2F679E43">
      <w:pPr>
        <w:wordWrap w:val="0"/>
        <w:jc w:val="center"/>
        <w:rPr>
          <w:rFonts w:hint="eastAsia" w:ascii="宋体" w:hAnsi="宋体" w:cs="宋体"/>
          <w:b/>
          <w:color w:val="auto"/>
          <w:sz w:val="28"/>
          <w:szCs w:val="28"/>
          <w:highlight w:val="none"/>
        </w:rPr>
      </w:pPr>
      <w:bookmarkStart w:id="1078" w:name="_Toc15229"/>
      <w:r>
        <w:rPr>
          <w:rFonts w:hint="eastAsia" w:ascii="宋体" w:hAnsi="宋体" w:cs="宋体"/>
          <w:b/>
          <w:color w:val="auto"/>
          <w:sz w:val="28"/>
          <w:szCs w:val="28"/>
          <w:highlight w:val="none"/>
        </w:rPr>
        <w:t>定标因素评审表</w:t>
      </w:r>
    </w:p>
    <w:p w14:paraId="1263F8E0">
      <w:pPr>
        <w:wordWrap w:val="0"/>
        <w:jc w:val="center"/>
        <w:rPr>
          <w:rFonts w:hint="eastAsia" w:ascii="宋体" w:hAnsi="宋体" w:cs="宋体"/>
          <w:bCs/>
          <w:color w:val="auto"/>
          <w:sz w:val="28"/>
          <w:szCs w:val="28"/>
          <w:highlight w:val="none"/>
        </w:rPr>
      </w:pPr>
      <w:r>
        <w:rPr>
          <w:rFonts w:hint="eastAsia" w:ascii="宋体" w:hAnsi="宋体" w:cs="宋体"/>
          <w:b/>
          <w:color w:val="auto"/>
          <w:sz w:val="28"/>
          <w:szCs w:val="28"/>
          <w:highlight w:val="none"/>
        </w:rPr>
        <w:t>（定标阶段-定标委员个人用表</w:t>
      </w:r>
      <w:bookmarkEnd w:id="1078"/>
      <w:r>
        <w:rPr>
          <w:rFonts w:hint="eastAsia" w:ascii="宋体" w:hAnsi="宋体" w:cs="宋体"/>
          <w:b/>
          <w:color w:val="auto"/>
          <w:sz w:val="28"/>
          <w:szCs w:val="28"/>
          <w:highlight w:val="none"/>
        </w:rPr>
        <w:t>）</w:t>
      </w:r>
    </w:p>
    <w:tbl>
      <w:tblPr>
        <w:tblStyle w:val="17"/>
        <w:tblW w:w="99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3"/>
        <w:gridCol w:w="916"/>
        <w:gridCol w:w="3191"/>
        <w:gridCol w:w="1047"/>
        <w:gridCol w:w="1037"/>
        <w:gridCol w:w="1007"/>
        <w:gridCol w:w="1009"/>
        <w:gridCol w:w="1082"/>
      </w:tblGrid>
      <w:tr w14:paraId="661F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63" w:type="dxa"/>
            <w:vMerge w:val="restart"/>
            <w:tcBorders>
              <w:top w:val="single" w:color="auto" w:sz="4" w:space="0"/>
              <w:left w:val="single" w:color="auto" w:sz="4" w:space="0"/>
              <w:right w:val="single" w:color="auto" w:sz="4" w:space="0"/>
            </w:tcBorders>
            <w:noWrap w:val="0"/>
            <w:vAlign w:val="center"/>
          </w:tcPr>
          <w:p w14:paraId="1432ABDA">
            <w:pPr>
              <w:jc w:val="center"/>
              <w:rPr>
                <w:rFonts w:ascii="宋体" w:hAnsi="宋体"/>
                <w:color w:val="auto"/>
                <w:szCs w:val="21"/>
                <w:highlight w:val="none"/>
              </w:rPr>
            </w:pPr>
            <w:r>
              <w:rPr>
                <w:rFonts w:hint="eastAsia" w:ascii="宋体" w:hAnsi="宋体"/>
                <w:color w:val="auto"/>
                <w:szCs w:val="21"/>
                <w:highlight w:val="none"/>
              </w:rPr>
              <w:t>序号</w:t>
            </w:r>
          </w:p>
        </w:tc>
        <w:tc>
          <w:tcPr>
            <w:tcW w:w="4107" w:type="dxa"/>
            <w:gridSpan w:val="2"/>
            <w:vMerge w:val="restart"/>
            <w:tcBorders>
              <w:top w:val="single" w:color="auto" w:sz="4" w:space="0"/>
              <w:left w:val="single" w:color="auto" w:sz="4" w:space="0"/>
              <w:right w:val="single" w:color="auto" w:sz="4" w:space="0"/>
            </w:tcBorders>
            <w:noWrap w:val="0"/>
            <w:vAlign w:val="center"/>
          </w:tcPr>
          <w:p w14:paraId="13C7AB9C">
            <w:pPr>
              <w:jc w:val="center"/>
              <w:rPr>
                <w:rFonts w:hint="eastAsia" w:ascii="宋体" w:hAnsi="宋体"/>
                <w:color w:val="auto"/>
                <w:szCs w:val="21"/>
                <w:highlight w:val="none"/>
              </w:rPr>
            </w:pPr>
            <w:r>
              <w:rPr>
                <w:rFonts w:hint="eastAsia" w:ascii="宋体" w:hAnsi="宋体"/>
                <w:color w:val="auto"/>
                <w:szCs w:val="21"/>
                <w:highlight w:val="none"/>
              </w:rPr>
              <w:t>定标因素</w:t>
            </w:r>
          </w:p>
        </w:tc>
        <w:tc>
          <w:tcPr>
            <w:tcW w:w="5182" w:type="dxa"/>
            <w:gridSpan w:val="5"/>
            <w:tcBorders>
              <w:top w:val="single" w:color="auto" w:sz="4" w:space="0"/>
              <w:left w:val="single" w:color="auto" w:sz="4" w:space="0"/>
              <w:bottom w:val="single" w:color="auto" w:sz="4" w:space="0"/>
              <w:right w:val="single" w:color="auto" w:sz="4" w:space="0"/>
            </w:tcBorders>
            <w:noWrap w:val="0"/>
            <w:vAlign w:val="center"/>
          </w:tcPr>
          <w:p w14:paraId="5297D311">
            <w:pPr>
              <w:jc w:val="cente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合格的中标候选人名称</w:t>
            </w:r>
          </w:p>
        </w:tc>
      </w:tr>
      <w:tr w14:paraId="574B0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663" w:type="dxa"/>
            <w:vMerge w:val="continue"/>
            <w:tcBorders>
              <w:left w:val="single" w:color="auto" w:sz="4" w:space="0"/>
              <w:bottom w:val="single" w:color="auto" w:sz="4" w:space="0"/>
              <w:right w:val="single" w:color="auto" w:sz="4" w:space="0"/>
            </w:tcBorders>
            <w:noWrap w:val="0"/>
            <w:vAlign w:val="center"/>
          </w:tcPr>
          <w:p w14:paraId="3599A22F">
            <w:pPr>
              <w:jc w:val="center"/>
              <w:rPr>
                <w:rFonts w:hint="eastAsia" w:ascii="宋体" w:hAnsi="宋体"/>
                <w:color w:val="auto"/>
                <w:szCs w:val="21"/>
                <w:highlight w:val="none"/>
              </w:rPr>
            </w:pPr>
          </w:p>
        </w:tc>
        <w:tc>
          <w:tcPr>
            <w:tcW w:w="4107" w:type="dxa"/>
            <w:gridSpan w:val="2"/>
            <w:vMerge w:val="continue"/>
            <w:tcBorders>
              <w:left w:val="single" w:color="auto" w:sz="4" w:space="0"/>
              <w:bottom w:val="single" w:color="auto" w:sz="4" w:space="0"/>
              <w:right w:val="single" w:color="auto" w:sz="4" w:space="0"/>
            </w:tcBorders>
            <w:noWrap w:val="0"/>
            <w:vAlign w:val="center"/>
          </w:tcPr>
          <w:p w14:paraId="1D180BCB">
            <w:pPr>
              <w:jc w:val="center"/>
              <w:rPr>
                <w:rFonts w:hint="eastAsia" w:ascii="宋体" w:hAnsi="宋体"/>
                <w:color w:val="auto"/>
                <w:szCs w:val="21"/>
                <w:highlight w:val="none"/>
              </w:rPr>
            </w:pP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E4F9562">
            <w:pPr>
              <w:jc w:val="center"/>
              <w:rPr>
                <w:rFonts w:hint="default" w:ascii="宋体" w:hAnsi="宋体"/>
                <w:color w:val="auto"/>
                <w:szCs w:val="21"/>
                <w:highlight w:val="none"/>
                <w:lang w:val="en-US"/>
              </w:rPr>
            </w:pPr>
            <w:r>
              <w:rPr>
                <w:rFonts w:hint="eastAsia" w:ascii="宋体" w:hAnsi="宋体"/>
                <w:color w:val="auto"/>
                <w:szCs w:val="21"/>
                <w:highlight w:val="none"/>
                <w:lang w:val="en-US" w:eastAsia="zh-CN"/>
              </w:rPr>
              <w:t>候选人1</w:t>
            </w:r>
          </w:p>
        </w:tc>
        <w:tc>
          <w:tcPr>
            <w:tcW w:w="1037" w:type="dxa"/>
            <w:tcBorders>
              <w:top w:val="single" w:color="auto" w:sz="4" w:space="0"/>
              <w:left w:val="single" w:color="auto" w:sz="4" w:space="0"/>
              <w:bottom w:val="single" w:color="auto" w:sz="4" w:space="0"/>
              <w:right w:val="single" w:color="auto" w:sz="4" w:space="0"/>
            </w:tcBorders>
            <w:noWrap w:val="0"/>
            <w:vAlign w:val="center"/>
          </w:tcPr>
          <w:p w14:paraId="5BDCBBBB">
            <w:pPr>
              <w:jc w:val="center"/>
              <w:rPr>
                <w:rFonts w:hint="default" w:ascii="宋体" w:hAnsi="宋体"/>
                <w:color w:val="auto"/>
                <w:szCs w:val="21"/>
                <w:highlight w:val="none"/>
                <w:lang w:val="en-US"/>
              </w:rPr>
            </w:pPr>
            <w:r>
              <w:rPr>
                <w:rFonts w:hint="eastAsia" w:ascii="宋体" w:hAnsi="宋体"/>
                <w:color w:val="auto"/>
                <w:szCs w:val="21"/>
                <w:highlight w:val="none"/>
                <w:lang w:val="en-US" w:eastAsia="zh-CN"/>
              </w:rPr>
              <w:t>候选人2</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7E93E61B">
            <w:pPr>
              <w:jc w:val="center"/>
              <w:rPr>
                <w:rFonts w:hint="default" w:ascii="宋体" w:hAnsi="宋体"/>
                <w:color w:val="auto"/>
                <w:szCs w:val="21"/>
                <w:highlight w:val="none"/>
                <w:lang w:val="en-US"/>
              </w:rPr>
            </w:pPr>
            <w:r>
              <w:rPr>
                <w:rFonts w:hint="eastAsia" w:ascii="宋体" w:hAnsi="宋体"/>
                <w:color w:val="auto"/>
                <w:szCs w:val="21"/>
                <w:highlight w:val="none"/>
                <w:lang w:val="en-US" w:eastAsia="zh-CN"/>
              </w:rPr>
              <w:t>候选人3</w:t>
            </w:r>
          </w:p>
        </w:tc>
        <w:tc>
          <w:tcPr>
            <w:tcW w:w="1009" w:type="dxa"/>
            <w:tcBorders>
              <w:top w:val="single" w:color="auto" w:sz="4" w:space="0"/>
              <w:left w:val="single" w:color="auto" w:sz="4" w:space="0"/>
              <w:bottom w:val="single" w:color="auto" w:sz="4" w:space="0"/>
              <w:right w:val="single" w:color="auto" w:sz="4" w:space="0"/>
            </w:tcBorders>
            <w:noWrap w:val="0"/>
            <w:vAlign w:val="center"/>
          </w:tcPr>
          <w:p w14:paraId="11E348DD">
            <w:pPr>
              <w:jc w:val="center"/>
              <w:rPr>
                <w:rFonts w:hint="default" w:ascii="宋体" w:hAnsi="宋体"/>
                <w:color w:val="auto"/>
                <w:szCs w:val="21"/>
                <w:highlight w:val="none"/>
                <w:lang w:val="en-US"/>
              </w:rPr>
            </w:pPr>
            <w:r>
              <w:rPr>
                <w:rFonts w:hint="eastAsia" w:ascii="宋体" w:hAnsi="宋体"/>
                <w:color w:val="auto"/>
                <w:szCs w:val="21"/>
                <w:highlight w:val="none"/>
                <w:lang w:val="en-US" w:eastAsia="zh-CN"/>
              </w:rPr>
              <w:t>候选人4</w:t>
            </w: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EBEFABE">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r>
      <w:tr w14:paraId="4FBE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63" w:type="dxa"/>
            <w:vMerge w:val="restart"/>
            <w:tcBorders>
              <w:top w:val="single" w:color="auto" w:sz="4" w:space="0"/>
              <w:left w:val="single" w:color="auto" w:sz="4" w:space="0"/>
              <w:right w:val="single" w:color="auto" w:sz="4" w:space="0"/>
            </w:tcBorders>
            <w:noWrap w:val="0"/>
            <w:vAlign w:val="center"/>
          </w:tcPr>
          <w:p w14:paraId="62113D5E">
            <w:pPr>
              <w:jc w:val="center"/>
              <w:rPr>
                <w:rFonts w:hint="eastAsia" w:ascii="宋体" w:hAnsi="宋体" w:eastAsia="宋体"/>
                <w:color w:val="auto"/>
                <w:szCs w:val="21"/>
                <w:highlight w:val="none"/>
                <w:u w:val="none"/>
                <w:lang w:eastAsia="zh-CN"/>
              </w:rPr>
            </w:pPr>
            <w:r>
              <w:rPr>
                <w:rFonts w:hint="eastAsia" w:ascii="宋体" w:hAnsi="宋体"/>
                <w:color w:val="auto"/>
                <w:szCs w:val="21"/>
                <w:highlight w:val="none"/>
                <w:u w:val="none"/>
                <w:lang w:val="en-US" w:eastAsia="zh-CN"/>
              </w:rPr>
              <w:t>1</w:t>
            </w:r>
          </w:p>
        </w:tc>
        <w:tc>
          <w:tcPr>
            <w:tcW w:w="916" w:type="dxa"/>
            <w:vMerge w:val="restart"/>
            <w:tcBorders>
              <w:top w:val="single" w:color="auto" w:sz="4" w:space="0"/>
              <w:left w:val="single" w:color="auto" w:sz="4" w:space="0"/>
              <w:right w:val="single" w:color="auto" w:sz="4" w:space="0"/>
            </w:tcBorders>
            <w:noWrap w:val="0"/>
            <w:vAlign w:val="center"/>
          </w:tcPr>
          <w:p w14:paraId="09759EBB">
            <w:pPr>
              <w:jc w:val="left"/>
              <w:rPr>
                <w:rFonts w:ascii="宋体" w:hAnsi="宋体" w:cs="宋体"/>
                <w:color w:val="auto"/>
                <w:szCs w:val="21"/>
                <w:highlight w:val="none"/>
                <w:u w:val="none"/>
              </w:rPr>
            </w:pPr>
            <w:r>
              <w:rPr>
                <w:rFonts w:hint="eastAsia" w:ascii="宋体" w:hAnsi="宋体" w:cs="宋体"/>
                <w:color w:val="auto"/>
                <w:szCs w:val="21"/>
                <w:highlight w:val="none"/>
                <w:u w:val="none"/>
              </w:rPr>
              <w:t>方案因素（</w:t>
            </w:r>
            <w:r>
              <w:rPr>
                <w:rFonts w:hint="eastAsia" w:ascii="宋体" w:hAnsi="宋体" w:cs="宋体"/>
                <w:color w:val="auto"/>
                <w:szCs w:val="21"/>
                <w:highlight w:val="none"/>
                <w:u w:val="none"/>
                <w:lang w:val="en-US" w:eastAsia="zh-CN"/>
              </w:rPr>
              <w:t>6</w:t>
            </w:r>
            <w:r>
              <w:rPr>
                <w:rFonts w:hint="eastAsia" w:ascii="宋体" w:hAnsi="宋体" w:cs="宋体"/>
                <w:color w:val="auto"/>
                <w:szCs w:val="21"/>
                <w:highlight w:val="none"/>
                <w:u w:val="none"/>
              </w:rPr>
              <w:t>0分）</w:t>
            </w:r>
          </w:p>
        </w:tc>
        <w:tc>
          <w:tcPr>
            <w:tcW w:w="3191" w:type="dxa"/>
            <w:tcBorders>
              <w:top w:val="single" w:color="auto" w:sz="4" w:space="0"/>
              <w:left w:val="single" w:color="auto" w:sz="4" w:space="0"/>
              <w:right w:val="single" w:color="auto" w:sz="4" w:space="0"/>
            </w:tcBorders>
            <w:noWrap w:val="0"/>
            <w:vAlign w:val="center"/>
          </w:tcPr>
          <w:p w14:paraId="4A582A92">
            <w:pPr>
              <w:spacing w:line="240" w:lineRule="auto"/>
              <w:jc w:val="center"/>
              <w:rPr>
                <w:rFonts w:hint="default" w:ascii="宋体" w:hAnsi="宋体" w:eastAsia="宋体" w:cs="宋体"/>
                <w:color w:val="auto"/>
                <w:szCs w:val="21"/>
                <w:highlight w:val="none"/>
                <w:u w:val="none"/>
                <w:lang w:val="en-US" w:eastAsia="zh-CN"/>
              </w:rPr>
            </w:pPr>
            <w:r>
              <w:rPr>
                <w:rFonts w:hint="default" w:ascii="宋体" w:hAnsi="宋体" w:eastAsia="宋体" w:cs="宋体"/>
                <w:color w:val="auto"/>
                <w:szCs w:val="21"/>
                <w:highlight w:val="none"/>
                <w:u w:val="none"/>
                <w:lang w:val="en-US" w:eastAsia="zh-CN"/>
              </w:rPr>
              <w:t>安全控制措施</w:t>
            </w:r>
            <w:r>
              <w:rPr>
                <w:rFonts w:hint="eastAsia" w:ascii="宋体" w:hAnsi="宋体" w:eastAsia="宋体" w:cs="宋体"/>
                <w:color w:val="auto"/>
                <w:szCs w:val="21"/>
                <w:highlight w:val="none"/>
                <w:u w:val="none"/>
                <w:lang w:val="en-US" w:eastAsia="zh-CN"/>
              </w:rPr>
              <w:t>（10分）</w:t>
            </w:r>
          </w:p>
        </w:tc>
        <w:tc>
          <w:tcPr>
            <w:tcW w:w="10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7A0C93">
            <w:pPr>
              <w:spacing w:line="240" w:lineRule="auto"/>
              <w:jc w:val="left"/>
              <w:rPr>
                <w:rFonts w:hint="eastAsia" w:ascii="宋体" w:hAnsi="宋体" w:eastAsia="宋体" w:cs="宋体"/>
                <w:color w:val="auto"/>
                <w:kern w:val="2"/>
                <w:sz w:val="21"/>
                <w:szCs w:val="21"/>
                <w:highlight w:val="none"/>
                <w:u w:val="none"/>
                <w:lang w:val="en-US" w:eastAsia="zh-CN" w:bidi="ar-SA"/>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3C02778F">
            <w:pPr>
              <w:jc w:val="both"/>
              <w:rPr>
                <w:rFonts w:hint="eastAsia" w:ascii="Calibri" w:hAnsi="Calibri"/>
                <w:color w:val="auto"/>
                <w:szCs w:val="22"/>
                <w:highlight w:val="none"/>
                <w:u w:val="none"/>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38960844">
            <w:pPr>
              <w:jc w:val="both"/>
              <w:rPr>
                <w:rFonts w:hint="eastAsia" w:ascii="Calibri" w:hAnsi="Calibri"/>
                <w:color w:val="auto"/>
                <w:szCs w:val="22"/>
                <w:highlight w:val="none"/>
                <w:u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5F177AA3">
            <w:pPr>
              <w:jc w:val="both"/>
              <w:rPr>
                <w:rFonts w:hint="eastAsia" w:ascii="Calibri" w:hAnsi="Calibri"/>
                <w:color w:val="auto"/>
                <w:szCs w:val="22"/>
                <w:highlight w:val="none"/>
                <w:u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25D377B">
            <w:pPr>
              <w:jc w:val="both"/>
              <w:rPr>
                <w:rFonts w:hint="eastAsia" w:ascii="Calibri" w:hAnsi="Calibri"/>
                <w:color w:val="auto"/>
                <w:szCs w:val="22"/>
                <w:highlight w:val="none"/>
                <w:u w:val="none"/>
              </w:rPr>
            </w:pPr>
          </w:p>
        </w:tc>
      </w:tr>
      <w:tr w14:paraId="2DA3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63" w:type="dxa"/>
            <w:vMerge w:val="continue"/>
            <w:tcBorders>
              <w:left w:val="single" w:color="auto" w:sz="4" w:space="0"/>
              <w:right w:val="single" w:color="auto" w:sz="4" w:space="0"/>
            </w:tcBorders>
            <w:noWrap w:val="0"/>
            <w:vAlign w:val="center"/>
          </w:tcPr>
          <w:p w14:paraId="34B2BF3E">
            <w:pPr>
              <w:jc w:val="center"/>
              <w:rPr>
                <w:rFonts w:hint="eastAsia" w:ascii="宋体" w:hAnsi="宋体" w:eastAsia="宋体"/>
                <w:color w:val="auto"/>
                <w:szCs w:val="21"/>
                <w:highlight w:val="none"/>
                <w:u w:val="none"/>
                <w:lang w:eastAsia="zh-CN"/>
              </w:rPr>
            </w:pPr>
          </w:p>
        </w:tc>
        <w:tc>
          <w:tcPr>
            <w:tcW w:w="916" w:type="dxa"/>
            <w:vMerge w:val="continue"/>
            <w:tcBorders>
              <w:left w:val="single" w:color="auto" w:sz="4" w:space="0"/>
              <w:right w:val="single" w:color="auto" w:sz="4" w:space="0"/>
            </w:tcBorders>
            <w:noWrap w:val="0"/>
            <w:vAlign w:val="center"/>
          </w:tcPr>
          <w:p w14:paraId="1149AB17">
            <w:pPr>
              <w:jc w:val="left"/>
              <w:rPr>
                <w:rFonts w:ascii="宋体" w:hAnsi="宋体"/>
                <w:color w:val="auto"/>
                <w:szCs w:val="21"/>
                <w:highlight w:val="none"/>
                <w:u w:val="none"/>
              </w:rPr>
            </w:pPr>
          </w:p>
        </w:tc>
        <w:tc>
          <w:tcPr>
            <w:tcW w:w="3191" w:type="dxa"/>
            <w:tcBorders>
              <w:left w:val="single" w:color="auto" w:sz="4" w:space="0"/>
              <w:right w:val="single" w:color="auto" w:sz="4" w:space="0"/>
            </w:tcBorders>
            <w:noWrap w:val="0"/>
            <w:vAlign w:val="center"/>
          </w:tcPr>
          <w:p w14:paraId="7DB3F58F">
            <w:pPr>
              <w:pStyle w:val="23"/>
              <w:jc w:val="center"/>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rPr>
              <w:t>质量控制措施</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10分</w:t>
            </w:r>
            <w:r>
              <w:rPr>
                <w:rFonts w:hint="eastAsia" w:ascii="宋体" w:hAnsi="宋体" w:cs="宋体"/>
                <w:color w:val="auto"/>
                <w:szCs w:val="21"/>
                <w:highlight w:val="none"/>
                <w:u w:val="none"/>
                <w:lang w:eastAsia="zh-CN"/>
              </w:rPr>
              <w:t>）</w:t>
            </w:r>
          </w:p>
        </w:tc>
        <w:tc>
          <w:tcPr>
            <w:tcW w:w="10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7500CC">
            <w:pPr>
              <w:pStyle w:val="23"/>
              <w:rPr>
                <w:rFonts w:hint="eastAsia" w:ascii="宋体" w:hAnsi="宋体" w:eastAsia="宋体" w:cs="宋体"/>
                <w:color w:val="auto"/>
                <w:kern w:val="2"/>
                <w:sz w:val="21"/>
                <w:szCs w:val="21"/>
                <w:highlight w:val="none"/>
                <w:u w:val="none"/>
                <w:lang w:val="en-US" w:eastAsia="zh-CN" w:bidi="ar-SA"/>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DD985FD">
            <w:pPr>
              <w:pStyle w:val="23"/>
              <w:rPr>
                <w:rFonts w:ascii="宋体" w:hAnsi="宋体"/>
                <w:color w:val="auto"/>
                <w:szCs w:val="21"/>
                <w:highlight w:val="none"/>
                <w:u w:val="none"/>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1ADE657C">
            <w:pPr>
              <w:pStyle w:val="23"/>
              <w:rPr>
                <w:rFonts w:ascii="宋体" w:hAnsi="宋体"/>
                <w:color w:val="auto"/>
                <w:szCs w:val="21"/>
                <w:highlight w:val="none"/>
                <w:u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62E330EF">
            <w:pPr>
              <w:pStyle w:val="23"/>
              <w:rPr>
                <w:rFonts w:ascii="宋体" w:hAnsi="宋体"/>
                <w:color w:val="auto"/>
                <w:szCs w:val="21"/>
                <w:highlight w:val="none"/>
                <w:u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BD89854">
            <w:pPr>
              <w:pStyle w:val="23"/>
              <w:rPr>
                <w:rFonts w:ascii="宋体" w:hAnsi="宋体"/>
                <w:color w:val="auto"/>
                <w:szCs w:val="21"/>
                <w:highlight w:val="none"/>
                <w:u w:val="none"/>
              </w:rPr>
            </w:pPr>
          </w:p>
        </w:tc>
      </w:tr>
      <w:tr w14:paraId="02F7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63" w:type="dxa"/>
            <w:vMerge w:val="continue"/>
            <w:tcBorders>
              <w:left w:val="single" w:color="auto" w:sz="4" w:space="0"/>
              <w:right w:val="single" w:color="auto" w:sz="4" w:space="0"/>
            </w:tcBorders>
            <w:noWrap w:val="0"/>
            <w:vAlign w:val="center"/>
          </w:tcPr>
          <w:p w14:paraId="19087D20">
            <w:pPr>
              <w:jc w:val="center"/>
              <w:rPr>
                <w:rFonts w:hint="eastAsia" w:ascii="宋体" w:hAnsi="宋体" w:eastAsia="宋体"/>
                <w:color w:val="auto"/>
                <w:szCs w:val="21"/>
                <w:highlight w:val="none"/>
                <w:u w:val="none"/>
                <w:lang w:eastAsia="zh-CN"/>
              </w:rPr>
            </w:pPr>
          </w:p>
        </w:tc>
        <w:tc>
          <w:tcPr>
            <w:tcW w:w="916" w:type="dxa"/>
            <w:vMerge w:val="continue"/>
            <w:tcBorders>
              <w:left w:val="single" w:color="auto" w:sz="4" w:space="0"/>
              <w:right w:val="single" w:color="auto" w:sz="4" w:space="0"/>
            </w:tcBorders>
            <w:noWrap w:val="0"/>
            <w:vAlign w:val="center"/>
          </w:tcPr>
          <w:p w14:paraId="700FED3D">
            <w:pPr>
              <w:jc w:val="left"/>
              <w:rPr>
                <w:rFonts w:ascii="宋体" w:hAnsi="宋体"/>
                <w:color w:val="auto"/>
                <w:szCs w:val="21"/>
                <w:highlight w:val="none"/>
                <w:u w:val="none"/>
              </w:rPr>
            </w:pPr>
          </w:p>
        </w:tc>
        <w:tc>
          <w:tcPr>
            <w:tcW w:w="3191" w:type="dxa"/>
            <w:tcBorders>
              <w:left w:val="single" w:color="auto" w:sz="4" w:space="0"/>
              <w:right w:val="single" w:color="auto" w:sz="4" w:space="0"/>
            </w:tcBorders>
            <w:noWrap w:val="0"/>
            <w:vAlign w:val="center"/>
          </w:tcPr>
          <w:p w14:paraId="0C31242A">
            <w:pPr>
              <w:pStyle w:val="23"/>
              <w:jc w:val="center"/>
              <w:rPr>
                <w:rFonts w:hint="eastAsia" w:ascii="宋体" w:hAnsi="宋体" w:cs="宋体"/>
                <w:color w:val="auto"/>
                <w:szCs w:val="21"/>
                <w:highlight w:val="none"/>
                <w:u w:val="none"/>
              </w:rPr>
            </w:pPr>
            <w:r>
              <w:rPr>
                <w:rFonts w:hint="eastAsia" w:ascii="宋体" w:hAnsi="宋体" w:cs="宋体"/>
                <w:color w:val="auto"/>
                <w:szCs w:val="21"/>
                <w:highlight w:val="none"/>
                <w:u w:val="none"/>
                <w:lang w:eastAsia="zh-CN"/>
              </w:rPr>
              <w:t>进度控制措施（</w:t>
            </w:r>
            <w:r>
              <w:rPr>
                <w:rFonts w:hint="eastAsia" w:ascii="宋体" w:hAnsi="宋体" w:cs="宋体"/>
                <w:color w:val="auto"/>
                <w:szCs w:val="21"/>
                <w:highlight w:val="none"/>
                <w:u w:val="none"/>
                <w:lang w:val="en-US" w:eastAsia="zh-CN"/>
              </w:rPr>
              <w:t>10分</w:t>
            </w:r>
            <w:r>
              <w:rPr>
                <w:rFonts w:hint="eastAsia" w:ascii="宋体" w:hAnsi="宋体" w:cs="宋体"/>
                <w:color w:val="auto"/>
                <w:szCs w:val="21"/>
                <w:highlight w:val="none"/>
                <w:u w:val="none"/>
                <w:lang w:eastAsia="zh-CN"/>
              </w:rPr>
              <w:t>）</w:t>
            </w:r>
          </w:p>
        </w:tc>
        <w:tc>
          <w:tcPr>
            <w:tcW w:w="10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613025">
            <w:pPr>
              <w:pStyle w:val="23"/>
              <w:rPr>
                <w:rFonts w:hint="eastAsia" w:ascii="宋体" w:hAnsi="宋体" w:eastAsia="宋体" w:cs="宋体"/>
                <w:color w:val="auto"/>
                <w:kern w:val="2"/>
                <w:sz w:val="21"/>
                <w:szCs w:val="21"/>
                <w:highlight w:val="none"/>
                <w:u w:val="none"/>
                <w:lang w:val="en-US" w:eastAsia="zh-CN" w:bidi="ar-SA"/>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3AC5E8DC">
            <w:pPr>
              <w:pStyle w:val="23"/>
              <w:rPr>
                <w:rFonts w:hint="eastAsia" w:ascii="宋体" w:hAnsi="宋体" w:cs="宋体"/>
                <w:color w:val="auto"/>
                <w:szCs w:val="21"/>
                <w:highlight w:val="none"/>
                <w:u w:val="none"/>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7F9C9A6E">
            <w:pPr>
              <w:pStyle w:val="23"/>
              <w:rPr>
                <w:rFonts w:hint="eastAsia" w:ascii="宋体" w:hAnsi="宋体" w:cs="宋体"/>
                <w:color w:val="auto"/>
                <w:szCs w:val="21"/>
                <w:highlight w:val="none"/>
                <w:u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600EF61C">
            <w:pPr>
              <w:pStyle w:val="23"/>
              <w:rPr>
                <w:rFonts w:hint="eastAsia" w:ascii="宋体" w:hAnsi="宋体" w:cs="宋体"/>
                <w:color w:val="auto"/>
                <w:szCs w:val="21"/>
                <w:highlight w:val="none"/>
                <w:u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7504807A">
            <w:pPr>
              <w:pStyle w:val="23"/>
              <w:rPr>
                <w:rFonts w:hint="eastAsia" w:ascii="宋体" w:hAnsi="宋体" w:cs="宋体"/>
                <w:color w:val="auto"/>
                <w:szCs w:val="21"/>
                <w:highlight w:val="none"/>
                <w:u w:val="none"/>
              </w:rPr>
            </w:pPr>
          </w:p>
        </w:tc>
      </w:tr>
      <w:tr w14:paraId="773F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63" w:type="dxa"/>
            <w:vMerge w:val="continue"/>
            <w:tcBorders>
              <w:left w:val="single" w:color="auto" w:sz="4" w:space="0"/>
              <w:right w:val="single" w:color="auto" w:sz="4" w:space="0"/>
            </w:tcBorders>
            <w:noWrap w:val="0"/>
            <w:vAlign w:val="center"/>
          </w:tcPr>
          <w:p w14:paraId="6335F798">
            <w:pPr>
              <w:jc w:val="center"/>
              <w:rPr>
                <w:rFonts w:hint="eastAsia" w:ascii="宋体" w:hAnsi="宋体" w:eastAsia="宋体"/>
                <w:color w:val="auto"/>
                <w:szCs w:val="21"/>
                <w:highlight w:val="none"/>
                <w:u w:val="none"/>
                <w:lang w:eastAsia="zh-CN"/>
              </w:rPr>
            </w:pPr>
          </w:p>
        </w:tc>
        <w:tc>
          <w:tcPr>
            <w:tcW w:w="916" w:type="dxa"/>
            <w:vMerge w:val="continue"/>
            <w:tcBorders>
              <w:left w:val="single" w:color="auto" w:sz="4" w:space="0"/>
              <w:right w:val="single" w:color="auto" w:sz="4" w:space="0"/>
            </w:tcBorders>
            <w:noWrap w:val="0"/>
            <w:vAlign w:val="center"/>
          </w:tcPr>
          <w:p w14:paraId="69FD364A">
            <w:pPr>
              <w:jc w:val="left"/>
              <w:rPr>
                <w:rFonts w:ascii="宋体" w:hAnsi="宋体"/>
                <w:color w:val="auto"/>
                <w:szCs w:val="21"/>
                <w:highlight w:val="none"/>
                <w:u w:val="none"/>
              </w:rPr>
            </w:pPr>
          </w:p>
        </w:tc>
        <w:tc>
          <w:tcPr>
            <w:tcW w:w="3191" w:type="dxa"/>
            <w:tcBorders>
              <w:left w:val="single" w:color="auto" w:sz="4" w:space="0"/>
              <w:right w:val="single" w:color="auto" w:sz="4" w:space="0"/>
            </w:tcBorders>
            <w:noWrap w:val="0"/>
            <w:vAlign w:val="center"/>
          </w:tcPr>
          <w:p w14:paraId="51C178F9">
            <w:pPr>
              <w:pStyle w:val="23"/>
              <w:jc w:val="center"/>
              <w:rPr>
                <w:rFonts w:hint="eastAsia" w:ascii="宋体" w:hAnsi="宋体" w:cs="宋体"/>
                <w:color w:val="auto"/>
                <w:szCs w:val="21"/>
                <w:highlight w:val="none"/>
                <w:u w:val="none"/>
              </w:rPr>
            </w:pPr>
            <w:r>
              <w:rPr>
                <w:rFonts w:hint="eastAsia" w:ascii="宋体" w:hAnsi="宋体" w:cs="宋体"/>
                <w:color w:val="auto"/>
                <w:szCs w:val="21"/>
                <w:highlight w:val="none"/>
                <w:u w:val="none"/>
              </w:rPr>
              <w:t>设计服务</w:t>
            </w:r>
            <w:r>
              <w:rPr>
                <w:rFonts w:hint="eastAsia" w:ascii="宋体" w:hAnsi="宋体" w:cs="宋体"/>
                <w:color w:val="auto"/>
                <w:szCs w:val="21"/>
                <w:highlight w:val="none"/>
                <w:u w:val="none"/>
                <w:lang w:val="en-US" w:eastAsia="zh-CN"/>
              </w:rPr>
              <w:t>方案</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30分</w:t>
            </w:r>
            <w:r>
              <w:rPr>
                <w:rFonts w:hint="eastAsia" w:ascii="宋体" w:hAnsi="宋体" w:cs="宋体"/>
                <w:color w:val="auto"/>
                <w:szCs w:val="21"/>
                <w:highlight w:val="none"/>
                <w:u w:val="none"/>
                <w:lang w:eastAsia="zh-CN"/>
              </w:rPr>
              <w:t>）</w:t>
            </w:r>
          </w:p>
        </w:tc>
        <w:tc>
          <w:tcPr>
            <w:tcW w:w="104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CCBCB2">
            <w:pPr>
              <w:pStyle w:val="23"/>
              <w:rPr>
                <w:rFonts w:hint="eastAsia" w:ascii="宋体" w:hAnsi="宋体" w:eastAsia="宋体" w:cs="宋体"/>
                <w:color w:val="auto"/>
                <w:kern w:val="2"/>
                <w:sz w:val="21"/>
                <w:szCs w:val="21"/>
                <w:highlight w:val="none"/>
                <w:u w:val="none"/>
                <w:lang w:val="en-US" w:eastAsia="zh-CN" w:bidi="ar-SA"/>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3E1AC6D8">
            <w:pPr>
              <w:pStyle w:val="23"/>
              <w:rPr>
                <w:rFonts w:hint="eastAsia" w:ascii="宋体" w:hAnsi="宋体" w:cs="宋体"/>
                <w:color w:val="auto"/>
                <w:szCs w:val="21"/>
                <w:highlight w:val="none"/>
                <w:u w:val="none"/>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12729C5A">
            <w:pPr>
              <w:pStyle w:val="23"/>
              <w:rPr>
                <w:rFonts w:hint="eastAsia" w:ascii="宋体" w:hAnsi="宋体" w:cs="宋体"/>
                <w:color w:val="auto"/>
                <w:szCs w:val="21"/>
                <w:highlight w:val="none"/>
                <w:u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252D49EC">
            <w:pPr>
              <w:pStyle w:val="23"/>
              <w:rPr>
                <w:rFonts w:hint="eastAsia" w:ascii="宋体" w:hAnsi="宋体" w:cs="宋体"/>
                <w:color w:val="auto"/>
                <w:szCs w:val="21"/>
                <w:highlight w:val="none"/>
                <w:u w:val="non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4B718E97">
            <w:pPr>
              <w:pStyle w:val="23"/>
              <w:rPr>
                <w:rFonts w:hint="eastAsia" w:ascii="宋体" w:hAnsi="宋体" w:cs="宋体"/>
                <w:color w:val="auto"/>
                <w:szCs w:val="21"/>
                <w:highlight w:val="none"/>
                <w:u w:val="none"/>
              </w:rPr>
            </w:pPr>
          </w:p>
        </w:tc>
      </w:tr>
      <w:tr w14:paraId="6C87F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5A3C0300">
            <w:pPr>
              <w:jc w:val="center"/>
              <w:rPr>
                <w:rFonts w:hint="default"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2</w:t>
            </w:r>
          </w:p>
        </w:tc>
        <w:tc>
          <w:tcPr>
            <w:tcW w:w="4107" w:type="dxa"/>
            <w:gridSpan w:val="2"/>
            <w:tcBorders>
              <w:top w:val="single" w:color="auto" w:sz="4" w:space="0"/>
              <w:left w:val="single" w:color="auto" w:sz="4" w:space="0"/>
              <w:bottom w:val="single" w:color="auto" w:sz="4" w:space="0"/>
              <w:right w:val="single" w:color="auto" w:sz="4" w:space="0"/>
            </w:tcBorders>
            <w:noWrap w:val="0"/>
            <w:vAlign w:val="center"/>
          </w:tcPr>
          <w:p w14:paraId="61E5A754">
            <w:pPr>
              <w:spacing w:line="240" w:lineRule="auto"/>
              <w:jc w:val="left"/>
              <w:rPr>
                <w:rFonts w:hint="eastAsia" w:ascii="宋体" w:hAnsi="宋体" w:cs="宋体"/>
                <w:color w:val="auto"/>
                <w:szCs w:val="21"/>
                <w:highlight w:val="none"/>
                <w:u w:val="none"/>
              </w:rPr>
            </w:pPr>
            <w:r>
              <w:rPr>
                <w:rFonts w:hint="eastAsia" w:ascii="宋体" w:hAnsi="宋体" w:cs="宋体"/>
                <w:color w:val="auto"/>
                <w:szCs w:val="21"/>
                <w:highlight w:val="none"/>
                <w:u w:val="none"/>
              </w:rPr>
              <w:t>价格因素（</w:t>
            </w:r>
            <w:r>
              <w:rPr>
                <w:rFonts w:hint="eastAsia" w:ascii="宋体" w:hAnsi="宋体" w:cs="宋体"/>
                <w:color w:val="auto"/>
                <w:szCs w:val="21"/>
                <w:highlight w:val="none"/>
                <w:u w:val="none"/>
                <w:lang w:val="en-US" w:eastAsia="zh-CN"/>
              </w:rPr>
              <w:t>2</w:t>
            </w:r>
            <w:r>
              <w:rPr>
                <w:rFonts w:hint="eastAsia" w:ascii="宋体" w:hAnsi="宋体" w:cs="宋体"/>
                <w:color w:val="auto"/>
                <w:szCs w:val="21"/>
                <w:highlight w:val="none"/>
                <w:u w:val="none"/>
              </w:rPr>
              <w:t>0分）</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125982B8">
            <w:pPr>
              <w:spacing w:line="240" w:lineRule="auto"/>
              <w:jc w:val="left"/>
              <w:rPr>
                <w:rFonts w:hint="eastAsia" w:ascii="宋体" w:hAnsi="宋体" w:cs="宋体"/>
                <w:color w:val="auto"/>
                <w:szCs w:val="21"/>
                <w:highlight w:val="none"/>
                <w:u w:val="singl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15E94724">
            <w:pPr>
              <w:spacing w:line="240" w:lineRule="auto"/>
              <w:jc w:val="left"/>
              <w:rPr>
                <w:rFonts w:hint="eastAsia" w:ascii="宋体" w:hAnsi="宋体" w:cs="宋体"/>
                <w:color w:val="auto"/>
                <w:szCs w:val="21"/>
                <w:highlight w:val="none"/>
                <w:u w:val="single"/>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27761551">
            <w:pPr>
              <w:spacing w:line="240" w:lineRule="auto"/>
              <w:jc w:val="left"/>
              <w:rPr>
                <w:rFonts w:hint="eastAsia" w:ascii="宋体" w:hAnsi="宋体" w:cs="宋体"/>
                <w:color w:val="auto"/>
                <w:szCs w:val="21"/>
                <w:highlight w:val="none"/>
                <w:u w:val="singl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3B6CE58B">
            <w:pPr>
              <w:spacing w:line="240" w:lineRule="auto"/>
              <w:jc w:val="left"/>
              <w:rPr>
                <w:rFonts w:hint="eastAsia" w:ascii="宋体" w:hAnsi="宋体" w:cs="宋体"/>
                <w:color w:val="auto"/>
                <w:szCs w:val="21"/>
                <w:highlight w:val="none"/>
                <w:u w:val="singl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6E3E520">
            <w:pPr>
              <w:spacing w:line="240" w:lineRule="auto"/>
              <w:jc w:val="left"/>
              <w:rPr>
                <w:rFonts w:hint="eastAsia" w:ascii="宋体" w:hAnsi="宋体" w:cs="宋体"/>
                <w:color w:val="auto"/>
                <w:szCs w:val="21"/>
                <w:highlight w:val="none"/>
                <w:u w:val="single"/>
              </w:rPr>
            </w:pPr>
          </w:p>
        </w:tc>
      </w:tr>
      <w:tr w14:paraId="18E1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63" w:type="dxa"/>
            <w:tcBorders>
              <w:top w:val="single" w:color="auto" w:sz="4" w:space="0"/>
              <w:left w:val="single" w:color="auto" w:sz="4" w:space="0"/>
              <w:bottom w:val="single" w:color="auto" w:sz="4" w:space="0"/>
              <w:right w:val="single" w:color="auto" w:sz="4" w:space="0"/>
            </w:tcBorders>
            <w:noWrap w:val="0"/>
            <w:vAlign w:val="center"/>
          </w:tcPr>
          <w:p w14:paraId="0866C900">
            <w:pPr>
              <w:jc w:val="center"/>
              <w:rPr>
                <w:rFonts w:hint="default"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3</w:t>
            </w:r>
          </w:p>
        </w:tc>
        <w:tc>
          <w:tcPr>
            <w:tcW w:w="4107" w:type="dxa"/>
            <w:gridSpan w:val="2"/>
            <w:tcBorders>
              <w:top w:val="single" w:color="auto" w:sz="4" w:space="0"/>
              <w:left w:val="single" w:color="auto" w:sz="4" w:space="0"/>
              <w:bottom w:val="single" w:color="auto" w:sz="4" w:space="0"/>
              <w:right w:val="single" w:color="auto" w:sz="4" w:space="0"/>
            </w:tcBorders>
            <w:noWrap w:val="0"/>
            <w:vAlign w:val="center"/>
          </w:tcPr>
          <w:p w14:paraId="0376D9B3">
            <w:pPr>
              <w:spacing w:line="240" w:lineRule="auto"/>
              <w:jc w:val="left"/>
              <w:rPr>
                <w:rFonts w:hint="eastAsia" w:ascii="宋体" w:hAnsi="宋体" w:cs="宋体"/>
                <w:color w:val="auto"/>
                <w:szCs w:val="21"/>
                <w:highlight w:val="none"/>
                <w:u w:val="none"/>
              </w:rPr>
            </w:pPr>
            <w:r>
              <w:rPr>
                <w:rFonts w:hint="eastAsia" w:ascii="宋体" w:hAnsi="宋体" w:cs="宋体"/>
                <w:color w:val="auto"/>
                <w:szCs w:val="21"/>
                <w:highlight w:val="none"/>
                <w:u w:val="none"/>
                <w:lang w:val="en-US" w:eastAsia="zh-CN"/>
              </w:rPr>
              <w:t>答辩</w:t>
            </w:r>
            <w:r>
              <w:rPr>
                <w:rFonts w:hint="eastAsia" w:ascii="宋体" w:hAnsi="宋体" w:cs="宋体"/>
                <w:color w:val="auto"/>
                <w:szCs w:val="21"/>
                <w:highlight w:val="none"/>
                <w:u w:val="none"/>
              </w:rPr>
              <w:t>因素（20分）</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7B60A936">
            <w:pPr>
              <w:spacing w:line="240" w:lineRule="auto"/>
              <w:jc w:val="left"/>
              <w:rPr>
                <w:rFonts w:hint="eastAsia" w:ascii="宋体" w:hAnsi="宋体" w:cs="宋体"/>
                <w:color w:val="auto"/>
                <w:szCs w:val="21"/>
                <w:highlight w:val="none"/>
                <w:u w:val="singl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56CD33E9">
            <w:pPr>
              <w:spacing w:line="240" w:lineRule="auto"/>
              <w:jc w:val="left"/>
              <w:rPr>
                <w:rFonts w:hint="eastAsia" w:ascii="宋体" w:hAnsi="宋体" w:cs="宋体"/>
                <w:color w:val="auto"/>
                <w:szCs w:val="21"/>
                <w:highlight w:val="none"/>
                <w:u w:val="single"/>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2836D887">
            <w:pPr>
              <w:spacing w:line="240" w:lineRule="auto"/>
              <w:jc w:val="left"/>
              <w:rPr>
                <w:rFonts w:hint="eastAsia" w:ascii="宋体" w:hAnsi="宋体" w:cs="宋体"/>
                <w:color w:val="auto"/>
                <w:szCs w:val="21"/>
                <w:highlight w:val="none"/>
                <w:u w:val="singl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762E9A8D">
            <w:pPr>
              <w:spacing w:line="240" w:lineRule="auto"/>
              <w:jc w:val="left"/>
              <w:rPr>
                <w:rFonts w:hint="eastAsia" w:ascii="宋体" w:hAnsi="宋体" w:cs="宋体"/>
                <w:color w:val="auto"/>
                <w:szCs w:val="21"/>
                <w:highlight w:val="none"/>
                <w:u w:val="singl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3EE99AE4">
            <w:pPr>
              <w:spacing w:line="240" w:lineRule="auto"/>
              <w:jc w:val="left"/>
              <w:rPr>
                <w:rFonts w:hint="eastAsia" w:ascii="宋体" w:hAnsi="宋体" w:cs="宋体"/>
                <w:color w:val="auto"/>
                <w:szCs w:val="21"/>
                <w:highlight w:val="none"/>
                <w:u w:val="single"/>
              </w:rPr>
            </w:pPr>
          </w:p>
        </w:tc>
      </w:tr>
      <w:tr w14:paraId="6A61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770" w:type="dxa"/>
            <w:gridSpan w:val="3"/>
            <w:tcBorders>
              <w:top w:val="single" w:color="auto" w:sz="4" w:space="0"/>
              <w:left w:val="single" w:color="auto" w:sz="4" w:space="0"/>
              <w:right w:val="single" w:color="auto" w:sz="4" w:space="0"/>
            </w:tcBorders>
            <w:noWrap w:val="0"/>
            <w:vAlign w:val="center"/>
          </w:tcPr>
          <w:p w14:paraId="1440F9C1">
            <w:pPr>
              <w:spacing w:line="240" w:lineRule="auto"/>
              <w:jc w:val="left"/>
              <w:rPr>
                <w:rFonts w:hint="eastAsia"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合计</w:t>
            </w:r>
          </w:p>
        </w:tc>
        <w:tc>
          <w:tcPr>
            <w:tcW w:w="1047" w:type="dxa"/>
            <w:tcBorders>
              <w:top w:val="single" w:color="auto" w:sz="4" w:space="0"/>
              <w:left w:val="single" w:color="auto" w:sz="4" w:space="0"/>
              <w:bottom w:val="single" w:color="auto" w:sz="4" w:space="0"/>
              <w:right w:val="single" w:color="auto" w:sz="4" w:space="0"/>
            </w:tcBorders>
            <w:noWrap w:val="0"/>
            <w:vAlign w:val="center"/>
          </w:tcPr>
          <w:p w14:paraId="09436EAE">
            <w:pPr>
              <w:spacing w:line="240" w:lineRule="auto"/>
              <w:jc w:val="left"/>
              <w:rPr>
                <w:rFonts w:hint="eastAsia" w:ascii="宋体" w:hAnsi="宋体" w:cs="宋体"/>
                <w:color w:val="auto"/>
                <w:szCs w:val="21"/>
                <w:highlight w:val="none"/>
                <w:u w:val="single"/>
              </w:rPr>
            </w:pPr>
          </w:p>
        </w:tc>
        <w:tc>
          <w:tcPr>
            <w:tcW w:w="1037" w:type="dxa"/>
            <w:tcBorders>
              <w:top w:val="single" w:color="auto" w:sz="4" w:space="0"/>
              <w:left w:val="single" w:color="auto" w:sz="4" w:space="0"/>
              <w:bottom w:val="single" w:color="auto" w:sz="4" w:space="0"/>
              <w:right w:val="single" w:color="auto" w:sz="4" w:space="0"/>
            </w:tcBorders>
            <w:noWrap w:val="0"/>
            <w:vAlign w:val="center"/>
          </w:tcPr>
          <w:p w14:paraId="75F47E4B">
            <w:pPr>
              <w:spacing w:line="240" w:lineRule="auto"/>
              <w:jc w:val="left"/>
              <w:rPr>
                <w:rFonts w:hint="eastAsia" w:ascii="宋体" w:hAnsi="宋体" w:cs="宋体"/>
                <w:color w:val="auto"/>
                <w:szCs w:val="21"/>
                <w:highlight w:val="none"/>
                <w:u w:val="single"/>
              </w:rPr>
            </w:pPr>
          </w:p>
        </w:tc>
        <w:tc>
          <w:tcPr>
            <w:tcW w:w="1007" w:type="dxa"/>
            <w:tcBorders>
              <w:top w:val="single" w:color="auto" w:sz="4" w:space="0"/>
              <w:left w:val="single" w:color="auto" w:sz="4" w:space="0"/>
              <w:bottom w:val="single" w:color="auto" w:sz="4" w:space="0"/>
              <w:right w:val="single" w:color="auto" w:sz="4" w:space="0"/>
            </w:tcBorders>
            <w:noWrap w:val="0"/>
            <w:vAlign w:val="center"/>
          </w:tcPr>
          <w:p w14:paraId="346524D3">
            <w:pPr>
              <w:spacing w:line="240" w:lineRule="auto"/>
              <w:jc w:val="left"/>
              <w:rPr>
                <w:rFonts w:hint="eastAsia" w:ascii="宋体" w:hAnsi="宋体" w:cs="宋体"/>
                <w:color w:val="auto"/>
                <w:szCs w:val="21"/>
                <w:highlight w:val="none"/>
                <w:u w:val="singl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42D27994">
            <w:pPr>
              <w:spacing w:line="240" w:lineRule="auto"/>
              <w:jc w:val="left"/>
              <w:rPr>
                <w:rFonts w:hint="eastAsia" w:ascii="宋体" w:hAnsi="宋体" w:cs="宋体"/>
                <w:color w:val="auto"/>
                <w:szCs w:val="21"/>
                <w:highlight w:val="none"/>
                <w:u w:val="single"/>
              </w:rPr>
            </w:pPr>
          </w:p>
        </w:tc>
        <w:tc>
          <w:tcPr>
            <w:tcW w:w="1082" w:type="dxa"/>
            <w:tcBorders>
              <w:top w:val="single" w:color="auto" w:sz="4" w:space="0"/>
              <w:left w:val="single" w:color="auto" w:sz="4" w:space="0"/>
              <w:bottom w:val="single" w:color="auto" w:sz="4" w:space="0"/>
              <w:right w:val="single" w:color="auto" w:sz="4" w:space="0"/>
            </w:tcBorders>
            <w:noWrap w:val="0"/>
            <w:vAlign w:val="center"/>
          </w:tcPr>
          <w:p w14:paraId="69043F09">
            <w:pPr>
              <w:spacing w:line="240" w:lineRule="auto"/>
              <w:jc w:val="left"/>
              <w:rPr>
                <w:rFonts w:hint="eastAsia" w:ascii="宋体" w:hAnsi="宋体" w:cs="宋体"/>
                <w:color w:val="auto"/>
                <w:szCs w:val="21"/>
                <w:highlight w:val="none"/>
                <w:u w:val="single"/>
              </w:rPr>
            </w:pPr>
          </w:p>
        </w:tc>
      </w:tr>
    </w:tbl>
    <w:p w14:paraId="2A9A9188">
      <w:pPr>
        <w:wordWrap w:val="0"/>
        <w:rPr>
          <w:rFonts w:ascii="宋体" w:hAnsi="宋体" w:cs="宋体"/>
          <w:color w:val="auto"/>
          <w:szCs w:val="21"/>
          <w:highlight w:val="none"/>
        </w:rPr>
      </w:pPr>
    </w:p>
    <w:p w14:paraId="2490B046">
      <w:pPr>
        <w:wordWrap w:val="0"/>
        <w:rPr>
          <w:rFonts w:hint="eastAsia" w:ascii="宋体" w:hAnsi="宋体" w:cs="宋体"/>
          <w:color w:val="auto"/>
          <w:szCs w:val="21"/>
          <w:highlight w:val="none"/>
        </w:rPr>
      </w:pPr>
    </w:p>
    <w:p w14:paraId="0D1B9F09">
      <w:pPr>
        <w:wordWrap w:val="0"/>
        <w:rPr>
          <w:rFonts w:hint="eastAsia" w:ascii="宋体" w:hAnsi="宋体" w:cs="宋体"/>
          <w:color w:val="auto"/>
          <w:szCs w:val="21"/>
          <w:highlight w:val="none"/>
        </w:rPr>
      </w:pPr>
      <w:r>
        <w:rPr>
          <w:rFonts w:hint="eastAsia" w:ascii="宋体" w:hAnsi="宋体" w:cs="宋体"/>
          <w:color w:val="auto"/>
          <w:szCs w:val="21"/>
          <w:highlight w:val="none"/>
        </w:rPr>
        <w:t>定标委员签名：                                            日期：</w:t>
      </w:r>
    </w:p>
    <w:p w14:paraId="3BCE8734">
      <w:pPr>
        <w:wordWrap w:val="0"/>
        <w:rPr>
          <w:rFonts w:hint="eastAsia" w:ascii="宋体" w:hAnsi="宋体" w:cs="宋体"/>
          <w:color w:val="auto"/>
          <w:szCs w:val="21"/>
          <w:highlight w:val="none"/>
        </w:rPr>
      </w:pPr>
    </w:p>
    <w:p w14:paraId="66988E3B">
      <w:pPr>
        <w:spacing w:line="360" w:lineRule="auto"/>
        <w:jc w:val="left"/>
        <w:rPr>
          <w:rFonts w:hint="eastAsia" w:ascii="宋体" w:hAnsi="宋体" w:cs="宋体"/>
          <w:b/>
          <w:bCs/>
          <w:color w:val="auto"/>
          <w:highlight w:val="none"/>
        </w:rPr>
      </w:pPr>
      <w:r>
        <w:rPr>
          <w:rFonts w:ascii="宋体" w:hAnsi="宋体" w:cs="宋体"/>
          <w:b/>
          <w:bCs/>
          <w:color w:val="auto"/>
          <w:sz w:val="24"/>
          <w:szCs w:val="24"/>
          <w:highlight w:val="none"/>
        </w:rPr>
        <w:br w:type="page"/>
      </w:r>
      <w:r>
        <w:rPr>
          <w:rFonts w:hint="eastAsia" w:ascii="宋体" w:hAnsi="宋体" w:cs="宋体"/>
          <w:b/>
          <w:bCs/>
          <w:color w:val="auto"/>
          <w:sz w:val="24"/>
          <w:szCs w:val="24"/>
          <w:highlight w:val="none"/>
        </w:rPr>
        <w:t>附表</w:t>
      </w:r>
      <w:r>
        <w:rPr>
          <w:rFonts w:hint="eastAsia" w:ascii="宋体" w:hAnsi="宋体" w:cs="宋体"/>
          <w:b/>
          <w:bCs/>
          <w:color w:val="auto"/>
          <w:sz w:val="24"/>
          <w:szCs w:val="24"/>
          <w:highlight w:val="none"/>
          <w:lang w:val="en-US" w:eastAsia="zh-CN"/>
        </w:rPr>
        <w:t>五</w:t>
      </w:r>
    </w:p>
    <w:p w14:paraId="78565D6E">
      <w:pPr>
        <w:pStyle w:val="8"/>
        <w:jc w:val="center"/>
        <w:rPr>
          <w:rFonts w:hint="eastAsia" w:ascii="宋体" w:hAnsi="宋体"/>
          <w:b/>
          <w:color w:val="auto"/>
          <w:sz w:val="28"/>
          <w:szCs w:val="24"/>
          <w:highlight w:val="none"/>
        </w:rPr>
      </w:pPr>
      <w:r>
        <w:rPr>
          <w:rFonts w:hint="eastAsia" w:ascii="宋体" w:hAnsi="宋体"/>
          <w:b/>
          <w:color w:val="auto"/>
          <w:sz w:val="28"/>
          <w:szCs w:val="24"/>
          <w:highlight w:val="none"/>
        </w:rPr>
        <w:t>定标评分汇总表</w:t>
      </w:r>
    </w:p>
    <w:p w14:paraId="0B22E72A">
      <w:pPr>
        <w:pStyle w:val="8"/>
        <w:jc w:val="left"/>
        <w:rPr>
          <w:rFonts w:hint="eastAsia"/>
          <w:color w:val="auto"/>
          <w:highlight w:val="none"/>
        </w:rPr>
      </w:pPr>
      <w:r>
        <w:rPr>
          <w:rFonts w:hint="eastAsia" w:ascii="宋体" w:hAnsi="宋体"/>
          <w:b/>
          <w:color w:val="auto"/>
          <w:sz w:val="24"/>
          <w:highlight w:val="none"/>
          <w:lang w:val="en-US" w:eastAsia="zh-CN"/>
        </w:rPr>
        <w:t>项目名称：</w:t>
      </w:r>
    </w:p>
    <w:tbl>
      <w:tblPr>
        <w:tblStyle w:val="17"/>
        <w:tblW w:w="99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7"/>
        <w:gridCol w:w="2882"/>
        <w:gridCol w:w="1058"/>
        <w:gridCol w:w="1004"/>
        <w:gridCol w:w="992"/>
        <w:gridCol w:w="1048"/>
        <w:gridCol w:w="992"/>
        <w:gridCol w:w="1233"/>
      </w:tblGrid>
      <w:tr w14:paraId="7B308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14:paraId="48C5709B">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序号</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6718172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i w:val="0"/>
                <w:iCs w:val="0"/>
                <w:color w:val="auto"/>
                <w:kern w:val="0"/>
                <w:sz w:val="24"/>
                <w:szCs w:val="24"/>
                <w:highlight w:val="none"/>
                <w:u w:val="none"/>
                <w:lang w:val="en-US" w:eastAsia="zh-CN" w:bidi="ar"/>
              </w:rPr>
              <w:t>合格的</w:t>
            </w:r>
            <w:r>
              <w:rPr>
                <w:rFonts w:hint="eastAsia" w:ascii="宋体" w:hAnsi="宋体" w:eastAsia="宋体" w:cs="宋体"/>
                <w:b/>
                <w:bCs/>
                <w:i w:val="0"/>
                <w:iCs w:val="0"/>
                <w:color w:val="auto"/>
                <w:kern w:val="0"/>
                <w:sz w:val="24"/>
                <w:szCs w:val="24"/>
                <w:highlight w:val="none"/>
                <w:u w:val="none"/>
                <w:lang w:val="en-US" w:eastAsia="zh-CN" w:bidi="ar"/>
              </w:rPr>
              <w:t>中标候选人</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781CE0F">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定标委员1</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2514CD7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定标委员2</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B91B41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定标委员3</w:t>
            </w:r>
          </w:p>
        </w:tc>
        <w:tc>
          <w:tcPr>
            <w:tcW w:w="1048" w:type="dxa"/>
            <w:tcBorders>
              <w:top w:val="single" w:color="000000" w:sz="4" w:space="0"/>
              <w:left w:val="single" w:color="000000" w:sz="4" w:space="0"/>
              <w:bottom w:val="single" w:color="000000" w:sz="4" w:space="0"/>
              <w:right w:val="single" w:color="000000" w:sz="4" w:space="0"/>
            </w:tcBorders>
            <w:noWrap w:val="0"/>
            <w:vAlign w:val="center"/>
          </w:tcPr>
          <w:p w14:paraId="75691CF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定标委员4</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2823048">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定标委员5</w:t>
            </w: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7079B9C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总得分</w:t>
            </w:r>
          </w:p>
        </w:tc>
      </w:tr>
      <w:tr w14:paraId="174B6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14:paraId="73A2E8D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77C1B6DE">
            <w:pPr>
              <w:jc w:val="center"/>
              <w:rPr>
                <w:rFonts w:hint="eastAsia" w:ascii="宋体" w:hAnsi="宋体" w:eastAsia="宋体" w:cs="宋体"/>
                <w:i w:val="0"/>
                <w:iCs w:val="0"/>
                <w:color w:val="auto"/>
                <w:sz w:val="24"/>
                <w:szCs w:val="24"/>
                <w:highlight w:val="none"/>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C7EF238">
            <w:pPr>
              <w:jc w:val="center"/>
              <w:rPr>
                <w:rFonts w:hint="eastAsia" w:ascii="宋体" w:hAnsi="宋体" w:eastAsia="宋体" w:cs="宋体"/>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CCEF43F">
            <w:pPr>
              <w:jc w:val="center"/>
              <w:rPr>
                <w:rFonts w:hint="eastAsia" w:ascii="宋体" w:hAnsi="宋体" w:eastAsia="宋体" w:cs="宋体"/>
                <w:i w:val="0"/>
                <w:iCs w:val="0"/>
                <w:color w:val="auto"/>
                <w:sz w:val="24"/>
                <w:szCs w:val="24"/>
                <w:highlight w:val="none"/>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770C7F6">
            <w:pPr>
              <w:jc w:val="center"/>
              <w:rPr>
                <w:rFonts w:hint="eastAsia" w:ascii="宋体" w:hAnsi="宋体" w:eastAsia="宋体" w:cs="宋体"/>
                <w:i w:val="0"/>
                <w:iCs w:val="0"/>
                <w:color w:val="auto"/>
                <w:sz w:val="24"/>
                <w:szCs w:val="24"/>
                <w:highlight w:val="none"/>
                <w:u w:val="none"/>
              </w:rPr>
            </w:pPr>
          </w:p>
        </w:tc>
        <w:tc>
          <w:tcPr>
            <w:tcW w:w="1048" w:type="dxa"/>
            <w:tcBorders>
              <w:top w:val="single" w:color="000000" w:sz="4" w:space="0"/>
              <w:left w:val="single" w:color="000000" w:sz="4" w:space="0"/>
              <w:bottom w:val="single" w:color="000000" w:sz="4" w:space="0"/>
              <w:right w:val="single" w:color="000000" w:sz="4" w:space="0"/>
            </w:tcBorders>
            <w:noWrap w:val="0"/>
            <w:vAlign w:val="center"/>
          </w:tcPr>
          <w:p w14:paraId="1918E3EE">
            <w:pPr>
              <w:jc w:val="center"/>
              <w:rPr>
                <w:rFonts w:hint="eastAsia" w:ascii="宋体" w:hAnsi="宋体" w:eastAsia="宋体" w:cs="宋体"/>
                <w:i w:val="0"/>
                <w:iCs w:val="0"/>
                <w:color w:val="auto"/>
                <w:sz w:val="24"/>
                <w:szCs w:val="24"/>
                <w:highlight w:val="none"/>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E0253F4">
            <w:pPr>
              <w:jc w:val="center"/>
              <w:rPr>
                <w:rFonts w:hint="eastAsia" w:ascii="宋体" w:hAnsi="宋体" w:eastAsia="宋体" w:cs="宋体"/>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6AB99F85">
            <w:pPr>
              <w:jc w:val="center"/>
              <w:rPr>
                <w:rFonts w:hint="eastAsia" w:ascii="宋体" w:hAnsi="宋体" w:eastAsia="宋体" w:cs="宋体"/>
                <w:i w:val="0"/>
                <w:iCs w:val="0"/>
                <w:color w:val="auto"/>
                <w:sz w:val="24"/>
                <w:szCs w:val="24"/>
                <w:highlight w:val="none"/>
                <w:u w:val="none"/>
              </w:rPr>
            </w:pPr>
          </w:p>
        </w:tc>
      </w:tr>
      <w:tr w14:paraId="03232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14:paraId="00EB162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35DA458A">
            <w:pPr>
              <w:jc w:val="center"/>
              <w:rPr>
                <w:rFonts w:hint="eastAsia" w:ascii="宋体" w:hAnsi="宋体" w:eastAsia="宋体" w:cs="宋体"/>
                <w:i w:val="0"/>
                <w:iCs w:val="0"/>
                <w:color w:val="auto"/>
                <w:sz w:val="24"/>
                <w:szCs w:val="24"/>
                <w:highlight w:val="none"/>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48B2313">
            <w:pPr>
              <w:jc w:val="center"/>
              <w:rPr>
                <w:rFonts w:hint="eastAsia" w:ascii="宋体" w:hAnsi="宋体" w:eastAsia="宋体" w:cs="宋体"/>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AA1B95A">
            <w:pPr>
              <w:jc w:val="center"/>
              <w:rPr>
                <w:rFonts w:hint="eastAsia" w:ascii="宋体" w:hAnsi="宋体" w:eastAsia="宋体" w:cs="宋体"/>
                <w:i w:val="0"/>
                <w:iCs w:val="0"/>
                <w:color w:val="auto"/>
                <w:sz w:val="24"/>
                <w:szCs w:val="24"/>
                <w:highlight w:val="none"/>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061F448">
            <w:pPr>
              <w:jc w:val="center"/>
              <w:rPr>
                <w:rFonts w:hint="eastAsia" w:ascii="宋体" w:hAnsi="宋体" w:eastAsia="宋体" w:cs="宋体"/>
                <w:i w:val="0"/>
                <w:iCs w:val="0"/>
                <w:color w:val="auto"/>
                <w:sz w:val="24"/>
                <w:szCs w:val="24"/>
                <w:highlight w:val="none"/>
                <w:u w:val="none"/>
              </w:rPr>
            </w:pPr>
          </w:p>
        </w:tc>
        <w:tc>
          <w:tcPr>
            <w:tcW w:w="1048" w:type="dxa"/>
            <w:tcBorders>
              <w:top w:val="single" w:color="000000" w:sz="4" w:space="0"/>
              <w:left w:val="single" w:color="000000" w:sz="4" w:space="0"/>
              <w:bottom w:val="single" w:color="000000" w:sz="4" w:space="0"/>
              <w:right w:val="single" w:color="000000" w:sz="4" w:space="0"/>
            </w:tcBorders>
            <w:noWrap w:val="0"/>
            <w:vAlign w:val="center"/>
          </w:tcPr>
          <w:p w14:paraId="3DECE329">
            <w:pPr>
              <w:jc w:val="center"/>
              <w:rPr>
                <w:rFonts w:hint="eastAsia" w:ascii="宋体" w:hAnsi="宋体" w:eastAsia="宋体" w:cs="宋体"/>
                <w:i w:val="0"/>
                <w:iCs w:val="0"/>
                <w:color w:val="auto"/>
                <w:sz w:val="24"/>
                <w:szCs w:val="24"/>
                <w:highlight w:val="none"/>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F72CA35">
            <w:pPr>
              <w:jc w:val="center"/>
              <w:rPr>
                <w:rFonts w:hint="eastAsia" w:ascii="宋体" w:hAnsi="宋体" w:eastAsia="宋体" w:cs="宋体"/>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62D4FA17">
            <w:pPr>
              <w:jc w:val="center"/>
              <w:rPr>
                <w:rFonts w:hint="eastAsia" w:ascii="宋体" w:hAnsi="宋体" w:eastAsia="宋体" w:cs="宋体"/>
                <w:i w:val="0"/>
                <w:iCs w:val="0"/>
                <w:color w:val="auto"/>
                <w:sz w:val="24"/>
                <w:szCs w:val="24"/>
                <w:highlight w:val="none"/>
                <w:u w:val="none"/>
              </w:rPr>
            </w:pPr>
          </w:p>
        </w:tc>
      </w:tr>
      <w:tr w14:paraId="42338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14:paraId="0D994DD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25406549">
            <w:pPr>
              <w:jc w:val="center"/>
              <w:rPr>
                <w:rFonts w:hint="eastAsia" w:ascii="宋体" w:hAnsi="宋体" w:eastAsia="宋体" w:cs="宋体"/>
                <w:i w:val="0"/>
                <w:iCs w:val="0"/>
                <w:color w:val="auto"/>
                <w:sz w:val="24"/>
                <w:szCs w:val="24"/>
                <w:highlight w:val="none"/>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1F55F2A">
            <w:pPr>
              <w:jc w:val="center"/>
              <w:rPr>
                <w:rFonts w:hint="eastAsia" w:ascii="宋体" w:hAnsi="宋体" w:eastAsia="宋体" w:cs="宋体"/>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FCA4587">
            <w:pPr>
              <w:jc w:val="center"/>
              <w:rPr>
                <w:rFonts w:hint="eastAsia" w:ascii="宋体" w:hAnsi="宋体" w:eastAsia="宋体" w:cs="宋体"/>
                <w:i w:val="0"/>
                <w:iCs w:val="0"/>
                <w:color w:val="auto"/>
                <w:sz w:val="24"/>
                <w:szCs w:val="24"/>
                <w:highlight w:val="none"/>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339CF7F1">
            <w:pPr>
              <w:jc w:val="center"/>
              <w:rPr>
                <w:rFonts w:hint="eastAsia" w:ascii="宋体" w:hAnsi="宋体" w:eastAsia="宋体" w:cs="宋体"/>
                <w:i w:val="0"/>
                <w:iCs w:val="0"/>
                <w:color w:val="auto"/>
                <w:sz w:val="24"/>
                <w:szCs w:val="24"/>
                <w:highlight w:val="none"/>
                <w:u w:val="none"/>
              </w:rPr>
            </w:pPr>
          </w:p>
        </w:tc>
        <w:tc>
          <w:tcPr>
            <w:tcW w:w="1048" w:type="dxa"/>
            <w:tcBorders>
              <w:top w:val="single" w:color="000000" w:sz="4" w:space="0"/>
              <w:left w:val="single" w:color="000000" w:sz="4" w:space="0"/>
              <w:bottom w:val="single" w:color="000000" w:sz="4" w:space="0"/>
              <w:right w:val="single" w:color="000000" w:sz="4" w:space="0"/>
            </w:tcBorders>
            <w:noWrap w:val="0"/>
            <w:vAlign w:val="center"/>
          </w:tcPr>
          <w:p w14:paraId="46051989">
            <w:pPr>
              <w:jc w:val="center"/>
              <w:rPr>
                <w:rFonts w:hint="eastAsia" w:ascii="宋体" w:hAnsi="宋体" w:eastAsia="宋体" w:cs="宋体"/>
                <w:i w:val="0"/>
                <w:iCs w:val="0"/>
                <w:color w:val="auto"/>
                <w:sz w:val="24"/>
                <w:szCs w:val="24"/>
                <w:highlight w:val="none"/>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8B5F523">
            <w:pPr>
              <w:jc w:val="center"/>
              <w:rPr>
                <w:rFonts w:hint="eastAsia" w:ascii="宋体" w:hAnsi="宋体" w:eastAsia="宋体" w:cs="宋体"/>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70558346">
            <w:pPr>
              <w:jc w:val="center"/>
              <w:rPr>
                <w:rFonts w:hint="eastAsia" w:ascii="宋体" w:hAnsi="宋体" w:eastAsia="宋体" w:cs="宋体"/>
                <w:i w:val="0"/>
                <w:iCs w:val="0"/>
                <w:color w:val="auto"/>
                <w:sz w:val="24"/>
                <w:szCs w:val="24"/>
                <w:highlight w:val="none"/>
                <w:u w:val="none"/>
              </w:rPr>
            </w:pPr>
          </w:p>
        </w:tc>
      </w:tr>
      <w:tr w14:paraId="621D8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14:paraId="4BB430F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29E44961">
            <w:pPr>
              <w:jc w:val="center"/>
              <w:rPr>
                <w:rFonts w:hint="eastAsia" w:ascii="宋体" w:hAnsi="宋体" w:eastAsia="宋体" w:cs="宋体"/>
                <w:i w:val="0"/>
                <w:iCs w:val="0"/>
                <w:color w:val="auto"/>
                <w:sz w:val="24"/>
                <w:szCs w:val="24"/>
                <w:highlight w:val="none"/>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26AB5C8">
            <w:pPr>
              <w:jc w:val="center"/>
              <w:rPr>
                <w:rFonts w:hint="eastAsia" w:ascii="宋体" w:hAnsi="宋体" w:eastAsia="宋体" w:cs="宋体"/>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AB6C653">
            <w:pPr>
              <w:jc w:val="center"/>
              <w:rPr>
                <w:rFonts w:hint="eastAsia" w:ascii="宋体" w:hAnsi="宋体" w:eastAsia="宋体" w:cs="宋体"/>
                <w:i w:val="0"/>
                <w:iCs w:val="0"/>
                <w:color w:val="auto"/>
                <w:sz w:val="24"/>
                <w:szCs w:val="24"/>
                <w:highlight w:val="none"/>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8502E17">
            <w:pPr>
              <w:jc w:val="center"/>
              <w:rPr>
                <w:rFonts w:hint="eastAsia" w:ascii="宋体" w:hAnsi="宋体" w:eastAsia="宋体" w:cs="宋体"/>
                <w:i w:val="0"/>
                <w:iCs w:val="0"/>
                <w:color w:val="auto"/>
                <w:sz w:val="24"/>
                <w:szCs w:val="24"/>
                <w:highlight w:val="none"/>
                <w:u w:val="none"/>
              </w:rPr>
            </w:pPr>
          </w:p>
        </w:tc>
        <w:tc>
          <w:tcPr>
            <w:tcW w:w="1048" w:type="dxa"/>
            <w:tcBorders>
              <w:top w:val="single" w:color="000000" w:sz="4" w:space="0"/>
              <w:left w:val="single" w:color="000000" w:sz="4" w:space="0"/>
              <w:bottom w:val="single" w:color="000000" w:sz="4" w:space="0"/>
              <w:right w:val="single" w:color="000000" w:sz="4" w:space="0"/>
            </w:tcBorders>
            <w:noWrap w:val="0"/>
            <w:vAlign w:val="center"/>
          </w:tcPr>
          <w:p w14:paraId="78872798">
            <w:pPr>
              <w:jc w:val="center"/>
              <w:rPr>
                <w:rFonts w:hint="eastAsia" w:ascii="宋体" w:hAnsi="宋体" w:eastAsia="宋体" w:cs="宋体"/>
                <w:i w:val="0"/>
                <w:iCs w:val="0"/>
                <w:color w:val="auto"/>
                <w:sz w:val="24"/>
                <w:szCs w:val="24"/>
                <w:highlight w:val="none"/>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7A01103A">
            <w:pPr>
              <w:jc w:val="center"/>
              <w:rPr>
                <w:rFonts w:hint="eastAsia" w:ascii="宋体" w:hAnsi="宋体" w:eastAsia="宋体" w:cs="宋体"/>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779EDDF8">
            <w:pPr>
              <w:jc w:val="center"/>
              <w:rPr>
                <w:rFonts w:hint="eastAsia" w:ascii="宋体" w:hAnsi="宋体" w:eastAsia="宋体" w:cs="宋体"/>
                <w:i w:val="0"/>
                <w:iCs w:val="0"/>
                <w:color w:val="auto"/>
                <w:sz w:val="24"/>
                <w:szCs w:val="24"/>
                <w:highlight w:val="none"/>
                <w:u w:val="none"/>
              </w:rPr>
            </w:pPr>
          </w:p>
        </w:tc>
      </w:tr>
      <w:tr w14:paraId="41F6B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47" w:type="dxa"/>
            <w:tcBorders>
              <w:top w:val="single" w:color="000000" w:sz="4" w:space="0"/>
              <w:left w:val="single" w:color="000000" w:sz="4" w:space="0"/>
              <w:bottom w:val="single" w:color="000000" w:sz="4" w:space="0"/>
              <w:right w:val="single" w:color="000000" w:sz="4" w:space="0"/>
            </w:tcBorders>
            <w:noWrap/>
            <w:vAlign w:val="center"/>
          </w:tcPr>
          <w:p w14:paraId="30BCA2E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p>
        </w:tc>
        <w:tc>
          <w:tcPr>
            <w:tcW w:w="2882" w:type="dxa"/>
            <w:tcBorders>
              <w:top w:val="single" w:color="000000" w:sz="4" w:space="0"/>
              <w:left w:val="single" w:color="000000" w:sz="4" w:space="0"/>
              <w:bottom w:val="single" w:color="000000" w:sz="4" w:space="0"/>
              <w:right w:val="single" w:color="000000" w:sz="4" w:space="0"/>
            </w:tcBorders>
            <w:noWrap w:val="0"/>
            <w:vAlign w:val="center"/>
          </w:tcPr>
          <w:p w14:paraId="599FA255">
            <w:pPr>
              <w:jc w:val="center"/>
              <w:rPr>
                <w:rFonts w:hint="eastAsia" w:ascii="宋体" w:hAnsi="宋体" w:eastAsia="宋体" w:cs="宋体"/>
                <w:i w:val="0"/>
                <w:iCs w:val="0"/>
                <w:color w:val="auto"/>
                <w:sz w:val="24"/>
                <w:szCs w:val="24"/>
                <w:highlight w:val="none"/>
                <w:u w:val="none"/>
              </w:rPr>
            </w:pP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B582C75">
            <w:pPr>
              <w:jc w:val="center"/>
              <w:rPr>
                <w:rFonts w:hint="eastAsia" w:ascii="宋体" w:hAnsi="宋体" w:eastAsia="宋体" w:cs="宋体"/>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3F340DCB">
            <w:pPr>
              <w:jc w:val="center"/>
              <w:rPr>
                <w:rFonts w:hint="eastAsia" w:ascii="宋体" w:hAnsi="宋体" w:eastAsia="宋体" w:cs="宋体"/>
                <w:i w:val="0"/>
                <w:iCs w:val="0"/>
                <w:color w:val="auto"/>
                <w:sz w:val="24"/>
                <w:szCs w:val="24"/>
                <w:highlight w:val="none"/>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A22376A">
            <w:pPr>
              <w:jc w:val="center"/>
              <w:rPr>
                <w:rFonts w:hint="eastAsia" w:ascii="宋体" w:hAnsi="宋体" w:eastAsia="宋体" w:cs="宋体"/>
                <w:i w:val="0"/>
                <w:iCs w:val="0"/>
                <w:color w:val="auto"/>
                <w:sz w:val="24"/>
                <w:szCs w:val="24"/>
                <w:highlight w:val="none"/>
                <w:u w:val="none"/>
              </w:rPr>
            </w:pPr>
          </w:p>
        </w:tc>
        <w:tc>
          <w:tcPr>
            <w:tcW w:w="1048" w:type="dxa"/>
            <w:tcBorders>
              <w:top w:val="single" w:color="000000" w:sz="4" w:space="0"/>
              <w:left w:val="single" w:color="000000" w:sz="4" w:space="0"/>
              <w:bottom w:val="single" w:color="000000" w:sz="4" w:space="0"/>
              <w:right w:val="single" w:color="000000" w:sz="4" w:space="0"/>
            </w:tcBorders>
            <w:noWrap w:val="0"/>
            <w:vAlign w:val="center"/>
          </w:tcPr>
          <w:p w14:paraId="74076612">
            <w:pPr>
              <w:jc w:val="center"/>
              <w:rPr>
                <w:rFonts w:hint="eastAsia" w:ascii="宋体" w:hAnsi="宋体" w:eastAsia="宋体" w:cs="宋体"/>
                <w:i w:val="0"/>
                <w:iCs w:val="0"/>
                <w:color w:val="auto"/>
                <w:sz w:val="24"/>
                <w:szCs w:val="24"/>
                <w:highlight w:val="none"/>
                <w:u w:val="none"/>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DD4D078">
            <w:pPr>
              <w:jc w:val="center"/>
              <w:rPr>
                <w:rFonts w:hint="eastAsia" w:ascii="宋体" w:hAnsi="宋体" w:eastAsia="宋体" w:cs="宋体"/>
                <w:i w:val="0"/>
                <w:iCs w:val="0"/>
                <w:color w:val="auto"/>
                <w:sz w:val="24"/>
                <w:szCs w:val="24"/>
                <w:highlight w:val="none"/>
                <w:u w:val="none"/>
              </w:rPr>
            </w:pPr>
          </w:p>
        </w:tc>
        <w:tc>
          <w:tcPr>
            <w:tcW w:w="1233" w:type="dxa"/>
            <w:tcBorders>
              <w:top w:val="single" w:color="000000" w:sz="4" w:space="0"/>
              <w:left w:val="single" w:color="000000" w:sz="4" w:space="0"/>
              <w:bottom w:val="single" w:color="000000" w:sz="4" w:space="0"/>
              <w:right w:val="single" w:color="000000" w:sz="4" w:space="0"/>
            </w:tcBorders>
            <w:noWrap w:val="0"/>
            <w:vAlign w:val="center"/>
          </w:tcPr>
          <w:p w14:paraId="48E63FD1">
            <w:pPr>
              <w:jc w:val="center"/>
              <w:rPr>
                <w:rFonts w:hint="eastAsia" w:ascii="宋体" w:hAnsi="宋体" w:eastAsia="宋体" w:cs="宋体"/>
                <w:i w:val="0"/>
                <w:iCs w:val="0"/>
                <w:color w:val="auto"/>
                <w:sz w:val="24"/>
                <w:szCs w:val="24"/>
                <w:highlight w:val="none"/>
                <w:u w:val="none"/>
              </w:rPr>
            </w:pPr>
          </w:p>
        </w:tc>
      </w:tr>
    </w:tbl>
    <w:p w14:paraId="1DC316D1">
      <w:pPr>
        <w:pStyle w:val="8"/>
        <w:rPr>
          <w:rFonts w:hint="default" w:eastAsia="宋体"/>
          <w:color w:val="auto"/>
          <w:highlight w:val="none"/>
          <w:lang w:val="en-US" w:eastAsia="zh-CN"/>
        </w:rPr>
      </w:pPr>
    </w:p>
    <w:p w14:paraId="16D054C7">
      <w:pPr>
        <w:wordWrap w:val="0"/>
        <w:rPr>
          <w:rFonts w:hint="eastAsia" w:ascii="宋体" w:hAnsi="宋体" w:cs="宋体"/>
          <w:color w:val="auto"/>
          <w:szCs w:val="21"/>
          <w:highlight w:val="none"/>
        </w:rPr>
      </w:pPr>
      <w:r>
        <w:rPr>
          <w:rFonts w:hint="eastAsia" w:ascii="宋体" w:hAnsi="宋体" w:cs="宋体"/>
          <w:color w:val="auto"/>
          <w:szCs w:val="21"/>
          <w:highlight w:val="none"/>
        </w:rPr>
        <w:t>定标委员</w:t>
      </w:r>
      <w:r>
        <w:rPr>
          <w:rFonts w:hint="eastAsia" w:ascii="宋体" w:hAnsi="宋体" w:cs="宋体"/>
          <w:color w:val="auto"/>
          <w:szCs w:val="21"/>
          <w:highlight w:val="none"/>
          <w:lang w:val="en-US" w:eastAsia="zh-CN"/>
        </w:rPr>
        <w:t>会</w:t>
      </w:r>
      <w:r>
        <w:rPr>
          <w:rFonts w:hint="eastAsia" w:ascii="宋体" w:hAnsi="宋体" w:cs="宋体"/>
          <w:color w:val="auto"/>
          <w:szCs w:val="21"/>
          <w:highlight w:val="none"/>
        </w:rPr>
        <w:t>签名：                                      日期：</w:t>
      </w:r>
      <w:r>
        <w:rPr>
          <w:rFonts w:hint="eastAsia" w:ascii="宋体" w:hAnsi="宋体" w:cs="宋体"/>
          <w:color w:val="auto"/>
          <w:sz w:val="24"/>
          <w:szCs w:val="24"/>
          <w:highlight w:val="none"/>
          <w:u w:val="none"/>
          <w:lang w:val="en-US" w:eastAsia="zh-CN"/>
        </w:rPr>
        <w:t xml:space="preserve">  年    月   日</w:t>
      </w:r>
    </w:p>
    <w:p w14:paraId="2B7F00B8">
      <w:pPr>
        <w:pStyle w:val="11"/>
        <w:spacing w:line="360" w:lineRule="auto"/>
        <w:jc w:val="center"/>
        <w:rPr>
          <w:rFonts w:hint="eastAsia" w:hAnsi="宋体"/>
          <w:b/>
          <w:color w:val="auto"/>
          <w:sz w:val="32"/>
          <w:szCs w:val="32"/>
          <w:highlight w:val="none"/>
        </w:rPr>
      </w:pPr>
    </w:p>
    <w:p w14:paraId="1CF2881D">
      <w:pPr>
        <w:wordWrap w:val="0"/>
        <w:rPr>
          <w:rFonts w:hint="eastAsia" w:ascii="宋体" w:hAnsi="宋体" w:cs="宋体"/>
          <w:color w:val="auto"/>
          <w:szCs w:val="21"/>
          <w:highlight w:val="none"/>
        </w:rPr>
      </w:pPr>
      <w:r>
        <w:rPr>
          <w:rFonts w:hint="eastAsia" w:ascii="宋体" w:hAnsi="宋体" w:cs="宋体"/>
          <w:color w:val="auto"/>
          <w:szCs w:val="21"/>
          <w:highlight w:val="none"/>
        </w:rPr>
        <w:br w:type="page"/>
      </w:r>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p>
    <w:p w14:paraId="33076B8F">
      <w:pPr>
        <w:pStyle w:val="14"/>
        <w:spacing w:before="0" w:after="0" w:line="360" w:lineRule="auto"/>
        <w:jc w:val="center"/>
        <w:rPr>
          <w:rFonts w:hint="eastAsia" w:ascii="宋体" w:hAnsi="宋体"/>
          <w:color w:val="auto"/>
          <w:sz w:val="28"/>
          <w:szCs w:val="28"/>
          <w:highlight w:val="none"/>
        </w:rPr>
      </w:pPr>
      <w:bookmarkStart w:id="1079" w:name="_Toc25006"/>
      <w:bookmarkStart w:id="1080" w:name="_Toc27985"/>
      <w:bookmarkStart w:id="1081" w:name="_Toc21185"/>
      <w:bookmarkStart w:id="1082" w:name="_Toc485211107"/>
      <w:bookmarkStart w:id="1083" w:name="_Toc356306516"/>
      <w:bookmarkStart w:id="1084" w:name="_Toc26600"/>
      <w:bookmarkStart w:id="1085" w:name="_Toc17999"/>
      <w:bookmarkStart w:id="1086" w:name="_Toc15305"/>
      <w:bookmarkStart w:id="1087" w:name="_Toc20372"/>
      <w:r>
        <w:rPr>
          <w:rFonts w:hint="eastAsia" w:ascii="宋体" w:hAnsi="宋体"/>
          <w:color w:val="auto"/>
          <w:sz w:val="28"/>
          <w:szCs w:val="28"/>
          <w:highlight w:val="none"/>
        </w:rPr>
        <w:t>第三章 合同条款</w:t>
      </w:r>
      <w:bookmarkEnd w:id="1079"/>
      <w:bookmarkEnd w:id="1080"/>
      <w:bookmarkEnd w:id="1081"/>
      <w:bookmarkEnd w:id="1082"/>
      <w:bookmarkEnd w:id="1083"/>
      <w:bookmarkEnd w:id="1084"/>
      <w:bookmarkEnd w:id="1085"/>
      <w:bookmarkEnd w:id="1086"/>
      <w:r>
        <w:rPr>
          <w:rFonts w:hint="eastAsia" w:ascii="宋体" w:hAnsi="宋体"/>
          <w:color w:val="auto"/>
          <w:sz w:val="28"/>
          <w:szCs w:val="28"/>
          <w:highlight w:val="none"/>
        </w:rPr>
        <w:t>及格式</w:t>
      </w:r>
      <w:bookmarkEnd w:id="1087"/>
    </w:p>
    <w:p w14:paraId="41918C65">
      <w:pPr>
        <w:spacing w:line="360" w:lineRule="auto"/>
        <w:jc w:val="center"/>
        <w:rPr>
          <w:rFonts w:hint="eastAsia" w:ascii="宋体" w:hAnsi="宋体" w:cs="宋体"/>
          <w:color w:val="auto"/>
          <w:sz w:val="28"/>
          <w:szCs w:val="28"/>
          <w:highlight w:val="none"/>
        </w:rPr>
      </w:pPr>
      <w:r>
        <w:rPr>
          <w:rFonts w:hint="eastAsia" w:ascii="宋体" w:hAnsi="宋体" w:cs="宋体"/>
          <w:b/>
          <w:color w:val="auto"/>
          <w:sz w:val="24"/>
          <w:szCs w:val="24"/>
          <w:highlight w:val="none"/>
        </w:rPr>
        <w:t>（另册）</w:t>
      </w:r>
    </w:p>
    <w:p w14:paraId="065A21FB">
      <w:pPr>
        <w:pStyle w:val="14"/>
        <w:spacing w:before="0" w:after="0" w:line="360" w:lineRule="auto"/>
        <w:jc w:val="center"/>
        <w:rPr>
          <w:rFonts w:hint="eastAsia" w:ascii="宋体" w:hAnsi="宋体"/>
          <w:color w:val="auto"/>
          <w:sz w:val="28"/>
          <w:szCs w:val="28"/>
          <w:highlight w:val="none"/>
        </w:rPr>
      </w:pPr>
      <w:r>
        <w:rPr>
          <w:rFonts w:hint="eastAsia" w:ascii="宋体" w:hAnsi="宋体" w:cs="宋体"/>
          <w:color w:val="auto"/>
          <w:sz w:val="28"/>
          <w:szCs w:val="28"/>
          <w:highlight w:val="none"/>
        </w:rPr>
        <w:br w:type="page"/>
      </w:r>
      <w:bookmarkStart w:id="1088" w:name="_Toc8354"/>
      <w:bookmarkStart w:id="1089" w:name="_Toc31278"/>
      <w:bookmarkStart w:id="1090" w:name="_Toc23508"/>
      <w:bookmarkStart w:id="1091" w:name="_Toc13085"/>
      <w:bookmarkStart w:id="1092" w:name="_Toc16503"/>
      <w:bookmarkStart w:id="1093" w:name="_Toc20279"/>
      <w:bookmarkStart w:id="1094" w:name="_Toc485211108"/>
      <w:bookmarkStart w:id="1095" w:name="_Toc8204"/>
      <w:r>
        <w:rPr>
          <w:rFonts w:hint="eastAsia" w:ascii="宋体" w:hAnsi="宋体" w:cs="宋体"/>
          <w:color w:val="auto"/>
          <w:sz w:val="28"/>
          <w:szCs w:val="28"/>
          <w:highlight w:val="none"/>
        </w:rPr>
        <w:t xml:space="preserve">第四章 </w:t>
      </w:r>
      <w:r>
        <w:rPr>
          <w:rFonts w:hint="eastAsia" w:ascii="宋体" w:hAnsi="宋体"/>
          <w:color w:val="auto"/>
          <w:sz w:val="28"/>
          <w:szCs w:val="28"/>
          <w:highlight w:val="none"/>
        </w:rPr>
        <w:t>发包人要求</w:t>
      </w:r>
      <w:bookmarkEnd w:id="1088"/>
      <w:bookmarkEnd w:id="1089"/>
      <w:bookmarkEnd w:id="1090"/>
      <w:bookmarkEnd w:id="1091"/>
      <w:bookmarkEnd w:id="1092"/>
      <w:bookmarkEnd w:id="1093"/>
      <w:bookmarkEnd w:id="1094"/>
      <w:bookmarkEnd w:id="1095"/>
    </w:p>
    <w:p w14:paraId="6F7A9522">
      <w:pPr>
        <w:kinsoku w:val="0"/>
        <w:overflowPunct w:val="0"/>
        <w:snapToGrid w:val="0"/>
        <w:spacing w:after="120" w:line="348" w:lineRule="auto"/>
        <w:jc w:val="left"/>
        <w:rPr>
          <w:rFonts w:hint="eastAsia" w:ascii="宋体" w:hAnsi="宋体" w:cs="宋体"/>
          <w:b/>
          <w:bCs/>
          <w:color w:val="auto"/>
          <w:kern w:val="44"/>
          <w:sz w:val="24"/>
          <w:szCs w:val="24"/>
          <w:highlight w:val="none"/>
        </w:rPr>
      </w:pPr>
      <w:bookmarkStart w:id="1096" w:name="_Toc4169"/>
      <w:r>
        <w:rPr>
          <w:rFonts w:hint="eastAsia" w:ascii="宋体" w:hAnsi="宋体" w:cs="宋体"/>
          <w:b/>
          <w:bCs/>
          <w:color w:val="auto"/>
          <w:kern w:val="44"/>
          <w:sz w:val="24"/>
          <w:szCs w:val="24"/>
          <w:highlight w:val="none"/>
          <w:lang w:val="en-US" w:eastAsia="zh-CN"/>
        </w:rPr>
        <w:t>一.设计任务书</w:t>
      </w:r>
      <w:r>
        <w:rPr>
          <w:rFonts w:hint="eastAsia" w:ascii="宋体" w:hAnsi="宋体" w:cs="宋体"/>
          <w:b/>
          <w:bCs/>
          <w:color w:val="auto"/>
          <w:kern w:val="44"/>
          <w:sz w:val="24"/>
          <w:szCs w:val="24"/>
          <w:highlight w:val="none"/>
        </w:rPr>
        <w:t>（另册）</w:t>
      </w:r>
    </w:p>
    <w:p w14:paraId="4913BAF3">
      <w:pPr>
        <w:kinsoku w:val="0"/>
        <w:overflowPunct w:val="0"/>
        <w:snapToGrid w:val="0"/>
        <w:spacing w:after="120" w:line="348" w:lineRule="auto"/>
        <w:jc w:val="left"/>
        <w:rPr>
          <w:rFonts w:hint="eastAsia" w:ascii="宋体" w:hAnsi="宋体" w:eastAsia="宋体" w:cs="宋体"/>
          <w:b/>
          <w:bCs/>
          <w:color w:val="auto"/>
          <w:kern w:val="44"/>
          <w:sz w:val="24"/>
          <w:szCs w:val="24"/>
          <w:highlight w:val="none"/>
          <w:lang w:val="en-US" w:eastAsia="zh-CN"/>
        </w:rPr>
      </w:pPr>
      <w:r>
        <w:rPr>
          <w:rFonts w:hint="eastAsia" w:ascii="宋体" w:hAnsi="宋体" w:eastAsia="宋体" w:cs="宋体"/>
          <w:b/>
          <w:bCs/>
          <w:color w:val="auto"/>
          <w:kern w:val="44"/>
          <w:sz w:val="24"/>
          <w:szCs w:val="24"/>
          <w:highlight w:val="none"/>
          <w:lang w:val="en-US" w:eastAsia="zh-CN"/>
        </w:rPr>
        <w:t>二、施工现场建筑垃圾源头减量的具体要求和建筑垃圾综合利用产品的使用要求：</w:t>
      </w:r>
    </w:p>
    <w:p w14:paraId="31F0B26A">
      <w:pPr>
        <w:tabs>
          <w:tab w:val="left" w:pos="9660"/>
        </w:tabs>
        <w:kinsoku w:val="0"/>
        <w:overflowPunct w:val="0"/>
        <w:snapToGrid w:val="0"/>
        <w:spacing w:after="120" w:line="348" w:lineRule="auto"/>
        <w:jc w:val="left"/>
        <w:rPr>
          <w:rFonts w:hint="eastAsia" w:ascii="宋体" w:hAnsi="宋体" w:eastAsia="宋体" w:cs="宋体"/>
          <w:b w:val="0"/>
          <w:bCs w:val="0"/>
          <w:color w:val="auto"/>
          <w:kern w:val="44"/>
          <w:sz w:val="24"/>
          <w:szCs w:val="24"/>
          <w:highlight w:val="none"/>
          <w:lang w:val="en-US" w:eastAsia="zh-CN"/>
        </w:rPr>
      </w:pPr>
      <w:r>
        <w:rPr>
          <w:rFonts w:hint="eastAsia" w:ascii="宋体" w:hAnsi="宋体" w:eastAsia="宋体" w:cs="宋体"/>
          <w:b w:val="0"/>
          <w:bCs w:val="0"/>
          <w:color w:val="auto"/>
          <w:kern w:val="44"/>
          <w:sz w:val="24"/>
          <w:szCs w:val="24"/>
          <w:highlight w:val="none"/>
          <w:lang w:val="en-US" w:eastAsia="zh-CN"/>
        </w:rPr>
        <w:t>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7F496ED0">
      <w:pPr>
        <w:kinsoku w:val="0"/>
        <w:overflowPunct w:val="0"/>
        <w:snapToGrid w:val="0"/>
        <w:spacing w:after="120" w:line="348" w:lineRule="auto"/>
        <w:jc w:val="left"/>
        <w:rPr>
          <w:rFonts w:hint="eastAsia" w:ascii="宋体" w:hAnsi="宋体" w:eastAsia="宋体" w:cs="宋体"/>
          <w:b w:val="0"/>
          <w:bCs w:val="0"/>
          <w:color w:val="auto"/>
          <w:kern w:val="44"/>
          <w:sz w:val="24"/>
          <w:szCs w:val="24"/>
          <w:highlight w:val="none"/>
          <w:lang w:val="en-US" w:eastAsia="zh-CN"/>
        </w:rPr>
      </w:pPr>
      <w:r>
        <w:rPr>
          <w:rFonts w:hint="eastAsia" w:ascii="宋体" w:hAnsi="宋体" w:eastAsia="宋体" w:cs="宋体"/>
          <w:b w:val="0"/>
          <w:bCs w:val="0"/>
          <w:color w:val="auto"/>
          <w:kern w:val="44"/>
          <w:sz w:val="24"/>
          <w:szCs w:val="24"/>
          <w:highlight w:val="none"/>
          <w:lang w:val="en-US" w:eastAsia="zh-CN"/>
        </w:rPr>
        <w:t>2.建筑垃圾应当按照国家有关规定进行分类，实行分类收集、分类贮存、分类运输、分类处置。</w:t>
      </w:r>
    </w:p>
    <w:p w14:paraId="3078E458">
      <w:pPr>
        <w:kinsoku w:val="0"/>
        <w:overflowPunct w:val="0"/>
        <w:snapToGrid w:val="0"/>
        <w:spacing w:after="120" w:line="348" w:lineRule="auto"/>
        <w:jc w:val="left"/>
        <w:rPr>
          <w:rFonts w:hint="eastAsia" w:ascii="宋体" w:hAnsi="宋体" w:eastAsia="宋体" w:cs="宋体"/>
          <w:b w:val="0"/>
          <w:bCs w:val="0"/>
          <w:color w:val="auto"/>
          <w:kern w:val="44"/>
          <w:sz w:val="24"/>
          <w:szCs w:val="24"/>
          <w:highlight w:val="none"/>
          <w:lang w:val="en-US" w:eastAsia="zh-CN"/>
        </w:rPr>
      </w:pPr>
      <w:r>
        <w:rPr>
          <w:rFonts w:hint="eastAsia" w:ascii="宋体" w:hAnsi="宋体" w:eastAsia="宋体" w:cs="宋体"/>
          <w:b w:val="0"/>
          <w:bCs w:val="0"/>
          <w:color w:val="auto"/>
          <w:kern w:val="44"/>
          <w:sz w:val="24"/>
          <w:szCs w:val="24"/>
          <w:highlight w:val="none"/>
          <w:lang w:val="en-US" w:eastAsia="zh-CN"/>
        </w:rPr>
        <w:t>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5FD69632">
      <w:pPr>
        <w:kinsoku w:val="0"/>
        <w:overflowPunct w:val="0"/>
        <w:snapToGrid w:val="0"/>
        <w:spacing w:after="120" w:line="348" w:lineRule="auto"/>
        <w:jc w:val="left"/>
        <w:rPr>
          <w:rFonts w:hint="eastAsia" w:ascii="宋体" w:hAnsi="宋体" w:eastAsia="宋体" w:cs="宋体"/>
          <w:b w:val="0"/>
          <w:bCs w:val="0"/>
          <w:color w:val="auto"/>
          <w:kern w:val="44"/>
          <w:sz w:val="24"/>
          <w:szCs w:val="24"/>
          <w:highlight w:val="none"/>
          <w:lang w:val="en-US" w:eastAsia="zh-CN"/>
        </w:rPr>
      </w:pPr>
      <w:r>
        <w:rPr>
          <w:rFonts w:hint="eastAsia" w:ascii="宋体" w:hAnsi="宋体" w:eastAsia="宋体" w:cs="宋体"/>
          <w:b w:val="0"/>
          <w:bCs w:val="0"/>
          <w:color w:val="auto"/>
          <w:kern w:val="44"/>
          <w:sz w:val="24"/>
          <w:szCs w:val="24"/>
          <w:highlight w:val="none"/>
          <w:lang w:val="en-US" w:eastAsia="zh-CN"/>
        </w:rPr>
        <w:t>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3DF3239E">
      <w:pPr>
        <w:kinsoku w:val="0"/>
        <w:overflowPunct w:val="0"/>
        <w:snapToGrid w:val="0"/>
        <w:spacing w:after="120" w:line="348" w:lineRule="auto"/>
        <w:jc w:val="left"/>
        <w:rPr>
          <w:rFonts w:hint="eastAsia" w:ascii="宋体" w:hAnsi="宋体" w:eastAsia="宋体" w:cs="宋体"/>
          <w:b w:val="0"/>
          <w:bCs w:val="0"/>
          <w:color w:val="auto"/>
          <w:kern w:val="44"/>
          <w:sz w:val="24"/>
          <w:szCs w:val="24"/>
          <w:highlight w:val="none"/>
          <w:lang w:val="en-US" w:eastAsia="zh-CN"/>
        </w:rPr>
      </w:pPr>
      <w:r>
        <w:rPr>
          <w:rFonts w:hint="eastAsia" w:ascii="宋体" w:hAnsi="宋体" w:eastAsia="宋体" w:cs="宋体"/>
          <w:b w:val="0"/>
          <w:bCs w:val="0"/>
          <w:color w:val="auto"/>
          <w:kern w:val="44"/>
          <w:sz w:val="24"/>
          <w:szCs w:val="24"/>
          <w:highlight w:val="none"/>
          <w:lang w:val="en-US" w:eastAsia="zh-CN"/>
        </w:rPr>
        <w:t>5.工程泥浆应当在施工现场进行脱水固化处理。施工现场不具备条件的，应当采用罐装器具密闭运输至依法设置的建筑垃圾处置场所进行处置。水上工程中依法无需经脱水处理的除外。</w:t>
      </w:r>
    </w:p>
    <w:p w14:paraId="2A64197D">
      <w:pPr>
        <w:kinsoku w:val="0"/>
        <w:overflowPunct w:val="0"/>
        <w:snapToGrid w:val="0"/>
        <w:spacing w:after="120" w:line="348" w:lineRule="auto"/>
        <w:jc w:val="left"/>
        <w:rPr>
          <w:rFonts w:hint="eastAsia" w:ascii="宋体" w:hAnsi="宋体" w:eastAsia="宋体" w:cs="宋体"/>
          <w:b w:val="0"/>
          <w:bCs w:val="0"/>
          <w:color w:val="auto"/>
          <w:kern w:val="44"/>
          <w:sz w:val="24"/>
          <w:szCs w:val="24"/>
          <w:highlight w:val="none"/>
          <w:lang w:val="en-US" w:eastAsia="zh-CN"/>
        </w:rPr>
      </w:pPr>
      <w:r>
        <w:rPr>
          <w:rFonts w:hint="eastAsia" w:ascii="宋体" w:hAnsi="宋体" w:eastAsia="宋体" w:cs="宋体"/>
          <w:b w:val="0"/>
          <w:bCs w:val="0"/>
          <w:color w:val="auto"/>
          <w:kern w:val="44"/>
          <w:sz w:val="24"/>
          <w:szCs w:val="24"/>
          <w:highlight w:val="none"/>
          <w:lang w:val="en-US" w:eastAsia="zh-CN"/>
        </w:rPr>
        <w:t>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030D8908">
      <w:pPr>
        <w:spacing w:line="348" w:lineRule="auto"/>
        <w:jc w:val="both"/>
        <w:rPr>
          <w:rFonts w:hint="default" w:ascii="宋体" w:hAnsi="宋体" w:cs="宋体"/>
          <w:b w:val="0"/>
          <w:color w:val="auto"/>
          <w:sz w:val="24"/>
          <w:szCs w:val="24"/>
          <w:highlight w:val="none"/>
          <w:lang w:val="en-US" w:eastAsia="zh-CN"/>
        </w:rPr>
      </w:pPr>
      <w:r>
        <w:rPr>
          <w:rFonts w:hint="eastAsia" w:ascii="宋体" w:hAnsi="宋体" w:eastAsia="宋体" w:cs="宋体"/>
          <w:b w:val="0"/>
          <w:bCs w:val="0"/>
          <w:color w:val="auto"/>
          <w:kern w:val="44"/>
          <w:sz w:val="24"/>
          <w:szCs w:val="24"/>
          <w:highlight w:val="none"/>
          <w:lang w:val="en-US" w:eastAsia="zh-CN"/>
        </w:rPr>
        <w:t>7.建设单位和施工单位严格遵守并执行《广东省建筑垃圾管理条例》。</w:t>
      </w:r>
      <w:bookmarkEnd w:id="1096"/>
    </w:p>
    <w:p w14:paraId="22699927">
      <w:pPr>
        <w:pStyle w:val="14"/>
        <w:spacing w:before="0" w:after="0" w:line="360" w:lineRule="auto"/>
        <w:jc w:val="center"/>
        <w:rPr>
          <w:rFonts w:hint="eastAsia" w:ascii="宋体" w:hAnsi="宋体" w:cs="宋体"/>
          <w:color w:val="auto"/>
          <w:sz w:val="28"/>
          <w:szCs w:val="28"/>
          <w:highlight w:val="none"/>
        </w:rPr>
      </w:pPr>
      <w:r>
        <w:rPr>
          <w:rFonts w:hint="eastAsia" w:ascii="宋体" w:hAnsi="宋体" w:cs="宋体"/>
          <w:color w:val="auto"/>
          <w:sz w:val="24"/>
          <w:szCs w:val="24"/>
          <w:highlight w:val="none"/>
        </w:rPr>
        <w:br w:type="page"/>
      </w:r>
      <w:bookmarkStart w:id="1097" w:name="_Toc7842"/>
      <w:bookmarkStart w:id="1098" w:name="_Toc26938"/>
      <w:bookmarkStart w:id="1099" w:name="_Toc3543"/>
      <w:bookmarkStart w:id="1100" w:name="_Toc15671"/>
      <w:bookmarkStart w:id="1101" w:name="_Toc32560"/>
      <w:bookmarkStart w:id="1102" w:name="_Toc416358022"/>
      <w:bookmarkStart w:id="1103" w:name="_Toc420050330"/>
      <w:r>
        <w:rPr>
          <w:rFonts w:hint="eastAsia" w:ascii="宋体" w:hAnsi="宋体" w:cs="宋体"/>
          <w:color w:val="auto"/>
          <w:sz w:val="28"/>
          <w:szCs w:val="28"/>
          <w:highlight w:val="none"/>
        </w:rPr>
        <w:t>第五章 工程量清单</w:t>
      </w:r>
      <w:bookmarkEnd w:id="1097"/>
      <w:bookmarkEnd w:id="1098"/>
      <w:bookmarkEnd w:id="1099"/>
      <w:bookmarkEnd w:id="1100"/>
      <w:bookmarkEnd w:id="1101"/>
      <w:bookmarkEnd w:id="1102"/>
      <w:bookmarkEnd w:id="1103"/>
    </w:p>
    <w:p w14:paraId="57F02C20">
      <w:pPr>
        <w:pStyle w:val="14"/>
        <w:spacing w:before="0" w:after="0" w:line="360" w:lineRule="auto"/>
        <w:jc w:val="center"/>
        <w:rPr>
          <w:color w:val="auto"/>
          <w:highlight w:val="none"/>
        </w:rPr>
      </w:pPr>
      <w:bookmarkStart w:id="1104" w:name="RANGE_A1_G14"/>
      <w:bookmarkEnd w:id="1104"/>
      <w:r>
        <w:rPr>
          <w:rFonts w:hint="eastAsia" w:ascii="宋体" w:hAnsi="宋体" w:cs="宋体"/>
          <w:color w:val="auto"/>
          <w:sz w:val="28"/>
          <w:szCs w:val="28"/>
          <w:highlight w:val="none"/>
          <w:lang w:val="en-US" w:eastAsia="zh-CN"/>
        </w:rPr>
        <w:t>本项目招标阶段不提供工程量清单。</w:t>
      </w:r>
      <w:bookmarkStart w:id="1105" w:name="_Toc14113"/>
      <w:bookmarkStart w:id="1106" w:name="_Toc416358023"/>
      <w:bookmarkStart w:id="1107" w:name="_Toc6393"/>
      <w:bookmarkStart w:id="1108" w:name="_Toc420050331"/>
      <w:bookmarkStart w:id="1109" w:name="_Toc3424"/>
      <w:bookmarkStart w:id="1110" w:name="_Toc5789"/>
    </w:p>
    <w:p w14:paraId="403CDADA">
      <w:pPr>
        <w:rPr>
          <w:color w:val="auto"/>
          <w:highlight w:val="none"/>
        </w:rPr>
      </w:pPr>
      <w:r>
        <w:rPr>
          <w:color w:val="auto"/>
          <w:highlight w:val="none"/>
        </w:rPr>
        <w:br w:type="page"/>
      </w:r>
    </w:p>
    <w:p w14:paraId="0BD1D0F4">
      <w:pPr>
        <w:rPr>
          <w:rFonts w:hint="eastAsia"/>
          <w:color w:val="auto"/>
          <w:highlight w:val="none"/>
        </w:rPr>
      </w:pPr>
    </w:p>
    <w:bookmarkEnd w:id="1105"/>
    <w:bookmarkEnd w:id="1106"/>
    <w:bookmarkEnd w:id="1107"/>
    <w:bookmarkEnd w:id="1108"/>
    <w:bookmarkEnd w:id="1109"/>
    <w:bookmarkEnd w:id="1110"/>
    <w:p w14:paraId="22217CC2">
      <w:pPr>
        <w:pStyle w:val="14"/>
        <w:numPr>
          <w:ilvl w:val="0"/>
          <w:numId w:val="2"/>
        </w:numPr>
        <w:spacing w:before="0" w:after="0" w:line="360" w:lineRule="auto"/>
        <w:jc w:val="center"/>
        <w:rPr>
          <w:rFonts w:hint="eastAsia" w:ascii="宋体" w:hAnsi="宋体" w:cs="宋体"/>
          <w:color w:val="auto"/>
          <w:sz w:val="28"/>
          <w:szCs w:val="28"/>
          <w:highlight w:val="none"/>
        </w:rPr>
      </w:pPr>
      <w:bookmarkStart w:id="1111" w:name="_Toc24744"/>
      <w:bookmarkStart w:id="1112" w:name="_Toc4298"/>
      <w:bookmarkStart w:id="1113" w:name="_Toc16057"/>
      <w:bookmarkStart w:id="1114" w:name="_Toc152045786"/>
      <w:bookmarkStart w:id="1115" w:name="_Toc247514245"/>
      <w:bookmarkStart w:id="1116" w:name="_Toc1869"/>
      <w:bookmarkStart w:id="1117" w:name="_Toc144974855"/>
      <w:bookmarkStart w:id="1118" w:name="_Toc152042575"/>
      <w:bookmarkStart w:id="1119" w:name="_Toc27623"/>
      <w:bookmarkStart w:id="1120" w:name="_Toc247527826"/>
      <w:bookmarkStart w:id="1121" w:name="_Toc485211111"/>
      <w:bookmarkStart w:id="1122" w:name="_Toc28106"/>
      <w:bookmarkStart w:id="1123" w:name="_Toc14218"/>
      <w:r>
        <w:rPr>
          <w:rFonts w:hint="eastAsia" w:ascii="宋体" w:hAnsi="宋体" w:cs="宋体"/>
          <w:color w:val="auto"/>
          <w:sz w:val="28"/>
          <w:szCs w:val="28"/>
          <w:highlight w:val="none"/>
        </w:rPr>
        <w:t>投标文件格式</w:t>
      </w:r>
      <w:bookmarkEnd w:id="1111"/>
      <w:bookmarkEnd w:id="1112"/>
      <w:bookmarkEnd w:id="1113"/>
      <w:bookmarkEnd w:id="1114"/>
      <w:bookmarkEnd w:id="1115"/>
      <w:bookmarkEnd w:id="1116"/>
      <w:bookmarkEnd w:id="1117"/>
      <w:bookmarkEnd w:id="1118"/>
      <w:bookmarkEnd w:id="1119"/>
      <w:bookmarkEnd w:id="1120"/>
      <w:bookmarkEnd w:id="1121"/>
      <w:bookmarkEnd w:id="1122"/>
      <w:bookmarkEnd w:id="1123"/>
    </w:p>
    <w:p w14:paraId="0C1E878D">
      <w:pPr>
        <w:pStyle w:val="26"/>
        <w:spacing w:beforeLines="0" w:afterLines="0" w:line="360" w:lineRule="auto"/>
        <w:rPr>
          <w:rFonts w:hint="eastAsia" w:ascii="宋体" w:eastAsia="宋体" w:cs="宋体"/>
          <w:color w:val="auto"/>
          <w:highlight w:val="none"/>
        </w:rPr>
      </w:pPr>
      <w:r>
        <w:rPr>
          <w:rFonts w:hint="eastAsia" w:ascii="宋体" w:hAnsi="宋体" w:eastAsia="宋体" w:cs="宋体"/>
          <w:color w:val="auto"/>
          <w:highlight w:val="none"/>
          <w:lang w:val="en-US" w:eastAsia="zh-CN"/>
        </w:rPr>
        <w:t>投标文件</w:t>
      </w:r>
      <w:bookmarkStart w:id="1124" w:name="_Toc17995"/>
      <w:bookmarkStart w:id="1125" w:name="_Toc31849"/>
      <w:bookmarkStart w:id="1126" w:name="_Toc235616116"/>
      <w:bookmarkStart w:id="1127" w:name="_Toc235615834"/>
      <w:bookmarkStart w:id="1128" w:name="_Toc236215897"/>
      <w:r>
        <w:rPr>
          <w:rFonts w:hint="eastAsia" w:ascii="宋体" w:eastAsia="宋体" w:cs="宋体"/>
          <w:color w:val="auto"/>
          <w:highlight w:val="none"/>
        </w:rPr>
        <w:t>封面</w:t>
      </w:r>
      <w:bookmarkEnd w:id="1124"/>
      <w:bookmarkEnd w:id="1125"/>
      <w:r>
        <w:rPr>
          <w:rFonts w:hint="eastAsia" w:ascii="宋体" w:hAnsi="宋体" w:eastAsia="宋体" w:cs="宋体"/>
          <w:b/>
          <w:color w:val="auto"/>
          <w:sz w:val="24"/>
          <w:szCs w:val="24"/>
          <w:highlight w:val="none"/>
        </w:rPr>
        <w:t>（格式仅供参考，投标人可自行调整）</w:t>
      </w:r>
    </w:p>
    <w:p w14:paraId="35B42A07">
      <w:pPr>
        <w:pStyle w:val="22"/>
        <w:ind w:firstLine="496"/>
        <w:jc w:val="center"/>
        <w:rPr>
          <w:rFonts w:hint="eastAsia" w:ascii="宋体" w:hAnsi="宋体" w:cs="宋体"/>
          <w:color w:val="auto"/>
          <w:highlight w:val="none"/>
        </w:rPr>
      </w:pPr>
    </w:p>
    <w:p w14:paraId="71985B17">
      <w:pPr>
        <w:pStyle w:val="22"/>
        <w:ind w:firstLine="496"/>
        <w:jc w:val="center"/>
        <w:rPr>
          <w:rFonts w:hint="eastAsia" w:ascii="宋体" w:hAnsi="宋体" w:cs="宋体"/>
          <w:color w:val="auto"/>
          <w:highlight w:val="none"/>
        </w:rPr>
      </w:pPr>
    </w:p>
    <w:p w14:paraId="01408B37">
      <w:pPr>
        <w:pStyle w:val="22"/>
        <w:ind w:firstLine="496"/>
        <w:jc w:val="center"/>
        <w:rPr>
          <w:rFonts w:hint="eastAsia" w:ascii="宋体" w:hAnsi="宋体" w:cs="宋体"/>
          <w:color w:val="auto"/>
          <w:highlight w:val="none"/>
        </w:rPr>
      </w:pPr>
    </w:p>
    <w:p w14:paraId="59454D50">
      <w:pPr>
        <w:pStyle w:val="27"/>
        <w:rPr>
          <w:rFonts w:hint="eastAsia" w:ascii="宋体" w:hAnsi="宋体" w:eastAsia="宋体" w:cs="宋体"/>
          <w:b w:val="0"/>
          <w:color w:val="auto"/>
          <w:sz w:val="52"/>
          <w:szCs w:val="52"/>
          <w:highlight w:val="none"/>
          <w:u w:val="single"/>
        </w:rPr>
      </w:pPr>
      <w:r>
        <w:rPr>
          <w:rFonts w:hint="eastAsia" w:ascii="宋体" w:hAnsi="宋体" w:eastAsia="宋体" w:cs="宋体"/>
          <w:b w:val="0"/>
          <w:color w:val="auto"/>
          <w:sz w:val="52"/>
          <w:szCs w:val="52"/>
          <w:highlight w:val="none"/>
          <w:u w:val="single"/>
        </w:rPr>
        <w:t>[工程名称]</w:t>
      </w:r>
    </w:p>
    <w:p w14:paraId="1E2947BD">
      <w:pPr>
        <w:pStyle w:val="22"/>
        <w:ind w:firstLine="496"/>
        <w:jc w:val="center"/>
        <w:rPr>
          <w:rFonts w:hint="eastAsia" w:ascii="宋体" w:hAnsi="宋体" w:cs="宋体"/>
          <w:color w:val="auto"/>
          <w:highlight w:val="none"/>
        </w:rPr>
      </w:pPr>
    </w:p>
    <w:p w14:paraId="28794A9A">
      <w:pPr>
        <w:pStyle w:val="22"/>
        <w:ind w:firstLine="496"/>
        <w:jc w:val="center"/>
        <w:rPr>
          <w:rFonts w:hint="eastAsia" w:ascii="宋体" w:hAnsi="宋体" w:cs="宋体"/>
          <w:color w:val="auto"/>
          <w:highlight w:val="none"/>
        </w:rPr>
      </w:pPr>
    </w:p>
    <w:p w14:paraId="0C4594F1">
      <w:pPr>
        <w:pStyle w:val="22"/>
        <w:ind w:firstLine="496"/>
        <w:jc w:val="center"/>
        <w:rPr>
          <w:rFonts w:hint="eastAsia" w:ascii="宋体" w:hAnsi="宋体" w:cs="宋体"/>
          <w:color w:val="auto"/>
          <w:highlight w:val="none"/>
        </w:rPr>
      </w:pPr>
    </w:p>
    <w:p w14:paraId="107ACC87">
      <w:pPr>
        <w:pStyle w:val="22"/>
        <w:ind w:firstLine="496"/>
        <w:jc w:val="center"/>
        <w:rPr>
          <w:rFonts w:hint="eastAsia" w:ascii="宋体" w:hAnsi="宋体" w:cs="宋体"/>
          <w:color w:val="auto"/>
          <w:highlight w:val="none"/>
        </w:rPr>
      </w:pPr>
    </w:p>
    <w:p w14:paraId="3257610E">
      <w:pPr>
        <w:pStyle w:val="22"/>
        <w:ind w:firstLine="496"/>
        <w:jc w:val="center"/>
        <w:rPr>
          <w:rFonts w:hint="eastAsia" w:ascii="宋体" w:hAnsi="宋体" w:cs="宋体"/>
          <w:color w:val="auto"/>
          <w:highlight w:val="none"/>
        </w:rPr>
      </w:pPr>
    </w:p>
    <w:p w14:paraId="05198426">
      <w:pPr>
        <w:pStyle w:val="22"/>
        <w:ind w:firstLine="496"/>
        <w:jc w:val="center"/>
        <w:rPr>
          <w:rFonts w:hint="eastAsia" w:ascii="宋体" w:hAnsi="宋体" w:cs="宋体"/>
          <w:color w:val="auto"/>
          <w:highlight w:val="none"/>
        </w:rPr>
      </w:pPr>
    </w:p>
    <w:p w14:paraId="4611ED62">
      <w:pPr>
        <w:pStyle w:val="28"/>
        <w:rPr>
          <w:rFonts w:hint="eastAsia" w:ascii="宋体" w:hAnsi="宋体" w:eastAsia="宋体" w:cs="宋体"/>
          <w:b w:val="0"/>
          <w:color w:val="auto"/>
          <w:highlight w:val="none"/>
        </w:rPr>
      </w:pPr>
      <w:r>
        <w:rPr>
          <w:rFonts w:hint="eastAsia" w:ascii="宋体" w:hAnsi="宋体" w:eastAsia="宋体" w:cs="宋体"/>
          <w:b w:val="0"/>
          <w:color w:val="auto"/>
          <w:highlight w:val="none"/>
        </w:rPr>
        <w:t>投标文件</w:t>
      </w:r>
    </w:p>
    <w:p w14:paraId="3128B4E0">
      <w:pPr>
        <w:pStyle w:val="22"/>
        <w:ind w:firstLine="0" w:firstLineChars="0"/>
        <w:jc w:val="center"/>
        <w:rPr>
          <w:rFonts w:hint="eastAsia" w:ascii="宋体" w:hAnsi="宋体" w:cs="宋体"/>
          <w:color w:val="auto"/>
          <w:sz w:val="28"/>
          <w:szCs w:val="28"/>
          <w:highlight w:val="none"/>
        </w:rPr>
      </w:pPr>
      <w:r>
        <w:rPr>
          <w:rFonts w:hint="eastAsia" w:ascii="宋体" w:hAnsi="宋体" w:cs="宋体"/>
          <w:b/>
          <w:bCs/>
          <w:color w:val="auto"/>
          <w:sz w:val="28"/>
          <w:szCs w:val="28"/>
          <w:highlight w:val="none"/>
        </w:rPr>
        <w:t>（</w:t>
      </w:r>
      <w:r>
        <w:rPr>
          <w:rFonts w:hint="eastAsia" w:ascii="宋体" w:hAnsi="宋体" w:cs="宋体"/>
          <w:b/>
          <w:bCs/>
          <w:color w:val="auto"/>
          <w:sz w:val="28"/>
          <w:szCs w:val="28"/>
          <w:highlight w:val="none"/>
          <w:lang w:eastAsia="zh-CN"/>
        </w:rPr>
        <w:t>资格</w:t>
      </w:r>
      <w:r>
        <w:rPr>
          <w:rFonts w:hint="eastAsia" w:ascii="宋体" w:hAnsi="宋体" w:cs="宋体"/>
          <w:b/>
          <w:bCs/>
          <w:color w:val="auto"/>
          <w:sz w:val="28"/>
          <w:szCs w:val="28"/>
          <w:highlight w:val="none"/>
          <w:lang w:val="en-US" w:eastAsia="zh-CN"/>
        </w:rPr>
        <w:t>审查</w:t>
      </w:r>
      <w:r>
        <w:rPr>
          <w:rFonts w:hint="eastAsia" w:ascii="宋体" w:hAnsi="宋体" w:cs="宋体"/>
          <w:b/>
          <w:bCs/>
          <w:color w:val="auto"/>
          <w:sz w:val="28"/>
          <w:szCs w:val="28"/>
          <w:highlight w:val="none"/>
          <w:lang w:eastAsia="zh-CN"/>
        </w:rPr>
        <w:t>文件、形式评审文件、工程总承包实施方案响应性评审文件</w:t>
      </w:r>
      <w:r>
        <w:rPr>
          <w:rFonts w:hint="eastAsia" w:ascii="宋体" w:hAnsi="宋体" w:cs="宋体"/>
          <w:b/>
          <w:bCs/>
          <w:color w:val="auto"/>
          <w:sz w:val="28"/>
          <w:szCs w:val="28"/>
          <w:highlight w:val="none"/>
        </w:rPr>
        <w:t>）</w:t>
      </w:r>
    </w:p>
    <w:p w14:paraId="6D721262">
      <w:pPr>
        <w:pStyle w:val="22"/>
        <w:ind w:firstLine="0" w:firstLineChars="0"/>
        <w:jc w:val="center"/>
        <w:rPr>
          <w:rFonts w:hint="eastAsia" w:ascii="宋体" w:hAnsi="宋体" w:cs="宋体"/>
          <w:color w:val="auto"/>
          <w:highlight w:val="none"/>
        </w:rPr>
      </w:pPr>
    </w:p>
    <w:p w14:paraId="4F4AC903">
      <w:pPr>
        <w:pStyle w:val="22"/>
        <w:ind w:firstLine="0" w:firstLineChars="0"/>
        <w:jc w:val="center"/>
        <w:rPr>
          <w:rFonts w:hint="eastAsia" w:ascii="宋体" w:hAnsi="宋体" w:cs="宋体"/>
          <w:color w:val="auto"/>
          <w:highlight w:val="none"/>
        </w:rPr>
      </w:pPr>
    </w:p>
    <w:p w14:paraId="038056A8">
      <w:pPr>
        <w:pStyle w:val="22"/>
        <w:ind w:firstLine="0" w:firstLineChars="0"/>
        <w:jc w:val="center"/>
        <w:rPr>
          <w:rFonts w:hint="eastAsia" w:ascii="宋体" w:hAnsi="宋体" w:cs="宋体"/>
          <w:color w:val="auto"/>
          <w:highlight w:val="none"/>
        </w:rPr>
      </w:pPr>
    </w:p>
    <w:p w14:paraId="79EF12E1">
      <w:pPr>
        <w:pStyle w:val="29"/>
        <w:ind w:firstLine="0" w:firstLineChars="0"/>
        <w:jc w:val="center"/>
        <w:rPr>
          <w:rFonts w:hint="eastAsia" w:ascii="宋体" w:hAnsi="宋体" w:eastAsia="宋体" w:cs="宋体"/>
          <w:color w:val="auto"/>
          <w:sz w:val="32"/>
          <w:szCs w:val="32"/>
          <w:highlight w:val="none"/>
        </w:rPr>
      </w:pPr>
    </w:p>
    <w:p w14:paraId="5B05FE51">
      <w:pPr>
        <w:pStyle w:val="29"/>
        <w:ind w:firstLine="0" w:firstLineChars="0"/>
        <w:jc w:val="center"/>
        <w:rPr>
          <w:rFonts w:hint="eastAsia" w:ascii="宋体" w:hAnsi="宋体" w:eastAsia="宋体" w:cs="宋体"/>
          <w:color w:val="auto"/>
          <w:sz w:val="32"/>
          <w:szCs w:val="32"/>
          <w:highlight w:val="none"/>
        </w:rPr>
      </w:pPr>
    </w:p>
    <w:p w14:paraId="3DF9516E">
      <w:pPr>
        <w:pStyle w:val="29"/>
        <w:ind w:firstLine="656"/>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投标人：</w:t>
      </w:r>
      <w:r>
        <w:rPr>
          <w:rFonts w:hint="eastAsia" w:ascii="宋体" w:hAnsi="宋体" w:eastAsia="宋体" w:cs="宋体"/>
          <w:color w:val="auto"/>
          <w:sz w:val="32"/>
          <w:szCs w:val="32"/>
          <w:highlight w:val="none"/>
          <w:u w:val="single"/>
        </w:rPr>
        <w:t xml:space="preserve">    （填写投标人单位名称）    </w:t>
      </w:r>
    </w:p>
    <w:p w14:paraId="67F50154">
      <w:pPr>
        <w:pStyle w:val="29"/>
        <w:ind w:firstLine="656"/>
        <w:rPr>
          <w:rFonts w:hint="eastAsia" w:ascii="宋体" w:hAnsi="宋体" w:eastAsia="宋体" w:cs="宋体"/>
          <w:color w:val="auto"/>
          <w:highlight w:val="none"/>
        </w:rPr>
      </w:pPr>
      <w:r>
        <w:rPr>
          <w:rFonts w:hint="eastAsia" w:ascii="宋体" w:hAnsi="宋体" w:eastAsia="宋体" w:cs="宋体"/>
          <w:color w:val="auto"/>
          <w:sz w:val="32"/>
          <w:szCs w:val="32"/>
          <w:highlight w:val="none"/>
        </w:rPr>
        <w:t xml:space="preserve">日期：                                       </w:t>
      </w:r>
    </w:p>
    <w:p w14:paraId="04ED6A00">
      <w:pPr>
        <w:widowControl/>
        <w:spacing w:line="360" w:lineRule="auto"/>
        <w:jc w:val="center"/>
        <w:rPr>
          <w:rFonts w:hint="eastAsia" w:ascii="宋体" w:hAnsi="宋体" w:cs="宋体"/>
          <w:b/>
          <w:color w:val="auto"/>
          <w:highlight w:val="none"/>
        </w:rPr>
      </w:pPr>
      <w:r>
        <w:rPr>
          <w:rFonts w:hint="eastAsia" w:ascii="宋体" w:hAnsi="宋体" w:cs="宋体"/>
          <w:color w:val="auto"/>
          <w:highlight w:val="none"/>
        </w:rPr>
        <w:br w:type="page"/>
      </w:r>
    </w:p>
    <w:p w14:paraId="7B33C157">
      <w:pPr>
        <w:spacing w:line="360" w:lineRule="auto"/>
        <w:outlineLvl w:val="2"/>
        <w:rPr>
          <w:rFonts w:hint="default" w:ascii="宋体" w:hAnsi="宋体" w:cs="宋体"/>
          <w:b/>
          <w:bCs/>
          <w:color w:val="auto"/>
          <w:sz w:val="24"/>
          <w:szCs w:val="28"/>
          <w:highlight w:val="none"/>
          <w:lang w:val="en-US" w:eastAsia="zh-CN"/>
        </w:rPr>
      </w:pPr>
      <w:r>
        <w:rPr>
          <w:rFonts w:hint="default" w:ascii="宋体" w:hAnsi="宋体" w:cs="宋体"/>
          <w:b/>
          <w:bCs/>
          <w:color w:val="auto"/>
          <w:sz w:val="24"/>
          <w:szCs w:val="28"/>
          <w:highlight w:val="none"/>
          <w:lang w:val="en-US" w:eastAsia="zh-CN"/>
        </w:rPr>
        <w:t>目录</w:t>
      </w:r>
      <w:r>
        <w:rPr>
          <w:rFonts w:hint="eastAsia" w:ascii="宋体" w:hAnsi="宋体" w:eastAsia="宋体" w:cs="宋体"/>
          <w:b/>
          <w:color w:val="auto"/>
          <w:sz w:val="24"/>
          <w:szCs w:val="24"/>
          <w:highlight w:val="none"/>
        </w:rPr>
        <w:t>（格式仅供参考，投标人可自行调整）</w:t>
      </w:r>
    </w:p>
    <w:p w14:paraId="3DE046BD">
      <w:pPr>
        <w:numPr>
          <w:ilvl w:val="-1"/>
          <w:numId w:val="0"/>
        </w:numPr>
        <w:spacing w:line="240" w:lineRule="auto"/>
        <w:jc w:val="left"/>
        <w:outlineLvl w:val="9"/>
        <w:rPr>
          <w:rFonts w:hint="eastAsia" w:ascii="宋体" w:hAnsi="宋体" w:cs="宋体"/>
          <w:b/>
          <w:bCs/>
          <w:color w:val="auto"/>
          <w:sz w:val="24"/>
          <w:szCs w:val="28"/>
          <w:highlight w:val="none"/>
          <w:lang w:val="en-US" w:eastAsia="zh-CN"/>
        </w:rPr>
      </w:pPr>
      <w:r>
        <w:rPr>
          <w:rFonts w:hint="eastAsia" w:ascii="宋体" w:hAnsi="宋体" w:cs="宋体"/>
          <w:b/>
          <w:bCs/>
          <w:color w:val="auto"/>
          <w:sz w:val="24"/>
          <w:szCs w:val="28"/>
          <w:highlight w:val="none"/>
          <w:lang w:val="en-US" w:eastAsia="zh-CN"/>
        </w:rPr>
        <w:t>由投标人自行编制目录，包括但不限于以下内容：</w:t>
      </w:r>
    </w:p>
    <w:p w14:paraId="2CD22563">
      <w:pPr>
        <w:spacing w:line="240" w:lineRule="auto"/>
        <w:jc w:val="center"/>
        <w:outlineLvl w:val="9"/>
        <w:rPr>
          <w:rFonts w:hint="eastAsia" w:ascii="宋体" w:hAnsi="宋体" w:cs="宋体"/>
          <w:b/>
          <w:bCs/>
          <w:color w:val="auto"/>
          <w:sz w:val="32"/>
          <w:szCs w:val="32"/>
          <w:highlight w:val="none"/>
          <w:lang w:val="en-US" w:eastAsia="zh-CN"/>
        </w:rPr>
      </w:pPr>
    </w:p>
    <w:p w14:paraId="29D554F0">
      <w:pPr>
        <w:spacing w:line="240" w:lineRule="auto"/>
        <w:jc w:val="center"/>
        <w:outlineLvl w:val="9"/>
        <w:rPr>
          <w:rFonts w:hint="default" w:ascii="宋体" w:hAnsi="宋体" w:cs="宋体"/>
          <w:b/>
          <w:bCs/>
          <w:color w:val="auto"/>
          <w:sz w:val="32"/>
          <w:szCs w:val="32"/>
          <w:highlight w:val="none"/>
          <w:lang w:val="en-US" w:eastAsia="zh-CN"/>
        </w:rPr>
      </w:pPr>
      <w:r>
        <w:rPr>
          <w:rFonts w:hint="eastAsia" w:ascii="宋体" w:hAnsi="宋体" w:cs="宋体"/>
          <w:b/>
          <w:bCs/>
          <w:color w:val="auto"/>
          <w:sz w:val="32"/>
          <w:szCs w:val="32"/>
          <w:highlight w:val="none"/>
          <w:lang w:val="en-US" w:eastAsia="zh-CN"/>
        </w:rPr>
        <w:t>目录</w:t>
      </w:r>
    </w:p>
    <w:p w14:paraId="7C365F47">
      <w:pPr>
        <w:spacing w:line="240" w:lineRule="auto"/>
        <w:jc w:val="center"/>
        <w:outlineLvl w:val="9"/>
        <w:rPr>
          <w:rFonts w:hint="default" w:ascii="宋体" w:hAnsi="宋体" w:cs="宋体"/>
          <w:b/>
          <w:bCs/>
          <w:color w:val="auto"/>
          <w:sz w:val="24"/>
          <w:szCs w:val="28"/>
          <w:highlight w:val="none"/>
          <w:lang w:val="en-US" w:eastAsia="zh-CN"/>
        </w:rPr>
      </w:pPr>
    </w:p>
    <w:p w14:paraId="1583AAE0">
      <w:pPr>
        <w:numPr>
          <w:ilvl w:val="-1"/>
          <w:numId w:val="0"/>
        </w:numPr>
        <w:spacing w:line="240" w:lineRule="auto"/>
        <w:jc w:val="left"/>
        <w:outlineLvl w:val="9"/>
        <w:rPr>
          <w:rFonts w:hint="default" w:ascii="宋体" w:hAnsi="宋体" w:cs="宋体"/>
          <w:b/>
          <w:bCs/>
          <w:color w:val="auto"/>
          <w:sz w:val="24"/>
          <w:szCs w:val="28"/>
          <w:highlight w:val="none"/>
          <w:lang w:val="en-US" w:eastAsia="zh-CN"/>
        </w:rPr>
      </w:pPr>
    </w:p>
    <w:p w14:paraId="23B30031">
      <w:pPr>
        <w:numPr>
          <w:ilvl w:val="0"/>
          <w:numId w:val="3"/>
        </w:numPr>
        <w:spacing w:line="240" w:lineRule="auto"/>
        <w:ind w:firstLine="482" w:firstLineChars="200"/>
        <w:jc w:val="left"/>
        <w:outlineLvl w:val="9"/>
        <w:rPr>
          <w:rFonts w:hint="eastAsia" w:ascii="宋体" w:hAnsi="宋体" w:cs="宋体"/>
          <w:b/>
          <w:bCs/>
          <w:color w:val="auto"/>
          <w:sz w:val="24"/>
          <w:szCs w:val="28"/>
          <w:highlight w:val="none"/>
          <w:lang w:val="en-US" w:eastAsia="zh-CN"/>
        </w:rPr>
      </w:pPr>
      <w:r>
        <w:rPr>
          <w:rFonts w:hint="eastAsia" w:ascii="宋体" w:hAnsi="宋体" w:cs="宋体"/>
          <w:b/>
          <w:bCs/>
          <w:color w:val="auto"/>
          <w:sz w:val="24"/>
          <w:szCs w:val="28"/>
          <w:highlight w:val="none"/>
          <w:lang w:val="en-US" w:eastAsia="zh-CN"/>
        </w:rPr>
        <w:t>资格审查文件</w:t>
      </w:r>
    </w:p>
    <w:p w14:paraId="390EC8D7">
      <w:pPr>
        <w:numPr>
          <w:ilvl w:val="0"/>
          <w:numId w:val="3"/>
        </w:numPr>
        <w:spacing w:line="240" w:lineRule="auto"/>
        <w:ind w:firstLine="482" w:firstLineChars="200"/>
        <w:jc w:val="left"/>
        <w:outlineLvl w:val="9"/>
        <w:rPr>
          <w:rFonts w:hint="eastAsia" w:ascii="宋体" w:hAnsi="宋体" w:cs="宋体"/>
          <w:b/>
          <w:bCs/>
          <w:color w:val="auto"/>
          <w:sz w:val="24"/>
          <w:szCs w:val="28"/>
          <w:highlight w:val="none"/>
          <w:lang w:val="en-US" w:eastAsia="zh-CN"/>
        </w:rPr>
      </w:pPr>
      <w:r>
        <w:rPr>
          <w:rFonts w:hint="eastAsia" w:ascii="宋体" w:hAnsi="宋体" w:cs="宋体"/>
          <w:b/>
          <w:bCs/>
          <w:color w:val="auto"/>
          <w:sz w:val="24"/>
          <w:szCs w:val="28"/>
          <w:highlight w:val="none"/>
          <w:lang w:val="en-US" w:eastAsia="zh-CN"/>
        </w:rPr>
        <w:t>形式评审文件</w:t>
      </w:r>
    </w:p>
    <w:p w14:paraId="2AD3972C">
      <w:pPr>
        <w:numPr>
          <w:ilvl w:val="0"/>
          <w:numId w:val="3"/>
        </w:numPr>
        <w:spacing w:line="240" w:lineRule="auto"/>
        <w:ind w:firstLine="482" w:firstLineChars="200"/>
        <w:jc w:val="left"/>
        <w:outlineLvl w:val="9"/>
        <w:rPr>
          <w:rFonts w:hint="eastAsia" w:ascii="宋体" w:hAnsi="宋体" w:cs="宋体"/>
          <w:b/>
          <w:bCs/>
          <w:color w:val="auto"/>
          <w:sz w:val="24"/>
          <w:szCs w:val="28"/>
          <w:highlight w:val="none"/>
          <w:lang w:val="en-US" w:eastAsia="zh-CN"/>
        </w:rPr>
      </w:pPr>
      <w:r>
        <w:rPr>
          <w:rFonts w:hint="eastAsia" w:ascii="宋体" w:hAnsi="宋体" w:cs="宋体"/>
          <w:b/>
          <w:bCs/>
          <w:color w:val="auto"/>
          <w:sz w:val="24"/>
          <w:szCs w:val="28"/>
          <w:highlight w:val="none"/>
          <w:lang w:val="en-US" w:eastAsia="zh-CN"/>
        </w:rPr>
        <w:t>工程总承包实施方案响应性评审文件</w:t>
      </w:r>
    </w:p>
    <w:p w14:paraId="5DF66BC6">
      <w:pPr>
        <w:numPr>
          <w:ilvl w:val="0"/>
          <w:numId w:val="3"/>
        </w:numPr>
        <w:spacing w:line="240" w:lineRule="auto"/>
        <w:ind w:firstLine="482" w:firstLineChars="200"/>
        <w:jc w:val="left"/>
        <w:outlineLvl w:val="9"/>
        <w:rPr>
          <w:rFonts w:hint="eastAsia" w:ascii="宋体" w:hAnsi="宋体" w:cs="宋体"/>
          <w:b/>
          <w:bCs/>
          <w:color w:val="auto"/>
          <w:sz w:val="24"/>
          <w:szCs w:val="28"/>
          <w:highlight w:val="none"/>
          <w:lang w:val="en-US" w:eastAsia="zh-CN"/>
        </w:rPr>
      </w:pPr>
      <w:r>
        <w:rPr>
          <w:rFonts w:hint="eastAsia" w:ascii="宋体" w:hAnsi="宋体" w:cs="宋体"/>
          <w:b/>
          <w:bCs/>
          <w:color w:val="auto"/>
          <w:sz w:val="24"/>
          <w:szCs w:val="28"/>
          <w:highlight w:val="none"/>
          <w:lang w:val="en-US" w:eastAsia="zh-CN"/>
        </w:rPr>
        <w:t>投标人根据招标文件要求认为需要提交的其它文件。</w:t>
      </w:r>
    </w:p>
    <w:p w14:paraId="07BF672B">
      <w:pPr>
        <w:numPr>
          <w:ilvl w:val="0"/>
          <w:numId w:val="0"/>
        </w:numPr>
        <w:spacing w:line="240" w:lineRule="auto"/>
        <w:jc w:val="left"/>
        <w:outlineLvl w:val="9"/>
        <w:rPr>
          <w:rFonts w:hint="eastAsia" w:ascii="宋体" w:hAnsi="宋体" w:cs="宋体"/>
          <w:b/>
          <w:bCs/>
          <w:color w:val="auto"/>
          <w:sz w:val="24"/>
          <w:szCs w:val="28"/>
          <w:highlight w:val="none"/>
          <w:lang w:val="en-US" w:eastAsia="zh-CN"/>
        </w:rPr>
      </w:pPr>
    </w:p>
    <w:p w14:paraId="3118A01E">
      <w:pPr>
        <w:numPr>
          <w:ilvl w:val="0"/>
          <w:numId w:val="0"/>
        </w:numPr>
        <w:spacing w:line="240" w:lineRule="auto"/>
        <w:jc w:val="left"/>
        <w:outlineLvl w:val="9"/>
        <w:rPr>
          <w:rFonts w:hint="eastAsia" w:ascii="宋体" w:hAnsi="宋体" w:cs="宋体"/>
          <w:b/>
          <w:bCs/>
          <w:color w:val="auto"/>
          <w:sz w:val="24"/>
          <w:szCs w:val="28"/>
          <w:highlight w:val="none"/>
          <w:lang w:val="en-US" w:eastAsia="zh-CN"/>
        </w:rPr>
      </w:pPr>
    </w:p>
    <w:p w14:paraId="3C28B409">
      <w:pPr>
        <w:numPr>
          <w:ilvl w:val="0"/>
          <w:numId w:val="4"/>
        </w:numPr>
        <w:spacing w:line="240" w:lineRule="auto"/>
        <w:jc w:val="left"/>
        <w:outlineLvl w:val="9"/>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br w:type="page"/>
      </w:r>
    </w:p>
    <w:p w14:paraId="448C776D">
      <w:pPr>
        <w:spacing w:line="360" w:lineRule="auto"/>
        <w:outlineLvl w:val="2"/>
        <w:rPr>
          <w:rFonts w:ascii="宋体" w:hAnsi="宋体" w:cs="宋体"/>
          <w:b/>
          <w:bCs/>
          <w:color w:val="auto"/>
          <w:sz w:val="24"/>
          <w:szCs w:val="28"/>
          <w:highlight w:val="none"/>
        </w:rPr>
      </w:pPr>
      <w:r>
        <w:rPr>
          <w:rFonts w:hint="eastAsia" w:ascii="宋体" w:hAnsi="宋体" w:cs="宋体"/>
          <w:b/>
          <w:bCs/>
          <w:color w:val="auto"/>
          <w:sz w:val="24"/>
          <w:szCs w:val="28"/>
          <w:highlight w:val="none"/>
        </w:rPr>
        <w:t>格式一：</w:t>
      </w:r>
      <w:r>
        <w:rPr>
          <w:rFonts w:hint="eastAsia" w:ascii="宋体" w:hAnsi="宋体" w:eastAsia="宋体" w:cs="宋体"/>
          <w:b/>
          <w:color w:val="auto"/>
          <w:sz w:val="24"/>
          <w:szCs w:val="24"/>
          <w:highlight w:val="none"/>
        </w:rPr>
        <w:t>（格式仅供参考，投标人可自行调整）</w:t>
      </w:r>
    </w:p>
    <w:p w14:paraId="5645ED3B">
      <w:pPr>
        <w:spacing w:line="360" w:lineRule="auto"/>
        <w:jc w:val="center"/>
        <w:outlineLvl w:val="2"/>
        <w:rPr>
          <w:rFonts w:hint="eastAsia" w:ascii="宋体" w:hAnsi="宋体" w:cs="宋体"/>
          <w:b/>
          <w:bCs/>
          <w:color w:val="auto"/>
          <w:sz w:val="24"/>
          <w:szCs w:val="28"/>
          <w:highlight w:val="none"/>
        </w:rPr>
      </w:pPr>
      <w:r>
        <w:rPr>
          <w:rFonts w:hint="eastAsia" w:ascii="宋体" w:hAnsi="宋体" w:cs="宋体"/>
          <w:b/>
          <w:bCs/>
          <w:color w:val="auto"/>
          <w:sz w:val="24"/>
          <w:szCs w:val="28"/>
          <w:highlight w:val="none"/>
        </w:rPr>
        <w:t>法定代表人证明书、授权书</w:t>
      </w:r>
    </w:p>
    <w:p w14:paraId="02B7C1CF">
      <w:pPr>
        <w:pStyle w:val="22"/>
        <w:wordWrap w:val="0"/>
        <w:overflowPunct w:val="0"/>
        <w:ind w:firstLine="0" w:firstLineChars="0"/>
        <w:rPr>
          <w:rFonts w:hint="eastAsia" w:ascii="宋体" w:hAnsi="宋体" w:cs="宋体"/>
          <w:color w:val="auto"/>
          <w:highlight w:val="none"/>
        </w:rPr>
      </w:pPr>
      <w:r>
        <w:rPr>
          <w:rFonts w:hint="eastAsia" w:ascii="宋体" w:hAnsi="宋体" w:cs="宋体"/>
          <w:color w:val="auto"/>
          <w:highlight w:val="none"/>
        </w:rPr>
        <w:t>（1）法定代表人证明书                                （　</w:t>
      </w:r>
      <w:r>
        <w:rPr>
          <w:rFonts w:hint="eastAsia"/>
          <w:color w:val="auto"/>
          <w:szCs w:val="28"/>
          <w:highlight w:val="none"/>
        </w:rPr>
        <w:t>　</w:t>
      </w:r>
      <w:r>
        <w:rPr>
          <w:rFonts w:hint="eastAsia" w:ascii="宋体" w:hAnsi="宋体" w:cs="宋体"/>
          <w:color w:val="auto"/>
          <w:highlight w:val="none"/>
        </w:rPr>
        <w:t>）第　号</w:t>
      </w:r>
    </w:p>
    <w:tbl>
      <w:tblPr>
        <w:tblStyle w:val="17"/>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7"/>
      </w:tblGrid>
      <w:tr w14:paraId="6E88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7" w:type="dxa"/>
          </w:tcPr>
          <w:p w14:paraId="191F29E6">
            <w:pPr>
              <w:pStyle w:val="22"/>
              <w:wordWrap w:val="0"/>
              <w:overflowPunct w:val="0"/>
              <w:ind w:firstLine="0" w:firstLineChars="0"/>
              <w:rPr>
                <w:color w:val="auto"/>
                <w:szCs w:val="28"/>
                <w:highlight w:val="none"/>
              </w:rPr>
            </w:pPr>
          </w:p>
          <w:p w14:paraId="78742518">
            <w:pPr>
              <w:pStyle w:val="22"/>
              <w:wordWrap w:val="0"/>
              <w:overflowPunct w:val="0"/>
              <w:ind w:firstLine="0" w:firstLineChars="0"/>
              <w:rPr>
                <w:color w:val="auto"/>
                <w:szCs w:val="28"/>
                <w:highlight w:val="none"/>
              </w:rPr>
            </w:pPr>
            <w:r>
              <w:rPr>
                <w:rFonts w:hint="eastAsia"/>
                <w:color w:val="auto"/>
                <w:szCs w:val="28"/>
                <w:highlight w:val="none"/>
              </w:rPr>
              <w:t>　　</w:t>
            </w:r>
            <w:r>
              <w:rPr>
                <w:rFonts w:hint="eastAsia"/>
                <w:color w:val="auto"/>
                <w:szCs w:val="28"/>
                <w:highlight w:val="none"/>
                <w:u w:val="single"/>
              </w:rPr>
              <w:t>　　　　　　</w:t>
            </w:r>
            <w:r>
              <w:rPr>
                <w:rFonts w:hint="eastAsia"/>
                <w:color w:val="auto"/>
                <w:szCs w:val="28"/>
                <w:highlight w:val="none"/>
              </w:rPr>
              <w:t>现任我单位</w:t>
            </w:r>
            <w:r>
              <w:rPr>
                <w:rFonts w:hint="eastAsia"/>
                <w:color w:val="auto"/>
                <w:szCs w:val="28"/>
                <w:highlight w:val="none"/>
                <w:u w:val="single"/>
              </w:rPr>
              <w:t>　　　　　</w:t>
            </w:r>
            <w:r>
              <w:rPr>
                <w:rFonts w:hint="eastAsia"/>
                <w:color w:val="auto"/>
                <w:szCs w:val="28"/>
                <w:highlight w:val="none"/>
              </w:rPr>
              <w:t>职务，为法定代表人（负责人），</w:t>
            </w:r>
          </w:p>
          <w:p w14:paraId="512A738A">
            <w:pPr>
              <w:pStyle w:val="22"/>
              <w:wordWrap w:val="0"/>
              <w:overflowPunct w:val="0"/>
              <w:ind w:firstLine="0" w:firstLineChars="0"/>
              <w:rPr>
                <w:color w:val="auto"/>
                <w:szCs w:val="28"/>
                <w:highlight w:val="none"/>
              </w:rPr>
            </w:pPr>
            <w:r>
              <w:rPr>
                <w:rFonts w:hint="eastAsia"/>
                <w:color w:val="auto"/>
                <w:szCs w:val="28"/>
                <w:highlight w:val="none"/>
              </w:rPr>
              <w:t>特此证明。</w:t>
            </w:r>
          </w:p>
          <w:p w14:paraId="3C66E69A">
            <w:pPr>
              <w:pStyle w:val="22"/>
              <w:wordWrap w:val="0"/>
              <w:overflowPunct w:val="0"/>
              <w:ind w:firstLine="0" w:firstLineChars="0"/>
              <w:rPr>
                <w:color w:val="auto"/>
                <w:szCs w:val="28"/>
                <w:highlight w:val="none"/>
                <w:u w:val="single"/>
              </w:rPr>
            </w:pPr>
            <w:r>
              <w:rPr>
                <w:rFonts w:hint="eastAsia"/>
                <w:color w:val="auto"/>
                <w:szCs w:val="28"/>
                <w:highlight w:val="none"/>
              </w:rPr>
              <w:t>有效期限：</w:t>
            </w:r>
            <w:r>
              <w:rPr>
                <w:rFonts w:hint="eastAsia"/>
                <w:color w:val="auto"/>
                <w:szCs w:val="28"/>
                <w:highlight w:val="none"/>
                <w:u w:val="single"/>
              </w:rPr>
              <w:t>　　　　　　　　　　　　　　　　　　　　</w:t>
            </w:r>
          </w:p>
          <w:p w14:paraId="7AFAE8C8">
            <w:pPr>
              <w:pStyle w:val="22"/>
              <w:wordWrap w:val="0"/>
              <w:overflowPunct w:val="0"/>
              <w:ind w:firstLine="0" w:firstLineChars="0"/>
              <w:rPr>
                <w:color w:val="auto"/>
                <w:szCs w:val="28"/>
                <w:highlight w:val="none"/>
              </w:rPr>
            </w:pPr>
            <w:r>
              <w:rPr>
                <w:rFonts w:hint="eastAsia"/>
                <w:color w:val="auto"/>
                <w:szCs w:val="28"/>
                <w:highlight w:val="none"/>
              </w:rPr>
              <w:t>附：法定代表人（负责人）性别：</w:t>
            </w:r>
            <w:r>
              <w:rPr>
                <w:rFonts w:hint="eastAsia"/>
                <w:color w:val="auto"/>
                <w:szCs w:val="28"/>
                <w:highlight w:val="none"/>
                <w:u w:val="single"/>
              </w:rPr>
              <w:t>　　</w:t>
            </w:r>
            <w:r>
              <w:rPr>
                <w:rFonts w:hint="eastAsia"/>
                <w:color w:val="auto"/>
                <w:szCs w:val="28"/>
                <w:highlight w:val="none"/>
              </w:rPr>
              <w:t>年龄：</w:t>
            </w:r>
            <w:r>
              <w:rPr>
                <w:rFonts w:hint="eastAsia"/>
                <w:color w:val="auto"/>
                <w:szCs w:val="28"/>
                <w:highlight w:val="none"/>
                <w:u w:val="single"/>
              </w:rPr>
              <w:t>　　</w:t>
            </w:r>
            <w:r>
              <w:rPr>
                <w:rFonts w:hint="eastAsia"/>
                <w:color w:val="auto"/>
                <w:szCs w:val="28"/>
                <w:highlight w:val="none"/>
              </w:rPr>
              <w:t>身份证号码：</w:t>
            </w:r>
            <w:r>
              <w:rPr>
                <w:rFonts w:hint="eastAsia"/>
                <w:color w:val="auto"/>
                <w:szCs w:val="28"/>
                <w:highlight w:val="none"/>
                <w:u w:val="single"/>
              </w:rPr>
              <w:t>　　　　　　</w:t>
            </w:r>
          </w:p>
          <w:p w14:paraId="5BA0FBC3">
            <w:pPr>
              <w:pStyle w:val="22"/>
              <w:wordWrap w:val="0"/>
              <w:overflowPunct w:val="0"/>
              <w:ind w:firstLine="0" w:firstLineChars="0"/>
              <w:rPr>
                <w:color w:val="auto"/>
                <w:szCs w:val="28"/>
                <w:highlight w:val="none"/>
              </w:rPr>
            </w:pPr>
            <w:r>
              <w:rPr>
                <w:rFonts w:hint="eastAsia"/>
                <w:color w:val="auto"/>
                <w:szCs w:val="28"/>
                <w:highlight w:val="none"/>
              </w:rPr>
              <w:t>统一社会信用代码：</w:t>
            </w:r>
            <w:r>
              <w:rPr>
                <w:rFonts w:hint="eastAsia"/>
                <w:color w:val="auto"/>
                <w:szCs w:val="28"/>
                <w:highlight w:val="none"/>
                <w:u w:val="single"/>
              </w:rPr>
              <w:t>　　　　　　　　　　</w:t>
            </w:r>
            <w:r>
              <w:rPr>
                <w:rFonts w:hint="eastAsia"/>
                <w:color w:val="auto"/>
                <w:szCs w:val="28"/>
                <w:highlight w:val="none"/>
              </w:rPr>
              <w:t>企业类型：</w:t>
            </w:r>
            <w:r>
              <w:rPr>
                <w:rFonts w:hint="eastAsia"/>
                <w:color w:val="auto"/>
                <w:szCs w:val="28"/>
                <w:highlight w:val="none"/>
                <w:u w:val="single"/>
              </w:rPr>
              <w:t>　　　　　　　　　　</w:t>
            </w:r>
          </w:p>
          <w:p w14:paraId="2217715A">
            <w:pPr>
              <w:pStyle w:val="22"/>
              <w:wordWrap w:val="0"/>
              <w:overflowPunct w:val="0"/>
              <w:ind w:firstLine="0" w:firstLineChars="0"/>
              <w:rPr>
                <w:color w:val="auto"/>
                <w:szCs w:val="28"/>
                <w:highlight w:val="none"/>
              </w:rPr>
            </w:pPr>
            <w:r>
              <w:rPr>
                <w:rFonts w:hint="eastAsia"/>
                <w:color w:val="auto"/>
                <w:szCs w:val="28"/>
                <w:highlight w:val="none"/>
              </w:rPr>
              <w:t>经营范围：</w:t>
            </w:r>
            <w:r>
              <w:rPr>
                <w:rFonts w:hint="eastAsia"/>
                <w:color w:val="auto"/>
                <w:szCs w:val="28"/>
                <w:highlight w:val="none"/>
                <w:u w:val="single"/>
              </w:rPr>
              <w:t>　　　　　　　　　　　　　　　　　　　　　　　　　　　　</w:t>
            </w:r>
          </w:p>
          <w:p w14:paraId="3C16DB00">
            <w:pPr>
              <w:pStyle w:val="22"/>
              <w:wordWrap w:val="0"/>
              <w:overflowPunct w:val="0"/>
              <w:ind w:firstLine="0" w:firstLineChars="0"/>
              <w:jc w:val="right"/>
              <w:rPr>
                <w:color w:val="auto"/>
                <w:szCs w:val="28"/>
                <w:highlight w:val="none"/>
              </w:rPr>
            </w:pPr>
            <w:r>
              <w:rPr>
                <w:rFonts w:hint="eastAsia"/>
                <w:color w:val="auto"/>
                <w:szCs w:val="28"/>
                <w:highlight w:val="none"/>
              </w:rPr>
              <w:t>单位：　　　　　　　　　　　（盖章）</w:t>
            </w:r>
          </w:p>
          <w:p w14:paraId="542CA46A">
            <w:pPr>
              <w:pStyle w:val="22"/>
              <w:wordWrap w:val="0"/>
              <w:overflowPunct w:val="0"/>
              <w:ind w:firstLine="0" w:firstLineChars="0"/>
              <w:jc w:val="right"/>
              <w:rPr>
                <w:rFonts w:hint="eastAsia" w:ascii="宋体" w:hAnsi="宋体" w:cs="宋体"/>
                <w:color w:val="auto"/>
                <w:highlight w:val="none"/>
              </w:rPr>
            </w:pPr>
            <w:r>
              <w:rPr>
                <w:rFonts w:hint="eastAsia"/>
                <w:color w:val="auto"/>
                <w:szCs w:val="28"/>
                <w:highlight w:val="none"/>
              </w:rPr>
              <w:t>　　　　年　　月　　日</w:t>
            </w:r>
          </w:p>
        </w:tc>
      </w:tr>
    </w:tbl>
    <w:p w14:paraId="6784C3CD">
      <w:pPr>
        <w:pStyle w:val="22"/>
        <w:wordWrap w:val="0"/>
        <w:overflowPunct w:val="0"/>
        <w:ind w:firstLine="496"/>
        <w:rPr>
          <w:rFonts w:hint="eastAsia" w:ascii="宋体" w:hAnsi="宋体" w:cs="宋体"/>
          <w:color w:val="auto"/>
          <w:highlight w:val="none"/>
        </w:rPr>
      </w:pPr>
    </w:p>
    <w:p w14:paraId="226DBEBB">
      <w:pPr>
        <w:pStyle w:val="22"/>
        <w:wordWrap w:val="0"/>
        <w:overflowPunct w:val="0"/>
        <w:ind w:firstLine="0" w:firstLineChars="0"/>
        <w:rPr>
          <w:rFonts w:hint="eastAsia" w:ascii="宋体" w:hAnsi="宋体" w:cs="宋体"/>
          <w:color w:val="auto"/>
          <w:highlight w:val="none"/>
        </w:rPr>
      </w:pPr>
      <w:r>
        <w:rPr>
          <w:rFonts w:hint="eastAsia" w:ascii="宋体" w:hAnsi="宋体" w:cs="宋体"/>
          <w:color w:val="auto"/>
          <w:highlight w:val="none"/>
        </w:rPr>
        <w:t>（2）法定代表人授权书                           （　</w:t>
      </w:r>
      <w:r>
        <w:rPr>
          <w:rFonts w:hint="eastAsia"/>
          <w:color w:val="auto"/>
          <w:szCs w:val="28"/>
          <w:highlight w:val="none"/>
        </w:rPr>
        <w:t>　</w:t>
      </w:r>
      <w:r>
        <w:rPr>
          <w:rFonts w:hint="eastAsia" w:ascii="宋体" w:hAnsi="宋体" w:cs="宋体"/>
          <w:color w:val="auto"/>
          <w:highlight w:val="none"/>
        </w:rPr>
        <w:t>）第　号</w:t>
      </w:r>
    </w:p>
    <w:tbl>
      <w:tblPr>
        <w:tblStyle w:val="17"/>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413E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5EA909A7">
            <w:pPr>
              <w:pStyle w:val="22"/>
              <w:wordWrap w:val="0"/>
              <w:overflowPunct w:val="0"/>
              <w:ind w:firstLine="0" w:firstLineChars="0"/>
              <w:rPr>
                <w:color w:val="auto"/>
                <w:highlight w:val="none"/>
              </w:rPr>
            </w:pPr>
          </w:p>
          <w:p w14:paraId="1FA66A98">
            <w:pPr>
              <w:pStyle w:val="22"/>
              <w:wordWrap w:val="0"/>
              <w:overflowPunct w:val="0"/>
              <w:ind w:firstLine="496"/>
              <w:rPr>
                <w:color w:val="auto"/>
                <w:highlight w:val="none"/>
              </w:rPr>
            </w:pPr>
            <w:r>
              <w:rPr>
                <w:rFonts w:hint="eastAsia"/>
                <w:color w:val="auto"/>
                <w:highlight w:val="none"/>
              </w:rPr>
              <w:t>兹授权</w:t>
            </w:r>
            <w:r>
              <w:rPr>
                <w:rFonts w:hint="eastAsia"/>
                <w:color w:val="auto"/>
                <w:szCs w:val="28"/>
                <w:highlight w:val="none"/>
                <w:u w:val="single"/>
              </w:rPr>
              <w:t>　　　　　　</w:t>
            </w:r>
            <w:r>
              <w:rPr>
                <w:rFonts w:hint="eastAsia"/>
                <w:color w:val="auto"/>
                <w:highlight w:val="none"/>
              </w:rPr>
              <w:t>为我方委托代理人，其权限是：</w:t>
            </w:r>
            <w:r>
              <w:rPr>
                <w:rFonts w:hint="eastAsia"/>
                <w:color w:val="auto"/>
                <w:szCs w:val="28"/>
                <w:highlight w:val="none"/>
                <w:u w:val="single"/>
              </w:rPr>
              <w:t>　　　　　　　　　　　　</w:t>
            </w:r>
          </w:p>
          <w:p w14:paraId="438860D0">
            <w:pPr>
              <w:pStyle w:val="22"/>
              <w:wordWrap w:val="0"/>
              <w:overflowPunct w:val="0"/>
              <w:ind w:firstLine="0" w:firstLineChars="0"/>
              <w:rPr>
                <w:color w:val="auto"/>
                <w:highlight w:val="none"/>
              </w:rPr>
            </w:pPr>
            <w:r>
              <w:rPr>
                <w:rFonts w:hint="eastAsia"/>
                <w:color w:val="auto"/>
                <w:highlight w:val="none"/>
              </w:rPr>
              <w:t>有效期限：</w:t>
            </w:r>
            <w:r>
              <w:rPr>
                <w:rFonts w:hint="eastAsia"/>
                <w:color w:val="auto"/>
                <w:szCs w:val="28"/>
                <w:highlight w:val="none"/>
                <w:u w:val="single"/>
              </w:rPr>
              <w:t>　　　　　　　　　　　　　　　　　　　　</w:t>
            </w:r>
          </w:p>
          <w:p w14:paraId="6B3F1EA3">
            <w:pPr>
              <w:pStyle w:val="22"/>
              <w:wordWrap w:val="0"/>
              <w:overflowPunct w:val="0"/>
              <w:ind w:firstLine="0" w:firstLineChars="0"/>
              <w:rPr>
                <w:color w:val="auto"/>
                <w:highlight w:val="none"/>
              </w:rPr>
            </w:pPr>
            <w:r>
              <w:rPr>
                <w:rFonts w:hint="eastAsia"/>
                <w:color w:val="auto"/>
                <w:highlight w:val="none"/>
              </w:rPr>
              <w:t>附：代理人性别：</w:t>
            </w:r>
            <w:r>
              <w:rPr>
                <w:rFonts w:hint="eastAsia"/>
                <w:color w:val="auto"/>
                <w:szCs w:val="28"/>
                <w:highlight w:val="none"/>
                <w:u w:val="single"/>
              </w:rPr>
              <w:t>　　　</w:t>
            </w:r>
            <w:r>
              <w:rPr>
                <w:rFonts w:hint="eastAsia"/>
                <w:color w:val="auto"/>
                <w:highlight w:val="none"/>
              </w:rPr>
              <w:t>年龄：</w:t>
            </w:r>
            <w:r>
              <w:rPr>
                <w:rFonts w:hint="eastAsia"/>
                <w:color w:val="auto"/>
                <w:szCs w:val="28"/>
                <w:highlight w:val="none"/>
                <w:u w:val="single"/>
              </w:rPr>
              <w:t>　　　</w:t>
            </w:r>
            <w:r>
              <w:rPr>
                <w:rFonts w:hint="eastAsia"/>
                <w:color w:val="auto"/>
                <w:highlight w:val="none"/>
              </w:rPr>
              <w:t>身份证号码：</w:t>
            </w:r>
            <w:r>
              <w:rPr>
                <w:rFonts w:hint="eastAsia"/>
                <w:color w:val="auto"/>
                <w:szCs w:val="28"/>
                <w:highlight w:val="none"/>
                <w:u w:val="single"/>
              </w:rPr>
              <w:t>　　　　　　　　　　　</w:t>
            </w:r>
          </w:p>
          <w:p w14:paraId="7EC519ED">
            <w:pPr>
              <w:pStyle w:val="22"/>
              <w:wordWrap w:val="0"/>
              <w:overflowPunct w:val="0"/>
              <w:ind w:firstLine="0" w:firstLineChars="0"/>
              <w:rPr>
                <w:color w:val="auto"/>
                <w:highlight w:val="none"/>
              </w:rPr>
            </w:pPr>
            <w:r>
              <w:rPr>
                <w:rFonts w:hint="eastAsia"/>
                <w:color w:val="auto"/>
                <w:szCs w:val="28"/>
                <w:highlight w:val="none"/>
              </w:rPr>
              <w:t>统一社会信用代码</w:t>
            </w:r>
            <w:r>
              <w:rPr>
                <w:rFonts w:hint="eastAsia"/>
                <w:color w:val="auto"/>
                <w:highlight w:val="none"/>
              </w:rPr>
              <w:t>：</w:t>
            </w:r>
            <w:r>
              <w:rPr>
                <w:rFonts w:hint="eastAsia"/>
                <w:color w:val="auto"/>
                <w:szCs w:val="28"/>
                <w:highlight w:val="none"/>
                <w:u w:val="single"/>
              </w:rPr>
              <w:t>　　　　　　　　　　</w:t>
            </w:r>
            <w:r>
              <w:rPr>
                <w:rFonts w:hint="eastAsia"/>
                <w:color w:val="auto"/>
                <w:highlight w:val="none"/>
              </w:rPr>
              <w:t>企业类型：</w:t>
            </w:r>
            <w:r>
              <w:rPr>
                <w:rFonts w:hint="eastAsia"/>
                <w:color w:val="auto"/>
                <w:szCs w:val="28"/>
                <w:highlight w:val="none"/>
                <w:u w:val="single"/>
              </w:rPr>
              <w:t>　　　　　　　　　　</w:t>
            </w:r>
          </w:p>
          <w:p w14:paraId="32FAE625">
            <w:pPr>
              <w:pStyle w:val="22"/>
              <w:wordWrap w:val="0"/>
              <w:overflowPunct w:val="0"/>
              <w:ind w:firstLine="0" w:firstLineChars="0"/>
              <w:rPr>
                <w:color w:val="auto"/>
                <w:highlight w:val="none"/>
              </w:rPr>
            </w:pPr>
            <w:r>
              <w:rPr>
                <w:rFonts w:hint="eastAsia"/>
                <w:color w:val="auto"/>
                <w:highlight w:val="none"/>
              </w:rPr>
              <w:t>经营范围：</w:t>
            </w:r>
            <w:r>
              <w:rPr>
                <w:rFonts w:hint="eastAsia"/>
                <w:color w:val="auto"/>
                <w:szCs w:val="28"/>
                <w:highlight w:val="none"/>
                <w:u w:val="single"/>
              </w:rPr>
              <w:t>　　　　　　　　　　　　　　　　　　　　　　　　　　　　</w:t>
            </w:r>
          </w:p>
          <w:p w14:paraId="226D16D8">
            <w:pPr>
              <w:pStyle w:val="22"/>
              <w:wordWrap w:val="0"/>
              <w:overflowPunct w:val="0"/>
              <w:ind w:firstLine="0" w:firstLineChars="0"/>
              <w:jc w:val="right"/>
              <w:rPr>
                <w:color w:val="auto"/>
                <w:highlight w:val="none"/>
              </w:rPr>
            </w:pPr>
            <w:r>
              <w:rPr>
                <w:rFonts w:hint="eastAsia"/>
                <w:color w:val="auto"/>
                <w:highlight w:val="none"/>
              </w:rPr>
              <w:t>法定代表人（负责人）：</w:t>
            </w:r>
            <w:r>
              <w:rPr>
                <w:rFonts w:hint="eastAsia"/>
                <w:color w:val="auto"/>
                <w:szCs w:val="28"/>
                <w:highlight w:val="none"/>
              </w:rPr>
              <w:t>　　　　　　　　</w:t>
            </w:r>
            <w:r>
              <w:rPr>
                <w:rFonts w:hint="eastAsia"/>
                <w:color w:val="auto"/>
                <w:highlight w:val="none"/>
              </w:rPr>
              <w:t>（签字或盖章）</w:t>
            </w:r>
          </w:p>
          <w:p w14:paraId="0365804C">
            <w:pPr>
              <w:pStyle w:val="22"/>
              <w:wordWrap w:val="0"/>
              <w:overflowPunct w:val="0"/>
              <w:ind w:firstLine="0" w:firstLineChars="0"/>
              <w:jc w:val="right"/>
              <w:rPr>
                <w:color w:val="auto"/>
                <w:highlight w:val="none"/>
              </w:rPr>
            </w:pPr>
            <w:r>
              <w:rPr>
                <w:rFonts w:hint="eastAsia"/>
                <w:color w:val="auto"/>
                <w:highlight w:val="none"/>
              </w:rPr>
              <w:t>授权单位：</w:t>
            </w:r>
            <w:r>
              <w:rPr>
                <w:rFonts w:hint="eastAsia"/>
                <w:color w:val="auto"/>
                <w:szCs w:val="28"/>
                <w:highlight w:val="none"/>
              </w:rPr>
              <w:t>　　　　　　　　　　　</w:t>
            </w:r>
            <w:r>
              <w:rPr>
                <w:rFonts w:hint="eastAsia"/>
                <w:color w:val="auto"/>
                <w:highlight w:val="none"/>
              </w:rPr>
              <w:t>（盖章）</w:t>
            </w:r>
            <w:r>
              <w:rPr>
                <w:color w:val="auto"/>
                <w:highlight w:val="none"/>
                <w:u w:val="single"/>
              </w:rPr>
              <w:t xml:space="preserve">                      </w:t>
            </w:r>
          </w:p>
          <w:p w14:paraId="3252C5DF">
            <w:pPr>
              <w:pStyle w:val="22"/>
              <w:wordWrap w:val="0"/>
              <w:overflowPunct w:val="0"/>
              <w:ind w:firstLine="0" w:firstLineChars="0"/>
              <w:jc w:val="right"/>
              <w:rPr>
                <w:rFonts w:hint="eastAsia" w:ascii="宋体" w:hAnsi="宋体" w:cs="宋体"/>
                <w:color w:val="auto"/>
                <w:highlight w:val="none"/>
              </w:rPr>
            </w:pPr>
            <w:r>
              <w:rPr>
                <w:rFonts w:hint="eastAsia"/>
                <w:color w:val="auto"/>
                <w:szCs w:val="28"/>
                <w:highlight w:val="none"/>
              </w:rPr>
              <w:t>　　　年　　月　　日</w:t>
            </w:r>
          </w:p>
        </w:tc>
      </w:tr>
    </w:tbl>
    <w:p w14:paraId="449E7060">
      <w:pPr>
        <w:pStyle w:val="22"/>
        <w:wordWrap w:val="0"/>
        <w:overflowPunct w:val="0"/>
        <w:ind w:firstLine="0" w:firstLineChars="0"/>
        <w:rPr>
          <w:rFonts w:hint="eastAsia" w:ascii="宋体" w:hAnsi="宋体" w:cs="宋体"/>
          <w:color w:val="auto"/>
          <w:highlight w:val="none"/>
        </w:rPr>
      </w:pPr>
      <w:r>
        <w:rPr>
          <w:rFonts w:hint="eastAsia" w:ascii="宋体" w:hAnsi="宋体" w:cs="宋体"/>
          <w:color w:val="auto"/>
          <w:highlight w:val="none"/>
        </w:rPr>
        <w:t xml:space="preserve">注：1、按提供的格式或使用从工商管理部门购买的格式填写。 </w:t>
      </w:r>
    </w:p>
    <w:p w14:paraId="6DE83BD0">
      <w:pPr>
        <w:pStyle w:val="22"/>
        <w:wordWrap w:val="0"/>
        <w:overflowPunct w:val="0"/>
        <w:ind w:firstLine="0" w:firstLineChars="0"/>
        <w:rPr>
          <w:rFonts w:hint="eastAsia" w:ascii="宋体" w:hAnsi="宋体" w:cs="宋体"/>
          <w:color w:val="auto"/>
          <w:highlight w:val="none"/>
        </w:rPr>
      </w:pPr>
      <w:r>
        <w:rPr>
          <w:rFonts w:hint="eastAsia" w:ascii="宋体" w:hAnsi="宋体" w:cs="宋体"/>
          <w:color w:val="auto"/>
          <w:highlight w:val="none"/>
        </w:rPr>
        <w:t xml:space="preserve">    2、如为联合体投标，本法定代表人证明书及授权委托书由联合体</w:t>
      </w:r>
      <w:r>
        <w:rPr>
          <w:rFonts w:hint="eastAsia" w:ascii="宋体" w:hAnsi="宋体" w:cs="宋体"/>
          <w:color w:val="auto"/>
          <w:highlight w:val="none"/>
          <w:lang w:eastAsia="zh-CN"/>
        </w:rPr>
        <w:t>牵头单位</w:t>
      </w:r>
      <w:r>
        <w:rPr>
          <w:rFonts w:hint="eastAsia" w:ascii="宋体" w:hAnsi="宋体" w:cs="宋体"/>
          <w:color w:val="auto"/>
          <w:highlight w:val="none"/>
        </w:rPr>
        <w:t>出具，并由联合体</w:t>
      </w:r>
      <w:r>
        <w:rPr>
          <w:rFonts w:hint="eastAsia" w:ascii="宋体" w:hAnsi="宋体" w:cs="宋体"/>
          <w:color w:val="auto"/>
          <w:highlight w:val="none"/>
          <w:lang w:eastAsia="zh-CN"/>
        </w:rPr>
        <w:t>牵头单位</w:t>
      </w:r>
      <w:r>
        <w:rPr>
          <w:rFonts w:hint="eastAsia" w:ascii="宋体" w:hAnsi="宋体" w:cs="宋体"/>
          <w:color w:val="auto"/>
          <w:highlight w:val="none"/>
        </w:rPr>
        <w:t>签字或盖章即可。</w:t>
      </w:r>
    </w:p>
    <w:p w14:paraId="5B43D332">
      <w:pPr>
        <w:spacing w:line="360" w:lineRule="auto"/>
        <w:outlineLvl w:val="2"/>
        <w:rPr>
          <w:rFonts w:hint="eastAsia" w:ascii="宋体" w:hAnsi="宋体" w:cs="宋体"/>
          <w:color w:val="auto"/>
          <w:szCs w:val="21"/>
          <w:highlight w:val="none"/>
        </w:rPr>
      </w:pPr>
      <w:r>
        <w:rPr>
          <w:rFonts w:hint="eastAsia" w:ascii="宋体" w:hAnsi="宋体"/>
          <w:b/>
          <w:color w:val="auto"/>
          <w:highlight w:val="none"/>
        </w:rPr>
        <w:br w:type="page"/>
      </w:r>
      <w:r>
        <w:rPr>
          <w:rFonts w:hint="eastAsia" w:ascii="宋体" w:hAnsi="宋体" w:cs="宋体"/>
          <w:b/>
          <w:bCs/>
          <w:color w:val="auto"/>
          <w:sz w:val="24"/>
          <w:szCs w:val="28"/>
          <w:highlight w:val="none"/>
        </w:rPr>
        <w:t>格式二：投标承诺书</w:t>
      </w:r>
    </w:p>
    <w:p w14:paraId="24889233">
      <w:pPr>
        <w:autoSpaceDE w:val="0"/>
        <w:autoSpaceDN w:val="0"/>
        <w:adjustRightInd w:val="0"/>
        <w:spacing w:line="360" w:lineRule="auto"/>
        <w:jc w:val="center"/>
        <w:rPr>
          <w:rFonts w:hint="eastAsia" w:ascii="宋体" w:hAnsi="宋体" w:cs="宋体"/>
          <w:b/>
          <w:bCs/>
          <w:color w:val="auto"/>
          <w:sz w:val="28"/>
          <w:szCs w:val="28"/>
          <w:highlight w:val="none"/>
          <w:lang w:val="zh-CN"/>
        </w:rPr>
      </w:pPr>
      <w:r>
        <w:rPr>
          <w:rFonts w:hint="eastAsia" w:ascii="宋体" w:hAnsi="宋体" w:cs="宋体"/>
          <w:b/>
          <w:bCs/>
          <w:color w:val="auto"/>
          <w:sz w:val="28"/>
          <w:szCs w:val="28"/>
          <w:highlight w:val="none"/>
          <w:lang w:val="zh-CN"/>
        </w:rPr>
        <w:t>投标承诺书</w:t>
      </w:r>
    </w:p>
    <w:p w14:paraId="37C41006">
      <w:pPr>
        <w:spacing w:line="360" w:lineRule="auto"/>
        <w:jc w:val="center"/>
        <w:rPr>
          <w:rFonts w:hint="eastAsia" w:ascii="宋体" w:hAnsi="宋体" w:cs="宋体"/>
          <w:b/>
          <w:color w:val="auto"/>
          <w:sz w:val="24"/>
          <w:szCs w:val="24"/>
          <w:highlight w:val="none"/>
        </w:rPr>
      </w:pPr>
    </w:p>
    <w:p w14:paraId="70261A3B">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致：</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（招标人名称）</w:t>
      </w:r>
    </w:p>
    <w:p w14:paraId="76EC156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我方确认收到贵方提供的</w:t>
      </w:r>
      <w:r>
        <w:rPr>
          <w:rFonts w:hint="eastAsia" w:ascii="宋体" w:hAnsi="宋体" w:cs="宋体"/>
          <w:color w:val="auto"/>
          <w:sz w:val="24"/>
          <w:szCs w:val="24"/>
          <w:highlight w:val="none"/>
          <w:u w:val="single"/>
        </w:rPr>
        <w:t xml:space="preserve">      (工程名称)       </w:t>
      </w:r>
      <w:r>
        <w:rPr>
          <w:rFonts w:hint="eastAsia" w:ascii="宋体" w:hAnsi="宋体" w:cs="宋体"/>
          <w:color w:val="auto"/>
          <w:sz w:val="24"/>
          <w:szCs w:val="24"/>
          <w:highlight w:val="none"/>
        </w:rPr>
        <w:t>招标文件的全部内容，我方：</w:t>
      </w:r>
      <w:r>
        <w:rPr>
          <w:rFonts w:hint="eastAsia" w:ascii="宋体" w:hAnsi="宋体" w:cs="宋体"/>
          <w:color w:val="auto"/>
          <w:sz w:val="24"/>
          <w:szCs w:val="24"/>
          <w:highlight w:val="none"/>
          <w:u w:val="single"/>
        </w:rPr>
        <w:t xml:space="preserve">       (投标人名称)      </w:t>
      </w:r>
      <w:r>
        <w:rPr>
          <w:rFonts w:hint="eastAsia" w:ascii="宋体" w:hAnsi="宋体" w:cs="宋体"/>
          <w:color w:val="auto"/>
          <w:sz w:val="24"/>
          <w:szCs w:val="24"/>
          <w:highlight w:val="none"/>
        </w:rPr>
        <w:t>已作为投标人正式授权</w:t>
      </w:r>
      <w:r>
        <w:rPr>
          <w:rFonts w:hint="eastAsia" w:ascii="宋体" w:hAnsi="宋体" w:cs="宋体"/>
          <w:color w:val="auto"/>
          <w:sz w:val="24"/>
          <w:szCs w:val="24"/>
          <w:highlight w:val="none"/>
          <w:u w:val="single"/>
        </w:rPr>
        <w:t xml:space="preserve">       (授权代表全名，职务)    </w:t>
      </w:r>
      <w:r>
        <w:rPr>
          <w:rFonts w:hint="eastAsia" w:ascii="宋体" w:hAnsi="宋体" w:cs="宋体"/>
          <w:color w:val="auto"/>
          <w:sz w:val="24"/>
          <w:szCs w:val="24"/>
          <w:highlight w:val="none"/>
        </w:rPr>
        <w:t>代表我方进行有关本投标的一切事宜。</w:t>
      </w:r>
    </w:p>
    <w:p w14:paraId="2424CE5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我方已完全明白和接受招标文件的所有条款要求，并重申以下几点：</w:t>
      </w:r>
    </w:p>
    <w:p w14:paraId="3874F1F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我方已详细研究并理解招标人提供的所有资料内容，同意招标文件的内容，对招标文件内容和约束无异议，充分了解了现场条件对可能存在的所有风险都已充分考虑，我方放弃在此方面提出含糊意见或误解的一切</w:t>
      </w:r>
      <w:r>
        <w:rPr>
          <w:rFonts w:hint="eastAsia" w:ascii="宋体" w:hAnsi="宋体" w:eastAsia="宋体" w:cs="宋体"/>
          <w:i w:val="0"/>
          <w:iCs w:val="0"/>
          <w:caps w:val="0"/>
          <w:color w:val="auto"/>
          <w:spacing w:val="0"/>
          <w:sz w:val="24"/>
          <w:szCs w:val="24"/>
          <w:highlight w:val="none"/>
          <w:shd w:val="clear" w:fill="F5F7FA"/>
        </w:rPr>
        <w:t>权利</w:t>
      </w:r>
      <w:r>
        <w:rPr>
          <w:rFonts w:hint="eastAsia" w:ascii="宋体" w:hAnsi="宋体" w:cs="宋体"/>
          <w:color w:val="auto"/>
          <w:sz w:val="24"/>
          <w:szCs w:val="24"/>
          <w:highlight w:val="none"/>
        </w:rPr>
        <w:t>，承认招标文件的所有条款，按招标文件规定条款完成本次招标项目的内容。</w:t>
      </w:r>
    </w:p>
    <w:p w14:paraId="6A05A4E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2．我方已充分阅读了本项目招标文件并充分了解有关报价方式及变更、结算方式，我方完全响应招标文件的规定。</w:t>
      </w:r>
    </w:p>
    <w:p w14:paraId="1FD68A7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3．本投标文件的有效期为投标截止日后120天内有效；</w:t>
      </w:r>
    </w:p>
    <w:p w14:paraId="72F8F28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4．我方承诺投标文件中的一切资料、数据是真实的，并承担由此引起的一切责任。</w:t>
      </w:r>
    </w:p>
    <w:p w14:paraId="1563F59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5．我方同意按照贵司可能提出的要求而提供与投标有关的任何其它数据或信息。</w:t>
      </w:r>
    </w:p>
    <w:p w14:paraId="50857F9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6．我方如果中标，我方保证：</w:t>
      </w:r>
    </w:p>
    <w:p w14:paraId="4DBC54B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6.1保证履行招标文件以及招标文件修改书(如有)中的全部责任和义务，在中标通知书规定的时间内签订合同，并严格按国家有关法规履行我方的全部责任，按质、按量、按期完成合同约定的全部任务。</w:t>
      </w:r>
    </w:p>
    <w:p w14:paraId="4019E85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6.2保证将我方的资质承包范围不能涵盖或不具备相应能力(该能力须保证进度和质量且须获得发包人认可)的部分专业工程（如果有），委托获得发包人批准的具备相应专业资质和能力的单位实施，确保项目质量及进度。</w:t>
      </w:r>
    </w:p>
    <w:p w14:paraId="7BC7EB6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6.3保证所完成的设计将完全符合国家相关规范要求，符合或优于招标文件、技术条件、合同条款的要求。若我方完成的设计文件未能达到发包人（或相关政府部门）的要求，我方将无条件根据要求进行修改设计文件，直至得到发包人（及相关政府部门）的认可为止。</w:t>
      </w:r>
    </w:p>
    <w:p w14:paraId="0839CBA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6.4保证尽一切力量确保投标承诺的竣工日期，若我方未能按投标承诺的工期完成本项目，除承担合同约定的违约责任外，发包人有权解除合同，我方承担由于违约解除合同退场造成的对发包人的一切损失。</w:t>
      </w:r>
    </w:p>
    <w:p w14:paraId="50559FE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6.5保证投标所报的项目负责人（兼施工负责人）、设计负责人在本项目合同签订后7日内到职，全过程服务于本项目，在过程中非不可抗力或发包人要求不得更换。我方违反以上承诺的，同意按合同条款的规定承担违约责任。</w:t>
      </w:r>
    </w:p>
    <w:p w14:paraId="204F1FF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6.6保证按照招标文件的要求确保安全生产及文明施工，如有违反，我方愿意按合同约定承担违约责任，并为此负相关的法律责任。</w:t>
      </w:r>
    </w:p>
    <w:p w14:paraId="75903A5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6.7保证按国家的有关规定制订保证民工工资支付的方案及保证措施，否则，我方愿按合同条款规定承担违约责任并赔偿发包人的全部损失。</w:t>
      </w:r>
    </w:p>
    <w:p w14:paraId="48252D7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6.8如我司有幸中标，承诺所投入本项目的主要材料、设备质量符合或优于招标人要求，所投入本项目的辅助设备、材料与主要材料、设备质量一致并有良好的配套性，若我方投入本项目的主要材料、设备未能达到发包人要求的，我方将无条件根据要求进行调整，直至得到发包人的认可为止。</w:t>
      </w:r>
    </w:p>
    <w:p w14:paraId="72BFBB1F">
      <w:pP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6.9若我方中标，我方承诺拟投入本项目的项目负责人（兼施工负责人）满足《注册建造师管理规定》第21条规定，如出现委派的项目负责人（兼施工负责人）已在其他在建项目中任职</w:t>
      </w:r>
      <w:r>
        <w:rPr>
          <w:rFonts w:hint="eastAsia" w:ascii="宋体" w:hAnsi="宋体"/>
          <w:b/>
          <w:bCs/>
          <w:snapToGrid w:val="0"/>
          <w:color w:val="auto"/>
          <w:spacing w:val="4"/>
          <w:sz w:val="24"/>
          <w:szCs w:val="24"/>
          <w:highlight w:val="none"/>
        </w:rPr>
        <w:t>【包括但不限于</w:t>
      </w:r>
      <w:r>
        <w:rPr>
          <w:rFonts w:hint="eastAsia" w:ascii="宋体" w:hAnsi="宋体"/>
          <w:b/>
          <w:bCs/>
          <w:snapToGrid w:val="0"/>
          <w:color w:val="auto"/>
          <w:spacing w:val="4"/>
          <w:sz w:val="24"/>
          <w:szCs w:val="24"/>
          <w:highlight w:val="none"/>
          <w:lang w:eastAsia="zh-CN"/>
        </w:rPr>
        <w:t>广州交易集团有限公司（广州公共资源交易中心）</w:t>
      </w:r>
      <w:r>
        <w:rPr>
          <w:rFonts w:hint="eastAsia" w:ascii="宋体" w:hAnsi="宋体"/>
          <w:b/>
          <w:bCs/>
          <w:snapToGrid w:val="0"/>
          <w:color w:val="auto"/>
          <w:spacing w:val="4"/>
          <w:sz w:val="24"/>
          <w:szCs w:val="24"/>
          <w:highlight w:val="none"/>
        </w:rPr>
        <w:t>企业库（包含广州市住建行业信用管理平台），广东省建筑市场监管公共服务平台项目负责人锁定情况】</w:t>
      </w:r>
      <w:r>
        <w:rPr>
          <w:rFonts w:hint="eastAsia" w:ascii="宋体" w:hAnsi="宋体" w:cs="宋体"/>
          <w:b/>
          <w:bCs/>
          <w:color w:val="auto"/>
          <w:sz w:val="24"/>
          <w:szCs w:val="24"/>
          <w:highlight w:val="none"/>
        </w:rPr>
        <w:t>，无条件接受招标人取消中标资格。</w:t>
      </w:r>
    </w:p>
    <w:p w14:paraId="3B3A991C">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6.10保证严格按照本项目招标文件的</w:t>
      </w:r>
      <w:r>
        <w:rPr>
          <w:rFonts w:hint="eastAsia" w:ascii="宋体" w:hAnsi="宋体" w:cs="宋体"/>
          <w:b/>
          <w:bCs/>
          <w:color w:val="auto"/>
          <w:sz w:val="24"/>
          <w:szCs w:val="24"/>
          <w:highlight w:val="none"/>
          <w:lang w:val="zh-CN"/>
        </w:rPr>
        <w:t>要求</w:t>
      </w:r>
      <w:r>
        <w:rPr>
          <w:rFonts w:hint="eastAsia" w:ascii="宋体" w:hAnsi="宋体" w:cs="宋体"/>
          <w:b/>
          <w:bCs/>
          <w:color w:val="auto"/>
          <w:sz w:val="24"/>
          <w:szCs w:val="24"/>
          <w:highlight w:val="none"/>
        </w:rPr>
        <w:t>配备人员，并将人员名单作为合同签订的附件。我方承诺，上述人员均为我方正式员工，我方在中标后一并提供满足要求的资格资历证明文件以及上述人员在我单位（或联合体单位）的有效社保证明文件供贵单位审核。如配备的人员不满足要求，我方承诺按合同约定承担违约责任。</w:t>
      </w:r>
    </w:p>
    <w:p w14:paraId="79D8521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6.11如我司有幸中标，承诺将根据本项目内容编制详细的工程总承包方案及施工组织设计，并报经发包人审批后实施。</w:t>
      </w:r>
    </w:p>
    <w:p w14:paraId="74FBE24E">
      <w:pPr>
        <w:spacing w:line="360" w:lineRule="auto"/>
        <w:ind w:firstLine="482" w:firstLineChars="200"/>
        <w:rPr>
          <w:rFonts w:hint="eastAsia" w:ascii="宋体" w:hAnsi="宋体" w:cs="宋体"/>
          <w:b/>
          <w:color w:val="auto"/>
          <w:sz w:val="24"/>
          <w:szCs w:val="24"/>
          <w:highlight w:val="none"/>
        </w:rPr>
      </w:pPr>
    </w:p>
    <w:p w14:paraId="3F98813D">
      <w:pPr>
        <w:spacing w:line="360" w:lineRule="auto"/>
        <w:ind w:firstLine="3840" w:firstLineChars="16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投标人：    </w:t>
      </w:r>
    </w:p>
    <w:p w14:paraId="4FF8F4E6">
      <w:pPr>
        <w:spacing w:line="360" w:lineRule="auto"/>
        <w:ind w:firstLine="3840" w:firstLineChars="1600"/>
        <w:rPr>
          <w:rFonts w:hint="eastAsia" w:ascii="宋体" w:hAnsi="宋体" w:cs="宋体"/>
          <w:color w:val="auto"/>
          <w:sz w:val="24"/>
          <w:szCs w:val="24"/>
          <w:highlight w:val="none"/>
        </w:rPr>
      </w:pPr>
      <w:r>
        <w:rPr>
          <w:rFonts w:hint="eastAsia" w:ascii="宋体" w:hAnsi="宋体" w:cs="宋体"/>
          <w:color w:val="auto"/>
          <w:sz w:val="24"/>
          <w:szCs w:val="24"/>
          <w:highlight w:val="none"/>
        </w:rPr>
        <w:t>日   期：    年    月    日</w:t>
      </w:r>
    </w:p>
    <w:p w14:paraId="3F144401">
      <w:pPr>
        <w:spacing w:line="360" w:lineRule="auto"/>
        <w:ind w:left="422" w:hanging="482" w:hangingChars="200"/>
        <w:rPr>
          <w:rFonts w:hint="eastAsia" w:ascii="宋体" w:hAnsi="宋体" w:cs="宋体"/>
          <w:snapToGrid w:val="0"/>
          <w:color w:val="auto"/>
          <w:spacing w:val="4"/>
          <w:kern w:val="0"/>
          <w:sz w:val="24"/>
          <w:szCs w:val="24"/>
          <w:highlight w:val="none"/>
        </w:rPr>
      </w:pPr>
      <w:r>
        <w:rPr>
          <w:rFonts w:hint="eastAsia" w:ascii="宋体" w:hAnsi="宋体" w:cs="宋体"/>
          <w:b/>
          <w:color w:val="auto"/>
          <w:sz w:val="24"/>
          <w:szCs w:val="24"/>
          <w:highlight w:val="none"/>
        </w:rPr>
        <w:t>注：联合体投标的，“投标人”一栏需书写所有联合体成员的单位全称，可由</w:t>
      </w:r>
      <w:r>
        <w:rPr>
          <w:rFonts w:hint="eastAsia" w:ascii="宋体" w:hAnsi="宋体" w:cs="宋体"/>
          <w:b/>
          <w:color w:val="auto"/>
          <w:sz w:val="24"/>
          <w:szCs w:val="24"/>
          <w:highlight w:val="none"/>
          <w:lang w:eastAsia="zh-CN"/>
        </w:rPr>
        <w:t>牵头单位</w:t>
      </w:r>
      <w:r>
        <w:rPr>
          <w:rFonts w:hint="eastAsia" w:ascii="宋体" w:hAnsi="宋体" w:cs="宋体"/>
          <w:b/>
          <w:color w:val="auto"/>
          <w:sz w:val="24"/>
          <w:szCs w:val="24"/>
          <w:highlight w:val="none"/>
        </w:rPr>
        <w:t>签署、盖章。</w:t>
      </w:r>
    </w:p>
    <w:p w14:paraId="793835B7">
      <w:pPr>
        <w:autoSpaceDE w:val="0"/>
        <w:autoSpaceDN w:val="0"/>
        <w:adjustRightInd w:val="0"/>
        <w:spacing w:line="360" w:lineRule="auto"/>
        <w:outlineLvl w:val="2"/>
        <w:rPr>
          <w:rFonts w:hint="eastAsia" w:ascii="宋体" w:hAnsi="宋体" w:cs="宋体"/>
          <w:b/>
          <w:bCs/>
          <w:color w:val="auto"/>
          <w:sz w:val="24"/>
          <w:szCs w:val="28"/>
          <w:highlight w:val="none"/>
        </w:rPr>
      </w:pPr>
      <w:r>
        <w:rPr>
          <w:rFonts w:hint="eastAsia" w:ascii="宋体" w:hAnsi="宋体" w:cs="宋体"/>
          <w:color w:val="auto"/>
          <w:szCs w:val="21"/>
          <w:highlight w:val="none"/>
        </w:rPr>
        <w:br w:type="page"/>
      </w:r>
      <w:bookmarkStart w:id="1129" w:name="_Toc10379"/>
      <w:bookmarkStart w:id="1130" w:name="_Toc15967"/>
      <w:bookmarkStart w:id="1131" w:name="_Toc13324"/>
      <w:r>
        <w:rPr>
          <w:rFonts w:hint="eastAsia" w:ascii="宋体" w:hAnsi="宋体" w:cs="宋体"/>
          <w:b/>
          <w:bCs/>
          <w:color w:val="auto"/>
          <w:sz w:val="24"/>
          <w:szCs w:val="28"/>
          <w:highlight w:val="none"/>
        </w:rPr>
        <w:t>格式三：投标书</w:t>
      </w:r>
      <w:bookmarkEnd w:id="1129"/>
      <w:bookmarkEnd w:id="1130"/>
    </w:p>
    <w:p w14:paraId="6155A3AD">
      <w:pPr>
        <w:autoSpaceDE w:val="0"/>
        <w:autoSpaceDN w:val="0"/>
        <w:adjustRightInd w:val="0"/>
        <w:spacing w:line="360"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zh-CN"/>
        </w:rPr>
        <w:t>投标书</w:t>
      </w:r>
    </w:p>
    <w:p w14:paraId="34AA94C1">
      <w:pPr>
        <w:wordWrap w:val="0"/>
        <w:autoSpaceDE w:val="0"/>
        <w:autoSpaceDN w:val="0"/>
        <w:adjustRightInd w:val="0"/>
        <w:spacing w:line="360" w:lineRule="auto"/>
        <w:jc w:val="center"/>
        <w:rPr>
          <w:rFonts w:hint="eastAsia" w:ascii="宋体" w:hAnsi="宋体" w:cs="宋体"/>
          <w:b/>
          <w:bCs/>
          <w:color w:val="auto"/>
          <w:sz w:val="24"/>
          <w:szCs w:val="24"/>
          <w:highlight w:val="none"/>
          <w:lang w:val="zh-CN"/>
        </w:rPr>
      </w:pPr>
      <w:r>
        <w:rPr>
          <w:rFonts w:hint="eastAsia" w:ascii="宋体" w:hAnsi="宋体" w:cs="宋体"/>
          <w:b/>
          <w:color w:val="auto"/>
          <w:sz w:val="24"/>
          <w:szCs w:val="24"/>
          <w:highlight w:val="none"/>
        </w:rPr>
        <w:t xml:space="preserve">                                              </w:t>
      </w:r>
      <w:r>
        <w:rPr>
          <w:rFonts w:hint="eastAsia" w:ascii="宋体" w:hAnsi="宋体" w:cs="宋体"/>
          <w:b/>
          <w:color w:val="auto"/>
          <w:szCs w:val="21"/>
          <w:highlight w:val="none"/>
        </w:rPr>
        <w:t xml:space="preserve"> </w:t>
      </w:r>
      <w:r>
        <w:rPr>
          <w:rFonts w:hint="eastAsia" w:ascii="宋体" w:hAnsi="宋体" w:cs="宋体"/>
          <w:b/>
          <w:color w:val="auto"/>
          <w:szCs w:val="21"/>
          <w:highlight w:val="none"/>
          <w:lang w:val="zh-CN"/>
        </w:rPr>
        <w:t>投标日期：   年  月  日</w:t>
      </w:r>
    </w:p>
    <w:tbl>
      <w:tblPr>
        <w:tblStyle w:val="17"/>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2534"/>
        <w:gridCol w:w="1831"/>
        <w:gridCol w:w="4561"/>
      </w:tblGrid>
      <w:tr w14:paraId="355F3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68" w:type="dxa"/>
            <w:gridSpan w:val="2"/>
            <w:tcBorders>
              <w:top w:val="single" w:color="auto" w:sz="4" w:space="0"/>
              <w:left w:val="single" w:color="auto" w:sz="4" w:space="0"/>
              <w:bottom w:val="single" w:color="auto" w:sz="4" w:space="0"/>
              <w:right w:val="single" w:color="auto" w:sz="4" w:space="0"/>
            </w:tcBorders>
            <w:vAlign w:val="center"/>
          </w:tcPr>
          <w:p w14:paraId="2E967F1C">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lang w:val="zh-CN"/>
              </w:rPr>
              <w:t>工程名称</w:t>
            </w:r>
          </w:p>
        </w:tc>
        <w:tc>
          <w:tcPr>
            <w:tcW w:w="6392" w:type="dxa"/>
            <w:gridSpan w:val="2"/>
            <w:tcBorders>
              <w:top w:val="single" w:color="auto" w:sz="4" w:space="0"/>
              <w:left w:val="single" w:color="auto" w:sz="4" w:space="0"/>
              <w:bottom w:val="single" w:color="auto" w:sz="4" w:space="0"/>
              <w:right w:val="single" w:color="auto" w:sz="4" w:space="0"/>
            </w:tcBorders>
            <w:vAlign w:val="center"/>
          </w:tcPr>
          <w:p w14:paraId="7E01D26F">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p>
        </w:tc>
      </w:tr>
      <w:tr w14:paraId="4C84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568" w:type="dxa"/>
            <w:gridSpan w:val="2"/>
            <w:vMerge w:val="restart"/>
            <w:tcBorders>
              <w:top w:val="single" w:color="auto" w:sz="4" w:space="0"/>
              <w:left w:val="single" w:color="auto" w:sz="4" w:space="0"/>
              <w:right w:val="single" w:color="auto" w:sz="4" w:space="0"/>
            </w:tcBorders>
            <w:vAlign w:val="center"/>
          </w:tcPr>
          <w:p w14:paraId="70E23C7E">
            <w:pPr>
              <w:autoSpaceDE w:val="0"/>
              <w:autoSpaceDN w:val="0"/>
              <w:adjustRightInd w:val="0"/>
              <w:snapToGrid w:val="0"/>
              <w:spacing w:line="360" w:lineRule="auto"/>
              <w:jc w:val="center"/>
              <w:rPr>
                <w:rFonts w:hint="eastAsia" w:ascii="宋体" w:hAnsi="宋体" w:eastAsia="宋体" w:cs="宋体"/>
                <w:b/>
                <w:color w:val="auto"/>
                <w:sz w:val="21"/>
                <w:szCs w:val="21"/>
                <w:highlight w:val="none"/>
                <w:lang w:val="zh-CN"/>
              </w:rPr>
            </w:pPr>
            <w:r>
              <w:rPr>
                <w:rFonts w:hint="eastAsia" w:ascii="宋体" w:hAnsi="宋体" w:eastAsia="宋体" w:cs="宋体"/>
                <w:b/>
                <w:bCs/>
                <w:color w:val="auto"/>
                <w:sz w:val="21"/>
                <w:szCs w:val="21"/>
                <w:highlight w:val="none"/>
                <w:lang w:val="zh-CN"/>
              </w:rPr>
              <w:t>投标总报价</w:t>
            </w:r>
            <w:r>
              <w:rPr>
                <w:rFonts w:hint="eastAsia" w:ascii="宋体" w:hAnsi="宋体" w:eastAsia="宋体" w:cs="宋体"/>
                <w:b/>
                <w:color w:val="auto"/>
                <w:sz w:val="21"/>
                <w:szCs w:val="21"/>
                <w:highlight w:val="none"/>
                <w:lang w:val="zh-CN"/>
              </w:rPr>
              <w:t>（元）</w:t>
            </w:r>
          </w:p>
        </w:tc>
        <w:tc>
          <w:tcPr>
            <w:tcW w:w="6392" w:type="dxa"/>
            <w:gridSpan w:val="2"/>
            <w:tcBorders>
              <w:top w:val="single" w:color="auto" w:sz="4" w:space="0"/>
              <w:left w:val="single" w:color="auto" w:sz="4" w:space="0"/>
              <w:bottom w:val="single" w:color="auto" w:sz="4" w:space="0"/>
              <w:right w:val="single" w:color="auto" w:sz="4" w:space="0"/>
            </w:tcBorders>
            <w:vAlign w:val="center"/>
          </w:tcPr>
          <w:p w14:paraId="5D9F4194">
            <w:pPr>
              <w:autoSpaceDE w:val="0"/>
              <w:autoSpaceDN w:val="0"/>
              <w:adjustRightInd w:val="0"/>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大写：</w:t>
            </w:r>
          </w:p>
        </w:tc>
      </w:tr>
      <w:tr w14:paraId="242DE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68" w:type="dxa"/>
            <w:gridSpan w:val="2"/>
            <w:vMerge w:val="continue"/>
            <w:tcBorders>
              <w:left w:val="single" w:color="auto" w:sz="4" w:space="0"/>
              <w:bottom w:val="single" w:color="auto" w:sz="4" w:space="0"/>
              <w:right w:val="single" w:color="auto" w:sz="4" w:space="0"/>
            </w:tcBorders>
            <w:vAlign w:val="center"/>
          </w:tcPr>
          <w:p w14:paraId="290B0F3E">
            <w:pPr>
              <w:autoSpaceDE w:val="0"/>
              <w:autoSpaceDN w:val="0"/>
              <w:adjustRightInd w:val="0"/>
              <w:snapToGrid w:val="0"/>
              <w:spacing w:line="360" w:lineRule="auto"/>
              <w:jc w:val="center"/>
              <w:rPr>
                <w:rFonts w:hint="eastAsia" w:ascii="宋体" w:hAnsi="宋体" w:eastAsia="宋体" w:cs="宋体"/>
                <w:b/>
                <w:color w:val="auto"/>
                <w:sz w:val="21"/>
                <w:szCs w:val="21"/>
                <w:highlight w:val="none"/>
                <w:lang w:val="zh-CN"/>
              </w:rPr>
            </w:pPr>
          </w:p>
        </w:tc>
        <w:tc>
          <w:tcPr>
            <w:tcW w:w="6392" w:type="dxa"/>
            <w:gridSpan w:val="2"/>
            <w:tcBorders>
              <w:top w:val="single" w:color="auto" w:sz="4" w:space="0"/>
              <w:left w:val="single" w:color="auto" w:sz="4" w:space="0"/>
              <w:bottom w:val="single" w:color="auto" w:sz="4" w:space="0"/>
              <w:right w:val="single" w:color="auto" w:sz="4" w:space="0"/>
            </w:tcBorders>
            <w:vAlign w:val="center"/>
          </w:tcPr>
          <w:p w14:paraId="52944260">
            <w:pPr>
              <w:autoSpaceDE w:val="0"/>
              <w:autoSpaceDN w:val="0"/>
              <w:adjustRightInd w:val="0"/>
              <w:snapToGrid w:val="0"/>
              <w:spacing w:line="360" w:lineRule="auto"/>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小写：</w:t>
            </w:r>
          </w:p>
        </w:tc>
      </w:tr>
      <w:tr w14:paraId="14694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34" w:type="dxa"/>
            <w:vMerge w:val="restart"/>
            <w:tcBorders>
              <w:top w:val="single" w:color="auto" w:sz="4" w:space="0"/>
              <w:left w:val="single" w:color="auto" w:sz="4" w:space="0"/>
              <w:right w:val="single" w:color="auto" w:sz="4" w:space="0"/>
            </w:tcBorders>
            <w:vAlign w:val="center"/>
          </w:tcPr>
          <w:p w14:paraId="4A4CFF33">
            <w:pPr>
              <w:adjustRightInd w:val="0"/>
              <w:snapToGrid w:val="0"/>
              <w:spacing w:line="360" w:lineRule="auto"/>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其中</w:t>
            </w:r>
          </w:p>
        </w:tc>
        <w:tc>
          <w:tcPr>
            <w:tcW w:w="2534" w:type="dxa"/>
            <w:tcBorders>
              <w:top w:val="single" w:color="auto" w:sz="4" w:space="0"/>
              <w:left w:val="single" w:color="auto" w:sz="4" w:space="0"/>
              <w:bottom w:val="single" w:color="auto" w:sz="4" w:space="0"/>
              <w:right w:val="single" w:color="auto" w:sz="4" w:space="0"/>
            </w:tcBorders>
            <w:vAlign w:val="center"/>
          </w:tcPr>
          <w:p w14:paraId="21672D15">
            <w:pPr>
              <w:autoSpaceDE w:val="0"/>
              <w:autoSpaceDN w:val="0"/>
              <w:adjustRightInd w:val="0"/>
              <w:spacing w:line="360" w:lineRule="auto"/>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设计费（元）</w:t>
            </w:r>
          </w:p>
        </w:tc>
        <w:tc>
          <w:tcPr>
            <w:tcW w:w="6392" w:type="dxa"/>
            <w:gridSpan w:val="2"/>
            <w:tcBorders>
              <w:top w:val="single" w:color="auto" w:sz="4" w:space="0"/>
              <w:left w:val="single" w:color="auto" w:sz="4" w:space="0"/>
              <w:bottom w:val="single" w:color="auto" w:sz="4" w:space="0"/>
              <w:right w:val="single" w:color="auto" w:sz="4" w:space="0"/>
            </w:tcBorders>
            <w:vAlign w:val="center"/>
          </w:tcPr>
          <w:p w14:paraId="7464237F">
            <w:pPr>
              <w:autoSpaceDE w:val="0"/>
              <w:autoSpaceDN w:val="0"/>
              <w:adjustRightInd w:val="0"/>
              <w:spacing w:line="360" w:lineRule="auto"/>
              <w:jc w:val="left"/>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小写：</w:t>
            </w:r>
            <w:r>
              <w:rPr>
                <w:rFonts w:hint="eastAsia" w:ascii="宋体" w:hAnsi="宋体" w:eastAsia="宋体" w:cs="宋体"/>
                <w:b/>
                <w:color w:val="auto"/>
                <w:sz w:val="21"/>
                <w:szCs w:val="21"/>
                <w:highlight w:val="none"/>
                <w:u w:val="single"/>
                <w:lang w:val="en-US" w:eastAsia="zh-CN"/>
              </w:rPr>
              <w:t xml:space="preserve">                      </w:t>
            </w:r>
          </w:p>
          <w:p w14:paraId="5322C72A">
            <w:pPr>
              <w:autoSpaceDE w:val="0"/>
              <w:autoSpaceDN w:val="0"/>
              <w:adjustRightInd w:val="0"/>
              <w:snapToGrid w:val="0"/>
              <w:spacing w:line="360" w:lineRule="auto"/>
              <w:jc w:val="both"/>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大写：</w:t>
            </w:r>
            <w:r>
              <w:rPr>
                <w:rFonts w:hint="eastAsia" w:ascii="宋体" w:hAnsi="宋体" w:eastAsia="宋体" w:cs="宋体"/>
                <w:b/>
                <w:color w:val="auto"/>
                <w:sz w:val="21"/>
                <w:szCs w:val="21"/>
                <w:highlight w:val="none"/>
                <w:u w:val="single"/>
                <w:lang w:val="en-US" w:eastAsia="zh-CN"/>
              </w:rPr>
              <w:t xml:space="preserve">                      </w:t>
            </w:r>
          </w:p>
          <w:p w14:paraId="00BD6321">
            <w:pPr>
              <w:autoSpaceDE w:val="0"/>
              <w:autoSpaceDN w:val="0"/>
              <w:adjustRightInd w:val="0"/>
              <w:snapToGrid w:val="0"/>
              <w:spacing w:line="360" w:lineRule="auto"/>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u w:val="none"/>
                <w:lang w:val="en-US" w:eastAsia="zh-CN"/>
              </w:rPr>
              <w:t>投标下浮率：</w:t>
            </w:r>
            <w:r>
              <w:rPr>
                <w:rFonts w:hint="eastAsia" w:ascii="宋体" w:hAnsi="宋体" w:eastAsia="宋体" w:cs="宋体"/>
                <w:b/>
                <w:color w:val="auto"/>
                <w:sz w:val="21"/>
                <w:szCs w:val="21"/>
                <w:highlight w:val="none"/>
                <w:u w:val="single"/>
                <w:lang w:val="en-US" w:eastAsia="zh-CN"/>
              </w:rPr>
              <w:t xml:space="preserve">       %</w:t>
            </w:r>
          </w:p>
        </w:tc>
      </w:tr>
      <w:tr w14:paraId="717C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34" w:type="dxa"/>
            <w:vMerge w:val="continue"/>
            <w:tcBorders>
              <w:left w:val="single" w:color="auto" w:sz="4" w:space="0"/>
              <w:right w:val="single" w:color="auto" w:sz="4" w:space="0"/>
            </w:tcBorders>
            <w:vAlign w:val="center"/>
          </w:tcPr>
          <w:p w14:paraId="04C1A0AE">
            <w:pPr>
              <w:autoSpaceDE w:val="0"/>
              <w:autoSpaceDN w:val="0"/>
              <w:adjustRightInd w:val="0"/>
              <w:spacing w:line="360" w:lineRule="auto"/>
              <w:jc w:val="center"/>
              <w:rPr>
                <w:rFonts w:hint="eastAsia" w:ascii="宋体" w:hAnsi="宋体" w:eastAsia="宋体" w:cs="宋体"/>
                <w:b/>
                <w:color w:val="auto"/>
                <w:sz w:val="21"/>
                <w:szCs w:val="21"/>
                <w:highlight w:val="none"/>
                <w:lang w:val="zh-CN"/>
              </w:rPr>
            </w:pPr>
          </w:p>
        </w:tc>
        <w:tc>
          <w:tcPr>
            <w:tcW w:w="2534" w:type="dxa"/>
            <w:tcBorders>
              <w:top w:val="single" w:color="auto" w:sz="4" w:space="0"/>
              <w:left w:val="single" w:color="auto" w:sz="4" w:space="0"/>
              <w:bottom w:val="single" w:color="auto" w:sz="4" w:space="0"/>
              <w:right w:val="single" w:color="auto" w:sz="4" w:space="0"/>
            </w:tcBorders>
            <w:vAlign w:val="center"/>
          </w:tcPr>
          <w:p w14:paraId="41C51E80">
            <w:pPr>
              <w:autoSpaceDE w:val="0"/>
              <w:autoSpaceDN w:val="0"/>
              <w:adjustRightInd w:val="0"/>
              <w:spacing w:line="360" w:lineRule="auto"/>
              <w:jc w:val="center"/>
              <w:rPr>
                <w:rFonts w:hint="eastAsia" w:ascii="宋体" w:hAnsi="宋体" w:eastAsia="宋体" w:cs="宋体"/>
                <w:b/>
                <w:color w:val="auto"/>
                <w:sz w:val="21"/>
                <w:szCs w:val="21"/>
                <w:highlight w:val="none"/>
                <w:lang w:val="zh-CN"/>
              </w:rPr>
            </w:pPr>
            <w:r>
              <w:rPr>
                <w:rFonts w:hint="eastAsia" w:ascii="宋体" w:hAnsi="宋体" w:cs="宋体"/>
                <w:b/>
                <w:color w:val="auto"/>
                <w:sz w:val="21"/>
                <w:szCs w:val="21"/>
                <w:highlight w:val="none"/>
                <w:lang w:val="zh-CN"/>
              </w:rPr>
              <w:t>建安工程费</w:t>
            </w:r>
            <w:r>
              <w:rPr>
                <w:rFonts w:hint="eastAsia" w:ascii="宋体" w:hAnsi="宋体" w:eastAsia="宋体" w:cs="宋体"/>
                <w:b/>
                <w:color w:val="auto"/>
                <w:sz w:val="21"/>
                <w:szCs w:val="21"/>
                <w:highlight w:val="none"/>
                <w:lang w:val="zh-CN"/>
              </w:rPr>
              <w:t>（元）</w:t>
            </w:r>
          </w:p>
        </w:tc>
        <w:tc>
          <w:tcPr>
            <w:tcW w:w="6392" w:type="dxa"/>
            <w:gridSpan w:val="2"/>
            <w:tcBorders>
              <w:top w:val="single" w:color="auto" w:sz="4" w:space="0"/>
              <w:left w:val="single" w:color="auto" w:sz="4" w:space="0"/>
              <w:bottom w:val="single" w:color="auto" w:sz="4" w:space="0"/>
              <w:right w:val="single" w:color="auto" w:sz="4" w:space="0"/>
            </w:tcBorders>
            <w:vAlign w:val="center"/>
          </w:tcPr>
          <w:p w14:paraId="777FDE18">
            <w:pPr>
              <w:autoSpaceDE w:val="0"/>
              <w:autoSpaceDN w:val="0"/>
              <w:adjustRightInd w:val="0"/>
              <w:spacing w:line="360" w:lineRule="auto"/>
              <w:jc w:val="left"/>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小写：</w:t>
            </w:r>
            <w:r>
              <w:rPr>
                <w:rFonts w:hint="eastAsia" w:ascii="宋体" w:hAnsi="宋体" w:eastAsia="宋体" w:cs="宋体"/>
                <w:b/>
                <w:color w:val="auto"/>
                <w:sz w:val="21"/>
                <w:szCs w:val="21"/>
                <w:highlight w:val="none"/>
                <w:u w:val="single"/>
                <w:lang w:val="en-US" w:eastAsia="zh-CN"/>
              </w:rPr>
              <w:t xml:space="preserve">                      </w:t>
            </w:r>
          </w:p>
          <w:p w14:paraId="07CF176A">
            <w:pPr>
              <w:autoSpaceDE w:val="0"/>
              <w:autoSpaceDN w:val="0"/>
              <w:adjustRightInd w:val="0"/>
              <w:snapToGrid w:val="0"/>
              <w:spacing w:line="360" w:lineRule="auto"/>
              <w:jc w:val="both"/>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大写：</w:t>
            </w:r>
            <w:r>
              <w:rPr>
                <w:rFonts w:hint="eastAsia" w:ascii="宋体" w:hAnsi="宋体" w:eastAsia="宋体" w:cs="宋体"/>
                <w:b/>
                <w:color w:val="auto"/>
                <w:sz w:val="21"/>
                <w:szCs w:val="21"/>
                <w:highlight w:val="none"/>
                <w:u w:val="single"/>
                <w:lang w:val="en-US" w:eastAsia="zh-CN"/>
              </w:rPr>
              <w:t xml:space="preserve">                      </w:t>
            </w:r>
          </w:p>
          <w:p w14:paraId="09909166">
            <w:pPr>
              <w:autoSpaceDE w:val="0"/>
              <w:autoSpaceDN w:val="0"/>
              <w:adjustRightInd w:val="0"/>
              <w:snapToGrid w:val="0"/>
              <w:spacing w:line="360" w:lineRule="auto"/>
              <w:jc w:val="both"/>
              <w:rPr>
                <w:rFonts w:hint="default"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u w:val="none"/>
                <w:lang w:val="en-US" w:eastAsia="zh-CN"/>
              </w:rPr>
              <w:t>投标下浮率：</w:t>
            </w:r>
            <w:r>
              <w:rPr>
                <w:rFonts w:hint="eastAsia" w:ascii="宋体" w:hAnsi="宋体" w:eastAsia="宋体" w:cs="宋体"/>
                <w:b/>
                <w:color w:val="auto"/>
                <w:sz w:val="21"/>
                <w:szCs w:val="21"/>
                <w:highlight w:val="none"/>
                <w:u w:val="single"/>
                <w:lang w:val="en-US" w:eastAsia="zh-CN"/>
              </w:rPr>
              <w:t xml:space="preserve">       %</w:t>
            </w:r>
          </w:p>
        </w:tc>
      </w:tr>
      <w:tr w14:paraId="2EBC7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3568" w:type="dxa"/>
            <w:gridSpan w:val="2"/>
            <w:tcBorders>
              <w:top w:val="single" w:color="auto" w:sz="4" w:space="0"/>
              <w:left w:val="single" w:color="auto" w:sz="4" w:space="0"/>
              <w:bottom w:val="single" w:color="auto" w:sz="4" w:space="0"/>
              <w:right w:val="single" w:color="auto" w:sz="4" w:space="0"/>
            </w:tcBorders>
            <w:vAlign w:val="center"/>
          </w:tcPr>
          <w:p w14:paraId="7908C4BE">
            <w:pPr>
              <w:spacing w:line="360" w:lineRule="auto"/>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总工期</w:t>
            </w:r>
          </w:p>
        </w:tc>
        <w:tc>
          <w:tcPr>
            <w:tcW w:w="6392" w:type="dxa"/>
            <w:gridSpan w:val="2"/>
            <w:tcBorders>
              <w:top w:val="single" w:color="auto" w:sz="4" w:space="0"/>
              <w:left w:val="single" w:color="auto" w:sz="4" w:space="0"/>
              <w:bottom w:val="single" w:color="auto" w:sz="4" w:space="0"/>
              <w:right w:val="single" w:color="auto" w:sz="4" w:space="0"/>
            </w:tcBorders>
            <w:vAlign w:val="center"/>
          </w:tcPr>
          <w:p w14:paraId="1BC35713">
            <w:pPr>
              <w:autoSpaceDE w:val="0"/>
              <w:autoSpaceDN w:val="0"/>
              <w:adjustRightInd w:val="0"/>
              <w:spacing w:line="360" w:lineRule="auto"/>
              <w:ind w:left="207" w:hanging="207" w:hangingChars="98"/>
              <w:jc w:val="center"/>
              <w:rPr>
                <w:rFonts w:hint="eastAsia" w:ascii="宋体" w:hAnsi="宋体" w:eastAsia="宋体" w:cs="宋体"/>
                <w:b/>
                <w:bCs/>
                <w:color w:val="auto"/>
                <w:sz w:val="21"/>
                <w:szCs w:val="21"/>
                <w:highlight w:val="none"/>
                <w:u w:val="single"/>
                <w:lang w:val="zh-CN"/>
              </w:rPr>
            </w:pPr>
          </w:p>
        </w:tc>
      </w:tr>
      <w:tr w14:paraId="73D6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8" w:type="dxa"/>
            <w:gridSpan w:val="2"/>
            <w:tcBorders>
              <w:left w:val="single" w:color="auto" w:sz="4" w:space="0"/>
              <w:bottom w:val="single" w:color="auto" w:sz="4" w:space="0"/>
              <w:right w:val="single" w:color="auto" w:sz="4" w:space="0"/>
            </w:tcBorders>
            <w:vAlign w:val="center"/>
          </w:tcPr>
          <w:p w14:paraId="7D8CE3FD">
            <w:pPr>
              <w:spacing w:line="360" w:lineRule="auto"/>
              <w:jc w:val="center"/>
              <w:rPr>
                <w:rFonts w:hint="eastAsia" w:ascii="宋体" w:hAnsi="宋体" w:eastAsia="宋体" w:cs="宋体"/>
                <w:b/>
                <w:color w:val="auto"/>
                <w:sz w:val="21"/>
                <w:szCs w:val="21"/>
                <w:highlight w:val="none"/>
                <w:lang w:val="zh-CN"/>
              </w:rPr>
            </w:pPr>
            <w:r>
              <w:rPr>
                <w:rFonts w:hint="eastAsia" w:ascii="宋体" w:hAnsi="宋体" w:eastAsia="宋体" w:cs="宋体"/>
                <w:b/>
                <w:bCs/>
                <w:color w:val="auto"/>
                <w:sz w:val="21"/>
                <w:szCs w:val="21"/>
                <w:highlight w:val="none"/>
                <w:lang w:val="zh-CN"/>
              </w:rPr>
              <w:t>质量标准</w:t>
            </w:r>
          </w:p>
        </w:tc>
        <w:tc>
          <w:tcPr>
            <w:tcW w:w="6392" w:type="dxa"/>
            <w:gridSpan w:val="2"/>
            <w:tcBorders>
              <w:top w:val="single" w:color="auto" w:sz="4" w:space="0"/>
              <w:left w:val="single" w:color="auto" w:sz="4" w:space="0"/>
              <w:bottom w:val="single" w:color="auto" w:sz="4" w:space="0"/>
              <w:right w:val="single" w:color="auto" w:sz="4" w:space="0"/>
            </w:tcBorders>
            <w:vAlign w:val="center"/>
          </w:tcPr>
          <w:p w14:paraId="08B51339">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p>
        </w:tc>
      </w:tr>
      <w:tr w14:paraId="2B01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8" w:type="dxa"/>
            <w:gridSpan w:val="2"/>
            <w:tcBorders>
              <w:top w:val="single" w:color="auto" w:sz="4" w:space="0"/>
              <w:left w:val="single" w:color="auto" w:sz="4" w:space="0"/>
              <w:bottom w:val="single" w:color="auto" w:sz="4" w:space="0"/>
              <w:right w:val="single" w:color="auto" w:sz="4" w:space="0"/>
            </w:tcBorders>
            <w:vAlign w:val="center"/>
          </w:tcPr>
          <w:p w14:paraId="1D4263AB">
            <w:pPr>
              <w:autoSpaceDE w:val="0"/>
              <w:autoSpaceDN w:val="0"/>
              <w:adjustRightInd w:val="0"/>
              <w:spacing w:line="360" w:lineRule="auto"/>
              <w:jc w:val="center"/>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保修期限</w:t>
            </w:r>
          </w:p>
        </w:tc>
        <w:tc>
          <w:tcPr>
            <w:tcW w:w="6392" w:type="dxa"/>
            <w:gridSpan w:val="2"/>
            <w:tcBorders>
              <w:top w:val="single" w:color="auto" w:sz="4" w:space="0"/>
              <w:left w:val="single" w:color="auto" w:sz="4" w:space="0"/>
              <w:bottom w:val="single" w:color="auto" w:sz="4" w:space="0"/>
              <w:right w:val="single" w:color="auto" w:sz="4" w:space="0"/>
            </w:tcBorders>
            <w:vAlign w:val="center"/>
          </w:tcPr>
          <w:p w14:paraId="3F31650A">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p>
        </w:tc>
      </w:tr>
      <w:tr w14:paraId="0B2B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8" w:type="dxa"/>
            <w:gridSpan w:val="2"/>
            <w:tcBorders>
              <w:top w:val="single" w:color="auto" w:sz="4" w:space="0"/>
              <w:left w:val="single" w:color="auto" w:sz="4" w:space="0"/>
              <w:bottom w:val="single" w:color="auto" w:sz="4" w:space="0"/>
              <w:right w:val="single" w:color="auto" w:sz="4" w:space="0"/>
            </w:tcBorders>
            <w:vAlign w:val="center"/>
          </w:tcPr>
          <w:p w14:paraId="1908C853">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lang w:val="zh-CN"/>
              </w:rPr>
              <w:t>委派的项目负责人（兼施工负责人）</w:t>
            </w:r>
          </w:p>
        </w:tc>
        <w:tc>
          <w:tcPr>
            <w:tcW w:w="1831" w:type="dxa"/>
            <w:tcBorders>
              <w:top w:val="single" w:color="auto" w:sz="4" w:space="0"/>
              <w:left w:val="single" w:color="auto" w:sz="4" w:space="0"/>
              <w:bottom w:val="single" w:color="auto" w:sz="4" w:space="0"/>
              <w:right w:val="single" w:color="auto" w:sz="4" w:space="0"/>
            </w:tcBorders>
            <w:vAlign w:val="center"/>
          </w:tcPr>
          <w:p w14:paraId="09160E7C">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姓名及证书号</w:t>
            </w:r>
          </w:p>
        </w:tc>
        <w:tc>
          <w:tcPr>
            <w:tcW w:w="4561" w:type="dxa"/>
            <w:tcBorders>
              <w:top w:val="single" w:color="auto" w:sz="4" w:space="0"/>
              <w:left w:val="single" w:color="auto" w:sz="4" w:space="0"/>
              <w:bottom w:val="single" w:color="auto" w:sz="4" w:space="0"/>
              <w:right w:val="single" w:color="auto" w:sz="4" w:space="0"/>
            </w:tcBorders>
          </w:tcPr>
          <w:p w14:paraId="24868A23">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p>
        </w:tc>
      </w:tr>
      <w:tr w14:paraId="60FB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8" w:type="dxa"/>
            <w:gridSpan w:val="2"/>
            <w:tcBorders>
              <w:top w:val="single" w:color="auto" w:sz="4" w:space="0"/>
              <w:left w:val="single" w:color="auto" w:sz="4" w:space="0"/>
              <w:bottom w:val="single" w:color="auto" w:sz="4" w:space="0"/>
              <w:right w:val="single" w:color="auto" w:sz="4" w:space="0"/>
            </w:tcBorders>
            <w:vAlign w:val="center"/>
          </w:tcPr>
          <w:p w14:paraId="5567C8EB">
            <w:pPr>
              <w:autoSpaceDE w:val="0"/>
              <w:autoSpaceDN w:val="0"/>
              <w:adjustRightIn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委派的施工技术负责人</w:t>
            </w:r>
          </w:p>
        </w:tc>
        <w:tc>
          <w:tcPr>
            <w:tcW w:w="1831" w:type="dxa"/>
            <w:tcBorders>
              <w:top w:val="single" w:color="auto" w:sz="4" w:space="0"/>
              <w:left w:val="single" w:color="auto" w:sz="4" w:space="0"/>
              <w:bottom w:val="single" w:color="auto" w:sz="4" w:space="0"/>
              <w:right w:val="single" w:color="auto" w:sz="4" w:space="0"/>
            </w:tcBorders>
            <w:vAlign w:val="center"/>
          </w:tcPr>
          <w:p w14:paraId="20B54C43">
            <w:pPr>
              <w:adjustRightInd w:val="0"/>
              <w:snapToGrid w:val="0"/>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姓名及证书号</w:t>
            </w:r>
          </w:p>
        </w:tc>
        <w:tc>
          <w:tcPr>
            <w:tcW w:w="4561" w:type="dxa"/>
            <w:tcBorders>
              <w:top w:val="single" w:color="auto" w:sz="4" w:space="0"/>
              <w:left w:val="single" w:color="auto" w:sz="4" w:space="0"/>
              <w:bottom w:val="single" w:color="auto" w:sz="4" w:space="0"/>
              <w:right w:val="single" w:color="auto" w:sz="4" w:space="0"/>
            </w:tcBorders>
          </w:tcPr>
          <w:p w14:paraId="0B89638F">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p>
        </w:tc>
      </w:tr>
      <w:tr w14:paraId="4145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8" w:type="dxa"/>
            <w:gridSpan w:val="2"/>
            <w:tcBorders>
              <w:top w:val="single" w:color="auto" w:sz="4" w:space="0"/>
              <w:left w:val="single" w:color="auto" w:sz="4" w:space="0"/>
              <w:bottom w:val="single" w:color="auto" w:sz="4" w:space="0"/>
              <w:right w:val="single" w:color="auto" w:sz="4" w:space="0"/>
            </w:tcBorders>
            <w:vAlign w:val="center"/>
          </w:tcPr>
          <w:p w14:paraId="24F98D20">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lang w:val="zh-CN"/>
              </w:rPr>
              <w:t>委派的</w:t>
            </w:r>
            <w:r>
              <w:rPr>
                <w:rFonts w:hint="eastAsia" w:ascii="宋体" w:hAnsi="宋体" w:eastAsia="宋体" w:cs="宋体"/>
                <w:b/>
                <w:bCs/>
                <w:color w:val="auto"/>
                <w:sz w:val="21"/>
                <w:szCs w:val="21"/>
                <w:highlight w:val="none"/>
                <w:lang w:val="zh-CN"/>
              </w:rPr>
              <w:t>设计负责人</w:t>
            </w:r>
          </w:p>
        </w:tc>
        <w:tc>
          <w:tcPr>
            <w:tcW w:w="1831" w:type="dxa"/>
            <w:tcBorders>
              <w:top w:val="single" w:color="auto" w:sz="4" w:space="0"/>
              <w:left w:val="single" w:color="auto" w:sz="4" w:space="0"/>
              <w:bottom w:val="single" w:color="auto" w:sz="4" w:space="0"/>
              <w:right w:val="single" w:color="auto" w:sz="4" w:space="0"/>
            </w:tcBorders>
            <w:vAlign w:val="center"/>
          </w:tcPr>
          <w:p w14:paraId="7147AFF5">
            <w:pPr>
              <w:autoSpaceDE w:val="0"/>
              <w:autoSpaceDN w:val="0"/>
              <w:adjustRightInd w:val="0"/>
              <w:snapToGri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rPr>
              <w:t>姓名及证书号</w:t>
            </w:r>
          </w:p>
        </w:tc>
        <w:tc>
          <w:tcPr>
            <w:tcW w:w="4561" w:type="dxa"/>
            <w:tcBorders>
              <w:top w:val="single" w:color="auto" w:sz="4" w:space="0"/>
              <w:left w:val="single" w:color="auto" w:sz="4" w:space="0"/>
              <w:bottom w:val="single" w:color="auto" w:sz="4" w:space="0"/>
              <w:right w:val="single" w:color="auto" w:sz="4" w:space="0"/>
            </w:tcBorders>
          </w:tcPr>
          <w:p w14:paraId="27E871E1">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p>
        </w:tc>
      </w:tr>
      <w:tr w14:paraId="3DFB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68" w:type="dxa"/>
            <w:gridSpan w:val="2"/>
            <w:tcBorders>
              <w:top w:val="single" w:color="auto" w:sz="4" w:space="0"/>
              <w:left w:val="single" w:color="auto" w:sz="4" w:space="0"/>
              <w:right w:val="single" w:color="auto" w:sz="4" w:space="0"/>
            </w:tcBorders>
            <w:vAlign w:val="center"/>
          </w:tcPr>
          <w:p w14:paraId="7A72B9C7">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lang w:val="zh-CN"/>
              </w:rPr>
              <w:t>委派的专职</w:t>
            </w:r>
            <w:r>
              <w:rPr>
                <w:rFonts w:hint="eastAsia" w:ascii="宋体" w:hAnsi="宋体" w:eastAsia="宋体" w:cs="宋体"/>
                <w:b/>
                <w:bCs/>
                <w:color w:val="auto"/>
                <w:sz w:val="21"/>
                <w:szCs w:val="21"/>
                <w:highlight w:val="none"/>
                <w:lang w:val="zh-CN"/>
              </w:rPr>
              <w:t>安全员</w:t>
            </w:r>
          </w:p>
        </w:tc>
        <w:tc>
          <w:tcPr>
            <w:tcW w:w="1831" w:type="dxa"/>
            <w:tcBorders>
              <w:top w:val="single" w:color="auto" w:sz="4" w:space="0"/>
              <w:left w:val="single" w:color="auto" w:sz="4" w:space="0"/>
              <w:bottom w:val="single" w:color="auto" w:sz="4" w:space="0"/>
              <w:right w:val="single" w:color="auto" w:sz="4" w:space="0"/>
            </w:tcBorders>
            <w:vAlign w:val="center"/>
          </w:tcPr>
          <w:p w14:paraId="46B5802A">
            <w:pPr>
              <w:autoSpaceDE w:val="0"/>
              <w:autoSpaceDN w:val="0"/>
              <w:adjustRightInd w:val="0"/>
              <w:snapToGri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color w:val="auto"/>
                <w:sz w:val="21"/>
                <w:szCs w:val="21"/>
                <w:highlight w:val="none"/>
              </w:rPr>
              <w:t>姓名及证书号</w:t>
            </w:r>
          </w:p>
        </w:tc>
        <w:tc>
          <w:tcPr>
            <w:tcW w:w="4561" w:type="dxa"/>
            <w:tcBorders>
              <w:top w:val="single" w:color="auto" w:sz="4" w:space="0"/>
              <w:left w:val="single" w:color="auto" w:sz="4" w:space="0"/>
              <w:bottom w:val="single" w:color="auto" w:sz="4" w:space="0"/>
              <w:right w:val="single" w:color="auto" w:sz="4" w:space="0"/>
            </w:tcBorders>
          </w:tcPr>
          <w:p w14:paraId="0330D585">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p>
        </w:tc>
      </w:tr>
      <w:tr w14:paraId="4B55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3568" w:type="dxa"/>
            <w:gridSpan w:val="2"/>
            <w:tcBorders>
              <w:top w:val="single" w:color="auto" w:sz="4" w:space="0"/>
              <w:left w:val="single" w:color="auto" w:sz="4" w:space="0"/>
              <w:bottom w:val="single" w:color="auto" w:sz="4" w:space="0"/>
              <w:right w:val="single" w:color="auto" w:sz="4" w:space="0"/>
            </w:tcBorders>
            <w:vAlign w:val="center"/>
          </w:tcPr>
          <w:p w14:paraId="01B57D41">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投标单位</w:t>
            </w:r>
          </w:p>
        </w:tc>
        <w:tc>
          <w:tcPr>
            <w:tcW w:w="6392" w:type="dxa"/>
            <w:gridSpan w:val="2"/>
            <w:tcBorders>
              <w:top w:val="single" w:color="auto" w:sz="4" w:space="0"/>
              <w:left w:val="single" w:color="auto" w:sz="4" w:space="0"/>
              <w:bottom w:val="single" w:color="auto" w:sz="4" w:space="0"/>
              <w:right w:val="single" w:color="auto" w:sz="4" w:space="0"/>
            </w:tcBorders>
            <w:vAlign w:val="center"/>
          </w:tcPr>
          <w:p w14:paraId="6772AB19">
            <w:pPr>
              <w:autoSpaceDE w:val="0"/>
              <w:autoSpaceDN w:val="0"/>
              <w:adjustRightInd w:val="0"/>
              <w:spacing w:line="360" w:lineRule="auto"/>
              <w:jc w:val="center"/>
              <w:rPr>
                <w:rFonts w:hint="eastAsia" w:ascii="宋体" w:hAnsi="宋体" w:eastAsia="宋体" w:cs="宋体"/>
                <w:b/>
                <w:bCs/>
                <w:color w:val="auto"/>
                <w:sz w:val="21"/>
                <w:szCs w:val="21"/>
                <w:highlight w:val="none"/>
                <w:lang w:val="zh-CN"/>
              </w:rPr>
            </w:pPr>
          </w:p>
        </w:tc>
      </w:tr>
    </w:tbl>
    <w:p w14:paraId="60CA6FE6">
      <w:pPr>
        <w:spacing w:line="360" w:lineRule="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注：（1）联合体投标的，“投标单位”一栏需书写所有联合体成员的单位全称。</w:t>
      </w:r>
    </w:p>
    <w:p w14:paraId="6AB42129">
      <w:pPr>
        <w:spacing w:line="360" w:lineRule="auto"/>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val="0"/>
          <w:color w:val="auto"/>
          <w:kern w:val="0"/>
          <w:sz w:val="21"/>
          <w:szCs w:val="21"/>
          <w:highlight w:val="none"/>
          <w:lang w:val="en-US" w:eastAsia="zh-CN"/>
        </w:rPr>
        <w:t>设计费投标下浮率=（设计费投标报价÷设计费最高投标限价）×100%。</w:t>
      </w:r>
    </w:p>
    <w:p w14:paraId="6F17A72E">
      <w:pPr>
        <w:spacing w:line="360" w:lineRule="auto"/>
        <w:ind w:firstLine="420" w:firstLineChars="200"/>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建安工程费投标下浮率=（建安工程费投标报价÷建安工程费最高投标限价）×100%。</w:t>
      </w:r>
    </w:p>
    <w:p w14:paraId="234B9C54">
      <w:pPr>
        <w:spacing w:line="360" w:lineRule="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）投标报价的大写金额和小写金额不一致的，以大写金额为准，投标报价</w:t>
      </w:r>
      <w:r>
        <w:rPr>
          <w:rFonts w:hint="eastAsia" w:ascii="宋体" w:hAnsi="宋体" w:cs="宋体"/>
          <w:bCs/>
          <w:color w:val="auto"/>
          <w:kern w:val="0"/>
          <w:sz w:val="21"/>
          <w:szCs w:val="21"/>
          <w:highlight w:val="none"/>
          <w:lang w:val="en-US" w:eastAsia="zh-CN"/>
        </w:rPr>
        <w:t>和建安工程费投标下浮率均</w:t>
      </w:r>
      <w:r>
        <w:rPr>
          <w:rFonts w:hint="eastAsia" w:ascii="宋体" w:hAnsi="宋体" w:eastAsia="宋体" w:cs="宋体"/>
          <w:bCs/>
          <w:color w:val="auto"/>
          <w:kern w:val="0"/>
          <w:sz w:val="21"/>
          <w:szCs w:val="21"/>
          <w:highlight w:val="none"/>
        </w:rPr>
        <w:t>精确到小数点后两位。</w:t>
      </w:r>
      <w:bookmarkStart w:id="1132" w:name="_Toc28061"/>
    </w:p>
    <w:p w14:paraId="5D5C3CE4">
      <w:pPr>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br w:type="page"/>
      </w:r>
    </w:p>
    <w:p w14:paraId="3906AECA">
      <w:pPr>
        <w:spacing w:line="360" w:lineRule="auto"/>
        <w:rPr>
          <w:rFonts w:hint="eastAsia" w:ascii="宋体" w:hAnsi="宋体" w:eastAsia="宋体" w:cs="宋体"/>
          <w:b/>
          <w:color w:val="auto"/>
          <w:sz w:val="21"/>
          <w:szCs w:val="21"/>
          <w:highlight w:val="none"/>
        </w:rPr>
      </w:pPr>
    </w:p>
    <w:p w14:paraId="43894ACB">
      <w:pPr>
        <w:spacing w:line="360" w:lineRule="auto"/>
        <w:jc w:val="center"/>
        <w:rPr>
          <w:rFonts w:hint="default"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设计费报价清单</w:t>
      </w:r>
    </w:p>
    <w:tbl>
      <w:tblPr>
        <w:tblStyle w:val="17"/>
        <w:tblW w:w="89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7"/>
        <w:gridCol w:w="1304"/>
        <w:gridCol w:w="492"/>
        <w:gridCol w:w="951"/>
        <w:gridCol w:w="1028"/>
        <w:gridCol w:w="942"/>
        <w:gridCol w:w="3216"/>
      </w:tblGrid>
      <w:tr w14:paraId="33538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93D2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设计类别</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4509A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设计阶段</w:t>
            </w:r>
          </w:p>
        </w:tc>
        <w:tc>
          <w:tcPr>
            <w:tcW w:w="0" w:type="auto"/>
            <w:vMerge w:val="restart"/>
            <w:tcBorders>
              <w:top w:val="single" w:color="000000" w:sz="4" w:space="0"/>
              <w:left w:val="single" w:color="000000" w:sz="4" w:space="0"/>
              <w:right w:val="single" w:color="000000" w:sz="4" w:space="0"/>
            </w:tcBorders>
            <w:shd w:val="clear" w:color="auto" w:fill="auto"/>
            <w:vAlign w:val="center"/>
          </w:tcPr>
          <w:p w14:paraId="4DE50B7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单位</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93F1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F82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单价</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ACD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总价</w:t>
            </w:r>
          </w:p>
        </w:tc>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7F59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备注</w:t>
            </w:r>
          </w:p>
        </w:tc>
      </w:tr>
      <w:tr w14:paraId="1F2C4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16C38">
            <w:pPr>
              <w:snapToGrid w:val="0"/>
              <w:ind w:left="0" w:leftChars="0" w:right="0" w:rightChars="0" w:firstLine="0" w:firstLineChars="0"/>
              <w:jc w:val="center"/>
              <w:rPr>
                <w:rFonts w:hint="eastAsia" w:ascii="宋体" w:hAnsi="宋体" w:eastAsia="宋体" w:cs="宋体"/>
                <w:b/>
                <w:bCs/>
                <w:i w:val="0"/>
                <w:iCs w:val="0"/>
                <w:color w:val="auto"/>
                <w:sz w:val="21"/>
                <w:szCs w:val="21"/>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4E49C">
            <w:pPr>
              <w:snapToGrid w:val="0"/>
              <w:ind w:left="0" w:leftChars="0" w:right="0" w:rightChars="0" w:firstLine="0" w:firstLineChars="0"/>
              <w:jc w:val="center"/>
              <w:rPr>
                <w:rFonts w:hint="eastAsia" w:ascii="宋体" w:hAnsi="宋体" w:eastAsia="宋体" w:cs="宋体"/>
                <w:b/>
                <w:bCs/>
                <w:i w:val="0"/>
                <w:iCs w:val="0"/>
                <w:color w:val="auto"/>
                <w:sz w:val="21"/>
                <w:szCs w:val="21"/>
                <w:u w:val="none"/>
              </w:rPr>
            </w:pPr>
          </w:p>
        </w:tc>
        <w:tc>
          <w:tcPr>
            <w:tcW w:w="0" w:type="auto"/>
            <w:vMerge w:val="continue"/>
            <w:tcBorders>
              <w:left w:val="single" w:color="000000" w:sz="4" w:space="0"/>
              <w:bottom w:val="single" w:color="000000" w:sz="4" w:space="0"/>
              <w:right w:val="single" w:color="000000" w:sz="4" w:space="0"/>
            </w:tcBorders>
            <w:shd w:val="clear" w:color="auto" w:fill="auto"/>
            <w:vAlign w:val="center"/>
          </w:tcPr>
          <w:p w14:paraId="298323FE">
            <w:pPr>
              <w:snapToGrid w:val="0"/>
              <w:ind w:left="0" w:leftChars="0" w:right="0" w:rightChars="0" w:firstLine="0" w:firstLineChars="0"/>
              <w:jc w:val="center"/>
              <w:rPr>
                <w:rFonts w:hint="eastAsia" w:ascii="宋体" w:hAnsi="宋体" w:eastAsia="宋体" w:cs="宋体"/>
                <w:b/>
                <w:bCs/>
                <w:i w:val="0"/>
                <w:iCs w:val="0"/>
                <w:color w:val="auto"/>
                <w:sz w:val="21"/>
                <w:szCs w:val="21"/>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1931D">
            <w:pPr>
              <w:snapToGrid w:val="0"/>
              <w:ind w:left="0" w:leftChars="0" w:right="0" w:rightChars="0" w:firstLine="0" w:firstLineChars="0"/>
              <w:jc w:val="center"/>
              <w:rPr>
                <w:rFonts w:hint="eastAsia" w:ascii="宋体" w:hAnsi="宋体" w:eastAsia="宋体" w:cs="宋体"/>
                <w:b/>
                <w:bCs/>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63E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(元/㎡)</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616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(元)</w:t>
            </w: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12F7C">
            <w:pPr>
              <w:snapToGrid w:val="0"/>
              <w:ind w:left="0" w:leftChars="0" w:right="0" w:rightChars="0" w:firstLine="0" w:firstLineChars="0"/>
              <w:jc w:val="center"/>
              <w:rPr>
                <w:rFonts w:hint="eastAsia" w:ascii="宋体" w:hAnsi="宋体" w:eastAsia="宋体" w:cs="宋体"/>
                <w:b/>
                <w:bCs/>
                <w:i w:val="0"/>
                <w:iCs w:val="0"/>
                <w:color w:val="auto"/>
                <w:sz w:val="21"/>
                <w:szCs w:val="21"/>
                <w:u w:val="none"/>
              </w:rPr>
            </w:pPr>
          </w:p>
        </w:tc>
      </w:tr>
      <w:tr w14:paraId="32B0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8A92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配套管网</w:t>
            </w:r>
            <w:r>
              <w:rPr>
                <w:rFonts w:hint="eastAsia" w:ascii="宋体" w:hAnsi="宋体" w:eastAsia="宋体" w:cs="宋体"/>
                <w:b/>
                <w:bCs/>
                <w:i w:val="0"/>
                <w:iCs w:val="0"/>
                <w:color w:val="auto"/>
                <w:kern w:val="0"/>
                <w:sz w:val="21"/>
                <w:szCs w:val="21"/>
                <w:u w:val="none"/>
                <w:lang w:val="en-US" w:eastAsia="zh-CN" w:bidi="ar"/>
              </w:rPr>
              <w:t>、专项设计</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79BF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方案-施工图设计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ACE1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478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683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024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C6FA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小学区域</w:t>
            </w:r>
            <w:r>
              <w:rPr>
                <w:rFonts w:hint="eastAsia" w:ascii="宋体" w:hAnsi="宋体" w:cs="宋体"/>
                <w:i w:val="0"/>
                <w:iCs w:val="0"/>
                <w:color w:val="auto"/>
                <w:kern w:val="0"/>
                <w:sz w:val="21"/>
                <w:szCs w:val="21"/>
                <w:u w:val="none"/>
                <w:lang w:val="en-US" w:eastAsia="zh-CN" w:bidi="ar"/>
              </w:rPr>
              <w:t>配套</w:t>
            </w:r>
            <w:r>
              <w:rPr>
                <w:rFonts w:hint="eastAsia" w:ascii="宋体" w:hAnsi="宋体" w:eastAsia="宋体" w:cs="宋体"/>
                <w:i w:val="0"/>
                <w:iCs w:val="0"/>
                <w:color w:val="auto"/>
                <w:kern w:val="0"/>
                <w:sz w:val="21"/>
                <w:szCs w:val="21"/>
                <w:u w:val="none"/>
                <w:lang w:val="en-US" w:eastAsia="zh-CN" w:bidi="ar"/>
              </w:rPr>
              <w:t>管网改造设计、排水改造设计等</w:t>
            </w:r>
          </w:p>
        </w:tc>
      </w:tr>
      <w:tr w14:paraId="5E555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3D56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建筑设计</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48B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方案设计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EDE4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305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3343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3FD0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9A2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36B16">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小学区域包含建筑、消防、水、电、燃气（如有）、</w:t>
            </w:r>
            <w:r>
              <w:rPr>
                <w:rFonts w:hint="eastAsia" w:ascii="宋体" w:hAnsi="宋体" w:cs="宋体"/>
                <w:i w:val="0"/>
                <w:iCs w:val="0"/>
                <w:color w:val="auto"/>
                <w:kern w:val="0"/>
                <w:sz w:val="21"/>
                <w:szCs w:val="21"/>
                <w:u w:val="none"/>
                <w:lang w:val="en-US" w:eastAsia="zh-CN" w:bidi="ar"/>
              </w:rPr>
              <w:t>配套管网</w:t>
            </w:r>
            <w:r>
              <w:rPr>
                <w:rFonts w:hint="eastAsia" w:ascii="宋体" w:hAnsi="宋体" w:eastAsia="宋体" w:cs="宋体"/>
                <w:i w:val="0"/>
                <w:iCs w:val="0"/>
                <w:color w:val="auto"/>
                <w:kern w:val="0"/>
                <w:sz w:val="21"/>
                <w:szCs w:val="21"/>
                <w:u w:val="none"/>
                <w:lang w:val="en-US" w:eastAsia="zh-CN" w:bidi="ar"/>
              </w:rPr>
              <w:t>和商业一次机电</w:t>
            </w:r>
          </w:p>
        </w:tc>
      </w:tr>
      <w:tr w14:paraId="4A28C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61582">
            <w:pPr>
              <w:snapToGrid w:val="0"/>
              <w:ind w:left="0" w:leftChars="0" w:right="0" w:rightChars="0" w:firstLine="0" w:firstLineChars="0"/>
              <w:jc w:val="center"/>
              <w:rPr>
                <w:rFonts w:hint="eastAsia" w:ascii="宋体" w:hAnsi="宋体" w:eastAsia="宋体" w:cs="宋体"/>
                <w:b/>
                <w:bCs/>
                <w:i w:val="0"/>
                <w:iCs w:val="0"/>
                <w:color w:val="auto"/>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600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施工图设计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19E9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E72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3343</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EB5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9139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28C1A">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r>
      <w:tr w14:paraId="719FA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942D9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景观设计</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53E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方案设计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EA812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7EF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2770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071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DA7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32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9CB8A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r>
      <w:tr w14:paraId="1148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8D5F8">
            <w:pPr>
              <w:snapToGrid w:val="0"/>
              <w:ind w:left="0" w:leftChars="0" w:right="0" w:rightChars="0" w:firstLine="0" w:firstLineChars="0"/>
              <w:jc w:val="center"/>
              <w:rPr>
                <w:rFonts w:hint="eastAsia" w:ascii="宋体" w:hAnsi="宋体" w:eastAsia="宋体" w:cs="宋体"/>
                <w:b/>
                <w:bCs/>
                <w:i w:val="0"/>
                <w:iCs w:val="0"/>
                <w:color w:val="auto"/>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CEC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施工图设计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ED4C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882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2770</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1E8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749A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32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F7076">
            <w:pPr>
              <w:snapToGrid w:val="0"/>
              <w:ind w:left="0" w:leftChars="0" w:right="0" w:rightChars="0" w:firstLine="0" w:firstLineChars="0"/>
              <w:jc w:val="center"/>
              <w:rPr>
                <w:rFonts w:hint="eastAsia" w:ascii="宋体" w:hAnsi="宋体" w:eastAsia="宋体" w:cs="宋体"/>
                <w:i w:val="0"/>
                <w:iCs w:val="0"/>
                <w:color w:val="auto"/>
                <w:sz w:val="21"/>
                <w:szCs w:val="21"/>
                <w:u w:val="none"/>
              </w:rPr>
            </w:pPr>
          </w:p>
        </w:tc>
      </w:tr>
      <w:tr w14:paraId="742BA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3E718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公区室内设计</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B7EF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方案设计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D9A6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496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1303.54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EC7B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018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F62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Style w:val="31"/>
                <w:color w:val="auto"/>
                <w:lang w:val="en-US" w:eastAsia="zh-CN" w:bidi="ar"/>
              </w:rPr>
              <w:t>包含</w:t>
            </w:r>
            <w:r>
              <w:rPr>
                <w:rStyle w:val="32"/>
                <w:color w:val="auto"/>
                <w:lang w:val="en-US" w:eastAsia="zh-CN" w:bidi="ar"/>
              </w:rPr>
              <w:t>包括小学全部走廊、阳台、楼梯、电梯厅、卫生间（小计1303.54</w:t>
            </w:r>
            <w:r>
              <w:rPr>
                <w:rStyle w:val="31"/>
                <w:color w:val="auto"/>
                <w:lang w:val="en-US" w:eastAsia="zh-CN" w:bidi="ar"/>
              </w:rPr>
              <w:t>㎡</w:t>
            </w:r>
            <w:r>
              <w:rPr>
                <w:rStyle w:val="32"/>
                <w:color w:val="auto"/>
                <w:lang w:val="en-US" w:eastAsia="zh-CN" w:bidi="ar"/>
              </w:rPr>
              <w:t>）。</w:t>
            </w:r>
            <w:r>
              <w:rPr>
                <w:rStyle w:val="31"/>
                <w:color w:val="auto"/>
                <w:lang w:val="en-US" w:eastAsia="zh-CN" w:bidi="ar"/>
              </w:rPr>
              <w:t>公区（走廊、门窗等）、钢结构雨棚</w:t>
            </w:r>
          </w:p>
        </w:tc>
      </w:tr>
      <w:tr w14:paraId="21101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C5346">
            <w:pPr>
              <w:snapToGrid w:val="0"/>
              <w:ind w:left="0" w:leftChars="0" w:right="0" w:rightChars="0" w:firstLine="0" w:firstLineChars="0"/>
              <w:jc w:val="center"/>
              <w:rPr>
                <w:rFonts w:hint="eastAsia" w:ascii="宋体" w:hAnsi="宋体" w:eastAsia="宋体" w:cs="宋体"/>
                <w:b/>
                <w:bCs/>
                <w:i w:val="0"/>
                <w:iCs w:val="0"/>
                <w:color w:val="auto"/>
                <w:sz w:val="21"/>
                <w:szCs w:val="21"/>
                <w:u w:val="none"/>
              </w:rPr>
            </w:pP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9894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施工图设计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23D4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2F3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1303.54</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BF3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8FD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4007">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门窗需厂家二次深化</w:t>
            </w:r>
          </w:p>
        </w:tc>
      </w:tr>
      <w:tr w14:paraId="17D05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12D3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VI &amp; LOGO 设计</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E8F5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方案设计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17C1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C49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E08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80B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2ADE">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方案深度，制作文件需厂家深化</w:t>
            </w:r>
          </w:p>
        </w:tc>
      </w:tr>
      <w:tr w14:paraId="6389F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F272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导视系统设计</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990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方案设计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E15B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E18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B52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539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13DC0">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方案深度，制作文件需厂家深化</w:t>
            </w:r>
          </w:p>
        </w:tc>
      </w:tr>
      <w:tr w14:paraId="3EC86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C5DD6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商业包装设计</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42A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方案设计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D7966E">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项</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857B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z w:val="21"/>
                <w:szCs w:val="21"/>
                <w:u w:val="none"/>
                <w:lang w:val="en-US" w:eastAsia="zh-CN"/>
              </w:rPr>
              <w:t>1</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AB8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9D06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i w:val="0"/>
                <w:iCs w:val="0"/>
                <w:color w:val="auto"/>
                <w:sz w:val="21"/>
                <w:szCs w:val="21"/>
                <w:u w:val="none"/>
              </w:rPr>
            </w:pPr>
          </w:p>
        </w:tc>
        <w:tc>
          <w:tcPr>
            <w:tcW w:w="3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959D">
            <w:pPr>
              <w:keepNext w:val="0"/>
              <w:keepLines w:val="0"/>
              <w:widowControl/>
              <w:suppressLineNumbers w:val="0"/>
              <w:snapToGrid w:val="0"/>
              <w:spacing w:line="240" w:lineRule="auto"/>
              <w:ind w:left="0" w:leftChars="0" w:right="0" w:rightChars="0" w:firstLine="0" w:firstLineChars="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仅包括建设阶段商业包装，方案深度，制作文件需厂家深化</w:t>
            </w:r>
          </w:p>
        </w:tc>
      </w:tr>
      <w:tr w14:paraId="4AAD6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53D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合计</w:t>
            </w:r>
          </w:p>
        </w:tc>
        <w:tc>
          <w:tcPr>
            <w:tcW w:w="1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3283">
            <w:pPr>
              <w:snapToGrid w:val="0"/>
              <w:ind w:left="0" w:leftChars="0" w:right="0" w:rightChars="0" w:firstLine="0" w:firstLineChars="0"/>
              <w:jc w:val="center"/>
              <w:rPr>
                <w:rFonts w:hint="eastAsia" w:ascii="宋体" w:hAnsi="宋体" w:eastAsia="宋体" w:cs="宋体"/>
                <w:b/>
                <w:i w:val="0"/>
                <w:iCs w:val="0"/>
                <w:color w:val="auto"/>
                <w:sz w:val="21"/>
                <w:szCs w:val="21"/>
                <w:u w:val="none"/>
              </w:rPr>
            </w:pPr>
          </w:p>
        </w:tc>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EDE3">
            <w:pPr>
              <w:snapToGrid w:val="0"/>
              <w:ind w:left="0" w:leftChars="0" w:right="0" w:rightChars="0" w:firstLine="0" w:firstLineChars="0"/>
              <w:jc w:val="center"/>
              <w:rPr>
                <w:rFonts w:hint="eastAsia" w:ascii="宋体" w:hAnsi="宋体" w:eastAsia="宋体" w:cs="宋体"/>
                <w:b/>
                <w:i w:val="0"/>
                <w:iCs w:val="0"/>
                <w:color w:val="auto"/>
                <w:sz w:val="21"/>
                <w:szCs w:val="21"/>
                <w:u w:val="none"/>
              </w:rPr>
            </w:pP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8A1F">
            <w:pPr>
              <w:snapToGrid w:val="0"/>
              <w:ind w:left="0" w:leftChars="0" w:right="0" w:rightChars="0" w:firstLine="0" w:firstLineChars="0"/>
              <w:jc w:val="center"/>
              <w:rPr>
                <w:rFonts w:hint="eastAsia" w:ascii="宋体" w:hAnsi="宋体" w:eastAsia="宋体" w:cs="宋体"/>
                <w:b/>
                <w:i w:val="0"/>
                <w:iCs w:val="0"/>
                <w:color w:val="auto"/>
                <w:sz w:val="21"/>
                <w:szCs w:val="21"/>
                <w:u w:val="none"/>
              </w:rPr>
            </w:pP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C276">
            <w:pPr>
              <w:snapToGrid w:val="0"/>
              <w:ind w:left="0" w:leftChars="0" w:right="0" w:rightChars="0" w:firstLine="0" w:firstLineChars="0"/>
              <w:jc w:val="center"/>
              <w:rPr>
                <w:rFonts w:hint="eastAsia" w:ascii="宋体" w:hAnsi="宋体" w:eastAsia="宋体" w:cs="宋体"/>
                <w:b/>
                <w:i w:val="0"/>
                <w:iCs w:val="0"/>
                <w:color w:val="auto"/>
                <w:sz w:val="21"/>
                <w:szCs w:val="21"/>
                <w:u w:val="none"/>
              </w:rPr>
            </w:pP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186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0</w:t>
            </w:r>
            <w:r>
              <w:rPr>
                <w:rFonts w:hint="eastAsia" w:ascii="宋体" w:hAnsi="宋体" w:eastAsia="宋体" w:cs="宋体"/>
                <w:b/>
                <w:bCs/>
                <w:i w:val="0"/>
                <w:iCs w:val="0"/>
                <w:color w:val="auto"/>
                <w:kern w:val="0"/>
                <w:sz w:val="21"/>
                <w:szCs w:val="21"/>
                <w:u w:val="none"/>
                <w:lang w:val="en-US" w:eastAsia="zh-CN" w:bidi="ar"/>
              </w:rPr>
              <w:t xml:space="preserve"> </w:t>
            </w:r>
          </w:p>
        </w:tc>
        <w:tc>
          <w:tcPr>
            <w:tcW w:w="3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ACD2">
            <w:pPr>
              <w:snapToGrid w:val="0"/>
              <w:ind w:left="0" w:leftChars="0" w:right="0" w:rightChars="0" w:firstLine="0" w:firstLineChars="0"/>
              <w:jc w:val="center"/>
              <w:rPr>
                <w:rFonts w:hint="eastAsia" w:ascii="宋体" w:hAnsi="宋体" w:eastAsia="宋体" w:cs="宋体"/>
                <w:b/>
                <w:i w:val="0"/>
                <w:iCs w:val="0"/>
                <w:color w:val="auto"/>
                <w:sz w:val="22"/>
                <w:szCs w:val="22"/>
                <w:u w:val="none"/>
              </w:rPr>
            </w:pPr>
          </w:p>
        </w:tc>
      </w:tr>
    </w:tbl>
    <w:p w14:paraId="4316F8F0">
      <w:pPr>
        <w:spacing w:line="360" w:lineRule="auto"/>
        <w:rPr>
          <w:rFonts w:hint="eastAsia" w:ascii="宋体" w:hAnsi="宋体" w:cs="宋体"/>
          <w:b/>
          <w:color w:val="auto"/>
          <w:sz w:val="24"/>
          <w:szCs w:val="24"/>
          <w:highlight w:val="none"/>
          <w:lang w:val="zh-CN"/>
        </w:rPr>
      </w:pPr>
      <w:r>
        <w:rPr>
          <w:rFonts w:hint="eastAsia" w:ascii="宋体" w:hAnsi="宋体" w:eastAsia="宋体" w:cs="宋体"/>
          <w:b/>
          <w:color w:val="auto"/>
          <w:sz w:val="21"/>
          <w:szCs w:val="21"/>
          <w:highlight w:val="none"/>
        </w:rPr>
        <w:br w:type="page"/>
      </w:r>
      <w:r>
        <w:rPr>
          <w:rFonts w:hint="eastAsia" w:ascii="宋体" w:hAnsi="宋体" w:cs="宋体"/>
          <w:b/>
          <w:color w:val="auto"/>
          <w:sz w:val="24"/>
          <w:szCs w:val="24"/>
          <w:highlight w:val="none"/>
        </w:rPr>
        <w:t>格式四：</w:t>
      </w:r>
      <w:r>
        <w:rPr>
          <w:rFonts w:hint="eastAsia" w:ascii="宋体" w:hAnsi="宋体" w:cs="宋体"/>
          <w:b/>
          <w:color w:val="auto"/>
          <w:sz w:val="24"/>
          <w:szCs w:val="24"/>
          <w:highlight w:val="none"/>
          <w:lang w:val="zh-CN"/>
        </w:rPr>
        <w:t>参与编制投标文件人员名单</w:t>
      </w:r>
      <w:bookmarkEnd w:id="1131"/>
      <w:bookmarkEnd w:id="1132"/>
    </w:p>
    <w:p w14:paraId="6B767A43">
      <w:pPr>
        <w:spacing w:line="360" w:lineRule="auto"/>
        <w:rPr>
          <w:rFonts w:hint="eastAsia" w:ascii="宋体" w:hAnsi="宋体" w:cs="宋体"/>
          <w:b/>
          <w:color w:val="auto"/>
          <w:sz w:val="24"/>
          <w:szCs w:val="24"/>
          <w:highlight w:val="none"/>
          <w:lang w:val="zh-CN"/>
        </w:rPr>
      </w:pPr>
    </w:p>
    <w:p w14:paraId="69A50184">
      <w:pPr>
        <w:autoSpaceDE w:val="0"/>
        <w:autoSpaceDN w:val="0"/>
        <w:adjustRightInd w:val="0"/>
        <w:spacing w:line="360" w:lineRule="auto"/>
        <w:jc w:val="center"/>
        <w:rPr>
          <w:rFonts w:hint="eastAsia" w:ascii="宋体" w:hAnsi="宋体" w:cs="宋体"/>
          <w:caps/>
          <w:color w:val="auto"/>
          <w:sz w:val="24"/>
          <w:szCs w:val="24"/>
          <w:highlight w:val="none"/>
        </w:rPr>
      </w:pPr>
      <w:r>
        <w:rPr>
          <w:rFonts w:hint="eastAsia" w:ascii="宋体" w:hAnsi="宋体" w:cs="宋体"/>
          <w:b/>
          <w:bCs/>
          <w:color w:val="auto"/>
          <w:sz w:val="28"/>
          <w:szCs w:val="28"/>
          <w:highlight w:val="none"/>
          <w:lang w:val="zh-CN"/>
        </w:rPr>
        <w:t>参与编制投标文件人员名单</w:t>
      </w:r>
    </w:p>
    <w:tbl>
      <w:tblPr>
        <w:tblStyle w:val="17"/>
        <w:tblW w:w="99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44"/>
        <w:gridCol w:w="1479"/>
        <w:gridCol w:w="2619"/>
        <w:gridCol w:w="2762"/>
        <w:gridCol w:w="1654"/>
      </w:tblGrid>
      <w:tr w14:paraId="7F939A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jc w:val="center"/>
        </w:trPr>
        <w:tc>
          <w:tcPr>
            <w:tcW w:w="1444" w:type="dxa"/>
            <w:vAlign w:val="center"/>
          </w:tcPr>
          <w:p w14:paraId="75969463">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479" w:type="dxa"/>
            <w:vAlign w:val="center"/>
          </w:tcPr>
          <w:p w14:paraId="7D8B9DF5">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619" w:type="dxa"/>
            <w:vAlign w:val="center"/>
          </w:tcPr>
          <w:p w14:paraId="2B8B6EB5">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所承担工作</w:t>
            </w:r>
          </w:p>
        </w:tc>
        <w:tc>
          <w:tcPr>
            <w:tcW w:w="2762" w:type="dxa"/>
            <w:vAlign w:val="center"/>
          </w:tcPr>
          <w:p w14:paraId="466F2F12">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tc>
        <w:tc>
          <w:tcPr>
            <w:tcW w:w="1654" w:type="dxa"/>
            <w:vAlign w:val="center"/>
          </w:tcPr>
          <w:p w14:paraId="4FB32DAA">
            <w:pPr>
              <w:tabs>
                <w:tab w:val="left" w:pos="0"/>
                <w:tab w:val="left" w:pos="720"/>
              </w:tabs>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本人签名栏</w:t>
            </w:r>
          </w:p>
        </w:tc>
      </w:tr>
      <w:tr w14:paraId="49741B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68" w:hRule="atLeast"/>
          <w:jc w:val="center"/>
        </w:trPr>
        <w:tc>
          <w:tcPr>
            <w:tcW w:w="1444" w:type="dxa"/>
            <w:vAlign w:val="center"/>
          </w:tcPr>
          <w:p w14:paraId="4C0FC329">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479" w:type="dxa"/>
            <w:vAlign w:val="center"/>
          </w:tcPr>
          <w:p w14:paraId="6B502B05">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619" w:type="dxa"/>
            <w:vAlign w:val="center"/>
          </w:tcPr>
          <w:p w14:paraId="00A539C5">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762" w:type="dxa"/>
            <w:vAlign w:val="center"/>
          </w:tcPr>
          <w:p w14:paraId="44752FE1">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654" w:type="dxa"/>
            <w:vAlign w:val="center"/>
          </w:tcPr>
          <w:p w14:paraId="58886999">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r>
      <w:tr w14:paraId="036A77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vAlign w:val="center"/>
          </w:tcPr>
          <w:p w14:paraId="502003D7">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479" w:type="dxa"/>
            <w:vAlign w:val="center"/>
          </w:tcPr>
          <w:p w14:paraId="7B9328AE">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619" w:type="dxa"/>
            <w:vAlign w:val="center"/>
          </w:tcPr>
          <w:p w14:paraId="105EA784">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762" w:type="dxa"/>
            <w:vAlign w:val="center"/>
          </w:tcPr>
          <w:p w14:paraId="7850FEBC">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654" w:type="dxa"/>
            <w:vAlign w:val="center"/>
          </w:tcPr>
          <w:p w14:paraId="47EE1511">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r>
      <w:tr w14:paraId="28C169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vAlign w:val="center"/>
          </w:tcPr>
          <w:p w14:paraId="74F36C62">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479" w:type="dxa"/>
            <w:vAlign w:val="center"/>
          </w:tcPr>
          <w:p w14:paraId="6C9D3622">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619" w:type="dxa"/>
            <w:vAlign w:val="center"/>
          </w:tcPr>
          <w:p w14:paraId="6179844C">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762" w:type="dxa"/>
            <w:vAlign w:val="center"/>
          </w:tcPr>
          <w:p w14:paraId="47C7EF1C">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654" w:type="dxa"/>
            <w:vAlign w:val="center"/>
          </w:tcPr>
          <w:p w14:paraId="7DD7A64D">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r>
      <w:tr w14:paraId="55AC41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vAlign w:val="center"/>
          </w:tcPr>
          <w:p w14:paraId="6A9F3BD7">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479" w:type="dxa"/>
            <w:vAlign w:val="center"/>
          </w:tcPr>
          <w:p w14:paraId="68990541">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619" w:type="dxa"/>
            <w:vAlign w:val="center"/>
          </w:tcPr>
          <w:p w14:paraId="67A350C1">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762" w:type="dxa"/>
            <w:vAlign w:val="center"/>
          </w:tcPr>
          <w:p w14:paraId="46AA75A2">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654" w:type="dxa"/>
            <w:vAlign w:val="center"/>
          </w:tcPr>
          <w:p w14:paraId="03B3F4BB">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r>
      <w:tr w14:paraId="58F2F87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vAlign w:val="center"/>
          </w:tcPr>
          <w:p w14:paraId="1D9BE682">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479" w:type="dxa"/>
            <w:vAlign w:val="center"/>
          </w:tcPr>
          <w:p w14:paraId="2C04F263">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619" w:type="dxa"/>
            <w:vAlign w:val="center"/>
          </w:tcPr>
          <w:p w14:paraId="40280674">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762" w:type="dxa"/>
            <w:vAlign w:val="center"/>
          </w:tcPr>
          <w:p w14:paraId="04E55B69">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654" w:type="dxa"/>
            <w:vAlign w:val="center"/>
          </w:tcPr>
          <w:p w14:paraId="0D3CFE99">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r>
      <w:tr w14:paraId="1493AD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vAlign w:val="center"/>
          </w:tcPr>
          <w:p w14:paraId="314B28D2">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479" w:type="dxa"/>
            <w:vAlign w:val="center"/>
          </w:tcPr>
          <w:p w14:paraId="1EB69906">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619" w:type="dxa"/>
            <w:vAlign w:val="center"/>
          </w:tcPr>
          <w:p w14:paraId="303C841C">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762" w:type="dxa"/>
            <w:vAlign w:val="center"/>
          </w:tcPr>
          <w:p w14:paraId="49245165">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654" w:type="dxa"/>
            <w:vAlign w:val="center"/>
          </w:tcPr>
          <w:p w14:paraId="15CB73E0">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r>
      <w:tr w14:paraId="4CEEDB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vAlign w:val="center"/>
          </w:tcPr>
          <w:p w14:paraId="2B4093E1">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479" w:type="dxa"/>
            <w:vAlign w:val="center"/>
          </w:tcPr>
          <w:p w14:paraId="6EE46B11">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619" w:type="dxa"/>
            <w:vAlign w:val="center"/>
          </w:tcPr>
          <w:p w14:paraId="217404DA">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762" w:type="dxa"/>
            <w:vAlign w:val="center"/>
          </w:tcPr>
          <w:p w14:paraId="186C9CF2">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654" w:type="dxa"/>
            <w:vAlign w:val="center"/>
          </w:tcPr>
          <w:p w14:paraId="5872C31E">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r>
      <w:tr w14:paraId="2A6606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vAlign w:val="center"/>
          </w:tcPr>
          <w:p w14:paraId="17C91107">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479" w:type="dxa"/>
            <w:vAlign w:val="center"/>
          </w:tcPr>
          <w:p w14:paraId="7BC7A391">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619" w:type="dxa"/>
            <w:vAlign w:val="center"/>
          </w:tcPr>
          <w:p w14:paraId="6F299F6E">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762" w:type="dxa"/>
            <w:vAlign w:val="center"/>
          </w:tcPr>
          <w:p w14:paraId="2B8E1DA2">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654" w:type="dxa"/>
            <w:vAlign w:val="center"/>
          </w:tcPr>
          <w:p w14:paraId="56166432">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r>
      <w:tr w14:paraId="34A595A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vAlign w:val="center"/>
          </w:tcPr>
          <w:p w14:paraId="1949CA73">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479" w:type="dxa"/>
            <w:vAlign w:val="center"/>
          </w:tcPr>
          <w:p w14:paraId="213E84B6">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619" w:type="dxa"/>
            <w:vAlign w:val="center"/>
          </w:tcPr>
          <w:p w14:paraId="33B8053F">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762" w:type="dxa"/>
            <w:vAlign w:val="center"/>
          </w:tcPr>
          <w:p w14:paraId="3D5FF90A">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654" w:type="dxa"/>
            <w:vAlign w:val="center"/>
          </w:tcPr>
          <w:p w14:paraId="4FF5A0CC">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r>
      <w:tr w14:paraId="365EB7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1444" w:type="dxa"/>
            <w:vAlign w:val="center"/>
          </w:tcPr>
          <w:p w14:paraId="1F08C823">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479" w:type="dxa"/>
            <w:vAlign w:val="center"/>
          </w:tcPr>
          <w:p w14:paraId="6CADCB02">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619" w:type="dxa"/>
            <w:vAlign w:val="center"/>
          </w:tcPr>
          <w:p w14:paraId="67D6E528">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2762" w:type="dxa"/>
            <w:vAlign w:val="center"/>
          </w:tcPr>
          <w:p w14:paraId="4EBE95DD">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c>
          <w:tcPr>
            <w:tcW w:w="1654" w:type="dxa"/>
            <w:vAlign w:val="center"/>
          </w:tcPr>
          <w:p w14:paraId="41DF1497">
            <w:pPr>
              <w:tabs>
                <w:tab w:val="left" w:pos="0"/>
                <w:tab w:val="left" w:pos="720"/>
              </w:tabs>
              <w:adjustRightInd w:val="0"/>
              <w:snapToGrid w:val="0"/>
              <w:spacing w:line="360" w:lineRule="auto"/>
              <w:jc w:val="center"/>
              <w:rPr>
                <w:rFonts w:hint="eastAsia" w:ascii="宋体" w:hAnsi="宋体" w:eastAsia="宋体" w:cs="宋体"/>
                <w:color w:val="auto"/>
                <w:sz w:val="21"/>
                <w:szCs w:val="21"/>
                <w:highlight w:val="none"/>
              </w:rPr>
            </w:pPr>
          </w:p>
        </w:tc>
      </w:tr>
    </w:tbl>
    <w:p w14:paraId="3F7C6CF1">
      <w:pPr>
        <w:spacing w:line="360" w:lineRule="auto"/>
        <w:ind w:left="-283" w:leftChars="-135" w:right="-191" w:rightChars="-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注：填写参与编制标书所有人员名单应包括如编制投标文件（</w:t>
      </w:r>
      <w:r>
        <w:rPr>
          <w:rFonts w:hint="eastAsia" w:ascii="宋体" w:eastAsia="宋体" w:cs="宋体"/>
          <w:color w:val="auto"/>
          <w:highlight w:val="none"/>
          <w:lang w:eastAsia="zh-CN"/>
        </w:rPr>
        <w:t>资格审查文件、形式评审文件、工程总承包实施方案响应性评审文件</w:t>
      </w:r>
      <w:r>
        <w:rPr>
          <w:rFonts w:hint="eastAsia" w:ascii="宋体" w:hAnsi="宋体" w:eastAsia="宋体" w:cs="宋体"/>
          <w:color w:val="auto"/>
          <w:sz w:val="21"/>
          <w:szCs w:val="21"/>
          <w:highlight w:val="none"/>
        </w:rPr>
        <w:t>、定标文件）、编制报价文件、负责清样校对、负责打印及复印等所有人员在内的人员名单。</w:t>
      </w:r>
    </w:p>
    <w:p w14:paraId="7F977978">
      <w:pPr>
        <w:spacing w:line="360" w:lineRule="auto"/>
        <w:outlineLvl w:val="2"/>
        <w:rPr>
          <w:rFonts w:hint="eastAsia" w:ascii="宋体" w:hAnsi="宋体" w:cs="宋体"/>
          <w:b/>
          <w:color w:val="auto"/>
          <w:sz w:val="24"/>
          <w:szCs w:val="24"/>
          <w:highlight w:val="none"/>
          <w:lang w:val="zh-CN"/>
        </w:rPr>
      </w:pPr>
      <w:r>
        <w:rPr>
          <w:rFonts w:hint="eastAsia" w:ascii="宋体" w:hAnsi="宋体" w:eastAsia="宋体" w:cs="宋体"/>
          <w:color w:val="auto"/>
          <w:sz w:val="21"/>
          <w:szCs w:val="21"/>
          <w:highlight w:val="none"/>
        </w:rPr>
        <w:br w:type="page"/>
      </w:r>
      <w:bookmarkStart w:id="1133" w:name="_Toc3951"/>
      <w:r>
        <w:rPr>
          <w:rFonts w:hint="eastAsia" w:ascii="宋体" w:hAnsi="宋体" w:cs="宋体"/>
          <w:b/>
          <w:color w:val="auto"/>
          <w:sz w:val="24"/>
          <w:szCs w:val="24"/>
          <w:highlight w:val="none"/>
        </w:rPr>
        <w:t>格式五：合同</w:t>
      </w:r>
      <w:r>
        <w:rPr>
          <w:rFonts w:hint="eastAsia" w:ascii="宋体" w:hAnsi="宋体" w:cs="宋体"/>
          <w:b/>
          <w:color w:val="auto"/>
          <w:sz w:val="24"/>
          <w:szCs w:val="24"/>
          <w:highlight w:val="none"/>
          <w:lang w:val="zh-CN"/>
        </w:rPr>
        <w:t>承诺书</w:t>
      </w:r>
      <w:bookmarkEnd w:id="1133"/>
    </w:p>
    <w:p w14:paraId="40D118C6">
      <w:pPr>
        <w:spacing w:line="360" w:lineRule="auto"/>
        <w:jc w:val="center"/>
        <w:rPr>
          <w:rFonts w:hint="eastAsia" w:ascii="宋体" w:hAnsi="宋体"/>
          <w:b/>
          <w:color w:val="auto"/>
          <w:sz w:val="28"/>
          <w:szCs w:val="28"/>
          <w:highlight w:val="none"/>
        </w:rPr>
      </w:pPr>
      <w:r>
        <w:rPr>
          <w:rFonts w:hint="eastAsia" w:ascii="宋体" w:hAnsi="宋体"/>
          <w:b/>
          <w:color w:val="auto"/>
          <w:sz w:val="28"/>
          <w:szCs w:val="28"/>
          <w:highlight w:val="none"/>
        </w:rPr>
        <w:t>合同</w:t>
      </w:r>
      <w:r>
        <w:rPr>
          <w:rFonts w:ascii="宋体" w:hAnsi="宋体"/>
          <w:b/>
          <w:color w:val="auto"/>
          <w:sz w:val="28"/>
          <w:szCs w:val="28"/>
          <w:highlight w:val="none"/>
        </w:rPr>
        <w:t>承诺书</w:t>
      </w:r>
    </w:p>
    <w:p w14:paraId="599060AC">
      <w:pPr>
        <w:spacing w:line="360" w:lineRule="auto"/>
        <w:ind w:right="55" w:rightChars="26"/>
        <w:rPr>
          <w:rFonts w:hint="eastAsia" w:ascii="宋体" w:hAnsi="宋体"/>
          <w:color w:val="auto"/>
          <w:sz w:val="24"/>
          <w:szCs w:val="24"/>
          <w:highlight w:val="none"/>
        </w:rPr>
      </w:pPr>
    </w:p>
    <w:p w14:paraId="534DC0AA">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致：</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（招标人名称）</w:t>
      </w:r>
    </w:p>
    <w:p w14:paraId="24B0E7A0">
      <w:pPr>
        <w:spacing w:line="360" w:lineRule="auto"/>
        <w:ind w:right="55" w:rightChars="26"/>
        <w:rPr>
          <w:rFonts w:hint="eastAsia" w:ascii="宋体" w:hAnsi="宋体" w:eastAsia="宋体" w:cs="宋体"/>
          <w:color w:val="auto"/>
          <w:sz w:val="21"/>
          <w:szCs w:val="21"/>
          <w:highlight w:val="none"/>
        </w:rPr>
      </w:pPr>
    </w:p>
    <w:p w14:paraId="4EDD46A9">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我司已充分阅读了</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（项目名称）</w:t>
      </w:r>
      <w:r>
        <w:rPr>
          <w:rFonts w:hint="eastAsia" w:ascii="宋体" w:hAnsi="宋体" w:eastAsia="宋体" w:cs="宋体"/>
          <w:color w:val="auto"/>
          <w:sz w:val="21"/>
          <w:szCs w:val="21"/>
          <w:highlight w:val="none"/>
        </w:rPr>
        <w:t>招标文件并了解本项目各项承诺书的严格要求。我司承诺完全响应招标文件合同条款。如若中标，我方承诺按招标文件第三章“合同条款及格式”签署合同，并按承诺履行合同。</w:t>
      </w:r>
    </w:p>
    <w:p w14:paraId="25B9BDA9">
      <w:pPr>
        <w:spacing w:line="360" w:lineRule="auto"/>
        <w:ind w:firstLine="2730" w:firstLineChars="1300"/>
        <w:jc w:val="left"/>
        <w:rPr>
          <w:rFonts w:hint="eastAsia" w:ascii="宋体" w:hAnsi="宋体" w:eastAsia="宋体" w:cs="宋体"/>
          <w:color w:val="auto"/>
          <w:sz w:val="21"/>
          <w:szCs w:val="21"/>
          <w:highlight w:val="none"/>
        </w:rPr>
      </w:pPr>
    </w:p>
    <w:p w14:paraId="3D36CB5A">
      <w:pPr>
        <w:spacing w:line="360" w:lineRule="auto"/>
        <w:ind w:firstLine="2730" w:firstLineChars="1300"/>
        <w:jc w:val="left"/>
        <w:rPr>
          <w:rFonts w:hint="eastAsia" w:ascii="宋体" w:hAnsi="宋体" w:eastAsia="宋体" w:cs="宋体"/>
          <w:color w:val="auto"/>
          <w:sz w:val="21"/>
          <w:szCs w:val="21"/>
          <w:highlight w:val="none"/>
        </w:rPr>
      </w:pPr>
    </w:p>
    <w:p w14:paraId="4FD63D7C">
      <w:pPr>
        <w:spacing w:line="360" w:lineRule="auto"/>
        <w:ind w:firstLine="2730" w:firstLineChars="1300"/>
        <w:jc w:val="left"/>
        <w:rPr>
          <w:rFonts w:hint="eastAsia" w:ascii="宋体" w:hAnsi="宋体" w:eastAsia="宋体" w:cs="宋体"/>
          <w:color w:val="auto"/>
          <w:sz w:val="21"/>
          <w:szCs w:val="21"/>
          <w:highlight w:val="none"/>
        </w:rPr>
      </w:pPr>
    </w:p>
    <w:p w14:paraId="435810E2">
      <w:pPr>
        <w:spacing w:line="360" w:lineRule="auto"/>
        <w:ind w:firstLine="3360" w:firstLineChars="1600"/>
        <w:rPr>
          <w:rFonts w:hint="eastAsia" w:ascii="宋体" w:hAnsi="宋体" w:eastAsia="宋体" w:cs="宋体"/>
          <w:color w:val="auto"/>
          <w:sz w:val="21"/>
          <w:szCs w:val="21"/>
          <w:highlight w:val="none"/>
        </w:rPr>
      </w:pPr>
      <w:bookmarkStart w:id="1134" w:name="_Toc30662"/>
      <w:r>
        <w:rPr>
          <w:rFonts w:hint="eastAsia" w:ascii="宋体" w:hAnsi="宋体" w:eastAsia="宋体" w:cs="宋体"/>
          <w:color w:val="auto"/>
          <w:sz w:val="21"/>
          <w:szCs w:val="21"/>
          <w:highlight w:val="none"/>
        </w:rPr>
        <w:t xml:space="preserve">投标人：    </w:t>
      </w:r>
    </w:p>
    <w:p w14:paraId="69A9770B">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14:paraId="3CCCCB29">
      <w:pPr>
        <w:spacing w:line="360" w:lineRule="auto"/>
        <w:outlineLvl w:val="2"/>
        <w:rPr>
          <w:rFonts w:hint="eastAsia" w:ascii="宋体" w:hAnsi="宋体" w:cs="宋体"/>
          <w:b/>
          <w:snapToGrid w:val="0"/>
          <w:color w:val="auto"/>
          <w:spacing w:val="4"/>
          <w:kern w:val="0"/>
          <w:sz w:val="28"/>
          <w:szCs w:val="28"/>
          <w:highlight w:val="none"/>
        </w:rPr>
      </w:pPr>
      <w:r>
        <w:rPr>
          <w:rFonts w:hint="eastAsia" w:ascii="宋体" w:hAnsi="宋体" w:cs="宋体"/>
          <w:b/>
          <w:color w:val="auto"/>
          <w:sz w:val="24"/>
          <w:szCs w:val="24"/>
          <w:highlight w:val="none"/>
        </w:rPr>
        <w:br w:type="page"/>
      </w:r>
      <w:r>
        <w:rPr>
          <w:rFonts w:hint="eastAsia" w:ascii="宋体" w:hAnsi="宋体" w:cs="宋体"/>
          <w:b/>
          <w:color w:val="auto"/>
          <w:sz w:val="24"/>
          <w:szCs w:val="24"/>
          <w:highlight w:val="none"/>
        </w:rPr>
        <w:t>格式六：</w:t>
      </w:r>
      <w:bookmarkEnd w:id="1134"/>
      <w:r>
        <w:rPr>
          <w:rFonts w:hint="eastAsia" w:ascii="宋体" w:hAnsi="宋体" w:cs="宋体"/>
          <w:b/>
          <w:snapToGrid w:val="0"/>
          <w:color w:val="auto"/>
          <w:spacing w:val="4"/>
          <w:kern w:val="0"/>
          <w:sz w:val="28"/>
          <w:szCs w:val="28"/>
          <w:highlight w:val="none"/>
        </w:rPr>
        <w:t>危险性较大的分部分项工程清单及超过一定规模的危险性较大的分部分项工程清单</w:t>
      </w:r>
    </w:p>
    <w:p w14:paraId="5AA3F702">
      <w:pPr>
        <w:pStyle w:val="30"/>
        <w:numPr>
          <w:ilvl w:val="0"/>
          <w:numId w:val="5"/>
        </w:numPr>
        <w:wordWrap w:val="0"/>
        <w:autoSpaceDE w:val="0"/>
        <w:autoSpaceDN w:val="0"/>
        <w:adjustRightInd w:val="0"/>
        <w:spacing w:line="360" w:lineRule="auto"/>
        <w:ind w:firstLineChars="0"/>
        <w:jc w:val="left"/>
        <w:rPr>
          <w:rFonts w:hint="eastAsia" w:ascii="宋体" w:hAnsi="宋体" w:cs="宋体"/>
          <w:color w:val="auto"/>
          <w:szCs w:val="21"/>
          <w:highlight w:val="none"/>
        </w:rPr>
      </w:pPr>
      <w:r>
        <w:rPr>
          <w:rFonts w:hint="eastAsia" w:ascii="宋体" w:hAnsi="宋体" w:cs="宋体"/>
          <w:color w:val="auto"/>
          <w:szCs w:val="21"/>
          <w:highlight w:val="none"/>
        </w:rPr>
        <w:t>根据中华人民共和国住房和城乡建设部令第37号《危险性较大的分部分项工程安全管理规定》（以下简称“37号文”），投标人在投标时须补充完善危大工程清单并明确相应的安全管理措施。</w:t>
      </w:r>
    </w:p>
    <w:p w14:paraId="6DEDB3E6">
      <w:pPr>
        <w:pStyle w:val="30"/>
        <w:numPr>
          <w:ilvl w:val="0"/>
          <w:numId w:val="5"/>
        </w:numPr>
        <w:wordWrap w:val="0"/>
        <w:autoSpaceDE w:val="0"/>
        <w:autoSpaceDN w:val="0"/>
        <w:adjustRightInd w:val="0"/>
        <w:spacing w:line="360" w:lineRule="auto"/>
        <w:ind w:firstLineChars="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投</w:t>
      </w:r>
      <w:r>
        <w:rPr>
          <w:rFonts w:hint="eastAsia" w:ascii="宋体" w:hAnsi="宋体" w:cs="宋体"/>
          <w:color w:val="auto"/>
          <w:szCs w:val="21"/>
          <w:highlight w:val="none"/>
        </w:rPr>
        <w:t>标人根据</w:t>
      </w:r>
      <w:r>
        <w:rPr>
          <w:rFonts w:hint="eastAsia" w:ascii="宋体" w:hAnsi="宋体" w:cs="宋体"/>
          <w:color w:val="auto"/>
          <w:szCs w:val="21"/>
          <w:highlight w:val="none"/>
          <w:lang w:val="en-US" w:eastAsia="zh-CN"/>
        </w:rPr>
        <w:t>自身</w:t>
      </w:r>
      <w:r>
        <w:rPr>
          <w:rFonts w:hint="eastAsia" w:ascii="宋体" w:hAnsi="宋体" w:cs="宋体"/>
          <w:color w:val="auto"/>
          <w:szCs w:val="21"/>
          <w:highlight w:val="none"/>
        </w:rPr>
        <w:t>设计文件的要求及37号文的规定列出“危险性较大的分部分项工程清单及超过一定规模的危险性较大的分部分项工程清单”中与本招标项目相关的清单项，具体详见第5点“打√”标识</w:t>
      </w:r>
      <w:r>
        <w:rPr>
          <w:rFonts w:hint="eastAsia" w:ascii="宋体" w:hAnsi="宋体" w:cs="宋体"/>
          <w:color w:val="auto"/>
          <w:szCs w:val="21"/>
          <w:highlight w:val="none"/>
          <w:lang w:eastAsia="zh-CN"/>
        </w:rPr>
        <w:t>，</w:t>
      </w:r>
      <w:r>
        <w:rPr>
          <w:rFonts w:hint="eastAsia" w:ascii="宋体" w:hAnsi="宋体" w:cs="宋体"/>
          <w:color w:val="auto"/>
          <w:szCs w:val="21"/>
          <w:highlight w:val="none"/>
        </w:rPr>
        <w:t>并</w:t>
      </w:r>
      <w:r>
        <w:rPr>
          <w:rFonts w:hint="eastAsia" w:ascii="宋体" w:hAnsi="宋体" w:cs="宋体"/>
          <w:color w:val="auto"/>
          <w:szCs w:val="21"/>
          <w:highlight w:val="none"/>
          <w:lang w:val="en-US" w:eastAsia="zh-CN"/>
        </w:rPr>
        <w:t>于</w:t>
      </w:r>
      <w:r>
        <w:rPr>
          <w:rFonts w:hint="eastAsia" w:ascii="宋体" w:hAnsi="宋体" w:cs="宋体"/>
          <w:color w:val="auto"/>
          <w:szCs w:val="21"/>
          <w:highlight w:val="none"/>
        </w:rPr>
        <w:t>投标文件中提供相应的安全管理措施。</w:t>
      </w:r>
    </w:p>
    <w:p w14:paraId="7F0505C0">
      <w:pPr>
        <w:pStyle w:val="30"/>
        <w:numPr>
          <w:ilvl w:val="0"/>
          <w:numId w:val="5"/>
        </w:numPr>
        <w:wordWrap w:val="0"/>
        <w:autoSpaceDE w:val="0"/>
        <w:autoSpaceDN w:val="0"/>
        <w:adjustRightInd w:val="0"/>
        <w:spacing w:line="360" w:lineRule="auto"/>
        <w:ind w:firstLineChars="0"/>
        <w:jc w:val="left"/>
        <w:rPr>
          <w:rFonts w:hint="eastAsia" w:ascii="宋体" w:hAnsi="宋体" w:cs="宋体"/>
          <w:color w:val="auto"/>
          <w:szCs w:val="21"/>
          <w:highlight w:val="none"/>
        </w:rPr>
      </w:pPr>
      <w:r>
        <w:rPr>
          <w:rFonts w:hint="eastAsia" w:ascii="宋体" w:hAnsi="宋体" w:cs="宋体"/>
          <w:color w:val="auto"/>
          <w:szCs w:val="21"/>
          <w:highlight w:val="none"/>
        </w:rPr>
        <w:t>投标单位应当在投标时根据</w:t>
      </w:r>
      <w:r>
        <w:rPr>
          <w:rFonts w:hint="eastAsia" w:ascii="宋体" w:hAnsi="宋体" w:cs="宋体"/>
          <w:color w:val="auto"/>
          <w:szCs w:val="21"/>
          <w:highlight w:val="none"/>
          <w:lang w:val="en-US" w:eastAsia="zh-CN"/>
        </w:rPr>
        <w:t>勾选的</w:t>
      </w:r>
      <w:r>
        <w:rPr>
          <w:rFonts w:hint="eastAsia" w:ascii="宋体" w:hAnsi="宋体" w:cs="宋体"/>
          <w:color w:val="auto"/>
          <w:szCs w:val="21"/>
          <w:highlight w:val="none"/>
        </w:rPr>
        <w:t>下述第5点清单，在投标施工组织中编制专项施工方案。</w:t>
      </w:r>
    </w:p>
    <w:p w14:paraId="20F813C9">
      <w:pPr>
        <w:pStyle w:val="30"/>
        <w:numPr>
          <w:ilvl w:val="0"/>
          <w:numId w:val="5"/>
        </w:numPr>
        <w:wordWrap w:val="0"/>
        <w:autoSpaceDE w:val="0"/>
        <w:autoSpaceDN w:val="0"/>
        <w:adjustRightInd w:val="0"/>
        <w:spacing w:line="360" w:lineRule="auto"/>
        <w:ind w:firstLineChars="0"/>
        <w:jc w:val="left"/>
        <w:rPr>
          <w:rFonts w:hint="eastAsia" w:ascii="宋体" w:hAnsi="宋体" w:cs="宋体"/>
          <w:color w:val="auto"/>
          <w:szCs w:val="21"/>
          <w:highlight w:val="none"/>
        </w:rPr>
      </w:pPr>
      <w:r>
        <w:rPr>
          <w:rFonts w:hint="eastAsia" w:ascii="宋体" w:hAnsi="宋体" w:cs="宋体"/>
          <w:color w:val="auto"/>
          <w:szCs w:val="21"/>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6FE986C6">
      <w:pPr>
        <w:pStyle w:val="30"/>
        <w:wordWrap w:val="0"/>
        <w:autoSpaceDE w:val="0"/>
        <w:autoSpaceDN w:val="0"/>
        <w:adjustRightInd w:val="0"/>
        <w:spacing w:line="36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t>5、危险性较大的分部分项工程清单及超过一定规模的危险性较大的分部分项工程清单：</w:t>
      </w:r>
    </w:p>
    <w:tbl>
      <w:tblPr>
        <w:tblStyle w:val="17"/>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5"/>
        <w:gridCol w:w="1664"/>
        <w:gridCol w:w="731"/>
      </w:tblGrid>
      <w:tr w14:paraId="4765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vAlign w:val="center"/>
          </w:tcPr>
          <w:p w14:paraId="7424B026">
            <w:pPr>
              <w:wordWrap w:val="0"/>
              <w:jc w:val="center"/>
              <w:rPr>
                <w:rFonts w:hint="eastAsia" w:ascii="宋体" w:hAnsi="宋体" w:cs="宋体"/>
                <w:b/>
                <w:color w:val="auto"/>
                <w:szCs w:val="21"/>
                <w:highlight w:val="none"/>
              </w:rPr>
            </w:pPr>
            <w:r>
              <w:rPr>
                <w:rFonts w:hint="eastAsia" w:ascii="宋体" w:hAnsi="宋体" w:cs="宋体"/>
                <w:b/>
                <w:color w:val="auto"/>
                <w:szCs w:val="21"/>
                <w:highlight w:val="none"/>
              </w:rPr>
              <w:t>一、危险性较大的分部分项工程清单</w:t>
            </w:r>
          </w:p>
        </w:tc>
        <w:tc>
          <w:tcPr>
            <w:tcW w:w="1664" w:type="dxa"/>
            <w:tcBorders>
              <w:top w:val="single" w:color="auto" w:sz="4" w:space="0"/>
              <w:left w:val="single" w:color="auto" w:sz="4" w:space="0"/>
              <w:bottom w:val="single" w:color="auto" w:sz="4" w:space="0"/>
              <w:right w:val="single" w:color="auto" w:sz="4" w:space="0"/>
            </w:tcBorders>
            <w:vAlign w:val="center"/>
          </w:tcPr>
          <w:p w14:paraId="6BBF9B26">
            <w:pPr>
              <w:wordWrap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投标单位</w:t>
            </w:r>
          </w:p>
        </w:tc>
        <w:tc>
          <w:tcPr>
            <w:tcW w:w="731" w:type="dxa"/>
            <w:tcBorders>
              <w:top w:val="single" w:color="auto" w:sz="4" w:space="0"/>
              <w:left w:val="single" w:color="auto" w:sz="4" w:space="0"/>
              <w:bottom w:val="single" w:color="auto" w:sz="4" w:space="0"/>
              <w:right w:val="single" w:color="auto" w:sz="4" w:space="0"/>
            </w:tcBorders>
            <w:vAlign w:val="center"/>
          </w:tcPr>
          <w:p w14:paraId="42472800">
            <w:pPr>
              <w:wordWrap w:val="0"/>
              <w:jc w:val="center"/>
              <w:rPr>
                <w:rFonts w:hint="eastAsia" w:ascii="宋体" w:hAnsi="宋体" w:cs="宋体"/>
                <w:b/>
                <w:bCs/>
                <w:color w:val="auto"/>
                <w:szCs w:val="21"/>
                <w:highlight w:val="none"/>
              </w:rPr>
            </w:pPr>
            <w:r>
              <w:rPr>
                <w:rFonts w:hint="eastAsia" w:ascii="宋体" w:hAnsi="宋体" w:cs="宋体"/>
                <w:b/>
                <w:bCs/>
                <w:color w:val="auto"/>
                <w:szCs w:val="21"/>
                <w:highlight w:val="none"/>
              </w:rPr>
              <w:t>备注</w:t>
            </w:r>
          </w:p>
        </w:tc>
      </w:tr>
      <w:tr w14:paraId="7E63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52BF14C3">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一、基坑支护</w:t>
            </w:r>
          </w:p>
        </w:tc>
        <w:tc>
          <w:tcPr>
            <w:tcW w:w="1664" w:type="dxa"/>
            <w:tcBorders>
              <w:top w:val="single" w:color="auto" w:sz="4" w:space="0"/>
              <w:left w:val="single" w:color="auto" w:sz="4" w:space="0"/>
              <w:bottom w:val="single" w:color="auto" w:sz="4" w:space="0"/>
              <w:right w:val="single" w:color="auto" w:sz="4" w:space="0"/>
            </w:tcBorders>
            <w:vAlign w:val="center"/>
          </w:tcPr>
          <w:p w14:paraId="14226EB1">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0C7A0879">
            <w:pPr>
              <w:wordWrap w:val="0"/>
              <w:jc w:val="center"/>
              <w:rPr>
                <w:rFonts w:hint="eastAsia" w:ascii="宋体" w:hAnsi="宋体" w:cs="宋体"/>
                <w:color w:val="auto"/>
                <w:szCs w:val="21"/>
                <w:highlight w:val="none"/>
              </w:rPr>
            </w:pPr>
          </w:p>
        </w:tc>
      </w:tr>
      <w:tr w14:paraId="7EF5D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757AB131">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（一）开挖深度超过3m（含3m）的基坑（槽）的土方开挖、支护、降水工程。</w:t>
            </w:r>
          </w:p>
        </w:tc>
        <w:tc>
          <w:tcPr>
            <w:tcW w:w="1664" w:type="dxa"/>
            <w:tcBorders>
              <w:top w:val="single" w:color="auto" w:sz="4" w:space="0"/>
              <w:left w:val="single" w:color="auto" w:sz="4" w:space="0"/>
              <w:bottom w:val="single" w:color="auto" w:sz="4" w:space="0"/>
              <w:right w:val="single" w:color="auto" w:sz="4" w:space="0"/>
            </w:tcBorders>
            <w:vAlign w:val="center"/>
          </w:tcPr>
          <w:p w14:paraId="542F8CAE">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5A55FC60">
            <w:pPr>
              <w:wordWrap w:val="0"/>
              <w:jc w:val="center"/>
              <w:rPr>
                <w:rFonts w:hint="eastAsia" w:ascii="宋体" w:hAnsi="宋体" w:cs="宋体"/>
                <w:color w:val="auto"/>
                <w:szCs w:val="21"/>
                <w:highlight w:val="none"/>
              </w:rPr>
            </w:pPr>
          </w:p>
        </w:tc>
      </w:tr>
      <w:tr w14:paraId="77B0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2D4018BB">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（二）开挖深度虽未超过3m，但地质条件、周围环境和地下管线复杂，或影响毗邻建、构筑物安全的基坑（槽）的土方开挖、支护、降水工程。</w:t>
            </w:r>
          </w:p>
        </w:tc>
        <w:tc>
          <w:tcPr>
            <w:tcW w:w="1664" w:type="dxa"/>
            <w:tcBorders>
              <w:top w:val="single" w:color="auto" w:sz="4" w:space="0"/>
              <w:left w:val="single" w:color="auto" w:sz="4" w:space="0"/>
              <w:bottom w:val="single" w:color="auto" w:sz="4" w:space="0"/>
              <w:right w:val="single" w:color="auto" w:sz="4" w:space="0"/>
            </w:tcBorders>
            <w:vAlign w:val="center"/>
          </w:tcPr>
          <w:p w14:paraId="55E21F21">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66B5F025">
            <w:pPr>
              <w:wordWrap w:val="0"/>
              <w:jc w:val="center"/>
              <w:rPr>
                <w:rFonts w:hint="eastAsia" w:ascii="宋体" w:hAnsi="宋体" w:cs="宋体"/>
                <w:color w:val="auto"/>
                <w:szCs w:val="21"/>
                <w:highlight w:val="none"/>
              </w:rPr>
            </w:pPr>
          </w:p>
        </w:tc>
      </w:tr>
      <w:tr w14:paraId="68298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597D9EF1">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二、模板工程及支撑体系</w:t>
            </w:r>
          </w:p>
        </w:tc>
        <w:tc>
          <w:tcPr>
            <w:tcW w:w="1664" w:type="dxa"/>
            <w:tcBorders>
              <w:top w:val="single" w:color="auto" w:sz="4" w:space="0"/>
              <w:left w:val="single" w:color="auto" w:sz="4" w:space="0"/>
              <w:bottom w:val="single" w:color="auto" w:sz="4" w:space="0"/>
              <w:right w:val="single" w:color="auto" w:sz="4" w:space="0"/>
            </w:tcBorders>
            <w:vAlign w:val="center"/>
          </w:tcPr>
          <w:p w14:paraId="6D477D21">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2F01D7D0">
            <w:pPr>
              <w:wordWrap w:val="0"/>
              <w:jc w:val="center"/>
              <w:rPr>
                <w:rFonts w:hint="eastAsia" w:ascii="宋体" w:hAnsi="宋体" w:cs="宋体"/>
                <w:color w:val="auto"/>
                <w:szCs w:val="21"/>
                <w:highlight w:val="none"/>
              </w:rPr>
            </w:pPr>
          </w:p>
        </w:tc>
      </w:tr>
      <w:tr w14:paraId="6576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02263795">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（一）各类工具式模板工程：包括滑模、爬模、飞模、隧道模等工程。</w:t>
            </w:r>
          </w:p>
        </w:tc>
        <w:tc>
          <w:tcPr>
            <w:tcW w:w="1664" w:type="dxa"/>
            <w:tcBorders>
              <w:top w:val="single" w:color="auto" w:sz="4" w:space="0"/>
              <w:left w:val="single" w:color="auto" w:sz="4" w:space="0"/>
              <w:bottom w:val="single" w:color="auto" w:sz="4" w:space="0"/>
              <w:right w:val="single" w:color="auto" w:sz="4" w:space="0"/>
            </w:tcBorders>
            <w:vAlign w:val="center"/>
          </w:tcPr>
          <w:p w14:paraId="05AA064C">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65D08FA5">
            <w:pPr>
              <w:wordWrap w:val="0"/>
              <w:jc w:val="center"/>
              <w:rPr>
                <w:rFonts w:hint="eastAsia" w:ascii="宋体" w:hAnsi="宋体" w:cs="宋体"/>
                <w:color w:val="auto"/>
                <w:szCs w:val="21"/>
                <w:highlight w:val="none"/>
              </w:rPr>
            </w:pPr>
          </w:p>
        </w:tc>
      </w:tr>
      <w:tr w14:paraId="038E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6BB2D6D2">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664" w:type="dxa"/>
            <w:tcBorders>
              <w:top w:val="single" w:color="auto" w:sz="4" w:space="0"/>
              <w:left w:val="single" w:color="auto" w:sz="4" w:space="0"/>
              <w:bottom w:val="single" w:color="auto" w:sz="4" w:space="0"/>
              <w:right w:val="single" w:color="auto" w:sz="4" w:space="0"/>
            </w:tcBorders>
            <w:vAlign w:val="center"/>
          </w:tcPr>
          <w:p w14:paraId="19EFB820">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00D24EA4">
            <w:pPr>
              <w:wordWrap w:val="0"/>
              <w:jc w:val="center"/>
              <w:rPr>
                <w:rFonts w:hint="eastAsia" w:ascii="宋体" w:hAnsi="宋体" w:cs="宋体"/>
                <w:color w:val="auto"/>
                <w:szCs w:val="21"/>
                <w:highlight w:val="none"/>
              </w:rPr>
            </w:pPr>
          </w:p>
        </w:tc>
      </w:tr>
      <w:tr w14:paraId="5B22B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48BF5D0B">
            <w:pPr>
              <w:widowControl/>
              <w:wordWrap w:val="0"/>
              <w:jc w:val="left"/>
              <w:rPr>
                <w:rFonts w:hint="eastAsia" w:ascii="宋体" w:hAnsi="宋体" w:cs="宋体"/>
                <w:color w:val="auto"/>
                <w:szCs w:val="21"/>
                <w:highlight w:val="none"/>
              </w:rPr>
            </w:pPr>
            <w:r>
              <w:rPr>
                <w:rFonts w:hint="eastAsia" w:ascii="宋体" w:hAnsi="宋体" w:cs="宋体"/>
                <w:color w:val="auto"/>
                <w:szCs w:val="21"/>
                <w:highlight w:val="none"/>
              </w:rPr>
              <w:t>（三）承重支撑体系：用于钢结构安装等满堂支撑体系。</w:t>
            </w:r>
          </w:p>
        </w:tc>
        <w:tc>
          <w:tcPr>
            <w:tcW w:w="1664" w:type="dxa"/>
            <w:tcBorders>
              <w:top w:val="single" w:color="auto" w:sz="4" w:space="0"/>
              <w:left w:val="single" w:color="auto" w:sz="4" w:space="0"/>
              <w:bottom w:val="single" w:color="auto" w:sz="4" w:space="0"/>
              <w:right w:val="single" w:color="auto" w:sz="4" w:space="0"/>
            </w:tcBorders>
            <w:vAlign w:val="center"/>
          </w:tcPr>
          <w:p w14:paraId="1E008F2F">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69BFEEDB">
            <w:pPr>
              <w:wordWrap w:val="0"/>
              <w:jc w:val="center"/>
              <w:rPr>
                <w:rFonts w:hint="eastAsia" w:ascii="宋体" w:hAnsi="宋体" w:cs="宋体"/>
                <w:color w:val="auto"/>
                <w:szCs w:val="21"/>
                <w:highlight w:val="none"/>
              </w:rPr>
            </w:pPr>
          </w:p>
        </w:tc>
      </w:tr>
      <w:tr w14:paraId="2C66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733E2F49">
            <w:pPr>
              <w:widowControl/>
              <w:wordWrap w:val="0"/>
              <w:jc w:val="left"/>
              <w:rPr>
                <w:rFonts w:hint="eastAsia" w:ascii="宋体" w:hAnsi="宋体" w:cs="宋体"/>
                <w:color w:val="auto"/>
                <w:szCs w:val="21"/>
                <w:highlight w:val="none"/>
              </w:rPr>
            </w:pPr>
            <w:r>
              <w:rPr>
                <w:rFonts w:hint="eastAsia" w:ascii="宋体" w:hAnsi="宋体" w:cs="宋体"/>
                <w:color w:val="auto"/>
                <w:szCs w:val="21"/>
                <w:highlight w:val="none"/>
              </w:rPr>
              <w:t>　三、起重吊装及起重机械安装拆卸工程</w:t>
            </w:r>
          </w:p>
        </w:tc>
        <w:tc>
          <w:tcPr>
            <w:tcW w:w="1664" w:type="dxa"/>
            <w:tcBorders>
              <w:top w:val="single" w:color="auto" w:sz="4" w:space="0"/>
              <w:left w:val="single" w:color="auto" w:sz="4" w:space="0"/>
              <w:bottom w:val="single" w:color="auto" w:sz="4" w:space="0"/>
              <w:right w:val="single" w:color="auto" w:sz="4" w:space="0"/>
            </w:tcBorders>
            <w:vAlign w:val="center"/>
          </w:tcPr>
          <w:p w14:paraId="10768C25">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4BFBD5BA">
            <w:pPr>
              <w:wordWrap w:val="0"/>
              <w:jc w:val="center"/>
              <w:rPr>
                <w:rFonts w:hint="eastAsia" w:ascii="宋体" w:hAnsi="宋体" w:cs="宋体"/>
                <w:color w:val="auto"/>
                <w:szCs w:val="21"/>
                <w:highlight w:val="none"/>
              </w:rPr>
            </w:pPr>
          </w:p>
        </w:tc>
      </w:tr>
      <w:tr w14:paraId="0B67A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68317F8B">
            <w:pPr>
              <w:widowControl/>
              <w:wordWrap w:val="0"/>
              <w:jc w:val="left"/>
              <w:rPr>
                <w:rFonts w:hint="eastAsia" w:ascii="宋体" w:hAnsi="宋体" w:cs="宋体"/>
                <w:color w:val="auto"/>
                <w:szCs w:val="21"/>
                <w:highlight w:val="none"/>
              </w:rPr>
            </w:pPr>
            <w:r>
              <w:rPr>
                <w:rFonts w:hint="eastAsia" w:ascii="宋体" w:hAnsi="宋体" w:cs="宋体"/>
                <w:color w:val="auto"/>
                <w:szCs w:val="21"/>
                <w:highlight w:val="none"/>
              </w:rPr>
              <w:t>（一）采用非常规起重设备、方法，且单件起吊重量在10kN及以上的起重吊装工程。</w:t>
            </w:r>
          </w:p>
        </w:tc>
        <w:tc>
          <w:tcPr>
            <w:tcW w:w="1664" w:type="dxa"/>
            <w:tcBorders>
              <w:top w:val="single" w:color="auto" w:sz="4" w:space="0"/>
              <w:left w:val="single" w:color="auto" w:sz="4" w:space="0"/>
              <w:bottom w:val="single" w:color="auto" w:sz="4" w:space="0"/>
              <w:right w:val="single" w:color="auto" w:sz="4" w:space="0"/>
            </w:tcBorders>
            <w:vAlign w:val="center"/>
          </w:tcPr>
          <w:p w14:paraId="62FD4B0C">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20FE8BCE">
            <w:pPr>
              <w:wordWrap w:val="0"/>
              <w:jc w:val="center"/>
              <w:rPr>
                <w:rFonts w:hint="eastAsia" w:ascii="宋体" w:hAnsi="宋体" w:cs="宋体"/>
                <w:color w:val="auto"/>
                <w:szCs w:val="21"/>
                <w:highlight w:val="none"/>
              </w:rPr>
            </w:pPr>
          </w:p>
        </w:tc>
      </w:tr>
      <w:tr w14:paraId="3821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6EB3F755">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（二）采用起重机械进行安装的工程。</w:t>
            </w:r>
          </w:p>
        </w:tc>
        <w:tc>
          <w:tcPr>
            <w:tcW w:w="1664" w:type="dxa"/>
            <w:tcBorders>
              <w:top w:val="single" w:color="auto" w:sz="4" w:space="0"/>
              <w:left w:val="single" w:color="auto" w:sz="4" w:space="0"/>
              <w:bottom w:val="single" w:color="auto" w:sz="4" w:space="0"/>
              <w:right w:val="single" w:color="auto" w:sz="4" w:space="0"/>
            </w:tcBorders>
            <w:vAlign w:val="center"/>
          </w:tcPr>
          <w:p w14:paraId="6980D24A">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6F1D405A">
            <w:pPr>
              <w:wordWrap w:val="0"/>
              <w:jc w:val="center"/>
              <w:rPr>
                <w:rFonts w:hint="eastAsia" w:ascii="宋体" w:hAnsi="宋体" w:cs="宋体"/>
                <w:color w:val="auto"/>
                <w:szCs w:val="21"/>
                <w:highlight w:val="none"/>
              </w:rPr>
            </w:pPr>
          </w:p>
        </w:tc>
      </w:tr>
      <w:tr w14:paraId="2470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5CBAE6A2">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（三）起重机械安装和拆卸工程。</w:t>
            </w:r>
          </w:p>
        </w:tc>
        <w:tc>
          <w:tcPr>
            <w:tcW w:w="1664" w:type="dxa"/>
            <w:tcBorders>
              <w:top w:val="single" w:color="auto" w:sz="4" w:space="0"/>
              <w:left w:val="single" w:color="auto" w:sz="4" w:space="0"/>
              <w:bottom w:val="single" w:color="auto" w:sz="4" w:space="0"/>
              <w:right w:val="single" w:color="auto" w:sz="4" w:space="0"/>
            </w:tcBorders>
            <w:vAlign w:val="center"/>
          </w:tcPr>
          <w:p w14:paraId="79FA237D">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48FE6731">
            <w:pPr>
              <w:wordWrap w:val="0"/>
              <w:jc w:val="center"/>
              <w:rPr>
                <w:rFonts w:hint="eastAsia" w:ascii="宋体" w:hAnsi="宋体" w:cs="宋体"/>
                <w:color w:val="auto"/>
                <w:szCs w:val="21"/>
                <w:highlight w:val="none"/>
              </w:rPr>
            </w:pPr>
          </w:p>
        </w:tc>
      </w:tr>
      <w:tr w14:paraId="7E85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35575D99">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四、脚手架工程</w:t>
            </w:r>
          </w:p>
        </w:tc>
        <w:tc>
          <w:tcPr>
            <w:tcW w:w="1664" w:type="dxa"/>
            <w:tcBorders>
              <w:top w:val="single" w:color="auto" w:sz="4" w:space="0"/>
              <w:left w:val="single" w:color="auto" w:sz="4" w:space="0"/>
              <w:bottom w:val="single" w:color="auto" w:sz="4" w:space="0"/>
              <w:right w:val="single" w:color="auto" w:sz="4" w:space="0"/>
            </w:tcBorders>
            <w:vAlign w:val="center"/>
          </w:tcPr>
          <w:p w14:paraId="674C9465">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62E23927">
            <w:pPr>
              <w:wordWrap w:val="0"/>
              <w:jc w:val="center"/>
              <w:rPr>
                <w:rFonts w:hint="eastAsia" w:ascii="宋体" w:hAnsi="宋体" w:cs="宋体"/>
                <w:color w:val="auto"/>
                <w:szCs w:val="21"/>
                <w:highlight w:val="none"/>
              </w:rPr>
            </w:pPr>
          </w:p>
        </w:tc>
      </w:tr>
      <w:tr w14:paraId="3C65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66613BC9">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（一）搭设高度24m及以上的落地式钢管脚手架工程（包括采光井、电梯井脚手架）。</w:t>
            </w:r>
          </w:p>
        </w:tc>
        <w:tc>
          <w:tcPr>
            <w:tcW w:w="1664" w:type="dxa"/>
            <w:tcBorders>
              <w:top w:val="single" w:color="auto" w:sz="4" w:space="0"/>
              <w:left w:val="single" w:color="auto" w:sz="4" w:space="0"/>
              <w:bottom w:val="single" w:color="auto" w:sz="4" w:space="0"/>
              <w:right w:val="single" w:color="auto" w:sz="4" w:space="0"/>
            </w:tcBorders>
            <w:vAlign w:val="center"/>
          </w:tcPr>
          <w:p w14:paraId="46676446">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11ABCF6A">
            <w:pPr>
              <w:wordWrap w:val="0"/>
              <w:jc w:val="center"/>
              <w:rPr>
                <w:rFonts w:hint="eastAsia" w:ascii="宋体" w:hAnsi="宋体" w:cs="宋体"/>
                <w:color w:val="auto"/>
                <w:szCs w:val="21"/>
                <w:highlight w:val="none"/>
              </w:rPr>
            </w:pPr>
          </w:p>
        </w:tc>
      </w:tr>
      <w:tr w14:paraId="7757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35917B67">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（二）附着式升降脚手架工程。</w:t>
            </w:r>
          </w:p>
        </w:tc>
        <w:tc>
          <w:tcPr>
            <w:tcW w:w="1664" w:type="dxa"/>
            <w:tcBorders>
              <w:top w:val="single" w:color="auto" w:sz="4" w:space="0"/>
              <w:left w:val="single" w:color="auto" w:sz="4" w:space="0"/>
              <w:bottom w:val="single" w:color="auto" w:sz="4" w:space="0"/>
              <w:right w:val="single" w:color="auto" w:sz="4" w:space="0"/>
            </w:tcBorders>
            <w:vAlign w:val="center"/>
          </w:tcPr>
          <w:p w14:paraId="4680845A">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098CE29A">
            <w:pPr>
              <w:wordWrap w:val="0"/>
              <w:jc w:val="center"/>
              <w:rPr>
                <w:rFonts w:hint="eastAsia" w:ascii="宋体" w:hAnsi="宋体" w:cs="宋体"/>
                <w:color w:val="auto"/>
                <w:szCs w:val="21"/>
                <w:highlight w:val="none"/>
              </w:rPr>
            </w:pPr>
          </w:p>
        </w:tc>
      </w:tr>
      <w:tr w14:paraId="6472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6E0D584A">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（三）悬挑式脚手架工程。</w:t>
            </w:r>
          </w:p>
        </w:tc>
        <w:tc>
          <w:tcPr>
            <w:tcW w:w="1664" w:type="dxa"/>
            <w:tcBorders>
              <w:top w:val="single" w:color="auto" w:sz="4" w:space="0"/>
              <w:left w:val="single" w:color="auto" w:sz="4" w:space="0"/>
              <w:bottom w:val="single" w:color="auto" w:sz="4" w:space="0"/>
              <w:right w:val="single" w:color="auto" w:sz="4" w:space="0"/>
            </w:tcBorders>
            <w:vAlign w:val="center"/>
          </w:tcPr>
          <w:p w14:paraId="696753D0">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649B14BC">
            <w:pPr>
              <w:wordWrap w:val="0"/>
              <w:jc w:val="center"/>
              <w:rPr>
                <w:rFonts w:hint="eastAsia" w:ascii="宋体" w:hAnsi="宋体" w:cs="宋体"/>
                <w:color w:val="auto"/>
                <w:szCs w:val="21"/>
                <w:highlight w:val="none"/>
              </w:rPr>
            </w:pPr>
          </w:p>
        </w:tc>
      </w:tr>
      <w:tr w14:paraId="77513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45D8B498">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（四）高处作业吊篮。</w:t>
            </w:r>
          </w:p>
        </w:tc>
        <w:tc>
          <w:tcPr>
            <w:tcW w:w="1664" w:type="dxa"/>
            <w:tcBorders>
              <w:top w:val="single" w:color="auto" w:sz="4" w:space="0"/>
              <w:left w:val="single" w:color="auto" w:sz="4" w:space="0"/>
              <w:bottom w:val="single" w:color="auto" w:sz="4" w:space="0"/>
              <w:right w:val="single" w:color="auto" w:sz="4" w:space="0"/>
            </w:tcBorders>
            <w:vAlign w:val="center"/>
          </w:tcPr>
          <w:p w14:paraId="099601B4">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100B9885">
            <w:pPr>
              <w:wordWrap w:val="0"/>
              <w:jc w:val="center"/>
              <w:rPr>
                <w:rFonts w:hint="eastAsia" w:ascii="宋体" w:hAnsi="宋体" w:cs="宋体"/>
                <w:color w:val="auto"/>
                <w:szCs w:val="21"/>
                <w:highlight w:val="none"/>
              </w:rPr>
            </w:pPr>
          </w:p>
        </w:tc>
      </w:tr>
      <w:tr w14:paraId="6C3FD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63ACFAE1">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（五）自制卸料平台、</w:t>
            </w:r>
            <w:r>
              <w:rPr>
                <w:rFonts w:hint="eastAsia" w:ascii="宋体" w:hAnsi="宋体" w:cs="宋体"/>
                <w:color w:val="auto"/>
                <w:kern w:val="0"/>
                <w:szCs w:val="21"/>
                <w:highlight w:val="none"/>
              </w:rPr>
              <w:t>移动</w:t>
            </w:r>
            <w:r>
              <w:rPr>
                <w:rFonts w:hint="eastAsia" w:ascii="宋体" w:hAnsi="宋体" w:cs="宋体"/>
                <w:color w:val="auto"/>
                <w:szCs w:val="21"/>
                <w:highlight w:val="none"/>
              </w:rPr>
              <w:t>操作平台工程。</w:t>
            </w:r>
          </w:p>
        </w:tc>
        <w:tc>
          <w:tcPr>
            <w:tcW w:w="1664" w:type="dxa"/>
            <w:tcBorders>
              <w:top w:val="single" w:color="auto" w:sz="4" w:space="0"/>
              <w:left w:val="single" w:color="auto" w:sz="4" w:space="0"/>
              <w:bottom w:val="single" w:color="auto" w:sz="4" w:space="0"/>
              <w:right w:val="single" w:color="auto" w:sz="4" w:space="0"/>
            </w:tcBorders>
            <w:vAlign w:val="center"/>
          </w:tcPr>
          <w:p w14:paraId="06BF3683">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05973587">
            <w:pPr>
              <w:wordWrap w:val="0"/>
              <w:jc w:val="center"/>
              <w:rPr>
                <w:rFonts w:hint="eastAsia" w:ascii="宋体" w:hAnsi="宋体" w:cs="宋体"/>
                <w:color w:val="auto"/>
                <w:szCs w:val="21"/>
                <w:highlight w:val="none"/>
              </w:rPr>
            </w:pPr>
          </w:p>
        </w:tc>
      </w:tr>
      <w:tr w14:paraId="6EE04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1A290B5F">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（六）异型脚手架工程。</w:t>
            </w:r>
          </w:p>
        </w:tc>
        <w:tc>
          <w:tcPr>
            <w:tcW w:w="1664" w:type="dxa"/>
            <w:tcBorders>
              <w:top w:val="single" w:color="auto" w:sz="4" w:space="0"/>
              <w:left w:val="single" w:color="auto" w:sz="4" w:space="0"/>
              <w:bottom w:val="single" w:color="auto" w:sz="4" w:space="0"/>
              <w:right w:val="single" w:color="auto" w:sz="4" w:space="0"/>
            </w:tcBorders>
            <w:vAlign w:val="center"/>
          </w:tcPr>
          <w:p w14:paraId="2CD48E85">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528F004C">
            <w:pPr>
              <w:wordWrap w:val="0"/>
              <w:jc w:val="center"/>
              <w:rPr>
                <w:rFonts w:hint="eastAsia" w:ascii="宋体" w:hAnsi="宋体" w:cs="宋体"/>
                <w:color w:val="auto"/>
                <w:szCs w:val="21"/>
                <w:highlight w:val="none"/>
              </w:rPr>
            </w:pPr>
          </w:p>
        </w:tc>
      </w:tr>
      <w:tr w14:paraId="5CD1D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14B30E23">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五、拆除工程</w:t>
            </w:r>
          </w:p>
        </w:tc>
        <w:tc>
          <w:tcPr>
            <w:tcW w:w="1664" w:type="dxa"/>
            <w:tcBorders>
              <w:top w:val="single" w:color="auto" w:sz="4" w:space="0"/>
              <w:left w:val="single" w:color="auto" w:sz="4" w:space="0"/>
              <w:bottom w:val="single" w:color="auto" w:sz="4" w:space="0"/>
              <w:right w:val="single" w:color="auto" w:sz="4" w:space="0"/>
            </w:tcBorders>
            <w:vAlign w:val="center"/>
          </w:tcPr>
          <w:p w14:paraId="00B47E30">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2B41AD67">
            <w:pPr>
              <w:wordWrap w:val="0"/>
              <w:jc w:val="center"/>
              <w:rPr>
                <w:rFonts w:hint="eastAsia" w:ascii="宋体" w:hAnsi="宋体" w:cs="宋体"/>
                <w:color w:val="auto"/>
                <w:szCs w:val="21"/>
                <w:highlight w:val="none"/>
              </w:rPr>
            </w:pPr>
          </w:p>
        </w:tc>
      </w:tr>
      <w:tr w14:paraId="06A47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3B55C3FF">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可能影响行人、交通、电力设施、通讯设施或其它建、构筑物安全的拆除工程。</w:t>
            </w:r>
          </w:p>
        </w:tc>
        <w:tc>
          <w:tcPr>
            <w:tcW w:w="1664" w:type="dxa"/>
            <w:tcBorders>
              <w:top w:val="single" w:color="auto" w:sz="4" w:space="0"/>
              <w:left w:val="single" w:color="auto" w:sz="4" w:space="0"/>
              <w:bottom w:val="single" w:color="auto" w:sz="4" w:space="0"/>
              <w:right w:val="single" w:color="auto" w:sz="4" w:space="0"/>
            </w:tcBorders>
            <w:vAlign w:val="center"/>
          </w:tcPr>
          <w:p w14:paraId="4326903E">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7A87B487">
            <w:pPr>
              <w:wordWrap w:val="0"/>
              <w:jc w:val="center"/>
              <w:rPr>
                <w:rFonts w:hint="eastAsia" w:ascii="宋体" w:hAnsi="宋体" w:cs="宋体"/>
                <w:color w:val="auto"/>
                <w:szCs w:val="21"/>
                <w:highlight w:val="none"/>
              </w:rPr>
            </w:pPr>
          </w:p>
        </w:tc>
      </w:tr>
      <w:tr w14:paraId="7A40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40B74278">
            <w:pPr>
              <w:wordWrap w:val="0"/>
              <w:jc w:val="left"/>
              <w:rPr>
                <w:rFonts w:hint="eastAsia" w:ascii="宋体" w:hAnsi="宋体" w:cs="宋体"/>
                <w:color w:val="auto"/>
                <w:szCs w:val="21"/>
                <w:highlight w:val="none"/>
              </w:rPr>
            </w:pPr>
            <w:r>
              <w:rPr>
                <w:rFonts w:hint="eastAsia" w:ascii="宋体" w:hAnsi="宋体" w:cs="宋体"/>
                <w:color w:val="auto"/>
                <w:szCs w:val="21"/>
                <w:highlight w:val="none"/>
              </w:rPr>
              <w:t>　六、暗挖工程</w:t>
            </w:r>
          </w:p>
        </w:tc>
        <w:tc>
          <w:tcPr>
            <w:tcW w:w="1664" w:type="dxa"/>
            <w:tcBorders>
              <w:top w:val="single" w:color="auto" w:sz="4" w:space="0"/>
              <w:left w:val="single" w:color="auto" w:sz="4" w:space="0"/>
              <w:bottom w:val="single" w:color="auto" w:sz="4" w:space="0"/>
              <w:right w:val="single" w:color="auto" w:sz="4" w:space="0"/>
            </w:tcBorders>
            <w:vAlign w:val="center"/>
          </w:tcPr>
          <w:p w14:paraId="11478C12">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16E01927">
            <w:pPr>
              <w:wordWrap w:val="0"/>
              <w:jc w:val="center"/>
              <w:rPr>
                <w:rFonts w:hint="eastAsia" w:ascii="宋体" w:hAnsi="宋体" w:cs="宋体"/>
                <w:color w:val="auto"/>
                <w:szCs w:val="21"/>
                <w:highlight w:val="none"/>
              </w:rPr>
            </w:pPr>
          </w:p>
        </w:tc>
      </w:tr>
      <w:tr w14:paraId="24E6A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2EE04F1A">
            <w:pPr>
              <w:wordWrap w:val="0"/>
              <w:jc w:val="left"/>
              <w:rPr>
                <w:rFonts w:hint="eastAsia" w:ascii="宋体" w:hAnsi="宋体" w:cs="宋体"/>
                <w:color w:val="auto"/>
                <w:szCs w:val="21"/>
                <w:highlight w:val="none"/>
              </w:rPr>
            </w:pPr>
            <w:r>
              <w:rPr>
                <w:rFonts w:hint="eastAsia" w:ascii="宋体" w:hAnsi="宋体" w:cs="宋体"/>
                <w:color w:val="auto"/>
                <w:szCs w:val="21"/>
                <w:highlight w:val="none"/>
              </w:rPr>
              <w:t>采用矿山法、盾构法、顶管法施工的隧道、洞室工程。</w:t>
            </w:r>
          </w:p>
        </w:tc>
        <w:tc>
          <w:tcPr>
            <w:tcW w:w="1664" w:type="dxa"/>
            <w:tcBorders>
              <w:top w:val="single" w:color="auto" w:sz="4" w:space="0"/>
              <w:left w:val="single" w:color="auto" w:sz="4" w:space="0"/>
              <w:bottom w:val="single" w:color="auto" w:sz="4" w:space="0"/>
              <w:right w:val="single" w:color="auto" w:sz="4" w:space="0"/>
            </w:tcBorders>
            <w:vAlign w:val="center"/>
          </w:tcPr>
          <w:p w14:paraId="344062F7">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65167697">
            <w:pPr>
              <w:wordWrap w:val="0"/>
              <w:jc w:val="center"/>
              <w:rPr>
                <w:rFonts w:hint="eastAsia" w:ascii="宋体" w:hAnsi="宋体" w:cs="宋体"/>
                <w:color w:val="auto"/>
                <w:szCs w:val="21"/>
                <w:highlight w:val="none"/>
              </w:rPr>
            </w:pPr>
          </w:p>
        </w:tc>
      </w:tr>
      <w:tr w14:paraId="05727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3BF6B036">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七、其它</w:t>
            </w:r>
          </w:p>
        </w:tc>
        <w:tc>
          <w:tcPr>
            <w:tcW w:w="1664" w:type="dxa"/>
            <w:tcBorders>
              <w:top w:val="single" w:color="auto" w:sz="4" w:space="0"/>
              <w:left w:val="single" w:color="auto" w:sz="4" w:space="0"/>
              <w:bottom w:val="single" w:color="auto" w:sz="4" w:space="0"/>
              <w:right w:val="single" w:color="auto" w:sz="4" w:space="0"/>
            </w:tcBorders>
            <w:vAlign w:val="center"/>
          </w:tcPr>
          <w:p w14:paraId="3E63032E">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037042D4">
            <w:pPr>
              <w:wordWrap w:val="0"/>
              <w:jc w:val="center"/>
              <w:rPr>
                <w:rFonts w:hint="eastAsia" w:ascii="宋体" w:hAnsi="宋体" w:cs="宋体"/>
                <w:color w:val="auto"/>
                <w:szCs w:val="21"/>
                <w:highlight w:val="none"/>
              </w:rPr>
            </w:pPr>
          </w:p>
        </w:tc>
      </w:tr>
      <w:tr w14:paraId="541C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03F50F0B">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（一）建筑幕墙安装工程。</w:t>
            </w:r>
          </w:p>
        </w:tc>
        <w:tc>
          <w:tcPr>
            <w:tcW w:w="1664" w:type="dxa"/>
            <w:tcBorders>
              <w:top w:val="single" w:color="auto" w:sz="4" w:space="0"/>
              <w:left w:val="single" w:color="auto" w:sz="4" w:space="0"/>
              <w:bottom w:val="single" w:color="auto" w:sz="4" w:space="0"/>
              <w:right w:val="single" w:color="auto" w:sz="4" w:space="0"/>
            </w:tcBorders>
            <w:vAlign w:val="center"/>
          </w:tcPr>
          <w:p w14:paraId="28741518">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58D33E67">
            <w:pPr>
              <w:wordWrap w:val="0"/>
              <w:jc w:val="center"/>
              <w:rPr>
                <w:rFonts w:hint="eastAsia" w:ascii="宋体" w:hAnsi="宋体" w:cs="宋体"/>
                <w:color w:val="auto"/>
                <w:szCs w:val="21"/>
                <w:highlight w:val="none"/>
              </w:rPr>
            </w:pPr>
          </w:p>
        </w:tc>
      </w:tr>
      <w:tr w14:paraId="63BA8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61599C26">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（二）钢结构、网架和索膜结构安装工程。</w:t>
            </w:r>
          </w:p>
        </w:tc>
        <w:tc>
          <w:tcPr>
            <w:tcW w:w="1664" w:type="dxa"/>
            <w:tcBorders>
              <w:top w:val="single" w:color="auto" w:sz="4" w:space="0"/>
              <w:left w:val="single" w:color="auto" w:sz="4" w:space="0"/>
              <w:bottom w:val="single" w:color="auto" w:sz="4" w:space="0"/>
              <w:right w:val="single" w:color="auto" w:sz="4" w:space="0"/>
            </w:tcBorders>
            <w:vAlign w:val="center"/>
          </w:tcPr>
          <w:p w14:paraId="741E9A19">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64708A05">
            <w:pPr>
              <w:wordWrap w:val="0"/>
              <w:jc w:val="center"/>
              <w:rPr>
                <w:rFonts w:hint="eastAsia" w:ascii="宋体" w:hAnsi="宋体" w:cs="宋体"/>
                <w:color w:val="auto"/>
                <w:szCs w:val="21"/>
                <w:highlight w:val="none"/>
              </w:rPr>
            </w:pPr>
          </w:p>
        </w:tc>
      </w:tr>
      <w:tr w14:paraId="6FE78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43A41C69">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（三）人工挖孔桩工程。</w:t>
            </w:r>
          </w:p>
        </w:tc>
        <w:tc>
          <w:tcPr>
            <w:tcW w:w="1664" w:type="dxa"/>
            <w:tcBorders>
              <w:top w:val="single" w:color="auto" w:sz="4" w:space="0"/>
              <w:left w:val="single" w:color="auto" w:sz="4" w:space="0"/>
              <w:bottom w:val="single" w:color="auto" w:sz="4" w:space="0"/>
              <w:right w:val="single" w:color="auto" w:sz="4" w:space="0"/>
            </w:tcBorders>
            <w:vAlign w:val="center"/>
          </w:tcPr>
          <w:p w14:paraId="2E0A5D14">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4ABC8B4D">
            <w:pPr>
              <w:wordWrap w:val="0"/>
              <w:jc w:val="center"/>
              <w:rPr>
                <w:rFonts w:hint="eastAsia" w:ascii="宋体" w:hAnsi="宋体" w:cs="宋体"/>
                <w:color w:val="auto"/>
                <w:szCs w:val="21"/>
                <w:highlight w:val="none"/>
              </w:rPr>
            </w:pPr>
          </w:p>
        </w:tc>
      </w:tr>
      <w:tr w14:paraId="3195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4CE874D4">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（四）水下作业工程。</w:t>
            </w:r>
          </w:p>
        </w:tc>
        <w:tc>
          <w:tcPr>
            <w:tcW w:w="1664" w:type="dxa"/>
            <w:tcBorders>
              <w:top w:val="single" w:color="auto" w:sz="4" w:space="0"/>
              <w:left w:val="single" w:color="auto" w:sz="4" w:space="0"/>
              <w:bottom w:val="single" w:color="auto" w:sz="4" w:space="0"/>
              <w:right w:val="single" w:color="auto" w:sz="4" w:space="0"/>
            </w:tcBorders>
            <w:vAlign w:val="center"/>
          </w:tcPr>
          <w:p w14:paraId="5A5557F6">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6D2947A1">
            <w:pPr>
              <w:wordWrap w:val="0"/>
              <w:jc w:val="center"/>
              <w:rPr>
                <w:rFonts w:hint="eastAsia" w:ascii="宋体" w:hAnsi="宋体" w:cs="宋体"/>
                <w:color w:val="auto"/>
                <w:szCs w:val="21"/>
                <w:highlight w:val="none"/>
              </w:rPr>
            </w:pPr>
          </w:p>
        </w:tc>
      </w:tr>
      <w:tr w14:paraId="01D5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2C0B642F">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（五）装配式建筑混凝土预制构件安装工程。</w:t>
            </w:r>
          </w:p>
        </w:tc>
        <w:tc>
          <w:tcPr>
            <w:tcW w:w="1664" w:type="dxa"/>
            <w:tcBorders>
              <w:top w:val="single" w:color="auto" w:sz="4" w:space="0"/>
              <w:left w:val="single" w:color="auto" w:sz="4" w:space="0"/>
              <w:bottom w:val="single" w:color="auto" w:sz="4" w:space="0"/>
              <w:right w:val="single" w:color="auto" w:sz="4" w:space="0"/>
            </w:tcBorders>
            <w:vAlign w:val="center"/>
          </w:tcPr>
          <w:p w14:paraId="694C8515">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662BC572">
            <w:pPr>
              <w:wordWrap w:val="0"/>
              <w:jc w:val="center"/>
              <w:rPr>
                <w:rFonts w:hint="eastAsia" w:ascii="宋体" w:hAnsi="宋体" w:cs="宋体"/>
                <w:color w:val="auto"/>
                <w:szCs w:val="21"/>
                <w:highlight w:val="none"/>
              </w:rPr>
            </w:pPr>
          </w:p>
        </w:tc>
      </w:tr>
      <w:tr w14:paraId="20FED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52687BBB">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（六）外墙吊篮安装工程</w:t>
            </w:r>
          </w:p>
        </w:tc>
        <w:tc>
          <w:tcPr>
            <w:tcW w:w="1664" w:type="dxa"/>
            <w:tcBorders>
              <w:top w:val="single" w:color="auto" w:sz="4" w:space="0"/>
              <w:left w:val="single" w:color="auto" w:sz="4" w:space="0"/>
              <w:bottom w:val="single" w:color="auto" w:sz="4" w:space="0"/>
              <w:right w:val="single" w:color="auto" w:sz="4" w:space="0"/>
            </w:tcBorders>
            <w:vAlign w:val="center"/>
          </w:tcPr>
          <w:p w14:paraId="25EBCE80">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2A557319">
            <w:pPr>
              <w:wordWrap w:val="0"/>
              <w:jc w:val="center"/>
              <w:rPr>
                <w:rFonts w:hint="eastAsia" w:ascii="宋体" w:hAnsi="宋体" w:cs="宋体"/>
                <w:color w:val="auto"/>
                <w:szCs w:val="21"/>
                <w:highlight w:val="none"/>
              </w:rPr>
            </w:pPr>
          </w:p>
        </w:tc>
      </w:tr>
      <w:tr w14:paraId="6F414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5B667D6E">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（七）采用新技术、新工艺、新材料、新设备可能影响工程施工安全，尚无国家、行业及地方技术标准的分部分项工程。</w:t>
            </w:r>
          </w:p>
        </w:tc>
        <w:tc>
          <w:tcPr>
            <w:tcW w:w="1664" w:type="dxa"/>
            <w:tcBorders>
              <w:top w:val="single" w:color="auto" w:sz="4" w:space="0"/>
              <w:left w:val="single" w:color="auto" w:sz="4" w:space="0"/>
              <w:bottom w:val="single" w:color="auto" w:sz="4" w:space="0"/>
              <w:right w:val="single" w:color="auto" w:sz="4" w:space="0"/>
            </w:tcBorders>
            <w:vAlign w:val="center"/>
          </w:tcPr>
          <w:p w14:paraId="09FFE69E">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2075B765">
            <w:pPr>
              <w:wordWrap w:val="0"/>
              <w:jc w:val="center"/>
              <w:rPr>
                <w:rFonts w:hint="eastAsia" w:ascii="宋体" w:hAnsi="宋体" w:cs="宋体"/>
                <w:color w:val="auto"/>
                <w:szCs w:val="21"/>
                <w:highlight w:val="none"/>
              </w:rPr>
            </w:pPr>
          </w:p>
        </w:tc>
      </w:tr>
      <w:tr w14:paraId="6FD37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vAlign w:val="center"/>
          </w:tcPr>
          <w:p w14:paraId="79E2B314">
            <w:pPr>
              <w:widowControl/>
              <w:wordWrap w:val="0"/>
              <w:rPr>
                <w:rFonts w:hint="eastAsia" w:ascii="宋体" w:hAnsi="宋体" w:cs="宋体"/>
                <w:b/>
                <w:color w:val="auto"/>
                <w:szCs w:val="21"/>
                <w:highlight w:val="none"/>
              </w:rPr>
            </w:pPr>
            <w:r>
              <w:rPr>
                <w:rFonts w:hint="eastAsia" w:ascii="宋体" w:hAnsi="宋体" w:cs="宋体"/>
                <w:b/>
                <w:bCs/>
                <w:color w:val="auto"/>
                <w:szCs w:val="21"/>
                <w:highlight w:val="none"/>
              </w:rPr>
              <w:t>二、超过一定规模的危险性较大的分部分项工程清单</w:t>
            </w:r>
          </w:p>
        </w:tc>
        <w:tc>
          <w:tcPr>
            <w:tcW w:w="1664" w:type="dxa"/>
            <w:tcBorders>
              <w:top w:val="single" w:color="auto" w:sz="4" w:space="0"/>
              <w:left w:val="single" w:color="auto" w:sz="4" w:space="0"/>
              <w:bottom w:val="single" w:color="auto" w:sz="4" w:space="0"/>
              <w:right w:val="single" w:color="auto" w:sz="4" w:space="0"/>
            </w:tcBorders>
            <w:vAlign w:val="center"/>
          </w:tcPr>
          <w:p w14:paraId="7C90F96E">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4AD587AA">
            <w:pPr>
              <w:wordWrap w:val="0"/>
              <w:jc w:val="center"/>
              <w:rPr>
                <w:rFonts w:hint="eastAsia" w:ascii="宋体" w:hAnsi="宋体" w:cs="宋体"/>
                <w:color w:val="auto"/>
                <w:szCs w:val="21"/>
                <w:highlight w:val="none"/>
              </w:rPr>
            </w:pPr>
          </w:p>
        </w:tc>
      </w:tr>
      <w:tr w14:paraId="084E2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03FD8301">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一、深基坑工程</w:t>
            </w:r>
          </w:p>
        </w:tc>
        <w:tc>
          <w:tcPr>
            <w:tcW w:w="1664" w:type="dxa"/>
            <w:tcBorders>
              <w:top w:val="single" w:color="auto" w:sz="4" w:space="0"/>
              <w:left w:val="single" w:color="auto" w:sz="4" w:space="0"/>
              <w:bottom w:val="single" w:color="auto" w:sz="4" w:space="0"/>
              <w:right w:val="single" w:color="auto" w:sz="4" w:space="0"/>
            </w:tcBorders>
            <w:vAlign w:val="center"/>
          </w:tcPr>
          <w:p w14:paraId="012DAE34">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40294224">
            <w:pPr>
              <w:wordWrap w:val="0"/>
              <w:jc w:val="center"/>
              <w:rPr>
                <w:rFonts w:hint="eastAsia" w:ascii="宋体" w:hAnsi="宋体" w:cs="宋体"/>
                <w:color w:val="auto"/>
                <w:szCs w:val="21"/>
                <w:highlight w:val="none"/>
              </w:rPr>
            </w:pPr>
          </w:p>
        </w:tc>
      </w:tr>
      <w:tr w14:paraId="59ADC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08ED7141">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开挖深度超过5m（含5m）的基坑（槽）的土方开挖、支护、降水工程。</w:t>
            </w:r>
          </w:p>
        </w:tc>
        <w:tc>
          <w:tcPr>
            <w:tcW w:w="1664" w:type="dxa"/>
            <w:tcBorders>
              <w:top w:val="single" w:color="auto" w:sz="4" w:space="0"/>
              <w:left w:val="single" w:color="auto" w:sz="4" w:space="0"/>
              <w:bottom w:val="single" w:color="auto" w:sz="4" w:space="0"/>
              <w:right w:val="single" w:color="auto" w:sz="4" w:space="0"/>
            </w:tcBorders>
            <w:vAlign w:val="center"/>
          </w:tcPr>
          <w:p w14:paraId="4007CB2F">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45D89D18">
            <w:pPr>
              <w:wordWrap w:val="0"/>
              <w:jc w:val="center"/>
              <w:rPr>
                <w:rFonts w:hint="eastAsia" w:ascii="宋体" w:hAnsi="宋体" w:cs="宋体"/>
                <w:color w:val="auto"/>
                <w:szCs w:val="21"/>
                <w:highlight w:val="none"/>
              </w:rPr>
            </w:pPr>
          </w:p>
        </w:tc>
      </w:tr>
      <w:tr w14:paraId="012B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26FB2E30">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二、模板工程及支撑体系</w:t>
            </w:r>
          </w:p>
        </w:tc>
        <w:tc>
          <w:tcPr>
            <w:tcW w:w="1664" w:type="dxa"/>
            <w:tcBorders>
              <w:top w:val="single" w:color="auto" w:sz="4" w:space="0"/>
              <w:left w:val="single" w:color="auto" w:sz="4" w:space="0"/>
              <w:bottom w:val="single" w:color="auto" w:sz="4" w:space="0"/>
              <w:right w:val="single" w:color="auto" w:sz="4" w:space="0"/>
            </w:tcBorders>
            <w:vAlign w:val="center"/>
          </w:tcPr>
          <w:p w14:paraId="408F451B">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1C83E43B">
            <w:pPr>
              <w:wordWrap w:val="0"/>
              <w:jc w:val="center"/>
              <w:rPr>
                <w:rFonts w:hint="eastAsia" w:ascii="宋体" w:hAnsi="宋体" w:cs="宋体"/>
                <w:color w:val="auto"/>
                <w:szCs w:val="21"/>
                <w:highlight w:val="none"/>
              </w:rPr>
            </w:pPr>
          </w:p>
        </w:tc>
      </w:tr>
      <w:tr w14:paraId="38F8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324722E6">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（一）各类工具式模板工程：包括滑模、爬模、飞模、隧道模等工程。</w:t>
            </w:r>
          </w:p>
        </w:tc>
        <w:tc>
          <w:tcPr>
            <w:tcW w:w="1664" w:type="dxa"/>
            <w:tcBorders>
              <w:top w:val="single" w:color="auto" w:sz="4" w:space="0"/>
              <w:left w:val="single" w:color="auto" w:sz="4" w:space="0"/>
              <w:bottom w:val="single" w:color="auto" w:sz="4" w:space="0"/>
              <w:right w:val="single" w:color="auto" w:sz="4" w:space="0"/>
            </w:tcBorders>
            <w:vAlign w:val="center"/>
          </w:tcPr>
          <w:p w14:paraId="45FB93F1">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56790323">
            <w:pPr>
              <w:wordWrap w:val="0"/>
              <w:jc w:val="center"/>
              <w:rPr>
                <w:rFonts w:hint="eastAsia" w:ascii="宋体" w:hAnsi="宋体" w:cs="宋体"/>
                <w:color w:val="auto"/>
                <w:szCs w:val="21"/>
                <w:highlight w:val="none"/>
              </w:rPr>
            </w:pPr>
          </w:p>
        </w:tc>
      </w:tr>
      <w:tr w14:paraId="4C2D9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53188D3F">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（二）混凝土模板支撑工程：搭设高度8m及以上，或搭设跨度18m及以上，或施工总荷载（设计值）15kN/m2及以上，或集中线荷载（设计值）20kN/m及以上。</w:t>
            </w:r>
          </w:p>
        </w:tc>
        <w:tc>
          <w:tcPr>
            <w:tcW w:w="1664" w:type="dxa"/>
            <w:tcBorders>
              <w:top w:val="single" w:color="auto" w:sz="4" w:space="0"/>
              <w:left w:val="single" w:color="auto" w:sz="4" w:space="0"/>
              <w:bottom w:val="single" w:color="auto" w:sz="4" w:space="0"/>
              <w:right w:val="single" w:color="auto" w:sz="4" w:space="0"/>
            </w:tcBorders>
            <w:vAlign w:val="center"/>
          </w:tcPr>
          <w:p w14:paraId="6438C6A5">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3FDFBFD1">
            <w:pPr>
              <w:wordWrap w:val="0"/>
              <w:jc w:val="center"/>
              <w:rPr>
                <w:rFonts w:hint="eastAsia" w:ascii="宋体" w:hAnsi="宋体" w:cs="宋体"/>
                <w:color w:val="auto"/>
                <w:szCs w:val="21"/>
                <w:highlight w:val="none"/>
              </w:rPr>
            </w:pPr>
          </w:p>
        </w:tc>
      </w:tr>
      <w:tr w14:paraId="55860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6E46CA3A">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（三）承重支撑体系：用于钢结构安装等满堂支撑体系，承受单点集中荷载7kN及以上。</w:t>
            </w:r>
          </w:p>
        </w:tc>
        <w:tc>
          <w:tcPr>
            <w:tcW w:w="1664" w:type="dxa"/>
            <w:tcBorders>
              <w:top w:val="single" w:color="auto" w:sz="4" w:space="0"/>
              <w:left w:val="single" w:color="auto" w:sz="4" w:space="0"/>
              <w:bottom w:val="single" w:color="auto" w:sz="4" w:space="0"/>
              <w:right w:val="single" w:color="auto" w:sz="4" w:space="0"/>
            </w:tcBorders>
            <w:vAlign w:val="center"/>
          </w:tcPr>
          <w:p w14:paraId="3B37CD56">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78849191">
            <w:pPr>
              <w:wordWrap w:val="0"/>
              <w:jc w:val="center"/>
              <w:rPr>
                <w:rFonts w:hint="eastAsia" w:ascii="宋体" w:hAnsi="宋体" w:cs="宋体"/>
                <w:color w:val="auto"/>
                <w:szCs w:val="21"/>
                <w:highlight w:val="none"/>
              </w:rPr>
            </w:pPr>
          </w:p>
        </w:tc>
      </w:tr>
      <w:tr w14:paraId="0D93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0A009D9A">
            <w:pPr>
              <w:wordWrap w:val="0"/>
              <w:jc w:val="left"/>
              <w:rPr>
                <w:rFonts w:hint="eastAsia" w:ascii="宋体" w:hAnsi="宋体" w:cs="宋体"/>
                <w:color w:val="auto"/>
                <w:szCs w:val="21"/>
                <w:highlight w:val="none"/>
              </w:rPr>
            </w:pPr>
            <w:r>
              <w:rPr>
                <w:rFonts w:hint="eastAsia" w:ascii="宋体" w:hAnsi="宋体" w:cs="宋体"/>
                <w:color w:val="auto"/>
                <w:szCs w:val="21"/>
                <w:highlight w:val="none"/>
              </w:rPr>
              <w:t>　三、起重吊装及起重机械安装拆卸工程</w:t>
            </w:r>
          </w:p>
        </w:tc>
        <w:tc>
          <w:tcPr>
            <w:tcW w:w="1664" w:type="dxa"/>
            <w:tcBorders>
              <w:top w:val="single" w:color="auto" w:sz="4" w:space="0"/>
              <w:left w:val="single" w:color="auto" w:sz="4" w:space="0"/>
              <w:bottom w:val="single" w:color="auto" w:sz="4" w:space="0"/>
              <w:right w:val="single" w:color="auto" w:sz="4" w:space="0"/>
            </w:tcBorders>
            <w:vAlign w:val="center"/>
          </w:tcPr>
          <w:p w14:paraId="43EC500B">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5320EC49">
            <w:pPr>
              <w:wordWrap w:val="0"/>
              <w:jc w:val="center"/>
              <w:rPr>
                <w:rFonts w:hint="eastAsia" w:ascii="宋体" w:hAnsi="宋体" w:cs="宋体"/>
                <w:color w:val="auto"/>
                <w:szCs w:val="21"/>
                <w:highlight w:val="none"/>
              </w:rPr>
            </w:pPr>
          </w:p>
        </w:tc>
      </w:tr>
      <w:tr w14:paraId="2F813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7B8700B8">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（一）采用非常规起重设备、方法，且单件起吊重量在100kN及以上的起重吊装工程。</w:t>
            </w:r>
          </w:p>
        </w:tc>
        <w:tc>
          <w:tcPr>
            <w:tcW w:w="1664" w:type="dxa"/>
            <w:tcBorders>
              <w:top w:val="single" w:color="auto" w:sz="4" w:space="0"/>
              <w:left w:val="single" w:color="auto" w:sz="4" w:space="0"/>
              <w:bottom w:val="single" w:color="auto" w:sz="4" w:space="0"/>
              <w:right w:val="single" w:color="auto" w:sz="4" w:space="0"/>
            </w:tcBorders>
            <w:vAlign w:val="center"/>
          </w:tcPr>
          <w:p w14:paraId="416FEEB2">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7654AE43">
            <w:pPr>
              <w:wordWrap w:val="0"/>
              <w:jc w:val="center"/>
              <w:rPr>
                <w:rFonts w:hint="eastAsia" w:ascii="宋体" w:hAnsi="宋体" w:cs="宋体"/>
                <w:color w:val="auto"/>
                <w:szCs w:val="21"/>
                <w:highlight w:val="none"/>
              </w:rPr>
            </w:pPr>
          </w:p>
        </w:tc>
      </w:tr>
      <w:tr w14:paraId="50508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799A6CE6">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（二）起重量300kN及以上，或搭设总高度200m及以上，或搭设基础标高在200m及以上的起重机械安装和拆卸工程。</w:t>
            </w:r>
          </w:p>
        </w:tc>
        <w:tc>
          <w:tcPr>
            <w:tcW w:w="1664" w:type="dxa"/>
            <w:tcBorders>
              <w:top w:val="single" w:color="auto" w:sz="4" w:space="0"/>
              <w:left w:val="single" w:color="auto" w:sz="4" w:space="0"/>
              <w:bottom w:val="single" w:color="auto" w:sz="4" w:space="0"/>
              <w:right w:val="single" w:color="auto" w:sz="4" w:space="0"/>
            </w:tcBorders>
            <w:vAlign w:val="center"/>
          </w:tcPr>
          <w:p w14:paraId="2148BF11">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03AAB103">
            <w:pPr>
              <w:wordWrap w:val="0"/>
              <w:jc w:val="center"/>
              <w:rPr>
                <w:rFonts w:hint="eastAsia" w:ascii="宋体" w:hAnsi="宋体" w:cs="宋体"/>
                <w:color w:val="auto"/>
                <w:szCs w:val="21"/>
                <w:highlight w:val="none"/>
              </w:rPr>
            </w:pPr>
          </w:p>
        </w:tc>
      </w:tr>
      <w:tr w14:paraId="7DAC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504A2931">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四、脚手架工程</w:t>
            </w:r>
          </w:p>
        </w:tc>
        <w:tc>
          <w:tcPr>
            <w:tcW w:w="1664" w:type="dxa"/>
            <w:tcBorders>
              <w:top w:val="single" w:color="auto" w:sz="4" w:space="0"/>
              <w:left w:val="single" w:color="auto" w:sz="4" w:space="0"/>
              <w:bottom w:val="single" w:color="auto" w:sz="4" w:space="0"/>
              <w:right w:val="single" w:color="auto" w:sz="4" w:space="0"/>
            </w:tcBorders>
            <w:vAlign w:val="center"/>
          </w:tcPr>
          <w:p w14:paraId="47393BFC">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6B4C2D05">
            <w:pPr>
              <w:wordWrap w:val="0"/>
              <w:jc w:val="center"/>
              <w:rPr>
                <w:rFonts w:hint="eastAsia" w:ascii="宋体" w:hAnsi="宋体" w:cs="宋体"/>
                <w:color w:val="auto"/>
                <w:szCs w:val="21"/>
                <w:highlight w:val="none"/>
              </w:rPr>
            </w:pPr>
          </w:p>
        </w:tc>
      </w:tr>
      <w:tr w14:paraId="60CE9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39A09E36">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（一）搭设高度50m及以上的落地式钢管脚手架工程。</w:t>
            </w:r>
          </w:p>
        </w:tc>
        <w:tc>
          <w:tcPr>
            <w:tcW w:w="1664" w:type="dxa"/>
            <w:tcBorders>
              <w:top w:val="single" w:color="auto" w:sz="4" w:space="0"/>
              <w:left w:val="single" w:color="auto" w:sz="4" w:space="0"/>
              <w:bottom w:val="single" w:color="auto" w:sz="4" w:space="0"/>
              <w:right w:val="single" w:color="auto" w:sz="4" w:space="0"/>
            </w:tcBorders>
            <w:vAlign w:val="center"/>
          </w:tcPr>
          <w:p w14:paraId="4DA9295C">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10AF96F1">
            <w:pPr>
              <w:wordWrap w:val="0"/>
              <w:jc w:val="center"/>
              <w:rPr>
                <w:rFonts w:hint="eastAsia" w:ascii="宋体" w:hAnsi="宋体" w:cs="宋体"/>
                <w:color w:val="auto"/>
                <w:szCs w:val="21"/>
                <w:highlight w:val="none"/>
              </w:rPr>
            </w:pPr>
          </w:p>
        </w:tc>
      </w:tr>
      <w:tr w14:paraId="188B5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269F5ED6">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（二）提升高度在150m及以上的附着式升降脚手架工程或附着式升降操作平台工程。</w:t>
            </w:r>
          </w:p>
        </w:tc>
        <w:tc>
          <w:tcPr>
            <w:tcW w:w="1664" w:type="dxa"/>
            <w:tcBorders>
              <w:top w:val="single" w:color="auto" w:sz="4" w:space="0"/>
              <w:left w:val="single" w:color="auto" w:sz="4" w:space="0"/>
              <w:bottom w:val="single" w:color="auto" w:sz="4" w:space="0"/>
              <w:right w:val="single" w:color="auto" w:sz="4" w:space="0"/>
            </w:tcBorders>
            <w:vAlign w:val="center"/>
          </w:tcPr>
          <w:p w14:paraId="0CB820D6">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52601170">
            <w:pPr>
              <w:wordWrap w:val="0"/>
              <w:jc w:val="center"/>
              <w:rPr>
                <w:rFonts w:hint="eastAsia" w:ascii="宋体" w:hAnsi="宋体" w:cs="宋体"/>
                <w:color w:val="auto"/>
                <w:szCs w:val="21"/>
                <w:highlight w:val="none"/>
              </w:rPr>
            </w:pPr>
          </w:p>
        </w:tc>
      </w:tr>
      <w:tr w14:paraId="06961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7D7E96C4">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（三）分段架体搭设高度20m及以上的悬挑式脚手架工程。</w:t>
            </w:r>
          </w:p>
        </w:tc>
        <w:tc>
          <w:tcPr>
            <w:tcW w:w="1664" w:type="dxa"/>
            <w:tcBorders>
              <w:top w:val="single" w:color="auto" w:sz="4" w:space="0"/>
              <w:left w:val="single" w:color="auto" w:sz="4" w:space="0"/>
              <w:bottom w:val="single" w:color="auto" w:sz="4" w:space="0"/>
              <w:right w:val="single" w:color="auto" w:sz="4" w:space="0"/>
            </w:tcBorders>
            <w:vAlign w:val="center"/>
          </w:tcPr>
          <w:p w14:paraId="76002C8C">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5632EDD7">
            <w:pPr>
              <w:wordWrap w:val="0"/>
              <w:jc w:val="center"/>
              <w:rPr>
                <w:rFonts w:hint="eastAsia" w:ascii="宋体" w:hAnsi="宋体" w:cs="宋体"/>
                <w:color w:val="auto"/>
                <w:szCs w:val="21"/>
                <w:highlight w:val="none"/>
              </w:rPr>
            </w:pPr>
          </w:p>
        </w:tc>
      </w:tr>
      <w:tr w14:paraId="0A8AE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5557349A">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五、拆除工程</w:t>
            </w:r>
          </w:p>
        </w:tc>
        <w:tc>
          <w:tcPr>
            <w:tcW w:w="1664" w:type="dxa"/>
            <w:tcBorders>
              <w:top w:val="single" w:color="auto" w:sz="4" w:space="0"/>
              <w:left w:val="single" w:color="auto" w:sz="4" w:space="0"/>
              <w:bottom w:val="single" w:color="auto" w:sz="4" w:space="0"/>
              <w:right w:val="single" w:color="auto" w:sz="4" w:space="0"/>
            </w:tcBorders>
            <w:vAlign w:val="center"/>
          </w:tcPr>
          <w:p w14:paraId="54A6399B">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6A0F795A">
            <w:pPr>
              <w:wordWrap w:val="0"/>
              <w:jc w:val="center"/>
              <w:rPr>
                <w:rFonts w:hint="eastAsia" w:ascii="宋体" w:hAnsi="宋体" w:cs="宋体"/>
                <w:color w:val="auto"/>
                <w:szCs w:val="21"/>
                <w:highlight w:val="none"/>
              </w:rPr>
            </w:pPr>
          </w:p>
        </w:tc>
      </w:tr>
      <w:tr w14:paraId="58C7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727B97EE">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（一）码头、桥梁、高架、烟囱、水塔或拆除中容易引起有毒有害气（液）体或粉尘扩散、易燃易爆事故发生的特殊建、构筑物的拆除工程。</w:t>
            </w:r>
          </w:p>
        </w:tc>
        <w:tc>
          <w:tcPr>
            <w:tcW w:w="1664" w:type="dxa"/>
            <w:tcBorders>
              <w:top w:val="single" w:color="auto" w:sz="4" w:space="0"/>
              <w:left w:val="single" w:color="auto" w:sz="4" w:space="0"/>
              <w:bottom w:val="single" w:color="auto" w:sz="4" w:space="0"/>
              <w:right w:val="single" w:color="auto" w:sz="4" w:space="0"/>
            </w:tcBorders>
            <w:vAlign w:val="center"/>
          </w:tcPr>
          <w:p w14:paraId="69F77B47">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46035990">
            <w:pPr>
              <w:wordWrap w:val="0"/>
              <w:jc w:val="center"/>
              <w:rPr>
                <w:rFonts w:hint="eastAsia" w:ascii="宋体" w:hAnsi="宋体" w:cs="宋体"/>
                <w:color w:val="auto"/>
                <w:szCs w:val="21"/>
                <w:highlight w:val="none"/>
              </w:rPr>
            </w:pPr>
          </w:p>
        </w:tc>
      </w:tr>
      <w:tr w14:paraId="67892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23683871">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（二）文物保护建筑、优秀历史建筑或历史文化风貌区影响范围内的拆除工程。</w:t>
            </w:r>
          </w:p>
        </w:tc>
        <w:tc>
          <w:tcPr>
            <w:tcW w:w="1664" w:type="dxa"/>
            <w:tcBorders>
              <w:top w:val="single" w:color="auto" w:sz="4" w:space="0"/>
              <w:left w:val="single" w:color="auto" w:sz="4" w:space="0"/>
              <w:bottom w:val="single" w:color="auto" w:sz="4" w:space="0"/>
              <w:right w:val="single" w:color="auto" w:sz="4" w:space="0"/>
            </w:tcBorders>
            <w:vAlign w:val="center"/>
          </w:tcPr>
          <w:p w14:paraId="0597162A">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2A11AA3A">
            <w:pPr>
              <w:wordWrap w:val="0"/>
              <w:jc w:val="center"/>
              <w:rPr>
                <w:rFonts w:hint="eastAsia" w:ascii="宋体" w:hAnsi="宋体" w:cs="宋体"/>
                <w:color w:val="auto"/>
                <w:szCs w:val="21"/>
                <w:highlight w:val="none"/>
              </w:rPr>
            </w:pPr>
          </w:p>
        </w:tc>
      </w:tr>
      <w:tr w14:paraId="5798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52A863B1">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六、暗挖工程</w:t>
            </w:r>
          </w:p>
        </w:tc>
        <w:tc>
          <w:tcPr>
            <w:tcW w:w="1664" w:type="dxa"/>
            <w:tcBorders>
              <w:top w:val="single" w:color="auto" w:sz="4" w:space="0"/>
              <w:left w:val="single" w:color="auto" w:sz="4" w:space="0"/>
              <w:bottom w:val="single" w:color="auto" w:sz="4" w:space="0"/>
              <w:right w:val="single" w:color="auto" w:sz="4" w:space="0"/>
            </w:tcBorders>
            <w:vAlign w:val="center"/>
          </w:tcPr>
          <w:p w14:paraId="2987594F">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573FA264">
            <w:pPr>
              <w:wordWrap w:val="0"/>
              <w:jc w:val="center"/>
              <w:rPr>
                <w:rFonts w:hint="eastAsia" w:ascii="宋体" w:hAnsi="宋体" w:cs="宋体"/>
                <w:color w:val="auto"/>
                <w:szCs w:val="21"/>
                <w:highlight w:val="none"/>
              </w:rPr>
            </w:pPr>
          </w:p>
        </w:tc>
      </w:tr>
      <w:tr w14:paraId="72617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734305B5">
            <w:pPr>
              <w:wordWrap w:val="0"/>
              <w:jc w:val="left"/>
              <w:rPr>
                <w:rFonts w:hint="eastAsia" w:ascii="宋体" w:hAnsi="宋体" w:cs="宋体"/>
                <w:color w:val="auto"/>
                <w:szCs w:val="21"/>
                <w:highlight w:val="none"/>
              </w:rPr>
            </w:pPr>
            <w:r>
              <w:rPr>
                <w:rFonts w:hint="eastAsia" w:ascii="宋体" w:hAnsi="宋体" w:cs="宋体"/>
                <w:color w:val="auto"/>
                <w:szCs w:val="21"/>
                <w:highlight w:val="none"/>
              </w:rPr>
              <w:t>采用矿山法、盾构法、顶管法施工的隧道、洞室工程。</w:t>
            </w:r>
          </w:p>
        </w:tc>
        <w:tc>
          <w:tcPr>
            <w:tcW w:w="1664" w:type="dxa"/>
            <w:tcBorders>
              <w:top w:val="single" w:color="auto" w:sz="4" w:space="0"/>
              <w:left w:val="single" w:color="auto" w:sz="4" w:space="0"/>
              <w:bottom w:val="single" w:color="auto" w:sz="4" w:space="0"/>
              <w:right w:val="single" w:color="auto" w:sz="4" w:space="0"/>
            </w:tcBorders>
            <w:vAlign w:val="center"/>
          </w:tcPr>
          <w:p w14:paraId="60638A57">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2D35ECE6">
            <w:pPr>
              <w:wordWrap w:val="0"/>
              <w:jc w:val="center"/>
              <w:rPr>
                <w:rFonts w:hint="eastAsia" w:ascii="宋体" w:hAnsi="宋体" w:cs="宋体"/>
                <w:color w:val="auto"/>
                <w:szCs w:val="21"/>
                <w:highlight w:val="none"/>
              </w:rPr>
            </w:pPr>
          </w:p>
        </w:tc>
      </w:tr>
      <w:tr w14:paraId="4170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1DC7EF2E">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七、其它</w:t>
            </w:r>
          </w:p>
        </w:tc>
        <w:tc>
          <w:tcPr>
            <w:tcW w:w="1664" w:type="dxa"/>
            <w:tcBorders>
              <w:top w:val="single" w:color="auto" w:sz="4" w:space="0"/>
              <w:left w:val="single" w:color="auto" w:sz="4" w:space="0"/>
              <w:bottom w:val="single" w:color="auto" w:sz="4" w:space="0"/>
              <w:right w:val="single" w:color="auto" w:sz="4" w:space="0"/>
            </w:tcBorders>
            <w:vAlign w:val="center"/>
          </w:tcPr>
          <w:p w14:paraId="1AB8DE51">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66D471A7">
            <w:pPr>
              <w:wordWrap w:val="0"/>
              <w:jc w:val="center"/>
              <w:rPr>
                <w:rFonts w:hint="eastAsia" w:ascii="宋体" w:hAnsi="宋体" w:cs="宋体"/>
                <w:color w:val="auto"/>
                <w:szCs w:val="21"/>
                <w:highlight w:val="none"/>
              </w:rPr>
            </w:pPr>
          </w:p>
        </w:tc>
      </w:tr>
      <w:tr w14:paraId="3EAC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1BC60F58">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（一）施工高度50m及以上的建筑幕墙安装工程。</w:t>
            </w:r>
          </w:p>
        </w:tc>
        <w:tc>
          <w:tcPr>
            <w:tcW w:w="1664" w:type="dxa"/>
            <w:tcBorders>
              <w:top w:val="single" w:color="auto" w:sz="4" w:space="0"/>
              <w:left w:val="single" w:color="auto" w:sz="4" w:space="0"/>
              <w:bottom w:val="single" w:color="auto" w:sz="4" w:space="0"/>
              <w:right w:val="single" w:color="auto" w:sz="4" w:space="0"/>
            </w:tcBorders>
            <w:vAlign w:val="center"/>
          </w:tcPr>
          <w:p w14:paraId="1D8E4D24">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57815717">
            <w:pPr>
              <w:wordWrap w:val="0"/>
              <w:jc w:val="center"/>
              <w:rPr>
                <w:rFonts w:hint="eastAsia" w:ascii="宋体" w:hAnsi="宋体" w:cs="宋体"/>
                <w:color w:val="auto"/>
                <w:szCs w:val="21"/>
                <w:highlight w:val="none"/>
              </w:rPr>
            </w:pPr>
          </w:p>
        </w:tc>
      </w:tr>
      <w:tr w14:paraId="7250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2DDAB347">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（二）跨度36m及以上的钢结构安装工程，或跨度60m及以上的网架和索膜结构安装工程。</w:t>
            </w:r>
          </w:p>
        </w:tc>
        <w:tc>
          <w:tcPr>
            <w:tcW w:w="1664" w:type="dxa"/>
            <w:tcBorders>
              <w:top w:val="single" w:color="auto" w:sz="4" w:space="0"/>
              <w:left w:val="single" w:color="auto" w:sz="4" w:space="0"/>
              <w:bottom w:val="single" w:color="auto" w:sz="4" w:space="0"/>
              <w:right w:val="single" w:color="auto" w:sz="4" w:space="0"/>
            </w:tcBorders>
            <w:vAlign w:val="center"/>
          </w:tcPr>
          <w:p w14:paraId="4693CA67">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69F1B4B1">
            <w:pPr>
              <w:wordWrap w:val="0"/>
              <w:jc w:val="center"/>
              <w:rPr>
                <w:rFonts w:hint="eastAsia" w:ascii="宋体" w:hAnsi="宋体" w:cs="宋体"/>
                <w:color w:val="auto"/>
                <w:szCs w:val="21"/>
                <w:highlight w:val="none"/>
              </w:rPr>
            </w:pPr>
          </w:p>
        </w:tc>
      </w:tr>
      <w:tr w14:paraId="0A9A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35DE01E5">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（三）开挖深度16m及以上的人工挖孔桩工程。</w:t>
            </w:r>
          </w:p>
        </w:tc>
        <w:tc>
          <w:tcPr>
            <w:tcW w:w="1664" w:type="dxa"/>
            <w:tcBorders>
              <w:top w:val="single" w:color="auto" w:sz="4" w:space="0"/>
              <w:left w:val="single" w:color="auto" w:sz="4" w:space="0"/>
              <w:bottom w:val="single" w:color="auto" w:sz="4" w:space="0"/>
              <w:right w:val="single" w:color="auto" w:sz="4" w:space="0"/>
            </w:tcBorders>
            <w:vAlign w:val="center"/>
          </w:tcPr>
          <w:p w14:paraId="38ECC569">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00B8A5DC">
            <w:pPr>
              <w:wordWrap w:val="0"/>
              <w:jc w:val="center"/>
              <w:rPr>
                <w:rFonts w:hint="eastAsia" w:ascii="宋体" w:hAnsi="宋体" w:cs="宋体"/>
                <w:color w:val="auto"/>
                <w:szCs w:val="21"/>
                <w:highlight w:val="none"/>
              </w:rPr>
            </w:pPr>
          </w:p>
        </w:tc>
      </w:tr>
      <w:tr w14:paraId="2316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58EE99D2">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（四）水下作业工程。</w:t>
            </w:r>
          </w:p>
        </w:tc>
        <w:tc>
          <w:tcPr>
            <w:tcW w:w="1664" w:type="dxa"/>
            <w:tcBorders>
              <w:top w:val="single" w:color="auto" w:sz="4" w:space="0"/>
              <w:left w:val="single" w:color="auto" w:sz="4" w:space="0"/>
              <w:bottom w:val="single" w:color="auto" w:sz="4" w:space="0"/>
              <w:right w:val="single" w:color="auto" w:sz="4" w:space="0"/>
            </w:tcBorders>
            <w:vAlign w:val="center"/>
          </w:tcPr>
          <w:p w14:paraId="38B858EC">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507470C7">
            <w:pPr>
              <w:wordWrap w:val="0"/>
              <w:jc w:val="center"/>
              <w:rPr>
                <w:rFonts w:hint="eastAsia" w:ascii="宋体" w:hAnsi="宋体" w:cs="宋体"/>
                <w:color w:val="auto"/>
                <w:szCs w:val="21"/>
                <w:highlight w:val="none"/>
              </w:rPr>
            </w:pPr>
          </w:p>
        </w:tc>
      </w:tr>
      <w:tr w14:paraId="231B9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33A89501">
            <w:pPr>
              <w:wordWrap w:val="0"/>
              <w:jc w:val="left"/>
              <w:rPr>
                <w:rFonts w:hint="eastAsia" w:ascii="宋体" w:hAnsi="宋体" w:cs="宋体"/>
                <w:color w:val="auto"/>
                <w:szCs w:val="21"/>
                <w:highlight w:val="none"/>
              </w:rPr>
            </w:pPr>
            <w:r>
              <w:rPr>
                <w:rFonts w:hint="eastAsia" w:ascii="宋体" w:hAnsi="宋体" w:cs="宋体"/>
                <w:color w:val="auto"/>
                <w:szCs w:val="21"/>
                <w:highlight w:val="none"/>
              </w:rPr>
              <w:t>（五）重量1000kN及以上的大型结构整体顶升、平移、转体等施工工艺。</w:t>
            </w:r>
          </w:p>
        </w:tc>
        <w:tc>
          <w:tcPr>
            <w:tcW w:w="1664" w:type="dxa"/>
            <w:tcBorders>
              <w:top w:val="single" w:color="auto" w:sz="4" w:space="0"/>
              <w:left w:val="single" w:color="auto" w:sz="4" w:space="0"/>
              <w:bottom w:val="single" w:color="auto" w:sz="4" w:space="0"/>
              <w:right w:val="single" w:color="auto" w:sz="4" w:space="0"/>
            </w:tcBorders>
            <w:vAlign w:val="center"/>
          </w:tcPr>
          <w:p w14:paraId="42F3E77C">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7A399BF8">
            <w:pPr>
              <w:wordWrap w:val="0"/>
              <w:jc w:val="center"/>
              <w:rPr>
                <w:rFonts w:hint="eastAsia" w:ascii="宋体" w:hAnsi="宋体" w:cs="宋体"/>
                <w:color w:val="auto"/>
                <w:szCs w:val="21"/>
                <w:highlight w:val="none"/>
              </w:rPr>
            </w:pPr>
          </w:p>
        </w:tc>
      </w:tr>
      <w:tr w14:paraId="654B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565" w:type="dxa"/>
            <w:tcBorders>
              <w:top w:val="single" w:color="auto" w:sz="4" w:space="0"/>
              <w:left w:val="single" w:color="auto" w:sz="4" w:space="0"/>
              <w:bottom w:val="single" w:color="auto" w:sz="4" w:space="0"/>
              <w:right w:val="single" w:color="auto" w:sz="4" w:space="0"/>
            </w:tcBorders>
          </w:tcPr>
          <w:p w14:paraId="406EB863">
            <w:pPr>
              <w:wordWrap w:val="0"/>
              <w:jc w:val="left"/>
              <w:rPr>
                <w:rFonts w:hint="eastAsia" w:ascii="宋体" w:hAnsi="宋体" w:cs="宋体"/>
                <w:color w:val="auto"/>
                <w:szCs w:val="21"/>
                <w:highlight w:val="none"/>
              </w:rPr>
            </w:pPr>
            <w:r>
              <w:rPr>
                <w:rFonts w:hint="eastAsia" w:ascii="宋体" w:hAnsi="宋体" w:cs="宋体"/>
                <w:color w:val="auto"/>
                <w:szCs w:val="21"/>
                <w:highlight w:val="none"/>
              </w:rPr>
              <w:t>（六）采用新技术、新工艺、新材料、新设备可能影响工程施工安全，尚无国家、行业及地方技术标准的分部分项工程。</w:t>
            </w:r>
          </w:p>
        </w:tc>
        <w:tc>
          <w:tcPr>
            <w:tcW w:w="1664" w:type="dxa"/>
            <w:tcBorders>
              <w:top w:val="single" w:color="auto" w:sz="4" w:space="0"/>
              <w:left w:val="single" w:color="auto" w:sz="4" w:space="0"/>
              <w:bottom w:val="single" w:color="auto" w:sz="4" w:space="0"/>
              <w:right w:val="single" w:color="auto" w:sz="4" w:space="0"/>
            </w:tcBorders>
            <w:vAlign w:val="center"/>
          </w:tcPr>
          <w:p w14:paraId="1B44E6B7">
            <w:pPr>
              <w:wordWrap w:val="0"/>
              <w:jc w:val="center"/>
              <w:rPr>
                <w:rFonts w:hint="eastAsia" w:ascii="宋体" w:hAnsi="宋体" w:cs="宋体"/>
                <w:color w:val="auto"/>
                <w:szCs w:val="21"/>
                <w:highlight w:val="none"/>
              </w:rPr>
            </w:pPr>
            <w:r>
              <w:rPr>
                <w:rFonts w:hint="eastAsia" w:ascii="宋体" w:hAnsi="宋体" w:cs="宋体"/>
                <w:color w:val="auto"/>
                <w:szCs w:val="21"/>
                <w:highlight w:val="none"/>
              </w:rPr>
              <w:t>(    )</w:t>
            </w:r>
          </w:p>
        </w:tc>
        <w:tc>
          <w:tcPr>
            <w:tcW w:w="731" w:type="dxa"/>
            <w:tcBorders>
              <w:top w:val="single" w:color="auto" w:sz="4" w:space="0"/>
              <w:left w:val="single" w:color="auto" w:sz="4" w:space="0"/>
              <w:bottom w:val="single" w:color="auto" w:sz="4" w:space="0"/>
              <w:right w:val="single" w:color="auto" w:sz="4" w:space="0"/>
            </w:tcBorders>
            <w:vAlign w:val="center"/>
          </w:tcPr>
          <w:p w14:paraId="1985987E">
            <w:pPr>
              <w:wordWrap w:val="0"/>
              <w:jc w:val="center"/>
              <w:rPr>
                <w:rFonts w:hint="eastAsia" w:ascii="宋体" w:hAnsi="宋体" w:cs="宋体"/>
                <w:color w:val="auto"/>
                <w:szCs w:val="21"/>
                <w:highlight w:val="none"/>
              </w:rPr>
            </w:pPr>
          </w:p>
        </w:tc>
      </w:tr>
    </w:tbl>
    <w:p w14:paraId="5FEB11B4">
      <w:pPr>
        <w:pStyle w:val="30"/>
        <w:wordWrap w:val="0"/>
        <w:autoSpaceDE w:val="0"/>
        <w:autoSpaceDN w:val="0"/>
        <w:adjustRightInd w:val="0"/>
        <w:ind w:left="386" w:leftChars="57" w:hanging="266" w:hangingChars="127"/>
        <w:jc w:val="left"/>
        <w:rPr>
          <w:rFonts w:hint="eastAsia" w:ascii="宋体" w:hAnsi="宋体" w:cs="宋体"/>
          <w:color w:val="auto"/>
          <w:szCs w:val="21"/>
          <w:highlight w:val="none"/>
        </w:rPr>
      </w:pPr>
    </w:p>
    <w:p w14:paraId="47E99AF6">
      <w:pPr>
        <w:wordWrap w:val="0"/>
        <w:ind w:firstLine="2625" w:firstLineChars="1250"/>
        <w:rPr>
          <w:rFonts w:hint="eastAsia" w:ascii="宋体" w:hAnsi="宋体" w:cs="宋体"/>
          <w:color w:val="auto"/>
          <w:szCs w:val="21"/>
          <w:highlight w:val="none"/>
        </w:rPr>
      </w:pPr>
    </w:p>
    <w:p w14:paraId="594F5FF7">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    </w:t>
      </w:r>
    </w:p>
    <w:p w14:paraId="29A58BD6">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14:paraId="34B37F88">
      <w:pPr>
        <w:pStyle w:val="11"/>
        <w:spacing w:line="360" w:lineRule="auto"/>
        <w:rPr>
          <w:rFonts w:hint="eastAsia" w:hAnsi="宋体" w:cs="宋体"/>
          <w:color w:val="auto"/>
          <w:sz w:val="24"/>
          <w:szCs w:val="24"/>
          <w:highlight w:val="none"/>
        </w:rPr>
      </w:pPr>
    </w:p>
    <w:p w14:paraId="70672A97">
      <w:pPr>
        <w:spacing w:before="0" w:after="0"/>
        <w:jc w:val="both"/>
        <w:outlineLvl w:val="2"/>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rPr>
        <w:br w:type="page"/>
      </w:r>
      <w:r>
        <w:rPr>
          <w:rFonts w:hint="eastAsia" w:ascii="宋体" w:hAnsi="宋体" w:eastAsia="宋体" w:cs="宋体"/>
          <w:b/>
          <w:color w:val="auto"/>
          <w:sz w:val="24"/>
          <w:szCs w:val="24"/>
          <w:highlight w:val="none"/>
        </w:rPr>
        <w:t>格式七：投标报价格式（格式仅供参考，投标人可自行调整）</w:t>
      </w:r>
    </w:p>
    <w:p w14:paraId="75362843">
      <w:pPr>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rPr>
        <w:t>投标报价</w:t>
      </w:r>
      <w:r>
        <w:rPr>
          <w:rFonts w:hint="eastAsia" w:ascii="宋体" w:hAnsi="宋体" w:cs="宋体"/>
          <w:b/>
          <w:color w:val="auto"/>
          <w:sz w:val="32"/>
          <w:szCs w:val="32"/>
          <w:highlight w:val="none"/>
          <w:lang w:val="en-US" w:eastAsia="zh-CN"/>
        </w:rPr>
        <w:t>汇总表</w:t>
      </w:r>
    </w:p>
    <w:tbl>
      <w:tblPr>
        <w:tblStyle w:val="17"/>
        <w:tblW w:w="9962" w:type="dxa"/>
        <w:jc w:val="center"/>
        <w:tblLayout w:type="fixed"/>
        <w:tblCellMar>
          <w:top w:w="0" w:type="dxa"/>
          <w:left w:w="108" w:type="dxa"/>
          <w:bottom w:w="0" w:type="dxa"/>
          <w:right w:w="108" w:type="dxa"/>
        </w:tblCellMar>
      </w:tblPr>
      <w:tblGrid>
        <w:gridCol w:w="799"/>
        <w:gridCol w:w="1867"/>
        <w:gridCol w:w="5302"/>
        <w:gridCol w:w="1994"/>
      </w:tblGrid>
      <w:tr w14:paraId="3C5E0A7D">
        <w:tblPrEx>
          <w:tblCellMar>
            <w:top w:w="0" w:type="dxa"/>
            <w:left w:w="108" w:type="dxa"/>
            <w:bottom w:w="0" w:type="dxa"/>
            <w:right w:w="108" w:type="dxa"/>
          </w:tblCellMar>
        </w:tblPrEx>
        <w:trPr>
          <w:trHeight w:val="551" w:hRule="atLeast"/>
          <w:jc w:val="center"/>
        </w:trPr>
        <w:tc>
          <w:tcPr>
            <w:tcW w:w="9962" w:type="dxa"/>
            <w:gridSpan w:val="4"/>
            <w:tcBorders>
              <w:top w:val="single" w:color="000000" w:sz="8" w:space="0"/>
              <w:left w:val="single" w:color="000000" w:sz="8" w:space="0"/>
              <w:bottom w:val="single" w:color="000000" w:sz="8" w:space="0"/>
              <w:right w:val="single" w:color="000000" w:sz="8" w:space="0"/>
            </w:tcBorders>
            <w:noWrap/>
            <w:vAlign w:val="center"/>
          </w:tcPr>
          <w:p w14:paraId="5B08801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各投标分项报价明细表</w:t>
            </w:r>
          </w:p>
        </w:tc>
      </w:tr>
      <w:tr w14:paraId="3A6A1DF8">
        <w:tblPrEx>
          <w:tblCellMar>
            <w:top w:w="0" w:type="dxa"/>
            <w:left w:w="108" w:type="dxa"/>
            <w:bottom w:w="0" w:type="dxa"/>
            <w:right w:w="108" w:type="dxa"/>
          </w:tblCellMar>
        </w:tblPrEx>
        <w:trPr>
          <w:trHeight w:val="449" w:hRule="atLeast"/>
          <w:jc w:val="center"/>
        </w:trPr>
        <w:tc>
          <w:tcPr>
            <w:tcW w:w="799" w:type="dxa"/>
            <w:tcBorders>
              <w:top w:val="nil"/>
              <w:left w:val="single" w:color="000000" w:sz="8" w:space="0"/>
              <w:bottom w:val="single" w:color="000000" w:sz="8" w:space="0"/>
              <w:right w:val="single" w:color="000000" w:sz="8" w:space="0"/>
            </w:tcBorders>
            <w:noWrap/>
            <w:vAlign w:val="center"/>
          </w:tcPr>
          <w:p w14:paraId="1DCDDE5A">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序号</w:t>
            </w:r>
          </w:p>
        </w:tc>
        <w:tc>
          <w:tcPr>
            <w:tcW w:w="1867" w:type="dxa"/>
            <w:tcBorders>
              <w:top w:val="single" w:color="000000" w:sz="8" w:space="0"/>
              <w:left w:val="single" w:color="000000" w:sz="8" w:space="0"/>
              <w:bottom w:val="single" w:color="000000" w:sz="8" w:space="0"/>
              <w:right w:val="single" w:color="000000" w:sz="8" w:space="0"/>
            </w:tcBorders>
            <w:noWrap/>
            <w:vAlign w:val="center"/>
          </w:tcPr>
          <w:p w14:paraId="05A05B7A">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名称</w:t>
            </w:r>
          </w:p>
        </w:tc>
        <w:tc>
          <w:tcPr>
            <w:tcW w:w="5302" w:type="dxa"/>
            <w:tcBorders>
              <w:top w:val="single" w:color="000000" w:sz="8" w:space="0"/>
              <w:left w:val="single" w:color="000000" w:sz="8" w:space="0"/>
              <w:bottom w:val="single" w:color="000000" w:sz="8" w:space="0"/>
              <w:right w:val="single" w:color="000000" w:sz="8" w:space="0"/>
            </w:tcBorders>
            <w:noWrap/>
            <w:vAlign w:val="center"/>
          </w:tcPr>
          <w:p w14:paraId="06FC02F2">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投标报价</w:t>
            </w:r>
          </w:p>
        </w:tc>
        <w:tc>
          <w:tcPr>
            <w:tcW w:w="1994" w:type="dxa"/>
            <w:tcBorders>
              <w:top w:val="single" w:color="000000" w:sz="8" w:space="0"/>
              <w:left w:val="single" w:color="000000" w:sz="8" w:space="0"/>
              <w:bottom w:val="single" w:color="000000" w:sz="8" w:space="0"/>
              <w:right w:val="single" w:color="000000" w:sz="8" w:space="0"/>
            </w:tcBorders>
            <w:noWrap/>
            <w:vAlign w:val="center"/>
          </w:tcPr>
          <w:p w14:paraId="221512B7">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备注</w:t>
            </w:r>
          </w:p>
        </w:tc>
      </w:tr>
      <w:tr w14:paraId="038F1F43">
        <w:tblPrEx>
          <w:tblCellMar>
            <w:top w:w="0" w:type="dxa"/>
            <w:left w:w="108" w:type="dxa"/>
            <w:bottom w:w="0" w:type="dxa"/>
            <w:right w:w="108" w:type="dxa"/>
          </w:tblCellMar>
        </w:tblPrEx>
        <w:trPr>
          <w:trHeight w:val="247" w:hRule="atLeast"/>
          <w:jc w:val="center"/>
        </w:trPr>
        <w:tc>
          <w:tcPr>
            <w:tcW w:w="799" w:type="dxa"/>
            <w:tcBorders>
              <w:top w:val="nil"/>
              <w:left w:val="single" w:color="000000" w:sz="8" w:space="0"/>
              <w:bottom w:val="single" w:color="000000" w:sz="8" w:space="0"/>
              <w:right w:val="single" w:color="000000" w:sz="8" w:space="0"/>
            </w:tcBorders>
            <w:noWrap/>
            <w:vAlign w:val="center"/>
          </w:tcPr>
          <w:p w14:paraId="42F4750C">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1</w:t>
            </w:r>
          </w:p>
        </w:tc>
        <w:tc>
          <w:tcPr>
            <w:tcW w:w="1867" w:type="dxa"/>
            <w:tcBorders>
              <w:top w:val="nil"/>
              <w:left w:val="single" w:color="000000" w:sz="8" w:space="0"/>
              <w:bottom w:val="single" w:color="000000" w:sz="8" w:space="0"/>
              <w:right w:val="single" w:color="000000" w:sz="8" w:space="0"/>
            </w:tcBorders>
            <w:noWrap/>
            <w:vAlign w:val="center"/>
          </w:tcPr>
          <w:p w14:paraId="7245C982">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设计</w:t>
            </w:r>
            <w:r>
              <w:rPr>
                <w:rFonts w:hint="eastAsia" w:ascii="宋体" w:hAnsi="宋体" w:cs="宋体"/>
                <w:b/>
                <w:bCs/>
                <w:color w:val="auto"/>
                <w:kern w:val="0"/>
                <w:szCs w:val="21"/>
                <w:highlight w:val="none"/>
                <w:lang w:val="en-US" w:eastAsia="zh-CN"/>
              </w:rPr>
              <w:t>服务</w:t>
            </w:r>
            <w:r>
              <w:rPr>
                <w:rFonts w:hint="eastAsia" w:ascii="宋体" w:hAnsi="宋体" w:eastAsia="宋体" w:cs="宋体"/>
                <w:b/>
                <w:bCs/>
                <w:color w:val="auto"/>
                <w:kern w:val="0"/>
                <w:szCs w:val="21"/>
                <w:highlight w:val="none"/>
              </w:rPr>
              <w:t>费</w:t>
            </w:r>
          </w:p>
        </w:tc>
        <w:tc>
          <w:tcPr>
            <w:tcW w:w="5302" w:type="dxa"/>
            <w:tcBorders>
              <w:top w:val="nil"/>
              <w:left w:val="single" w:color="000000" w:sz="8" w:space="0"/>
              <w:bottom w:val="single" w:color="000000" w:sz="8" w:space="0"/>
              <w:right w:val="single" w:color="000000" w:sz="8" w:space="0"/>
            </w:tcBorders>
            <w:noWrap/>
            <w:vAlign w:val="center"/>
          </w:tcPr>
          <w:p w14:paraId="22AEE761">
            <w:pPr>
              <w:autoSpaceDE w:val="0"/>
              <w:autoSpaceDN w:val="0"/>
              <w:adjustRightInd w:val="0"/>
              <w:spacing w:line="360" w:lineRule="auto"/>
              <w:jc w:val="left"/>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小写：</w:t>
            </w:r>
            <w:r>
              <w:rPr>
                <w:rFonts w:hint="eastAsia" w:ascii="宋体" w:hAnsi="宋体" w:eastAsia="宋体" w:cs="宋体"/>
                <w:b/>
                <w:color w:val="auto"/>
                <w:sz w:val="21"/>
                <w:szCs w:val="21"/>
                <w:highlight w:val="none"/>
                <w:u w:val="single"/>
                <w:lang w:val="en-US" w:eastAsia="zh-CN"/>
              </w:rPr>
              <w:t xml:space="preserve">                      </w:t>
            </w:r>
          </w:p>
          <w:p w14:paraId="7EFA1B6B">
            <w:pPr>
              <w:jc w:val="both"/>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大写：</w:t>
            </w:r>
            <w:r>
              <w:rPr>
                <w:rFonts w:hint="eastAsia" w:ascii="宋体" w:hAnsi="宋体" w:eastAsia="宋体" w:cs="宋体"/>
                <w:b/>
                <w:color w:val="auto"/>
                <w:sz w:val="21"/>
                <w:szCs w:val="21"/>
                <w:highlight w:val="none"/>
                <w:u w:val="single"/>
                <w:lang w:val="en-US" w:eastAsia="zh-CN"/>
              </w:rPr>
              <w:t xml:space="preserve">                </w:t>
            </w:r>
          </w:p>
          <w:p w14:paraId="580C5D9F">
            <w:pPr>
              <w:jc w:val="both"/>
              <w:rPr>
                <w:rFonts w:ascii="宋体" w:hAnsi="宋体" w:eastAsia="宋体" w:cs="宋体"/>
                <w:b/>
                <w:bCs/>
                <w:color w:val="auto"/>
                <w:szCs w:val="21"/>
                <w:highlight w:val="none"/>
              </w:rPr>
            </w:pPr>
            <w:r>
              <w:rPr>
                <w:rFonts w:hint="eastAsia" w:ascii="宋体" w:hAnsi="宋体" w:eastAsia="宋体" w:cs="宋体"/>
                <w:b/>
                <w:color w:val="auto"/>
                <w:sz w:val="21"/>
                <w:szCs w:val="21"/>
                <w:highlight w:val="none"/>
                <w:u w:val="none"/>
                <w:lang w:val="en-US" w:eastAsia="zh-CN"/>
              </w:rPr>
              <w:t>投标下浮率：</w:t>
            </w:r>
            <w:r>
              <w:rPr>
                <w:rFonts w:hint="eastAsia" w:ascii="宋体" w:hAnsi="宋体" w:eastAsia="宋体" w:cs="宋体"/>
                <w:b/>
                <w:color w:val="auto"/>
                <w:sz w:val="21"/>
                <w:szCs w:val="21"/>
                <w:highlight w:val="none"/>
                <w:u w:val="single"/>
                <w:lang w:val="en-US" w:eastAsia="zh-CN"/>
              </w:rPr>
              <w:t xml:space="preserve">       %</w:t>
            </w:r>
          </w:p>
        </w:tc>
        <w:tc>
          <w:tcPr>
            <w:tcW w:w="1994" w:type="dxa"/>
            <w:tcBorders>
              <w:top w:val="nil"/>
              <w:left w:val="single" w:color="000000" w:sz="8" w:space="0"/>
              <w:bottom w:val="single" w:color="000000" w:sz="8" w:space="0"/>
              <w:right w:val="single" w:color="000000" w:sz="8" w:space="0"/>
            </w:tcBorders>
            <w:noWrap/>
            <w:vAlign w:val="center"/>
          </w:tcPr>
          <w:p w14:paraId="67341E00">
            <w:pPr>
              <w:widowControl/>
              <w:jc w:val="center"/>
              <w:textAlignment w:val="bottom"/>
              <w:rPr>
                <w:rFonts w:ascii="宋体" w:hAnsi="宋体" w:eastAsia="宋体" w:cs="宋体"/>
                <w:b/>
                <w:bCs/>
                <w:color w:val="auto"/>
                <w:szCs w:val="21"/>
                <w:highlight w:val="none"/>
              </w:rPr>
            </w:pPr>
          </w:p>
        </w:tc>
      </w:tr>
      <w:tr w14:paraId="643F7A72">
        <w:tblPrEx>
          <w:tblCellMar>
            <w:top w:w="0" w:type="dxa"/>
            <w:left w:w="108" w:type="dxa"/>
            <w:bottom w:w="0" w:type="dxa"/>
            <w:right w:w="108" w:type="dxa"/>
          </w:tblCellMar>
        </w:tblPrEx>
        <w:trPr>
          <w:trHeight w:val="1326" w:hRule="atLeast"/>
          <w:jc w:val="center"/>
        </w:trPr>
        <w:tc>
          <w:tcPr>
            <w:tcW w:w="799" w:type="dxa"/>
            <w:tcBorders>
              <w:top w:val="nil"/>
              <w:left w:val="single" w:color="000000" w:sz="8" w:space="0"/>
              <w:bottom w:val="single" w:color="000000" w:sz="8" w:space="0"/>
              <w:right w:val="single" w:color="000000" w:sz="8" w:space="0"/>
            </w:tcBorders>
            <w:noWrap/>
            <w:vAlign w:val="center"/>
          </w:tcPr>
          <w:p w14:paraId="7C9C6050">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rPr>
              <w:t>2</w:t>
            </w:r>
          </w:p>
        </w:tc>
        <w:tc>
          <w:tcPr>
            <w:tcW w:w="1867" w:type="dxa"/>
            <w:tcBorders>
              <w:top w:val="nil"/>
              <w:left w:val="single" w:color="000000" w:sz="8" w:space="0"/>
              <w:bottom w:val="single" w:color="000000" w:sz="8" w:space="0"/>
              <w:right w:val="single" w:color="000000" w:sz="8" w:space="0"/>
            </w:tcBorders>
            <w:noWrap/>
            <w:vAlign w:val="center"/>
          </w:tcPr>
          <w:p w14:paraId="148E4E06">
            <w:pPr>
              <w:widowControl/>
              <w:jc w:val="center"/>
              <w:textAlignment w:val="center"/>
              <w:rPr>
                <w:rFonts w:ascii="宋体" w:hAnsi="宋体" w:eastAsia="宋体" w:cs="宋体"/>
                <w:b/>
                <w:bCs/>
                <w:color w:val="auto"/>
                <w:szCs w:val="21"/>
                <w:highlight w:val="none"/>
              </w:rPr>
            </w:pPr>
            <w:r>
              <w:rPr>
                <w:rFonts w:hint="eastAsia" w:ascii="宋体" w:hAnsi="宋体" w:cs="宋体"/>
                <w:b/>
                <w:bCs/>
                <w:color w:val="auto"/>
                <w:kern w:val="0"/>
                <w:szCs w:val="21"/>
                <w:highlight w:val="none"/>
                <w:lang w:val="en-US" w:eastAsia="zh-CN"/>
              </w:rPr>
              <w:t>建安工程费</w:t>
            </w:r>
          </w:p>
        </w:tc>
        <w:tc>
          <w:tcPr>
            <w:tcW w:w="5302" w:type="dxa"/>
            <w:tcBorders>
              <w:top w:val="nil"/>
              <w:left w:val="single" w:color="000000" w:sz="8" w:space="0"/>
              <w:bottom w:val="single" w:color="000000" w:sz="8" w:space="0"/>
              <w:right w:val="single" w:color="000000" w:sz="8" w:space="0"/>
            </w:tcBorders>
            <w:noWrap/>
            <w:vAlign w:val="center"/>
          </w:tcPr>
          <w:p w14:paraId="36733118">
            <w:pPr>
              <w:autoSpaceDE w:val="0"/>
              <w:autoSpaceDN w:val="0"/>
              <w:adjustRightInd w:val="0"/>
              <w:spacing w:line="360" w:lineRule="auto"/>
              <w:jc w:val="left"/>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小写：</w:t>
            </w:r>
            <w:r>
              <w:rPr>
                <w:rFonts w:hint="eastAsia" w:ascii="宋体" w:hAnsi="宋体" w:eastAsia="宋体" w:cs="宋体"/>
                <w:b/>
                <w:color w:val="auto"/>
                <w:sz w:val="21"/>
                <w:szCs w:val="21"/>
                <w:highlight w:val="none"/>
                <w:u w:val="single"/>
                <w:lang w:val="en-US" w:eastAsia="zh-CN"/>
              </w:rPr>
              <w:t xml:space="preserve">                      </w:t>
            </w:r>
          </w:p>
          <w:p w14:paraId="412CFCC2">
            <w:pPr>
              <w:jc w:val="both"/>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大写：</w:t>
            </w:r>
            <w:r>
              <w:rPr>
                <w:rFonts w:hint="eastAsia" w:ascii="宋体" w:hAnsi="宋体" w:eastAsia="宋体" w:cs="宋体"/>
                <w:b/>
                <w:color w:val="auto"/>
                <w:sz w:val="21"/>
                <w:szCs w:val="21"/>
                <w:highlight w:val="none"/>
                <w:u w:val="single"/>
                <w:lang w:val="en-US" w:eastAsia="zh-CN"/>
              </w:rPr>
              <w:t xml:space="preserve">                </w:t>
            </w:r>
          </w:p>
          <w:p w14:paraId="58E53360">
            <w:pPr>
              <w:jc w:val="both"/>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u w:val="none"/>
                <w:lang w:val="en-US" w:eastAsia="zh-CN"/>
              </w:rPr>
              <w:t>投标下浮率：</w:t>
            </w:r>
            <w:r>
              <w:rPr>
                <w:rFonts w:hint="eastAsia" w:ascii="宋体" w:hAnsi="宋体" w:eastAsia="宋体" w:cs="宋体"/>
                <w:b/>
                <w:color w:val="auto"/>
                <w:sz w:val="21"/>
                <w:szCs w:val="21"/>
                <w:highlight w:val="none"/>
                <w:u w:val="single"/>
                <w:lang w:val="en-US" w:eastAsia="zh-CN"/>
              </w:rPr>
              <w:t xml:space="preserve">       %</w:t>
            </w:r>
          </w:p>
        </w:tc>
        <w:tc>
          <w:tcPr>
            <w:tcW w:w="1994" w:type="dxa"/>
            <w:tcBorders>
              <w:top w:val="nil"/>
              <w:left w:val="single" w:color="000000" w:sz="8" w:space="0"/>
              <w:bottom w:val="single" w:color="000000" w:sz="8" w:space="0"/>
              <w:right w:val="single" w:color="000000" w:sz="8" w:space="0"/>
            </w:tcBorders>
            <w:noWrap/>
            <w:vAlign w:val="center"/>
          </w:tcPr>
          <w:p w14:paraId="75715FF8">
            <w:pPr>
              <w:jc w:val="center"/>
              <w:rPr>
                <w:rFonts w:ascii="宋体" w:hAnsi="宋体" w:eastAsia="宋体" w:cs="宋体"/>
                <w:b/>
                <w:bCs/>
                <w:color w:val="auto"/>
                <w:szCs w:val="21"/>
                <w:highlight w:val="none"/>
              </w:rPr>
            </w:pPr>
          </w:p>
        </w:tc>
      </w:tr>
      <w:tr w14:paraId="31DD0B75">
        <w:tblPrEx>
          <w:tblCellMar>
            <w:top w:w="0" w:type="dxa"/>
            <w:left w:w="108" w:type="dxa"/>
            <w:bottom w:w="0" w:type="dxa"/>
            <w:right w:w="108" w:type="dxa"/>
          </w:tblCellMar>
        </w:tblPrEx>
        <w:trPr>
          <w:trHeight w:val="568" w:hRule="atLeast"/>
          <w:jc w:val="center"/>
        </w:trPr>
        <w:tc>
          <w:tcPr>
            <w:tcW w:w="2666" w:type="dxa"/>
            <w:gridSpan w:val="2"/>
            <w:tcBorders>
              <w:top w:val="nil"/>
              <w:left w:val="single" w:color="000000" w:sz="8" w:space="0"/>
              <w:bottom w:val="single" w:color="000000" w:sz="8" w:space="0"/>
              <w:right w:val="single" w:color="000000" w:sz="8" w:space="0"/>
            </w:tcBorders>
            <w:noWrap/>
            <w:vAlign w:val="center"/>
          </w:tcPr>
          <w:p w14:paraId="5B96816B">
            <w:pPr>
              <w:widowControl/>
              <w:jc w:val="center"/>
              <w:textAlignment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合计</w:t>
            </w:r>
          </w:p>
        </w:tc>
        <w:tc>
          <w:tcPr>
            <w:tcW w:w="5302" w:type="dxa"/>
            <w:tcBorders>
              <w:top w:val="nil"/>
              <w:left w:val="single" w:color="000000" w:sz="8" w:space="0"/>
              <w:bottom w:val="single" w:color="000000" w:sz="8" w:space="0"/>
              <w:right w:val="single" w:color="000000" w:sz="8" w:space="0"/>
            </w:tcBorders>
            <w:noWrap/>
            <w:vAlign w:val="center"/>
          </w:tcPr>
          <w:p w14:paraId="19A9B5E0">
            <w:pPr>
              <w:autoSpaceDE w:val="0"/>
              <w:autoSpaceDN w:val="0"/>
              <w:adjustRightInd w:val="0"/>
              <w:spacing w:line="360" w:lineRule="auto"/>
              <w:jc w:val="left"/>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小写：</w:t>
            </w:r>
            <w:r>
              <w:rPr>
                <w:rFonts w:hint="eastAsia" w:ascii="宋体" w:hAnsi="宋体" w:eastAsia="宋体" w:cs="宋体"/>
                <w:b/>
                <w:color w:val="auto"/>
                <w:sz w:val="21"/>
                <w:szCs w:val="21"/>
                <w:highlight w:val="none"/>
                <w:u w:val="single"/>
                <w:lang w:val="en-US" w:eastAsia="zh-CN"/>
              </w:rPr>
              <w:t xml:space="preserve">                      </w:t>
            </w:r>
          </w:p>
          <w:p w14:paraId="089907A5">
            <w:pPr>
              <w:widowControl/>
              <w:jc w:val="both"/>
              <w:textAlignment w:val="center"/>
              <w:rPr>
                <w:rFonts w:ascii="宋体" w:hAnsi="宋体" w:eastAsia="宋体" w:cs="宋体"/>
                <w:b/>
                <w:bCs/>
                <w:color w:val="auto"/>
                <w:kern w:val="0"/>
                <w:szCs w:val="21"/>
                <w:highlight w:val="none"/>
              </w:rPr>
            </w:pPr>
            <w:r>
              <w:rPr>
                <w:rFonts w:hint="eastAsia" w:ascii="宋体" w:hAnsi="宋体" w:eastAsia="宋体" w:cs="宋体"/>
                <w:b/>
                <w:color w:val="auto"/>
                <w:sz w:val="21"/>
                <w:szCs w:val="21"/>
                <w:highlight w:val="none"/>
              </w:rPr>
              <w:t>大写：</w:t>
            </w:r>
            <w:r>
              <w:rPr>
                <w:rFonts w:hint="eastAsia" w:ascii="宋体" w:hAnsi="宋体" w:eastAsia="宋体" w:cs="宋体"/>
                <w:b/>
                <w:color w:val="auto"/>
                <w:sz w:val="21"/>
                <w:szCs w:val="21"/>
                <w:highlight w:val="none"/>
                <w:u w:val="single"/>
                <w:lang w:val="en-US" w:eastAsia="zh-CN"/>
              </w:rPr>
              <w:t xml:space="preserve">                      </w:t>
            </w:r>
          </w:p>
        </w:tc>
        <w:tc>
          <w:tcPr>
            <w:tcW w:w="1994" w:type="dxa"/>
            <w:tcBorders>
              <w:top w:val="nil"/>
              <w:left w:val="single" w:color="000000" w:sz="8" w:space="0"/>
              <w:bottom w:val="single" w:color="000000" w:sz="8" w:space="0"/>
              <w:right w:val="single" w:color="000000" w:sz="8" w:space="0"/>
            </w:tcBorders>
            <w:noWrap/>
            <w:vAlign w:val="center"/>
          </w:tcPr>
          <w:p w14:paraId="017D913C">
            <w:pPr>
              <w:widowControl/>
              <w:jc w:val="center"/>
              <w:textAlignment w:val="center"/>
              <w:rPr>
                <w:rFonts w:ascii="宋体" w:hAnsi="宋体" w:eastAsia="宋体" w:cs="宋体"/>
                <w:color w:val="auto"/>
                <w:kern w:val="0"/>
                <w:szCs w:val="21"/>
                <w:highlight w:val="none"/>
              </w:rPr>
            </w:pPr>
          </w:p>
        </w:tc>
      </w:tr>
    </w:tbl>
    <w:p w14:paraId="68E35284">
      <w:pPr>
        <w:pStyle w:val="14"/>
        <w:spacing w:before="0" w:after="0" w:line="360" w:lineRule="auto"/>
        <w:jc w:val="both"/>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注：</w:t>
      </w:r>
    </w:p>
    <w:p w14:paraId="53CBCFDD">
      <w:pPr>
        <w:spacing w:line="360" w:lineRule="auto"/>
        <w:rPr>
          <w:rFonts w:hint="eastAsia" w:ascii="宋体" w:hAnsi="宋体" w:eastAsia="宋体" w:cs="宋体"/>
          <w:bCs/>
          <w:color w:val="auto"/>
          <w:kern w:val="0"/>
          <w:sz w:val="21"/>
          <w:szCs w:val="21"/>
          <w:highlight w:val="none"/>
          <w:lang w:eastAsia="zh-CN"/>
        </w:rPr>
      </w:pPr>
      <w:r>
        <w:rPr>
          <w:rFonts w:hint="eastAsia" w:ascii="宋体" w:hAnsi="宋体" w:cs="宋体"/>
          <w:bCs w:val="0"/>
          <w:color w:val="auto"/>
          <w:kern w:val="0"/>
          <w:sz w:val="21"/>
          <w:szCs w:val="21"/>
          <w:highlight w:val="none"/>
          <w:lang w:eastAsia="zh-CN"/>
        </w:rPr>
        <w:t>（</w:t>
      </w:r>
      <w:r>
        <w:rPr>
          <w:rFonts w:hint="eastAsia" w:ascii="宋体" w:hAnsi="宋体" w:cs="宋体"/>
          <w:bCs w:val="0"/>
          <w:color w:val="auto"/>
          <w:kern w:val="0"/>
          <w:sz w:val="21"/>
          <w:szCs w:val="21"/>
          <w:highlight w:val="none"/>
          <w:lang w:val="en-US" w:eastAsia="zh-CN"/>
        </w:rPr>
        <w:t>1</w:t>
      </w:r>
      <w:r>
        <w:rPr>
          <w:rFonts w:hint="eastAsia" w:ascii="宋体" w:hAnsi="宋体" w:cs="宋体"/>
          <w:bCs w:val="0"/>
          <w:color w:val="auto"/>
          <w:kern w:val="0"/>
          <w:sz w:val="21"/>
          <w:szCs w:val="21"/>
          <w:highlight w:val="none"/>
          <w:lang w:eastAsia="zh-CN"/>
        </w:rPr>
        <w:t>）</w:t>
      </w:r>
      <w:r>
        <w:rPr>
          <w:rFonts w:hint="eastAsia" w:ascii="宋体" w:hAnsi="宋体" w:eastAsia="宋体" w:cs="宋体"/>
          <w:bCs w:val="0"/>
          <w:color w:val="auto"/>
          <w:kern w:val="0"/>
          <w:sz w:val="21"/>
          <w:szCs w:val="21"/>
          <w:highlight w:val="none"/>
          <w:lang w:val="en-US" w:eastAsia="zh-CN"/>
        </w:rPr>
        <w:t>设计费投标下浮率=（设计费投标报价÷设计费最高投标限价）×100%。</w:t>
      </w:r>
    </w:p>
    <w:p w14:paraId="5421F940">
      <w:pPr>
        <w:spacing w:line="360" w:lineRule="auto"/>
        <w:ind w:firstLine="420" w:firstLineChars="200"/>
        <w:rPr>
          <w:rFonts w:hint="eastAsia" w:ascii="宋体" w:hAnsi="宋体" w:eastAsia="宋体" w:cs="宋体"/>
          <w:bCs/>
          <w:color w:val="auto"/>
          <w:kern w:val="0"/>
          <w:sz w:val="21"/>
          <w:szCs w:val="21"/>
          <w:highlight w:val="none"/>
          <w:lang w:val="en-US" w:eastAsia="zh-CN"/>
        </w:rPr>
      </w:pPr>
      <w:r>
        <w:rPr>
          <w:rFonts w:hint="eastAsia" w:ascii="宋体" w:hAnsi="宋体" w:eastAsia="宋体" w:cs="宋体"/>
          <w:bCs/>
          <w:color w:val="auto"/>
          <w:kern w:val="0"/>
          <w:sz w:val="21"/>
          <w:szCs w:val="21"/>
          <w:highlight w:val="none"/>
          <w:lang w:val="en-US" w:eastAsia="zh-CN"/>
        </w:rPr>
        <w:t>建安工程费投标下浮率=（建安工程费投标报价÷建安工程费最高投标限价）×100%。</w:t>
      </w:r>
    </w:p>
    <w:p w14:paraId="68D36A2A">
      <w:pPr>
        <w:pStyle w:val="14"/>
        <w:spacing w:before="0" w:after="0" w:line="360" w:lineRule="auto"/>
        <w:jc w:val="both"/>
        <w:rPr>
          <w:rFonts w:hint="eastAsia" w:ascii="宋体" w:hAnsi="宋体" w:cs="宋体"/>
          <w:b w:val="0"/>
          <w:bCs w:val="0"/>
          <w:color w:val="auto"/>
          <w:sz w:val="24"/>
          <w:szCs w:val="24"/>
          <w:highlight w:val="none"/>
        </w:rPr>
      </w:pPr>
      <w:r>
        <w:rPr>
          <w:rFonts w:hint="eastAsia" w:ascii="宋体" w:hAnsi="宋体" w:eastAsia="宋体" w:cs="宋体"/>
          <w:b w:val="0"/>
          <w:bCs w:val="0"/>
          <w:color w:val="auto"/>
          <w:kern w:val="0"/>
          <w:sz w:val="21"/>
          <w:szCs w:val="21"/>
          <w:highlight w:val="none"/>
        </w:rPr>
        <w:t>（</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）投标报价的大写金额和小写金额不一致的，以大写金额为准，投标报价</w:t>
      </w:r>
      <w:r>
        <w:rPr>
          <w:rFonts w:hint="eastAsia" w:ascii="宋体" w:hAnsi="宋体" w:cs="宋体"/>
          <w:b w:val="0"/>
          <w:bCs w:val="0"/>
          <w:color w:val="auto"/>
          <w:kern w:val="0"/>
          <w:sz w:val="21"/>
          <w:szCs w:val="21"/>
          <w:highlight w:val="none"/>
          <w:lang w:val="en-US" w:eastAsia="zh-CN"/>
        </w:rPr>
        <w:t>和建安工程费投标下浮率均</w:t>
      </w:r>
      <w:r>
        <w:rPr>
          <w:rFonts w:hint="eastAsia" w:ascii="宋体" w:hAnsi="宋体" w:eastAsia="宋体" w:cs="宋体"/>
          <w:b w:val="0"/>
          <w:bCs w:val="0"/>
          <w:color w:val="auto"/>
          <w:kern w:val="0"/>
          <w:sz w:val="21"/>
          <w:szCs w:val="21"/>
          <w:highlight w:val="none"/>
        </w:rPr>
        <w:t>精确到小数点后两位。</w:t>
      </w:r>
    </w:p>
    <w:p w14:paraId="1AD108C9">
      <w:pPr>
        <w:spacing w:before="0" w:after="0"/>
        <w:jc w:val="both"/>
        <w:outlineLvl w:val="2"/>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rPr>
        <w:br w:type="page"/>
      </w:r>
      <w:r>
        <w:rPr>
          <w:rFonts w:hint="eastAsia" w:ascii="宋体" w:hAnsi="宋体" w:eastAsia="宋体" w:cs="宋体"/>
          <w:b/>
          <w:color w:val="auto"/>
          <w:sz w:val="24"/>
          <w:szCs w:val="24"/>
          <w:highlight w:val="none"/>
        </w:rPr>
        <w:t>格式八：工程总承包项目管理团队人员信息表</w:t>
      </w:r>
    </w:p>
    <w:p w14:paraId="2337DAC0">
      <w:pPr>
        <w:spacing w:line="360" w:lineRule="auto"/>
        <w:jc w:val="center"/>
        <w:rPr>
          <w:rFonts w:hint="eastAsia" w:ascii="宋体" w:hAnsi="宋体"/>
          <w:color w:val="auto"/>
          <w:highlight w:val="none"/>
        </w:rPr>
      </w:pPr>
      <w:r>
        <w:rPr>
          <w:rFonts w:hint="eastAsia" w:ascii="宋体" w:hAnsi="宋体"/>
          <w:b/>
          <w:bCs/>
          <w:color w:val="auto"/>
          <w:sz w:val="36"/>
          <w:szCs w:val="36"/>
          <w:highlight w:val="none"/>
        </w:rPr>
        <w:t>工程总承包项目管理团队人员信息表</w:t>
      </w:r>
    </w:p>
    <w:tbl>
      <w:tblPr>
        <w:tblStyle w:val="17"/>
        <w:tblW w:w="9435" w:type="dxa"/>
        <w:jc w:val="center"/>
        <w:tblLayout w:type="fixed"/>
        <w:tblCellMar>
          <w:top w:w="0" w:type="dxa"/>
          <w:left w:w="0" w:type="dxa"/>
          <w:bottom w:w="0" w:type="dxa"/>
          <w:right w:w="0" w:type="dxa"/>
        </w:tblCellMar>
      </w:tblPr>
      <w:tblGrid>
        <w:gridCol w:w="683"/>
        <w:gridCol w:w="1038"/>
        <w:gridCol w:w="2952"/>
        <w:gridCol w:w="1354"/>
        <w:gridCol w:w="3408"/>
      </w:tblGrid>
      <w:tr w14:paraId="1446C95A">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7BDF64">
            <w:pPr>
              <w:widowControl/>
              <w:wordWrap w:val="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03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51601C4">
            <w:pPr>
              <w:widowControl/>
              <w:wordWrap w:val="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姓名</w:t>
            </w:r>
          </w:p>
        </w:tc>
        <w:tc>
          <w:tcPr>
            <w:tcW w:w="29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3D2C31A">
            <w:pPr>
              <w:widowControl/>
              <w:wordWrap w:val="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岗位</w:t>
            </w:r>
          </w:p>
        </w:tc>
        <w:tc>
          <w:tcPr>
            <w:tcW w:w="135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69096A0">
            <w:pPr>
              <w:widowControl/>
              <w:wordWrap w:val="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职称</w:t>
            </w:r>
          </w:p>
        </w:tc>
        <w:tc>
          <w:tcPr>
            <w:tcW w:w="340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503F283">
            <w:pPr>
              <w:widowControl/>
              <w:wordWrap w:val="0"/>
              <w:jc w:val="center"/>
              <w:textAlignment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职称证书或资格证书编号</w:t>
            </w:r>
          </w:p>
        </w:tc>
      </w:tr>
      <w:tr w14:paraId="50CDB710">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D5314A">
            <w:pPr>
              <w:widowControl/>
              <w:wordWrap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p>
        </w:tc>
        <w:tc>
          <w:tcPr>
            <w:tcW w:w="8752" w:type="dxa"/>
            <w:gridSpan w:val="4"/>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5B22955">
            <w:pPr>
              <w:wordWrap w:val="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设计管理团队人员</w:t>
            </w:r>
          </w:p>
        </w:tc>
      </w:tr>
      <w:tr w14:paraId="708D5DAC">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9ABF8D">
            <w:pPr>
              <w:widowControl/>
              <w:wordWrap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3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653D8B9">
            <w:pPr>
              <w:wordWrap w:val="0"/>
              <w:jc w:val="center"/>
              <w:rPr>
                <w:rFonts w:hint="eastAsia" w:ascii="宋体" w:hAnsi="宋体" w:eastAsia="宋体" w:cs="宋体"/>
                <w:color w:val="auto"/>
                <w:sz w:val="21"/>
                <w:szCs w:val="21"/>
                <w:highlight w:val="none"/>
              </w:rPr>
            </w:pPr>
          </w:p>
        </w:tc>
        <w:tc>
          <w:tcPr>
            <w:tcW w:w="29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94F553B">
            <w:pPr>
              <w:wordWrap w:val="0"/>
              <w:snapToGrid w:val="0"/>
              <w:ind w:left="42" w:leftChars="20" w:right="42" w:rightChars="20"/>
              <w:jc w:val="center"/>
              <w:rPr>
                <w:rFonts w:hint="eastAsia" w:ascii="宋体" w:hAnsi="宋体" w:eastAsia="宋体" w:cs="宋体"/>
                <w:color w:val="auto"/>
                <w:sz w:val="21"/>
                <w:szCs w:val="21"/>
                <w:highlight w:val="none"/>
              </w:rPr>
            </w:pPr>
          </w:p>
        </w:tc>
        <w:tc>
          <w:tcPr>
            <w:tcW w:w="135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1B36383">
            <w:pPr>
              <w:wordWrap w:val="0"/>
              <w:jc w:val="center"/>
              <w:rPr>
                <w:rFonts w:hint="eastAsia" w:ascii="宋体" w:hAnsi="宋体" w:eastAsia="宋体" w:cs="宋体"/>
                <w:color w:val="auto"/>
                <w:sz w:val="21"/>
                <w:szCs w:val="21"/>
                <w:highlight w:val="none"/>
              </w:rPr>
            </w:pPr>
          </w:p>
        </w:tc>
        <w:tc>
          <w:tcPr>
            <w:tcW w:w="340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54BE906">
            <w:pPr>
              <w:wordWrap w:val="0"/>
              <w:jc w:val="center"/>
              <w:rPr>
                <w:rFonts w:hint="eastAsia" w:ascii="宋体" w:hAnsi="宋体" w:eastAsia="宋体" w:cs="宋体"/>
                <w:color w:val="auto"/>
                <w:sz w:val="21"/>
                <w:szCs w:val="21"/>
                <w:highlight w:val="none"/>
              </w:rPr>
            </w:pPr>
          </w:p>
        </w:tc>
      </w:tr>
      <w:tr w14:paraId="0EF37D57">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B04AB64">
            <w:pPr>
              <w:widowControl/>
              <w:wordWrap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3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20879A5">
            <w:pPr>
              <w:wordWrap w:val="0"/>
              <w:jc w:val="center"/>
              <w:rPr>
                <w:rFonts w:hint="eastAsia" w:ascii="宋体" w:hAnsi="宋体" w:eastAsia="宋体" w:cs="宋体"/>
                <w:color w:val="auto"/>
                <w:sz w:val="21"/>
                <w:szCs w:val="21"/>
                <w:highlight w:val="none"/>
              </w:rPr>
            </w:pPr>
          </w:p>
        </w:tc>
        <w:tc>
          <w:tcPr>
            <w:tcW w:w="29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2F45A8F">
            <w:pPr>
              <w:wordWrap w:val="0"/>
              <w:snapToGrid w:val="0"/>
              <w:ind w:left="42" w:leftChars="20" w:right="42" w:rightChars="20"/>
              <w:jc w:val="center"/>
              <w:rPr>
                <w:rFonts w:hint="eastAsia" w:ascii="宋体" w:hAnsi="宋体" w:eastAsia="宋体" w:cs="宋体"/>
                <w:color w:val="auto"/>
                <w:sz w:val="21"/>
                <w:szCs w:val="21"/>
                <w:highlight w:val="none"/>
              </w:rPr>
            </w:pPr>
          </w:p>
        </w:tc>
        <w:tc>
          <w:tcPr>
            <w:tcW w:w="135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13A6587">
            <w:pPr>
              <w:wordWrap w:val="0"/>
              <w:jc w:val="center"/>
              <w:rPr>
                <w:rFonts w:hint="eastAsia" w:ascii="宋体" w:hAnsi="宋体" w:eastAsia="宋体" w:cs="宋体"/>
                <w:color w:val="auto"/>
                <w:sz w:val="21"/>
                <w:szCs w:val="21"/>
                <w:highlight w:val="none"/>
              </w:rPr>
            </w:pPr>
          </w:p>
        </w:tc>
        <w:tc>
          <w:tcPr>
            <w:tcW w:w="340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8DA8996">
            <w:pPr>
              <w:wordWrap w:val="0"/>
              <w:jc w:val="center"/>
              <w:rPr>
                <w:rFonts w:hint="eastAsia" w:ascii="宋体" w:hAnsi="宋体" w:eastAsia="宋体" w:cs="宋体"/>
                <w:color w:val="auto"/>
                <w:sz w:val="21"/>
                <w:szCs w:val="21"/>
                <w:highlight w:val="none"/>
              </w:rPr>
            </w:pPr>
          </w:p>
        </w:tc>
      </w:tr>
      <w:tr w14:paraId="40E0B4E1">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67968D">
            <w:pPr>
              <w:widowControl/>
              <w:wordWrap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3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18B5F16">
            <w:pPr>
              <w:wordWrap w:val="0"/>
              <w:jc w:val="center"/>
              <w:rPr>
                <w:rFonts w:hint="eastAsia" w:ascii="宋体" w:hAnsi="宋体" w:eastAsia="宋体" w:cs="宋体"/>
                <w:color w:val="auto"/>
                <w:sz w:val="21"/>
                <w:szCs w:val="21"/>
                <w:highlight w:val="none"/>
              </w:rPr>
            </w:pPr>
          </w:p>
        </w:tc>
        <w:tc>
          <w:tcPr>
            <w:tcW w:w="29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A7E876E">
            <w:pPr>
              <w:wordWrap w:val="0"/>
              <w:snapToGrid w:val="0"/>
              <w:ind w:left="42" w:leftChars="20" w:right="42" w:rightChars="20"/>
              <w:jc w:val="center"/>
              <w:rPr>
                <w:rFonts w:hint="eastAsia" w:ascii="宋体" w:hAnsi="宋体" w:eastAsia="宋体" w:cs="宋体"/>
                <w:color w:val="auto"/>
                <w:sz w:val="21"/>
                <w:szCs w:val="21"/>
                <w:highlight w:val="none"/>
              </w:rPr>
            </w:pPr>
          </w:p>
        </w:tc>
        <w:tc>
          <w:tcPr>
            <w:tcW w:w="135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69F9C75">
            <w:pPr>
              <w:wordWrap w:val="0"/>
              <w:jc w:val="center"/>
              <w:rPr>
                <w:rFonts w:hint="eastAsia" w:ascii="宋体" w:hAnsi="宋体" w:eastAsia="宋体" w:cs="宋体"/>
                <w:color w:val="auto"/>
                <w:sz w:val="21"/>
                <w:szCs w:val="21"/>
                <w:highlight w:val="none"/>
              </w:rPr>
            </w:pPr>
          </w:p>
        </w:tc>
        <w:tc>
          <w:tcPr>
            <w:tcW w:w="340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1DB52DF">
            <w:pPr>
              <w:wordWrap w:val="0"/>
              <w:jc w:val="center"/>
              <w:rPr>
                <w:rFonts w:hint="eastAsia" w:ascii="宋体" w:hAnsi="宋体" w:eastAsia="宋体" w:cs="宋体"/>
                <w:color w:val="auto"/>
                <w:sz w:val="21"/>
                <w:szCs w:val="21"/>
                <w:highlight w:val="none"/>
              </w:rPr>
            </w:pPr>
          </w:p>
        </w:tc>
      </w:tr>
      <w:tr w14:paraId="22564C65">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B7B2CB">
            <w:pPr>
              <w:widowControl/>
              <w:wordWrap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3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E579AD4">
            <w:pPr>
              <w:wordWrap w:val="0"/>
              <w:jc w:val="center"/>
              <w:rPr>
                <w:rFonts w:hint="eastAsia" w:ascii="宋体" w:hAnsi="宋体" w:eastAsia="宋体" w:cs="宋体"/>
                <w:color w:val="auto"/>
                <w:sz w:val="21"/>
                <w:szCs w:val="21"/>
                <w:highlight w:val="none"/>
              </w:rPr>
            </w:pPr>
          </w:p>
        </w:tc>
        <w:tc>
          <w:tcPr>
            <w:tcW w:w="29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B0F9A46">
            <w:pPr>
              <w:wordWrap w:val="0"/>
              <w:snapToGrid w:val="0"/>
              <w:ind w:left="42" w:leftChars="20" w:right="42" w:rightChars="20"/>
              <w:jc w:val="center"/>
              <w:rPr>
                <w:rFonts w:hint="eastAsia" w:ascii="宋体" w:hAnsi="宋体" w:eastAsia="宋体" w:cs="宋体"/>
                <w:color w:val="auto"/>
                <w:sz w:val="21"/>
                <w:szCs w:val="21"/>
                <w:highlight w:val="none"/>
              </w:rPr>
            </w:pPr>
          </w:p>
        </w:tc>
        <w:tc>
          <w:tcPr>
            <w:tcW w:w="135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5B4E11E">
            <w:pPr>
              <w:wordWrap w:val="0"/>
              <w:jc w:val="center"/>
              <w:rPr>
                <w:rFonts w:hint="eastAsia" w:ascii="宋体" w:hAnsi="宋体" w:eastAsia="宋体" w:cs="宋体"/>
                <w:color w:val="auto"/>
                <w:sz w:val="21"/>
                <w:szCs w:val="21"/>
                <w:highlight w:val="none"/>
              </w:rPr>
            </w:pPr>
          </w:p>
        </w:tc>
        <w:tc>
          <w:tcPr>
            <w:tcW w:w="340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4EB74C0C">
            <w:pPr>
              <w:wordWrap w:val="0"/>
              <w:jc w:val="center"/>
              <w:rPr>
                <w:rFonts w:hint="eastAsia" w:ascii="宋体" w:hAnsi="宋体" w:eastAsia="宋体" w:cs="宋体"/>
                <w:color w:val="auto"/>
                <w:sz w:val="21"/>
                <w:szCs w:val="21"/>
                <w:highlight w:val="none"/>
              </w:rPr>
            </w:pPr>
          </w:p>
        </w:tc>
      </w:tr>
      <w:tr w14:paraId="59BB86C4">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8CC9CA">
            <w:pPr>
              <w:widowControl/>
              <w:wordWrap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767F99F">
            <w:pPr>
              <w:wordWrap w:val="0"/>
              <w:jc w:val="center"/>
              <w:rPr>
                <w:rFonts w:hint="eastAsia" w:ascii="宋体" w:hAnsi="宋体" w:eastAsia="宋体" w:cs="宋体"/>
                <w:color w:val="auto"/>
                <w:sz w:val="21"/>
                <w:szCs w:val="21"/>
                <w:highlight w:val="none"/>
              </w:rPr>
            </w:pPr>
          </w:p>
        </w:tc>
        <w:tc>
          <w:tcPr>
            <w:tcW w:w="29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1D7A22D">
            <w:pPr>
              <w:wordWrap w:val="0"/>
              <w:snapToGrid w:val="0"/>
              <w:ind w:left="42" w:leftChars="20" w:right="42" w:rightChars="2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zh-TW"/>
              </w:rPr>
              <w:t>（投标人需结合项目要求及自身情况进行填报）</w:t>
            </w:r>
          </w:p>
        </w:tc>
        <w:tc>
          <w:tcPr>
            <w:tcW w:w="135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7384EDD">
            <w:pPr>
              <w:wordWrap w:val="0"/>
              <w:jc w:val="center"/>
              <w:rPr>
                <w:rFonts w:hint="eastAsia" w:ascii="宋体" w:hAnsi="宋体" w:eastAsia="宋体" w:cs="宋体"/>
                <w:color w:val="auto"/>
                <w:sz w:val="21"/>
                <w:szCs w:val="21"/>
                <w:highlight w:val="none"/>
              </w:rPr>
            </w:pPr>
          </w:p>
        </w:tc>
        <w:tc>
          <w:tcPr>
            <w:tcW w:w="340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3923722">
            <w:pPr>
              <w:wordWrap w:val="0"/>
              <w:jc w:val="center"/>
              <w:rPr>
                <w:rFonts w:hint="eastAsia" w:ascii="宋体" w:hAnsi="宋体" w:eastAsia="宋体" w:cs="宋体"/>
                <w:color w:val="auto"/>
                <w:sz w:val="21"/>
                <w:szCs w:val="21"/>
                <w:highlight w:val="none"/>
              </w:rPr>
            </w:pPr>
          </w:p>
        </w:tc>
      </w:tr>
      <w:tr w14:paraId="701EC165">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6E349E">
            <w:pPr>
              <w:widowControl/>
              <w:wordWrap w:val="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8752" w:type="dxa"/>
            <w:gridSpan w:val="4"/>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82E4546">
            <w:pPr>
              <w:wordWrap w:val="0"/>
              <w:jc w:val="center"/>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施工管理团队人员</w:t>
            </w:r>
          </w:p>
        </w:tc>
      </w:tr>
      <w:tr w14:paraId="1CD3AD86">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586F6F">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3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3D7F2C1">
            <w:pPr>
              <w:wordWrap w:val="0"/>
              <w:jc w:val="center"/>
              <w:rPr>
                <w:rFonts w:hint="eastAsia" w:ascii="宋体" w:hAnsi="宋体" w:eastAsia="宋体" w:cs="宋体"/>
                <w:color w:val="auto"/>
                <w:sz w:val="21"/>
                <w:szCs w:val="21"/>
                <w:highlight w:val="none"/>
              </w:rPr>
            </w:pPr>
          </w:p>
        </w:tc>
        <w:tc>
          <w:tcPr>
            <w:tcW w:w="29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5936D4B">
            <w:pPr>
              <w:wordWrap w:val="0"/>
              <w:snapToGrid w:val="0"/>
              <w:ind w:left="42" w:leftChars="20" w:right="42" w:rightChars="20"/>
              <w:jc w:val="center"/>
              <w:rPr>
                <w:rFonts w:hint="eastAsia" w:ascii="宋体" w:hAnsi="宋体" w:eastAsia="宋体" w:cs="宋体"/>
                <w:color w:val="auto"/>
                <w:sz w:val="21"/>
                <w:szCs w:val="21"/>
                <w:highlight w:val="none"/>
              </w:rPr>
            </w:pPr>
          </w:p>
        </w:tc>
        <w:tc>
          <w:tcPr>
            <w:tcW w:w="135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E332FBB">
            <w:pPr>
              <w:wordWrap w:val="0"/>
              <w:jc w:val="center"/>
              <w:rPr>
                <w:rFonts w:hint="eastAsia" w:ascii="宋体" w:hAnsi="宋体" w:eastAsia="宋体" w:cs="宋体"/>
                <w:color w:val="auto"/>
                <w:sz w:val="21"/>
                <w:szCs w:val="21"/>
                <w:highlight w:val="none"/>
              </w:rPr>
            </w:pPr>
          </w:p>
        </w:tc>
        <w:tc>
          <w:tcPr>
            <w:tcW w:w="340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6D055784">
            <w:pPr>
              <w:wordWrap w:val="0"/>
              <w:jc w:val="center"/>
              <w:rPr>
                <w:rFonts w:hint="eastAsia" w:ascii="宋体" w:hAnsi="宋体" w:eastAsia="宋体" w:cs="宋体"/>
                <w:color w:val="auto"/>
                <w:sz w:val="21"/>
                <w:szCs w:val="21"/>
                <w:highlight w:val="none"/>
              </w:rPr>
            </w:pPr>
          </w:p>
        </w:tc>
      </w:tr>
      <w:tr w14:paraId="404CCEB9">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6498C5">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3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9149368">
            <w:pPr>
              <w:wordWrap w:val="0"/>
              <w:jc w:val="center"/>
              <w:rPr>
                <w:rFonts w:hint="eastAsia" w:ascii="宋体" w:hAnsi="宋体" w:eastAsia="宋体" w:cs="宋体"/>
                <w:color w:val="auto"/>
                <w:sz w:val="21"/>
                <w:szCs w:val="21"/>
                <w:highlight w:val="none"/>
              </w:rPr>
            </w:pPr>
          </w:p>
        </w:tc>
        <w:tc>
          <w:tcPr>
            <w:tcW w:w="29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03269926">
            <w:pPr>
              <w:wordWrap w:val="0"/>
              <w:snapToGrid w:val="0"/>
              <w:ind w:left="42" w:leftChars="20" w:right="42" w:rightChars="20"/>
              <w:jc w:val="center"/>
              <w:rPr>
                <w:rFonts w:hint="eastAsia" w:ascii="宋体" w:hAnsi="宋体" w:eastAsia="宋体" w:cs="宋体"/>
                <w:color w:val="auto"/>
                <w:sz w:val="21"/>
                <w:szCs w:val="21"/>
                <w:highlight w:val="none"/>
              </w:rPr>
            </w:pPr>
          </w:p>
        </w:tc>
        <w:tc>
          <w:tcPr>
            <w:tcW w:w="135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F13F646">
            <w:pPr>
              <w:wordWrap w:val="0"/>
              <w:jc w:val="center"/>
              <w:rPr>
                <w:rFonts w:hint="eastAsia" w:ascii="宋体" w:hAnsi="宋体" w:eastAsia="宋体" w:cs="宋体"/>
                <w:color w:val="auto"/>
                <w:sz w:val="21"/>
                <w:szCs w:val="21"/>
                <w:highlight w:val="none"/>
              </w:rPr>
            </w:pPr>
          </w:p>
        </w:tc>
        <w:tc>
          <w:tcPr>
            <w:tcW w:w="340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728904F">
            <w:pPr>
              <w:wordWrap w:val="0"/>
              <w:jc w:val="center"/>
              <w:rPr>
                <w:rFonts w:hint="eastAsia" w:ascii="宋体" w:hAnsi="宋体" w:eastAsia="宋体" w:cs="宋体"/>
                <w:color w:val="auto"/>
                <w:sz w:val="21"/>
                <w:szCs w:val="21"/>
                <w:highlight w:val="none"/>
              </w:rPr>
            </w:pPr>
          </w:p>
        </w:tc>
      </w:tr>
      <w:tr w14:paraId="3A22DFDD">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B74E1C">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3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04D2AA4">
            <w:pPr>
              <w:wordWrap w:val="0"/>
              <w:jc w:val="center"/>
              <w:rPr>
                <w:rFonts w:hint="eastAsia" w:ascii="宋体" w:hAnsi="宋体" w:eastAsia="宋体" w:cs="宋体"/>
                <w:color w:val="auto"/>
                <w:sz w:val="21"/>
                <w:szCs w:val="21"/>
                <w:highlight w:val="none"/>
              </w:rPr>
            </w:pPr>
          </w:p>
        </w:tc>
        <w:tc>
          <w:tcPr>
            <w:tcW w:w="29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F791350">
            <w:pPr>
              <w:wordWrap w:val="0"/>
              <w:snapToGrid w:val="0"/>
              <w:ind w:left="42" w:leftChars="20" w:right="42" w:rightChars="20"/>
              <w:jc w:val="center"/>
              <w:rPr>
                <w:rFonts w:hint="eastAsia" w:ascii="宋体" w:hAnsi="宋体" w:eastAsia="宋体" w:cs="宋体"/>
                <w:color w:val="auto"/>
                <w:kern w:val="0"/>
                <w:sz w:val="21"/>
                <w:szCs w:val="21"/>
                <w:highlight w:val="none"/>
              </w:rPr>
            </w:pPr>
          </w:p>
        </w:tc>
        <w:tc>
          <w:tcPr>
            <w:tcW w:w="135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7175CD1C">
            <w:pPr>
              <w:wordWrap w:val="0"/>
              <w:jc w:val="center"/>
              <w:rPr>
                <w:rFonts w:hint="eastAsia" w:ascii="宋体" w:hAnsi="宋体" w:eastAsia="宋体" w:cs="宋体"/>
                <w:color w:val="auto"/>
                <w:sz w:val="21"/>
                <w:szCs w:val="21"/>
                <w:highlight w:val="none"/>
              </w:rPr>
            </w:pPr>
          </w:p>
        </w:tc>
        <w:tc>
          <w:tcPr>
            <w:tcW w:w="340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EE2F742">
            <w:pPr>
              <w:wordWrap w:val="0"/>
              <w:jc w:val="center"/>
              <w:rPr>
                <w:rFonts w:hint="eastAsia" w:ascii="宋体" w:hAnsi="宋体" w:eastAsia="宋体" w:cs="宋体"/>
                <w:color w:val="auto"/>
                <w:sz w:val="21"/>
                <w:szCs w:val="21"/>
                <w:highlight w:val="none"/>
              </w:rPr>
            </w:pPr>
          </w:p>
        </w:tc>
      </w:tr>
      <w:tr w14:paraId="35209BD6">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3D95C2">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03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61F8432">
            <w:pPr>
              <w:wordWrap w:val="0"/>
              <w:jc w:val="center"/>
              <w:rPr>
                <w:rFonts w:hint="eastAsia" w:ascii="宋体" w:hAnsi="宋体" w:eastAsia="宋体" w:cs="宋体"/>
                <w:color w:val="auto"/>
                <w:sz w:val="21"/>
                <w:szCs w:val="21"/>
                <w:highlight w:val="none"/>
              </w:rPr>
            </w:pPr>
          </w:p>
        </w:tc>
        <w:tc>
          <w:tcPr>
            <w:tcW w:w="29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709147D">
            <w:pPr>
              <w:wordWrap w:val="0"/>
              <w:snapToGrid w:val="0"/>
              <w:ind w:left="42" w:leftChars="20" w:right="42" w:rightChars="20"/>
              <w:jc w:val="center"/>
              <w:rPr>
                <w:rFonts w:hint="eastAsia" w:ascii="宋体" w:hAnsi="宋体" w:eastAsia="宋体" w:cs="宋体"/>
                <w:color w:val="auto"/>
                <w:kern w:val="0"/>
                <w:sz w:val="21"/>
                <w:szCs w:val="21"/>
                <w:highlight w:val="none"/>
              </w:rPr>
            </w:pPr>
          </w:p>
        </w:tc>
        <w:tc>
          <w:tcPr>
            <w:tcW w:w="135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3C33C50F">
            <w:pPr>
              <w:wordWrap w:val="0"/>
              <w:jc w:val="center"/>
              <w:rPr>
                <w:rFonts w:hint="eastAsia" w:ascii="宋体" w:hAnsi="宋体" w:eastAsia="宋体" w:cs="宋体"/>
                <w:color w:val="auto"/>
                <w:sz w:val="21"/>
                <w:szCs w:val="21"/>
                <w:highlight w:val="none"/>
              </w:rPr>
            </w:pPr>
          </w:p>
        </w:tc>
        <w:tc>
          <w:tcPr>
            <w:tcW w:w="340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53EE04CF">
            <w:pPr>
              <w:wordWrap w:val="0"/>
              <w:jc w:val="center"/>
              <w:rPr>
                <w:rFonts w:hint="eastAsia" w:ascii="宋体" w:hAnsi="宋体" w:eastAsia="宋体" w:cs="宋体"/>
                <w:color w:val="auto"/>
                <w:sz w:val="21"/>
                <w:szCs w:val="21"/>
                <w:highlight w:val="none"/>
              </w:rPr>
            </w:pPr>
          </w:p>
        </w:tc>
      </w:tr>
      <w:tr w14:paraId="6F7FB9E0">
        <w:tblPrEx>
          <w:tblCellMar>
            <w:top w:w="0" w:type="dxa"/>
            <w:left w:w="0" w:type="dxa"/>
            <w:bottom w:w="0" w:type="dxa"/>
            <w:right w:w="0" w:type="dxa"/>
          </w:tblCellMar>
        </w:tblPrEx>
        <w:trPr>
          <w:trHeight w:val="567" w:hRule="atLeast"/>
          <w:jc w:val="center"/>
        </w:trPr>
        <w:tc>
          <w:tcPr>
            <w:tcW w:w="68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84CDE0">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A2623FB">
            <w:pPr>
              <w:wordWrap w:val="0"/>
              <w:jc w:val="center"/>
              <w:rPr>
                <w:rFonts w:hint="eastAsia" w:ascii="宋体" w:hAnsi="宋体" w:eastAsia="宋体" w:cs="宋体"/>
                <w:color w:val="auto"/>
                <w:sz w:val="21"/>
                <w:szCs w:val="21"/>
                <w:highlight w:val="none"/>
              </w:rPr>
            </w:pPr>
          </w:p>
        </w:tc>
        <w:tc>
          <w:tcPr>
            <w:tcW w:w="2952"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281B127A">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（投标人需结合项目要求及自身情况进行填报）</w:t>
            </w:r>
          </w:p>
        </w:tc>
        <w:tc>
          <w:tcPr>
            <w:tcW w:w="1354"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96460B3">
            <w:pPr>
              <w:wordWrap w:val="0"/>
              <w:jc w:val="center"/>
              <w:rPr>
                <w:rFonts w:hint="eastAsia" w:ascii="宋体" w:hAnsi="宋体" w:eastAsia="宋体" w:cs="宋体"/>
                <w:color w:val="auto"/>
                <w:sz w:val="21"/>
                <w:szCs w:val="21"/>
                <w:highlight w:val="none"/>
              </w:rPr>
            </w:pPr>
          </w:p>
        </w:tc>
        <w:tc>
          <w:tcPr>
            <w:tcW w:w="3408" w:type="dxa"/>
            <w:tcBorders>
              <w:top w:val="single" w:color="000000" w:sz="4" w:space="0"/>
              <w:left w:val="nil"/>
              <w:bottom w:val="single" w:color="000000" w:sz="4" w:space="0"/>
              <w:right w:val="single" w:color="000000" w:sz="4" w:space="0"/>
            </w:tcBorders>
            <w:tcMar>
              <w:top w:w="15" w:type="dxa"/>
              <w:left w:w="15" w:type="dxa"/>
              <w:bottom w:w="0" w:type="dxa"/>
              <w:right w:w="15" w:type="dxa"/>
            </w:tcMar>
            <w:vAlign w:val="center"/>
          </w:tcPr>
          <w:p w14:paraId="10E0CE14">
            <w:pPr>
              <w:wordWrap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14:paraId="084E0C3C">
        <w:tblPrEx>
          <w:tblCellMar>
            <w:top w:w="0" w:type="dxa"/>
            <w:left w:w="0" w:type="dxa"/>
            <w:bottom w:w="0" w:type="dxa"/>
            <w:right w:w="0" w:type="dxa"/>
          </w:tblCellMar>
        </w:tblPrEx>
        <w:trPr>
          <w:trHeight w:val="567" w:hRule="atLeast"/>
          <w:jc w:val="center"/>
        </w:trPr>
        <w:tc>
          <w:tcPr>
            <w:tcW w:w="9435" w:type="dxa"/>
            <w:gridSpan w:val="5"/>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197403">
            <w:pPr>
              <w:widowControl/>
              <w:wordWrap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55E5942A">
            <w:pPr>
              <w:widowControl/>
              <w:numPr>
                <w:ilvl w:val="0"/>
                <w:numId w:val="6"/>
              </w:numPr>
              <w:wordWrap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投标人结合项目管理需要在本表备注中明确提出，如：拟派的项目负责人（兼施工负责人）、施工技术负责人、设计负责人、专职安全人员、质量负责人、安全负责人、造价负责人等。以上项目管理团队人员信息将供各相关单位在履约时比对、查核。</w:t>
            </w:r>
          </w:p>
          <w:p w14:paraId="3F23A9BE">
            <w:pPr>
              <w:widowControl/>
              <w:wordWrap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根据本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w:t>
            </w:r>
          </w:p>
          <w:p w14:paraId="49CC028F">
            <w:pPr>
              <w:widowControl/>
              <w:wordWrap w:val="0"/>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w:t>
            </w:r>
            <w:r>
              <w:rPr>
                <w:rFonts w:hint="eastAsia" w:ascii="宋体" w:hAnsi="宋体" w:eastAsia="宋体" w:cs="宋体"/>
                <w:color w:val="auto"/>
                <w:sz w:val="21"/>
                <w:szCs w:val="21"/>
                <w:highlight w:val="none"/>
                <w:u w:val="single"/>
              </w:rPr>
              <w:t>定标</w:t>
            </w:r>
            <w:r>
              <w:rPr>
                <w:rFonts w:hint="eastAsia" w:ascii="宋体" w:hAnsi="宋体" w:eastAsia="宋体" w:cs="宋体"/>
                <w:color w:val="auto"/>
                <w:sz w:val="21"/>
                <w:szCs w:val="21"/>
                <w:highlight w:val="none"/>
              </w:rPr>
              <w:t>办法对投标人拟投入的项目管理团队进行评审的，</w:t>
            </w:r>
            <w:bookmarkStart w:id="1135" w:name="_Hlk61431742"/>
            <w:r>
              <w:rPr>
                <w:rFonts w:hint="eastAsia" w:ascii="宋体" w:hAnsi="宋体" w:eastAsia="宋体" w:cs="宋体"/>
                <w:color w:val="auto"/>
                <w:sz w:val="21"/>
                <w:szCs w:val="21"/>
                <w:highlight w:val="none"/>
              </w:rPr>
              <w:t>如相同岗位投入人员姓名与本表不一致的，以本表中姓名为准；投标人提供的团队人员职称或资格（含证书编号）情况与本表不一致的，以投标人提供的相关证明材料为准。</w:t>
            </w:r>
            <w:bookmarkEnd w:id="1135"/>
          </w:p>
        </w:tc>
      </w:tr>
    </w:tbl>
    <w:p w14:paraId="401C3252">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投标人：    </w:t>
      </w:r>
    </w:p>
    <w:p w14:paraId="3C5B379D">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14:paraId="7563E78F">
      <w:pPr>
        <w:spacing w:line="24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0728F237">
      <w:pPr>
        <w:spacing w:line="240" w:lineRule="auto"/>
        <w:ind w:firstLine="0" w:firstLineChars="0"/>
        <w:jc w:val="left"/>
        <w:outlineLvl w:val="2"/>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rPr>
        <w:t>格式</w:t>
      </w:r>
      <w:r>
        <w:rPr>
          <w:rFonts w:hint="eastAsia" w:ascii="宋体" w:hAnsi="宋体" w:cs="宋体"/>
          <w:b/>
          <w:bCs w:val="0"/>
          <w:color w:val="auto"/>
          <w:sz w:val="24"/>
          <w:szCs w:val="24"/>
          <w:highlight w:val="none"/>
          <w:lang w:val="en-US" w:eastAsia="zh-CN"/>
        </w:rPr>
        <w:t>九</w:t>
      </w:r>
      <w:r>
        <w:rPr>
          <w:rFonts w:hint="eastAsia" w:ascii="宋体" w:hAnsi="宋体" w:cs="宋体"/>
          <w:b/>
          <w:bCs w:val="0"/>
          <w:color w:val="auto"/>
          <w:sz w:val="24"/>
          <w:szCs w:val="24"/>
          <w:highlight w:val="none"/>
        </w:rPr>
        <w:t>：投标人声明</w:t>
      </w:r>
    </w:p>
    <w:p w14:paraId="0B6C8AC5">
      <w:pPr>
        <w:spacing w:line="360" w:lineRule="auto"/>
        <w:ind w:firstLine="0" w:firstLineChars="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投标人声明</w:t>
      </w:r>
    </w:p>
    <w:p w14:paraId="3FFF5645">
      <w:pPr>
        <w:spacing w:line="360" w:lineRule="auto"/>
        <w:ind w:firstLine="0" w:firstLineChars="0"/>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（详见招标公告）</w:t>
      </w:r>
    </w:p>
    <w:p w14:paraId="18F1CFAB">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br w:type="page"/>
      </w:r>
    </w:p>
    <w:p w14:paraId="0AB8DF7B">
      <w:pPr>
        <w:spacing w:line="240" w:lineRule="auto"/>
        <w:ind w:firstLine="0" w:firstLineChars="0"/>
        <w:jc w:val="left"/>
        <w:outlineLvl w:val="2"/>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rPr>
        <w:t>格式</w:t>
      </w:r>
      <w:r>
        <w:rPr>
          <w:rFonts w:hint="eastAsia" w:ascii="宋体" w:hAnsi="宋体" w:cs="宋体"/>
          <w:b/>
          <w:bCs w:val="0"/>
          <w:color w:val="auto"/>
          <w:sz w:val="24"/>
          <w:szCs w:val="24"/>
          <w:highlight w:val="none"/>
          <w:lang w:val="en-US" w:eastAsia="zh-CN"/>
        </w:rPr>
        <w:t>十</w:t>
      </w:r>
      <w:r>
        <w:rPr>
          <w:rFonts w:hint="eastAsia" w:ascii="宋体" w:hAnsi="宋体" w:cs="宋体"/>
          <w:b/>
          <w:bCs w:val="0"/>
          <w:color w:val="auto"/>
          <w:sz w:val="24"/>
          <w:szCs w:val="24"/>
          <w:highlight w:val="none"/>
        </w:rPr>
        <w:t>：联合体共同投标协议</w:t>
      </w:r>
      <w:r>
        <w:rPr>
          <w:rFonts w:hint="eastAsia" w:ascii="宋体" w:hAnsi="宋体" w:eastAsia="宋体" w:cs="宋体"/>
          <w:b/>
          <w:color w:val="auto"/>
          <w:sz w:val="24"/>
          <w:szCs w:val="24"/>
          <w:highlight w:val="none"/>
        </w:rPr>
        <w:t>（格式仅供参考，投标人可自行调整）</w:t>
      </w:r>
    </w:p>
    <w:p w14:paraId="14E1A4EA">
      <w:pPr>
        <w:spacing w:line="360" w:lineRule="auto"/>
        <w:ind w:firstLine="0" w:firstLineChars="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联合体共同投标协议</w:t>
      </w:r>
    </w:p>
    <w:p w14:paraId="56B5617A">
      <w:pPr>
        <w:spacing w:line="360" w:lineRule="auto"/>
        <w:ind w:firstLine="0" w:firstLineChars="0"/>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（详见招标公告）</w:t>
      </w:r>
    </w:p>
    <w:p w14:paraId="515509A3">
      <w:pPr>
        <w:spacing w:line="360" w:lineRule="auto"/>
        <w:ind w:firstLine="0" w:firstLineChars="0"/>
        <w:jc w:val="center"/>
        <w:rPr>
          <w:rFonts w:hint="eastAsia" w:ascii="宋体" w:hAnsi="宋体" w:eastAsia="宋体" w:cs="宋体"/>
          <w:b/>
          <w:color w:val="auto"/>
          <w:sz w:val="32"/>
          <w:szCs w:val="32"/>
          <w:highlight w:val="none"/>
          <w:lang w:val="zh-CN"/>
        </w:rPr>
      </w:pPr>
    </w:p>
    <w:p w14:paraId="32F9D58F">
      <w:pPr>
        <w:spacing w:line="240" w:lineRule="auto"/>
        <w:ind w:firstLine="0" w:firstLineChars="0"/>
        <w:jc w:val="center"/>
        <w:outlineLvl w:val="2"/>
        <w:rPr>
          <w:rFonts w:hint="eastAsia" w:ascii="宋体" w:hAnsi="宋体" w:eastAsia="宋体" w:cs="宋体"/>
          <w:b/>
          <w:snapToGrid/>
          <w:color w:val="auto"/>
          <w:spacing w:val="0"/>
          <w:kern w:val="2"/>
          <w:sz w:val="24"/>
          <w:szCs w:val="24"/>
          <w:highlight w:val="none"/>
          <w:lang w:val="en-US" w:eastAsia="zh-CN" w:bidi="ar-SA"/>
        </w:rPr>
      </w:pPr>
      <w:r>
        <w:rPr>
          <w:rFonts w:hint="eastAsia" w:ascii="宋体" w:hAnsi="宋体" w:eastAsia="宋体" w:cs="宋体"/>
          <w:b w:val="0"/>
          <w:color w:val="auto"/>
          <w:sz w:val="21"/>
          <w:szCs w:val="21"/>
          <w:highlight w:val="none"/>
          <w:lang w:val="zh-CN"/>
        </w:rPr>
        <w:br w:type="page"/>
      </w:r>
      <w:bookmarkEnd w:id="1055"/>
      <w:bookmarkEnd w:id="1126"/>
      <w:bookmarkEnd w:id="1127"/>
      <w:bookmarkEnd w:id="1128"/>
      <w:r>
        <w:rPr>
          <w:rFonts w:hint="eastAsia" w:ascii="宋体" w:hAnsi="宋体" w:eastAsia="宋体" w:cs="宋体"/>
          <w:b/>
          <w:snapToGrid/>
          <w:color w:val="auto"/>
          <w:spacing w:val="0"/>
          <w:kern w:val="2"/>
          <w:sz w:val="24"/>
          <w:szCs w:val="24"/>
          <w:highlight w:val="none"/>
          <w:lang w:val="en-US" w:eastAsia="zh-CN" w:bidi="ar-SA"/>
        </w:rPr>
        <w:t>二、投标文件（定标文件）格式</w:t>
      </w:r>
    </w:p>
    <w:p w14:paraId="53513CEC">
      <w:pPr>
        <w:pStyle w:val="26"/>
        <w:spacing w:beforeLines="0" w:afterLines="0" w:line="360" w:lineRule="auto"/>
        <w:rPr>
          <w:rFonts w:hint="eastAsia" w:ascii="宋体" w:eastAsia="宋体" w:cs="宋体"/>
          <w:color w:val="auto"/>
          <w:sz w:val="21"/>
          <w:szCs w:val="21"/>
          <w:highlight w:val="none"/>
        </w:rPr>
      </w:pPr>
      <w:r>
        <w:rPr>
          <w:rFonts w:hint="eastAsia" w:ascii="宋体" w:eastAsia="宋体" w:cs="宋体"/>
          <w:color w:val="auto"/>
          <w:sz w:val="21"/>
          <w:szCs w:val="21"/>
          <w:highlight w:val="none"/>
        </w:rPr>
        <w:t>定标文件封面</w:t>
      </w:r>
      <w:r>
        <w:rPr>
          <w:rFonts w:hint="eastAsia" w:ascii="宋体" w:hAnsi="宋体" w:eastAsia="宋体" w:cs="宋体"/>
          <w:b/>
          <w:color w:val="auto"/>
          <w:sz w:val="24"/>
          <w:szCs w:val="24"/>
          <w:highlight w:val="none"/>
        </w:rPr>
        <w:t>（格式仅供参考，投标人可自行调整）</w:t>
      </w:r>
    </w:p>
    <w:p w14:paraId="2C80F553">
      <w:pPr>
        <w:pStyle w:val="22"/>
        <w:ind w:firstLine="496"/>
        <w:jc w:val="center"/>
        <w:rPr>
          <w:rFonts w:hint="eastAsia" w:ascii="宋体" w:hAnsi="宋体" w:cs="宋体"/>
          <w:color w:val="auto"/>
          <w:highlight w:val="none"/>
        </w:rPr>
      </w:pPr>
    </w:p>
    <w:p w14:paraId="2ED50660">
      <w:pPr>
        <w:pStyle w:val="22"/>
        <w:ind w:firstLine="496"/>
        <w:jc w:val="center"/>
        <w:rPr>
          <w:rFonts w:hint="eastAsia" w:ascii="宋体" w:hAnsi="宋体" w:cs="宋体"/>
          <w:color w:val="auto"/>
          <w:highlight w:val="none"/>
        </w:rPr>
      </w:pPr>
    </w:p>
    <w:p w14:paraId="48A9B822">
      <w:pPr>
        <w:pStyle w:val="22"/>
        <w:ind w:firstLine="496"/>
        <w:jc w:val="center"/>
        <w:rPr>
          <w:rFonts w:hint="eastAsia" w:ascii="宋体" w:hAnsi="宋体" w:cs="宋体"/>
          <w:color w:val="auto"/>
          <w:highlight w:val="none"/>
        </w:rPr>
      </w:pPr>
    </w:p>
    <w:p w14:paraId="66F3EF6F">
      <w:pPr>
        <w:pStyle w:val="27"/>
        <w:rPr>
          <w:rFonts w:hint="eastAsia" w:ascii="宋体" w:hAnsi="宋体" w:eastAsia="宋体" w:cs="宋体"/>
          <w:b w:val="0"/>
          <w:color w:val="auto"/>
          <w:sz w:val="52"/>
          <w:szCs w:val="52"/>
          <w:highlight w:val="none"/>
          <w:u w:val="single"/>
        </w:rPr>
      </w:pPr>
      <w:r>
        <w:rPr>
          <w:rFonts w:hint="eastAsia" w:ascii="宋体" w:hAnsi="宋体" w:eastAsia="宋体" w:cs="宋体"/>
          <w:b w:val="0"/>
          <w:color w:val="auto"/>
          <w:sz w:val="52"/>
          <w:szCs w:val="52"/>
          <w:highlight w:val="none"/>
          <w:u w:val="single"/>
        </w:rPr>
        <w:t>[工程名称]</w:t>
      </w:r>
    </w:p>
    <w:p w14:paraId="649753C0">
      <w:pPr>
        <w:pStyle w:val="22"/>
        <w:ind w:firstLine="496"/>
        <w:jc w:val="center"/>
        <w:rPr>
          <w:rFonts w:hint="eastAsia" w:ascii="宋体" w:hAnsi="宋体" w:cs="宋体"/>
          <w:color w:val="auto"/>
          <w:highlight w:val="none"/>
        </w:rPr>
      </w:pPr>
    </w:p>
    <w:p w14:paraId="7C34C5B0">
      <w:pPr>
        <w:pStyle w:val="22"/>
        <w:ind w:firstLine="496"/>
        <w:jc w:val="center"/>
        <w:rPr>
          <w:rFonts w:hint="eastAsia" w:ascii="宋体" w:hAnsi="宋体" w:cs="宋体"/>
          <w:color w:val="auto"/>
          <w:highlight w:val="none"/>
        </w:rPr>
      </w:pPr>
    </w:p>
    <w:p w14:paraId="1745D29F">
      <w:pPr>
        <w:pStyle w:val="22"/>
        <w:ind w:firstLine="496"/>
        <w:jc w:val="center"/>
        <w:rPr>
          <w:rFonts w:hint="eastAsia" w:ascii="宋体" w:hAnsi="宋体" w:cs="宋体"/>
          <w:color w:val="auto"/>
          <w:highlight w:val="none"/>
        </w:rPr>
      </w:pPr>
    </w:p>
    <w:p w14:paraId="78BB9C5E">
      <w:pPr>
        <w:pStyle w:val="22"/>
        <w:ind w:firstLine="496"/>
        <w:jc w:val="center"/>
        <w:rPr>
          <w:rFonts w:hint="eastAsia" w:ascii="宋体" w:hAnsi="宋体" w:cs="宋体"/>
          <w:color w:val="auto"/>
          <w:highlight w:val="none"/>
        </w:rPr>
      </w:pPr>
    </w:p>
    <w:p w14:paraId="0FF2112D">
      <w:pPr>
        <w:pStyle w:val="22"/>
        <w:ind w:firstLine="496"/>
        <w:jc w:val="center"/>
        <w:rPr>
          <w:rFonts w:hint="eastAsia" w:ascii="宋体" w:hAnsi="宋体" w:cs="宋体"/>
          <w:color w:val="auto"/>
          <w:highlight w:val="none"/>
        </w:rPr>
      </w:pPr>
    </w:p>
    <w:p w14:paraId="6B8C99B5">
      <w:pPr>
        <w:pStyle w:val="22"/>
        <w:ind w:firstLine="496"/>
        <w:jc w:val="center"/>
        <w:rPr>
          <w:rFonts w:hint="eastAsia" w:ascii="宋体" w:hAnsi="宋体" w:cs="宋体"/>
          <w:color w:val="auto"/>
          <w:highlight w:val="none"/>
        </w:rPr>
      </w:pPr>
    </w:p>
    <w:p w14:paraId="1001E7D7">
      <w:pPr>
        <w:pStyle w:val="28"/>
        <w:rPr>
          <w:rFonts w:hint="eastAsia" w:ascii="宋体" w:hAnsi="宋体" w:eastAsia="宋体" w:cs="宋体"/>
          <w:b w:val="0"/>
          <w:color w:val="auto"/>
          <w:highlight w:val="none"/>
        </w:rPr>
      </w:pPr>
      <w:r>
        <w:rPr>
          <w:rFonts w:hint="eastAsia" w:ascii="宋体" w:hAnsi="宋体" w:eastAsia="宋体" w:cs="宋体"/>
          <w:b w:val="0"/>
          <w:color w:val="auto"/>
          <w:highlight w:val="none"/>
        </w:rPr>
        <w:t>投标文件</w:t>
      </w:r>
    </w:p>
    <w:p w14:paraId="1FC929F5">
      <w:pPr>
        <w:pStyle w:val="22"/>
        <w:ind w:firstLine="0" w:firstLineChars="0"/>
        <w:jc w:val="center"/>
        <w:rPr>
          <w:rFonts w:hint="eastAsia" w:ascii="宋体" w:hAnsi="宋体" w:cs="宋体"/>
          <w:b/>
          <w:bCs/>
          <w:color w:val="auto"/>
          <w:highlight w:val="none"/>
        </w:rPr>
      </w:pPr>
      <w:r>
        <w:rPr>
          <w:rFonts w:hint="eastAsia" w:ascii="宋体" w:hAnsi="宋体" w:cs="宋体"/>
          <w:b/>
          <w:bCs/>
          <w:color w:val="auto"/>
          <w:sz w:val="28"/>
          <w:szCs w:val="28"/>
          <w:highlight w:val="none"/>
        </w:rPr>
        <w:t>（定标文件）</w:t>
      </w:r>
    </w:p>
    <w:p w14:paraId="09D539C6">
      <w:pPr>
        <w:pStyle w:val="22"/>
        <w:ind w:firstLine="0" w:firstLineChars="0"/>
        <w:jc w:val="center"/>
        <w:rPr>
          <w:rFonts w:hint="eastAsia" w:ascii="宋体" w:hAnsi="宋体" w:cs="宋体"/>
          <w:color w:val="auto"/>
          <w:highlight w:val="none"/>
        </w:rPr>
      </w:pPr>
    </w:p>
    <w:p w14:paraId="2F6FCA91">
      <w:pPr>
        <w:pStyle w:val="22"/>
        <w:ind w:firstLine="0" w:firstLineChars="0"/>
        <w:jc w:val="center"/>
        <w:rPr>
          <w:rFonts w:hint="eastAsia" w:ascii="宋体" w:hAnsi="宋体" w:cs="宋体"/>
          <w:color w:val="auto"/>
          <w:highlight w:val="none"/>
        </w:rPr>
      </w:pPr>
    </w:p>
    <w:p w14:paraId="4119D16C">
      <w:pPr>
        <w:pStyle w:val="29"/>
        <w:ind w:firstLine="0" w:firstLineChars="0"/>
        <w:jc w:val="center"/>
        <w:rPr>
          <w:rFonts w:hint="eastAsia" w:ascii="宋体" w:hAnsi="宋体" w:eastAsia="宋体" w:cs="宋体"/>
          <w:color w:val="auto"/>
          <w:sz w:val="32"/>
          <w:szCs w:val="32"/>
          <w:highlight w:val="none"/>
        </w:rPr>
      </w:pPr>
    </w:p>
    <w:p w14:paraId="72B22201">
      <w:pPr>
        <w:pStyle w:val="29"/>
        <w:ind w:firstLine="0" w:firstLineChars="0"/>
        <w:jc w:val="center"/>
        <w:rPr>
          <w:rFonts w:hint="eastAsia" w:ascii="宋体" w:hAnsi="宋体" w:eastAsia="宋体" w:cs="宋体"/>
          <w:color w:val="auto"/>
          <w:sz w:val="32"/>
          <w:szCs w:val="32"/>
          <w:highlight w:val="none"/>
        </w:rPr>
      </w:pPr>
    </w:p>
    <w:p w14:paraId="319A77AE">
      <w:pPr>
        <w:pStyle w:val="29"/>
        <w:ind w:firstLine="0" w:firstLineChars="0"/>
        <w:jc w:val="center"/>
        <w:rPr>
          <w:rFonts w:hint="eastAsia" w:ascii="宋体" w:hAnsi="宋体" w:eastAsia="宋体" w:cs="宋体"/>
          <w:color w:val="auto"/>
          <w:sz w:val="32"/>
          <w:szCs w:val="32"/>
          <w:highlight w:val="none"/>
        </w:rPr>
      </w:pPr>
    </w:p>
    <w:p w14:paraId="431F78D0">
      <w:pPr>
        <w:pStyle w:val="29"/>
        <w:ind w:firstLine="656"/>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投标人：</w:t>
      </w:r>
      <w:r>
        <w:rPr>
          <w:rFonts w:hint="eastAsia" w:ascii="宋体" w:hAnsi="宋体" w:eastAsia="宋体" w:cs="宋体"/>
          <w:color w:val="auto"/>
          <w:sz w:val="32"/>
          <w:szCs w:val="32"/>
          <w:highlight w:val="none"/>
          <w:u w:val="single"/>
        </w:rPr>
        <w:t xml:space="preserve">    （填写投标人单位名称）    </w:t>
      </w:r>
    </w:p>
    <w:p w14:paraId="32BA0F87">
      <w:pPr>
        <w:pStyle w:val="29"/>
        <w:ind w:firstLine="656"/>
        <w:rPr>
          <w:rFonts w:hint="eastAsia" w:ascii="宋体" w:hAnsi="宋体" w:eastAsia="宋体" w:cs="宋体"/>
          <w:color w:val="auto"/>
          <w:highlight w:val="none"/>
        </w:rPr>
      </w:pPr>
      <w:r>
        <w:rPr>
          <w:rFonts w:hint="eastAsia" w:ascii="宋体" w:hAnsi="宋体" w:eastAsia="宋体" w:cs="宋体"/>
          <w:color w:val="auto"/>
          <w:sz w:val="32"/>
          <w:szCs w:val="32"/>
          <w:highlight w:val="none"/>
        </w:rPr>
        <w:t xml:space="preserve">日期：                                       </w:t>
      </w:r>
    </w:p>
    <w:p w14:paraId="2FF47BB5">
      <w:pPr>
        <w:widowControl/>
        <w:spacing w:line="240" w:lineRule="auto"/>
        <w:jc w:val="left"/>
        <w:rPr>
          <w:color w:val="auto"/>
          <w:highlight w:val="none"/>
        </w:rPr>
      </w:pPr>
      <w:r>
        <w:rPr>
          <w:color w:val="auto"/>
          <w:highlight w:val="none"/>
        </w:rPr>
        <w:br w:type="page"/>
      </w:r>
    </w:p>
    <w:p w14:paraId="1C86E891">
      <w:pPr>
        <w:pStyle w:val="26"/>
        <w:spacing w:beforeLines="0" w:afterLines="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目录</w:t>
      </w:r>
      <w:r>
        <w:rPr>
          <w:rFonts w:hint="eastAsia" w:ascii="宋体" w:hAnsi="宋体" w:eastAsia="宋体" w:cs="宋体"/>
          <w:b/>
          <w:color w:val="auto"/>
          <w:sz w:val="24"/>
          <w:szCs w:val="24"/>
          <w:highlight w:val="none"/>
        </w:rPr>
        <w:t>（格式仅供参考，投标人可自行调整）</w:t>
      </w:r>
    </w:p>
    <w:p w14:paraId="14A421AB">
      <w:pPr>
        <w:numPr>
          <w:ilvl w:val="-1"/>
          <w:numId w:val="0"/>
        </w:numPr>
        <w:spacing w:line="240" w:lineRule="auto"/>
        <w:jc w:val="left"/>
        <w:outlineLvl w:val="9"/>
        <w:rPr>
          <w:rFonts w:hint="eastAsia" w:ascii="宋体" w:hAnsi="宋体" w:cs="宋体"/>
          <w:b/>
          <w:bCs/>
          <w:color w:val="auto"/>
          <w:sz w:val="24"/>
          <w:szCs w:val="28"/>
          <w:highlight w:val="none"/>
          <w:lang w:val="en-US" w:eastAsia="zh-CN"/>
        </w:rPr>
      </w:pPr>
      <w:r>
        <w:rPr>
          <w:rFonts w:hint="eastAsia" w:ascii="宋体" w:hAnsi="宋体" w:cs="宋体"/>
          <w:b/>
          <w:bCs/>
          <w:color w:val="auto"/>
          <w:sz w:val="24"/>
          <w:szCs w:val="28"/>
          <w:highlight w:val="none"/>
          <w:lang w:val="en-US" w:eastAsia="zh-CN"/>
        </w:rPr>
        <w:t>由投标人自行编制目录，包括但不限于以下内容：</w:t>
      </w:r>
    </w:p>
    <w:p w14:paraId="1481E619">
      <w:pPr>
        <w:rPr>
          <w:rFonts w:hint="eastAsia" w:ascii="宋体" w:hAnsi="宋体" w:eastAsia="宋体" w:cs="宋体"/>
          <w:color w:val="auto"/>
          <w:sz w:val="21"/>
          <w:szCs w:val="21"/>
          <w:highlight w:val="none"/>
          <w:lang w:val="en-US" w:eastAsia="zh-CN"/>
        </w:rPr>
      </w:pPr>
    </w:p>
    <w:p w14:paraId="42F6BF21">
      <w:pPr>
        <w:pStyle w:val="11"/>
        <w:jc w:val="center"/>
        <w:rPr>
          <w:rFonts w:hint="default"/>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目录</w:t>
      </w:r>
    </w:p>
    <w:p w14:paraId="77DF6858">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（1）投标报价；</w:t>
      </w:r>
    </w:p>
    <w:p w14:paraId="6583C8B9">
      <w:pPr>
        <w:pStyle w:val="8"/>
        <w:spacing w:after="0" w:line="360" w:lineRule="auto"/>
        <w:ind w:firstLine="480" w:firstLineChars="200"/>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2</w:t>
      </w:r>
      <w:r>
        <w:rPr>
          <w:rFonts w:hint="eastAsia" w:ascii="宋体" w:hAnsi="宋体" w:cs="宋体"/>
          <w:color w:val="auto"/>
          <w:sz w:val="24"/>
          <w:szCs w:val="24"/>
          <w:highlight w:val="none"/>
          <w:u w:val="single"/>
        </w:rPr>
        <w:t>）工程总承包方案</w:t>
      </w:r>
      <w:r>
        <w:rPr>
          <w:rFonts w:hint="eastAsia" w:ascii="宋体" w:hAnsi="宋体" w:cs="宋体"/>
          <w:color w:val="auto"/>
          <w:sz w:val="24"/>
          <w:szCs w:val="24"/>
          <w:highlight w:val="none"/>
          <w:u w:val="single"/>
          <w:lang w:eastAsia="zh-CN"/>
        </w:rPr>
        <w:t>；</w:t>
      </w:r>
    </w:p>
    <w:p w14:paraId="546A3ED5">
      <w:pPr>
        <w:spacing w:line="360" w:lineRule="auto"/>
        <w:ind w:firstLine="480" w:firstLineChars="200"/>
        <w:rPr>
          <w:rFonts w:hint="eastAsia" w:ascii="宋体" w:hAnsi="宋体" w:cs="宋体"/>
          <w:color w:val="auto"/>
          <w:kern w:val="0"/>
          <w:sz w:val="24"/>
          <w:szCs w:val="24"/>
          <w:highlight w:val="none"/>
          <w:u w:val="singl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按照《定标因素表》的要求或</w:t>
      </w:r>
      <w:r>
        <w:rPr>
          <w:rFonts w:hint="eastAsia" w:ascii="宋体" w:hAnsi="宋体" w:cs="宋体"/>
          <w:color w:val="auto"/>
          <w:sz w:val="24"/>
          <w:szCs w:val="24"/>
          <w:highlight w:val="none"/>
          <w:u w:val="single"/>
        </w:rPr>
        <w:t>投标人</w:t>
      </w:r>
      <w:r>
        <w:rPr>
          <w:rFonts w:hint="eastAsia" w:ascii="宋体" w:hAnsi="宋体" w:cs="宋体"/>
          <w:color w:val="auto"/>
          <w:kern w:val="0"/>
          <w:sz w:val="24"/>
          <w:szCs w:val="24"/>
          <w:highlight w:val="none"/>
          <w:u w:val="single"/>
        </w:rPr>
        <w:t>实施本项目的其他优势证明资料。</w:t>
      </w:r>
    </w:p>
    <w:p w14:paraId="28DE6D05">
      <w:pPr>
        <w:pStyle w:val="11"/>
        <w:jc w:val="center"/>
        <w:rPr>
          <w:rFonts w:hint="default"/>
          <w:color w:val="auto"/>
          <w:sz w:val="24"/>
          <w:szCs w:val="22"/>
          <w:highlight w:val="none"/>
          <w:lang w:val="en-US" w:eastAsia="zh-CN"/>
        </w:rPr>
      </w:pPr>
    </w:p>
    <w:p w14:paraId="64D7ED62">
      <w:pPr>
        <w:pStyle w:val="11"/>
        <w:jc w:val="center"/>
        <w:rPr>
          <w:rFonts w:hint="default"/>
          <w:color w:val="auto"/>
          <w:sz w:val="24"/>
          <w:szCs w:val="22"/>
          <w:highlight w:val="none"/>
          <w:lang w:val="en-US" w:eastAsia="zh-CN"/>
        </w:rPr>
      </w:pPr>
    </w:p>
    <w:sectPr>
      <w:headerReference r:id="rId8" w:type="default"/>
      <w:footerReference r:id="rId9" w:type="default"/>
      <w:pgSz w:w="11906" w:h="16838"/>
      <w:pgMar w:top="1440" w:right="946" w:bottom="1440" w:left="8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76BD0">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71277C">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7B71277C">
                    <w:pPr>
                      <w:pStyle w:val="12"/>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14:paraId="75D35B7B">
    <w:pPr>
      <w:pStyle w:val="13"/>
      <w:pBdr>
        <w:bottom w:val="none" w:color="auto" w:sz="0" w:space="0"/>
      </w:pBdr>
    </w:pPr>
  </w:p>
  <w:p w14:paraId="4D7D591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C1C8F">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304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93040" cy="139700"/>
                      </a:xfrm>
                      <a:prstGeom prst="rect">
                        <a:avLst/>
                      </a:prstGeom>
                      <a:noFill/>
                      <a:ln>
                        <a:noFill/>
                      </a:ln>
                    </wps:spPr>
                    <wps:txbx>
                      <w:txbxContent>
                        <w:p w14:paraId="4CF4FA3C">
                          <w:pPr>
                            <w:pStyle w:val="1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lIns="0" tIns="0" rIns="0" bIns="0">
                      <a:spAutoFit/>
                    </wps:bodyPr>
                  </wps:wsp>
                </a:graphicData>
              </a:graphic>
            </wp:anchor>
          </w:drawing>
        </mc:Choice>
        <mc:Fallback>
          <w:pict>
            <v:shape id="_x0000_s1026" o:spid="_x0000_s1026" o:spt="202" type="#_x0000_t202" style="position:absolute;left:0pt;margin-top:0pt;height:11pt;width:15.2pt;mso-position-horizontal:center;mso-position-horizontal-relative:margin;z-index:251660288;mso-width-relative:page;mso-height-relative:page;" filled="f" stroked="f" coordsize="21600,21600" o:gfxdata="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i/WVQdIAAAADAQAADwAAAAAAAAABACAAAAAiAAAAZHJzL2Rvd25yZXYueG1sUEsBAhQA&#10;FAAAAAgAh07iQEGHEM6/AQAAfwMAAA4AAAAAAAAAAQAgAAAAIQEAAGRycy9lMm9Eb2MueG1sUEsF&#10;BgAAAAAGAAYAWQEAAFIFAAAAAA==&#10;">
              <v:fill on="f" focussize="0,0"/>
              <v:stroke on="f"/>
              <v:imagedata o:title=""/>
              <o:lock v:ext="edit" aspectratio="f"/>
              <v:textbox inset="0mm,0mm,0mm,0mm" style="mso-fit-shape-to-text:t;">
                <w:txbxContent>
                  <w:p w14:paraId="4CF4FA3C">
                    <w:pPr>
                      <w:pStyle w:val="1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853D6">
    <w:pPr>
      <w:pStyle w:val="12"/>
      <w:rPr>
        <w:rFonts w:hint="eastAsia"/>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533F1">
                          <w:pPr>
                            <w:pStyle w:val="12"/>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EE533F1">
                    <w:pPr>
                      <w:pStyle w:val="12"/>
                    </w:pPr>
                    <w:r>
                      <w:fldChar w:fldCharType="begin"/>
                    </w:r>
                    <w:r>
                      <w:instrText xml:space="preserve"> PAGE  \* MERGEFORMAT </w:instrText>
                    </w:r>
                    <w:r>
                      <w:fldChar w:fldCharType="separate"/>
                    </w:r>
                    <w:r>
                      <w:t>31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93040" cy="139700"/>
              <wp:effectExtent l="0" t="0" r="0" b="0"/>
              <wp:wrapNone/>
              <wp:docPr id="1439624407" name="文本框 1439624407"/>
              <wp:cNvGraphicFramePr/>
              <a:graphic xmlns:a="http://schemas.openxmlformats.org/drawingml/2006/main">
                <a:graphicData uri="http://schemas.microsoft.com/office/word/2010/wordprocessingShape">
                  <wps:wsp>
                    <wps:cNvSpPr txBox="1"/>
                    <wps:spPr>
                      <a:xfrm>
                        <a:off x="0" y="0"/>
                        <a:ext cx="193040" cy="139700"/>
                      </a:xfrm>
                      <a:prstGeom prst="rect">
                        <a:avLst/>
                      </a:prstGeom>
                      <a:noFill/>
                      <a:ln>
                        <a:noFill/>
                      </a:ln>
                    </wps:spPr>
                    <wps:txbx>
                      <w:txbxContent>
                        <w:p w14:paraId="65F34D73"/>
                      </w:txbxContent>
                    </wps:txbx>
                    <wps:bodyPr lIns="0" tIns="0" rIns="0" bIns="0">
                      <a:spAutoFit/>
                    </wps:bodyPr>
                  </wps:wsp>
                </a:graphicData>
              </a:graphic>
            </wp:anchor>
          </w:drawing>
        </mc:Choice>
        <mc:Fallback>
          <w:pict>
            <v:shape id="_x0000_s1026" o:spid="_x0000_s1026" o:spt="202" type="#_x0000_t202" style="position:absolute;left:0pt;margin-top:0pt;height:11pt;width:15.2pt;mso-position-horizontal:center;mso-position-horizontal-relative:margin;z-index:251662336;mso-width-relative:page;mso-height-relative:page;" filled="f" stroked="f" coordsize="21600,21600" o:gfxdata="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i/WVQdIAAAADAQAADwAAAAAAAAABACAAAAAiAAAAZHJzL2Rvd25yZXYu&#10;eG1sUEsBAhQAFAAAAAgAh07iQAnjcYzIAQAAkQMAAA4AAAAAAAAAAQAgAAAAIQEAAGRycy9lMm9E&#10;b2MueG1sUEsFBgAAAAAGAAYAWQEAAFsFAAAAAA==&#10;">
              <v:fill on="f" focussize="0,0"/>
              <v:stroke on="f"/>
              <v:imagedata o:title=""/>
              <o:lock v:ext="edit" aspectratio="f"/>
              <v:textbox inset="0mm,0mm,0mm,0mm" style="mso-fit-shape-to-text:t;">
                <w:txbxContent>
                  <w:p w14:paraId="65F34D73"/>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6E07A">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23520" cy="2139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3520" cy="213995"/>
                      </a:xfrm>
                      <a:prstGeom prst="rect">
                        <a:avLst/>
                      </a:prstGeom>
                      <a:noFill/>
                      <a:ln>
                        <a:noFill/>
                      </a:ln>
                    </wps:spPr>
                    <wps:txbx>
                      <w:txbxContent>
                        <w:p w14:paraId="1964EED7">
                          <w:pPr>
                            <w:pStyle w:val="12"/>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wps:txbx>
                    <wps:bodyPr lIns="0" tIns="0" rIns="0" bIns="0"/>
                  </wps:wsp>
                </a:graphicData>
              </a:graphic>
            </wp:anchor>
          </w:drawing>
        </mc:Choice>
        <mc:Fallback>
          <w:pict>
            <v:shape id="_x0000_s1026" o:spid="_x0000_s1026" o:spt="202" type="#_x0000_t202" style="position:absolute;left:0pt;margin-top:0pt;height:16.85pt;width:17.6pt;mso-position-horizontal:center;mso-position-horizontal-relative:margin;z-index:251661312;mso-width-relative:page;mso-height-relative:page;" filled="f" stroked="f" coordsize="21600,21600" o:gfxdata="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3P+nX&#10;1AAAAAMBAAAPAAAAAAAAAAEAIAAAACIAAABkcnMvZG93bnJldi54bWxQSwECFAAUAAAACACHTuJA&#10;3DUtnLMBAABlAwAADgAAAAAAAAABACAAAAAjAQAAZHJzL2Uyb0RvYy54bWxQSwUGAAAAAAYABgBZ&#10;AQAASAUAAAAA&#10;">
              <v:fill on="f" focussize="0,0"/>
              <v:stroke on="f"/>
              <v:imagedata o:title=""/>
              <o:lock v:ext="edit" aspectratio="f"/>
              <v:textbox inset="0mm,0mm,0mm,0mm">
                <w:txbxContent>
                  <w:p w14:paraId="1964EED7">
                    <w:pPr>
                      <w:pStyle w:val="12"/>
                    </w:pPr>
                    <w:r>
                      <w:rPr>
                        <w:rFonts w:hint="eastAsia"/>
                      </w:rPr>
                      <w:fldChar w:fldCharType="begin"/>
                    </w:r>
                    <w:r>
                      <w:rPr>
                        <w:rFonts w:hint="eastAsia"/>
                      </w:rPr>
                      <w:instrText xml:space="preserve"> PAGE  \* MERGEFORMAT </w:instrText>
                    </w:r>
                    <w:r>
                      <w:rPr>
                        <w:rFonts w:hint="eastAsia"/>
                      </w:rPr>
                      <w:fldChar w:fldCharType="separate"/>
                    </w:r>
                    <w:r>
                      <w:t>46</w:t>
                    </w:r>
                    <w:r>
                      <w:rPr>
                        <w:rFonts w:hint="eastAsia"/>
                      </w:rPr>
                      <w:fldChar w:fldCharType="end"/>
                    </w:r>
                  </w:p>
                </w:txbxContent>
              </v:textbox>
            </v:shape>
          </w:pict>
        </mc:Fallback>
      </mc:AlternateContent>
    </w:r>
  </w:p>
  <w:p w14:paraId="19A9F069"/>
  <w:p w14:paraId="2A78476B">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D1829">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AC0E3">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FD308">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6EC9F"/>
    <w:multiLevelType w:val="singleLevel"/>
    <w:tmpl w:val="89E6EC9F"/>
    <w:lvl w:ilvl="0" w:tentative="0">
      <w:start w:val="1"/>
      <w:numFmt w:val="chineseCounting"/>
      <w:suff w:val="nothing"/>
      <w:lvlText w:val="%1、"/>
      <w:lvlJc w:val="left"/>
      <w:rPr>
        <w:rFonts w:hint="eastAsia"/>
      </w:rPr>
    </w:lvl>
  </w:abstractNum>
  <w:abstractNum w:abstractNumId="1">
    <w:nsid w:val="A9096730"/>
    <w:multiLevelType w:val="singleLevel"/>
    <w:tmpl w:val="A9096730"/>
    <w:lvl w:ilvl="0" w:tentative="0">
      <w:start w:val="1"/>
      <w:numFmt w:val="decimal"/>
      <w:suff w:val="nothing"/>
      <w:lvlText w:val="%1、"/>
      <w:lvlJc w:val="left"/>
    </w:lvl>
  </w:abstractNum>
  <w:abstractNum w:abstractNumId="2">
    <w:nsid w:val="CF146E93"/>
    <w:multiLevelType w:val="singleLevel"/>
    <w:tmpl w:val="CF146E93"/>
    <w:lvl w:ilvl="0" w:tentative="0">
      <w:start w:val="1"/>
      <w:numFmt w:val="chineseCounting"/>
      <w:suff w:val="nothing"/>
      <w:lvlText w:val="%1、"/>
      <w:lvlJc w:val="left"/>
      <w:rPr>
        <w:rFonts w:hint="eastAsia"/>
      </w:rPr>
    </w:lvl>
  </w:abstractNum>
  <w:abstractNum w:abstractNumId="3">
    <w:nsid w:val="E6648639"/>
    <w:multiLevelType w:val="singleLevel"/>
    <w:tmpl w:val="E6648639"/>
    <w:lvl w:ilvl="0" w:tentative="0">
      <w:start w:val="6"/>
      <w:numFmt w:val="chineseCounting"/>
      <w:suff w:val="space"/>
      <w:lvlText w:val="第%1章"/>
      <w:lvlJc w:val="left"/>
      <w:rPr>
        <w:rFonts w:hint="eastAsia"/>
      </w:rPr>
    </w:lvl>
  </w:abstractNum>
  <w:abstractNum w:abstractNumId="4">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1244057"/>
    <w:multiLevelType w:val="multilevel"/>
    <w:tmpl w:val="71244057"/>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3"/>
  </w:num>
  <w:num w:numId="3">
    <w:abstractNumId w:val="2"/>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72A27"/>
    <w:rsid w:val="00106F08"/>
    <w:rsid w:val="0020678F"/>
    <w:rsid w:val="00295D50"/>
    <w:rsid w:val="0034234D"/>
    <w:rsid w:val="004C4E24"/>
    <w:rsid w:val="00587D03"/>
    <w:rsid w:val="005B036F"/>
    <w:rsid w:val="00896F05"/>
    <w:rsid w:val="009B1A3C"/>
    <w:rsid w:val="00AD4D25"/>
    <w:rsid w:val="00B55AAC"/>
    <w:rsid w:val="00BE28EA"/>
    <w:rsid w:val="00C42154"/>
    <w:rsid w:val="00C50C72"/>
    <w:rsid w:val="00C92C0B"/>
    <w:rsid w:val="00D049B1"/>
    <w:rsid w:val="00E52CAE"/>
    <w:rsid w:val="00F17338"/>
    <w:rsid w:val="010A3FCC"/>
    <w:rsid w:val="0119483C"/>
    <w:rsid w:val="014D2D41"/>
    <w:rsid w:val="01623521"/>
    <w:rsid w:val="024D769E"/>
    <w:rsid w:val="025E0AE2"/>
    <w:rsid w:val="035E395D"/>
    <w:rsid w:val="046A3700"/>
    <w:rsid w:val="04A90BBC"/>
    <w:rsid w:val="059A1C9B"/>
    <w:rsid w:val="078642F0"/>
    <w:rsid w:val="07B95F66"/>
    <w:rsid w:val="07D018D0"/>
    <w:rsid w:val="090C7DC6"/>
    <w:rsid w:val="09274BA5"/>
    <w:rsid w:val="0B2F5B98"/>
    <w:rsid w:val="0BEB37B3"/>
    <w:rsid w:val="0E887350"/>
    <w:rsid w:val="0EA34A65"/>
    <w:rsid w:val="0EC50264"/>
    <w:rsid w:val="0FB02D4D"/>
    <w:rsid w:val="12716055"/>
    <w:rsid w:val="128104BA"/>
    <w:rsid w:val="13492D15"/>
    <w:rsid w:val="14BB27F6"/>
    <w:rsid w:val="17090503"/>
    <w:rsid w:val="17EC52CB"/>
    <w:rsid w:val="1A304619"/>
    <w:rsid w:val="1B9368CB"/>
    <w:rsid w:val="1C293771"/>
    <w:rsid w:val="1F4D591A"/>
    <w:rsid w:val="1F7A5EB1"/>
    <w:rsid w:val="1FD55C50"/>
    <w:rsid w:val="218A2FFD"/>
    <w:rsid w:val="219774EC"/>
    <w:rsid w:val="21FC260E"/>
    <w:rsid w:val="24E664A5"/>
    <w:rsid w:val="25904BC5"/>
    <w:rsid w:val="260B584D"/>
    <w:rsid w:val="267E16A6"/>
    <w:rsid w:val="276B30ED"/>
    <w:rsid w:val="2B3F207C"/>
    <w:rsid w:val="2B824439"/>
    <w:rsid w:val="2C1F0062"/>
    <w:rsid w:val="2D37161E"/>
    <w:rsid w:val="2ECE02F6"/>
    <w:rsid w:val="2EEE676E"/>
    <w:rsid w:val="31AF5092"/>
    <w:rsid w:val="31BC4163"/>
    <w:rsid w:val="34C76280"/>
    <w:rsid w:val="36A34BDF"/>
    <w:rsid w:val="38467B08"/>
    <w:rsid w:val="39D5099A"/>
    <w:rsid w:val="3B0E6165"/>
    <w:rsid w:val="3B9867D7"/>
    <w:rsid w:val="413302A6"/>
    <w:rsid w:val="41B13BD3"/>
    <w:rsid w:val="41C6175B"/>
    <w:rsid w:val="435D6CE3"/>
    <w:rsid w:val="4533616B"/>
    <w:rsid w:val="45A21EBA"/>
    <w:rsid w:val="462D302E"/>
    <w:rsid w:val="4637748A"/>
    <w:rsid w:val="47282841"/>
    <w:rsid w:val="476B18F6"/>
    <w:rsid w:val="48B4328E"/>
    <w:rsid w:val="49A62598"/>
    <w:rsid w:val="4C677742"/>
    <w:rsid w:val="4D54159D"/>
    <w:rsid w:val="4DC04A32"/>
    <w:rsid w:val="50897A2D"/>
    <w:rsid w:val="5143218F"/>
    <w:rsid w:val="51D5790B"/>
    <w:rsid w:val="53CB1E82"/>
    <w:rsid w:val="54895C2A"/>
    <w:rsid w:val="55894A08"/>
    <w:rsid w:val="55922A70"/>
    <w:rsid w:val="55B371C1"/>
    <w:rsid w:val="57E84153"/>
    <w:rsid w:val="59106503"/>
    <w:rsid w:val="5B2447FE"/>
    <w:rsid w:val="5D176BB9"/>
    <w:rsid w:val="5DD66A52"/>
    <w:rsid w:val="5E6C6676"/>
    <w:rsid w:val="5FF23D9B"/>
    <w:rsid w:val="61BE6B06"/>
    <w:rsid w:val="628F5632"/>
    <w:rsid w:val="62D4154E"/>
    <w:rsid w:val="64C12511"/>
    <w:rsid w:val="650860B0"/>
    <w:rsid w:val="67090219"/>
    <w:rsid w:val="676108C9"/>
    <w:rsid w:val="6B255B03"/>
    <w:rsid w:val="6B7F0948"/>
    <w:rsid w:val="6CFE2350"/>
    <w:rsid w:val="6D5118E8"/>
    <w:rsid w:val="71A71862"/>
    <w:rsid w:val="72361DF5"/>
    <w:rsid w:val="726D7B83"/>
    <w:rsid w:val="737465FA"/>
    <w:rsid w:val="761A4CF1"/>
    <w:rsid w:val="7AD33A6E"/>
    <w:rsid w:val="7BA2010D"/>
    <w:rsid w:val="7C190000"/>
    <w:rsid w:val="7DE75884"/>
    <w:rsid w:val="7F190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qFormat/>
    <w:uiPriority w:val="0"/>
    <w:pPr>
      <w:keepNext/>
      <w:keepLines/>
      <w:spacing w:before="340" w:after="330" w:line="576" w:lineRule="auto"/>
    </w:pPr>
    <w:rPr>
      <w:b w:val="0"/>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5" w:lineRule="auto"/>
      <w:ind w:firstLine="137" w:firstLineChars="49"/>
      <w:outlineLvl w:val="2"/>
    </w:pPr>
    <w:rPr>
      <w:rFonts w:ascii="黑体" w:hAnsi="黑体" w:eastAsia="黑体"/>
      <w:bCs/>
      <w:sz w:val="28"/>
      <w:szCs w:val="28"/>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6">
    <w:name w:val="Normal Indent"/>
    <w:basedOn w:val="1"/>
    <w:next w:val="1"/>
    <w:unhideWhenUsed/>
    <w:qFormat/>
    <w:uiPriority w:val="99"/>
    <w:pPr>
      <w:ind w:firstLine="420" w:firstLineChars="200"/>
    </w:pPr>
    <w:rPr>
      <w:szCs w:val="24"/>
    </w:rPr>
  </w:style>
  <w:style w:type="paragraph" w:styleId="7">
    <w:name w:val="annotation text"/>
    <w:basedOn w:val="1"/>
    <w:qFormat/>
    <w:uiPriority w:val="0"/>
    <w:pPr>
      <w:jc w:val="left"/>
    </w:pPr>
  </w:style>
  <w:style w:type="paragraph" w:styleId="8">
    <w:name w:val="Body Text"/>
    <w:basedOn w:val="1"/>
    <w:unhideWhenUsed/>
    <w:qFormat/>
    <w:uiPriority w:val="99"/>
    <w:pPr>
      <w:spacing w:after="120"/>
    </w:pPr>
  </w:style>
  <w:style w:type="paragraph" w:styleId="9">
    <w:name w:val="Body Text Indent"/>
    <w:basedOn w:val="1"/>
    <w:next w:val="1"/>
    <w:qFormat/>
    <w:uiPriority w:val="0"/>
    <w:pPr>
      <w:spacing w:line="360" w:lineRule="auto"/>
      <w:ind w:firstLine="480" w:firstLineChars="200"/>
      <w:jc w:val="left"/>
    </w:pPr>
    <w:rPr>
      <w:rFonts w:ascii="宋体" w:hAnsi="宋体"/>
      <w:sz w:val="24"/>
      <w:szCs w:val="28"/>
    </w:rPr>
  </w:style>
  <w:style w:type="paragraph" w:styleId="10">
    <w:name w:val="Block Text"/>
    <w:basedOn w:val="1"/>
    <w:unhideWhenUsed/>
    <w:qFormat/>
    <w:uiPriority w:val="99"/>
    <w:pPr>
      <w:widowControl/>
      <w:spacing w:after="120" w:line="276" w:lineRule="auto"/>
      <w:ind w:left="1440" w:leftChars="700" w:right="700" w:rightChars="700"/>
    </w:pPr>
    <w:rPr>
      <w:rFonts w:ascii="Calibri" w:hAnsi="Calibri"/>
      <w:sz w:val="22"/>
      <w:lang w:eastAsia="en-US" w:bidi="en-US"/>
    </w:rPr>
  </w:style>
  <w:style w:type="paragraph" w:styleId="11">
    <w:name w:val="Plain Text"/>
    <w:basedOn w:val="1"/>
    <w:next w:val="1"/>
    <w:qFormat/>
    <w:uiPriority w:val="0"/>
    <w:rPr>
      <w:rFonts w:ascii="宋体" w:hAnsi="Courier New"/>
      <w:szCs w:val="20"/>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b/>
      <w:bCs/>
      <w:caps/>
      <w:sz w:val="20"/>
      <w:szCs w:val="20"/>
    </w:rPr>
  </w:style>
  <w:style w:type="paragraph" w:styleId="15">
    <w:name w:val="Body Text First Indent"/>
    <w:basedOn w:val="8"/>
    <w:next w:val="16"/>
    <w:unhideWhenUsed/>
    <w:qFormat/>
    <w:uiPriority w:val="99"/>
    <w:pPr>
      <w:ind w:firstLine="420" w:firstLineChars="100"/>
    </w:pPr>
    <w:rPr>
      <w:szCs w:val="24"/>
    </w:rPr>
  </w:style>
  <w:style w:type="paragraph" w:styleId="16">
    <w:name w:val="Body Text First Indent 2"/>
    <w:basedOn w:val="9"/>
    <w:unhideWhenUsed/>
    <w:qFormat/>
    <w:uiPriority w:val="99"/>
    <w:pPr>
      <w:spacing w:after="120" w:line="240" w:lineRule="auto"/>
      <w:ind w:left="420" w:leftChars="200" w:firstLine="420"/>
      <w:jc w:val="both"/>
    </w:pPr>
    <w:rPr>
      <w:rFonts w:ascii="Times New Roman" w:hAnsi="Times New Roman"/>
      <w:sz w:val="21"/>
      <w:szCs w:val="22"/>
    </w:rPr>
  </w:style>
  <w:style w:type="paragraph" w:customStyle="1" w:styleId="19">
    <w:name w:val="样式1"/>
    <w:basedOn w:val="9"/>
    <w:next w:val="10"/>
    <w:qFormat/>
    <w:uiPriority w:val="0"/>
    <w:rPr>
      <w:rFonts w:ascii="Times New Roman" w:hAnsi="Times New Roman"/>
    </w:rPr>
  </w:style>
  <w:style w:type="paragraph" w:customStyle="1" w:styleId="2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1">
    <w:name w:val="发文落款"/>
    <w:basedOn w:val="20"/>
    <w:qFormat/>
    <w:uiPriority w:val="0"/>
    <w:pPr>
      <w:ind w:left="4094" w:right="607" w:firstLine="0"/>
      <w:jc w:val="center"/>
    </w:pPr>
  </w:style>
  <w:style w:type="paragraph" w:customStyle="1" w:styleId="22">
    <w:name w:val="文一"/>
    <w:basedOn w:val="1"/>
    <w:qFormat/>
    <w:uiPriority w:val="0"/>
    <w:pPr>
      <w:topLinePunct/>
      <w:adjustRightInd w:val="0"/>
      <w:snapToGrid w:val="0"/>
      <w:spacing w:line="360" w:lineRule="auto"/>
      <w:ind w:firstLine="200" w:firstLineChars="200"/>
    </w:pPr>
    <w:rPr>
      <w:spacing w:val="4"/>
      <w:kern w:val="0"/>
      <w:sz w:val="24"/>
      <w:szCs w:val="24"/>
    </w:rPr>
  </w:style>
  <w:style w:type="paragraph" w:customStyle="1" w:styleId="23">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24">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25">
    <w:name w:val="章节二"/>
    <w:basedOn w:val="1"/>
    <w:next w:val="1"/>
    <w:qFormat/>
    <w:uiPriority w:val="0"/>
    <w:pPr>
      <w:topLinePunct/>
      <w:adjustRightInd w:val="0"/>
      <w:snapToGrid w:val="0"/>
      <w:spacing w:beforeLines="50" w:afterLines="50"/>
      <w:jc w:val="center"/>
      <w:outlineLvl w:val="1"/>
    </w:pPr>
    <w:rPr>
      <w:rFonts w:eastAsia="黑体"/>
      <w:b/>
      <w:snapToGrid w:val="0"/>
      <w:spacing w:val="4"/>
      <w:kern w:val="0"/>
      <w:sz w:val="30"/>
      <w:szCs w:val="30"/>
    </w:rPr>
  </w:style>
  <w:style w:type="paragraph" w:customStyle="1" w:styleId="26">
    <w:name w:val="章节三"/>
    <w:basedOn w:val="1"/>
    <w:next w:val="1"/>
    <w:qFormat/>
    <w:uiPriority w:val="0"/>
    <w:pPr>
      <w:topLinePunct/>
      <w:adjustRightInd w:val="0"/>
      <w:snapToGrid w:val="0"/>
      <w:spacing w:beforeLines="50" w:afterLines="50"/>
      <w:jc w:val="left"/>
      <w:outlineLvl w:val="2"/>
    </w:pPr>
    <w:rPr>
      <w:rFonts w:ascii="黑体" w:hAnsi="宋体" w:eastAsia="黑体"/>
      <w:b/>
      <w:snapToGrid w:val="0"/>
      <w:spacing w:val="4"/>
      <w:kern w:val="0"/>
      <w:sz w:val="24"/>
      <w:szCs w:val="24"/>
    </w:rPr>
  </w:style>
  <w:style w:type="paragraph" w:customStyle="1" w:styleId="27">
    <w:name w:val="封二"/>
    <w:basedOn w:val="22"/>
    <w:next w:val="22"/>
    <w:qFormat/>
    <w:uiPriority w:val="0"/>
    <w:pPr>
      <w:ind w:firstLine="0" w:firstLineChars="0"/>
      <w:jc w:val="center"/>
    </w:pPr>
    <w:rPr>
      <w:rFonts w:eastAsia="黑体"/>
      <w:b/>
      <w:sz w:val="36"/>
      <w:szCs w:val="36"/>
    </w:rPr>
  </w:style>
  <w:style w:type="paragraph" w:customStyle="1" w:styleId="28">
    <w:name w:val="封一"/>
    <w:basedOn w:val="22"/>
    <w:next w:val="22"/>
    <w:qFormat/>
    <w:uiPriority w:val="0"/>
    <w:pPr>
      <w:ind w:firstLine="0" w:firstLineChars="0"/>
      <w:jc w:val="center"/>
    </w:pPr>
    <w:rPr>
      <w:rFonts w:eastAsia="黑体"/>
      <w:b/>
      <w:sz w:val="84"/>
      <w:szCs w:val="84"/>
    </w:rPr>
  </w:style>
  <w:style w:type="paragraph" w:customStyle="1" w:styleId="29">
    <w:name w:val="封四"/>
    <w:basedOn w:val="22"/>
    <w:next w:val="22"/>
    <w:qFormat/>
    <w:uiPriority w:val="0"/>
    <w:pPr>
      <w:jc w:val="left"/>
    </w:pPr>
    <w:rPr>
      <w:rFonts w:eastAsia="等线"/>
      <w:sz w:val="30"/>
      <w:szCs w:val="30"/>
    </w:rPr>
  </w:style>
  <w:style w:type="paragraph" w:styleId="30">
    <w:name w:val="List Paragraph"/>
    <w:basedOn w:val="1"/>
    <w:qFormat/>
    <w:uiPriority w:val="0"/>
    <w:pPr>
      <w:ind w:firstLine="420" w:firstLineChars="200"/>
    </w:pPr>
    <w:rPr>
      <w:rFonts w:ascii="Calibri" w:hAnsi="Calibri"/>
    </w:rPr>
  </w:style>
  <w:style w:type="character" w:customStyle="1" w:styleId="31">
    <w:name w:val="font21"/>
    <w:basedOn w:val="18"/>
    <w:qFormat/>
    <w:uiPriority w:val="0"/>
    <w:rPr>
      <w:rFonts w:hint="eastAsia" w:ascii="宋体" w:hAnsi="宋体" w:eastAsia="宋体" w:cs="宋体"/>
      <w:color w:val="000000"/>
      <w:sz w:val="21"/>
      <w:szCs w:val="21"/>
      <w:u w:val="none"/>
    </w:rPr>
  </w:style>
  <w:style w:type="character" w:customStyle="1" w:styleId="32">
    <w:name w:val="font41"/>
    <w:basedOn w:val="1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23702</Words>
  <Characters>24829</Characters>
  <Lines>243</Lines>
  <Paragraphs>68</Paragraphs>
  <TotalTime>8</TotalTime>
  <ScaleCrop>false</ScaleCrop>
  <LinksUpToDate>false</LinksUpToDate>
  <CharactersWithSpaces>25818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2024-10-10T09:19:00Z</dcterms:created>
  <dc:creator>-咕小婷</dc:creator>
  <cp:lastModifiedBy>◕‿◕ 丁﹏]</cp:lastModifiedBy>
  <cp:lastPrinted>2025-08-11T03:41:00Z</cp:lastPrinted>
  <dcterms:modified xsi:type="dcterms:W3CDTF">2026-03-02T04:27:31Z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6D251B6A346E419E8A3BC9602CAFC45C_13</vt:lpwstr>
  </property>
  <property fmtid="{D5CDD505-2E9C-101B-9397-08002B2CF9AE}" pid="4" name="KSOTemplateDocerSaveRecord">
    <vt:lpwstr>eyJoZGlkIjoiMzEwNTM5NzYwMDRjMzkwZTVkZjY2ODkwMGIxNGU0OTUiLCJ1c2VySWQiOiIzNDY3NjExNTMifQ==</vt:lpwstr>
  </property>
</Properties>
</file>